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rPr>
      </w:pPr>
    </w:p>
    <w:p>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HRC-ZBDL-2023-00067</w:t>
      </w:r>
    </w:p>
    <w:p>
      <w:pPr>
        <w:bidi w:val="0"/>
        <w:rPr>
          <w:rFonts w:hint="eastAsia" w:ascii="宋体" w:hAnsi="宋体" w:eastAsia="宋体" w:cs="宋体"/>
        </w:rPr>
      </w:pPr>
    </w:p>
    <w:p>
      <w:pPr>
        <w:bidi w:val="0"/>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46"/>
        <w:spacing w:line="360" w:lineRule="auto"/>
        <w:ind w:left="0" w:leftChars="0" w:firstLine="0" w:firstLineChars="0"/>
        <w:jc w:val="center"/>
        <w:rPr>
          <w:rFonts w:hint="eastAsia" w:ascii="宋体" w:hAnsi="宋体" w:eastAsia="宋体" w:cs="宋体"/>
          <w:b/>
          <w:bCs/>
          <w:sz w:val="44"/>
          <w:szCs w:val="44"/>
        </w:rPr>
      </w:pPr>
      <w:r>
        <w:rPr>
          <w:rFonts w:hint="eastAsia" w:ascii="宋体" w:hAnsi="宋体" w:cs="宋体"/>
          <w:b/>
          <w:sz w:val="44"/>
          <w:szCs w:val="44"/>
          <w:lang w:eastAsia="zh-CN"/>
        </w:rPr>
        <w:t>清涧县塬上文化旅游投资开发有限公司关于清涧县人生影视基地游客智慧服务平台采购项目</w:t>
      </w:r>
    </w:p>
    <w:p>
      <w:pPr>
        <w:pStyle w:val="46"/>
        <w:spacing w:line="360" w:lineRule="auto"/>
        <w:rPr>
          <w:rFonts w:hint="eastAsia" w:ascii="宋体" w:hAnsi="宋体" w:eastAsia="宋体" w:cs="宋体"/>
          <w:b/>
          <w:bCs/>
          <w:sz w:val="28"/>
          <w:szCs w:val="28"/>
        </w:rPr>
      </w:pPr>
    </w:p>
    <w:p>
      <w:pPr>
        <w:pStyle w:val="46"/>
        <w:spacing w:line="360" w:lineRule="auto"/>
        <w:rPr>
          <w:rFonts w:hint="eastAsia" w:ascii="宋体" w:hAnsi="宋体" w:eastAsia="宋体" w:cs="宋体"/>
          <w:b/>
          <w:bCs/>
          <w:sz w:val="28"/>
          <w:szCs w:val="28"/>
        </w:rPr>
      </w:pPr>
    </w:p>
    <w:p>
      <w:pPr>
        <w:pStyle w:val="46"/>
        <w:spacing w:line="360" w:lineRule="auto"/>
        <w:ind w:left="0" w:leftChars="0" w:firstLine="0" w:firstLineChars="0"/>
        <w:rPr>
          <w:rFonts w:hint="eastAsia" w:ascii="宋体" w:hAnsi="宋体" w:eastAsia="宋体" w:cs="宋体"/>
          <w:b/>
          <w:bCs/>
          <w:sz w:val="36"/>
          <w:szCs w:val="36"/>
        </w:rPr>
      </w:pPr>
    </w:p>
    <w:p>
      <w:pPr>
        <w:pStyle w:val="46"/>
        <w:spacing w:line="360" w:lineRule="auto"/>
        <w:ind w:left="0" w:leftChars="0" w:firstLine="0" w:firstLineChars="0"/>
        <w:rPr>
          <w:rFonts w:hint="eastAsia" w:ascii="宋体" w:hAnsi="宋体" w:eastAsia="宋体" w:cs="宋体"/>
          <w:b/>
          <w:bCs/>
          <w:sz w:val="36"/>
          <w:szCs w:val="36"/>
        </w:rPr>
      </w:pPr>
    </w:p>
    <w:p>
      <w:pPr>
        <w:spacing w:line="360" w:lineRule="auto"/>
        <w:jc w:val="center"/>
        <w:rPr>
          <w:rFonts w:hint="eastAsia" w:ascii="宋体" w:hAnsi="宋体" w:eastAsia="宋体" w:cs="宋体"/>
          <w:b/>
        </w:rPr>
      </w:pPr>
      <w:r>
        <w:rPr>
          <w:rFonts w:hint="eastAsia" w:ascii="宋体" w:hAnsi="宋体" w:eastAsia="宋体" w:cs="宋体"/>
          <w:b/>
          <w:sz w:val="96"/>
          <w:szCs w:val="96"/>
        </w:rPr>
        <w:t>竞争性磋商文件</w:t>
      </w:r>
    </w:p>
    <w:p>
      <w:pPr>
        <w:pStyle w:val="6"/>
        <w:spacing w:line="360" w:lineRule="auto"/>
        <w:rPr>
          <w:rFonts w:hint="eastAsia" w:ascii="宋体" w:hAnsi="宋体" w:eastAsia="宋体" w:cs="宋体"/>
          <w:sz w:val="18"/>
          <w:szCs w:val="18"/>
        </w:rPr>
      </w:pPr>
    </w:p>
    <w:p>
      <w:pPr>
        <w:rPr>
          <w:rFonts w:hint="eastAsia" w:ascii="宋体" w:hAnsi="宋体" w:eastAsia="宋体" w:cs="宋体"/>
        </w:rPr>
      </w:pPr>
    </w:p>
    <w:p>
      <w:pPr>
        <w:spacing w:line="360" w:lineRule="auto"/>
        <w:rPr>
          <w:rFonts w:hint="eastAsia" w:ascii="宋体" w:hAnsi="宋体" w:eastAsia="宋体" w:cs="宋体"/>
          <w:b/>
          <w:sz w:val="16"/>
          <w:szCs w:val="11"/>
          <w:lang w:val="en-ZA"/>
        </w:rPr>
      </w:pPr>
    </w:p>
    <w:p>
      <w:pPr>
        <w:spacing w:line="360" w:lineRule="auto"/>
        <w:rPr>
          <w:rFonts w:hint="eastAsia" w:ascii="宋体" w:hAnsi="宋体" w:eastAsia="宋体" w:cs="宋体"/>
          <w:b/>
          <w:lang w:val="en-ZA"/>
        </w:rPr>
      </w:pPr>
    </w:p>
    <w:p>
      <w:pPr>
        <w:spacing w:line="360" w:lineRule="auto"/>
        <w:ind w:left="0" w:leftChars="0" w:firstLine="964" w:firstLineChars="300"/>
        <w:rPr>
          <w:rFonts w:hint="eastAsia" w:ascii="宋体" w:hAnsi="宋体" w:eastAsia="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清涧县塬上文化旅游投资开发有限公司</w:t>
      </w:r>
    </w:p>
    <w:p>
      <w:pPr>
        <w:pStyle w:val="18"/>
        <w:spacing w:line="360" w:lineRule="auto"/>
        <w:rPr>
          <w:rFonts w:hint="eastAsia" w:ascii="宋体" w:hAnsi="宋体" w:eastAsia="宋体" w:cs="宋体"/>
          <w:sz w:val="32"/>
          <w:szCs w:val="32"/>
          <w:lang w:val="en-US" w:eastAsia="zh-CN"/>
        </w:rPr>
      </w:pPr>
    </w:p>
    <w:p>
      <w:pPr>
        <w:spacing w:line="360" w:lineRule="auto"/>
        <w:ind w:left="0" w:leftChars="0" w:firstLine="964" w:firstLineChars="300"/>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lang w:eastAsia="zh-CN"/>
        </w:rPr>
        <w:t>华睿诚项目管理有限公司</w:t>
      </w:r>
    </w:p>
    <w:p>
      <w:pPr>
        <w:pStyle w:val="18"/>
        <w:spacing w:line="360" w:lineRule="auto"/>
        <w:rPr>
          <w:rFonts w:hint="eastAsia" w:ascii="宋体" w:hAnsi="宋体" w:eastAsia="宋体" w:cs="宋体"/>
          <w:sz w:val="32"/>
          <w:szCs w:val="32"/>
        </w:rPr>
      </w:pPr>
    </w:p>
    <w:p>
      <w:pPr>
        <w:spacing w:line="360" w:lineRule="auto"/>
        <w:ind w:firstLine="2891" w:firstLineChars="900"/>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val="en-US" w:eastAsia="zh-CN"/>
        </w:rPr>
        <w:t>三</w:t>
      </w:r>
      <w:r>
        <w:rPr>
          <w:rFonts w:hint="eastAsia" w:ascii="宋体" w:hAnsi="宋体" w:eastAsia="宋体" w:cs="宋体"/>
          <w:b/>
          <w:sz w:val="32"/>
          <w:szCs w:val="32"/>
          <w:lang w:eastAsia="zh-CN"/>
        </w:rPr>
        <w:t>年</w:t>
      </w:r>
      <w:r>
        <w:rPr>
          <w:rFonts w:hint="eastAsia" w:ascii="宋体" w:hAnsi="宋体" w:cs="宋体"/>
          <w:b/>
          <w:sz w:val="32"/>
          <w:szCs w:val="32"/>
          <w:lang w:val="en-US" w:eastAsia="zh-CN"/>
        </w:rPr>
        <w:t>三</w:t>
      </w:r>
      <w:r>
        <w:rPr>
          <w:rFonts w:hint="eastAsia" w:ascii="宋体" w:hAnsi="宋体" w:eastAsia="宋体" w:cs="宋体"/>
          <w:b/>
          <w:sz w:val="32"/>
          <w:szCs w:val="32"/>
        </w:rPr>
        <w:t>月</w:t>
      </w:r>
    </w:p>
    <w:p>
      <w:pPr>
        <w:spacing w:line="360" w:lineRule="auto"/>
        <w:rPr>
          <w:rFonts w:hint="eastAsia" w:ascii="宋体" w:hAnsi="宋体" w:eastAsia="宋体" w:cs="宋体"/>
          <w:sz w:val="32"/>
          <w:szCs w:val="32"/>
        </w:rPr>
        <w:sectPr>
          <w:headerReference r:id="rId4" w:type="first"/>
          <w:headerReference r:id="rId3" w:type="default"/>
          <w:footerReference r:id="rId5"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19866"/>
      <w:bookmarkStart w:id="1" w:name="_Toc21123"/>
      <w:bookmarkStart w:id="2" w:name="_Toc458617452"/>
      <w:bookmarkStart w:id="3" w:name="_Toc31341_WPSOffice_Level1"/>
      <w:bookmarkStart w:id="4" w:name="_Toc29080"/>
      <w:bookmarkStart w:id="5" w:name="_Toc30185"/>
      <w:bookmarkStart w:id="6" w:name="_Toc458617729"/>
      <w:r>
        <w:rPr>
          <w:rFonts w:hint="eastAsia" w:ascii="宋体" w:hAnsi="宋体" w:eastAsia="宋体" w:cs="宋体"/>
          <w:b/>
          <w:bCs/>
          <w:sz w:val="40"/>
          <w:szCs w:val="28"/>
          <w:lang w:eastAsia="zh-CN"/>
        </w:rPr>
        <w:t>目</w:t>
      </w:r>
      <w:r>
        <w:rPr>
          <w:rFonts w:hint="eastAsia" w:ascii="宋体" w:hAnsi="宋体" w:eastAsia="宋体" w:cs="宋体"/>
          <w:b/>
          <w:bCs/>
          <w:sz w:val="40"/>
          <w:szCs w:val="28"/>
          <w:lang w:val="en-US" w:eastAsia="zh-CN"/>
        </w:rPr>
        <w:t xml:space="preserve">  </w:t>
      </w:r>
      <w:r>
        <w:rPr>
          <w:rFonts w:hint="eastAsia" w:ascii="宋体" w:hAnsi="宋体" w:eastAsia="宋体" w:cs="宋体"/>
          <w:b/>
          <w:bCs/>
          <w:sz w:val="40"/>
          <w:szCs w:val="28"/>
          <w:lang w:eastAsia="zh-CN"/>
        </w:rPr>
        <w:t>录</w:t>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_Toc26100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第一章  竞争性磋商公告</w:t>
      </w:r>
      <w:r>
        <w:rPr>
          <w:sz w:val="24"/>
          <w:szCs w:val="24"/>
        </w:rPr>
        <w:tab/>
      </w:r>
      <w:r>
        <w:rPr>
          <w:sz w:val="24"/>
          <w:szCs w:val="24"/>
        </w:rPr>
        <w:fldChar w:fldCharType="begin"/>
      </w:r>
      <w:r>
        <w:rPr>
          <w:sz w:val="24"/>
          <w:szCs w:val="24"/>
        </w:rPr>
        <w:instrText xml:space="preserve"> PAGEREF _Toc26100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_Toc20564 </w:instrText>
      </w:r>
      <w:r>
        <w:rPr>
          <w:rFonts w:hint="eastAsia" w:ascii="宋体" w:hAnsi="宋体" w:eastAsia="宋体" w:cs="宋体"/>
          <w:sz w:val="24"/>
          <w:szCs w:val="24"/>
          <w:lang w:eastAsia="zh-CN"/>
        </w:rPr>
        <w:fldChar w:fldCharType="separate"/>
      </w:r>
      <w:r>
        <w:rPr>
          <w:rFonts w:hint="eastAsia" w:ascii="宋体" w:hAnsi="宋体" w:eastAsia="宋体" w:cs="宋体"/>
          <w:bCs/>
          <w:kern w:val="44"/>
          <w:sz w:val="24"/>
          <w:szCs w:val="24"/>
          <w:lang w:val="en-US" w:eastAsia="zh-CN" w:bidi="ar-SA"/>
        </w:rPr>
        <w:t>第二章 供应商须知</w:t>
      </w:r>
      <w:r>
        <w:rPr>
          <w:sz w:val="24"/>
          <w:szCs w:val="24"/>
        </w:rPr>
        <w:tab/>
      </w:r>
      <w:r>
        <w:rPr>
          <w:sz w:val="24"/>
          <w:szCs w:val="24"/>
        </w:rPr>
        <w:fldChar w:fldCharType="begin"/>
      </w:r>
      <w:r>
        <w:rPr>
          <w:sz w:val="24"/>
          <w:szCs w:val="24"/>
        </w:rPr>
        <w:instrText xml:space="preserve"> PAGEREF _Toc20564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_Toc31108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供应商须知前附表</w:t>
      </w:r>
      <w:r>
        <w:rPr>
          <w:sz w:val="24"/>
          <w:szCs w:val="24"/>
        </w:rPr>
        <w:tab/>
      </w:r>
      <w:r>
        <w:rPr>
          <w:sz w:val="24"/>
          <w:szCs w:val="24"/>
        </w:rPr>
        <w:fldChar w:fldCharType="begin"/>
      </w:r>
      <w:r>
        <w:rPr>
          <w:sz w:val="24"/>
          <w:szCs w:val="24"/>
        </w:rPr>
        <w:instrText xml:space="preserve"> PAGEREF _Toc31108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_Toc9974 </w:instrText>
      </w:r>
      <w:r>
        <w:rPr>
          <w:rFonts w:hint="eastAsia" w:ascii="宋体" w:hAnsi="宋体" w:eastAsia="宋体" w:cs="宋体"/>
          <w:sz w:val="24"/>
          <w:szCs w:val="24"/>
          <w:lang w:eastAsia="zh-CN"/>
        </w:rPr>
        <w:fldChar w:fldCharType="separate"/>
      </w:r>
      <w:r>
        <w:rPr>
          <w:rFonts w:hint="eastAsia" w:ascii="宋体" w:hAnsi="宋体" w:cs="宋体"/>
          <w:sz w:val="24"/>
          <w:szCs w:val="24"/>
          <w:lang w:val="en-US" w:eastAsia="zh-CN"/>
        </w:rPr>
        <w:t xml:space="preserve">第三章  </w:t>
      </w:r>
      <w:r>
        <w:rPr>
          <w:rFonts w:hint="eastAsia" w:ascii="宋体" w:hAnsi="宋体" w:eastAsia="宋体" w:cs="宋体"/>
          <w:sz w:val="24"/>
          <w:szCs w:val="24"/>
          <w:lang w:val="en-US" w:eastAsia="zh-CN"/>
        </w:rPr>
        <w:t>合同范本</w:t>
      </w:r>
      <w:r>
        <w:rPr>
          <w:sz w:val="24"/>
          <w:szCs w:val="24"/>
        </w:rPr>
        <w:tab/>
      </w:r>
      <w:r>
        <w:rPr>
          <w:sz w:val="24"/>
          <w:szCs w:val="24"/>
        </w:rPr>
        <w:fldChar w:fldCharType="begin"/>
      </w:r>
      <w:r>
        <w:rPr>
          <w:sz w:val="24"/>
          <w:szCs w:val="24"/>
        </w:rPr>
        <w:instrText xml:space="preserve"> PAGEREF _Toc9974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_Toc15823 </w:instrText>
      </w:r>
      <w:r>
        <w:rPr>
          <w:rFonts w:hint="eastAsia" w:ascii="宋体" w:hAnsi="宋体" w:eastAsia="宋体" w:cs="宋体"/>
          <w:sz w:val="24"/>
          <w:szCs w:val="24"/>
          <w:lang w:eastAsia="zh-CN"/>
        </w:rPr>
        <w:fldChar w:fldCharType="separate"/>
      </w:r>
      <w:r>
        <w:rPr>
          <w:rFonts w:hint="eastAsia" w:ascii="宋体" w:hAnsi="宋体" w:cs="宋体"/>
          <w:sz w:val="24"/>
          <w:szCs w:val="24"/>
          <w:lang w:val="en-US" w:eastAsia="zh-CN"/>
        </w:rPr>
        <w:t xml:space="preserve">第四章  </w:t>
      </w:r>
      <w:r>
        <w:rPr>
          <w:rFonts w:hint="eastAsia" w:ascii="宋体" w:hAnsi="宋体" w:eastAsia="宋体" w:cs="宋体"/>
          <w:sz w:val="24"/>
          <w:szCs w:val="24"/>
        </w:rPr>
        <w:t>采购内容及技术要求</w:t>
      </w:r>
      <w:r>
        <w:rPr>
          <w:sz w:val="24"/>
          <w:szCs w:val="24"/>
        </w:rPr>
        <w:tab/>
      </w:r>
      <w:r>
        <w:rPr>
          <w:sz w:val="24"/>
          <w:szCs w:val="24"/>
        </w:rPr>
        <w:fldChar w:fldCharType="begin"/>
      </w:r>
      <w:r>
        <w:rPr>
          <w:sz w:val="24"/>
          <w:szCs w:val="24"/>
        </w:rPr>
        <w:instrText xml:space="preserve"> PAGEREF _Toc15823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_Toc3370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第五章 商务要求</w:t>
      </w:r>
      <w:r>
        <w:rPr>
          <w:sz w:val="24"/>
          <w:szCs w:val="24"/>
        </w:rPr>
        <w:tab/>
      </w:r>
      <w:r>
        <w:rPr>
          <w:sz w:val="24"/>
          <w:szCs w:val="24"/>
        </w:rPr>
        <w:fldChar w:fldCharType="begin"/>
      </w:r>
      <w:r>
        <w:rPr>
          <w:sz w:val="24"/>
          <w:szCs w:val="24"/>
        </w:rPr>
        <w:instrText xml:space="preserve"> PAGEREF _Toc3370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_Toc30292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第六章 响应文件格式</w:t>
      </w:r>
      <w:r>
        <w:rPr>
          <w:sz w:val="24"/>
          <w:szCs w:val="24"/>
        </w:rPr>
        <w:tab/>
      </w:r>
      <w:r>
        <w:rPr>
          <w:sz w:val="24"/>
          <w:szCs w:val="24"/>
        </w:rPr>
        <w:fldChar w:fldCharType="begin"/>
      </w:r>
      <w:r>
        <w:rPr>
          <w:sz w:val="24"/>
          <w:szCs w:val="24"/>
        </w:rPr>
        <w:instrText xml:space="preserve"> PAGEREF _Toc30292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_Toc710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磋商函</w:t>
      </w:r>
      <w:r>
        <w:rPr>
          <w:sz w:val="24"/>
          <w:szCs w:val="24"/>
        </w:rPr>
        <w:tab/>
      </w:r>
      <w:r>
        <w:rPr>
          <w:sz w:val="24"/>
          <w:szCs w:val="24"/>
        </w:rPr>
        <w:fldChar w:fldCharType="begin"/>
      </w:r>
      <w:r>
        <w:rPr>
          <w:sz w:val="24"/>
          <w:szCs w:val="24"/>
        </w:rPr>
        <w:instrText xml:space="preserve"> PAGEREF _Toc710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_Toc15187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二、法定代表人证明书及法定代表人授权书</w:t>
      </w:r>
      <w:r>
        <w:rPr>
          <w:sz w:val="24"/>
          <w:szCs w:val="24"/>
        </w:rPr>
        <w:tab/>
      </w:r>
      <w:r>
        <w:rPr>
          <w:sz w:val="24"/>
          <w:szCs w:val="24"/>
        </w:rPr>
        <w:fldChar w:fldCharType="begin"/>
      </w:r>
      <w:r>
        <w:rPr>
          <w:sz w:val="24"/>
          <w:szCs w:val="24"/>
        </w:rPr>
        <w:instrText xml:space="preserve"> PAGEREF _Toc15187 \h </w:instrText>
      </w:r>
      <w:r>
        <w:rPr>
          <w:sz w:val="24"/>
          <w:szCs w:val="24"/>
        </w:rPr>
        <w:fldChar w:fldCharType="separate"/>
      </w:r>
      <w:r>
        <w:rPr>
          <w:sz w:val="24"/>
          <w:szCs w:val="24"/>
        </w:rPr>
        <w:t>45</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_Toc2732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-1、法定代表人证明书</w:t>
      </w:r>
      <w:r>
        <w:rPr>
          <w:sz w:val="24"/>
          <w:szCs w:val="24"/>
        </w:rPr>
        <w:tab/>
      </w:r>
      <w:r>
        <w:rPr>
          <w:sz w:val="24"/>
          <w:szCs w:val="24"/>
        </w:rPr>
        <w:fldChar w:fldCharType="begin"/>
      </w:r>
      <w:r>
        <w:rPr>
          <w:sz w:val="24"/>
          <w:szCs w:val="24"/>
        </w:rPr>
        <w:instrText xml:space="preserve"> PAGEREF _Toc2732 \h </w:instrText>
      </w:r>
      <w:r>
        <w:rPr>
          <w:sz w:val="24"/>
          <w:szCs w:val="24"/>
        </w:rPr>
        <w:fldChar w:fldCharType="separate"/>
      </w:r>
      <w:r>
        <w:rPr>
          <w:sz w:val="24"/>
          <w:szCs w:val="24"/>
        </w:rPr>
        <w:t>45</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_Toc14734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-2、法定代表人授权书</w:t>
      </w:r>
      <w:r>
        <w:rPr>
          <w:sz w:val="24"/>
          <w:szCs w:val="24"/>
        </w:rPr>
        <w:tab/>
      </w:r>
      <w:r>
        <w:rPr>
          <w:sz w:val="24"/>
          <w:szCs w:val="24"/>
        </w:rPr>
        <w:fldChar w:fldCharType="begin"/>
      </w:r>
      <w:r>
        <w:rPr>
          <w:sz w:val="24"/>
          <w:szCs w:val="24"/>
        </w:rPr>
        <w:instrText xml:space="preserve"> PAGEREF _Toc14734 \h </w:instrText>
      </w:r>
      <w:r>
        <w:rPr>
          <w:sz w:val="24"/>
          <w:szCs w:val="24"/>
        </w:rPr>
        <w:fldChar w:fldCharType="separate"/>
      </w:r>
      <w:r>
        <w:rPr>
          <w:sz w:val="24"/>
          <w:szCs w:val="24"/>
        </w:rPr>
        <w:t>46</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_Toc32340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、磋商一览表</w:t>
      </w:r>
      <w:r>
        <w:rPr>
          <w:sz w:val="24"/>
          <w:szCs w:val="24"/>
        </w:rPr>
        <w:tab/>
      </w:r>
      <w:r>
        <w:rPr>
          <w:sz w:val="24"/>
          <w:szCs w:val="24"/>
        </w:rPr>
        <w:fldChar w:fldCharType="begin"/>
      </w:r>
      <w:r>
        <w:rPr>
          <w:sz w:val="24"/>
          <w:szCs w:val="24"/>
        </w:rPr>
        <w:instrText xml:space="preserve"> PAGEREF _Toc32340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_Toc817 </w:instrText>
      </w:r>
      <w:r>
        <w:rPr>
          <w:rFonts w:hint="eastAsia" w:ascii="宋体" w:hAnsi="宋体" w:eastAsia="宋体" w:cs="宋体"/>
          <w:sz w:val="24"/>
          <w:szCs w:val="24"/>
          <w:lang w:eastAsia="zh-CN"/>
        </w:rPr>
        <w:fldChar w:fldCharType="separate"/>
      </w:r>
      <w:r>
        <w:rPr>
          <w:rFonts w:hint="eastAsia" w:ascii="宋体" w:hAnsi="宋体" w:eastAsia="宋体" w:cs="宋体"/>
          <w:kern w:val="2"/>
          <w:sz w:val="24"/>
          <w:szCs w:val="24"/>
          <w:lang w:val="en-US" w:eastAsia="zh-CN" w:bidi="ar-SA"/>
        </w:rPr>
        <w:t>分项报价表</w:t>
      </w:r>
      <w:r>
        <w:rPr>
          <w:sz w:val="24"/>
          <w:szCs w:val="24"/>
        </w:rPr>
        <w:tab/>
      </w:r>
      <w:r>
        <w:rPr>
          <w:sz w:val="24"/>
          <w:szCs w:val="24"/>
        </w:rPr>
        <w:fldChar w:fldCharType="begin"/>
      </w:r>
      <w:r>
        <w:rPr>
          <w:sz w:val="24"/>
          <w:szCs w:val="24"/>
        </w:rPr>
        <w:instrText xml:space="preserve"> PAGEREF _Toc817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_Toc25789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四、商务条款响应偏离表</w:t>
      </w:r>
      <w:r>
        <w:rPr>
          <w:sz w:val="24"/>
          <w:szCs w:val="24"/>
        </w:rPr>
        <w:tab/>
      </w:r>
      <w:r>
        <w:rPr>
          <w:sz w:val="24"/>
          <w:szCs w:val="24"/>
        </w:rPr>
        <w:fldChar w:fldCharType="begin"/>
      </w:r>
      <w:r>
        <w:rPr>
          <w:sz w:val="24"/>
          <w:szCs w:val="24"/>
        </w:rPr>
        <w:instrText xml:space="preserve"> PAGEREF _Toc25789 \h </w:instrText>
      </w:r>
      <w:r>
        <w:rPr>
          <w:sz w:val="24"/>
          <w:szCs w:val="24"/>
        </w:rPr>
        <w:fldChar w:fldCharType="separate"/>
      </w:r>
      <w:r>
        <w:rPr>
          <w:sz w:val="24"/>
          <w:szCs w:val="24"/>
        </w:rPr>
        <w:t>49</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_Toc29342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五、技术规格响应偏离表</w:t>
      </w:r>
      <w:r>
        <w:rPr>
          <w:sz w:val="24"/>
          <w:szCs w:val="24"/>
        </w:rPr>
        <w:tab/>
      </w:r>
      <w:r>
        <w:rPr>
          <w:sz w:val="24"/>
          <w:szCs w:val="24"/>
        </w:rPr>
        <w:fldChar w:fldCharType="begin"/>
      </w:r>
      <w:r>
        <w:rPr>
          <w:sz w:val="24"/>
          <w:szCs w:val="24"/>
        </w:rPr>
        <w:instrText xml:space="preserve"> PAGEREF _Toc29342 \h </w:instrText>
      </w:r>
      <w:r>
        <w:rPr>
          <w:sz w:val="24"/>
          <w:szCs w:val="24"/>
        </w:rPr>
        <w:fldChar w:fldCharType="separate"/>
      </w:r>
      <w:r>
        <w:rPr>
          <w:sz w:val="24"/>
          <w:szCs w:val="24"/>
        </w:rPr>
        <w:t>50</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_Toc26784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、供应商资质证明文件</w:t>
      </w:r>
      <w:r>
        <w:rPr>
          <w:sz w:val="24"/>
          <w:szCs w:val="24"/>
        </w:rPr>
        <w:tab/>
      </w:r>
      <w:r>
        <w:rPr>
          <w:sz w:val="24"/>
          <w:szCs w:val="24"/>
        </w:rPr>
        <w:fldChar w:fldCharType="begin"/>
      </w:r>
      <w:r>
        <w:rPr>
          <w:sz w:val="24"/>
          <w:szCs w:val="24"/>
        </w:rPr>
        <w:instrText xml:space="preserve"> PAGEREF _Toc26784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_Toc16925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七、响应方案</w:t>
      </w:r>
      <w:r>
        <w:rPr>
          <w:sz w:val="24"/>
          <w:szCs w:val="24"/>
        </w:rPr>
        <w:tab/>
      </w:r>
      <w:r>
        <w:rPr>
          <w:sz w:val="24"/>
          <w:szCs w:val="24"/>
        </w:rPr>
        <w:fldChar w:fldCharType="begin"/>
      </w:r>
      <w:r>
        <w:rPr>
          <w:sz w:val="24"/>
          <w:szCs w:val="24"/>
        </w:rPr>
        <w:instrText xml:space="preserve"> PAGEREF _Toc16925 \h </w:instrText>
      </w:r>
      <w:r>
        <w:rPr>
          <w:sz w:val="24"/>
          <w:szCs w:val="24"/>
        </w:rPr>
        <w:fldChar w:fldCharType="separate"/>
      </w:r>
      <w:r>
        <w:rPr>
          <w:sz w:val="24"/>
          <w:szCs w:val="24"/>
        </w:rPr>
        <w:t>52</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_Toc29640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、投标人承诺书</w:t>
      </w:r>
      <w:r>
        <w:rPr>
          <w:sz w:val="24"/>
          <w:szCs w:val="24"/>
        </w:rPr>
        <w:tab/>
      </w:r>
      <w:r>
        <w:rPr>
          <w:sz w:val="24"/>
          <w:szCs w:val="24"/>
        </w:rPr>
        <w:fldChar w:fldCharType="begin"/>
      </w:r>
      <w:r>
        <w:rPr>
          <w:sz w:val="24"/>
          <w:szCs w:val="24"/>
        </w:rPr>
        <w:instrText xml:space="preserve"> PAGEREF _Toc29640 \h </w:instrText>
      </w:r>
      <w:r>
        <w:rPr>
          <w:sz w:val="24"/>
          <w:szCs w:val="24"/>
        </w:rPr>
        <w:fldChar w:fldCharType="separate"/>
      </w:r>
      <w:r>
        <w:rPr>
          <w:sz w:val="24"/>
          <w:szCs w:val="24"/>
        </w:rPr>
        <w:t>53</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_Toc4688 </w:instrText>
      </w:r>
      <w:r>
        <w:rPr>
          <w:rFonts w:hint="eastAsia" w:ascii="宋体" w:hAnsi="宋体" w:eastAsia="宋体" w:cs="宋体"/>
          <w:sz w:val="24"/>
          <w:szCs w:val="24"/>
          <w:lang w:eastAsia="zh-CN"/>
        </w:rPr>
        <w:fldChar w:fldCharType="separate"/>
      </w:r>
      <w:r>
        <w:rPr>
          <w:rFonts w:hint="eastAsia" w:asciiTheme="minorEastAsia" w:hAnsiTheme="minorEastAsia" w:eastAsiaTheme="minorEastAsia" w:cstheme="minorEastAsia"/>
          <w:sz w:val="24"/>
          <w:szCs w:val="24"/>
          <w:lang w:val="en-US" w:eastAsia="zh-CN"/>
        </w:rPr>
        <w:t>八、中小</w:t>
      </w:r>
      <w:r>
        <w:rPr>
          <w:rFonts w:hint="eastAsia" w:asciiTheme="minorEastAsia" w:hAnsiTheme="minorEastAsia" w:eastAsiaTheme="minorEastAsia" w:cstheme="minorEastAsia"/>
          <w:sz w:val="24"/>
          <w:szCs w:val="24"/>
        </w:rPr>
        <w:t>企业、监狱企业、残疾人福利单位声明函或证明</w:t>
      </w:r>
      <w:r>
        <w:rPr>
          <w:sz w:val="24"/>
          <w:szCs w:val="24"/>
        </w:rPr>
        <w:tab/>
      </w:r>
      <w:r>
        <w:rPr>
          <w:sz w:val="24"/>
          <w:szCs w:val="24"/>
        </w:rPr>
        <w:fldChar w:fldCharType="begin"/>
      </w:r>
      <w:r>
        <w:rPr>
          <w:sz w:val="24"/>
          <w:szCs w:val="24"/>
        </w:rPr>
        <w:instrText xml:space="preserve"> PAGEREF _Toc4688 \h </w:instrText>
      </w:r>
      <w:r>
        <w:rPr>
          <w:sz w:val="24"/>
          <w:szCs w:val="24"/>
        </w:rPr>
        <w:fldChar w:fldCharType="separate"/>
      </w:r>
      <w:r>
        <w:rPr>
          <w:sz w:val="24"/>
          <w:szCs w:val="24"/>
        </w:rPr>
        <w:t>58</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_Toc4690 </w:instrText>
      </w:r>
      <w:r>
        <w:rPr>
          <w:rFonts w:hint="eastAsia" w:ascii="宋体" w:hAnsi="宋体" w:eastAsia="宋体" w:cs="宋体"/>
          <w:sz w:val="24"/>
          <w:szCs w:val="24"/>
          <w:lang w:eastAsia="zh-CN"/>
        </w:rPr>
        <w:fldChar w:fldCharType="separate"/>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val="en-US" w:eastAsia="zh-CN"/>
        </w:rPr>
        <w:t>中小</w:t>
      </w:r>
      <w:r>
        <w:rPr>
          <w:rFonts w:hint="eastAsia" w:asciiTheme="minorEastAsia" w:hAnsiTheme="minorEastAsia" w:eastAsiaTheme="minorEastAsia" w:cstheme="minorEastAsia"/>
          <w:spacing w:val="6"/>
          <w:sz w:val="24"/>
          <w:szCs w:val="24"/>
        </w:rPr>
        <w:t>企业声明函</w:t>
      </w:r>
      <w:r>
        <w:rPr>
          <w:sz w:val="24"/>
          <w:szCs w:val="24"/>
        </w:rPr>
        <w:tab/>
      </w:r>
      <w:r>
        <w:rPr>
          <w:sz w:val="24"/>
          <w:szCs w:val="24"/>
        </w:rPr>
        <w:fldChar w:fldCharType="begin"/>
      </w:r>
      <w:r>
        <w:rPr>
          <w:sz w:val="24"/>
          <w:szCs w:val="24"/>
        </w:rPr>
        <w:instrText xml:space="preserve"> PAGEREF _Toc4690 \h </w:instrText>
      </w:r>
      <w:r>
        <w:rPr>
          <w:sz w:val="24"/>
          <w:szCs w:val="24"/>
        </w:rPr>
        <w:fldChar w:fldCharType="separate"/>
      </w:r>
      <w:r>
        <w:rPr>
          <w:sz w:val="24"/>
          <w:szCs w:val="24"/>
        </w:rPr>
        <w:t>58</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_Toc23793 </w:instrText>
      </w:r>
      <w:r>
        <w:rPr>
          <w:rFonts w:hint="eastAsia" w:ascii="宋体" w:hAnsi="宋体" w:eastAsia="宋体" w:cs="宋体"/>
          <w:sz w:val="24"/>
          <w:szCs w:val="24"/>
          <w:lang w:eastAsia="zh-CN"/>
        </w:rPr>
        <w:fldChar w:fldCharType="separate"/>
      </w:r>
      <w:r>
        <w:rPr>
          <w:rFonts w:hint="eastAsia" w:asciiTheme="minorEastAsia" w:hAnsiTheme="minorEastAsia" w:eastAsiaTheme="minorEastAsia" w:cstheme="minorEastAsia"/>
          <w:spacing w:val="6"/>
          <w:sz w:val="24"/>
          <w:szCs w:val="24"/>
        </w:rPr>
        <w:t>2.残疾人福利性单位声明函</w:t>
      </w:r>
      <w:r>
        <w:rPr>
          <w:sz w:val="24"/>
          <w:szCs w:val="24"/>
        </w:rPr>
        <w:tab/>
      </w:r>
      <w:r>
        <w:rPr>
          <w:sz w:val="24"/>
          <w:szCs w:val="24"/>
        </w:rPr>
        <w:fldChar w:fldCharType="begin"/>
      </w:r>
      <w:r>
        <w:rPr>
          <w:sz w:val="24"/>
          <w:szCs w:val="24"/>
        </w:rPr>
        <w:instrText xml:space="preserve"> PAGEREF _Toc23793 \h </w:instrText>
      </w:r>
      <w:r>
        <w:rPr>
          <w:sz w:val="24"/>
          <w:szCs w:val="24"/>
        </w:rPr>
        <w:fldChar w:fldCharType="separate"/>
      </w:r>
      <w:r>
        <w:rPr>
          <w:sz w:val="24"/>
          <w:szCs w:val="24"/>
        </w:rPr>
        <w:t>59</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_Toc17616 </w:instrText>
      </w:r>
      <w:r>
        <w:rPr>
          <w:rFonts w:hint="eastAsia" w:ascii="宋体" w:hAnsi="宋体" w:eastAsia="宋体" w:cs="宋体"/>
          <w:sz w:val="24"/>
          <w:szCs w:val="24"/>
          <w:lang w:eastAsia="zh-CN"/>
        </w:rPr>
        <w:fldChar w:fldCharType="separate"/>
      </w:r>
      <w:r>
        <w:rPr>
          <w:rFonts w:hint="eastAsia" w:asciiTheme="minorEastAsia" w:hAnsiTheme="minorEastAsia" w:eastAsiaTheme="minorEastAsia" w:cstheme="minorEastAsia"/>
          <w:bCs/>
          <w:sz w:val="24"/>
          <w:szCs w:val="24"/>
        </w:rPr>
        <w:t>3.</w:t>
      </w:r>
      <w:r>
        <w:rPr>
          <w:rFonts w:hint="eastAsia" w:asciiTheme="minorEastAsia" w:hAnsiTheme="minorEastAsia" w:eastAsiaTheme="minorEastAsia" w:cstheme="minorEastAsia"/>
          <w:spacing w:val="6"/>
          <w:sz w:val="24"/>
          <w:szCs w:val="24"/>
        </w:rPr>
        <w:t>监狱企业证明函</w:t>
      </w:r>
      <w:r>
        <w:rPr>
          <w:sz w:val="24"/>
          <w:szCs w:val="24"/>
        </w:rPr>
        <w:tab/>
      </w:r>
      <w:r>
        <w:rPr>
          <w:sz w:val="24"/>
          <w:szCs w:val="24"/>
        </w:rPr>
        <w:fldChar w:fldCharType="begin"/>
      </w:r>
      <w:r>
        <w:rPr>
          <w:sz w:val="24"/>
          <w:szCs w:val="24"/>
        </w:rPr>
        <w:instrText xml:space="preserve"> PAGEREF _Toc17616 \h </w:instrText>
      </w:r>
      <w:r>
        <w:rPr>
          <w:sz w:val="24"/>
          <w:szCs w:val="24"/>
        </w:rPr>
        <w:fldChar w:fldCharType="separate"/>
      </w:r>
      <w:r>
        <w:rPr>
          <w:sz w:val="24"/>
          <w:szCs w:val="24"/>
        </w:rPr>
        <w:t>60</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_Toc32491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 xml:space="preserve">第七章  </w:t>
      </w:r>
      <w:r>
        <w:rPr>
          <w:rFonts w:hint="eastAsia" w:ascii="宋体" w:hAnsi="宋体" w:cs="宋体"/>
          <w:bCs/>
          <w:sz w:val="24"/>
          <w:szCs w:val="24"/>
        </w:rPr>
        <w:t>榆林市公共资源交易平台全流程电子化政府采购项目</w:t>
      </w:r>
      <w:r>
        <w:rPr>
          <w:rFonts w:hint="eastAsia" w:ascii="宋体" w:hAnsi="宋体" w:cs="宋体"/>
          <w:bCs/>
          <w:sz w:val="24"/>
          <w:szCs w:val="24"/>
          <w:lang w:val="en-US" w:eastAsia="zh-CN"/>
        </w:rPr>
        <w:t>特别说明</w:t>
      </w:r>
      <w:r>
        <w:rPr>
          <w:sz w:val="24"/>
          <w:szCs w:val="24"/>
        </w:rPr>
        <w:tab/>
      </w:r>
      <w:r>
        <w:rPr>
          <w:sz w:val="24"/>
          <w:szCs w:val="24"/>
        </w:rPr>
        <w:fldChar w:fldCharType="begin"/>
      </w:r>
      <w:r>
        <w:rPr>
          <w:sz w:val="24"/>
          <w:szCs w:val="24"/>
        </w:rPr>
        <w:instrText xml:space="preserve"> PAGEREF _Toc32491 \h </w:instrText>
      </w:r>
      <w:r>
        <w:rPr>
          <w:sz w:val="24"/>
          <w:szCs w:val="24"/>
        </w:rPr>
        <w:fldChar w:fldCharType="separate"/>
      </w:r>
      <w:r>
        <w:rPr>
          <w:sz w:val="24"/>
          <w:szCs w:val="24"/>
        </w:rPr>
        <w:t>61</w:t>
      </w:r>
      <w:r>
        <w:rPr>
          <w:sz w:val="24"/>
          <w:szCs w:val="24"/>
        </w:rPr>
        <w:fldChar w:fldCharType="end"/>
      </w:r>
      <w:r>
        <w:rPr>
          <w:rFonts w:hint="eastAsia" w:ascii="宋体" w:hAnsi="宋体" w:eastAsia="宋体" w:cs="宋体"/>
          <w:sz w:val="24"/>
          <w:szCs w:val="24"/>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p>
      <w:pPr>
        <w:pStyle w:val="3"/>
        <w:spacing w:line="360" w:lineRule="auto"/>
        <w:jc w:val="both"/>
        <w:rPr>
          <w:rFonts w:hint="eastAsia" w:ascii="宋体" w:hAnsi="宋体" w:eastAsia="宋体" w:cs="宋体"/>
        </w:rPr>
      </w:pPr>
      <w:bookmarkStart w:id="7" w:name="_Toc13919"/>
    </w:p>
    <w:p>
      <w:pPr>
        <w:spacing w:line="360" w:lineRule="auto"/>
        <w:rPr>
          <w:rFonts w:hint="eastAsia" w:ascii="宋体" w:hAnsi="宋体" w:eastAsia="宋体" w:cs="宋体"/>
        </w:rPr>
      </w:pPr>
    </w:p>
    <w:p>
      <w:pPr>
        <w:pStyle w:val="3"/>
        <w:bidi w:val="0"/>
        <w:rPr>
          <w:rFonts w:hint="eastAsia" w:ascii="宋体" w:hAnsi="宋体" w:eastAsia="宋体" w:cs="宋体"/>
        </w:rPr>
        <w:sectPr>
          <w:footerReference r:id="rId7" w:type="first"/>
          <w:footerReference r:id="rId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8" w:name="_Toc26100"/>
    </w:p>
    <w:p>
      <w:pPr>
        <w:pStyle w:val="3"/>
        <w:bidi w:val="0"/>
        <w:rPr>
          <w:rFonts w:hint="eastAsia" w:ascii="宋体" w:hAnsi="宋体" w:eastAsia="宋体" w:cs="宋体"/>
        </w:rPr>
      </w:pPr>
      <w:r>
        <w:rPr>
          <w:rFonts w:hint="eastAsia" w:ascii="宋体" w:hAnsi="宋体" w:eastAsia="宋体" w:cs="宋体"/>
        </w:rPr>
        <w:t>第一章  竞争性磋商公告</w:t>
      </w:r>
      <w:bookmarkEnd w:id="0"/>
      <w:bookmarkEnd w:id="1"/>
      <w:bookmarkEnd w:id="2"/>
      <w:bookmarkEnd w:id="3"/>
      <w:bookmarkEnd w:id="4"/>
      <w:bookmarkEnd w:id="5"/>
      <w:bookmarkEnd w:id="6"/>
      <w:bookmarkEnd w:id="7"/>
      <w:bookmarkEnd w:id="8"/>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bookmarkStart w:id="9" w:name="_Toc6954_WPSOffice_Level1"/>
      <w:bookmarkStart w:id="10" w:name="_Toc12217"/>
      <w:bookmarkStart w:id="11" w:name="_Toc28595"/>
      <w:bookmarkStart w:id="12" w:name="_Toc3"/>
      <w:bookmarkStart w:id="13" w:name="_Toc27526"/>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项目概况</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关于清涧县人生影视城游客智慧服务平台采购项目采购项目的潜在供应商应在登录全国公共资源交易中心平台（陕西省）使用CA锁报名后自行下载获取采购文件，并于 2023年04月14日 14时30分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一、项目基本情况</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项目编号：HRC-ZBDL-2023-00276</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项目名称：关于清涧县人生影视城游客智慧服务平台采购项目</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采购方式：竞争性磋商</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预算金额：499,890.00元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采购需求：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合同包1(清涧县塬上文化旅游投资开发有限公司关于清涧县人生影视城游客智慧服务平台采购项目):</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合同包预算金额：499,890.00元</w:t>
      </w:r>
    </w:p>
    <w:tbl>
      <w:tblPr>
        <w:tblW w:w="9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0"/>
        <w:gridCol w:w="1352"/>
        <w:gridCol w:w="2923"/>
        <w:gridCol w:w="785"/>
        <w:gridCol w:w="1235"/>
        <w:gridCol w:w="1440"/>
        <w:gridCol w:w="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50" w:hRule="atLeast"/>
          <w:tblHeader/>
        </w:trPr>
        <w:tc>
          <w:tcPr>
            <w:tcW w:w="6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1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1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4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0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9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6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其他运营服务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清涧县人生影视城游客智慧服务平台采购项目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499,890.00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合同履行期限：无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二、申请人的资格要求：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1.满足《中华人民共和国政府采购法》第二十二条规定;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2.落实政府采购政策需满足的资格要求：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合同包1(清涧县塬上文化旅游投资开发有限公司关于清涧县人生影视城游客智慧服务平台采购项目)落实政府采购政策需满足的资格要求如下: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①《节能产品政府采购实施意见》财库〔2004〕185号;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②《环境标志产品政府采购实施的意见》财库〔2006〕90号；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③《国务院办公厅关于建立政府强制采购节能产品制度的通知》国办发〔2007〕51号；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④《政府采购促进中小企业发展管理办法》财库〔2020〕46号；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⑤《陕西省财政厅关于进一步加大政府采购支持中小企业力度的通知》陕财办采〔2022〕5号；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⑥《榆林市财政局关于进一步加大政府采购支持中小企业力度的通知》榆政财采发〔2022〕10号；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⑧《财政部司法部关于政府采购支持监狱企业发展有关问题的通知》财库〔2014〕68号；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⑨《财政部民政部中国残疾人联合会关于促进残疾人就业政府采购政策的通知》财库〔2017〕141号；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⑩《关于在政府采购活动中查询及使用信用记录有关问题的通知》财库〔2016〕125号；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⑪其他需要落实的政府采购政策。</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3.本项目的特定资格要求：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合同包1(清涧县塬上文化旅游投资开发有限公司关于清涧县人生影视城游客智慧服务平台采购项目)特定资格要求如下: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②税收缴纳证明：提供开标截止时间前六个月至今已缴存的至少三个月的纳税证明（银行缴费凭证）或完税证明，依法免税的单位应提供相关证明材料；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③社会保障资金缴纳证明：提供开标截止时间前六个月至今已缴存的至少三个月的社会保障资金缴存单据或社保机构开具的社会保险参保缴费情况证明，依法不需要缴纳社会保障资金的单位应提供相关证明材料；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④财务状况报告：经会计事务所或审计机构出具的财务审计报告（2021或2022年度）；2023年至今新成立公司须提供银行资信证明；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⑤ 对列入“信用中国”网站(www.creditchina.gov.cn)“记录失信被执行人、税收违法黑名单、企业经营异常名录”记录名单；中国政府采购网(www.ccgp.gov.cn)“政府采购严重违法失信行为信息记录”的单位，应当拒绝参与政府采购活动，须提供信用中国网及中国政府采购网相应查询结果的网站截图（查询日期为从磋商文件获取之日起至投标截止日前）；</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⑥参加政府采购活动前三年内，在经营活动中没有重大违法记录的书面声明；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⑦提供具有履行合同所必需的设备和专业技术能力的证明材料或承诺函；</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⑧榆林市政府采购服务类项目供应商信用承诺书；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⑨磋商保证金交纳凭证或投标保函。</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⑩本项目专门面向中小企业（须提供中小企业声明函）。</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⑪本项目不接受联合体投标、不允许分包、转包，单位负责人为同一人或者存在直接控股、管理关系的不同供应商，不得参加同一合同项下的政府采购活动。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三、获取采购文件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2023年04月04日 至 2023年04月11日 ，每天上午 09:00:00 至 12:00:00 ，下午 12:00:00 至 17:00:00 （北京时间）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途径：登录全国公共资源交易中心平台（陕西省）使用CA锁报名后自行下载</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方式：在线获取</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售价：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四、响应文件提交</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截止时间： 2023年04月14日 14时30分00秒 （北京时间）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地点：榆林市榆林大道南段富源大厦6楼综合办公室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五、开启</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2023年04月14日 14时30分00秒 （北京时间）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地点：榆林市榆林大道南段富源大厦6楼综合办公室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六、公告期限</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七、其他补充事宜</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vertAlign w:val="baseline"/>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(2)请各供应商获取磋商文件后，按照陕西省财政厅《关于政府采购投标供应商注册登记有关事项的通知》要求，通过陕西省政府采购（http://www.ccgp-shaanxi.gov.cn/）注册登记加入陕西省政府采购投标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bdr w:val="none" w:color="auto" w:sz="0" w:space="0"/>
          <w:shd w:val="clear" w:fill="FFFFFF"/>
          <w:vertAlign w:val="baseline"/>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1.采购人信息</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名称：清涧县塬上文化旅游投资开发有限公司</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地址：清涧县人民路文化馆大楼</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联系方式：0912-7930008</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2.采购代理机构信息</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名称：华睿诚项目管理有限公司</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地址：榆林市榆林大道南段富源大厦6楼综合办公室</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联系方式：0912-3623000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3.项目联系方式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项目联系人：刘莉娥</w:t>
      </w:r>
      <w:bookmarkStart w:id="278" w:name="_GoBack"/>
      <w:bookmarkEnd w:id="278"/>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电话：17709127880</w:t>
      </w:r>
    </w:p>
    <w:p>
      <w:pPr>
        <w:pStyle w:val="8"/>
        <w:rPr>
          <w:rFonts w:hint="eastAsia" w:ascii="宋体" w:hAnsi="宋体" w:eastAsia="宋体" w:cs="宋体"/>
          <w:sz w:val="24"/>
          <w:szCs w:val="24"/>
          <w:lang w:val="en-US" w:eastAsia="zh-CN"/>
        </w:rPr>
      </w:pPr>
    </w:p>
    <w:p>
      <w:pPr>
        <w:numPr>
          <w:ilvl w:val="0"/>
          <w:numId w:val="2"/>
        </w:numPr>
        <w:ind w:firstLine="1928" w:firstLineChars="800"/>
        <w:rPr>
          <w:rFonts w:hint="eastAsia" w:ascii="宋体" w:hAnsi="宋体" w:eastAsia="宋体" w:cs="宋体"/>
          <w:b/>
          <w:bCs/>
          <w:kern w:val="44"/>
          <w:sz w:val="24"/>
          <w:szCs w:val="24"/>
          <w:lang w:val="en-US" w:eastAsia="zh-CN" w:bidi="ar-SA"/>
        </w:rPr>
        <w:sectPr>
          <w:footerReference r:id="rId9" w:type="first"/>
          <w:footerReference r:id="rId8"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1"/>
          <w:cols w:space="0" w:num="1"/>
          <w:titlePg/>
          <w:rtlGutter w:val="0"/>
          <w:docGrid w:linePitch="312" w:charSpace="0"/>
        </w:sectPr>
      </w:pPr>
    </w:p>
    <w:p>
      <w:pPr>
        <w:numPr>
          <w:ilvl w:val="0"/>
          <w:numId w:val="2"/>
        </w:numPr>
        <w:ind w:firstLine="2891" w:firstLineChars="800"/>
        <w:outlineLvl w:val="0"/>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 xml:space="preserve"> </w:t>
      </w:r>
      <w:bookmarkStart w:id="14" w:name="_Toc20564"/>
      <w:r>
        <w:rPr>
          <w:rFonts w:hint="eastAsia" w:ascii="宋体" w:hAnsi="宋体" w:eastAsia="宋体" w:cs="宋体"/>
          <w:b/>
          <w:bCs/>
          <w:kern w:val="44"/>
          <w:sz w:val="36"/>
          <w:szCs w:val="44"/>
          <w:lang w:val="en-US" w:eastAsia="zh-CN" w:bidi="ar-SA"/>
        </w:rPr>
        <w:t>供应商须知</w:t>
      </w:r>
      <w:bookmarkEnd w:id="9"/>
      <w:bookmarkEnd w:id="10"/>
      <w:bookmarkEnd w:id="11"/>
      <w:bookmarkEnd w:id="12"/>
      <w:bookmarkEnd w:id="13"/>
      <w:bookmarkEnd w:id="14"/>
    </w:p>
    <w:p>
      <w:pPr>
        <w:pStyle w:val="8"/>
        <w:rPr>
          <w:rFonts w:hint="eastAsia" w:ascii="宋体" w:hAnsi="宋体" w:eastAsia="宋体" w:cs="宋体"/>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sz w:val="15"/>
          <w:szCs w:val="15"/>
        </w:rPr>
      </w:pPr>
      <w:bookmarkStart w:id="15" w:name="_Toc26603"/>
      <w:bookmarkStart w:id="16" w:name="_Toc909"/>
      <w:bookmarkStart w:id="17" w:name="_Toc30624"/>
      <w:bookmarkStart w:id="18" w:name="_Toc31108"/>
      <w:bookmarkStart w:id="19" w:name="_Toc7032"/>
      <w:bookmarkStart w:id="20" w:name="_Toc18614"/>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7"/>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2014"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pPr>
              <w:spacing w:line="360" w:lineRule="auto"/>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清涧县塬上文化旅游投资开发有限公司</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cs="宋体"/>
                <w:lang w:val="en-US" w:eastAsia="zh-CN"/>
              </w:rPr>
              <w:t>清涧县人民路文化馆大楼</w:t>
            </w:r>
          </w:p>
          <w:p>
            <w:pPr>
              <w:spacing w:line="360" w:lineRule="auto"/>
              <w:rPr>
                <w:rFonts w:hint="eastAsia" w:ascii="宋体" w:hAnsi="宋体" w:eastAsia="宋体" w:cs="宋体"/>
                <w:lang w:val="en-US" w:eastAsia="zh-CN"/>
              </w:rPr>
            </w:pPr>
            <w:r>
              <w:rPr>
                <w:rFonts w:hint="eastAsia" w:ascii="宋体" w:hAnsi="宋体" w:eastAsia="宋体" w:cs="宋体"/>
                <w:color w:val="auto"/>
                <w:lang w:val="en-US" w:eastAsia="zh-CN"/>
              </w:rPr>
              <w:t>联系方式：</w:t>
            </w:r>
            <w:r>
              <w:rPr>
                <w:rFonts w:hint="eastAsia" w:ascii="宋体" w:hAnsi="宋体" w:eastAsia="宋体" w:cs="宋体"/>
                <w:i w:val="0"/>
                <w:iCs w:val="0"/>
                <w:caps w:val="0"/>
                <w:color w:val="333333"/>
                <w:spacing w:val="0"/>
                <w:sz w:val="24"/>
                <w:szCs w:val="24"/>
                <w:shd w:val="clear" w:fill="FFFFFF"/>
                <w:vertAlign w:val="baseline"/>
              </w:rPr>
              <w:t>0912-7930008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采购代理机构名称：华睿诚项目管理有限公司 </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地址：榆林市榆林大道南段富源大厦6楼综合办公室</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ascii="宋体" w:hAnsi="宋体" w:cs="宋体"/>
                <w:sz w:val="24"/>
                <w:szCs w:val="24"/>
                <w:lang w:val="en-US" w:eastAsia="zh-CN"/>
              </w:rPr>
              <w:t>刘莉娥</w:t>
            </w:r>
          </w:p>
          <w:p>
            <w:pPr>
              <w:spacing w:line="360" w:lineRule="auto"/>
              <w:rPr>
                <w:rFonts w:hint="eastAsia" w:ascii="宋体" w:hAnsi="宋体" w:eastAsia="宋体" w:cs="宋体"/>
                <w:szCs w:val="24"/>
                <w:lang w:val="en-US" w:eastAsia="zh-CN"/>
              </w:rPr>
            </w:pPr>
            <w:r>
              <w:rPr>
                <w:rFonts w:hint="eastAsia" w:ascii="宋体" w:hAnsi="宋体" w:eastAsia="宋体" w:cs="宋体"/>
                <w:sz w:val="24"/>
                <w:szCs w:val="24"/>
                <w:lang w:val="zh-CN"/>
              </w:rPr>
              <w:t>电话：</w:t>
            </w:r>
            <w:r>
              <w:rPr>
                <w:rFonts w:hint="eastAsia" w:ascii="宋体" w:hAnsi="宋体" w:eastAsia="宋体" w:cs="宋体"/>
                <w:sz w:val="24"/>
                <w:szCs w:val="24"/>
                <w:lang w:val="en-US" w:eastAsia="zh-CN"/>
              </w:rPr>
              <w:t>0912-3623000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eastAsia="zh-CN"/>
              </w:rPr>
              <w:t>清涧县财政局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pPr>
              <w:spacing w:line="360" w:lineRule="auto"/>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清涧县塬上文化旅游投资开发有限公司关于清涧县人生影视基地游客智慧服务平台采购项目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HRC-ZBDL-2023-00067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伍拾捌万伍仟玖佰元整</w:t>
            </w:r>
            <w:r>
              <w:rPr>
                <w:rFonts w:hint="eastAsia" w:ascii="宋体" w:hAnsi="宋体" w:eastAsia="宋体" w:cs="宋体"/>
                <w:color w:val="auto"/>
                <w:sz w:val="24"/>
                <w:szCs w:val="24"/>
                <w:lang w:val="zh-CN"/>
              </w:rPr>
              <w:t>（</w:t>
            </w:r>
            <w:r>
              <w:rPr>
                <w:rFonts w:hint="eastAsia" w:ascii="宋体" w:hAnsi="宋体" w:cs="宋体"/>
                <w:i w:val="0"/>
                <w:iCs w:val="0"/>
                <w:caps w:val="0"/>
                <w:color w:val="333333"/>
                <w:spacing w:val="0"/>
                <w:sz w:val="24"/>
                <w:szCs w:val="24"/>
                <w:shd w:val="clear" w:fill="FFFFFF"/>
                <w:vertAlign w:val="baseline"/>
                <w:lang w:eastAsia="zh-CN"/>
              </w:rPr>
              <w:t>585900.00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pPr>
              <w:spacing w:line="360" w:lineRule="auto"/>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详见竞争性磋商文件第四章</w:t>
            </w:r>
            <w:r>
              <w:rPr>
                <w:rFonts w:hint="eastAsia" w:ascii="宋体" w:hAnsi="宋体" w:eastAsia="宋体" w:cs="宋体"/>
                <w:sz w:val="24"/>
                <w:szCs w:val="24"/>
              </w:rPr>
              <w:t>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12</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pPr>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①</w:t>
            </w:r>
            <w:r>
              <w:rPr>
                <w:rFonts w:hint="eastAsia" w:ascii="宋体" w:hAnsi="宋体" w:eastAsia="宋体" w:cs="宋体"/>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②税收缴纳证明：提供开标截止时间前六个月至今已缴存的</w:t>
            </w:r>
            <w:r>
              <w:rPr>
                <w:rFonts w:hint="eastAsia" w:ascii="宋体" w:hAnsi="宋体" w:eastAsia="宋体" w:cs="宋体"/>
                <w:sz w:val="24"/>
                <w:szCs w:val="24"/>
                <w:lang w:eastAsia="zh-CN"/>
              </w:rPr>
              <w:t>至少三</w:t>
            </w:r>
            <w:r>
              <w:rPr>
                <w:rFonts w:hint="eastAsia" w:ascii="宋体" w:hAnsi="宋体" w:eastAsia="宋体" w:cs="宋体"/>
                <w:sz w:val="24"/>
                <w:szCs w:val="24"/>
              </w:rPr>
              <w:t>个月</w:t>
            </w:r>
            <w:r>
              <w:rPr>
                <w:rFonts w:hint="eastAsia" w:ascii="宋体" w:hAnsi="宋体" w:eastAsia="宋体" w:cs="宋体"/>
                <w:sz w:val="24"/>
                <w:szCs w:val="24"/>
                <w:lang w:eastAsia="zh-CN"/>
              </w:rPr>
              <w:t>的</w:t>
            </w:r>
            <w:r>
              <w:rPr>
                <w:rFonts w:hint="eastAsia" w:ascii="宋体" w:hAnsi="宋体" w:eastAsia="宋体" w:cs="宋体"/>
                <w:sz w:val="24"/>
                <w:szCs w:val="24"/>
              </w:rPr>
              <w:t xml:space="preserve">纳税证明（银行缴费凭证）或完税证明，依法免税的单位应提供相关证明材料；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③社会保障资金缴纳证明：提供开标截止时间前六个月至今已缴存的</w:t>
            </w:r>
            <w:r>
              <w:rPr>
                <w:rFonts w:hint="eastAsia" w:ascii="宋体" w:hAnsi="宋体" w:eastAsia="宋体" w:cs="宋体"/>
                <w:sz w:val="24"/>
                <w:szCs w:val="24"/>
                <w:lang w:eastAsia="zh-CN"/>
              </w:rPr>
              <w:t>至少三</w:t>
            </w:r>
            <w:r>
              <w:rPr>
                <w:rFonts w:hint="eastAsia" w:ascii="宋体" w:hAnsi="宋体" w:eastAsia="宋体" w:cs="宋体"/>
                <w:sz w:val="24"/>
                <w:szCs w:val="24"/>
              </w:rPr>
              <w:t>个月的社会保障资金缴存单据或社保机构开具的社会保险参保缴费情况证明，依法不需要缴纳社会保障资金的单位应提供相关证明材料；</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④财务状况报告：</w:t>
            </w:r>
            <w:r>
              <w:rPr>
                <w:rFonts w:hint="eastAsia" w:ascii="宋体" w:hAnsi="宋体" w:eastAsia="宋体" w:cs="宋体"/>
                <w:i w:val="0"/>
                <w:iCs w:val="0"/>
                <w:caps w:val="0"/>
                <w:color w:val="auto"/>
                <w:spacing w:val="0"/>
                <w:sz w:val="24"/>
                <w:szCs w:val="24"/>
                <w:shd w:val="clear" w:color="auto" w:fill="FFFFFF"/>
              </w:rPr>
              <w:t>经会计事务所或审计机构出具的财务审计报告（2021年度）；2022年至今新成立公司须提供银行资信证明；</w:t>
            </w:r>
            <w:r>
              <w:rPr>
                <w:rFonts w:hint="eastAsia" w:ascii="宋体" w:hAnsi="宋体" w:eastAsia="宋体" w:cs="宋体"/>
                <w:sz w:val="24"/>
                <w:szCs w:val="24"/>
              </w:rPr>
              <w:t xml:space="preserve">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⑤ </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须提供信用中国网及中国政府采购网相应查询结果的网站截图（查询日期为从</w:t>
            </w:r>
            <w:r>
              <w:rPr>
                <w:rFonts w:hint="eastAsia" w:ascii="宋体" w:hAnsi="宋体" w:cs="宋体"/>
                <w:i w:val="0"/>
                <w:iCs w:val="0"/>
                <w:caps w:val="0"/>
                <w:color w:val="auto"/>
                <w:spacing w:val="0"/>
                <w:sz w:val="24"/>
                <w:szCs w:val="24"/>
                <w:shd w:val="clear" w:color="auto" w:fill="FFFFFF"/>
                <w:lang w:val="en-US" w:eastAsia="zh-CN"/>
              </w:rPr>
              <w:t>磋商</w:t>
            </w:r>
            <w:r>
              <w:rPr>
                <w:rFonts w:hint="eastAsia" w:ascii="宋体" w:hAnsi="宋体" w:eastAsia="宋体" w:cs="宋体"/>
                <w:i w:val="0"/>
                <w:iCs w:val="0"/>
                <w:caps w:val="0"/>
                <w:color w:val="auto"/>
                <w:spacing w:val="0"/>
                <w:sz w:val="24"/>
                <w:szCs w:val="24"/>
                <w:shd w:val="clear" w:color="auto" w:fill="FFFFFF"/>
              </w:rPr>
              <w:t>文件获取之日起至投标截止日前）；</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⑥参加政府采购活动前三年内，在经营活动中没有重大违法记录的书面声明；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⑦提供具有履行合同所必需的设备和专业技术能力的证明材料或承诺函；</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⑧</w:t>
            </w:r>
            <w:r>
              <w:rPr>
                <w:rFonts w:hint="eastAsia" w:ascii="宋体" w:hAnsi="宋体" w:cs="宋体"/>
                <w:sz w:val="24"/>
                <w:szCs w:val="24"/>
                <w:lang w:val="en-US" w:eastAsia="zh-CN"/>
              </w:rPr>
              <w:t>榆林市政府采购服务类项目供应商信用承诺书</w:t>
            </w:r>
            <w:r>
              <w:rPr>
                <w:rFonts w:hint="eastAsia" w:ascii="宋体" w:hAnsi="宋体" w:eastAsia="宋体" w:cs="宋体"/>
                <w:sz w:val="24"/>
                <w:szCs w:val="24"/>
                <w:lang w:val="en-US" w:eastAsia="zh-CN"/>
              </w:rPr>
              <w:t xml:space="preserve">；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⑨磋商保证金交纳凭证或投标保函。</w:t>
            </w:r>
          </w:p>
          <w:p>
            <w:pPr>
              <w:pStyle w:val="24"/>
              <w:keepNext w:val="0"/>
              <w:keepLines w:val="0"/>
              <w:widowControl/>
              <w:numPr>
                <w:ilvl w:val="0"/>
                <w:numId w:val="0"/>
              </w:numPr>
              <w:suppressLineNumbers w:val="0"/>
              <w:spacing w:before="0" w:beforeAutospacing="0" w:after="0" w:afterAutospacing="0" w:line="360" w:lineRule="auto"/>
              <w:ind w:left="480" w:leftChars="200" w:right="0" w:rightChars="0" w:firstLine="0" w:firstLineChars="0"/>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⑩本项目专门面向中小企业（须提供中小企业声明函）。</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val="zh-CN"/>
              </w:rPr>
            </w:pPr>
            <w:r>
              <w:rPr>
                <w:rFonts w:hint="eastAsia" w:ascii="宋体" w:hAnsi="宋体" w:eastAsia="宋体" w:cs="宋体"/>
                <w:i w:val="0"/>
                <w:iCs w:val="0"/>
                <w:caps w:val="0"/>
                <w:color w:val="auto"/>
                <w:spacing w:val="0"/>
                <w:sz w:val="24"/>
                <w:szCs w:val="24"/>
                <w:shd w:val="clear" w:color="auto" w:fill="FFFFFF"/>
              </w:rPr>
              <w:t>⑪本项目不接受联合体投标、不允许分包、转包，单位负责人为同一人或者存在直接控股、管理关系的不同供应商，不得参加同一合同项下的政府采购活动。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w:t>
            </w:r>
          </w:p>
        </w:tc>
        <w:tc>
          <w:tcPr>
            <w:tcW w:w="2014" w:type="dxa"/>
            <w:vAlign w:val="center"/>
          </w:tcPr>
          <w:p>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服务期</w:t>
            </w:r>
          </w:p>
        </w:tc>
        <w:tc>
          <w:tcPr>
            <w:tcW w:w="7200" w:type="dxa"/>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17</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Cs w:val="24"/>
                <w:lang w:val="en-US" w:eastAsia="zh-CN"/>
              </w:rPr>
              <w:t>18</w:t>
            </w:r>
          </w:p>
        </w:tc>
        <w:tc>
          <w:tcPr>
            <w:tcW w:w="2014" w:type="dxa"/>
            <w:vAlign w:val="center"/>
          </w:tcPr>
          <w:p>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Cs w:val="24"/>
              </w:rPr>
              <w:t>投标担保</w:t>
            </w:r>
          </w:p>
        </w:tc>
        <w:tc>
          <w:tcPr>
            <w:tcW w:w="7200" w:type="dxa"/>
            <w:vAlign w:val="top"/>
          </w:tcPr>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磋商保证金的有效期与投标有效期一致。</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磋商保证金的缴纳形式：</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须</w:t>
            </w:r>
            <w:r>
              <w:rPr>
                <w:rFonts w:hint="eastAsia" w:ascii="宋体" w:hAnsi="宋体" w:eastAsia="宋体" w:cs="宋体"/>
                <w:sz w:val="24"/>
                <w:szCs w:val="24"/>
                <w:lang w:val="zh-CN" w:eastAsia="zh-CN"/>
              </w:rPr>
              <w:t>从基本账户</w:t>
            </w:r>
            <w:r>
              <w:rPr>
                <w:rFonts w:hint="eastAsia" w:ascii="宋体" w:hAnsi="宋体" w:eastAsia="宋体" w:cs="宋体"/>
                <w:sz w:val="24"/>
                <w:szCs w:val="24"/>
                <w:lang w:val="zh-CN"/>
              </w:rPr>
              <w:t>以银行转账、电汇、投标保函的任何一种非现金形式缴纳，转账时请注明所投项目名称、保证金金额，招标结束之后以转账形式退到</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的基本账户。</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磋商保证金缴纳截止时间：</w:t>
            </w:r>
            <w:r>
              <w:rPr>
                <w:rFonts w:hint="eastAsia" w:ascii="宋体" w:hAnsi="宋体" w:eastAsia="宋体" w:cs="宋体"/>
                <w:sz w:val="24"/>
                <w:szCs w:val="24"/>
                <w:lang w:val="zh-CN" w:eastAsia="zh-CN"/>
              </w:rPr>
              <w:t>递交竞争性磋商响应文件截止时间前</w:t>
            </w:r>
            <w:r>
              <w:rPr>
                <w:rFonts w:hint="eastAsia" w:ascii="宋体" w:hAnsi="宋体" w:eastAsia="宋体" w:cs="宋体"/>
                <w:sz w:val="24"/>
                <w:szCs w:val="24"/>
                <w:lang w:val="zh-CN"/>
              </w:rPr>
              <w:t>存入以下帐户。</w:t>
            </w:r>
          </w:p>
          <w:p>
            <w:pPr>
              <w:pStyle w:val="18"/>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磋商保证金数额：</w:t>
            </w:r>
            <w:r>
              <w:rPr>
                <w:rFonts w:hint="eastAsia" w:ascii="宋体" w:hAnsi="宋体" w:eastAsia="宋体" w:cs="宋体"/>
                <w:color w:val="auto"/>
                <w:sz w:val="24"/>
                <w:szCs w:val="24"/>
                <w:highlight w:val="none"/>
                <w:lang w:val="zh-CN"/>
              </w:rPr>
              <w:t>人民币</w:t>
            </w:r>
            <w:r>
              <w:rPr>
                <w:rFonts w:hint="eastAsia" w:ascii="宋体" w:hAnsi="宋体" w:eastAsia="宋体" w:cs="宋体"/>
                <w:color w:val="auto"/>
                <w:sz w:val="24"/>
                <w:szCs w:val="24"/>
                <w:highlight w:val="none"/>
                <w:lang w:val="en-US" w:eastAsia="zh-CN"/>
              </w:rPr>
              <w:t>壹万元</w:t>
            </w:r>
            <w:r>
              <w:rPr>
                <w:rFonts w:hint="eastAsia" w:ascii="宋体" w:hAnsi="宋体" w:eastAsia="宋体" w:cs="宋体"/>
                <w:color w:val="auto"/>
                <w:sz w:val="24"/>
                <w:szCs w:val="24"/>
                <w:highlight w:val="none"/>
                <w:lang w:val="zh-CN" w:eastAsia="zh-CN"/>
              </w:rPr>
              <w:t>整</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lang w:val="zh-CN"/>
              </w:rPr>
              <w:t>.00元）</w:t>
            </w:r>
          </w:p>
          <w:p>
            <w:pPr>
              <w:spacing w:line="360" w:lineRule="auto"/>
              <w:ind w:firstLine="480" w:firstLineChars="200"/>
              <w:rPr>
                <w:rFonts w:hint="eastAsia" w:ascii="宋体" w:hAnsi="宋体" w:eastAsia="宋体" w:cs="宋体"/>
                <w:color w:val="auto"/>
                <w:szCs w:val="24"/>
                <w:lang w:val="zh-CN"/>
              </w:rPr>
            </w:pPr>
            <w:r>
              <w:rPr>
                <w:rFonts w:hint="eastAsia" w:ascii="宋体" w:hAnsi="宋体" w:eastAsia="宋体" w:cs="宋体"/>
                <w:color w:val="auto"/>
                <w:szCs w:val="24"/>
                <w:lang w:val="zh-CN"/>
              </w:rPr>
              <w:t>单位名称：华睿诚项目管理有限公司</w:t>
            </w:r>
          </w:p>
          <w:p>
            <w:pPr>
              <w:spacing w:line="360" w:lineRule="auto"/>
              <w:ind w:firstLine="480" w:firstLineChars="200"/>
              <w:rPr>
                <w:rFonts w:hint="eastAsia" w:ascii="宋体" w:hAnsi="宋体" w:eastAsia="宋体" w:cs="宋体"/>
                <w:color w:val="auto"/>
                <w:szCs w:val="24"/>
                <w:lang w:val="zh-CN"/>
              </w:rPr>
            </w:pPr>
            <w:r>
              <w:rPr>
                <w:rFonts w:hint="eastAsia" w:ascii="宋体" w:hAnsi="宋体" w:eastAsia="宋体" w:cs="宋体"/>
                <w:color w:val="auto"/>
                <w:szCs w:val="24"/>
                <w:lang w:val="zh-CN"/>
              </w:rPr>
              <w:t>账号：30205868004708</w:t>
            </w:r>
          </w:p>
          <w:p>
            <w:pPr>
              <w:spacing w:line="360" w:lineRule="auto"/>
              <w:ind w:firstLine="480" w:firstLineChars="200"/>
              <w:rPr>
                <w:rFonts w:hint="eastAsia" w:ascii="宋体" w:hAnsi="宋体" w:eastAsia="宋体" w:cs="宋体"/>
                <w:color w:val="auto"/>
                <w:szCs w:val="24"/>
                <w:lang w:val="zh-CN"/>
              </w:rPr>
            </w:pPr>
            <w:r>
              <w:rPr>
                <w:rFonts w:hint="eastAsia" w:ascii="宋体" w:hAnsi="宋体" w:eastAsia="宋体" w:cs="宋体"/>
                <w:color w:val="auto"/>
                <w:szCs w:val="24"/>
                <w:lang w:val="zh-CN"/>
              </w:rPr>
              <w:t>开户行：平安银行西安分行营业部/平安银行西安分行</w:t>
            </w:r>
          </w:p>
          <w:p>
            <w:pPr>
              <w:pStyle w:val="2"/>
              <w:ind w:firstLine="480" w:firstLineChars="200"/>
              <w:rPr>
                <w:rFonts w:hint="eastAsia"/>
                <w:lang w:val="zh-CN"/>
              </w:rPr>
            </w:pPr>
            <w:r>
              <w:rPr>
                <w:rFonts w:hint="eastAsia"/>
                <w:lang w:val="zh-CN"/>
              </w:rPr>
              <w:t xml:space="preserve">行号：307791041016  </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用途：</w:t>
            </w:r>
            <w:r>
              <w:rPr>
                <w:rFonts w:hint="eastAsia" w:ascii="宋体" w:hAnsi="宋体" w:cs="宋体"/>
                <w:sz w:val="24"/>
                <w:szCs w:val="24"/>
                <w:highlight w:val="none"/>
                <w:lang w:val="zh-CN" w:eastAsia="zh-CN"/>
              </w:rPr>
              <w:t>清涧县塬上文化旅游投资开发有限公司关于清涧县人生影视基地游客智慧服务平台采购项目</w:t>
            </w:r>
            <w:r>
              <w:rPr>
                <w:rFonts w:hint="eastAsia" w:ascii="宋体" w:hAnsi="宋体" w:eastAsia="宋体" w:cs="宋体"/>
                <w:color w:val="auto"/>
                <w:kern w:val="0"/>
                <w:sz w:val="24"/>
                <w:lang w:val="en-US" w:eastAsia="zh-CN" w:bidi="ar-SA"/>
              </w:rPr>
              <w:t>投标保证金(可简写)</w:t>
            </w:r>
          </w:p>
          <w:p>
            <w:pPr>
              <w:tabs>
                <w:tab w:val="left" w:pos="340"/>
              </w:tabs>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保证金形式：转账、汇票、本票或者金融机构、担保机构出具的保函等非现金形式从其基本账户提交。</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注：1.采用银行电汇形式提交的请务必在缴费时备注采购项目名称；</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2、投标保证金提交以到账时间为准，请各投标供应商在规定时间内缴纳投标保证金，避免因银行退票等其他情况，出现保证金未按时到账的情况影响您的正常投标。</w:t>
            </w:r>
          </w:p>
          <w:p>
            <w:pPr>
              <w:topLinePunct/>
              <w:spacing w:line="360" w:lineRule="auto"/>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3、凡没有按以上规定提交投标保证金并发送保证金缴纳凭证的投标单位，将被视为无实质性响应竞争性磋商文件，其投标将被拒绝。</w:t>
            </w:r>
          </w:p>
          <w:p>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color w:val="auto"/>
                <w:kern w:val="0"/>
                <w:sz w:val="24"/>
                <w:lang w:val="en-US" w:eastAsia="zh-CN" w:bidi="ar-SA"/>
              </w:rPr>
              <w:t>4、供应商以保函形式缴纳投标保证金的，须在投标文件递交截止时间前将担保机构保函原件提交至采购代理机构备案，并将保函正本复印件粘贴于竞争性磋商文件规定处，招标结束之后在规定时间内将保函原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1" w:name="OLE_LINK5"/>
            <w:r>
              <w:rPr>
                <w:rFonts w:hint="eastAsia" w:ascii="宋体" w:hAnsi="宋体" w:eastAsia="宋体" w:cs="宋体"/>
                <w:sz w:val="24"/>
                <w:szCs w:val="24"/>
                <w:lang w:val="zh-CN" w:eastAsia="zh-CN"/>
              </w:rPr>
              <w:t>由法定代表人或被授权人签字（或盖章）。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响应文件数量、装订</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22</w:t>
            </w:r>
          </w:p>
        </w:tc>
        <w:tc>
          <w:tcPr>
            <w:tcW w:w="2014" w:type="dxa"/>
            <w:vAlign w:val="center"/>
          </w:tcPr>
          <w:p>
            <w:pPr>
              <w:spacing w:line="360" w:lineRule="auto"/>
              <w:jc w:val="center"/>
              <w:rPr>
                <w:rFonts w:hint="eastAsia" w:ascii="宋体" w:hAnsi="宋体" w:eastAsia="宋体" w:cs="宋体"/>
                <w:sz w:val="24"/>
                <w:szCs w:val="24"/>
                <w:lang w:val="zh-CN" w:eastAsia="zh-CN"/>
              </w:rPr>
            </w:pPr>
            <w:r>
              <w:rPr>
                <w:rFonts w:hint="eastAsia" w:ascii="宋体" w:hAnsi="宋体" w:eastAsia="宋体" w:cs="宋体"/>
                <w:b w:val="0"/>
                <w:bCs w:val="0"/>
                <w:sz w:val="24"/>
                <w:szCs w:val="24"/>
                <w:lang w:eastAsia="zh-CN"/>
              </w:rPr>
              <w:t>签到</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color w:val="auto"/>
                <w:kern w:val="2"/>
                <w:sz w:val="24"/>
                <w:szCs w:val="24"/>
                <w:lang w:val="en-US" w:eastAsia="zh-CN"/>
              </w:rPr>
              <w:t>供应商应</w:t>
            </w:r>
            <w:r>
              <w:rPr>
                <w:rFonts w:hint="eastAsia" w:ascii="宋体" w:hAnsi="宋体" w:eastAsia="宋体" w:cs="宋体"/>
                <w:color w:val="auto"/>
                <w:kern w:val="2"/>
                <w:sz w:val="24"/>
                <w:szCs w:val="24"/>
              </w:rPr>
              <w:t>按要求及时签到</w:t>
            </w:r>
            <w:r>
              <w:rPr>
                <w:rFonts w:hint="eastAsia" w:ascii="宋体" w:hAnsi="宋体" w:eastAsia="宋体" w:cs="宋体"/>
                <w:color w:val="auto"/>
                <w:kern w:val="2"/>
                <w:sz w:val="24"/>
                <w:szCs w:val="24"/>
                <w:lang w:val="en-US" w:eastAsia="zh-CN"/>
              </w:rPr>
              <w:t>（签到时间为投标截止时间前1小时内，如果未签到将视为放弃投标资格），</w:t>
            </w:r>
            <w:r>
              <w:rPr>
                <w:rFonts w:hint="eastAsia" w:ascii="宋体" w:hAnsi="宋体" w:eastAsia="宋体" w:cs="宋体"/>
                <w:color w:val="auto"/>
                <w:kern w:val="2"/>
                <w:sz w:val="24"/>
                <w:szCs w:val="24"/>
              </w:rPr>
              <w:t>评审过程中，评标委员会可能会就某些问题要求供应商进行在线澄清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请供应商</w:t>
            </w:r>
            <w:r>
              <w:rPr>
                <w:rFonts w:hint="eastAsia" w:ascii="宋体" w:hAnsi="宋体" w:eastAsia="宋体" w:cs="宋体"/>
                <w:color w:val="auto"/>
                <w:kern w:val="2"/>
                <w:sz w:val="24"/>
                <w:szCs w:val="24"/>
              </w:rPr>
              <w:t>保持在线直到评审结束；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pPr>
              <w:pStyle w:val="49"/>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合同价即成交价，供应商应在投标报价表明成交完成本次招标所要求的</w:t>
            </w:r>
            <w:r>
              <w:rPr>
                <w:rFonts w:hint="eastAsia" w:ascii="宋体" w:hAnsi="宋体" w:eastAsia="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pPr>
              <w:pStyle w:val="49"/>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pPr>
              <w:pStyle w:val="49"/>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zh-CN" w:eastAsia="zh-CN" w:bidi="ar-SA"/>
              </w:rPr>
              <w:t>天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26</w:t>
            </w:r>
          </w:p>
        </w:tc>
        <w:tc>
          <w:tcPr>
            <w:tcW w:w="2014"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同义</w:t>
            </w:r>
          </w:p>
          <w:p>
            <w:pPr>
              <w:spacing w:line="360" w:lineRule="auto"/>
              <w:jc w:val="center"/>
              <w:rPr>
                <w:rFonts w:hint="eastAsia" w:ascii="宋体" w:hAnsi="宋体" w:eastAsia="宋体" w:cs="宋体"/>
                <w:color w:val="FF0000"/>
                <w:sz w:val="24"/>
                <w:szCs w:val="24"/>
              </w:rPr>
            </w:pPr>
            <w:r>
              <w:rPr>
                <w:rFonts w:hint="eastAsia" w:ascii="宋体" w:hAnsi="宋体" w:eastAsia="宋体" w:cs="宋体"/>
                <w:color w:val="auto"/>
                <w:sz w:val="24"/>
                <w:szCs w:val="24"/>
              </w:rPr>
              <w:t>词语</w:t>
            </w:r>
          </w:p>
        </w:tc>
        <w:tc>
          <w:tcPr>
            <w:tcW w:w="7200" w:type="dxa"/>
            <w:vAlign w:val="center"/>
          </w:tcPr>
          <w:p>
            <w:pPr>
              <w:spacing w:line="360" w:lineRule="auto"/>
              <w:rPr>
                <w:rFonts w:hint="eastAsia" w:ascii="宋体" w:hAnsi="宋体" w:eastAsia="宋体" w:cs="宋体"/>
                <w:color w:val="FF0000"/>
                <w:sz w:val="24"/>
                <w:szCs w:val="24"/>
              </w:rPr>
            </w:pPr>
            <w:r>
              <w:rPr>
                <w:rFonts w:hint="eastAsia" w:ascii="宋体" w:hAnsi="宋体" w:eastAsia="宋体" w:cs="宋体"/>
                <w:color w:val="auto"/>
                <w:sz w:val="24"/>
              </w:rPr>
              <w:t>构成</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组成部分的各章节中出现的措辞“委托人”、“发包人“和“</w:t>
            </w:r>
            <w:r>
              <w:rPr>
                <w:rFonts w:hint="eastAsia" w:ascii="宋体" w:hAnsi="宋体" w:eastAsia="宋体" w:cs="宋体"/>
                <w:color w:val="auto"/>
                <w:sz w:val="24"/>
                <w:lang w:eastAsia="zh-CN"/>
              </w:rPr>
              <w:t>供应商</w:t>
            </w:r>
            <w:r>
              <w:rPr>
                <w:rFonts w:hint="eastAsia" w:ascii="宋体" w:hAnsi="宋体" w:eastAsia="宋体" w:cs="宋体"/>
                <w:color w:val="auto"/>
                <w:sz w:val="24"/>
              </w:rPr>
              <w:t>”、“承包人”，在招标投标阶段应当分别按“采购人”和“</w:t>
            </w:r>
            <w:r>
              <w:rPr>
                <w:rFonts w:hint="eastAsia" w:ascii="宋体" w:hAnsi="宋体" w:eastAsia="宋体" w:cs="宋体"/>
                <w:color w:val="auto"/>
                <w:sz w:val="24"/>
                <w:lang w:eastAsia="zh-CN"/>
              </w:rPr>
              <w:t>供应商</w:t>
            </w:r>
            <w:r>
              <w:rPr>
                <w:rFonts w:hint="eastAsia" w:ascii="宋体" w:hAnsi="宋体" w:eastAsia="宋体" w:cs="宋体"/>
                <w:color w:val="auto"/>
                <w:sz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cs="宋体"/>
                <w:szCs w:val="24"/>
                <w:lang w:val="en-US" w:eastAsia="zh-CN"/>
              </w:rPr>
            </w:pPr>
            <w:r>
              <w:rPr>
                <w:rFonts w:hint="eastAsia" w:ascii="宋体" w:hAnsi="宋体" w:cs="宋体"/>
                <w:szCs w:val="24"/>
                <w:lang w:val="en-US" w:eastAsia="zh-CN"/>
              </w:rPr>
              <w:t>27</w:t>
            </w:r>
          </w:p>
        </w:tc>
        <w:tc>
          <w:tcPr>
            <w:tcW w:w="2014" w:type="dxa"/>
            <w:vAlign w:val="center"/>
          </w:tcPr>
          <w:p>
            <w:pPr>
              <w:spacing w:line="360" w:lineRule="auto"/>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本项目所属行业</w:t>
            </w:r>
          </w:p>
        </w:tc>
        <w:tc>
          <w:tcPr>
            <w:tcW w:w="7200" w:type="dxa"/>
            <w:vAlign w:val="center"/>
          </w:tcPr>
          <w:p>
            <w:pPr>
              <w:spacing w:line="360" w:lineRule="auto"/>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28</w:t>
            </w:r>
          </w:p>
        </w:tc>
        <w:tc>
          <w:tcPr>
            <w:tcW w:w="2014"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bCs/>
                <w:color w:val="auto"/>
                <w:sz w:val="22"/>
                <w:szCs w:val="22"/>
                <w:lang w:val="en-US" w:eastAsia="zh-CN"/>
              </w:rPr>
              <w:t>信用承诺</w:t>
            </w:r>
          </w:p>
        </w:tc>
        <w:tc>
          <w:tcPr>
            <w:tcW w:w="7200" w:type="dxa"/>
            <w:vAlign w:val="center"/>
          </w:tcPr>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1、凡进入公共资源交易平台的各投标单位，均应在“信用中国（陕西榆林）”网站进行注册、登陆，自主上报信用承诺书（网址：</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"https://credit.yl.gov.cn/）进行注册、登陆。"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https://credit.yl.gov.cn/）</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w:t>
            </w:r>
          </w:p>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各相关交易主体注册、登陆后根据承诺事项选择相应的模板填写《信用承诺书》，并载明承诺事由，招投标活动中招标人、招标人委派代表、投标人、投标人委托代理人员、评审专家、投标信用（保证金）的承诺事由为“项目名称及标段”，行政监督部门执法人员、招标代理机构及其工作人员的承诺事由为“公共资源交易平台的所有活动”。</w:t>
            </w:r>
          </w:p>
          <w:p>
            <w:pPr>
              <w:spacing w:line="360" w:lineRule="auto"/>
              <w:rPr>
                <w:rFonts w:hint="eastAsia" w:ascii="宋体" w:hAnsi="宋体" w:eastAsia="宋体" w:cs="宋体"/>
                <w:color w:val="auto"/>
                <w:sz w:val="24"/>
              </w:rPr>
            </w:pPr>
            <w:r>
              <w:rPr>
                <w:rFonts w:hint="eastAsia" w:ascii="宋体" w:hAnsi="宋体" w:eastAsia="宋体" w:cs="Times New Roman"/>
                <w:kern w:val="2"/>
                <w:sz w:val="24"/>
                <w:szCs w:val="24"/>
                <w:lang w:val="en-US" w:eastAsia="zh-CN" w:bidi="ar-SA"/>
              </w:rPr>
              <w:t>如工作不细致、不严谨导致信用承诺公示迟报、漏报的列入不良行为记录。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29</w:t>
            </w:r>
          </w:p>
        </w:tc>
        <w:tc>
          <w:tcPr>
            <w:tcW w:w="2014" w:type="dxa"/>
            <w:vAlign w:val="center"/>
          </w:tcPr>
          <w:p>
            <w:pPr>
              <w:spacing w:line="360" w:lineRule="auto"/>
              <w:jc w:val="center"/>
              <w:rPr>
                <w:rFonts w:hint="eastAsia" w:ascii="宋体" w:hAnsi="宋体" w:eastAsia="宋体" w:cs="宋体"/>
                <w:b/>
                <w:bCs/>
                <w:color w:val="auto"/>
                <w:sz w:val="22"/>
                <w:szCs w:val="22"/>
                <w:lang w:val="en-US" w:eastAsia="zh-CN"/>
              </w:rPr>
            </w:pPr>
            <w:r>
              <w:rPr>
                <w:rFonts w:hint="eastAsia" w:ascii="宋体" w:hAnsi="宋体" w:eastAsia="宋体" w:cs="宋体"/>
                <w:b w:val="0"/>
                <w:bCs w:val="0"/>
                <w:sz w:val="24"/>
                <w:szCs w:val="24"/>
                <w:lang w:val="en-US" w:eastAsia="zh-CN"/>
              </w:rPr>
              <w:t>其他</w:t>
            </w:r>
          </w:p>
        </w:tc>
        <w:tc>
          <w:tcPr>
            <w:tcW w:w="7200" w:type="dxa"/>
            <w:vAlign w:val="center"/>
          </w:tcPr>
          <w:p>
            <w:pPr>
              <w:numPr>
                <w:ilvl w:val="0"/>
                <w:numId w:val="0"/>
              </w:numPr>
              <w:spacing w:line="360" w:lineRule="auto"/>
              <w:rPr>
                <w:rFonts w:hint="eastAsia" w:ascii="宋体" w:hAnsi="宋体" w:eastAsia="宋体" w:cs="宋体"/>
                <w:szCs w:val="22"/>
              </w:rPr>
            </w:pPr>
            <w:r>
              <w:rPr>
                <w:rFonts w:hint="eastAsia" w:ascii="宋体" w:hAnsi="宋体" w:eastAsia="宋体" w:cs="宋体"/>
                <w:szCs w:val="22"/>
                <w:lang w:val="en-US" w:eastAsia="zh-CN"/>
              </w:rPr>
              <w:t>1.</w:t>
            </w:r>
            <w:r>
              <w:rPr>
                <w:rFonts w:hint="eastAsia" w:ascii="宋体" w:hAnsi="宋体" w:eastAsia="宋体" w:cs="宋体"/>
                <w:szCs w:val="22"/>
              </w:rPr>
              <w:t>投标设备（产品）为“原装进口”或“进口”的，</w:t>
            </w:r>
            <w:r>
              <w:rPr>
                <w:rFonts w:hint="eastAsia" w:ascii="宋体" w:hAnsi="宋体" w:eastAsia="宋体" w:cs="宋体"/>
                <w:szCs w:val="22"/>
                <w:lang w:eastAsia="zh-CN"/>
              </w:rPr>
              <w:t>供应商</w:t>
            </w:r>
            <w:r>
              <w:rPr>
                <w:rFonts w:hint="eastAsia" w:ascii="宋体" w:hAnsi="宋体" w:eastAsia="宋体" w:cs="宋体"/>
                <w:szCs w:val="22"/>
              </w:rPr>
              <w:t>应负责办理相关进口手续，投标报价应为指定地点交货价格。</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Cs w:val="22"/>
                <w:lang w:val="en-US" w:eastAsia="zh-CN"/>
              </w:rPr>
              <w:t>2.</w:t>
            </w:r>
            <w:r>
              <w:rPr>
                <w:rFonts w:hint="eastAsia" w:ascii="宋体" w:hAnsi="宋体" w:eastAsia="宋体" w:cs="宋体"/>
                <w:color w:val="auto"/>
                <w:sz w:val="24"/>
                <w:szCs w:val="24"/>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r>
              <w:rPr>
                <w:rFonts w:hint="eastAsia" w:ascii="宋体" w:hAnsi="宋体" w:eastAsia="宋体" w:cs="宋体"/>
                <w:color w:val="auto"/>
                <w:spacing w:val="4"/>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r>
        <w:rPr>
          <w:rFonts w:hint="eastAsia" w:ascii="宋体" w:hAnsi="宋体" w:eastAsia="宋体" w:cs="宋体"/>
          <w:szCs w:val="24"/>
        </w:rPr>
        <w:t>本项目招标依据《中华人民共和国政府采购法》等有关法律法规及规定。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清涧县塬上文化旅游投资开发有限公司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2.2采购代理机构：华睿诚项目管理有限公司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清涧县塬上文化旅游投资开发有限公司关于清涧县人生影视基地游客智慧服务平台采购项目</w:t>
      </w:r>
      <w:r>
        <w:rPr>
          <w:rFonts w:hint="eastAsia" w:ascii="宋体" w:hAnsi="宋体" w:eastAsia="宋体" w:cs="宋体"/>
          <w:color w:val="auto"/>
          <w:kern w:val="2"/>
          <w:sz w:val="24"/>
          <w:szCs w:val="24"/>
          <w:lang w:val="zh-CN" w:eastAsia="zh-CN" w:bidi="ar-SA"/>
        </w:rPr>
        <w:t>的相关工作。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3.2供应商应从采购代理机构获取磋商文件，其他未获取磋商文件的潜在供应商均无资格参加本次磋商。</w:t>
      </w:r>
    </w:p>
    <w:p>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pPr>
        <w:spacing w:line="360" w:lineRule="auto"/>
        <w:rPr>
          <w:rFonts w:hint="eastAsia" w:ascii="宋体" w:hAnsi="宋体" w:eastAsia="宋体" w:cs="宋体"/>
          <w:kern w:val="2"/>
          <w:sz w:val="24"/>
          <w:szCs w:val="24"/>
          <w:lang w:val="zh-CN" w:eastAsia="zh-CN" w:bidi="ar-SA"/>
        </w:rPr>
      </w:pPr>
      <w:bookmarkStart w:id="22" w:name="_Toc246928899"/>
      <w:bookmarkStart w:id="23" w:name="_Toc394934414"/>
      <w:r>
        <w:rPr>
          <w:rFonts w:hint="eastAsia" w:ascii="宋体" w:hAnsi="宋体" w:eastAsia="宋体" w:cs="宋体"/>
          <w:kern w:val="2"/>
          <w:sz w:val="24"/>
          <w:szCs w:val="24"/>
          <w:lang w:val="zh-CN" w:eastAsia="zh-CN" w:bidi="ar-SA"/>
        </w:rPr>
        <w:t>5、费用</w:t>
      </w:r>
      <w:bookmarkEnd w:id="22"/>
      <w:bookmarkEnd w:id="23"/>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pPr>
        <w:spacing w:line="360" w:lineRule="auto"/>
        <w:jc w:val="center"/>
        <w:rPr>
          <w:rFonts w:hint="eastAsia" w:ascii="宋体" w:hAnsi="宋体" w:eastAsia="宋体" w:cs="宋体"/>
          <w:b/>
          <w:szCs w:val="24"/>
        </w:rPr>
      </w:pPr>
      <w:r>
        <w:rPr>
          <w:rFonts w:hint="eastAsia" w:ascii="宋体" w:hAnsi="宋体" w:eastAsia="宋体" w:cs="宋体"/>
          <w:b/>
          <w:szCs w:val="24"/>
        </w:rPr>
        <w:t>（二）磋商文件说明</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6、磋商文件的组成</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（3）合同范本</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pPr>
        <w:spacing w:line="360" w:lineRule="auto"/>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pPr>
        <w:spacing w:line="360" w:lineRule="auto"/>
        <w:ind w:firstLine="480" w:firstLineChars="200"/>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eastAsia="宋体" w:cs="宋体"/>
          <w:szCs w:val="24"/>
          <w:lang w:eastAsia="zh-CN"/>
        </w:rPr>
        <w:t>获取</w:t>
      </w:r>
      <w:r>
        <w:rPr>
          <w:rFonts w:hint="eastAsia" w:ascii="宋体" w:hAnsi="宋体" w:eastAsia="宋体" w:cs="宋体"/>
          <w:szCs w:val="24"/>
        </w:rPr>
        <w:t>磋商文件的</w:t>
      </w:r>
      <w:r>
        <w:rPr>
          <w:rFonts w:hint="eastAsia" w:ascii="宋体" w:hAnsi="宋体" w:eastAsia="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eastAsia="宋体" w:cs="宋体"/>
          <w:b/>
          <w:szCs w:val="24"/>
          <w:bdr w:val="single" w:color="auto" w:sz="4" w:space="0"/>
          <w:lang w:eastAsia="zh-CN"/>
        </w:rPr>
        <w:t>供应商</w:t>
      </w:r>
      <w:r>
        <w:rPr>
          <w:rFonts w:hint="eastAsia" w:ascii="宋体" w:hAnsi="宋体" w:eastAsia="宋体" w:cs="宋体"/>
          <w:b/>
          <w:szCs w:val="24"/>
          <w:bdr w:val="single" w:color="auto" w:sz="4" w:space="0"/>
        </w:rPr>
        <w:t>自负。</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pPr>
        <w:spacing w:line="360" w:lineRule="auto"/>
        <w:rPr>
          <w:rFonts w:hint="eastAsia" w:ascii="宋体" w:hAnsi="宋体" w:eastAsia="宋体" w:cs="宋体"/>
          <w:szCs w:val="24"/>
        </w:rPr>
      </w:pPr>
      <w:r>
        <w:rPr>
          <w:rFonts w:hint="eastAsia" w:ascii="宋体" w:hAnsi="宋体" w:eastAsia="宋体" w:cs="宋体"/>
          <w:szCs w:val="24"/>
        </w:rPr>
        <w:t>8、</w:t>
      </w:r>
      <w:r>
        <w:rPr>
          <w:rFonts w:hint="eastAsia" w:ascii="宋体" w:hAnsi="宋体" w:eastAsia="宋体" w:cs="宋体"/>
          <w:szCs w:val="24"/>
          <w:lang w:eastAsia="zh-CN"/>
        </w:rPr>
        <w:t>供应商</w:t>
      </w:r>
      <w:r>
        <w:rPr>
          <w:rFonts w:hint="eastAsia" w:ascii="宋体" w:hAnsi="宋体" w:eastAsia="宋体" w:cs="宋体"/>
          <w:szCs w:val="24"/>
        </w:rPr>
        <w:t>信用记录查询及政府采购项目需要落实的政策</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8.1对列入“信用中国”网站(www.creditchina.gov.cn)</w:t>
      </w:r>
      <w:r>
        <w:rPr>
          <w:rFonts w:hint="eastAsia" w:ascii="宋体" w:hAnsi="宋体" w:eastAsia="宋体" w:cs="宋体"/>
          <w:i w:val="0"/>
          <w:iCs w:val="0"/>
          <w:caps w:val="0"/>
          <w:color w:val="auto"/>
          <w:spacing w:val="0"/>
          <w:sz w:val="24"/>
          <w:szCs w:val="24"/>
          <w:shd w:val="clear" w:color="auto" w:fill="FFFFFF"/>
        </w:rPr>
        <w:t>“记录失信被执行人、税收违法黑名单、企业经营异常名录”</w:t>
      </w:r>
      <w:r>
        <w:rPr>
          <w:rFonts w:hint="eastAsia" w:ascii="宋体" w:hAnsi="宋体" w:eastAsia="宋体" w:cs="宋体"/>
          <w:szCs w:val="24"/>
        </w:rPr>
        <w:t>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rPr>
      </w:pPr>
      <w:bookmarkStart w:id="24" w:name="_Toc27104"/>
      <w:bookmarkStart w:id="25" w:name="_Toc31339"/>
      <w:bookmarkStart w:id="26" w:name="_Toc25485"/>
      <w:bookmarkStart w:id="27" w:name="_Toc4189"/>
      <w:r>
        <w:rPr>
          <w:rFonts w:hint="eastAsia" w:ascii="宋体" w:hAnsi="宋体" w:eastAsia="宋体" w:cs="宋体"/>
          <w:szCs w:val="24"/>
        </w:rPr>
        <w:t>8.2</w:t>
      </w:r>
      <w:bookmarkStart w:id="28" w:name="_Toc18307"/>
      <w:bookmarkStart w:id="29" w:name="_Toc13885"/>
      <w:bookmarkStart w:id="30" w:name="_Toc20184"/>
      <w:bookmarkStart w:id="31" w:name="_Toc21818"/>
      <w:bookmarkStart w:id="32" w:name="_Toc30752"/>
      <w:bookmarkStart w:id="33" w:name="_Toc5823"/>
      <w:bookmarkStart w:id="34" w:name="_Toc6716"/>
      <w:bookmarkStart w:id="35" w:name="_Toc28576"/>
      <w:bookmarkStart w:id="36" w:name="_Toc11560"/>
      <w:bookmarkStart w:id="37" w:name="_Toc20097"/>
      <w:bookmarkStart w:id="38" w:name="_Toc15111"/>
      <w:r>
        <w:rPr>
          <w:rFonts w:hint="eastAsia" w:ascii="宋体" w:hAnsi="宋体" w:eastAsia="宋体" w:cs="宋体"/>
          <w:b w:val="0"/>
          <w:bCs/>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pPr>
        <w:overflowPunct w:val="0"/>
        <w:topLinePunct/>
        <w:adjustRightInd w:val="0"/>
        <w:snapToGrid w:val="0"/>
        <w:spacing w:line="440" w:lineRule="exact"/>
        <w:ind w:firstLine="480" w:firstLineChars="200"/>
        <w:textAlignment w:val="bottom"/>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对参与磋商且符合《政府采购促进中小企业发展管理办法》（财库〔2020〕46号）的小型和微型企业的报价给予</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的扣除，用扣除后的价格评审。</w:t>
      </w:r>
    </w:p>
    <w:p>
      <w:pPr>
        <w:pStyle w:val="12"/>
        <w:overflowPunct w:val="0"/>
        <w:topLinePunct/>
        <w:adjustRightInd w:val="0"/>
        <w:snapToGrid w:val="0"/>
        <w:spacing w:after="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对符合《财政部司法部关于政府采购支持监狱企业发展有关问题的通知》（财库〔2014〕68号）的监狱和戒毒企业视同小型、微型企业享受</w:t>
      </w: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%的价格扣除。</w:t>
      </w:r>
    </w:p>
    <w:p>
      <w:pPr>
        <w:overflowPunct w:val="0"/>
        <w:topLinePunct/>
        <w:adjustRightInd w:val="0"/>
        <w:snapToGrid w:val="0"/>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%的价格扣除。</w:t>
      </w:r>
    </w:p>
    <w:p>
      <w:pPr>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1.以上政策不重复享受政策。</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2.未提供中小企业声明函和监狱和戒毒企业、残疾人福利性单位证明资料的，不享受价格折扣。</w:t>
      </w:r>
    </w:p>
    <w:p>
      <w:pPr>
        <w:pStyle w:val="2"/>
        <w:spacing w:line="360" w:lineRule="auto"/>
        <w:rPr>
          <w:rFonts w:hint="default" w:eastAsia="宋体"/>
          <w:lang w:val="en-US" w:eastAsia="zh-CN"/>
        </w:rPr>
      </w:pPr>
      <w:r>
        <w:rPr>
          <w:rFonts w:hint="eastAsia" w:ascii="宋体" w:hAnsi="宋体" w:cs="宋体"/>
          <w:color w:val="auto"/>
          <w:sz w:val="24"/>
          <w:szCs w:val="24"/>
          <w:highlight w:val="none"/>
          <w:lang w:val="en-US" w:eastAsia="zh-CN"/>
        </w:rPr>
        <w:t xml:space="preserve">    3.本项目专门面向中小企业，小微企业不予价格折扣。</w:t>
      </w:r>
    </w:p>
    <w:p>
      <w:pPr>
        <w:spacing w:line="360" w:lineRule="auto"/>
        <w:ind w:firstLine="597" w:firstLineChars="249"/>
        <w:rPr>
          <w:rFonts w:hint="eastAsia" w:ascii="宋体" w:hAnsi="宋体" w:eastAsia="宋体" w:cs="宋体"/>
          <w:sz w:val="24"/>
          <w:highlight w:val="none"/>
        </w:rPr>
      </w:pPr>
      <w:r>
        <w:rPr>
          <w:rFonts w:hint="eastAsia" w:ascii="宋体" w:hAnsi="宋体" w:eastAsia="宋体" w:cs="宋体"/>
          <w:sz w:val="24"/>
          <w:highlight w:val="none"/>
          <w:lang w:val="en-US" w:eastAsia="zh-CN"/>
        </w:rPr>
        <w:t>8.4</w:t>
      </w:r>
      <w:r>
        <w:rPr>
          <w:rFonts w:hint="eastAsia" w:ascii="宋体" w:hAnsi="宋体" w:eastAsia="宋体" w:cs="宋体"/>
          <w:sz w:val="24"/>
          <w:highlight w:val="none"/>
        </w:rPr>
        <w:t>、节能产品、环境标志产品政策</w:t>
      </w:r>
    </w:p>
    <w:p>
      <w:pPr>
        <w:spacing w:line="360" w:lineRule="auto"/>
        <w:ind w:firstLine="597" w:firstLineChars="249"/>
        <w:rPr>
          <w:rFonts w:hint="eastAsia" w:ascii="宋体" w:hAnsi="宋体" w:eastAsia="宋体" w:cs="宋体"/>
          <w:sz w:val="24"/>
          <w:highlight w:val="none"/>
        </w:rPr>
      </w:pPr>
      <w:r>
        <w:rPr>
          <w:rFonts w:hint="eastAsia" w:ascii="宋体" w:hAnsi="宋体" w:eastAsia="宋体" w:cs="宋体"/>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9、响应文件的构成</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详见磋商文件中第六章“响应文件格式”及磋商文件要求提供的资格证书原件。</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10、磋商报价</w:t>
      </w:r>
    </w:p>
    <w:p>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ascii="宋体" w:hAnsi="宋体" w:eastAsia="宋体" w:cs="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11、响应文件的编制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pPr>
        <w:spacing w:line="360" w:lineRule="auto"/>
        <w:ind w:firstLine="480" w:firstLineChars="200"/>
        <w:rPr>
          <w:rFonts w:hint="eastAsia" w:ascii="宋体" w:hAnsi="宋体" w:eastAsia="宋体" w:cs="宋体"/>
          <w:szCs w:val="24"/>
        </w:rPr>
      </w:pPr>
      <w:r>
        <w:rPr>
          <w:rFonts w:hint="eastAsia" w:ascii="宋体" w:hAnsi="宋体" w:eastAsia="宋体" w:cs="宋体"/>
          <w:color w:val="auto"/>
          <w:szCs w:val="24"/>
        </w:rPr>
        <w:t>11.2</w:t>
      </w: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r>
        <w:rPr>
          <w:rFonts w:hint="eastAsia" w:ascii="宋体" w:hAnsi="宋体" w:eastAsia="宋体" w:cs="宋体"/>
          <w:color w:val="auto"/>
          <w:sz w:val="24"/>
          <w:szCs w:val="24"/>
          <w:lang w:eastAsia="zh-CN"/>
        </w:rPr>
        <w:t>。</w:t>
      </w:r>
      <w:r>
        <w:rPr>
          <w:rFonts w:hint="eastAsia" w:ascii="宋体" w:hAnsi="宋体" w:eastAsia="宋体" w:cs="宋体"/>
          <w:color w:val="auto"/>
          <w:szCs w:val="24"/>
        </w:rPr>
        <w:t>响应文件应用不褪色的材料书写或打印，并由供应商的法人代表或法定代表</w:t>
      </w:r>
      <w:r>
        <w:rPr>
          <w:rFonts w:hint="eastAsia" w:ascii="宋体" w:hAnsi="宋体" w:eastAsia="宋体" w:cs="宋体"/>
          <w:szCs w:val="24"/>
        </w:rPr>
        <w:t>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pPr>
        <w:spacing w:line="360" w:lineRule="auto"/>
        <w:rPr>
          <w:rFonts w:hint="eastAsia" w:ascii="宋体" w:hAnsi="宋体" w:eastAsia="宋体" w:cs="宋体"/>
          <w:szCs w:val="24"/>
        </w:rPr>
      </w:pPr>
      <w:bookmarkStart w:id="39" w:name="_Toc394934424"/>
      <w:bookmarkStart w:id="40" w:name="_Toc246928911"/>
      <w:bookmarkStart w:id="41" w:name="_Toc317248152"/>
      <w:r>
        <w:rPr>
          <w:rFonts w:hint="eastAsia" w:ascii="宋体" w:hAnsi="宋体" w:eastAsia="宋体" w:cs="宋体"/>
          <w:szCs w:val="24"/>
        </w:rPr>
        <w:t>12、供应商资质证明文件</w:t>
      </w:r>
      <w:bookmarkEnd w:id="39"/>
      <w:bookmarkEnd w:id="40"/>
    </w:p>
    <w:bookmarkEnd w:id="41"/>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①</w:t>
      </w:r>
      <w:r>
        <w:rPr>
          <w:rFonts w:hint="eastAsia" w:ascii="宋体" w:hAnsi="宋体" w:eastAsia="宋体" w:cs="宋体"/>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②税收缴纳证明：提供开标截止时间前六个月至今已缴存的</w:t>
      </w:r>
      <w:r>
        <w:rPr>
          <w:rFonts w:hint="eastAsia" w:ascii="宋体" w:hAnsi="宋体" w:eastAsia="宋体" w:cs="宋体"/>
          <w:sz w:val="24"/>
          <w:szCs w:val="24"/>
          <w:lang w:eastAsia="zh-CN"/>
        </w:rPr>
        <w:t>至少三</w:t>
      </w:r>
      <w:r>
        <w:rPr>
          <w:rFonts w:hint="eastAsia" w:ascii="宋体" w:hAnsi="宋体" w:eastAsia="宋体" w:cs="宋体"/>
          <w:sz w:val="24"/>
          <w:szCs w:val="24"/>
        </w:rPr>
        <w:t>个月</w:t>
      </w:r>
      <w:r>
        <w:rPr>
          <w:rFonts w:hint="eastAsia" w:ascii="宋体" w:hAnsi="宋体" w:eastAsia="宋体" w:cs="宋体"/>
          <w:sz w:val="24"/>
          <w:szCs w:val="24"/>
          <w:lang w:eastAsia="zh-CN"/>
        </w:rPr>
        <w:t>的</w:t>
      </w:r>
      <w:r>
        <w:rPr>
          <w:rFonts w:hint="eastAsia" w:ascii="宋体" w:hAnsi="宋体" w:eastAsia="宋体" w:cs="宋体"/>
          <w:sz w:val="24"/>
          <w:szCs w:val="24"/>
        </w:rPr>
        <w:t xml:space="preserve">纳税证明（银行缴费凭证）或完税证明，依法免税的单位应提供相关证明材料；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③社会保障资金缴纳证明：提供开标截止时间前六个月至今已缴存的</w:t>
      </w:r>
      <w:r>
        <w:rPr>
          <w:rFonts w:hint="eastAsia" w:ascii="宋体" w:hAnsi="宋体" w:eastAsia="宋体" w:cs="宋体"/>
          <w:sz w:val="24"/>
          <w:szCs w:val="24"/>
          <w:lang w:eastAsia="zh-CN"/>
        </w:rPr>
        <w:t>至少三</w:t>
      </w:r>
      <w:r>
        <w:rPr>
          <w:rFonts w:hint="eastAsia" w:ascii="宋体" w:hAnsi="宋体" w:eastAsia="宋体" w:cs="宋体"/>
          <w:sz w:val="24"/>
          <w:szCs w:val="24"/>
        </w:rPr>
        <w:t>个月的社会保障资金缴存单据或社保机构开具的社会保险参保缴费情况证明，依法不需要缴纳社会保障资金的单位应提供相关证明材料；</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④财务状况报告：</w:t>
      </w:r>
      <w:r>
        <w:rPr>
          <w:rFonts w:hint="eastAsia" w:ascii="宋体" w:hAnsi="宋体" w:eastAsia="宋体" w:cs="宋体"/>
          <w:i w:val="0"/>
          <w:iCs w:val="0"/>
          <w:caps w:val="0"/>
          <w:color w:val="auto"/>
          <w:spacing w:val="0"/>
          <w:sz w:val="24"/>
          <w:szCs w:val="24"/>
          <w:shd w:val="clear" w:color="auto" w:fill="FFFFFF"/>
        </w:rPr>
        <w:t>经会计事务所或审计机构出具的财务审计报告（2021年度）；2022年至今新成立公司须提供银行资信证明；</w:t>
      </w:r>
      <w:r>
        <w:rPr>
          <w:rFonts w:hint="eastAsia" w:ascii="宋体" w:hAnsi="宋体" w:eastAsia="宋体" w:cs="宋体"/>
          <w:sz w:val="24"/>
          <w:szCs w:val="24"/>
        </w:rPr>
        <w:t xml:space="preserve">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⑤ </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须提供信用中国网及中国政府采购网相应查询结果的网站截图（查询日期为从</w:t>
      </w:r>
      <w:r>
        <w:rPr>
          <w:rFonts w:hint="eastAsia" w:ascii="宋体" w:hAnsi="宋体" w:cs="宋体"/>
          <w:i w:val="0"/>
          <w:iCs w:val="0"/>
          <w:caps w:val="0"/>
          <w:color w:val="auto"/>
          <w:spacing w:val="0"/>
          <w:sz w:val="24"/>
          <w:szCs w:val="24"/>
          <w:shd w:val="clear" w:color="auto" w:fill="FFFFFF"/>
          <w:lang w:val="en-US" w:eastAsia="zh-CN"/>
        </w:rPr>
        <w:t>磋商</w:t>
      </w:r>
      <w:r>
        <w:rPr>
          <w:rFonts w:hint="eastAsia" w:ascii="宋体" w:hAnsi="宋体" w:eastAsia="宋体" w:cs="宋体"/>
          <w:i w:val="0"/>
          <w:iCs w:val="0"/>
          <w:caps w:val="0"/>
          <w:color w:val="auto"/>
          <w:spacing w:val="0"/>
          <w:sz w:val="24"/>
          <w:szCs w:val="24"/>
          <w:shd w:val="clear" w:color="auto" w:fill="FFFFFF"/>
        </w:rPr>
        <w:t>文件获取之日起至投标截止日前）；</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⑥参加政府采购活动前三年内，在经营活动中没有重大违法记录的书面声明；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⑦提供具有履行合同所必需的设备和专业技术能力的证明材料或承诺函；</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⑧</w:t>
      </w:r>
      <w:r>
        <w:rPr>
          <w:rFonts w:hint="eastAsia" w:ascii="宋体" w:hAnsi="宋体" w:cs="宋体"/>
          <w:sz w:val="24"/>
          <w:szCs w:val="24"/>
          <w:lang w:val="en-US" w:eastAsia="zh-CN"/>
        </w:rPr>
        <w:t>榆林市政府采购服务类项目供应商信用承诺书</w:t>
      </w:r>
      <w:r>
        <w:rPr>
          <w:rFonts w:hint="eastAsia" w:ascii="宋体" w:hAnsi="宋体" w:eastAsia="宋体" w:cs="宋体"/>
          <w:sz w:val="24"/>
          <w:szCs w:val="24"/>
          <w:lang w:val="en-US" w:eastAsia="zh-CN"/>
        </w:rPr>
        <w:t xml:space="preserve">；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⑨磋商保证金交纳凭证或投标保函。</w:t>
      </w:r>
    </w:p>
    <w:p>
      <w:pPr>
        <w:pStyle w:val="24"/>
        <w:keepNext w:val="0"/>
        <w:keepLines w:val="0"/>
        <w:widowControl/>
        <w:numPr>
          <w:ilvl w:val="0"/>
          <w:numId w:val="0"/>
        </w:numPr>
        <w:suppressLineNumbers w:val="0"/>
        <w:spacing w:before="0" w:beforeAutospacing="0" w:after="0" w:afterAutospacing="0" w:line="360" w:lineRule="auto"/>
        <w:ind w:left="480" w:leftChars="200" w:right="0" w:rightChars="0" w:firstLine="0" w:firstLineChars="0"/>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⑩本项目专门面向中小企业（须提供中小企业声明函）。</w:t>
      </w:r>
    </w:p>
    <w:p>
      <w:pPr>
        <w:spacing w:line="360" w:lineRule="auto"/>
        <w:ind w:firstLine="480" w:firstLineChars="200"/>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⑪本项目不接受联合体投标、不允许分包、转包，单位负责人为同一人或者存在直接控股、管理关系的不同供应商，不得参加同一合同项下的政府采购活动。</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pPr>
        <w:spacing w:line="360" w:lineRule="auto"/>
        <w:rPr>
          <w:rFonts w:hint="eastAsia" w:ascii="宋体" w:hAnsi="宋体" w:eastAsia="宋体" w:cs="宋体"/>
          <w:szCs w:val="24"/>
        </w:rPr>
      </w:pPr>
      <w:r>
        <w:rPr>
          <w:rFonts w:hint="eastAsia" w:ascii="宋体" w:hAnsi="宋体" w:eastAsia="宋体" w:cs="宋体"/>
          <w:szCs w:val="24"/>
        </w:rPr>
        <w:t>14、磋商保证金：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Cs w:val="24"/>
        </w:rPr>
        <w:t>14.1磋商保证金：</w:t>
      </w:r>
      <w:r>
        <w:rPr>
          <w:rFonts w:hint="eastAsia" w:ascii="宋体" w:hAnsi="宋体" w:eastAsia="宋体" w:cs="宋体"/>
          <w:sz w:val="24"/>
          <w:szCs w:val="24"/>
          <w:highlight w:val="none"/>
          <w:lang w:val="zh-CN"/>
        </w:rPr>
        <w:t>人民币</w:t>
      </w:r>
      <w:r>
        <w:rPr>
          <w:rFonts w:hint="eastAsia" w:ascii="宋体" w:hAnsi="宋体" w:eastAsia="宋体" w:cs="宋体"/>
          <w:sz w:val="24"/>
          <w:szCs w:val="24"/>
          <w:highlight w:val="none"/>
          <w:lang w:val="en-US" w:eastAsia="zh-CN"/>
        </w:rPr>
        <w:t>壹万元</w:t>
      </w:r>
      <w:r>
        <w:rPr>
          <w:rFonts w:hint="eastAsia" w:ascii="宋体" w:hAnsi="宋体" w:eastAsia="宋体" w:cs="宋体"/>
          <w:sz w:val="24"/>
          <w:szCs w:val="24"/>
          <w:highlight w:val="none"/>
          <w:lang w:val="zh-CN" w:eastAsia="zh-CN"/>
        </w:rPr>
        <w:t>整</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lang w:val="zh-CN"/>
        </w:rPr>
        <w:t>.00元）</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14.2磋商保证金的有效期与磋商有效期一致。</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14.3磋商保证金的缴纳形式：转账或电汇或担保机构保函</w:t>
      </w:r>
    </w:p>
    <w:p>
      <w:pPr>
        <w:spacing w:line="360" w:lineRule="auto"/>
        <w:ind w:firstLine="480" w:firstLineChars="200"/>
        <w:rPr>
          <w:rFonts w:hint="eastAsia" w:ascii="宋体" w:hAnsi="宋体" w:eastAsia="宋体" w:cs="宋体"/>
          <w:b/>
          <w:bCs/>
          <w:color w:val="auto"/>
          <w:szCs w:val="24"/>
        </w:rPr>
      </w:pPr>
      <w:r>
        <w:rPr>
          <w:rFonts w:hint="eastAsia" w:ascii="宋体" w:hAnsi="宋体" w:eastAsia="宋体" w:cs="宋体"/>
          <w:szCs w:val="24"/>
        </w:rPr>
        <w:t>14.4供应商以银行转账或电汇</w:t>
      </w:r>
      <w:r>
        <w:rPr>
          <w:rFonts w:hint="eastAsia" w:ascii="宋体" w:hAnsi="宋体" w:eastAsia="宋体" w:cs="宋体"/>
          <w:szCs w:val="24"/>
          <w:lang w:eastAsia="zh-CN"/>
        </w:rPr>
        <w:t>或磋商保函</w:t>
      </w:r>
      <w:r>
        <w:rPr>
          <w:rFonts w:hint="eastAsia" w:ascii="宋体" w:hAnsi="宋体" w:eastAsia="宋体" w:cs="宋体"/>
          <w:szCs w:val="24"/>
        </w:rPr>
        <w:t>形式缴纳磋商保证金的，采购结束之后以转账形式退到供应商的</w:t>
      </w:r>
      <w:r>
        <w:rPr>
          <w:rFonts w:hint="eastAsia" w:ascii="宋体" w:hAnsi="宋体" w:eastAsia="宋体" w:cs="宋体"/>
          <w:color w:val="auto"/>
          <w:szCs w:val="24"/>
        </w:rPr>
        <w:t>账户。</w:t>
      </w:r>
      <w:r>
        <w:rPr>
          <w:rFonts w:hint="eastAsia" w:ascii="宋体" w:hAnsi="宋体" w:eastAsia="宋体" w:cs="宋体"/>
          <w:b/>
          <w:bCs/>
          <w:color w:val="auto"/>
          <w:szCs w:val="24"/>
          <w:lang w:val="zh-CN"/>
        </w:rPr>
        <w:t>供应商以保函形式缴纳磋商保证金的，须</w:t>
      </w:r>
      <w:r>
        <w:rPr>
          <w:rFonts w:hint="eastAsia" w:ascii="宋体" w:hAnsi="宋体" w:eastAsia="宋体" w:cs="宋体"/>
          <w:b/>
          <w:bCs/>
          <w:color w:val="auto"/>
          <w:szCs w:val="24"/>
        </w:rPr>
        <w:t>在</w:t>
      </w:r>
      <w:r>
        <w:rPr>
          <w:rFonts w:hint="eastAsia" w:ascii="宋体" w:hAnsi="宋体" w:eastAsia="宋体" w:cs="宋体"/>
          <w:b/>
          <w:bCs/>
          <w:color w:val="auto"/>
          <w:szCs w:val="24"/>
          <w:lang w:eastAsia="zh-CN"/>
        </w:rPr>
        <w:t>磋商响应</w:t>
      </w:r>
      <w:r>
        <w:rPr>
          <w:rFonts w:hint="eastAsia" w:ascii="宋体" w:hAnsi="宋体" w:eastAsia="宋体" w:cs="宋体"/>
          <w:b/>
          <w:bCs/>
          <w:color w:val="auto"/>
          <w:szCs w:val="24"/>
        </w:rPr>
        <w:t>文件递交截止时间前将担保机构保函原件</w:t>
      </w:r>
      <w:r>
        <w:rPr>
          <w:rFonts w:hint="eastAsia" w:ascii="宋体" w:hAnsi="宋体" w:eastAsia="宋体" w:cs="宋体"/>
          <w:b/>
          <w:bCs/>
          <w:color w:val="auto"/>
          <w:szCs w:val="24"/>
          <w:lang w:eastAsia="zh-CN"/>
        </w:rPr>
        <w:t>（包括担保公司联系人及电话）</w:t>
      </w:r>
      <w:r>
        <w:rPr>
          <w:rFonts w:hint="eastAsia" w:ascii="宋体" w:hAnsi="宋体" w:eastAsia="宋体" w:cs="宋体"/>
          <w:b/>
          <w:bCs/>
          <w:color w:val="auto"/>
          <w:szCs w:val="24"/>
        </w:rPr>
        <w:t>提交至采购代理机构备案</w:t>
      </w:r>
      <w:r>
        <w:rPr>
          <w:rFonts w:hint="eastAsia" w:ascii="宋体" w:hAnsi="宋体" w:eastAsia="宋体" w:cs="宋体"/>
          <w:b/>
          <w:bCs/>
          <w:color w:val="auto"/>
          <w:szCs w:val="24"/>
          <w:lang w:eastAsia="zh-CN"/>
        </w:rPr>
        <w:t>并由代理公司财务部确认回函</w:t>
      </w:r>
      <w:r>
        <w:rPr>
          <w:rFonts w:hint="eastAsia" w:ascii="宋体" w:hAnsi="宋体" w:eastAsia="宋体" w:cs="宋体"/>
          <w:b/>
          <w:bCs/>
          <w:color w:val="auto"/>
          <w:szCs w:val="24"/>
          <w:lang w:val="en-US" w:eastAsia="zh-CN"/>
        </w:rPr>
        <w:t>(未签回函视为无效投标)</w:t>
      </w:r>
      <w:r>
        <w:rPr>
          <w:rFonts w:hint="eastAsia" w:ascii="宋体" w:hAnsi="宋体" w:eastAsia="宋体" w:cs="宋体"/>
          <w:b/>
          <w:bCs/>
          <w:color w:val="auto"/>
          <w:szCs w:val="24"/>
        </w:rPr>
        <w:t>，将保函正本复印件</w:t>
      </w:r>
      <w:r>
        <w:rPr>
          <w:rFonts w:hint="eastAsia" w:ascii="宋体" w:hAnsi="宋体" w:eastAsia="宋体" w:cs="宋体"/>
          <w:b/>
          <w:bCs/>
          <w:color w:val="auto"/>
          <w:szCs w:val="24"/>
          <w:lang w:eastAsia="zh-CN"/>
        </w:rPr>
        <w:t>和代理公司回执确认</w:t>
      </w:r>
      <w:r>
        <w:rPr>
          <w:rFonts w:hint="eastAsia" w:ascii="宋体" w:hAnsi="宋体" w:eastAsia="宋体" w:cs="宋体"/>
          <w:b/>
          <w:bCs/>
          <w:color w:val="auto"/>
          <w:szCs w:val="24"/>
        </w:rPr>
        <w:t>粘贴于</w:t>
      </w:r>
      <w:r>
        <w:rPr>
          <w:rFonts w:hint="eastAsia" w:ascii="宋体" w:hAnsi="宋体" w:eastAsia="宋体" w:cs="宋体"/>
          <w:b/>
          <w:bCs/>
          <w:color w:val="auto"/>
          <w:szCs w:val="24"/>
          <w:lang w:eastAsia="zh-CN"/>
        </w:rPr>
        <w:t>竞争性磋商文件</w:t>
      </w:r>
      <w:r>
        <w:rPr>
          <w:rFonts w:hint="eastAsia" w:ascii="宋体" w:hAnsi="宋体" w:eastAsia="宋体" w:cs="宋体"/>
          <w:b/>
          <w:bCs/>
          <w:color w:val="auto"/>
          <w:szCs w:val="24"/>
        </w:rPr>
        <w:t>规定处，招标结束之后在规定时间内将保函原件退回。</w:t>
      </w:r>
    </w:p>
    <w:p>
      <w:pPr>
        <w:spacing w:line="360" w:lineRule="auto"/>
        <w:ind w:firstLine="482" w:firstLineChars="200"/>
        <w:rPr>
          <w:rFonts w:hint="eastAsia" w:ascii="宋体" w:hAnsi="宋体" w:eastAsia="宋体" w:cs="宋体"/>
          <w:b/>
          <w:szCs w:val="24"/>
        </w:rPr>
      </w:pPr>
      <w:r>
        <w:rPr>
          <w:rFonts w:hint="eastAsia" w:ascii="宋体" w:hAnsi="宋体" w:eastAsia="宋体" w:cs="宋体"/>
          <w:b/>
          <w:szCs w:val="24"/>
          <w:lang w:val="en-US" w:eastAsia="zh-CN"/>
        </w:rPr>
        <w:t>14.5</w:t>
      </w:r>
      <w:r>
        <w:rPr>
          <w:rFonts w:hint="eastAsia" w:ascii="宋体" w:hAnsi="宋体" w:eastAsia="宋体" w:cs="宋体"/>
          <w:b/>
          <w:szCs w:val="24"/>
        </w:rPr>
        <w:t>磋商保证金须从供应商基本账户转出。</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14.6磋商保证金到达采购代理机构指定账户后，供应商须与采购代理公司联系确认，确认到帐后</w:t>
      </w:r>
      <w:r>
        <w:rPr>
          <w:rFonts w:hint="eastAsia" w:ascii="宋体" w:hAnsi="宋体" w:eastAsia="宋体" w:cs="宋体"/>
          <w:szCs w:val="24"/>
          <w:lang w:eastAsia="zh-CN"/>
        </w:rPr>
        <w:t>将打款底单</w:t>
      </w:r>
      <w:r>
        <w:rPr>
          <w:rFonts w:hint="eastAsia" w:ascii="宋体" w:hAnsi="宋体" w:eastAsia="宋体" w:cs="宋体"/>
          <w:szCs w:val="24"/>
        </w:rPr>
        <w:t>或将保函正本复印件</w:t>
      </w:r>
      <w:r>
        <w:rPr>
          <w:rFonts w:hint="eastAsia" w:ascii="宋体" w:hAnsi="宋体" w:eastAsia="宋体" w:cs="宋体"/>
          <w:szCs w:val="24"/>
          <w:lang w:eastAsia="zh-CN"/>
        </w:rPr>
        <w:t>和代理公司回执确认</w:t>
      </w:r>
      <w:r>
        <w:rPr>
          <w:rFonts w:hint="eastAsia" w:ascii="宋体" w:hAnsi="宋体" w:eastAsia="宋体" w:cs="宋体"/>
          <w:szCs w:val="24"/>
        </w:rPr>
        <w:t>粘贴于</w:t>
      </w:r>
      <w:r>
        <w:rPr>
          <w:rFonts w:hint="eastAsia" w:ascii="宋体" w:hAnsi="宋体" w:eastAsia="宋体" w:cs="宋体"/>
          <w:szCs w:val="24"/>
          <w:lang w:eastAsia="zh-CN"/>
        </w:rPr>
        <w:t>竞争性磋商文件</w:t>
      </w:r>
      <w:r>
        <w:rPr>
          <w:rFonts w:hint="eastAsia" w:ascii="宋体" w:hAnsi="宋体" w:eastAsia="宋体" w:cs="宋体"/>
          <w:szCs w:val="24"/>
        </w:rPr>
        <w:t>规定处</w:t>
      </w:r>
      <w:r>
        <w:rPr>
          <w:rFonts w:hint="eastAsia" w:ascii="宋体" w:hAnsi="宋体" w:eastAsia="宋体" w:cs="宋体"/>
          <w:szCs w:val="24"/>
          <w:lang w:eastAsia="zh-CN"/>
        </w:rPr>
        <w:t>。</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7</w:t>
      </w:r>
      <w:r>
        <w:rPr>
          <w:rFonts w:hint="eastAsia" w:ascii="宋体" w:hAnsi="宋体" w:eastAsia="宋体" w:cs="宋体"/>
          <w:szCs w:val="24"/>
        </w:rPr>
        <w:t>凡没有随附保证金的磋商，视为非响应性磋商，其标书将被拒绝。</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8</w:t>
      </w:r>
      <w:r>
        <w:rPr>
          <w:rFonts w:hint="eastAsia" w:ascii="宋体" w:hAnsi="宋体" w:eastAsia="宋体" w:cs="宋体"/>
          <w:sz w:val="24"/>
          <w:szCs w:val="24"/>
        </w:rPr>
        <w:t>未成交单位的磋商保证金，在采购代理机构对成交单位发出《成交通知书》后五个工作日内，予以全额退还</w:t>
      </w:r>
      <w:r>
        <w:rPr>
          <w:rFonts w:hint="eastAsia" w:ascii="宋体" w:hAnsi="宋体" w:eastAsia="宋体" w:cs="宋体"/>
        </w:rPr>
        <w:t>；</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发生下列情况之一，保证金将不予退还：</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.1磋商后在磋商有效期间内，供应商撤回其响应文件；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.2将中标项目转让给他人，或者在响应文件中未说明且未经采购人同意将中标项目分包他人的；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.3成交人不按本须知规定签订合同；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.4成交人不按本须知规定交付招标代理服务费。</w:t>
      </w:r>
    </w:p>
    <w:p>
      <w:pPr>
        <w:spacing w:line="360" w:lineRule="auto"/>
        <w:jc w:val="center"/>
        <w:rPr>
          <w:rFonts w:hint="eastAsia" w:ascii="宋体" w:hAnsi="宋体" w:eastAsia="宋体" w:cs="宋体"/>
          <w:b/>
          <w:szCs w:val="24"/>
        </w:rPr>
      </w:pPr>
      <w:r>
        <w:rPr>
          <w:rFonts w:hint="eastAsia" w:ascii="宋体" w:hAnsi="宋体" w:eastAsia="宋体" w:cs="宋体"/>
          <w:b/>
          <w:szCs w:val="24"/>
        </w:rPr>
        <w:t>（四） 响应文件的提交</w:t>
      </w:r>
    </w:p>
    <w:p>
      <w:pPr>
        <w:adjustRightInd w:val="0"/>
        <w:snapToGrid w:val="0"/>
        <w:spacing w:line="440" w:lineRule="exact"/>
        <w:rPr>
          <w:rFonts w:hint="eastAsia" w:ascii="宋体" w:hAnsi="宋体" w:eastAsia="宋体" w:cs="宋体"/>
          <w:b/>
          <w:bCs/>
          <w:sz w:val="24"/>
          <w:szCs w:val="24"/>
        </w:rPr>
      </w:pP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b/>
          <w:bCs/>
          <w:color w:val="auto"/>
          <w:sz w:val="24"/>
          <w:szCs w:val="24"/>
        </w:rPr>
        <w:t>.</w:t>
      </w:r>
      <w:r>
        <w:rPr>
          <w:rFonts w:hint="eastAsia" w:ascii="宋体" w:hAnsi="宋体" w:eastAsia="宋体" w:cs="宋体"/>
          <w:color w:val="auto"/>
        </w:rPr>
        <w:t xml:space="preserve"> </w:t>
      </w:r>
      <w:r>
        <w:rPr>
          <w:rFonts w:hint="eastAsia" w:ascii="宋体" w:hAnsi="宋体" w:eastAsia="宋体" w:cs="宋体"/>
          <w:b/>
          <w:bCs/>
          <w:sz w:val="24"/>
          <w:szCs w:val="24"/>
        </w:rPr>
        <w:t>电子磋商响应文件递交与解密</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.1电子文件递交</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磋商响应文件可于提交磋商响应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.2电子文件的开启和解密</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开标时，供应商须使用电子磋商响应文件加密时所用的数字认证证书（CA锁）在开标室的解密机上自行解密电子磋商响应文件（系统默认解密时长为</w:t>
      </w:r>
      <w:r>
        <w:rPr>
          <w:rFonts w:hint="eastAsia" w:ascii="宋体" w:hAnsi="宋体" w:eastAsia="宋体" w:cs="宋体"/>
          <w:sz w:val="24"/>
          <w:szCs w:val="24"/>
          <w:lang w:val="en-US" w:eastAsia="zh-CN"/>
        </w:rPr>
        <w:t>3</w:t>
      </w:r>
      <w:r>
        <w:rPr>
          <w:rFonts w:hint="eastAsia" w:ascii="宋体" w:hAnsi="宋体" w:eastAsia="宋体" w:cs="宋体"/>
          <w:sz w:val="24"/>
          <w:szCs w:val="24"/>
        </w:rPr>
        <w:t>0分钟），投标单位需在解密时间规定内完成标书解密。所有投标单位解密完成后由开标人员将响应文件导入开评标系统。</w:t>
      </w:r>
    </w:p>
    <w:p>
      <w:pPr>
        <w:pStyle w:val="8"/>
        <w:rPr>
          <w:rFonts w:hint="eastAsia" w:ascii="宋体" w:hAnsi="宋体" w:eastAsia="宋体" w:cs="宋体"/>
          <w:sz w:val="24"/>
          <w:szCs w:val="24"/>
          <w:lang w:val="en-US" w:eastAsia="zh-CN"/>
        </w:rPr>
      </w:pPr>
    </w:p>
    <w:p>
      <w:pPr>
        <w:pStyle w:val="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15.3纸质文件</w:t>
      </w:r>
    </w:p>
    <w:p>
      <w:pPr>
        <w:pStyle w:val="9"/>
        <w:rPr>
          <w:rFonts w:hint="eastAsia" w:ascii="宋体" w:hAnsi="宋体" w:eastAsia="宋体" w:cs="宋体"/>
          <w:lang w:val="en-US" w:eastAsia="zh-CN"/>
        </w:rPr>
      </w:pPr>
    </w:p>
    <w:p>
      <w:pPr>
        <w:pStyle w:val="8"/>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投标供应商无需提交纸质响应文件，待采购结果公告后，由成交供应商补交一正三副纸质响应文件及电子版（光盘或 U 盘，包含可编辑 word 版，签字盖章后的扫描件 1 份）响应文件一份（备案用）</w:t>
      </w:r>
    </w:p>
    <w:p>
      <w:pPr>
        <w:adjustRightInd w:val="0"/>
        <w:snapToGrid w:val="0"/>
        <w:spacing w:line="440" w:lineRule="exact"/>
        <w:ind w:firstLine="482" w:firstLineChars="200"/>
        <w:rPr>
          <w:rFonts w:hint="eastAsia" w:ascii="宋体" w:hAnsi="宋体" w:eastAsia="宋体" w:cs="宋体"/>
          <w:b/>
          <w:bCs/>
          <w:color w:val="0000FF"/>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竞争性磋商响应文件有下列情况之一者将视为无效：</w:t>
      </w:r>
    </w:p>
    <w:p>
      <w:pPr>
        <w:adjustRightInd w:val="0"/>
        <w:snapToGrid w:val="0"/>
        <w:spacing w:line="440" w:lineRule="exact"/>
        <w:ind w:firstLine="480" w:firstLineChars="200"/>
        <w:rPr>
          <w:rFonts w:hint="eastAsia" w:ascii="宋体" w:hAnsi="宋体" w:eastAsia="宋体" w:cs="宋体"/>
          <w:sz w:val="24"/>
          <w:szCs w:val="24"/>
        </w:rPr>
      </w:pPr>
      <w:bookmarkStart w:id="42" w:name="_Hlk34387735"/>
      <w:bookmarkEnd w:id="42"/>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）未按要求加盖投标人公章和法定代表人或其授权代表签字或盖章的；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）未按竞争性磋商文件要求提交资格证明文件或未通过竞争性磋商响应文件有效性审查的；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）提交的竞争性磋商响应文件有效期短于竞争性磋商文件规定有效期的；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）未按磋商小组要求对竞争性磋商响应文件进行澄清（说明或者更正）的；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）磋商小组对竞争性磋商响应文件评审后，认为在有效性、完整性和响应程度方面没有实质性响应竞争性磋商文件的或有重大缺项漏项,明显不符合技术规格、技术标准的要求的；</w:t>
      </w:r>
    </w:p>
    <w:p>
      <w:pPr>
        <w:adjustRightInd w:val="0"/>
        <w:snapToGrid w:val="0"/>
        <w:spacing w:line="440" w:lineRule="exact"/>
        <w:ind w:firstLine="480" w:firstLineChars="200"/>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）重新提交的竞争性磋商响应文件没有实质性响应竞争性磋商文件的。</w:t>
      </w:r>
      <w:bookmarkStart w:id="43" w:name="_Toc385234434"/>
      <w:bookmarkEnd w:id="43"/>
      <w:bookmarkStart w:id="44" w:name="_Toc453858063"/>
      <w:bookmarkEnd w:id="44"/>
      <w:bookmarkStart w:id="45" w:name="_Toc453917619"/>
      <w:bookmarkEnd w:id="45"/>
      <w:bookmarkStart w:id="46" w:name="_Toc453917526"/>
      <w:bookmarkEnd w:id="46"/>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）投标单位针对同一项目递交两份或多份内容不同的竞争性磋商响应文件，未书面声明哪一份是有效的或出现选择性报价的；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）磋商评审小组一致认为某投标人磋商最终报价明显不合理或者低于成本，无法保证服务质量和不能诚信履约的；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）在“信用中国”网站(www.creditchina.gov.cn)和中国政府采购网(www.ccgp.gov.cn )查询到相关主体失信记录的（截止时间点为磋商文件发出至磋商截止时间止，对列入失信被执行人、</w:t>
      </w:r>
      <w:r>
        <w:rPr>
          <w:rFonts w:hint="eastAsia" w:ascii="宋体" w:hAnsi="宋体" w:cs="宋体"/>
          <w:sz w:val="24"/>
          <w:szCs w:val="24"/>
          <w:lang w:eastAsia="zh-CN"/>
        </w:rPr>
        <w:t>税收违法黑名单</w:t>
      </w:r>
      <w:r>
        <w:rPr>
          <w:rFonts w:hint="eastAsia" w:ascii="宋体" w:hAnsi="宋体" w:eastAsia="宋体" w:cs="宋体"/>
          <w:sz w:val="24"/>
          <w:szCs w:val="24"/>
        </w:rPr>
        <w:t>、政府采购严重违法失信行为记录名单及其他不符合《中华人民共和国政府采购法》第二十二条规定条件的投标人，采购代理机构将拒绝其参与政府采购活动。）；</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）不符合现行法律法规和竞争性磋商文件规定的其他实质性要求的。</w:t>
      </w:r>
    </w:p>
    <w:p>
      <w:pPr>
        <w:adjustRightInd w:val="0"/>
        <w:snapToGrid w:val="0"/>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lang w:val="en-US" w:eastAsia="zh-CN"/>
        </w:rPr>
        <w:t>16.1</w:t>
      </w:r>
      <w:r>
        <w:rPr>
          <w:rFonts w:hint="eastAsia" w:ascii="宋体" w:hAnsi="宋体" w:eastAsia="宋体" w:cs="宋体"/>
          <w:b/>
          <w:sz w:val="24"/>
          <w:szCs w:val="24"/>
        </w:rPr>
        <w:t xml:space="preserve"> 有下列情形之一的，视为投标人串通投标，其投标无效：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7" w:name="_Hlk34387752"/>
      <w:bookmarkEnd w:id="47"/>
      <w:r>
        <w:rPr>
          <w:rFonts w:hint="eastAsia" w:ascii="宋体" w:hAnsi="宋体" w:eastAsia="宋体" w:cs="宋体"/>
          <w:sz w:val="24"/>
          <w:szCs w:val="24"/>
        </w:rPr>
        <w:t>（1）不同投标人的竞争性磋商响应文件由同一单位或者个人编制；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（2）不同投标人委托同一单位或个人办理磋商事宜；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（3）不同投标人的竞争性磋商响应文件载明的项目管理成员或者联系人员为同一人；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（4）不同投标人的竞争性磋商响应文件异常一致或者磋商报价呈规律性差异；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（5）不同投标人的竞争性磋商响应文件互相混装；</w:t>
      </w:r>
    </w:p>
    <w:p>
      <w:pPr>
        <w:pStyle w:val="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rPr>
      </w:pPr>
      <w:r>
        <w:rPr>
          <w:rFonts w:hint="eastAsia" w:ascii="宋体" w:hAnsi="宋体" w:eastAsia="宋体" w:cs="宋体"/>
          <w:sz w:val="24"/>
          <w:szCs w:val="24"/>
        </w:rPr>
        <w:t>（6）不同投标人的投标保证金从同一单位或者个人账户转出。</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（五）开 标</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bookmarkStart w:id="48" w:name="_Toc394934434"/>
      <w:r>
        <w:rPr>
          <w:rFonts w:hint="eastAsia" w:ascii="宋体" w:hAnsi="宋体" w:eastAsia="宋体" w:cs="宋体"/>
          <w:szCs w:val="24"/>
        </w:rPr>
        <w:t>17、</w:t>
      </w:r>
      <w:bookmarkEnd w:id="48"/>
      <w:r>
        <w:rPr>
          <w:rFonts w:hint="eastAsia" w:ascii="宋体" w:hAnsi="宋体" w:eastAsia="宋体" w:cs="宋体"/>
          <w:szCs w:val="24"/>
        </w:rPr>
        <w:t>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9" w:name="_Toc246928921"/>
      <w:bookmarkStart w:id="50" w:name="_Toc394934435"/>
      <w:r>
        <w:rPr>
          <w:rFonts w:hint="eastAsia" w:ascii="宋体" w:hAnsi="宋体" w:eastAsia="宋体" w:cs="宋体"/>
          <w:sz w:val="24"/>
          <w:szCs w:val="24"/>
          <w:lang w:val="en-US" w:eastAsia="zh-CN"/>
        </w:rPr>
        <w:t>17.招标代理机构</w:t>
      </w:r>
      <w:r>
        <w:rPr>
          <w:rFonts w:hint="eastAsia" w:ascii="宋体" w:hAnsi="宋体" w:eastAsia="宋体" w:cs="宋体"/>
          <w:sz w:val="24"/>
          <w:szCs w:val="24"/>
        </w:rPr>
        <w:t>组织招标、开标、评标工作，整个过程受政府采购监管机构的监督、管理。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17.2招标代理机构</w:t>
      </w:r>
      <w:r>
        <w:rPr>
          <w:rFonts w:hint="eastAsia" w:ascii="宋体" w:hAnsi="宋体" w:eastAsia="宋体" w:cs="宋体"/>
          <w:sz w:val="24"/>
          <w:szCs w:val="24"/>
        </w:rPr>
        <w:t>在磋商文件规定的时间和地点组织开标，供应商必须在榆林市不见面开标大厅系统签名报到。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供应商不足3家的，不得开标。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17.3</w:t>
      </w:r>
      <w:r>
        <w:rPr>
          <w:rFonts w:hint="eastAsia" w:ascii="宋体" w:hAnsi="宋体" w:eastAsia="宋体" w:cs="宋体"/>
          <w:sz w:val="24"/>
          <w:szCs w:val="24"/>
        </w:rPr>
        <w:t>开标时，供应商应在规定时间内，在榆林市不见面开标大厅系统解密电子响应文件。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17.4</w:t>
      </w:r>
      <w:r>
        <w:rPr>
          <w:rFonts w:hint="eastAsia" w:ascii="宋体" w:hAnsi="宋体" w:eastAsia="宋体" w:cs="宋体"/>
          <w:sz w:val="24"/>
          <w:szCs w:val="24"/>
        </w:rPr>
        <w:t>开标会议记录由</w:t>
      </w:r>
      <w:r>
        <w:rPr>
          <w:rFonts w:hint="eastAsia" w:ascii="宋体" w:hAnsi="宋体" w:eastAsia="宋体" w:cs="宋体"/>
          <w:sz w:val="24"/>
          <w:szCs w:val="24"/>
          <w:lang w:val="en-US" w:eastAsia="zh-CN"/>
        </w:rPr>
        <w:t>招标代理机构</w:t>
      </w:r>
      <w:r>
        <w:rPr>
          <w:rFonts w:hint="eastAsia" w:ascii="宋体" w:hAnsi="宋体" w:eastAsia="宋体" w:cs="宋体"/>
          <w:sz w:val="24"/>
          <w:szCs w:val="24"/>
        </w:rPr>
        <w:t>工作人员记录，参加开标的各供应商在规定时间内，在榆林市不见面开标大厅系统签到。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17.6</w:t>
      </w:r>
      <w:r>
        <w:rPr>
          <w:rFonts w:hint="eastAsia" w:ascii="宋体" w:hAnsi="宋体" w:eastAsia="宋体" w:cs="宋体"/>
          <w:sz w:val="24"/>
          <w:szCs w:val="24"/>
        </w:rPr>
        <w:t>投标供应商未参加开标的，视同认可开标结果。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17.7</w:t>
      </w:r>
      <w:r>
        <w:rPr>
          <w:rFonts w:hint="eastAsia" w:ascii="宋体" w:hAnsi="宋体" w:eastAsia="宋体" w:cs="宋体"/>
          <w:sz w:val="24"/>
          <w:szCs w:val="24"/>
        </w:rPr>
        <w:t>特殊情形下的应急处置：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r>
        <w:rPr>
          <w:rFonts w:hint="eastAsia" w:ascii="宋体" w:hAnsi="宋体" w:eastAsia="宋体" w:cs="宋体"/>
          <w:szCs w:val="24"/>
        </w:rPr>
        <w:t>18、磋商小组</w:t>
      </w:r>
      <w:bookmarkEnd w:id="49"/>
      <w:bookmarkEnd w:id="5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18.1 根据本次招标项目的特点，参照《中华人民共和国政府采购法》等有关规定组建磋商小组。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18.2本项目磋商小组专家的产生方式符合国家和地方有关评审专家产生方式的规定。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18.3 磋商小组成员对各供应商磋商响应文件进行审查、质疑、评估和比较，并推荐成交候选供应商。</w:t>
      </w:r>
    </w:p>
    <w:p>
      <w:pPr>
        <w:spacing w:line="360" w:lineRule="auto"/>
        <w:jc w:val="center"/>
        <w:rPr>
          <w:rFonts w:hint="eastAsia" w:ascii="宋体" w:hAnsi="宋体" w:eastAsia="宋体" w:cs="宋体"/>
          <w:b/>
          <w:szCs w:val="24"/>
        </w:rPr>
      </w:pPr>
      <w:bookmarkStart w:id="51" w:name="_Toc246928924"/>
      <w:bookmarkStart w:id="52" w:name="_Toc394934436"/>
      <w:r>
        <w:rPr>
          <w:rFonts w:hint="eastAsia" w:ascii="宋体" w:hAnsi="宋体" w:eastAsia="宋体" w:cs="宋体"/>
          <w:b/>
          <w:szCs w:val="24"/>
        </w:rPr>
        <w:t>（六）评 审</w:t>
      </w:r>
    </w:p>
    <w:p>
      <w:pPr>
        <w:spacing w:line="360" w:lineRule="auto"/>
        <w:rPr>
          <w:rFonts w:hint="eastAsia" w:ascii="宋体" w:hAnsi="宋体" w:eastAsia="宋体" w:cs="宋体"/>
          <w:szCs w:val="24"/>
        </w:rPr>
      </w:pPr>
      <w:r>
        <w:rPr>
          <w:rFonts w:hint="eastAsia" w:ascii="宋体" w:hAnsi="宋体" w:eastAsia="宋体" w:cs="宋体"/>
          <w:szCs w:val="24"/>
        </w:rPr>
        <w:t>19、评审</w:t>
      </w:r>
      <w:bookmarkEnd w:id="51"/>
      <w:bookmarkEnd w:id="52"/>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hint="eastAsia" w:ascii="宋体" w:hAnsi="宋体" w:eastAsia="宋体" w:cs="宋体"/>
          <w:szCs w:val="24"/>
        </w:rPr>
      </w:pPr>
      <w:bookmarkStart w:id="53" w:name="_Toc394934437"/>
      <w:r>
        <w:rPr>
          <w:rFonts w:hint="eastAsia" w:ascii="宋体" w:hAnsi="宋体" w:eastAsia="宋体" w:cs="宋体"/>
          <w:szCs w:val="24"/>
        </w:rPr>
        <w:t>20、评审</w:t>
      </w:r>
      <w:bookmarkEnd w:id="53"/>
      <w:r>
        <w:rPr>
          <w:rFonts w:hint="eastAsia" w:ascii="宋体" w:hAnsi="宋体" w:eastAsia="宋体" w:cs="宋体"/>
          <w:szCs w:val="24"/>
        </w:rPr>
        <w:t>程序及办法</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20.1.2符合性审查内容为：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eastAsia="宋体" w:cs="宋体"/>
          <w:color w:val="auto"/>
          <w:szCs w:val="24"/>
          <w:lang w:eastAsia="zh-CN"/>
        </w:rPr>
        <w:t>服务期</w:t>
      </w:r>
      <w:r>
        <w:rPr>
          <w:rFonts w:hint="eastAsia" w:ascii="宋体" w:hAnsi="宋体" w:eastAsia="宋体" w:cs="宋体"/>
          <w:color w:val="auto"/>
          <w:szCs w:val="24"/>
        </w:rPr>
        <w:t>是否完全响应；</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2</w:t>
      </w:r>
      <w:r>
        <w:rPr>
          <w:rFonts w:hint="eastAsia" w:ascii="宋体" w:hAnsi="宋体" w:eastAsia="宋体" w:cs="宋体"/>
          <w:color w:val="auto"/>
          <w:szCs w:val="24"/>
        </w:rPr>
        <w:t>响应文件有效期是否合格；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响应文件的签字盖章是否合格；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4</w:t>
      </w:r>
      <w:r>
        <w:rPr>
          <w:rFonts w:hint="eastAsia" w:ascii="宋体" w:hAnsi="宋体" w:eastAsia="宋体" w:cs="宋体"/>
          <w:color w:val="auto"/>
          <w:szCs w:val="24"/>
        </w:rPr>
        <w:t>响应文件内容是否齐全，字迹是否清晰可辨，格式是否符合磋商文件规定的格式要求；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5</w:t>
      </w:r>
      <w:r>
        <w:rPr>
          <w:rFonts w:hint="eastAsia" w:ascii="宋体" w:hAnsi="宋体" w:eastAsia="宋体" w:cs="宋体"/>
          <w:color w:val="auto"/>
          <w:szCs w:val="24"/>
        </w:rPr>
        <w:t>报价</w:t>
      </w:r>
      <w:r>
        <w:rPr>
          <w:rFonts w:hint="eastAsia" w:ascii="宋体" w:hAnsi="宋体" w:eastAsia="宋体" w:cs="宋体"/>
          <w:color w:val="auto"/>
          <w:szCs w:val="24"/>
          <w:lang w:eastAsia="zh-CN"/>
        </w:rPr>
        <w:t>是否</w:t>
      </w:r>
      <w:r>
        <w:rPr>
          <w:rFonts w:hint="eastAsia" w:ascii="宋体" w:hAnsi="宋体" w:eastAsia="宋体" w:cs="宋体"/>
          <w:color w:val="auto"/>
          <w:szCs w:val="24"/>
        </w:rPr>
        <w:t>超过采购预算；</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6</w:t>
      </w:r>
      <w:r>
        <w:rPr>
          <w:rFonts w:hint="eastAsia" w:ascii="宋体" w:hAnsi="宋体" w:eastAsia="宋体" w:cs="宋体"/>
          <w:color w:val="auto"/>
          <w:szCs w:val="24"/>
        </w:rPr>
        <w:t>磋商文件要求条款</w:t>
      </w:r>
      <w:r>
        <w:rPr>
          <w:rFonts w:hint="eastAsia" w:ascii="宋体" w:hAnsi="宋体" w:cs="宋体"/>
          <w:color w:val="auto"/>
          <w:szCs w:val="24"/>
          <w:lang w:eastAsia="zh-CN"/>
        </w:rPr>
        <w:t>是否</w:t>
      </w:r>
      <w:r>
        <w:rPr>
          <w:rFonts w:hint="eastAsia" w:ascii="宋体" w:hAnsi="宋体" w:eastAsia="宋体" w:cs="宋体"/>
          <w:color w:val="auto"/>
          <w:szCs w:val="24"/>
        </w:rPr>
        <w:t>有重大偏离；</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7</w:t>
      </w:r>
      <w:r>
        <w:rPr>
          <w:rFonts w:hint="eastAsia" w:ascii="宋体" w:hAnsi="宋体" w:eastAsia="宋体" w:cs="宋体"/>
          <w:color w:val="auto"/>
          <w:szCs w:val="24"/>
        </w:rPr>
        <w:t xml:space="preserve"> 法律、法规和磋商文件中规定的其他实质性要求。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 算术错误将按以下方法更正：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pPr>
        <w:spacing w:line="360" w:lineRule="auto"/>
        <w:rPr>
          <w:rFonts w:hint="eastAsia" w:ascii="宋体" w:hAnsi="宋体" w:eastAsia="宋体" w:cs="宋体"/>
          <w:szCs w:val="24"/>
        </w:rPr>
      </w:pPr>
      <w:bookmarkStart w:id="54" w:name="_Toc394934438"/>
      <w:r>
        <w:rPr>
          <w:rFonts w:hint="eastAsia" w:ascii="宋体" w:hAnsi="宋体" w:eastAsia="宋体" w:cs="宋体"/>
          <w:szCs w:val="24"/>
        </w:rPr>
        <w:t>21、</w:t>
      </w:r>
      <w:bookmarkEnd w:id="54"/>
      <w:r>
        <w:rPr>
          <w:rFonts w:hint="eastAsia" w:ascii="宋体" w:hAnsi="宋体" w:eastAsia="宋体" w:cs="宋体"/>
          <w:szCs w:val="24"/>
        </w:rPr>
        <w:t>磋商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hint="eastAsia" w:ascii="宋体" w:hAnsi="宋体" w:eastAsia="宋体" w:cs="宋体"/>
          <w:b/>
          <w:bCs/>
          <w:szCs w:val="24"/>
        </w:rPr>
      </w:pPr>
      <w:bookmarkStart w:id="55" w:name="_Toc394934439"/>
      <w:r>
        <w:rPr>
          <w:rFonts w:hint="eastAsia" w:ascii="宋体" w:hAnsi="宋体" w:eastAsia="宋体" w:cs="宋体"/>
          <w:b/>
          <w:bCs/>
          <w:szCs w:val="24"/>
        </w:rPr>
        <w:t>22、评审方法</w:t>
      </w:r>
      <w:bookmarkEnd w:id="55"/>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pPr>
        <w:spacing w:line="360" w:lineRule="auto"/>
        <w:ind w:firstLine="240" w:firstLineChars="100"/>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27"/>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07"/>
        <w:gridCol w:w="905"/>
        <w:gridCol w:w="8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1107" w:type="dxa"/>
            <w:noWrap w:val="0"/>
            <w:tcMar>
              <w:top w:w="0" w:type="dxa"/>
              <w:left w:w="0" w:type="dxa"/>
              <w:bottom w:w="0" w:type="dxa"/>
              <w:right w:w="0" w:type="dxa"/>
            </w:tcMar>
            <w:vAlign w:val="center"/>
          </w:tcPr>
          <w:p>
            <w:pPr>
              <w:pStyle w:val="24"/>
              <w:spacing w:line="400" w:lineRule="exact"/>
              <w:jc w:val="both"/>
              <w:rPr>
                <w:rFonts w:hint="eastAsia" w:ascii="宋体" w:hAnsi="宋体" w:eastAsia="宋体" w:cs="宋体"/>
                <w:b w:val="0"/>
                <w:bCs w:val="0"/>
                <w:color w:val="auto"/>
              </w:rPr>
            </w:pPr>
            <w:r>
              <w:rPr>
                <w:rFonts w:hint="eastAsia" w:ascii="宋体" w:hAnsi="宋体" w:eastAsia="宋体" w:cs="宋体"/>
                <w:b w:val="0"/>
                <w:bCs w:val="0"/>
                <w:color w:val="auto"/>
              </w:rPr>
              <w:t>评审项目</w:t>
            </w: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rPr>
              <w:t>分值</w:t>
            </w:r>
          </w:p>
        </w:tc>
        <w:tc>
          <w:tcPr>
            <w:tcW w:w="8158" w:type="dxa"/>
            <w:noWrap w:val="0"/>
            <w:tcMar>
              <w:top w:w="0" w:type="dxa"/>
              <w:left w:w="0" w:type="dxa"/>
              <w:bottom w:w="0" w:type="dxa"/>
              <w:right w:w="0" w:type="dxa"/>
            </w:tcMar>
            <w:vAlign w:val="center"/>
          </w:tcPr>
          <w:p>
            <w:pPr>
              <w:autoSpaceDE w:val="0"/>
              <w:autoSpaceDN w:val="0"/>
              <w:adjustRightIn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2" w:hRule="atLeast"/>
          <w:jc w:val="center"/>
        </w:trPr>
        <w:tc>
          <w:tcPr>
            <w:tcW w:w="1107" w:type="dxa"/>
            <w:noWrap w:val="0"/>
            <w:tcMar>
              <w:top w:w="0" w:type="dxa"/>
              <w:left w:w="0" w:type="dxa"/>
              <w:bottom w:w="0" w:type="dxa"/>
              <w:right w:w="0" w:type="dxa"/>
            </w:tcMar>
            <w:vAlign w:val="center"/>
          </w:tcPr>
          <w:p>
            <w:pPr>
              <w:pStyle w:val="24"/>
              <w:spacing w:line="400" w:lineRule="exact"/>
              <w:jc w:val="center"/>
              <w:rPr>
                <w:rFonts w:hint="eastAsia" w:ascii="宋体" w:hAnsi="宋体" w:eastAsia="宋体" w:cs="宋体"/>
                <w:b w:val="0"/>
                <w:bCs w:val="0"/>
                <w:color w:val="auto"/>
              </w:rPr>
            </w:pPr>
            <w:r>
              <w:rPr>
                <w:rFonts w:hint="eastAsia" w:ascii="宋体" w:hAnsi="宋体" w:eastAsia="宋体" w:cs="宋体"/>
                <w:b w:val="0"/>
                <w:bCs w:val="0"/>
                <w:color w:val="auto"/>
              </w:rPr>
              <w:t>响应报价</w:t>
            </w: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10</w:t>
            </w:r>
            <w:r>
              <w:rPr>
                <w:rFonts w:hint="eastAsia" w:ascii="宋体" w:hAnsi="宋体" w:eastAsia="宋体" w:cs="宋体"/>
                <w:b w:val="0"/>
                <w:bCs w:val="0"/>
                <w:color w:val="auto"/>
              </w:rPr>
              <w:t>分</w:t>
            </w:r>
          </w:p>
        </w:tc>
        <w:tc>
          <w:tcPr>
            <w:tcW w:w="8158" w:type="dxa"/>
            <w:noWrap w:val="0"/>
            <w:tcMar>
              <w:top w:w="0" w:type="dxa"/>
              <w:left w:w="0" w:type="dxa"/>
              <w:bottom w:w="0" w:type="dxa"/>
              <w:right w:w="0" w:type="dxa"/>
            </w:tcMar>
            <w:vAlign w:val="top"/>
          </w:tcPr>
          <w:p>
            <w:pPr>
              <w:spacing w:line="40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按照财政部《关于加强政府采购货物和服务项目价格评审管理的通知》（财库[2007]2号）的有关规定：价格分采用低价优先法计算，价格即满足磋商文件要求且磋商价格最低的磋商报价为评审基准价，其价格分为满分。其他供应商的价格分统一按照下列公式计算：</w:t>
            </w:r>
          </w:p>
          <w:p>
            <w:pPr>
              <w:spacing w:line="400" w:lineRule="exact"/>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磋商报价得分=（评审基准价/磋商报价）×</w:t>
            </w:r>
            <w:r>
              <w:rPr>
                <w:rFonts w:hint="eastAsia" w:ascii="宋体" w:hAnsi="宋体" w:eastAsia="宋体" w:cs="宋体"/>
                <w:b w:val="0"/>
                <w:bCs w:val="0"/>
                <w:color w:val="auto"/>
                <w:sz w:val="24"/>
                <w:szCs w:val="24"/>
                <w:lang w:val="en-US" w:eastAsia="zh-CN"/>
              </w:rPr>
              <w:t>10</w:t>
            </w:r>
          </w:p>
          <w:p>
            <w:pPr>
              <w:autoSpaceDE w:val="0"/>
              <w:autoSpaceDN w:val="0"/>
              <w:adjustRightInd w:val="0"/>
              <w:spacing w:line="400" w:lineRule="exact"/>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rPr>
              <w:t>（因落实政府采购政策进行价格调整的，以调整后的价格计算评标基准价和响应报价得分，详见磋商文件本部分政府采购政策评分标准）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61" w:hRule="atLeast"/>
          <w:jc w:val="center"/>
        </w:trPr>
        <w:tc>
          <w:tcPr>
            <w:tcW w:w="1107" w:type="dxa"/>
            <w:noWrap w:val="0"/>
            <w:tcMar>
              <w:top w:w="0" w:type="dxa"/>
              <w:left w:w="0" w:type="dxa"/>
              <w:bottom w:w="0" w:type="dxa"/>
              <w:right w:w="0" w:type="dxa"/>
            </w:tcMar>
            <w:vAlign w:val="center"/>
          </w:tcPr>
          <w:p>
            <w:pPr>
              <w:spacing w:line="400" w:lineRule="exact"/>
              <w:ind w:left="12" w:hanging="12" w:hangingChars="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人员配备</w:t>
            </w:r>
          </w:p>
          <w:p>
            <w:pPr>
              <w:spacing w:line="400" w:lineRule="exact"/>
              <w:ind w:left="12" w:hanging="12" w:hangingChars="5"/>
              <w:jc w:val="center"/>
              <w:rPr>
                <w:rFonts w:hint="eastAsia" w:ascii="宋体" w:hAnsi="宋体" w:eastAsia="宋体" w:cs="宋体"/>
                <w:b w:val="0"/>
                <w:bCs w:val="0"/>
                <w:color w:val="auto"/>
                <w:sz w:val="24"/>
                <w:szCs w:val="24"/>
              </w:rPr>
            </w:pP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kern w:val="2"/>
              </w:rPr>
            </w:pPr>
            <w:r>
              <w:rPr>
                <w:rFonts w:hint="eastAsia" w:ascii="宋体" w:hAnsi="宋体" w:eastAsia="宋体" w:cs="宋体"/>
                <w:b w:val="0"/>
                <w:bCs w:val="0"/>
                <w:color w:val="auto"/>
              </w:rPr>
              <w:t>10分</w:t>
            </w:r>
          </w:p>
        </w:tc>
        <w:tc>
          <w:tcPr>
            <w:tcW w:w="8158" w:type="dxa"/>
            <w:noWrap w:val="0"/>
            <w:tcMar>
              <w:top w:w="0" w:type="dxa"/>
              <w:left w:w="0" w:type="dxa"/>
              <w:bottom w:w="0" w:type="dxa"/>
              <w:right w:w="0" w:type="dxa"/>
            </w:tcMar>
            <w:vAlign w:val="center"/>
          </w:tcPr>
          <w:p>
            <w:pPr>
              <w:spacing w:line="400" w:lineRule="exact"/>
              <w:ind w:left="99" w:right="132" w:rightChars="55"/>
              <w:jc w:val="left"/>
              <w:rPr>
                <w:rFonts w:hint="eastAsia" w:ascii="宋体" w:hAnsi="宋体" w:eastAsia="宋体" w:cs="宋体"/>
                <w:b w:val="0"/>
                <w:bCs w:val="0"/>
                <w:color w:val="auto"/>
                <w:sz w:val="24"/>
                <w:szCs w:val="24"/>
                <w:lang w:val="zh-CN"/>
              </w:rPr>
            </w:pPr>
            <w:r>
              <w:rPr>
                <w:rFonts w:ascii="宋体" w:hAnsi="宋体" w:eastAsia="宋体" w:cs="宋体"/>
                <w:sz w:val="24"/>
                <w:szCs w:val="24"/>
              </w:rPr>
              <w:t>供应商拟投入项目其他团队专业人员资质及经验丰富，专业知识强，人员配 置合理的，得</w:t>
            </w:r>
            <w:r>
              <w:rPr>
                <w:rFonts w:hint="eastAsia" w:ascii="宋体" w:hAnsi="宋体" w:eastAsia="宋体" w:cs="宋体"/>
                <w:b w:val="0"/>
                <w:bCs w:val="0"/>
                <w:color w:val="auto"/>
                <w:sz w:val="24"/>
                <w:szCs w:val="24"/>
              </w:rPr>
              <w:t>(8-10]</w:t>
            </w:r>
            <w:r>
              <w:rPr>
                <w:rFonts w:ascii="宋体" w:hAnsi="宋体" w:eastAsia="宋体" w:cs="宋体"/>
                <w:sz w:val="24"/>
                <w:szCs w:val="24"/>
              </w:rPr>
              <w:t>分；专业人员资质及经验基本满足采购需求的，得</w:t>
            </w:r>
            <w:r>
              <w:rPr>
                <w:rFonts w:hint="eastAsia" w:ascii="宋体" w:hAnsi="宋体" w:eastAsia="宋体" w:cs="宋体"/>
                <w:b w:val="0"/>
                <w:bCs w:val="0"/>
                <w:color w:val="auto"/>
                <w:sz w:val="24"/>
                <w:szCs w:val="24"/>
              </w:rPr>
              <w:t>(4-8]</w:t>
            </w:r>
            <w:r>
              <w:rPr>
                <w:rFonts w:ascii="宋体" w:hAnsi="宋体" w:eastAsia="宋体" w:cs="宋体"/>
                <w:sz w:val="24"/>
                <w:szCs w:val="24"/>
              </w:rPr>
              <w:t>分； 专业人员资质及经验同比较差，得</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ascii="宋体" w:hAnsi="宋体" w:eastAsia="宋体" w:cs="宋体"/>
                <w:sz w:val="24"/>
                <w:szCs w:val="24"/>
              </w:rPr>
              <w:t>分；完全不能满足采购需求的，得0分。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08" w:hRule="atLeast"/>
          <w:jc w:val="center"/>
        </w:trPr>
        <w:tc>
          <w:tcPr>
            <w:tcW w:w="1107" w:type="dxa"/>
            <w:noWrap w:val="0"/>
            <w:tcMar>
              <w:top w:w="0" w:type="dxa"/>
              <w:left w:w="0" w:type="dxa"/>
              <w:bottom w:w="0" w:type="dxa"/>
              <w:right w:w="0" w:type="dxa"/>
            </w:tcMar>
            <w:vAlign w:val="center"/>
          </w:tcPr>
          <w:p>
            <w:pPr>
              <w:spacing w:line="400" w:lineRule="exact"/>
              <w:ind w:left="12" w:hanging="12" w:hangingChars="5"/>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质量保障</w:t>
            </w: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rPr>
              <w:t>10分</w:t>
            </w:r>
          </w:p>
        </w:tc>
        <w:tc>
          <w:tcPr>
            <w:tcW w:w="8158" w:type="dxa"/>
            <w:noWrap w:val="0"/>
            <w:tcMar>
              <w:top w:w="0" w:type="dxa"/>
              <w:left w:w="0" w:type="dxa"/>
              <w:bottom w:w="0" w:type="dxa"/>
              <w:right w:w="0" w:type="dxa"/>
            </w:tcMar>
            <w:vAlign w:val="center"/>
          </w:tcPr>
          <w:p>
            <w:pPr>
              <w:spacing w:line="400" w:lineRule="exact"/>
              <w:ind w:left="99" w:right="132" w:rightChars="55"/>
              <w:rPr>
                <w:rFonts w:hint="eastAsia" w:ascii="宋体" w:hAnsi="宋体" w:eastAsia="宋体" w:cs="宋体"/>
                <w:b w:val="0"/>
                <w:bCs w:val="0"/>
                <w:color w:val="auto"/>
                <w:sz w:val="24"/>
                <w:szCs w:val="24"/>
              </w:rPr>
            </w:pPr>
            <w:r>
              <w:rPr>
                <w:rFonts w:ascii="宋体" w:hAnsi="宋体" w:eastAsia="宋体" w:cs="宋体"/>
                <w:sz w:val="24"/>
                <w:szCs w:val="24"/>
              </w:rPr>
              <w:t>供应商提供具体的增粉服务方案，具有有效可行的服务质量控制保障措施和 方法进行评审：1）服务质量保证目标；2）服务质量保证措施和方法。 涵盖上述内容且项目服务质量的措施和方法完整合理、切实可行，充分满足项目要求，得</w:t>
            </w:r>
            <w:r>
              <w:rPr>
                <w:rFonts w:hint="eastAsia" w:ascii="宋体" w:hAnsi="宋体" w:eastAsia="宋体" w:cs="宋体"/>
                <w:b w:val="0"/>
                <w:bCs w:val="0"/>
                <w:color w:val="auto"/>
                <w:sz w:val="24"/>
                <w:szCs w:val="24"/>
              </w:rPr>
              <w:t>(8-10]</w:t>
            </w:r>
            <w:r>
              <w:rPr>
                <w:rFonts w:ascii="宋体" w:hAnsi="宋体" w:eastAsia="宋体" w:cs="宋体"/>
                <w:sz w:val="24"/>
                <w:szCs w:val="24"/>
              </w:rPr>
              <w:t>分；涵盖上述内容且项目质量管理的措施和方法完整合 理、但可行性不高，基本满足项目要求，得</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ascii="宋体" w:hAnsi="宋体" w:eastAsia="宋体" w:cs="宋体"/>
                <w:sz w:val="24"/>
                <w:szCs w:val="24"/>
              </w:rPr>
              <w:t>；涵盖上述内容且项目质量管理的措施和方法合理但不够具体，得</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ascii="宋体" w:hAnsi="宋体" w:eastAsia="宋体" w:cs="宋体"/>
                <w:sz w:val="24"/>
                <w:szCs w:val="24"/>
              </w:rPr>
              <w:t>分；未提供的得0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2" w:hRule="atLeast"/>
          <w:jc w:val="center"/>
        </w:trPr>
        <w:tc>
          <w:tcPr>
            <w:tcW w:w="1107" w:type="dxa"/>
            <w:noWrap w:val="0"/>
            <w:tcMar>
              <w:top w:w="0" w:type="dxa"/>
              <w:left w:w="0" w:type="dxa"/>
              <w:bottom w:w="0" w:type="dxa"/>
              <w:right w:w="0" w:type="dxa"/>
            </w:tcMar>
            <w:vAlign w:val="center"/>
          </w:tcPr>
          <w:p>
            <w:pPr>
              <w:spacing w:line="400" w:lineRule="exact"/>
              <w:ind w:left="12" w:hanging="12" w:hangingChars="5"/>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应急保障</w:t>
            </w: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rPr>
              <w:t>10分</w:t>
            </w:r>
          </w:p>
        </w:tc>
        <w:tc>
          <w:tcPr>
            <w:tcW w:w="8158" w:type="dxa"/>
            <w:noWrap w:val="0"/>
            <w:tcMar>
              <w:top w:w="0" w:type="dxa"/>
              <w:left w:w="0" w:type="dxa"/>
              <w:bottom w:w="0" w:type="dxa"/>
              <w:right w:w="0" w:type="dxa"/>
            </w:tcMar>
            <w:vAlign w:val="center"/>
          </w:tcPr>
          <w:p>
            <w:pPr>
              <w:spacing w:line="400" w:lineRule="exact"/>
              <w:ind w:left="99" w:right="132" w:rightChars="55"/>
              <w:rPr>
                <w:rFonts w:hint="eastAsia" w:ascii="宋体" w:hAnsi="宋体" w:eastAsia="宋体" w:cs="宋体"/>
                <w:b w:val="0"/>
                <w:bCs w:val="0"/>
                <w:color w:val="auto"/>
                <w:sz w:val="24"/>
                <w:szCs w:val="24"/>
              </w:rPr>
            </w:pPr>
            <w:r>
              <w:rPr>
                <w:rFonts w:ascii="宋体" w:hAnsi="宋体" w:eastAsia="宋体" w:cs="宋体"/>
                <w:sz w:val="24"/>
                <w:szCs w:val="24"/>
              </w:rPr>
              <w:t>应急方案包括但不限于突发情况的处理能力、人员的调配等方面：应急方案 描述详细、合理且可行性高，服务体系规范、响应及时得</w:t>
            </w:r>
            <w:r>
              <w:rPr>
                <w:rFonts w:hint="eastAsia" w:ascii="宋体" w:hAnsi="宋体" w:eastAsia="宋体" w:cs="宋体"/>
                <w:b w:val="0"/>
                <w:bCs w:val="0"/>
                <w:color w:val="auto"/>
                <w:sz w:val="24"/>
                <w:szCs w:val="24"/>
              </w:rPr>
              <w:t>(8-10]</w:t>
            </w:r>
            <w:r>
              <w:rPr>
                <w:rFonts w:ascii="宋体" w:hAnsi="宋体" w:eastAsia="宋体" w:cs="宋体"/>
                <w:sz w:val="24"/>
                <w:szCs w:val="24"/>
              </w:rPr>
              <w:t>分；应急方案 描述较为详细、合理、具有一定的可行性，基本满足项目要求的得</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ascii="宋体" w:hAnsi="宋体" w:eastAsia="宋体" w:cs="宋体"/>
                <w:sz w:val="24"/>
                <w:szCs w:val="24"/>
              </w:rPr>
              <w:t>分； 应急方案描述完整但不够详细、合理性一般，服务承诺不够具体，不完全满足项目要求的得</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ascii="宋体" w:hAnsi="宋体" w:eastAsia="宋体" w:cs="宋体"/>
                <w:sz w:val="24"/>
                <w:szCs w:val="24"/>
              </w:rPr>
              <w:t>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7" w:type="dxa"/>
            <w:noWrap w:val="0"/>
            <w:tcMar>
              <w:top w:w="0" w:type="dxa"/>
              <w:left w:w="0" w:type="dxa"/>
              <w:bottom w:w="0" w:type="dxa"/>
              <w:right w:w="0" w:type="dxa"/>
            </w:tcMar>
            <w:vAlign w:val="center"/>
          </w:tcPr>
          <w:p>
            <w:pPr>
              <w:spacing w:line="400" w:lineRule="exact"/>
              <w:ind w:left="12" w:hanging="12" w:hangingChars="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服务要求</w:t>
            </w: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10</w:t>
            </w:r>
            <w:r>
              <w:rPr>
                <w:rFonts w:hint="eastAsia" w:ascii="宋体" w:hAnsi="宋体" w:eastAsia="宋体" w:cs="宋体"/>
                <w:b w:val="0"/>
                <w:bCs w:val="0"/>
                <w:color w:val="auto"/>
              </w:rPr>
              <w:t>分</w:t>
            </w:r>
          </w:p>
        </w:tc>
        <w:tc>
          <w:tcPr>
            <w:tcW w:w="8158" w:type="dxa"/>
            <w:noWrap w:val="0"/>
            <w:tcMar>
              <w:top w:w="0" w:type="dxa"/>
              <w:left w:w="0" w:type="dxa"/>
              <w:bottom w:w="0" w:type="dxa"/>
              <w:right w:w="0" w:type="dxa"/>
            </w:tcMar>
            <w:vAlign w:val="center"/>
          </w:tcPr>
          <w:p>
            <w:pPr>
              <w:spacing w:line="400" w:lineRule="exact"/>
              <w:ind w:left="99" w:right="132" w:rightChars="55"/>
              <w:jc w:val="left"/>
              <w:rPr>
                <w:rFonts w:hint="eastAsia" w:ascii="宋体" w:hAnsi="宋体" w:eastAsia="宋体" w:cs="宋体"/>
                <w:b w:val="0"/>
                <w:bCs w:val="0"/>
                <w:color w:val="auto"/>
                <w:sz w:val="24"/>
                <w:szCs w:val="24"/>
              </w:rPr>
            </w:pPr>
            <w:r>
              <w:rPr>
                <w:rFonts w:ascii="宋体" w:hAnsi="宋体" w:eastAsia="宋体" w:cs="宋体"/>
                <w:sz w:val="24"/>
                <w:szCs w:val="24"/>
              </w:rPr>
              <w:t>服务要求完全满足采购需求的，得</w:t>
            </w:r>
            <w:r>
              <w:rPr>
                <w:rFonts w:hint="eastAsia" w:ascii="宋体" w:hAnsi="宋体" w:eastAsia="宋体" w:cs="宋体"/>
                <w:sz w:val="24"/>
                <w:szCs w:val="24"/>
                <w:lang w:val="en-US" w:eastAsia="zh-CN"/>
              </w:rPr>
              <w:t>10</w:t>
            </w:r>
            <w:r>
              <w:rPr>
                <w:rFonts w:ascii="宋体" w:hAnsi="宋体" w:eastAsia="宋体" w:cs="宋体"/>
                <w:sz w:val="24"/>
                <w:szCs w:val="24"/>
              </w:rPr>
              <w:t>分，负偏一项扣</w:t>
            </w:r>
            <w:r>
              <w:rPr>
                <w:rFonts w:hint="eastAsia" w:ascii="宋体" w:hAnsi="宋体" w:eastAsia="宋体" w:cs="宋体"/>
                <w:sz w:val="24"/>
                <w:szCs w:val="24"/>
                <w:lang w:val="en-US" w:eastAsia="zh-CN"/>
              </w:rPr>
              <w:t>1</w:t>
            </w:r>
            <w:r>
              <w:rPr>
                <w:rFonts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7" w:type="dxa"/>
            <w:noWrap w:val="0"/>
            <w:tcMar>
              <w:top w:w="0" w:type="dxa"/>
              <w:left w:w="0" w:type="dxa"/>
              <w:bottom w:w="0" w:type="dxa"/>
              <w:right w:w="0" w:type="dxa"/>
            </w:tcMar>
            <w:vAlign w:val="center"/>
          </w:tcPr>
          <w:p>
            <w:pPr>
              <w:spacing w:line="400" w:lineRule="exact"/>
              <w:ind w:left="12" w:hanging="12" w:hangingChars="5"/>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项目理解</w:t>
            </w: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10</w:t>
            </w:r>
            <w:r>
              <w:rPr>
                <w:rFonts w:hint="eastAsia" w:ascii="宋体" w:hAnsi="宋体" w:eastAsia="宋体" w:cs="宋体"/>
                <w:b w:val="0"/>
                <w:bCs w:val="0"/>
                <w:color w:val="auto"/>
              </w:rPr>
              <w:t>分</w:t>
            </w:r>
          </w:p>
        </w:tc>
        <w:tc>
          <w:tcPr>
            <w:tcW w:w="8158" w:type="dxa"/>
            <w:noWrap w:val="0"/>
            <w:tcMar>
              <w:top w:w="0" w:type="dxa"/>
              <w:left w:w="0" w:type="dxa"/>
              <w:bottom w:w="0" w:type="dxa"/>
              <w:right w:w="0" w:type="dxa"/>
            </w:tcMar>
            <w:vAlign w:val="center"/>
          </w:tcPr>
          <w:p>
            <w:pPr>
              <w:spacing w:line="400" w:lineRule="exact"/>
              <w:ind w:left="99" w:right="132" w:rightChars="5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供应商针对本项目具体内容及特点分析到位，</w:t>
            </w:r>
            <w:r>
              <w:rPr>
                <w:rFonts w:ascii="宋体" w:hAnsi="宋体" w:eastAsia="宋体" w:cs="宋体"/>
                <w:sz w:val="24"/>
                <w:szCs w:val="24"/>
              </w:rPr>
              <w:t>对本项目掌握程度充分、准确性强，分析紧密及深刻，得</w:t>
            </w:r>
            <w:r>
              <w:rPr>
                <w:rFonts w:hint="eastAsia" w:ascii="宋体" w:hAnsi="宋体" w:eastAsia="宋体" w:cs="宋体"/>
                <w:b w:val="0"/>
                <w:bCs w:val="0"/>
                <w:color w:val="auto"/>
                <w:sz w:val="24"/>
                <w:szCs w:val="24"/>
              </w:rPr>
              <w:t>(8-10]</w:t>
            </w:r>
            <w:r>
              <w:rPr>
                <w:rFonts w:ascii="宋体" w:hAnsi="宋体" w:eastAsia="宋体" w:cs="宋体"/>
                <w:sz w:val="24"/>
                <w:szCs w:val="24"/>
              </w:rPr>
              <w:t>分；对本项目掌握程度较充分、准确性良好，分析程度比较深入，得</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ascii="宋体" w:hAnsi="宋体" w:eastAsia="宋体" w:cs="宋体"/>
                <w:sz w:val="24"/>
                <w:szCs w:val="24"/>
              </w:rPr>
              <w:t>；对本项目掌握程度不完全充分、准确性一般，分析不到位，得</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ascii="宋体" w:hAnsi="宋体" w:eastAsia="宋体" w:cs="宋体"/>
                <w:sz w:val="24"/>
                <w:szCs w:val="24"/>
              </w:rPr>
              <w:t>分；对项目定位熟悉程度及采购需求完全不理解的，得</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51" w:hRule="atLeast"/>
          <w:jc w:val="center"/>
        </w:trPr>
        <w:tc>
          <w:tcPr>
            <w:tcW w:w="1107" w:type="dxa"/>
            <w:noWrap w:val="0"/>
            <w:tcMar>
              <w:top w:w="0" w:type="dxa"/>
              <w:left w:w="0" w:type="dxa"/>
              <w:bottom w:w="0" w:type="dxa"/>
              <w:right w:w="0" w:type="dxa"/>
            </w:tcMar>
            <w:vAlign w:val="center"/>
          </w:tcPr>
          <w:p>
            <w:pPr>
              <w:spacing w:line="400" w:lineRule="exact"/>
              <w:ind w:left="12" w:hanging="12" w:hangingChars="5"/>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安全措施</w:t>
            </w: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rPr>
              <w:t>10分</w:t>
            </w:r>
          </w:p>
        </w:tc>
        <w:tc>
          <w:tcPr>
            <w:tcW w:w="8158" w:type="dxa"/>
            <w:noWrap w:val="0"/>
            <w:tcMar>
              <w:top w:w="0" w:type="dxa"/>
              <w:left w:w="0" w:type="dxa"/>
              <w:bottom w:w="0" w:type="dxa"/>
              <w:right w:w="0" w:type="dxa"/>
            </w:tcMar>
            <w:vAlign w:val="center"/>
          </w:tcPr>
          <w:p>
            <w:pPr>
              <w:autoSpaceDE w:val="0"/>
              <w:autoSpaceDN w:val="0"/>
              <w:adjustRightInd w:val="0"/>
              <w:spacing w:line="400" w:lineRule="exact"/>
              <w:ind w:left="98" w:leftChars="41"/>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供应商的运行维护工作必须遵循并优化现有的安全体系，必须在现有安全体制下提出确保系统安全可靠的安全策略、措施和步骤。安全措施能够确系统安全可靠，步骤完善，计(8-10]分；安全措施能够基本确保系统安全，计(5-8]分；安全措施不完善，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0" w:hRule="atLeast"/>
          <w:jc w:val="center"/>
        </w:trPr>
        <w:tc>
          <w:tcPr>
            <w:tcW w:w="1107" w:type="dxa"/>
            <w:noWrap w:val="0"/>
            <w:tcMar>
              <w:top w:w="0" w:type="dxa"/>
              <w:left w:w="0" w:type="dxa"/>
              <w:bottom w:w="0" w:type="dxa"/>
              <w:right w:w="0" w:type="dxa"/>
            </w:tcMar>
            <w:vAlign w:val="center"/>
          </w:tcPr>
          <w:p>
            <w:pPr>
              <w:spacing w:line="400" w:lineRule="exact"/>
              <w:ind w:left="12" w:hanging="12" w:hangingChars="5"/>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实施进度及计划</w:t>
            </w: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10</w:t>
            </w:r>
            <w:r>
              <w:rPr>
                <w:rFonts w:hint="eastAsia" w:ascii="宋体" w:hAnsi="宋体" w:eastAsia="宋体" w:cs="宋体"/>
                <w:b w:val="0"/>
                <w:bCs w:val="0"/>
                <w:color w:val="auto"/>
              </w:rPr>
              <w:t>分</w:t>
            </w:r>
          </w:p>
        </w:tc>
        <w:tc>
          <w:tcPr>
            <w:tcW w:w="8158" w:type="dxa"/>
            <w:noWrap w:val="0"/>
            <w:tcMar>
              <w:top w:w="0" w:type="dxa"/>
              <w:left w:w="0" w:type="dxa"/>
              <w:bottom w:w="0" w:type="dxa"/>
              <w:right w:w="0" w:type="dxa"/>
            </w:tcMar>
            <w:vAlign w:val="center"/>
          </w:tcPr>
          <w:p>
            <w:pPr>
              <w:autoSpaceDE w:val="0"/>
              <w:autoSpaceDN w:val="0"/>
              <w:adjustRightInd w:val="0"/>
              <w:spacing w:line="400" w:lineRule="exact"/>
              <w:ind w:left="98" w:leftChars="41"/>
              <w:jc w:val="left"/>
              <w:rPr>
                <w:rFonts w:hint="eastAsia" w:ascii="宋体" w:hAnsi="宋体" w:eastAsia="宋体" w:cs="宋体"/>
                <w:b w:val="0"/>
                <w:bCs w:val="0"/>
                <w:color w:val="auto"/>
                <w:sz w:val="24"/>
                <w:szCs w:val="24"/>
              </w:rPr>
            </w:pPr>
            <w:r>
              <w:rPr>
                <w:rFonts w:ascii="宋体" w:hAnsi="宋体" w:eastAsia="宋体" w:cs="宋体"/>
                <w:sz w:val="24"/>
                <w:szCs w:val="24"/>
              </w:rPr>
              <w:t>项目工作开展程序及计划安排包括但不限于工作开展的安排的紧凑性，服务 流程的合理性等：项目工作开展程序及安排清晰、便捷、全面合理，得</w:t>
            </w:r>
            <w:r>
              <w:rPr>
                <w:rFonts w:hint="eastAsia" w:ascii="宋体" w:hAnsi="宋体" w:eastAsia="宋体" w:cs="宋体"/>
                <w:b w:val="0"/>
                <w:bCs w:val="0"/>
                <w:color w:val="auto"/>
                <w:sz w:val="24"/>
                <w:szCs w:val="24"/>
              </w:rPr>
              <w:t>(8-10]</w:t>
            </w:r>
            <w:r>
              <w:rPr>
                <w:rFonts w:ascii="宋体" w:hAnsi="宋体" w:eastAsia="宋体" w:cs="宋体"/>
                <w:sz w:val="24"/>
                <w:szCs w:val="24"/>
              </w:rPr>
              <w:t xml:space="preserve"> 分；项目工作开展程序及安排基本清晰，便捷性一般，合理性一般，得</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ascii="宋体" w:hAnsi="宋体" w:eastAsia="宋体" w:cs="宋体"/>
                <w:sz w:val="24"/>
                <w:szCs w:val="24"/>
              </w:rPr>
              <w:t>分；项目工作开展程序及安排不够清晰，繁琐，欠缺合理性， 得</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ascii="宋体" w:hAnsi="宋体" w:eastAsia="宋体" w:cs="宋体"/>
                <w:sz w:val="24"/>
                <w:szCs w:val="24"/>
              </w:rPr>
              <w:t>分；项目工作开展程序及安排</w:t>
            </w:r>
            <w:r>
              <w:rPr>
                <w:rFonts w:hint="eastAsia" w:ascii="宋体" w:hAnsi="宋体" w:eastAsia="宋体" w:cs="宋体"/>
                <w:sz w:val="24"/>
                <w:szCs w:val="24"/>
                <w:lang w:eastAsia="zh-CN"/>
              </w:rPr>
              <w:t>，</w:t>
            </w:r>
            <w:r>
              <w:rPr>
                <w:rFonts w:ascii="宋体" w:hAnsi="宋体" w:eastAsia="宋体" w:cs="宋体"/>
                <w:sz w:val="24"/>
                <w:szCs w:val="24"/>
              </w:rPr>
              <w:t>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107" w:type="dxa"/>
            <w:noWrap w:val="0"/>
            <w:tcMar>
              <w:top w:w="0" w:type="dxa"/>
              <w:left w:w="0" w:type="dxa"/>
              <w:bottom w:w="0" w:type="dxa"/>
              <w:right w:w="0" w:type="dxa"/>
            </w:tcMar>
            <w:vAlign w:val="center"/>
          </w:tcPr>
          <w:p>
            <w:pPr>
              <w:spacing w:line="400" w:lineRule="exact"/>
              <w:ind w:left="12" w:leftChars="0" w:hanging="12" w:hangingChars="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培训方案</w:t>
            </w:r>
          </w:p>
        </w:tc>
        <w:tc>
          <w:tcPr>
            <w:tcW w:w="905" w:type="dxa"/>
            <w:noWrap w:val="0"/>
            <w:tcMar>
              <w:top w:w="0" w:type="dxa"/>
              <w:left w:w="0" w:type="dxa"/>
              <w:bottom w:w="0" w:type="dxa"/>
              <w:right w:w="0" w:type="dxa"/>
            </w:tcMar>
            <w:vAlign w:val="center"/>
          </w:tcPr>
          <w:p>
            <w:pPr>
              <w:pStyle w:val="24"/>
              <w:spacing w:line="400" w:lineRule="exact"/>
              <w:ind w:right="160" w:rightChars="0"/>
              <w:jc w:val="center"/>
              <w:rPr>
                <w:rFonts w:hint="eastAsia" w:ascii="宋体" w:hAnsi="宋体" w:eastAsia="宋体" w:cs="宋体"/>
                <w:b w:val="0"/>
                <w:bCs w:val="0"/>
                <w:color w:val="auto"/>
              </w:rPr>
            </w:pPr>
            <w:r>
              <w:rPr>
                <w:rFonts w:hint="eastAsia" w:ascii="宋体" w:hAnsi="宋体" w:eastAsia="宋体" w:cs="宋体"/>
                <w:b w:val="0"/>
                <w:bCs w:val="0"/>
                <w:color w:val="auto"/>
              </w:rPr>
              <w:t>5分</w:t>
            </w:r>
          </w:p>
        </w:tc>
        <w:tc>
          <w:tcPr>
            <w:tcW w:w="8158" w:type="dxa"/>
            <w:noWrap w:val="0"/>
            <w:tcMar>
              <w:top w:w="0" w:type="dxa"/>
              <w:left w:w="0" w:type="dxa"/>
              <w:bottom w:w="0" w:type="dxa"/>
              <w:right w:w="0" w:type="dxa"/>
            </w:tcMar>
            <w:vAlign w:val="center"/>
          </w:tcPr>
          <w:p>
            <w:pPr>
              <w:autoSpaceDE w:val="0"/>
              <w:autoSpaceDN w:val="0"/>
              <w:adjustRightInd w:val="0"/>
              <w:spacing w:line="400" w:lineRule="exact"/>
              <w:ind w:left="98" w:leftChars="41"/>
              <w:jc w:val="left"/>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color w:val="auto"/>
                <w:sz w:val="24"/>
                <w:szCs w:val="24"/>
              </w:rPr>
              <w:t>提供针对本项目有完整的培训方案，并列出培训的具体内容及方式，确保采购人能够独立熟练操作、维护和正常使用。</w:t>
            </w:r>
            <w:r>
              <w:rPr>
                <w:rFonts w:hint="eastAsia" w:ascii="宋体" w:hAnsi="宋体" w:eastAsia="宋体" w:cs="宋体"/>
                <w:b w:val="0"/>
                <w:bCs w:val="0"/>
                <w:sz w:val="24"/>
                <w:szCs w:val="24"/>
                <w:lang w:val="zh-CN"/>
              </w:rPr>
              <w:t>培训服务方案详细可行</w:t>
            </w:r>
            <w:r>
              <w:rPr>
                <w:rFonts w:hint="eastAsia" w:ascii="宋体" w:hAnsi="宋体" w:eastAsia="宋体" w:cs="宋体"/>
                <w:b w:val="0"/>
                <w:bCs w:val="0"/>
                <w:color w:val="auto"/>
                <w:sz w:val="24"/>
                <w:szCs w:val="24"/>
              </w:rPr>
              <w:t>计（3-5]分；</w:t>
            </w:r>
            <w:r>
              <w:rPr>
                <w:rFonts w:hint="eastAsia" w:ascii="宋体" w:hAnsi="宋体" w:eastAsia="宋体" w:cs="宋体"/>
                <w:b w:val="0"/>
                <w:bCs w:val="0"/>
                <w:sz w:val="24"/>
                <w:szCs w:val="24"/>
                <w:lang w:val="zh-CN"/>
              </w:rPr>
              <w:t>培训服务方案基本合理</w:t>
            </w:r>
            <w:r>
              <w:rPr>
                <w:rFonts w:hint="eastAsia" w:ascii="宋体" w:hAnsi="宋体" w:eastAsia="宋体" w:cs="宋体"/>
                <w:b w:val="0"/>
                <w:bCs w:val="0"/>
                <w:color w:val="auto"/>
                <w:sz w:val="24"/>
                <w:szCs w:val="24"/>
              </w:rPr>
              <w:t>计（</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-3]分；未描述不得分。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107" w:type="dxa"/>
            <w:noWrap w:val="0"/>
            <w:tcMar>
              <w:top w:w="0" w:type="dxa"/>
              <w:left w:w="0" w:type="dxa"/>
              <w:bottom w:w="0" w:type="dxa"/>
              <w:right w:w="0" w:type="dxa"/>
            </w:tcMar>
            <w:vAlign w:val="center"/>
          </w:tcPr>
          <w:p>
            <w:pPr>
              <w:pageBreakBefore w:val="0"/>
              <w:kinsoku/>
              <w:overflowPunct/>
              <w:topLinePunct w:val="0"/>
              <w:autoSpaceDE/>
              <w:autoSpaceDN/>
              <w:bidi w:val="0"/>
              <w:adjustRightInd/>
              <w:spacing w:line="360" w:lineRule="auto"/>
              <w:ind w:left="-8" w:firstLine="19" w:firstLineChars="8"/>
              <w:jc w:val="center"/>
              <w:textAlignment w:val="auto"/>
              <w:rPr>
                <w:rFonts w:hint="eastAsia" w:ascii="宋体" w:hAnsi="宋体" w:eastAsia="宋体" w:cs="宋体"/>
                <w:b w:val="0"/>
                <w:bCs w:val="0"/>
                <w:sz w:val="24"/>
                <w:szCs w:val="24"/>
                <w:lang w:val="zh-CN"/>
              </w:rPr>
            </w:pPr>
          </w:p>
          <w:p>
            <w:pPr>
              <w:pageBreakBefore w:val="0"/>
              <w:kinsoku/>
              <w:overflowPunct/>
              <w:topLinePunct w:val="0"/>
              <w:autoSpaceDE/>
              <w:autoSpaceDN/>
              <w:bidi w:val="0"/>
              <w:adjustRightInd/>
              <w:spacing w:line="360" w:lineRule="auto"/>
              <w:ind w:left="-8" w:firstLine="19" w:firstLineChars="8"/>
              <w:jc w:val="center"/>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售后服务</w:t>
            </w:r>
          </w:p>
          <w:p>
            <w:pPr>
              <w:spacing w:line="400" w:lineRule="exact"/>
              <w:ind w:left="12" w:hanging="12" w:hangingChars="5"/>
              <w:jc w:val="center"/>
              <w:rPr>
                <w:rFonts w:hint="eastAsia" w:ascii="宋体" w:hAnsi="宋体" w:eastAsia="宋体" w:cs="宋体"/>
                <w:b w:val="0"/>
                <w:bCs w:val="0"/>
                <w:color w:val="auto"/>
                <w:sz w:val="24"/>
                <w:szCs w:val="24"/>
              </w:rPr>
            </w:pPr>
          </w:p>
        </w:tc>
        <w:tc>
          <w:tcPr>
            <w:tcW w:w="905" w:type="dxa"/>
            <w:noWrap w:val="0"/>
            <w:tcMar>
              <w:top w:w="0" w:type="dxa"/>
              <w:left w:w="0" w:type="dxa"/>
              <w:bottom w:w="0" w:type="dxa"/>
              <w:right w:w="0" w:type="dxa"/>
            </w:tcMar>
            <w:vAlign w:val="center"/>
          </w:tcPr>
          <w:p>
            <w:pPr>
              <w:pStyle w:val="24"/>
              <w:spacing w:line="400" w:lineRule="exact"/>
              <w:ind w:right="160"/>
              <w:jc w:val="center"/>
              <w:rPr>
                <w:rFonts w:hint="eastAsia" w:ascii="宋体" w:hAnsi="宋体" w:eastAsia="宋体" w:cs="宋体"/>
                <w:b w:val="0"/>
                <w:bCs w:val="0"/>
                <w:color w:val="auto"/>
              </w:rPr>
            </w:pPr>
            <w:r>
              <w:rPr>
                <w:rFonts w:hint="eastAsia" w:ascii="宋体" w:hAnsi="宋体" w:eastAsia="宋体" w:cs="宋体"/>
                <w:b w:val="0"/>
                <w:bCs w:val="0"/>
                <w:color w:val="auto"/>
              </w:rPr>
              <w:t>5分</w:t>
            </w:r>
          </w:p>
        </w:tc>
        <w:tc>
          <w:tcPr>
            <w:tcW w:w="8158" w:type="dxa"/>
            <w:noWrap w:val="0"/>
            <w:tcMar>
              <w:top w:w="0" w:type="dxa"/>
              <w:left w:w="0" w:type="dxa"/>
              <w:bottom w:w="0" w:type="dxa"/>
              <w:right w:w="0" w:type="dxa"/>
            </w:tcMar>
            <w:vAlign w:val="center"/>
          </w:tcPr>
          <w:p>
            <w:pPr>
              <w:autoSpaceDE w:val="0"/>
              <w:autoSpaceDN w:val="0"/>
              <w:adjustRightInd w:val="0"/>
              <w:spacing w:line="400" w:lineRule="exact"/>
              <w:ind w:left="98" w:leftChars="41"/>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2"/>
                <w:szCs w:val="22"/>
                <w:u w:val="none"/>
                <w:lang w:val="en-US" w:eastAsia="zh-CN" w:bidi="ar"/>
              </w:rPr>
              <w:t>投标人应在陕西省内建立直属服务机构，售后服务条款具体、可行，并对本项目有详细的售后服务措施承诺，且具体、可行具有、可行的技术培训措施，保证使用单位能熟练操作、维护和正常使用，</w:t>
            </w:r>
            <w:r>
              <w:rPr>
                <w:rFonts w:hint="eastAsia" w:ascii="宋体" w:hAnsi="宋体" w:eastAsia="宋体" w:cs="宋体"/>
                <w:b w:val="0"/>
                <w:bCs w:val="0"/>
                <w:color w:val="auto"/>
                <w:sz w:val="24"/>
                <w:szCs w:val="24"/>
                <w:lang w:val="en-US" w:eastAsia="zh-CN"/>
              </w:rPr>
              <w:t>根据响应程度计</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4" w:hRule="atLeast"/>
          <w:jc w:val="center"/>
        </w:trPr>
        <w:tc>
          <w:tcPr>
            <w:tcW w:w="1107" w:type="dxa"/>
            <w:noWrap w:val="0"/>
            <w:tcMar>
              <w:top w:w="0" w:type="dxa"/>
              <w:left w:w="0" w:type="dxa"/>
              <w:bottom w:w="0" w:type="dxa"/>
              <w:right w:w="0" w:type="dxa"/>
            </w:tcMar>
            <w:vAlign w:val="center"/>
          </w:tcPr>
          <w:p>
            <w:pPr>
              <w:spacing w:line="400" w:lineRule="exact"/>
              <w:ind w:left="12" w:hanging="12" w:hangingChars="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类似项目经验</w:t>
            </w:r>
          </w:p>
        </w:tc>
        <w:tc>
          <w:tcPr>
            <w:tcW w:w="905" w:type="dxa"/>
            <w:noWrap w:val="0"/>
            <w:tcMar>
              <w:top w:w="0" w:type="dxa"/>
              <w:left w:w="0" w:type="dxa"/>
              <w:bottom w:w="0" w:type="dxa"/>
              <w:right w:w="0" w:type="dxa"/>
            </w:tcMar>
            <w:vAlign w:val="center"/>
          </w:tcPr>
          <w:p>
            <w:pPr>
              <w:pStyle w:val="24"/>
              <w:spacing w:line="400" w:lineRule="exact"/>
              <w:ind w:right="160"/>
              <w:jc w:val="center"/>
              <w:rPr>
                <w:rFonts w:hint="default"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10</w:t>
            </w:r>
            <w:r>
              <w:rPr>
                <w:rFonts w:hint="eastAsia" w:ascii="宋体" w:hAnsi="宋体" w:eastAsia="宋体" w:cs="宋体"/>
                <w:b w:val="0"/>
                <w:bCs w:val="0"/>
                <w:color w:val="auto"/>
              </w:rPr>
              <w:t>分</w:t>
            </w:r>
          </w:p>
        </w:tc>
        <w:tc>
          <w:tcPr>
            <w:tcW w:w="8158" w:type="dxa"/>
            <w:noWrap w:val="0"/>
            <w:tcMar>
              <w:top w:w="0" w:type="dxa"/>
              <w:left w:w="0" w:type="dxa"/>
              <w:bottom w:w="0" w:type="dxa"/>
              <w:right w:w="0" w:type="dxa"/>
            </w:tcMar>
            <w:vAlign w:val="center"/>
          </w:tcPr>
          <w:p>
            <w:pPr>
              <w:autoSpaceDE w:val="0"/>
              <w:autoSpaceDN w:val="0"/>
              <w:adjustRightInd w:val="0"/>
              <w:spacing w:line="400" w:lineRule="exact"/>
              <w:ind w:left="98" w:leftChars="41"/>
              <w:jc w:val="left"/>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eastAsia="zh-CN"/>
              </w:rPr>
              <w:t>提供</w:t>
            </w:r>
            <w:r>
              <w:rPr>
                <w:rFonts w:hint="eastAsia" w:ascii="宋体" w:hAnsi="宋体" w:eastAsia="宋体" w:cs="宋体"/>
                <w:b w:val="0"/>
                <w:bCs w:val="0"/>
                <w:sz w:val="24"/>
                <w:szCs w:val="24"/>
                <w:lang w:val="en-US" w:eastAsia="zh-CN"/>
              </w:rPr>
              <w:t>2019</w:t>
            </w:r>
            <w:r>
              <w:rPr>
                <w:rFonts w:hint="eastAsia" w:ascii="宋体" w:hAnsi="宋体" w:eastAsia="宋体" w:cs="宋体"/>
                <w:b w:val="0"/>
                <w:bCs w:val="0"/>
                <w:sz w:val="24"/>
                <w:szCs w:val="24"/>
                <w:lang w:val="zh-CN" w:eastAsia="zh-CN"/>
              </w:rPr>
              <w:t>年1月1日至今类似项目业绩证明材料</w:t>
            </w:r>
            <w:r>
              <w:rPr>
                <w:rFonts w:hint="eastAsia" w:ascii="宋体" w:hAnsi="宋体" w:eastAsia="宋体" w:cs="宋体"/>
                <w:b w:val="0"/>
                <w:bCs w:val="0"/>
                <w:sz w:val="24"/>
                <w:szCs w:val="24"/>
                <w:lang w:val="zh-CN"/>
              </w:rPr>
              <w:t>（以合同签订日期为准），提供合同或中标通知书复印件为准，</w:t>
            </w:r>
            <w:r>
              <w:rPr>
                <w:rFonts w:hint="eastAsia" w:ascii="宋体" w:hAnsi="宋体" w:eastAsia="宋体" w:cs="宋体"/>
                <w:b w:val="0"/>
                <w:bCs w:val="0"/>
                <w:sz w:val="24"/>
                <w:szCs w:val="24"/>
                <w:lang w:val="zh-CN" w:eastAsia="zh-CN"/>
              </w:rPr>
              <w:t>每提供</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val="zh-CN" w:eastAsia="zh-CN"/>
              </w:rPr>
              <w:t>个得</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val="zh-CN" w:eastAsia="zh-CN"/>
              </w:rPr>
              <w:t>分，满分</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lang w:val="zh-CN" w:eastAsia="zh-CN"/>
              </w:rPr>
              <w:t>分；</w:t>
            </w:r>
          </w:p>
        </w:tc>
      </w:tr>
    </w:tbl>
    <w:p>
      <w:pPr>
        <w:pStyle w:val="18"/>
        <w:rPr>
          <w:rFonts w:hint="eastAsia" w:ascii="宋体" w:hAnsi="宋体" w:eastAsia="宋体" w:cs="宋体"/>
          <w:b/>
          <w:bCs/>
          <w:szCs w:val="24"/>
        </w:rPr>
      </w:pP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（八） 授予合同</w:t>
      </w:r>
    </w:p>
    <w:p>
      <w:pPr>
        <w:spacing w:line="360" w:lineRule="auto"/>
        <w:ind w:firstLine="480" w:firstLineChars="200"/>
        <w:rPr>
          <w:rFonts w:hint="eastAsia" w:ascii="宋体" w:hAnsi="宋体" w:eastAsia="宋体" w:cs="宋体"/>
          <w:szCs w:val="24"/>
        </w:rPr>
      </w:pPr>
      <w:bookmarkStart w:id="56" w:name="_Toc246928926"/>
      <w:bookmarkStart w:id="57" w:name="_Toc385992361"/>
      <w:bookmarkStart w:id="58" w:name="_Toc389620200"/>
      <w:bookmarkStart w:id="59" w:name="_Toc394934441"/>
      <w:r>
        <w:rPr>
          <w:rFonts w:hint="eastAsia" w:ascii="宋体" w:hAnsi="宋体" w:eastAsia="宋体" w:cs="宋体"/>
          <w:szCs w:val="24"/>
        </w:rPr>
        <w:t>23、成交准则</w:t>
      </w:r>
      <w:bookmarkEnd w:id="56"/>
      <w:bookmarkEnd w:id="57"/>
      <w:bookmarkEnd w:id="58"/>
      <w:bookmarkEnd w:id="59"/>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60" w:name="_Toc389620201"/>
      <w:bookmarkStart w:id="61" w:name="_Toc385992362"/>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60"/>
    <w:bookmarkEnd w:id="61"/>
    <w:p>
      <w:pPr>
        <w:spacing w:line="360" w:lineRule="auto"/>
        <w:ind w:firstLine="480" w:firstLineChars="200"/>
        <w:rPr>
          <w:rFonts w:hint="eastAsia" w:ascii="宋体" w:hAnsi="宋体" w:eastAsia="宋体" w:cs="宋体"/>
          <w:szCs w:val="24"/>
        </w:rPr>
      </w:pPr>
      <w:bookmarkStart w:id="62" w:name="_Toc385992364"/>
      <w:bookmarkStart w:id="63" w:name="_Toc389620203"/>
      <w:bookmarkStart w:id="64" w:name="_Toc246928927"/>
      <w:bookmarkStart w:id="65" w:name="_Toc394934442"/>
      <w:r>
        <w:rPr>
          <w:rFonts w:hint="eastAsia" w:ascii="宋体" w:hAnsi="宋体" w:eastAsia="宋体" w:cs="宋体"/>
          <w:szCs w:val="24"/>
        </w:rPr>
        <w:t>24、定标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62"/>
    <w:bookmarkEnd w:id="63"/>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25、成交通知</w:t>
      </w:r>
      <w:bookmarkEnd w:id="64"/>
      <w:r>
        <w:rPr>
          <w:rFonts w:hint="eastAsia" w:ascii="宋体" w:hAnsi="宋体" w:eastAsia="宋体" w:cs="宋体"/>
          <w:szCs w:val="24"/>
        </w:rPr>
        <w:t>书</w:t>
      </w:r>
      <w:bookmarkEnd w:id="65"/>
    </w:p>
    <w:p>
      <w:pPr>
        <w:spacing w:line="360" w:lineRule="auto"/>
        <w:ind w:firstLine="480" w:firstLineChars="200"/>
        <w:rPr>
          <w:rFonts w:hint="eastAsia" w:ascii="宋体" w:hAnsi="宋体" w:eastAsia="宋体" w:cs="宋体"/>
          <w:szCs w:val="24"/>
        </w:rPr>
      </w:pPr>
      <w:bookmarkStart w:id="66" w:name="_Toc246928928"/>
      <w:bookmarkStart w:id="67" w:name="_Toc385992366"/>
      <w:bookmarkStart w:id="68" w:name="_Toc389620205"/>
      <w:bookmarkStart w:id="69" w:name="_Toc394934443"/>
      <w:r>
        <w:rPr>
          <w:rFonts w:hint="eastAsia" w:ascii="宋体" w:hAnsi="宋体" w:eastAsia="宋体" w:cs="宋体"/>
          <w:szCs w:val="24"/>
        </w:rPr>
        <w:t>25.1《成交通知书》将作为签订合同的依据。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26、签订合同</w:t>
      </w:r>
      <w:bookmarkEnd w:id="66"/>
      <w:bookmarkEnd w:id="67"/>
      <w:bookmarkEnd w:id="68"/>
      <w:bookmarkEnd w:id="69"/>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26.1成交人应当自成交通知书发出之日起30日内，按照磋商文件确定的事项和成交人的响应文件，持成交通知书与采购人签订合同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eastAsia="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（九）其它</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27、招标代理服务费</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27.1成交人领取成交结果通知书时，按国家计委颁发的《招标代理服务收费管理暂行办法》（计价格[2002]1980号）、（发改价格[2011]534号）规定的收费标准，以</w:t>
      </w:r>
      <w:r>
        <w:rPr>
          <w:rFonts w:hint="eastAsia" w:ascii="宋体" w:hAnsi="宋体" w:eastAsia="宋体" w:cs="宋体"/>
          <w:snapToGrid w:val="0"/>
          <w:szCs w:val="24"/>
          <w:lang w:eastAsia="zh-CN"/>
        </w:rPr>
        <w:t>成交</w:t>
      </w:r>
      <w:r>
        <w:rPr>
          <w:rFonts w:hint="eastAsia" w:ascii="宋体" w:hAnsi="宋体" w:eastAsia="宋体" w:cs="宋体"/>
          <w:snapToGrid w:val="0"/>
          <w:szCs w:val="24"/>
        </w:rPr>
        <w:t>价为基数计取，向采购代理机构一次支付招标代理服务费。</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28、招标服务费应采用转账、现金形式缴纳，不得用投标保证金冲抵。</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29、</w:t>
      </w:r>
      <w:r>
        <w:rPr>
          <w:rFonts w:hint="eastAsia" w:ascii="宋体" w:hAnsi="宋体" w:eastAsia="宋体" w:cs="宋体"/>
          <w:snapToGrid w:val="0"/>
          <w:szCs w:val="24"/>
          <w:lang w:eastAsia="zh-CN"/>
        </w:rPr>
        <w:t>成交</w:t>
      </w:r>
      <w:r>
        <w:rPr>
          <w:rFonts w:hint="eastAsia" w:ascii="宋体" w:hAnsi="宋体" w:eastAsia="宋体" w:cs="宋体"/>
          <w:snapToGrid w:val="0"/>
          <w:szCs w:val="24"/>
        </w:rPr>
        <w:t>人如未按上述第1条规定办理，采购代理机构将没收其投标保证金。提供投标担保的</w:t>
      </w:r>
      <w:r>
        <w:rPr>
          <w:rFonts w:hint="eastAsia" w:ascii="宋体" w:hAnsi="宋体" w:eastAsia="宋体" w:cs="宋体"/>
          <w:snapToGrid w:val="0"/>
          <w:szCs w:val="24"/>
          <w:lang w:eastAsia="zh-CN"/>
        </w:rPr>
        <w:t>供应商</w:t>
      </w:r>
      <w:r>
        <w:rPr>
          <w:rFonts w:hint="eastAsia" w:ascii="宋体" w:hAnsi="宋体" w:eastAsia="宋体" w:cs="宋体"/>
          <w:snapToGrid w:val="0"/>
          <w:szCs w:val="24"/>
        </w:rPr>
        <w:t>将由专业担保机构先行偿付采购代理机构损失。</w:t>
      </w:r>
    </w:p>
    <w:p>
      <w:pPr>
        <w:pStyle w:val="8"/>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30、本次项目的验收费用由</w:t>
      </w:r>
      <w:r>
        <w:rPr>
          <w:rFonts w:hint="eastAsia" w:ascii="宋体" w:hAnsi="宋体" w:eastAsia="宋体" w:cs="宋体"/>
          <w:snapToGrid w:val="0"/>
          <w:sz w:val="24"/>
          <w:szCs w:val="24"/>
          <w:lang w:eastAsia="zh-CN"/>
        </w:rPr>
        <w:t>成交供应商</w:t>
      </w:r>
      <w:r>
        <w:rPr>
          <w:rFonts w:hint="eastAsia" w:ascii="宋体" w:hAnsi="宋体" w:eastAsia="宋体" w:cs="宋体"/>
          <w:snapToGrid w:val="0"/>
          <w:sz w:val="24"/>
          <w:szCs w:val="24"/>
        </w:rPr>
        <w:t>承担。</w:t>
      </w:r>
    </w:p>
    <w:p>
      <w:pPr>
        <w:spacing w:line="360" w:lineRule="auto"/>
        <w:ind w:firstLine="482" w:firstLineChars="200"/>
        <w:jc w:val="center"/>
        <w:rPr>
          <w:rFonts w:hint="eastAsia" w:ascii="宋体" w:hAnsi="宋体" w:eastAsia="宋体" w:cs="宋体"/>
          <w:b/>
          <w:snapToGrid w:val="0"/>
          <w:szCs w:val="24"/>
        </w:rPr>
      </w:pPr>
      <w:bookmarkStart w:id="70" w:name="_Toc506112136"/>
      <w:r>
        <w:rPr>
          <w:rFonts w:hint="eastAsia" w:ascii="宋体" w:hAnsi="宋体" w:eastAsia="宋体" w:cs="宋体"/>
          <w:b/>
          <w:bCs/>
          <w:snapToGrid w:val="0"/>
          <w:szCs w:val="24"/>
        </w:rPr>
        <w:t>（</w:t>
      </w:r>
      <w:r>
        <w:rPr>
          <w:rFonts w:hint="eastAsia" w:ascii="宋体" w:hAnsi="宋体" w:eastAsia="宋体" w:cs="宋体"/>
          <w:b/>
          <w:snapToGrid w:val="0"/>
          <w:szCs w:val="24"/>
        </w:rPr>
        <w:t>十）重新组织采购活动</w:t>
      </w:r>
      <w:bookmarkEnd w:id="70"/>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31、如果发生下列情况之一，采购人和采购代理机构将按《政府采购法》、《政府采购货物和服务招标投标管理办法》（财政部第87号）等有关规定重新组织采购活动：</w:t>
      </w:r>
    </w:p>
    <w:p>
      <w:pPr>
        <w:spacing w:line="360" w:lineRule="auto"/>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pPr>
        <w:spacing w:line="360" w:lineRule="auto"/>
        <w:ind w:firstLine="480" w:firstLineChars="200"/>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pPr>
        <w:spacing w:line="360" w:lineRule="auto"/>
        <w:ind w:firstLine="480" w:firstLineChars="200"/>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pPr>
        <w:spacing w:line="360" w:lineRule="auto"/>
        <w:jc w:val="center"/>
        <w:rPr>
          <w:rFonts w:hint="eastAsia" w:ascii="宋体" w:hAnsi="宋体" w:eastAsia="宋体" w:cs="宋体"/>
          <w:kern w:val="0"/>
          <w:sz w:val="28"/>
          <w:szCs w:val="28"/>
        </w:rPr>
      </w:pPr>
      <w:bookmarkStart w:id="71" w:name="_Toc506112138"/>
      <w:bookmarkStart w:id="72" w:name="_Toc458617466"/>
      <w:bookmarkStart w:id="73" w:name="_Toc506112139"/>
      <w:bookmarkStart w:id="74" w:name="_Toc458617743"/>
      <w:r>
        <w:rPr>
          <w:rFonts w:hint="eastAsia" w:ascii="宋体" w:hAnsi="宋体" w:eastAsia="宋体" w:cs="宋体"/>
          <w:b/>
          <w:snapToGrid w:val="0"/>
          <w:szCs w:val="24"/>
        </w:rPr>
        <w:t>（十</w:t>
      </w:r>
      <w:r>
        <w:rPr>
          <w:rFonts w:hint="eastAsia" w:ascii="宋体" w:hAnsi="宋体" w:eastAsia="宋体" w:cs="宋体"/>
          <w:b/>
          <w:snapToGrid w:val="0"/>
          <w:szCs w:val="24"/>
          <w:lang w:eastAsia="zh-CN"/>
        </w:rPr>
        <w:t>一</w:t>
      </w:r>
      <w:r>
        <w:rPr>
          <w:rFonts w:hint="eastAsia" w:ascii="宋体" w:hAnsi="宋体" w:eastAsia="宋体" w:cs="宋体"/>
          <w:b/>
          <w:snapToGrid w:val="0"/>
          <w:szCs w:val="24"/>
        </w:rPr>
        <w:t>）询问、质疑与投诉</w:t>
      </w:r>
      <w:bookmarkEnd w:id="71"/>
      <w:r>
        <w:rPr>
          <w:rFonts w:hint="eastAsia" w:ascii="宋体" w:hAnsi="宋体" w:eastAsia="宋体" w:cs="宋体"/>
          <w:b/>
          <w:snapToGrid w:val="0"/>
          <w:szCs w:val="24"/>
        </w:rPr>
        <w:t>(按照中华人民共和国财政部令第94号执行)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3</w:t>
      </w:r>
      <w:r>
        <w:rPr>
          <w:rFonts w:hint="eastAsia" w:ascii="宋体" w:hAnsi="宋体" w:eastAsia="宋体" w:cs="宋体"/>
          <w:kern w:val="0"/>
          <w:szCs w:val="24"/>
          <w:lang w:val="en-US" w:eastAsia="zh-CN"/>
        </w:rPr>
        <w:t>3</w:t>
      </w:r>
      <w:r>
        <w:rPr>
          <w:rFonts w:hint="eastAsia" w:ascii="宋体" w:hAnsi="宋体" w:eastAsia="宋体" w:cs="宋体"/>
          <w:kern w:val="0"/>
          <w:szCs w:val="24"/>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33.2.1有异议的应提供以下资料，资料不全的不予受理：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33.3供应商在法定质疑期内必须一次性提出针对同一采购程序环节的质疑，多次提出相同质疑问题的采购人及采购代理机构不接收。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33.4质疑供应商对采购人、采购代理机构的答复不满意，认为本次招标活动违反法律、法规和规章规定的，有权向项目所在地财政局提出投诉，质疑是投诉的前置条件；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33.5其他应说明的事项：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33.5.1以上材料，质疑人须在每一页上加盖公章原件及电子版送至质疑函递交地址。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33.5.2质疑提出时间：质疑需在有效期内提出，逾期不予受理；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33.5.3质疑递交地址：华睿诚项目管理有限公司（</w:t>
      </w:r>
      <w:r>
        <w:rPr>
          <w:rFonts w:hint="eastAsia" w:ascii="宋体" w:hAnsi="宋体" w:eastAsia="宋体" w:cs="宋体"/>
          <w:sz w:val="24"/>
          <w:szCs w:val="24"/>
          <w:lang w:val="zh-CN"/>
        </w:rPr>
        <w:t>榆林市榆林大道南段富源大厦6楼综合办公室</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33.5.4联系人：</w:t>
      </w:r>
      <w:r>
        <w:rPr>
          <w:rFonts w:hint="eastAsia" w:ascii="宋体" w:hAnsi="宋体" w:cs="宋体"/>
          <w:sz w:val="24"/>
          <w:szCs w:val="24"/>
          <w:lang w:val="en-US" w:eastAsia="zh-CN"/>
        </w:rPr>
        <w:t>刘莉娥</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33.5.5联系电话：</w:t>
      </w:r>
      <w:r>
        <w:rPr>
          <w:rFonts w:hint="eastAsia" w:ascii="宋体" w:hAnsi="宋体" w:cs="宋体"/>
          <w:sz w:val="24"/>
          <w:szCs w:val="24"/>
          <w:lang w:val="en-US" w:eastAsia="zh-CN"/>
        </w:rPr>
        <w:t>0912-</w:t>
      </w:r>
      <w:r>
        <w:rPr>
          <w:rFonts w:hint="eastAsia" w:ascii="宋体" w:hAnsi="宋体" w:eastAsia="宋体" w:cs="宋体"/>
          <w:sz w:val="24"/>
          <w:szCs w:val="24"/>
          <w:lang w:val="en-US" w:eastAsia="zh-CN"/>
        </w:rPr>
        <w:t>3623000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3</w:t>
      </w:r>
      <w:r>
        <w:rPr>
          <w:rFonts w:hint="eastAsia" w:ascii="宋体" w:hAnsi="宋体" w:eastAsia="宋体" w:cs="宋体"/>
          <w:szCs w:val="24"/>
        </w:rPr>
        <w:t>.6投诉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（十三）拒绝商业贿赂</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4</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6</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pPr>
        <w:pStyle w:val="8"/>
        <w:spacing w:line="360" w:lineRule="auto"/>
        <w:rPr>
          <w:rFonts w:hint="eastAsia" w:ascii="宋体" w:hAnsi="宋体" w:eastAsia="宋体" w:cs="宋体"/>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3"/>
        <w:numPr>
          <w:ilvl w:val="0"/>
          <w:numId w:val="0"/>
        </w:numPr>
        <w:bidi w:val="0"/>
        <w:jc w:val="center"/>
        <w:rPr>
          <w:rFonts w:hint="eastAsia" w:ascii="宋体" w:hAnsi="宋体" w:eastAsia="宋体" w:cs="宋体"/>
          <w:lang w:val="en-US" w:eastAsia="zh-CN"/>
        </w:rPr>
      </w:pPr>
      <w:bookmarkStart w:id="75" w:name="_Toc25307_WPSOffice_Level1"/>
      <w:bookmarkStart w:id="76" w:name="_Toc9974"/>
      <w:bookmarkStart w:id="77" w:name="_Toc623"/>
      <w:bookmarkStart w:id="78" w:name="_Toc31624"/>
      <w:r>
        <w:rPr>
          <w:rFonts w:hint="eastAsia" w:ascii="宋体" w:hAnsi="宋体" w:cs="宋体"/>
          <w:lang w:val="en-US" w:eastAsia="zh-CN"/>
        </w:rPr>
        <w:t xml:space="preserve">第三章  </w:t>
      </w:r>
      <w:r>
        <w:rPr>
          <w:rFonts w:hint="eastAsia" w:ascii="宋体" w:hAnsi="宋体" w:eastAsia="宋体" w:cs="宋体"/>
          <w:lang w:val="en-US" w:eastAsia="zh-CN"/>
        </w:rPr>
        <w:t>合同范本</w:t>
      </w:r>
      <w:bookmarkEnd w:id="75"/>
      <w:bookmarkEnd w:id="76"/>
      <w:bookmarkEnd w:id="77"/>
      <w:bookmarkEnd w:id="78"/>
    </w:p>
    <w:p>
      <w:pPr>
        <w:spacing w:line="360" w:lineRule="auto"/>
        <w:jc w:val="center"/>
        <w:rPr>
          <w:rFonts w:hint="eastAsia" w:ascii="宋体" w:hAnsi="宋体" w:eastAsia="宋体" w:cs="宋体"/>
          <w:b/>
          <w:color w:val="000000"/>
          <w:sz w:val="36"/>
          <w:szCs w:val="52"/>
        </w:rPr>
      </w:pPr>
      <w:bookmarkStart w:id="79" w:name="_Toc10388"/>
      <w:bookmarkStart w:id="80" w:name="_Toc2880"/>
      <w:bookmarkStart w:id="81" w:name="_Toc29665"/>
      <w:bookmarkStart w:id="82" w:name="_Toc324521850"/>
      <w:bookmarkStart w:id="83" w:name="_Toc290389757"/>
      <w:bookmarkStart w:id="84" w:name="_Toc32712"/>
      <w:bookmarkStart w:id="85" w:name="_Toc321812053"/>
    </w:p>
    <w:bookmarkEnd w:id="79"/>
    <w:bookmarkEnd w:id="80"/>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ind w:firstLine="3064" w:firstLineChars="1090"/>
        <w:rPr>
          <w:rFonts w:hint="eastAsia" w:ascii="宋体" w:hAnsi="宋体" w:eastAsia="宋体" w:cs="宋体"/>
          <w:b/>
          <w:bCs/>
          <w:sz w:val="28"/>
          <w:szCs w:val="28"/>
        </w:rPr>
      </w:pPr>
      <w:bookmarkStart w:id="86" w:name="_Toc109542396"/>
      <w:bookmarkStart w:id="87" w:name="_Toc109543216"/>
    </w:p>
    <w:p>
      <w:pPr>
        <w:spacing w:before="120" w:line="360" w:lineRule="auto"/>
        <w:jc w:val="center"/>
        <w:rPr>
          <w:rFonts w:hint="eastAsia" w:ascii="宋体" w:hAnsi="宋体" w:eastAsia="宋体" w:cs="宋体"/>
          <w:sz w:val="28"/>
          <w:szCs w:val="28"/>
          <w:u w:val="single"/>
          <w:lang w:val="en-US" w:eastAsia="zh-CN"/>
        </w:rPr>
      </w:pPr>
      <w:r>
        <w:rPr>
          <w:rFonts w:hint="eastAsia" w:ascii="宋体" w:hAnsi="宋体" w:eastAsia="宋体" w:cs="宋体"/>
          <w:b/>
          <w:bCs/>
          <w:sz w:val="28"/>
          <w:szCs w:val="28"/>
        </w:rPr>
        <w:t>合同编号：</w:t>
      </w:r>
      <w:bookmarkEnd w:id="86"/>
      <w:bookmarkEnd w:id="87"/>
      <w:r>
        <w:rPr>
          <w:rFonts w:hint="eastAsia" w:ascii="宋体" w:hAnsi="宋体" w:eastAsia="宋体" w:cs="宋体"/>
          <w:b/>
          <w:bCs/>
          <w:sz w:val="28"/>
          <w:szCs w:val="28"/>
          <w:u w:val="single"/>
          <w:lang w:val="en-US" w:eastAsia="zh-CN"/>
        </w:rPr>
        <w:t xml:space="preserve">        </w:t>
      </w: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spacing w:before="120" w:line="360" w:lineRule="auto"/>
        <w:ind w:left="960"/>
        <w:rPr>
          <w:rFonts w:hint="eastAsia" w:ascii="宋体" w:hAnsi="宋体" w:eastAsia="宋体" w:cs="宋体"/>
          <w:b/>
          <w:bCs/>
          <w:sz w:val="28"/>
          <w:szCs w:val="28"/>
          <w:u w:val="none"/>
        </w:rPr>
      </w:pPr>
      <w:r>
        <w:rPr>
          <w:rFonts w:hint="eastAsia" w:ascii="宋体" w:hAnsi="宋体" w:eastAsia="宋体" w:cs="宋体"/>
          <w:b/>
          <w:bCs/>
          <w:sz w:val="28"/>
          <w:szCs w:val="28"/>
        </w:rPr>
        <w:t>项目名称：</w:t>
      </w:r>
      <w:r>
        <w:rPr>
          <w:rFonts w:hint="eastAsia" w:ascii="宋体" w:hAnsi="宋体" w:eastAsia="宋体" w:cs="宋体"/>
          <w:b/>
          <w:bCs/>
          <w:color w:val="000000"/>
          <w:sz w:val="28"/>
          <w:szCs w:val="28"/>
          <w:u w:val="single"/>
        </w:rPr>
        <w:t xml:space="preserve">                            </w:t>
      </w:r>
      <w:r>
        <w:rPr>
          <w:rFonts w:hint="eastAsia" w:ascii="宋体" w:hAnsi="宋体" w:eastAsia="宋体" w:cs="宋体"/>
          <w:b/>
          <w:bCs/>
          <w:sz w:val="28"/>
          <w:szCs w:val="28"/>
          <w:u w:val="none"/>
        </w:rPr>
        <w:t xml:space="preserve">     </w:t>
      </w:r>
    </w:p>
    <w:p>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lang w:eastAsia="zh-CN"/>
        </w:rPr>
        <w:t>招</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人：</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lang w:eastAsia="zh-CN"/>
        </w:rPr>
        <w:t>投</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人</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w:t>
      </w:r>
    </w:p>
    <w:p>
      <w:pPr>
        <w:spacing w:line="360" w:lineRule="auto"/>
        <w:ind w:firstLine="981" w:firstLineChars="349"/>
        <w:rPr>
          <w:rFonts w:hint="eastAsia" w:ascii="宋体" w:hAnsi="宋体" w:eastAsia="宋体" w:cs="宋体"/>
          <w:b/>
          <w:bCs/>
          <w:sz w:val="28"/>
          <w:szCs w:val="28"/>
          <w:u w:val="single"/>
          <w:lang w:val="en-US" w:eastAsia="zh-CN"/>
        </w:rPr>
        <w:sectPr>
          <w:headerReference r:id="rId11" w:type="first"/>
          <w:footerReference r:id="rId13" w:type="first"/>
          <w:headerReference r:id="rId10" w:type="default"/>
          <w:footerReference r:id="rId12"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b/>
          <w:bCs/>
          <w:sz w:val="28"/>
          <w:szCs w:val="28"/>
        </w:rPr>
        <w:t>签署日期：</w:t>
      </w:r>
      <w:r>
        <w:rPr>
          <w:rFonts w:hint="eastAsia" w:ascii="宋体" w:hAnsi="宋体" w:eastAsia="宋体" w:cs="宋体"/>
          <w:b/>
          <w:bCs/>
          <w:sz w:val="28"/>
          <w:szCs w:val="28"/>
          <w:u w:val="single"/>
          <w:lang w:val="en-US" w:eastAsia="zh-CN"/>
        </w:rPr>
        <w:t xml:space="preserve">                           </w:t>
      </w:r>
    </w:p>
    <w:bookmarkEnd w:id="81"/>
    <w:bookmarkEnd w:id="82"/>
    <w:bookmarkEnd w:id="83"/>
    <w:bookmarkEnd w:id="84"/>
    <w:bookmarkEnd w:id="85"/>
    <w:p>
      <w:pPr>
        <w:spacing w:line="560" w:lineRule="exact"/>
        <w:jc w:val="center"/>
        <w:rPr>
          <w:rFonts w:hint="eastAsia" w:ascii="宋体" w:hAnsi="宋体" w:eastAsia="宋体" w:cs="宋体"/>
          <w:b/>
          <w:bCs/>
          <w:sz w:val="24"/>
          <w:szCs w:val="24"/>
        </w:rPr>
      </w:pPr>
      <w:bookmarkStart w:id="88" w:name="_Toc4166"/>
      <w:bookmarkStart w:id="89" w:name="_Toc10411"/>
      <w:r>
        <w:rPr>
          <w:rFonts w:hint="eastAsia" w:ascii="宋体" w:hAnsi="宋体" w:eastAsia="宋体" w:cs="宋体"/>
          <w:b/>
          <w:bCs/>
          <w:sz w:val="24"/>
          <w:szCs w:val="24"/>
        </w:rPr>
        <w:t>第一部分  协议书</w:t>
      </w:r>
    </w:p>
    <w:p>
      <w:pPr>
        <w:adjustRightInd w:val="0"/>
        <w:snapToGrid w:val="0"/>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采购人（甲方）：</w:t>
      </w:r>
      <w:r>
        <w:rPr>
          <w:rFonts w:hint="eastAsia" w:ascii="宋体" w:hAnsi="宋体" w:eastAsia="宋体" w:cs="宋体"/>
          <w:b/>
          <w:sz w:val="24"/>
          <w:szCs w:val="24"/>
          <w:u w:val="single"/>
        </w:rPr>
        <w:t xml:space="preserve">                                  </w:t>
      </w:r>
    </w:p>
    <w:p>
      <w:pPr>
        <w:adjustRightInd w:val="0"/>
        <w:snapToGrid w:val="0"/>
        <w:spacing w:line="4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供应商（乙方）：</w:t>
      </w:r>
      <w:r>
        <w:rPr>
          <w:rFonts w:hint="eastAsia" w:ascii="宋体" w:hAnsi="宋体" w:eastAsia="宋体" w:cs="宋体"/>
          <w:b/>
          <w:sz w:val="24"/>
          <w:szCs w:val="24"/>
          <w:u w:val="single"/>
        </w:rPr>
        <w:t xml:space="preserve">                                  </w:t>
      </w:r>
    </w:p>
    <w:p>
      <w:pPr>
        <w:adjustRightInd w:val="0"/>
        <w:snapToGri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根据《中华人民共和国民法典》及其他有关法律、法规，遵循平等、自愿、公平和诚信的原则，双方就下述项目范围与相关服务事项协商一致，订立本合同。</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一、项目概况</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二、组成本合同的文件</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协议书；</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通知书、投标文件、招标文件、澄清、措施补充文件；</w:t>
      </w:r>
    </w:p>
    <w:p>
      <w:pPr>
        <w:adjustRightInd w:val="0"/>
        <w:snapToGrid w:val="0"/>
        <w:spacing w:line="460" w:lineRule="exact"/>
        <w:rPr>
          <w:rFonts w:hint="eastAsia" w:ascii="宋体" w:hAnsi="宋体" w:eastAsia="宋体" w:cs="宋体"/>
          <w:sz w:val="24"/>
          <w:szCs w:val="24"/>
        </w:rPr>
      </w:pPr>
      <w:r>
        <w:rPr>
          <w:rFonts w:hint="eastAsia" w:ascii="宋体" w:hAnsi="宋体" w:eastAsia="宋体" w:cs="宋体"/>
          <w:sz w:val="24"/>
          <w:szCs w:val="24"/>
        </w:rPr>
        <w:t xml:space="preserve">    3. 附录，即：附表内相关货物、服务的范围和内容；</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三、合同金额</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合同总价款（含税金额）：</w:t>
      </w:r>
      <w:r>
        <w:rPr>
          <w:rFonts w:hint="eastAsia" w:ascii="宋体" w:hAnsi="宋体" w:eastAsia="宋体" w:cs="宋体"/>
          <w:sz w:val="24"/>
          <w:szCs w:val="24"/>
          <w:u w:val="single"/>
        </w:rPr>
        <w:fldChar w:fldCharType="begin"/>
      </w:r>
      <w:r>
        <w:rPr>
          <w:rFonts w:hint="eastAsia" w:ascii="宋体" w:hAnsi="宋体" w:eastAsia="宋体" w:cs="宋体"/>
          <w:sz w:val="24"/>
          <w:szCs w:val="24"/>
          <w:u w:val="single"/>
        </w:rPr>
        <w:instrText xml:space="preserve"> = 219854 \* CHINESENUM4 \* MERGEFORMAT </w:instrText>
      </w:r>
      <w:r>
        <w:rPr>
          <w:rFonts w:hint="eastAsia" w:ascii="宋体" w:hAnsi="宋体" w:eastAsia="宋体" w:cs="宋体"/>
          <w:sz w:val="24"/>
          <w:szCs w:val="24"/>
          <w:u w:val="single"/>
        </w:rPr>
        <w:fldChar w:fldCharType="separate"/>
      </w:r>
      <w:r>
        <w:rPr>
          <w:rFonts w:hint="eastAsia" w:ascii="宋体" w:hAnsi="宋体" w:eastAsia="宋体" w:cs="宋体"/>
          <w:sz w:val="24"/>
          <w:szCs w:val="24"/>
          <w:u w:val="single"/>
        </w:rPr>
        <w:t xml:space="preserve">               元整</w:t>
      </w:r>
      <w:r>
        <w:rPr>
          <w:rFonts w:hint="eastAsia" w:ascii="宋体" w:hAnsi="宋体" w:eastAsia="宋体" w:cs="宋体"/>
          <w:sz w:val="24"/>
          <w:szCs w:val="24"/>
          <w:u w:val="single"/>
        </w:rPr>
        <w:fldChar w:fldCharType="end"/>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合同总价即中标价，为一次性报价，不受市场价变化影响。合同价格为含税价，供应商（成交人）提供服务所发生的一切税费等都已包含于合同价款中。</w:t>
      </w:r>
    </w:p>
    <w:p>
      <w:pPr>
        <w:adjustRightInd w:val="0"/>
        <w:snapToGrid w:val="0"/>
        <w:spacing w:line="460" w:lineRule="exact"/>
        <w:rPr>
          <w:rFonts w:hint="eastAsia" w:ascii="宋体" w:hAnsi="宋体" w:eastAsia="宋体" w:cs="宋体"/>
          <w:b/>
          <w:sz w:val="24"/>
          <w:szCs w:val="24"/>
        </w:rPr>
      </w:pPr>
      <w:r>
        <w:rPr>
          <w:rFonts w:hint="eastAsia" w:ascii="宋体" w:hAnsi="宋体" w:eastAsia="宋体" w:cs="宋体"/>
          <w:b/>
          <w:sz w:val="24"/>
          <w:szCs w:val="24"/>
        </w:rPr>
        <w:t>四、结算方式</w:t>
      </w:r>
    </w:p>
    <w:p>
      <w:pPr>
        <w:pStyle w:val="1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1.本项目成交人承担完成项目所有费用。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2.付款方式和程序：</w:t>
      </w:r>
    </w:p>
    <w:p>
      <w:pPr>
        <w:pStyle w:val="21"/>
        <w:numPr>
          <w:ilvl w:val="0"/>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甲方开票信息（增值税     发票）：</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 xml:space="preserve">                               </w:t>
      </w:r>
    </w:p>
    <w:p>
      <w:pPr>
        <w:pStyle w:val="21"/>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纳税人识别号：</w:t>
      </w:r>
      <w:r>
        <w:rPr>
          <w:rFonts w:hint="eastAsia" w:ascii="宋体" w:hAnsi="宋体" w:eastAsia="宋体" w:cs="宋体"/>
          <w:sz w:val="24"/>
          <w:szCs w:val="24"/>
          <w:u w:val="single"/>
        </w:rPr>
        <w:t xml:space="preserve">                       </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地址、电话：</w:t>
      </w:r>
      <w:r>
        <w:rPr>
          <w:rFonts w:hint="eastAsia" w:ascii="宋体" w:hAnsi="宋体" w:eastAsia="宋体" w:cs="宋体"/>
          <w:sz w:val="24"/>
          <w:szCs w:val="24"/>
          <w:u w:val="single"/>
        </w:rPr>
        <w:t xml:space="preserve">                         </w:t>
      </w:r>
    </w:p>
    <w:p>
      <w:pPr>
        <w:pStyle w:val="21"/>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开户行及行号：</w:t>
      </w:r>
      <w:r>
        <w:rPr>
          <w:rFonts w:hint="eastAsia" w:ascii="宋体" w:hAnsi="宋体" w:eastAsia="宋体" w:cs="宋体"/>
          <w:sz w:val="24"/>
          <w:szCs w:val="24"/>
          <w:u w:val="single"/>
        </w:rPr>
        <w:t xml:space="preserve">                        </w:t>
      </w:r>
    </w:p>
    <w:p>
      <w:pPr>
        <w:pStyle w:val="21"/>
        <w:numPr>
          <w:ilvl w:val="0"/>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乙方收款账号：</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开户名：</w:t>
      </w:r>
      <w:r>
        <w:rPr>
          <w:rFonts w:hint="eastAsia" w:ascii="宋体" w:hAnsi="宋体" w:eastAsia="宋体" w:cs="宋体"/>
          <w:sz w:val="24"/>
          <w:szCs w:val="24"/>
          <w:u w:val="single"/>
        </w:rPr>
        <w:t xml:space="preserve">                     </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w:t>
      </w:r>
    </w:p>
    <w:p>
      <w:pPr>
        <w:pStyle w:val="21"/>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行  号：</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五、</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期</w:t>
      </w:r>
      <w:r>
        <w:rPr>
          <w:rFonts w:hint="eastAsia" w:ascii="宋体" w:hAnsi="宋体" w:eastAsia="宋体" w:cs="宋体"/>
          <w:b/>
          <w:bCs/>
          <w:sz w:val="24"/>
          <w:szCs w:val="24"/>
          <w:lang w:eastAsia="zh-CN"/>
        </w:rPr>
        <w:t>：</w:t>
      </w:r>
    </w:p>
    <w:p>
      <w:pPr>
        <w:spacing w:line="360" w:lineRule="auto"/>
        <w:rPr>
          <w:rFonts w:hint="eastAsia" w:ascii="宋体" w:hAnsi="宋体" w:eastAsia="宋体" w:cs="宋体"/>
          <w:b/>
          <w:bCs w:val="0"/>
          <w:sz w:val="24"/>
          <w:szCs w:val="24"/>
          <w:lang w:eastAsia="zh-CN"/>
        </w:rPr>
      </w:pPr>
      <w:r>
        <w:rPr>
          <w:rFonts w:hint="eastAsia" w:ascii="宋体" w:hAnsi="宋体" w:eastAsia="宋体" w:cs="宋体"/>
          <w:b/>
          <w:bCs w:val="0"/>
          <w:sz w:val="24"/>
          <w:szCs w:val="24"/>
        </w:rPr>
        <w:t>六、质保期</w:t>
      </w:r>
      <w:r>
        <w:rPr>
          <w:rFonts w:hint="eastAsia" w:ascii="宋体" w:hAnsi="宋体" w:eastAsia="宋体" w:cs="宋体"/>
          <w:b/>
          <w:bCs w:val="0"/>
          <w:sz w:val="24"/>
          <w:szCs w:val="24"/>
          <w:lang w:eastAsia="zh-CN"/>
        </w:rPr>
        <w:t>：</w:t>
      </w:r>
    </w:p>
    <w:p>
      <w:pPr>
        <w:pStyle w:val="2"/>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七、售后服务</w:t>
      </w:r>
    </w:p>
    <w:p>
      <w:pPr>
        <w:pStyle w:val="2"/>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售后服务热线: 联系人</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联系方式</w:t>
      </w:r>
      <w:r>
        <w:rPr>
          <w:rFonts w:hint="eastAsia" w:ascii="宋体" w:hAnsi="宋体" w:eastAsia="宋体" w:cs="宋体"/>
          <w:b w:val="0"/>
          <w:sz w:val="24"/>
          <w:szCs w:val="24"/>
          <w:u w:val="single"/>
        </w:rPr>
        <w:t xml:space="preserve">             </w:t>
      </w:r>
    </w:p>
    <w:p>
      <w:pPr>
        <w:pStyle w:val="2"/>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提供7×24小时×365天技术支持服务，在接到技术支持要求时，为系统使用人员提供如何使用系统的咨询。</w:t>
      </w:r>
    </w:p>
    <w:p>
      <w:pPr>
        <w:pStyle w:val="2"/>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在使用系统如遇到软件、硬件或是网络问题，需提供电话支持与帮助。一旦接到请求电话，需在规定时间内通过电话解决或回答用户所出的问题。</w:t>
      </w:r>
    </w:p>
    <w:p>
      <w:pPr>
        <w:pStyle w:val="2"/>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在接到故障报修要求时，0.5小时内做出明确响应和安排，一般问题需在2小时内为采购人提供故障恢复服务，重大故障需在24小时内恢复并做出故障诊断报告。</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八、保密</w:t>
      </w:r>
    </w:p>
    <w:p>
      <w:pPr>
        <w:tabs>
          <w:tab w:val="left" w:pos="1080"/>
        </w:tabs>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对工作中了解到的采购人的机密等进行严格保密，不得向他人泄漏。本合同的解除或终止不免除供应商应承担的保密义务。</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九、知识产权</w:t>
      </w:r>
    </w:p>
    <w:p>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成交单位应保证响应产品及服务不会出现因第三方提出侵犯其专利权、商标权或其它知识产权而引发法律或经济纠纷，否则由成交单位承担全部责任。任何被成交单位用于未经授权的商业目的行为所造成的违约或侵权责任由成交单位承但。</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十、合同争议的解决</w:t>
      </w:r>
    </w:p>
    <w:p>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合同执行中发生争议的，当事人双方应协商解决。协商达不成一致时，可向甲方所在地有管辖权限的人民法院提请诉讼。</w:t>
      </w:r>
    </w:p>
    <w:p>
      <w:pPr>
        <w:spacing w:line="460" w:lineRule="exact"/>
        <w:jc w:val="left"/>
        <w:rPr>
          <w:rFonts w:hint="eastAsia" w:ascii="宋体" w:hAnsi="宋体" w:eastAsia="宋体" w:cs="宋体"/>
          <w:b/>
          <w:bCs/>
          <w:sz w:val="24"/>
          <w:szCs w:val="24"/>
        </w:rPr>
      </w:pPr>
      <w:r>
        <w:rPr>
          <w:rFonts w:hint="eastAsia" w:ascii="宋体" w:hAnsi="宋体" w:eastAsia="宋体" w:cs="宋体"/>
          <w:b/>
          <w:bCs/>
          <w:sz w:val="24"/>
          <w:szCs w:val="24"/>
        </w:rPr>
        <w:t>十一、不可抗力情况下的免责约定</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 xml:space="preserve">    双方约定不可抗力情况指：双方不可预见、不可避免、不可克服的客观情况，但不包括双方的违约或疏忽。这些事件包括但不限于：战争、严重火灾、洪水、台风、地震、瘟疫等。</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十二、违约责任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依据《中华人民共和国民法典》、《中华人民共和国政府采购法》、《中华人民共和国政府采购法实施条例》的相关条款和本合同约定，中标供应商未全面履行合同义务或者发生违约，经甲方催告后仍未整改的，采购单位有权选择终止合同，依法向中标供应商进行经济索赔，并报请政府采购监督管理机关进行相应的行政处罚。采购单位违约的，应当赔偿给中标供应商造成的经济损失。</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十三、其他（在合同中具体明确）</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十四、合同订立</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tabs>
          <w:tab w:val="left" w:pos="980"/>
        </w:tabs>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份，代理机构</w:t>
      </w:r>
      <w:r>
        <w:rPr>
          <w:rFonts w:hint="eastAsia" w:ascii="宋体" w:hAnsi="宋体" w:eastAsia="宋体" w:cs="宋体"/>
          <w:sz w:val="24"/>
          <w:szCs w:val="24"/>
          <w:u w:val="single"/>
        </w:rPr>
        <w:t xml:space="preserve"> 壹 </w:t>
      </w:r>
      <w:r>
        <w:rPr>
          <w:rFonts w:hint="eastAsia" w:ascii="宋体" w:hAnsi="宋体" w:eastAsia="宋体" w:cs="宋体"/>
          <w:sz w:val="24"/>
          <w:szCs w:val="24"/>
        </w:rPr>
        <w:t>份，签字盖章后生效，未尽事宜，双方协商解决。</w:t>
      </w:r>
    </w:p>
    <w:p>
      <w:pPr>
        <w:pStyle w:val="2"/>
        <w:spacing w:line="360" w:lineRule="auto"/>
        <w:rPr>
          <w:rFonts w:hint="eastAsia" w:ascii="宋体" w:hAnsi="宋体" w:eastAsia="宋体" w:cs="宋体"/>
          <w:sz w:val="24"/>
          <w:szCs w:val="24"/>
        </w:rPr>
      </w:pP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eastAsia="宋体" w:cs="宋体"/>
          <w:sz w:val="24"/>
          <w:szCs w:val="24"/>
          <w:u w:val="single"/>
        </w:rPr>
        <w:t xml:space="preserve">   （盖章）      </w:t>
      </w:r>
      <w:r>
        <w:rPr>
          <w:rFonts w:hint="eastAsia" w:ascii="宋体" w:hAnsi="宋体" w:eastAsia="宋体" w:cs="宋体"/>
          <w:sz w:val="24"/>
          <w:szCs w:val="24"/>
        </w:rPr>
        <w:t xml:space="preserve">            供应商：</w:t>
      </w:r>
      <w:r>
        <w:rPr>
          <w:rFonts w:hint="eastAsia" w:ascii="宋体" w:hAnsi="宋体" w:eastAsia="宋体" w:cs="宋体"/>
          <w:sz w:val="24"/>
          <w:szCs w:val="24"/>
          <w:u w:val="single"/>
        </w:rPr>
        <w:t xml:space="preserve">   （盖章）         </w:t>
      </w:r>
    </w:p>
    <w:p>
      <w:pPr>
        <w:adjustRightInd w:val="0"/>
        <w:snapToGrid w:val="0"/>
        <w:spacing w:line="460" w:lineRule="exact"/>
        <w:ind w:firstLine="475" w:firstLineChars="198"/>
        <w:rPr>
          <w:rFonts w:hint="eastAsia" w:ascii="宋体" w:hAnsi="宋体" w:eastAsia="宋体" w:cs="宋体"/>
          <w:sz w:val="24"/>
          <w:szCs w:val="24"/>
          <w:u w:val="single"/>
        </w:rPr>
      </w:pPr>
      <w:r>
        <w:rPr>
          <w:rFonts w:hint="eastAsia" w:ascii="宋体" w:hAnsi="宋体" w:eastAsia="宋体" w:cs="宋体"/>
          <w:sz w:val="24"/>
          <w:szCs w:val="24"/>
        </w:rPr>
        <w:t xml:space="preserve">地 址：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 xml:space="preserve">法定代表人或其授权                   法定代表人或其授权 </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rPr>
        <w:t xml:space="preserve">（签字或盖章）  </w:t>
      </w:r>
      <w:r>
        <w:rPr>
          <w:rFonts w:hint="eastAsia" w:ascii="宋体" w:hAnsi="宋体" w:eastAsia="宋体" w:cs="宋体"/>
          <w:sz w:val="24"/>
          <w:szCs w:val="24"/>
        </w:rPr>
        <w:t xml:space="preserve">           的代理人：</w:t>
      </w:r>
      <w:r>
        <w:rPr>
          <w:rFonts w:hint="eastAsia" w:ascii="宋体" w:hAnsi="宋体" w:eastAsia="宋体" w:cs="宋体"/>
          <w:sz w:val="24"/>
          <w:szCs w:val="24"/>
          <w:u w:val="single"/>
        </w:rPr>
        <w:t xml:space="preserve">（签字或盖章）      </w:t>
      </w:r>
    </w:p>
    <w:p>
      <w:pPr>
        <w:adjustRightInd w:val="0"/>
        <w:snapToGrid w:val="0"/>
        <w:spacing w:line="460" w:lineRule="exact"/>
        <w:ind w:firstLine="475" w:firstLineChars="198"/>
        <w:rPr>
          <w:rFonts w:hint="eastAsia" w:ascii="宋体" w:hAnsi="宋体" w:eastAsia="宋体" w:cs="宋体"/>
          <w:sz w:val="24"/>
          <w:szCs w:val="24"/>
          <w:u w:val="single"/>
        </w:rPr>
      </w:pPr>
      <w:r>
        <w:rPr>
          <w:rFonts w:hint="eastAsia" w:ascii="宋体" w:hAnsi="宋体" w:eastAsia="宋体" w:cs="宋体"/>
          <w:sz w:val="24"/>
          <w:szCs w:val="24"/>
        </w:rPr>
        <w:t>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订立时间：</w:t>
      </w:r>
      <w:r>
        <w:rPr>
          <w:rFonts w:hint="eastAsia" w:ascii="宋体" w:hAnsi="宋体" w:eastAsia="宋体" w:cs="宋体"/>
          <w:sz w:val="24"/>
          <w:szCs w:val="24"/>
          <w:u w:val="single"/>
        </w:rPr>
        <w:t xml:space="preserve">                   </w:t>
      </w:r>
    </w:p>
    <w:p>
      <w:pPr>
        <w:pStyle w:val="99"/>
        <w:ind w:firstLine="643"/>
        <w:rPr>
          <w:rFonts w:hint="eastAsia" w:ascii="宋体" w:hAnsi="宋体" w:eastAsia="宋体" w:cs="宋体"/>
          <w:b/>
          <w:bCs/>
          <w:sz w:val="24"/>
          <w:szCs w:val="24"/>
        </w:rPr>
      </w:pPr>
    </w:p>
    <w:p>
      <w:pPr>
        <w:pStyle w:val="99"/>
        <w:ind w:firstLine="643"/>
        <w:rPr>
          <w:rFonts w:hint="eastAsia" w:ascii="宋体" w:hAnsi="宋体" w:eastAsia="宋体" w:cs="宋体"/>
          <w:b/>
          <w:bCs/>
          <w:sz w:val="24"/>
          <w:szCs w:val="24"/>
        </w:rPr>
      </w:pPr>
    </w:p>
    <w:p>
      <w:pPr>
        <w:pStyle w:val="99"/>
        <w:ind w:firstLine="643"/>
        <w:rPr>
          <w:rFonts w:ascii="仿宋" w:hAnsi="仿宋" w:eastAsia="仿宋" w:cs="仿宋"/>
          <w:b/>
          <w:bCs/>
          <w:sz w:val="32"/>
          <w:szCs w:val="32"/>
        </w:rPr>
        <w:sectPr>
          <w:pgSz w:w="11906" w:h="16838"/>
          <w:pgMar w:top="1440" w:right="1440" w:bottom="1440" w:left="1440" w:header="850" w:footer="992" w:gutter="0"/>
          <w:pgNumType w:fmt="decimal"/>
          <w:cols w:space="720" w:num="1"/>
          <w:docGrid w:type="lines" w:linePitch="322" w:charSpace="0"/>
        </w:sectPr>
      </w:pPr>
    </w:p>
    <w:p>
      <w:pPr>
        <w:pStyle w:val="3"/>
        <w:numPr>
          <w:ilvl w:val="0"/>
          <w:numId w:val="0"/>
        </w:numPr>
        <w:bidi w:val="0"/>
        <w:ind w:leftChars="0"/>
        <w:rPr>
          <w:rFonts w:hint="eastAsia" w:ascii="宋体" w:hAnsi="宋体" w:eastAsia="宋体" w:cs="宋体"/>
        </w:rPr>
      </w:pPr>
      <w:bookmarkStart w:id="90" w:name="_Toc15823"/>
      <w:r>
        <w:rPr>
          <w:rFonts w:hint="eastAsia" w:ascii="宋体" w:hAnsi="宋体" w:cs="宋体"/>
          <w:lang w:val="en-US" w:eastAsia="zh-CN"/>
        </w:rPr>
        <w:t xml:space="preserve">第四章  </w:t>
      </w:r>
      <w:r>
        <w:rPr>
          <w:rFonts w:hint="eastAsia" w:ascii="宋体" w:hAnsi="宋体" w:eastAsia="宋体" w:cs="宋体"/>
        </w:rPr>
        <w:t>采购内容及技术要求</w:t>
      </w:r>
      <w:bookmarkEnd w:id="88"/>
      <w:bookmarkEnd w:id="89"/>
      <w:bookmarkEnd w:id="90"/>
    </w:p>
    <w:p>
      <w:pPr>
        <w:rPr>
          <w:rFonts w:hint="eastAsia" w:ascii="宋体" w:hAnsi="宋体" w:eastAsia="宋体" w:cs="宋体"/>
        </w:rPr>
      </w:pPr>
    </w:p>
    <w:p>
      <w:pPr>
        <w:pStyle w:val="8"/>
        <w:rPr>
          <w:rFonts w:hint="eastAsia" w:ascii="宋体" w:hAnsi="宋体" w:eastAsia="宋体" w:cs="宋体"/>
        </w:rPr>
      </w:pPr>
    </w:p>
    <w:tbl>
      <w:tblPr>
        <w:tblStyle w:val="27"/>
        <w:tblW w:w="88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645"/>
        <w:gridCol w:w="1260"/>
        <w:gridCol w:w="1860"/>
        <w:gridCol w:w="2921"/>
        <w:gridCol w:w="720"/>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0" w:type="dxa"/>
            <w:tcBorders>
              <w:top w:val="single" w:color="000000" w:sz="4" w:space="0"/>
              <w:left w:val="single" w:color="000000" w:sz="4" w:space="0"/>
              <w:bottom w:val="nil"/>
              <w:right w:val="single" w:color="000000" w:sz="4" w:space="0"/>
            </w:tcBorders>
            <w:shd w:val="clear" w:color="auto" w:fill="BFBFB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645" w:type="dxa"/>
            <w:tcBorders>
              <w:top w:val="single" w:color="000000" w:sz="4" w:space="0"/>
              <w:left w:val="single" w:color="000000" w:sz="4" w:space="0"/>
              <w:bottom w:val="nil"/>
              <w:right w:val="single" w:color="000000" w:sz="4" w:space="0"/>
            </w:tcBorders>
            <w:shd w:val="clear" w:color="auto" w:fill="BFBFB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模块</w:t>
            </w:r>
          </w:p>
        </w:tc>
        <w:tc>
          <w:tcPr>
            <w:tcW w:w="1260" w:type="dxa"/>
            <w:tcBorders>
              <w:top w:val="single" w:color="000000" w:sz="4" w:space="0"/>
              <w:left w:val="single" w:color="000000" w:sz="4" w:space="0"/>
              <w:bottom w:val="nil"/>
              <w:right w:val="single" w:color="000000" w:sz="4" w:space="0"/>
            </w:tcBorders>
            <w:shd w:val="clear" w:color="auto" w:fill="BFBFB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类型</w:t>
            </w:r>
          </w:p>
        </w:tc>
        <w:tc>
          <w:tcPr>
            <w:tcW w:w="1860" w:type="dxa"/>
            <w:tcBorders>
              <w:top w:val="single" w:color="000000" w:sz="4" w:space="0"/>
              <w:left w:val="single" w:color="000000" w:sz="4" w:space="0"/>
              <w:bottom w:val="nil"/>
              <w:right w:val="single" w:color="000000" w:sz="4" w:space="0"/>
            </w:tcBorders>
            <w:shd w:val="clear" w:color="auto" w:fill="BFBFB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名称</w:t>
            </w:r>
          </w:p>
        </w:tc>
        <w:tc>
          <w:tcPr>
            <w:tcW w:w="2921" w:type="dxa"/>
            <w:tcBorders>
              <w:top w:val="single" w:color="000000" w:sz="4" w:space="0"/>
              <w:left w:val="single" w:color="000000" w:sz="4" w:space="0"/>
              <w:bottom w:val="nil"/>
              <w:right w:val="single" w:color="000000" w:sz="4" w:space="0"/>
            </w:tcBorders>
            <w:shd w:val="clear" w:color="auto" w:fill="BFBFB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功能描述及标准</w:t>
            </w:r>
          </w:p>
        </w:tc>
        <w:tc>
          <w:tcPr>
            <w:tcW w:w="720" w:type="dxa"/>
            <w:tcBorders>
              <w:top w:val="single" w:color="000000" w:sz="4" w:space="0"/>
              <w:left w:val="single" w:color="000000" w:sz="4" w:space="0"/>
              <w:bottom w:val="nil"/>
              <w:right w:val="single" w:color="000000" w:sz="4" w:space="0"/>
            </w:tcBorders>
            <w:shd w:val="clear" w:color="auto" w:fill="BFBFB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788" w:type="dxa"/>
            <w:tcBorders>
              <w:top w:val="single" w:color="000000" w:sz="4" w:space="0"/>
              <w:left w:val="single" w:color="000000" w:sz="4" w:space="0"/>
              <w:bottom w:val="nil"/>
              <w:right w:val="single" w:color="000000" w:sz="4" w:space="0"/>
            </w:tcBorders>
            <w:shd w:val="clear" w:color="auto" w:fill="BFBFB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前端小程序</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前端系统</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产品素材设计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一机游小程序UI设计及素材收集、整理、入库等；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搜索</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通过关键词可快速搜索相关信息，并快速定位相应界面；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景区介绍</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包含景区图片、景区介绍、地理位置、联系电话、开放时间、交通等各类信息。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旅游资讯</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分类显示旅游区周边的吃、住、行、游、购、娱资讯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精彩视频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提供了景区活动视频和景区人介绍视频，让游客更好的了解景区的文化。</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景区预约</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跳转景区现有的预约系统，完成小程序里面预约（或甲方协调接口对接）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景区购票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跳转景区现有的购票系统，完成小程序里面购票（或甲方协调接口对接）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地图导览</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嵌入已经制作的智能导览系统</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联系我们</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提供景区的联系方式。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天气服务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景区未来一周天气预报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身份授权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提供用户登录和注册功能，获取用户登录授权信息。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投诉反馈</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为游客提供意见反馈窗口，游客在游玩过程发现的问题或者好的建议可以上传到主管单位。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我的收藏</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显示游客使用小程序过程中收藏的信息。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浏览记录</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显示游客在小程序中浏览的信息。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基本信息</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显示用户的个人基本信息，提供编辑和保存功能。</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管理内容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首页轮播</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维护前端需要展示的首页轮播广告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美食管理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维护美食信息，包含名称，菜单，人均消费，电话，地址等信息。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精彩视频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维护视频信息，包含视频上传，视频封面，视频标题，详细内容等信息。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相册管理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维护示范的区的美景相册，系统提供增、删、改、查等操作功能。</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新闻资讯</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维护景区的旅游资讯和活动资讯，提供增删改查功能。</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维护景区的信息，包含景区名称，运营时间，基本介绍，级别，相册，攻略等。</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公告管理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管理景区的公告显示，系统提供增、删、改、查等操作功能。</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管理景区的活动消息，系统提供增、删、改、查等操作功能。</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有问必答</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提供景区旅游旅游小贴士，为游客提供游玩注意事项。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意见反馈</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维护示范的区的意见反馈，系统提删、改、查等操作功能。</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用户管理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管理后台的用户账号，提供账号的增、删、改、查和权限分配。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日志管理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查看后台用户的操作日志。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景区智能导游系统</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数据建设</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景区导览图绘制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派遣技术工程师到景区现场采集基础数据，按街旅游区布点通过手绘方式为景区制图，在导览地图中可以显示景区中的点位信息、点位和点位之间的路径也可以显示景区的关键地点信息，比如游客服务中心、核心景点、道路干网、停车场、酒店、厕所、小卖部、出入口等公共资源信息以一目了然的方式展现出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2.无需切换界面，游客也能全面了解景区内全部点位，景区可自主标记公共服务设施，便于游客在景区快速获取服务。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游客使用端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智慧导览地图引擎</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系统分层显示基础地图、导览图、POI兴趣点、点位区划、旅游路线和多媒体等数据；搭建嵌入式GIS框架平台。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基于手绘导览地图，以墨卡托投影技术为基本，上架地图数据；实现瓦片加载、多层级加载、切换展示、平移、缩放、拖拽等操作。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POI兴趣点展示</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告别单一呈现方式，可自助上传个性化的地图画面，生动展现风情特色，让游客在手机上就能直观感受景区风貌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后台管理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基本信息管理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管理景区的基本信息如：景区名称、图片、地理位置、景区类型、景区介绍、开放时间、联系电话等明细资料。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景区图片管理</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可以维护景区内各个点位图文上传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POI点分类设置</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针对景区的特点，对不同的数据进行分类维护如：点位，洗手间、停车场、小卖部、酒店、游乐项目、服务中心、食堂、出入口等等。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导览访问统计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按照年月日不同区间，可以查看到导览系统的使用情况，对播放率和访问量进行统计。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6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云服务器</w:t>
            </w:r>
          </w:p>
        </w:tc>
        <w:tc>
          <w:tcPr>
            <w:tcW w:w="6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≥CPU: 16 vCPU</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≥内存: 32 GB</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≥存储盘: 10 TB</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≥1个弹性公网IP</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≥带宽：20 Mbps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*操作系统≥:windows server 2019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2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6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景区无线覆盖服务清单</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网关</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≥固化8个千兆电口，固化2个千兆光口，可选配置1T硬盘(即插即用)，内置AC功能可管理64个RAP或128个WALL AP（应用及URL特征库免费升级，IPSec/SSL VPN免费)。推荐带机量1000台终端，推荐带宽1G-2.5G。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核心交换机箱</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≥24个千兆电口+24个千兆光口+2个万兆光口。</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核心交换板卡</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≥配套业务线卡，24个千兆电口+2个万兆光口。</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核心交换电源</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≥配套电源，150W交流。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室外AP</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≥1775M双频千兆室外AP，一千兆LAN口上联口，同时提供一个千兆SFP复用端口，内置天线，支持2.4GHz/5GHz双频通信，支持802.11a/b/g/n/ac Wave1/Wave2/ax协议。支持AP与路由两种工作模式，支持二、三层漫游。支持802.3at PoE供电（PoE+供电设备需单独采购）</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室外AP电源</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≥单端口以太网供电适配器（千兆端口、支持802.3at协议标准供电）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接入交换机</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≥24个10/100/1000Mbps自适应电口，交换机容量48Gbps，包转发率35.7Mpps，非网管型交换机，机架式。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光纤收发器</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≥1个10/100/1000Mbps自适应RJ45电口，1个1000Mbps SC光口，最大传输距离3kM，非网管型光纤收发器，与RG-FC11G-3B或者RG-FC14G-3B配套使用，可配合RG-FCR14收发器机架使用。1个10/100/1000Mbps自适应RJ45电口，1个1000Mbps SC光口，最大传输距离3kM，非网管型光纤收发器，与RG-FC11G-3A配套使用，可配合RG-FCR14收发器机架使用。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标准机柜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42U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2000*600*600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12芯光纤</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室外专用光缆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超六类网线</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黑色室外专用网线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设备箱</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400*500*200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光纤终端盒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光纤跳线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光纤熔接、水晶头、插线板、线槽等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w:t>
            </w:r>
          </w:p>
        </w:tc>
      </w:tr>
    </w:tbl>
    <w:p>
      <w:pPr>
        <w:pStyle w:val="9"/>
        <w:ind w:left="0" w:leftChars="0" w:firstLine="0" w:firstLineChars="0"/>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lang w:val="en-US" w:eastAsia="zh-CN"/>
        </w:rPr>
      </w:pPr>
    </w:p>
    <w:p>
      <w:pPr>
        <w:numPr>
          <w:ilvl w:val="0"/>
          <w:numId w:val="4"/>
        </w:numPr>
        <w:ind w:left="2880" w:leftChars="0" w:firstLine="0" w:firstLineChars="0"/>
        <w:rPr>
          <w:rFonts w:hint="eastAsia" w:ascii="宋体" w:hAnsi="宋体" w:eastAsia="宋体" w:cs="宋体"/>
          <w:sz w:val="36"/>
          <w:szCs w:val="36"/>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1" w:name="_Toc23302"/>
      <w:bookmarkStart w:id="92" w:name="_Toc5822"/>
      <w:bookmarkStart w:id="93" w:name="_Toc12457"/>
    </w:p>
    <w:p>
      <w:pPr>
        <w:numPr>
          <w:ilvl w:val="0"/>
          <w:numId w:val="4"/>
        </w:numPr>
        <w:ind w:left="2880" w:leftChars="0" w:firstLine="0" w:firstLineChars="0"/>
        <w:outlineLvl w:val="0"/>
        <w:rPr>
          <w:rFonts w:hint="eastAsia" w:ascii="宋体" w:hAnsi="宋体" w:eastAsia="宋体" w:cs="宋体"/>
          <w:b/>
          <w:bCs/>
          <w:sz w:val="36"/>
          <w:szCs w:val="36"/>
        </w:rPr>
      </w:pPr>
      <w:r>
        <w:rPr>
          <w:rFonts w:hint="eastAsia" w:ascii="宋体" w:hAnsi="宋体" w:eastAsia="宋体" w:cs="宋体"/>
          <w:b/>
          <w:bCs/>
          <w:sz w:val="36"/>
          <w:szCs w:val="36"/>
        </w:rPr>
        <w:t xml:space="preserve"> </w:t>
      </w:r>
      <w:bookmarkStart w:id="94" w:name="_Toc3370"/>
      <w:r>
        <w:rPr>
          <w:rFonts w:hint="eastAsia" w:ascii="宋体" w:hAnsi="宋体" w:eastAsia="宋体" w:cs="宋体"/>
          <w:b/>
          <w:bCs/>
          <w:sz w:val="36"/>
          <w:szCs w:val="36"/>
        </w:rPr>
        <w:t>商务要求</w:t>
      </w:r>
      <w:bookmarkEnd w:id="91"/>
      <w:bookmarkEnd w:id="92"/>
      <w:bookmarkEnd w:id="93"/>
      <w:bookmarkEnd w:id="94"/>
    </w:p>
    <w:p>
      <w:pPr>
        <w:pStyle w:val="2"/>
        <w:numPr>
          <w:ilvl w:val="0"/>
          <w:numId w:val="0"/>
        </w:numPr>
        <w:rPr>
          <w:rFonts w:hint="eastAsia" w:ascii="宋体" w:hAnsi="宋体" w:eastAsia="宋体" w:cs="宋体"/>
          <w:b w:val="0"/>
          <w:bCs w:val="0"/>
        </w:rPr>
      </w:pPr>
    </w:p>
    <w:p>
      <w:pPr>
        <w:spacing w:beforeLines="0" w:afterLines="0"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一、</w:t>
      </w:r>
      <w:r>
        <w:rPr>
          <w:rFonts w:hint="eastAsia" w:ascii="宋体" w:hAnsi="宋体" w:eastAsia="宋体" w:cs="宋体"/>
          <w:b/>
          <w:color w:val="auto"/>
          <w:sz w:val="24"/>
          <w:lang w:eastAsia="zh-CN"/>
        </w:rPr>
        <w:t>服务期：</w:t>
      </w:r>
      <w:r>
        <w:rPr>
          <w:rFonts w:hint="eastAsia" w:ascii="宋体" w:hAnsi="宋体" w:cs="宋体"/>
          <w:color w:val="auto"/>
          <w:sz w:val="24"/>
          <w:lang w:val="en-US" w:eastAsia="zh-CN"/>
        </w:rPr>
        <w:t>一年</w:t>
      </w:r>
      <w:r>
        <w:rPr>
          <w:rFonts w:hint="eastAsia" w:ascii="宋体" w:hAnsi="宋体" w:eastAsia="宋体" w:cs="宋体"/>
          <w:color w:val="auto"/>
          <w:sz w:val="24"/>
          <w:lang w:eastAsia="zh-CN"/>
        </w:rPr>
        <w:t>。</w:t>
      </w:r>
    </w:p>
    <w:p>
      <w:pPr>
        <w:spacing w:beforeLines="0" w:afterLines="0"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二、地点：</w:t>
      </w:r>
      <w:r>
        <w:rPr>
          <w:rFonts w:hint="eastAsia" w:ascii="宋体" w:hAnsi="宋体" w:cs="宋体"/>
          <w:sz w:val="24"/>
          <w:szCs w:val="24"/>
          <w:lang w:eastAsia="zh-CN"/>
        </w:rPr>
        <w:t>清涧县塬上文化旅游投资开发有限公司</w:t>
      </w:r>
      <w:r>
        <w:rPr>
          <w:rFonts w:hint="eastAsia" w:ascii="宋体" w:hAnsi="宋体" w:eastAsia="宋体" w:cs="宋体"/>
          <w:color w:val="auto"/>
          <w:sz w:val="24"/>
        </w:rPr>
        <w:t>。</w:t>
      </w:r>
    </w:p>
    <w:p>
      <w:pPr>
        <w:shd w:val="clear" w:color="auto" w:fill="FFFFFF"/>
        <w:spacing w:beforeLines="0" w:afterLines="0" w:line="440" w:lineRule="exact"/>
        <w:ind w:firstLine="479" w:firstLineChars="199"/>
        <w:rPr>
          <w:rFonts w:hint="default" w:ascii="宋体" w:hAnsi="宋体" w:eastAsia="宋体" w:cs="宋体"/>
          <w:b w:val="0"/>
          <w:bCs/>
          <w:color w:val="auto"/>
          <w:sz w:val="24"/>
          <w:lang w:val="en-US"/>
        </w:rPr>
      </w:pPr>
      <w:r>
        <w:rPr>
          <w:rFonts w:hint="eastAsia" w:ascii="宋体" w:hAnsi="宋体" w:eastAsia="宋体" w:cs="宋体"/>
          <w:b/>
          <w:color w:val="auto"/>
          <w:sz w:val="24"/>
        </w:rPr>
        <w:t>三、付款方式</w:t>
      </w:r>
      <w:r>
        <w:rPr>
          <w:rFonts w:hint="eastAsia" w:ascii="宋体" w:hAnsi="宋体" w:eastAsia="宋体" w:cs="宋体"/>
          <w:b/>
          <w:color w:val="auto"/>
          <w:sz w:val="24"/>
          <w:lang w:eastAsia="zh-CN"/>
        </w:rPr>
        <w:t>：</w:t>
      </w:r>
      <w:r>
        <w:rPr>
          <w:rFonts w:hint="eastAsia" w:ascii="宋体" w:hAnsi="宋体" w:cs="宋体"/>
          <w:b w:val="0"/>
          <w:bCs/>
          <w:color w:val="auto"/>
          <w:sz w:val="24"/>
          <w:lang w:val="en-US" w:eastAsia="zh-CN"/>
        </w:rPr>
        <w:t>合同签订后一次性付清。</w:t>
      </w:r>
    </w:p>
    <w:p>
      <w:pPr>
        <w:shd w:val="clear" w:color="auto" w:fill="FFFFFF"/>
        <w:spacing w:beforeLines="0" w:afterLines="0" w:line="440" w:lineRule="exact"/>
        <w:ind w:firstLine="479" w:firstLineChars="199"/>
        <w:rPr>
          <w:rFonts w:hint="eastAsia" w:ascii="宋体" w:hAnsi="宋体" w:eastAsia="宋体" w:cs="宋体"/>
          <w:b/>
          <w:color w:val="auto"/>
          <w:sz w:val="24"/>
        </w:rPr>
      </w:pPr>
      <w:r>
        <w:rPr>
          <w:rFonts w:hint="eastAsia" w:ascii="宋体" w:hAnsi="宋体" w:eastAsia="宋体" w:cs="宋体"/>
          <w:b/>
          <w:color w:val="auto"/>
          <w:sz w:val="24"/>
        </w:rPr>
        <w:t>四、违约责任：</w:t>
      </w:r>
    </w:p>
    <w:p>
      <w:pPr>
        <w:adjustRightInd w:val="0"/>
        <w:spacing w:beforeLines="0" w:afterLines="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按《中华人民共和国</w:t>
      </w:r>
      <w:r>
        <w:rPr>
          <w:rFonts w:hint="eastAsia" w:ascii="宋体" w:hAnsi="宋体" w:eastAsia="宋体" w:cs="宋体"/>
          <w:color w:val="auto"/>
          <w:sz w:val="24"/>
          <w:lang w:val="en-US" w:eastAsia="zh-CN"/>
        </w:rPr>
        <w:t>民法典</w:t>
      </w:r>
      <w:r>
        <w:rPr>
          <w:rFonts w:hint="eastAsia" w:ascii="宋体" w:hAnsi="宋体" w:eastAsia="宋体" w:cs="宋体"/>
          <w:color w:val="auto"/>
          <w:sz w:val="24"/>
        </w:rPr>
        <w:t>》中的相关条款执行；</w:t>
      </w:r>
    </w:p>
    <w:p>
      <w:pPr>
        <w:spacing w:beforeLines="0" w:afterLines="0"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未按合同要求提供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质量不能满足技术要求，采购人有权终止合同，同时报请政府采购管理部门对其违约行为进行追究。</w:t>
      </w:r>
    </w:p>
    <w:p>
      <w:pPr>
        <w:spacing w:beforeLines="0" w:afterLines="0"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五、验收：</w:t>
      </w:r>
    </w:p>
    <w:p>
      <w:pPr>
        <w:spacing w:beforeLines="0" w:afterLines="0" w:line="440" w:lineRule="exact"/>
        <w:ind w:firstLine="470" w:firstLineChars="19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按照采购合同的约定和现行国家标准、行业标准以及企业标准对每一项技术、服务、安全标准的履约情况进行确认。由代理公司和采购方组织，邀请省库专家和监督单位与采购方共同验收，验收合格后由监督方出具验收证明。                                                                                                                                                                                                                                                                                                                                                                                                                                                                                                                                                                                                                                                                                                                                                                                                                                                                                                                                                                                                                                                                                                                                                                                                                                                                                                                                                                                                                                                                                                                                                                                                                                                                                                                                                                                                                                                                                                                                                                                                                                                                                                                                                                                                                                                                                                                                                                                                                                                                                                                                                                                                                                                                                                                                                                                                      </w:t>
      </w:r>
    </w:p>
    <w:p>
      <w:pPr>
        <w:spacing w:beforeLines="0" w:afterLines="0"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验收依据：</w:t>
      </w:r>
      <w:r>
        <w:rPr>
          <w:rFonts w:hint="eastAsia" w:ascii="宋体" w:hAnsi="宋体" w:eastAsia="宋体" w:cs="宋体"/>
          <w:color w:val="auto"/>
          <w:sz w:val="24"/>
        </w:rPr>
        <w:t>合同文本、磋商文件、磋商响应文件；国家或行业标准、规范等规定的标准和方法。</w:t>
      </w:r>
    </w:p>
    <w:p>
      <w:pPr>
        <w:keepNext w:val="0"/>
        <w:keepLines w:val="0"/>
        <w:pageBreakBefore w:val="0"/>
        <w:widowControl w:val="0"/>
        <w:tabs>
          <w:tab w:val="left" w:pos="3485"/>
        </w:tabs>
        <w:kinsoku/>
        <w:wordWrap/>
        <w:overflowPunct/>
        <w:topLinePunct w:val="0"/>
        <w:autoSpaceDE/>
        <w:autoSpaceDN/>
        <w:bidi w:val="0"/>
        <w:spacing w:line="360" w:lineRule="auto"/>
        <w:ind w:firstLine="883" w:firstLineChars="200"/>
        <w:jc w:val="left"/>
        <w:textAlignment w:val="auto"/>
        <w:rPr>
          <w:rFonts w:hint="eastAsia" w:ascii="宋体" w:hAnsi="宋体" w:eastAsia="宋体" w:cs="宋体"/>
          <w:b/>
          <w:sz w:val="44"/>
        </w:rPr>
      </w:pPr>
    </w:p>
    <w:p>
      <w:pPr>
        <w:pStyle w:val="8"/>
        <w:spacing w:line="360" w:lineRule="auto"/>
        <w:rPr>
          <w:rFonts w:hint="eastAsia" w:ascii="宋体" w:hAnsi="宋体" w:eastAsia="宋体" w:cs="宋体"/>
          <w:b/>
          <w:bCs/>
          <w:sz w:val="30"/>
          <w:szCs w:val="30"/>
        </w:rPr>
      </w:pPr>
    </w:p>
    <w:p>
      <w:pPr>
        <w:pStyle w:val="8"/>
        <w:spacing w:line="360" w:lineRule="auto"/>
        <w:rPr>
          <w:rFonts w:hint="eastAsia" w:ascii="宋体" w:hAnsi="宋体" w:eastAsia="宋体" w:cs="宋体"/>
          <w:b/>
          <w:bCs/>
          <w:sz w:val="30"/>
          <w:szCs w:val="30"/>
        </w:rPr>
      </w:pPr>
    </w:p>
    <w:p>
      <w:pPr>
        <w:pStyle w:val="8"/>
        <w:spacing w:line="360" w:lineRule="auto"/>
        <w:rPr>
          <w:rFonts w:hint="eastAsia" w:ascii="宋体" w:hAnsi="宋体" w:eastAsia="宋体" w:cs="宋体"/>
          <w:b/>
          <w:bCs/>
          <w:sz w:val="30"/>
          <w:szCs w:val="30"/>
        </w:rPr>
      </w:pPr>
    </w:p>
    <w:p>
      <w:pPr>
        <w:pStyle w:val="3"/>
        <w:numPr>
          <w:ilvl w:val="0"/>
          <w:numId w:val="5"/>
        </w:numPr>
        <w:bidi w:val="0"/>
        <w:rPr>
          <w:rFonts w:hint="eastAsia" w:ascii="宋体" w:hAnsi="宋体" w:eastAsia="宋体" w:cs="宋体"/>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5" w:name="_Toc19045_WPSOffice_Level1"/>
      <w:bookmarkStart w:id="96" w:name="_Toc22043"/>
      <w:bookmarkStart w:id="97" w:name="_Toc3556"/>
      <w:bookmarkStart w:id="98" w:name="_Toc547"/>
    </w:p>
    <w:p>
      <w:pPr>
        <w:pStyle w:val="3"/>
        <w:numPr>
          <w:ilvl w:val="0"/>
          <w:numId w:val="5"/>
        </w:numPr>
        <w:bidi w:val="0"/>
        <w:rPr>
          <w:rFonts w:hint="eastAsia" w:ascii="宋体" w:hAnsi="宋体" w:eastAsia="宋体" w:cs="宋体"/>
        </w:rPr>
      </w:pPr>
      <w:r>
        <w:rPr>
          <w:rFonts w:hint="eastAsia" w:ascii="宋体" w:hAnsi="宋体" w:cs="宋体"/>
          <w:lang w:val="en-US" w:eastAsia="zh-CN"/>
        </w:rPr>
        <w:t xml:space="preserve"> </w:t>
      </w:r>
      <w:bookmarkStart w:id="99" w:name="_Toc30292"/>
      <w:r>
        <w:rPr>
          <w:rFonts w:hint="eastAsia" w:ascii="宋体" w:hAnsi="宋体" w:eastAsia="宋体" w:cs="宋体"/>
        </w:rPr>
        <w:t>响应文件格式</w:t>
      </w:r>
      <w:bookmarkEnd w:id="95"/>
      <w:bookmarkEnd w:id="96"/>
      <w:bookmarkEnd w:id="97"/>
      <w:bookmarkEnd w:id="98"/>
      <w:bookmarkEnd w:id="99"/>
    </w:p>
    <w:p>
      <w:pPr>
        <w:widowControl w:val="0"/>
        <w:numPr>
          <w:ilvl w:val="0"/>
          <w:numId w:val="0"/>
        </w:numPr>
        <w:jc w:val="both"/>
        <w:rPr>
          <w:rFonts w:hint="eastAsia" w:ascii="宋体" w:hAnsi="宋体" w:eastAsia="宋体" w:cs="宋体"/>
        </w:rPr>
      </w:pPr>
    </w:p>
    <w:p>
      <w:pPr>
        <w:pStyle w:val="44"/>
        <w:rPr>
          <w:rFonts w:hint="eastAsia" w:ascii="宋体" w:hAnsi="宋体" w:eastAsia="宋体" w:cs="宋体"/>
        </w:rPr>
      </w:pPr>
    </w:p>
    <w:p>
      <w:pPr>
        <w:spacing w:line="360" w:lineRule="auto"/>
        <w:ind w:left="105"/>
        <w:jc w:val="both"/>
        <w:rPr>
          <w:rFonts w:hint="eastAsia" w:ascii="宋体" w:hAnsi="宋体" w:eastAsia="宋体" w:cs="宋体"/>
          <w:b/>
          <w:bCs/>
          <w:sz w:val="32"/>
          <w:szCs w:val="32"/>
          <w:lang w:eastAsia="zh-CN"/>
        </w:rPr>
      </w:pPr>
      <w:bookmarkStart w:id="100" w:name="_Toc257126854"/>
      <w:bookmarkStart w:id="101" w:name="_Toc184794035"/>
      <w:r>
        <w:rPr>
          <w:rFonts w:hint="eastAsia" w:ascii="宋体" w:hAnsi="宋体" w:eastAsia="宋体" w:cs="宋体"/>
          <w:b/>
          <w:bCs/>
          <w:sz w:val="32"/>
          <w:szCs w:val="32"/>
          <w:lang w:eastAsia="zh-CN"/>
        </w:rPr>
        <w:t>采购项目编号：</w:t>
      </w:r>
    </w:p>
    <w:p>
      <w:pPr>
        <w:pStyle w:val="18"/>
        <w:rPr>
          <w:rFonts w:hint="eastAsia" w:ascii="宋体" w:hAnsi="宋体" w:eastAsia="宋体" w:cs="宋体"/>
          <w:b/>
          <w:bCs/>
          <w:sz w:val="32"/>
          <w:szCs w:val="32"/>
          <w:lang w:eastAsia="zh-CN"/>
        </w:rPr>
      </w:pPr>
    </w:p>
    <w:p>
      <w:pPr>
        <w:pStyle w:val="18"/>
        <w:rPr>
          <w:rFonts w:hint="eastAsia" w:ascii="宋体" w:hAnsi="宋体" w:eastAsia="宋体" w:cs="宋体"/>
          <w:b/>
          <w:bCs/>
          <w:sz w:val="32"/>
          <w:szCs w:val="32"/>
          <w:lang w:eastAsia="zh-CN"/>
        </w:rPr>
      </w:pPr>
    </w:p>
    <w:bookmarkEnd w:id="100"/>
    <w:bookmarkEnd w:id="101"/>
    <w:p>
      <w:pPr>
        <w:spacing w:line="360" w:lineRule="auto"/>
        <w:ind w:left="105"/>
        <w:jc w:val="center"/>
        <w:rPr>
          <w:rFonts w:hint="eastAsia" w:ascii="宋体" w:hAnsi="宋体" w:eastAsia="宋体" w:cs="宋体"/>
          <w:b/>
          <w:bCs/>
          <w:sz w:val="52"/>
        </w:rPr>
      </w:pPr>
      <w:r>
        <w:rPr>
          <w:rFonts w:hint="eastAsia" w:ascii="宋体" w:hAnsi="宋体" w:cs="宋体"/>
          <w:b/>
          <w:bCs/>
          <w:sz w:val="40"/>
          <w:szCs w:val="18"/>
          <w:lang w:eastAsia="zh-CN"/>
        </w:rPr>
        <w:t>清涧县塬上文化旅游投资开发有限公司关于清涧县人生影视基地游客智慧服务平台采购项目</w:t>
      </w:r>
    </w:p>
    <w:p>
      <w:pPr>
        <w:pStyle w:val="18"/>
        <w:spacing w:line="360" w:lineRule="auto"/>
        <w:rPr>
          <w:rFonts w:hint="eastAsia" w:ascii="宋体" w:hAnsi="宋体" w:eastAsia="宋体" w:cs="宋体"/>
          <w:b/>
          <w:bCs/>
          <w:sz w:val="52"/>
        </w:rPr>
      </w:pPr>
    </w:p>
    <w:p>
      <w:pPr>
        <w:pStyle w:val="18"/>
        <w:spacing w:line="360" w:lineRule="auto"/>
        <w:rPr>
          <w:rFonts w:hint="eastAsia" w:ascii="宋体" w:hAnsi="宋体" w:eastAsia="宋体" w:cs="宋体"/>
          <w:b/>
          <w:bCs/>
          <w:sz w:val="52"/>
        </w:rPr>
      </w:pPr>
    </w:p>
    <w:p>
      <w:pPr>
        <w:spacing w:line="360" w:lineRule="auto"/>
        <w:ind w:left="105"/>
        <w:jc w:val="center"/>
        <w:rPr>
          <w:rFonts w:hint="eastAsia" w:ascii="宋体" w:hAnsi="宋体" w:eastAsia="宋体" w:cs="宋体"/>
          <w:b/>
          <w:bCs/>
          <w:sz w:val="52"/>
        </w:rPr>
      </w:pPr>
      <w:r>
        <w:rPr>
          <w:rFonts w:hint="eastAsia" w:ascii="宋体" w:hAnsi="宋体" w:eastAsia="宋体" w:cs="宋体"/>
          <w:b/>
          <w:bCs/>
          <w:sz w:val="72"/>
          <w:szCs w:val="22"/>
          <w:lang w:eastAsia="zh-CN"/>
        </w:rPr>
        <w:t>竞争性磋商</w:t>
      </w:r>
      <w:r>
        <w:rPr>
          <w:rFonts w:hint="eastAsia" w:ascii="宋体" w:hAnsi="宋体" w:eastAsia="宋体" w:cs="宋体"/>
          <w:b/>
          <w:bCs/>
          <w:sz w:val="72"/>
          <w:szCs w:val="22"/>
        </w:rPr>
        <w:t>响应文件</w:t>
      </w:r>
    </w:p>
    <w:p>
      <w:pPr>
        <w:spacing w:line="360" w:lineRule="auto"/>
        <w:jc w:val="left"/>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kern w:val="22"/>
          <w:sz w:val="28"/>
        </w:rPr>
        <w:t>供   应   商</w:t>
      </w:r>
      <w:r>
        <w:rPr>
          <w:rFonts w:hint="eastAsia" w:ascii="宋体" w:hAnsi="宋体" w:eastAsia="宋体" w:cs="宋体"/>
          <w:b/>
          <w:color w:val="000000"/>
          <w:sz w:val="28"/>
        </w:rPr>
        <w:t>：</w:t>
      </w:r>
      <w:r>
        <w:rPr>
          <w:rFonts w:hint="eastAsia" w:ascii="宋体" w:hAnsi="宋体" w:eastAsia="宋体" w:cs="宋体"/>
          <w:b/>
          <w:color w:val="000000"/>
          <w:sz w:val="28"/>
          <w:u w:val="single"/>
        </w:rPr>
        <w:t xml:space="preserve">                           （盖章）</w:t>
      </w: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法人代表人或</w:t>
      </w:r>
    </w:p>
    <w:p>
      <w:pPr>
        <w:spacing w:line="360" w:lineRule="auto"/>
        <w:ind w:left="1296" w:leftChars="540"/>
        <w:rPr>
          <w:rFonts w:hint="eastAsia" w:ascii="宋体" w:hAnsi="宋体" w:eastAsia="宋体" w:cs="宋体"/>
          <w:b/>
          <w:color w:val="000000"/>
          <w:sz w:val="28"/>
          <w:u w:val="single"/>
        </w:rPr>
      </w:pPr>
      <w:r>
        <w:rPr>
          <w:rFonts w:hint="eastAsia" w:ascii="宋体" w:hAnsi="宋体" w:eastAsia="宋体" w:cs="宋体"/>
          <w:b/>
          <w:color w:val="000000"/>
          <w:sz w:val="28"/>
        </w:rPr>
        <w:t>其委托代理人：</w:t>
      </w:r>
      <w:r>
        <w:rPr>
          <w:rFonts w:hint="eastAsia" w:ascii="宋体" w:hAnsi="宋体" w:eastAsia="宋体" w:cs="宋体"/>
          <w:b/>
          <w:color w:val="000000"/>
          <w:sz w:val="28"/>
          <w:u w:val="single"/>
        </w:rPr>
        <w:t xml:space="preserve">                     （签字或盖章）</w:t>
      </w:r>
    </w:p>
    <w:p>
      <w:pPr>
        <w:pStyle w:val="17"/>
        <w:rPr>
          <w:rFonts w:hint="eastAsia" w:ascii="宋体" w:hAnsi="宋体" w:eastAsia="宋体" w:cs="宋体"/>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日        期：   年   月   日</w:t>
      </w: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目 录</w:t>
      </w:r>
    </w:p>
    <w:p>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须自动索引</w:t>
      </w:r>
      <w:r>
        <w:rPr>
          <w:rFonts w:hint="eastAsia" w:ascii="宋体" w:hAnsi="宋体" w:eastAsia="宋体" w:cs="宋体"/>
          <w:sz w:val="32"/>
          <w:szCs w:val="32"/>
          <w:lang w:eastAsia="zh-CN"/>
        </w:rPr>
        <w:t>）</w:t>
      </w: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widowControl/>
        <w:spacing w:line="360" w:lineRule="auto"/>
        <w:jc w:val="left"/>
        <w:rPr>
          <w:rFonts w:hint="eastAsia" w:ascii="宋体" w:hAnsi="宋体" w:eastAsia="宋体" w:cs="宋体"/>
          <w:b/>
          <w:bCs/>
          <w:sz w:val="28"/>
        </w:rPr>
      </w:pPr>
      <w:bookmarkStart w:id="102" w:name="_Toc184704625"/>
      <w:bookmarkStart w:id="103" w:name="_Toc32675"/>
      <w:bookmarkStart w:id="104" w:name="_Toc184704698"/>
      <w:r>
        <w:rPr>
          <w:rFonts w:hint="eastAsia" w:ascii="宋体" w:hAnsi="宋体" w:eastAsia="宋体" w:cs="宋体"/>
          <w:b/>
          <w:bCs/>
          <w:sz w:val="28"/>
        </w:rPr>
        <w:br w:type="page"/>
      </w:r>
    </w:p>
    <w:bookmarkEnd w:id="102"/>
    <w:bookmarkEnd w:id="103"/>
    <w:bookmarkEnd w:id="104"/>
    <w:p>
      <w:pPr>
        <w:pStyle w:val="4"/>
        <w:bidi w:val="0"/>
        <w:rPr>
          <w:rFonts w:hint="eastAsia" w:ascii="宋体" w:hAnsi="宋体" w:eastAsia="宋体" w:cs="宋体"/>
        </w:rPr>
      </w:pPr>
      <w:bookmarkStart w:id="105" w:name="_Toc710"/>
      <w:r>
        <w:rPr>
          <w:rFonts w:hint="eastAsia" w:ascii="宋体" w:hAnsi="宋体" w:eastAsia="宋体" w:cs="宋体"/>
          <w:lang w:eastAsia="zh-CN"/>
        </w:rPr>
        <w:t>一、</w:t>
      </w:r>
      <w:r>
        <w:rPr>
          <w:rFonts w:hint="eastAsia" w:ascii="宋体" w:hAnsi="宋体" w:eastAsia="宋体" w:cs="宋体"/>
        </w:rPr>
        <w:t>磋商函</w:t>
      </w:r>
      <w:bookmarkEnd w:id="105"/>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 ：</w:t>
      </w:r>
    </w:p>
    <w:p>
      <w:pPr>
        <w:spacing w:line="480" w:lineRule="exact"/>
        <w:ind w:firstLine="504" w:firstLineChars="210"/>
        <w:rPr>
          <w:rFonts w:hint="eastAsia" w:ascii="宋体" w:hAnsi="宋体" w:eastAsia="宋体" w:cs="宋体"/>
          <w:sz w:val="24"/>
        </w:rPr>
      </w:pPr>
      <w:r>
        <w:rPr>
          <w:rFonts w:hint="eastAsia" w:ascii="宋体" w:hAnsi="宋体" w:eastAsia="宋体" w:cs="宋体"/>
          <w:sz w:val="24"/>
        </w:rPr>
        <w:t>我单位收到贵公司(文件编号：     )</w:t>
      </w:r>
      <w:r>
        <w:rPr>
          <w:rFonts w:hint="eastAsia" w:ascii="宋体" w:hAnsi="宋体" w:eastAsia="宋体" w:cs="宋体"/>
          <w:sz w:val="24"/>
          <w:lang w:val="en-US" w:eastAsia="zh-CN"/>
        </w:rPr>
        <w:t>磋商</w:t>
      </w:r>
      <w:r>
        <w:rPr>
          <w:rFonts w:hint="eastAsia" w:ascii="宋体" w:hAnsi="宋体" w:eastAsia="宋体" w:cs="宋体"/>
          <w:sz w:val="24"/>
        </w:rPr>
        <w:t>文件，经详细研究，我们决定参加本次</w:t>
      </w:r>
      <w:r>
        <w:rPr>
          <w:rFonts w:hint="eastAsia" w:ascii="宋体" w:hAnsi="宋体" w:eastAsia="宋体" w:cs="宋体"/>
          <w:sz w:val="24"/>
          <w:lang w:val="en-US" w:eastAsia="zh-CN"/>
        </w:rPr>
        <w:t>磋商</w:t>
      </w:r>
      <w:r>
        <w:rPr>
          <w:rFonts w:hint="eastAsia" w:ascii="宋体" w:hAnsi="宋体" w:eastAsia="宋体" w:cs="宋体"/>
          <w:sz w:val="24"/>
        </w:rPr>
        <w:t>活动。为此，我方郑重声明以下诸点，并负法律责任。</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愿意按照磋商文件中的一切要求，总报价为：</w:t>
      </w:r>
    </w:p>
    <w:p>
      <w:pPr>
        <w:spacing w:line="500" w:lineRule="exact"/>
        <w:ind w:firstLine="840"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元。</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已交纳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供应商将按磋商文件的规定履行合同责任和义务；</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.供应商已详细审查全部磋商文件，包括修改文件（如有的话）以及全部参考资料和有关附件。我们完全理解并同意放弃对这方面有不明及误解的权利；</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.其响应文件自磋商之日起有效期为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.供应商同意提供按照贵方可能要求的与其磋商有关的一切数据或资料，完全理解贵方不一定要接受最低价的报价或收到的任何其他报价。</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.与本项目有关的一切正式往来通讯请寄：</w:t>
      </w:r>
    </w:p>
    <w:p>
      <w:pPr>
        <w:pStyle w:val="2"/>
        <w:rPr>
          <w:rFonts w:hint="eastAsia"/>
        </w:rPr>
      </w:pPr>
    </w:p>
    <w:p>
      <w:pPr>
        <w:spacing w:line="500" w:lineRule="exact"/>
        <w:ind w:firstLine="420"/>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供应商全称（印章）：</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法定代表人或被授权代表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（签字或盖章）</w:t>
      </w:r>
    </w:p>
    <w:p>
      <w:pPr>
        <w:spacing w:line="56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bookmarkStart w:id="106" w:name="_Hlt491573407"/>
      <w:bookmarkEnd w:id="106"/>
    </w:p>
    <w:p>
      <w:pPr>
        <w:rPr>
          <w:rFonts w:hint="eastAsia" w:ascii="宋体" w:hAnsi="宋体" w:eastAsia="宋体" w:cs="宋体"/>
          <w:color w:val="auto"/>
          <w:sz w:val="32"/>
          <w:szCs w:val="32"/>
          <w:highlight w:val="none"/>
        </w:rPr>
      </w:pPr>
    </w:p>
    <w:p>
      <w:pPr>
        <w:widowControl/>
        <w:jc w:val="left"/>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pPr>
        <w:spacing w:line="480" w:lineRule="exact"/>
        <w:ind w:left="240" w:leftChars="100"/>
        <w:jc w:val="center"/>
        <w:outlineLvl w:val="1"/>
        <w:rPr>
          <w:rFonts w:hint="eastAsia" w:ascii="宋体" w:hAnsi="宋体" w:eastAsia="宋体" w:cs="宋体"/>
          <w:b/>
          <w:bCs/>
          <w:sz w:val="24"/>
          <w:lang w:val="en-US" w:eastAsia="zh-CN"/>
        </w:rPr>
      </w:pPr>
      <w:bookmarkStart w:id="107" w:name="_Toc15187"/>
      <w:r>
        <w:rPr>
          <w:rFonts w:hint="eastAsia" w:ascii="宋体" w:hAnsi="宋体" w:eastAsia="宋体" w:cs="宋体"/>
          <w:b/>
          <w:bCs/>
          <w:kern w:val="2"/>
          <w:sz w:val="32"/>
          <w:szCs w:val="32"/>
          <w:lang w:val="en-US" w:eastAsia="zh-CN" w:bidi="ar-SA"/>
        </w:rPr>
        <w:t>二、法定代表人证明书及法定代表人授权书</w:t>
      </w:r>
      <w:bookmarkEnd w:id="107"/>
      <w:bookmarkStart w:id="108" w:name="_Toc18694"/>
    </w:p>
    <w:p>
      <w:pPr>
        <w:spacing w:line="480" w:lineRule="exact"/>
        <w:ind w:left="240" w:leftChars="100"/>
        <w:jc w:val="center"/>
        <w:outlineLvl w:val="2"/>
        <w:rPr>
          <w:rFonts w:hint="eastAsia" w:ascii="宋体" w:hAnsi="宋体" w:eastAsia="宋体" w:cs="宋体"/>
          <w:b/>
          <w:bCs/>
          <w:sz w:val="24"/>
        </w:rPr>
      </w:pPr>
      <w:bookmarkStart w:id="109" w:name="_Toc2732"/>
      <w:r>
        <w:rPr>
          <w:rFonts w:hint="eastAsia" w:ascii="宋体" w:hAnsi="宋体" w:eastAsia="宋体" w:cs="宋体"/>
          <w:b/>
          <w:bCs/>
          <w:sz w:val="24"/>
          <w:lang w:val="en-US" w:eastAsia="zh-CN"/>
        </w:rPr>
        <w:t>2</w:t>
      </w:r>
      <w:r>
        <w:rPr>
          <w:rFonts w:hint="eastAsia" w:ascii="宋体" w:hAnsi="宋体" w:eastAsia="宋体" w:cs="宋体"/>
          <w:b/>
          <w:bCs/>
          <w:sz w:val="24"/>
        </w:rPr>
        <w:t>-1、法定代表人证明书</w:t>
      </w:r>
      <w:bookmarkEnd w:id="108"/>
      <w:bookmarkEnd w:id="10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项目名称</w:t>
            </w:r>
          </w:p>
        </w:tc>
        <w:tc>
          <w:tcPr>
            <w:tcW w:w="788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文件编号</w:t>
            </w:r>
          </w:p>
        </w:tc>
        <w:tc>
          <w:tcPr>
            <w:tcW w:w="788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   限</w:t>
            </w:r>
          </w:p>
        </w:tc>
        <w:tc>
          <w:tcPr>
            <w:tcW w:w="7883" w:type="dxa"/>
            <w:gridSpan w:val="5"/>
            <w:vAlign w:val="center"/>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有效期</w:t>
            </w:r>
          </w:p>
        </w:tc>
        <w:tc>
          <w:tcPr>
            <w:tcW w:w="7883" w:type="dxa"/>
            <w:gridSpan w:val="5"/>
            <w:vAlign w:val="center"/>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企业</w:t>
            </w:r>
          </w:p>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信息</w:t>
            </w: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 定 地 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统一社会信用代码</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工商登记机关</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网    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法定代</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表人</w:t>
            </w: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姓    名</w:t>
            </w:r>
          </w:p>
        </w:tc>
        <w:tc>
          <w:tcPr>
            <w:tcW w:w="1814"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性    别</w:t>
            </w:r>
          </w:p>
        </w:tc>
        <w:tc>
          <w:tcPr>
            <w:tcW w:w="255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职    务</w:t>
            </w:r>
          </w:p>
        </w:tc>
        <w:tc>
          <w:tcPr>
            <w:tcW w:w="1814"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联系电话</w:t>
            </w:r>
          </w:p>
        </w:tc>
        <w:tc>
          <w:tcPr>
            <w:tcW w:w="255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传    真</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627" w:type="dxa"/>
            <w:gridSpan w:val="3"/>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法定代表人签字并盖章：</w:t>
            </w:r>
          </w:p>
        </w:tc>
      </w:tr>
    </w:tbl>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（供应商单位公章） </w:t>
      </w:r>
    </w:p>
    <w:p>
      <w:pPr>
        <w:spacing w:line="480" w:lineRule="exact"/>
        <w:jc w:val="left"/>
        <w:rPr>
          <w:rFonts w:hint="eastAsia" w:ascii="宋体" w:hAnsi="宋体" w:eastAsia="宋体" w:cs="宋体"/>
          <w:sz w:val="24"/>
        </w:rPr>
      </w:pPr>
      <w:r>
        <w:rPr>
          <w:rFonts w:hint="eastAsia" w:ascii="宋体" w:hAnsi="宋体" w:eastAsia="宋体" w:cs="宋体"/>
          <w:sz w:val="24"/>
        </w:rPr>
        <w:t xml:space="preserve">日 期：  </w:t>
      </w:r>
    </w:p>
    <w:p>
      <w:pPr>
        <w:spacing w:line="480" w:lineRule="exact"/>
        <w:jc w:val="center"/>
        <w:outlineLvl w:val="2"/>
        <w:rPr>
          <w:rFonts w:hint="eastAsia" w:ascii="宋体" w:hAnsi="宋体" w:eastAsia="宋体" w:cs="宋体"/>
          <w:b/>
          <w:bCs/>
          <w:sz w:val="24"/>
        </w:rPr>
      </w:pPr>
      <w:r>
        <w:rPr>
          <w:rFonts w:hint="eastAsia" w:ascii="宋体" w:hAnsi="宋体" w:eastAsia="宋体" w:cs="宋体"/>
          <w:b/>
          <w:bCs/>
          <w:sz w:val="24"/>
        </w:rPr>
        <w:br w:type="page"/>
      </w:r>
      <w:bookmarkStart w:id="110" w:name="_Toc14734"/>
      <w:bookmarkStart w:id="111" w:name="_Toc31873"/>
      <w:r>
        <w:rPr>
          <w:rFonts w:hint="eastAsia" w:ascii="宋体" w:hAnsi="宋体" w:eastAsia="宋体" w:cs="宋体"/>
          <w:b/>
          <w:bCs/>
          <w:sz w:val="24"/>
          <w:lang w:val="en-US" w:eastAsia="zh-CN"/>
        </w:rPr>
        <w:t>2</w:t>
      </w:r>
      <w:r>
        <w:rPr>
          <w:rFonts w:hint="eastAsia" w:ascii="宋体" w:hAnsi="宋体" w:eastAsia="宋体" w:cs="宋体"/>
          <w:b/>
          <w:bCs/>
          <w:sz w:val="24"/>
        </w:rPr>
        <w:t>-2、法定代表人授权书</w:t>
      </w:r>
      <w:bookmarkEnd w:id="110"/>
      <w:bookmarkEnd w:id="11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权项</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目与</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内容</w:t>
            </w: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项目名称</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文件编号</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授权范围</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法律责任</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授权期限</w:t>
            </w:r>
          </w:p>
        </w:tc>
        <w:tc>
          <w:tcPr>
            <w:tcW w:w="6553" w:type="dxa"/>
            <w:gridSpan w:val="5"/>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本授权书自提交磋商响应文件的截止之日起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企业信息</w:t>
            </w: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 定 地 址</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统一社会信用代码</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法定代表人</w:t>
            </w: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被授权人</w:t>
            </w: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7797"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712" w:type="dxa"/>
            <w:gridSpan w:val="3"/>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被授权人二代身份证正面复印件或扫描件</w:t>
            </w:r>
          </w:p>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471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被授权人二代身份证反面复印件或扫描件</w:t>
            </w:r>
          </w:p>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法定代表人及被授权人签字：</w:t>
            </w:r>
          </w:p>
        </w:tc>
      </w:tr>
    </w:tbl>
    <w:p>
      <w:pPr>
        <w:autoSpaceDE w:val="0"/>
        <w:autoSpaceDN w:val="0"/>
        <w:adjustRightInd w:val="0"/>
        <w:snapToGrid w:val="0"/>
        <w:spacing w:line="360" w:lineRule="auto"/>
        <w:rPr>
          <w:rFonts w:hint="eastAsia" w:ascii="宋体" w:hAnsi="宋体" w:eastAsia="宋体" w:cs="宋体"/>
          <w:bCs/>
          <w:caps/>
          <w:sz w:val="24"/>
        </w:rPr>
      </w:pPr>
      <w:r>
        <w:rPr>
          <w:rFonts w:hint="eastAsia" w:ascii="宋体" w:hAnsi="宋体" w:eastAsia="宋体" w:cs="宋体"/>
          <w:bCs/>
          <w:caps/>
          <w:sz w:val="24"/>
        </w:rPr>
        <w:t>供应商名称：</w:t>
      </w:r>
      <w:r>
        <w:rPr>
          <w:rFonts w:hint="eastAsia" w:ascii="宋体" w:hAnsi="宋体" w:eastAsia="宋体" w:cs="宋体"/>
          <w:bCs/>
          <w:caps/>
          <w:sz w:val="24"/>
          <w:u w:val="single"/>
        </w:rPr>
        <w:t xml:space="preserve">             </w:t>
      </w:r>
      <w:r>
        <w:rPr>
          <w:rFonts w:hint="eastAsia" w:ascii="宋体" w:hAnsi="宋体" w:eastAsia="宋体" w:cs="宋体"/>
          <w:bCs/>
          <w:caps/>
          <w:sz w:val="24"/>
        </w:rPr>
        <w:t xml:space="preserve">（供应商单位公章） </w:t>
      </w:r>
    </w:p>
    <w:p>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Cs/>
          <w:caps/>
          <w:sz w:val="24"/>
        </w:rPr>
        <w:t>日 期</w:t>
      </w:r>
      <w:r>
        <w:rPr>
          <w:rFonts w:hint="eastAsia" w:ascii="宋体" w:hAnsi="宋体" w:eastAsia="宋体" w:cs="宋体"/>
          <w:bCs/>
          <w:caps/>
          <w:sz w:val="28"/>
          <w:szCs w:val="28"/>
        </w:rPr>
        <w:t xml:space="preserve">：    </w:t>
      </w:r>
    </w:p>
    <w:p>
      <w:pPr>
        <w:pStyle w:val="4"/>
        <w:bidi w:val="0"/>
        <w:ind w:firstLine="3213" w:firstLineChars="1000"/>
        <w:jc w:val="both"/>
        <w:rPr>
          <w:rFonts w:hint="eastAsia" w:ascii="宋体" w:hAnsi="宋体" w:eastAsia="宋体" w:cs="宋体"/>
        </w:rPr>
      </w:pPr>
      <w:bookmarkStart w:id="112" w:name="_Toc32340"/>
      <w:bookmarkStart w:id="113" w:name="_Toc28680"/>
      <w:bookmarkStart w:id="114" w:name="_Toc24912"/>
      <w:bookmarkStart w:id="115" w:name="_Toc3275"/>
      <w:r>
        <w:rPr>
          <w:rFonts w:hint="eastAsia" w:ascii="宋体" w:hAnsi="宋体" w:eastAsia="宋体" w:cs="宋体"/>
          <w:lang w:val="en-US" w:eastAsia="zh-CN"/>
        </w:rPr>
        <w:t>三</w:t>
      </w:r>
      <w:r>
        <w:rPr>
          <w:rFonts w:hint="eastAsia" w:ascii="宋体" w:hAnsi="宋体" w:eastAsia="宋体" w:cs="宋体"/>
        </w:rPr>
        <w:t>、磋商一览表</w:t>
      </w:r>
      <w:bookmarkEnd w:id="112"/>
      <w:bookmarkEnd w:id="113"/>
      <w:bookmarkEnd w:id="114"/>
      <w:bookmarkEnd w:id="115"/>
    </w:p>
    <w:tbl>
      <w:tblPr>
        <w:tblStyle w:val="2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总报价</w:t>
            </w:r>
          </w:p>
          <w:p>
            <w:pPr>
              <w:spacing w:line="360" w:lineRule="auto"/>
              <w:jc w:val="center"/>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服务</w:t>
            </w:r>
            <w:r>
              <w:rPr>
                <w:rFonts w:hint="eastAsia" w:ascii="宋体" w:hAnsi="宋体" w:eastAsia="宋体" w:cs="宋体"/>
                <w:szCs w:val="21"/>
                <w:lang w:eastAsia="zh-CN"/>
              </w:rPr>
              <w:t>期</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spacing w:line="360" w:lineRule="auto"/>
              <w:jc w:val="left"/>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pPr>
        <w:spacing w:line="360" w:lineRule="auto"/>
        <w:rPr>
          <w:rFonts w:hint="eastAsia" w:ascii="宋体" w:hAnsi="宋体" w:eastAsia="宋体" w:cs="宋体"/>
          <w:szCs w:val="21"/>
        </w:rPr>
      </w:pP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pPr>
        <w:pStyle w:val="2"/>
        <w:spacing w:line="360" w:lineRule="auto"/>
        <w:rPr>
          <w:rFonts w:hint="eastAsia" w:ascii="宋体" w:hAnsi="宋体" w:eastAsia="宋体" w:cs="宋体"/>
          <w:color w:val="000000"/>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ind w:firstLine="562" w:firstLineChars="175"/>
        <w:jc w:val="center"/>
        <w:outlineLvl w:val="2"/>
        <w:rPr>
          <w:rFonts w:hint="eastAsia" w:ascii="宋体" w:hAnsi="宋体" w:eastAsia="宋体" w:cs="宋体"/>
          <w:b/>
          <w:color w:val="auto"/>
          <w:kern w:val="2"/>
          <w:sz w:val="32"/>
          <w:szCs w:val="32"/>
          <w:lang w:val="en-US" w:eastAsia="zh-CN" w:bidi="ar-SA"/>
        </w:rPr>
      </w:pPr>
      <w:bookmarkStart w:id="116" w:name="_Toc817"/>
      <w:bookmarkStart w:id="117" w:name="_Toc12958"/>
      <w:r>
        <w:rPr>
          <w:rFonts w:hint="eastAsia" w:ascii="宋体" w:hAnsi="宋体" w:eastAsia="宋体" w:cs="宋体"/>
          <w:b/>
          <w:color w:val="auto"/>
          <w:kern w:val="2"/>
          <w:sz w:val="32"/>
          <w:szCs w:val="32"/>
          <w:lang w:val="en-US" w:eastAsia="zh-CN" w:bidi="ar-SA"/>
        </w:rPr>
        <w:t>分项报价表</w:t>
      </w:r>
      <w:bookmarkEnd w:id="116"/>
      <w:bookmarkEnd w:id="117"/>
    </w:p>
    <w:p>
      <w:pPr>
        <w:rPr>
          <w:rFonts w:hint="eastAsia" w:ascii="宋体" w:hAnsi="宋体" w:eastAsia="宋体" w:cs="宋体"/>
          <w:color w:val="auto"/>
          <w:lang w:val="en-US" w:eastAsia="zh-CN"/>
        </w:rPr>
      </w:pPr>
    </w:p>
    <w:p>
      <w:pPr>
        <w:pStyle w:val="2"/>
        <w:rPr>
          <w:rFonts w:hint="eastAsia" w:ascii="宋体" w:hAnsi="宋体" w:eastAsia="宋体" w:cs="宋体"/>
          <w:color w:val="auto"/>
          <w:sz w:val="24"/>
          <w:u w:val="single"/>
          <w:lang w:val="en-US" w:eastAsia="zh-CN"/>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rPr>
        <w:t>采购项目编号：</w:t>
      </w:r>
      <w:r>
        <w:rPr>
          <w:rFonts w:hint="eastAsia" w:ascii="宋体" w:hAnsi="宋体" w:eastAsia="宋体" w:cs="宋体"/>
          <w:color w:val="auto"/>
          <w:sz w:val="24"/>
          <w:u w:val="single"/>
        </w:rPr>
        <w:t xml:space="preserve">               </w:t>
      </w:r>
    </w:p>
    <w:p>
      <w:pPr>
        <w:pStyle w:val="2"/>
        <w:jc w:val="right"/>
        <w:rPr>
          <w:rFonts w:hint="eastAsia" w:ascii="宋体" w:hAnsi="宋体" w:eastAsia="宋体" w:cs="宋体"/>
          <w:color w:val="auto"/>
          <w:lang w:val="en-US" w:eastAsia="zh-CN"/>
        </w:rPr>
      </w:pPr>
      <w:r>
        <w:rPr>
          <w:rFonts w:hint="eastAsia" w:ascii="宋体" w:hAnsi="宋体" w:eastAsia="宋体" w:cs="宋体"/>
          <w:color w:val="auto"/>
          <w:sz w:val="24"/>
        </w:rPr>
        <w:t>单位：元</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p>
    <w:p>
      <w:pPr>
        <w:spacing w:line="500" w:lineRule="exact"/>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 xml:space="preserve">     </w:t>
      </w: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jc w:val="center"/>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（格式自拟）</w:t>
      </w: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default"/>
          <w:lang w:val="en-US" w:eastAsia="zh-CN"/>
        </w:rPr>
      </w:pP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 供应商须按照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及要求”中涉及的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清单进行报价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包含项目所有内容</w:t>
      </w:r>
      <w:r>
        <w:rPr>
          <w:rFonts w:hint="eastAsia" w:ascii="宋体" w:hAnsi="宋体" w:eastAsia="宋体" w:cs="宋体"/>
          <w:color w:val="auto"/>
          <w:sz w:val="24"/>
          <w:szCs w:val="24"/>
        </w:rPr>
        <w:t>。</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如果按单价计算的结果与总价不一致，以单价为准修正总价。</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法人代表或被授权代表签字：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投   标   单  位  公  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rPr>
          <w:rFonts w:hint="eastAsia"/>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18" w:name="_Toc25789"/>
      <w:bookmarkStart w:id="119" w:name="_Toc19883"/>
      <w:bookmarkStart w:id="120" w:name="_Toc334522292"/>
      <w:bookmarkStart w:id="121" w:name="_Toc356814675"/>
      <w:bookmarkStart w:id="122" w:name="_Toc347478747"/>
      <w:bookmarkStart w:id="123" w:name="_Toc283240497"/>
      <w:bookmarkStart w:id="124" w:name="_Toc19460"/>
      <w:bookmarkStart w:id="125" w:name="_Toc311415658"/>
      <w:bookmarkStart w:id="126" w:name="_Toc312789404"/>
      <w:bookmarkStart w:id="127" w:name="_Toc12277"/>
      <w:bookmarkStart w:id="128" w:name="_Toc12268"/>
      <w:r>
        <w:rPr>
          <w:rFonts w:hint="eastAsia" w:ascii="宋体" w:hAnsi="宋体" w:eastAsia="宋体" w:cs="宋体"/>
          <w:b/>
          <w:bCs/>
          <w:kern w:val="2"/>
          <w:sz w:val="32"/>
          <w:szCs w:val="32"/>
          <w:lang w:val="en-US" w:eastAsia="zh-CN" w:bidi="ar-SA"/>
        </w:rPr>
        <w:t>四、商务条款响应偏离表</w:t>
      </w:r>
      <w:bookmarkEnd w:id="118"/>
    </w:p>
    <w:p>
      <w:pPr>
        <w:spacing w:line="480" w:lineRule="exact"/>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项目编号：</w:t>
      </w:r>
      <w:r>
        <w:rPr>
          <w:rFonts w:hint="eastAsia" w:ascii="宋体" w:hAnsi="宋体" w:eastAsia="宋体" w:cs="宋体"/>
          <w:color w:val="000000"/>
          <w:sz w:val="24"/>
          <w:u w:val="single"/>
        </w:rPr>
        <w:t xml:space="preserve">             </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26" w:type="dxa"/>
            <w:noWrap w:val="0"/>
            <w:tcMar>
              <w:top w:w="57" w:type="dxa"/>
              <w:left w:w="28" w:type="dxa"/>
              <w:bottom w:w="57" w:type="dxa"/>
              <w:right w:w="28" w:type="dxa"/>
            </w:tcMar>
            <w:vAlign w:val="center"/>
          </w:tcPr>
          <w:p>
            <w:pPr>
              <w:spacing w:line="320" w:lineRule="exact"/>
              <w:ind w:left="-110" w:leftChars="-46"/>
              <w:jc w:val="center"/>
              <w:rPr>
                <w:rFonts w:hint="eastAsia" w:ascii="宋体" w:hAnsi="宋体" w:eastAsia="宋体" w:cs="宋体"/>
                <w:color w:val="000000"/>
                <w:sz w:val="24"/>
              </w:rPr>
            </w:pPr>
            <w:r>
              <w:rPr>
                <w:rFonts w:hint="eastAsia" w:ascii="宋体" w:hAnsi="宋体" w:eastAsia="宋体" w:cs="宋体"/>
                <w:color w:val="000000"/>
                <w:sz w:val="24"/>
              </w:rPr>
              <w:t xml:space="preserve"> 序号</w:t>
            </w:r>
          </w:p>
        </w:tc>
        <w:tc>
          <w:tcPr>
            <w:tcW w:w="2950" w:type="dxa"/>
            <w:noWrap w:val="0"/>
            <w:tcMar>
              <w:top w:w="57" w:type="dxa"/>
              <w:left w:w="28" w:type="dxa"/>
              <w:bottom w:w="57" w:type="dxa"/>
              <w:right w:w="28" w:type="dxa"/>
            </w:tcMar>
            <w:vAlign w:val="center"/>
          </w:tcPr>
          <w:p>
            <w:pPr>
              <w:spacing w:line="320" w:lineRule="exact"/>
              <w:ind w:left="240" w:leftChars="100" w:firstLine="480" w:firstLineChars="200"/>
              <w:rPr>
                <w:rFonts w:hint="eastAsia" w:ascii="宋体" w:hAnsi="宋体" w:eastAsia="宋体" w:cs="宋体"/>
                <w:color w:val="000000"/>
                <w:sz w:val="24"/>
              </w:rPr>
            </w:pPr>
            <w:r>
              <w:rPr>
                <w:rFonts w:hint="eastAsia" w:ascii="宋体" w:hAnsi="宋体" w:eastAsia="宋体" w:cs="宋体"/>
                <w:color w:val="000000"/>
                <w:sz w:val="24"/>
              </w:rPr>
              <w:t>招标文件</w:t>
            </w:r>
          </w:p>
          <w:p>
            <w:pPr>
              <w:spacing w:line="320" w:lineRule="exact"/>
              <w:ind w:left="240" w:leftChars="100" w:firstLine="240" w:firstLineChars="100"/>
              <w:rPr>
                <w:rFonts w:hint="eastAsia" w:ascii="宋体" w:hAnsi="宋体" w:eastAsia="宋体" w:cs="宋体"/>
                <w:color w:val="000000"/>
                <w:sz w:val="24"/>
              </w:rPr>
            </w:pPr>
            <w:r>
              <w:rPr>
                <w:rFonts w:hint="eastAsia" w:ascii="宋体" w:hAnsi="宋体" w:eastAsia="宋体" w:cs="宋体"/>
                <w:color w:val="000000"/>
                <w:sz w:val="24"/>
              </w:rPr>
              <w:t>商务要求条款</w:t>
            </w:r>
          </w:p>
        </w:tc>
        <w:tc>
          <w:tcPr>
            <w:tcW w:w="2379" w:type="dxa"/>
            <w:noWrap w:val="0"/>
            <w:tcMar>
              <w:top w:w="57" w:type="dxa"/>
              <w:left w:w="28" w:type="dxa"/>
              <w:bottom w:w="57" w:type="dxa"/>
              <w:right w:w="28" w:type="dxa"/>
            </w:tcMar>
            <w:vAlign w:val="center"/>
          </w:tcPr>
          <w:p>
            <w:pPr>
              <w:spacing w:line="320" w:lineRule="exact"/>
              <w:ind w:left="240" w:leftChars="100" w:firstLine="360" w:firstLineChars="150"/>
              <w:rPr>
                <w:rFonts w:hint="eastAsia" w:ascii="宋体" w:hAnsi="宋体" w:eastAsia="宋体" w:cs="宋体"/>
                <w:color w:val="000000"/>
                <w:sz w:val="24"/>
              </w:rPr>
            </w:pPr>
            <w:r>
              <w:rPr>
                <w:rFonts w:hint="eastAsia" w:ascii="宋体" w:hAnsi="宋体" w:eastAsia="宋体" w:cs="宋体"/>
                <w:color w:val="000000"/>
                <w:sz w:val="24"/>
              </w:rPr>
              <w:t>投标文件</w:t>
            </w:r>
          </w:p>
          <w:p>
            <w:pPr>
              <w:spacing w:line="320" w:lineRule="exact"/>
              <w:ind w:left="240" w:leftChars="100" w:firstLine="120" w:firstLineChars="50"/>
              <w:rPr>
                <w:rFonts w:hint="eastAsia" w:ascii="宋体" w:hAnsi="宋体" w:eastAsia="宋体" w:cs="宋体"/>
                <w:color w:val="000000"/>
                <w:sz w:val="24"/>
              </w:rPr>
            </w:pPr>
            <w:r>
              <w:rPr>
                <w:rFonts w:hint="eastAsia" w:ascii="宋体" w:hAnsi="宋体" w:eastAsia="宋体" w:cs="宋体"/>
                <w:color w:val="000000"/>
                <w:sz w:val="24"/>
              </w:rPr>
              <w:t>商务响应条款</w:t>
            </w:r>
          </w:p>
        </w:tc>
        <w:tc>
          <w:tcPr>
            <w:tcW w:w="1650" w:type="dxa"/>
            <w:noWrap w:val="0"/>
            <w:tcMar>
              <w:top w:w="57" w:type="dxa"/>
              <w:left w:w="28" w:type="dxa"/>
              <w:bottom w:w="57" w:type="dxa"/>
              <w:right w:w="28" w:type="dxa"/>
            </w:tcMar>
            <w:vAlign w:val="center"/>
          </w:tcPr>
          <w:p>
            <w:pPr>
              <w:spacing w:line="320" w:lineRule="exact"/>
              <w:ind w:left="240" w:leftChars="100"/>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438" w:type="dxa"/>
            <w:noWrap w:val="0"/>
            <w:vAlign w:val="center"/>
          </w:tcPr>
          <w:p>
            <w:pPr>
              <w:spacing w:line="320" w:lineRule="exact"/>
              <w:ind w:left="240" w:leftChars="100"/>
              <w:rPr>
                <w:rFonts w:hint="eastAsia" w:ascii="宋体" w:hAnsi="宋体" w:eastAsia="宋体" w:cs="宋体"/>
                <w:color w:val="000000"/>
                <w:sz w:val="24"/>
              </w:rPr>
            </w:pPr>
            <w:r>
              <w:rPr>
                <w:rFonts w:hint="eastAsia" w:ascii="宋体" w:hAnsi="宋体" w:eastAsia="宋体" w:cs="宋体"/>
                <w:color w:val="000000"/>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bl>
    <w:p>
      <w:pPr>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注：</w:t>
      </w:r>
    </w:p>
    <w:p>
      <w:pPr>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1、本表应按照</w:t>
      </w:r>
      <w:r>
        <w:rPr>
          <w:rFonts w:hint="eastAsia" w:ascii="宋体" w:hAnsi="宋体" w:cs="宋体"/>
          <w:color w:val="000000"/>
          <w:sz w:val="24"/>
          <w:lang w:val="en-US" w:eastAsia="zh-CN"/>
        </w:rPr>
        <w:t>磋商</w:t>
      </w:r>
      <w:r>
        <w:rPr>
          <w:rFonts w:hint="eastAsia" w:ascii="宋体" w:hAnsi="宋体" w:eastAsia="宋体" w:cs="宋体"/>
          <w:color w:val="000000"/>
          <w:sz w:val="24"/>
        </w:rPr>
        <w:t>文件商务条款填写；</w:t>
      </w:r>
    </w:p>
    <w:p>
      <w:pPr>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2、如有漏报、瞒报招标文件所要求的性能指标等将视为没有实质性响应招标文件。</w:t>
      </w:r>
    </w:p>
    <w:p>
      <w:pPr>
        <w:spacing w:line="480" w:lineRule="exact"/>
        <w:rPr>
          <w:rFonts w:hint="eastAsia" w:ascii="宋体" w:hAnsi="宋体" w:eastAsia="宋体" w:cs="宋体"/>
          <w:color w:val="000000"/>
          <w:sz w:val="24"/>
        </w:rPr>
      </w:pPr>
    </w:p>
    <w:p>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19"/>
    <w:bookmarkEnd w:id="120"/>
    <w:bookmarkEnd w:id="121"/>
    <w:bookmarkEnd w:id="122"/>
    <w:bookmarkEnd w:id="123"/>
    <w:bookmarkEnd w:id="124"/>
    <w:bookmarkEnd w:id="125"/>
    <w:bookmarkEnd w:id="126"/>
    <w:bookmarkEnd w:id="127"/>
    <w:bookmarkEnd w:id="128"/>
    <w:p>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29" w:name="_Toc29342"/>
      <w:bookmarkStart w:id="130" w:name="_Toc492757486"/>
      <w:bookmarkStart w:id="131" w:name="_Toc5817"/>
      <w:r>
        <w:rPr>
          <w:rFonts w:hint="eastAsia" w:ascii="宋体" w:hAnsi="宋体" w:eastAsia="宋体" w:cs="宋体"/>
          <w:b/>
          <w:bCs/>
          <w:kern w:val="2"/>
          <w:sz w:val="32"/>
          <w:szCs w:val="32"/>
          <w:lang w:val="en-US" w:eastAsia="zh-CN" w:bidi="ar-SA"/>
        </w:rPr>
        <w:t>五、技术规格响应偏离表</w:t>
      </w:r>
      <w:bookmarkEnd w:id="129"/>
    </w:p>
    <w:p>
      <w:pPr>
        <w:spacing w:line="360" w:lineRule="auto"/>
        <w:jc w:val="left"/>
        <w:rPr>
          <w:rFonts w:hint="eastAsia" w:ascii="宋体" w:hAnsi="宋体" w:eastAsia="宋体" w:cs="宋体"/>
          <w:szCs w:val="24"/>
          <w:u w:val="single"/>
        </w:rPr>
      </w:pPr>
      <w:r>
        <w:rPr>
          <w:rFonts w:hint="eastAsia" w:ascii="宋体" w:hAnsi="宋体" w:eastAsia="宋体" w:cs="宋体"/>
          <w:szCs w:val="24"/>
          <w:lang w:eastAsia="zh-CN"/>
        </w:rPr>
        <w:t>项目</w:t>
      </w:r>
      <w:r>
        <w:rPr>
          <w:rFonts w:hint="eastAsia" w:ascii="宋体" w:hAnsi="宋体" w:eastAsia="宋体" w:cs="宋体"/>
          <w:szCs w:val="24"/>
        </w:rPr>
        <w:t>名称：</w:t>
      </w:r>
      <w:r>
        <w:rPr>
          <w:rFonts w:hint="eastAsia" w:ascii="宋体" w:hAnsi="宋体" w:eastAsia="宋体" w:cs="宋体"/>
          <w:szCs w:val="24"/>
          <w:u w:val="single"/>
        </w:rPr>
        <w:t xml:space="preserve">                    </w:t>
      </w:r>
      <w:r>
        <w:rPr>
          <w:rFonts w:hint="eastAsia" w:ascii="宋体" w:hAnsi="宋体" w:eastAsia="宋体" w:cs="宋体"/>
          <w:szCs w:val="24"/>
        </w:rPr>
        <w:t xml:space="preserve">            项目编号：</w:t>
      </w:r>
      <w:r>
        <w:rPr>
          <w:rFonts w:hint="eastAsia" w:ascii="宋体" w:hAnsi="宋体" w:eastAsia="宋体" w:cs="宋体"/>
          <w:szCs w:val="24"/>
          <w:u w:val="single"/>
        </w:rPr>
        <w:t xml:space="preserve">                  </w:t>
      </w:r>
    </w:p>
    <w:tbl>
      <w:tblPr>
        <w:tblStyle w:val="27"/>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46" w:leftChars="19"/>
              <w:jc w:val="center"/>
              <w:rPr>
                <w:rFonts w:hint="eastAsia" w:ascii="宋体" w:hAnsi="宋体" w:eastAsia="宋体" w:cs="宋体"/>
                <w:b/>
                <w:szCs w:val="24"/>
              </w:rPr>
            </w:pPr>
            <w:r>
              <w:rPr>
                <w:rFonts w:hint="eastAsia" w:ascii="宋体" w:hAnsi="宋体" w:eastAsia="宋体" w:cs="宋体"/>
                <w:b/>
                <w:szCs w:val="24"/>
              </w:rPr>
              <w:t>序号</w:t>
            </w:r>
          </w:p>
        </w:tc>
        <w:tc>
          <w:tcPr>
            <w:tcW w:w="2794" w:type="dxa"/>
            <w:tcMar>
              <w:top w:w="57" w:type="dxa"/>
              <w:left w:w="28" w:type="dxa"/>
              <w:bottom w:w="57" w:type="dxa"/>
              <w:right w:w="28" w:type="dxa"/>
            </w:tcMar>
            <w:vAlign w:val="center"/>
          </w:tcPr>
          <w:p>
            <w:pPr>
              <w:spacing w:line="360" w:lineRule="auto"/>
              <w:ind w:left="240" w:leftChars="100"/>
              <w:jc w:val="center"/>
              <w:rPr>
                <w:rFonts w:hint="eastAsia" w:ascii="宋体" w:hAnsi="宋体" w:eastAsia="宋体" w:cs="宋体"/>
                <w:b/>
                <w:szCs w:val="24"/>
              </w:rPr>
            </w:pPr>
            <w:r>
              <w:rPr>
                <w:rFonts w:hint="eastAsia" w:ascii="宋体" w:hAnsi="宋体" w:eastAsia="宋体" w:cs="宋体"/>
                <w:b/>
                <w:szCs w:val="24"/>
              </w:rPr>
              <w:t>磋商文件技术需求</w:t>
            </w:r>
          </w:p>
        </w:tc>
        <w:tc>
          <w:tcPr>
            <w:tcW w:w="2659" w:type="dxa"/>
            <w:tcMar>
              <w:top w:w="57" w:type="dxa"/>
              <w:left w:w="28" w:type="dxa"/>
              <w:bottom w:w="57" w:type="dxa"/>
              <w:right w:w="28" w:type="dxa"/>
            </w:tcMar>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响应文件技术响应</w:t>
            </w:r>
          </w:p>
        </w:tc>
        <w:tc>
          <w:tcPr>
            <w:tcW w:w="2485" w:type="dxa"/>
            <w:tcMar>
              <w:top w:w="57" w:type="dxa"/>
              <w:left w:w="28" w:type="dxa"/>
              <w:bottom w:w="57" w:type="dxa"/>
              <w:right w:w="28" w:type="dxa"/>
            </w:tcMar>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bl>
    <w:p>
      <w:pPr>
        <w:spacing w:before="120" w:beforeLines="50" w:line="400" w:lineRule="exact"/>
        <w:ind w:left="-161" w:leftChars="-67" w:firstLine="480" w:firstLineChars="200"/>
        <w:rPr>
          <w:rFonts w:hint="eastAsia" w:ascii="宋体" w:hAnsi="宋体" w:eastAsia="宋体" w:cs="宋体"/>
          <w:color w:val="auto"/>
          <w:szCs w:val="21"/>
        </w:rPr>
      </w:pPr>
      <w:bookmarkStart w:id="132" w:name="_Toc193187103"/>
      <w:bookmarkStart w:id="133" w:name="_Toc188808838"/>
      <w:bookmarkStart w:id="134" w:name="_Toc11969"/>
      <w:bookmarkStart w:id="135" w:name="_Toc2240"/>
      <w:bookmarkStart w:id="136" w:name="_Toc193126887"/>
      <w:bookmarkStart w:id="137" w:name="_Toc194663924"/>
      <w:bookmarkStart w:id="138" w:name="_Toc458617476"/>
      <w:r>
        <w:rPr>
          <w:rFonts w:hint="eastAsia" w:ascii="宋体" w:hAnsi="宋体" w:eastAsia="宋体" w:cs="宋体"/>
          <w:color w:val="auto"/>
          <w:szCs w:val="21"/>
        </w:rPr>
        <w:t>注：1.本表只填写投标文件中与招标文件有偏离的内容，投标文件中技术规格及指标响应与招标文件要求完全一致的，不用在此表中列出，但必须提交空白表。如不提供此表，则视为投标人不满足招标文件的所有技术条款要求，其</w:t>
      </w:r>
      <w:r>
        <w:rPr>
          <w:rFonts w:hint="eastAsia" w:ascii="宋体" w:hAnsi="宋体" w:eastAsia="宋体" w:cs="宋体"/>
          <w:b/>
          <w:color w:val="auto"/>
          <w:szCs w:val="21"/>
        </w:rPr>
        <w:t>投标无效</w:t>
      </w:r>
      <w:r>
        <w:rPr>
          <w:rFonts w:hint="eastAsia" w:ascii="宋体" w:hAnsi="宋体" w:eastAsia="宋体" w:cs="宋体"/>
          <w:color w:val="auto"/>
          <w:szCs w:val="21"/>
        </w:rPr>
        <w:t>。</w:t>
      </w:r>
    </w:p>
    <w:p>
      <w:pPr>
        <w:spacing w:line="400" w:lineRule="exact"/>
        <w:ind w:left="-161" w:leftChars="-67" w:firstLine="480" w:firstLineChars="200"/>
        <w:rPr>
          <w:rFonts w:hint="eastAsia" w:ascii="宋体" w:hAnsi="宋体" w:eastAsia="宋体" w:cs="宋体"/>
          <w:color w:val="auto"/>
          <w:szCs w:val="21"/>
        </w:rPr>
      </w:pPr>
      <w:r>
        <w:rPr>
          <w:rFonts w:hint="eastAsia" w:ascii="宋体" w:hAnsi="宋体" w:eastAsia="宋体" w:cs="宋体"/>
          <w:color w:val="auto"/>
          <w:szCs w:val="21"/>
        </w:rPr>
        <w:t>2.投标人必须据实填写，不得虚假响应，否则，将取消其投标或中标资格。</w:t>
      </w: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pPr>
        <w:spacing w:line="360" w:lineRule="auto"/>
        <w:rPr>
          <w:rFonts w:hint="eastAsia" w:ascii="宋体" w:hAnsi="宋体" w:eastAsia="宋体" w:cs="宋体"/>
          <w:color w:val="000000"/>
          <w:szCs w:val="21"/>
        </w:rPr>
      </w:pPr>
    </w:p>
    <w:p>
      <w:pPr>
        <w:pStyle w:val="48"/>
        <w:spacing w:line="360" w:lineRule="auto"/>
        <w:ind w:left="0" w:leftChars="0" w:firstLine="0" w:firstLineChars="0"/>
        <w:rPr>
          <w:rFonts w:hint="eastAsia" w:ascii="宋体" w:hAnsi="宋体" w:eastAsia="宋体" w:cs="宋体"/>
          <w:b/>
        </w:rPr>
      </w:pPr>
    </w:p>
    <w:bookmarkEnd w:id="132"/>
    <w:bookmarkEnd w:id="133"/>
    <w:bookmarkEnd w:id="134"/>
    <w:bookmarkEnd w:id="135"/>
    <w:bookmarkEnd w:id="136"/>
    <w:bookmarkEnd w:id="137"/>
    <w:bookmarkEnd w:id="138"/>
    <w:p>
      <w:pPr>
        <w:pStyle w:val="4"/>
        <w:bidi w:val="0"/>
        <w:outlineLvl w:val="1"/>
        <w:rPr>
          <w:rFonts w:hint="eastAsia" w:ascii="宋体" w:hAnsi="宋体" w:eastAsia="宋体" w:cs="宋体"/>
        </w:rPr>
      </w:pPr>
      <w:bookmarkStart w:id="139" w:name="_Toc26784"/>
      <w:bookmarkStart w:id="140" w:name="_Toc27409"/>
      <w:bookmarkStart w:id="141" w:name="_Toc32409"/>
      <w:r>
        <w:rPr>
          <w:rFonts w:hint="eastAsia" w:ascii="宋体" w:hAnsi="宋体" w:eastAsia="宋体" w:cs="宋体"/>
          <w:lang w:val="en-US" w:eastAsia="zh-CN"/>
        </w:rPr>
        <w:t>六</w:t>
      </w:r>
      <w:r>
        <w:rPr>
          <w:rFonts w:hint="eastAsia" w:ascii="宋体" w:hAnsi="宋体" w:eastAsia="宋体" w:cs="宋体"/>
        </w:rPr>
        <w:t>、</w:t>
      </w:r>
      <w:bookmarkStart w:id="142" w:name="_Toc356927980"/>
      <w:r>
        <w:rPr>
          <w:rFonts w:hint="eastAsia" w:ascii="宋体" w:hAnsi="宋体" w:eastAsia="宋体" w:cs="宋体"/>
        </w:rPr>
        <w:t>供应商资质证明文件</w:t>
      </w:r>
      <w:bookmarkEnd w:id="139"/>
    </w:p>
    <w:bookmarkEnd w:id="142"/>
    <w:p>
      <w:pPr>
        <w:bidi w:val="0"/>
        <w:jc w:val="center"/>
        <w:outlineLvl w:val="9"/>
        <w:rPr>
          <w:rFonts w:hint="eastAsia" w:ascii="宋体" w:hAnsi="宋体" w:eastAsia="宋体" w:cs="宋体"/>
          <w:lang w:eastAsia="zh-CN"/>
        </w:rPr>
      </w:pPr>
      <w:bookmarkStart w:id="143" w:name="_Toc26272"/>
      <w:bookmarkStart w:id="144" w:name="_Toc889"/>
      <w:r>
        <w:rPr>
          <w:rFonts w:hint="eastAsia" w:ascii="宋体" w:hAnsi="宋体" w:eastAsia="宋体" w:cs="宋体"/>
          <w:b w:val="0"/>
          <w:bCs w:val="0"/>
          <w:kern w:val="2"/>
          <w:sz w:val="24"/>
          <w:szCs w:val="20"/>
          <w:lang w:val="en-US" w:eastAsia="zh-CN" w:bidi="ar-SA"/>
        </w:rPr>
        <w:t>（复印件加盖公章）</w:t>
      </w:r>
      <w:bookmarkEnd w:id="143"/>
      <w:bookmarkEnd w:id="144"/>
    </w:p>
    <w:p>
      <w:pPr>
        <w:jc w:val="center"/>
        <w:rPr>
          <w:rFonts w:hint="eastAsia" w:ascii="宋体" w:hAnsi="宋体" w:eastAsia="宋体" w:cs="宋体"/>
          <w:lang w:eastAsia="zh-CN"/>
        </w:rPr>
        <w:sectPr>
          <w:pgSz w:w="11906" w:h="16838"/>
          <w:pgMar w:top="1440" w:right="1287" w:bottom="1440" w:left="1440" w:header="850" w:footer="992" w:gutter="0"/>
          <w:pgNumType w:fmt="decimal"/>
          <w:cols w:space="720" w:num="1"/>
          <w:titlePg/>
          <w:docGrid w:linePitch="360" w:charSpace="0"/>
        </w:sectPr>
      </w:pPr>
    </w:p>
    <w:p>
      <w:pPr>
        <w:pStyle w:val="4"/>
        <w:numPr>
          <w:ilvl w:val="0"/>
          <w:numId w:val="0"/>
        </w:numPr>
        <w:bidi w:val="0"/>
        <w:ind w:leftChars="0"/>
        <w:jc w:val="center"/>
        <w:rPr>
          <w:rFonts w:hint="default" w:ascii="宋体" w:hAnsi="宋体" w:eastAsia="宋体" w:cs="宋体"/>
          <w:lang w:val="en-US" w:eastAsia="zh-CN"/>
        </w:rPr>
      </w:pPr>
      <w:bookmarkStart w:id="145" w:name="_Toc16925"/>
      <w:r>
        <w:rPr>
          <w:rFonts w:hint="eastAsia" w:ascii="宋体" w:hAnsi="宋体" w:eastAsia="宋体" w:cs="宋体"/>
          <w:lang w:val="en-US" w:eastAsia="zh-CN"/>
        </w:rPr>
        <w:t>七、磋商响应方案</w:t>
      </w:r>
      <w:bookmarkEnd w:id="145"/>
    </w:p>
    <w:p>
      <w:pPr>
        <w:pStyle w:val="2"/>
        <w:jc w:val="center"/>
        <w:rPr>
          <w:rFonts w:hint="eastAsia" w:ascii="宋体" w:hAnsi="宋体" w:eastAsia="宋体" w:cs="宋体"/>
          <w:lang w:val="en-US" w:eastAsia="zh-CN"/>
        </w:rPr>
      </w:pPr>
      <w:r>
        <w:rPr>
          <w:rFonts w:hint="eastAsia" w:ascii="宋体" w:hAnsi="宋体" w:cs="宋体"/>
          <w:lang w:val="en-US" w:eastAsia="zh-CN"/>
        </w:rPr>
        <w:t>（格式自拟）</w:t>
      </w:r>
    </w:p>
    <w:p>
      <w:pPr>
        <w:rPr>
          <w:rFonts w:hint="eastAsia" w:ascii="宋体" w:hAnsi="宋体" w:eastAsia="宋体" w:cs="宋体"/>
          <w:lang w:val="en-US" w:eastAsia="zh-CN"/>
        </w:rPr>
      </w:pPr>
    </w:p>
    <w:p>
      <w:pPr>
        <w:pStyle w:val="2"/>
        <w:rPr>
          <w:rFonts w:hint="eastAsia" w:ascii="宋体" w:hAnsi="宋体" w:eastAsia="宋体" w:cs="宋体"/>
          <w:lang w:val="en-US" w:eastAsia="zh-CN"/>
        </w:rPr>
        <w:sectPr>
          <w:pgSz w:w="11906" w:h="16838"/>
          <w:pgMar w:top="1440" w:right="1417" w:bottom="1440" w:left="1417" w:header="851" w:footer="992" w:gutter="0"/>
          <w:pgNumType w:fmt="decimal"/>
          <w:cols w:space="720" w:num="1"/>
          <w:docGrid w:type="lines" w:linePitch="312" w:charSpace="0"/>
        </w:sectPr>
      </w:pPr>
    </w:p>
    <w:p>
      <w:pPr>
        <w:pStyle w:val="4"/>
        <w:bidi w:val="0"/>
        <w:rPr>
          <w:rFonts w:hint="eastAsia" w:ascii="宋体" w:hAnsi="宋体" w:eastAsia="宋体" w:cs="宋体"/>
          <w:lang w:eastAsia="zh-CN"/>
        </w:rPr>
      </w:pPr>
      <w:bookmarkStart w:id="146" w:name="_Toc29640"/>
      <w:r>
        <w:rPr>
          <w:rFonts w:hint="eastAsia" w:ascii="宋体" w:hAnsi="宋体" w:eastAsia="宋体" w:cs="宋体"/>
          <w:lang w:val="en-US" w:eastAsia="zh-CN"/>
        </w:rPr>
        <w:t>八</w:t>
      </w:r>
      <w:r>
        <w:rPr>
          <w:rFonts w:hint="eastAsia" w:ascii="宋体" w:hAnsi="宋体" w:eastAsia="宋体" w:cs="宋体"/>
          <w:lang w:eastAsia="zh-CN"/>
        </w:rPr>
        <w:t>、</w:t>
      </w:r>
      <w:bookmarkEnd w:id="130"/>
      <w:bookmarkEnd w:id="131"/>
      <w:bookmarkEnd w:id="140"/>
      <w:bookmarkEnd w:id="141"/>
      <w:r>
        <w:rPr>
          <w:rFonts w:hint="eastAsia" w:ascii="宋体" w:hAnsi="宋体" w:eastAsia="宋体" w:cs="宋体"/>
          <w:lang w:eastAsia="zh-CN"/>
        </w:rPr>
        <w:t>投标人承诺书</w:t>
      </w:r>
      <w:bookmarkEnd w:id="146"/>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32"/>
          <w:szCs w:val="32"/>
        </w:rPr>
      </w:pPr>
      <w:bookmarkStart w:id="147" w:name="_Toc15657"/>
      <w:bookmarkStart w:id="148" w:name="_Toc11958"/>
      <w:bookmarkStart w:id="149" w:name="_Toc1373"/>
      <w:r>
        <w:rPr>
          <w:rFonts w:hint="eastAsia" w:ascii="宋体" w:hAnsi="宋体" w:eastAsia="宋体" w:cs="宋体"/>
          <w:b/>
          <w:bCs/>
          <w:kern w:val="2"/>
          <w:sz w:val="32"/>
          <w:szCs w:val="32"/>
          <w:lang w:val="en-US" w:eastAsia="zh-CN" w:bidi="ar-SA"/>
        </w:rPr>
        <w:t>拒绝政府采购领域商业贿赂承诺书（一）</w:t>
      </w:r>
      <w:bookmarkEnd w:id="147"/>
      <w:bookmarkEnd w:id="148"/>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1、在参与政府采购活动中遵纪守法、诚信经营、公平竞标。</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4、不采取“围标、陪标”等商业欺诈手段获得政府采购定单。</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5、不采取不正当手段诋毁、排挤其他供应商。</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6、不在提供商品和服务时“偷梁换柱、以次充好”损害采购人的合法权益。</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9、不发生其他有悖于政府采购公开、公平、公正和诚信原则的行为。</w:t>
      </w:r>
    </w:p>
    <w:p>
      <w:pPr>
        <w:pStyle w:val="2"/>
        <w:rPr>
          <w:rFonts w:hint="eastAsia"/>
          <w:lang w:eastAsia="zh-CN"/>
        </w:rPr>
      </w:pPr>
    </w:p>
    <w:p>
      <w:pPr>
        <w:widowControl/>
        <w:spacing w:line="360" w:lineRule="auto"/>
        <w:ind w:left="274" w:leftChars="114"/>
        <w:jc w:val="left"/>
        <w:rPr>
          <w:rFonts w:hint="eastAsia" w:ascii="宋体" w:hAnsi="宋体" w:eastAsia="宋体" w:cs="宋体"/>
          <w:kern w:val="0"/>
          <w:sz w:val="24"/>
          <w:lang w:eastAsia="zh-CN"/>
        </w:rPr>
      </w:pPr>
      <w:r>
        <w:rPr>
          <w:rFonts w:hint="eastAsia" w:ascii="宋体" w:hAnsi="宋体" w:eastAsia="宋体" w:cs="宋体"/>
          <w:kern w:val="0"/>
          <w:sz w:val="24"/>
        </w:rPr>
        <w:t>承诺单位名称：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pPr>
        <w:widowControl/>
        <w:spacing w:line="360" w:lineRule="auto"/>
        <w:ind w:left="274" w:leftChars="114"/>
        <w:jc w:val="left"/>
        <w:rPr>
          <w:rFonts w:hint="eastAsia" w:ascii="宋体" w:hAnsi="宋体" w:eastAsia="宋体" w:cs="宋体"/>
          <w:kern w:val="0"/>
          <w:sz w:val="24"/>
          <w:lang w:eastAsia="zh-CN"/>
        </w:rPr>
      </w:pPr>
      <w:r>
        <w:rPr>
          <w:rFonts w:hint="eastAsia" w:ascii="宋体" w:hAnsi="宋体" w:eastAsia="宋体" w:cs="宋体"/>
          <w:sz w:val="24"/>
          <w:szCs w:val="24"/>
        </w:rPr>
        <w:t>法定代表人/单位负责人/或被授权人签字：</w:t>
      </w:r>
      <w:r>
        <w:rPr>
          <w:rFonts w:hint="eastAsia" w:ascii="宋体" w:hAnsi="宋体" w:eastAsia="宋体" w:cs="宋体"/>
          <w:kern w:val="0"/>
          <w:sz w:val="24"/>
        </w:rPr>
        <w:t>（签字）</w:t>
      </w:r>
    </w:p>
    <w:p>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地  址：                        </w:t>
      </w:r>
    </w:p>
    <w:p>
      <w:pPr>
        <w:widowControl/>
        <w:spacing w:line="360" w:lineRule="auto"/>
        <w:ind w:left="274" w:leftChars="114"/>
        <w:jc w:val="left"/>
        <w:rPr>
          <w:rFonts w:hint="eastAsia" w:ascii="宋体" w:hAnsi="宋体" w:eastAsia="宋体" w:cs="宋体"/>
          <w:kern w:val="0"/>
          <w:sz w:val="24"/>
          <w:lang w:eastAsia="zh-CN"/>
        </w:rPr>
      </w:pPr>
      <w:r>
        <w:rPr>
          <w:rFonts w:hint="eastAsia" w:ascii="宋体" w:hAnsi="宋体" w:eastAsia="宋体" w:cs="宋体"/>
          <w:kern w:val="0"/>
          <w:sz w:val="24"/>
        </w:rPr>
        <w:t>邮  编：</w:t>
      </w:r>
    </w:p>
    <w:p>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电  话：                             </w:t>
      </w:r>
    </w:p>
    <w:p>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 xml:space="preserve">日    期：                                                                                </w:t>
      </w:r>
    </w:p>
    <w:p>
      <w:pPr>
        <w:widowControl/>
        <w:spacing w:line="360" w:lineRule="auto"/>
        <w:ind w:firstLine="3855" w:firstLineChars="1200"/>
        <w:rPr>
          <w:rFonts w:hint="eastAsia" w:ascii="宋体" w:hAnsi="宋体" w:eastAsia="宋体" w:cs="宋体"/>
          <w:b/>
          <w:sz w:val="32"/>
          <w:szCs w:val="32"/>
        </w:rPr>
      </w:pPr>
    </w:p>
    <w:p>
      <w:pPr>
        <w:pStyle w:val="18"/>
        <w:rPr>
          <w:rFonts w:hint="eastAsia" w:ascii="宋体" w:hAnsi="宋体" w:eastAsia="宋体" w:cs="宋体"/>
          <w:b/>
          <w:sz w:val="32"/>
          <w:szCs w:val="32"/>
        </w:rPr>
      </w:pPr>
    </w:p>
    <w:p>
      <w:pPr>
        <w:pStyle w:val="18"/>
        <w:rPr>
          <w:rFonts w:hint="eastAsia" w:ascii="宋体" w:hAnsi="宋体" w:eastAsia="宋体" w:cs="宋体"/>
          <w:b/>
          <w:sz w:val="32"/>
          <w:szCs w:val="32"/>
        </w:rPr>
      </w:pPr>
    </w:p>
    <w:p>
      <w:pPr>
        <w:pStyle w:val="18"/>
        <w:rPr>
          <w:rFonts w:hint="eastAsia" w:ascii="宋体" w:hAnsi="宋体" w:eastAsia="宋体" w:cs="宋体"/>
          <w:b/>
          <w:sz w:val="32"/>
          <w:szCs w:val="32"/>
        </w:rPr>
      </w:pPr>
    </w:p>
    <w:p>
      <w:pPr>
        <w:widowControl/>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承诺书（二）</w:t>
      </w:r>
    </w:p>
    <w:p>
      <w:pPr>
        <w:spacing w:line="360" w:lineRule="auto"/>
        <w:jc w:val="center"/>
        <w:rPr>
          <w:rFonts w:hint="eastAsia" w:ascii="宋体" w:hAnsi="宋体" w:eastAsia="宋体" w:cs="宋体"/>
          <w:b/>
          <w:sz w:val="24"/>
        </w:rPr>
      </w:pPr>
    </w:p>
    <w:tbl>
      <w:tblPr>
        <w:tblStyle w:val="2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 xml:space="preserve"> 供应商</w:t>
            </w:r>
          </w:p>
        </w:tc>
        <w:tc>
          <w:tcPr>
            <w:tcW w:w="346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6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1" w:type="dxa"/>
            <w:vAlign w:val="center"/>
          </w:tcPr>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24"/>
        </w:rPr>
      </w:pPr>
      <w:r>
        <w:rPr>
          <w:rFonts w:hint="eastAsia" w:ascii="宋体" w:hAnsi="宋体" w:eastAsia="宋体" w:cs="宋体"/>
          <w:b/>
          <w:sz w:val="32"/>
          <w:szCs w:val="32"/>
        </w:rPr>
        <w:t>承诺书（三）</w:t>
      </w:r>
    </w:p>
    <w:tbl>
      <w:tblPr>
        <w:tblStyle w:val="2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9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9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9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92" w:type="dxa"/>
            <w:vAlign w:val="center"/>
          </w:tcPr>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uto"/>
        <w:jc w:val="both"/>
        <w:rPr>
          <w:rFonts w:hint="eastAsia" w:ascii="宋体" w:hAnsi="宋体" w:eastAsia="宋体" w:cs="宋体"/>
          <w:b/>
          <w:sz w:val="32"/>
          <w:szCs w:val="32"/>
        </w:rPr>
      </w:pPr>
    </w:p>
    <w:p>
      <w:pPr>
        <w:spacing w:line="360" w:lineRule="auto"/>
        <w:jc w:val="center"/>
        <w:rPr>
          <w:rFonts w:hint="eastAsia" w:ascii="宋体" w:hAnsi="宋体" w:eastAsia="宋体" w:cs="宋体"/>
        </w:rPr>
      </w:pPr>
      <w:r>
        <w:rPr>
          <w:rFonts w:hint="eastAsia" w:ascii="宋体" w:hAnsi="宋体" w:eastAsia="宋体" w:cs="宋体"/>
          <w:b/>
          <w:sz w:val="32"/>
          <w:szCs w:val="32"/>
        </w:rPr>
        <w:t>承诺书（四）</w:t>
      </w:r>
    </w:p>
    <w:tbl>
      <w:tblPr>
        <w:tblStyle w:val="27"/>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作为参加贵公司组织的本次招标项目的供应商，本公司郑重申告：近三年因产品供货问题（水货、替代品、次品、翻新品等）的不法行为记录为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7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6"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vAlign w:val="center"/>
          </w:tcPr>
          <w:p>
            <w:pPr>
              <w:spacing w:line="360" w:lineRule="auto"/>
              <w:ind w:left="-62" w:leftChars="-26" w:firstLine="52" w:firstLineChars="22"/>
              <w:jc w:val="center"/>
              <w:rPr>
                <w:rFonts w:hint="eastAsia" w:ascii="宋体" w:hAnsi="宋体" w:eastAsia="宋体" w:cs="宋体"/>
                <w:sz w:val="24"/>
              </w:rPr>
            </w:pPr>
            <w:r>
              <w:rPr>
                <w:rFonts w:hint="eastAsia" w:ascii="宋体" w:hAnsi="宋体" w:eastAsia="宋体" w:cs="宋体"/>
                <w:sz w:val="24"/>
              </w:rPr>
              <w:t>（投标人名称）（公章）</w:t>
            </w:r>
          </w:p>
        </w:tc>
        <w:tc>
          <w:tcPr>
            <w:tcW w:w="347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6" w:type="dxa"/>
            <w:vAlign w:val="center"/>
          </w:tcPr>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uto"/>
        <w:ind w:firstLine="3213" w:firstLineChars="1000"/>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承诺书（五）</w:t>
      </w:r>
    </w:p>
    <w:tbl>
      <w:tblPr>
        <w:tblStyle w:val="27"/>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4" w:hRule="atLeast"/>
          <w:jc w:val="center"/>
        </w:trPr>
        <w:tc>
          <w:tcPr>
            <w:tcW w:w="9073" w:type="dxa"/>
            <w:gridSpan w:val="3"/>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524"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76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524"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761" w:type="dxa"/>
            <w:vAlign w:val="center"/>
          </w:tcPr>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widowControl/>
        <w:spacing w:line="360" w:lineRule="auto"/>
        <w:jc w:val="left"/>
        <w:rPr>
          <w:rFonts w:hint="eastAsia" w:ascii="宋体" w:hAnsi="宋体" w:eastAsia="宋体" w:cs="宋体"/>
          <w:b/>
          <w:sz w:val="28"/>
          <w:szCs w:val="28"/>
        </w:rPr>
      </w:pPr>
    </w:p>
    <w:p>
      <w:pPr>
        <w:widowControl/>
        <w:spacing w:line="360" w:lineRule="auto"/>
        <w:jc w:val="left"/>
        <w:rPr>
          <w:rFonts w:hint="eastAsia" w:ascii="宋体" w:hAnsi="宋体" w:eastAsia="宋体" w:cs="宋体"/>
          <w:b/>
          <w:sz w:val="28"/>
          <w:szCs w:val="28"/>
        </w:rPr>
      </w:pPr>
    </w:p>
    <w:p>
      <w:pPr>
        <w:pStyle w:val="24"/>
        <w:shd w:val="clear" w:color="auto" w:fill="FFFFFF"/>
        <w:adjustRightInd w:val="0"/>
        <w:snapToGrid w:val="0"/>
        <w:spacing w:before="0" w:beforeAutospacing="0" w:after="0" w:afterAutospacing="0" w:line="360" w:lineRule="auto"/>
        <w:ind w:firstLine="480"/>
        <w:jc w:val="center"/>
        <w:rPr>
          <w:rFonts w:hint="eastAsia" w:ascii="宋体" w:hAnsi="宋体" w:eastAsia="宋体" w:cs="宋体"/>
          <w:color w:val="auto"/>
          <w:lang w:eastAsia="zh-CN"/>
        </w:rPr>
      </w:pPr>
      <w:r>
        <w:rPr>
          <w:rFonts w:hint="eastAsia" w:ascii="宋体" w:hAnsi="宋体" w:eastAsia="宋体" w:cs="宋体"/>
          <w:color w:val="auto"/>
          <w:shd w:val="clear" w:color="auto" w:fill="FFFFFF"/>
          <w:lang w:eastAsia="zh-CN"/>
        </w:rPr>
        <w:t>榆林市政府采购服务类项目供应商信用承诺书</w:t>
      </w:r>
    </w:p>
    <w:p>
      <w:pPr>
        <w:pStyle w:val="24"/>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市场主体名称：</w:t>
      </w:r>
    </w:p>
    <w:p>
      <w:pPr>
        <w:pStyle w:val="24"/>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证件类型：统一社会信用代码</w:t>
      </w:r>
    </w:p>
    <w:p>
      <w:pPr>
        <w:pStyle w:val="24"/>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证件号码：</w:t>
      </w:r>
    </w:p>
    <w:p>
      <w:pPr>
        <w:pStyle w:val="24"/>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法人代表：</w:t>
      </w:r>
    </w:p>
    <w:p>
      <w:pPr>
        <w:pStyle w:val="24"/>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承诺有效期限：    年     月    日—    年    月      日</w:t>
      </w:r>
    </w:p>
    <w:p>
      <w:pPr>
        <w:pStyle w:val="24"/>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承诺内容：</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为维护公开、公平、公正的政府采购市场秩序，树立诚实守信的政府采购供应商形象，本单位自愿做出以下承诺：</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一、承诺本单位严格遵守国家法律、法规和规章，全面履行应尽的责任和义务，全面做到履约守信，具备《政府采购法》第二十二条第一款规定的条件;</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四、承诺本单位自觉接受行政管理部门、行业组织、社会公众、新闻舆论的监督；</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六、承诺本单位提出政府采购质疑和投诉坚持依法依规、诚实信用原则，在全国范围12个月内没有三次以上查无实据的政府采购投诉；</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七、根据政府采购相关法律法规的规定需要作出的其他承诺：</w:t>
      </w:r>
      <w:r>
        <w:rPr>
          <w:rFonts w:hint="eastAsia" w:ascii="宋体" w:hAnsi="宋体" w:eastAsia="宋体" w:cs="宋体"/>
          <w:color w:val="auto"/>
          <w:u w:val="single"/>
          <w:shd w:val="clear" w:color="auto" w:fill="FFFFFF"/>
        </w:rPr>
        <w:t>                                          </w:t>
      </w:r>
    </w:p>
    <w:p>
      <w:pPr>
        <w:pStyle w:val="24"/>
        <w:shd w:val="clear" w:color="auto" w:fill="FFFFFF"/>
        <w:adjustRightInd w:val="0"/>
        <w:snapToGrid w:val="0"/>
        <w:spacing w:before="0" w:beforeAutospacing="0" w:after="0" w:afterAutospacing="0" w:line="360" w:lineRule="auto"/>
        <w:jc w:val="both"/>
        <w:rPr>
          <w:rFonts w:hint="eastAsia" w:ascii="宋体" w:hAnsi="宋体" w:eastAsia="宋体" w:cs="宋体"/>
          <w:color w:val="auto"/>
        </w:rPr>
      </w:pPr>
      <w:r>
        <w:rPr>
          <w:rFonts w:hint="eastAsia" w:ascii="宋体" w:hAnsi="宋体" w:eastAsia="宋体" w:cs="宋体"/>
          <w:color w:val="auto"/>
          <w:u w:val="single"/>
          <w:shd w:val="clear" w:color="auto" w:fill="FFFFFF"/>
        </w:rPr>
        <w:t>                                              ;</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             承诺单位（盖章）：</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法定代表人（负责人）：</w:t>
      </w:r>
    </w:p>
    <w:p>
      <w:pPr>
        <w:pStyle w:val="24"/>
        <w:shd w:val="clear" w:color="auto" w:fill="FFFFFF"/>
        <w:adjustRightInd w:val="0"/>
        <w:snapToGrid w:val="0"/>
        <w:spacing w:before="0" w:beforeAutospacing="0" w:after="0" w:afterAutospacing="0" w:line="360" w:lineRule="auto"/>
        <w:ind w:firstLine="1920" w:firstLineChars="80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法定代表人（负责人）身份证号：</w:t>
      </w:r>
    </w:p>
    <w:p>
      <w:pPr>
        <w:pStyle w:val="24"/>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shd w:val="clear" w:color="auto" w:fill="FFFFFF"/>
        </w:rPr>
        <w:sectPr>
          <w:pgSz w:w="11906" w:h="16838"/>
          <w:pgMar w:top="1440" w:right="1417" w:bottom="1440" w:left="1417" w:header="851" w:footer="992" w:gutter="0"/>
          <w:pgNumType w:fmt="decimal"/>
          <w:cols w:space="720" w:num="1"/>
          <w:docGrid w:type="lines" w:linePitch="312" w:charSpace="0"/>
        </w:sectPr>
      </w:pPr>
      <w:r>
        <w:rPr>
          <w:rFonts w:hint="eastAsia" w:ascii="宋体" w:hAnsi="宋体" w:eastAsia="宋体" w:cs="宋体"/>
          <w:color w:val="auto"/>
          <w:shd w:val="clear" w:color="auto" w:fill="FFFFFF"/>
        </w:rPr>
        <w:t>                       承诺日期：</w:t>
      </w:r>
    </w:p>
    <w:bookmarkEnd w:id="149"/>
    <w:p>
      <w:pPr>
        <w:spacing w:line="360" w:lineRule="auto"/>
        <w:jc w:val="center"/>
        <w:outlineLvl w:val="1"/>
        <w:rPr>
          <w:rFonts w:hint="eastAsia" w:asciiTheme="minorEastAsia" w:hAnsiTheme="minorEastAsia" w:eastAsiaTheme="minorEastAsia" w:cstheme="minorEastAsia"/>
          <w:b/>
          <w:color w:val="auto"/>
          <w:sz w:val="32"/>
          <w:szCs w:val="32"/>
        </w:rPr>
      </w:pPr>
      <w:bookmarkStart w:id="150" w:name="_Toc4688"/>
      <w:bookmarkStart w:id="151" w:name="_Toc7502"/>
      <w:bookmarkStart w:id="152" w:name="_Toc29982"/>
      <w:r>
        <w:rPr>
          <w:rFonts w:hint="eastAsia" w:asciiTheme="minorEastAsia" w:hAnsiTheme="minorEastAsia" w:eastAsiaTheme="minorEastAsia" w:cstheme="minorEastAsia"/>
          <w:b/>
          <w:color w:val="auto"/>
          <w:sz w:val="32"/>
          <w:szCs w:val="32"/>
          <w:lang w:val="en-US" w:eastAsia="zh-CN"/>
        </w:rPr>
        <w:t>八、中小</w:t>
      </w:r>
      <w:r>
        <w:rPr>
          <w:rFonts w:hint="eastAsia" w:asciiTheme="minorEastAsia" w:hAnsiTheme="minorEastAsia" w:eastAsiaTheme="minorEastAsia" w:cstheme="minorEastAsia"/>
          <w:b/>
          <w:color w:val="auto"/>
          <w:sz w:val="32"/>
          <w:szCs w:val="32"/>
        </w:rPr>
        <w:t>企业、监狱企业、残疾人福利单位声明函或证明</w:t>
      </w:r>
      <w:bookmarkEnd w:id="150"/>
      <w:bookmarkEnd w:id="151"/>
    </w:p>
    <w:p>
      <w:pPr>
        <w:pStyle w:val="2"/>
        <w:rPr>
          <w:rFonts w:hint="eastAsia" w:asciiTheme="minorEastAsia" w:hAnsiTheme="minorEastAsia" w:eastAsiaTheme="minorEastAsia" w:cstheme="minorEastAsia"/>
          <w:color w:val="auto"/>
          <w:lang w:val="en-US"/>
        </w:r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bookmarkStart w:id="153" w:name="_Toc25215"/>
      <w:bookmarkStart w:id="154" w:name="_Toc4690"/>
      <w:r>
        <w:rPr>
          <w:rFonts w:hint="eastAsia" w:asciiTheme="minorEastAsia" w:hAnsiTheme="minorEastAsia" w:eastAsiaTheme="minorEastAsia" w:cstheme="minorEastAsia"/>
          <w:b/>
          <w:color w:val="auto"/>
          <w:spacing w:val="6"/>
          <w:sz w:val="28"/>
          <w:szCs w:val="28"/>
        </w:rPr>
        <w:t>1.</w:t>
      </w:r>
      <w:r>
        <w:rPr>
          <w:rFonts w:hint="eastAsia" w:asciiTheme="minorEastAsia" w:hAnsiTheme="minorEastAsia" w:eastAsiaTheme="minorEastAsia" w:cstheme="minorEastAsia"/>
          <w:b/>
          <w:color w:val="auto"/>
          <w:spacing w:val="6"/>
          <w:sz w:val="28"/>
          <w:szCs w:val="28"/>
          <w:lang w:val="en-US" w:eastAsia="zh-CN"/>
        </w:rPr>
        <w:t>中小</w:t>
      </w:r>
      <w:r>
        <w:rPr>
          <w:rFonts w:hint="eastAsia" w:asciiTheme="minorEastAsia" w:hAnsiTheme="minorEastAsia" w:eastAsiaTheme="minorEastAsia" w:cstheme="minorEastAsia"/>
          <w:b/>
          <w:color w:val="auto"/>
          <w:spacing w:val="6"/>
          <w:sz w:val="28"/>
          <w:szCs w:val="28"/>
        </w:rPr>
        <w:t>企业声明函</w:t>
      </w:r>
      <w:bookmarkEnd w:id="153"/>
      <w:bookmarkEnd w:id="154"/>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z w:val="24"/>
          <w:lang w:val="en-US" w:eastAsia="zh-CN"/>
        </w:rPr>
        <w:t>本公司（联合体）郑重声明，根据《政府采购促进中小企业发展管理办法》（财库﹝2020﹞46 号）的规定，本公司 （联合体）参加</w:t>
      </w:r>
      <w:r>
        <w:rPr>
          <w:rFonts w:hint="eastAsia" w:asciiTheme="minorEastAsia" w:hAnsiTheme="minorEastAsia" w:eastAsiaTheme="minorEastAsia" w:cstheme="minorEastAsia"/>
          <w:color w:val="auto"/>
          <w:sz w:val="24"/>
          <w:u w:val="single"/>
          <w:lang w:val="en-US" w:eastAsia="zh-CN"/>
        </w:rPr>
        <w:t>（单位名称）</w:t>
      </w:r>
      <w:r>
        <w:rPr>
          <w:rFonts w:hint="eastAsia" w:asciiTheme="minorEastAsia" w:hAnsiTheme="minorEastAsia" w:eastAsiaTheme="minorEastAsia" w:cstheme="minorEastAsia"/>
          <w:color w:val="auto"/>
          <w:sz w:val="24"/>
          <w:lang w:val="en-US" w:eastAsia="zh-CN"/>
        </w:rPr>
        <w:t>的</w:t>
      </w:r>
      <w:r>
        <w:rPr>
          <w:rFonts w:hint="eastAsia" w:asciiTheme="minorEastAsia" w:hAnsiTheme="minorEastAsia" w:eastAsiaTheme="minorEastAsia" w:cstheme="minorEastAsia"/>
          <w:color w:val="auto"/>
          <w:sz w:val="24"/>
          <w:u w:val="single"/>
          <w:lang w:val="en-US" w:eastAsia="zh-CN"/>
        </w:rPr>
        <w:t>（项目名称）</w:t>
      </w:r>
      <w:r>
        <w:rPr>
          <w:rFonts w:hint="eastAsia" w:asciiTheme="minorEastAsia" w:hAnsiTheme="minorEastAsia" w:eastAsiaTheme="minorEastAsia" w:cstheme="minorEastAsia"/>
          <w:color w:val="auto"/>
          <w:sz w:val="24"/>
          <w:lang w:val="en-US" w:eastAsia="zh-CN"/>
        </w:rPr>
        <w:t>采购活动，服务全部由符合政策要求的中小企业承接。相关企业（含联合体中的中小企业、签订分包意向协议的中小企业）的具体情 况如下：</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本企业对上述声明内容的真实性负责。如有虚假，将依法承担相应责任。</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企业名称（盖章）：</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从业人员、营业收入、资产总额填报上一年度数据，无上一年度数据的新成立企业可不填报。 </w:t>
      </w:r>
    </w:p>
    <w:p>
      <w:pPr>
        <w:spacing w:line="500" w:lineRule="exact"/>
        <w:jc w:val="center"/>
        <w:outlineLvl w:val="2"/>
        <w:rPr>
          <w:rFonts w:hint="eastAsia" w:asciiTheme="minorEastAsia" w:hAnsiTheme="minorEastAsia" w:eastAsiaTheme="minorEastAsia" w:cstheme="minorEastAsia"/>
          <w:b/>
          <w:color w:val="auto"/>
          <w:spacing w:val="6"/>
          <w:sz w:val="28"/>
          <w:szCs w:val="28"/>
        </w:rPr>
        <w:sectPr>
          <w:footerReference r:id="rId14" w:type="default"/>
          <w:pgSz w:w="11906" w:h="16838"/>
          <w:pgMar w:top="1440" w:right="1417" w:bottom="1440" w:left="1417" w:header="851" w:footer="992" w:gutter="0"/>
          <w:pgNumType w:fmt="decimal"/>
          <w:cols w:space="720" w:num="1"/>
          <w:docGrid w:type="lines" w:linePitch="312" w:charSpace="0"/>
        </w:sect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bookmarkStart w:id="155" w:name="_Toc23793"/>
      <w:r>
        <w:rPr>
          <w:rFonts w:hint="eastAsia" w:asciiTheme="minorEastAsia" w:hAnsiTheme="minorEastAsia" w:eastAsiaTheme="minorEastAsia" w:cstheme="minorEastAsia"/>
          <w:b/>
          <w:color w:val="auto"/>
          <w:spacing w:val="6"/>
          <w:sz w:val="28"/>
          <w:szCs w:val="28"/>
        </w:rPr>
        <w:t>2.残疾人福利性单位声明函</w:t>
      </w:r>
      <w:bookmarkEnd w:id="152"/>
      <w:bookmarkEnd w:id="155"/>
    </w:p>
    <w:p>
      <w:pPr>
        <w:spacing w:line="500" w:lineRule="exact"/>
        <w:rPr>
          <w:rFonts w:hint="eastAsia" w:asciiTheme="minorEastAsia" w:hAnsiTheme="minorEastAsia" w:eastAsiaTheme="minorEastAsia" w:cstheme="minorEastAsia"/>
          <w:b/>
          <w:color w:val="auto"/>
          <w:spacing w:val="6"/>
          <w:sz w:val="30"/>
          <w:szCs w:val="30"/>
        </w:rPr>
      </w:pP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rPr>
        <w:t>〔2017〕 141</w:t>
      </w:r>
      <w:r>
        <w:rPr>
          <w:rFonts w:hint="eastAsia" w:asciiTheme="minorEastAsia" w:hAnsiTheme="minorEastAsia" w:eastAsiaTheme="minorEastAsia" w:cstheme="minorEastAsia"/>
          <w:color w:val="auto"/>
          <w:spacing w:val="6"/>
          <w:sz w:val="24"/>
        </w:rPr>
        <w:t>号）的规定，本单位为符合条件的残疾人福利性单位，且本单位参加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pacing w:val="6"/>
          <w:sz w:val="24"/>
        </w:rPr>
        <w:t>单位的</w:t>
      </w:r>
      <w:r>
        <w:rPr>
          <w:rFonts w:hint="eastAsia" w:asciiTheme="minorEastAsia" w:hAnsiTheme="minorEastAsia" w:eastAsiaTheme="minorEastAsia" w:cstheme="minorEastAsia"/>
          <w:b/>
          <w:bCs/>
          <w:color w:val="auto"/>
          <w:spacing w:val="6"/>
          <w:sz w:val="24"/>
          <w:u w:val="single"/>
        </w:rPr>
        <w:t xml:space="preserve">         </w:t>
      </w:r>
      <w:r>
        <w:rPr>
          <w:rFonts w:hint="eastAsia" w:asciiTheme="minorEastAsia" w:hAnsiTheme="minorEastAsia" w:eastAsiaTheme="minorEastAsia" w:cs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本单位对上述声明的真实性负责。如有虚假，将依法承担相应责任。</w:t>
      </w:r>
    </w:p>
    <w:p>
      <w:pPr>
        <w:spacing w:line="500" w:lineRule="exact"/>
        <w:rPr>
          <w:rFonts w:hint="eastAsia" w:asciiTheme="minorEastAsia" w:hAnsiTheme="minorEastAsia" w:eastAsiaTheme="minorEastAsia" w:cstheme="minorEastAsia"/>
          <w:color w:val="auto"/>
          <w:spacing w:val="6"/>
          <w:sz w:val="24"/>
        </w:rPr>
      </w:pPr>
    </w:p>
    <w:p>
      <w:pPr>
        <w:tabs>
          <w:tab w:val="left" w:pos="4860"/>
        </w:tabs>
        <w:spacing w:line="500" w:lineRule="exact"/>
        <w:ind w:right="1560" w:firstLine="504" w:firstLineChars="200"/>
        <w:jc w:val="center"/>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 xml:space="preserve">                                  单位名称（盖章）：</w:t>
      </w:r>
    </w:p>
    <w:p>
      <w:pPr>
        <w:adjustRightInd w:val="0"/>
        <w:snapToGrid w:val="0"/>
        <w:spacing w:line="500" w:lineRule="exact"/>
        <w:ind w:firstLine="630" w:firstLineChars="2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6"/>
          <w:sz w:val="24"/>
        </w:rPr>
        <w:t xml:space="preserve">                                         日  期：</w:t>
      </w:r>
    </w:p>
    <w:p>
      <w:pPr>
        <w:adjustRightInd w:val="0"/>
        <w:snapToGrid w:val="0"/>
        <w:spacing w:line="500" w:lineRule="exact"/>
        <w:rPr>
          <w:rFonts w:hint="eastAsia" w:asciiTheme="minorEastAsia" w:hAnsiTheme="minorEastAsia" w:eastAsiaTheme="minorEastAsia" w:cstheme="minorEastAsia"/>
          <w:color w:val="auto"/>
          <w:szCs w:val="21"/>
        </w:rPr>
      </w:pP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备注：</w:t>
      </w:r>
      <w:r>
        <w:rPr>
          <w:rFonts w:hint="eastAsia" w:asciiTheme="minorEastAsia" w:hAnsiTheme="minorEastAsia" w:eastAsiaTheme="minorEastAsia" w:cstheme="minorEastAsia"/>
          <w:color w:val="auto"/>
          <w:szCs w:val="21"/>
        </w:rPr>
        <w:t>项目不分标段的，第___标段空白处填写“/”。</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根据《财政部 民政部 中国残疾人联合会关于促进残疾人就业政府采购政策的通知》（财库〔2017〕141号）的规定：</w:t>
      </w:r>
    </w:p>
    <w:p>
      <w:pPr>
        <w:tabs>
          <w:tab w:val="left" w:pos="5670"/>
        </w:tabs>
        <w:ind w:firstLine="48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一、享受政府采购支持政策的残疾人福利性单位应当同时满足以下条件：</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（一）安置的残疾人占本单位在职职工人数的比例</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25%（含25%），并且安置的残疾人人数不少于10人（含10人）；</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（二）依法与安置的每位残疾人签订了一年以上（含一年）的劳动合同或服务协议；</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（三）为安置的每位残疾人按月足额缴纳了基本养老保险、基本医疗保险、失业保险、工伤保险和生育保险等社会保险费；</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（四）通过银行等金融机构向安置的每位残疾人，按月支付了</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单位所在区县适用的经省级人民政府批准的月最低工资标准的工资；</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（五）提供本单位承担的服务（以下简称产品），或者提供其他残疾人福利性单位提供的服。</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二、中标、成交供应商为残疾人福利性单位的，采购人或者其委托的采购代理机构应当随中标、成交结果同时公告其《残疾人福利性单位声明函》，接受社会监督。</w:t>
      </w:r>
      <w:r>
        <w:rPr>
          <w:rFonts w:hint="eastAsia" w:asciiTheme="minorEastAsia" w:hAnsiTheme="minorEastAsia" w:eastAsiaTheme="minorEastAsia" w:cstheme="minorEastAsia"/>
          <w:b/>
          <w:bCs/>
          <w:color w:val="auto"/>
          <w:szCs w:val="21"/>
        </w:rPr>
        <w:t>非残疾人福利性单位无需提供此函。</w:t>
      </w:r>
    </w:p>
    <w:p>
      <w:pPr>
        <w:tabs>
          <w:tab w:val="left" w:pos="5670"/>
        </w:tabs>
        <w:ind w:firstLine="480" w:firstLineChars="200"/>
        <w:rPr>
          <w:rFonts w:hint="eastAsia" w:asciiTheme="minorEastAsia" w:hAnsiTheme="minorEastAsia" w:eastAsiaTheme="minorEastAsia" w:cstheme="minorEastAsia"/>
          <w:color w:val="auto"/>
          <w:szCs w:val="21"/>
        </w:rPr>
      </w:pPr>
    </w:p>
    <w:p>
      <w:pPr>
        <w:tabs>
          <w:tab w:val="left" w:pos="5670"/>
        </w:tabs>
        <w:jc w:val="center"/>
        <w:outlineLvl w:val="2"/>
        <w:rPr>
          <w:rFonts w:hint="eastAsia" w:asciiTheme="minorEastAsia" w:hAnsiTheme="minorEastAsia" w:eastAsiaTheme="minorEastAsia" w:cstheme="minorEastAsia"/>
          <w:b/>
          <w:color w:val="auto"/>
          <w:spacing w:val="6"/>
          <w:sz w:val="28"/>
          <w:szCs w:val="28"/>
        </w:rPr>
      </w:pPr>
      <w:r>
        <w:rPr>
          <w:rFonts w:hint="eastAsia" w:asciiTheme="minorEastAsia" w:hAnsiTheme="minorEastAsia" w:eastAsiaTheme="minorEastAsia" w:cstheme="minorEastAsia"/>
          <w:b/>
          <w:bCs/>
          <w:color w:val="auto"/>
          <w:sz w:val="36"/>
          <w:szCs w:val="36"/>
        </w:rPr>
        <w:br w:type="page"/>
      </w:r>
      <w:bookmarkStart w:id="156" w:name="_Toc3485"/>
      <w:bookmarkStart w:id="157" w:name="_Toc17616"/>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color w:val="auto"/>
          <w:spacing w:val="6"/>
          <w:sz w:val="28"/>
          <w:szCs w:val="28"/>
        </w:rPr>
        <w:t>监狱企业证明函</w:t>
      </w:r>
      <w:bookmarkEnd w:id="156"/>
      <w:bookmarkEnd w:id="157"/>
    </w:p>
    <w:p>
      <w:pPr>
        <w:pStyle w:val="18"/>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（注：符合条件的监狱企业请提供本函，不符合的不提供本函）</w:t>
      </w:r>
    </w:p>
    <w:p>
      <w:pPr>
        <w:rPr>
          <w:rFonts w:hint="eastAsia" w:asciiTheme="minorEastAsia" w:hAnsiTheme="minorEastAsia" w:eastAsiaTheme="minorEastAsia" w:cstheme="minorEastAsia"/>
          <w:color w:val="auto"/>
        </w:rPr>
      </w:pP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6"/>
        <w:ind w:firstLine="183"/>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widowControl/>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kern w:val="0"/>
          <w:sz w:val="24"/>
        </w:rPr>
        <w:t>供应商（盖章）：</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rPr>
      </w:pPr>
    </w:p>
    <w:p>
      <w:pPr>
        <w:widowControl/>
        <w:ind w:firstLine="480" w:firstLineChars="2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承诺人（签字）：</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u w:val="single"/>
        </w:rPr>
      </w:pPr>
    </w:p>
    <w:p>
      <w:pPr>
        <w:widowControl/>
        <w:ind w:firstLine="480" w:firstLineChars="200"/>
        <w:jc w:val="left"/>
        <w:rPr>
          <w:rFonts w:hint="eastAsia" w:asciiTheme="minorEastAsia" w:hAnsiTheme="minorEastAsia" w:eastAsiaTheme="minorEastAsia" w:cstheme="minorEastAsia"/>
          <w:color w:val="auto"/>
          <w:kern w:val="0"/>
          <w:sz w:val="24"/>
        </w:rPr>
        <w:sectPr>
          <w:headerReference r:id="rId16" w:type="first"/>
          <w:headerReference r:id="rId15" w:type="default"/>
          <w:footerReference r:id="rId17"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Theme="minorEastAsia" w:hAnsiTheme="minorEastAsia" w:eastAsiaTheme="minorEastAsia" w:cstheme="minorEastAsia"/>
          <w:color w:val="auto"/>
          <w:kern w:val="0"/>
          <w:sz w:val="24"/>
        </w:rPr>
        <w:t>承诺时间：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月</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日</w:t>
      </w:r>
    </w:p>
    <w:p>
      <w:pPr>
        <w:spacing w:line="360" w:lineRule="auto"/>
        <w:jc w:val="center"/>
        <w:outlineLvl w:val="0"/>
        <w:rPr>
          <w:rFonts w:hint="default" w:ascii="宋体" w:hAnsi="宋体" w:eastAsia="宋体" w:cs="宋体"/>
          <w:b/>
          <w:bCs/>
          <w:color w:val="auto"/>
          <w:sz w:val="32"/>
          <w:szCs w:val="32"/>
          <w:lang w:val="en-US" w:eastAsia="zh-CN"/>
        </w:rPr>
      </w:pPr>
      <w:bookmarkStart w:id="158" w:name="_Toc2091"/>
      <w:bookmarkStart w:id="159" w:name="_Toc11374"/>
      <w:bookmarkStart w:id="160" w:name="_Toc32491"/>
      <w:r>
        <w:rPr>
          <w:rFonts w:hint="eastAsia" w:ascii="宋体" w:hAnsi="宋体" w:cs="宋体"/>
          <w:b/>
          <w:bCs/>
          <w:color w:val="auto"/>
          <w:sz w:val="32"/>
          <w:szCs w:val="32"/>
          <w:lang w:val="en-US" w:eastAsia="zh-CN"/>
        </w:rPr>
        <w:t xml:space="preserve">第七章  </w:t>
      </w:r>
      <w:r>
        <w:rPr>
          <w:rFonts w:hint="eastAsia" w:ascii="宋体" w:hAnsi="宋体" w:cs="宋体"/>
          <w:b/>
          <w:bCs/>
          <w:color w:val="auto"/>
          <w:sz w:val="32"/>
          <w:szCs w:val="32"/>
        </w:rPr>
        <w:t>榆林市公共资源交易平台全流程电子化</w:t>
      </w:r>
      <w:bookmarkStart w:id="161" w:name="_Toc23465"/>
      <w:r>
        <w:rPr>
          <w:rFonts w:hint="eastAsia" w:ascii="宋体" w:hAnsi="宋体" w:cs="宋体"/>
          <w:b/>
          <w:bCs/>
          <w:color w:val="auto"/>
          <w:sz w:val="32"/>
          <w:szCs w:val="32"/>
        </w:rPr>
        <w:t>政府采购项目</w:t>
      </w:r>
      <w:bookmarkEnd w:id="158"/>
      <w:bookmarkEnd w:id="159"/>
      <w:bookmarkEnd w:id="161"/>
      <w:r>
        <w:rPr>
          <w:rFonts w:hint="eastAsia" w:ascii="宋体" w:hAnsi="宋体" w:cs="宋体"/>
          <w:b/>
          <w:bCs/>
          <w:color w:val="auto"/>
          <w:sz w:val="32"/>
          <w:szCs w:val="32"/>
          <w:lang w:val="en-US" w:eastAsia="zh-CN"/>
        </w:rPr>
        <w:t>特别说明</w:t>
      </w:r>
      <w:bookmarkEnd w:id="160"/>
    </w:p>
    <w:p>
      <w:pPr>
        <w:spacing w:line="360" w:lineRule="auto"/>
        <w:outlineLvl w:val="9"/>
        <w:rPr>
          <w:rFonts w:hint="eastAsia" w:ascii="宋体" w:hAnsi="宋体" w:cs="宋体"/>
          <w:bCs/>
          <w:color w:val="auto"/>
          <w:sz w:val="24"/>
        </w:rPr>
      </w:pPr>
      <w:bookmarkStart w:id="162" w:name="_Toc5026"/>
      <w:bookmarkStart w:id="163" w:name="_Toc19434"/>
      <w:bookmarkStart w:id="164" w:name="_Toc17326"/>
      <w:bookmarkStart w:id="165" w:name="_Toc8734"/>
      <w:bookmarkStart w:id="166" w:name="_Toc13044"/>
      <w:bookmarkStart w:id="167" w:name="_Toc7893"/>
      <w:bookmarkStart w:id="168" w:name="_Toc24424"/>
      <w:bookmarkStart w:id="169" w:name="_Toc29408"/>
      <w:bookmarkStart w:id="170" w:name="_Toc17329"/>
      <w:r>
        <w:rPr>
          <w:rFonts w:hint="eastAsia" w:ascii="宋体" w:hAnsi="宋体" w:cs="宋体"/>
          <w:bCs/>
          <w:color w:val="auto"/>
          <w:sz w:val="24"/>
        </w:rPr>
        <w:t>一、关于需要特别提醒供应商的内容</w:t>
      </w:r>
      <w:bookmarkEnd w:id="162"/>
      <w:bookmarkEnd w:id="163"/>
      <w:bookmarkEnd w:id="164"/>
      <w:bookmarkEnd w:id="165"/>
      <w:bookmarkEnd w:id="166"/>
      <w:bookmarkEnd w:id="167"/>
      <w:bookmarkEnd w:id="168"/>
      <w:bookmarkEnd w:id="169"/>
      <w:bookmarkEnd w:id="170"/>
    </w:p>
    <w:p>
      <w:pPr>
        <w:spacing w:line="360" w:lineRule="auto"/>
        <w:ind w:firstLine="480" w:firstLineChars="200"/>
        <w:outlineLvl w:val="9"/>
        <w:rPr>
          <w:rFonts w:hint="eastAsia" w:ascii="宋体" w:hAnsi="宋体" w:cs="宋体"/>
          <w:bCs/>
          <w:color w:val="auto"/>
          <w:sz w:val="24"/>
        </w:rPr>
      </w:pPr>
      <w:bookmarkStart w:id="171" w:name="_Toc21468"/>
      <w:bookmarkStart w:id="172" w:name="_Toc19423"/>
      <w:bookmarkStart w:id="173" w:name="_Toc21400"/>
      <w:bookmarkStart w:id="174" w:name="_Toc116"/>
      <w:bookmarkStart w:id="175" w:name="_Toc3743"/>
      <w:bookmarkStart w:id="176" w:name="_Toc22444"/>
      <w:bookmarkStart w:id="177" w:name="_Toc28365"/>
      <w:bookmarkStart w:id="178" w:name="_Toc9072"/>
      <w:bookmarkStart w:id="179" w:name="_Toc11575"/>
      <w:r>
        <w:rPr>
          <w:rFonts w:hint="eastAsia" w:ascii="宋体" w:hAnsi="宋体" w:cs="宋体"/>
          <w:bCs/>
          <w:color w:val="auto"/>
          <w:sz w:val="24"/>
        </w:rPr>
        <w:t>1、本项目采用电子化投标的方式投标，投标人须使用数字认证证书（CA锁）对电子投标文件进行签章、加密、递交及开标时解密等相关招投标事宜。</w:t>
      </w:r>
      <w:bookmarkEnd w:id="171"/>
      <w:bookmarkEnd w:id="172"/>
      <w:bookmarkEnd w:id="173"/>
      <w:bookmarkEnd w:id="174"/>
      <w:bookmarkEnd w:id="175"/>
    </w:p>
    <w:p>
      <w:pPr>
        <w:spacing w:line="360" w:lineRule="auto"/>
        <w:ind w:firstLine="480" w:firstLineChars="200"/>
        <w:outlineLvl w:val="9"/>
        <w:rPr>
          <w:rFonts w:hint="eastAsia" w:ascii="宋体" w:hAnsi="宋体" w:cs="宋体"/>
          <w:bCs/>
          <w:color w:val="auto"/>
          <w:sz w:val="24"/>
        </w:rPr>
      </w:pPr>
      <w:bookmarkStart w:id="180" w:name="_Toc8218"/>
      <w:bookmarkStart w:id="181" w:name="_Toc26209"/>
      <w:bookmarkStart w:id="182" w:name="_Toc21967"/>
      <w:bookmarkStart w:id="183" w:name="_Toc16386"/>
      <w:bookmarkStart w:id="184" w:name="_Toc27796"/>
      <w:r>
        <w:rPr>
          <w:rFonts w:hint="eastAsia" w:ascii="宋体" w:hAnsi="宋体" w:cs="宋体"/>
          <w:bCs/>
          <w:color w:val="auto"/>
          <w:sz w:val="24"/>
        </w:rPr>
        <w:t>2、制作电子投标文件</w:t>
      </w:r>
      <w:bookmarkEnd w:id="180"/>
      <w:bookmarkEnd w:id="181"/>
      <w:bookmarkEnd w:id="182"/>
      <w:bookmarkEnd w:id="183"/>
      <w:bookmarkEnd w:id="184"/>
    </w:p>
    <w:p>
      <w:pPr>
        <w:spacing w:line="360" w:lineRule="auto"/>
        <w:ind w:firstLine="480" w:firstLineChars="200"/>
        <w:outlineLvl w:val="9"/>
        <w:rPr>
          <w:rFonts w:hint="eastAsia" w:ascii="宋体" w:hAnsi="宋体" w:cs="宋体"/>
          <w:bCs/>
          <w:color w:val="auto"/>
          <w:sz w:val="24"/>
        </w:rPr>
      </w:pPr>
      <w:bookmarkStart w:id="185" w:name="_Toc12220"/>
      <w:bookmarkStart w:id="186" w:name="_Toc22290"/>
      <w:bookmarkStart w:id="187" w:name="_Toc20309"/>
      <w:bookmarkStart w:id="188" w:name="_Toc5554"/>
      <w:bookmarkStart w:id="189" w:name="_Toc22321"/>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V8.0.0.43</w:t>
      </w:r>
      <w:r>
        <w:rPr>
          <w:rFonts w:hint="eastAsia" w:ascii="宋体" w:hAnsi="宋体" w:cs="宋体"/>
          <w:bCs/>
          <w:color w:val="auto"/>
          <w:sz w:val="24"/>
        </w:rPr>
        <w:t>)”，并升级至最新版本，使用该客户端制作电子投标文件，制作扩展名为“.SXSTF”的电子投标文件。”</w:t>
      </w:r>
      <w:bookmarkEnd w:id="185"/>
      <w:bookmarkEnd w:id="186"/>
      <w:bookmarkEnd w:id="187"/>
      <w:bookmarkEnd w:id="188"/>
      <w:bookmarkEnd w:id="189"/>
    </w:p>
    <w:p>
      <w:pPr>
        <w:spacing w:line="360" w:lineRule="auto"/>
        <w:ind w:firstLine="480" w:firstLineChars="200"/>
        <w:outlineLvl w:val="9"/>
        <w:rPr>
          <w:rFonts w:hint="eastAsia" w:ascii="宋体" w:hAnsi="宋体" w:cs="宋体"/>
          <w:bCs/>
          <w:color w:val="auto"/>
          <w:sz w:val="24"/>
        </w:rPr>
      </w:pPr>
      <w:bookmarkStart w:id="190" w:name="_Toc8778"/>
      <w:bookmarkStart w:id="191" w:name="_Toc26633"/>
      <w:bookmarkStart w:id="192" w:name="_Toc29229"/>
      <w:bookmarkStart w:id="193" w:name="_Toc15991"/>
      <w:bookmarkStart w:id="194" w:name="_Toc14555"/>
      <w:r>
        <w:rPr>
          <w:rFonts w:hint="eastAsia" w:ascii="宋体" w:hAnsi="宋体" w:cs="宋体"/>
          <w:bCs/>
          <w:color w:val="auto"/>
          <w:sz w:val="24"/>
        </w:rPr>
        <w:t>3、递交电子投标文件</w:t>
      </w:r>
      <w:bookmarkEnd w:id="190"/>
      <w:bookmarkEnd w:id="191"/>
      <w:bookmarkEnd w:id="192"/>
      <w:bookmarkEnd w:id="193"/>
      <w:bookmarkEnd w:id="194"/>
    </w:p>
    <w:p>
      <w:pPr>
        <w:spacing w:line="360" w:lineRule="auto"/>
        <w:ind w:firstLine="480" w:firstLineChars="200"/>
        <w:outlineLvl w:val="9"/>
        <w:rPr>
          <w:rFonts w:hint="eastAsia" w:ascii="宋体" w:hAnsi="宋体" w:cs="宋体"/>
          <w:bCs/>
          <w:color w:val="auto"/>
          <w:sz w:val="24"/>
        </w:rPr>
      </w:pPr>
      <w:bookmarkStart w:id="195" w:name="_Toc10794"/>
      <w:bookmarkStart w:id="196" w:name="_Toc10172"/>
      <w:bookmarkStart w:id="197" w:name="_Toc26907"/>
      <w:bookmarkStart w:id="198" w:name="_Toc2403"/>
      <w:bookmarkStart w:id="199" w:name="_Toc26499"/>
      <w:r>
        <w:rPr>
          <w:rFonts w:hint="eastAsia" w:ascii="宋体" w:hAnsi="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5"/>
      <w:bookmarkEnd w:id="196"/>
      <w:bookmarkEnd w:id="197"/>
      <w:bookmarkEnd w:id="198"/>
      <w:bookmarkEnd w:id="199"/>
    </w:p>
    <w:bookmarkEnd w:id="176"/>
    <w:bookmarkEnd w:id="177"/>
    <w:bookmarkEnd w:id="178"/>
    <w:bookmarkEnd w:id="179"/>
    <w:p>
      <w:pPr>
        <w:spacing w:line="360" w:lineRule="auto"/>
        <w:outlineLvl w:val="9"/>
        <w:rPr>
          <w:rFonts w:hint="eastAsia" w:ascii="宋体" w:hAnsi="宋体" w:cs="宋体"/>
          <w:bCs/>
          <w:color w:val="auto"/>
          <w:sz w:val="24"/>
        </w:rPr>
      </w:pPr>
      <w:bookmarkStart w:id="200" w:name="_Toc6717"/>
      <w:bookmarkStart w:id="201" w:name="_Toc14917"/>
      <w:bookmarkStart w:id="202" w:name="_Toc25320"/>
      <w:bookmarkStart w:id="203" w:name="_Toc31754"/>
      <w:bookmarkStart w:id="204" w:name="_Toc2373"/>
      <w:bookmarkStart w:id="205" w:name="_Toc18685"/>
      <w:bookmarkStart w:id="206" w:name="_Toc23397"/>
      <w:bookmarkStart w:id="207" w:name="_Toc22823"/>
      <w:bookmarkStart w:id="208" w:name="_Toc2638"/>
      <w:r>
        <w:rPr>
          <w:rFonts w:hint="eastAsia" w:ascii="宋体" w:hAnsi="宋体" w:cs="宋体"/>
          <w:bCs/>
          <w:color w:val="auto"/>
          <w:sz w:val="24"/>
          <w:lang w:val="en-US" w:eastAsia="zh-CN"/>
        </w:rPr>
        <w:t>二</w:t>
      </w:r>
      <w:r>
        <w:rPr>
          <w:rFonts w:hint="eastAsia" w:ascii="宋体" w:hAnsi="宋体" w:cs="宋体"/>
          <w:bCs/>
          <w:color w:val="auto"/>
          <w:sz w:val="24"/>
        </w:rPr>
        <w:t>、关于文件的制作和签名</w:t>
      </w:r>
      <w:bookmarkEnd w:id="200"/>
      <w:bookmarkEnd w:id="201"/>
      <w:bookmarkEnd w:id="202"/>
      <w:bookmarkEnd w:id="203"/>
      <w:bookmarkEnd w:id="204"/>
      <w:bookmarkEnd w:id="205"/>
      <w:bookmarkEnd w:id="206"/>
      <w:bookmarkEnd w:id="207"/>
      <w:bookmarkEnd w:id="208"/>
    </w:p>
    <w:p>
      <w:pPr>
        <w:spacing w:line="360" w:lineRule="auto"/>
        <w:ind w:firstLine="480" w:firstLineChars="200"/>
        <w:outlineLvl w:val="9"/>
        <w:rPr>
          <w:rFonts w:hint="eastAsia" w:ascii="宋体" w:hAnsi="宋体" w:cs="宋体"/>
          <w:bCs/>
          <w:color w:val="auto"/>
          <w:sz w:val="24"/>
        </w:rPr>
      </w:pPr>
      <w:bookmarkStart w:id="209" w:name="_Toc22512"/>
      <w:r>
        <w:rPr>
          <w:rFonts w:hint="eastAsia" w:ascii="宋体" w:hAnsi="宋体" w:cs="宋体"/>
          <w:bCs/>
          <w:color w:val="auto"/>
          <w:sz w:val="24"/>
        </w:rPr>
        <w:t>1.</w:t>
      </w:r>
      <w:bookmarkEnd w:id="209"/>
      <w:bookmarkStart w:id="210" w:name="_Toc30680"/>
      <w:r>
        <w:rPr>
          <w:rFonts w:hint="eastAsia" w:ascii="宋体" w:hAnsi="宋体" w:cs="宋体"/>
          <w:bCs/>
          <w:color w:val="auto"/>
          <w:sz w:val="24"/>
        </w:rPr>
        <w:t xml:space="preserve"> 编制电子投标文件时，应使用最新发布的电子招标文件及专用制作工具进行编制。并使用数字认证证书（CA）对电子投标文件进行签署、加密、递交及开标时解密等相关操作。</w:t>
      </w:r>
      <w:bookmarkEnd w:id="210"/>
    </w:p>
    <w:p>
      <w:pPr>
        <w:spacing w:line="360" w:lineRule="auto"/>
        <w:ind w:firstLine="240" w:firstLineChars="100"/>
        <w:outlineLvl w:val="9"/>
        <w:rPr>
          <w:rFonts w:hint="eastAsia" w:ascii="宋体" w:hAnsi="宋体" w:cs="宋体"/>
          <w:bCs/>
          <w:color w:val="auto"/>
          <w:sz w:val="24"/>
        </w:rPr>
      </w:pPr>
      <w:bookmarkStart w:id="211" w:name="_Toc5190"/>
      <w:r>
        <w:rPr>
          <w:rFonts w:hint="eastAsia" w:ascii="宋体" w:hAnsi="宋体" w:cs="宋体"/>
          <w:bCs/>
          <w:color w:val="auto"/>
          <w:sz w:val="24"/>
        </w:rPr>
        <w:t>（1）电子招标文件下载</w:t>
      </w:r>
      <w:bookmarkEnd w:id="211"/>
    </w:p>
    <w:p>
      <w:pPr>
        <w:spacing w:line="360" w:lineRule="auto"/>
        <w:ind w:firstLine="480" w:firstLineChars="200"/>
        <w:outlineLvl w:val="9"/>
        <w:rPr>
          <w:rFonts w:hint="eastAsia" w:ascii="宋体" w:hAnsi="宋体" w:cs="宋体"/>
          <w:bCs/>
          <w:color w:val="auto"/>
          <w:sz w:val="24"/>
        </w:rPr>
      </w:pPr>
      <w:bookmarkStart w:id="212" w:name="_Toc17854"/>
      <w:r>
        <w:rPr>
          <w:rFonts w:hint="eastAsia" w:ascii="宋体" w:hAnsi="宋体" w:cs="宋体"/>
          <w:bCs/>
          <w:color w:val="auto"/>
          <w:sz w:val="24"/>
        </w:rPr>
        <w:t>供应商登录全国公共资源交易平台（陕西省）网站[电子交易平台-企业端]后，在[我的项目]中点击“项目流程-交易文件下载”下载电子招标文件（*.SXSZF）;</w:t>
      </w:r>
      <w:bookmarkEnd w:id="212"/>
    </w:p>
    <w:p>
      <w:pPr>
        <w:spacing w:line="360" w:lineRule="auto"/>
        <w:outlineLvl w:val="9"/>
        <w:rPr>
          <w:rFonts w:hint="eastAsia" w:ascii="宋体" w:hAnsi="宋体" w:cs="宋体"/>
          <w:bCs/>
          <w:color w:val="auto"/>
          <w:sz w:val="24"/>
        </w:rPr>
      </w:pPr>
      <w:bookmarkStart w:id="213" w:name="_Toc27523"/>
      <w:r>
        <w:rPr>
          <w:rFonts w:hint="eastAsia" w:ascii="宋体" w:hAnsi="宋体" w:cs="宋体"/>
          <w:bCs/>
          <w:color w:val="auto"/>
          <w:sz w:val="24"/>
        </w:rPr>
        <w:t>注意：该项目如有变更文件，则应点击“项目流程&gt;答疑文件下载”下载更新后的电子招标文件（*.SXSCF），使用旧版电子招标文件制作的电子投标文件，系统将拒绝接收。</w:t>
      </w:r>
      <w:bookmarkEnd w:id="213"/>
    </w:p>
    <w:p>
      <w:pPr>
        <w:spacing w:line="360" w:lineRule="auto"/>
        <w:ind w:firstLine="240" w:firstLineChars="100"/>
        <w:outlineLvl w:val="9"/>
        <w:rPr>
          <w:rFonts w:hint="eastAsia" w:ascii="宋体" w:hAnsi="宋体" w:cs="宋体"/>
          <w:bCs/>
          <w:color w:val="auto"/>
          <w:sz w:val="24"/>
        </w:rPr>
      </w:pPr>
      <w:bookmarkStart w:id="214" w:name="_Toc8282"/>
      <w:r>
        <w:rPr>
          <w:rFonts w:hint="eastAsia" w:ascii="宋体" w:hAnsi="宋体" w:cs="宋体"/>
          <w:bCs/>
          <w:color w:val="auto"/>
          <w:sz w:val="24"/>
        </w:rPr>
        <w:t>（2）电子招标文件需要使用专用软件打开、浏览</w:t>
      </w:r>
      <w:bookmarkEnd w:id="214"/>
    </w:p>
    <w:p>
      <w:pPr>
        <w:spacing w:line="360" w:lineRule="auto"/>
        <w:outlineLvl w:val="9"/>
        <w:rPr>
          <w:rFonts w:hint="eastAsia" w:ascii="宋体" w:hAnsi="宋体" w:cs="宋体"/>
          <w:bCs/>
          <w:color w:val="auto"/>
          <w:sz w:val="24"/>
          <w:highlight w:val="none"/>
        </w:rPr>
      </w:pPr>
      <w:bookmarkStart w:id="215" w:name="_Toc20814"/>
      <w:r>
        <w:rPr>
          <w:rFonts w:hint="eastAsia" w:ascii="宋体" w:hAnsi="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cs="宋体"/>
          <w:bCs/>
          <w:color w:val="auto"/>
          <w:sz w:val="24"/>
          <w:lang w:eastAsia="zh-CN"/>
        </w:rPr>
        <w:t>V8.0.0.43</w:t>
      </w:r>
      <w:r>
        <w:rPr>
          <w:rFonts w:hint="eastAsia" w:ascii="宋体" w:hAnsi="宋体" w:cs="宋体"/>
          <w:bCs/>
          <w:color w:val="auto"/>
          <w:sz w:val="24"/>
        </w:rPr>
        <w:t>)》，下载网址：https://share.bqpoint.com/share/a5105585-17e9-ccb0-1006-e59238176da4，并升级至最新版本，使用该客户端可以打开电子招标文件。</w:t>
      </w:r>
      <w:bookmarkEnd w:id="215"/>
    </w:p>
    <w:p>
      <w:pPr>
        <w:spacing w:line="360" w:lineRule="auto"/>
        <w:ind w:firstLine="240" w:firstLineChars="100"/>
        <w:outlineLvl w:val="9"/>
        <w:rPr>
          <w:rFonts w:hint="eastAsia" w:ascii="宋体" w:hAnsi="宋体" w:cs="宋体"/>
          <w:bCs/>
          <w:color w:val="auto"/>
          <w:sz w:val="24"/>
        </w:rPr>
      </w:pPr>
      <w:bookmarkStart w:id="216" w:name="_Toc3479"/>
      <w:r>
        <w:rPr>
          <w:rFonts w:hint="eastAsia" w:ascii="宋体" w:hAnsi="宋体" w:cs="宋体"/>
          <w:bCs/>
          <w:color w:val="auto"/>
          <w:sz w:val="24"/>
        </w:rPr>
        <w:t>（3）制作电子投标文件</w:t>
      </w:r>
      <w:bookmarkEnd w:id="216"/>
    </w:p>
    <w:p>
      <w:pPr>
        <w:spacing w:line="360" w:lineRule="auto"/>
        <w:ind w:firstLine="480" w:firstLineChars="200"/>
        <w:outlineLvl w:val="9"/>
        <w:rPr>
          <w:rFonts w:hint="eastAsia" w:ascii="宋体" w:hAnsi="宋体" w:cs="宋体"/>
          <w:bCs/>
          <w:color w:val="auto"/>
          <w:sz w:val="24"/>
        </w:rPr>
      </w:pPr>
      <w:bookmarkStart w:id="217" w:name="_Toc1229"/>
      <w:r>
        <w:rPr>
          <w:rFonts w:hint="eastAsia" w:ascii="宋体" w:hAnsi="宋体" w:cs="宋体"/>
          <w:bCs/>
          <w:color w:val="auto"/>
          <w:sz w:val="24"/>
        </w:rPr>
        <w:t>电子投标文件同样需要使用上述软件进行编制。在编制过程中，如有技术性问题，请先翻阅操作手册或致电软件开发商，技术支持热线：4009280095、4009980000。</w:t>
      </w:r>
      <w:bookmarkEnd w:id="217"/>
    </w:p>
    <w:p>
      <w:pPr>
        <w:spacing w:line="360" w:lineRule="auto"/>
        <w:outlineLvl w:val="9"/>
        <w:rPr>
          <w:rFonts w:hint="eastAsia" w:ascii="宋体" w:hAnsi="宋体" w:cs="宋体"/>
          <w:bCs/>
          <w:color w:val="auto"/>
          <w:sz w:val="24"/>
        </w:rPr>
      </w:pPr>
      <w:bookmarkStart w:id="218" w:name="_Toc29731"/>
      <w:bookmarkStart w:id="219" w:name="_Toc17424"/>
      <w:bookmarkStart w:id="220" w:name="_Toc30034"/>
      <w:bookmarkStart w:id="221" w:name="_Toc15009"/>
      <w:bookmarkStart w:id="222" w:name="_Toc24522"/>
      <w:r>
        <w:rPr>
          <w:rFonts w:hint="eastAsia" w:ascii="宋体" w:hAnsi="宋体" w:cs="宋体"/>
          <w:bCs/>
          <w:color w:val="auto"/>
          <w:sz w:val="24"/>
        </w:rPr>
        <w:t>四、该项目将采取“不见面”开标的形式，供应商无须到达开标现场，即可在网上直接参与开标活动。相关注意事项如下：</w:t>
      </w:r>
      <w:bookmarkEnd w:id="218"/>
      <w:bookmarkEnd w:id="219"/>
      <w:bookmarkEnd w:id="220"/>
      <w:bookmarkEnd w:id="221"/>
      <w:bookmarkEnd w:id="222"/>
    </w:p>
    <w:p>
      <w:pPr>
        <w:spacing w:line="360" w:lineRule="auto"/>
        <w:ind w:firstLine="480" w:firstLineChars="200"/>
        <w:outlineLvl w:val="9"/>
        <w:rPr>
          <w:rFonts w:hint="eastAsia" w:ascii="宋体" w:hAnsi="宋体" w:cs="宋体"/>
          <w:bCs/>
          <w:color w:val="auto"/>
          <w:sz w:val="24"/>
        </w:rPr>
      </w:pPr>
      <w:bookmarkStart w:id="223" w:name="_Toc29064"/>
      <w:bookmarkStart w:id="224" w:name="_Toc30153"/>
      <w:bookmarkStart w:id="225" w:name="_Toc10914"/>
      <w:bookmarkStart w:id="226" w:name="_Toc25309"/>
      <w:bookmarkStart w:id="227" w:name="_Toc28289"/>
      <w:r>
        <w:rPr>
          <w:rFonts w:hint="eastAsia" w:ascii="宋体" w:hAnsi="宋体" w:cs="宋体"/>
          <w:bCs/>
          <w:color w:val="auto"/>
          <w:sz w:val="24"/>
        </w:rPr>
        <w:t>（1）开标当日，请各供应商在开标截止时间前至少提前半小时登录“不见面”开标系统登录方式有以下几种：</w:t>
      </w:r>
      <w:bookmarkEnd w:id="223"/>
      <w:bookmarkEnd w:id="224"/>
      <w:bookmarkEnd w:id="225"/>
      <w:bookmarkEnd w:id="226"/>
      <w:bookmarkEnd w:id="227"/>
    </w:p>
    <w:p>
      <w:pPr>
        <w:spacing w:line="360" w:lineRule="auto"/>
        <w:ind w:firstLine="480" w:firstLineChars="200"/>
        <w:outlineLvl w:val="9"/>
        <w:rPr>
          <w:rFonts w:hint="eastAsia" w:ascii="宋体" w:hAnsi="宋体" w:cs="宋体"/>
          <w:bCs/>
          <w:color w:val="auto"/>
          <w:sz w:val="24"/>
        </w:rPr>
      </w:pPr>
      <w:bookmarkStart w:id="228" w:name="_Toc136"/>
      <w:bookmarkStart w:id="229" w:name="_Toc5810"/>
      <w:bookmarkStart w:id="230" w:name="_Toc15638"/>
      <w:bookmarkStart w:id="231" w:name="_Toc6547"/>
      <w:bookmarkStart w:id="232" w:name="_Toc25799"/>
      <w:r>
        <w:rPr>
          <w:rFonts w:hint="eastAsia" w:ascii="宋体" w:hAnsi="宋体" w:cs="宋体"/>
          <w:bCs/>
          <w:color w:val="auto"/>
          <w:sz w:val="24"/>
        </w:rPr>
        <w:t>IE浏览器输入网址：</w:t>
      </w:r>
      <w:bookmarkEnd w:id="228"/>
      <w:bookmarkEnd w:id="229"/>
      <w:bookmarkEnd w:id="230"/>
      <w:bookmarkEnd w:id="231"/>
      <w:bookmarkEnd w:id="232"/>
    </w:p>
    <w:p>
      <w:pPr>
        <w:spacing w:line="360" w:lineRule="auto"/>
        <w:outlineLvl w:val="9"/>
        <w:rPr>
          <w:rFonts w:hint="eastAsia" w:ascii="宋体" w:hAnsi="宋体" w:cs="宋体"/>
          <w:bCs/>
          <w:color w:val="auto"/>
          <w:sz w:val="24"/>
        </w:rPr>
      </w:pPr>
      <w:bookmarkStart w:id="233" w:name="_Toc9929"/>
      <w:bookmarkStart w:id="234" w:name="_Toc11544"/>
      <w:bookmarkStart w:id="235" w:name="_Toc16411"/>
      <w:bookmarkStart w:id="236" w:name="_Toc31069"/>
      <w:bookmarkStart w:id="237" w:name="_Toc14974"/>
      <w:r>
        <w:rPr>
          <w:rFonts w:hint="eastAsia" w:ascii="宋体" w:hAnsi="宋体" w:cs="宋体"/>
          <w:bCs/>
          <w:color w:val="auto"/>
          <w:sz w:val="24"/>
        </w:rPr>
        <w:fldChar w:fldCharType="begin"/>
      </w:r>
      <w:r>
        <w:rPr>
          <w:rFonts w:hint="eastAsia" w:ascii="宋体" w:hAnsi="宋体" w:cs="宋体"/>
          <w:bCs/>
          <w:color w:val="auto"/>
          <w:sz w:val="24"/>
        </w:rPr>
        <w:instrText xml:space="preserve"> HYPERLINK "http://219.145.120.168:8082/BidOpeningHall/bidhall/default/login），" </w:instrText>
      </w:r>
      <w:r>
        <w:rPr>
          <w:rFonts w:hint="eastAsia" w:ascii="宋体" w:hAnsi="宋体" w:cs="宋体"/>
          <w:bCs/>
          <w:color w:val="auto"/>
          <w:sz w:val="24"/>
        </w:rPr>
        <w:fldChar w:fldCharType="separate"/>
      </w:r>
      <w:r>
        <w:rPr>
          <w:rFonts w:hint="eastAsia" w:ascii="宋体" w:hAnsi="宋体" w:cs="宋体"/>
          <w:bCs/>
          <w:color w:val="auto"/>
          <w:sz w:val="24"/>
        </w:rPr>
        <w:t>http://113.140.9.66:8888/BidOpening_sxs//bidopeninghallaction/hall/login；</w:t>
      </w:r>
      <w:r>
        <w:rPr>
          <w:rFonts w:hint="eastAsia" w:ascii="宋体" w:hAnsi="宋体" w:cs="宋体"/>
          <w:bCs/>
          <w:color w:val="auto"/>
          <w:sz w:val="24"/>
        </w:rPr>
        <w:fldChar w:fldCharType="end"/>
      </w:r>
      <w:bookmarkEnd w:id="233"/>
      <w:bookmarkEnd w:id="234"/>
      <w:bookmarkEnd w:id="235"/>
      <w:bookmarkEnd w:id="236"/>
      <w:bookmarkEnd w:id="237"/>
    </w:p>
    <w:p>
      <w:pPr>
        <w:spacing w:line="360" w:lineRule="auto"/>
        <w:ind w:firstLine="480" w:firstLineChars="200"/>
        <w:outlineLvl w:val="9"/>
        <w:rPr>
          <w:rFonts w:hint="eastAsia" w:ascii="宋体" w:hAnsi="宋体" w:cs="宋体"/>
          <w:bCs/>
          <w:color w:val="auto"/>
          <w:sz w:val="24"/>
        </w:rPr>
      </w:pPr>
      <w:bookmarkStart w:id="238" w:name="_Toc4145"/>
      <w:bookmarkStart w:id="239" w:name="_Toc22571"/>
      <w:bookmarkStart w:id="240" w:name="_Toc22457"/>
      <w:bookmarkStart w:id="241" w:name="_Toc32358"/>
      <w:bookmarkStart w:id="242" w:name="_Toc2339"/>
      <w:r>
        <w:rPr>
          <w:rFonts w:hint="eastAsia" w:ascii="宋体" w:hAnsi="宋体" w:cs="宋体"/>
          <w:bCs/>
          <w:color w:val="auto"/>
          <w:sz w:val="24"/>
        </w:rPr>
        <w:t>在【全国公共资源交易平台】网站</w:t>
      </w:r>
      <w:r>
        <w:rPr>
          <w:rFonts w:hint="eastAsia" w:ascii="宋体" w:hAnsi="宋体" w:cs="宋体"/>
          <w:bCs/>
          <w:color w:val="auto"/>
          <w:sz w:val="24"/>
          <w:lang w:val="en-US" w:eastAsia="zh-CN"/>
        </w:rPr>
        <w:t>电子交易平台</w:t>
      </w:r>
      <w:r>
        <w:rPr>
          <w:rFonts w:hint="eastAsia" w:ascii="宋体" w:hAnsi="宋体" w:cs="宋体"/>
          <w:bCs/>
          <w:color w:val="auto"/>
          <w:sz w:val="24"/>
        </w:rPr>
        <w:t>点击不见面开标模块进入；</w:t>
      </w:r>
      <w:bookmarkEnd w:id="238"/>
      <w:bookmarkEnd w:id="239"/>
      <w:bookmarkEnd w:id="240"/>
      <w:bookmarkEnd w:id="241"/>
      <w:bookmarkEnd w:id="242"/>
    </w:p>
    <w:p>
      <w:pPr>
        <w:spacing w:line="360" w:lineRule="auto"/>
        <w:ind w:firstLine="480" w:firstLineChars="200"/>
        <w:outlineLvl w:val="9"/>
        <w:rPr>
          <w:rFonts w:hint="eastAsia" w:ascii="宋体" w:hAnsi="宋体" w:cs="宋体"/>
          <w:bCs/>
          <w:color w:val="auto"/>
          <w:sz w:val="24"/>
        </w:rPr>
      </w:pPr>
      <w:bookmarkStart w:id="243" w:name="_Toc26887"/>
      <w:bookmarkStart w:id="244" w:name="_Toc20049"/>
      <w:bookmarkStart w:id="245" w:name="_Toc3689"/>
      <w:bookmarkStart w:id="246" w:name="_Toc21166"/>
      <w:bookmarkStart w:id="247" w:name="_Toc23882"/>
      <w:r>
        <w:rPr>
          <w:rFonts w:hint="eastAsia" w:ascii="宋体" w:hAnsi="宋体" w:cs="宋体"/>
          <w:bCs/>
          <w:color w:val="auto"/>
          <w:sz w:val="24"/>
        </w:rPr>
        <w:t>注：登录不见面开标系统请选择IE11浏览器</w:t>
      </w:r>
      <w:bookmarkEnd w:id="243"/>
      <w:bookmarkEnd w:id="244"/>
      <w:bookmarkEnd w:id="245"/>
      <w:bookmarkEnd w:id="246"/>
      <w:bookmarkEnd w:id="247"/>
    </w:p>
    <w:p>
      <w:pPr>
        <w:spacing w:line="360" w:lineRule="auto"/>
        <w:ind w:firstLine="480" w:firstLineChars="200"/>
        <w:outlineLvl w:val="9"/>
        <w:rPr>
          <w:rFonts w:hint="eastAsia" w:ascii="宋体" w:hAnsi="宋体" w:cs="宋体"/>
          <w:bCs/>
          <w:color w:val="auto"/>
          <w:sz w:val="24"/>
        </w:rPr>
      </w:pPr>
      <w:bookmarkStart w:id="248" w:name="_Toc3002"/>
      <w:bookmarkStart w:id="249" w:name="_Toc26046"/>
      <w:bookmarkStart w:id="250" w:name="_Toc5982"/>
      <w:bookmarkStart w:id="251" w:name="_Toc25466"/>
      <w:bookmarkStart w:id="252" w:name="_Toc28533"/>
      <w:r>
        <w:rPr>
          <w:rFonts w:hint="eastAsia" w:ascii="宋体" w:hAnsi="宋体" w:cs="宋体"/>
          <w:bCs/>
          <w:color w:val="auto"/>
          <w:sz w:val="24"/>
        </w:rPr>
        <w:t>（2）供应商应按要求及时签到（签到时间为投标截止时间前1小时内，如果未签到将视为放弃投标资格），评审过程中，评标委员会可能会就某些问题要求供应商进行在线澄清，请供应商保持在线直到评审结束；</w:t>
      </w:r>
      <w:bookmarkEnd w:id="248"/>
      <w:bookmarkEnd w:id="249"/>
      <w:bookmarkEnd w:id="250"/>
      <w:bookmarkEnd w:id="251"/>
      <w:bookmarkEnd w:id="252"/>
    </w:p>
    <w:p>
      <w:pPr>
        <w:spacing w:line="360" w:lineRule="auto"/>
        <w:ind w:firstLine="480" w:firstLineChars="200"/>
        <w:outlineLvl w:val="9"/>
        <w:rPr>
          <w:rFonts w:hint="eastAsia" w:ascii="宋体" w:hAnsi="宋体" w:cs="宋体"/>
          <w:bCs/>
          <w:color w:val="auto"/>
          <w:sz w:val="24"/>
        </w:rPr>
      </w:pPr>
      <w:bookmarkStart w:id="253" w:name="_Toc13632"/>
      <w:bookmarkStart w:id="254" w:name="_Toc29285"/>
      <w:bookmarkStart w:id="255" w:name="_Toc24908"/>
      <w:bookmarkStart w:id="256" w:name="_Toc10575"/>
      <w:bookmarkStart w:id="257" w:name="_Toc27782"/>
      <w:r>
        <w:rPr>
          <w:rFonts w:hint="eastAsia" w:ascii="宋体" w:hAnsi="宋体" w:cs="宋体"/>
          <w:bCs/>
          <w:color w:val="auto"/>
          <w:sz w:val="24"/>
        </w:rPr>
        <w:t>（3）</w:t>
      </w:r>
      <w:bookmarkEnd w:id="253"/>
      <w:r>
        <w:rPr>
          <w:rFonts w:hint="eastAsia" w:ascii="宋体" w:hAnsi="宋体" w:cs="宋体"/>
          <w:bCs/>
          <w:color w:val="auto"/>
          <w:sz w:val="24"/>
        </w:rPr>
        <w:t>投标供应商无需提交纸质</w:t>
      </w:r>
      <w:r>
        <w:rPr>
          <w:rFonts w:hint="eastAsia" w:ascii="宋体" w:hAnsi="宋体" w:cs="宋体"/>
          <w:bCs/>
          <w:color w:val="auto"/>
          <w:sz w:val="24"/>
          <w:lang w:eastAsia="zh-CN"/>
        </w:rPr>
        <w:t>响应</w:t>
      </w:r>
      <w:r>
        <w:rPr>
          <w:rFonts w:hint="eastAsia" w:ascii="宋体" w:hAnsi="宋体" w:cs="宋体"/>
          <w:bCs/>
          <w:color w:val="auto"/>
          <w:sz w:val="24"/>
        </w:rPr>
        <w:t>文件，待采购结果公告后，由</w:t>
      </w:r>
      <w:r>
        <w:rPr>
          <w:rFonts w:hint="eastAsia" w:ascii="宋体" w:hAnsi="宋体" w:cs="宋体"/>
          <w:bCs/>
          <w:color w:val="auto"/>
          <w:sz w:val="24"/>
          <w:lang w:eastAsia="zh-CN"/>
        </w:rPr>
        <w:t>成交</w:t>
      </w:r>
      <w:r>
        <w:rPr>
          <w:rFonts w:hint="eastAsia" w:ascii="宋体" w:hAnsi="宋体" w:cs="宋体"/>
          <w:bCs/>
          <w:color w:val="auto"/>
          <w:sz w:val="24"/>
        </w:rPr>
        <w:t>供应商补交</w:t>
      </w:r>
      <w:r>
        <w:rPr>
          <w:rFonts w:hint="eastAsia" w:ascii="宋体" w:hAnsi="宋体" w:cs="宋体"/>
          <w:bCs/>
          <w:color w:val="auto"/>
          <w:sz w:val="24"/>
          <w:lang w:eastAsia="zh-CN"/>
        </w:rPr>
        <w:t xml:space="preserve">一正二副 </w:t>
      </w:r>
      <w:r>
        <w:rPr>
          <w:rFonts w:hint="eastAsia" w:ascii="宋体" w:hAnsi="宋体" w:cs="宋体"/>
          <w:bCs/>
          <w:color w:val="auto"/>
          <w:sz w:val="24"/>
        </w:rPr>
        <w:t>纸质</w:t>
      </w:r>
      <w:r>
        <w:rPr>
          <w:rFonts w:hint="eastAsia" w:ascii="宋体" w:hAnsi="宋体" w:cs="宋体"/>
          <w:bCs/>
          <w:color w:val="auto"/>
          <w:sz w:val="24"/>
          <w:lang w:eastAsia="zh-CN"/>
        </w:rPr>
        <w:t>响应</w:t>
      </w:r>
      <w:r>
        <w:rPr>
          <w:rFonts w:hint="eastAsia" w:ascii="宋体" w:hAnsi="宋体" w:cs="宋体"/>
          <w:bCs/>
          <w:color w:val="auto"/>
          <w:sz w:val="24"/>
        </w:rPr>
        <w:t>文件</w:t>
      </w:r>
      <w:r>
        <w:rPr>
          <w:rFonts w:hint="eastAsia" w:ascii="宋体" w:hAnsi="宋体" w:cs="宋体"/>
          <w:bCs/>
          <w:color w:val="auto"/>
          <w:sz w:val="24"/>
          <w:lang w:eastAsia="zh-CN"/>
        </w:rPr>
        <w:t>及电子版</w:t>
      </w:r>
      <w:r>
        <w:rPr>
          <w:rFonts w:hint="eastAsia" w:ascii="宋体" w:hAnsi="宋体" w:cs="宋体"/>
          <w:bCs/>
          <w:color w:val="auto"/>
          <w:sz w:val="24"/>
        </w:rPr>
        <w:t>（光盘或 U 盘</w:t>
      </w:r>
      <w:r>
        <w:rPr>
          <w:rFonts w:hint="eastAsia" w:ascii="宋体" w:hAnsi="宋体" w:cs="宋体"/>
          <w:bCs/>
          <w:color w:val="auto"/>
          <w:sz w:val="24"/>
          <w:lang w:eastAsia="zh-CN"/>
        </w:rPr>
        <w:t>，包含可编辑 word 版，签字盖章后的扫描件 1 份</w:t>
      </w:r>
      <w:r>
        <w:rPr>
          <w:rFonts w:hint="eastAsia" w:ascii="宋体" w:hAnsi="宋体" w:cs="宋体"/>
          <w:bCs/>
          <w:color w:val="auto"/>
          <w:sz w:val="24"/>
        </w:rPr>
        <w:t>）</w:t>
      </w:r>
      <w:r>
        <w:rPr>
          <w:rFonts w:hint="eastAsia" w:ascii="宋体" w:hAnsi="宋体" w:cs="宋体"/>
          <w:bCs/>
          <w:color w:val="auto"/>
          <w:sz w:val="24"/>
          <w:lang w:eastAsia="zh-CN"/>
        </w:rPr>
        <w:t>响应文件一份</w:t>
      </w:r>
      <w:r>
        <w:rPr>
          <w:rFonts w:hint="eastAsia" w:ascii="宋体" w:hAnsi="宋体" w:cs="宋体"/>
          <w:bCs/>
          <w:color w:val="auto"/>
          <w:sz w:val="24"/>
        </w:rPr>
        <w:t>（备案用）</w:t>
      </w:r>
      <w:bookmarkEnd w:id="254"/>
      <w:bookmarkEnd w:id="255"/>
      <w:bookmarkEnd w:id="256"/>
      <w:bookmarkEnd w:id="257"/>
    </w:p>
    <w:p>
      <w:pPr>
        <w:spacing w:line="360" w:lineRule="auto"/>
        <w:ind w:firstLine="480" w:firstLineChars="200"/>
        <w:outlineLvl w:val="9"/>
        <w:rPr>
          <w:rFonts w:hint="eastAsia" w:ascii="宋体" w:hAnsi="宋体" w:cs="宋体"/>
          <w:bCs/>
          <w:color w:val="auto"/>
          <w:sz w:val="24"/>
        </w:rPr>
      </w:pPr>
      <w:bookmarkStart w:id="258" w:name="_Toc20990"/>
      <w:bookmarkStart w:id="259" w:name="_Toc30945"/>
      <w:bookmarkStart w:id="260" w:name="_Toc14264"/>
      <w:bookmarkStart w:id="261" w:name="_Toc2001"/>
      <w:bookmarkStart w:id="262" w:name="_Toc18391"/>
      <w:r>
        <w:rPr>
          <w:rFonts w:hint="eastAsia" w:ascii="宋体" w:hAnsi="宋体" w:cs="宋体"/>
          <w:bCs/>
          <w:color w:val="auto"/>
          <w:sz w:val="24"/>
        </w:rPr>
        <w:t>（4）开标过程中，供应商在收到工作人员“开始解密”指令后，请及时使用CA对电子投标文件进行解密。解密时所用CA应与加密投标文件时所用CA相同；注：竞谈、磋商招标方式解密时间为30分钟，公开招标解密时间为60分钟，在解密时间内供应商全部解密完成后，可提前进入开标下一阶段。</w:t>
      </w:r>
      <w:bookmarkEnd w:id="258"/>
      <w:bookmarkEnd w:id="259"/>
      <w:bookmarkEnd w:id="260"/>
      <w:bookmarkEnd w:id="261"/>
      <w:bookmarkEnd w:id="262"/>
    </w:p>
    <w:p>
      <w:pPr>
        <w:spacing w:line="360" w:lineRule="auto"/>
        <w:ind w:firstLine="480" w:firstLineChars="200"/>
        <w:outlineLvl w:val="9"/>
        <w:rPr>
          <w:rFonts w:hint="eastAsia" w:ascii="宋体" w:hAnsi="宋体" w:cs="宋体"/>
          <w:bCs/>
          <w:color w:val="auto"/>
          <w:sz w:val="24"/>
        </w:rPr>
      </w:pPr>
      <w:bookmarkStart w:id="263" w:name="_Toc14516"/>
      <w:bookmarkStart w:id="264" w:name="_Toc14040"/>
      <w:bookmarkStart w:id="265" w:name="_Toc18873"/>
      <w:bookmarkStart w:id="266" w:name="_Toc1352"/>
      <w:bookmarkStart w:id="267" w:name="_Toc12288"/>
      <w:r>
        <w:rPr>
          <w:rFonts w:hint="eastAsia" w:ascii="宋体" w:hAnsi="宋体" w:cs="宋体"/>
          <w:bCs/>
          <w:color w:val="auto"/>
          <w:sz w:val="24"/>
        </w:rPr>
        <w:t>（5）相关技术问题，请咨询软件开发商：</w:t>
      </w:r>
      <w:bookmarkEnd w:id="263"/>
      <w:bookmarkEnd w:id="264"/>
      <w:bookmarkEnd w:id="265"/>
      <w:bookmarkEnd w:id="266"/>
      <w:bookmarkEnd w:id="267"/>
    </w:p>
    <w:p>
      <w:pPr>
        <w:spacing w:line="360" w:lineRule="auto"/>
        <w:ind w:firstLine="480" w:firstLineChars="200"/>
        <w:outlineLvl w:val="9"/>
        <w:rPr>
          <w:rFonts w:hint="eastAsia" w:ascii="宋体" w:hAnsi="宋体" w:cs="宋体"/>
          <w:bCs/>
          <w:color w:val="auto"/>
          <w:sz w:val="24"/>
        </w:rPr>
      </w:pPr>
      <w:bookmarkStart w:id="268" w:name="_Toc29056"/>
      <w:bookmarkStart w:id="269" w:name="_Toc29562"/>
      <w:bookmarkStart w:id="270" w:name="_Toc13241"/>
      <w:bookmarkStart w:id="271" w:name="_Toc21234"/>
      <w:bookmarkStart w:id="272" w:name="_Toc17735"/>
      <w:r>
        <w:rPr>
          <w:rFonts w:hint="eastAsia" w:ascii="宋体" w:hAnsi="宋体" w:cs="宋体"/>
          <w:bCs/>
          <w:color w:val="auto"/>
          <w:sz w:val="24"/>
        </w:rPr>
        <w:t>技术支持热线：400-998-0000/400-928-0095</w:t>
      </w:r>
      <w:bookmarkEnd w:id="268"/>
      <w:bookmarkEnd w:id="269"/>
      <w:bookmarkEnd w:id="270"/>
      <w:bookmarkEnd w:id="271"/>
      <w:bookmarkEnd w:id="272"/>
    </w:p>
    <w:p>
      <w:pPr>
        <w:spacing w:line="360" w:lineRule="auto"/>
        <w:ind w:firstLine="480" w:firstLineChars="200"/>
        <w:outlineLvl w:val="9"/>
        <w:rPr>
          <w:rFonts w:hint="eastAsia" w:ascii="宋体" w:hAnsi="宋体" w:eastAsia="宋体" w:cs="宋体"/>
          <w:szCs w:val="21"/>
        </w:rPr>
      </w:pPr>
      <w:bookmarkStart w:id="273" w:name="_Toc21640"/>
      <w:bookmarkStart w:id="274" w:name="_Toc15138"/>
      <w:bookmarkStart w:id="275" w:name="_Toc20112"/>
      <w:bookmarkStart w:id="276" w:name="_Toc2927"/>
      <w:bookmarkStart w:id="277" w:name="_Toc18434"/>
      <w:r>
        <w:rPr>
          <w:rFonts w:hint="eastAsia"/>
        </w:rPr>
        <w:t>（6）</w:t>
      </w:r>
      <w:r>
        <w:rPr>
          <w:rFonts w:hint="eastAsia" w:ascii="宋体" w:hAnsi="宋体" w:eastAsia="宋体" w:cs="宋体"/>
          <w:bCs/>
          <w:color w:val="auto"/>
          <w:sz w:val="24"/>
        </w:rPr>
        <w:t>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273"/>
      <w:bookmarkEnd w:id="274"/>
      <w:bookmarkEnd w:id="275"/>
      <w:bookmarkEnd w:id="276"/>
      <w:bookmarkEnd w:id="277"/>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jc w:val="both"/>
        <w:rPr>
          <w:rFonts w:hint="eastAsia" w:ascii="宋体" w:hAnsi="宋体" w:eastAsia="宋体" w:cs="宋体"/>
          <w:color w:val="auto"/>
          <w:sz w:val="32"/>
          <w:szCs w:val="32"/>
        </w:rPr>
      </w:pPr>
    </w:p>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p>
    <w:pPr>
      <w:pStyle w:val="18"/>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32"/>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left"/>
      <w:rPr>
        <w:rFonts w:hint="default" w:eastAsia="宋体"/>
        <w:u w:val="single"/>
        <w:lang w:val="en-US" w:eastAsia="zh-CN"/>
      </w:rPr>
    </w:pPr>
    <w:r>
      <w:rPr>
        <w:rFonts w:hint="eastAsia"/>
        <w:u w:val="single"/>
        <w:lang w:val="en-US" w:eastAsia="zh-CN"/>
      </w:rPr>
      <w:t>清涧县塬上文化旅游投资开发有限公司关于清涧县人生影视基地游客智慧服务平台采购项目</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r>
      <w:rPr>
        <w:rFonts w:hint="eastAsia"/>
        <w:u w:val="single"/>
        <w:lang w:val="en-US" w:eastAsia="zh-CN"/>
      </w:rPr>
      <w:t xml:space="preserve">                  </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清涧县塬上文化旅游投资开发有限公司关于清涧县人生影视基地游客智慧服务平台采购项目</w:t>
    </w:r>
    <w:r>
      <w:rPr>
        <w:rFonts w:hint="eastAsia" w:ascii="宋体" w:hAnsi="宋体" w:cs="宋体"/>
        <w:b w:val="0"/>
        <w:bCs/>
        <w:sz w:val="18"/>
        <w:szCs w:val="18"/>
        <w:u w:val="none"/>
        <w:lang w:val="en-US" w:eastAsia="zh-CN"/>
      </w:rPr>
      <w:t xml:space="preserve">     </w:t>
    </w:r>
    <w:r>
      <w:rPr>
        <w:rFonts w:hint="eastAsia" w:ascii="宋体" w:hAnsi="宋体" w:eastAsia="宋体" w:cs="宋体"/>
        <w:b w:val="0"/>
        <w:bCs/>
        <w:sz w:val="18"/>
        <w:szCs w:val="18"/>
        <w:u w:val="none"/>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jc w:val="both"/>
      <w:rPr>
        <w:b w:val="0"/>
        <w:bCs/>
        <w:sz w:val="18"/>
        <w:szCs w:val="18"/>
        <w:u w:val="none"/>
      </w:rPr>
    </w:pPr>
    <w:r>
      <w:rPr>
        <w:rFonts w:hint="eastAsia" w:ascii="宋体" w:hAnsi="宋体"/>
        <w:b w:val="0"/>
        <w:bCs/>
        <w:sz w:val="18"/>
        <w:szCs w:val="18"/>
        <w:u w:val="none"/>
        <w:lang w:eastAsia="zh-CN"/>
      </w:rPr>
      <w:t>清涧县塬上文化旅游投资开发有限公司关于清涧县人生影视基地游客智慧服务平台采购项目</w:t>
    </w:r>
    <w:r>
      <w:rPr>
        <w:rFonts w:hint="eastAsia" w:ascii="宋体" w:hAnsi="宋体"/>
        <w:b w:val="0"/>
        <w:bCs/>
        <w:sz w:val="18"/>
        <w:szCs w:val="18"/>
        <w:u w:val="none"/>
        <w:lang w:val="en-US" w:eastAsia="zh-CN"/>
      </w:rPr>
      <w:t xml:space="preserve"> </w:t>
    </w:r>
    <w:r>
      <w:rPr>
        <w:rFonts w:hint="eastAsia" w:ascii="宋体" w:hAnsi="宋体"/>
        <w:b w:val="0"/>
        <w:bCs/>
        <w:sz w:val="18"/>
        <w:szCs w:val="18"/>
        <w:u w:val="none"/>
        <w:shd w:val="clear" w:color="auto" w:fill="FFFFFF"/>
        <w:lang w:val="en-US" w:eastAsia="zh-CN"/>
      </w:rPr>
      <w:t xml:space="preserve">    </w:t>
    </w:r>
    <w:r>
      <w:rPr>
        <w:rFonts w:hint="eastAsia" w:ascii="宋体" w:hAnsi="宋体"/>
        <w:b w:val="0"/>
        <w:bCs/>
        <w:sz w:val="18"/>
        <w:szCs w:val="18"/>
        <w:u w:val="none"/>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single"/>
        <w:lang w:eastAsia="zh-CN"/>
      </w:rPr>
      <w:t>清涧县塬上文化旅游投资开发有限公司关于清涧县人生影视基地游客智慧服务平台采购项目</w:t>
    </w:r>
    <w:r>
      <w:rPr>
        <w:rFonts w:hint="eastAsia" w:ascii="宋体" w:hAnsi="宋体"/>
        <w:b w:val="0"/>
        <w:bCs/>
        <w:color w:val="000000"/>
        <w:sz w:val="18"/>
        <w:szCs w:val="18"/>
        <w:u w:val="single"/>
      </w:rPr>
      <w:t xml:space="preserve"> </w:t>
    </w:r>
    <w:r>
      <w:rPr>
        <w:rFonts w:hint="eastAsia" w:ascii="宋体" w:hAnsi="宋体"/>
        <w:b w:val="0"/>
        <w:bCs/>
        <w:color w:val="000000"/>
        <w:sz w:val="18"/>
        <w:szCs w:val="18"/>
        <w:u w:val="single"/>
        <w:lang w:val="en-US" w:eastAsia="zh-CN"/>
      </w:rPr>
      <w:t xml:space="preserve">   </w:t>
    </w:r>
    <w:r>
      <w:rPr>
        <w:rFonts w:hint="eastAsia" w:ascii="宋体" w:hAnsi="宋体"/>
        <w:b w:val="0"/>
        <w:bCs/>
        <w:color w:val="000000"/>
        <w:sz w:val="18"/>
        <w:szCs w:val="18"/>
        <w:u w:val="single"/>
      </w:rPr>
      <w:t xml:space="preserve"> </w:t>
    </w:r>
    <w:r>
      <w:rPr>
        <w:rFonts w:hint="eastAsia" w:ascii="宋体" w:hAnsi="宋体"/>
        <w:b w:val="0"/>
        <w:bCs/>
        <w:sz w:val="18"/>
        <w:szCs w:val="18"/>
        <w:u w:val="single"/>
      </w:rPr>
      <w:t>竞争性磋商文件</w:t>
    </w:r>
    <w:r>
      <w:rPr>
        <w:rFonts w:hint="eastAsia" w:ascii="宋体" w:hAnsi="宋体"/>
        <w:b w:val="0"/>
        <w:bCs/>
        <w:sz w:val="18"/>
        <w:szCs w:val="18"/>
        <w:u w:val="single"/>
        <w:lang w:val="en-US" w:eastAsia="zh-CN"/>
      </w:rPr>
      <w:t xml:space="preserve"> </w:t>
    </w:r>
    <w:r>
      <w:rPr>
        <w:rFonts w:hint="eastAsia" w:ascii="宋体" w:hAnsi="宋体"/>
        <w:b w:val="0"/>
        <w:bCs/>
        <w:sz w:val="18"/>
        <w:szCs w:val="18"/>
        <w:u w:val="non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rPr>
        <w:rFonts w:hint="eastAsia" w:ascii="宋体" w:hAnsi="宋体"/>
        <w:b w:val="0"/>
        <w:bCs/>
        <w:sz w:val="18"/>
        <w:szCs w:val="18"/>
        <w:u w:val="single"/>
        <w:lang w:eastAsia="zh-CN"/>
      </w:rPr>
      <w:t>清涧县塬上文化旅游投资开发有限公司关于清涧县人生影视基地游客智慧服务平台采购项目</w:t>
    </w:r>
    <w:r>
      <w:rPr>
        <w:rFonts w:hint="eastAsia" w:ascii="宋体" w:hAnsi="宋体"/>
        <w:b w:val="0"/>
        <w:bCs/>
        <w:color w:val="000000"/>
        <w:sz w:val="18"/>
        <w:szCs w:val="18"/>
        <w:u w:val="single"/>
      </w:rPr>
      <w:t xml:space="preserve"> </w:t>
    </w:r>
    <w:r>
      <w:rPr>
        <w:rFonts w:hint="eastAsia" w:ascii="宋体" w:hAnsi="宋体"/>
        <w:b w:val="0"/>
        <w:bCs/>
        <w:color w:val="000000"/>
        <w:sz w:val="18"/>
        <w:szCs w:val="18"/>
        <w:u w:val="single"/>
        <w:lang w:val="en-US" w:eastAsia="zh-CN"/>
      </w:rPr>
      <w:t xml:space="preserve">   </w:t>
    </w:r>
    <w:r>
      <w:rPr>
        <w:rFonts w:hint="eastAsia" w:ascii="宋体" w:hAnsi="宋体"/>
        <w:b w:val="0"/>
        <w:bCs/>
        <w:color w:val="000000"/>
        <w:sz w:val="18"/>
        <w:szCs w:val="18"/>
        <w:u w:val="single"/>
      </w:rPr>
      <w:t xml:space="preserve"> </w:t>
    </w:r>
    <w:r>
      <w:rPr>
        <w:rFonts w:hint="eastAsia" w:ascii="宋体" w:hAnsi="宋体"/>
        <w:b w:val="0"/>
        <w:bCs/>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0FF8"/>
    <w:multiLevelType w:val="singleLevel"/>
    <w:tmpl w:val="CA570FF8"/>
    <w:lvl w:ilvl="0" w:tentative="0">
      <w:start w:val="2"/>
      <w:numFmt w:val="chineseCounting"/>
      <w:suff w:val="space"/>
      <w:lvlText w:val="第%1章"/>
      <w:lvlJc w:val="left"/>
      <w:rPr>
        <w:rFonts w:hint="eastAsia"/>
      </w:rPr>
    </w:lvl>
  </w:abstractNum>
  <w:abstractNum w:abstractNumId="1">
    <w:nsid w:val="D6322C70"/>
    <w:multiLevelType w:val="singleLevel"/>
    <w:tmpl w:val="D6322C70"/>
    <w:lvl w:ilvl="0" w:tentative="0">
      <w:start w:val="3"/>
      <w:numFmt w:val="decimal"/>
      <w:suff w:val="nothing"/>
      <w:lvlText w:val="%1、"/>
      <w:lvlJc w:val="left"/>
    </w:lvl>
  </w:abstractNum>
  <w:abstractNum w:abstractNumId="2">
    <w:nsid w:val="00000001"/>
    <w:multiLevelType w:val="multilevel"/>
    <w:tmpl w:val="00000001"/>
    <w:lvl w:ilvl="0" w:tentative="0">
      <w:start w:val="1"/>
      <w:numFmt w:val="bullet"/>
      <w:pStyle w:val="101"/>
      <w:lvlText w:val=""/>
      <w:lvlJc w:val="left"/>
      <w:pPr>
        <w:tabs>
          <w:tab w:val="left" w:pos="907"/>
        </w:tabs>
        <w:ind w:left="907" w:hanging="567"/>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4E64873"/>
    <w:multiLevelType w:val="singleLevel"/>
    <w:tmpl w:val="54E64873"/>
    <w:lvl w:ilvl="0" w:tentative="0">
      <w:start w:val="6"/>
      <w:numFmt w:val="chineseCounting"/>
      <w:suff w:val="space"/>
      <w:lvlText w:val="第%1章"/>
      <w:lvlJc w:val="left"/>
      <w:rPr>
        <w:rFonts w:hint="eastAsia"/>
      </w:rPr>
    </w:lvl>
  </w:abstractNum>
  <w:abstractNum w:abstractNumId="4">
    <w:nsid w:val="60EA00AD"/>
    <w:multiLevelType w:val="singleLevel"/>
    <w:tmpl w:val="60EA00AD"/>
    <w:lvl w:ilvl="0" w:tentative="0">
      <w:start w:val="5"/>
      <w:numFmt w:val="chineseCounting"/>
      <w:suff w:val="space"/>
      <w:lvlText w:val="第%1章"/>
      <w:lvlJc w:val="left"/>
      <w:pPr>
        <w:ind w:left="2880" w:leftChars="0" w:firstLine="0" w:firstLineChars="0"/>
      </w:pPr>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2Y4MTk2ZWQwNjI4OGI3NGVhMzFlNTFkYjE4ZjkifQ=="/>
  </w:docVars>
  <w:rsids>
    <w:rsidRoot w:val="03C85E33"/>
    <w:rsid w:val="000D6BA6"/>
    <w:rsid w:val="0015393E"/>
    <w:rsid w:val="009A51A9"/>
    <w:rsid w:val="009C15CF"/>
    <w:rsid w:val="00B87A8B"/>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1E25B2"/>
    <w:rsid w:val="05A51BC8"/>
    <w:rsid w:val="05BE2EA9"/>
    <w:rsid w:val="05CC31B6"/>
    <w:rsid w:val="05E9146B"/>
    <w:rsid w:val="06072174"/>
    <w:rsid w:val="062749A5"/>
    <w:rsid w:val="063F1FD5"/>
    <w:rsid w:val="06420D53"/>
    <w:rsid w:val="068655C7"/>
    <w:rsid w:val="06BB26E2"/>
    <w:rsid w:val="06F56E23"/>
    <w:rsid w:val="07037A79"/>
    <w:rsid w:val="0710231E"/>
    <w:rsid w:val="072F7888"/>
    <w:rsid w:val="076548E0"/>
    <w:rsid w:val="07695B4E"/>
    <w:rsid w:val="07716D75"/>
    <w:rsid w:val="07982650"/>
    <w:rsid w:val="079E29AD"/>
    <w:rsid w:val="07B40FAC"/>
    <w:rsid w:val="07B53601"/>
    <w:rsid w:val="07CC1D00"/>
    <w:rsid w:val="07FF00E8"/>
    <w:rsid w:val="088D187E"/>
    <w:rsid w:val="08915791"/>
    <w:rsid w:val="08D63AD4"/>
    <w:rsid w:val="08E21413"/>
    <w:rsid w:val="08F46A88"/>
    <w:rsid w:val="090D1A10"/>
    <w:rsid w:val="091B0E60"/>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606F6"/>
    <w:rsid w:val="0D376061"/>
    <w:rsid w:val="0D3A4F53"/>
    <w:rsid w:val="0DB90971"/>
    <w:rsid w:val="0DF76ECF"/>
    <w:rsid w:val="0E523A8C"/>
    <w:rsid w:val="0E722304"/>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42543B"/>
    <w:rsid w:val="125C6E10"/>
    <w:rsid w:val="126C25A8"/>
    <w:rsid w:val="127F3EB9"/>
    <w:rsid w:val="128D7AAE"/>
    <w:rsid w:val="12B332C9"/>
    <w:rsid w:val="12FC7CAB"/>
    <w:rsid w:val="13145EE0"/>
    <w:rsid w:val="13510A0A"/>
    <w:rsid w:val="136D31E4"/>
    <w:rsid w:val="13960100"/>
    <w:rsid w:val="1399374C"/>
    <w:rsid w:val="13CB4F3C"/>
    <w:rsid w:val="13E10CF5"/>
    <w:rsid w:val="14326376"/>
    <w:rsid w:val="14726477"/>
    <w:rsid w:val="149F4D92"/>
    <w:rsid w:val="14D913C4"/>
    <w:rsid w:val="15290E10"/>
    <w:rsid w:val="15597637"/>
    <w:rsid w:val="15A9411A"/>
    <w:rsid w:val="15D078F9"/>
    <w:rsid w:val="16144D88"/>
    <w:rsid w:val="169F68BE"/>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C7757C"/>
    <w:rsid w:val="1CCE2C27"/>
    <w:rsid w:val="1D110B21"/>
    <w:rsid w:val="1D5012C9"/>
    <w:rsid w:val="1D7F34F5"/>
    <w:rsid w:val="1D8E7C3C"/>
    <w:rsid w:val="1DB827A1"/>
    <w:rsid w:val="1DD87FF2"/>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C0561"/>
    <w:rsid w:val="22E744D4"/>
    <w:rsid w:val="22F004BC"/>
    <w:rsid w:val="23082DAA"/>
    <w:rsid w:val="231177A3"/>
    <w:rsid w:val="23617AC9"/>
    <w:rsid w:val="238721A7"/>
    <w:rsid w:val="23C71C0F"/>
    <w:rsid w:val="2432165A"/>
    <w:rsid w:val="244F735A"/>
    <w:rsid w:val="24554343"/>
    <w:rsid w:val="249D7540"/>
    <w:rsid w:val="24C0668A"/>
    <w:rsid w:val="24C31E12"/>
    <w:rsid w:val="24FD6B05"/>
    <w:rsid w:val="252162EF"/>
    <w:rsid w:val="25432AB8"/>
    <w:rsid w:val="254B0AC9"/>
    <w:rsid w:val="25BB34F5"/>
    <w:rsid w:val="25D44885"/>
    <w:rsid w:val="25D56733"/>
    <w:rsid w:val="25FB178E"/>
    <w:rsid w:val="260528F0"/>
    <w:rsid w:val="260B04D9"/>
    <w:rsid w:val="261A2DE0"/>
    <w:rsid w:val="26423FDC"/>
    <w:rsid w:val="26BE024C"/>
    <w:rsid w:val="26F61BF3"/>
    <w:rsid w:val="27182904"/>
    <w:rsid w:val="273522DD"/>
    <w:rsid w:val="27410F59"/>
    <w:rsid w:val="275D0C9D"/>
    <w:rsid w:val="27B57123"/>
    <w:rsid w:val="27D40FFB"/>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301462E0"/>
    <w:rsid w:val="309D2BA1"/>
    <w:rsid w:val="30BF1FF1"/>
    <w:rsid w:val="3147169A"/>
    <w:rsid w:val="31A537D7"/>
    <w:rsid w:val="32051165"/>
    <w:rsid w:val="320842AE"/>
    <w:rsid w:val="32372C93"/>
    <w:rsid w:val="32377195"/>
    <w:rsid w:val="32AB6FB4"/>
    <w:rsid w:val="3303661F"/>
    <w:rsid w:val="33185518"/>
    <w:rsid w:val="332F1BF4"/>
    <w:rsid w:val="335626D2"/>
    <w:rsid w:val="33570700"/>
    <w:rsid w:val="335C05C6"/>
    <w:rsid w:val="337606C2"/>
    <w:rsid w:val="33A10FB6"/>
    <w:rsid w:val="33D7723E"/>
    <w:rsid w:val="33E0322E"/>
    <w:rsid w:val="340546F4"/>
    <w:rsid w:val="342319CA"/>
    <w:rsid w:val="342F1E7F"/>
    <w:rsid w:val="34517787"/>
    <w:rsid w:val="34867846"/>
    <w:rsid w:val="34BB7E3D"/>
    <w:rsid w:val="34DB0843"/>
    <w:rsid w:val="3508652A"/>
    <w:rsid w:val="353F1F4D"/>
    <w:rsid w:val="35613C72"/>
    <w:rsid w:val="35E328D9"/>
    <w:rsid w:val="35E7139A"/>
    <w:rsid w:val="360510B4"/>
    <w:rsid w:val="360673AF"/>
    <w:rsid w:val="360E67AF"/>
    <w:rsid w:val="36280C33"/>
    <w:rsid w:val="364D2D89"/>
    <w:rsid w:val="36940077"/>
    <w:rsid w:val="36AF5A99"/>
    <w:rsid w:val="36BD6A28"/>
    <w:rsid w:val="36E030A2"/>
    <w:rsid w:val="370E7E29"/>
    <w:rsid w:val="37465845"/>
    <w:rsid w:val="3752247A"/>
    <w:rsid w:val="378E314A"/>
    <w:rsid w:val="37B9114C"/>
    <w:rsid w:val="37DB7F0B"/>
    <w:rsid w:val="381F16B5"/>
    <w:rsid w:val="38480390"/>
    <w:rsid w:val="38544332"/>
    <w:rsid w:val="386B0B3A"/>
    <w:rsid w:val="388E037A"/>
    <w:rsid w:val="390124B1"/>
    <w:rsid w:val="39252DBD"/>
    <w:rsid w:val="39335925"/>
    <w:rsid w:val="393671C3"/>
    <w:rsid w:val="39706B79"/>
    <w:rsid w:val="3982666D"/>
    <w:rsid w:val="39960D88"/>
    <w:rsid w:val="39B34AD7"/>
    <w:rsid w:val="39B555D1"/>
    <w:rsid w:val="39D32C64"/>
    <w:rsid w:val="39DB0423"/>
    <w:rsid w:val="39DB0D3A"/>
    <w:rsid w:val="39DF5689"/>
    <w:rsid w:val="3A080B60"/>
    <w:rsid w:val="3A290C7A"/>
    <w:rsid w:val="3A3934CB"/>
    <w:rsid w:val="3A8D37E0"/>
    <w:rsid w:val="3AAD7301"/>
    <w:rsid w:val="3ABE456C"/>
    <w:rsid w:val="3B3F7868"/>
    <w:rsid w:val="3B4D3600"/>
    <w:rsid w:val="3B8515FF"/>
    <w:rsid w:val="3BB35DB9"/>
    <w:rsid w:val="3BCE466E"/>
    <w:rsid w:val="3C1612E4"/>
    <w:rsid w:val="3C2105FF"/>
    <w:rsid w:val="3C3D56C8"/>
    <w:rsid w:val="3C8A61A4"/>
    <w:rsid w:val="3CAA7501"/>
    <w:rsid w:val="3CAF3C1D"/>
    <w:rsid w:val="3CB734C7"/>
    <w:rsid w:val="3CCA034E"/>
    <w:rsid w:val="3CEF0EE1"/>
    <w:rsid w:val="3D0A3677"/>
    <w:rsid w:val="3D0F4B03"/>
    <w:rsid w:val="3D4541A5"/>
    <w:rsid w:val="3D9916BA"/>
    <w:rsid w:val="3DB85F11"/>
    <w:rsid w:val="3DDC47DD"/>
    <w:rsid w:val="3E0642B2"/>
    <w:rsid w:val="3E5F2A0B"/>
    <w:rsid w:val="3E7A0162"/>
    <w:rsid w:val="3E7E612E"/>
    <w:rsid w:val="3E7E7DDE"/>
    <w:rsid w:val="3EE34D14"/>
    <w:rsid w:val="3F0C10F2"/>
    <w:rsid w:val="3F6365B8"/>
    <w:rsid w:val="3F7B672E"/>
    <w:rsid w:val="3F8B1887"/>
    <w:rsid w:val="3FDC63F8"/>
    <w:rsid w:val="400224F5"/>
    <w:rsid w:val="40071C1F"/>
    <w:rsid w:val="4025474B"/>
    <w:rsid w:val="402A43DA"/>
    <w:rsid w:val="409A23EA"/>
    <w:rsid w:val="40A9471F"/>
    <w:rsid w:val="411B386E"/>
    <w:rsid w:val="41635B5D"/>
    <w:rsid w:val="419F571C"/>
    <w:rsid w:val="41B514D2"/>
    <w:rsid w:val="41F97142"/>
    <w:rsid w:val="42335B79"/>
    <w:rsid w:val="426052B1"/>
    <w:rsid w:val="43040F57"/>
    <w:rsid w:val="430D5439"/>
    <w:rsid w:val="431C1B20"/>
    <w:rsid w:val="43707776"/>
    <w:rsid w:val="439C315E"/>
    <w:rsid w:val="43A11CAC"/>
    <w:rsid w:val="449A0F4E"/>
    <w:rsid w:val="44E6727B"/>
    <w:rsid w:val="450F2633"/>
    <w:rsid w:val="456204C9"/>
    <w:rsid w:val="457B7A33"/>
    <w:rsid w:val="458F113A"/>
    <w:rsid w:val="459A2B79"/>
    <w:rsid w:val="45A85321"/>
    <w:rsid w:val="45D73ADC"/>
    <w:rsid w:val="46240A95"/>
    <w:rsid w:val="46505FB7"/>
    <w:rsid w:val="46781FBF"/>
    <w:rsid w:val="468167B6"/>
    <w:rsid w:val="46B207D1"/>
    <w:rsid w:val="470238B0"/>
    <w:rsid w:val="473D2597"/>
    <w:rsid w:val="47935F13"/>
    <w:rsid w:val="47953C4F"/>
    <w:rsid w:val="48166E8B"/>
    <w:rsid w:val="481C054A"/>
    <w:rsid w:val="483C371B"/>
    <w:rsid w:val="48AB293F"/>
    <w:rsid w:val="48B325DE"/>
    <w:rsid w:val="48F13107"/>
    <w:rsid w:val="49497A84"/>
    <w:rsid w:val="49C418F7"/>
    <w:rsid w:val="4A5B1180"/>
    <w:rsid w:val="4A902FA7"/>
    <w:rsid w:val="4A944108"/>
    <w:rsid w:val="4AA20994"/>
    <w:rsid w:val="4B520BA4"/>
    <w:rsid w:val="4B5D68DD"/>
    <w:rsid w:val="4BEA3A51"/>
    <w:rsid w:val="4BEE7EF0"/>
    <w:rsid w:val="4C072450"/>
    <w:rsid w:val="4C4320C7"/>
    <w:rsid w:val="4C685E41"/>
    <w:rsid w:val="4CD400A0"/>
    <w:rsid w:val="4D082E9D"/>
    <w:rsid w:val="4D17473A"/>
    <w:rsid w:val="4D470C91"/>
    <w:rsid w:val="4D662315"/>
    <w:rsid w:val="4DBE2899"/>
    <w:rsid w:val="4DD21759"/>
    <w:rsid w:val="4DD30641"/>
    <w:rsid w:val="4DEB1A10"/>
    <w:rsid w:val="4E0A733B"/>
    <w:rsid w:val="4E5A5666"/>
    <w:rsid w:val="4E5E353A"/>
    <w:rsid w:val="4E704ACE"/>
    <w:rsid w:val="4F564DCF"/>
    <w:rsid w:val="4F7D7094"/>
    <w:rsid w:val="4F92260D"/>
    <w:rsid w:val="4F9F4271"/>
    <w:rsid w:val="4FB01626"/>
    <w:rsid w:val="500951FA"/>
    <w:rsid w:val="505433CF"/>
    <w:rsid w:val="50680DC7"/>
    <w:rsid w:val="50834F8C"/>
    <w:rsid w:val="509C604E"/>
    <w:rsid w:val="50A4185B"/>
    <w:rsid w:val="50A7548F"/>
    <w:rsid w:val="50C8007F"/>
    <w:rsid w:val="50DB0057"/>
    <w:rsid w:val="5154056C"/>
    <w:rsid w:val="516819E5"/>
    <w:rsid w:val="516E42A6"/>
    <w:rsid w:val="51930398"/>
    <w:rsid w:val="51995525"/>
    <w:rsid w:val="51CD064F"/>
    <w:rsid w:val="51F76503"/>
    <w:rsid w:val="522105FC"/>
    <w:rsid w:val="528B793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3A42DD"/>
    <w:rsid w:val="568822AF"/>
    <w:rsid w:val="572006D7"/>
    <w:rsid w:val="576B1A2E"/>
    <w:rsid w:val="576D604E"/>
    <w:rsid w:val="579540E4"/>
    <w:rsid w:val="57A05B5B"/>
    <w:rsid w:val="57A51C8C"/>
    <w:rsid w:val="57B7635B"/>
    <w:rsid w:val="57D7479F"/>
    <w:rsid w:val="57E827E9"/>
    <w:rsid w:val="58036CED"/>
    <w:rsid w:val="58056EA2"/>
    <w:rsid w:val="585B5DFB"/>
    <w:rsid w:val="586109FB"/>
    <w:rsid w:val="58683D80"/>
    <w:rsid w:val="58801BE2"/>
    <w:rsid w:val="58854F91"/>
    <w:rsid w:val="58940A27"/>
    <w:rsid w:val="58C42A65"/>
    <w:rsid w:val="58D71214"/>
    <w:rsid w:val="59355AA7"/>
    <w:rsid w:val="594631F1"/>
    <w:rsid w:val="599B721F"/>
    <w:rsid w:val="59AF61A4"/>
    <w:rsid w:val="59C4452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E6007"/>
    <w:rsid w:val="5CFE60C6"/>
    <w:rsid w:val="5D20751D"/>
    <w:rsid w:val="5D485594"/>
    <w:rsid w:val="5D8926DC"/>
    <w:rsid w:val="5DA67D73"/>
    <w:rsid w:val="5DBE3B21"/>
    <w:rsid w:val="5DC2432B"/>
    <w:rsid w:val="5E0718E2"/>
    <w:rsid w:val="5E111E29"/>
    <w:rsid w:val="5EA3657F"/>
    <w:rsid w:val="5EB714EC"/>
    <w:rsid w:val="5ED0656F"/>
    <w:rsid w:val="5EF0705C"/>
    <w:rsid w:val="5F555D46"/>
    <w:rsid w:val="5F5702AF"/>
    <w:rsid w:val="5FA2080B"/>
    <w:rsid w:val="5FBE7D8F"/>
    <w:rsid w:val="5FD2383A"/>
    <w:rsid w:val="60172FFB"/>
    <w:rsid w:val="60414B36"/>
    <w:rsid w:val="60653D95"/>
    <w:rsid w:val="60732927"/>
    <w:rsid w:val="612A67D8"/>
    <w:rsid w:val="6138147B"/>
    <w:rsid w:val="61846E0D"/>
    <w:rsid w:val="61E95941"/>
    <w:rsid w:val="61FE4473"/>
    <w:rsid w:val="62060C3F"/>
    <w:rsid w:val="62273667"/>
    <w:rsid w:val="62357339"/>
    <w:rsid w:val="6251463D"/>
    <w:rsid w:val="62EA1EA0"/>
    <w:rsid w:val="62FE53CF"/>
    <w:rsid w:val="63B00EFB"/>
    <w:rsid w:val="6407724D"/>
    <w:rsid w:val="641F34CF"/>
    <w:rsid w:val="64224BFC"/>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882C75"/>
    <w:rsid w:val="66A81914"/>
    <w:rsid w:val="66AA1AF6"/>
    <w:rsid w:val="66E073B8"/>
    <w:rsid w:val="66E86644"/>
    <w:rsid w:val="672A28A8"/>
    <w:rsid w:val="676034DA"/>
    <w:rsid w:val="67671DF9"/>
    <w:rsid w:val="678E5A5B"/>
    <w:rsid w:val="67D51C4B"/>
    <w:rsid w:val="682D0411"/>
    <w:rsid w:val="68507170"/>
    <w:rsid w:val="68594AF9"/>
    <w:rsid w:val="687D5F74"/>
    <w:rsid w:val="68B73FCE"/>
    <w:rsid w:val="68C40F78"/>
    <w:rsid w:val="695E0A0D"/>
    <w:rsid w:val="69894F6A"/>
    <w:rsid w:val="69BA1CF4"/>
    <w:rsid w:val="69E558DF"/>
    <w:rsid w:val="69FD14B4"/>
    <w:rsid w:val="6A14474C"/>
    <w:rsid w:val="6A302FEF"/>
    <w:rsid w:val="6AD36F5E"/>
    <w:rsid w:val="6AF52B6F"/>
    <w:rsid w:val="6AFB3C45"/>
    <w:rsid w:val="6B3D5D15"/>
    <w:rsid w:val="6B451364"/>
    <w:rsid w:val="6B464FC6"/>
    <w:rsid w:val="6B7B1E70"/>
    <w:rsid w:val="6BF30DC0"/>
    <w:rsid w:val="6C186A79"/>
    <w:rsid w:val="6C5B35B2"/>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A60AB"/>
    <w:rsid w:val="70FD7462"/>
    <w:rsid w:val="711315BD"/>
    <w:rsid w:val="71211F2C"/>
    <w:rsid w:val="71A11F76"/>
    <w:rsid w:val="724313C1"/>
    <w:rsid w:val="727A78A2"/>
    <w:rsid w:val="72872262"/>
    <w:rsid w:val="72B02BF4"/>
    <w:rsid w:val="72E90827"/>
    <w:rsid w:val="73007CC5"/>
    <w:rsid w:val="73155AC0"/>
    <w:rsid w:val="7357430D"/>
    <w:rsid w:val="7362469D"/>
    <w:rsid w:val="73971521"/>
    <w:rsid w:val="73BE0EBE"/>
    <w:rsid w:val="74076F92"/>
    <w:rsid w:val="741E6BF6"/>
    <w:rsid w:val="744F2DEB"/>
    <w:rsid w:val="7476433D"/>
    <w:rsid w:val="747F6E36"/>
    <w:rsid w:val="7480721F"/>
    <w:rsid w:val="749A242A"/>
    <w:rsid w:val="75334D95"/>
    <w:rsid w:val="75551F1D"/>
    <w:rsid w:val="75577984"/>
    <w:rsid w:val="7565477A"/>
    <w:rsid w:val="756A7E5B"/>
    <w:rsid w:val="75C02E5A"/>
    <w:rsid w:val="75FF3278"/>
    <w:rsid w:val="7625374A"/>
    <w:rsid w:val="76377DFF"/>
    <w:rsid w:val="764D1239"/>
    <w:rsid w:val="764D1A95"/>
    <w:rsid w:val="76A4500F"/>
    <w:rsid w:val="770019DC"/>
    <w:rsid w:val="77170059"/>
    <w:rsid w:val="7749232C"/>
    <w:rsid w:val="775C1F10"/>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45"/>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5">
    <w:name w:val="heading 3"/>
    <w:basedOn w:val="1"/>
    <w:next w:val="1"/>
    <w:qFormat/>
    <w:uiPriority w:val="0"/>
    <w:pPr>
      <w:keepNext/>
      <w:spacing w:before="624" w:beforeLines="200" w:line="400" w:lineRule="exact"/>
      <w:jc w:val="center"/>
      <w:outlineLvl w:val="2"/>
    </w:pPr>
    <w:rPr>
      <w:b/>
      <w:bCs/>
      <w:sz w:val="24"/>
      <w:szCs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link w:val="30"/>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8">
    <w:name w:val="Normal Indent"/>
    <w:basedOn w:val="1"/>
    <w:next w:val="9"/>
    <w:qFormat/>
    <w:uiPriority w:val="0"/>
    <w:pPr>
      <w:ind w:firstLine="420"/>
    </w:pPr>
    <w:rPr>
      <w:sz w:val="21"/>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Document Map"/>
    <w:basedOn w:val="1"/>
    <w:unhideWhenUsed/>
    <w:qFormat/>
    <w:uiPriority w:val="99"/>
    <w:rPr>
      <w:rFonts w:ascii="宋体"/>
      <w:sz w:val="18"/>
      <w:szCs w:val="18"/>
    </w:rPr>
  </w:style>
  <w:style w:type="paragraph" w:styleId="11">
    <w:name w:val="toa heading"/>
    <w:basedOn w:val="1"/>
    <w:next w:val="1"/>
    <w:semiHidden/>
    <w:qFormat/>
    <w:uiPriority w:val="0"/>
    <w:pPr>
      <w:spacing w:before="120"/>
    </w:pPr>
    <w:rPr>
      <w:rFonts w:ascii="Arial" w:hAnsi="Arial" w:cs="Arial"/>
      <w:szCs w:val="24"/>
    </w:rPr>
  </w:style>
  <w:style w:type="paragraph" w:styleId="12">
    <w:name w:val="Body Text Indent"/>
    <w:basedOn w:val="1"/>
    <w:qFormat/>
    <w:uiPriority w:val="0"/>
    <w:pPr>
      <w:spacing w:afterLines="50" w:line="360" w:lineRule="exact"/>
      <w:ind w:firstLine="480" w:firstLineChars="200"/>
    </w:pPr>
    <w:rPr>
      <w:rFonts w:ascii="宋体" w:hAnsi="宋体"/>
      <w:szCs w:val="24"/>
    </w:rPr>
  </w:style>
  <w:style w:type="paragraph" w:styleId="13">
    <w:name w:val="List 2"/>
    <w:basedOn w:val="1"/>
    <w:qFormat/>
    <w:uiPriority w:val="0"/>
    <w:pPr>
      <w:ind w:left="100" w:leftChars="200" w:hanging="200" w:hangingChars="200"/>
    </w:pPr>
    <w:rPr>
      <w:szCs w:val="24"/>
    </w:rPr>
  </w:style>
  <w:style w:type="paragraph" w:styleId="14">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5">
    <w:name w:val="toc 3"/>
    <w:basedOn w:val="1"/>
    <w:next w:val="1"/>
    <w:qFormat/>
    <w:uiPriority w:val="0"/>
    <w:pPr>
      <w:ind w:left="840" w:leftChars="400"/>
    </w:pPr>
  </w:style>
  <w:style w:type="paragraph" w:styleId="16">
    <w:name w:val="Plain Text"/>
    <w:basedOn w:val="1"/>
    <w:unhideWhenUsed/>
    <w:qFormat/>
    <w:uiPriority w:val="0"/>
    <w:rPr>
      <w:rFonts w:ascii="宋体" w:hAnsi="Courier New" w:cstheme="minorBidi"/>
      <w:sz w:val="21"/>
    </w:r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 w:val="21"/>
      <w:szCs w:val="24"/>
    </w:rPr>
  </w:style>
  <w:style w:type="paragraph" w:styleId="22">
    <w:name w:val="toc 2"/>
    <w:basedOn w:val="1"/>
    <w:next w:val="1"/>
    <w:qFormat/>
    <w:uiPriority w:val="39"/>
    <w:pPr>
      <w:ind w:left="420" w:leftChars="200"/>
    </w:pPr>
    <w:rPr>
      <w:sz w:val="21"/>
      <w:szCs w:val="24"/>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next w:val="19"/>
    <w:qFormat/>
    <w:uiPriority w:val="0"/>
    <w:rPr>
      <w:szCs w:val="24"/>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2"/>
    <w:next w:val="1"/>
    <w:qFormat/>
    <w:uiPriority w:val="99"/>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 Char Char1 Char"/>
    <w:basedOn w:val="1"/>
    <w:link w:val="29"/>
    <w:qFormat/>
    <w:uiPriority w:val="0"/>
  </w:style>
  <w:style w:type="character" w:styleId="31">
    <w:name w:val="Strong"/>
    <w:basedOn w:val="29"/>
    <w:qFormat/>
    <w:uiPriority w:val="22"/>
    <w:rPr>
      <w:b/>
      <w:bCs/>
    </w:rPr>
  </w:style>
  <w:style w:type="character" w:styleId="32">
    <w:name w:val="page number"/>
    <w:basedOn w:val="29"/>
    <w:qFormat/>
    <w:uiPriority w:val="0"/>
  </w:style>
  <w:style w:type="character" w:styleId="33">
    <w:name w:val="FollowedHyperlink"/>
    <w:basedOn w:val="29"/>
    <w:qFormat/>
    <w:uiPriority w:val="0"/>
    <w:rPr>
      <w:color w:val="800080"/>
      <w:u w:val="none"/>
    </w:rPr>
  </w:style>
  <w:style w:type="character" w:styleId="34">
    <w:name w:val="Emphasis"/>
    <w:basedOn w:val="29"/>
    <w:qFormat/>
    <w:uiPriority w:val="0"/>
    <w:rPr>
      <w:color w:val="CC0000"/>
      <w:sz w:val="24"/>
      <w:szCs w:val="24"/>
    </w:rPr>
  </w:style>
  <w:style w:type="character" w:styleId="35">
    <w:name w:val="HTML Definition"/>
    <w:basedOn w:val="29"/>
    <w:qFormat/>
    <w:uiPriority w:val="0"/>
  </w:style>
  <w:style w:type="character" w:styleId="36">
    <w:name w:val="HTML Typewriter"/>
    <w:basedOn w:val="29"/>
    <w:qFormat/>
    <w:uiPriority w:val="0"/>
    <w:rPr>
      <w:rFonts w:hint="default" w:ascii="monospace" w:hAnsi="monospace" w:eastAsia="monospace" w:cs="monospace"/>
      <w:sz w:val="20"/>
    </w:rPr>
  </w:style>
  <w:style w:type="character" w:styleId="37">
    <w:name w:val="HTML Acronym"/>
    <w:basedOn w:val="29"/>
    <w:qFormat/>
    <w:uiPriority w:val="0"/>
  </w:style>
  <w:style w:type="character" w:styleId="38">
    <w:name w:val="HTML Variable"/>
    <w:basedOn w:val="29"/>
    <w:qFormat/>
    <w:uiPriority w:val="0"/>
  </w:style>
  <w:style w:type="character" w:styleId="39">
    <w:name w:val="Hyperlink"/>
    <w:basedOn w:val="29"/>
    <w:qFormat/>
    <w:uiPriority w:val="0"/>
    <w:rPr>
      <w:color w:val="0000FF"/>
      <w:u w:val="none"/>
    </w:rPr>
  </w:style>
  <w:style w:type="character" w:styleId="40">
    <w:name w:val="HTML Code"/>
    <w:basedOn w:val="29"/>
    <w:qFormat/>
    <w:uiPriority w:val="0"/>
    <w:rPr>
      <w:rFonts w:ascii="微软雅黑" w:hAnsi="微软雅黑" w:eastAsia="微软雅黑" w:cs="微软雅黑"/>
      <w:sz w:val="20"/>
    </w:rPr>
  </w:style>
  <w:style w:type="character" w:styleId="41">
    <w:name w:val="HTML Cite"/>
    <w:basedOn w:val="29"/>
    <w:qFormat/>
    <w:uiPriority w:val="0"/>
    <w:rPr>
      <w:sz w:val="24"/>
      <w:szCs w:val="24"/>
    </w:rPr>
  </w:style>
  <w:style w:type="character" w:styleId="42">
    <w:name w:val="HTML Keyboard"/>
    <w:basedOn w:val="29"/>
    <w:qFormat/>
    <w:uiPriority w:val="0"/>
    <w:rPr>
      <w:rFonts w:ascii="monospace" w:hAnsi="monospace" w:eastAsia="monospace" w:cs="monospace"/>
      <w:sz w:val="20"/>
    </w:rPr>
  </w:style>
  <w:style w:type="character" w:styleId="43">
    <w:name w:val="HTML Sample"/>
    <w:basedOn w:val="29"/>
    <w:qFormat/>
    <w:uiPriority w:val="0"/>
    <w:rPr>
      <w:rFonts w:hint="default" w:ascii="monospace" w:hAnsi="monospace" w:eastAsia="monospace" w:cs="monospace"/>
    </w:rPr>
  </w:style>
  <w:style w:type="paragraph" w:customStyle="1" w:styleId="44">
    <w:name w:val="正文缩进1"/>
    <w:basedOn w:val="1"/>
    <w:qFormat/>
    <w:uiPriority w:val="0"/>
    <w:pPr>
      <w:ind w:firstLine="200" w:firstLineChars="200"/>
    </w:pPr>
  </w:style>
  <w:style w:type="character" w:customStyle="1" w:styleId="45">
    <w:name w:val="标题 1 Char"/>
    <w:basedOn w:val="29"/>
    <w:link w:val="3"/>
    <w:qFormat/>
    <w:uiPriority w:val="0"/>
    <w:rPr>
      <w:b/>
      <w:bCs/>
      <w:kern w:val="44"/>
      <w:sz w:val="36"/>
      <w:szCs w:val="44"/>
    </w:rPr>
  </w:style>
  <w:style w:type="paragraph" w:customStyle="1" w:styleId="46">
    <w:name w:val="首行缩进"/>
    <w:basedOn w:val="1"/>
    <w:qFormat/>
    <w:uiPriority w:val="0"/>
    <w:pPr>
      <w:spacing w:line="360" w:lineRule="auto"/>
      <w:ind w:firstLine="480" w:firstLineChars="200"/>
    </w:pPr>
    <w:rPr>
      <w:sz w:val="24"/>
      <w:szCs w:val="22"/>
      <w:lang w:val="zh-CN"/>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9">
    <w:name w:val="p15"/>
    <w:basedOn w:val="1"/>
    <w:qFormat/>
    <w:uiPriority w:val="99"/>
    <w:pPr>
      <w:widowControl/>
    </w:pPr>
    <w:rPr>
      <w:kern w:val="0"/>
      <w:sz w:val="21"/>
      <w:szCs w:val="21"/>
    </w:rPr>
  </w:style>
  <w:style w:type="character" w:customStyle="1" w:styleId="50">
    <w:name w:val="标题 2 Char Char"/>
    <w:qFormat/>
    <w:uiPriority w:val="0"/>
    <w:rPr>
      <w:rFonts w:hint="default" w:ascii="Arial" w:hAnsi="Arial" w:eastAsia="宋体" w:cs="Arial"/>
      <w:b/>
      <w:kern w:val="2"/>
      <w:sz w:val="30"/>
      <w:lang w:val="en-US" w:eastAsia="zh-CN" w:bidi="ar-SA"/>
    </w:rPr>
  </w:style>
  <w:style w:type="character" w:customStyle="1" w:styleId="51">
    <w:name w:val="font11"/>
    <w:basedOn w:val="29"/>
    <w:qFormat/>
    <w:uiPriority w:val="0"/>
    <w:rPr>
      <w:rFonts w:hint="eastAsia" w:ascii="宋体" w:hAnsi="宋体" w:eastAsia="宋体" w:cs="宋体"/>
      <w:color w:val="000000"/>
      <w:sz w:val="24"/>
      <w:szCs w:val="24"/>
      <w:u w:val="none"/>
    </w:rPr>
  </w:style>
  <w:style w:type="character" w:customStyle="1" w:styleId="52">
    <w:name w:val="font01"/>
    <w:basedOn w:val="29"/>
    <w:qFormat/>
    <w:uiPriority w:val="0"/>
    <w:rPr>
      <w:rFonts w:hint="eastAsia" w:ascii="宋体" w:hAnsi="宋体" w:eastAsia="宋体" w:cs="宋体"/>
      <w:color w:val="FF0000"/>
      <w:sz w:val="24"/>
      <w:szCs w:val="24"/>
      <w:u w:val="none"/>
    </w:rPr>
  </w:style>
  <w:style w:type="paragraph" w:customStyle="1" w:styleId="53">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4">
    <w:name w:val="font41"/>
    <w:basedOn w:val="29"/>
    <w:qFormat/>
    <w:uiPriority w:val="0"/>
    <w:rPr>
      <w:rFonts w:hint="eastAsia" w:ascii="宋体" w:hAnsi="宋体" w:eastAsia="宋体" w:cs="宋体"/>
      <w:color w:val="000000"/>
      <w:sz w:val="24"/>
      <w:szCs w:val="24"/>
      <w:u w:val="none"/>
    </w:rPr>
  </w:style>
  <w:style w:type="paragraph" w:customStyle="1" w:styleId="55">
    <w:name w:val="List Paragraph"/>
    <w:basedOn w:val="1"/>
    <w:qFormat/>
    <w:uiPriority w:val="34"/>
    <w:pPr>
      <w:ind w:firstLine="420" w:firstLineChars="200"/>
    </w:pPr>
  </w:style>
  <w:style w:type="paragraph" w:customStyle="1" w:styleId="56">
    <w:name w:val="Table Paragraph"/>
    <w:basedOn w:val="1"/>
    <w:qFormat/>
    <w:uiPriority w:val="1"/>
    <w:rPr>
      <w:rFonts w:ascii="宋体" w:hAnsi="宋体" w:eastAsia="宋体" w:cs="宋体"/>
      <w:lang w:val="zh-CN" w:eastAsia="zh-CN" w:bidi="zh-CN"/>
    </w:rPr>
  </w:style>
  <w:style w:type="character" w:customStyle="1" w:styleId="57">
    <w:name w:val="stclosebtn"/>
    <w:basedOn w:val="29"/>
    <w:qFormat/>
    <w:uiPriority w:val="0"/>
  </w:style>
  <w:style w:type="character" w:customStyle="1" w:styleId="58">
    <w:name w:val="number"/>
    <w:basedOn w:val="29"/>
    <w:qFormat/>
    <w:uiPriority w:val="0"/>
    <w:rPr>
      <w:color w:val="FF8833"/>
      <w:sz w:val="18"/>
      <w:szCs w:val="18"/>
    </w:rPr>
  </w:style>
  <w:style w:type="character" w:customStyle="1" w:styleId="59">
    <w:name w:val="phone"/>
    <w:basedOn w:val="29"/>
    <w:qFormat/>
    <w:uiPriority w:val="0"/>
    <w:rPr>
      <w:color w:val="FF8833"/>
      <w:sz w:val="18"/>
      <w:szCs w:val="18"/>
    </w:rPr>
  </w:style>
  <w:style w:type="character" w:customStyle="1" w:styleId="60">
    <w:name w:val="proollist"/>
    <w:basedOn w:val="29"/>
    <w:qFormat/>
    <w:uiPriority w:val="0"/>
  </w:style>
  <w:style w:type="character" w:customStyle="1" w:styleId="61">
    <w:name w:val="beforeinfotext"/>
    <w:basedOn w:val="29"/>
    <w:qFormat/>
    <w:uiPriority w:val="0"/>
    <w:rPr>
      <w:color w:val="666666"/>
    </w:rPr>
  </w:style>
  <w:style w:type="paragraph" w:styleId="6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4">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5">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6">
    <w:name w:val="edit_class"/>
    <w:basedOn w:val="29"/>
    <w:qFormat/>
    <w:uiPriority w:val="0"/>
  </w:style>
  <w:style w:type="character" w:customStyle="1" w:styleId="67">
    <w:name w:val="hover44"/>
    <w:basedOn w:val="29"/>
    <w:qFormat/>
    <w:uiPriority w:val="0"/>
    <w:rPr>
      <w:color w:val="FFFFFF"/>
    </w:rPr>
  </w:style>
  <w:style w:type="character" w:customStyle="1" w:styleId="68">
    <w:name w:val="active3"/>
    <w:basedOn w:val="29"/>
    <w:qFormat/>
    <w:uiPriority w:val="0"/>
    <w:rPr>
      <w:color w:val="00FF00"/>
      <w:shd w:val="clear" w:fill="111111"/>
    </w:rPr>
  </w:style>
  <w:style w:type="character" w:customStyle="1" w:styleId="69">
    <w:name w:val="cy"/>
    <w:basedOn w:val="29"/>
    <w:qFormat/>
    <w:uiPriority w:val="0"/>
  </w:style>
  <w:style w:type="character" w:customStyle="1" w:styleId="70">
    <w:name w:val="design_class"/>
    <w:basedOn w:val="29"/>
    <w:qFormat/>
    <w:uiPriority w:val="0"/>
  </w:style>
  <w:style w:type="character" w:customStyle="1" w:styleId="71">
    <w:name w:val="cdropright"/>
    <w:basedOn w:val="29"/>
    <w:qFormat/>
    <w:uiPriority w:val="0"/>
  </w:style>
  <w:style w:type="character" w:customStyle="1" w:styleId="72">
    <w:name w:val="w32"/>
    <w:basedOn w:val="29"/>
    <w:qFormat/>
    <w:uiPriority w:val="0"/>
  </w:style>
  <w:style w:type="character" w:customStyle="1" w:styleId="73">
    <w:name w:val="moreaction32"/>
    <w:basedOn w:val="29"/>
    <w:qFormat/>
    <w:uiPriority w:val="0"/>
  </w:style>
  <w:style w:type="character" w:customStyle="1" w:styleId="74">
    <w:name w:val="button"/>
    <w:basedOn w:val="29"/>
    <w:qFormat/>
    <w:uiPriority w:val="0"/>
  </w:style>
  <w:style w:type="character" w:customStyle="1" w:styleId="75">
    <w:name w:val="pagechatarealistclose_box"/>
    <w:basedOn w:val="29"/>
    <w:qFormat/>
    <w:uiPriority w:val="0"/>
  </w:style>
  <w:style w:type="character" w:customStyle="1" w:styleId="76">
    <w:name w:val="pagechatarealistclose_box1"/>
    <w:basedOn w:val="29"/>
    <w:qFormat/>
    <w:uiPriority w:val="0"/>
  </w:style>
  <w:style w:type="character" w:customStyle="1" w:styleId="77">
    <w:name w:val="biggerthanmax"/>
    <w:basedOn w:val="29"/>
    <w:qFormat/>
    <w:uiPriority w:val="0"/>
    <w:rPr>
      <w:shd w:val="clear" w:fill="FFFF00"/>
    </w:rPr>
  </w:style>
  <w:style w:type="character" w:customStyle="1" w:styleId="78">
    <w:name w:val="ico1656"/>
    <w:basedOn w:val="29"/>
    <w:qFormat/>
    <w:uiPriority w:val="0"/>
  </w:style>
  <w:style w:type="character" w:customStyle="1" w:styleId="79">
    <w:name w:val="ico1657"/>
    <w:basedOn w:val="29"/>
    <w:qFormat/>
    <w:uiPriority w:val="0"/>
  </w:style>
  <w:style w:type="character" w:customStyle="1" w:styleId="80">
    <w:name w:val="ico1658"/>
    <w:basedOn w:val="29"/>
    <w:qFormat/>
    <w:uiPriority w:val="0"/>
  </w:style>
  <w:style w:type="character" w:customStyle="1" w:styleId="81">
    <w:name w:val="hilite6"/>
    <w:basedOn w:val="29"/>
    <w:qFormat/>
    <w:uiPriority w:val="0"/>
    <w:rPr>
      <w:color w:val="FFFFFF"/>
      <w:shd w:val="clear" w:fill="666666"/>
    </w:rPr>
  </w:style>
  <w:style w:type="character" w:customStyle="1" w:styleId="82">
    <w:name w:val="cdropleft"/>
    <w:basedOn w:val="29"/>
    <w:qFormat/>
    <w:uiPriority w:val="0"/>
  </w:style>
  <w:style w:type="character" w:customStyle="1" w:styleId="83">
    <w:name w:val="drapbtn"/>
    <w:basedOn w:val="29"/>
    <w:qFormat/>
    <w:uiPriority w:val="0"/>
  </w:style>
  <w:style w:type="character" w:customStyle="1" w:styleId="84">
    <w:name w:val="after"/>
    <w:basedOn w:val="29"/>
    <w:qFormat/>
    <w:uiPriority w:val="0"/>
    <w:rPr>
      <w:sz w:val="0"/>
      <w:szCs w:val="0"/>
    </w:rPr>
  </w:style>
  <w:style w:type="character" w:customStyle="1" w:styleId="85">
    <w:name w:val="tmpztreemove_arrow"/>
    <w:basedOn w:val="29"/>
    <w:qFormat/>
    <w:uiPriority w:val="0"/>
  </w:style>
  <w:style w:type="character" w:customStyle="1" w:styleId="86">
    <w:name w:val="browse_class&gt;span"/>
    <w:basedOn w:val="29"/>
    <w:qFormat/>
    <w:uiPriority w:val="0"/>
  </w:style>
  <w:style w:type="character" w:customStyle="1" w:styleId="87">
    <w:name w:val="estimate_gray"/>
    <w:basedOn w:val="29"/>
    <w:qFormat/>
    <w:uiPriority w:val="0"/>
    <w:rPr>
      <w:color w:val="FFFFFF"/>
    </w:rPr>
  </w:style>
  <w:style w:type="character" w:customStyle="1" w:styleId="88">
    <w:name w:val="liked_gray"/>
    <w:basedOn w:val="29"/>
    <w:qFormat/>
    <w:uiPriority w:val="0"/>
    <w:rPr>
      <w:color w:val="FFFFFF"/>
    </w:rPr>
  </w:style>
  <w:style w:type="character" w:customStyle="1" w:styleId="89">
    <w:name w:val="xdrichtextbox2"/>
    <w:basedOn w:val="29"/>
    <w:qFormat/>
    <w:uiPriority w:val="0"/>
  </w:style>
  <w:style w:type="character" w:customStyle="1" w:styleId="90">
    <w:name w:val="button4"/>
    <w:basedOn w:val="29"/>
    <w:qFormat/>
    <w:uiPriority w:val="0"/>
  </w:style>
  <w:style w:type="character" w:customStyle="1" w:styleId="91">
    <w:name w:val="active7"/>
    <w:basedOn w:val="29"/>
    <w:qFormat/>
    <w:uiPriority w:val="0"/>
    <w:rPr>
      <w:color w:val="00FF00"/>
      <w:shd w:val="clear" w:fill="111111"/>
    </w:rPr>
  </w:style>
  <w:style w:type="character" w:customStyle="1" w:styleId="92">
    <w:name w:val="hilite5"/>
    <w:basedOn w:val="29"/>
    <w:qFormat/>
    <w:uiPriority w:val="0"/>
    <w:rPr>
      <w:color w:val="FFFFFF"/>
      <w:shd w:val="clear" w:fill="666666"/>
    </w:rPr>
  </w:style>
  <w:style w:type="character" w:customStyle="1" w:styleId="93">
    <w:name w:val="xdrichtextbox"/>
    <w:basedOn w:val="29"/>
    <w:qFormat/>
    <w:uiPriority w:val="0"/>
    <w:rPr>
      <w:color w:val="auto"/>
      <w:sz w:val="12"/>
      <w:szCs w:val="12"/>
      <w:u w:val="none"/>
      <w:bdr w:val="single" w:color="DCDCDC" w:sz="8" w:space="0"/>
      <w:shd w:val="clear" w:fill="auto"/>
    </w:rPr>
  </w:style>
  <w:style w:type="character" w:customStyle="1" w:styleId="94">
    <w:name w:val="hover41"/>
    <w:basedOn w:val="29"/>
    <w:qFormat/>
    <w:uiPriority w:val="0"/>
    <w:rPr>
      <w:color w:val="FFFFFF"/>
    </w:rPr>
  </w:style>
  <w:style w:type="character" w:customStyle="1" w:styleId="95">
    <w:name w:val="mini-outputtext1"/>
    <w:basedOn w:val="29"/>
    <w:qFormat/>
    <w:uiPriority w:val="0"/>
  </w:style>
  <w:style w:type="character" w:customStyle="1" w:styleId="96">
    <w:name w:val="正文文本_"/>
    <w:basedOn w:val="29"/>
    <w:link w:val="97"/>
    <w:unhideWhenUsed/>
    <w:qFormat/>
    <w:locked/>
    <w:uiPriority w:val="99"/>
    <w:rPr>
      <w:rFonts w:cs="Times New Roman"/>
      <w:sz w:val="30"/>
    </w:rPr>
  </w:style>
  <w:style w:type="paragraph" w:customStyle="1" w:styleId="97">
    <w:name w:val="正文文本1"/>
    <w:basedOn w:val="1"/>
    <w:link w:val="96"/>
    <w:unhideWhenUsed/>
    <w:qFormat/>
    <w:uiPriority w:val="99"/>
    <w:pPr>
      <w:shd w:val="clear" w:color="auto" w:fill="FFFFFF"/>
      <w:spacing w:before="240" w:after="720" w:line="240" w:lineRule="atLeast"/>
      <w:jc w:val="center"/>
    </w:pPr>
    <w:rPr>
      <w:rFonts w:cs="Times New Roman"/>
      <w:sz w:val="30"/>
    </w:rPr>
  </w:style>
  <w:style w:type="paragraph" w:customStyle="1" w:styleId="98">
    <w:name w:val=" Char Char Char"/>
    <w:basedOn w:val="1"/>
    <w:qFormat/>
    <w:uiPriority w:val="0"/>
    <w:pPr>
      <w:widowControl/>
      <w:spacing w:after="160" w:afterLines="0" w:line="240" w:lineRule="exact"/>
      <w:jc w:val="left"/>
    </w:pPr>
  </w:style>
  <w:style w:type="paragraph" w:customStyle="1" w:styleId="99">
    <w:name w:val="列出段落1"/>
    <w:basedOn w:val="1"/>
    <w:qFormat/>
    <w:uiPriority w:val="34"/>
    <w:pPr>
      <w:ind w:firstLine="420" w:firstLineChars="200"/>
    </w:pPr>
    <w:rPr>
      <w:rFonts w:ascii="Calibri" w:hAnsi="Calibri"/>
      <w:szCs w:val="22"/>
    </w:rPr>
  </w:style>
  <w:style w:type="paragraph" w:customStyle="1" w:styleId="100">
    <w:name w:val="Indent Normal"/>
    <w:basedOn w:val="1"/>
    <w:qFormat/>
    <w:uiPriority w:val="0"/>
    <w:pPr>
      <w:ind w:firstLine="150" w:firstLineChars="150"/>
    </w:pPr>
    <w:rPr>
      <w:sz w:val="24"/>
    </w:rPr>
  </w:style>
  <w:style w:type="paragraph" w:customStyle="1" w:styleId="101">
    <w:name w:val="FA正文+标号"/>
    <w:basedOn w:val="1"/>
    <w:qFormat/>
    <w:uiPriority w:val="0"/>
    <w:pPr>
      <w:numPr>
        <w:ilvl w:val="0"/>
        <w:numId w:val="1"/>
      </w:numPr>
      <w:tabs>
        <w:tab w:val="left" w:pos="3375"/>
      </w:tabs>
      <w:spacing w:line="400" w:lineRule="exact"/>
    </w:pPr>
    <w:rPr>
      <w:rFonts w:ascii="仿宋_GB2312" w:hAnsi="宋体" w:eastAsia="仿宋_GB2312"/>
      <w:sz w:val="24"/>
    </w:rPr>
  </w:style>
  <w:style w:type="paragraph" w:customStyle="1" w:styleId="102">
    <w:name w:val="List Paragraph1"/>
    <w:basedOn w:val="1"/>
    <w:qFormat/>
    <w:uiPriority w:val="0"/>
    <w:pPr>
      <w:ind w:firstLine="420" w:firstLineChars="200"/>
    </w:pPr>
    <w:rPr>
      <w:rFonts w:ascii="Calibri" w:hAnsi="Calibri"/>
      <w:szCs w:val="22"/>
    </w:rPr>
  </w:style>
  <w:style w:type="paragraph" w:customStyle="1" w:styleId="103">
    <w:name w:val="正文文本样式"/>
    <w:qFormat/>
    <w:uiPriority w:val="0"/>
    <w:pPr>
      <w:spacing w:line="360" w:lineRule="auto"/>
      <w:ind w:firstLine="200" w:firstLineChars="200"/>
    </w:pPr>
    <w:rPr>
      <w:rFonts w:ascii="Arial" w:hAnsi="Arial" w:eastAsia="宋体" w:cs="Times New Roman"/>
      <w:sz w:val="24"/>
      <w:szCs w:val="22"/>
      <w:lang w:val="en-US" w:eastAsia="zh-CN" w:bidi="ar-SA"/>
    </w:rPr>
  </w:style>
  <w:style w:type="character" w:customStyle="1" w:styleId="104">
    <w:name w:val="ico1653"/>
    <w:basedOn w:val="29"/>
    <w:qFormat/>
    <w:uiPriority w:val="0"/>
  </w:style>
  <w:style w:type="character" w:customStyle="1" w:styleId="105">
    <w:name w:val="ico1654"/>
    <w:basedOn w:val="29"/>
    <w:qFormat/>
    <w:uiPriority w:val="0"/>
  </w:style>
  <w:style w:type="character" w:customStyle="1" w:styleId="106">
    <w:name w:val="ico1655"/>
    <w:basedOn w:val="29"/>
    <w:qFormat/>
    <w:uiPriority w:val="0"/>
  </w:style>
  <w:style w:type="character" w:customStyle="1" w:styleId="107">
    <w:name w:val="active4"/>
    <w:basedOn w:val="29"/>
    <w:qFormat/>
    <w:uiPriority w:val="0"/>
    <w:rPr>
      <w:color w:val="00FF00"/>
      <w:shd w:val="clear" w:fill="111111"/>
    </w:rPr>
  </w:style>
  <w:style w:type="character" w:customStyle="1" w:styleId="108">
    <w:name w:val="hover45"/>
    <w:basedOn w:val="29"/>
    <w:qFormat/>
    <w:uiPriority w:val="0"/>
    <w:rPr>
      <w:color w:val="FFFFFF"/>
    </w:rPr>
  </w:style>
  <w:style w:type="character" w:customStyle="1" w:styleId="109">
    <w:name w:val="hilite"/>
    <w:basedOn w:val="29"/>
    <w:qFormat/>
    <w:uiPriority w:val="0"/>
    <w:rPr>
      <w:color w:val="FFFFFF"/>
      <w:shd w:val="clear" w:fill="666666"/>
    </w:rPr>
  </w:style>
  <w:style w:type="character" w:customStyle="1" w:styleId="110">
    <w:name w:val="hover43"/>
    <w:basedOn w:val="29"/>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25859</Words>
  <Characters>27917</Characters>
  <Lines>0</Lines>
  <Paragraphs>0</Paragraphs>
  <TotalTime>18</TotalTime>
  <ScaleCrop>false</ScaleCrop>
  <LinksUpToDate>false</LinksUpToDate>
  <CharactersWithSpaces>33141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2020-09-09T08:54:00Z</cp:lastPrinted>
  <dcterms:modified xsi:type="dcterms:W3CDTF">2023-04-14T09:22:15Z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B377B5E3E196428FA97179B4B31CD9CC</vt:lpwstr>
  </property>
</Properties>
</file>