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sz w:val="8"/>
          <w:szCs w:val="11"/>
        </w:rPr>
      </w:pPr>
      <w:bookmarkStart w:id="0" w:name="_Toc29787"/>
      <w:bookmarkStart w:id="1" w:name="_Toc15601"/>
      <w:r>
        <w:rPr>
          <w:rFonts w:hint="eastAsia" w:ascii="宋体" w:hAnsi="宋体" w:cs="宋体"/>
          <w:b/>
          <w:sz w:val="28"/>
          <w:szCs w:val="28"/>
        </w:rPr>
        <w:t>采购项目编号：</w:t>
      </w:r>
      <w:bookmarkEnd w:id="0"/>
      <w:bookmarkEnd w:id="1"/>
      <w:r>
        <w:rPr>
          <w:rFonts w:hint="eastAsia" w:ascii="宋体" w:hAnsi="宋体" w:cs="宋体"/>
          <w:b/>
          <w:sz w:val="28"/>
          <w:szCs w:val="28"/>
          <w:lang w:eastAsia="zh-CN"/>
        </w:rPr>
        <w:t>HXCX2023038</w:t>
      </w:r>
    </w:p>
    <w:p/>
    <w:p>
      <w:pPr>
        <w:pStyle w:val="10"/>
        <w:jc w:val="center"/>
        <w:rPr>
          <w:rFonts w:hint="eastAsia" w:ascii="宋体"/>
          <w:b/>
          <w:bCs/>
          <w:color w:val="000000" w:themeColor="text1"/>
          <w:sz w:val="48"/>
          <w:szCs w:val="48"/>
          <w:lang w:eastAsia="zh-CN"/>
          <w14:textFill>
            <w14:solidFill>
              <w14:schemeClr w14:val="tx1"/>
            </w14:solidFill>
          </w14:textFill>
        </w:rPr>
      </w:pPr>
    </w:p>
    <w:p>
      <w:pPr>
        <w:pStyle w:val="10"/>
        <w:jc w:val="center"/>
        <w:rPr>
          <w:rFonts w:hint="eastAsia" w:ascii="宋体" w:hAnsi="宋体" w:eastAsia="宋体" w:cs="宋体"/>
          <w:b/>
          <w:sz w:val="44"/>
          <w:szCs w:val="44"/>
          <w:lang w:eastAsia="zh-CN"/>
        </w:rPr>
      </w:pPr>
      <w:r>
        <w:rPr>
          <w:rFonts w:hint="eastAsia" w:ascii="宋体" w:hAnsi="宋体" w:eastAsia="宋体" w:cs="宋体"/>
          <w:b/>
          <w:sz w:val="44"/>
          <w:szCs w:val="44"/>
        </w:rPr>
        <w:t>子洲县马蹄沟镇人民政府关于马蹄沟镇吉利坪村农旅结合示范的采购项目</w:t>
      </w:r>
    </w:p>
    <w:p>
      <w:pPr>
        <w:pStyle w:val="10"/>
        <w:jc w:val="center"/>
        <w:rPr>
          <w:rFonts w:hint="eastAsia" w:ascii="宋体" w:hAnsi="宋体" w:eastAsia="宋体" w:cs="宋体"/>
          <w:b/>
          <w:sz w:val="44"/>
          <w:szCs w:val="44"/>
        </w:rPr>
      </w:pPr>
    </w:p>
    <w:p>
      <w:pPr>
        <w:pStyle w:val="10"/>
      </w:pPr>
    </w:p>
    <w:p>
      <w:pPr>
        <w:pStyle w:val="10"/>
      </w:pPr>
    </w:p>
    <w:p/>
    <w:p>
      <w:pPr>
        <w:spacing w:line="360" w:lineRule="auto"/>
        <w:jc w:val="center"/>
        <w:rPr>
          <w:rFonts w:ascii="宋体" w:hAnsi="宋体" w:cs="宋体"/>
          <w:b/>
          <w:spacing w:val="26"/>
          <w:sz w:val="84"/>
          <w:szCs w:val="84"/>
        </w:rPr>
      </w:pPr>
      <w:r>
        <w:rPr>
          <w:rFonts w:hint="eastAsia" w:ascii="宋体" w:hAnsi="宋体" w:cs="宋体"/>
          <w:b/>
          <w:spacing w:val="26"/>
          <w:sz w:val="84"/>
          <w:szCs w:val="84"/>
        </w:rPr>
        <w:t>竞争性磋商文件</w:t>
      </w:r>
    </w:p>
    <w:p>
      <w:pPr>
        <w:spacing w:line="360" w:lineRule="auto"/>
        <w:rPr>
          <w:rFonts w:ascii="宋体" w:hAnsi="宋体" w:cs="宋体"/>
          <w:b/>
          <w:bCs/>
          <w:spacing w:val="26"/>
          <w:sz w:val="36"/>
          <w:szCs w:val="36"/>
        </w:rPr>
      </w:pPr>
    </w:p>
    <w:p>
      <w:pPr>
        <w:pStyle w:val="10"/>
      </w:pPr>
    </w:p>
    <w:p>
      <w:pPr>
        <w:pStyle w:val="10"/>
      </w:pPr>
    </w:p>
    <w:p>
      <w:pPr>
        <w:pStyle w:val="10"/>
      </w:pPr>
    </w:p>
    <w:p>
      <w:pPr>
        <w:pStyle w:val="10"/>
        <w:rPr>
          <w:sz w:val="4"/>
          <w:szCs w:val="8"/>
        </w:rPr>
      </w:pPr>
    </w:p>
    <w:p>
      <w:pPr>
        <w:snapToGrid w:val="0"/>
        <w:spacing w:line="600" w:lineRule="auto"/>
        <w:jc w:val="both"/>
        <w:outlineLvl w:val="0"/>
        <w:rPr>
          <w:rFonts w:hint="eastAsia" w:ascii="宋体" w:hAnsi="宋体" w:cs="宋体"/>
          <w:b/>
          <w:sz w:val="32"/>
          <w:szCs w:val="32"/>
          <w:lang w:eastAsia="zh-CN"/>
        </w:rPr>
      </w:pPr>
      <w:bookmarkStart w:id="2" w:name="_Toc20748"/>
      <w:bookmarkStart w:id="3" w:name="_Toc23994"/>
      <w:r>
        <w:rPr>
          <w:rFonts w:hint="eastAsia" w:ascii="宋体" w:hAnsi="宋体" w:cs="宋体"/>
          <w:b/>
          <w:spacing w:val="26"/>
          <w:sz w:val="32"/>
          <w:szCs w:val="32"/>
          <w:lang w:val="en-US" w:eastAsia="zh-CN"/>
        </w:rPr>
        <w:t>采购人</w:t>
      </w:r>
      <w:r>
        <w:rPr>
          <w:rFonts w:hint="eastAsia" w:ascii="宋体" w:hAnsi="宋体" w:cs="宋体"/>
          <w:b/>
          <w:spacing w:val="26"/>
          <w:sz w:val="32"/>
          <w:szCs w:val="32"/>
        </w:rPr>
        <w:t>：</w:t>
      </w:r>
      <w:bookmarkEnd w:id="2"/>
      <w:bookmarkEnd w:id="3"/>
      <w:r>
        <w:rPr>
          <w:rFonts w:hint="eastAsia" w:ascii="宋体" w:hAnsi="宋体" w:cs="宋体"/>
          <w:b/>
          <w:sz w:val="32"/>
          <w:szCs w:val="32"/>
          <w:lang w:eastAsia="zh-CN"/>
        </w:rPr>
        <w:t>子洲县马蹄沟镇人民政府</w:t>
      </w:r>
      <w:bookmarkStart w:id="4" w:name="_Toc19248"/>
      <w:bookmarkStart w:id="5" w:name="_Toc6114"/>
    </w:p>
    <w:p>
      <w:pPr>
        <w:snapToGrid w:val="0"/>
        <w:spacing w:line="600" w:lineRule="auto"/>
        <w:jc w:val="both"/>
        <w:outlineLvl w:val="0"/>
        <w:rPr>
          <w:rFonts w:hint="eastAsia" w:ascii="宋体" w:hAnsi="宋体" w:eastAsia="宋体" w:cs="宋体"/>
          <w:b/>
          <w:sz w:val="32"/>
          <w:szCs w:val="32"/>
          <w:lang w:eastAsia="zh-CN"/>
        </w:rPr>
      </w:pPr>
      <w:r>
        <w:rPr>
          <w:rFonts w:hint="eastAsia" w:ascii="宋体" w:hAnsi="宋体" w:cs="宋体"/>
          <w:b/>
          <w:sz w:val="32"/>
          <w:szCs w:val="32"/>
          <w:lang w:eastAsia="zh-CN"/>
        </w:rPr>
        <w:t>采购代理机构</w:t>
      </w:r>
      <w:r>
        <w:rPr>
          <w:rFonts w:hint="eastAsia" w:ascii="宋体" w:hAnsi="宋体" w:cs="宋体"/>
          <w:b/>
          <w:sz w:val="32"/>
          <w:szCs w:val="32"/>
        </w:rPr>
        <w:t>：</w:t>
      </w:r>
      <w:bookmarkEnd w:id="4"/>
      <w:bookmarkEnd w:id="5"/>
      <w:r>
        <w:rPr>
          <w:rFonts w:hint="eastAsia" w:ascii="宋体" w:hAnsi="宋体" w:cs="宋体"/>
          <w:b/>
          <w:sz w:val="32"/>
          <w:szCs w:val="32"/>
          <w:lang w:eastAsia="zh-CN"/>
        </w:rPr>
        <w:t>陕西华旭晟信项目管理有限责任公司</w:t>
      </w:r>
    </w:p>
    <w:p>
      <w:pPr>
        <w:spacing w:line="720" w:lineRule="auto"/>
        <w:jc w:val="center"/>
        <w:rPr>
          <w:rFonts w:ascii="宋体" w:hAnsi="宋体" w:cs="宋体"/>
          <w:bCs/>
          <w:spacing w:val="26"/>
          <w:sz w:val="28"/>
          <w:szCs w:val="28"/>
        </w:rPr>
      </w:pPr>
      <w:r>
        <w:rPr>
          <w:rFonts w:hint="eastAsia" w:ascii="宋体" w:hAnsi="宋体" w:cs="宋体"/>
          <w:b/>
          <w:spacing w:val="26"/>
          <w:sz w:val="32"/>
          <w:szCs w:val="32"/>
        </w:rPr>
        <w:t>二零二</w:t>
      </w:r>
      <w:r>
        <w:rPr>
          <w:rFonts w:hint="eastAsia" w:ascii="宋体" w:hAnsi="宋体" w:cs="宋体"/>
          <w:b/>
          <w:spacing w:val="26"/>
          <w:sz w:val="32"/>
          <w:szCs w:val="32"/>
          <w:lang w:val="en-US" w:eastAsia="zh-CN"/>
        </w:rPr>
        <w:t>三</w:t>
      </w:r>
      <w:r>
        <w:rPr>
          <w:rFonts w:hint="eastAsia" w:ascii="宋体" w:hAnsi="宋体" w:cs="宋体"/>
          <w:b/>
          <w:spacing w:val="26"/>
          <w:sz w:val="32"/>
          <w:szCs w:val="32"/>
        </w:rPr>
        <w:t>年</w:t>
      </w:r>
      <w:r>
        <w:rPr>
          <w:rFonts w:hint="eastAsia" w:ascii="宋体" w:hAnsi="宋体" w:cs="宋体"/>
          <w:b/>
          <w:spacing w:val="26"/>
          <w:sz w:val="32"/>
          <w:szCs w:val="32"/>
          <w:u w:val="single"/>
          <w:lang w:val="en-US" w:eastAsia="zh-CN"/>
        </w:rPr>
        <w:t xml:space="preserve"> 十 </w:t>
      </w:r>
      <w:r>
        <w:rPr>
          <w:rFonts w:hint="eastAsia" w:ascii="宋体" w:hAnsi="宋体" w:cs="宋体"/>
          <w:b/>
          <w:spacing w:val="26"/>
          <w:sz w:val="32"/>
          <w:szCs w:val="32"/>
        </w:rPr>
        <w:t>月</w:t>
      </w:r>
    </w:p>
    <w:p>
      <w:pPr>
        <w:spacing w:line="720" w:lineRule="auto"/>
        <w:jc w:val="center"/>
        <w:rPr>
          <w:rFonts w:ascii="宋体" w:hAnsi="宋体" w:cs="宋体"/>
          <w:b/>
          <w:bCs/>
          <w:spacing w:val="26"/>
          <w:sz w:val="28"/>
          <w:szCs w:val="28"/>
        </w:rPr>
        <w:sectPr>
          <w:headerReference r:id="rId4" w:type="first"/>
          <w:headerReference r:id="rId3" w:type="default"/>
          <w:footerReference r:id="rId5" w:type="default"/>
          <w:pgSz w:w="11907" w:h="16840"/>
          <w:pgMar w:top="1660" w:right="1588" w:bottom="1520" w:left="1588" w:header="851" w:footer="992" w:gutter="0"/>
          <w:pgNumType w:fmt="decimal" w:start="1"/>
          <w:cols w:space="720" w:num="1"/>
          <w:docGrid w:type="linesAndChars" w:linePitch="312" w:charSpace="0"/>
        </w:sectPr>
      </w:pPr>
    </w:p>
    <w:p>
      <w:pPr>
        <w:jc w:val="center"/>
        <w:rPr>
          <w:rFonts w:ascii="宋体" w:hAnsi="宋体"/>
          <w:b/>
          <w:sz w:val="48"/>
          <w:szCs w:val="48"/>
        </w:rPr>
      </w:pPr>
      <w:r>
        <w:rPr>
          <w:rFonts w:hint="eastAsia" w:ascii="宋体" w:hAnsi="宋体"/>
          <w:b/>
          <w:sz w:val="48"/>
          <w:szCs w:val="48"/>
        </w:rPr>
        <w:t>目</w:t>
      </w:r>
      <w:r>
        <w:rPr>
          <w:rFonts w:ascii="宋体" w:hAnsi="宋体"/>
          <w:b/>
          <w:sz w:val="48"/>
          <w:szCs w:val="48"/>
        </w:rPr>
        <w:t xml:space="preserve">   </w:t>
      </w:r>
      <w:r>
        <w:rPr>
          <w:rFonts w:hint="eastAsia" w:ascii="宋体" w:hAnsi="宋体"/>
          <w:b/>
          <w:sz w:val="48"/>
          <w:szCs w:val="48"/>
        </w:rPr>
        <w:t>录</w:t>
      </w:r>
    </w:p>
    <w:p/>
    <w:sdt>
      <w:sdtPr>
        <w:rPr>
          <w:rFonts w:ascii="宋体" w:hAnsi="宋体" w:eastAsia="宋体" w:cs="Times New Roman"/>
          <w:kern w:val="2"/>
          <w:sz w:val="21"/>
          <w:lang w:val="en-US" w:eastAsia="zh-CN" w:bidi="ar-SA"/>
        </w:rPr>
        <w:id w:val="147456064"/>
        <w15:color w:val="DBDBDB"/>
        <w:docPartObj>
          <w:docPartGallery w:val="Table of Contents"/>
          <w:docPartUnique/>
        </w:docPartObj>
      </w:sdtPr>
      <w:sdtEndPr>
        <w:rPr>
          <w:rFonts w:ascii="宋体" w:hAnsi="Times New Roman" w:eastAsia="宋体" w:cs="Times New Roman"/>
          <w:b/>
          <w:kern w:val="2"/>
          <w:sz w:val="21"/>
          <w:szCs w:val="32"/>
          <w:lang w:val="en-US" w:eastAsia="zh-CN" w:bidi="ar-SA"/>
        </w:rPr>
      </w:sdtEndPr>
      <w:sdtContent>
        <w:p>
          <w:pPr>
            <w:pStyle w:val="19"/>
            <w:tabs>
              <w:tab w:val="right" w:leader="dot" w:pos="8731"/>
            </w:tabs>
            <w:spacing w:line="600" w:lineRule="auto"/>
            <w:rPr>
              <w:b/>
              <w:bCs/>
              <w:sz w:val="28"/>
              <w:szCs w:val="28"/>
            </w:rPr>
          </w:pPr>
          <w:r>
            <w:rPr>
              <w:rFonts w:ascii="宋体" w:hAnsi="Times New Roman" w:eastAsia="宋体" w:cs="Times New Roman"/>
              <w:b/>
              <w:kern w:val="2"/>
              <w:sz w:val="21"/>
              <w:szCs w:val="32"/>
              <w:lang w:val="en-US" w:eastAsia="zh-CN" w:bidi="ar-SA"/>
            </w:rPr>
            <w:fldChar w:fldCharType="begin"/>
          </w:r>
          <w:r>
            <w:rPr>
              <w:rFonts w:ascii="宋体" w:hAnsi="Times New Roman" w:eastAsia="宋体" w:cs="Times New Roman"/>
              <w:b/>
              <w:kern w:val="2"/>
              <w:sz w:val="21"/>
              <w:szCs w:val="32"/>
              <w:lang w:val="en-US" w:eastAsia="zh-CN" w:bidi="ar-SA"/>
            </w:rPr>
            <w:instrText xml:space="preserve">TOC \o "1-1" \h \u </w:instrText>
          </w:r>
          <w:r>
            <w:rPr>
              <w:rFonts w:ascii="宋体" w:hAnsi="Times New Roman" w:eastAsia="宋体" w:cs="Times New Roman"/>
              <w:b/>
              <w:kern w:val="2"/>
              <w:sz w:val="21"/>
              <w:szCs w:val="32"/>
              <w:lang w:val="en-US" w:eastAsia="zh-CN" w:bidi="ar-SA"/>
            </w:rPr>
            <w:fldChar w:fldCharType="separate"/>
          </w:r>
          <w:r>
            <w:rPr>
              <w:rFonts w:ascii="宋体" w:hAnsi="Times New Roman" w:eastAsia="宋体" w:cs="Times New Roman"/>
              <w:b/>
              <w:bCs/>
              <w:kern w:val="2"/>
              <w:sz w:val="28"/>
              <w:szCs w:val="28"/>
              <w:lang w:val="en-US" w:eastAsia="zh-CN" w:bidi="ar-SA"/>
            </w:rPr>
            <w:fldChar w:fldCharType="begin"/>
          </w:r>
          <w:r>
            <w:rPr>
              <w:rFonts w:ascii="宋体" w:hAnsi="Times New Roman" w:eastAsia="宋体" w:cs="Times New Roman"/>
              <w:b/>
              <w:bCs/>
              <w:kern w:val="2"/>
              <w:sz w:val="28"/>
              <w:szCs w:val="28"/>
              <w:lang w:val="en-US" w:eastAsia="zh-CN" w:bidi="ar-SA"/>
            </w:rPr>
            <w:instrText xml:space="preserve"> HYPERLINK \l _Toc15250 </w:instrText>
          </w:r>
          <w:r>
            <w:rPr>
              <w:rFonts w:ascii="宋体" w:hAnsi="Times New Roman" w:eastAsia="宋体" w:cs="Times New Roman"/>
              <w:b/>
              <w:bCs/>
              <w:kern w:val="2"/>
              <w:sz w:val="28"/>
              <w:szCs w:val="28"/>
              <w:lang w:val="en-US" w:eastAsia="zh-CN" w:bidi="ar-SA"/>
            </w:rPr>
            <w:fldChar w:fldCharType="separate"/>
          </w:r>
          <w:r>
            <w:rPr>
              <w:rFonts w:hint="eastAsia"/>
              <w:b/>
              <w:bCs/>
              <w:sz w:val="28"/>
              <w:szCs w:val="28"/>
              <w:lang w:val="en-US" w:eastAsia="zh-CN"/>
            </w:rPr>
            <w:t>第一章</w:t>
          </w:r>
          <w:r>
            <w:rPr>
              <w:b/>
              <w:bCs/>
              <w:sz w:val="28"/>
              <w:szCs w:val="28"/>
            </w:rPr>
            <w:t xml:space="preserve"> </w:t>
          </w:r>
          <w:r>
            <w:rPr>
              <w:rFonts w:hint="eastAsia"/>
              <w:b/>
              <w:bCs/>
              <w:sz w:val="28"/>
              <w:szCs w:val="28"/>
            </w:rPr>
            <w:t>竞争性磋商公告</w:t>
          </w:r>
          <w:r>
            <w:rPr>
              <w:b/>
              <w:bCs/>
              <w:sz w:val="28"/>
              <w:szCs w:val="28"/>
            </w:rPr>
            <w:tab/>
          </w:r>
          <w:r>
            <w:rPr>
              <w:b/>
              <w:bCs/>
              <w:sz w:val="28"/>
              <w:szCs w:val="28"/>
            </w:rPr>
            <w:fldChar w:fldCharType="begin"/>
          </w:r>
          <w:r>
            <w:rPr>
              <w:b/>
              <w:bCs/>
              <w:sz w:val="28"/>
              <w:szCs w:val="28"/>
            </w:rPr>
            <w:instrText xml:space="preserve"> PAGEREF _Toc15250 \h </w:instrText>
          </w:r>
          <w:r>
            <w:rPr>
              <w:b/>
              <w:bCs/>
              <w:sz w:val="28"/>
              <w:szCs w:val="28"/>
            </w:rPr>
            <w:fldChar w:fldCharType="separate"/>
          </w:r>
          <w:r>
            <w:rPr>
              <w:b/>
              <w:bCs/>
              <w:sz w:val="28"/>
              <w:szCs w:val="28"/>
            </w:rPr>
            <w:t>1</w:t>
          </w:r>
          <w:r>
            <w:rPr>
              <w:b/>
              <w:bCs/>
              <w:sz w:val="28"/>
              <w:szCs w:val="28"/>
            </w:rPr>
            <w:fldChar w:fldCharType="end"/>
          </w:r>
          <w:r>
            <w:rPr>
              <w:rFonts w:ascii="宋体" w:hAnsi="Times New Roman" w:eastAsia="宋体" w:cs="Times New Roman"/>
              <w:b/>
              <w:bCs/>
              <w:kern w:val="2"/>
              <w:sz w:val="28"/>
              <w:szCs w:val="28"/>
              <w:lang w:val="en-US" w:eastAsia="zh-CN" w:bidi="ar-SA"/>
            </w:rPr>
            <w:fldChar w:fldCharType="end"/>
          </w:r>
        </w:p>
        <w:p>
          <w:pPr>
            <w:pStyle w:val="19"/>
            <w:tabs>
              <w:tab w:val="right" w:leader="dot" w:pos="8731"/>
            </w:tabs>
            <w:spacing w:line="600" w:lineRule="auto"/>
            <w:rPr>
              <w:b/>
              <w:bCs/>
              <w:sz w:val="28"/>
              <w:szCs w:val="28"/>
            </w:rPr>
          </w:pPr>
          <w:r>
            <w:rPr>
              <w:rFonts w:ascii="宋体" w:hAnsi="Times New Roman" w:eastAsia="宋体" w:cs="Times New Roman"/>
              <w:b/>
              <w:bCs/>
              <w:kern w:val="2"/>
              <w:sz w:val="28"/>
              <w:szCs w:val="28"/>
              <w:lang w:val="en-US" w:eastAsia="zh-CN" w:bidi="ar-SA"/>
            </w:rPr>
            <w:fldChar w:fldCharType="begin"/>
          </w:r>
          <w:r>
            <w:rPr>
              <w:rFonts w:ascii="宋体" w:hAnsi="Times New Roman" w:eastAsia="宋体" w:cs="Times New Roman"/>
              <w:b/>
              <w:bCs/>
              <w:kern w:val="2"/>
              <w:sz w:val="28"/>
              <w:szCs w:val="28"/>
              <w:lang w:val="en-US" w:eastAsia="zh-CN" w:bidi="ar-SA"/>
            </w:rPr>
            <w:instrText xml:space="preserve"> HYPERLINK \l _Toc13112 </w:instrText>
          </w:r>
          <w:r>
            <w:rPr>
              <w:rFonts w:ascii="宋体" w:hAnsi="Times New Roman" w:eastAsia="宋体" w:cs="Times New Roman"/>
              <w:b/>
              <w:bCs/>
              <w:kern w:val="2"/>
              <w:sz w:val="28"/>
              <w:szCs w:val="28"/>
              <w:lang w:val="en-US" w:eastAsia="zh-CN" w:bidi="ar-SA"/>
            </w:rPr>
            <w:fldChar w:fldCharType="separate"/>
          </w:r>
          <w:r>
            <w:rPr>
              <w:rFonts w:hint="eastAsia"/>
              <w:b/>
              <w:bCs/>
              <w:sz w:val="28"/>
              <w:szCs w:val="28"/>
            </w:rPr>
            <w:t>第二章</w:t>
          </w:r>
          <w:r>
            <w:rPr>
              <w:b/>
              <w:bCs/>
              <w:sz w:val="28"/>
              <w:szCs w:val="28"/>
            </w:rPr>
            <w:t xml:space="preserve"> </w:t>
          </w:r>
          <w:r>
            <w:rPr>
              <w:rFonts w:hint="eastAsia"/>
              <w:b/>
              <w:bCs/>
              <w:sz w:val="28"/>
              <w:szCs w:val="28"/>
            </w:rPr>
            <w:t>供应商须知前附表及供应商须知</w:t>
          </w:r>
          <w:r>
            <w:rPr>
              <w:b/>
              <w:bCs/>
              <w:sz w:val="28"/>
              <w:szCs w:val="28"/>
            </w:rPr>
            <w:tab/>
          </w:r>
          <w:r>
            <w:rPr>
              <w:b/>
              <w:bCs/>
              <w:sz w:val="28"/>
              <w:szCs w:val="28"/>
            </w:rPr>
            <w:fldChar w:fldCharType="begin"/>
          </w:r>
          <w:r>
            <w:rPr>
              <w:b/>
              <w:bCs/>
              <w:sz w:val="28"/>
              <w:szCs w:val="28"/>
            </w:rPr>
            <w:instrText xml:space="preserve"> PAGEREF _Toc13112 \h </w:instrText>
          </w:r>
          <w:r>
            <w:rPr>
              <w:b/>
              <w:bCs/>
              <w:sz w:val="28"/>
              <w:szCs w:val="28"/>
            </w:rPr>
            <w:fldChar w:fldCharType="separate"/>
          </w:r>
          <w:r>
            <w:rPr>
              <w:b/>
              <w:bCs/>
              <w:sz w:val="28"/>
              <w:szCs w:val="28"/>
            </w:rPr>
            <w:t>6</w:t>
          </w:r>
          <w:r>
            <w:rPr>
              <w:b/>
              <w:bCs/>
              <w:sz w:val="28"/>
              <w:szCs w:val="28"/>
            </w:rPr>
            <w:fldChar w:fldCharType="end"/>
          </w:r>
          <w:r>
            <w:rPr>
              <w:rFonts w:ascii="宋体" w:hAnsi="Times New Roman" w:eastAsia="宋体" w:cs="Times New Roman"/>
              <w:b/>
              <w:bCs/>
              <w:kern w:val="2"/>
              <w:sz w:val="28"/>
              <w:szCs w:val="28"/>
              <w:lang w:val="en-US" w:eastAsia="zh-CN" w:bidi="ar-SA"/>
            </w:rPr>
            <w:fldChar w:fldCharType="end"/>
          </w:r>
        </w:p>
        <w:p>
          <w:pPr>
            <w:pStyle w:val="19"/>
            <w:tabs>
              <w:tab w:val="right" w:leader="dot" w:pos="8731"/>
            </w:tabs>
            <w:spacing w:line="600" w:lineRule="auto"/>
            <w:rPr>
              <w:b/>
              <w:bCs/>
              <w:sz w:val="28"/>
              <w:szCs w:val="28"/>
            </w:rPr>
          </w:pPr>
          <w:r>
            <w:rPr>
              <w:rFonts w:ascii="宋体" w:hAnsi="Times New Roman" w:eastAsia="宋体" w:cs="Times New Roman"/>
              <w:b/>
              <w:bCs/>
              <w:kern w:val="2"/>
              <w:sz w:val="28"/>
              <w:szCs w:val="28"/>
              <w:lang w:val="en-US" w:eastAsia="zh-CN" w:bidi="ar-SA"/>
            </w:rPr>
            <w:fldChar w:fldCharType="begin"/>
          </w:r>
          <w:r>
            <w:rPr>
              <w:rFonts w:ascii="宋体" w:hAnsi="Times New Roman" w:eastAsia="宋体" w:cs="Times New Roman"/>
              <w:b/>
              <w:bCs/>
              <w:kern w:val="2"/>
              <w:sz w:val="28"/>
              <w:szCs w:val="28"/>
              <w:lang w:val="en-US" w:eastAsia="zh-CN" w:bidi="ar-SA"/>
            </w:rPr>
            <w:instrText xml:space="preserve"> HYPERLINK \l _Toc24439 </w:instrText>
          </w:r>
          <w:r>
            <w:rPr>
              <w:rFonts w:ascii="宋体" w:hAnsi="Times New Roman" w:eastAsia="宋体" w:cs="Times New Roman"/>
              <w:b/>
              <w:bCs/>
              <w:kern w:val="2"/>
              <w:sz w:val="28"/>
              <w:szCs w:val="28"/>
              <w:lang w:val="en-US" w:eastAsia="zh-CN" w:bidi="ar-SA"/>
            </w:rPr>
            <w:fldChar w:fldCharType="separate"/>
          </w:r>
          <w:r>
            <w:rPr>
              <w:rFonts w:hint="eastAsia"/>
              <w:b/>
              <w:bCs/>
              <w:sz w:val="28"/>
              <w:szCs w:val="28"/>
            </w:rPr>
            <w:t>第三章  评标方法</w:t>
          </w:r>
          <w:r>
            <w:rPr>
              <w:b/>
              <w:bCs/>
              <w:sz w:val="28"/>
              <w:szCs w:val="28"/>
            </w:rPr>
            <w:tab/>
          </w:r>
          <w:r>
            <w:rPr>
              <w:b/>
              <w:bCs/>
              <w:sz w:val="28"/>
              <w:szCs w:val="28"/>
            </w:rPr>
            <w:fldChar w:fldCharType="begin"/>
          </w:r>
          <w:r>
            <w:rPr>
              <w:b/>
              <w:bCs/>
              <w:sz w:val="28"/>
              <w:szCs w:val="28"/>
            </w:rPr>
            <w:instrText xml:space="preserve"> PAGEREF _Toc24439 \h </w:instrText>
          </w:r>
          <w:r>
            <w:rPr>
              <w:b/>
              <w:bCs/>
              <w:sz w:val="28"/>
              <w:szCs w:val="28"/>
            </w:rPr>
            <w:fldChar w:fldCharType="separate"/>
          </w:r>
          <w:r>
            <w:rPr>
              <w:b/>
              <w:bCs/>
              <w:sz w:val="28"/>
              <w:szCs w:val="28"/>
            </w:rPr>
            <w:t>30</w:t>
          </w:r>
          <w:r>
            <w:rPr>
              <w:b/>
              <w:bCs/>
              <w:sz w:val="28"/>
              <w:szCs w:val="28"/>
            </w:rPr>
            <w:fldChar w:fldCharType="end"/>
          </w:r>
          <w:r>
            <w:rPr>
              <w:rFonts w:ascii="宋体" w:hAnsi="Times New Roman" w:eastAsia="宋体" w:cs="Times New Roman"/>
              <w:b/>
              <w:bCs/>
              <w:kern w:val="2"/>
              <w:sz w:val="28"/>
              <w:szCs w:val="28"/>
              <w:lang w:val="en-US" w:eastAsia="zh-CN" w:bidi="ar-SA"/>
            </w:rPr>
            <w:fldChar w:fldCharType="end"/>
          </w:r>
        </w:p>
        <w:p>
          <w:pPr>
            <w:pStyle w:val="19"/>
            <w:tabs>
              <w:tab w:val="right" w:leader="dot" w:pos="8731"/>
            </w:tabs>
            <w:spacing w:line="600" w:lineRule="auto"/>
            <w:rPr>
              <w:b/>
              <w:bCs/>
              <w:sz w:val="28"/>
              <w:szCs w:val="28"/>
            </w:rPr>
          </w:pPr>
          <w:r>
            <w:rPr>
              <w:rFonts w:ascii="宋体" w:hAnsi="Times New Roman" w:eastAsia="宋体" w:cs="Times New Roman"/>
              <w:b/>
              <w:bCs/>
              <w:kern w:val="2"/>
              <w:sz w:val="28"/>
              <w:szCs w:val="28"/>
              <w:lang w:val="en-US" w:eastAsia="zh-CN" w:bidi="ar-SA"/>
            </w:rPr>
            <w:fldChar w:fldCharType="begin"/>
          </w:r>
          <w:r>
            <w:rPr>
              <w:rFonts w:ascii="宋体" w:hAnsi="Times New Roman" w:eastAsia="宋体" w:cs="Times New Roman"/>
              <w:b/>
              <w:bCs/>
              <w:kern w:val="2"/>
              <w:sz w:val="28"/>
              <w:szCs w:val="28"/>
              <w:lang w:val="en-US" w:eastAsia="zh-CN" w:bidi="ar-SA"/>
            </w:rPr>
            <w:instrText xml:space="preserve"> HYPERLINK \l _Toc29384 </w:instrText>
          </w:r>
          <w:r>
            <w:rPr>
              <w:rFonts w:ascii="宋体" w:hAnsi="Times New Roman" w:eastAsia="宋体" w:cs="Times New Roman"/>
              <w:b/>
              <w:bCs/>
              <w:kern w:val="2"/>
              <w:sz w:val="28"/>
              <w:szCs w:val="28"/>
              <w:lang w:val="en-US" w:eastAsia="zh-CN" w:bidi="ar-SA"/>
            </w:rPr>
            <w:fldChar w:fldCharType="separate"/>
          </w:r>
          <w:r>
            <w:rPr>
              <w:rFonts w:hint="eastAsia"/>
              <w:b/>
              <w:bCs/>
              <w:sz w:val="28"/>
              <w:szCs w:val="28"/>
              <w:lang w:val="en-US" w:eastAsia="zh-CN"/>
            </w:rPr>
            <w:t>第四章  商务要求</w:t>
          </w:r>
          <w:r>
            <w:rPr>
              <w:b/>
              <w:bCs/>
              <w:sz w:val="28"/>
              <w:szCs w:val="28"/>
            </w:rPr>
            <w:tab/>
          </w:r>
          <w:r>
            <w:rPr>
              <w:b/>
              <w:bCs/>
              <w:sz w:val="28"/>
              <w:szCs w:val="28"/>
            </w:rPr>
            <w:fldChar w:fldCharType="begin"/>
          </w:r>
          <w:r>
            <w:rPr>
              <w:b/>
              <w:bCs/>
              <w:sz w:val="28"/>
              <w:szCs w:val="28"/>
            </w:rPr>
            <w:instrText xml:space="preserve"> PAGEREF _Toc29384 \h </w:instrText>
          </w:r>
          <w:r>
            <w:rPr>
              <w:b/>
              <w:bCs/>
              <w:sz w:val="28"/>
              <w:szCs w:val="28"/>
            </w:rPr>
            <w:fldChar w:fldCharType="separate"/>
          </w:r>
          <w:r>
            <w:rPr>
              <w:b/>
              <w:bCs/>
              <w:sz w:val="28"/>
              <w:szCs w:val="28"/>
            </w:rPr>
            <w:t>36</w:t>
          </w:r>
          <w:r>
            <w:rPr>
              <w:b/>
              <w:bCs/>
              <w:sz w:val="28"/>
              <w:szCs w:val="28"/>
            </w:rPr>
            <w:fldChar w:fldCharType="end"/>
          </w:r>
          <w:r>
            <w:rPr>
              <w:rFonts w:ascii="宋体" w:hAnsi="Times New Roman" w:eastAsia="宋体" w:cs="Times New Roman"/>
              <w:b/>
              <w:bCs/>
              <w:kern w:val="2"/>
              <w:sz w:val="28"/>
              <w:szCs w:val="28"/>
              <w:lang w:val="en-US" w:eastAsia="zh-CN" w:bidi="ar-SA"/>
            </w:rPr>
            <w:fldChar w:fldCharType="end"/>
          </w:r>
        </w:p>
        <w:p>
          <w:pPr>
            <w:pStyle w:val="19"/>
            <w:tabs>
              <w:tab w:val="right" w:leader="dot" w:pos="8731"/>
            </w:tabs>
            <w:spacing w:line="600" w:lineRule="auto"/>
            <w:rPr>
              <w:b/>
              <w:bCs/>
              <w:sz w:val="28"/>
              <w:szCs w:val="28"/>
            </w:rPr>
          </w:pPr>
          <w:r>
            <w:rPr>
              <w:rFonts w:ascii="宋体" w:hAnsi="Times New Roman" w:eastAsia="宋体" w:cs="Times New Roman"/>
              <w:b/>
              <w:bCs/>
              <w:kern w:val="2"/>
              <w:sz w:val="28"/>
              <w:szCs w:val="28"/>
              <w:lang w:val="en-US" w:eastAsia="zh-CN" w:bidi="ar-SA"/>
            </w:rPr>
            <w:fldChar w:fldCharType="begin"/>
          </w:r>
          <w:r>
            <w:rPr>
              <w:rFonts w:ascii="宋体" w:hAnsi="Times New Roman" w:eastAsia="宋体" w:cs="Times New Roman"/>
              <w:b/>
              <w:bCs/>
              <w:kern w:val="2"/>
              <w:sz w:val="28"/>
              <w:szCs w:val="28"/>
              <w:lang w:val="en-US" w:eastAsia="zh-CN" w:bidi="ar-SA"/>
            </w:rPr>
            <w:instrText xml:space="preserve"> HYPERLINK \l _Toc25814 </w:instrText>
          </w:r>
          <w:r>
            <w:rPr>
              <w:rFonts w:ascii="宋体" w:hAnsi="Times New Roman" w:eastAsia="宋体" w:cs="Times New Roman"/>
              <w:b/>
              <w:bCs/>
              <w:kern w:val="2"/>
              <w:sz w:val="28"/>
              <w:szCs w:val="28"/>
              <w:lang w:val="en-US" w:eastAsia="zh-CN" w:bidi="ar-SA"/>
            </w:rPr>
            <w:fldChar w:fldCharType="separate"/>
          </w:r>
          <w:r>
            <w:rPr>
              <w:rFonts w:hint="eastAsia"/>
              <w:b/>
              <w:bCs/>
              <w:sz w:val="28"/>
              <w:szCs w:val="28"/>
              <w:lang w:val="en-US" w:eastAsia="zh-CN"/>
            </w:rPr>
            <w:t>第五章</w:t>
          </w:r>
          <w:r>
            <w:rPr>
              <w:rFonts w:hint="eastAsia"/>
              <w:b/>
              <w:bCs/>
              <w:sz w:val="28"/>
              <w:szCs w:val="28"/>
            </w:rPr>
            <w:t xml:space="preserve"> </w:t>
          </w:r>
          <w:r>
            <w:rPr>
              <w:rFonts w:hint="eastAsia"/>
              <w:b/>
              <w:bCs/>
              <w:sz w:val="28"/>
              <w:szCs w:val="28"/>
              <w:lang w:val="en-US" w:eastAsia="zh-CN"/>
            </w:rPr>
            <w:t xml:space="preserve"> </w:t>
          </w:r>
          <w:r>
            <w:rPr>
              <w:rFonts w:hint="eastAsia"/>
              <w:b/>
              <w:bCs/>
              <w:sz w:val="28"/>
              <w:szCs w:val="28"/>
            </w:rPr>
            <w:t>政府采购合同</w:t>
          </w:r>
          <w:r>
            <w:rPr>
              <w:b/>
              <w:bCs/>
              <w:sz w:val="28"/>
              <w:szCs w:val="28"/>
            </w:rPr>
            <w:tab/>
          </w:r>
          <w:r>
            <w:rPr>
              <w:b/>
              <w:bCs/>
              <w:sz w:val="28"/>
              <w:szCs w:val="28"/>
            </w:rPr>
            <w:fldChar w:fldCharType="begin"/>
          </w:r>
          <w:r>
            <w:rPr>
              <w:b/>
              <w:bCs/>
              <w:sz w:val="28"/>
              <w:szCs w:val="28"/>
            </w:rPr>
            <w:instrText xml:space="preserve"> PAGEREF _Toc25814 \h </w:instrText>
          </w:r>
          <w:r>
            <w:rPr>
              <w:b/>
              <w:bCs/>
              <w:sz w:val="28"/>
              <w:szCs w:val="28"/>
            </w:rPr>
            <w:fldChar w:fldCharType="separate"/>
          </w:r>
          <w:r>
            <w:rPr>
              <w:b/>
              <w:bCs/>
              <w:sz w:val="28"/>
              <w:szCs w:val="28"/>
            </w:rPr>
            <w:t>38</w:t>
          </w:r>
          <w:r>
            <w:rPr>
              <w:b/>
              <w:bCs/>
              <w:sz w:val="28"/>
              <w:szCs w:val="28"/>
            </w:rPr>
            <w:fldChar w:fldCharType="end"/>
          </w:r>
          <w:r>
            <w:rPr>
              <w:rFonts w:ascii="宋体" w:hAnsi="Times New Roman" w:eastAsia="宋体" w:cs="Times New Roman"/>
              <w:b/>
              <w:bCs/>
              <w:kern w:val="2"/>
              <w:sz w:val="28"/>
              <w:szCs w:val="28"/>
              <w:lang w:val="en-US" w:eastAsia="zh-CN" w:bidi="ar-SA"/>
            </w:rPr>
            <w:fldChar w:fldCharType="end"/>
          </w:r>
        </w:p>
        <w:p>
          <w:pPr>
            <w:pStyle w:val="19"/>
            <w:tabs>
              <w:tab w:val="right" w:leader="dot" w:pos="8731"/>
            </w:tabs>
            <w:spacing w:line="600" w:lineRule="auto"/>
            <w:rPr>
              <w:b/>
              <w:bCs/>
              <w:sz w:val="28"/>
              <w:szCs w:val="28"/>
            </w:rPr>
          </w:pPr>
          <w:r>
            <w:rPr>
              <w:rFonts w:ascii="宋体" w:hAnsi="Times New Roman" w:eastAsia="宋体" w:cs="Times New Roman"/>
              <w:b/>
              <w:bCs/>
              <w:kern w:val="2"/>
              <w:sz w:val="28"/>
              <w:szCs w:val="28"/>
              <w:lang w:val="en-US" w:eastAsia="zh-CN" w:bidi="ar-SA"/>
            </w:rPr>
            <w:fldChar w:fldCharType="begin"/>
          </w:r>
          <w:r>
            <w:rPr>
              <w:rFonts w:ascii="宋体" w:hAnsi="Times New Roman" w:eastAsia="宋体" w:cs="Times New Roman"/>
              <w:b/>
              <w:bCs/>
              <w:kern w:val="2"/>
              <w:sz w:val="28"/>
              <w:szCs w:val="28"/>
              <w:lang w:val="en-US" w:eastAsia="zh-CN" w:bidi="ar-SA"/>
            </w:rPr>
            <w:instrText xml:space="preserve"> HYPERLINK \l _Toc20301 </w:instrText>
          </w:r>
          <w:r>
            <w:rPr>
              <w:rFonts w:ascii="宋体" w:hAnsi="Times New Roman" w:eastAsia="宋体" w:cs="Times New Roman"/>
              <w:b/>
              <w:bCs/>
              <w:kern w:val="2"/>
              <w:sz w:val="28"/>
              <w:szCs w:val="28"/>
              <w:lang w:val="en-US" w:eastAsia="zh-CN" w:bidi="ar-SA"/>
            </w:rPr>
            <w:fldChar w:fldCharType="separate"/>
          </w:r>
          <w:r>
            <w:rPr>
              <w:rFonts w:hint="eastAsia"/>
              <w:b/>
              <w:bCs/>
              <w:sz w:val="28"/>
              <w:szCs w:val="28"/>
              <w:lang w:val="en-US" w:eastAsia="zh-CN"/>
            </w:rPr>
            <w:t xml:space="preserve">第六章  </w:t>
          </w:r>
          <w:r>
            <w:rPr>
              <w:rFonts w:hint="eastAsia"/>
              <w:b/>
              <w:bCs/>
              <w:sz w:val="28"/>
              <w:szCs w:val="28"/>
              <w:lang w:eastAsia="zh-CN"/>
            </w:rPr>
            <w:t>工程量清单</w:t>
          </w:r>
          <w:r>
            <w:rPr>
              <w:b/>
              <w:bCs/>
              <w:sz w:val="28"/>
              <w:szCs w:val="28"/>
            </w:rPr>
            <w:tab/>
          </w:r>
          <w:r>
            <w:rPr>
              <w:b/>
              <w:bCs/>
              <w:sz w:val="28"/>
              <w:szCs w:val="28"/>
            </w:rPr>
            <w:fldChar w:fldCharType="begin"/>
          </w:r>
          <w:r>
            <w:rPr>
              <w:b/>
              <w:bCs/>
              <w:sz w:val="28"/>
              <w:szCs w:val="28"/>
            </w:rPr>
            <w:instrText xml:space="preserve"> PAGEREF _Toc20301 \h </w:instrText>
          </w:r>
          <w:r>
            <w:rPr>
              <w:b/>
              <w:bCs/>
              <w:sz w:val="28"/>
              <w:szCs w:val="28"/>
            </w:rPr>
            <w:fldChar w:fldCharType="separate"/>
          </w:r>
          <w:r>
            <w:rPr>
              <w:b/>
              <w:bCs/>
              <w:sz w:val="28"/>
              <w:szCs w:val="28"/>
            </w:rPr>
            <w:t>38</w:t>
          </w:r>
          <w:r>
            <w:rPr>
              <w:b/>
              <w:bCs/>
              <w:sz w:val="28"/>
              <w:szCs w:val="28"/>
            </w:rPr>
            <w:fldChar w:fldCharType="end"/>
          </w:r>
          <w:r>
            <w:rPr>
              <w:rFonts w:ascii="宋体" w:hAnsi="Times New Roman" w:eastAsia="宋体" w:cs="Times New Roman"/>
              <w:b/>
              <w:bCs/>
              <w:kern w:val="2"/>
              <w:sz w:val="28"/>
              <w:szCs w:val="28"/>
              <w:lang w:val="en-US" w:eastAsia="zh-CN" w:bidi="ar-SA"/>
            </w:rPr>
            <w:fldChar w:fldCharType="end"/>
          </w:r>
        </w:p>
        <w:p>
          <w:pPr>
            <w:pStyle w:val="19"/>
            <w:tabs>
              <w:tab w:val="right" w:leader="dot" w:pos="8731"/>
            </w:tabs>
            <w:spacing w:line="600" w:lineRule="auto"/>
            <w:rPr>
              <w:b/>
              <w:bCs/>
              <w:sz w:val="28"/>
              <w:szCs w:val="28"/>
            </w:rPr>
          </w:pPr>
          <w:r>
            <w:rPr>
              <w:rFonts w:ascii="宋体" w:hAnsi="Times New Roman" w:eastAsia="宋体" w:cs="Times New Roman"/>
              <w:b/>
              <w:bCs/>
              <w:kern w:val="2"/>
              <w:sz w:val="28"/>
              <w:szCs w:val="28"/>
              <w:lang w:val="en-US" w:eastAsia="zh-CN" w:bidi="ar-SA"/>
            </w:rPr>
            <w:fldChar w:fldCharType="begin"/>
          </w:r>
          <w:r>
            <w:rPr>
              <w:rFonts w:ascii="宋体" w:hAnsi="Times New Roman" w:eastAsia="宋体" w:cs="Times New Roman"/>
              <w:b/>
              <w:bCs/>
              <w:kern w:val="2"/>
              <w:sz w:val="28"/>
              <w:szCs w:val="28"/>
              <w:lang w:val="en-US" w:eastAsia="zh-CN" w:bidi="ar-SA"/>
            </w:rPr>
            <w:instrText xml:space="preserve"> HYPERLINK \l _Toc14374 </w:instrText>
          </w:r>
          <w:r>
            <w:rPr>
              <w:rFonts w:ascii="宋体" w:hAnsi="Times New Roman" w:eastAsia="宋体" w:cs="Times New Roman"/>
              <w:b/>
              <w:bCs/>
              <w:kern w:val="2"/>
              <w:sz w:val="28"/>
              <w:szCs w:val="28"/>
              <w:lang w:val="en-US" w:eastAsia="zh-CN" w:bidi="ar-SA"/>
            </w:rPr>
            <w:fldChar w:fldCharType="separate"/>
          </w:r>
          <w:r>
            <w:rPr>
              <w:rFonts w:hint="eastAsia"/>
              <w:b/>
              <w:bCs/>
              <w:sz w:val="28"/>
              <w:szCs w:val="28"/>
              <w:lang w:eastAsia="zh-CN"/>
            </w:rPr>
            <w:t>第</w:t>
          </w:r>
          <w:r>
            <w:rPr>
              <w:rFonts w:hint="eastAsia"/>
              <w:b/>
              <w:bCs/>
              <w:sz w:val="28"/>
              <w:szCs w:val="28"/>
              <w:lang w:val="en-US" w:eastAsia="zh-CN"/>
            </w:rPr>
            <w:t>七</w:t>
          </w:r>
          <w:r>
            <w:rPr>
              <w:rFonts w:hint="eastAsia"/>
              <w:b/>
              <w:bCs/>
              <w:sz w:val="28"/>
              <w:szCs w:val="28"/>
              <w:lang w:eastAsia="zh-CN"/>
            </w:rPr>
            <w:t>章  竞争性磋商响应文件格式</w:t>
          </w:r>
          <w:r>
            <w:rPr>
              <w:b/>
              <w:bCs/>
              <w:sz w:val="28"/>
              <w:szCs w:val="28"/>
            </w:rPr>
            <w:tab/>
          </w:r>
          <w:r>
            <w:rPr>
              <w:b/>
              <w:bCs/>
              <w:sz w:val="28"/>
              <w:szCs w:val="28"/>
            </w:rPr>
            <w:fldChar w:fldCharType="begin"/>
          </w:r>
          <w:r>
            <w:rPr>
              <w:b/>
              <w:bCs/>
              <w:sz w:val="28"/>
              <w:szCs w:val="28"/>
            </w:rPr>
            <w:instrText xml:space="preserve"> PAGEREF _Toc14374 \h </w:instrText>
          </w:r>
          <w:r>
            <w:rPr>
              <w:b/>
              <w:bCs/>
              <w:sz w:val="28"/>
              <w:szCs w:val="28"/>
            </w:rPr>
            <w:fldChar w:fldCharType="separate"/>
          </w:r>
          <w:r>
            <w:rPr>
              <w:b/>
              <w:bCs/>
              <w:sz w:val="28"/>
              <w:szCs w:val="28"/>
            </w:rPr>
            <w:t>42</w:t>
          </w:r>
          <w:r>
            <w:rPr>
              <w:b/>
              <w:bCs/>
              <w:sz w:val="28"/>
              <w:szCs w:val="28"/>
            </w:rPr>
            <w:fldChar w:fldCharType="end"/>
          </w:r>
          <w:r>
            <w:rPr>
              <w:rFonts w:ascii="宋体" w:hAnsi="Times New Roman" w:eastAsia="宋体" w:cs="Times New Roman"/>
              <w:b/>
              <w:bCs/>
              <w:kern w:val="2"/>
              <w:sz w:val="28"/>
              <w:szCs w:val="28"/>
              <w:lang w:val="en-US" w:eastAsia="zh-CN" w:bidi="ar-SA"/>
            </w:rPr>
            <w:fldChar w:fldCharType="end"/>
          </w:r>
        </w:p>
        <w:p>
          <w:pPr>
            <w:pStyle w:val="19"/>
            <w:tabs>
              <w:tab w:val="right" w:leader="dot" w:pos="8731"/>
            </w:tabs>
            <w:spacing w:line="600" w:lineRule="auto"/>
          </w:pPr>
          <w:r>
            <w:rPr>
              <w:rFonts w:ascii="宋体" w:hAnsi="Times New Roman" w:eastAsia="宋体" w:cs="Times New Roman"/>
              <w:b/>
              <w:bCs/>
              <w:kern w:val="2"/>
              <w:sz w:val="28"/>
              <w:szCs w:val="28"/>
              <w:lang w:val="en-US" w:eastAsia="zh-CN" w:bidi="ar-SA"/>
            </w:rPr>
            <w:fldChar w:fldCharType="begin"/>
          </w:r>
          <w:r>
            <w:rPr>
              <w:rFonts w:ascii="宋体" w:hAnsi="Times New Roman" w:eastAsia="宋体" w:cs="Times New Roman"/>
              <w:b/>
              <w:bCs/>
              <w:kern w:val="2"/>
              <w:sz w:val="28"/>
              <w:szCs w:val="28"/>
              <w:lang w:val="en-US" w:eastAsia="zh-CN" w:bidi="ar-SA"/>
            </w:rPr>
            <w:instrText xml:space="preserve"> HYPERLINK \l _Toc7372 </w:instrText>
          </w:r>
          <w:r>
            <w:rPr>
              <w:rFonts w:ascii="宋体" w:hAnsi="Times New Roman" w:eastAsia="宋体" w:cs="Times New Roman"/>
              <w:b/>
              <w:bCs/>
              <w:kern w:val="2"/>
              <w:sz w:val="28"/>
              <w:szCs w:val="28"/>
              <w:lang w:val="en-US" w:eastAsia="zh-CN" w:bidi="ar-SA"/>
            </w:rPr>
            <w:fldChar w:fldCharType="separate"/>
          </w:r>
          <w:r>
            <w:rPr>
              <w:rFonts w:hint="eastAsia"/>
              <w:b/>
              <w:bCs/>
              <w:sz w:val="28"/>
              <w:szCs w:val="28"/>
              <w:lang w:val="en-US" w:eastAsia="zh-CN"/>
            </w:rPr>
            <w:t xml:space="preserve">第八章  </w:t>
          </w:r>
          <w:r>
            <w:rPr>
              <w:rFonts w:hint="eastAsia"/>
              <w:b/>
              <w:bCs/>
              <w:sz w:val="28"/>
              <w:szCs w:val="28"/>
            </w:rPr>
            <w:t>附件</w:t>
          </w:r>
          <w:r>
            <w:rPr>
              <w:b/>
              <w:bCs/>
              <w:sz w:val="28"/>
              <w:szCs w:val="28"/>
            </w:rPr>
            <w:tab/>
          </w:r>
          <w:r>
            <w:rPr>
              <w:b/>
              <w:bCs/>
              <w:sz w:val="28"/>
              <w:szCs w:val="28"/>
            </w:rPr>
            <w:fldChar w:fldCharType="begin"/>
          </w:r>
          <w:r>
            <w:rPr>
              <w:b/>
              <w:bCs/>
              <w:sz w:val="28"/>
              <w:szCs w:val="28"/>
            </w:rPr>
            <w:instrText xml:space="preserve"> PAGEREF _Toc7372 \h </w:instrText>
          </w:r>
          <w:r>
            <w:rPr>
              <w:b/>
              <w:bCs/>
              <w:sz w:val="28"/>
              <w:szCs w:val="28"/>
            </w:rPr>
            <w:fldChar w:fldCharType="separate"/>
          </w:r>
          <w:r>
            <w:rPr>
              <w:b/>
              <w:bCs/>
              <w:sz w:val="28"/>
              <w:szCs w:val="28"/>
            </w:rPr>
            <w:t>63</w:t>
          </w:r>
          <w:r>
            <w:rPr>
              <w:b/>
              <w:bCs/>
              <w:sz w:val="28"/>
              <w:szCs w:val="28"/>
            </w:rPr>
            <w:fldChar w:fldCharType="end"/>
          </w:r>
          <w:r>
            <w:rPr>
              <w:rFonts w:ascii="宋体" w:hAnsi="Times New Roman" w:eastAsia="宋体" w:cs="Times New Roman"/>
              <w:b/>
              <w:bCs/>
              <w:kern w:val="2"/>
              <w:sz w:val="28"/>
              <w:szCs w:val="28"/>
              <w:lang w:val="en-US" w:eastAsia="zh-CN" w:bidi="ar-SA"/>
            </w:rPr>
            <w:fldChar w:fldCharType="end"/>
          </w:r>
        </w:p>
        <w:p>
          <w:pPr>
            <w:pStyle w:val="19"/>
            <w:tabs>
              <w:tab w:val="right" w:leader="dot" w:pos="8731"/>
            </w:tabs>
          </w:pPr>
        </w:p>
        <w:p>
          <w:pPr>
            <w:adjustRightInd w:val="0"/>
            <w:snapToGrid w:val="0"/>
            <w:spacing w:line="360" w:lineRule="auto"/>
            <w:rPr>
              <w:rFonts w:ascii="宋体"/>
              <w:sz w:val="32"/>
              <w:szCs w:val="32"/>
            </w:rPr>
          </w:pPr>
          <w:r>
            <w:rPr>
              <w:rFonts w:ascii="宋体" w:hAnsi="Times New Roman" w:eastAsia="宋体" w:cs="Times New Roman"/>
              <w:kern w:val="2"/>
              <w:szCs w:val="32"/>
              <w:lang w:val="en-US" w:eastAsia="zh-CN" w:bidi="ar-SA"/>
            </w:rPr>
            <w:fldChar w:fldCharType="end"/>
          </w:r>
        </w:p>
      </w:sdtContent>
    </w:sdt>
    <w:p>
      <w:pPr>
        <w:jc w:val="center"/>
        <w:rPr>
          <w:rFonts w:ascii="宋体"/>
          <w:b/>
          <w:sz w:val="44"/>
        </w:rPr>
      </w:pPr>
    </w:p>
    <w:p>
      <w:pPr>
        <w:jc w:val="center"/>
        <w:rPr>
          <w:rFonts w:ascii="宋体"/>
          <w:b/>
          <w:sz w:val="44"/>
        </w:rPr>
      </w:pPr>
    </w:p>
    <w:p>
      <w:pPr>
        <w:pStyle w:val="2"/>
        <w:outlineLvl w:val="9"/>
        <w:rPr>
          <w:rFonts w:ascii="宋体"/>
        </w:rPr>
        <w:sectPr>
          <w:headerReference r:id="rId7" w:type="first"/>
          <w:footerReference r:id="rId9" w:type="first"/>
          <w:headerReference r:id="rId6" w:type="default"/>
          <w:footerReference r:id="rId8" w:type="default"/>
          <w:pgSz w:w="11907" w:h="16840"/>
          <w:pgMar w:top="1440" w:right="1588" w:bottom="1440" w:left="1588" w:header="851" w:footer="992" w:gutter="0"/>
          <w:pgNumType w:fmt="decimal" w:start="1"/>
          <w:cols w:space="720" w:num="1"/>
          <w:docGrid w:type="linesAndChars" w:linePitch="312" w:charSpace="0"/>
        </w:sectPr>
      </w:pPr>
    </w:p>
    <w:p>
      <w:pPr>
        <w:pStyle w:val="2"/>
        <w:bidi w:val="0"/>
        <w:rPr>
          <w:rFonts w:ascii="宋体" w:hAnsi="宋体"/>
          <w:szCs w:val="36"/>
        </w:rPr>
      </w:pPr>
      <w:bookmarkStart w:id="6" w:name="_Toc504605084"/>
      <w:bookmarkStart w:id="7" w:name="_Toc15250"/>
      <w:r>
        <w:rPr>
          <w:rFonts w:hint="eastAsia"/>
          <w:sz w:val="36"/>
          <w:szCs w:val="36"/>
          <w:lang w:val="en-US" w:eastAsia="zh-CN"/>
        </w:rPr>
        <w:t>第一章</w:t>
      </w:r>
      <w:r>
        <w:rPr>
          <w:sz w:val="36"/>
          <w:szCs w:val="36"/>
        </w:rPr>
        <w:t xml:space="preserve"> </w:t>
      </w:r>
      <w:bookmarkStart w:id="8" w:name="_Toc5374"/>
      <w:bookmarkStart w:id="9" w:name="_Toc9301"/>
      <w:r>
        <w:rPr>
          <w:rFonts w:hint="eastAsia"/>
          <w:sz w:val="36"/>
          <w:szCs w:val="36"/>
        </w:rPr>
        <w:t>竞争性磋商公告</w:t>
      </w:r>
      <w:bookmarkEnd w:id="6"/>
      <w:bookmarkEnd w:id="7"/>
      <w:bookmarkEnd w:id="8"/>
      <w:bookmarkEnd w:id="9"/>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rPr>
          <w:rFonts w:hint="eastAsia" w:ascii="宋体" w:hAnsi="宋体" w:eastAsia="宋体" w:cs="宋体"/>
          <w:b w:val="0"/>
          <w:bCs w:val="0"/>
          <w:color w:val="auto"/>
          <w:sz w:val="24"/>
          <w:szCs w:val="24"/>
        </w:rPr>
      </w:pPr>
      <w:r>
        <w:rPr>
          <w:rStyle w:val="28"/>
          <w:rFonts w:hint="eastAsia" w:ascii="宋体" w:hAnsi="宋体" w:eastAsia="宋体" w:cs="宋体"/>
          <w:b/>
          <w:bCs/>
          <w:i w:val="0"/>
          <w:iCs w:val="0"/>
          <w:caps w:val="0"/>
          <w:color w:val="auto"/>
          <w:spacing w:val="0"/>
          <w:sz w:val="24"/>
          <w:szCs w:val="24"/>
          <w:bdr w:val="none" w:color="auto" w:sz="0" w:space="0"/>
          <w:shd w:val="clear" w:fill="FFFFFF"/>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关于马蹄沟镇吉利坪村农旅结合示范的采购项目采购项目的潜在供应商应在登录全国公共资源交易中心平台（陕西省）使用CA锁报名后自行下载获取采购文件，并于 2023年10月18日 08时30分 （北京时间）前提交响应文件。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bdr w:val="none" w:color="auto" w:sz="0" w:space="0"/>
          <w:shd w:val="clear" w:fill="FFFFFF"/>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项目编号：HXCX2023038</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项目名称：关于马蹄沟镇吉利坪村农旅结合示范的采购项目</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采购方式：竞争性磋商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预算金额：3,605,312.48元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合同包1(子洲县马蹄沟镇人民政府关于马蹄沟镇吉利坪村农旅结合示范的采购项目):</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合同包预算金额：3,605,312.48元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合同包最高限价：3,605,312.48元</w:t>
      </w:r>
    </w:p>
    <w:tbl>
      <w:tblPr>
        <w:tblW w:w="885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548"/>
        <w:gridCol w:w="1447"/>
        <w:gridCol w:w="1447"/>
        <w:gridCol w:w="789"/>
        <w:gridCol w:w="1267"/>
        <w:gridCol w:w="1680"/>
        <w:gridCol w:w="16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1028" w:hRule="atLeast"/>
          <w:tblHeader/>
        </w:trPr>
        <w:tc>
          <w:tcPr>
            <w:tcW w:w="580"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品目号</w:t>
            </w:r>
          </w:p>
        </w:tc>
        <w:tc>
          <w:tcPr>
            <w:tcW w:w="2178"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品目名称</w:t>
            </w:r>
          </w:p>
        </w:tc>
        <w:tc>
          <w:tcPr>
            <w:tcW w:w="2178"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采购标的</w:t>
            </w:r>
          </w:p>
        </w:tc>
        <w:tc>
          <w:tcPr>
            <w:tcW w:w="726"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数量（单位）</w:t>
            </w:r>
          </w:p>
        </w:tc>
        <w:tc>
          <w:tcPr>
            <w:tcW w:w="145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技术规格、参数及要求</w:t>
            </w:r>
          </w:p>
        </w:tc>
        <w:tc>
          <w:tcPr>
            <w:tcW w:w="87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品目预算(元)</w:t>
            </w:r>
          </w:p>
        </w:tc>
        <w:tc>
          <w:tcPr>
            <w:tcW w:w="87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rHeight w:val="759" w:hRule="atLeast"/>
        </w:trPr>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其他建筑工程</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工程</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3,605,312.48</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3,605,312.48</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合同履行期限：无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bdr w:val="none" w:color="auto" w:sz="0" w:space="0"/>
          <w:shd w:val="clear" w:fill="FFFFFF"/>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合同包1(子洲县马蹄沟镇人民政府关于马蹄沟镇吉利坪村农旅结合示范的采购项目)落实政府采购政策需满足的资格要求如下: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①《节能产品政府采购实施意见》财库〔2004〕185号;</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②《环境标志产品政府采购实施的意见》财库〔2006〕90号；</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③《国务院办公厅关于建立政府强制采购节能产品制度的通知》国办发〔2007〕51号；</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④《政府采购促进中小企业发展管理办法》财库〔2020〕46号；</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⑤《陕西省财政厅关于进一步加大政府采购支持中小企业力度的通知》陕财办采〔2022〕5号；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⑥《榆林市财政局关于进一步加大政府采购支持中小企业力度的通知》榆政财采发〔2022〕10号；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⑦陕西省财政厅关于印发《陕西省中小企业政府采购信用融资办法》陕财办采〔2018〕23号，相关政策、业务流程、办理平台(http://www.ccgp-shaanxi.gov.cn/zcdservice/zcd/shanxi/）；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⑧《财政部司法部关于政府采购支持监狱企业发展有关问题的通知》财库〔2014〕68号；</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⑨《财政部民政部中国残疾人联合会关于促进残疾人就业政府采购政策的通知》财库〔2017〕141号；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⑩《关于在政府采购活动中查询及使用信用记录有关问题的通知》财库〔2016〕125号；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合同包1(子洲县马蹄沟镇人民政府关于马蹄沟镇吉利坪村农旅结合示范的采购项目)特定资格要求如下: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 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②具备建设行政主管部门核发的市政公用工程施工总承包三级（含三级）以上资质，具备有效的安全生产许可证；</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③拟派往本项目的建造师必须为本企业注册的建造师，具备市政公用工程专业二级及以上注册建造师执业资格和有效的安全生产考核合格证书(B证)，并提供2023年1月至今本企业为其缴纳的至少1个月的社会保险缴纳证明材料（五险一金提供一项即可），且未担任其它在建工程的建造师；</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④税收缴纳证明：提供开标前6个月缴纳的至少1个月的纳税证明（银行缴费凭证）或完税证明，依法免税的单位应提供相关证明材料； </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⑤社会保障资金缴纳证明：提供开标前6个月缴纳的至少1个月的社会保障资金银行缴费单据或社保机构开具的社会保险参保缴费情况证明，依法不需要缴纳社会保障资金的单位应提供相关证明材料； </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⑥财务要求：经会计事务所或审计机构出具的财务审计报告（2022年度）；2023年至今新成立公司须提供银行资信证明；</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⑦参加政府采购活动前三年内，在经营活动中没有重大违法记录的书面声明；</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⑧提供具有履行合同所必需的设备和专业技术能力的证明资料或承诺书； </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⑨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⑪榆林市政府采购工程类项目供应商信用承诺书； </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⑫本项目专门面向中小企业（提供中小企业声明函）</w:t>
      </w:r>
      <w:r>
        <w:rPr>
          <w:rFonts w:hint="eastAsia" w:ascii="宋体" w:hAnsi="宋体" w:eastAsia="宋体" w:cs="宋体"/>
          <w:i w:val="0"/>
          <w:iCs w:val="0"/>
          <w:caps w:val="0"/>
          <w:color w:val="auto"/>
          <w:spacing w:val="0"/>
          <w:sz w:val="24"/>
          <w:szCs w:val="24"/>
          <w:bdr w:val="none" w:color="auto" w:sz="0" w:space="0"/>
          <w:shd w:val="clear" w:fill="FFFFFF"/>
        </w:rPr>
        <w:br w:type="textWrapping"/>
      </w:r>
      <w:r>
        <w:rPr>
          <w:rFonts w:hint="eastAsia" w:ascii="宋体" w:hAnsi="宋体" w:eastAsia="宋体" w:cs="宋体"/>
          <w:i w:val="0"/>
          <w:iCs w:val="0"/>
          <w:caps w:val="0"/>
          <w:color w:val="auto"/>
          <w:spacing w:val="0"/>
          <w:sz w:val="24"/>
          <w:szCs w:val="24"/>
          <w:bdr w:val="none" w:color="auto" w:sz="0" w:space="0"/>
          <w:shd w:val="clear" w:fill="FFFFFF"/>
        </w:rPr>
        <w:t> 备注：本项目不接受联合体投标，单位负责人为同一人或者存在直接控股、管理关系的不同投标人，不得参加同一合同项下的政府采购活动（提供非联合体投标声明）。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bdr w:val="none" w:color="auto" w:sz="0" w:space="0"/>
          <w:shd w:val="clear" w:fill="FFFFFF"/>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时间： 2023年10月08日 至 2023年10月12日 ，每天上午 09:00:00 至 12:00:00 ，下午 12:00:00 至 17:00:00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途径：登录全国公共资源交易中心平台（陕西省）使用CA锁报名后自行下载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售价： 免费获取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bdr w:val="none" w:color="auto" w:sz="0" w:space="0"/>
          <w:shd w:val="clear" w:fill="FFFFFF"/>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截止时间： 2023年10月18日 08时30分00秒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地点：登录全国公共资源交易中心平台（陕西省）使用CA锁上传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bdr w:val="none" w:color="auto" w:sz="0" w:space="0"/>
          <w:shd w:val="clear" w:fill="FFFFFF"/>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时间： 2023年10月18日 08时30分00秒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地点：榆林市公共资源交易中心十楼开标10室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bdr w:val="none" w:color="auto" w:sz="0" w:space="0"/>
          <w:shd w:val="clear" w:fill="FFFFFF"/>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rPr>
        <w:t>自本公告发布之日起3个工作日。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bdr w:val="none" w:color="auto" w:sz="0" w:space="0"/>
          <w:shd w:val="clear" w:fill="FFFFFF"/>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lang w:val="en-US" w:eastAsia="zh-CN" w:bidi="ar"/>
        </w:rPr>
        <w:t>注：（1）供应商可登录全国公共资源交易中心平台（陕西省） （http://www.sxggzyjy.cn/）,选择“电子交易平台-陕西政府采购交易系统-陕西省公共资源交易平台-供应商”进行登录，登录后选择“交易乙方”身份进入供应商界面进行报名并免费下载磋商文件。（2）本项目采用电子化招投标的方式，供应商使用数字认证证书（CA 锁）对投标文件进行签章、加密、递交及开标时解密等相关招投标事宜。（3）电子响应文件制作软件技术支持热线：400-998-0000 ，CA锁购买：榆林市市民大厦三楼E18、E19窗口办理，咨询电话0912-3452148、029-88661298或4006-369-888（陕西CA联系电话）。 （4）请各供应商获取磋商文件后，按照陕西省财政厅《关于政府采购投标供应商注册登记有关事项的通知》要求，通过陕西省政府采购（http://www.ccgp-shaanxi.gov.cn/）注册登记加入陕西省政府采购投标供应商库。（5）本项目采用“不见面”开标形式，不见面开标系统操作手册下载方式：登录【全国公共资源交易平台（陕西省）】 网站首页选择【服务指南】-【下载专区】-点击【关于陕西省公共资源交易平台多CA互认系统正式上线运行的通知】进行下载。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bdr w:val="none" w:color="auto" w:sz="0" w:space="0"/>
          <w:shd w:val="clear" w:fill="FFFFFF"/>
        </w:rPr>
        <w:t>八、对本次招标提出询问，请按以下方式联系。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rPr>
        <w:t>1.采购人信息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名称：子洲县马蹄沟镇人民政府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地址：子洲县马蹄沟镇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联系方式：18591813777</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名称：陕西华旭晟信项目管理有限责任公司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地址：陕西省榆林市榆林大道富源大厦6楼602室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联系方式：15353190523</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项目联系人：杨女士</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rPr>
        <w:t>电话：15353190523</w:t>
      </w:r>
    </w:p>
    <w:p>
      <w:pPr>
        <w:adjustRightInd w:val="0"/>
        <w:snapToGrid w:val="0"/>
        <w:spacing w:line="440" w:lineRule="exact"/>
        <w:ind w:firstLine="1080" w:firstLineChars="300"/>
        <w:jc w:val="center"/>
        <w:rPr>
          <w:rFonts w:hint="eastAsia" w:ascii="宋体" w:hAnsi="宋体" w:cs="宋体"/>
          <w:color w:val="auto"/>
          <w:sz w:val="36"/>
        </w:rPr>
      </w:pPr>
    </w:p>
    <w:p>
      <w:pPr>
        <w:adjustRightInd w:val="0"/>
        <w:snapToGrid w:val="0"/>
        <w:spacing w:line="360" w:lineRule="auto"/>
        <w:ind w:firstLine="7200" w:firstLineChars="2000"/>
        <w:jc w:val="left"/>
        <w:outlineLvl w:val="0"/>
        <w:rPr>
          <w:rFonts w:hint="eastAsia" w:ascii="宋体" w:hAnsi="宋体" w:cs="宋体"/>
          <w:color w:val="auto"/>
          <w:sz w:val="36"/>
          <w:szCs w:val="36"/>
        </w:rPr>
        <w:sectPr>
          <w:footerReference r:id="rId10" w:type="default"/>
          <w:pgSz w:w="11906" w:h="16838"/>
          <w:pgMar w:top="1383" w:right="1383" w:bottom="1383" w:left="1383" w:header="851" w:footer="992" w:gutter="0"/>
          <w:paperSrc/>
          <w:pgNumType w:fmt="decimal" w:start="1"/>
          <w:cols w:space="0" w:num="1"/>
          <w:rtlGutter w:val="0"/>
          <w:docGrid w:type="lines" w:linePitch="312" w:charSpace="0"/>
        </w:sectPr>
      </w:pPr>
    </w:p>
    <w:p>
      <w:pPr>
        <w:pStyle w:val="2"/>
        <w:bidi w:val="0"/>
        <w:rPr>
          <w:rFonts w:ascii="宋体" w:hAnsi="宋体"/>
          <w:szCs w:val="36"/>
        </w:rPr>
      </w:pPr>
      <w:bookmarkStart w:id="10" w:name="_Toc24905"/>
      <w:bookmarkStart w:id="11" w:name="_Toc13112"/>
      <w:bookmarkStart w:id="12" w:name="_Toc504605086"/>
      <w:bookmarkStart w:id="13" w:name="_Toc504605168"/>
      <w:bookmarkStart w:id="14" w:name="_Toc504605085"/>
      <w:bookmarkStart w:id="15" w:name="_Toc1227"/>
      <w:r>
        <w:rPr>
          <w:rFonts w:hint="eastAsia"/>
          <w:sz w:val="36"/>
          <w:szCs w:val="36"/>
        </w:rPr>
        <w:t>第二章</w:t>
      </w:r>
      <w:r>
        <w:rPr>
          <w:sz w:val="36"/>
          <w:szCs w:val="36"/>
        </w:rPr>
        <w:t xml:space="preserve"> </w:t>
      </w:r>
      <w:r>
        <w:rPr>
          <w:rFonts w:hint="eastAsia"/>
          <w:sz w:val="36"/>
          <w:szCs w:val="36"/>
        </w:rPr>
        <w:t>供应商须知前附表及供应商须知</w:t>
      </w:r>
      <w:bookmarkEnd w:id="10"/>
      <w:bookmarkEnd w:id="11"/>
    </w:p>
    <w:p>
      <w:pPr>
        <w:pStyle w:val="3"/>
      </w:pPr>
      <w:r>
        <w:rPr>
          <w:rFonts w:ascii="宋体" w:hAnsi="宋体"/>
          <w:sz w:val="36"/>
          <w:szCs w:val="36"/>
        </w:rPr>
        <w:t xml:space="preserve">  </w:t>
      </w:r>
      <w:bookmarkStart w:id="16" w:name="_Toc12655"/>
      <w:bookmarkStart w:id="17" w:name="_Toc6073"/>
      <w:bookmarkStart w:id="18" w:name="_Toc8617"/>
      <w:bookmarkStart w:id="19" w:name="_Toc13149"/>
      <w:bookmarkStart w:id="20" w:name="_Toc2260"/>
      <w:bookmarkStart w:id="21" w:name="_Toc513557025"/>
      <w:bookmarkStart w:id="22" w:name="_Toc1925"/>
      <w:bookmarkStart w:id="23" w:name="_Toc17752"/>
      <w:r>
        <w:rPr>
          <w:rFonts w:hint="eastAsia" w:ascii="宋体" w:hAnsi="宋体"/>
          <w:sz w:val="36"/>
          <w:szCs w:val="36"/>
        </w:rPr>
        <w:t>（一）供应商须知前附表</w:t>
      </w:r>
      <w:bookmarkEnd w:id="12"/>
      <w:bookmarkEnd w:id="13"/>
      <w:bookmarkEnd w:id="16"/>
      <w:bookmarkEnd w:id="17"/>
      <w:bookmarkEnd w:id="18"/>
      <w:bookmarkEnd w:id="19"/>
      <w:bookmarkEnd w:id="20"/>
      <w:bookmarkEnd w:id="21"/>
      <w:bookmarkEnd w:id="22"/>
      <w:bookmarkEnd w:id="23"/>
    </w:p>
    <w:bookmarkEnd w:id="14"/>
    <w:bookmarkEnd w:id="15"/>
    <w:tbl>
      <w:tblPr>
        <w:tblStyle w:val="25"/>
        <w:tblW w:w="10003" w:type="dxa"/>
        <w:tblInd w:w="-232" w:type="dxa"/>
        <w:tblLayout w:type="fixed"/>
        <w:tblCellMar>
          <w:top w:w="0" w:type="dxa"/>
          <w:left w:w="108" w:type="dxa"/>
          <w:bottom w:w="0" w:type="dxa"/>
          <w:right w:w="108" w:type="dxa"/>
        </w:tblCellMar>
      </w:tblPr>
      <w:tblGrid>
        <w:gridCol w:w="723"/>
        <w:gridCol w:w="1765"/>
        <w:gridCol w:w="7515"/>
      </w:tblGrid>
      <w:tr>
        <w:tblPrEx>
          <w:tblCellMar>
            <w:top w:w="0" w:type="dxa"/>
            <w:left w:w="108" w:type="dxa"/>
            <w:bottom w:w="0" w:type="dxa"/>
            <w:right w:w="108" w:type="dxa"/>
          </w:tblCellMar>
        </w:tblPrEx>
        <w:trPr>
          <w:trHeight w:val="276" w:hRule="atLeast"/>
        </w:trPr>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sz w:val="24"/>
                <w:szCs w:val="24"/>
              </w:rPr>
            </w:pPr>
            <w:bookmarkStart w:id="24" w:name="_Toc504605169"/>
            <w:bookmarkStart w:id="25" w:name="_Toc504605087"/>
            <w:r>
              <w:rPr>
                <w:rFonts w:hint="eastAsia" w:ascii="宋体" w:hAnsi="宋体" w:cs="宋体"/>
                <w:b/>
                <w:sz w:val="24"/>
                <w:lang w:val="zh-CN"/>
              </w:rPr>
              <w:t>序号</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sz w:val="24"/>
                <w:szCs w:val="24"/>
              </w:rPr>
            </w:pPr>
            <w:r>
              <w:rPr>
                <w:rFonts w:hint="eastAsia" w:ascii="宋体" w:hAnsi="宋体" w:cs="宋体"/>
                <w:b/>
                <w:sz w:val="24"/>
                <w:lang w:val="zh-CN"/>
              </w:rPr>
              <w:t>摘 要</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left="472" w:leftChars="24" w:hanging="422" w:hangingChars="175"/>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编  列  内  容</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采购人</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名</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称：</w:t>
            </w: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子洲县马蹄沟镇人民政府</w:t>
            </w:r>
          </w:p>
          <w:p>
            <w:pPr>
              <w:spacing w:line="360" w:lineRule="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auto"/>
                <w:sz w:val="24"/>
                <w:lang w:eastAsia="zh-CN"/>
              </w:rPr>
              <w:t>地     址：</w:t>
            </w:r>
            <w:r>
              <w:rPr>
                <w:rFonts w:hint="eastAsia" w:ascii="宋体" w:hAnsi="宋体" w:eastAsia="宋体" w:cs="宋体"/>
                <w:color w:val="auto"/>
                <w:sz w:val="24"/>
                <w:lang w:val="en-US" w:eastAsia="zh-CN"/>
              </w:rPr>
              <w:t>子洲县马蹄沟镇</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采购代理机构</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名称：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陕西华旭晟信项目管理有限责任公司</w:t>
            </w:r>
          </w:p>
          <w:p>
            <w:pPr>
              <w:adjustRightInd w:val="0"/>
              <w:snapToGrid w:val="0"/>
              <w:spacing w:line="360" w:lineRule="auto"/>
              <w:jc w:val="left"/>
              <w:rPr>
                <w:rFonts w:hint="eastAsia" w:ascii="宋体" w:hAnsi="宋体" w:eastAsia="宋体" w:cs="宋体"/>
                <w:color w:val="000000" w:themeColor="text1"/>
                <w:kern w:val="0"/>
                <w:sz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地址：</w:t>
            </w:r>
            <w:r>
              <w:rPr>
                <w:rFonts w:hint="eastAsia" w:ascii="宋体" w:hAnsi="宋体" w:eastAsia="宋体" w:cs="宋体"/>
                <w:color w:val="000000" w:themeColor="text1"/>
                <w:kern w:val="0"/>
                <w:sz w:val="24"/>
                <w:lang w:val="en-US" w:eastAsia="zh-CN" w:bidi="ar-SA"/>
                <w14:textFill>
                  <w14:solidFill>
                    <w14:schemeClr w14:val="tx1"/>
                  </w14:solidFill>
                </w14:textFill>
              </w:rPr>
              <w:t>陕西省榆林市榆林大道南段富源大厦6楼602室</w:t>
            </w:r>
          </w:p>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杨女士</w:t>
            </w:r>
          </w:p>
          <w:p>
            <w:pPr>
              <w:pStyle w:val="41"/>
              <w:adjustRightInd w:val="0"/>
              <w:snapToGrid w:val="0"/>
              <w:spacing w:line="360" w:lineRule="auto"/>
              <w:ind w:firstLine="0" w:firstLineChars="0"/>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联系方式</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宋体" w:hAnsi="宋体" w:cs="宋体" w:eastAsiaTheme="minorEastAsia"/>
                <w:color w:val="000000" w:themeColor="text1"/>
                <w:sz w:val="24"/>
                <w:lang w:val="en-US" w:eastAsia="zh-CN"/>
                <w14:textFill>
                  <w14:solidFill>
                    <w14:schemeClr w14:val="tx1"/>
                  </w14:solidFill>
                </w14:textFill>
              </w:rPr>
              <w:t>15353190523</w:t>
            </w:r>
          </w:p>
        </w:tc>
      </w:tr>
      <w:tr>
        <w:tblPrEx>
          <w:tblCellMar>
            <w:top w:w="0" w:type="dxa"/>
            <w:left w:w="108" w:type="dxa"/>
            <w:bottom w:w="0" w:type="dxa"/>
            <w:right w:w="108" w:type="dxa"/>
          </w:tblCellMar>
        </w:tblPrEx>
        <w:trPr>
          <w:trHeight w:val="57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75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sz w:val="24"/>
                <w:szCs w:val="24"/>
                <w:lang w:eastAsia="zh-CN"/>
              </w:rPr>
              <w:t>子洲县马蹄沟镇人民政府关于马蹄沟镇吉利坪村农旅结合示范的采购项目</w:t>
            </w:r>
          </w:p>
        </w:tc>
      </w:tr>
      <w:tr>
        <w:tblPrEx>
          <w:tblCellMar>
            <w:top w:w="0" w:type="dxa"/>
            <w:left w:w="108" w:type="dxa"/>
            <w:bottom w:w="0" w:type="dxa"/>
            <w:right w:w="108" w:type="dxa"/>
          </w:tblCellMar>
        </w:tblPrEx>
        <w:trPr>
          <w:trHeight w:val="62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lang w:val="zh-CN"/>
              </w:rPr>
            </w:pPr>
            <w:r>
              <w:rPr>
                <w:rFonts w:hint="eastAsia" w:ascii="宋体" w:hAnsi="宋体" w:cs="宋体"/>
                <w:sz w:val="24"/>
                <w:lang w:val="zh-CN"/>
              </w:rPr>
              <w:t>采购方式</w:t>
            </w:r>
          </w:p>
        </w:tc>
        <w:tc>
          <w:tcPr>
            <w:tcW w:w="751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lang w:val="zh-CN"/>
              </w:rPr>
            </w:pPr>
            <w:r>
              <w:rPr>
                <w:rFonts w:hint="eastAsia" w:ascii="宋体" w:hAnsi="宋体" w:cs="宋体"/>
                <w:sz w:val="24"/>
                <w:lang w:val="en-US" w:eastAsia="zh-CN"/>
              </w:rPr>
              <w:t>竞争性磋商</w:t>
            </w:r>
          </w:p>
        </w:tc>
      </w:tr>
      <w:tr>
        <w:tblPrEx>
          <w:tblCellMar>
            <w:top w:w="0" w:type="dxa"/>
            <w:left w:w="108" w:type="dxa"/>
            <w:bottom w:w="0" w:type="dxa"/>
            <w:right w:w="108" w:type="dxa"/>
          </w:tblCellMar>
        </w:tblPrEx>
        <w:trPr>
          <w:trHeight w:val="59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7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lang w:val="zh-CN"/>
              </w:rPr>
            </w:pPr>
            <w:r>
              <w:rPr>
                <w:rFonts w:hint="eastAsia" w:ascii="宋体" w:hAnsi="宋体" w:eastAsia="宋体" w:cs="宋体"/>
                <w:sz w:val="24"/>
                <w:lang w:val="en-US" w:eastAsia="zh-CN"/>
              </w:rPr>
              <w:t>预算金额</w:t>
            </w:r>
          </w:p>
        </w:tc>
        <w:tc>
          <w:tcPr>
            <w:tcW w:w="751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lang w:val="en-US" w:eastAsia="zh-CN"/>
              </w:rPr>
            </w:pPr>
            <w:r>
              <w:rPr>
                <w:rFonts w:hint="eastAsia" w:ascii="宋体" w:hAnsi="宋体" w:cs="宋体"/>
                <w:sz w:val="24"/>
                <w:lang w:val="en-US" w:eastAsia="zh-CN"/>
              </w:rPr>
              <w:t>3605312.48元</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备注：磋商报价超过预算金额的，按照无效磋商处理。</w:t>
            </w:r>
          </w:p>
        </w:tc>
      </w:tr>
      <w:tr>
        <w:tblPrEx>
          <w:tblCellMar>
            <w:top w:w="0" w:type="dxa"/>
            <w:left w:w="108" w:type="dxa"/>
            <w:bottom w:w="0" w:type="dxa"/>
            <w:right w:w="108" w:type="dxa"/>
          </w:tblCellMar>
        </w:tblPrEx>
        <w:trPr>
          <w:trHeight w:val="863"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eastAsia="宋体" w:cs="宋体"/>
                <w:sz w:val="24"/>
                <w:lang w:val="en-US" w:eastAsia="zh-CN"/>
              </w:rPr>
            </w:pPr>
            <w:r>
              <w:rPr>
                <w:rFonts w:hint="eastAsia" w:asciiTheme="minorEastAsia" w:hAnsiTheme="minorEastAsia" w:eastAsiaTheme="minorEastAsia" w:cstheme="minorEastAsia"/>
                <w:sz w:val="24"/>
                <w:szCs w:val="24"/>
              </w:rPr>
              <w:t>资金落实情况</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eastAsia="宋体" w:cs="宋体"/>
                <w:sz w:val="24"/>
                <w:lang w:val="en-US" w:eastAsia="zh-CN"/>
              </w:rPr>
            </w:pPr>
            <w:r>
              <w:rPr>
                <w:rFonts w:hint="eastAsia" w:asciiTheme="minorEastAsia" w:hAnsiTheme="minorEastAsia" w:eastAsiaTheme="minorEastAsia" w:cstheme="minorEastAsia"/>
                <w:sz w:val="24"/>
                <w:szCs w:val="24"/>
              </w:rPr>
              <w:t>已落实</w:t>
            </w:r>
          </w:p>
        </w:tc>
      </w:tr>
      <w:tr>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w:t>
            </w:r>
            <w:r>
              <w:rPr>
                <w:rFonts w:hint="eastAsia" w:ascii="宋体" w:hAnsi="宋体" w:cs="宋体"/>
                <w:sz w:val="24"/>
                <w:szCs w:val="24"/>
              </w:rPr>
              <w:t>报价</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sz w:val="24"/>
                <w:szCs w:val="24"/>
              </w:rPr>
            </w:pPr>
            <w:r>
              <w:rPr>
                <w:rFonts w:hint="eastAsia" w:ascii="宋体" w:hAnsi="宋体" w:cs="宋体"/>
                <w:sz w:val="24"/>
                <w:szCs w:val="24"/>
              </w:rPr>
              <w:t>报价包含</w:t>
            </w:r>
            <w:r>
              <w:rPr>
                <w:rFonts w:hint="eastAsia" w:ascii="宋体" w:hAnsi="宋体" w:cs="仿宋_GB2312"/>
                <w:sz w:val="24"/>
                <w:szCs w:val="24"/>
              </w:rPr>
              <w:t>完成本次投标项目所包含的一切相关费用</w:t>
            </w:r>
          </w:p>
        </w:tc>
      </w:tr>
      <w:tr>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sz w:val="24"/>
                <w:szCs w:val="24"/>
              </w:rPr>
            </w:pPr>
            <w:r>
              <w:rPr>
                <w:rFonts w:hint="eastAsia" w:ascii="宋体" w:hAnsi="宋体" w:cs="宋体"/>
                <w:color w:val="auto"/>
                <w:sz w:val="24"/>
                <w:szCs w:val="24"/>
              </w:rPr>
              <w:t>投标文件</w:t>
            </w:r>
          </w:p>
        </w:tc>
        <w:tc>
          <w:tcPr>
            <w:tcW w:w="751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2" w:firstLineChars="200"/>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1、本项目采用电子化投标文件与纸质投标文件并行的方式。投标人须使用数字认证证书对电子化投标文件进行签章、加密、递交及开标时解密等相关招投标事宜。</w:t>
            </w:r>
          </w:p>
          <w:p>
            <w:pPr>
              <w:spacing w:line="360" w:lineRule="auto"/>
              <w:ind w:firstLine="482" w:firstLineChars="200"/>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2、纸质投标文件：为便于采购人归档和向监管部门备案，中标人须提交正本壹份、副本叁份、电子版（word版U盘）壹份，投标文件可采用系统上传的电子投标文件的打印件，投标文件正、副本须各自装订成册，统一编码（要求胶装、不得出现活页）。每份投标文件封皮须清楚地标明“正本”或“副本”。</w:t>
            </w:r>
          </w:p>
          <w:p>
            <w:pPr>
              <w:spacing w:line="360" w:lineRule="auto"/>
              <w:ind w:firstLine="482" w:firstLineChars="200"/>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递交方式：纸质版投标文件在开标时无需提交，待开标结束后，中标人须邮寄正本壹份、副本叁份、电子版（word版U盘）壹份；以电报、传真、电子邮件形式递交的投标文件将不予接受。</w:t>
            </w:r>
          </w:p>
          <w:p>
            <w:pPr>
              <w:spacing w:line="360" w:lineRule="auto"/>
              <w:ind w:firstLine="482" w:firstLineChars="200"/>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 xml:space="preserve">收件人：杨女士                    </w:t>
            </w:r>
          </w:p>
          <w:p>
            <w:pPr>
              <w:spacing w:line="360" w:lineRule="auto"/>
              <w:ind w:firstLine="482" w:firstLineChars="200"/>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收件电话：15353190523</w:t>
            </w:r>
          </w:p>
          <w:p>
            <w:pPr>
              <w:spacing w:line="360" w:lineRule="auto"/>
              <w:ind w:firstLine="482" w:firstLineChars="200"/>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收件地址：陕西省榆林市榆林大道南段富源大厦6楼602室</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9</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供应商资质</w:t>
            </w:r>
          </w:p>
          <w:p>
            <w:pPr>
              <w:adjustRightInd w:val="0"/>
              <w:snapToGrid w:val="0"/>
              <w:spacing w:line="360" w:lineRule="auto"/>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条件</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left="8" w:firstLine="410" w:firstLineChars="171"/>
              <w:rPr>
                <w:rFonts w:hint="eastAsia" w:ascii="宋体" w:hAnsi="宋体" w:cs="宋体"/>
                <w:sz w:val="24"/>
              </w:rPr>
            </w:pPr>
            <w:r>
              <w:rPr>
                <w:rFonts w:hint="eastAsia" w:ascii="宋体" w:hAnsi="宋体" w:cs="宋体"/>
                <w:sz w:val="24"/>
              </w:rPr>
              <w:t>（一）基本资格条件：符合《中华人民共和国政府采购法》第二十二条的规定。</w:t>
            </w:r>
          </w:p>
          <w:p>
            <w:pPr>
              <w:pStyle w:val="10"/>
              <w:adjustRightInd w:val="0"/>
              <w:snapToGrid w:val="0"/>
              <w:spacing w:line="240" w:lineRule="auto"/>
              <w:ind w:firstLine="420" w:firstLineChars="175"/>
              <w:rPr>
                <w:rFonts w:hint="eastAsia" w:ascii="宋体" w:hAnsi="宋体" w:cs="宋体"/>
                <w:b w:val="0"/>
                <w:sz w:val="24"/>
                <w:szCs w:val="22"/>
              </w:rPr>
            </w:pPr>
            <w:r>
              <w:rPr>
                <w:rFonts w:hint="eastAsia" w:ascii="宋体" w:hAnsi="宋体" w:cs="宋体"/>
                <w:b w:val="0"/>
                <w:sz w:val="24"/>
                <w:szCs w:val="22"/>
              </w:rPr>
              <w:t>（二）特定资格条件：</w:t>
            </w:r>
          </w:p>
          <w:p>
            <w:pPr>
              <w:bidi w:val="0"/>
              <w:spacing w:line="360" w:lineRule="auto"/>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②具备建设行政主管部门核发的市政公用工程施工总承包三级（含三级）以上资质，具备有效的安全生产许可证；</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③</w:t>
            </w:r>
            <w:r>
              <w:rPr>
                <w:rFonts w:hint="eastAsia" w:ascii="宋体" w:hAnsi="宋体" w:eastAsia="宋体" w:cs="宋体"/>
                <w:i w:val="0"/>
                <w:iCs w:val="0"/>
                <w:caps w:val="0"/>
                <w:color w:val="auto"/>
                <w:spacing w:val="0"/>
                <w:sz w:val="24"/>
                <w:szCs w:val="24"/>
                <w:shd w:val="clear" w:color="auto" w:fill="FFFFFF"/>
              </w:rPr>
              <w:t>拟派往本项目的建造师必须为本企业注册的建造师，具备市政公用工程专业二级及以上注册建造师执业资格和有效的安全生产考核合格证书(B证)，并提供2023年1月至今本企业为其缴纳的</w:t>
            </w:r>
            <w:r>
              <w:rPr>
                <w:rFonts w:hint="eastAsia" w:ascii="宋体" w:hAnsi="宋体" w:cs="宋体"/>
                <w:i w:val="0"/>
                <w:iCs w:val="0"/>
                <w:caps w:val="0"/>
                <w:color w:val="auto"/>
                <w:spacing w:val="0"/>
                <w:sz w:val="24"/>
                <w:szCs w:val="24"/>
                <w:shd w:val="clear" w:color="auto" w:fill="FFFFFF"/>
                <w:lang w:val="en-US" w:eastAsia="zh-CN"/>
              </w:rPr>
              <w:t>至少1个</w:t>
            </w:r>
            <w:r>
              <w:rPr>
                <w:rFonts w:hint="eastAsia" w:ascii="宋体" w:hAnsi="宋体" w:eastAsia="宋体" w:cs="宋体"/>
                <w:i w:val="0"/>
                <w:iCs w:val="0"/>
                <w:caps w:val="0"/>
                <w:color w:val="auto"/>
                <w:spacing w:val="0"/>
                <w:sz w:val="24"/>
                <w:szCs w:val="24"/>
                <w:shd w:val="clear" w:color="auto" w:fill="FFFFFF"/>
              </w:rPr>
              <w:t>月的社会保险缴纳证明材料（五险一金提供一项即可），且未担任其它在建工程的建造师；</w:t>
            </w:r>
            <w:r>
              <w:rPr>
                <w:rFonts w:hint="eastAsia" w:ascii="宋体" w:hAnsi="宋体" w:eastAsia="宋体" w:cs="宋体"/>
                <w:i w:val="0"/>
                <w:iCs w:val="0"/>
                <w:caps w:val="0"/>
                <w:color w:val="auto"/>
                <w:spacing w:val="0"/>
                <w:sz w:val="24"/>
                <w:szCs w:val="24"/>
                <w:shd w:val="clear" w:color="auto" w:fill="FFFFFF"/>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④税收缴纳证明：提供开标前6个月缴纳的至少</w:t>
            </w:r>
            <w:r>
              <w:rPr>
                <w:rFonts w:hint="eastAsia" w:ascii="宋体" w:hAnsi="宋体" w:cs="宋体"/>
                <w:sz w:val="24"/>
                <w:szCs w:val="24"/>
                <w:lang w:val="en-US" w:eastAsia="zh-CN"/>
              </w:rPr>
              <w:t>1</w:t>
            </w:r>
            <w:r>
              <w:rPr>
                <w:rFonts w:hint="eastAsia" w:ascii="宋体" w:hAnsi="宋体" w:eastAsia="宋体" w:cs="宋体"/>
                <w:sz w:val="24"/>
                <w:szCs w:val="24"/>
              </w:rPr>
              <w:t>个月的纳税证明（银行缴费凭证）或完税证明，依法免税的单位应提供相关证明材料；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⑤社会保障资金缴纳证明：提供开标前6个月缴纳的至少</w:t>
            </w:r>
            <w:r>
              <w:rPr>
                <w:rFonts w:hint="eastAsia" w:ascii="宋体" w:hAnsi="宋体" w:cs="宋体"/>
                <w:sz w:val="24"/>
                <w:szCs w:val="24"/>
                <w:lang w:val="en-US" w:eastAsia="zh-CN"/>
              </w:rPr>
              <w:t>1</w:t>
            </w:r>
            <w:r>
              <w:rPr>
                <w:rFonts w:hint="eastAsia" w:ascii="宋体" w:hAnsi="宋体" w:eastAsia="宋体" w:cs="宋体"/>
                <w:sz w:val="24"/>
                <w:szCs w:val="24"/>
              </w:rPr>
              <w:t>个月的社会保障资金银行缴费单据或社保机构开具的社会保险参保缴费情况证明，依法不需要缴纳社会保障资金的单位应提供相关证明材料；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⑥财务要求：经会计事务所或审计机构出具的</w:t>
            </w:r>
            <w:r>
              <w:rPr>
                <w:rFonts w:hint="eastAsia" w:ascii="宋体" w:hAnsi="宋体" w:eastAsia="宋体" w:cs="宋体"/>
                <w:sz w:val="24"/>
                <w:szCs w:val="24"/>
                <w:shd w:val="clear"/>
              </w:rPr>
              <w:t>财务审计报告（2022年度）；</w:t>
            </w:r>
            <w:r>
              <w:rPr>
                <w:rFonts w:hint="eastAsia" w:ascii="宋体" w:hAnsi="宋体" w:eastAsia="宋体" w:cs="宋体"/>
                <w:sz w:val="24"/>
                <w:szCs w:val="24"/>
              </w:rPr>
              <w:t>2023年至今新成立公司须提供银行资信证明；</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⑦参加政府采购活动前三年内，在经营活动中没有重大违法记录的书面声明；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⑧提供具有履行合同所必需的设备和专业技术能力的证明资料或承诺书；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⑨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⑩</w:t>
            </w:r>
            <w:r>
              <w:rPr>
                <w:rFonts w:hint="eastAsia" w:ascii="宋体" w:hAnsi="宋体" w:eastAsia="宋体" w:cs="宋体"/>
                <w:i w:val="0"/>
                <w:iCs w:val="0"/>
                <w:caps w:val="0"/>
                <w:color w:val="auto"/>
                <w:spacing w:val="0"/>
                <w:sz w:val="24"/>
                <w:szCs w:val="24"/>
                <w:shd w:val="clear" w:color="auto" w:fill="FFFFFF"/>
              </w:rPr>
              <w:t>自主上报信用承诺书：投标人及其授权委托人应在“信用中国（陕西榆林）”网站(www.ylcredit.gov.cn)进行注册、登录、自主上报信用承诺书，包括：《</w:t>
            </w:r>
            <w:r>
              <w:rPr>
                <w:rFonts w:hint="eastAsia" w:ascii="宋体" w:hAnsi="宋体" w:eastAsia="宋体" w:cs="宋体"/>
                <w:i w:val="0"/>
                <w:iCs w:val="0"/>
                <w:caps w:val="0"/>
                <w:color w:val="auto"/>
                <w:spacing w:val="0"/>
                <w:sz w:val="24"/>
                <w:szCs w:val="24"/>
                <w:shd w:val="clear" w:color="auto" w:fill="FFFFFF"/>
                <w:lang w:eastAsia="zh-CN"/>
              </w:rPr>
              <w:t>榆林市政府采购</w:t>
            </w:r>
            <w:r>
              <w:rPr>
                <w:rFonts w:hint="eastAsia" w:ascii="宋体" w:hAnsi="宋体" w:eastAsia="宋体" w:cs="宋体"/>
                <w:i w:val="0"/>
                <w:iCs w:val="0"/>
                <w:caps w:val="0"/>
                <w:color w:val="auto"/>
                <w:spacing w:val="0"/>
                <w:sz w:val="24"/>
                <w:szCs w:val="24"/>
                <w:shd w:val="clear" w:color="auto" w:fill="FFFFFF"/>
                <w:lang w:val="en-US" w:eastAsia="zh-CN"/>
              </w:rPr>
              <w:t>工程</w:t>
            </w:r>
            <w:r>
              <w:rPr>
                <w:rFonts w:hint="eastAsia" w:ascii="宋体" w:hAnsi="宋体" w:eastAsia="宋体" w:cs="宋体"/>
                <w:i w:val="0"/>
                <w:iCs w:val="0"/>
                <w:caps w:val="0"/>
                <w:color w:val="auto"/>
                <w:spacing w:val="0"/>
                <w:sz w:val="24"/>
                <w:szCs w:val="24"/>
                <w:shd w:val="clear" w:color="auto" w:fill="FFFFFF"/>
                <w:lang w:eastAsia="zh-CN"/>
              </w:rPr>
              <w:t>类项目供应商信用承诺书</w:t>
            </w:r>
            <w:r>
              <w:rPr>
                <w:rFonts w:hint="eastAsia" w:ascii="宋体" w:hAnsi="宋体" w:eastAsia="宋体" w:cs="宋体"/>
                <w:i w:val="0"/>
                <w:iCs w:val="0"/>
                <w:caps w:val="0"/>
                <w:color w:val="auto"/>
                <w:spacing w:val="0"/>
                <w:sz w:val="24"/>
                <w:szCs w:val="24"/>
                <w:shd w:val="clear" w:color="auto" w:fill="FFFFFF"/>
              </w:rPr>
              <w:t>》、《投标人信用承诺》、《投标人委托代理人员信用承诺书》(如有)、《投标信用承诺书》。</w:t>
            </w:r>
            <w:r>
              <w:rPr>
                <w:rFonts w:hint="eastAsia" w:ascii="宋体" w:hAnsi="宋体" w:eastAsia="宋体" w:cs="宋体"/>
                <w:sz w:val="24"/>
                <w:szCs w:val="24"/>
                <w:lang w:val="en-US" w:eastAsia="zh-CN"/>
              </w:rPr>
              <w:t xml:space="preserve">  </w:t>
            </w:r>
          </w:p>
          <w:p>
            <w:pPr>
              <w:bidi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⑪榆林市政府采购工程类项目供应商信用承诺书； </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⑫本项目专门面向</w:t>
            </w:r>
            <w:r>
              <w:rPr>
                <w:rFonts w:hint="eastAsia" w:ascii="宋体" w:hAnsi="宋体" w:cs="宋体"/>
                <w:sz w:val="24"/>
                <w:szCs w:val="24"/>
                <w:lang w:val="en-US" w:eastAsia="zh-CN"/>
              </w:rPr>
              <w:t>中小</w:t>
            </w:r>
            <w:r>
              <w:rPr>
                <w:rFonts w:hint="eastAsia" w:ascii="宋体" w:hAnsi="宋体" w:eastAsia="宋体" w:cs="宋体"/>
                <w:sz w:val="24"/>
                <w:szCs w:val="24"/>
              </w:rPr>
              <w:t>企业（提供中小企业声明函）</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备注：</w:t>
            </w:r>
            <w:r>
              <w:rPr>
                <w:rFonts w:hint="eastAsia" w:ascii="宋体" w:hAnsi="宋体" w:eastAsia="宋体" w:cs="宋体"/>
                <w:sz w:val="24"/>
                <w:szCs w:val="24"/>
              </w:rPr>
              <w:t>本项目不接受联合体投标，单位负责人为同一人或者存在直接控股、管理关系的不同投标人，不得参加同一合同项下的政府采购活动</w:t>
            </w:r>
            <w:r>
              <w:rPr>
                <w:rFonts w:hint="eastAsia" w:ascii="宋体" w:hAnsi="宋体" w:cs="宋体"/>
                <w:sz w:val="24"/>
                <w:szCs w:val="24"/>
                <w:lang w:eastAsia="zh-CN"/>
              </w:rPr>
              <w:t>（</w:t>
            </w:r>
            <w:r>
              <w:rPr>
                <w:rFonts w:hint="eastAsia" w:ascii="宋体" w:hAnsi="宋体" w:cs="宋体"/>
                <w:color w:val="000000" w:themeColor="text1"/>
                <w:sz w:val="24"/>
                <w:szCs w:val="24"/>
                <w:shd w:val="clear" w:color="auto" w:fill="auto"/>
                <w:lang w:val="en-US" w:eastAsia="zh-CN"/>
                <w14:textFill>
                  <w14:solidFill>
                    <w14:schemeClr w14:val="tx1"/>
                  </w14:solidFill>
                </w14:textFill>
              </w:rPr>
              <w:t>提供非联合体投标声明）</w:t>
            </w:r>
            <w:r>
              <w:rPr>
                <w:rFonts w:hint="eastAsia" w:ascii="宋体" w:hAnsi="宋体" w:eastAsia="宋体" w:cs="宋体"/>
                <w:sz w:val="24"/>
                <w:szCs w:val="24"/>
              </w:rPr>
              <w:t>。</w:t>
            </w:r>
          </w:p>
          <w:p>
            <w:pPr>
              <w:pStyle w:val="41"/>
              <w:adjustRightInd w:val="0"/>
              <w:snapToGrid w:val="0"/>
              <w:spacing w:line="360" w:lineRule="auto"/>
              <w:ind w:left="0" w:leftChars="0" w:firstLine="0" w:firstLineChars="0"/>
              <w:rPr>
                <w:rFonts w:ascii="宋体" w:hAnsi="宋体" w:cs="宋体"/>
                <w:color w:val="auto"/>
                <w:sz w:val="24"/>
                <w:szCs w:val="24"/>
              </w:rPr>
            </w:pPr>
            <w:r>
              <w:rPr>
                <w:rFonts w:hint="eastAsia" w:ascii="宋体" w:hAnsi="宋体" w:cs="宋体"/>
                <w:b/>
                <w:bCs w:val="0"/>
                <w:sz w:val="24"/>
                <w:szCs w:val="24"/>
              </w:rPr>
              <w:t>注：上述资质为必备资质，欠缺其中任何一项按无效投标处理。</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sz w:val="24"/>
                <w:szCs w:val="24"/>
              </w:rPr>
            </w:pPr>
            <w:r>
              <w:rPr>
                <w:rFonts w:hint="eastAsia" w:ascii="宋体" w:hAnsi="宋体" w:cs="宋体"/>
                <w:sz w:val="24"/>
                <w:szCs w:val="24"/>
              </w:rPr>
              <w:t>磋商有效期</w:t>
            </w:r>
          </w:p>
        </w:tc>
        <w:tc>
          <w:tcPr>
            <w:tcW w:w="7515" w:type="dxa"/>
            <w:tcBorders>
              <w:top w:val="single" w:color="auto" w:sz="4" w:space="0"/>
              <w:left w:val="single" w:color="auto" w:sz="4" w:space="0"/>
              <w:bottom w:val="single" w:color="auto" w:sz="4" w:space="0"/>
              <w:right w:val="single" w:color="auto" w:sz="4" w:space="0"/>
            </w:tcBorders>
            <w:vAlign w:val="center"/>
          </w:tcPr>
          <w:p>
            <w:pPr>
              <w:widowControl/>
              <w:tabs>
                <w:tab w:val="left" w:pos="1620"/>
              </w:tabs>
              <w:adjustRightInd w:val="0"/>
              <w:snapToGrid w:val="0"/>
              <w:spacing w:line="360" w:lineRule="auto"/>
              <w:jc w:val="left"/>
              <w:rPr>
                <w:rFonts w:asciiTheme="minorEastAsia" w:hAnsiTheme="minorEastAsia" w:eastAsiaTheme="minorEastAsia" w:cstheme="minorEastAsia"/>
                <w:bCs/>
                <w:kern w:val="2"/>
                <w:sz w:val="24"/>
                <w:szCs w:val="24"/>
              </w:rPr>
            </w:pPr>
            <w:r>
              <w:rPr>
                <w:rFonts w:hint="eastAsia"/>
                <w:sz w:val="24"/>
              </w:rPr>
              <w:t>磋商</w:t>
            </w:r>
            <w:r>
              <w:rPr>
                <w:rFonts w:hint="eastAsia" w:ascii="宋体" w:hAnsi="宋体" w:cs="宋体"/>
                <w:sz w:val="24"/>
                <w:szCs w:val="24"/>
              </w:rPr>
              <w:t>响应文件从磋商截止日起，磋商有效期为90天，磋商有效期短于此规定期限的响应文件，视为无效响应文件。</w:t>
            </w:r>
            <w:r>
              <w:rPr>
                <w:rFonts w:hint="eastAsia" w:ascii="宋体" w:hAnsi="宋体" w:cs="宋体"/>
                <w:sz w:val="24"/>
                <w:szCs w:val="24"/>
                <w:lang w:eastAsia="zh-CN"/>
              </w:rPr>
              <w:t>成交供应商</w:t>
            </w:r>
            <w:r>
              <w:rPr>
                <w:rFonts w:hint="eastAsia" w:ascii="宋体" w:hAnsi="宋体" w:cs="宋体"/>
                <w:sz w:val="24"/>
                <w:szCs w:val="24"/>
              </w:rPr>
              <w:t>的响应文件有效期延长至合同执行完毕。</w:t>
            </w:r>
          </w:p>
        </w:tc>
      </w:tr>
      <w:tr>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color w:val="000000"/>
                <w:sz w:val="24"/>
                <w:szCs w:val="24"/>
              </w:rPr>
            </w:pPr>
            <w:r>
              <w:rPr>
                <w:rFonts w:hint="eastAsia" w:ascii="宋体" w:hAnsi="宋体" w:cs="宋体"/>
                <w:color w:val="auto"/>
                <w:sz w:val="24"/>
              </w:rPr>
              <w:t>竞争性磋商响应文件递交截止时间</w:t>
            </w:r>
            <w:r>
              <w:rPr>
                <w:rFonts w:hint="eastAsia" w:ascii="宋体" w:hAnsi="宋体" w:cs="宋体"/>
                <w:color w:val="auto"/>
                <w:sz w:val="24"/>
                <w:lang w:val="zh-CN"/>
              </w:rPr>
              <w:t>、</w:t>
            </w:r>
            <w:r>
              <w:rPr>
                <w:rFonts w:hint="eastAsia"/>
                <w:color w:val="auto"/>
                <w:sz w:val="24"/>
                <w:szCs w:val="24"/>
              </w:rPr>
              <w:t>磋商</w:t>
            </w:r>
            <w:r>
              <w:rPr>
                <w:rFonts w:hint="eastAsia" w:ascii="宋体" w:hAnsi="宋体" w:cs="宋体"/>
                <w:color w:val="auto"/>
                <w:sz w:val="24"/>
                <w:szCs w:val="24"/>
              </w:rPr>
              <w:t>时间、</w:t>
            </w:r>
            <w:r>
              <w:rPr>
                <w:rFonts w:hint="eastAsia" w:ascii="宋体" w:hAnsi="宋体" w:cs="宋体"/>
                <w:color w:val="auto"/>
                <w:sz w:val="24"/>
                <w:lang w:val="zh-CN"/>
              </w:rPr>
              <w:t>地点</w:t>
            </w:r>
          </w:p>
        </w:tc>
        <w:tc>
          <w:tcPr>
            <w:tcW w:w="751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szCs w:val="24"/>
              </w:rPr>
            </w:pPr>
            <w:r>
              <w:rPr>
                <w:rFonts w:hint="eastAsia" w:ascii="宋体" w:hAnsi="宋体" w:cs="宋体"/>
                <w:color w:val="auto"/>
                <w:sz w:val="24"/>
              </w:rPr>
              <w:t>竞争性磋商响应文件递交截止时间</w:t>
            </w:r>
            <w:r>
              <w:rPr>
                <w:rFonts w:hint="eastAsia" w:ascii="宋体" w:hAnsi="宋体" w:cs="宋体"/>
                <w:color w:val="auto"/>
                <w:sz w:val="24"/>
                <w:szCs w:val="24"/>
              </w:rPr>
              <w:t>及开标时间和地点：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4"/>
                <w:lang w:val="en-US" w:eastAsia="zh-CN"/>
              </w:rPr>
            </w:pPr>
            <w:r>
              <w:rPr>
                <w:rFonts w:hint="eastAsia" w:ascii="宋体" w:hAnsi="宋体" w:cs="宋体"/>
                <w:color w:val="auto"/>
                <w:sz w:val="24"/>
              </w:rPr>
              <w:t>竞争性磋商响应文件递交截止时间：</w:t>
            </w:r>
            <w:r>
              <w:rPr>
                <w:rFonts w:hint="eastAsia" w:ascii="宋体" w:hAnsi="宋体" w:cs="宋体"/>
                <w:color w:val="auto"/>
                <w:sz w:val="24"/>
                <w:lang w:val="zh-CN" w:eastAsia="zh-CN"/>
              </w:rPr>
              <w:t>2023年</w:t>
            </w:r>
            <w:r>
              <w:rPr>
                <w:rFonts w:hint="eastAsia" w:ascii="宋体" w:hAnsi="宋体" w:cs="宋体"/>
                <w:color w:val="auto"/>
                <w:sz w:val="24"/>
                <w:lang w:val="en-US" w:eastAsia="zh-CN"/>
              </w:rPr>
              <w:t>10</w:t>
            </w:r>
            <w:r>
              <w:rPr>
                <w:rFonts w:hint="eastAsia" w:ascii="宋体" w:hAnsi="宋体" w:cs="宋体"/>
                <w:color w:val="auto"/>
                <w:sz w:val="24"/>
                <w:lang w:val="zh-CN" w:eastAsia="zh-CN"/>
              </w:rPr>
              <w:t>月</w:t>
            </w:r>
            <w:r>
              <w:rPr>
                <w:rFonts w:hint="eastAsia" w:ascii="宋体" w:hAnsi="宋体" w:cs="宋体"/>
                <w:color w:val="auto"/>
                <w:sz w:val="24"/>
                <w:lang w:val="en-US" w:eastAsia="zh-CN"/>
              </w:rPr>
              <w:t>18</w:t>
            </w:r>
            <w:r>
              <w:rPr>
                <w:rFonts w:hint="eastAsia" w:ascii="宋体" w:hAnsi="宋体" w:cs="宋体"/>
                <w:color w:val="auto"/>
                <w:sz w:val="24"/>
                <w:lang w:val="zh-CN" w:eastAsia="zh-CN"/>
              </w:rPr>
              <w:t>日</w:t>
            </w:r>
            <w:r>
              <w:rPr>
                <w:rFonts w:hint="eastAsia" w:ascii="宋体" w:hAnsi="宋体" w:cs="宋体"/>
                <w:color w:val="auto"/>
                <w:sz w:val="24"/>
                <w:lang w:val="en-US" w:eastAsia="zh-CN"/>
              </w:rPr>
              <w:t>08</w:t>
            </w:r>
            <w:r>
              <w:rPr>
                <w:rFonts w:hint="eastAsia" w:ascii="宋体" w:hAnsi="宋体" w:cs="宋体"/>
                <w:color w:val="auto"/>
                <w:sz w:val="24"/>
                <w:lang w:val="zh-CN" w:eastAsia="zh-CN"/>
              </w:rPr>
              <w:t>时</w:t>
            </w:r>
            <w:r>
              <w:rPr>
                <w:rFonts w:hint="eastAsia" w:ascii="宋体" w:hAnsi="宋体" w:cs="宋体"/>
                <w:color w:val="auto"/>
                <w:sz w:val="24"/>
                <w:lang w:val="en-US" w:eastAsia="zh-CN"/>
              </w:rPr>
              <w:t>3</w:t>
            </w:r>
            <w:r>
              <w:rPr>
                <w:rFonts w:hint="eastAsia" w:ascii="宋体" w:hAnsi="宋体" w:cs="宋体"/>
                <w:color w:val="auto"/>
                <w:sz w:val="24"/>
                <w:lang w:val="zh-CN" w:eastAsia="zh-CN"/>
              </w:rPr>
              <w:t>0分</w:t>
            </w:r>
            <w:r>
              <w:rPr>
                <w:rFonts w:hint="eastAsia" w:ascii="宋体" w:hAnsi="宋体" w:cs="宋体"/>
                <w:color w:val="auto"/>
                <w:sz w:val="24"/>
                <w:lang w:val="en-US" w:eastAsia="zh-CN"/>
              </w:rPr>
              <w:t xml:space="preserve"> </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4"/>
              </w:rPr>
            </w:pPr>
            <w:r>
              <w:rPr>
                <w:rFonts w:hint="eastAsia" w:ascii="宋体" w:hAnsi="宋体" w:cs="宋体"/>
                <w:color w:val="auto"/>
                <w:sz w:val="24"/>
              </w:rPr>
              <w:t>磋商时间：</w:t>
            </w:r>
            <w:r>
              <w:rPr>
                <w:rFonts w:hint="eastAsia" w:ascii="宋体" w:hAnsi="宋体" w:cs="宋体"/>
                <w:color w:val="auto"/>
                <w:sz w:val="24"/>
                <w:lang w:val="zh-CN" w:eastAsia="zh-CN"/>
              </w:rPr>
              <w:t>2023年</w:t>
            </w:r>
            <w:r>
              <w:rPr>
                <w:rFonts w:hint="eastAsia" w:ascii="宋体" w:hAnsi="宋体" w:cs="宋体"/>
                <w:color w:val="auto"/>
                <w:sz w:val="24"/>
                <w:lang w:val="en-US" w:eastAsia="zh-CN"/>
              </w:rPr>
              <w:t>10</w:t>
            </w:r>
            <w:r>
              <w:rPr>
                <w:rFonts w:hint="eastAsia" w:ascii="宋体" w:hAnsi="宋体" w:cs="宋体"/>
                <w:color w:val="auto"/>
                <w:sz w:val="24"/>
                <w:lang w:val="zh-CN" w:eastAsia="zh-CN"/>
              </w:rPr>
              <w:t>月</w:t>
            </w:r>
            <w:r>
              <w:rPr>
                <w:rFonts w:hint="eastAsia" w:ascii="宋体" w:hAnsi="宋体" w:cs="宋体"/>
                <w:color w:val="auto"/>
                <w:sz w:val="24"/>
                <w:lang w:val="en-US" w:eastAsia="zh-CN"/>
              </w:rPr>
              <w:t>18</w:t>
            </w:r>
            <w:r>
              <w:rPr>
                <w:rFonts w:hint="eastAsia" w:ascii="宋体" w:hAnsi="宋体" w:cs="宋体"/>
                <w:color w:val="auto"/>
                <w:sz w:val="24"/>
                <w:lang w:val="zh-CN" w:eastAsia="zh-CN"/>
              </w:rPr>
              <w:t>日</w:t>
            </w:r>
            <w:r>
              <w:rPr>
                <w:rFonts w:hint="eastAsia" w:ascii="宋体" w:hAnsi="宋体" w:cs="宋体"/>
                <w:color w:val="auto"/>
                <w:sz w:val="24"/>
                <w:lang w:val="en-US" w:eastAsia="zh-CN"/>
              </w:rPr>
              <w:t>08</w:t>
            </w:r>
            <w:r>
              <w:rPr>
                <w:rFonts w:hint="eastAsia" w:ascii="宋体" w:hAnsi="宋体" w:cs="宋体"/>
                <w:color w:val="auto"/>
                <w:sz w:val="24"/>
                <w:lang w:val="zh-CN" w:eastAsia="zh-CN"/>
              </w:rPr>
              <w:t>时</w:t>
            </w:r>
            <w:r>
              <w:rPr>
                <w:rFonts w:hint="eastAsia" w:ascii="宋体" w:hAnsi="宋体" w:cs="宋体"/>
                <w:color w:val="auto"/>
                <w:sz w:val="24"/>
                <w:lang w:val="en-US" w:eastAsia="zh-CN"/>
              </w:rPr>
              <w:t>3</w:t>
            </w:r>
            <w:r>
              <w:rPr>
                <w:rFonts w:hint="eastAsia" w:ascii="宋体" w:hAnsi="宋体" w:cs="宋体"/>
                <w:color w:val="auto"/>
                <w:sz w:val="24"/>
                <w:lang w:val="zh-CN" w:eastAsia="zh-CN"/>
              </w:rPr>
              <w:t>0分</w:t>
            </w:r>
            <w:r>
              <w:rPr>
                <w:rFonts w:hint="eastAsia" w:ascii="宋体" w:hAnsi="宋体" w:cs="宋体"/>
                <w:color w:val="auto"/>
                <w:sz w:val="24"/>
                <w:lang w:val="en-US" w:eastAsia="zh-CN"/>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default" w:ascii="宋体" w:hAnsi="宋体" w:cs="宋体"/>
                <w:sz w:val="24"/>
                <w:szCs w:val="24"/>
                <w:u w:val="single"/>
                <w:lang w:val="en-US"/>
              </w:rPr>
            </w:pPr>
            <w:r>
              <w:rPr>
                <w:rFonts w:hint="eastAsia" w:ascii="宋体" w:hAnsi="宋体" w:cs="宋体"/>
                <w:color w:val="auto"/>
                <w:sz w:val="24"/>
                <w:lang w:eastAsia="zh-CN"/>
              </w:rPr>
              <w:t>磋商</w:t>
            </w:r>
            <w:r>
              <w:rPr>
                <w:rFonts w:hint="eastAsia" w:ascii="宋体" w:hAnsi="宋体" w:cs="宋体"/>
                <w:color w:val="auto"/>
                <w:sz w:val="24"/>
              </w:rPr>
              <w:t>地点：</w:t>
            </w:r>
            <w:r>
              <w:rPr>
                <w:rFonts w:hint="eastAsia" w:ascii="宋体" w:hAnsi="宋体" w:eastAsia="宋体" w:cs="宋体"/>
                <w:i w:val="0"/>
                <w:iCs w:val="0"/>
                <w:caps w:val="0"/>
                <w:color w:val="auto"/>
                <w:spacing w:val="0"/>
                <w:sz w:val="24"/>
                <w:szCs w:val="24"/>
                <w:shd w:val="clear" w:fill="FFFFFF"/>
              </w:rPr>
              <w:t>榆林市公共资源交易中心十楼开标10室</w:t>
            </w:r>
          </w:p>
        </w:tc>
      </w:tr>
      <w:tr>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宋体" w:hAnsi="宋体" w:cs="宋体"/>
                <w:color w:val="auto"/>
                <w:sz w:val="24"/>
                <w:lang w:val="zh-CN"/>
              </w:rPr>
            </w:pPr>
            <w:r>
              <w:rPr>
                <w:rFonts w:hint="eastAsia" w:ascii="宋体" w:hAnsi="宋体" w:cs="宋体"/>
                <w:color w:val="auto"/>
                <w:sz w:val="24"/>
                <w:szCs w:val="24"/>
              </w:rPr>
              <w:t>磋商保证金</w:t>
            </w:r>
          </w:p>
        </w:tc>
        <w:tc>
          <w:tcPr>
            <w:tcW w:w="7515" w:type="dxa"/>
            <w:tcBorders>
              <w:top w:val="single" w:color="auto" w:sz="4" w:space="0"/>
              <w:left w:val="single" w:color="auto" w:sz="4" w:space="0"/>
              <w:bottom w:val="single" w:color="auto" w:sz="4" w:space="0"/>
              <w:right w:val="single" w:color="auto" w:sz="4" w:space="0"/>
            </w:tcBorders>
            <w:vAlign w:val="center"/>
          </w:tcPr>
          <w:p>
            <w:pPr>
              <w:pStyle w:val="47"/>
              <w:spacing w:before="90"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是否要求投标人递交投标保证金：</w:t>
            </w:r>
          </w:p>
          <w:p>
            <w:pPr>
              <w:pStyle w:val="47"/>
              <w:spacing w:line="360" w:lineRule="auto"/>
              <w:jc w:val="left"/>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□要求，投标保证金的金额：/</w:t>
            </w:r>
          </w:p>
          <w:p>
            <w:pPr>
              <w:spacing w:line="360" w:lineRule="auto"/>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☑不要求</w:t>
            </w:r>
          </w:p>
          <w:p>
            <w:pPr>
              <w:widowControl/>
              <w:tabs>
                <w:tab w:val="left" w:pos="1620"/>
              </w:tabs>
              <w:adjustRightInd w:val="0"/>
              <w:snapToGrid w:val="0"/>
              <w:spacing w:line="360" w:lineRule="auto"/>
              <w:ind w:firstLine="480" w:firstLineChars="200"/>
              <w:jc w:val="left"/>
              <w:rPr>
                <w:rFonts w:hint="default" w:ascii="宋体" w:hAnsi="宋体" w:cs="宋体"/>
                <w:color w:val="auto"/>
                <w:sz w:val="24"/>
                <w:szCs w:val="24"/>
                <w:lang w:val="en-US"/>
              </w:rPr>
            </w:pPr>
            <w:r>
              <w:rPr>
                <w:rFonts w:hint="eastAsia" w:ascii="宋体" w:hAnsi="宋体" w:eastAsia="宋体" w:cs="宋体"/>
                <w:kern w:val="2"/>
                <w:sz w:val="24"/>
                <w:szCs w:val="24"/>
                <w:highlight w:val="none"/>
                <w:lang w:val="en-US" w:eastAsia="zh-CN" w:bidi="ar-SA"/>
              </w:rPr>
              <w:t>根据榆林市财政局下发的榆政财采发【2023】8号文件规定实行信用承诺代替保证金。投标人可签署“投标信用承诺书”代替保证金。投标人在投标文件中附“投标信用承诺书”并按要求签字盖章及</w:t>
            </w:r>
            <w:r>
              <w:rPr>
                <w:rFonts w:hint="eastAsia" w:cs="宋体"/>
                <w:b/>
                <w:bCs/>
                <w:kern w:val="0"/>
                <w:sz w:val="24"/>
                <w:highlight w:val="none"/>
                <w:lang w:val="en-US" w:eastAsia="zh-CN"/>
              </w:rPr>
              <w:t>附信用承诺网页截图。</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文件第八部分</w:t>
            </w:r>
            <w:r>
              <w:rPr>
                <w:rFonts w:hint="eastAsia" w:ascii="宋体" w:hAnsi="宋体" w:cs="宋体"/>
                <w:kern w:val="2"/>
                <w:sz w:val="24"/>
                <w:szCs w:val="24"/>
                <w:highlight w:val="none"/>
                <w:lang w:val="en-US" w:eastAsia="zh-CN" w:bidi="ar-SA"/>
              </w:rPr>
              <w:t>附件2</w:t>
            </w:r>
            <w:r>
              <w:rPr>
                <w:rFonts w:hint="default" w:ascii="宋体" w:hAnsi="宋体" w:eastAsia="宋体" w:cs="宋体"/>
                <w:kern w:val="2"/>
                <w:sz w:val="24"/>
                <w:szCs w:val="24"/>
                <w:highlight w:val="none"/>
                <w:lang w:val="en-US" w:eastAsia="zh-CN" w:bidi="ar-SA"/>
              </w:rPr>
              <w:t>）</w:t>
            </w:r>
          </w:p>
        </w:tc>
      </w:tr>
      <w:tr>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宋体" w:hAnsi="宋体" w:cs="宋体"/>
                <w:color w:val="auto"/>
                <w:sz w:val="24"/>
                <w:szCs w:val="24"/>
              </w:rPr>
            </w:pPr>
            <w:r>
              <w:rPr>
                <w:rFonts w:hint="eastAsia" w:asciiTheme="minorEastAsia" w:hAnsiTheme="minorEastAsia" w:eastAsiaTheme="minorEastAsia" w:cstheme="minorEastAsia"/>
                <w:sz w:val="24"/>
                <w:szCs w:val="24"/>
              </w:rPr>
              <w:t>是否接受联合体投标</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color w:val="auto"/>
                <w:sz w:val="24"/>
                <w:szCs w:val="24"/>
              </w:rPr>
            </w:pPr>
            <w:r>
              <w:rPr>
                <w:rFonts w:hint="eastAsia" w:asciiTheme="minorEastAsia" w:hAnsiTheme="minorEastAsia" w:eastAsiaTheme="minorEastAsia" w:cstheme="minorEastAsia"/>
                <w:sz w:val="24"/>
                <w:szCs w:val="24"/>
              </w:rPr>
              <w:t>不接受</w:t>
            </w:r>
          </w:p>
        </w:tc>
      </w:tr>
      <w:tr>
        <w:tblPrEx>
          <w:tblCellMar>
            <w:top w:w="0" w:type="dxa"/>
            <w:left w:w="108" w:type="dxa"/>
            <w:bottom w:w="0" w:type="dxa"/>
            <w:right w:w="108" w:type="dxa"/>
          </w:tblCellMar>
        </w:tblPrEx>
        <w:trPr>
          <w:trHeight w:val="497" w:hRule="atLeast"/>
        </w:trPr>
        <w:tc>
          <w:tcPr>
            <w:tcW w:w="723"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1765"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bCs/>
                <w:color w:val="FF0000"/>
                <w:sz w:val="24"/>
                <w:szCs w:val="24"/>
                <w:lang w:val="en-US" w:eastAsia="zh-CN"/>
              </w:rPr>
              <w:t>工期</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color w:val="auto"/>
                <w:sz w:val="24"/>
                <w:szCs w:val="24"/>
                <w:lang w:val="en-US" w:eastAsia="zh-CN"/>
              </w:rPr>
              <w:t>2个月</w:t>
            </w:r>
          </w:p>
        </w:tc>
      </w:tr>
      <w:tr>
        <w:tblPrEx>
          <w:tblCellMar>
            <w:top w:w="0" w:type="dxa"/>
            <w:left w:w="108" w:type="dxa"/>
            <w:bottom w:w="0" w:type="dxa"/>
            <w:right w:w="108" w:type="dxa"/>
          </w:tblCellMar>
        </w:tblPrEx>
        <w:trPr>
          <w:trHeight w:val="552" w:hRule="atLeast"/>
        </w:trPr>
        <w:tc>
          <w:tcPr>
            <w:tcW w:w="723" w:type="dxa"/>
            <w:vMerge w:val="continue"/>
            <w:tcBorders>
              <w:left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p>
        </w:tc>
        <w:tc>
          <w:tcPr>
            <w:tcW w:w="1765" w:type="dxa"/>
            <w:tcBorders>
              <w:top w:val="single" w:color="auto" w:sz="4" w:space="0"/>
              <w:left w:val="single" w:color="auto" w:sz="4" w:space="0"/>
              <w:right w:val="single" w:color="auto" w:sz="4" w:space="0"/>
            </w:tcBorders>
            <w:shd w:val="clear" w:color="auto" w:fill="auto"/>
            <w:vAlign w:val="center"/>
          </w:tcPr>
          <w:p>
            <w:pPr>
              <w:adjustRightInd w:val="0"/>
              <w:snapToGrid w:val="0"/>
              <w:spacing w:line="360" w:lineRule="auto"/>
              <w:jc w:val="center"/>
              <w:rPr>
                <w:rFonts w:hint="eastAsia" w:asciiTheme="minorEastAsia" w:hAnsiTheme="minorEastAsia" w:eastAsiaTheme="minorEastAsia" w:cstheme="minorEastAsia"/>
                <w:bCs/>
                <w:color w:val="auto"/>
                <w:sz w:val="24"/>
                <w:szCs w:val="24"/>
                <w:lang w:val="zh-CN" w:eastAsia="zh-CN"/>
              </w:rPr>
            </w:pPr>
            <w:r>
              <w:rPr>
                <w:rFonts w:hint="eastAsia" w:asciiTheme="minorEastAsia" w:hAnsiTheme="minorEastAsia" w:eastAsiaTheme="minorEastAsia" w:cstheme="minorEastAsia"/>
                <w:bCs/>
                <w:color w:val="auto"/>
                <w:sz w:val="24"/>
                <w:szCs w:val="24"/>
                <w:lang w:val="en-US" w:eastAsia="zh-CN"/>
              </w:rPr>
              <w:t>质保期</w:t>
            </w:r>
          </w:p>
        </w:tc>
        <w:tc>
          <w:tcPr>
            <w:tcW w:w="75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left"/>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highlight w:val="yellow"/>
                <w:lang w:val="en-US" w:eastAsia="zh-CN"/>
              </w:rPr>
              <w:t>验收合格后1年</w:t>
            </w:r>
          </w:p>
        </w:tc>
      </w:tr>
      <w:tr>
        <w:tblPrEx>
          <w:tblCellMar>
            <w:top w:w="0" w:type="dxa"/>
            <w:left w:w="108" w:type="dxa"/>
            <w:bottom w:w="0" w:type="dxa"/>
            <w:right w:w="108" w:type="dxa"/>
          </w:tblCellMar>
        </w:tblPrEx>
        <w:trPr>
          <w:trHeight w:val="507" w:hRule="atLeast"/>
        </w:trPr>
        <w:tc>
          <w:tcPr>
            <w:tcW w:w="723" w:type="dxa"/>
            <w:vMerge w:val="continue"/>
            <w:tcBorders>
              <w:left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val="en-US" w:eastAsia="zh-CN"/>
              </w:rPr>
            </w:pPr>
          </w:p>
        </w:tc>
        <w:tc>
          <w:tcPr>
            <w:tcW w:w="1765"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工程质量</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合格</w:t>
            </w:r>
          </w:p>
        </w:tc>
      </w:tr>
      <w:tr>
        <w:tblPrEx>
          <w:tblCellMar>
            <w:top w:w="0" w:type="dxa"/>
            <w:left w:w="108" w:type="dxa"/>
            <w:bottom w:w="0" w:type="dxa"/>
            <w:right w:w="108" w:type="dxa"/>
          </w:tblCellMar>
        </w:tblPrEx>
        <w:trPr>
          <w:trHeight w:val="707"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17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FF0000"/>
                <w:sz w:val="24"/>
                <w:szCs w:val="24"/>
                <w:lang w:val="zh-CN" w:eastAsia="zh-CN"/>
              </w:rPr>
              <w:t>付款方式</w:t>
            </w:r>
          </w:p>
        </w:tc>
        <w:tc>
          <w:tcPr>
            <w:tcW w:w="7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heme="minorEastAsia" w:hAnsiTheme="minorEastAsia" w:eastAsiaTheme="minorEastAsia" w:cstheme="minorEastAsia"/>
                <w:bCs/>
                <w:color w:val="auto"/>
                <w:sz w:val="24"/>
                <w:szCs w:val="24"/>
                <w:lang w:val="en-US" w:eastAsia="zh-CN"/>
              </w:rPr>
            </w:pPr>
            <w:r>
              <w:rPr>
                <w:rFonts w:hint="eastAsia" w:ascii="宋体" w:hAnsi="宋体" w:cs="宋体"/>
                <w:b w:val="0"/>
                <w:bCs/>
                <w:color w:val="auto"/>
                <w:sz w:val="24"/>
                <w:szCs w:val="24"/>
                <w:lang w:val="en-US" w:eastAsia="zh-CN"/>
              </w:rPr>
              <w:t>合同签订后支付合同价款40%，项目完工后支付合同价款40%，项目审计后支付剩余的20%的合同价款。</w:t>
            </w:r>
          </w:p>
        </w:tc>
      </w:tr>
      <w:tr>
        <w:tblPrEx>
          <w:tblCellMar>
            <w:top w:w="0" w:type="dxa"/>
            <w:left w:w="108" w:type="dxa"/>
            <w:bottom w:w="0" w:type="dxa"/>
            <w:right w:w="108" w:type="dxa"/>
          </w:tblCellMar>
        </w:tblPrEx>
        <w:trPr>
          <w:trHeight w:val="56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bCs/>
                <w:color w:val="auto"/>
                <w:sz w:val="24"/>
                <w:szCs w:val="24"/>
                <w:lang w:val="zh-CN" w:eastAsia="zh-CN"/>
              </w:rPr>
            </w:pPr>
            <w:r>
              <w:rPr>
                <w:rFonts w:hint="eastAsia" w:ascii="宋体" w:hAnsi="宋体" w:cs="宋体"/>
                <w:color w:val="auto"/>
                <w:sz w:val="24"/>
                <w:szCs w:val="24"/>
                <w:lang w:val="en-US" w:eastAsia="zh-CN"/>
              </w:rPr>
              <w:t>施工地点</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bCs/>
                <w:color w:val="auto"/>
                <w:sz w:val="24"/>
                <w:szCs w:val="24"/>
                <w:lang w:val="en-US" w:eastAsia="zh-CN"/>
              </w:rPr>
            </w:pPr>
            <w:r>
              <w:rPr>
                <w:rFonts w:hint="eastAsia" w:ascii="Times New Roman" w:hAnsi="Times New Roman" w:eastAsia="宋体" w:cs="Times New Roman"/>
                <w:kern w:val="2"/>
                <w:sz w:val="24"/>
                <w:szCs w:val="16"/>
                <w:lang w:val="en-US" w:eastAsia="zh-CN" w:bidi="ar-SA"/>
              </w:rPr>
              <w:t>子洲县马蹄沟</w:t>
            </w:r>
            <w:r>
              <w:rPr>
                <w:rFonts w:hint="eastAsia" w:cs="Times New Roman"/>
                <w:kern w:val="2"/>
                <w:sz w:val="24"/>
                <w:szCs w:val="16"/>
                <w:lang w:val="en-US" w:eastAsia="zh-CN" w:bidi="ar-SA"/>
              </w:rPr>
              <w:t>镇</w:t>
            </w:r>
            <w:r>
              <w:rPr>
                <w:rFonts w:hint="eastAsia" w:ascii="Times New Roman" w:hAnsi="Times New Roman" w:eastAsia="宋体" w:cs="Times New Roman"/>
                <w:kern w:val="2"/>
                <w:sz w:val="24"/>
                <w:szCs w:val="16"/>
                <w:lang w:val="en-US" w:eastAsia="zh-CN" w:bidi="ar-SA"/>
              </w:rPr>
              <w:t xml:space="preserve"> </w:t>
            </w:r>
          </w:p>
        </w:tc>
      </w:tr>
      <w:tr>
        <w:tblPrEx>
          <w:tblCellMar>
            <w:top w:w="0" w:type="dxa"/>
            <w:left w:w="108" w:type="dxa"/>
            <w:bottom w:w="0" w:type="dxa"/>
            <w:right w:w="108" w:type="dxa"/>
          </w:tblCellMar>
        </w:tblPrEx>
        <w:trPr>
          <w:trHeight w:val="54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color w:val="auto"/>
                <w:sz w:val="24"/>
                <w:szCs w:val="24"/>
                <w:lang w:val="zh-CN"/>
              </w:rPr>
            </w:pPr>
            <w:r>
              <w:rPr>
                <w:rFonts w:hint="eastAsia"/>
                <w:sz w:val="24"/>
              </w:rPr>
              <w:t>评审方法</w:t>
            </w:r>
          </w:p>
        </w:tc>
        <w:tc>
          <w:tcPr>
            <w:tcW w:w="7515" w:type="dxa"/>
            <w:tcBorders>
              <w:top w:val="single" w:color="auto" w:sz="4" w:space="0"/>
              <w:left w:val="single" w:color="auto" w:sz="4" w:space="0"/>
              <w:bottom w:val="single" w:color="auto" w:sz="4" w:space="0"/>
              <w:right w:val="single" w:color="auto" w:sz="4" w:space="0"/>
            </w:tcBorders>
            <w:vAlign w:val="center"/>
          </w:tcPr>
          <w:p>
            <w:pPr>
              <w:pStyle w:val="9"/>
              <w:topLinePunct/>
              <w:adjustRightInd w:val="0"/>
              <w:snapToGrid w:val="0"/>
              <w:spacing w:line="360" w:lineRule="auto"/>
              <w:ind w:left="470" w:leftChars="24" w:hanging="420" w:hangingChars="175"/>
              <w:rPr>
                <w:rFonts w:hint="default" w:eastAsia="宋体" w:asciiTheme="minorEastAsia" w:hAnsiTheme="minorEastAsia" w:cstheme="minorEastAsia"/>
                <w:color w:val="auto"/>
                <w:sz w:val="24"/>
                <w:szCs w:val="24"/>
                <w:lang w:val="en-US" w:eastAsia="zh-CN"/>
              </w:rPr>
            </w:pPr>
            <w:r>
              <w:rPr>
                <w:rFonts w:hint="eastAsia"/>
                <w:sz w:val="24"/>
              </w:rPr>
              <w:t>综合评分法</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sz w:val="24"/>
              </w:rPr>
              <w:t>合同签订</w:t>
            </w:r>
          </w:p>
        </w:tc>
        <w:tc>
          <w:tcPr>
            <w:tcW w:w="7515" w:type="dxa"/>
            <w:tcBorders>
              <w:top w:val="single" w:color="auto" w:sz="4" w:space="0"/>
              <w:left w:val="single" w:color="auto" w:sz="4" w:space="0"/>
              <w:bottom w:val="single" w:color="auto" w:sz="4" w:space="0"/>
              <w:right w:val="single" w:color="auto" w:sz="4" w:space="0"/>
            </w:tcBorders>
            <w:vAlign w:val="center"/>
          </w:tcPr>
          <w:p>
            <w:pPr>
              <w:pStyle w:val="9"/>
              <w:topLinePunct/>
              <w:adjustRightInd w:val="0"/>
              <w:snapToGrid w:val="0"/>
              <w:spacing w:line="360" w:lineRule="auto"/>
              <w:ind w:left="470" w:leftChars="24" w:hanging="420" w:hangingChars="175"/>
              <w:rPr>
                <w:rFonts w:asciiTheme="minorEastAsia" w:hAnsiTheme="minorEastAsia" w:eastAsiaTheme="minorEastAsia" w:cstheme="minorEastAsia"/>
                <w:sz w:val="24"/>
                <w:szCs w:val="24"/>
              </w:rPr>
            </w:pPr>
            <w:r>
              <w:rPr>
                <w:rFonts w:hint="eastAsia"/>
                <w:sz w:val="24"/>
                <w:lang w:eastAsia="zh-CN"/>
              </w:rPr>
              <w:t>成交供应商</w:t>
            </w:r>
            <w:r>
              <w:rPr>
                <w:rFonts w:hint="eastAsia"/>
                <w:sz w:val="24"/>
              </w:rPr>
              <w:t>与</w:t>
            </w:r>
            <w:r>
              <w:rPr>
                <w:rFonts w:hint="eastAsia"/>
                <w:sz w:val="24"/>
                <w:lang w:eastAsia="zh-CN"/>
              </w:rPr>
              <w:t>采购人</w:t>
            </w:r>
            <w:r>
              <w:rPr>
                <w:rFonts w:hint="eastAsia"/>
                <w:sz w:val="24"/>
              </w:rPr>
              <w:t>签订合同。</w:t>
            </w:r>
          </w:p>
        </w:tc>
      </w:tr>
      <w:tr>
        <w:tblPrEx>
          <w:tblCellMar>
            <w:top w:w="0" w:type="dxa"/>
            <w:left w:w="108" w:type="dxa"/>
            <w:bottom w:w="0" w:type="dxa"/>
            <w:right w:w="108" w:type="dxa"/>
          </w:tblCellMar>
        </w:tblPrEx>
        <w:trPr>
          <w:trHeight w:val="39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是否退还竞争性磋商响应文件</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c>
      </w:tr>
      <w:tr>
        <w:tblPrEx>
          <w:tblCellMar>
            <w:top w:w="0" w:type="dxa"/>
            <w:left w:w="108" w:type="dxa"/>
            <w:bottom w:w="0" w:type="dxa"/>
            <w:right w:w="108" w:type="dxa"/>
          </w:tblCellMar>
        </w:tblPrEx>
        <w:trPr>
          <w:trHeight w:val="1145"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Theme="minorEastAsia" w:hAnsiTheme="minorEastAsia" w:eastAsiaTheme="minorEastAsia" w:cstheme="minorEastAsia"/>
                <w:sz w:val="24"/>
                <w:szCs w:val="24"/>
              </w:rPr>
            </w:pPr>
            <w:r>
              <w:rPr>
                <w:rFonts w:hint="eastAsia" w:ascii="Times New Roman" w:hAnsi="Times New Roman" w:eastAsia="宋体" w:cs="Times New Roman"/>
                <w:kern w:val="2"/>
                <w:sz w:val="24"/>
                <w:szCs w:val="16"/>
                <w:lang w:val="en-US" w:eastAsia="zh-CN" w:bidi="ar-SA"/>
              </w:rPr>
              <w:t>澄清修改</w:t>
            </w:r>
          </w:p>
        </w:tc>
        <w:tc>
          <w:tcPr>
            <w:tcW w:w="75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left"/>
              <w:textAlignment w:val="center"/>
              <w:rPr>
                <w:rFonts w:asciiTheme="minorEastAsia" w:hAnsiTheme="minorEastAsia" w:eastAsiaTheme="minorEastAsia" w:cstheme="minorEastAsia"/>
                <w:sz w:val="24"/>
                <w:szCs w:val="24"/>
              </w:rPr>
            </w:pPr>
            <w:r>
              <w:rPr>
                <w:rFonts w:hint="eastAsia" w:ascii="Times New Roman" w:hAnsi="Times New Roman" w:eastAsia="宋体" w:cs="Times New Roman"/>
                <w:kern w:val="2"/>
                <w:sz w:val="24"/>
                <w:szCs w:val="16"/>
                <w:lang w:val="en-US" w:eastAsia="zh-CN" w:bidi="ar-SA"/>
              </w:rPr>
              <w:t>澄清或者修改应当在提交首次响应文件截止之日5天前，以书面形式通知所有领取竞争性磋商文件的供应商，不足5天的，应当顺延提交首次响应文件的截止日期。</w:t>
            </w:r>
          </w:p>
        </w:tc>
      </w:tr>
      <w:tr>
        <w:tblPrEx>
          <w:tblCellMar>
            <w:top w:w="0" w:type="dxa"/>
            <w:left w:w="108" w:type="dxa"/>
            <w:bottom w:w="0" w:type="dxa"/>
            <w:right w:w="108" w:type="dxa"/>
          </w:tblCellMar>
        </w:tblPrEx>
        <w:trPr>
          <w:trHeight w:val="835"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Times New Roman"/>
                <w:color w:val="000000"/>
                <w:sz w:val="24"/>
                <w:szCs w:val="24"/>
              </w:rPr>
              <w:t>投标偏离</w:t>
            </w:r>
          </w:p>
        </w:tc>
        <w:tc>
          <w:tcPr>
            <w:tcW w:w="75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left"/>
              <w:textAlignment w:val="center"/>
              <w:rPr>
                <w:rFonts w:hint="default" w:asciiTheme="minorEastAsia" w:hAnsiTheme="minorEastAsia" w:eastAsiaTheme="minorEastAsia" w:cstheme="minorEastAsia"/>
                <w:sz w:val="24"/>
                <w:szCs w:val="24"/>
                <w:lang w:val="en-US" w:eastAsia="zh-CN"/>
              </w:rPr>
            </w:pPr>
            <w:r>
              <w:rPr>
                <w:rFonts w:hint="eastAsia" w:ascii="宋体" w:hAnsi="宋体" w:eastAsia="宋体" w:cs="Times New Roman"/>
                <w:color w:val="000000"/>
                <w:sz w:val="24"/>
                <w:szCs w:val="24"/>
              </w:rPr>
              <w:t>投标文件中存在对招标文件的实质性负偏离</w:t>
            </w:r>
            <w:r>
              <w:rPr>
                <w:rFonts w:hint="eastAsia" w:ascii="宋体" w:hAnsi="宋体" w:eastAsia="宋体" w:cs="Times New Roman"/>
                <w:color w:val="000000"/>
                <w:sz w:val="24"/>
                <w:szCs w:val="24"/>
                <w:lang w:eastAsia="zh-CN"/>
              </w:rPr>
              <w:t>的</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en-US" w:eastAsia="zh-CN"/>
              </w:rPr>
              <w:t>视</w:t>
            </w:r>
            <w:r>
              <w:rPr>
                <w:rFonts w:hint="eastAsia" w:ascii="宋体" w:hAnsi="宋体" w:eastAsia="宋体" w:cs="Times New Roman"/>
                <w:color w:val="000000"/>
                <w:sz w:val="24"/>
                <w:szCs w:val="24"/>
              </w:rPr>
              <w:t>为无效投标。</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w:t>
            </w:r>
          </w:p>
        </w:tc>
        <w:tc>
          <w:tcPr>
            <w:tcW w:w="1765" w:type="dxa"/>
            <w:tcBorders>
              <w:top w:val="single" w:color="auto" w:sz="4" w:space="0"/>
              <w:left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Times New Roman"/>
                <w:color w:val="000000"/>
                <w:kern w:val="2"/>
                <w:sz w:val="24"/>
                <w:szCs w:val="24"/>
                <w:lang w:val="en-US" w:eastAsia="zh-CN" w:bidi="ar-SA"/>
              </w:rPr>
            </w:pPr>
            <w:r>
              <w:rPr>
                <w:rFonts w:hint="eastAsia" w:ascii="宋体" w:hAnsi="宋体" w:cs="宋体"/>
                <w:color w:val="auto"/>
                <w:sz w:val="24"/>
              </w:rPr>
              <w:t>支持中小企业发展</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24"/>
              </w:rPr>
            </w:pPr>
            <w:r>
              <w:rPr>
                <w:rFonts w:hint="eastAsia" w:ascii="宋体" w:hAnsi="宋体" w:cs="宋体"/>
                <w:sz w:val="24"/>
              </w:rPr>
              <w:t>支持中小企业发展</w:t>
            </w:r>
          </w:p>
          <w:p>
            <w:pPr>
              <w:adjustRightInd w:val="0"/>
              <w:snapToGrid w:val="0"/>
              <w:spacing w:line="360" w:lineRule="auto"/>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lang w:eastAsia="zh-CN"/>
              </w:rPr>
              <w:instrText xml:space="preserve">,</w:instrText>
            </w:r>
            <w:r>
              <w:rPr>
                <w:rFonts w:hint="eastAsia" w:ascii="宋体" w:hAnsi="宋体" w:cs="宋体"/>
                <w:position w:val="2"/>
                <w:sz w:val="16"/>
                <w:lang w:eastAsia="zh-CN"/>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专门面向中小企业采购项目</w:t>
            </w:r>
          </w:p>
          <w:p>
            <w:pPr>
              <w:adjustRightInd w:val="0"/>
              <w:snapToGrid w:val="0"/>
              <w:spacing w:line="360" w:lineRule="auto"/>
              <w:rPr>
                <w:rFonts w:hint="eastAsia" w:ascii="宋体" w:hAnsi="宋体" w:cs="宋体"/>
                <w:sz w:val="24"/>
                <w:lang w:val="en-US" w:eastAsia="zh-CN"/>
              </w:rPr>
            </w:pPr>
            <w:r>
              <w:rPr>
                <w:rFonts w:hint="eastAsia" w:ascii="宋体" w:hAnsi="宋体" w:cs="宋体"/>
                <w:sz w:val="24"/>
                <w:lang w:val="en-US" w:eastAsia="zh-CN"/>
              </w:rPr>
              <w:t>本项目专门面向小微企业采购，故不再执行价格评审优惠；</w:t>
            </w:r>
          </w:p>
          <w:p>
            <w:pPr>
              <w:adjustRightInd w:val="0"/>
              <w:snapToGrid w:val="0"/>
              <w:spacing w:line="360" w:lineRule="auto"/>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rPr>
              <w:fldChar w:fldCharType="end"/>
            </w:r>
            <w:r>
              <w:rPr>
                <w:rFonts w:hint="eastAsia" w:ascii="宋体" w:hAnsi="宋体" w:cs="宋体"/>
                <w:sz w:val="24"/>
              </w:rPr>
              <w:t>非专门面向中小企业采购项目（价格扣除）：</w:t>
            </w:r>
          </w:p>
          <w:p>
            <w:pPr>
              <w:adjustRightInd w:val="0"/>
              <w:snapToGrid w:val="0"/>
              <w:spacing w:line="360" w:lineRule="auto"/>
              <w:rPr>
                <w:rFonts w:hint="eastAsia" w:ascii="宋体" w:hAnsi="宋体" w:cs="宋体"/>
                <w:sz w:val="24"/>
              </w:rPr>
            </w:pPr>
            <w:r>
              <w:rPr>
                <w:rFonts w:hint="eastAsia" w:ascii="宋体" w:hAnsi="宋体" w:cs="宋体"/>
                <w:sz w:val="24"/>
              </w:rPr>
              <w:sym w:font="Wingdings" w:char="F081"/>
            </w:r>
            <w:r>
              <w:rPr>
                <w:rFonts w:hint="eastAsia" w:ascii="宋体" w:hAnsi="宋体" w:cs="宋体"/>
                <w:sz w:val="24"/>
              </w:rPr>
              <w:t>对小型和微型企业产品的价格给与</w:t>
            </w:r>
            <w:r>
              <w:rPr>
                <w:rFonts w:hint="eastAsia" w:ascii="宋体" w:hAnsi="宋体" w:cs="宋体"/>
                <w:sz w:val="24"/>
                <w:lang w:val="en-US" w:eastAsia="zh-CN"/>
              </w:rPr>
              <w:t>10%</w:t>
            </w:r>
            <w:r>
              <w:rPr>
                <w:rFonts w:hint="eastAsia" w:ascii="宋体" w:hAnsi="宋体" w:cs="宋体"/>
                <w:sz w:val="24"/>
              </w:rPr>
              <w:t>~</w:t>
            </w:r>
            <w:r>
              <w:rPr>
                <w:rFonts w:hint="eastAsia" w:ascii="宋体" w:hAnsi="宋体" w:cs="宋体"/>
                <w:sz w:val="24"/>
                <w:lang w:val="en-US" w:eastAsia="zh-CN"/>
              </w:rPr>
              <w:t>20</w:t>
            </w:r>
            <w:r>
              <w:rPr>
                <w:rFonts w:hint="eastAsia" w:ascii="宋体" w:hAnsi="宋体" w:cs="宋体"/>
                <w:sz w:val="24"/>
              </w:rPr>
              <w:t>%的扣除，用扣除后的价格参与评审。项目的扣除比例为：小微企业扣除</w:t>
            </w:r>
            <w:r>
              <w:rPr>
                <w:rFonts w:hint="eastAsia" w:ascii="宋体" w:hAnsi="宋体" w:cs="宋体"/>
                <w:sz w:val="24"/>
                <w:lang w:eastAsia="zh-CN"/>
              </w:rPr>
              <w:t>20%。</w:t>
            </w:r>
          </w:p>
          <w:p>
            <w:pPr>
              <w:adjustRightInd w:val="0"/>
              <w:snapToGrid w:val="0"/>
              <w:spacing w:line="360" w:lineRule="auto"/>
              <w:rPr>
                <w:rFonts w:hint="eastAsia" w:ascii="宋体" w:hAnsi="宋体" w:eastAsia="宋体" w:cs="Times New Roman"/>
                <w:color w:val="000000"/>
                <w:kern w:val="2"/>
                <w:sz w:val="24"/>
                <w:szCs w:val="24"/>
                <w:lang w:val="en-US" w:eastAsia="zh-CN" w:bidi="ar-SA"/>
              </w:rPr>
            </w:pPr>
            <w:r>
              <w:rPr>
                <w:rFonts w:ascii="宋体" w:hAnsi="宋体" w:cs="宋体"/>
                <w:sz w:val="24"/>
              </w:rPr>
              <w:sym w:font="Wingdings" w:char="F082"/>
            </w:r>
            <w:r>
              <w:rPr>
                <w:rFonts w:hint="eastAsia" w:ascii="宋体" w:hAnsi="宋体" w:cs="宋体"/>
                <w:sz w:val="24"/>
              </w:rPr>
              <w:t>项目接收联合体投标的，若小型和微型企业的协议合同金额占到联合体协议合同金额30%以上的，可给予联合体</w:t>
            </w:r>
            <w:r>
              <w:rPr>
                <w:rFonts w:hint="eastAsia" w:ascii="宋体" w:hAnsi="宋体" w:cs="宋体"/>
                <w:sz w:val="24"/>
                <w:lang w:val="en-US" w:eastAsia="zh-CN"/>
              </w:rPr>
              <w:t>4%-6</w:t>
            </w:r>
            <w:r>
              <w:rPr>
                <w:rFonts w:hint="eastAsia" w:ascii="宋体" w:hAnsi="宋体" w:cs="宋体"/>
                <w:sz w:val="24"/>
              </w:rPr>
              <w:t>%的扣除，用扣除后的价格参与评审。项目的扣除比例为：</w:t>
            </w:r>
            <w:r>
              <w:rPr>
                <w:rFonts w:hint="eastAsia" w:ascii="宋体" w:hAnsi="宋体" w:cs="宋体"/>
                <w:sz w:val="24"/>
                <w:lang w:val="en-US" w:eastAsia="zh-CN"/>
              </w:rPr>
              <w:t>6</w:t>
            </w:r>
            <w:r>
              <w:rPr>
                <w:rFonts w:hint="eastAsia" w:ascii="宋体" w:hAnsi="宋体" w:cs="宋体"/>
                <w:sz w:val="24"/>
              </w:rPr>
              <w:t>%。</w:t>
            </w:r>
          </w:p>
        </w:tc>
      </w:tr>
      <w:tr>
        <w:tblPrEx>
          <w:tblCellMar>
            <w:top w:w="0" w:type="dxa"/>
            <w:left w:w="108" w:type="dxa"/>
            <w:bottom w:w="0" w:type="dxa"/>
            <w:right w:w="108" w:type="dxa"/>
          </w:tblCellMar>
        </w:tblPrEx>
        <w:trPr>
          <w:trHeight w:val="698" w:hRule="atLeast"/>
        </w:trPr>
        <w:tc>
          <w:tcPr>
            <w:tcW w:w="723" w:type="dxa"/>
            <w:tcBorders>
              <w:left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w:t>
            </w:r>
          </w:p>
        </w:tc>
        <w:tc>
          <w:tcPr>
            <w:tcW w:w="1765" w:type="dxa"/>
            <w:tcBorders>
              <w:left w:val="single" w:color="auto" w:sz="4" w:space="0"/>
              <w:right w:val="single" w:color="auto" w:sz="4" w:space="0"/>
            </w:tcBorders>
            <w:vAlign w:val="center"/>
          </w:tcPr>
          <w:p>
            <w:pPr>
              <w:widowControl/>
              <w:adjustRightInd w:val="0"/>
              <w:snapToGrid w:val="0"/>
              <w:jc w:val="center"/>
              <w:textAlignment w:val="center"/>
              <w:rPr>
                <w:rFonts w:hint="default" w:ascii="Times New Roman" w:hAnsi="Times New Roman" w:eastAsia="宋体" w:cs="Times New Roman"/>
                <w:kern w:val="2"/>
                <w:sz w:val="24"/>
                <w:lang w:val="en-US" w:eastAsia="zh-CN" w:bidi="ar-SA"/>
              </w:rPr>
            </w:pPr>
            <w:r>
              <w:rPr>
                <w:rFonts w:hint="eastAsia" w:cs="Times New Roman"/>
                <w:kern w:val="2"/>
                <w:sz w:val="24"/>
                <w:lang w:val="en-US" w:eastAsia="zh-CN" w:bidi="ar-SA"/>
              </w:rPr>
              <w:t>中小企业的划分</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24"/>
              </w:rPr>
            </w:pPr>
            <w:r>
              <w:rPr>
                <w:rFonts w:hint="eastAsia" w:ascii="宋体" w:hAnsi="宋体" w:cs="宋体"/>
                <w:sz w:val="24"/>
              </w:rPr>
              <w:t>各行业划分标准具体为</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3、建筑业</w:t>
            </w:r>
            <w:r>
              <w:rPr>
                <w:rFonts w:hint="eastAsia" w:ascii="宋体" w:hAnsi="宋体" w:eastAsia="宋体" w:cs="宋体"/>
                <w:sz w:val="24"/>
                <w:lang w:eastAsia="zh-CN"/>
              </w:rPr>
              <w:t>。</w:t>
            </w:r>
            <w:r>
              <w:rPr>
                <w:rFonts w:hint="eastAsia" w:ascii="宋体" w:hAnsi="宋体" w:eastAsia="宋体" w:cs="宋体"/>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adjustRightInd w:val="0"/>
              <w:snapToGrid w:val="0"/>
              <w:spacing w:line="360" w:lineRule="auto"/>
              <w:rPr>
                <w:rFonts w:hint="eastAsia"/>
              </w:rPr>
            </w:pPr>
            <w:r>
              <w:rPr>
                <w:rFonts w:hint="eastAsia" w:ascii="宋体" w:hAnsi="宋体" w:eastAsia="宋体" w:cs="宋体"/>
                <w:sz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rPr>
              <w:t>　</w:t>
            </w:r>
          </w:p>
          <w:p>
            <w:pPr>
              <w:pStyle w:val="10"/>
              <w:rPr>
                <w:rFonts w:hint="eastAsia" w:ascii="Times New Roman" w:hAnsi="Times New Roman" w:eastAsia="宋体" w:cs="Times New Roman"/>
                <w:kern w:val="2"/>
                <w:sz w:val="24"/>
                <w:lang w:val="en-US" w:eastAsia="zh-CN" w:bidi="ar-SA"/>
              </w:rPr>
            </w:pPr>
            <w:r>
              <w:rPr>
                <w:rFonts w:hint="eastAsia" w:ascii="宋体" w:hAnsi="宋体" w:eastAsia="宋体" w:cs="宋体"/>
                <w:b/>
                <w:bCs/>
                <w:color w:val="auto"/>
                <w:kern w:val="2"/>
                <w:sz w:val="24"/>
                <w:szCs w:val="24"/>
                <w:lang w:val="en-US" w:eastAsia="zh-CN" w:bidi="ar-SA"/>
              </w:rPr>
              <w:t>本项目属于：</w:t>
            </w:r>
            <w:r>
              <w:rPr>
                <w:rFonts w:hint="eastAsia" w:ascii="宋体" w:hAnsi="宋体" w:cs="宋体"/>
                <w:b/>
                <w:bCs/>
                <w:color w:val="auto"/>
                <w:kern w:val="2"/>
                <w:sz w:val="24"/>
                <w:szCs w:val="24"/>
                <w:lang w:val="en-US" w:eastAsia="zh-CN" w:bidi="ar-SA"/>
              </w:rPr>
              <w:t>建筑业</w:t>
            </w:r>
          </w:p>
        </w:tc>
      </w:tr>
      <w:tr>
        <w:tblPrEx>
          <w:tblCellMar>
            <w:top w:w="0" w:type="dxa"/>
            <w:left w:w="108" w:type="dxa"/>
            <w:bottom w:w="0" w:type="dxa"/>
            <w:right w:w="108" w:type="dxa"/>
          </w:tblCellMar>
        </w:tblPrEx>
        <w:trPr>
          <w:trHeight w:val="698" w:hRule="atLeast"/>
        </w:trPr>
        <w:tc>
          <w:tcPr>
            <w:tcW w:w="723" w:type="dxa"/>
            <w:tcBorders>
              <w:left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w:t>
            </w:r>
          </w:p>
        </w:tc>
        <w:tc>
          <w:tcPr>
            <w:tcW w:w="1765" w:type="dxa"/>
            <w:tcBorders>
              <w:left w:val="single" w:color="auto" w:sz="4" w:space="0"/>
              <w:right w:val="single" w:color="auto" w:sz="4" w:space="0"/>
            </w:tcBorders>
            <w:vAlign w:val="center"/>
          </w:tcPr>
          <w:p>
            <w:pPr>
              <w:spacing w:line="420" w:lineRule="exact"/>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代理服务费</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sz w:val="24"/>
                <w:szCs w:val="24"/>
              </w:rPr>
            </w:pPr>
            <w:r>
              <w:rPr>
                <w:rFonts w:hint="eastAsia" w:ascii="宋体" w:hAnsi="宋体" w:cs="仿宋_GB2312"/>
                <w:sz w:val="24"/>
                <w:szCs w:val="24"/>
              </w:rPr>
              <w:t>(</w:t>
            </w:r>
            <w:r>
              <w:rPr>
                <w:rFonts w:hint="eastAsia"/>
                <w:sz w:val="24"/>
                <w:szCs w:val="24"/>
              </w:rPr>
              <w:t>参考国家计委2002年颁发的《招标代理服务收费管理暂行办法》(计价格〔2002〕1980号)、国家发展改革委员会办公厅颁发的《关于招标代理服务费收费有关问题的通知》（发改办价格〔2003〕857号）及《调整后的招标代理服务收费标准》(发改价格〔2011〕534号)规定由</w:t>
            </w:r>
            <w:r>
              <w:rPr>
                <w:rFonts w:hint="eastAsia"/>
                <w:color w:val="auto"/>
                <w:sz w:val="24"/>
                <w:szCs w:val="24"/>
                <w:u w:val="single"/>
                <w:lang w:val="en-US" w:eastAsia="zh-CN"/>
              </w:rPr>
              <w:t xml:space="preserve"> </w:t>
            </w:r>
            <w:r>
              <w:rPr>
                <w:rFonts w:hint="eastAsia"/>
                <w:color w:val="auto"/>
                <w:sz w:val="24"/>
                <w:szCs w:val="24"/>
                <w:u w:val="single"/>
                <w:shd w:val="clear"/>
                <w:lang w:val="en-US" w:eastAsia="zh-CN"/>
              </w:rPr>
              <w:t xml:space="preserve"> 成交供应商 </w:t>
            </w:r>
            <w:r>
              <w:rPr>
                <w:rFonts w:hint="eastAsia"/>
                <w:color w:val="auto"/>
                <w:sz w:val="24"/>
                <w:szCs w:val="24"/>
                <w:u w:val="single"/>
                <w:lang w:val="en-US" w:eastAsia="zh-CN"/>
              </w:rPr>
              <w:t xml:space="preserve">  </w:t>
            </w:r>
            <w:r>
              <w:rPr>
                <w:rFonts w:hint="eastAsia"/>
                <w:sz w:val="24"/>
                <w:szCs w:val="24"/>
              </w:rPr>
              <w:t>向</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陕西华旭晟信项目管理有限责任公司</w:t>
            </w:r>
            <w:r>
              <w:rPr>
                <w:rFonts w:hint="eastAsia"/>
                <w:sz w:val="24"/>
                <w:szCs w:val="24"/>
              </w:rPr>
              <w:t>交纳招标代理服务费。</w:t>
            </w:r>
          </w:p>
          <w:p>
            <w:pPr>
              <w:keepNext w:val="0"/>
              <w:keepLines w:val="0"/>
              <w:suppressLineNumbers w:val="0"/>
              <w:spacing w:before="0" w:beforeAutospacing="0" w:after="0" w:afterAutospacing="0" w:line="360" w:lineRule="auto"/>
              <w:ind w:left="0" w:right="0"/>
              <w:rPr>
                <w:rFonts w:hint="eastAsia" w:ascii="宋体" w:hAnsi="宋体" w:cs="宋体"/>
                <w:sz w:val="24"/>
                <w:szCs w:val="24"/>
              </w:rPr>
            </w:pPr>
            <w:r>
              <w:rPr>
                <w:rFonts w:hint="eastAsia" w:ascii="宋体" w:hAnsi="宋体" w:cs="宋体"/>
                <w:sz w:val="24"/>
                <w:szCs w:val="24"/>
              </w:rPr>
              <w:t>采购代理服务费按差额定率累进法计算：</w:t>
            </w:r>
          </w:p>
          <w:tbl>
            <w:tblPr>
              <w:tblStyle w:val="25"/>
              <w:tblpPr w:leftFromText="180" w:rightFromText="180" w:vertAnchor="text" w:horzAnchor="page" w:tblpX="665" w:tblpY="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服务类型/费率/中标金额（万元）</w:t>
                  </w:r>
                </w:p>
              </w:tc>
              <w:tc>
                <w:tcPr>
                  <w:tcW w:w="1214" w:type="dxa"/>
                  <w:vAlign w:val="center"/>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货物招标</w:t>
                  </w:r>
                </w:p>
              </w:tc>
              <w:tc>
                <w:tcPr>
                  <w:tcW w:w="1444" w:type="dxa"/>
                  <w:vAlign w:val="center"/>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服务招标</w:t>
                  </w:r>
                </w:p>
              </w:tc>
              <w:tc>
                <w:tcPr>
                  <w:tcW w:w="1445" w:type="dxa"/>
                  <w:vAlign w:val="center"/>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100以下</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1.5%</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1.5%</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100-500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1.1%</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0.8%</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500-1000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0.8%</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0.45%</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1000-5000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0.5%</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0.25%</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5000-10000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0.25%</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0.1%</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10000-100000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0.05%</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0.05%</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1000000以上</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0.01%</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0.01%</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0.01%</w:t>
                  </w:r>
                </w:p>
              </w:tc>
            </w:tr>
          </w:tbl>
          <w:p>
            <w:pPr>
              <w:pStyle w:val="34"/>
              <w:ind w:left="0" w:leftChars="0" w:firstLine="0" w:firstLineChars="0"/>
              <w:rPr>
                <w:rFonts w:hint="eastAsia" w:ascii="宋体" w:hAnsi="宋体" w:cs="宋体"/>
                <w:sz w:val="24"/>
                <w:szCs w:val="24"/>
              </w:rPr>
            </w:pPr>
          </w:p>
          <w:p>
            <w:pPr>
              <w:keepNext w:val="0"/>
              <w:keepLines w:val="0"/>
              <w:suppressLineNumbers w:val="0"/>
              <w:spacing w:before="0" w:beforeAutospacing="0" w:after="0" w:afterAutospacing="0" w:line="360" w:lineRule="auto"/>
              <w:ind w:left="0" w:right="0"/>
              <w:rPr>
                <w:rFonts w:hint="eastAsia" w:ascii="宋体" w:hAnsi="宋体" w:cs="宋体"/>
                <w:sz w:val="24"/>
                <w:szCs w:val="24"/>
              </w:rPr>
            </w:pPr>
          </w:p>
          <w:p>
            <w:pPr>
              <w:keepNext w:val="0"/>
              <w:keepLines w:val="0"/>
              <w:suppressLineNumbers w:val="0"/>
              <w:spacing w:before="0" w:beforeAutospacing="0" w:after="0" w:afterAutospacing="0" w:line="360" w:lineRule="auto"/>
              <w:ind w:left="0" w:right="0"/>
              <w:rPr>
                <w:rFonts w:hint="eastAsia" w:ascii="宋体" w:hAnsi="宋体" w:cs="宋体"/>
                <w:sz w:val="24"/>
                <w:szCs w:val="24"/>
              </w:rPr>
            </w:pPr>
          </w:p>
          <w:p>
            <w:pPr>
              <w:keepNext w:val="0"/>
              <w:keepLines w:val="0"/>
              <w:suppressLineNumbers w:val="0"/>
              <w:spacing w:before="0" w:beforeAutospacing="0" w:after="0" w:afterAutospacing="0" w:line="360" w:lineRule="auto"/>
              <w:ind w:left="0" w:right="0"/>
              <w:rPr>
                <w:rFonts w:hint="eastAsia" w:ascii="宋体" w:hAnsi="宋体" w:cs="宋体"/>
                <w:sz w:val="24"/>
                <w:szCs w:val="24"/>
              </w:rPr>
            </w:pPr>
          </w:p>
          <w:p>
            <w:pPr>
              <w:keepNext w:val="0"/>
              <w:keepLines w:val="0"/>
              <w:suppressLineNumbers w:val="0"/>
              <w:spacing w:before="0" w:beforeAutospacing="0" w:after="0" w:afterAutospacing="0" w:line="360" w:lineRule="auto"/>
              <w:ind w:left="0" w:right="0"/>
              <w:rPr>
                <w:rFonts w:hint="eastAsia" w:ascii="宋体" w:hAnsi="宋体" w:cs="宋体"/>
                <w:sz w:val="24"/>
                <w:szCs w:val="24"/>
              </w:rPr>
            </w:pPr>
          </w:p>
          <w:p>
            <w:pPr>
              <w:keepNext w:val="0"/>
              <w:keepLines w:val="0"/>
              <w:suppressLineNumbers w:val="0"/>
              <w:spacing w:before="0" w:beforeAutospacing="0" w:after="0" w:afterAutospacing="0" w:line="360" w:lineRule="auto"/>
              <w:ind w:left="0" w:right="0"/>
              <w:rPr>
                <w:rFonts w:hint="eastAsia" w:ascii="宋体" w:hAnsi="宋体" w:cs="宋体"/>
                <w:sz w:val="24"/>
                <w:szCs w:val="24"/>
              </w:rPr>
            </w:pPr>
          </w:p>
          <w:p>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lang w:val="en-US" w:eastAsia="zh-CN"/>
              </w:rPr>
            </w:pPr>
            <w:r>
              <w:rPr>
                <w:rFonts w:hint="eastAsia" w:ascii="宋体" w:hAnsi="宋体" w:cs="宋体"/>
                <w:sz w:val="24"/>
                <w:szCs w:val="24"/>
              </w:rPr>
              <w:t>例如：某</w:t>
            </w:r>
            <w:r>
              <w:rPr>
                <w:rFonts w:hint="eastAsia" w:ascii="宋体" w:hAnsi="宋体" w:cs="宋体"/>
                <w:sz w:val="24"/>
                <w:szCs w:val="24"/>
                <w:lang w:val="en-US" w:eastAsia="zh-CN"/>
              </w:rPr>
              <w:t>工程</w:t>
            </w:r>
            <w:r>
              <w:rPr>
                <w:rFonts w:hint="eastAsia" w:ascii="宋体" w:hAnsi="宋体" w:cs="宋体"/>
                <w:sz w:val="24"/>
                <w:szCs w:val="24"/>
              </w:rPr>
              <w:t>招标</w:t>
            </w:r>
            <w:r>
              <w:rPr>
                <w:rFonts w:hint="eastAsia" w:ascii="宋体" w:hAnsi="宋体" w:cs="宋体"/>
                <w:sz w:val="24"/>
                <w:szCs w:val="24"/>
                <w:lang w:val="en-US" w:eastAsia="zh-CN"/>
              </w:rPr>
              <w:t>项目</w:t>
            </w:r>
            <w:r>
              <w:rPr>
                <w:rFonts w:hint="eastAsia" w:ascii="宋体" w:hAnsi="宋体" w:cs="宋体"/>
                <w:sz w:val="24"/>
                <w:szCs w:val="24"/>
              </w:rPr>
              <w:t>成交金额为678.2万元，采购代理服务费计算如下：</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100万元*1.0%=1.00万元 </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(500-100)*0.7%=2.80万元</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(678.2-500)*0.55%=0.9801万元</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服务费=1.00+2.80+0.9801=4.7801万元。</w:t>
            </w:r>
          </w:p>
          <w:p>
            <w:pPr>
              <w:pageBreakBefore w:val="0"/>
              <w:kinsoku/>
              <w:wordWrap/>
              <w:overflowPunct/>
              <w:topLinePunct w:val="0"/>
              <w:autoSpaceDE/>
              <w:autoSpaceDN/>
              <w:bidi w:val="0"/>
              <w:adjustRightInd/>
              <w:snapToGrid/>
              <w:spacing w:line="360" w:lineRule="auto"/>
              <w:textAlignment w:val="auto"/>
              <w:rPr>
                <w:rFonts w:hint="default" w:ascii="宋体" w:hAnsi="宋体" w:cs="宋体"/>
                <w:color w:val="auto"/>
                <w:sz w:val="24"/>
                <w:lang w:val="en-US"/>
              </w:rPr>
            </w:pPr>
            <w:r>
              <w:rPr>
                <w:rFonts w:hint="eastAsia" w:ascii="宋体" w:hAnsi="宋体" w:eastAsia="宋体" w:cs="宋体"/>
                <w:color w:val="000000"/>
                <w:sz w:val="24"/>
                <w:szCs w:val="24"/>
                <w:lang w:val="en-US" w:eastAsia="zh-CN"/>
              </w:rPr>
              <w:t>（4）本项目项目属性：</w:t>
            </w:r>
            <w:r>
              <w:rPr>
                <w:rFonts w:hint="eastAsia" w:ascii="宋体" w:hAnsi="宋体" w:cs="宋体"/>
                <w:color w:val="000000"/>
                <w:sz w:val="24"/>
                <w:szCs w:val="24"/>
                <w:lang w:val="en-US" w:eastAsia="zh-CN"/>
              </w:rPr>
              <w:t>工程</w:t>
            </w:r>
            <w:r>
              <w:rPr>
                <w:rFonts w:hint="eastAsia" w:ascii="宋体" w:hAnsi="宋体" w:eastAsia="宋体" w:cs="宋体"/>
                <w:color w:val="000000"/>
                <w:sz w:val="24"/>
                <w:szCs w:val="24"/>
                <w:lang w:val="en-US" w:eastAsia="zh-CN"/>
              </w:rPr>
              <w:t>招标。</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cs="宋体"/>
                <w:color w:val="000000"/>
                <w:sz w:val="24"/>
                <w:szCs w:val="24"/>
              </w:rPr>
              <w:t>公共资源信用承诺</w:t>
            </w:r>
          </w:p>
        </w:tc>
        <w:tc>
          <w:tcPr>
            <w:tcW w:w="7515" w:type="dxa"/>
            <w:tcBorders>
              <w:top w:val="single" w:color="auto" w:sz="4" w:space="0"/>
              <w:left w:val="single" w:color="auto" w:sz="4" w:space="0"/>
              <w:bottom w:val="single" w:color="auto" w:sz="4" w:space="0"/>
              <w:right w:val="single" w:color="auto" w:sz="4" w:space="0"/>
            </w:tcBorders>
            <w:vAlign w:val="center"/>
          </w:tcPr>
          <w:p>
            <w:pPr>
              <w:widowControl/>
              <w:wordWrap w:val="0"/>
              <w:topLinePunct/>
              <w:adjustRightInd w:val="0"/>
              <w:snapToGrid w:val="0"/>
              <w:spacing w:line="360" w:lineRule="auto"/>
              <w:jc w:val="left"/>
              <w:textAlignment w:val="center"/>
              <w:rPr>
                <w:rFonts w:hint="eastAsia" w:ascii="宋体" w:hAnsi="宋体" w:cs="宋体"/>
                <w:color w:val="000000"/>
                <w:sz w:val="24"/>
                <w:szCs w:val="24"/>
                <w:lang w:val="zh-TW"/>
              </w:rPr>
            </w:pPr>
            <w:r>
              <w:rPr>
                <w:rFonts w:hint="eastAsia" w:ascii="宋体" w:hAnsi="宋体" w:cs="宋体"/>
                <w:color w:val="000000"/>
                <w:sz w:val="24"/>
                <w:szCs w:val="24"/>
                <w:lang w:val="zh-TW"/>
              </w:rPr>
              <w:t>进入公共资源交易平台的各投标人，均应在“信用中国（陕西榆林）”网站进行注册、登录、自主上报信用承诺书（网址：</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rPr>
                <w:rFonts w:hint="eastAsia" w:ascii="宋体" w:hAnsi="宋体" w:cs="宋体"/>
                <w:color w:val="000000"/>
                <w:sz w:val="24"/>
                <w:szCs w:val="24"/>
              </w:rPr>
              <w:fldChar w:fldCharType="separate"/>
            </w:r>
            <w:r>
              <w:rPr>
                <w:rFonts w:hint="eastAsia" w:ascii="宋体" w:hAnsi="宋体" w:cs="宋体"/>
                <w:color w:val="000000"/>
                <w:sz w:val="24"/>
                <w:szCs w:val="24"/>
              </w:rPr>
              <w:t>https://credit.yl.gov.cn/</w:t>
            </w:r>
            <w:r>
              <w:rPr>
                <w:rFonts w:hint="eastAsia" w:ascii="宋体" w:hAnsi="宋体" w:cs="宋体"/>
                <w:color w:val="000000"/>
                <w:sz w:val="24"/>
                <w:szCs w:val="24"/>
                <w:lang w:val="zh-TW"/>
              </w:rPr>
              <w:t>）。各投标人注册、登录后根据承诺事项选择相应的模板填写《信用承诺书》，并载明承诺事由，投标人、投标人委托代理人员、投标信用的承诺事由为“项目名称及标段”。操作指南见附件。</w:t>
            </w:r>
            <w:r>
              <w:rPr>
                <w:rFonts w:hint="eastAsia" w:ascii="宋体" w:hAnsi="宋体" w:cs="宋体"/>
                <w:color w:val="000000"/>
                <w:sz w:val="24"/>
                <w:szCs w:val="24"/>
              </w:rPr>
              <w:fldChar w:fldCharType="end"/>
            </w:r>
          </w:p>
          <w:p>
            <w:pPr>
              <w:pStyle w:val="10"/>
              <w:rPr>
                <w:rFonts w:hint="eastAsia" w:ascii="宋体" w:hAnsi="宋体" w:eastAsia="宋体" w:cs="宋体"/>
                <w:color w:val="auto"/>
                <w:kern w:val="0"/>
                <w:sz w:val="24"/>
                <w:szCs w:val="24"/>
                <w:lang w:val="zh-TW" w:eastAsia="zh-CN" w:bidi="ar-SA"/>
              </w:rPr>
            </w:pPr>
            <w:r>
              <w:rPr>
                <w:rFonts w:hint="eastAsia" w:ascii="宋体" w:hAnsi="宋体" w:cs="宋体"/>
                <w:bCs/>
                <w:color w:val="000000"/>
                <w:sz w:val="24"/>
                <w:szCs w:val="24"/>
              </w:rPr>
              <w:t>投标人请将申报截图附在投标文件中。</w:t>
            </w:r>
          </w:p>
        </w:tc>
      </w:tr>
      <w:tr>
        <w:tblPrEx>
          <w:tblCellMar>
            <w:top w:w="0" w:type="dxa"/>
            <w:left w:w="108" w:type="dxa"/>
            <w:bottom w:w="0" w:type="dxa"/>
            <w:right w:w="108" w:type="dxa"/>
          </w:tblCellMar>
        </w:tblPrEx>
        <w:trPr>
          <w:trHeight w:val="1246" w:hRule="atLeast"/>
        </w:trPr>
        <w:tc>
          <w:tcPr>
            <w:tcW w:w="7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26</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宋体" w:hAnsi="宋体" w:cs="宋体"/>
                <w:sz w:val="24"/>
                <w:lang w:val="zh-CN"/>
              </w:rPr>
            </w:pPr>
            <w:r>
              <w:rPr>
                <w:rFonts w:hint="eastAsia" w:ascii="宋体" w:hAnsi="宋体" w:cs="宋体"/>
                <w:sz w:val="24"/>
                <w:szCs w:val="24"/>
                <w:lang w:val="en-US" w:eastAsia="zh-CN"/>
              </w:rPr>
              <w:t>不见面开标</w:t>
            </w:r>
          </w:p>
        </w:tc>
        <w:tc>
          <w:tcPr>
            <w:tcW w:w="751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该项目将采取“不见面”开标的形式，投标人无须到达开标现场，即可在网上直接参与开标活动。相关注意事项如下：</w:t>
            </w:r>
          </w:p>
          <w:p>
            <w:pPr>
              <w:numPr>
                <w:ilvl w:val="0"/>
                <w:numId w:val="1"/>
              </w:num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开标当日，请各供应商</w:t>
            </w:r>
            <w:r>
              <w:rPr>
                <w:rFonts w:hint="eastAsia" w:ascii="思源宋体 CN Light" w:hAnsi="思源宋体 CN Light" w:eastAsia="思源宋体 CN Light" w:cs="思源宋体 CN Light"/>
                <w:sz w:val="24"/>
                <w:szCs w:val="24"/>
                <w:lang w:val="en-US" w:eastAsia="zh-CN"/>
              </w:rPr>
              <w:t>在开标截止时间前</w:t>
            </w:r>
            <w:r>
              <w:rPr>
                <w:rFonts w:hint="eastAsia" w:ascii="思源宋体 CN Light" w:hAnsi="思源宋体 CN Light" w:eastAsia="思源宋体 CN Light" w:cs="思源宋体 CN Light"/>
                <w:sz w:val="24"/>
                <w:szCs w:val="24"/>
              </w:rPr>
              <w:t>至少提前半小时登录“不见面”开标系统</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 xml:space="preserve">登录方式有以下几种： </w:t>
            </w:r>
          </w:p>
          <w:p>
            <w:pPr>
              <w:numPr>
                <w:ilvl w:val="0"/>
                <w:numId w:val="2"/>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sz w:val="24"/>
                <w:szCs w:val="24"/>
                <w:lang w:val="en-US" w:eastAsia="zh-CN"/>
              </w:rPr>
              <w:t>I</w:t>
            </w:r>
            <w:r>
              <w:rPr>
                <w:rFonts w:hint="eastAsia" w:ascii="思源宋体 CN Light" w:hAnsi="思源宋体 CN Light" w:eastAsia="思源宋体 CN Light" w:cs="思源宋体 CN Light"/>
                <w:color w:val="auto"/>
                <w:sz w:val="24"/>
                <w:szCs w:val="24"/>
                <w:lang w:val="en-US" w:eastAsia="zh-CN"/>
              </w:rPr>
              <w:t>E浏览器输入网址：</w:t>
            </w:r>
          </w:p>
          <w:p>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2"/>
                <w:rFonts w:hint="eastAsia" w:ascii="思源宋体 CN Light" w:hAnsi="思源宋体 CN Light" w:eastAsia="思源宋体 CN Light" w:cs="思源宋体 CN Light"/>
                <w:color w:val="auto"/>
                <w:sz w:val="24"/>
                <w:szCs w:val="24"/>
              </w:rPr>
              <w:t>http://111.20.184.126:8081/BidOpeningHallCS/bidhall/default/login</w:t>
            </w:r>
            <w:r>
              <w:rPr>
                <w:rStyle w:val="32"/>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pPr>
              <w:numPr>
                <w:ilvl w:val="0"/>
                <w:numId w:val="2"/>
              </w:numPr>
              <w:spacing w:line="360" w:lineRule="auto"/>
              <w:ind w:left="0" w:leftChars="0" w:firstLine="0" w:firstLineChars="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color w:val="auto"/>
                <w:sz w:val="24"/>
                <w:szCs w:val="24"/>
              </w:rPr>
              <w:t>在【全国公共资</w:t>
            </w:r>
            <w:r>
              <w:rPr>
                <w:rFonts w:hint="eastAsia" w:ascii="思源宋体 CN Light" w:hAnsi="思源宋体 CN Light" w:eastAsia="思源宋体 CN Light" w:cs="思源宋体 CN Light"/>
                <w:sz w:val="24"/>
                <w:szCs w:val="24"/>
              </w:rPr>
              <w:t>源交易平台（陕西省·</w:t>
            </w:r>
            <w:r>
              <w:rPr>
                <w:rFonts w:hint="eastAsia" w:ascii="思源宋体 CN Light" w:hAnsi="思源宋体 CN Light" w:eastAsia="思源宋体 CN Light" w:cs="思源宋体 CN Light"/>
                <w:sz w:val="24"/>
                <w:szCs w:val="24"/>
                <w:lang w:val="en-US" w:eastAsia="zh-CN"/>
              </w:rPr>
              <w:t>榆林</w:t>
            </w:r>
            <w:r>
              <w:rPr>
                <w:rFonts w:hint="eastAsia" w:ascii="思源宋体 CN Light" w:hAnsi="思源宋体 CN Light" w:eastAsia="思源宋体 CN Light" w:cs="思源宋体 CN Light"/>
                <w:sz w:val="24"/>
                <w:szCs w:val="24"/>
              </w:rPr>
              <w:t>市）】</w:t>
            </w:r>
            <w:r>
              <w:rPr>
                <w:rFonts w:hint="eastAsia" w:ascii="思源宋体 CN Light" w:hAnsi="思源宋体 CN Light" w:eastAsia="思源宋体 CN Light" w:cs="思源宋体 CN Light"/>
                <w:sz w:val="24"/>
                <w:szCs w:val="24"/>
                <w:lang w:val="en-US" w:eastAsia="zh-CN"/>
              </w:rPr>
              <w:t>网站首页点击不见面开标模块进入；</w:t>
            </w:r>
          </w:p>
          <w:p>
            <w:pPr>
              <w:numPr>
                <w:ilvl w:val="0"/>
                <w:numId w:val="2"/>
              </w:numPr>
              <w:spacing w:line="360" w:lineRule="auto"/>
              <w:ind w:left="0" w:leftChars="0" w:firstLine="0" w:firstLineChars="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在</w:t>
            </w:r>
            <w:r>
              <w:rPr>
                <w:rFonts w:hint="eastAsia" w:ascii="思源宋体 CN Light" w:hAnsi="思源宋体 CN Light" w:eastAsia="思源宋体 CN Light" w:cs="思源宋体 CN Light"/>
                <w:sz w:val="24"/>
                <w:szCs w:val="24"/>
              </w:rPr>
              <w:t>【全国公共资源交易平台（陕西省）】</w:t>
            </w:r>
            <w:r>
              <w:rPr>
                <w:rFonts w:hint="eastAsia" w:ascii="思源宋体 CN Light" w:hAnsi="思源宋体 CN Light" w:eastAsia="思源宋体 CN Light" w:cs="思源宋体 CN Light"/>
                <w:sz w:val="24"/>
                <w:szCs w:val="24"/>
                <w:lang w:val="en-US" w:eastAsia="zh-CN"/>
              </w:rPr>
              <w:t>网站首页点击不见面开标模块选择榆林市进入。</w:t>
            </w:r>
          </w:p>
          <w:p>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pPr>
              <w:spacing w:line="360" w:lineRule="auto"/>
              <w:rPr>
                <w:rFonts w:hint="eastAsia" w:ascii="思源宋体 CN Light" w:hAnsi="思源宋体 CN Light" w:eastAsia="思源宋体 CN Light" w:cs="思源宋体 CN Light"/>
                <w:b/>
                <w:bCs/>
                <w:sz w:val="24"/>
                <w:szCs w:val="24"/>
                <w:lang w:eastAsia="zh-CN"/>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开</w:t>
            </w:r>
            <w:r>
              <w:rPr>
                <w:rFonts w:hint="eastAsia" w:ascii="思源宋体 CN Light" w:hAnsi="思源宋体 CN Light" w:eastAsia="思源宋体 CN Light" w:cs="思源宋体 CN Light"/>
                <w:color w:val="auto"/>
                <w:sz w:val="24"/>
                <w:szCs w:val="24"/>
              </w:rPr>
              <w:t>标过程中，供应商在收到工作人员“开始解密”指令后，请及时使用CA对电子投标文件进行解密。解密时所用CA应与加密投标文件时所用CA相同；</w:t>
            </w:r>
          </w:p>
          <w:p>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、相关技术问题，请咨询软件开发商：</w:t>
            </w:r>
          </w:p>
          <w:p>
            <w:p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（1）技术支持热线：400-998-0000/400-928-0095</w:t>
            </w:r>
          </w:p>
          <w:p>
            <w:pPr>
              <w:widowControl/>
              <w:adjustRightInd w:val="0"/>
              <w:snapToGrid w:val="0"/>
              <w:spacing w:line="360" w:lineRule="auto"/>
              <w:textAlignment w:val="center"/>
              <w:rPr>
                <w:rFonts w:ascii="宋体" w:hAnsi="宋体" w:cs="宋体"/>
                <w:sz w:val="24"/>
              </w:rPr>
            </w:pPr>
            <w:r>
              <w:rPr>
                <w:rFonts w:hint="eastAsia" w:ascii="思源宋体 CN Light" w:hAnsi="思源宋体 CN Light" w:eastAsia="思源宋体 CN Light" w:cs="思源宋体 CN Light"/>
                <w:sz w:val="24"/>
                <w:szCs w:val="24"/>
                <w:lang w:val="en-US" w:eastAsia="zh-CN"/>
              </w:rPr>
              <w:t>5</w:t>
            </w:r>
            <w:r>
              <w:rPr>
                <w:rFonts w:hint="eastAsia" w:ascii="思源宋体 CN Light" w:hAnsi="思源宋体 CN Light" w:eastAsia="思源宋体 CN Light" w:cs="思源宋体 CN Light"/>
                <w:sz w:val="24"/>
                <w:szCs w:val="24"/>
              </w:rPr>
              <w:t>、</w:t>
            </w:r>
            <w:r>
              <w:rPr>
                <w:rFonts w:hint="eastAsia" w:ascii="思源宋体 CN Light" w:hAnsi="思源宋体 CN Light" w:eastAsia="思源宋体 CN Light" w:cs="思源宋体 CN Light"/>
                <w:sz w:val="24"/>
                <w:szCs w:val="24"/>
                <w:lang w:val="en-US" w:eastAsia="zh-CN"/>
              </w:rPr>
              <w:t>榆林</w:t>
            </w:r>
            <w:r>
              <w:rPr>
                <w:rFonts w:hint="eastAsia" w:ascii="思源宋体 CN Light" w:hAnsi="思源宋体 CN Light" w:eastAsia="思源宋体 CN Light" w:cs="思源宋体 CN Light"/>
                <w:sz w:val="24"/>
                <w:szCs w:val="24"/>
              </w:rPr>
              <w:t>不见面开标</w:t>
            </w:r>
            <w:r>
              <w:rPr>
                <w:rFonts w:hint="eastAsia" w:ascii="思源宋体 CN Light" w:hAnsi="思源宋体 CN Light" w:eastAsia="思源宋体 CN Light" w:cs="思源宋体 CN Light"/>
                <w:sz w:val="24"/>
                <w:szCs w:val="24"/>
                <w:lang w:val="en-US" w:eastAsia="zh-CN"/>
              </w:rPr>
              <w:t>系统</w:t>
            </w:r>
            <w:r>
              <w:rPr>
                <w:rFonts w:hint="eastAsia" w:ascii="思源宋体 CN Light" w:hAnsi="思源宋体 CN Light" w:eastAsia="思源宋体 CN Light" w:cs="思源宋体 CN Light"/>
                <w:sz w:val="24"/>
                <w:szCs w:val="24"/>
              </w:rPr>
              <w:t>操作手册</w:t>
            </w:r>
            <w:r>
              <w:rPr>
                <w:rFonts w:hint="eastAsia" w:ascii="思源宋体 CN Light" w:hAnsi="思源宋体 CN Light" w:eastAsia="思源宋体 CN Light" w:cs="思源宋体 CN Light"/>
                <w:sz w:val="24"/>
                <w:szCs w:val="24"/>
                <w:lang w:val="en-US" w:eastAsia="zh-CN"/>
              </w:rPr>
              <w:t>下载方式：登录</w:t>
            </w:r>
            <w:r>
              <w:rPr>
                <w:rFonts w:hint="eastAsia" w:ascii="思源宋体 CN Light" w:hAnsi="思源宋体 CN Light" w:eastAsia="思源宋体 CN Light" w:cs="思源宋体 CN Light"/>
                <w:sz w:val="24"/>
                <w:szCs w:val="24"/>
              </w:rPr>
              <w:t>【全国公共资源交易平台（陕西省·</w:t>
            </w:r>
            <w:r>
              <w:rPr>
                <w:rFonts w:hint="eastAsia" w:ascii="思源宋体 CN Light" w:hAnsi="思源宋体 CN Light" w:eastAsia="思源宋体 CN Light" w:cs="思源宋体 CN Light"/>
                <w:sz w:val="24"/>
                <w:szCs w:val="24"/>
                <w:lang w:val="en-US" w:eastAsia="zh-CN"/>
              </w:rPr>
              <w:t>榆林</w:t>
            </w:r>
            <w:r>
              <w:rPr>
                <w:rFonts w:hint="eastAsia" w:ascii="思源宋体 CN Light" w:hAnsi="思源宋体 CN Light" w:eastAsia="思源宋体 CN Light" w:cs="思源宋体 CN Light"/>
                <w:sz w:val="24"/>
                <w:szCs w:val="24"/>
              </w:rPr>
              <w:t>市）】</w:t>
            </w:r>
            <w:r>
              <w:rPr>
                <w:rFonts w:hint="eastAsia" w:ascii="思源宋体 CN Light" w:hAnsi="思源宋体 CN Light" w:eastAsia="思源宋体 CN Light" w:cs="思源宋体 CN Light"/>
                <w:sz w:val="24"/>
                <w:szCs w:val="24"/>
                <w:lang w:val="en-US" w:eastAsia="zh-CN"/>
              </w:rPr>
              <w:t>网站首页选择【服务指南】-【下载专区】-点击【</w:t>
            </w:r>
            <w:r>
              <w:rPr>
                <w:rFonts w:hint="eastAsia" w:ascii="思源宋体 CN Light" w:hAnsi="思源宋体 CN Light" w:eastAsia="思源宋体 CN Light" w:cs="思源宋体 CN Light"/>
                <w:sz w:val="24"/>
                <w:szCs w:val="24"/>
              </w:rPr>
              <w:fldChar w:fldCharType="begin"/>
            </w:r>
            <w:r>
              <w:rPr>
                <w:rFonts w:hint="eastAsia" w:ascii="思源宋体 CN Light" w:hAnsi="思源宋体 CN Light" w:eastAsia="思源宋体 CN Light" w:cs="思源宋体 CN Light"/>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sz w:val="24"/>
                <w:szCs w:val="24"/>
              </w:rPr>
              <w:fldChar w:fldCharType="separate"/>
            </w:r>
            <w:r>
              <w:rPr>
                <w:rFonts w:hint="eastAsia" w:ascii="思源宋体 CN Light" w:hAnsi="思源宋体 CN Light" w:eastAsia="思源宋体 CN Light" w:cs="思源宋体 CN Light"/>
                <w:sz w:val="24"/>
                <w:szCs w:val="24"/>
              </w:rPr>
              <w:t>榆林不见面开标系统操作手册（投标人）</w:t>
            </w:r>
            <w:r>
              <w:rPr>
                <w:rFonts w:hint="eastAsia" w:ascii="思源宋体 CN Light" w:hAnsi="思源宋体 CN Light" w:eastAsia="思源宋体 CN Light" w:cs="思源宋体 CN Light"/>
                <w:sz w:val="24"/>
                <w:szCs w:val="24"/>
              </w:rPr>
              <w:fldChar w:fldCharType="end"/>
            </w:r>
            <w:r>
              <w:rPr>
                <w:rFonts w:hint="eastAsia" w:ascii="思源宋体 CN Light" w:hAnsi="思源宋体 CN Light" w:eastAsia="思源宋体 CN Light" w:cs="思源宋体 CN Light"/>
                <w:sz w:val="24"/>
                <w:szCs w:val="24"/>
                <w:lang w:val="en-US" w:eastAsia="zh-CN"/>
              </w:rPr>
              <w:t>】进行下载</w:t>
            </w:r>
            <w:r>
              <w:rPr>
                <w:rFonts w:hint="eastAsia" w:ascii="思源宋体 CN Light" w:hAnsi="思源宋体 CN Light" w:eastAsia="思源宋体 CN Light" w:cs="思源宋体 CN Light"/>
                <w:sz w:val="24"/>
                <w:szCs w:val="24"/>
              </w:rPr>
              <w:t>。</w:t>
            </w:r>
            <w:r>
              <w:rPr>
                <w:rFonts w:hint="eastAsia" w:ascii="思源宋体 CN Light" w:hAnsi="思源宋体 CN Light" w:eastAsia="思源宋体 CN Light" w:cs="思源宋体 CN Light"/>
                <w:sz w:val="24"/>
                <w:szCs w:val="24"/>
                <w:lang w:val="en-US" w:eastAsia="zh-CN"/>
              </w:rPr>
              <w:t xml:space="preserve">    </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27</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b w:val="0"/>
                <w:kern w:val="2"/>
                <w:sz w:val="24"/>
                <w:szCs w:val="24"/>
                <w:shd w:val="clear" w:color="auto" w:fill="FFFFFF"/>
                <w:lang w:val="en-US" w:eastAsia="zh-CN" w:bidi="ar-SA"/>
              </w:rPr>
              <w:t>答疑文件</w:t>
            </w:r>
          </w:p>
        </w:tc>
        <w:tc>
          <w:tcPr>
            <w:tcW w:w="7515" w:type="dxa"/>
            <w:tcBorders>
              <w:top w:val="single" w:color="auto" w:sz="4" w:space="0"/>
              <w:left w:val="single" w:color="auto" w:sz="4" w:space="0"/>
              <w:bottom w:val="single" w:color="auto" w:sz="4" w:space="0"/>
              <w:right w:val="single" w:color="auto" w:sz="4" w:space="0"/>
            </w:tcBorders>
            <w:vAlign w:val="center"/>
          </w:tcPr>
          <w:p>
            <w:pPr>
              <w:pStyle w:val="10"/>
              <w:spacing w:line="360" w:lineRule="auto"/>
              <w:rPr>
                <w:rFonts w:hint="eastAsia" w:ascii="Times New Roman" w:hAnsi="Times New Roman" w:eastAsia="宋体" w:cs="Times New Roman"/>
                <w:kern w:val="2"/>
                <w:sz w:val="21"/>
                <w:szCs w:val="24"/>
                <w:lang w:val="en-US" w:eastAsia="zh-CN" w:bidi="ar-SA"/>
              </w:rPr>
            </w:pPr>
            <w:r>
              <w:rPr>
                <w:rFonts w:hint="eastAsia" w:ascii="宋体" w:hAnsi="宋体" w:eastAsia="宋体" w:cs="宋体"/>
                <w:b w:val="0"/>
                <w:kern w:val="2"/>
                <w:sz w:val="24"/>
                <w:szCs w:val="24"/>
                <w:shd w:val="clear" w:color="auto" w:fill="FFFFFF"/>
                <w:lang w:val="en-US" w:eastAsia="zh-CN" w:bidi="ar-SA"/>
              </w:rPr>
              <w:t>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28</w:t>
            </w:r>
          </w:p>
        </w:tc>
        <w:tc>
          <w:tcPr>
            <w:tcW w:w="17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投标文件递交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方式</w:t>
            </w:r>
          </w:p>
          <w:p>
            <w:pPr>
              <w:widowControl/>
              <w:adjustRightInd w:val="0"/>
              <w:snapToGrid w:val="0"/>
              <w:jc w:val="center"/>
              <w:textAlignment w:val="center"/>
              <w:rPr>
                <w:rFonts w:hint="eastAsia" w:ascii="宋体" w:hAnsi="宋体" w:cs="宋体"/>
                <w:color w:val="000000"/>
                <w:sz w:val="24"/>
                <w:szCs w:val="24"/>
              </w:rPr>
            </w:pPr>
          </w:p>
        </w:tc>
        <w:tc>
          <w:tcPr>
            <w:tcW w:w="7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供应商应于提交投标文件截止时间前任意时段登录交易平台〖首页〉电子交易平台〉企业端〗在线提交电子投标文件，逾期提交系统将拒绝接收。</w:t>
            </w:r>
          </w:p>
          <w:p>
            <w:pPr>
              <w:spacing w:line="360" w:lineRule="auto"/>
              <w:rPr>
                <w:rFonts w:hint="default" w:ascii="宋体" w:hAnsi="宋体" w:eastAsia="思源宋体 CN Light" w:cs="宋体"/>
                <w:bCs/>
                <w:color w:val="000000"/>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 xml:space="preserve">2、本项目采用“不见面”开标形式，供应商可登录榆林交易平台〖首页〉不见面开标〗在线参与开评标过程，详见招标文件以及交易平台〖首页〉服务指南〉下载专区〗中的《榆林市不见面开标大厅操作手册（投标人）》。 </w:t>
            </w:r>
          </w:p>
        </w:tc>
      </w:tr>
      <w:tr>
        <w:tblPrEx>
          <w:tblCellMar>
            <w:top w:w="0" w:type="dxa"/>
            <w:left w:w="108" w:type="dxa"/>
            <w:bottom w:w="0" w:type="dxa"/>
            <w:right w:w="108" w:type="dxa"/>
          </w:tblCellMar>
        </w:tblPrEx>
        <w:trPr>
          <w:trHeight w:val="585" w:hRule="atLeast"/>
        </w:trPr>
        <w:tc>
          <w:tcPr>
            <w:tcW w:w="1000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本表是对供应商须知的提示、补充和修改，如有矛盾，应以本表为准。如本表未说明的，以本竞争性磋商文件内容为准。</w:t>
            </w:r>
          </w:p>
        </w:tc>
      </w:tr>
    </w:tbl>
    <w:p>
      <w:bookmarkStart w:id="26" w:name="_Toc513557026"/>
      <w:r>
        <w:br w:type="page"/>
      </w:r>
    </w:p>
    <w:p>
      <w:pPr>
        <w:pStyle w:val="3"/>
        <w:spacing w:line="240" w:lineRule="auto"/>
        <w:rPr>
          <w:rFonts w:ascii="宋体" w:hAnsi="宋体"/>
          <w:sz w:val="36"/>
          <w:szCs w:val="36"/>
        </w:rPr>
      </w:pPr>
      <w:bookmarkStart w:id="27" w:name="_Toc23852"/>
      <w:bookmarkStart w:id="28" w:name="_Toc11332"/>
      <w:bookmarkStart w:id="29" w:name="_Toc19773"/>
      <w:bookmarkStart w:id="30" w:name="_Toc19507"/>
      <w:bookmarkStart w:id="31" w:name="_Toc19554"/>
      <w:bookmarkStart w:id="32" w:name="_Toc23612"/>
      <w:bookmarkStart w:id="33" w:name="_Toc29584"/>
      <w:r>
        <w:rPr>
          <w:rFonts w:hint="eastAsia" w:ascii="宋体" w:hAnsi="宋体" w:eastAsia="宋体" w:cs="Times New Roman"/>
          <w:sz w:val="36"/>
          <w:szCs w:val="36"/>
        </w:rPr>
        <w:t>（二）</w:t>
      </w:r>
      <w:r>
        <w:rPr>
          <w:rFonts w:hint="eastAsia" w:ascii="宋体" w:hAnsi="宋体"/>
          <w:sz w:val="36"/>
          <w:szCs w:val="36"/>
        </w:rPr>
        <w:t>供应商须知</w:t>
      </w:r>
      <w:bookmarkEnd w:id="26"/>
      <w:bookmarkEnd w:id="27"/>
      <w:bookmarkEnd w:id="28"/>
      <w:bookmarkEnd w:id="29"/>
      <w:bookmarkEnd w:id="30"/>
      <w:bookmarkEnd w:id="31"/>
      <w:bookmarkEnd w:id="32"/>
      <w:bookmarkEnd w:id="33"/>
    </w:p>
    <w:p>
      <w:pPr>
        <w:pStyle w:val="42"/>
        <w:spacing w:line="240" w:lineRule="auto"/>
        <w:ind w:firstLine="562" w:firstLineChars="200"/>
        <w:outlineLvl w:val="2"/>
        <w:rPr>
          <w:rFonts w:ascii="宋体" w:hAnsi="宋体"/>
          <w:b/>
          <w:szCs w:val="28"/>
        </w:rPr>
      </w:pPr>
      <w:bookmarkStart w:id="34" w:name="_Toc30389"/>
      <w:bookmarkStart w:id="35" w:name="_Toc11273"/>
      <w:bookmarkStart w:id="36" w:name="_Toc24343"/>
      <w:bookmarkStart w:id="37" w:name="_Toc18148"/>
      <w:bookmarkStart w:id="38" w:name="_Toc15038"/>
      <w:bookmarkStart w:id="39" w:name="_Toc27754"/>
      <w:bookmarkStart w:id="40" w:name="_Toc31778"/>
      <w:bookmarkStart w:id="41" w:name="_Toc10851"/>
      <w:bookmarkStart w:id="42" w:name="_Toc513557027"/>
      <w:r>
        <w:rPr>
          <w:rFonts w:ascii="宋体" w:hAnsi="宋体"/>
          <w:b/>
          <w:szCs w:val="28"/>
        </w:rPr>
        <w:t>1</w:t>
      </w:r>
      <w:r>
        <w:rPr>
          <w:rFonts w:hint="eastAsia" w:ascii="宋体" w:hAnsi="宋体"/>
          <w:b/>
          <w:szCs w:val="28"/>
        </w:rPr>
        <w:t>．</w:t>
      </w:r>
      <w:r>
        <w:rPr>
          <w:rFonts w:ascii="宋体" w:hAnsi="宋体"/>
          <w:b/>
          <w:szCs w:val="28"/>
        </w:rPr>
        <w:t xml:space="preserve">  </w:t>
      </w:r>
      <w:r>
        <w:rPr>
          <w:rFonts w:hint="eastAsia" w:ascii="宋体" w:hAnsi="宋体"/>
          <w:b/>
          <w:szCs w:val="28"/>
        </w:rPr>
        <w:t>总则</w:t>
      </w:r>
      <w:bookmarkEnd w:id="34"/>
      <w:bookmarkEnd w:id="35"/>
      <w:bookmarkEnd w:id="36"/>
      <w:bookmarkEnd w:id="37"/>
      <w:bookmarkEnd w:id="38"/>
      <w:bookmarkEnd w:id="39"/>
      <w:bookmarkEnd w:id="40"/>
      <w:bookmarkEnd w:id="41"/>
      <w:bookmarkEnd w:id="42"/>
    </w:p>
    <w:p>
      <w:pPr>
        <w:pStyle w:val="5"/>
        <w:spacing w:line="240" w:lineRule="auto"/>
        <w:rPr>
          <w:rFonts w:ascii="宋体" w:hAnsi="宋体" w:cs="宋体"/>
        </w:rPr>
      </w:pPr>
      <w:r>
        <w:rPr>
          <w:rFonts w:hint="eastAsia" w:ascii="宋体" w:hAnsi="宋体" w:cs="宋体"/>
        </w:rPr>
        <w:t>1、说明</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r>
        <w:rPr>
          <w:rFonts w:hint="eastAsia" w:ascii="宋体" w:hAnsi="宋体" w:cs="宋体"/>
          <w:sz w:val="24"/>
        </w:rPr>
        <w:t>本竞争性</w:t>
      </w:r>
      <w:r>
        <w:rPr>
          <w:rFonts w:hint="eastAsia" w:ascii="宋体" w:hAnsi="宋体" w:cs="宋体"/>
          <w:sz w:val="24"/>
          <w:lang w:eastAsia="zh-CN"/>
        </w:rPr>
        <w:t>磋商</w:t>
      </w:r>
      <w:r>
        <w:rPr>
          <w:rFonts w:hint="eastAsia" w:ascii="宋体" w:hAnsi="宋体" w:cs="宋体"/>
          <w:sz w:val="24"/>
        </w:rPr>
        <w:t>文件仅适用于本竞争性</w:t>
      </w:r>
      <w:r>
        <w:rPr>
          <w:rFonts w:hint="eastAsia" w:ascii="宋体" w:hAnsi="宋体" w:cs="宋体"/>
          <w:sz w:val="24"/>
          <w:lang w:eastAsia="zh-CN"/>
        </w:rPr>
        <w:t>磋商</w:t>
      </w:r>
      <w:r>
        <w:rPr>
          <w:rFonts w:hint="eastAsia" w:ascii="宋体" w:hAnsi="宋体" w:cs="宋体"/>
          <w:sz w:val="24"/>
        </w:rPr>
        <w:t>公告中所叙述</w:t>
      </w:r>
      <w:r>
        <w:rPr>
          <w:rFonts w:hint="eastAsia" w:ascii="宋体" w:hAnsi="宋体" w:cs="仿宋_GB2312"/>
          <w:sz w:val="24"/>
        </w:rPr>
        <w:t>货物、工程及服务采购</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1.2本次采购属政府采购，采购人，采购代理机构、供应商、</w:t>
      </w:r>
      <w:r>
        <w:rPr>
          <w:rFonts w:hint="eastAsia" w:ascii="宋体" w:hAnsi="宋体" w:cs="宋体"/>
          <w:sz w:val="24"/>
          <w:lang w:eastAsia="zh-CN"/>
        </w:rPr>
        <w:t>磋商</w:t>
      </w:r>
      <w:r>
        <w:rPr>
          <w:rFonts w:hint="eastAsia" w:ascii="宋体" w:hAnsi="宋体" w:cs="宋体"/>
          <w:sz w:val="24"/>
        </w:rPr>
        <w:t>小组的相关行为均受《中华人民共和国政府采购法》、财政部规章及政府采购项目所在地有关法规、规章的约束，其权利受到上述法律法规的保护。</w:t>
      </w:r>
    </w:p>
    <w:p>
      <w:pPr>
        <w:spacing w:line="360" w:lineRule="auto"/>
        <w:ind w:firstLine="480" w:firstLineChars="200"/>
        <w:rPr>
          <w:rFonts w:ascii="宋体" w:hAnsi="宋体" w:cs="宋体"/>
          <w:sz w:val="24"/>
        </w:rPr>
      </w:pPr>
      <w:r>
        <w:rPr>
          <w:rFonts w:hint="eastAsia" w:ascii="宋体" w:hAnsi="宋体" w:cs="宋体"/>
          <w:sz w:val="24"/>
          <w:szCs w:val="24"/>
        </w:rPr>
        <w:t>1.3 本</w:t>
      </w:r>
      <w:r>
        <w:rPr>
          <w:rFonts w:hint="eastAsia" w:ascii="宋体" w:hAnsi="宋体" w:cs="宋体"/>
          <w:sz w:val="24"/>
        </w:rPr>
        <w:t>次招标采用</w:t>
      </w:r>
      <w:r>
        <w:rPr>
          <w:rFonts w:hint="eastAsia"/>
          <w:sz w:val="24"/>
          <w:szCs w:val="24"/>
        </w:rPr>
        <w:t>竞争性磋商</w:t>
      </w:r>
      <w:r>
        <w:rPr>
          <w:rFonts w:hint="eastAsia" w:ascii="宋体" w:hAnsi="宋体" w:cs="宋体"/>
          <w:sz w:val="24"/>
        </w:rPr>
        <w:t>的方式。</w:t>
      </w:r>
    </w:p>
    <w:p>
      <w:pPr>
        <w:spacing w:line="240" w:lineRule="auto"/>
        <w:ind w:firstLine="480" w:firstLineChars="200"/>
        <w:rPr>
          <w:rFonts w:ascii="宋体" w:hAnsi="宋体" w:cs="宋体"/>
          <w:sz w:val="24"/>
        </w:rPr>
      </w:pPr>
      <w:r>
        <w:rPr>
          <w:rFonts w:hint="eastAsia" w:ascii="宋体" w:hAnsi="宋体" w:cs="宋体"/>
          <w:sz w:val="24"/>
          <w:szCs w:val="24"/>
        </w:rPr>
        <w:t>1.4</w:t>
      </w:r>
      <w:r>
        <w:rPr>
          <w:rFonts w:hint="eastAsia" w:ascii="宋体" w:hAnsi="宋体" w:cs="宋体"/>
          <w:sz w:val="24"/>
        </w:rPr>
        <w:t>本磋商文件的解释权属于</w:t>
      </w:r>
      <w:r>
        <w:rPr>
          <w:rFonts w:hint="eastAsia" w:ascii="宋体" w:hAnsi="宋体" w:cs="宋体"/>
          <w:sz w:val="24"/>
          <w:lang w:eastAsia="zh-CN"/>
        </w:rPr>
        <w:t>陕西华旭晟信项目管理有限责任公司</w:t>
      </w:r>
      <w:r>
        <w:rPr>
          <w:rFonts w:hint="eastAsia" w:ascii="宋体" w:hAnsi="宋体" w:cs="宋体"/>
          <w:sz w:val="24"/>
        </w:rPr>
        <w:t>所有。</w:t>
      </w:r>
    </w:p>
    <w:p>
      <w:pPr>
        <w:pStyle w:val="5"/>
        <w:spacing w:line="240" w:lineRule="auto"/>
        <w:rPr>
          <w:rFonts w:ascii="宋体" w:hAnsi="宋体" w:cs="宋体"/>
          <w:sz w:val="24"/>
          <w:szCs w:val="24"/>
        </w:rPr>
      </w:pPr>
      <w:r>
        <w:rPr>
          <w:rFonts w:hint="eastAsia" w:ascii="宋体" w:hAnsi="宋体" w:cs="宋体"/>
        </w:rPr>
        <w:t>2、合格的供应商</w:t>
      </w:r>
    </w:p>
    <w:p>
      <w:pPr>
        <w:wordWrap w:val="0"/>
        <w:topLinePunct/>
        <w:spacing w:line="360" w:lineRule="auto"/>
        <w:jc w:val="left"/>
        <w:rPr>
          <w:rFonts w:ascii="宋体" w:hAnsi="宋体"/>
          <w:sz w:val="24"/>
        </w:rPr>
      </w:pPr>
      <w:bookmarkStart w:id="43" w:name="_Toc152042311"/>
      <w:bookmarkStart w:id="44" w:name="_Toc152045535"/>
      <w:bookmarkStart w:id="45" w:name="_Toc144974503"/>
      <w:bookmarkStart w:id="46" w:name="_Toc179632552"/>
      <w:r>
        <w:rPr>
          <w:rFonts w:hint="eastAsia" w:ascii="宋体" w:hAnsi="宋体" w:cs="宋体"/>
          <w:sz w:val="24"/>
          <w:szCs w:val="24"/>
          <w:lang w:val="en-US" w:eastAsia="zh-CN"/>
        </w:rPr>
        <w:t>2</w:t>
      </w:r>
      <w:r>
        <w:rPr>
          <w:rFonts w:hint="eastAsia" w:ascii="宋体" w:hAnsi="宋体" w:cs="宋体"/>
          <w:sz w:val="24"/>
          <w:szCs w:val="24"/>
        </w:rPr>
        <w:t xml:space="preserve">.1 </w:t>
      </w:r>
      <w:r>
        <w:rPr>
          <w:rFonts w:hint="eastAsia" w:ascii="宋体" w:hAnsi="宋体"/>
          <w:sz w:val="24"/>
        </w:rPr>
        <w:t>合格的供应商：满足下列资格条件且有能力提供项目所需服务的供应商。</w:t>
      </w:r>
    </w:p>
    <w:p>
      <w:pPr>
        <w:spacing w:line="360" w:lineRule="auto"/>
        <w:rPr>
          <w:rFonts w:hint="eastAsia" w:ascii="宋体" w:hAnsi="宋体"/>
          <w:bCs/>
          <w:sz w:val="24"/>
        </w:rPr>
      </w:pPr>
      <w:r>
        <w:rPr>
          <w:rFonts w:hint="eastAsia" w:ascii="宋体" w:hAnsi="宋体" w:cs="宋体"/>
          <w:sz w:val="24"/>
          <w:szCs w:val="24"/>
          <w:lang w:val="en-US" w:eastAsia="zh-CN"/>
        </w:rPr>
        <w:t>2</w:t>
      </w:r>
      <w:r>
        <w:rPr>
          <w:rFonts w:hint="eastAsia" w:ascii="宋体" w:hAnsi="宋体" w:cs="宋体"/>
          <w:sz w:val="24"/>
          <w:szCs w:val="24"/>
        </w:rPr>
        <w:t>.2</w:t>
      </w:r>
      <w:r>
        <w:rPr>
          <w:rFonts w:hint="eastAsia" w:ascii="宋体" w:hAnsi="宋体"/>
          <w:bCs/>
          <w:sz w:val="24"/>
        </w:rPr>
        <w:t>资格条件</w:t>
      </w:r>
    </w:p>
    <w:p>
      <w:pPr>
        <w:spacing w:line="360" w:lineRule="auto"/>
        <w:rPr>
          <w:rFonts w:hint="eastAsia" w:ascii="宋体" w:hAnsi="宋体" w:cs="宋体"/>
          <w:sz w:val="24"/>
          <w:szCs w:val="24"/>
        </w:rPr>
      </w:pPr>
      <w:r>
        <w:rPr>
          <w:rFonts w:hint="eastAsia" w:ascii="宋体" w:hAnsi="宋体"/>
          <w:bCs/>
          <w:sz w:val="24"/>
          <w:lang w:val="en-US" w:eastAsia="zh-CN"/>
        </w:rPr>
        <w:t>2</w:t>
      </w:r>
      <w:r>
        <w:rPr>
          <w:rFonts w:hint="eastAsia" w:ascii="宋体" w:hAnsi="宋体"/>
          <w:bCs/>
          <w:sz w:val="24"/>
        </w:rPr>
        <w:t>.2.1</w:t>
      </w:r>
      <w:r>
        <w:rPr>
          <w:rFonts w:hint="eastAsia" w:ascii="宋体" w:hAnsi="宋体" w:cs="宋体"/>
          <w:sz w:val="24"/>
          <w:szCs w:val="24"/>
        </w:rPr>
        <w:t>供应商应当符合《中华人民共和国政府采购法》第二十二条第一款规定的投标人基本资格条件；以及</w:t>
      </w:r>
      <w:r>
        <w:rPr>
          <w:rFonts w:hint="eastAsia" w:ascii="宋体" w:hAnsi="宋体" w:cs="宋体"/>
          <w:sz w:val="24"/>
          <w:szCs w:val="24"/>
          <w:lang w:val="en-US" w:eastAsia="zh-CN"/>
        </w:rPr>
        <w:t>竞争性磋商</w:t>
      </w:r>
      <w:r>
        <w:rPr>
          <w:rFonts w:hint="eastAsia" w:ascii="宋体" w:hAnsi="宋体" w:cs="宋体"/>
          <w:sz w:val="24"/>
          <w:szCs w:val="24"/>
        </w:rPr>
        <w:t>文件规定的供应商</w:t>
      </w:r>
      <w:r>
        <w:rPr>
          <w:rFonts w:hint="eastAsia" w:ascii="宋体" w:hAnsi="宋体" w:cs="宋体"/>
          <w:sz w:val="24"/>
        </w:rPr>
        <w:t>特定资格条件</w:t>
      </w:r>
      <w:r>
        <w:rPr>
          <w:rFonts w:hint="eastAsia" w:ascii="宋体" w:hAnsi="宋体" w:cs="宋体"/>
          <w:sz w:val="24"/>
          <w:szCs w:val="24"/>
        </w:rPr>
        <w:t>。</w:t>
      </w:r>
    </w:p>
    <w:p>
      <w:pPr>
        <w:spacing w:line="360" w:lineRule="auto"/>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.3供应商必须从陕西省公共资源交易平台获取</w:t>
      </w:r>
      <w:r>
        <w:rPr>
          <w:rFonts w:hint="eastAsia" w:ascii="宋体" w:hAnsi="宋体" w:cs="宋体"/>
          <w:sz w:val="24"/>
          <w:szCs w:val="24"/>
          <w:lang w:val="en-US" w:eastAsia="zh-CN"/>
        </w:rPr>
        <w:t>竞争性磋商</w:t>
      </w:r>
      <w:r>
        <w:rPr>
          <w:rFonts w:hint="eastAsia" w:ascii="宋体" w:hAnsi="宋体" w:cs="宋体"/>
          <w:sz w:val="24"/>
          <w:szCs w:val="24"/>
        </w:rPr>
        <w:t>文件，供应商自行转让或复制的竞争性</w:t>
      </w:r>
      <w:r>
        <w:rPr>
          <w:rFonts w:hint="eastAsia" w:ascii="宋体" w:hAnsi="宋体" w:cs="宋体"/>
          <w:sz w:val="24"/>
          <w:szCs w:val="24"/>
          <w:lang w:eastAsia="zh-CN"/>
        </w:rPr>
        <w:t>磋商</w:t>
      </w:r>
      <w:r>
        <w:rPr>
          <w:rFonts w:hint="eastAsia" w:ascii="宋体" w:hAnsi="宋体" w:cs="宋体"/>
          <w:sz w:val="24"/>
          <w:szCs w:val="24"/>
        </w:rPr>
        <w:t>文件视为无效文件</w:t>
      </w:r>
      <w:r>
        <w:rPr>
          <w:rFonts w:hint="eastAsia" w:ascii="宋体" w:hAnsi="宋体" w:cs="宋体"/>
          <w:sz w:val="24"/>
          <w:szCs w:val="24"/>
          <w:lang w:eastAsia="zh-CN"/>
        </w:rPr>
        <w:t>，此文件</w:t>
      </w:r>
      <w:r>
        <w:rPr>
          <w:rFonts w:hint="eastAsia" w:ascii="宋体" w:hAnsi="宋体" w:cs="宋体"/>
          <w:sz w:val="24"/>
          <w:szCs w:val="24"/>
        </w:rPr>
        <w:t>仅作为本次</w:t>
      </w:r>
      <w:r>
        <w:rPr>
          <w:rFonts w:hint="eastAsia" w:ascii="宋体" w:hAnsi="宋体" w:cs="宋体"/>
          <w:sz w:val="24"/>
          <w:szCs w:val="24"/>
          <w:lang w:eastAsia="zh-CN"/>
        </w:rPr>
        <w:t>磋商</w:t>
      </w:r>
      <w:r>
        <w:rPr>
          <w:rFonts w:hint="eastAsia" w:ascii="宋体" w:hAnsi="宋体" w:cs="宋体"/>
          <w:sz w:val="24"/>
          <w:szCs w:val="24"/>
        </w:rPr>
        <w:t>使用。</w:t>
      </w:r>
    </w:p>
    <w:p>
      <w:pPr>
        <w:spacing w:line="360" w:lineRule="auto"/>
        <w:rPr>
          <w:rFonts w:hint="eastAsia"/>
        </w:rPr>
      </w:pPr>
      <w:r>
        <w:rPr>
          <w:rFonts w:hint="eastAsia" w:ascii="宋体" w:hAnsi="宋体" w:cs="宋体"/>
          <w:sz w:val="24"/>
          <w:szCs w:val="24"/>
          <w:lang w:val="en-US" w:eastAsia="zh-CN"/>
        </w:rPr>
        <w:t>2</w:t>
      </w:r>
      <w:r>
        <w:rPr>
          <w:rFonts w:hint="eastAsia" w:ascii="宋体" w:hAnsi="宋体" w:cs="宋体"/>
          <w:sz w:val="24"/>
          <w:szCs w:val="24"/>
        </w:rPr>
        <w:t>.4法定代表人或者负责人为同一人或者存在控股、管理关系的两个以上供应商，不得参加同一政府采购项目投标。</w:t>
      </w:r>
    </w:p>
    <w:p>
      <w:pPr>
        <w:spacing w:line="360" w:lineRule="auto"/>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.5是否接受联合体投标：见投标人须知前附表。</w:t>
      </w:r>
    </w:p>
    <w:p>
      <w:pPr>
        <w:spacing w:line="360" w:lineRule="auto"/>
        <w:rPr>
          <w:rFonts w:hint="eastAsia"/>
        </w:rPr>
      </w:pPr>
      <w:r>
        <w:rPr>
          <w:rFonts w:hint="eastAsia" w:ascii="宋体" w:hAnsi="宋体" w:cs="宋体"/>
          <w:color w:val="000000"/>
          <w:sz w:val="24"/>
          <w:szCs w:val="24"/>
          <w:lang w:val="en-US" w:eastAsia="zh-CN"/>
        </w:rPr>
        <w:t>2</w:t>
      </w:r>
      <w:r>
        <w:rPr>
          <w:rFonts w:hint="eastAsia" w:ascii="宋体" w:hAnsi="宋体" w:cs="宋体"/>
          <w:color w:val="000000"/>
          <w:sz w:val="24"/>
          <w:szCs w:val="24"/>
        </w:rPr>
        <w:t>.6供应商应参照《中华人民共和国政府采购法》及其它有关的中国法律和法规。</w:t>
      </w:r>
    </w:p>
    <w:bookmarkEnd w:id="43"/>
    <w:bookmarkEnd w:id="44"/>
    <w:bookmarkEnd w:id="45"/>
    <w:bookmarkEnd w:id="46"/>
    <w:p>
      <w:pPr>
        <w:spacing w:line="360" w:lineRule="auto"/>
        <w:rPr>
          <w:rFonts w:hint="eastAsia" w:ascii="宋体" w:hAnsi="宋体" w:eastAsia="宋体" w:cs="宋体"/>
          <w:b/>
          <w:bCs/>
          <w:kern w:val="2"/>
          <w:sz w:val="28"/>
          <w:szCs w:val="28"/>
          <w:lang w:val="en-US" w:eastAsia="zh-CN" w:bidi="ar-SA"/>
        </w:rPr>
      </w:pPr>
      <w:bookmarkStart w:id="47" w:name="_Toc152042312"/>
      <w:bookmarkStart w:id="48" w:name="_Toc179632553"/>
      <w:bookmarkStart w:id="49" w:name="_Toc152045536"/>
      <w:bookmarkStart w:id="50" w:name="_Toc144974504"/>
      <w:r>
        <w:rPr>
          <w:rFonts w:hint="eastAsia" w:ascii="宋体" w:hAnsi="宋体" w:cs="宋体"/>
          <w:b/>
          <w:bCs/>
          <w:kern w:val="2"/>
          <w:sz w:val="28"/>
          <w:szCs w:val="28"/>
          <w:lang w:val="en-US" w:eastAsia="zh-CN" w:bidi="ar-SA"/>
        </w:rPr>
        <w:t>3、</w:t>
      </w:r>
      <w:r>
        <w:rPr>
          <w:rFonts w:hint="eastAsia" w:ascii="宋体" w:hAnsi="宋体" w:eastAsia="宋体" w:cs="宋体"/>
          <w:b/>
          <w:bCs/>
          <w:kern w:val="2"/>
          <w:sz w:val="28"/>
          <w:szCs w:val="28"/>
          <w:lang w:val="en-US" w:eastAsia="zh-CN" w:bidi="ar-SA"/>
        </w:rPr>
        <w:t>磋商内容的合格性和合法性</w:t>
      </w:r>
    </w:p>
    <w:p>
      <w:pPr>
        <w:tabs>
          <w:tab w:val="left" w:pos="720"/>
        </w:tabs>
        <w:spacing w:line="360" w:lineRule="auto"/>
        <w:ind w:left="479" w:leftChars="228"/>
        <w:rPr>
          <w:rFonts w:hint="eastAsia"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.1磋商内容应满足竞争性磋商文件的要求并应符合国家法律法规、行业管理部门</w:t>
      </w:r>
    </w:p>
    <w:p>
      <w:pPr>
        <w:tabs>
          <w:tab w:val="left" w:pos="720"/>
        </w:tabs>
        <w:spacing w:line="360" w:lineRule="auto"/>
        <w:rPr>
          <w:rFonts w:hint="eastAsia" w:ascii="宋体" w:hAnsi="宋体" w:cs="宋体"/>
          <w:sz w:val="24"/>
          <w:szCs w:val="24"/>
        </w:rPr>
      </w:pPr>
      <w:r>
        <w:rPr>
          <w:rFonts w:hint="eastAsia" w:ascii="宋体" w:hAnsi="宋体" w:cs="宋体"/>
          <w:sz w:val="24"/>
          <w:szCs w:val="24"/>
        </w:rPr>
        <w:t>要求的其他强制性标准。</w:t>
      </w:r>
    </w:p>
    <w:p>
      <w:pPr>
        <w:spacing w:line="360" w:lineRule="auto"/>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4、</w:t>
      </w:r>
      <w:r>
        <w:rPr>
          <w:rFonts w:hint="eastAsia" w:ascii="宋体" w:hAnsi="宋体" w:eastAsia="宋体" w:cs="宋体"/>
          <w:b/>
          <w:bCs/>
          <w:kern w:val="2"/>
          <w:sz w:val="28"/>
          <w:szCs w:val="28"/>
          <w:lang w:val="en-US" w:eastAsia="zh-CN" w:bidi="ar-SA"/>
        </w:rPr>
        <w:t>竞争性磋商响应文件内容的真实性</w:t>
      </w:r>
    </w:p>
    <w:p>
      <w:pPr>
        <w:tabs>
          <w:tab w:val="left" w:pos="720"/>
        </w:tabs>
        <w:spacing w:line="360" w:lineRule="auto"/>
        <w:ind w:left="479" w:leftChars="228"/>
        <w:rPr>
          <w:rFonts w:hint="eastAsia" w:ascii="宋体" w:hAnsi="宋体" w:cs="宋体"/>
          <w:sz w:val="24"/>
          <w:szCs w:val="24"/>
          <w:lang w:val="en-US" w:eastAsia="zh-CN"/>
        </w:rPr>
      </w:pPr>
      <w:r>
        <w:rPr>
          <w:rFonts w:hint="eastAsia" w:ascii="宋体" w:hAnsi="宋体" w:cs="宋体"/>
          <w:sz w:val="24"/>
          <w:szCs w:val="24"/>
          <w:lang w:val="en-US" w:eastAsia="zh-CN"/>
        </w:rPr>
        <w:t>4.1供应商应保证其竞争性磋商响应文件中所提供的所有磋商资料、信息是真实的，</w:t>
      </w:r>
    </w:p>
    <w:p>
      <w:pPr>
        <w:tabs>
          <w:tab w:val="left" w:pos="720"/>
        </w:tabs>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并且来源于合法的渠道。因竞争性磋商响应文件中所提供的磋商资料、信息不真实或者其来源不合法而导致的所有法律责任，由供应商自行承担。</w:t>
      </w:r>
    </w:p>
    <w:p>
      <w:pPr>
        <w:spacing w:line="360" w:lineRule="auto"/>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5、</w:t>
      </w:r>
      <w:r>
        <w:rPr>
          <w:rFonts w:hint="eastAsia" w:ascii="宋体" w:hAnsi="宋体" w:eastAsia="宋体" w:cs="宋体"/>
          <w:b/>
          <w:bCs/>
          <w:kern w:val="2"/>
          <w:sz w:val="28"/>
          <w:szCs w:val="28"/>
          <w:lang w:val="en-US" w:eastAsia="zh-CN" w:bidi="ar-SA"/>
        </w:rPr>
        <w:t>磋商过程的监督和管理</w:t>
      </w:r>
    </w:p>
    <w:p>
      <w:pPr>
        <w:tabs>
          <w:tab w:val="left" w:pos="720"/>
        </w:tabs>
        <w:spacing w:line="360" w:lineRule="auto"/>
        <w:ind w:left="479" w:leftChars="228"/>
        <w:rPr>
          <w:rFonts w:hint="eastAsia" w:ascii="宋体" w:hAnsi="宋体" w:cs="宋体"/>
          <w:sz w:val="24"/>
          <w:szCs w:val="24"/>
          <w:lang w:val="en-US" w:eastAsia="zh-CN"/>
        </w:rPr>
      </w:pPr>
      <w:r>
        <w:rPr>
          <w:rFonts w:hint="eastAsia" w:ascii="宋体" w:hAnsi="宋体" w:cs="宋体"/>
          <w:sz w:val="24"/>
          <w:szCs w:val="24"/>
          <w:lang w:val="en-US" w:eastAsia="zh-CN"/>
        </w:rPr>
        <w:t>5.1同级人民政府财政部门及有关部门依法履行对竞争性磋商过程的监督管理职</w:t>
      </w:r>
    </w:p>
    <w:p>
      <w:pPr>
        <w:tabs>
          <w:tab w:val="left" w:pos="720"/>
        </w:tabs>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责。</w:t>
      </w:r>
    </w:p>
    <w:p>
      <w:pPr>
        <w:pStyle w:val="5"/>
        <w:spacing w:line="240" w:lineRule="auto"/>
        <w:rPr>
          <w:rFonts w:ascii="宋体" w:hAnsi="宋体" w:cs="宋体"/>
        </w:rPr>
      </w:pPr>
      <w:r>
        <w:rPr>
          <w:rFonts w:hint="eastAsia" w:ascii="宋体" w:hAnsi="宋体" w:cs="宋体"/>
          <w:lang w:val="en-US" w:eastAsia="zh-CN"/>
        </w:rPr>
        <w:t>6</w:t>
      </w:r>
      <w:r>
        <w:rPr>
          <w:rFonts w:hint="eastAsia" w:ascii="宋体" w:hAnsi="宋体" w:cs="宋体"/>
        </w:rPr>
        <w:t>、保密</w:t>
      </w:r>
      <w:bookmarkEnd w:id="47"/>
      <w:bookmarkEnd w:id="48"/>
      <w:bookmarkEnd w:id="49"/>
      <w:bookmarkEnd w:id="50"/>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 xml:space="preserve">.1参与招标活动的各方应对竞争性磋商文件和竞争性磋商响应文件中的商业和技术等秘密保密，违者应对由此造成的后果承担法律责任。 </w:t>
      </w:r>
    </w:p>
    <w:p>
      <w:pPr>
        <w:pStyle w:val="42"/>
        <w:spacing w:line="360" w:lineRule="auto"/>
        <w:ind w:firstLine="562" w:firstLineChars="200"/>
        <w:outlineLvl w:val="2"/>
        <w:rPr>
          <w:rFonts w:asciiTheme="minorEastAsia" w:hAnsiTheme="minorEastAsia" w:eastAsiaTheme="minorEastAsia" w:cstheme="minorEastAsia"/>
          <w:b/>
          <w:szCs w:val="28"/>
        </w:rPr>
      </w:pPr>
      <w:bookmarkStart w:id="51" w:name="_Toc12425"/>
      <w:bookmarkStart w:id="52" w:name="_Toc16996"/>
      <w:bookmarkStart w:id="53" w:name="_Toc29929"/>
      <w:bookmarkStart w:id="54" w:name="_Toc1428"/>
      <w:bookmarkStart w:id="55" w:name="_Toc7627"/>
      <w:bookmarkStart w:id="56" w:name="_Toc23337"/>
      <w:bookmarkStart w:id="57" w:name="_Toc513557028"/>
      <w:bookmarkStart w:id="58" w:name="_Toc1845"/>
      <w:bookmarkStart w:id="59" w:name="_Toc13815"/>
      <w:r>
        <w:rPr>
          <w:rFonts w:hint="eastAsia" w:asciiTheme="minorEastAsia" w:hAnsiTheme="minorEastAsia" w:eastAsiaTheme="minorEastAsia" w:cstheme="minorEastAsia"/>
          <w:b/>
          <w:szCs w:val="28"/>
        </w:rPr>
        <w:t>2．竞争性磋商文件</w:t>
      </w:r>
      <w:bookmarkEnd w:id="51"/>
      <w:bookmarkEnd w:id="52"/>
      <w:bookmarkEnd w:id="53"/>
      <w:bookmarkEnd w:id="54"/>
      <w:bookmarkEnd w:id="55"/>
      <w:bookmarkEnd w:id="56"/>
      <w:bookmarkEnd w:id="57"/>
      <w:bookmarkEnd w:id="58"/>
      <w:bookmarkEnd w:id="59"/>
    </w:p>
    <w:p>
      <w:pPr>
        <w:pStyle w:val="43"/>
        <w:adjustRightInd w:val="0"/>
        <w:snapToGrid w:val="0"/>
        <w:spacing w:line="360" w:lineRule="auto"/>
        <w:rPr>
          <w:rFonts w:asciiTheme="minorEastAsia" w:hAnsiTheme="minorEastAsia" w:eastAsiaTheme="minorEastAsia" w:cstheme="minorEastAsia"/>
          <w:szCs w:val="24"/>
        </w:rPr>
      </w:pPr>
      <w:bookmarkStart w:id="60" w:name="_Toc179632561"/>
      <w:bookmarkStart w:id="61" w:name="_Toc144974511"/>
      <w:bookmarkStart w:id="62" w:name="_Toc152042319"/>
      <w:bookmarkStart w:id="63" w:name="_Toc152045543"/>
      <w:r>
        <w:rPr>
          <w:rFonts w:hint="eastAsia" w:ascii="宋体" w:hAnsi="宋体" w:eastAsia="宋体"/>
          <w:b/>
          <w:sz w:val="28"/>
          <w:szCs w:val="28"/>
          <w:lang w:val="en-US" w:eastAsia="zh-CN"/>
        </w:rPr>
        <w:t>7</w:t>
      </w:r>
      <w:r>
        <w:rPr>
          <w:rFonts w:hint="eastAsia" w:ascii="宋体" w:hAnsi="宋体" w:eastAsia="宋体"/>
          <w:b/>
          <w:sz w:val="28"/>
          <w:szCs w:val="28"/>
        </w:rPr>
        <w:t>、竞争性磋商文件的组成</w:t>
      </w:r>
      <w:bookmarkEnd w:id="60"/>
      <w:bookmarkEnd w:id="61"/>
      <w:bookmarkEnd w:id="62"/>
      <w:bookmarkEnd w:id="63"/>
    </w:p>
    <w:p>
      <w:pPr>
        <w:adjustRightInd w:val="0"/>
        <w:snapToGrid w:val="0"/>
        <w:spacing w:line="360" w:lineRule="auto"/>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.1竞争性磋商</w:t>
      </w:r>
      <w:r>
        <w:rPr>
          <w:rFonts w:hint="eastAsia" w:ascii="宋体" w:hAnsi="宋体" w:cs="宋体"/>
          <w:sz w:val="24"/>
          <w:szCs w:val="24"/>
        </w:rPr>
        <w:t>文件包括以下内容：</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（1）竞争性磋商公告；</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（2）供应商</w:t>
      </w:r>
      <w:r>
        <w:rPr>
          <w:rFonts w:hint="eastAsia" w:ascii="宋体" w:hAnsi="宋体" w:cs="宋体"/>
          <w:sz w:val="24"/>
          <w:szCs w:val="24"/>
        </w:rPr>
        <w:t>须知</w:t>
      </w:r>
      <w:r>
        <w:rPr>
          <w:rFonts w:hint="eastAsia" w:asciiTheme="minorEastAsia" w:hAnsiTheme="minorEastAsia" w:eastAsiaTheme="minorEastAsia" w:cstheme="minorEastAsia"/>
          <w:sz w:val="24"/>
          <w:szCs w:val="24"/>
        </w:rPr>
        <w:t>前附表及供应商</w:t>
      </w:r>
      <w:r>
        <w:rPr>
          <w:rFonts w:hint="eastAsia" w:ascii="宋体" w:hAnsi="宋体" w:cs="宋体"/>
          <w:sz w:val="24"/>
          <w:szCs w:val="24"/>
        </w:rPr>
        <w:t>须知</w:t>
      </w:r>
      <w:r>
        <w:rPr>
          <w:rFonts w:hint="eastAsia" w:asciiTheme="minorEastAsia" w:hAnsiTheme="minorEastAsia" w:eastAsiaTheme="minorEastAsia" w:cstheme="minorEastAsia"/>
          <w:sz w:val="24"/>
          <w:szCs w:val="24"/>
        </w:rPr>
        <w:t>；</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（3）评审办法；</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（4）合同条款及合同文件格式；</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宋体" w:hAnsi="宋体" w:cs="宋体" w:eastAsiaTheme="minorEastAsia"/>
          <w:bCs/>
          <w:sz w:val="24"/>
          <w:lang w:eastAsia="zh-CN"/>
        </w:rPr>
        <w:t>工程量清单</w:t>
      </w:r>
      <w:r>
        <w:rPr>
          <w:rFonts w:hint="eastAsia" w:asciiTheme="minorEastAsia" w:hAnsiTheme="minorEastAsia" w:eastAsiaTheme="minorEastAsia" w:cstheme="minorEastAsia"/>
          <w:sz w:val="24"/>
          <w:szCs w:val="24"/>
        </w:rPr>
        <w:t xml:space="preserve">； </w:t>
      </w:r>
    </w:p>
    <w:p>
      <w:pPr>
        <w:adjustRightInd w:val="0"/>
        <w:snapToGrid w:val="0"/>
        <w:spacing w:line="360" w:lineRule="auto"/>
        <w:ind w:firstLine="480" w:firstLineChars="200"/>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）竞争性磋商响应文件格式。</w:t>
      </w:r>
    </w:p>
    <w:p>
      <w:pPr>
        <w:spacing w:line="360" w:lineRule="auto"/>
        <w:rPr>
          <w:rFonts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.2 除</w:t>
      </w:r>
      <w:r>
        <w:rPr>
          <w:rFonts w:hint="eastAsia" w:ascii="宋体" w:hAnsi="宋体" w:cs="宋体"/>
          <w:sz w:val="24"/>
          <w:szCs w:val="24"/>
          <w:lang w:val="en-US" w:eastAsia="zh-CN"/>
        </w:rPr>
        <w:t>7</w:t>
      </w:r>
      <w:r>
        <w:rPr>
          <w:rFonts w:hint="eastAsia" w:ascii="宋体" w:hAnsi="宋体" w:cs="宋体"/>
          <w:sz w:val="24"/>
          <w:szCs w:val="24"/>
        </w:rPr>
        <w:t>.1内容外，</w:t>
      </w:r>
      <w:r>
        <w:rPr>
          <w:rFonts w:hint="eastAsia" w:ascii="宋体" w:hAnsi="宋体" w:cs="宋体"/>
          <w:sz w:val="24"/>
          <w:szCs w:val="24"/>
          <w:lang w:eastAsia="zh-CN"/>
        </w:rPr>
        <w:t>采购代理机构</w:t>
      </w:r>
      <w:r>
        <w:rPr>
          <w:rFonts w:hint="eastAsia" w:ascii="宋体" w:hAnsi="宋体" w:cs="宋体"/>
          <w:sz w:val="24"/>
          <w:szCs w:val="24"/>
        </w:rPr>
        <w:t>以书面形式发出的对</w:t>
      </w:r>
      <w:r>
        <w:rPr>
          <w:rFonts w:hint="eastAsia" w:asciiTheme="minorEastAsia" w:hAnsiTheme="minorEastAsia" w:eastAsiaTheme="minorEastAsia" w:cstheme="minorEastAsia"/>
          <w:sz w:val="24"/>
          <w:szCs w:val="24"/>
        </w:rPr>
        <w:t>竞争性磋商</w:t>
      </w:r>
      <w:r>
        <w:rPr>
          <w:rFonts w:hint="eastAsia" w:ascii="宋体" w:hAnsi="宋体" w:cs="宋体"/>
          <w:sz w:val="24"/>
          <w:szCs w:val="24"/>
        </w:rPr>
        <w:t>文件的澄清或修改内容，均为</w:t>
      </w:r>
      <w:r>
        <w:rPr>
          <w:rFonts w:hint="eastAsia" w:asciiTheme="minorEastAsia" w:hAnsiTheme="minorEastAsia" w:eastAsiaTheme="minorEastAsia" w:cstheme="minorEastAsia"/>
          <w:sz w:val="24"/>
          <w:szCs w:val="24"/>
        </w:rPr>
        <w:t>竞争性磋商</w:t>
      </w:r>
      <w:r>
        <w:rPr>
          <w:rFonts w:hint="eastAsia" w:ascii="宋体" w:hAnsi="宋体" w:cs="宋体"/>
          <w:sz w:val="24"/>
          <w:szCs w:val="24"/>
        </w:rPr>
        <w:t>文件的组成部分，对</w:t>
      </w:r>
      <w:r>
        <w:rPr>
          <w:rFonts w:hint="eastAsia" w:ascii="宋体" w:hAnsi="宋体" w:cs="宋体"/>
          <w:sz w:val="24"/>
          <w:szCs w:val="24"/>
          <w:lang w:eastAsia="zh-CN"/>
        </w:rPr>
        <w:t>采购代理机构</w:t>
      </w:r>
      <w:r>
        <w:rPr>
          <w:rFonts w:hint="eastAsia" w:ascii="宋体" w:hAnsi="宋体" w:cs="宋体"/>
          <w:sz w:val="24"/>
          <w:szCs w:val="24"/>
        </w:rPr>
        <w:t>和供应商起约束作用。</w:t>
      </w:r>
    </w:p>
    <w:p>
      <w:pPr>
        <w:spacing w:line="360" w:lineRule="auto"/>
        <w:rPr>
          <w:rFonts w:hint="eastAsia" w:ascii="宋体" w:hAnsi="宋体" w:cs="宋体"/>
          <w:sz w:val="24"/>
          <w:szCs w:val="24"/>
        </w:rPr>
      </w:pPr>
      <w:r>
        <w:rPr>
          <w:rFonts w:hint="eastAsia" w:ascii="宋体" w:hAnsi="宋体" w:cs="宋体"/>
          <w:sz w:val="24"/>
          <w:szCs w:val="24"/>
          <w:lang w:val="en-US" w:eastAsia="zh-CN"/>
        </w:rPr>
        <w:t>7.3</w:t>
      </w:r>
      <w:r>
        <w:rPr>
          <w:rFonts w:hint="eastAsia" w:ascii="宋体" w:hAnsi="宋体" w:cs="宋体"/>
          <w:sz w:val="24"/>
          <w:szCs w:val="24"/>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pPr>
        <w:pStyle w:val="22"/>
        <w:spacing w:before="0" w:beforeAutospacing="0" w:after="0" w:afterAutospacing="0" w:line="360" w:lineRule="auto"/>
        <w:ind w:firstLine="480" w:firstLineChars="200"/>
        <w:jc w:val="both"/>
        <w:rPr>
          <w:rFonts w:hint="eastAsia" w:ascii="宋体" w:hAnsi="宋体" w:cs="宋体"/>
          <w:kern w:val="2"/>
          <w:szCs w:val="24"/>
          <w:lang w:bidi="ar"/>
        </w:rPr>
      </w:pPr>
      <w:bookmarkStart w:id="64" w:name="_Toc152045544"/>
      <w:bookmarkStart w:id="65" w:name="_Toc144974512"/>
      <w:bookmarkStart w:id="66" w:name="_Toc152042320"/>
      <w:bookmarkStart w:id="67" w:name="_Toc179632562"/>
      <w:r>
        <w:rPr>
          <w:rFonts w:hint="eastAsia" w:cs="宋体"/>
          <w:bCs/>
          <w:szCs w:val="24"/>
          <w:lang w:val="en-US" w:eastAsia="zh-CN"/>
        </w:rPr>
        <w:t>7</w:t>
      </w:r>
      <w:r>
        <w:rPr>
          <w:rFonts w:hint="eastAsia" w:ascii="宋体" w:hAnsi="宋体" w:cs="宋体"/>
          <w:bCs/>
          <w:szCs w:val="24"/>
        </w:rPr>
        <w:t>.</w:t>
      </w:r>
      <w:r>
        <w:rPr>
          <w:rFonts w:hint="eastAsia" w:ascii="宋体" w:hAnsi="宋体" w:cs="宋体"/>
          <w:bCs/>
          <w:szCs w:val="24"/>
          <w:lang w:val="en-US" w:eastAsia="zh-CN"/>
        </w:rPr>
        <w:t>3</w:t>
      </w:r>
      <w:r>
        <w:rPr>
          <w:rFonts w:hint="eastAsia" w:ascii="宋体" w:hAnsi="宋体" w:cs="宋体"/>
          <w:bCs/>
          <w:szCs w:val="24"/>
        </w:rPr>
        <w:t>.1</w:t>
      </w:r>
      <w:r>
        <w:rPr>
          <w:rFonts w:hint="eastAsia" w:ascii="宋体" w:hAnsi="宋体" w:cs="宋体"/>
          <w:spacing w:val="6"/>
          <w:kern w:val="2"/>
          <w:szCs w:val="24"/>
          <w:lang w:bidi="ar"/>
        </w:rPr>
        <w:t>根据</w:t>
      </w:r>
      <w:r>
        <w:rPr>
          <w:rFonts w:hint="eastAsia" w:ascii="宋体" w:hAnsi="宋体" w:cs="宋体"/>
          <w:szCs w:val="24"/>
          <w:shd w:val="clear" w:color="auto" w:fill="FFFFFF"/>
        </w:rPr>
        <w:t>《政府采购促进中小企业发展管理办法》（财库〔2020〕46号）</w:t>
      </w:r>
      <w:r>
        <w:rPr>
          <w:rFonts w:hint="eastAsia" w:ascii="宋体" w:hAnsi="宋体" w:cs="宋体"/>
          <w:kern w:val="2"/>
          <w:szCs w:val="24"/>
          <w:lang w:bidi="ar"/>
        </w:rPr>
        <w:t>；</w:t>
      </w:r>
    </w:p>
    <w:p>
      <w:pPr>
        <w:pStyle w:val="23"/>
        <w:keepNext w:val="0"/>
        <w:keepLines w:val="0"/>
        <w:pageBreakBefore w:val="0"/>
        <w:kinsoku/>
        <w:wordWrap/>
        <w:overflowPunct/>
        <w:topLinePunct w:val="0"/>
        <w:autoSpaceDE/>
        <w:autoSpaceDN/>
        <w:bidi w:val="0"/>
        <w:adjustRightInd w:val="0"/>
        <w:snapToGrid w:val="0"/>
        <w:spacing w:line="360" w:lineRule="auto"/>
        <w:rPr>
          <w:rFonts w:hint="eastAsia" w:ascii="宋体" w:hAnsi="宋体" w:cs="宋体"/>
          <w:b w:val="0"/>
          <w:bCs/>
          <w:color w:val="000000"/>
          <w:sz w:val="24"/>
          <w:szCs w:val="24"/>
          <w:shd w:val="clear" w:color="auto" w:fill="FFFFFF"/>
          <w:lang w:val="en-US" w:eastAsia="zh-CN"/>
        </w:rPr>
      </w:pPr>
      <w:r>
        <w:rPr>
          <w:rFonts w:hint="eastAsia" w:ascii="宋体" w:hAnsi="宋体" w:cs="宋体"/>
          <w:b w:val="0"/>
          <w:bCs/>
          <w:color w:val="000000"/>
          <w:sz w:val="24"/>
          <w:szCs w:val="24"/>
          <w:shd w:val="clear" w:color="auto" w:fill="FFFFFF"/>
          <w:lang w:val="en-US" w:eastAsia="zh-CN"/>
        </w:rPr>
        <w:t>7.3.2根据《陕西省财政厅关于进一步加大政府采购支持中小企业力度的通知》（陕财办采</w:t>
      </w:r>
      <w:r>
        <w:rPr>
          <w:rFonts w:hint="eastAsia" w:ascii="宋体" w:hAnsi="宋体" w:cs="宋体"/>
          <w:b w:val="0"/>
          <w:bCs/>
          <w:color w:val="000000"/>
          <w:sz w:val="24"/>
          <w:szCs w:val="24"/>
          <w:shd w:val="clear" w:color="auto" w:fill="FFFFFF"/>
        </w:rPr>
        <w:t>〔</w:t>
      </w:r>
      <w:r>
        <w:rPr>
          <w:rFonts w:hint="eastAsia" w:ascii="宋体" w:hAnsi="宋体" w:cs="宋体"/>
          <w:b w:val="0"/>
          <w:bCs/>
          <w:color w:val="000000"/>
          <w:sz w:val="24"/>
          <w:szCs w:val="24"/>
          <w:shd w:val="clear" w:color="auto" w:fill="FFFFFF"/>
          <w:lang w:val="en-US" w:eastAsia="zh-CN"/>
        </w:rPr>
        <w:t>2022</w:t>
      </w:r>
      <w:r>
        <w:rPr>
          <w:rFonts w:hint="eastAsia" w:ascii="宋体" w:hAnsi="宋体" w:cs="宋体"/>
          <w:b w:val="0"/>
          <w:bCs/>
          <w:color w:val="000000"/>
          <w:sz w:val="24"/>
          <w:szCs w:val="24"/>
          <w:shd w:val="clear" w:color="auto" w:fill="FFFFFF"/>
        </w:rPr>
        <w:t>〕</w:t>
      </w:r>
      <w:r>
        <w:rPr>
          <w:rFonts w:hint="eastAsia" w:ascii="宋体" w:hAnsi="宋体" w:cs="宋体"/>
          <w:b w:val="0"/>
          <w:bCs/>
          <w:color w:val="000000"/>
          <w:sz w:val="24"/>
          <w:szCs w:val="24"/>
          <w:shd w:val="clear" w:color="auto" w:fill="FFFFFF"/>
          <w:lang w:val="en-US" w:eastAsia="zh-CN"/>
        </w:rPr>
        <w:t>5号）；</w:t>
      </w:r>
    </w:p>
    <w:p>
      <w:pPr>
        <w:spacing w:line="360" w:lineRule="auto"/>
        <w:ind w:firstLine="480" w:firstLineChars="200"/>
        <w:rPr>
          <w:rFonts w:hint="default"/>
          <w:lang w:val="en-US"/>
        </w:rPr>
      </w:pPr>
      <w:r>
        <w:rPr>
          <w:rFonts w:hint="eastAsia" w:ascii="宋体" w:hAnsi="宋体" w:cs="宋体"/>
          <w:color w:val="000000"/>
          <w:sz w:val="24"/>
          <w:szCs w:val="24"/>
          <w:shd w:val="clear" w:color="auto" w:fill="FFFFFF"/>
          <w:lang w:val="en-US" w:eastAsia="zh-CN"/>
        </w:rPr>
        <w:t>7.3.3根据《榆林市财政局关于进一步加大政府采购支持中小企业力度的通知》（榆政财采发</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2022</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10号）；</w:t>
      </w:r>
    </w:p>
    <w:p>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4</w:t>
      </w:r>
      <w:r>
        <w:rPr>
          <w:rFonts w:hint="eastAsia" w:ascii="宋体" w:hAnsi="宋体" w:cs="宋体"/>
          <w:bCs/>
          <w:kern w:val="0"/>
          <w:sz w:val="24"/>
          <w:szCs w:val="24"/>
        </w:rPr>
        <w:t>《财政部司法部关于政府采购支持监狱企业发展有关问题的通知》--财库[2014]68号 ；</w:t>
      </w:r>
    </w:p>
    <w:p>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5</w:t>
      </w:r>
      <w:r>
        <w:rPr>
          <w:rFonts w:hint="eastAsia" w:ascii="宋体" w:hAnsi="宋体" w:cs="宋体"/>
          <w:bCs/>
          <w:kern w:val="0"/>
          <w:sz w:val="24"/>
          <w:szCs w:val="24"/>
        </w:rPr>
        <w:t>《国务院办公厅关于建立政府强制采购节能产品制度的通知》--国办发[2007]51号 ；</w:t>
      </w:r>
    </w:p>
    <w:p>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6</w:t>
      </w:r>
      <w:r>
        <w:rPr>
          <w:rFonts w:hint="eastAsia" w:ascii="宋体" w:hAnsi="宋体" w:cs="宋体"/>
          <w:bCs/>
          <w:kern w:val="0"/>
          <w:sz w:val="24"/>
          <w:szCs w:val="24"/>
        </w:rPr>
        <w:t xml:space="preserve">《节能产品政府采购实施意见》--（财库[2004]185号）； </w:t>
      </w:r>
    </w:p>
    <w:p>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7</w:t>
      </w:r>
      <w:r>
        <w:rPr>
          <w:rFonts w:hint="eastAsia" w:ascii="宋体" w:hAnsi="宋体" w:cs="宋体"/>
          <w:bCs/>
          <w:kern w:val="0"/>
          <w:sz w:val="24"/>
          <w:szCs w:val="24"/>
        </w:rPr>
        <w:t>《环境标志产品政府采购实施的意见》--财库[2006]90号，投标人所投产品应优先选择财政部、国家发展改革委公布的环境标志产品政府采购清单目录内的产品（须提供节能、环保认证证书复印件加盖公章）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pPr>
        <w:spacing w:line="360" w:lineRule="auto"/>
        <w:ind w:firstLine="420" w:firstLineChars="175"/>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8</w:t>
      </w:r>
      <w:r>
        <w:rPr>
          <w:rFonts w:hint="eastAsia" w:ascii="宋体" w:hAnsi="宋体" w:cs="宋体"/>
          <w:bCs/>
          <w:kern w:val="0"/>
          <w:sz w:val="24"/>
          <w:szCs w:val="24"/>
        </w:rPr>
        <w:t>《财政部民政部中国残疾人联合会关于促进残疾人就业政府采购政策的通知》--（财库〔2017〕141号）；</w:t>
      </w:r>
    </w:p>
    <w:p>
      <w:pPr>
        <w:pStyle w:val="10"/>
        <w:spacing w:line="360" w:lineRule="auto"/>
        <w:rPr>
          <w:rFonts w:hint="eastAsia" w:ascii="宋体" w:hAnsi="宋体" w:cs="宋体"/>
          <w:b w:val="0"/>
          <w:bCs/>
          <w:kern w:val="0"/>
          <w:sz w:val="24"/>
          <w:szCs w:val="24"/>
        </w:rPr>
      </w:pPr>
      <w:r>
        <w:rPr>
          <w:rFonts w:hint="eastAsia" w:ascii="宋体" w:hAnsi="宋体" w:cs="宋体"/>
          <w:bCs/>
          <w:kern w:val="0"/>
          <w:sz w:val="24"/>
          <w:szCs w:val="24"/>
        </w:rPr>
        <w:t xml:space="preserve">   </w:t>
      </w:r>
      <w:r>
        <w:rPr>
          <w:rFonts w:hint="eastAsia" w:ascii="宋体" w:hAnsi="宋体" w:cs="宋体"/>
          <w:bCs/>
          <w:kern w:val="0"/>
          <w:sz w:val="24"/>
          <w:szCs w:val="24"/>
          <w:lang w:val="en-US" w:eastAsia="zh-CN"/>
        </w:rPr>
        <w:t>7</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3</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9</w:t>
      </w:r>
      <w:r>
        <w:rPr>
          <w:rFonts w:hint="eastAsia" w:ascii="宋体" w:hAnsi="宋体" w:cs="宋体"/>
          <w:b w:val="0"/>
          <w:bCs/>
          <w:kern w:val="0"/>
          <w:sz w:val="24"/>
          <w:szCs w:val="24"/>
        </w:rPr>
        <w:t>《政府采购贫困地区农副产品实施方案》--（财库〔2019〕41号）；</w:t>
      </w:r>
    </w:p>
    <w:p>
      <w:pPr>
        <w:widowControl/>
        <w:tabs>
          <w:tab w:val="left" w:pos="1620"/>
        </w:tabs>
        <w:adjustRightInd w:val="0"/>
        <w:snapToGrid w:val="0"/>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10</w:t>
      </w:r>
      <w:r>
        <w:rPr>
          <w:rFonts w:hint="eastAsia" w:ascii="宋体" w:hAnsi="宋体" w:cs="宋体"/>
          <w:bCs/>
          <w:kern w:val="0"/>
          <w:sz w:val="24"/>
          <w:szCs w:val="24"/>
        </w:rPr>
        <w:t>《关于在政府采购活动中查询及使用信用记录有关问题的通知》（财库〔2016〕125号）；</w:t>
      </w:r>
    </w:p>
    <w:p>
      <w:pPr>
        <w:pStyle w:val="10"/>
        <w:spacing w:line="360" w:lineRule="auto"/>
        <w:ind w:firstLine="480" w:firstLineChars="200"/>
        <w:rPr>
          <w:rFonts w:hint="eastAsia" w:ascii="宋体" w:hAnsi="宋体" w:cs="宋体"/>
          <w:b w:val="0"/>
          <w:bCs/>
          <w:kern w:val="0"/>
          <w:sz w:val="24"/>
          <w:szCs w:val="24"/>
        </w:rPr>
      </w:pPr>
      <w:r>
        <w:rPr>
          <w:rFonts w:hint="eastAsia" w:ascii="宋体" w:hAnsi="宋体" w:cs="宋体"/>
          <w:b w:val="0"/>
          <w:bCs/>
          <w:kern w:val="0"/>
          <w:sz w:val="24"/>
          <w:szCs w:val="24"/>
          <w:lang w:val="en-US" w:eastAsia="zh-CN"/>
        </w:rPr>
        <w:t>7</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3</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11</w:t>
      </w:r>
      <w:r>
        <w:rPr>
          <w:rFonts w:hint="eastAsia" w:ascii="宋体" w:hAnsi="宋体" w:cs="宋体"/>
          <w:b w:val="0"/>
          <w:bCs/>
          <w:kern w:val="0"/>
          <w:sz w:val="24"/>
          <w:szCs w:val="24"/>
        </w:rPr>
        <w:t xml:space="preserve">《关于开展政府采购信用担保试点工作的通知》（财库【2011】124号）。 </w:t>
      </w:r>
    </w:p>
    <w:p>
      <w:pPr>
        <w:widowControl/>
        <w:tabs>
          <w:tab w:val="left" w:pos="1620"/>
        </w:tabs>
        <w:adjustRightInd w:val="0"/>
        <w:snapToGrid w:val="0"/>
        <w:spacing w:line="360" w:lineRule="auto"/>
        <w:ind w:firstLine="480" w:firstLineChars="200"/>
        <w:jc w:val="both"/>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.1</w:t>
      </w:r>
      <w:r>
        <w:rPr>
          <w:rFonts w:hint="eastAsia" w:ascii="宋体" w:hAnsi="宋体" w:cs="宋体"/>
          <w:bCs/>
          <w:kern w:val="0"/>
          <w:sz w:val="24"/>
          <w:szCs w:val="24"/>
          <w:lang w:val="en-US" w:eastAsia="zh-CN"/>
        </w:rPr>
        <w:t>2</w:t>
      </w:r>
      <w:r>
        <w:rPr>
          <w:rFonts w:hint="eastAsia" w:ascii="宋体" w:hAnsi="宋体" w:cs="宋体"/>
          <w:bCs/>
          <w:kern w:val="0"/>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cs="宋体"/>
          <w:bCs/>
          <w:kern w:val="0"/>
          <w:sz w:val="24"/>
          <w:szCs w:val="24"/>
        </w:rPr>
        <w:drawing>
          <wp:inline distT="0" distB="0" distL="114300" distR="114300">
            <wp:extent cx="190500" cy="1428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8"/>
                    <a:stretch>
                      <a:fillRect/>
                    </a:stretch>
                  </pic:blipFill>
                  <pic:spPr>
                    <a:xfrm>
                      <a:off x="0" y="0"/>
                      <a:ext cx="190500" cy="142875"/>
                    </a:xfrm>
                    <a:prstGeom prst="rect">
                      <a:avLst/>
                    </a:prstGeom>
                    <a:noFill/>
                    <a:ln>
                      <a:noFill/>
                    </a:ln>
                  </pic:spPr>
                </pic:pic>
              </a:graphicData>
            </a:graphic>
          </wp:inline>
        </w:drawing>
      </w:r>
      <w:r>
        <w:rPr>
          <w:rFonts w:hint="eastAsia" w:ascii="宋体" w:hAnsi="宋体" w:cs="宋体"/>
          <w:bCs/>
          <w:kern w:val="0"/>
          <w:sz w:val="24"/>
          <w:szCs w:val="24"/>
        </w:rPr>
        <w:t>http://www.ccgp-shaanxi.gov.cn/zcdservice/zcd/shanxi/）在线申请，依法参加政府采购信用融资活动。</w:t>
      </w:r>
    </w:p>
    <w:p>
      <w:pPr>
        <w:spacing w:line="360" w:lineRule="auto"/>
        <w:ind w:firstLine="480" w:firstLineChars="200"/>
        <w:rPr>
          <w:rFonts w:hint="eastAsia" w:ascii="宋体" w:hAnsi="宋体" w:eastAsia="宋体" w:cs="宋体"/>
          <w:color w:val="auto"/>
          <w:kern w:val="0"/>
          <w:sz w:val="24"/>
          <w:szCs w:val="24"/>
          <w:lang w:val="en-US" w:eastAsia="zh-CN" w:bidi="ar"/>
        </w:rPr>
      </w:pPr>
      <w:r>
        <w:rPr>
          <w:rFonts w:hint="eastAsia" w:ascii="宋体" w:hAnsi="宋体" w:cs="宋体"/>
          <w:b w:val="0"/>
          <w:kern w:val="0"/>
          <w:sz w:val="24"/>
          <w:szCs w:val="24"/>
        </w:rPr>
        <w:t>目前的合作银行有：北京银行、中国建设银行、中信银行、中国平安银行、中国光大银行、浦发银行、兴业银行、中国工商银行、秦农银行、浙商银行、中国银行、西安银行、中国农业银行、中国邮政储蓄银行（排名不分先后）。</w:t>
      </w:r>
    </w:p>
    <w:p>
      <w:pPr>
        <w:pStyle w:val="43"/>
        <w:adjustRightInd w:val="0"/>
        <w:snapToGrid w:val="0"/>
        <w:spacing w:line="360" w:lineRule="auto"/>
        <w:rPr>
          <w:rFonts w:ascii="宋体" w:hAnsi="宋体" w:eastAsia="宋体"/>
          <w:b/>
          <w:sz w:val="28"/>
          <w:szCs w:val="28"/>
        </w:rPr>
      </w:pPr>
      <w:r>
        <w:rPr>
          <w:rFonts w:hint="eastAsia" w:ascii="宋体" w:hAnsi="宋体" w:eastAsia="宋体"/>
          <w:b/>
          <w:sz w:val="28"/>
          <w:szCs w:val="28"/>
          <w:lang w:val="en-US" w:eastAsia="zh-CN"/>
        </w:rPr>
        <w:t>8</w:t>
      </w:r>
      <w:r>
        <w:rPr>
          <w:rFonts w:hint="eastAsia" w:ascii="宋体" w:hAnsi="宋体" w:eastAsia="宋体"/>
          <w:b/>
          <w:sz w:val="28"/>
          <w:szCs w:val="28"/>
        </w:rPr>
        <w:t>、竞争性磋商文件的澄清</w:t>
      </w:r>
      <w:bookmarkEnd w:id="64"/>
      <w:bookmarkEnd w:id="65"/>
      <w:bookmarkEnd w:id="66"/>
      <w:bookmarkEnd w:id="67"/>
    </w:p>
    <w:p>
      <w:pPr>
        <w:spacing w:line="360" w:lineRule="auto"/>
        <w:ind w:firstLine="480" w:firstLineChars="200"/>
        <w:rPr>
          <w:rFonts w:hint="eastAsia" w:asciiTheme="minorEastAsia" w:hAnsiTheme="minorEastAsia" w:eastAsiaTheme="minorEastAsia" w:cstheme="minorEastAsia"/>
          <w:sz w:val="24"/>
          <w:szCs w:val="24"/>
        </w:rPr>
      </w:pPr>
      <w:bookmarkStart w:id="68" w:name="_Toc179632563"/>
      <w:bookmarkStart w:id="69" w:name="_Toc152045545"/>
      <w:bookmarkStart w:id="70" w:name="_Toc152042321"/>
      <w:bookmarkStart w:id="71" w:name="_Toc144974513"/>
      <w:r>
        <w:rPr>
          <w:rFonts w:hint="eastAsia" w:asciiTheme="minorEastAsia" w:hAnsiTheme="minorEastAsia" w:eastAsiaTheme="minorEastAsia" w:cstheme="minorEastAsia"/>
          <w:sz w:val="24"/>
          <w:szCs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Theme="minorEastAsia" w:hAnsiTheme="minorEastAsia" w:eastAsiaTheme="minorEastAsia" w:cstheme="minorEastAsia"/>
          <w:sz w:val="24"/>
          <w:szCs w:val="24"/>
          <w:lang w:val="en-US" w:eastAsia="zh-CN"/>
        </w:rPr>
        <w:t>不足5日的，顺延提交首次响应文件截止时间</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pPr>
        <w:pStyle w:val="43"/>
        <w:adjustRightInd w:val="0"/>
        <w:snapToGrid w:val="0"/>
        <w:spacing w:line="360" w:lineRule="auto"/>
        <w:rPr>
          <w:rFonts w:ascii="宋体" w:hAnsi="宋体" w:eastAsia="宋体"/>
          <w:b/>
          <w:sz w:val="28"/>
          <w:szCs w:val="28"/>
        </w:rPr>
      </w:pPr>
      <w:r>
        <w:rPr>
          <w:rFonts w:hint="eastAsia" w:ascii="宋体" w:hAnsi="宋体" w:eastAsia="宋体"/>
          <w:b/>
          <w:sz w:val="28"/>
          <w:szCs w:val="28"/>
          <w:lang w:val="en-US" w:eastAsia="zh-CN"/>
        </w:rPr>
        <w:t>9</w:t>
      </w:r>
      <w:r>
        <w:rPr>
          <w:rFonts w:hint="eastAsia" w:ascii="宋体" w:hAnsi="宋体" w:eastAsia="宋体"/>
          <w:b/>
          <w:sz w:val="28"/>
          <w:szCs w:val="28"/>
        </w:rPr>
        <w:t>、竞争性磋商文件的修改</w:t>
      </w:r>
      <w:bookmarkEnd w:id="68"/>
      <w:bookmarkEnd w:id="69"/>
      <w:bookmarkEnd w:id="70"/>
      <w:bookmarkEnd w:id="71"/>
    </w:p>
    <w:p>
      <w:pPr>
        <w:pageBreakBefore w:val="0"/>
        <w:bidi w:val="0"/>
        <w:spacing w:line="360" w:lineRule="auto"/>
        <w:ind w:firstLine="480" w:firstLineChars="200"/>
        <w:rPr>
          <w:rFonts w:hint="eastAsia" w:ascii="宋体" w:hAnsi="宋体" w:eastAsia="宋体" w:cs="宋体"/>
          <w:color w:val="auto"/>
          <w:sz w:val="24"/>
        </w:rPr>
      </w:pPr>
      <w:bookmarkStart w:id="72" w:name="_Toc363119280"/>
      <w:bookmarkStart w:id="73" w:name="_Toc510859894"/>
      <w:bookmarkStart w:id="74" w:name="_Toc513557029"/>
      <w:bookmarkStart w:id="75" w:name="_Toc17851"/>
      <w:bookmarkStart w:id="76" w:name="_Toc510859688"/>
      <w:bookmarkStart w:id="77" w:name="_Toc8470"/>
      <w:bookmarkStart w:id="78" w:name="_Toc8450"/>
      <w:bookmarkStart w:id="79" w:name="_Toc30391"/>
      <w:r>
        <w:rPr>
          <w:rFonts w:hint="eastAsia" w:ascii="宋体" w:hAnsi="宋体" w:cs="宋体"/>
          <w:color w:val="auto"/>
          <w:sz w:val="24"/>
          <w:lang w:val="en-US" w:eastAsia="zh-CN"/>
        </w:rPr>
        <w:t>9</w:t>
      </w:r>
      <w:r>
        <w:rPr>
          <w:rFonts w:hint="eastAsia" w:ascii="宋体" w:hAnsi="宋体" w:eastAsia="宋体" w:cs="宋体"/>
          <w:color w:val="auto"/>
          <w:sz w:val="24"/>
        </w:rPr>
        <w:t>.1在采购活动截止前的任何时候，无论出于何种原因，采购代理机构可以对竞争性磋商文件进行修改，也可以在解答各供应商提出的澄清问题时，修改采购活动文件。</w:t>
      </w:r>
    </w:p>
    <w:p>
      <w:pPr>
        <w:pageBreakBefore w:val="0"/>
        <w:bidi w:val="0"/>
        <w:spacing w:line="360" w:lineRule="auto"/>
        <w:ind w:firstLine="480"/>
        <w:rPr>
          <w:rFonts w:hint="eastAsia" w:ascii="宋体" w:hAnsi="宋体" w:eastAsia="宋体" w:cs="宋体"/>
          <w:color w:val="auto"/>
          <w:sz w:val="24"/>
        </w:rPr>
      </w:pPr>
      <w:r>
        <w:rPr>
          <w:rFonts w:hint="eastAsia" w:ascii="宋体" w:hAnsi="宋体" w:cs="宋体"/>
          <w:color w:val="auto"/>
          <w:sz w:val="24"/>
          <w:lang w:val="en-US" w:eastAsia="zh-CN"/>
        </w:rPr>
        <w:t>9</w:t>
      </w:r>
      <w:r>
        <w:rPr>
          <w:rFonts w:hint="eastAsia" w:ascii="宋体" w:hAnsi="宋体" w:eastAsia="宋体" w:cs="宋体"/>
          <w:color w:val="auto"/>
          <w:sz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pPr>
        <w:pageBreakBefore w:val="0"/>
        <w:bidi w:val="0"/>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9</w:t>
      </w:r>
      <w:r>
        <w:rPr>
          <w:rFonts w:hint="eastAsia" w:ascii="宋体" w:hAnsi="宋体" w:eastAsia="宋体" w:cs="宋体"/>
          <w:color w:val="auto"/>
          <w:sz w:val="24"/>
        </w:rPr>
        <w:t>.3为使供应商在准备响应文件时，有充分的时间对采购活动文件的修改进行研究考虑，采购人可自行决定，酌情推迟响应文件截止日期，并以书面形式通知所有已</w:t>
      </w:r>
      <w:r>
        <w:rPr>
          <w:rFonts w:hint="eastAsia" w:ascii="宋体" w:hAnsi="宋体" w:eastAsia="宋体" w:cs="宋体"/>
          <w:color w:val="auto"/>
          <w:sz w:val="24"/>
          <w:lang w:val="en-US" w:eastAsia="zh-CN"/>
        </w:rPr>
        <w:t>获取</w:t>
      </w:r>
      <w:r>
        <w:rPr>
          <w:rFonts w:hint="eastAsia" w:ascii="宋体" w:hAnsi="宋体" w:eastAsia="宋体" w:cs="宋体"/>
          <w:color w:val="auto"/>
          <w:sz w:val="24"/>
        </w:rPr>
        <w:t>竞争性磋商文件的供应商。</w:t>
      </w:r>
    </w:p>
    <w:p>
      <w:pPr>
        <w:pStyle w:val="42"/>
        <w:spacing w:line="360" w:lineRule="auto"/>
        <w:ind w:firstLine="562" w:firstLineChars="200"/>
        <w:outlineLvl w:val="2"/>
        <w:rPr>
          <w:rFonts w:asciiTheme="minorEastAsia" w:hAnsiTheme="minorEastAsia" w:eastAsiaTheme="minorEastAsia" w:cstheme="minorEastAsia"/>
          <w:b/>
          <w:szCs w:val="28"/>
        </w:rPr>
      </w:pPr>
      <w:bookmarkStart w:id="80" w:name="_Toc1315"/>
      <w:bookmarkStart w:id="81" w:name="_Toc14923"/>
      <w:bookmarkStart w:id="82" w:name="_Toc6028"/>
      <w:bookmarkStart w:id="83" w:name="_Toc8834"/>
      <w:r>
        <w:rPr>
          <w:rFonts w:hint="eastAsia" w:asciiTheme="minorEastAsia" w:hAnsiTheme="minorEastAsia" w:eastAsiaTheme="minorEastAsia" w:cstheme="minorEastAsia"/>
          <w:b/>
          <w:szCs w:val="28"/>
        </w:rPr>
        <w:t>3. 竞争性磋商响应文件</w:t>
      </w:r>
      <w:bookmarkEnd w:id="72"/>
      <w:bookmarkEnd w:id="73"/>
      <w:bookmarkEnd w:id="74"/>
      <w:bookmarkEnd w:id="75"/>
      <w:bookmarkEnd w:id="76"/>
      <w:r>
        <w:rPr>
          <w:rFonts w:hint="eastAsia" w:asciiTheme="minorEastAsia" w:hAnsiTheme="minorEastAsia" w:eastAsiaTheme="minorEastAsia" w:cstheme="minorEastAsia"/>
          <w:b/>
          <w:szCs w:val="28"/>
        </w:rPr>
        <w:t>的编制</w:t>
      </w:r>
      <w:bookmarkEnd w:id="77"/>
      <w:bookmarkEnd w:id="78"/>
      <w:bookmarkEnd w:id="79"/>
      <w:bookmarkEnd w:id="80"/>
      <w:bookmarkEnd w:id="81"/>
      <w:bookmarkEnd w:id="82"/>
      <w:bookmarkEnd w:id="83"/>
    </w:p>
    <w:p>
      <w:pPr>
        <w:pStyle w:val="43"/>
        <w:adjustRightInd w:val="0"/>
        <w:snapToGrid w:val="0"/>
        <w:spacing w:line="360" w:lineRule="auto"/>
        <w:rPr>
          <w:rFonts w:ascii="宋体" w:hAnsi="宋体" w:cs="宋体"/>
        </w:rPr>
      </w:pPr>
      <w:bookmarkStart w:id="84" w:name="_Toc179632565"/>
      <w:bookmarkStart w:id="85" w:name="_Toc152045547"/>
      <w:bookmarkStart w:id="86" w:name="_Toc144974515"/>
      <w:bookmarkStart w:id="87" w:name="_Toc152042323"/>
      <w:r>
        <w:rPr>
          <w:rFonts w:hint="eastAsia" w:ascii="宋体" w:hAnsi="宋体" w:eastAsia="宋体"/>
          <w:b/>
          <w:sz w:val="28"/>
          <w:szCs w:val="28"/>
          <w:lang w:val="en-US" w:eastAsia="zh-CN"/>
        </w:rPr>
        <w:t>10</w:t>
      </w:r>
      <w:r>
        <w:rPr>
          <w:rFonts w:hint="eastAsia" w:ascii="宋体" w:hAnsi="宋体" w:eastAsia="宋体"/>
          <w:b/>
          <w:sz w:val="28"/>
          <w:szCs w:val="28"/>
        </w:rPr>
        <w:t>、磋商语言和磋商货币</w:t>
      </w:r>
    </w:p>
    <w:p>
      <w:pPr>
        <w:autoSpaceDE w:val="0"/>
        <w:autoSpaceDN w:val="0"/>
        <w:adjustRightInd w:val="0"/>
        <w:snapToGrid w:val="0"/>
        <w:spacing w:line="360" w:lineRule="auto"/>
        <w:ind w:firstLine="480" w:firstLineChars="200"/>
        <w:outlineLvl w:val="2"/>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rPr>
        <w:t>.1供应商提交的竞争性磋商响应文件以及供应商与采购代理机构就有关磋商的所有来往函电均应使用中文。</w:t>
      </w:r>
    </w:p>
    <w:p>
      <w:pPr>
        <w:autoSpaceDE w:val="0"/>
        <w:autoSpaceDN w:val="0"/>
        <w:adjustRightInd w:val="0"/>
        <w:snapToGrid w:val="0"/>
        <w:spacing w:line="360" w:lineRule="auto"/>
        <w:ind w:firstLine="480" w:firstLineChars="200"/>
        <w:outlineLvl w:val="2"/>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rPr>
        <w:t>.2磋商应以人民币报价。任何包含非人民币报价的磋商将按无效磋商处理。</w:t>
      </w:r>
    </w:p>
    <w:p>
      <w:pPr>
        <w:autoSpaceDE w:val="0"/>
        <w:autoSpaceDN w:val="0"/>
        <w:adjustRightInd w:val="0"/>
        <w:snapToGrid w:val="0"/>
        <w:spacing w:line="360" w:lineRule="auto"/>
        <w:outlineLvl w:val="2"/>
        <w:rPr>
          <w:rFonts w:ascii="宋体" w:hAnsi="宋体" w:eastAsia="宋体"/>
          <w:b/>
          <w:sz w:val="28"/>
          <w:szCs w:val="28"/>
        </w:rPr>
      </w:pPr>
      <w:r>
        <w:rPr>
          <w:rFonts w:hint="eastAsia" w:ascii="宋体" w:hAnsi="宋体"/>
          <w:b/>
          <w:sz w:val="28"/>
          <w:szCs w:val="28"/>
          <w:lang w:val="en-US" w:eastAsia="zh-CN"/>
        </w:rPr>
        <w:t>11</w:t>
      </w:r>
      <w:r>
        <w:rPr>
          <w:rFonts w:hint="eastAsia" w:ascii="宋体" w:hAnsi="宋体" w:eastAsia="宋体"/>
          <w:b/>
          <w:sz w:val="28"/>
          <w:szCs w:val="28"/>
        </w:rPr>
        <w:t>、竞争性磋商响应文件的组成</w:t>
      </w:r>
      <w:bookmarkEnd w:id="84"/>
      <w:bookmarkEnd w:id="85"/>
      <w:bookmarkEnd w:id="86"/>
      <w:bookmarkEnd w:id="87"/>
    </w:p>
    <w:p>
      <w:pPr>
        <w:tabs>
          <w:tab w:val="left" w:pos="720"/>
        </w:tabs>
        <w:spacing w:line="360" w:lineRule="auto"/>
        <w:ind w:firstLine="480" w:firstLineChars="200"/>
        <w:rPr>
          <w:rFonts w:hint="eastAsia" w:ascii="宋体" w:hAnsi="宋体" w:cs="宋体"/>
          <w:sz w:val="24"/>
          <w:lang w:eastAsia="zh-CN"/>
        </w:rPr>
      </w:pPr>
      <w:bookmarkStart w:id="88" w:name="_Toc152045550"/>
      <w:bookmarkStart w:id="89" w:name="_Toc152042326"/>
      <w:bookmarkStart w:id="90" w:name="_Toc144974518"/>
      <w:bookmarkStart w:id="91" w:name="_Toc179632568"/>
      <w:r>
        <w:rPr>
          <w:rFonts w:hint="eastAsia" w:ascii="宋体" w:hAnsi="宋体" w:cs="宋体"/>
          <w:sz w:val="24"/>
          <w:szCs w:val="24"/>
          <w:lang w:val="en-US" w:eastAsia="zh-CN"/>
        </w:rPr>
        <w:t>11.1</w:t>
      </w:r>
      <w:r>
        <w:rPr>
          <w:rFonts w:hint="eastAsia" w:ascii="宋体" w:hAnsi="宋体" w:cs="宋体"/>
          <w:sz w:val="24"/>
        </w:rPr>
        <w:t>供应商编写的</w:t>
      </w:r>
      <w:r>
        <w:rPr>
          <w:rFonts w:hint="eastAsia" w:ascii="宋体" w:hAnsi="宋体" w:cs="宋体"/>
          <w:sz w:val="24"/>
          <w:szCs w:val="24"/>
        </w:rPr>
        <w:t>竞争性磋商响应</w:t>
      </w:r>
      <w:r>
        <w:rPr>
          <w:rFonts w:hint="eastAsia" w:ascii="宋体" w:hAnsi="宋体" w:cs="宋体"/>
          <w:sz w:val="24"/>
        </w:rPr>
        <w:t>文件</w:t>
      </w:r>
      <w:r>
        <w:rPr>
          <w:rFonts w:hint="eastAsia" w:ascii="宋体" w:hAnsi="宋体" w:cs="宋体"/>
          <w:sz w:val="24"/>
          <w:lang w:eastAsia="zh-CN"/>
        </w:rPr>
        <w:t>应</w:t>
      </w:r>
      <w:r>
        <w:rPr>
          <w:rFonts w:hint="eastAsia" w:ascii="宋体" w:hAnsi="宋体" w:cs="宋体"/>
          <w:sz w:val="24"/>
          <w:szCs w:val="24"/>
        </w:rPr>
        <w:t>包括</w:t>
      </w:r>
      <w:r>
        <w:rPr>
          <w:rFonts w:hint="eastAsia" w:ascii="宋体" w:hAnsi="宋体" w:cs="宋体"/>
          <w:sz w:val="24"/>
          <w:szCs w:val="24"/>
          <w:lang w:eastAsia="zh-CN"/>
        </w:rPr>
        <w:t>“第</w:t>
      </w:r>
      <w:r>
        <w:rPr>
          <w:rFonts w:hint="eastAsia" w:ascii="宋体" w:hAnsi="宋体" w:cs="宋体"/>
          <w:sz w:val="24"/>
          <w:szCs w:val="24"/>
          <w:lang w:val="en-US" w:eastAsia="zh-CN"/>
        </w:rPr>
        <w:t>七</w:t>
      </w:r>
      <w:r>
        <w:rPr>
          <w:rFonts w:hint="eastAsia" w:ascii="宋体" w:hAnsi="宋体" w:cs="宋体"/>
          <w:sz w:val="24"/>
          <w:szCs w:val="24"/>
          <w:lang w:eastAsia="zh-CN"/>
        </w:rPr>
        <w:t>章竞争性磋商响应文件格式”</w:t>
      </w:r>
      <w:r>
        <w:rPr>
          <w:rFonts w:hint="eastAsia" w:ascii="宋体" w:hAnsi="宋体" w:cs="宋体"/>
          <w:sz w:val="24"/>
          <w:szCs w:val="24"/>
          <w:lang w:val="en-US" w:eastAsia="zh-CN"/>
        </w:rPr>
        <w:t>的所有内容，</w:t>
      </w:r>
      <w:r>
        <w:rPr>
          <w:rFonts w:hint="eastAsia" w:ascii="宋体" w:hAnsi="宋体" w:cs="宋体"/>
          <w:color w:val="auto"/>
          <w:sz w:val="24"/>
        </w:rPr>
        <w:t>具体见竞争性</w:t>
      </w:r>
      <w:r>
        <w:rPr>
          <w:rFonts w:hint="eastAsia" w:ascii="宋体" w:hAnsi="宋体" w:cs="宋体"/>
          <w:color w:val="auto"/>
          <w:sz w:val="24"/>
          <w:lang w:eastAsia="zh-CN"/>
        </w:rPr>
        <w:t>磋商</w:t>
      </w:r>
      <w:r>
        <w:rPr>
          <w:rFonts w:hint="eastAsia" w:ascii="宋体" w:hAnsi="宋体" w:cs="宋体"/>
          <w:sz w:val="24"/>
        </w:rPr>
        <w:t>响应文件格式</w:t>
      </w:r>
      <w:r>
        <w:rPr>
          <w:rFonts w:hint="eastAsia" w:ascii="宋体" w:hAnsi="宋体" w:cs="宋体"/>
          <w:sz w:val="24"/>
          <w:lang w:eastAsia="zh-CN"/>
        </w:rPr>
        <w:t>；</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11</w:t>
      </w:r>
      <w:r>
        <w:rPr>
          <w:rFonts w:hint="eastAsia" w:ascii="宋体" w:hAnsi="宋体" w:cs="宋体"/>
          <w:sz w:val="24"/>
        </w:rPr>
        <w:t>.2 供应商的所有资格证明文件均应当为合法、有效文件，否则将被视为该文件未递交。</w:t>
      </w:r>
    </w:p>
    <w:p>
      <w:pPr>
        <w:spacing w:line="360" w:lineRule="auto"/>
        <w:ind w:firstLine="480" w:firstLineChars="200"/>
        <w:rPr>
          <w:rFonts w:hint="eastAsia"/>
          <w:lang w:eastAsia="zh-CN"/>
        </w:rPr>
      </w:pPr>
      <w:r>
        <w:rPr>
          <w:rFonts w:hint="eastAsia" w:ascii="宋体" w:hAnsi="宋体" w:cs="宋体"/>
          <w:sz w:val="24"/>
          <w:lang w:val="en-US" w:eastAsia="zh-CN"/>
        </w:rPr>
        <w:t>11</w:t>
      </w:r>
      <w:r>
        <w:rPr>
          <w:rFonts w:hint="eastAsia" w:ascii="宋体" w:hAnsi="宋体" w:cs="宋体"/>
          <w:sz w:val="24"/>
        </w:rPr>
        <w:t>.3 上述文件应当按照竞争性</w:t>
      </w:r>
      <w:r>
        <w:rPr>
          <w:rFonts w:hint="eastAsia" w:ascii="宋体" w:hAnsi="宋体" w:cs="宋体"/>
          <w:sz w:val="24"/>
          <w:lang w:eastAsia="zh-CN"/>
        </w:rPr>
        <w:t>磋商</w:t>
      </w:r>
      <w:r>
        <w:rPr>
          <w:rFonts w:hint="eastAsia" w:ascii="宋体" w:hAnsi="宋体" w:cs="宋体"/>
          <w:sz w:val="24"/>
        </w:rPr>
        <w:t>文件规定的格式填写、签署和盖章。</w:t>
      </w:r>
    </w:p>
    <w:p>
      <w:pPr>
        <w:pStyle w:val="5"/>
        <w:spacing w:line="240" w:lineRule="auto"/>
        <w:rPr>
          <w:rFonts w:hint="eastAsia"/>
          <w:lang w:eastAsia="zh-CN"/>
        </w:rPr>
      </w:pPr>
      <w:r>
        <w:rPr>
          <w:rFonts w:hint="eastAsia" w:ascii="宋体" w:hAnsi="宋体" w:cs="宋体"/>
          <w:lang w:val="en-US" w:eastAsia="zh-CN"/>
        </w:rPr>
        <w:t>12</w:t>
      </w:r>
      <w:r>
        <w:rPr>
          <w:rFonts w:hint="eastAsia" w:ascii="宋体" w:hAnsi="宋体" w:cs="宋体"/>
        </w:rPr>
        <w:t>、竞争性磋商响应文件格式</w:t>
      </w:r>
    </w:p>
    <w:p>
      <w:pPr>
        <w:spacing w:line="360" w:lineRule="auto"/>
        <w:ind w:left="599" w:leftChars="228" w:hanging="120" w:hangingChars="5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2</w:t>
      </w:r>
      <w:r>
        <w:rPr>
          <w:rFonts w:hint="eastAsia" w:ascii="宋体" w:hAnsi="宋体" w:cs="宋体"/>
          <w:sz w:val="24"/>
          <w:szCs w:val="24"/>
        </w:rPr>
        <w:t>.1 供应商提交的竞争性磋商响应</w:t>
      </w:r>
      <w:r>
        <w:rPr>
          <w:rFonts w:hint="eastAsia" w:ascii="宋体" w:hAnsi="宋体" w:cs="宋体"/>
          <w:sz w:val="24"/>
        </w:rPr>
        <w:t>文</w:t>
      </w:r>
      <w:r>
        <w:rPr>
          <w:rFonts w:hint="eastAsia" w:ascii="宋体" w:hAnsi="宋体" w:cs="宋体"/>
          <w:sz w:val="24"/>
          <w:szCs w:val="24"/>
        </w:rPr>
        <w:t>件应当使用竞争性磋商文件所提供的竞争性磋商响应</w:t>
      </w:r>
      <w:r>
        <w:rPr>
          <w:rFonts w:hint="eastAsia" w:ascii="宋体" w:hAnsi="宋体" w:cs="宋体"/>
          <w:sz w:val="24"/>
        </w:rPr>
        <w:t>文件</w:t>
      </w:r>
      <w:r>
        <w:rPr>
          <w:rFonts w:hint="eastAsia" w:ascii="宋体" w:hAnsi="宋体" w:cs="宋体"/>
          <w:sz w:val="24"/>
          <w:szCs w:val="24"/>
        </w:rPr>
        <w:t>全部格式。</w:t>
      </w:r>
    </w:p>
    <w:p>
      <w:pPr>
        <w:pStyle w:val="5"/>
        <w:spacing w:line="240" w:lineRule="auto"/>
        <w:rPr>
          <w:rFonts w:ascii="宋体" w:hAnsi="宋体" w:cs="宋体"/>
        </w:rPr>
      </w:pPr>
      <w:r>
        <w:rPr>
          <w:rFonts w:hint="eastAsia" w:ascii="宋体" w:hAnsi="宋体" w:cs="宋体"/>
        </w:rPr>
        <w:t>1</w:t>
      </w:r>
      <w:r>
        <w:rPr>
          <w:rFonts w:hint="eastAsia" w:ascii="宋体" w:hAnsi="宋体" w:cs="宋体"/>
          <w:lang w:val="en-US" w:eastAsia="zh-CN"/>
        </w:rPr>
        <w:t>3</w:t>
      </w:r>
      <w:r>
        <w:rPr>
          <w:rFonts w:hint="eastAsia" w:ascii="宋体" w:hAnsi="宋体" w:cs="宋体"/>
        </w:rPr>
        <w:t>、磋商报价</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 投标人在投标截止时间前修改投标函中的投标总报价，应同时修改“工程量清单”中的相应报价。</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投标人的投标报价，应是本</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招标文件、工程量清单、答疑纪要、合同条款上所列招标工程范围内工程的全部各项支付金额的总和，投标报价不得以任何理由予以重复。</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投标人投标报价汇总表中的价格均包括完成该工程项目的直接费、间接费、利润、税金、保险费和投标人必须的其他费用以及合同明示或暗示的所有风险、责任和义务等全部费用。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投标人应根据《计价规则》规定和投标文件要求格式计价，其中人工费、材料费、机械费，投标人应根据施工组织设计、企业实际情况、市场信息价自主报价。组价时应考虑以下因素：人工费、材料费、机械费社会价格浮动因素，自然灾害及停水、停电、停窝工损失等风险费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如发现工程量清单中的数量与图纸中数量不一致时，应立即通知招标人核查，除非招标人以书面形式予以更正，应以工程量清单中列出的数量为准。</w:t>
      </w:r>
    </w:p>
    <w:p>
      <w:pPr>
        <w:pStyle w:val="5"/>
        <w:spacing w:line="240" w:lineRule="auto"/>
        <w:rPr>
          <w:rFonts w:ascii="宋体" w:hAnsi="宋体" w:cs="宋体"/>
        </w:rPr>
      </w:pPr>
      <w:r>
        <w:rPr>
          <w:rFonts w:hint="eastAsia" w:ascii="宋体" w:hAnsi="宋体" w:cs="宋体"/>
        </w:rPr>
        <w:t>1</w:t>
      </w:r>
      <w:r>
        <w:rPr>
          <w:rFonts w:hint="eastAsia" w:ascii="宋体" w:hAnsi="宋体" w:cs="宋体"/>
          <w:lang w:val="en-US" w:eastAsia="zh-CN"/>
        </w:rPr>
        <w:t>4</w:t>
      </w:r>
      <w:r>
        <w:rPr>
          <w:rFonts w:hint="eastAsia" w:ascii="宋体" w:hAnsi="宋体" w:cs="宋体"/>
        </w:rPr>
        <w:t>、磋商有效期</w:t>
      </w:r>
    </w:p>
    <w:p>
      <w:pPr>
        <w:adjustRightInd w:val="0"/>
        <w:snapToGrid w:val="0"/>
        <w:spacing w:line="360" w:lineRule="auto"/>
        <w:rPr>
          <w:rFonts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.1 磋商有效期见本须知前附表所规定的期限，在此期限内，凡符合本</w:t>
      </w:r>
      <w:r>
        <w:rPr>
          <w:rFonts w:hint="eastAsia" w:asciiTheme="minorEastAsia" w:hAnsiTheme="minorEastAsia" w:eastAsiaTheme="minorEastAsia" w:cstheme="minorEastAsia"/>
          <w:kern w:val="0"/>
          <w:sz w:val="24"/>
          <w:szCs w:val="24"/>
        </w:rPr>
        <w:t>竞争性磋商</w:t>
      </w:r>
      <w:r>
        <w:rPr>
          <w:rFonts w:hint="eastAsia" w:ascii="宋体" w:hAnsi="宋体" w:cs="宋体"/>
          <w:sz w:val="24"/>
        </w:rPr>
        <w:t>文件要求的</w:t>
      </w:r>
      <w:r>
        <w:rPr>
          <w:rFonts w:hint="eastAsia" w:asciiTheme="minorEastAsia" w:hAnsiTheme="minorEastAsia" w:eastAsiaTheme="minorEastAsia" w:cstheme="minorEastAsia"/>
          <w:kern w:val="0"/>
          <w:sz w:val="24"/>
          <w:szCs w:val="24"/>
        </w:rPr>
        <w:t>竞争性磋商响应文件</w:t>
      </w:r>
      <w:r>
        <w:rPr>
          <w:rFonts w:hint="eastAsia" w:ascii="宋体" w:hAnsi="宋体" w:cs="宋体"/>
          <w:sz w:val="24"/>
        </w:rPr>
        <w:t>均保持有效。</w:t>
      </w:r>
    </w:p>
    <w:p>
      <w:pPr>
        <w:pStyle w:val="43"/>
        <w:adjustRightInd w:val="0"/>
        <w:snapToGrid w:val="0"/>
        <w:spacing w:line="360" w:lineRule="auto"/>
        <w:rPr>
          <w:rFonts w:asciiTheme="minorEastAsia" w:hAnsiTheme="minorEastAsia" w:eastAsiaTheme="minorEastAsia" w:cstheme="minorEastAsia"/>
          <w:szCs w:val="24"/>
        </w:rPr>
      </w:pPr>
      <w:r>
        <w:rPr>
          <w:rFonts w:hint="eastAsia" w:ascii="宋体" w:hAnsi="宋体" w:eastAsia="宋体"/>
        </w:rPr>
        <w:t>1</w:t>
      </w:r>
      <w:r>
        <w:rPr>
          <w:rFonts w:hint="eastAsia" w:ascii="宋体" w:hAnsi="宋体" w:eastAsia="宋体"/>
          <w:lang w:val="en-US" w:eastAsia="zh-CN"/>
        </w:rPr>
        <w:t>4</w:t>
      </w:r>
      <w:r>
        <w:rPr>
          <w:rFonts w:hint="eastAsia" w:ascii="宋体" w:hAnsi="宋体" w:eastAsia="宋体"/>
        </w:rPr>
        <w:t>.2 在特殊情况下，</w:t>
      </w:r>
      <w:r>
        <w:rPr>
          <w:rFonts w:hint="eastAsia" w:ascii="宋体" w:hAnsi="宋体" w:eastAsia="宋体"/>
          <w:lang w:eastAsia="zh-CN"/>
        </w:rPr>
        <w:t>采购人</w:t>
      </w:r>
      <w:r>
        <w:rPr>
          <w:rFonts w:hint="eastAsia" w:ascii="宋体" w:hAnsi="宋体" w:eastAsia="宋体"/>
        </w:rPr>
        <w:t>在原定磋商有效期内，可以根据需要以书面形式向供应商提出延长磋商有效期的要求，对此要求供应商须在2日内以书面形式予以答复。</w:t>
      </w:r>
    </w:p>
    <w:p>
      <w:pPr>
        <w:pStyle w:val="5"/>
        <w:spacing w:line="240" w:lineRule="auto"/>
        <w:rPr>
          <w:rFonts w:ascii="宋体" w:hAnsi="宋体" w:cs="宋体"/>
        </w:rPr>
      </w:pPr>
      <w:r>
        <w:rPr>
          <w:rFonts w:hint="eastAsia" w:ascii="宋体" w:hAnsi="宋体" w:cs="宋体"/>
        </w:rPr>
        <w:t>1</w:t>
      </w:r>
      <w:r>
        <w:rPr>
          <w:rFonts w:hint="eastAsia" w:ascii="宋体" w:hAnsi="宋体" w:cs="宋体"/>
          <w:lang w:val="en-US" w:eastAsia="zh-CN"/>
        </w:rPr>
        <w:t>5</w:t>
      </w:r>
      <w:r>
        <w:rPr>
          <w:rFonts w:hint="eastAsia" w:ascii="宋体" w:hAnsi="宋体" w:cs="宋体"/>
        </w:rPr>
        <w:t>、磋商保证金</w:t>
      </w:r>
      <w:bookmarkEnd w:id="88"/>
      <w:bookmarkEnd w:id="89"/>
      <w:bookmarkEnd w:id="90"/>
      <w:bookmarkEnd w:id="91"/>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 xml:space="preserve">.1 </w:t>
      </w:r>
      <w:r>
        <w:rPr>
          <w:rFonts w:hint="eastAsia" w:ascii="宋体" w:hAnsi="宋体" w:eastAsia="宋体" w:cs="宋体"/>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宋体" w:hAnsi="宋体" w:cs="宋体"/>
          <w:sz w:val="24"/>
          <w:szCs w:val="24"/>
        </w:rPr>
        <w:t>。</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 xml:space="preserve">2 </w:t>
      </w:r>
      <w:r>
        <w:rPr>
          <w:rFonts w:hint="eastAsia" w:ascii="宋体" w:hAnsi="宋体" w:eastAsia="宋体" w:cs="宋体"/>
          <w:kern w:val="2"/>
          <w:sz w:val="24"/>
          <w:szCs w:val="24"/>
          <w:highlight w:val="none"/>
          <w:lang w:val="en-US" w:eastAsia="zh-CN" w:bidi="ar-SA"/>
        </w:rPr>
        <w:t>投标人在投标文件中附“投标信用承诺书”并按要求签字盖章及</w:t>
      </w:r>
      <w:r>
        <w:rPr>
          <w:rFonts w:hint="eastAsia" w:cs="宋体"/>
          <w:b/>
          <w:bCs/>
          <w:kern w:val="0"/>
          <w:sz w:val="24"/>
          <w:highlight w:val="none"/>
          <w:lang w:val="en-US" w:eastAsia="zh-CN"/>
        </w:rPr>
        <w:t>附信用承诺网页截图。</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文件第八部分</w:t>
      </w:r>
      <w:r>
        <w:rPr>
          <w:rFonts w:hint="eastAsia" w:ascii="宋体" w:hAnsi="宋体" w:cs="宋体"/>
          <w:kern w:val="2"/>
          <w:sz w:val="24"/>
          <w:szCs w:val="24"/>
          <w:highlight w:val="none"/>
          <w:lang w:val="en-US" w:eastAsia="zh-CN" w:bidi="ar-SA"/>
        </w:rPr>
        <w:t>附件</w:t>
      </w:r>
      <w:r>
        <w:rPr>
          <w:rFonts w:hint="default" w:ascii="宋体" w:hAnsi="宋体" w:eastAsia="宋体" w:cs="宋体"/>
          <w:kern w:val="2"/>
          <w:sz w:val="24"/>
          <w:szCs w:val="24"/>
          <w:highlight w:val="none"/>
          <w:lang w:val="en-US" w:eastAsia="zh-CN" w:bidi="ar-SA"/>
        </w:rPr>
        <w:t>）</w:t>
      </w:r>
      <w:r>
        <w:rPr>
          <w:rFonts w:hint="eastAsia" w:ascii="宋体" w:hAnsi="宋体" w:cs="宋体"/>
          <w:sz w:val="24"/>
          <w:szCs w:val="24"/>
        </w:rPr>
        <w:t>。</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 xml:space="preserve"> 投标单位已</w:t>
      </w:r>
      <w:r>
        <w:rPr>
          <w:rFonts w:hint="eastAsia" w:ascii="宋体" w:hAnsi="宋体" w:cs="宋体"/>
          <w:sz w:val="24"/>
          <w:lang w:val="en-US" w:eastAsia="zh-CN"/>
        </w:rPr>
        <w:t>在信用中国网站承诺并公示的</w:t>
      </w:r>
      <w:r>
        <w:rPr>
          <w:rFonts w:hint="eastAsia" w:ascii="宋体" w:hAnsi="宋体" w:eastAsia="宋体" w:cs="宋体"/>
          <w:kern w:val="2"/>
          <w:sz w:val="24"/>
          <w:szCs w:val="24"/>
          <w:highlight w:val="none"/>
          <w:lang w:val="en-US" w:eastAsia="zh-CN" w:bidi="ar-SA"/>
        </w:rPr>
        <w:t>“投标信用承诺书”</w:t>
      </w:r>
      <w:r>
        <w:rPr>
          <w:rFonts w:hint="eastAsia" w:ascii="宋体" w:hAnsi="宋体" w:cs="宋体"/>
          <w:sz w:val="24"/>
        </w:rPr>
        <w:t xml:space="preserve">而自动放弃投标权利的，需在开标之前提交《弃标函》。 </w:t>
      </w:r>
    </w:p>
    <w:p>
      <w:pPr>
        <w:pStyle w:val="5"/>
        <w:spacing w:line="240" w:lineRule="auto"/>
        <w:rPr>
          <w:rFonts w:ascii="宋体" w:hAnsi="宋体" w:cs="宋体"/>
        </w:rPr>
      </w:pPr>
      <w:bookmarkStart w:id="92" w:name="_Toc144974521"/>
      <w:bookmarkStart w:id="93" w:name="_Toc179632571"/>
      <w:bookmarkStart w:id="94" w:name="_Toc152045553"/>
      <w:bookmarkStart w:id="95" w:name="_Toc152042329"/>
      <w:r>
        <w:rPr>
          <w:rFonts w:hint="eastAsia" w:ascii="宋体" w:hAnsi="宋体" w:cs="宋体"/>
        </w:rPr>
        <w:t>1</w:t>
      </w:r>
      <w:r>
        <w:rPr>
          <w:rFonts w:hint="eastAsia" w:ascii="宋体" w:hAnsi="宋体" w:cs="宋体"/>
          <w:lang w:val="en-US" w:eastAsia="zh-CN"/>
        </w:rPr>
        <w:t>6</w:t>
      </w:r>
      <w:r>
        <w:rPr>
          <w:rFonts w:hint="eastAsia" w:ascii="宋体" w:hAnsi="宋体" w:cs="宋体"/>
        </w:rPr>
        <w:t>、 备选磋商方案</w:t>
      </w:r>
      <w:bookmarkEnd w:id="92"/>
      <w:bookmarkEnd w:id="93"/>
      <w:bookmarkEnd w:id="94"/>
      <w:bookmarkEnd w:id="95"/>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.1除磋商须知前附表另有规定外，供应商不得递交备选磋商方案。</w:t>
      </w:r>
    </w:p>
    <w:p>
      <w:pPr>
        <w:pStyle w:val="5"/>
        <w:spacing w:line="240" w:lineRule="auto"/>
        <w:rPr>
          <w:rFonts w:ascii="宋体" w:hAnsi="宋体" w:cs="宋体"/>
        </w:rPr>
      </w:pPr>
      <w:r>
        <w:rPr>
          <w:rFonts w:hint="eastAsia" w:ascii="宋体" w:hAnsi="宋体" w:cs="宋体"/>
        </w:rPr>
        <w:t>1</w:t>
      </w:r>
      <w:r>
        <w:rPr>
          <w:rFonts w:hint="eastAsia" w:ascii="宋体" w:hAnsi="宋体" w:cs="宋体"/>
          <w:lang w:val="en-US" w:eastAsia="zh-CN"/>
        </w:rPr>
        <w:t>7</w:t>
      </w:r>
      <w:r>
        <w:rPr>
          <w:rFonts w:hint="eastAsia" w:ascii="宋体" w:hAnsi="宋体" w:cs="宋体"/>
        </w:rPr>
        <w:t>、竞争性磋商响应文件的签署及规定</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17</w:t>
      </w:r>
      <w:r>
        <w:rPr>
          <w:rFonts w:hint="eastAsia" w:ascii="宋体" w:hAnsi="宋体" w:cs="宋体"/>
          <w:sz w:val="24"/>
        </w:rPr>
        <w:t xml:space="preserve">.1 </w:t>
      </w:r>
      <w:r>
        <w:rPr>
          <w:rFonts w:hint="eastAsia" w:ascii="思源宋体 CN Light" w:hAnsi="思源宋体 CN Light" w:eastAsia="思源宋体 CN Light" w:cs="思源宋体 CN Light"/>
          <w:sz w:val="24"/>
          <w:szCs w:val="24"/>
          <w:lang w:val="en-US" w:eastAsia="zh-CN"/>
        </w:rPr>
        <w:t>投标文件可采用系统上传的</w:t>
      </w:r>
      <w:r>
        <w:rPr>
          <w:rFonts w:hint="eastAsia" w:ascii="思源宋体 CN Light" w:hAnsi="思源宋体 CN Light" w:eastAsia="思源宋体 CN Light" w:cs="思源宋体 CN Light"/>
          <w:sz w:val="24"/>
          <w:szCs w:val="24"/>
        </w:rPr>
        <w:t>电子投标文件</w:t>
      </w:r>
      <w:r>
        <w:rPr>
          <w:rFonts w:hint="eastAsia" w:ascii="思源宋体 CN Light" w:hAnsi="思源宋体 CN Light" w:eastAsia="思源宋体 CN Light" w:cs="思源宋体 CN Light"/>
          <w:sz w:val="24"/>
          <w:szCs w:val="24"/>
          <w:lang w:val="en-US" w:eastAsia="zh-CN"/>
        </w:rPr>
        <w:t>的打印件</w:t>
      </w:r>
      <w:r>
        <w:rPr>
          <w:rFonts w:hint="eastAsia" w:ascii="宋体" w:hAnsi="宋体" w:cs="宋体"/>
          <w:sz w:val="24"/>
        </w:rPr>
        <w:t>。</w:t>
      </w:r>
      <w:r>
        <w:rPr>
          <w:rFonts w:hint="eastAsia" w:ascii="宋体" w:hAnsi="宋体" w:cs="宋体"/>
          <w:sz w:val="24"/>
          <w:lang w:val="en-US" w:eastAsia="zh-CN"/>
        </w:rPr>
        <w:tab/>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lang w:val="en-US" w:eastAsia="zh-CN"/>
        </w:rPr>
        <w:t>17</w:t>
      </w:r>
      <w:r>
        <w:rPr>
          <w:rFonts w:hint="eastAsia" w:ascii="宋体" w:hAnsi="宋体" w:cs="宋体"/>
          <w:sz w:val="24"/>
        </w:rPr>
        <w:t>.2 除投标人对错处作必要修改外，投标文件中不许有加行、涂抹或改写。若有修改须由授权代表或法定代表人在修改处签字</w:t>
      </w:r>
      <w:r>
        <w:rPr>
          <w:rFonts w:hint="eastAsia" w:ascii="宋体" w:hAnsi="宋体" w:cs="宋体"/>
          <w:sz w:val="24"/>
          <w:szCs w:val="22"/>
        </w:rPr>
        <w:t xml:space="preserve">。 </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szCs w:val="22"/>
          <w:lang w:val="en-US" w:eastAsia="zh-CN"/>
        </w:rPr>
        <w:t>17.3</w:t>
      </w:r>
      <w:r>
        <w:rPr>
          <w:rFonts w:hint="eastAsia" w:ascii="宋体" w:hAnsi="宋体" w:cs="宋体"/>
          <w:sz w:val="24"/>
          <w:szCs w:val="22"/>
        </w:rPr>
        <w:t xml:space="preserve"> 采购人拒绝接受以电报、电话、传真、电</w:t>
      </w:r>
      <w:r>
        <w:rPr>
          <w:rFonts w:hint="eastAsia" w:ascii="宋体" w:hAnsi="宋体" w:cs="宋体"/>
          <w:sz w:val="24"/>
        </w:rPr>
        <w:t>子邮件形式的投标。</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lang w:val="en-US" w:eastAsia="zh-CN"/>
        </w:rPr>
        <w:t>17.4</w:t>
      </w:r>
      <w:r>
        <w:rPr>
          <w:rFonts w:hint="eastAsia" w:ascii="宋体" w:hAnsi="宋体" w:cs="宋体"/>
          <w:sz w:val="24"/>
          <w:szCs w:val="22"/>
        </w:rPr>
        <w:t xml:space="preserve">电子招标文件下载。供应商登录全国公共资源交易平台（陕西省） 网站〖首页·〉电子交易平台·〉企业端〗后，选择项目点击 “我要投标”，参与投标活动。然后即可在〖我的项目〗中点击“项目流程&gt;交易文件下载”下载电子招标文件。 </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lang w:val="en-US" w:eastAsia="zh-CN"/>
        </w:rPr>
        <w:t>17.5</w:t>
      </w:r>
      <w:r>
        <w:rPr>
          <w:rFonts w:hint="eastAsia" w:ascii="宋体" w:hAnsi="宋体" w:cs="宋体"/>
          <w:sz w:val="24"/>
          <w:szCs w:val="22"/>
        </w:rPr>
        <w:t xml:space="preserve"> 电子招标文件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lang w:val="en-US" w:eastAsia="zh-CN"/>
        </w:rPr>
        <w:t>17.6</w:t>
      </w:r>
      <w:r>
        <w:rPr>
          <w:rFonts w:hint="eastAsia" w:ascii="宋体" w:hAnsi="宋体" w:cs="宋体"/>
          <w:sz w:val="24"/>
          <w:szCs w:val="22"/>
        </w:rPr>
        <w:t xml:space="preserve"> 制作电子投标文件。电子投标文件同样需要使用上述软件进行编制。在编制过程中，如有技术性问题，请先翻阅操作手册，或致电软件开发商。 </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rPr>
        <w:t xml:space="preserve">技术支持热线：4009280095、4009980000 </w:t>
      </w:r>
    </w:p>
    <w:p>
      <w:pPr>
        <w:pStyle w:val="10"/>
        <w:ind w:firstLine="480" w:firstLineChars="200"/>
        <w:rPr>
          <w:rFonts w:asciiTheme="minorEastAsia" w:hAnsiTheme="minorEastAsia" w:eastAsiaTheme="minorEastAsia" w:cstheme="minorEastAsia"/>
          <w:sz w:val="24"/>
          <w:szCs w:val="24"/>
        </w:rPr>
      </w:pPr>
      <w:r>
        <w:rPr>
          <w:rFonts w:hint="eastAsia" w:ascii="宋体" w:hAnsi="宋体" w:cs="宋体"/>
          <w:b w:val="0"/>
          <w:sz w:val="24"/>
          <w:szCs w:val="22"/>
        </w:rPr>
        <w:t>CA 锁购买：榆林市市民大厦四楼窗口,电话：0912-3515031</w:t>
      </w:r>
    </w:p>
    <w:p>
      <w:pPr>
        <w:pStyle w:val="42"/>
        <w:spacing w:line="360" w:lineRule="auto"/>
        <w:ind w:firstLine="562" w:firstLineChars="200"/>
        <w:outlineLvl w:val="2"/>
        <w:rPr>
          <w:rFonts w:asciiTheme="minorEastAsia" w:hAnsiTheme="minorEastAsia" w:eastAsiaTheme="minorEastAsia" w:cstheme="minorEastAsia"/>
          <w:b/>
          <w:szCs w:val="28"/>
        </w:rPr>
      </w:pPr>
      <w:bookmarkStart w:id="96" w:name="_Toc363119281"/>
      <w:bookmarkStart w:id="97" w:name="_Toc144974523"/>
      <w:bookmarkStart w:id="98" w:name="_Toc510859689"/>
      <w:bookmarkStart w:id="99" w:name="_Toc510859895"/>
      <w:bookmarkStart w:id="100" w:name="_Toc152045555"/>
      <w:bookmarkStart w:id="101" w:name="_Toc179632573"/>
      <w:bookmarkStart w:id="102" w:name="_Toc14109"/>
      <w:bookmarkStart w:id="103" w:name="_Toc152042331"/>
      <w:bookmarkStart w:id="104" w:name="_Toc513557030"/>
      <w:bookmarkStart w:id="105" w:name="_Toc10897"/>
      <w:bookmarkStart w:id="106" w:name="_Toc16264"/>
      <w:bookmarkStart w:id="107" w:name="_Toc26516"/>
      <w:bookmarkStart w:id="108" w:name="_Toc24637"/>
      <w:bookmarkStart w:id="109" w:name="_Toc17904"/>
      <w:bookmarkStart w:id="110" w:name="_Toc17362"/>
      <w:bookmarkStart w:id="111" w:name="_Toc4451"/>
      <w:r>
        <w:rPr>
          <w:rFonts w:hint="eastAsia" w:asciiTheme="minorEastAsia" w:hAnsiTheme="minorEastAsia" w:eastAsiaTheme="minorEastAsia" w:cstheme="minorEastAsia"/>
          <w:b/>
          <w:szCs w:val="28"/>
        </w:rPr>
        <w:t xml:space="preserve">4. </w:t>
      </w:r>
      <w:bookmarkEnd w:id="96"/>
      <w:bookmarkEnd w:id="97"/>
      <w:bookmarkEnd w:id="98"/>
      <w:bookmarkEnd w:id="99"/>
      <w:bookmarkEnd w:id="100"/>
      <w:bookmarkEnd w:id="101"/>
      <w:bookmarkEnd w:id="102"/>
      <w:bookmarkEnd w:id="103"/>
      <w:bookmarkEnd w:id="104"/>
      <w:r>
        <w:rPr>
          <w:rFonts w:hint="eastAsia" w:asciiTheme="minorEastAsia" w:hAnsiTheme="minorEastAsia" w:eastAsiaTheme="minorEastAsia" w:cstheme="minorEastAsia"/>
          <w:b/>
          <w:szCs w:val="28"/>
        </w:rPr>
        <w:t>竞争性磋商响应文件</w:t>
      </w:r>
      <w:r>
        <w:rPr>
          <w:rFonts w:hint="eastAsia" w:ascii="宋体" w:hAnsi="宋体"/>
          <w:b/>
          <w:szCs w:val="28"/>
        </w:rPr>
        <w:t>的</w:t>
      </w:r>
      <w:bookmarkEnd w:id="105"/>
      <w:bookmarkEnd w:id="106"/>
      <w:bookmarkEnd w:id="107"/>
      <w:bookmarkEnd w:id="108"/>
      <w:bookmarkEnd w:id="109"/>
      <w:bookmarkEnd w:id="110"/>
      <w:bookmarkEnd w:id="111"/>
      <w:r>
        <w:rPr>
          <w:rFonts w:hint="eastAsia" w:ascii="宋体" w:hAnsi="宋体"/>
          <w:b/>
          <w:szCs w:val="28"/>
        </w:rPr>
        <w:t>递交</w:t>
      </w:r>
    </w:p>
    <w:p>
      <w:pPr>
        <w:pStyle w:val="4"/>
        <w:spacing w:line="360" w:lineRule="auto"/>
        <w:rPr>
          <w:rFonts w:ascii="宋体" w:hAnsi="宋体" w:cs="宋体"/>
          <w:bCs/>
        </w:rPr>
      </w:pPr>
      <w:bookmarkStart w:id="112" w:name="_Toc179632574"/>
      <w:bookmarkStart w:id="113" w:name="_Toc152045556"/>
      <w:bookmarkStart w:id="114" w:name="_Toc144974524"/>
      <w:bookmarkStart w:id="115" w:name="_Toc152042332"/>
      <w:r>
        <w:rPr>
          <w:rFonts w:hint="eastAsia" w:ascii="宋体" w:hAnsi="宋体" w:cs="宋体"/>
          <w:lang w:val="en-US" w:eastAsia="zh-CN"/>
        </w:rPr>
        <w:t>18</w:t>
      </w:r>
      <w:r>
        <w:rPr>
          <w:rFonts w:hint="eastAsia" w:ascii="宋体" w:hAnsi="宋体" w:cs="宋体"/>
        </w:rPr>
        <w:t>、</w:t>
      </w:r>
      <w:bookmarkEnd w:id="112"/>
      <w:bookmarkEnd w:id="113"/>
      <w:bookmarkEnd w:id="114"/>
      <w:bookmarkEnd w:id="115"/>
      <w:r>
        <w:rPr>
          <w:rFonts w:hint="eastAsia" w:ascii="宋体" w:hAnsi="宋体" w:cs="宋体"/>
          <w:bCs/>
        </w:rPr>
        <w:t>竞争性</w:t>
      </w:r>
      <w:r>
        <w:rPr>
          <w:rFonts w:hint="eastAsia" w:ascii="宋体" w:hAnsi="宋体" w:cs="宋体"/>
          <w:bCs/>
          <w:lang w:val="en-US" w:eastAsia="zh-CN"/>
        </w:rPr>
        <w:t>磋商</w:t>
      </w:r>
      <w:r>
        <w:rPr>
          <w:rFonts w:hint="eastAsia" w:ascii="宋体" w:hAnsi="宋体" w:cs="宋体"/>
          <w:bCs/>
        </w:rPr>
        <w:t>响应文件的递交</w:t>
      </w:r>
    </w:p>
    <w:p>
      <w:pPr>
        <w:pStyle w:val="16"/>
        <w:spacing w:line="360" w:lineRule="auto"/>
        <w:rPr>
          <w:rFonts w:ascii="思源宋体 CN Light" w:hAnsi="思源宋体 CN Light" w:eastAsia="思源宋体 CN Light" w:cs="思源宋体 CN Light"/>
          <w:b/>
          <w:bCs/>
          <w:sz w:val="24"/>
          <w:szCs w:val="24"/>
        </w:rPr>
      </w:pPr>
      <w:r>
        <w:rPr>
          <w:rFonts w:hint="eastAsia" w:ascii="宋体" w:hAnsi="宋体" w:cs="宋体"/>
          <w:b/>
          <w:bCs/>
          <w:sz w:val="24"/>
          <w:lang w:val="en-US" w:eastAsia="zh-CN"/>
        </w:rPr>
        <w:t>18</w:t>
      </w:r>
      <w:r>
        <w:rPr>
          <w:rFonts w:hint="eastAsia" w:ascii="宋体" w:hAnsi="宋体" w:cs="宋体"/>
          <w:b/>
          <w:bCs/>
          <w:sz w:val="24"/>
        </w:rPr>
        <w:t>.1 电子竞争性</w:t>
      </w:r>
      <w:r>
        <w:rPr>
          <w:rFonts w:hint="eastAsia" w:ascii="宋体" w:hAnsi="宋体" w:cs="宋体"/>
          <w:b/>
          <w:bCs/>
          <w:sz w:val="24"/>
          <w:lang w:val="en-US" w:eastAsia="zh-CN"/>
        </w:rPr>
        <w:t>磋商</w:t>
      </w:r>
      <w:r>
        <w:rPr>
          <w:rFonts w:hint="eastAsia" w:ascii="宋体" w:hAnsi="宋体" w:cs="宋体"/>
          <w:b/>
          <w:bCs/>
          <w:sz w:val="24"/>
        </w:rPr>
        <w:t>响应文件递交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思源宋体 CN Light" w:hAnsi="思源宋体 CN Light" w:eastAsia="思源宋体 CN Light" w:cs="思源宋体 CN Light"/>
          <w:sz w:val="24"/>
          <w:szCs w:val="24"/>
          <w:lang w:val="en-US" w:eastAsia="zh-CN"/>
        </w:rPr>
      </w:pPr>
      <w:bookmarkStart w:id="116" w:name="_Toc152042334"/>
      <w:bookmarkStart w:id="117" w:name="_Toc144974526"/>
      <w:bookmarkStart w:id="118" w:name="_Toc152045558"/>
      <w:bookmarkStart w:id="119" w:name="_Toc179632576"/>
      <w:r>
        <w:rPr>
          <w:rFonts w:hint="eastAsia" w:ascii="宋体" w:hAnsi="宋体" w:cs="宋体"/>
          <w:sz w:val="24"/>
          <w:lang w:val="en-US" w:eastAsia="zh-CN"/>
        </w:rPr>
        <w:t>18.1.1</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思源宋体 CN Light" w:hAnsi="思源宋体 CN Light" w:eastAsia="思源宋体 CN Light" w:cs="思源宋体 CN Light"/>
          <w:sz w:val="24"/>
          <w:szCs w:val="24"/>
          <w:lang w:val="en-US" w:eastAsia="zh-CN"/>
        </w:rPr>
        <w:t>。</w:t>
      </w:r>
    </w:p>
    <w:p>
      <w:pPr>
        <w:spacing w:line="360" w:lineRule="auto"/>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18.1.2本项目采用“不见面”开标形式，供应商可登录榆林交易平台〖首页〉不见面开标〗在线参与开评标过程，详见招标文件以及交易平台〖首页〉服务指南〉下载专区〗中的《榆林市不见面开标大厅操作手册（投标人）》。</w:t>
      </w:r>
    </w:p>
    <w:p>
      <w:pPr>
        <w:pStyle w:val="16"/>
        <w:spacing w:line="360" w:lineRule="auto"/>
        <w:rPr>
          <w:rFonts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b/>
          <w:bCs/>
          <w:sz w:val="24"/>
          <w:szCs w:val="24"/>
          <w:lang w:val="en-US" w:eastAsia="zh-CN"/>
        </w:rPr>
        <w:t>18</w:t>
      </w:r>
      <w:r>
        <w:rPr>
          <w:rFonts w:hint="eastAsia" w:ascii="思源宋体 CN Light" w:hAnsi="思源宋体 CN Light" w:eastAsia="思源宋体 CN Light" w:cs="思源宋体 CN Light"/>
          <w:b/>
          <w:bCs/>
          <w:sz w:val="24"/>
          <w:szCs w:val="24"/>
        </w:rPr>
        <w:t>.2纸质竞争性</w:t>
      </w:r>
      <w:r>
        <w:rPr>
          <w:rFonts w:hint="eastAsia" w:ascii="宋体" w:hAnsi="宋体" w:cs="宋体"/>
          <w:b/>
          <w:bCs/>
          <w:sz w:val="24"/>
          <w:lang w:val="en-US" w:eastAsia="zh-CN"/>
        </w:rPr>
        <w:t>磋商</w:t>
      </w:r>
      <w:r>
        <w:rPr>
          <w:rFonts w:hint="eastAsia" w:ascii="宋体" w:hAnsi="宋体" w:cs="宋体"/>
          <w:b/>
          <w:bCs/>
          <w:sz w:val="24"/>
        </w:rPr>
        <w:t>响应</w:t>
      </w:r>
      <w:r>
        <w:rPr>
          <w:rFonts w:hint="eastAsia" w:ascii="思源宋体 CN Light" w:hAnsi="思源宋体 CN Light" w:eastAsia="思源宋体 CN Light" w:cs="思源宋体 CN Light"/>
          <w:b/>
          <w:bCs/>
          <w:sz w:val="24"/>
          <w:szCs w:val="24"/>
        </w:rPr>
        <w:t>文件递交</w:t>
      </w:r>
    </w:p>
    <w:p>
      <w:pPr>
        <w:spacing w:line="360" w:lineRule="auto"/>
        <w:ind w:firstLine="480" w:firstLineChars="200"/>
        <w:rPr>
          <w:rFonts w:hint="eastAsia" w:ascii="思源宋体 CN Light" w:hAnsi="思源宋体 CN Light" w:eastAsia="思源宋体 CN Light" w:cs="思源宋体 CN Light"/>
          <w:sz w:val="24"/>
          <w:szCs w:val="24"/>
        </w:rPr>
      </w:pPr>
      <w:r>
        <w:rPr>
          <w:rFonts w:hint="eastAsia" w:ascii="宋体" w:hAnsi="宋体" w:cs="仿宋_GB2312"/>
          <w:bCs/>
          <w:sz w:val="24"/>
          <w:lang w:val="en-US" w:eastAsia="zh-CN"/>
        </w:rPr>
        <w:t>18</w:t>
      </w:r>
      <w:r>
        <w:rPr>
          <w:rFonts w:hint="eastAsia" w:ascii="宋体" w:hAnsi="宋体" w:cs="仿宋_GB2312"/>
          <w:bCs/>
          <w:sz w:val="24"/>
        </w:rPr>
        <w:t>.</w:t>
      </w:r>
      <w:r>
        <w:rPr>
          <w:rFonts w:hint="eastAsia" w:ascii="宋体" w:hAnsi="宋体" w:cs="仿宋_GB2312"/>
          <w:bCs/>
          <w:sz w:val="24"/>
          <w:lang w:val="en-US" w:eastAsia="zh-CN"/>
        </w:rPr>
        <w:t>2.</w:t>
      </w:r>
      <w:r>
        <w:rPr>
          <w:rFonts w:hint="eastAsia" w:ascii="宋体" w:hAnsi="宋体" w:cs="仿宋_GB2312"/>
          <w:bCs/>
          <w:sz w:val="24"/>
        </w:rPr>
        <w:t>1</w:t>
      </w:r>
      <w:r>
        <w:rPr>
          <w:rFonts w:hint="eastAsia" w:ascii="思源宋体 CN Light" w:hAnsi="思源宋体 CN Light" w:eastAsia="思源宋体 CN Light" w:cs="思源宋体 CN Light"/>
          <w:sz w:val="24"/>
          <w:szCs w:val="24"/>
          <w:lang w:val="en-US" w:eastAsia="zh-CN"/>
        </w:rPr>
        <w:t>为便于采购人归档和向监管部门备案，中标供应商人需按以下要求递交纸质版投标文件，投标文件可采用系统上传的</w:t>
      </w:r>
      <w:r>
        <w:rPr>
          <w:rFonts w:hint="eastAsia" w:ascii="思源宋体 CN Light" w:hAnsi="思源宋体 CN Light" w:eastAsia="思源宋体 CN Light" w:cs="思源宋体 CN Light"/>
          <w:sz w:val="24"/>
          <w:szCs w:val="24"/>
        </w:rPr>
        <w:t>电子投标文件</w:t>
      </w:r>
      <w:r>
        <w:rPr>
          <w:rFonts w:hint="eastAsia" w:ascii="思源宋体 CN Light" w:hAnsi="思源宋体 CN Light" w:eastAsia="思源宋体 CN Light" w:cs="思源宋体 CN Light"/>
          <w:sz w:val="24"/>
          <w:szCs w:val="24"/>
          <w:lang w:val="en-US" w:eastAsia="zh-CN"/>
        </w:rPr>
        <w:t>的打印件，正本、副本分别装订成册，每份投标文件封皮须清楚地标明“正本”或“副本”：</w:t>
      </w:r>
    </w:p>
    <w:p>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 xml:space="preserve">竞争性磋商响应文件：正本：1 份、副本：3 份； </w:t>
      </w:r>
    </w:p>
    <w:p>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投标文件</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份（Word版响应文件）</w:t>
      </w:r>
      <w:r>
        <w:rPr>
          <w:rFonts w:hint="eastAsia" w:ascii="思源宋体 CN Light" w:hAnsi="思源宋体 CN Light" w:eastAsia="思源宋体 CN Light" w:cs="思源宋体 CN Light"/>
          <w:sz w:val="24"/>
          <w:szCs w:val="24"/>
          <w:lang w:val="en-US" w:eastAsia="zh-CN"/>
        </w:rPr>
        <w:t>。</w:t>
      </w:r>
    </w:p>
    <w:p>
      <w:pPr>
        <w:spacing w:line="360" w:lineRule="auto"/>
        <w:ind w:firstLine="480" w:firstLineChars="200"/>
        <w:rPr>
          <w:rFonts w:hint="default"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18.2.2递交方式：纸质版投标文件</w:t>
      </w:r>
      <w:r>
        <w:rPr>
          <w:rFonts w:hint="eastAsia" w:ascii="思源宋体 CN Light" w:hAnsi="思源宋体 CN Light" w:eastAsia="思源宋体 CN Light" w:cs="思源宋体 CN Light"/>
          <w:sz w:val="24"/>
          <w:szCs w:val="24"/>
        </w:rPr>
        <w:t>在开标时无需提交，待开标结束后，需邮寄补交一正</w:t>
      </w:r>
      <w:r>
        <w:rPr>
          <w:rFonts w:hint="eastAsia" w:ascii="思源宋体 CN Light" w:hAnsi="思源宋体 CN Light" w:eastAsia="思源宋体 CN Light" w:cs="思源宋体 CN Light"/>
          <w:sz w:val="24"/>
          <w:szCs w:val="24"/>
          <w:lang w:val="en-US" w:eastAsia="zh-CN"/>
        </w:rPr>
        <w:t>叁副</w:t>
      </w:r>
      <w:r>
        <w:rPr>
          <w:rFonts w:hint="eastAsia" w:ascii="思源宋体 CN Light" w:hAnsi="思源宋体 CN Light" w:eastAsia="思源宋体 CN Light" w:cs="思源宋体 CN Light"/>
          <w:sz w:val="24"/>
          <w:szCs w:val="24"/>
        </w:rPr>
        <w:t>纸质投标文件及</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份（Word版响应文件）</w:t>
      </w:r>
      <w:r>
        <w:rPr>
          <w:rFonts w:hint="eastAsia" w:ascii="宋体" w:hAnsi="宋体" w:cs="宋体"/>
          <w:sz w:val="24"/>
          <w:szCs w:val="24"/>
          <w:lang w:eastAsia="zh-CN"/>
        </w:rPr>
        <w:t>，</w:t>
      </w:r>
      <w:r>
        <w:rPr>
          <w:rFonts w:hint="eastAsia" w:ascii="宋体" w:hAnsi="宋体" w:cs="宋体"/>
          <w:sz w:val="24"/>
          <w:szCs w:val="24"/>
          <w:lang w:val="en-US" w:eastAsia="zh-CN"/>
        </w:rPr>
        <w:t>以电报、传真、电子邮件形式递交的投标文件将不予接受。</w:t>
      </w:r>
    </w:p>
    <w:p>
      <w:pPr>
        <w:pStyle w:val="5"/>
        <w:rPr>
          <w:rFonts w:hint="eastAsia" w:ascii="宋体" w:hAnsi="宋体" w:eastAsia="宋体" w:cs="宋体"/>
          <w:b/>
          <w:bCs/>
          <w:kern w:val="2"/>
          <w:sz w:val="32"/>
          <w:szCs w:val="32"/>
          <w:highlight w:val="none"/>
          <w:lang w:val="en-US" w:eastAsia="zh-CN" w:bidi="ar-SA"/>
        </w:rPr>
      </w:pPr>
      <w:r>
        <w:rPr>
          <w:rFonts w:hint="eastAsia" w:ascii="宋体" w:hAnsi="宋体" w:cs="宋体"/>
          <w:b/>
          <w:bCs/>
          <w:kern w:val="2"/>
          <w:sz w:val="32"/>
          <w:szCs w:val="32"/>
          <w:highlight w:val="none"/>
          <w:lang w:val="en-US" w:eastAsia="zh-CN" w:bidi="ar-SA"/>
        </w:rPr>
        <w:t>19</w:t>
      </w:r>
      <w:r>
        <w:rPr>
          <w:rFonts w:hint="eastAsia" w:ascii="宋体" w:hAnsi="宋体" w:eastAsia="宋体" w:cs="宋体"/>
          <w:b/>
          <w:bCs/>
          <w:kern w:val="2"/>
          <w:sz w:val="32"/>
          <w:szCs w:val="32"/>
          <w:highlight w:val="none"/>
          <w:lang w:val="en-US" w:eastAsia="zh-CN" w:bidi="ar-SA"/>
        </w:rPr>
        <w:t>、竞争性磋商响应文件的修改与撤回</w:t>
      </w:r>
      <w:bookmarkEnd w:id="116"/>
      <w:bookmarkEnd w:id="117"/>
      <w:bookmarkEnd w:id="118"/>
      <w:bookmarkEnd w:id="119"/>
    </w:p>
    <w:p>
      <w:pPr>
        <w:spacing w:line="360" w:lineRule="auto"/>
        <w:rPr>
          <w:rFonts w:hint="eastAsia" w:ascii="宋体" w:hAnsi="宋体" w:cs="宋体"/>
          <w:sz w:val="24"/>
        </w:rPr>
      </w:pPr>
      <w:bookmarkStart w:id="120" w:name="_Toc152045559"/>
      <w:bookmarkStart w:id="121" w:name="_Toc363119282"/>
      <w:bookmarkStart w:id="122" w:name="_Toc179632577"/>
      <w:bookmarkStart w:id="123" w:name="_Toc513557031"/>
      <w:bookmarkStart w:id="124" w:name="_Toc510859896"/>
      <w:bookmarkStart w:id="125" w:name="_Toc510859690"/>
      <w:bookmarkStart w:id="126" w:name="_Toc17633"/>
      <w:bookmarkStart w:id="127" w:name="_Toc152042335"/>
      <w:bookmarkStart w:id="128" w:name="_Toc144974527"/>
      <w:bookmarkStart w:id="129" w:name="_Toc27216"/>
      <w:bookmarkStart w:id="130" w:name="_Toc13549"/>
      <w:bookmarkStart w:id="131" w:name="_Toc23404"/>
      <w:r>
        <w:rPr>
          <w:rFonts w:hint="eastAsia" w:ascii="宋体" w:hAnsi="宋体" w:cs="宋体"/>
          <w:sz w:val="24"/>
          <w:lang w:val="en-US" w:eastAsia="zh-CN"/>
        </w:rPr>
        <w:t>19</w:t>
      </w:r>
      <w:r>
        <w:rPr>
          <w:rFonts w:hint="eastAsia" w:ascii="宋体" w:hAnsi="宋体" w:cs="宋体"/>
          <w:sz w:val="24"/>
        </w:rPr>
        <w:t>.1 供应商在</w:t>
      </w:r>
      <w:r>
        <w:rPr>
          <w:rFonts w:hint="eastAsia" w:ascii="宋体" w:hAnsi="宋体" w:cs="宋体"/>
          <w:sz w:val="24"/>
          <w:lang w:val="en-US" w:eastAsia="zh-CN"/>
        </w:rPr>
        <w:t>磋商</w:t>
      </w:r>
      <w:r>
        <w:rPr>
          <w:rFonts w:hint="eastAsia" w:ascii="宋体" w:hAnsi="宋体" w:cs="宋体"/>
          <w:sz w:val="24"/>
        </w:rPr>
        <w:t>截止时间前，可以对所递交的</w:t>
      </w:r>
      <w:r>
        <w:rPr>
          <w:rFonts w:hint="eastAsia" w:ascii="宋体" w:hAnsi="宋体" w:cs="宋体"/>
          <w:sz w:val="24"/>
          <w:lang w:val="en-US" w:eastAsia="zh-CN"/>
        </w:rPr>
        <w:t>磋商</w:t>
      </w:r>
      <w:r>
        <w:rPr>
          <w:rFonts w:hint="eastAsia" w:ascii="宋体" w:hAnsi="宋体" w:cs="宋体"/>
          <w:sz w:val="24"/>
        </w:rPr>
        <w:t>响应文件进行补充、修改或者撤回，并书面通知采购代理机构。补充、修改的内容应当按</w:t>
      </w:r>
      <w:r>
        <w:rPr>
          <w:rFonts w:hint="eastAsia" w:ascii="宋体" w:hAnsi="宋体" w:cs="宋体"/>
          <w:sz w:val="24"/>
          <w:lang w:val="en-US" w:eastAsia="zh-CN"/>
        </w:rPr>
        <w:t>竞争性磋商</w:t>
      </w:r>
      <w:r>
        <w:rPr>
          <w:rFonts w:hint="eastAsia" w:ascii="宋体" w:hAnsi="宋体" w:cs="宋体"/>
          <w:sz w:val="24"/>
        </w:rPr>
        <w:t>文件要求签署、盖章，并作为</w:t>
      </w:r>
      <w:r>
        <w:rPr>
          <w:rFonts w:hint="eastAsia" w:ascii="宋体" w:hAnsi="宋体" w:cs="宋体"/>
          <w:sz w:val="24"/>
          <w:lang w:val="en-US" w:eastAsia="zh-CN"/>
        </w:rPr>
        <w:t>竞争性磋商</w:t>
      </w:r>
      <w:r>
        <w:rPr>
          <w:rFonts w:hint="eastAsia" w:ascii="宋体" w:hAnsi="宋体" w:cs="宋体"/>
          <w:sz w:val="24"/>
        </w:rPr>
        <w:t>响应文件的组成部分。</w:t>
      </w:r>
    </w:p>
    <w:p>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default" w:eastAsia="黑体"/>
          <w:lang w:val="en-US" w:eastAsia="zh-CN"/>
        </w:rPr>
      </w:pPr>
      <w:r>
        <w:rPr>
          <w:rFonts w:hint="eastAsia" w:ascii="宋体" w:hAnsi="宋体" w:cs="宋体"/>
          <w:sz w:val="24"/>
          <w:lang w:val="en-US" w:eastAsia="zh-CN"/>
        </w:rPr>
        <w:t>19.2</w:t>
      </w:r>
      <w:r>
        <w:rPr>
          <w:rFonts w:hint="eastAsia" w:ascii="宋体" w:hAnsi="宋体" w:eastAsia="宋体" w:cs="宋体"/>
          <w:kern w:val="2"/>
          <w:sz w:val="24"/>
          <w:highlight w:val="none"/>
          <w:lang w:val="en-US" w:eastAsia="zh-CN" w:bidi="ar-SA"/>
        </w:rPr>
        <w:t>当修改的内容影响投标文件编制时，将在交易平台上同步发布答疑文件，此时供应商应从“项目流程·〉答疑文件下载”下载最新发布的答疑文件（*.SXSCF格式），</w:t>
      </w:r>
      <w:r>
        <w:rPr>
          <w:rFonts w:hint="eastAsia" w:ascii="宋体" w:hAnsi="宋体" w:eastAsia="宋体" w:cs="宋体"/>
          <w:kern w:val="2"/>
          <w:sz w:val="24"/>
          <w:lang w:val="en-US" w:eastAsia="zh-CN" w:bidi="ar-SA"/>
        </w:rPr>
        <w:t>并使用该文件重新编制电子投标文件（*.SXSTF格式），使用旧版电子招标文件或旧版答疑文件制作的电子投标文件，系统将拒绝接收。</w:t>
      </w:r>
    </w:p>
    <w:p>
      <w:pPr>
        <w:spacing w:line="360" w:lineRule="auto"/>
        <w:rPr>
          <w:rFonts w:hint="eastAsia" w:ascii="宋体" w:hAnsi="宋体" w:cs="宋体"/>
          <w:sz w:val="24"/>
        </w:rPr>
      </w:pPr>
      <w:r>
        <w:rPr>
          <w:rFonts w:hint="eastAsia" w:ascii="宋体" w:hAnsi="宋体" w:cs="宋体"/>
          <w:sz w:val="24"/>
          <w:lang w:val="en-US" w:eastAsia="zh-CN"/>
        </w:rPr>
        <w:t>19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 xml:space="preserve"> </w:t>
      </w:r>
      <w:r>
        <w:rPr>
          <w:rFonts w:hint="eastAsia" w:ascii="宋体" w:hAnsi="宋体" w:cs="宋体"/>
          <w:sz w:val="24"/>
          <w:lang w:val="en-US" w:eastAsia="zh-CN"/>
        </w:rPr>
        <w:t>磋商</w:t>
      </w:r>
      <w:r>
        <w:rPr>
          <w:rFonts w:hint="eastAsia" w:ascii="宋体" w:hAnsi="宋体" w:cs="宋体"/>
          <w:sz w:val="24"/>
        </w:rPr>
        <w:t>截</w:t>
      </w:r>
      <w:r>
        <w:rPr>
          <w:rFonts w:hint="eastAsia" w:ascii="宋体" w:hAnsi="宋体" w:eastAsia="宋体" w:cs="宋体"/>
          <w:sz w:val="24"/>
        </w:rPr>
        <w:t>止时间后，供应商不得对</w:t>
      </w:r>
      <w:r>
        <w:rPr>
          <w:rFonts w:hint="eastAsia" w:ascii="宋体" w:hAnsi="宋体" w:cs="宋体"/>
          <w:sz w:val="24"/>
        </w:rPr>
        <w:t>其</w:t>
      </w:r>
      <w:r>
        <w:rPr>
          <w:rFonts w:hint="eastAsia" w:ascii="宋体" w:hAnsi="宋体" w:cs="宋体"/>
          <w:sz w:val="24"/>
          <w:lang w:val="en-US" w:eastAsia="zh-CN"/>
        </w:rPr>
        <w:t>竞争性磋商</w:t>
      </w:r>
      <w:r>
        <w:rPr>
          <w:rFonts w:hint="eastAsia" w:ascii="宋体" w:hAnsi="宋体" w:cs="宋体"/>
          <w:sz w:val="24"/>
        </w:rPr>
        <w:t>响应文件做任何修改。</w:t>
      </w:r>
    </w:p>
    <w:p>
      <w:pPr>
        <w:spacing w:line="360" w:lineRule="auto"/>
        <w:rPr>
          <w:rFonts w:hint="eastAsia" w:ascii="宋体" w:hAnsi="宋体" w:cs="宋体"/>
          <w:color w:val="0000FF"/>
          <w:sz w:val="24"/>
        </w:rPr>
      </w:pPr>
      <w:r>
        <w:rPr>
          <w:rFonts w:hint="eastAsia" w:ascii="宋体" w:hAnsi="宋体" w:cs="宋体"/>
          <w:sz w:val="24"/>
          <w:lang w:val="en-US" w:eastAsia="zh-CN"/>
        </w:rPr>
        <w:t>19</w:t>
      </w: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 xml:space="preserve"> 从</w:t>
      </w:r>
      <w:r>
        <w:rPr>
          <w:rFonts w:hint="eastAsia" w:ascii="宋体" w:hAnsi="宋体" w:cs="宋体"/>
          <w:sz w:val="24"/>
          <w:lang w:val="en-US" w:eastAsia="zh-CN"/>
        </w:rPr>
        <w:t>磋商</w:t>
      </w:r>
      <w:r>
        <w:rPr>
          <w:rFonts w:hint="eastAsia" w:ascii="宋体" w:hAnsi="宋体" w:cs="宋体"/>
          <w:sz w:val="24"/>
        </w:rPr>
        <w:t>截止期至供应商在</w:t>
      </w:r>
      <w:r>
        <w:rPr>
          <w:rFonts w:hint="eastAsia" w:ascii="宋体" w:hAnsi="宋体" w:cs="宋体"/>
          <w:sz w:val="24"/>
          <w:lang w:val="en-US" w:eastAsia="zh-CN"/>
        </w:rPr>
        <w:t>磋商响应</w:t>
      </w:r>
      <w:r>
        <w:rPr>
          <w:rFonts w:hint="eastAsia" w:ascii="宋体" w:hAnsi="宋体" w:cs="宋体"/>
          <w:sz w:val="24"/>
        </w:rPr>
        <w:t>函格式中确定的</w:t>
      </w:r>
      <w:r>
        <w:rPr>
          <w:rFonts w:hint="eastAsia" w:ascii="宋体" w:hAnsi="宋体" w:cs="宋体"/>
          <w:sz w:val="24"/>
          <w:lang w:val="en-US" w:eastAsia="zh-CN"/>
        </w:rPr>
        <w:t>磋商</w:t>
      </w:r>
      <w:r>
        <w:rPr>
          <w:rFonts w:hint="eastAsia" w:ascii="宋体" w:hAnsi="宋体" w:cs="宋体"/>
          <w:sz w:val="24"/>
        </w:rPr>
        <w:t>有效期之间，供应商不得撤销其</w:t>
      </w:r>
      <w:r>
        <w:rPr>
          <w:rFonts w:hint="eastAsia" w:ascii="宋体" w:hAnsi="宋体" w:cs="宋体"/>
          <w:sz w:val="24"/>
          <w:lang w:val="en-US" w:eastAsia="zh-CN"/>
        </w:rPr>
        <w:t>磋商</w:t>
      </w:r>
      <w:r>
        <w:rPr>
          <w:rFonts w:hint="eastAsia" w:ascii="宋体" w:hAnsi="宋体" w:cs="宋体"/>
          <w:color w:val="auto"/>
          <w:sz w:val="24"/>
        </w:rPr>
        <w:t>，否则</w:t>
      </w:r>
      <w:r>
        <w:rPr>
          <w:rFonts w:hint="eastAsia" w:ascii="宋体" w:hAnsi="宋体" w:cs="宋体"/>
          <w:color w:val="auto"/>
          <w:sz w:val="24"/>
          <w:lang w:val="en-US" w:eastAsia="zh-CN"/>
        </w:rPr>
        <w:t>按照投标信用承诺书有关规定执行</w:t>
      </w:r>
      <w:r>
        <w:rPr>
          <w:rFonts w:hint="eastAsia" w:ascii="宋体" w:hAnsi="宋体" w:cs="宋体"/>
          <w:color w:val="auto"/>
          <w:sz w:val="24"/>
        </w:rPr>
        <w:t>。</w:t>
      </w:r>
    </w:p>
    <w:p>
      <w:pPr>
        <w:pStyle w:val="42"/>
        <w:spacing w:line="240" w:lineRule="auto"/>
        <w:ind w:firstLine="643" w:firstLineChars="200"/>
        <w:outlineLvl w:val="2"/>
        <w:rPr>
          <w:rFonts w:asciiTheme="minorEastAsia" w:hAnsiTheme="minorEastAsia" w:eastAsiaTheme="minorEastAsia" w:cstheme="minorEastAsia"/>
          <w:b/>
          <w:sz w:val="32"/>
          <w:szCs w:val="32"/>
        </w:rPr>
      </w:pPr>
      <w:bookmarkStart w:id="132" w:name="_Toc22473"/>
      <w:bookmarkStart w:id="133" w:name="_Toc15284"/>
      <w:bookmarkStart w:id="134" w:name="_Toc16899"/>
      <w:bookmarkStart w:id="135" w:name="_Toc22772"/>
      <w:r>
        <w:rPr>
          <w:rFonts w:hint="eastAsia" w:asciiTheme="minorEastAsia" w:hAnsiTheme="minorEastAsia" w:eastAsiaTheme="minorEastAsia" w:cstheme="minorEastAsia"/>
          <w:b/>
          <w:sz w:val="32"/>
          <w:szCs w:val="32"/>
        </w:rPr>
        <w:t>5. 磋商</w:t>
      </w:r>
      <w:bookmarkEnd w:id="120"/>
      <w:bookmarkEnd w:id="121"/>
      <w:bookmarkEnd w:id="122"/>
      <w:bookmarkEnd w:id="123"/>
      <w:bookmarkEnd w:id="124"/>
      <w:bookmarkEnd w:id="125"/>
      <w:bookmarkEnd w:id="126"/>
      <w:bookmarkEnd w:id="127"/>
      <w:bookmarkEnd w:id="128"/>
      <w:r>
        <w:rPr>
          <w:rFonts w:hAnsi="宋体"/>
          <w:b/>
          <w:sz w:val="32"/>
          <w:szCs w:val="28"/>
        </w:rPr>
        <w:t>与评标</w:t>
      </w:r>
      <w:bookmarkEnd w:id="129"/>
      <w:bookmarkEnd w:id="130"/>
      <w:bookmarkEnd w:id="131"/>
      <w:bookmarkEnd w:id="132"/>
      <w:bookmarkEnd w:id="133"/>
      <w:bookmarkEnd w:id="134"/>
      <w:bookmarkEnd w:id="135"/>
    </w:p>
    <w:p>
      <w:pPr>
        <w:pStyle w:val="5"/>
        <w:spacing w:line="240" w:lineRule="auto"/>
        <w:rPr>
          <w:rFonts w:ascii="宋体" w:hAnsi="宋体" w:cs="宋体"/>
        </w:rPr>
      </w:pPr>
      <w:bookmarkStart w:id="136" w:name="_Toc144974528"/>
      <w:bookmarkStart w:id="137" w:name="_Toc179632578"/>
      <w:bookmarkStart w:id="138" w:name="_Toc152045560"/>
      <w:bookmarkStart w:id="139" w:name="_Toc152042336"/>
      <w:r>
        <w:rPr>
          <w:rFonts w:hint="eastAsia" w:ascii="宋体" w:hAnsi="宋体" w:cs="宋体"/>
          <w:lang w:val="en-US" w:eastAsia="zh-CN"/>
        </w:rPr>
        <w:t>20</w:t>
      </w:r>
      <w:r>
        <w:rPr>
          <w:rFonts w:hint="eastAsia" w:ascii="宋体" w:hAnsi="宋体" w:cs="宋体"/>
        </w:rPr>
        <w:t>、</w:t>
      </w:r>
      <w:bookmarkEnd w:id="136"/>
      <w:bookmarkEnd w:id="137"/>
      <w:bookmarkEnd w:id="138"/>
      <w:bookmarkEnd w:id="139"/>
      <w:r>
        <w:rPr>
          <w:rFonts w:hint="eastAsia" w:ascii="宋体" w:hAnsi="宋体" w:cs="宋体"/>
        </w:rPr>
        <w:t>竞争性磋商会议时间和地点</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在规定的磋商截止时间（磋商时间）和供应商须知前附表规定组织竞争性磋商，磋商时所有供应商代表自愿参加，参加磋商的代表应签</w:t>
      </w:r>
      <w:r>
        <w:rPr>
          <w:rFonts w:hint="eastAsia" w:asciiTheme="minorEastAsia" w:hAnsiTheme="minorEastAsia" w:eastAsiaTheme="minorEastAsia" w:cstheme="minorEastAsia"/>
          <w:sz w:val="24"/>
          <w:szCs w:val="24"/>
          <w:lang w:val="en-US" w:eastAsia="zh-CN"/>
        </w:rPr>
        <w:t>到</w:t>
      </w:r>
      <w:r>
        <w:rPr>
          <w:rFonts w:hint="eastAsia" w:asciiTheme="minorEastAsia" w:hAnsiTheme="minorEastAsia" w:eastAsiaTheme="minorEastAsia" w:cstheme="minorEastAsia"/>
          <w:sz w:val="24"/>
          <w:szCs w:val="24"/>
        </w:rPr>
        <w:t>。</w:t>
      </w:r>
    </w:p>
    <w:p>
      <w:pPr>
        <w:adjustRightInd w:val="0"/>
        <w:snapToGrid w:val="0"/>
        <w:spacing w:line="360" w:lineRule="auto"/>
        <w:ind w:firstLine="480" w:firstLineChars="200"/>
        <w:outlineLvl w:val="2"/>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将做磋商记录，存档备查。</w:t>
      </w:r>
    </w:p>
    <w:p>
      <w:pPr>
        <w:pStyle w:val="43"/>
        <w:adjustRightInd w:val="0"/>
        <w:snapToGrid w:val="0"/>
        <w:spacing w:line="360" w:lineRule="auto"/>
        <w:rPr>
          <w:rFonts w:ascii="宋体" w:hAnsi="宋体" w:eastAsia="宋体"/>
          <w:b/>
          <w:sz w:val="28"/>
          <w:szCs w:val="28"/>
        </w:rPr>
      </w:pPr>
      <w:bookmarkStart w:id="140" w:name="_Toc144974529"/>
      <w:bookmarkStart w:id="141" w:name="_Toc152045561"/>
      <w:bookmarkStart w:id="142" w:name="_Toc152042337"/>
      <w:bookmarkStart w:id="143" w:name="_Toc179632579"/>
      <w:r>
        <w:rPr>
          <w:rFonts w:hint="eastAsia" w:ascii="宋体" w:hAnsi="宋体" w:eastAsia="宋体"/>
          <w:b/>
          <w:sz w:val="28"/>
          <w:szCs w:val="28"/>
          <w:lang w:val="en-US" w:eastAsia="zh-CN"/>
        </w:rPr>
        <w:t>21</w:t>
      </w:r>
      <w:r>
        <w:rPr>
          <w:rFonts w:hint="eastAsia" w:ascii="宋体" w:hAnsi="宋体" w:eastAsia="宋体"/>
          <w:b/>
          <w:sz w:val="28"/>
          <w:szCs w:val="28"/>
        </w:rPr>
        <w:t>、磋商程序</w:t>
      </w:r>
      <w:bookmarkEnd w:id="140"/>
      <w:bookmarkEnd w:id="141"/>
      <w:bookmarkEnd w:id="142"/>
      <w:bookmarkEnd w:id="143"/>
    </w:p>
    <w:p>
      <w:pPr>
        <w:spacing w:line="360" w:lineRule="auto"/>
        <w:ind w:firstLine="480" w:firstLineChars="200"/>
        <w:rPr>
          <w:rFonts w:hint="eastAsia" w:ascii="宋体" w:hAnsi="宋体" w:cs="宋体"/>
          <w:sz w:val="24"/>
        </w:rPr>
      </w:pPr>
      <w:bookmarkStart w:id="144" w:name="_Toc152042338"/>
      <w:bookmarkStart w:id="145" w:name="_Toc144974530"/>
      <w:bookmarkStart w:id="146" w:name="_Toc179632580"/>
      <w:bookmarkStart w:id="147" w:name="_Toc152045562"/>
      <w:r>
        <w:rPr>
          <w:rFonts w:hint="eastAsia" w:ascii="宋体" w:hAnsi="宋体" w:cs="宋体"/>
          <w:sz w:val="24"/>
        </w:rPr>
        <w:t>2</w:t>
      </w:r>
      <w:r>
        <w:rPr>
          <w:rFonts w:hint="eastAsia" w:ascii="宋体" w:hAnsi="宋体" w:cs="宋体"/>
          <w:sz w:val="24"/>
          <w:lang w:val="en-US" w:eastAsia="zh-CN"/>
        </w:rPr>
        <w:t>1</w:t>
      </w:r>
      <w:r>
        <w:rPr>
          <w:rFonts w:hint="eastAsia" w:ascii="宋体" w:hAnsi="宋体" w:cs="宋体"/>
          <w:sz w:val="24"/>
        </w:rPr>
        <w:t>.1 采购代理机构在规定的时间和地点组织</w:t>
      </w:r>
      <w:r>
        <w:rPr>
          <w:rFonts w:hint="eastAsia" w:ascii="宋体" w:hAnsi="宋体" w:cs="宋体"/>
          <w:sz w:val="24"/>
          <w:lang w:val="en-US" w:eastAsia="zh-CN"/>
        </w:rPr>
        <w:t>磋商</w:t>
      </w:r>
      <w:r>
        <w:rPr>
          <w:rFonts w:hint="eastAsia" w:ascii="宋体" w:hAnsi="宋体" w:cs="宋体"/>
          <w:sz w:val="24"/>
        </w:rPr>
        <w:t>。</w:t>
      </w:r>
      <w:r>
        <w:rPr>
          <w:rFonts w:hint="eastAsia" w:ascii="思源宋体 CN Light" w:hAnsi="思源宋体 CN Light" w:eastAsia="思源宋体 CN Light" w:cs="思源宋体 CN Light"/>
          <w:sz w:val="24"/>
          <w:szCs w:val="24"/>
        </w:rPr>
        <w:t>各供应商</w:t>
      </w:r>
      <w:r>
        <w:rPr>
          <w:rFonts w:hint="eastAsia" w:ascii="思源宋体 CN Light" w:hAnsi="思源宋体 CN Light" w:eastAsia="思源宋体 CN Light" w:cs="思源宋体 CN Light"/>
          <w:sz w:val="24"/>
          <w:szCs w:val="24"/>
          <w:lang w:val="en-US" w:eastAsia="zh-CN"/>
        </w:rPr>
        <w:t>在开标截止时间前</w:t>
      </w:r>
      <w:r>
        <w:rPr>
          <w:rFonts w:hint="eastAsia" w:ascii="思源宋体 CN Light" w:hAnsi="思源宋体 CN Light" w:eastAsia="思源宋体 CN Light" w:cs="思源宋体 CN Light"/>
          <w:sz w:val="24"/>
          <w:szCs w:val="24"/>
        </w:rPr>
        <w:t>至少提前</w:t>
      </w:r>
      <w:r>
        <w:rPr>
          <w:rFonts w:hint="eastAsia" w:ascii="思源宋体 CN Light" w:hAnsi="思源宋体 CN Light" w:eastAsia="思源宋体 CN Light" w:cs="思源宋体 CN Light"/>
          <w:sz w:val="24"/>
          <w:szCs w:val="24"/>
          <w:lang w:val="en-US" w:eastAsia="zh-CN"/>
        </w:rPr>
        <w:t>一</w:t>
      </w:r>
      <w:r>
        <w:rPr>
          <w:rFonts w:hint="eastAsia" w:ascii="思源宋体 CN Light" w:hAnsi="思源宋体 CN Light" w:eastAsia="思源宋体 CN Light" w:cs="思源宋体 CN Light"/>
          <w:sz w:val="24"/>
          <w:szCs w:val="24"/>
        </w:rPr>
        <w:t>小时</w:t>
      </w:r>
      <w:r>
        <w:rPr>
          <w:rFonts w:hint="eastAsia" w:ascii="思源宋体 CN Light" w:hAnsi="思源宋体 CN Light" w:eastAsia="思源宋体 CN Light" w:cs="思源宋体 CN Light"/>
          <w:sz w:val="24"/>
          <w:szCs w:val="24"/>
          <w:lang w:val="en-US" w:eastAsia="zh-CN"/>
        </w:rPr>
        <w:t>内</w:t>
      </w:r>
      <w:r>
        <w:rPr>
          <w:rFonts w:hint="eastAsia" w:ascii="思源宋体 CN Light" w:hAnsi="思源宋体 CN Light" w:eastAsia="思源宋体 CN Light" w:cs="思源宋体 CN Light"/>
          <w:sz w:val="24"/>
          <w:szCs w:val="24"/>
        </w:rPr>
        <w:t>登录“不见面”开标系统</w:t>
      </w:r>
      <w:r>
        <w:rPr>
          <w:rFonts w:hint="eastAsia" w:ascii="思源宋体 CN Light" w:hAnsi="思源宋体 CN Light" w:eastAsia="思源宋体 CN Light" w:cs="思源宋体 CN Light"/>
          <w:sz w:val="24"/>
          <w:szCs w:val="24"/>
          <w:lang w:val="en-US" w:eastAsia="zh-CN"/>
        </w:rPr>
        <w:t>登录，供应商应</w:t>
      </w:r>
      <w:r>
        <w:rPr>
          <w:rFonts w:hint="eastAsia" w:ascii="思源宋体 CN Light" w:hAnsi="思源宋体 CN Light" w:eastAsia="思源宋体 CN Light" w:cs="思源宋体 CN Light"/>
          <w:sz w:val="24"/>
          <w:szCs w:val="24"/>
        </w:rPr>
        <w:t>按要求及时签</w:t>
      </w:r>
      <w:r>
        <w:rPr>
          <w:rFonts w:hint="eastAsia" w:ascii="思源宋体 CN Light" w:hAnsi="思源宋体 CN Light" w:eastAsia="思源宋体 CN Light" w:cs="思源宋体 CN Light"/>
          <w:color w:val="auto"/>
          <w:sz w:val="24"/>
          <w:szCs w:val="24"/>
        </w:rPr>
        <w:t>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rPr>
        <w:t>评审过</w:t>
      </w:r>
      <w:r>
        <w:rPr>
          <w:rFonts w:hint="eastAsia" w:ascii="思源宋体 CN Light" w:hAnsi="思源宋体 CN Light" w:eastAsia="思源宋体 CN Light" w:cs="思源宋体 CN Light"/>
          <w:sz w:val="24"/>
          <w:szCs w:val="24"/>
        </w:rPr>
        <w:t>程中，</w:t>
      </w:r>
      <w:r>
        <w:rPr>
          <w:rFonts w:hint="eastAsia" w:ascii="思源宋体 CN Light" w:hAnsi="思源宋体 CN Light" w:eastAsia="思源宋体 CN Light" w:cs="思源宋体 CN Light"/>
          <w:sz w:val="24"/>
          <w:szCs w:val="24"/>
          <w:lang w:val="en-US" w:eastAsia="zh-CN"/>
        </w:rPr>
        <w:t>磋商小组</w:t>
      </w:r>
      <w:r>
        <w:rPr>
          <w:rFonts w:hint="eastAsia" w:ascii="思源宋体 CN Light" w:hAnsi="思源宋体 CN Light" w:eastAsia="思源宋体 CN Light" w:cs="思源宋体 CN Light"/>
          <w:sz w:val="24"/>
          <w:szCs w:val="24"/>
        </w:rPr>
        <w:t>可能会就某些问题要求供应商进行在线澄清</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请供应商</w:t>
      </w:r>
      <w:r>
        <w:rPr>
          <w:rFonts w:hint="eastAsia" w:ascii="思源宋体 CN Light" w:hAnsi="思源宋体 CN Light" w:eastAsia="思源宋体 CN Light" w:cs="思源宋体 CN Light"/>
          <w:sz w:val="24"/>
          <w:szCs w:val="24"/>
        </w:rPr>
        <w:t>保持在线直到评审结束；</w:t>
      </w:r>
    </w:p>
    <w:p>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宋体" w:hAnsi="宋体" w:cs="宋体"/>
          <w:sz w:val="24"/>
          <w:lang w:val="en-US" w:eastAsia="zh-CN"/>
        </w:rPr>
        <w:t>22.</w:t>
      </w:r>
      <w:r>
        <w:rPr>
          <w:rFonts w:hint="eastAsia" w:ascii="思源宋体 CN Light" w:hAnsi="思源宋体 CN Light" w:eastAsia="思源宋体 CN Light" w:cs="思源宋体 CN Light"/>
          <w:sz w:val="24"/>
          <w:szCs w:val="24"/>
          <w:lang w:val="en-US" w:eastAsia="zh-CN"/>
        </w:rPr>
        <w:t>2</w:t>
      </w:r>
      <w:r>
        <w:rPr>
          <w:rFonts w:hint="eastAsia" w:ascii="思源宋体 CN Light" w:hAnsi="思源宋体 CN Light" w:eastAsia="思源宋体 CN Light" w:cs="思源宋体 CN Light"/>
          <w:sz w:val="24"/>
          <w:szCs w:val="24"/>
        </w:rPr>
        <w:t>宣读会议纪律</w:t>
      </w:r>
      <w:r>
        <w:rPr>
          <w:rFonts w:hint="eastAsia" w:ascii="思源宋体 CN Light" w:hAnsi="思源宋体 CN Light" w:eastAsia="思源宋体 CN Light" w:cs="思源宋体 CN Light"/>
          <w:sz w:val="24"/>
          <w:szCs w:val="24"/>
          <w:lang w:eastAsia="zh-CN"/>
        </w:rPr>
        <w:t>；</w:t>
      </w:r>
    </w:p>
    <w:p>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宋体" w:hAnsi="宋体" w:cs="宋体"/>
          <w:sz w:val="24"/>
          <w:lang w:val="en-US" w:eastAsia="zh-CN"/>
        </w:rPr>
        <w:t>22.3</w:t>
      </w:r>
      <w:r>
        <w:rPr>
          <w:rFonts w:hint="eastAsia" w:ascii="思源宋体 CN Light" w:hAnsi="思源宋体 CN Light" w:eastAsia="思源宋体 CN Light" w:cs="思源宋体 CN Light"/>
          <w:sz w:val="24"/>
          <w:szCs w:val="24"/>
          <w:lang w:val="en-US" w:eastAsia="zh-CN"/>
        </w:rPr>
        <w:t>开</w:t>
      </w:r>
      <w:r>
        <w:rPr>
          <w:rFonts w:hint="eastAsia" w:ascii="思源宋体 CN Light" w:hAnsi="思源宋体 CN Light" w:eastAsia="思源宋体 CN Light" w:cs="思源宋体 CN Light"/>
          <w:sz w:val="24"/>
          <w:szCs w:val="24"/>
        </w:rPr>
        <w:t>标过程中，供应商在收到工作人员“开始解密”指令后，请及时使用CA对电子投标文件进行解密。解密时所用CA应与加密投标文件时所用CA相同</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解密时间为30分钟，在解密时间内供应商全部解密完成后，可提前进入开标下一阶段。</w:t>
      </w:r>
    </w:p>
    <w:p>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 xml:space="preserve"> </w:t>
      </w:r>
      <w:r>
        <w:rPr>
          <w:rFonts w:hint="eastAsia" w:ascii="宋体" w:hAnsi="宋体" w:cs="宋体"/>
          <w:sz w:val="24"/>
          <w:lang w:val="en-US" w:eastAsia="zh-CN"/>
        </w:rPr>
        <w:t>磋商</w:t>
      </w:r>
      <w:r>
        <w:rPr>
          <w:rFonts w:hint="eastAsia" w:ascii="宋体" w:hAnsi="宋体" w:cs="宋体"/>
          <w:sz w:val="24"/>
        </w:rPr>
        <w:t>有效供应商不足三家的，按照国家相关法律、法规及有关规定执行。</w:t>
      </w:r>
    </w:p>
    <w:p>
      <w:pPr>
        <w:spacing w:line="360" w:lineRule="auto"/>
        <w:ind w:firstLine="480" w:firstLineChars="200"/>
      </w:pPr>
      <w:r>
        <w:rPr>
          <w:rFonts w:hint="eastAsia" w:ascii="宋体" w:hAnsi="宋体" w:cs="宋体"/>
          <w:sz w:val="24"/>
        </w:rPr>
        <w:t>2</w:t>
      </w: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 xml:space="preserve"> 采购代理机构将做开标记录，存档备查。</w:t>
      </w:r>
    </w:p>
    <w:p>
      <w:pPr>
        <w:pStyle w:val="43"/>
        <w:adjustRightInd w:val="0"/>
        <w:snapToGrid w:val="0"/>
        <w:spacing w:line="360" w:lineRule="auto"/>
        <w:rPr>
          <w:rFonts w:ascii="宋体" w:hAnsi="宋体" w:eastAsia="宋体"/>
          <w:b/>
          <w:sz w:val="28"/>
          <w:szCs w:val="28"/>
        </w:rPr>
      </w:pPr>
      <w:r>
        <w:rPr>
          <w:rFonts w:hint="eastAsia" w:ascii="宋体" w:hAnsi="宋体" w:eastAsia="宋体"/>
          <w:b/>
          <w:sz w:val="28"/>
          <w:szCs w:val="28"/>
        </w:rPr>
        <w:t>2</w:t>
      </w:r>
      <w:r>
        <w:rPr>
          <w:rFonts w:hint="eastAsia" w:ascii="宋体" w:hAnsi="宋体" w:eastAsia="宋体"/>
          <w:b/>
          <w:sz w:val="28"/>
          <w:szCs w:val="28"/>
          <w:lang w:val="en-US" w:eastAsia="zh-CN"/>
        </w:rPr>
        <w:t>2</w:t>
      </w:r>
      <w:r>
        <w:rPr>
          <w:rFonts w:hint="eastAsia" w:ascii="宋体" w:hAnsi="宋体" w:eastAsia="宋体"/>
          <w:b/>
          <w:sz w:val="28"/>
          <w:szCs w:val="28"/>
        </w:rPr>
        <w:t>、评审组织及评审原则</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2</w:t>
      </w:r>
      <w:r>
        <w:rPr>
          <w:rFonts w:hint="eastAsia" w:ascii="宋体" w:hAnsi="宋体" w:cs="宋体"/>
          <w:b/>
          <w:bCs/>
          <w:sz w:val="24"/>
          <w:szCs w:val="24"/>
          <w:lang w:val="en-US" w:eastAsia="zh-CN"/>
        </w:rPr>
        <w:t>2</w:t>
      </w:r>
      <w:r>
        <w:rPr>
          <w:rFonts w:hint="eastAsia" w:ascii="宋体" w:hAnsi="宋体" w:cs="宋体"/>
          <w:b/>
          <w:bCs/>
          <w:sz w:val="24"/>
          <w:szCs w:val="24"/>
        </w:rPr>
        <w:t>.1磋商小组</w:t>
      </w:r>
    </w:p>
    <w:p>
      <w:pPr>
        <w:spacing w:line="360" w:lineRule="auto"/>
        <w:ind w:firstLine="480" w:firstLineChars="200"/>
        <w:rPr>
          <w:rFonts w:ascii="宋体" w:hAnsi="宋体" w:cs="宋体"/>
          <w:sz w:val="24"/>
          <w:szCs w:val="24"/>
        </w:rPr>
      </w:pPr>
      <w:r>
        <w:rPr>
          <w:rFonts w:hint="eastAsia" w:ascii="宋体" w:hAnsi="宋体" w:eastAsia="宋体" w:cs="宋体"/>
          <w:sz w:val="24"/>
          <w:szCs w:val="24"/>
        </w:rPr>
        <w:t>按照《中华人民共和国政府采购法》、中华人民共和国财政部第</w:t>
      </w:r>
      <w:r>
        <w:rPr>
          <w:rFonts w:hint="eastAsia" w:ascii="宋体" w:hAnsi="宋体" w:eastAsia="宋体" w:cs="宋体"/>
          <w:sz w:val="24"/>
          <w:szCs w:val="24"/>
          <w:lang w:val="en-US" w:eastAsia="zh-CN"/>
        </w:rPr>
        <w:t>87</w:t>
      </w:r>
      <w:r>
        <w:rPr>
          <w:rFonts w:hint="eastAsia" w:ascii="宋体" w:hAnsi="宋体" w:eastAsia="宋体" w:cs="宋体"/>
          <w:sz w:val="24"/>
          <w:szCs w:val="24"/>
        </w:rPr>
        <w:t>号部长令--《政府采购货物和服务招标投标管理办法》和关于印发《政府采购竞争性磋商采购方式管理暂行办法》的通知财</w:t>
      </w:r>
      <w:r>
        <w:rPr>
          <w:rFonts w:hint="eastAsia" w:ascii="宋体" w:hAnsi="宋体" w:eastAsia="宋体" w:cs="宋体"/>
          <w:color w:val="000000"/>
          <w:sz w:val="24"/>
          <w:szCs w:val="24"/>
        </w:rPr>
        <w:t>库【2014】214号，</w:t>
      </w:r>
      <w:r>
        <w:rPr>
          <w:rFonts w:hint="eastAsia" w:ascii="宋体" w:hAnsi="宋体" w:eastAsia="宋体" w:cs="宋体"/>
          <w:sz w:val="24"/>
          <w:szCs w:val="24"/>
        </w:rPr>
        <w:t>依法组建磋商小组。磋商小组由采购人代表和有关技术、经济等方面的专家组成，磋商小组按照竞争性磋商文件规定的评审方法独立进行评审工作。</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 磋商小组成员有下列情形之一的，应当回避，已经进入的应当更换：</w:t>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.1.2.1</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或供应商的主要负责人的近亲属；</w:t>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.1.2.2项目主管部门或者行政监督部门的人员；</w:t>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.1.2.3与供应商有经济利益关系，可能影响对投标公正评审的；</w:t>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.1.2.4曾因在招标、评审以及其他与采购投标有关活动中从事违法行为而受过行政处罚或刑事处罚的。</w:t>
      </w:r>
    </w:p>
    <w:p>
      <w:pPr>
        <w:pStyle w:val="43"/>
        <w:tabs>
          <w:tab w:val="left" w:pos="2620"/>
        </w:tabs>
        <w:adjustRightInd w:val="0"/>
        <w:snapToGrid w:val="0"/>
        <w:spacing w:line="360" w:lineRule="auto"/>
        <w:ind w:firstLine="480" w:firstLineChars="200"/>
        <w:rPr>
          <w:rFonts w:asciiTheme="minorEastAsia" w:hAnsiTheme="minorEastAsia" w:eastAsiaTheme="minorEastAsia" w:cstheme="minorEastAsia"/>
          <w:bCs w:val="0"/>
          <w:szCs w:val="24"/>
        </w:rPr>
      </w:pPr>
      <w:r>
        <w:rPr>
          <w:rFonts w:hint="eastAsia" w:asciiTheme="minorEastAsia" w:hAnsiTheme="minorEastAsia" w:eastAsiaTheme="minorEastAsia" w:cstheme="minorEastAsia"/>
          <w:bCs w:val="0"/>
          <w:szCs w:val="24"/>
        </w:rPr>
        <w:t>2</w:t>
      </w:r>
      <w:r>
        <w:rPr>
          <w:rFonts w:hint="eastAsia" w:asciiTheme="minorEastAsia" w:hAnsiTheme="minorEastAsia" w:eastAsiaTheme="minorEastAsia" w:cstheme="minorEastAsia"/>
          <w:bCs w:val="0"/>
          <w:szCs w:val="24"/>
          <w:lang w:val="en-US" w:eastAsia="zh-CN"/>
        </w:rPr>
        <w:t>2</w:t>
      </w:r>
      <w:r>
        <w:rPr>
          <w:rFonts w:hint="eastAsia" w:asciiTheme="minorEastAsia" w:hAnsiTheme="minorEastAsia" w:eastAsiaTheme="minorEastAsia" w:cstheme="minorEastAsia"/>
          <w:bCs w:val="0"/>
          <w:szCs w:val="24"/>
        </w:rPr>
        <w:t>.1.3</w:t>
      </w:r>
      <w:r>
        <w:rPr>
          <w:rFonts w:hint="eastAsia" w:asciiTheme="minorEastAsia" w:hAnsiTheme="minorEastAsia" w:eastAsiaTheme="minorEastAsia" w:cstheme="minorEastAsia"/>
          <w:bCs w:val="0"/>
          <w:szCs w:val="24"/>
          <w:lang w:eastAsia="zh-CN"/>
        </w:rPr>
        <w:t>磋商小组</w:t>
      </w:r>
      <w:r>
        <w:rPr>
          <w:rFonts w:hint="eastAsia" w:asciiTheme="minorEastAsia" w:hAnsiTheme="minorEastAsia" w:eastAsiaTheme="minorEastAsia" w:cstheme="minorEastAsia"/>
          <w:bCs w:val="0"/>
          <w:szCs w:val="24"/>
        </w:rPr>
        <w:t>成员的名单在</w:t>
      </w:r>
      <w:r>
        <w:rPr>
          <w:rFonts w:hint="eastAsia" w:asciiTheme="minorEastAsia" w:hAnsiTheme="minorEastAsia" w:eastAsiaTheme="minorEastAsia" w:cstheme="minorEastAsia"/>
          <w:bCs w:val="0"/>
          <w:szCs w:val="24"/>
          <w:lang w:eastAsia="zh-CN"/>
        </w:rPr>
        <w:t>成交</w:t>
      </w:r>
      <w:r>
        <w:rPr>
          <w:rFonts w:hint="eastAsia" w:asciiTheme="minorEastAsia" w:hAnsiTheme="minorEastAsia" w:eastAsiaTheme="minorEastAsia" w:cstheme="minorEastAsia"/>
          <w:bCs w:val="0"/>
          <w:szCs w:val="24"/>
        </w:rPr>
        <w:t>结果确定前应当保密。</w:t>
      </w:r>
    </w:p>
    <w:p>
      <w:pPr>
        <w:adjustRightInd w:val="0"/>
        <w:snapToGrid w:val="0"/>
        <w:spacing w:line="360" w:lineRule="auto"/>
        <w:ind w:firstLine="480" w:firstLineChars="200"/>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.1.4评标采用保密方式进行。</w:t>
      </w:r>
    </w:p>
    <w:p>
      <w:pPr>
        <w:pStyle w:val="43"/>
        <w:tabs>
          <w:tab w:val="left" w:pos="2620"/>
        </w:tabs>
        <w:adjustRightInd w:val="0"/>
        <w:snapToGrid w:val="0"/>
        <w:spacing w:line="360" w:lineRule="auto"/>
        <w:ind w:firstLine="482"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b/>
          <w:szCs w:val="24"/>
        </w:rPr>
        <w:t>2</w:t>
      </w:r>
      <w:r>
        <w:rPr>
          <w:rFonts w:hint="eastAsia" w:asciiTheme="minorEastAsia" w:hAnsiTheme="minorEastAsia" w:eastAsiaTheme="minorEastAsia" w:cstheme="minorEastAsia"/>
          <w:b/>
          <w:szCs w:val="24"/>
          <w:lang w:val="en-US" w:eastAsia="zh-CN"/>
        </w:rPr>
        <w:t>2</w:t>
      </w:r>
      <w:r>
        <w:rPr>
          <w:rFonts w:hint="eastAsia" w:asciiTheme="minorEastAsia" w:hAnsiTheme="minorEastAsia" w:eastAsiaTheme="minorEastAsia" w:cstheme="minorEastAsia"/>
          <w:b/>
          <w:szCs w:val="24"/>
        </w:rPr>
        <w:t>.2 评审原则</w:t>
      </w:r>
      <w:r>
        <w:rPr>
          <w:rFonts w:hint="eastAsia" w:asciiTheme="minorEastAsia" w:hAnsiTheme="minorEastAsia" w:eastAsiaTheme="minorEastAsia" w:cstheme="minorEastAsia"/>
          <w:szCs w:val="24"/>
        </w:rPr>
        <w:tab/>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.2.1评审活动遵循公平、公正、科学和择优的原则。</w:t>
      </w:r>
    </w:p>
    <w:p>
      <w:pPr>
        <w:pStyle w:val="43"/>
        <w:tabs>
          <w:tab w:val="left" w:pos="2620"/>
        </w:tabs>
        <w:adjustRightInd w:val="0"/>
        <w:snapToGrid w:val="0"/>
        <w:spacing w:line="360" w:lineRule="auto"/>
        <w:ind w:firstLine="482" w:firstLineChars="200"/>
        <w:rPr>
          <w:rFonts w:hint="eastAsia"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2</w:t>
      </w:r>
      <w:r>
        <w:rPr>
          <w:rFonts w:hint="eastAsia" w:asciiTheme="minorEastAsia" w:hAnsiTheme="minorEastAsia" w:eastAsiaTheme="minorEastAsia" w:cstheme="minorEastAsia"/>
          <w:b/>
          <w:szCs w:val="24"/>
          <w:lang w:val="en-US" w:eastAsia="zh-CN"/>
        </w:rPr>
        <w:t>2</w:t>
      </w:r>
      <w:r>
        <w:rPr>
          <w:rFonts w:hint="eastAsia" w:asciiTheme="minorEastAsia" w:hAnsiTheme="minorEastAsia" w:eastAsiaTheme="minorEastAsia" w:cstheme="minorEastAsia"/>
          <w:b/>
          <w:szCs w:val="24"/>
        </w:rPr>
        <w:t>.3评审</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.3.1竞争性磋商文件和竞争性磋商响应文件是评审的依据。在评审中，不得改变竞争性磋商文件中规定的评审标准、方法和成交条件。</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.3.3如果供应商在澄清规定期限内，未能答复或拒绝答复磋商小组提出的澄清要求，将由磋商小组根据其竞争性磋商响应文件按最大风险进行评审。</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竞争性磋商响应文件的符合性检查</w:t>
      </w:r>
    </w:p>
    <w:p>
      <w:pPr>
        <w:spacing w:line="360" w:lineRule="auto"/>
        <w:ind w:firstLine="720" w:firstLineChars="300"/>
        <w:rPr>
          <w:rFonts w:ascii="宋体" w:hAnsi="宋体" w:cs="宋体"/>
          <w:color w:val="auto"/>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w:t>
      </w:r>
      <w:r>
        <w:rPr>
          <w:rFonts w:hint="eastAsia" w:ascii="宋体" w:hAnsi="宋体" w:cs="宋体"/>
          <w:color w:val="auto"/>
          <w:sz w:val="24"/>
          <w:szCs w:val="24"/>
        </w:rPr>
        <w:t>1磋商小组将审查竞争性磋商响应文件是否完整、资格证明文件是否齐全有无计算上的错误等。</w:t>
      </w:r>
    </w:p>
    <w:p>
      <w:pPr>
        <w:spacing w:line="360" w:lineRule="auto"/>
        <w:ind w:firstLine="720" w:firstLineChars="3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.2计算错误将按以下方法更正：若单价计算的结果与总价不一致，以单价为准修改总价；若用文字表示的数值与用数字表示的数值不一致，以文字表示的数值为准。如果“</w:t>
      </w:r>
      <w:r>
        <w:rPr>
          <w:rFonts w:hint="eastAsia" w:ascii="宋体" w:hAnsi="宋体" w:cs="宋体"/>
          <w:sz w:val="24"/>
          <w:szCs w:val="24"/>
          <w:lang w:eastAsia="zh-CN"/>
        </w:rPr>
        <w:t>磋商报价一览表</w:t>
      </w:r>
      <w:r>
        <w:rPr>
          <w:rFonts w:hint="eastAsia" w:ascii="宋体" w:hAnsi="宋体" w:cs="宋体"/>
          <w:sz w:val="24"/>
          <w:szCs w:val="24"/>
        </w:rPr>
        <w:t>”中的总价与磋商的其他文件中的总价不一致，以“</w:t>
      </w:r>
      <w:r>
        <w:rPr>
          <w:rFonts w:hint="eastAsia" w:ascii="宋体" w:hAnsi="宋体" w:cs="宋体"/>
          <w:sz w:val="24"/>
          <w:szCs w:val="24"/>
          <w:lang w:eastAsia="zh-CN"/>
        </w:rPr>
        <w:t>磋商报价一览表</w:t>
      </w:r>
      <w:r>
        <w:rPr>
          <w:rFonts w:hint="eastAsia" w:ascii="宋体" w:hAnsi="宋体" w:cs="宋体"/>
          <w:sz w:val="24"/>
          <w:szCs w:val="24"/>
        </w:rPr>
        <w:t>”中的总价为准。如果供应商不接受对其错误的更正，其磋商将被拒绝。</w:t>
      </w:r>
    </w:p>
    <w:p>
      <w:pPr>
        <w:spacing w:line="360" w:lineRule="auto"/>
        <w:ind w:firstLine="720" w:firstLineChars="3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.3对于竞争性磋商响应文件中明显的标点符号错误或不构成实质性偏差的不正规、不一致或不规则，招标方可以接受。</w:t>
      </w:r>
    </w:p>
    <w:p>
      <w:pPr>
        <w:spacing w:line="360" w:lineRule="auto"/>
        <w:ind w:firstLine="720" w:firstLineChars="3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磋商小组要审查每份竞争性磋商响应文件是否实质上响应了竞争性磋商文件的要求。实质上响应的磋商</w:t>
      </w:r>
      <w:r>
        <w:rPr>
          <w:rFonts w:hint="eastAsia" w:ascii="宋体" w:hAnsi="宋体" w:cs="宋体"/>
          <w:sz w:val="24"/>
          <w:szCs w:val="24"/>
          <w:lang w:val="en-US" w:eastAsia="zh-CN"/>
        </w:rPr>
        <w:t>文件</w:t>
      </w:r>
      <w:r>
        <w:rPr>
          <w:rFonts w:hint="eastAsia" w:ascii="宋体" w:hAnsi="宋体" w:cs="宋体"/>
          <w:sz w:val="24"/>
          <w:szCs w:val="24"/>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pPr>
        <w:spacing w:line="360" w:lineRule="auto"/>
        <w:ind w:firstLine="720" w:firstLineChars="300"/>
        <w:rPr>
          <w:rFonts w:hAnsi="宋体"/>
          <w:b/>
          <w:bCs/>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.5实质上没有响应竞争性磋商文件要求的磋商将被按无效投标处理。供应商不得通过修正或撤销不合要求的偏离从而使其磋商成为实质性响应的磋商。</w:t>
      </w:r>
      <w:r>
        <w:rPr>
          <w:rFonts w:hint="eastAsia" w:ascii="宋体" w:hAnsi="宋体" w:cs="宋体"/>
          <w:b/>
          <w:bCs/>
          <w:sz w:val="24"/>
          <w:szCs w:val="24"/>
        </w:rPr>
        <w:t>如</w:t>
      </w:r>
      <w:r>
        <w:rPr>
          <w:rFonts w:hint="eastAsia" w:hAnsi="宋体"/>
          <w:b/>
          <w:bCs/>
          <w:sz w:val="24"/>
          <w:szCs w:val="24"/>
        </w:rPr>
        <w:t>发现下列情况之一的，其磋商将构成实质性响应，按无效磋商处理，内容如下（但不限于）：</w:t>
      </w:r>
    </w:p>
    <w:p>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1</w:t>
      </w:r>
      <w:r>
        <w:rPr>
          <w:rFonts w:hint="eastAsia" w:ascii="宋体" w:hAnsi="宋体" w:eastAsia="宋体" w:cs="宋体"/>
          <w:b/>
          <w:bCs/>
          <w:sz w:val="24"/>
          <w:lang w:val="en-US" w:eastAsia="zh-CN"/>
        </w:rPr>
        <w:t>磋商响应</w:t>
      </w:r>
      <w:r>
        <w:rPr>
          <w:rFonts w:hint="eastAsia" w:ascii="宋体" w:hAnsi="宋体" w:eastAsia="宋体" w:cs="宋体"/>
          <w:b/>
          <w:bCs/>
          <w:sz w:val="24"/>
        </w:rPr>
        <w:t>函</w:t>
      </w:r>
      <w:r>
        <w:rPr>
          <w:rFonts w:hint="eastAsia" w:ascii="宋体" w:hAnsi="宋体" w:eastAsia="宋体" w:cs="宋体"/>
          <w:b/>
          <w:bCs/>
          <w:sz w:val="24"/>
          <w:lang w:eastAsia="zh-CN"/>
        </w:rPr>
        <w:t>：</w:t>
      </w:r>
      <w:r>
        <w:rPr>
          <w:rFonts w:hint="eastAsia" w:ascii="宋体" w:hAnsi="宋体" w:eastAsia="宋体" w:cs="宋体"/>
          <w:b w:val="0"/>
          <w:bCs w:val="0"/>
          <w:sz w:val="24"/>
        </w:rPr>
        <w:t>加盖投标人公章，</w:t>
      </w:r>
      <w:r>
        <w:rPr>
          <w:rFonts w:hint="eastAsia" w:ascii="宋体" w:hAnsi="宋体" w:eastAsia="宋体" w:cs="宋体"/>
          <w:b w:val="0"/>
          <w:bCs w:val="0"/>
          <w:sz w:val="24"/>
          <w:lang w:eastAsia="zh-CN"/>
        </w:rPr>
        <w:t>且</w:t>
      </w:r>
      <w:r>
        <w:rPr>
          <w:rFonts w:hint="eastAsia" w:ascii="宋体" w:hAnsi="宋体" w:eastAsia="宋体" w:cs="宋体"/>
          <w:b w:val="0"/>
          <w:bCs w:val="0"/>
          <w:sz w:val="24"/>
        </w:rPr>
        <w:t>经法定代表人或其授权代表签字或盖章的；</w:t>
      </w:r>
    </w:p>
    <w:p>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2</w:t>
      </w:r>
      <w:r>
        <w:rPr>
          <w:rFonts w:hint="eastAsia" w:ascii="宋体" w:hAnsi="宋体" w:eastAsia="宋体" w:cs="宋体"/>
          <w:b/>
          <w:bCs/>
          <w:sz w:val="24"/>
        </w:rPr>
        <w:t>法定代表人授权书</w:t>
      </w:r>
      <w:r>
        <w:rPr>
          <w:rFonts w:hint="eastAsia" w:ascii="宋体" w:hAnsi="宋体" w:eastAsia="宋体" w:cs="宋体"/>
          <w:b/>
          <w:bCs/>
          <w:sz w:val="24"/>
          <w:lang w:eastAsia="zh-CN"/>
        </w:rPr>
        <w:t>：</w:t>
      </w:r>
      <w:r>
        <w:rPr>
          <w:rFonts w:hint="eastAsia" w:ascii="宋体" w:hAnsi="宋体" w:eastAsia="宋体" w:cs="宋体"/>
          <w:b w:val="0"/>
          <w:bCs w:val="0"/>
          <w:sz w:val="24"/>
        </w:rPr>
        <w:t>投标文件法定代表人授权书（法人直接投标除外）的合法性或有效性符合招标文件规定的；</w:t>
      </w:r>
    </w:p>
    <w:p>
      <w:pPr>
        <w:keepNext w:val="0"/>
        <w:keepLines w:val="0"/>
        <w:widowControl/>
        <w:suppressLineNumbers w:val="0"/>
        <w:spacing w:line="360" w:lineRule="auto"/>
        <w:ind w:firstLine="480" w:firstLineChars="200"/>
        <w:jc w:val="left"/>
        <w:rPr>
          <w:b w:val="0"/>
          <w:bCs w:val="0"/>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3</w:t>
      </w:r>
      <w:r>
        <w:rPr>
          <w:rFonts w:hint="eastAsia" w:ascii="宋体" w:hAnsi="宋体" w:eastAsia="宋体" w:cs="宋体"/>
          <w:b/>
          <w:bCs/>
          <w:sz w:val="24"/>
        </w:rPr>
        <w:t>投标文件</w:t>
      </w:r>
      <w:r>
        <w:rPr>
          <w:rFonts w:hint="eastAsia" w:ascii="宋体" w:hAnsi="宋体" w:eastAsia="宋体" w:cs="宋体"/>
          <w:b/>
          <w:bCs/>
          <w:sz w:val="24"/>
          <w:lang w:eastAsia="zh-CN"/>
        </w:rPr>
        <w:t>签署、盖章：</w:t>
      </w:r>
      <w:r>
        <w:rPr>
          <w:rFonts w:hint="eastAsia" w:ascii="宋体" w:hAnsi="宋体" w:eastAsia="宋体" w:cs="宋体"/>
          <w:b w:val="0"/>
          <w:bCs w:val="0"/>
          <w:color w:val="000000"/>
          <w:kern w:val="0"/>
          <w:sz w:val="24"/>
          <w:szCs w:val="24"/>
          <w:lang w:val="en-US" w:eastAsia="zh-CN" w:bidi="ar"/>
        </w:rPr>
        <w:t>签署、盖章均符合招标文件要求，且无遗漏。</w:t>
      </w:r>
    </w:p>
    <w:p>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4</w:t>
      </w:r>
      <w:r>
        <w:rPr>
          <w:rFonts w:hint="eastAsia" w:ascii="宋体" w:hAnsi="宋体" w:eastAsia="宋体" w:cs="宋体"/>
          <w:b/>
          <w:bCs/>
          <w:sz w:val="24"/>
          <w:lang w:eastAsia="zh-CN"/>
        </w:rPr>
        <w:t>投标有效期：</w:t>
      </w:r>
      <w:r>
        <w:rPr>
          <w:rFonts w:hint="eastAsia" w:ascii="宋体" w:hAnsi="宋体" w:eastAsia="宋体" w:cs="宋体"/>
          <w:b w:val="0"/>
          <w:bCs w:val="0"/>
          <w:sz w:val="24"/>
          <w:lang w:eastAsia="zh-CN"/>
        </w:rPr>
        <w:t>有</w:t>
      </w:r>
      <w:r>
        <w:rPr>
          <w:rFonts w:hint="eastAsia" w:ascii="宋体" w:hAnsi="宋体" w:eastAsia="宋体" w:cs="宋体"/>
          <w:b w:val="0"/>
          <w:bCs w:val="0"/>
          <w:sz w:val="24"/>
        </w:rPr>
        <w:t>投标有效期</w:t>
      </w:r>
      <w:r>
        <w:rPr>
          <w:rFonts w:hint="eastAsia" w:ascii="宋体" w:hAnsi="宋体" w:eastAsia="宋体" w:cs="宋体"/>
          <w:b w:val="0"/>
          <w:bCs w:val="0"/>
          <w:sz w:val="24"/>
          <w:lang w:eastAsia="zh-CN"/>
        </w:rPr>
        <w:t>且</w:t>
      </w:r>
      <w:r>
        <w:rPr>
          <w:rFonts w:hint="eastAsia" w:ascii="宋体" w:hAnsi="宋体" w:eastAsia="宋体" w:cs="宋体"/>
          <w:b w:val="0"/>
          <w:bCs w:val="0"/>
          <w:sz w:val="24"/>
        </w:rPr>
        <w:t>有效期达到招标文件要求的；</w:t>
      </w:r>
    </w:p>
    <w:p>
      <w:pPr>
        <w:keepNext w:val="0"/>
        <w:keepLines w:val="0"/>
        <w:widowControl/>
        <w:suppressLineNumbers w:val="0"/>
        <w:spacing w:line="360" w:lineRule="auto"/>
        <w:ind w:firstLine="480" w:firstLineChars="200"/>
        <w:jc w:val="left"/>
        <w:rPr>
          <w:rFonts w:hint="eastAsia" w:ascii="宋体" w:hAnsi="宋体" w:eastAsia="宋体" w:cs="宋体"/>
          <w:b w:val="0"/>
          <w:bCs w:val="0"/>
          <w:sz w:val="24"/>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5</w:t>
      </w:r>
      <w:r>
        <w:rPr>
          <w:rFonts w:hint="eastAsia" w:ascii="宋体" w:hAnsi="宋体" w:eastAsia="宋体" w:cs="宋体"/>
          <w:b/>
          <w:bCs/>
          <w:sz w:val="24"/>
          <w:lang w:val="en-US" w:eastAsia="zh-CN"/>
        </w:rPr>
        <w:t>虚假材料：</w:t>
      </w:r>
      <w:r>
        <w:rPr>
          <w:rFonts w:hint="eastAsia" w:ascii="宋体" w:hAnsi="宋体" w:eastAsia="宋体" w:cs="宋体"/>
          <w:b w:val="0"/>
          <w:bCs w:val="0"/>
          <w:sz w:val="24"/>
          <w:lang w:val="en-US" w:eastAsia="zh-CN"/>
        </w:rPr>
        <w:t>未</w:t>
      </w:r>
      <w:r>
        <w:rPr>
          <w:rFonts w:hint="eastAsia" w:ascii="宋体" w:hAnsi="宋体" w:eastAsia="宋体" w:cs="宋体"/>
          <w:sz w:val="24"/>
        </w:rPr>
        <w:t>提供虚假资质、虚假证明（包括第三方提供的虚假证明）、出现虚假应答的</w:t>
      </w: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 xml:space="preserve"> </w:t>
      </w:r>
    </w:p>
    <w:p>
      <w:pPr>
        <w:pageBreakBefore w:val="0"/>
        <w:wordWrap/>
        <w:overflowPunct/>
        <w:autoSpaceDE/>
        <w:autoSpaceDN/>
        <w:bidi w:val="0"/>
        <w:adjustRightInd w:val="0"/>
        <w:snapToGrid w:val="0"/>
        <w:spacing w:line="360" w:lineRule="auto"/>
        <w:ind w:left="479" w:leftChars="228" w:firstLine="0" w:firstLineChars="0"/>
        <w:textAlignment w:val="auto"/>
        <w:rPr>
          <w:rFonts w:hint="eastAsia" w:ascii="宋体" w:hAnsi="宋体" w:eastAsia="宋体" w:cs="宋体"/>
          <w:b w:val="0"/>
          <w:bCs w:val="0"/>
          <w:color w:val="auto"/>
          <w:sz w:val="24"/>
          <w:lang w:eastAsia="zh-CN"/>
        </w:rPr>
      </w:pPr>
      <w:r>
        <w:rPr>
          <w:rFonts w:hint="eastAsia" w:ascii="宋体" w:hAnsi="宋体" w:cs="宋体"/>
          <w:b w:val="0"/>
          <w:bCs w:val="0"/>
          <w:sz w:val="24"/>
          <w:szCs w:val="24"/>
          <w:lang w:val="en-US" w:eastAsia="zh-CN"/>
        </w:rPr>
        <w:t>22.3.</w:t>
      </w:r>
      <w:r>
        <w:rPr>
          <w:rFonts w:hint="eastAsia" w:ascii="宋体" w:hAnsi="宋体" w:eastAsia="宋体" w:cs="宋体"/>
          <w:b w:val="0"/>
          <w:bCs w:val="0"/>
          <w:sz w:val="24"/>
          <w:szCs w:val="24"/>
        </w:rPr>
        <w:t>4</w:t>
      </w:r>
      <w:r>
        <w:rPr>
          <w:rFonts w:hint="eastAsia" w:ascii="宋体" w:hAnsi="宋体" w:cs="宋体"/>
          <w:b w:val="0"/>
          <w:bCs w:val="0"/>
          <w:sz w:val="24"/>
          <w:szCs w:val="24"/>
          <w:lang w:val="en-US" w:eastAsia="zh-CN"/>
        </w:rPr>
        <w:t>.5.6</w:t>
      </w:r>
      <w:r>
        <w:rPr>
          <w:rFonts w:hint="eastAsia" w:ascii="宋体" w:hAnsi="宋体" w:eastAsia="宋体" w:cs="宋体"/>
          <w:b/>
          <w:bCs/>
          <w:sz w:val="24"/>
          <w:lang w:val="en-US" w:eastAsia="zh-CN"/>
        </w:rPr>
        <w:t>实质性条款响应:</w:t>
      </w:r>
      <w:r>
        <w:rPr>
          <w:rFonts w:hint="eastAsia" w:ascii="宋体" w:hAnsi="宋体" w:eastAsia="宋体" w:cs="宋体"/>
          <w:b w:val="0"/>
          <w:bCs w:val="0"/>
          <w:sz w:val="24"/>
          <w:szCs w:val="24"/>
        </w:rPr>
        <w:t>投标人技术响应符合招标文件要求且未出现重大偏离2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5.7</w:t>
      </w:r>
      <w:r>
        <w:rPr>
          <w:rFonts w:hint="eastAsia" w:ascii="宋体" w:hAnsi="宋体" w:eastAsia="宋体" w:cs="宋体"/>
          <w:b/>
          <w:bCs/>
          <w:sz w:val="24"/>
          <w:lang w:val="en-US" w:eastAsia="zh-CN"/>
        </w:rPr>
        <w:t>投标保证金：</w:t>
      </w:r>
      <w:r>
        <w:rPr>
          <w:rFonts w:hint="eastAsia" w:ascii="宋体" w:hAnsi="宋体" w:eastAsia="宋体" w:cs="宋体"/>
          <w:kern w:val="2"/>
          <w:sz w:val="24"/>
          <w:szCs w:val="24"/>
          <w:highlight w:val="none"/>
          <w:lang w:val="en-US" w:eastAsia="zh-CN" w:bidi="ar-SA"/>
        </w:rPr>
        <w:t>投标人在投标文件中附“投标信用承诺书”并按要求签字盖章及附信用承诺网页截图。信用承诺书的有效期</w:t>
      </w:r>
      <w:r>
        <w:rPr>
          <w:rFonts w:hint="eastAsia" w:ascii="宋体" w:hAnsi="宋体" w:cs="宋体"/>
          <w:kern w:val="2"/>
          <w:sz w:val="24"/>
          <w:szCs w:val="24"/>
          <w:highlight w:val="none"/>
          <w:lang w:val="en-US" w:eastAsia="zh-CN" w:bidi="ar-SA"/>
        </w:rPr>
        <w:t>为一年</w:t>
      </w:r>
      <w:r>
        <w:rPr>
          <w:rFonts w:hint="eastAsia" w:ascii="宋体" w:hAnsi="宋体" w:cs="宋体"/>
          <w:sz w:val="24"/>
        </w:rPr>
        <w:t>；</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cs="宋体"/>
          <w:b w:val="0"/>
          <w:bCs w:val="0"/>
          <w:sz w:val="24"/>
          <w:szCs w:val="24"/>
          <w:highlight w:val="none"/>
          <w:lang w:val="en-US" w:eastAsia="zh-CN"/>
        </w:rPr>
        <w:t>8</w:t>
      </w:r>
      <w:r>
        <w:rPr>
          <w:rFonts w:hint="eastAsia" w:ascii="宋体" w:hAnsi="宋体" w:eastAsia="宋体" w:cs="宋体"/>
          <w:b/>
          <w:bCs/>
          <w:color w:val="000000"/>
          <w:kern w:val="0"/>
          <w:sz w:val="24"/>
          <w:szCs w:val="24"/>
          <w:lang w:val="en-US" w:eastAsia="zh-CN" w:bidi="ar"/>
        </w:rPr>
        <w:t>投标报价：</w:t>
      </w:r>
      <w:r>
        <w:rPr>
          <w:rFonts w:hint="eastAsia" w:ascii="宋体" w:hAnsi="宋体" w:eastAsia="宋体" w:cs="宋体"/>
          <w:b w:val="0"/>
          <w:bCs w:val="0"/>
          <w:color w:val="000000"/>
          <w:kern w:val="0"/>
          <w:sz w:val="24"/>
          <w:szCs w:val="24"/>
          <w:lang w:val="en-US" w:eastAsia="zh-CN" w:bidi="ar"/>
        </w:rPr>
        <w:t>投标报价符合唯一性要求；开标一览表填写符合要求；报价货币符合招标文件要求；未超出</w:t>
      </w:r>
      <w:r>
        <w:rPr>
          <w:rFonts w:hint="eastAsia" w:ascii="宋体" w:hAnsi="宋体" w:eastAsia="宋体" w:cs="宋体"/>
          <w:color w:val="000000"/>
          <w:kern w:val="0"/>
          <w:sz w:val="24"/>
          <w:szCs w:val="24"/>
          <w:lang w:val="en-US" w:eastAsia="zh-CN" w:bidi="ar"/>
        </w:rPr>
        <w:t>采购预算或招标文件规定的最高限价，未</w:t>
      </w:r>
      <w:r>
        <w:rPr>
          <w:rFonts w:hint="eastAsia" w:ascii="宋体" w:hAnsi="宋体" w:eastAsia="宋体" w:cs="宋体"/>
          <w:sz w:val="24"/>
          <w:highlight w:val="none"/>
        </w:rPr>
        <w:t>低于成本，</w:t>
      </w:r>
      <w:r>
        <w:rPr>
          <w:rFonts w:hint="eastAsia" w:ascii="宋体" w:hAnsi="宋体" w:eastAsia="宋体" w:cs="宋体"/>
          <w:sz w:val="24"/>
          <w:highlight w:val="none"/>
          <w:lang w:eastAsia="zh-CN"/>
        </w:rPr>
        <w:t>未</w:t>
      </w:r>
      <w:r>
        <w:rPr>
          <w:rFonts w:hint="eastAsia" w:ascii="宋体" w:hAnsi="宋体" w:eastAsia="宋体" w:cs="宋体"/>
          <w:sz w:val="24"/>
          <w:highlight w:val="none"/>
        </w:rPr>
        <w:t>形成不正当竞争</w:t>
      </w:r>
      <w:r>
        <w:rPr>
          <w:rFonts w:hint="eastAsia" w:ascii="宋体" w:hAnsi="宋体" w:eastAsia="宋体" w:cs="宋体"/>
          <w:color w:val="000000"/>
          <w:kern w:val="0"/>
          <w:sz w:val="24"/>
          <w:szCs w:val="24"/>
          <w:lang w:val="en-US" w:eastAsia="zh-CN" w:bidi="ar"/>
        </w:rPr>
        <w:t xml:space="preserve">； </w:t>
      </w:r>
    </w:p>
    <w:p>
      <w:pPr>
        <w:pStyle w:val="24"/>
        <w:spacing w:line="360" w:lineRule="auto"/>
        <w:ind w:left="0" w:lef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b w:val="0"/>
          <w:bCs w:val="0"/>
          <w:sz w:val="24"/>
          <w:szCs w:val="24"/>
        </w:rPr>
        <w:t>2</w:t>
      </w:r>
      <w:r>
        <w:rPr>
          <w:rFonts w:hint="eastAsia"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cs="宋体"/>
          <w:color w:val="000000"/>
          <w:kern w:val="0"/>
          <w:sz w:val="24"/>
          <w:szCs w:val="24"/>
          <w:lang w:val="en-US" w:eastAsia="zh-CN" w:bidi="ar"/>
        </w:rPr>
        <w:t>9</w:t>
      </w:r>
      <w:r>
        <w:rPr>
          <w:rFonts w:hint="eastAsia" w:ascii="宋体" w:hAnsi="宋体" w:eastAsia="宋体" w:cs="宋体"/>
          <w:b/>
          <w:bCs/>
          <w:color w:val="000000"/>
          <w:kern w:val="0"/>
          <w:sz w:val="24"/>
          <w:szCs w:val="24"/>
          <w:lang w:val="en-US" w:eastAsia="zh-CN" w:bidi="ar"/>
        </w:rPr>
        <w:t>商务响应：</w:t>
      </w:r>
      <w:r>
        <w:rPr>
          <w:rFonts w:hint="eastAsia" w:ascii="宋体" w:hAnsi="宋体" w:eastAsia="宋体" w:cs="宋体"/>
          <w:color w:val="000000"/>
          <w:kern w:val="0"/>
          <w:sz w:val="24"/>
          <w:szCs w:val="24"/>
          <w:lang w:val="en-US" w:eastAsia="zh-CN" w:bidi="ar"/>
        </w:rPr>
        <w:t>投标文件在商务响应方面未附加采购单位难以接受的条件；</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cs="宋体"/>
          <w:color w:val="000000"/>
          <w:kern w:val="0"/>
          <w:sz w:val="24"/>
          <w:szCs w:val="24"/>
          <w:lang w:val="en-US" w:eastAsia="zh-CN" w:bidi="ar"/>
        </w:rPr>
        <w:t>10</w:t>
      </w:r>
      <w:r>
        <w:rPr>
          <w:rFonts w:hint="eastAsia" w:ascii="宋体" w:hAnsi="宋体" w:eastAsia="宋体" w:cs="宋体"/>
          <w:b/>
          <w:bCs/>
          <w:color w:val="000000"/>
          <w:kern w:val="0"/>
          <w:sz w:val="24"/>
          <w:szCs w:val="24"/>
          <w:lang w:val="en-US" w:eastAsia="zh-CN" w:bidi="ar"/>
        </w:rPr>
        <w:t>其他：</w:t>
      </w:r>
      <w:r>
        <w:rPr>
          <w:rFonts w:hint="eastAsia" w:ascii="宋体" w:hAnsi="宋体" w:eastAsia="宋体" w:cs="宋体"/>
          <w:color w:val="000000"/>
          <w:kern w:val="0"/>
          <w:sz w:val="24"/>
          <w:szCs w:val="24"/>
          <w:lang w:val="en-US" w:eastAsia="zh-CN" w:bidi="ar"/>
        </w:rPr>
        <w:t>完全理解并接受法律法规和招标文件对供应商的各项须知、规约要求和责任义务，没有出现法律法规或招标文件明确规定的其他被视为“无效投标”的情形。</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5</w:t>
      </w:r>
      <w:r>
        <w:rPr>
          <w:rFonts w:hint="eastAsia" w:ascii="宋体" w:hAnsi="宋体" w:cs="宋体"/>
          <w:sz w:val="24"/>
          <w:szCs w:val="24"/>
        </w:rPr>
        <w:t>竞争性磋商响应文件的详细评审</w:t>
      </w:r>
    </w:p>
    <w:p>
      <w:pPr>
        <w:spacing w:line="360" w:lineRule="auto"/>
        <w:ind w:firstLine="720" w:firstLineChars="3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color w:val="auto"/>
          <w:sz w:val="24"/>
          <w:szCs w:val="24"/>
          <w:lang w:val="en-US" w:eastAsia="zh-CN"/>
        </w:rPr>
        <w:t>5</w:t>
      </w:r>
      <w:r>
        <w:rPr>
          <w:rFonts w:hint="eastAsia" w:ascii="宋体" w:hAnsi="宋体" w:cs="宋体"/>
          <w:color w:val="auto"/>
          <w:sz w:val="24"/>
          <w:szCs w:val="24"/>
        </w:rPr>
        <w:t>.1</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磋商小组只对确定为</w:t>
      </w:r>
      <w:r>
        <w:rPr>
          <w:rFonts w:hint="eastAsia" w:ascii="宋体" w:hAnsi="宋体" w:cs="宋体"/>
          <w:sz w:val="24"/>
          <w:szCs w:val="24"/>
        </w:rPr>
        <w:t>实质性响应竞争性磋商文件要求的磋商响应文件进行详细评审。</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22</w:t>
      </w:r>
      <w:r>
        <w:rPr>
          <w:rFonts w:hint="eastAsia" w:ascii="宋体" w:hAnsi="宋体" w:cs="宋体"/>
          <w:sz w:val="24"/>
          <w:szCs w:val="24"/>
        </w:rPr>
        <w:t>.3.</w:t>
      </w:r>
      <w:r>
        <w:rPr>
          <w:rFonts w:hint="eastAsia" w:ascii="宋体" w:hAnsi="宋体" w:cs="宋体"/>
          <w:sz w:val="24"/>
          <w:szCs w:val="24"/>
          <w:lang w:val="en-US" w:eastAsia="zh-CN"/>
        </w:rPr>
        <w:t>6</w:t>
      </w:r>
      <w:r>
        <w:rPr>
          <w:rFonts w:hint="eastAsia" w:ascii="宋体" w:hAnsi="宋体" w:cs="宋体"/>
          <w:sz w:val="24"/>
          <w:szCs w:val="24"/>
        </w:rPr>
        <w:t>成交候选人的确定</w:t>
      </w:r>
    </w:p>
    <w:p>
      <w:pPr>
        <w:spacing w:line="360" w:lineRule="auto"/>
        <w:ind w:firstLine="720" w:firstLineChars="300"/>
        <w:rPr>
          <w:color w:val="auto"/>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.1磋商小组依据本磋商文件“评标方法”，对竞争性磋商响应文件进行评审和比较，向</w:t>
      </w:r>
      <w:r>
        <w:rPr>
          <w:rFonts w:hint="eastAsia" w:ascii="宋体" w:hAnsi="宋体" w:cs="宋体"/>
          <w:color w:val="auto"/>
          <w:sz w:val="24"/>
          <w:szCs w:val="24"/>
          <w:lang w:eastAsia="zh-CN"/>
        </w:rPr>
        <w:t>采购人</w:t>
      </w:r>
      <w:r>
        <w:rPr>
          <w:rFonts w:hint="eastAsia" w:ascii="宋体" w:hAnsi="宋体" w:cs="宋体"/>
          <w:color w:val="auto"/>
          <w:sz w:val="24"/>
          <w:szCs w:val="24"/>
        </w:rPr>
        <w:t>提交书面评标报告，并推荐</w:t>
      </w:r>
      <w:r>
        <w:rPr>
          <w:rFonts w:hint="eastAsia" w:ascii="宋体" w:hAnsi="宋体" w:cs="宋体"/>
          <w:color w:val="auto"/>
          <w:sz w:val="24"/>
          <w:szCs w:val="24"/>
          <w:lang w:val="en-US" w:eastAsia="zh-CN"/>
        </w:rPr>
        <w:t>1-3名</w:t>
      </w:r>
      <w:r>
        <w:rPr>
          <w:rFonts w:hint="eastAsia" w:ascii="宋体" w:hAnsi="宋体" w:cs="宋体"/>
          <w:color w:val="auto"/>
          <w:sz w:val="24"/>
          <w:szCs w:val="24"/>
        </w:rPr>
        <w:t>供应商为成交候选人。</w:t>
      </w:r>
    </w:p>
    <w:p>
      <w:pP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 xml:space="preserve">.2 </w:t>
      </w:r>
      <w:r>
        <w:rPr>
          <w:rFonts w:hint="eastAsia" w:ascii="宋体" w:hAnsi="宋体" w:cs="宋体"/>
          <w:color w:val="auto"/>
          <w:sz w:val="24"/>
          <w:szCs w:val="24"/>
          <w:lang w:eastAsia="zh-CN"/>
        </w:rPr>
        <w:t>采购人</w:t>
      </w:r>
      <w:r>
        <w:rPr>
          <w:rFonts w:hint="eastAsia" w:ascii="宋体" w:hAnsi="宋体" w:cs="宋体"/>
          <w:color w:val="auto"/>
          <w:sz w:val="24"/>
          <w:szCs w:val="24"/>
        </w:rPr>
        <w:t>根据磋商小组提交的评标报告和推荐的成交候选人确定成交供应商。</w:t>
      </w:r>
    </w:p>
    <w:p>
      <w:pPr>
        <w:pageBreakBefore w:val="0"/>
        <w:widowControl w:val="0"/>
        <w:kinsoku/>
        <w:wordWrap/>
        <w:overflowPunct/>
        <w:topLinePunct w:val="0"/>
        <w:autoSpaceDE/>
        <w:autoSpaceDN/>
        <w:bidi w:val="0"/>
        <w:adjustRightInd w:val="0"/>
        <w:snapToGrid/>
        <w:spacing w:line="360" w:lineRule="auto"/>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磋商小组</w:t>
      </w:r>
      <w:r>
        <w:rPr>
          <w:rFonts w:hint="eastAsia" w:ascii="宋体" w:hAnsi="宋体" w:eastAsia="宋体" w:cs="宋体"/>
          <w:color w:val="auto"/>
          <w:sz w:val="24"/>
          <w:szCs w:val="24"/>
        </w:rPr>
        <w:t>经评审，认为有效</w:t>
      </w:r>
      <w:r>
        <w:rPr>
          <w:rFonts w:hint="eastAsia" w:ascii="宋体" w:hAnsi="宋体" w:eastAsia="宋体" w:cs="宋体"/>
          <w:color w:val="auto"/>
          <w:sz w:val="24"/>
          <w:szCs w:val="24"/>
          <w:lang w:eastAsia="zh-CN"/>
        </w:rPr>
        <w:t>供应商</w:t>
      </w:r>
      <w:r>
        <w:rPr>
          <w:rFonts w:hint="eastAsia" w:ascii="宋体" w:hAnsi="宋体" w:cs="宋体"/>
          <w:color w:val="auto"/>
          <w:sz w:val="24"/>
          <w:szCs w:val="24"/>
          <w:lang w:val="en-US" w:eastAsia="zh-CN"/>
        </w:rPr>
        <w:t>不足3</w:t>
      </w:r>
      <w:r>
        <w:rPr>
          <w:rFonts w:hint="eastAsia" w:ascii="宋体" w:hAnsi="宋体" w:eastAsia="宋体" w:cs="宋体"/>
          <w:color w:val="auto"/>
          <w:sz w:val="24"/>
          <w:szCs w:val="24"/>
        </w:rPr>
        <w:t>家的，可以否决本次</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、投标。所有</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被否决后，招标人应当依法重新招标。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提交最后报价的供应商为2家时，可以继续进行磋商的情形：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（一）市场竞争不充分的科研项目，以及需要扶持的科技成果</w:t>
      </w:r>
      <w:r>
        <w:rPr>
          <w:rFonts w:hint="eastAsia" w:ascii="宋体" w:hAnsi="宋体" w:eastAsia="宋体" w:cs="宋体"/>
          <w:sz w:val="24"/>
          <w:szCs w:val="24"/>
        </w:rPr>
        <w:t>转化项目；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1"/>
        <w:rPr>
          <w:rFonts w:hint="eastAsia"/>
        </w:rPr>
      </w:pPr>
      <w:bookmarkStart w:id="148" w:name="_Toc20079"/>
      <w:r>
        <w:rPr>
          <w:rFonts w:hint="eastAsia" w:ascii="宋体" w:hAnsi="宋体" w:eastAsia="宋体" w:cs="宋体"/>
          <w:sz w:val="24"/>
          <w:szCs w:val="24"/>
        </w:rPr>
        <w:t>（二）政府购买服务项目（含政府和社会资本项目）。</w:t>
      </w:r>
      <w:bookmarkEnd w:id="148"/>
    </w:p>
    <w:p>
      <w:pPr>
        <w:pStyle w:val="43"/>
        <w:adjustRightInd w:val="0"/>
        <w:spacing w:line="360" w:lineRule="auto"/>
        <w:rPr>
          <w:rFonts w:ascii="宋体" w:hAnsi="宋体" w:eastAsia="宋体"/>
          <w:szCs w:val="24"/>
        </w:rPr>
      </w:pPr>
      <w:r>
        <w:rPr>
          <w:rFonts w:hint="eastAsia" w:ascii="宋体" w:hAnsi="宋体" w:eastAsia="宋体"/>
          <w:b/>
          <w:sz w:val="28"/>
          <w:szCs w:val="28"/>
        </w:rPr>
        <w:t>2</w:t>
      </w:r>
      <w:r>
        <w:rPr>
          <w:rFonts w:hint="eastAsia" w:ascii="宋体" w:hAnsi="宋体" w:eastAsia="宋体"/>
          <w:b/>
          <w:sz w:val="28"/>
          <w:szCs w:val="28"/>
          <w:lang w:val="en-US" w:eastAsia="zh-CN"/>
        </w:rPr>
        <w:t>3</w:t>
      </w:r>
      <w:r>
        <w:rPr>
          <w:rFonts w:hint="eastAsia" w:ascii="宋体" w:hAnsi="宋体" w:eastAsia="宋体"/>
          <w:b/>
          <w:sz w:val="28"/>
          <w:szCs w:val="28"/>
        </w:rPr>
        <w:t>、评审过程的保密</w:t>
      </w:r>
    </w:p>
    <w:p>
      <w:pPr>
        <w:adjustRightInd w:val="0"/>
        <w:snapToGrid w:val="0"/>
        <w:spacing w:line="360" w:lineRule="auto"/>
        <w:ind w:firstLine="480" w:firstLineChars="200"/>
        <w:outlineLvl w:val="2"/>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（1）磋商后，直至授予成交人合同为止，凡属于对竞争性磋商响应文件的审查、补遗、评价和比较的有关资料以及成交人候选人的推荐情况等均严格保密。</w:t>
      </w:r>
    </w:p>
    <w:p>
      <w:pPr>
        <w:adjustRightInd w:val="0"/>
        <w:snapToGrid w:val="0"/>
        <w:spacing w:line="360" w:lineRule="auto"/>
        <w:ind w:firstLine="480" w:firstLineChars="200"/>
        <w:outlineLvl w:val="2"/>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（2）在竞争性磋商响应文件的评审、成交人候选人推荐以及授予合同的过程中，供应商向</w:t>
      </w:r>
      <w:r>
        <w:rPr>
          <w:rFonts w:hint="eastAsia" w:asciiTheme="minorEastAsia" w:hAnsiTheme="minorEastAsia" w:eastAsiaTheme="minorEastAsia" w:cstheme="minorEastAsia"/>
          <w:kern w:val="0"/>
          <w:sz w:val="24"/>
          <w:szCs w:val="24"/>
          <w:lang w:eastAsia="zh-CN"/>
        </w:rPr>
        <w:t>采购人</w:t>
      </w:r>
      <w:r>
        <w:rPr>
          <w:rFonts w:hint="eastAsia" w:asciiTheme="minorEastAsia" w:hAnsiTheme="minorEastAsia" w:eastAsiaTheme="minorEastAsia" w:cstheme="minorEastAsia"/>
          <w:kern w:val="0"/>
          <w:sz w:val="24"/>
          <w:szCs w:val="24"/>
        </w:rPr>
        <w:t>和磋商小组施加影响的任何行为，都将会导致其磋商被拒绝直至取消其成交资格。</w:t>
      </w:r>
    </w:p>
    <w:p>
      <w:pPr>
        <w:adjustRightInd w:val="0"/>
        <w:snapToGrid w:val="0"/>
        <w:spacing w:line="360" w:lineRule="auto"/>
        <w:ind w:firstLine="480" w:firstLineChars="200"/>
        <w:outlineLvl w:val="2"/>
      </w:pPr>
      <w:r>
        <w:rPr>
          <w:rFonts w:hint="eastAsia" w:asciiTheme="minorEastAsia" w:hAnsiTheme="minorEastAsia" w:eastAsiaTheme="minorEastAsia" w:cstheme="minorEastAsia"/>
          <w:kern w:val="0"/>
          <w:sz w:val="24"/>
          <w:szCs w:val="24"/>
        </w:rPr>
        <w:t>（3）成交人确定后，</w:t>
      </w:r>
      <w:r>
        <w:rPr>
          <w:rFonts w:hint="eastAsia" w:asciiTheme="minorEastAsia" w:hAnsiTheme="minorEastAsia" w:eastAsiaTheme="minorEastAsia" w:cstheme="minorEastAsia"/>
          <w:kern w:val="0"/>
          <w:sz w:val="24"/>
          <w:szCs w:val="24"/>
          <w:lang w:eastAsia="zh-CN"/>
        </w:rPr>
        <w:t>采购人</w:t>
      </w:r>
      <w:r>
        <w:rPr>
          <w:rFonts w:hint="eastAsia" w:asciiTheme="minorEastAsia" w:hAnsiTheme="minorEastAsia" w:eastAsiaTheme="minorEastAsia" w:cstheme="minorEastAsia"/>
          <w:kern w:val="0"/>
          <w:sz w:val="24"/>
          <w:szCs w:val="24"/>
        </w:rPr>
        <w:t>不对未成</w:t>
      </w:r>
      <w:r>
        <w:rPr>
          <w:rFonts w:hint="eastAsia" w:asciiTheme="minorEastAsia" w:hAnsiTheme="minorEastAsia" w:eastAsiaTheme="minorEastAsia" w:cstheme="minorEastAsia"/>
          <w:b/>
          <w:bCs/>
          <w:kern w:val="0"/>
          <w:sz w:val="24"/>
          <w:szCs w:val="24"/>
        </w:rPr>
        <w:t>交</w:t>
      </w:r>
      <w:r>
        <w:rPr>
          <w:rFonts w:hint="eastAsia" w:asciiTheme="minorEastAsia" w:hAnsiTheme="minorEastAsia" w:eastAsiaTheme="minorEastAsia" w:cstheme="minorEastAsia"/>
          <w:kern w:val="0"/>
          <w:sz w:val="24"/>
          <w:szCs w:val="24"/>
        </w:rPr>
        <w:t>人就评审过程以及未能成交原因作出任何解释。未成交人不得向磋商小组组成人员或其他有关人员索问评审过程的情况和材料。</w:t>
      </w:r>
    </w:p>
    <w:p>
      <w:pPr>
        <w:pStyle w:val="43"/>
        <w:adjustRightInd w:val="0"/>
        <w:snapToGrid w:val="0"/>
        <w:spacing w:line="360" w:lineRule="auto"/>
        <w:rPr>
          <w:rFonts w:ascii="宋体" w:hAnsi="宋体" w:eastAsia="宋体"/>
          <w:b/>
          <w:sz w:val="28"/>
          <w:szCs w:val="28"/>
        </w:rPr>
      </w:pPr>
      <w:r>
        <w:rPr>
          <w:rFonts w:hint="eastAsia" w:ascii="宋体" w:hAnsi="宋体" w:eastAsia="宋体"/>
          <w:b/>
          <w:sz w:val="28"/>
          <w:szCs w:val="28"/>
        </w:rPr>
        <w:t>2</w:t>
      </w:r>
      <w:r>
        <w:rPr>
          <w:rFonts w:hint="eastAsia" w:ascii="宋体" w:hAnsi="宋体" w:eastAsia="宋体"/>
          <w:b/>
          <w:sz w:val="28"/>
          <w:szCs w:val="28"/>
          <w:lang w:val="en-US" w:eastAsia="zh-CN"/>
        </w:rPr>
        <w:t>4</w:t>
      </w:r>
      <w:r>
        <w:rPr>
          <w:rFonts w:hint="eastAsia" w:ascii="宋体" w:hAnsi="宋体" w:eastAsia="宋体"/>
          <w:b/>
          <w:sz w:val="28"/>
          <w:szCs w:val="28"/>
        </w:rPr>
        <w:t>、评审方法</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.1</w:t>
      </w:r>
      <w:r>
        <w:rPr>
          <w:rFonts w:hint="eastAsia" w:hAnsi="宋体"/>
          <w:sz w:val="24"/>
          <w:szCs w:val="24"/>
        </w:rPr>
        <w:t>按照中华人民共和国</w:t>
      </w:r>
      <w:r>
        <w:rPr>
          <w:rFonts w:hint="eastAsia" w:hAnsi="宋体"/>
          <w:color w:val="000000"/>
          <w:sz w:val="24"/>
          <w:szCs w:val="24"/>
        </w:rPr>
        <w:t>财政部第</w:t>
      </w:r>
      <w:r>
        <w:rPr>
          <w:rFonts w:hint="eastAsia" w:hAnsi="宋体"/>
          <w:color w:val="000000"/>
          <w:sz w:val="24"/>
          <w:szCs w:val="24"/>
          <w:lang w:val="en-US" w:eastAsia="zh-CN"/>
        </w:rPr>
        <w:t>87</w:t>
      </w:r>
      <w:r>
        <w:rPr>
          <w:rFonts w:hint="eastAsia" w:hAnsi="宋体"/>
          <w:color w:val="000000"/>
          <w:sz w:val="24"/>
          <w:szCs w:val="24"/>
        </w:rPr>
        <w:t>号部长令-</w:t>
      </w:r>
      <w:r>
        <w:rPr>
          <w:rFonts w:hint="eastAsia" w:hAnsi="宋体"/>
          <w:sz w:val="24"/>
          <w:szCs w:val="24"/>
        </w:rPr>
        <w:t>-《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pPr>
        <w:pStyle w:val="43"/>
        <w:adjustRightInd w:val="0"/>
        <w:snapToGrid w:val="0"/>
        <w:spacing w:line="360" w:lineRule="auto"/>
        <w:rPr>
          <w:rFonts w:ascii="宋体" w:hAnsi="宋体" w:eastAsia="宋体"/>
          <w:b/>
          <w:sz w:val="28"/>
          <w:szCs w:val="28"/>
        </w:rPr>
      </w:pPr>
      <w:r>
        <w:rPr>
          <w:rFonts w:hint="eastAsia" w:ascii="宋体" w:hAnsi="宋体" w:eastAsia="宋体"/>
          <w:b/>
          <w:sz w:val="28"/>
          <w:szCs w:val="28"/>
        </w:rPr>
        <w:t>2</w:t>
      </w:r>
      <w:r>
        <w:rPr>
          <w:rFonts w:hint="eastAsia" w:ascii="宋体" w:hAnsi="宋体" w:eastAsia="宋体"/>
          <w:b/>
          <w:sz w:val="28"/>
          <w:szCs w:val="28"/>
          <w:lang w:val="en-US" w:eastAsia="zh-CN"/>
        </w:rPr>
        <w:t>5</w:t>
      </w:r>
      <w:r>
        <w:rPr>
          <w:rFonts w:hint="eastAsia" w:ascii="宋体" w:hAnsi="宋体" w:eastAsia="宋体"/>
          <w:b/>
          <w:sz w:val="28"/>
          <w:szCs w:val="28"/>
        </w:rPr>
        <w:t>、评审程序</w:t>
      </w:r>
    </w:p>
    <w:p>
      <w:pPr>
        <w:pStyle w:val="22"/>
        <w:widowControl w:val="0"/>
        <w:adjustRightInd w:val="0"/>
        <w:snapToGrid w:val="0"/>
        <w:spacing w:before="0" w:beforeAutospacing="0" w:after="0" w:afterAutospacing="0" w:line="360" w:lineRule="auto"/>
        <w:ind w:firstLine="480" w:firstLineChars="200"/>
        <w:jc w:val="both"/>
        <w:rPr>
          <w:rFonts w:ascii="Times New Roman" w:hAnsi="Times New Roman"/>
          <w:color w:val="000000"/>
          <w:kern w:val="2"/>
          <w:lang w:bidi="ar"/>
        </w:rPr>
      </w:pPr>
      <w:r>
        <w:rPr>
          <w:rFonts w:hint="eastAsia"/>
        </w:rPr>
        <w:t>2</w:t>
      </w:r>
      <w:r>
        <w:rPr>
          <w:rFonts w:hint="eastAsia"/>
          <w:lang w:val="en-US" w:eastAsia="zh-CN"/>
        </w:rPr>
        <w:t>7</w:t>
      </w:r>
      <w:r>
        <w:rPr>
          <w:rFonts w:hint="eastAsia"/>
        </w:rPr>
        <w:t>.1按照竞争性磋商响应文件初审、澄清有关问题、分别磋商、符合二次报价条件的供应商进行二次报价（所有报价在公示前均不公开宣布）、比较与评</w:t>
      </w:r>
      <w:r>
        <w:rPr>
          <w:rFonts w:hint="eastAsia" w:ascii="Times New Roman" w:hAnsi="Times New Roman"/>
          <w:color w:val="000000"/>
          <w:kern w:val="2"/>
          <w:lang w:bidi="ar"/>
        </w:rPr>
        <w:t>审、推荐成交候选供应商名单的工作程序进行评审。在上一步评审中被认定为无效磋商者，不进入下一步的评审。</w:t>
      </w:r>
    </w:p>
    <w:p>
      <w:pPr>
        <w:pStyle w:val="43"/>
        <w:adjustRightInd w:val="0"/>
        <w:snapToGrid w:val="0"/>
        <w:spacing w:line="360" w:lineRule="auto"/>
        <w:rPr>
          <w:rFonts w:ascii="宋体" w:hAnsi="宋体" w:eastAsia="宋体"/>
          <w:b/>
          <w:sz w:val="28"/>
          <w:szCs w:val="28"/>
        </w:rPr>
      </w:pPr>
      <w:r>
        <w:rPr>
          <w:rFonts w:hint="eastAsia" w:ascii="宋体" w:hAnsi="宋体" w:eastAsia="宋体"/>
          <w:b/>
          <w:sz w:val="28"/>
          <w:szCs w:val="28"/>
          <w:lang w:val="en-US" w:eastAsia="zh-CN"/>
        </w:rPr>
        <w:t>26</w:t>
      </w:r>
      <w:r>
        <w:rPr>
          <w:rFonts w:hint="eastAsia" w:ascii="宋体" w:hAnsi="宋体" w:eastAsia="宋体"/>
          <w:b/>
          <w:sz w:val="28"/>
          <w:szCs w:val="28"/>
        </w:rPr>
        <w:t>、质疑提出与答复</w:t>
      </w:r>
    </w:p>
    <w:p>
      <w:pPr>
        <w:pStyle w:val="22"/>
        <w:adjustRightInd w:val="0"/>
        <w:snapToGrid w:val="0"/>
        <w:spacing w:before="0" w:beforeAutospacing="0" w:after="0" w:afterAutospacing="0" w:line="500" w:lineRule="exact"/>
        <w:ind w:firstLine="360" w:firstLineChars="150"/>
        <w:rPr>
          <w:rFonts w:hint="eastAsia"/>
        </w:rPr>
      </w:pPr>
      <w:r>
        <w:rPr>
          <w:rFonts w:hint="eastAsia"/>
        </w:rPr>
        <w:t>供应商如果认为采购程序、采购过程或中标结果使自身的合法权益受到损害，可以在知道或者应知其权益受到损害之日起7个工作日内，以书面形式向采购代理机构提出。</w:t>
      </w:r>
    </w:p>
    <w:p>
      <w:pPr>
        <w:pStyle w:val="22"/>
        <w:adjustRightInd w:val="0"/>
        <w:snapToGrid w:val="0"/>
        <w:spacing w:before="0" w:beforeAutospacing="0" w:after="0" w:afterAutospacing="0" w:line="500" w:lineRule="exact"/>
        <w:ind w:firstLine="360" w:firstLineChars="150"/>
        <w:rPr>
          <w:rFonts w:hint="eastAsia"/>
        </w:rPr>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pPr>
        <w:pStyle w:val="22"/>
        <w:adjustRightInd w:val="0"/>
        <w:snapToGrid w:val="0"/>
        <w:spacing w:before="0" w:beforeAutospacing="0" w:after="0" w:afterAutospacing="0" w:line="500" w:lineRule="exact"/>
        <w:ind w:firstLine="360" w:firstLineChars="150"/>
        <w:rPr>
          <w:rFonts w:hint="eastAsia"/>
        </w:rPr>
      </w:pPr>
      <w:r>
        <w:rPr>
          <w:rFonts w:hint="eastAsia"/>
        </w:rPr>
        <w:t>《政府采购供应商质疑函范本》链接地址：</w:t>
      </w:r>
    </w:p>
    <w:p>
      <w:pPr>
        <w:pStyle w:val="22"/>
        <w:adjustRightInd w:val="0"/>
        <w:snapToGrid w:val="0"/>
        <w:spacing w:before="0" w:beforeAutospacing="0" w:after="0" w:afterAutospacing="0" w:line="500" w:lineRule="exact"/>
        <w:ind w:firstLine="360" w:firstLineChars="150"/>
        <w:rPr>
          <w:rFonts w:hint="eastAsia"/>
        </w:rPr>
      </w:pPr>
      <w:r>
        <w:rPr>
          <w:rFonts w:hint="eastAsia"/>
        </w:rPr>
        <w:t>http://www.mof.gov.cn/gp/xxgkml/gks/201802/t20180201_2804587.htm</w:t>
      </w:r>
    </w:p>
    <w:p>
      <w:pPr>
        <w:pStyle w:val="22"/>
        <w:adjustRightInd w:val="0"/>
        <w:snapToGrid w:val="0"/>
        <w:spacing w:before="0" w:beforeAutospacing="0" w:after="0" w:afterAutospacing="0" w:line="500" w:lineRule="exact"/>
        <w:ind w:firstLine="360" w:firstLineChars="150"/>
        <w:rPr>
          <w:rFonts w:hint="eastAsia"/>
        </w:rPr>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pPr>
        <w:pStyle w:val="22"/>
        <w:adjustRightInd w:val="0"/>
        <w:snapToGrid w:val="0"/>
        <w:spacing w:before="0" w:beforeAutospacing="0" w:after="0" w:afterAutospacing="0" w:line="500" w:lineRule="exact"/>
        <w:ind w:firstLine="360" w:firstLineChars="150"/>
        <w:rPr>
          <w:rFonts w:hint="eastAsia"/>
        </w:rPr>
      </w:pPr>
      <w:r>
        <w:rPr>
          <w:rFonts w:hint="eastAsia"/>
        </w:rPr>
        <w:t>2.1质疑函应当包括下列内容：</w:t>
      </w:r>
    </w:p>
    <w:p>
      <w:pPr>
        <w:pStyle w:val="22"/>
        <w:adjustRightInd w:val="0"/>
        <w:snapToGrid w:val="0"/>
        <w:spacing w:before="0" w:beforeAutospacing="0" w:after="0" w:afterAutospacing="0" w:line="500" w:lineRule="exact"/>
        <w:ind w:firstLine="360" w:firstLineChars="150"/>
        <w:rPr>
          <w:rFonts w:hint="eastAsia"/>
        </w:rPr>
      </w:pPr>
      <w:r>
        <w:rPr>
          <w:rFonts w:hint="eastAsia"/>
        </w:rPr>
        <w:t>（1）</w:t>
      </w:r>
      <w:r>
        <w:rPr>
          <w:rFonts w:hint="eastAsia"/>
          <w:lang w:val="zh-CN"/>
        </w:rPr>
        <w:t>投标人</w:t>
      </w:r>
      <w:r>
        <w:rPr>
          <w:rFonts w:hint="eastAsia"/>
        </w:rPr>
        <w:t>的姓名或者名称、地址、邮编、联系人及联系电话；</w:t>
      </w:r>
    </w:p>
    <w:p>
      <w:pPr>
        <w:pStyle w:val="22"/>
        <w:adjustRightInd w:val="0"/>
        <w:snapToGrid w:val="0"/>
        <w:spacing w:before="0" w:beforeAutospacing="0" w:after="0" w:afterAutospacing="0" w:line="500" w:lineRule="exact"/>
        <w:ind w:firstLine="360" w:firstLineChars="150"/>
        <w:rPr>
          <w:rFonts w:hint="eastAsia"/>
        </w:rPr>
      </w:pPr>
      <w:r>
        <w:rPr>
          <w:rFonts w:hint="eastAsia"/>
        </w:rPr>
        <w:t>（2）质疑项目的名称、编号；</w:t>
      </w:r>
    </w:p>
    <w:p>
      <w:pPr>
        <w:pStyle w:val="22"/>
        <w:adjustRightInd w:val="0"/>
        <w:snapToGrid w:val="0"/>
        <w:spacing w:before="0" w:beforeAutospacing="0" w:after="0" w:afterAutospacing="0" w:line="500" w:lineRule="exact"/>
        <w:ind w:firstLine="360" w:firstLineChars="150"/>
        <w:rPr>
          <w:rFonts w:hint="eastAsia"/>
        </w:rPr>
      </w:pPr>
      <w:r>
        <w:rPr>
          <w:rFonts w:hint="eastAsia"/>
        </w:rPr>
        <w:t>（3）具体、明确的质疑事项和与质疑事项相关的请求；</w:t>
      </w:r>
    </w:p>
    <w:p>
      <w:pPr>
        <w:pStyle w:val="22"/>
        <w:adjustRightInd w:val="0"/>
        <w:snapToGrid w:val="0"/>
        <w:spacing w:before="0" w:beforeAutospacing="0" w:after="0" w:afterAutospacing="0" w:line="500" w:lineRule="exact"/>
        <w:ind w:firstLine="360" w:firstLineChars="150"/>
        <w:rPr>
          <w:rFonts w:hint="eastAsia"/>
        </w:rPr>
      </w:pPr>
      <w:r>
        <w:rPr>
          <w:rFonts w:hint="eastAsia"/>
        </w:rPr>
        <w:t>（4）事实依据；</w:t>
      </w:r>
    </w:p>
    <w:p>
      <w:pPr>
        <w:pStyle w:val="22"/>
        <w:adjustRightInd w:val="0"/>
        <w:snapToGrid w:val="0"/>
        <w:spacing w:before="0" w:beforeAutospacing="0" w:after="0" w:afterAutospacing="0" w:line="500" w:lineRule="exact"/>
        <w:ind w:firstLine="360" w:firstLineChars="150"/>
        <w:rPr>
          <w:rFonts w:hint="eastAsia"/>
        </w:rPr>
      </w:pPr>
      <w:r>
        <w:rPr>
          <w:rFonts w:hint="eastAsia"/>
        </w:rPr>
        <w:t>（5）必要的法律依据；</w:t>
      </w:r>
    </w:p>
    <w:p>
      <w:pPr>
        <w:pStyle w:val="22"/>
        <w:adjustRightInd w:val="0"/>
        <w:snapToGrid w:val="0"/>
        <w:spacing w:before="0" w:beforeAutospacing="0" w:after="0" w:afterAutospacing="0" w:line="500" w:lineRule="exact"/>
        <w:ind w:firstLine="360" w:firstLineChars="150"/>
        <w:rPr>
          <w:rFonts w:hint="eastAsia"/>
        </w:rPr>
      </w:pPr>
      <w:r>
        <w:rPr>
          <w:rFonts w:hint="eastAsia"/>
        </w:rPr>
        <w:t xml:space="preserve">（6）提出质疑的日期。 </w:t>
      </w:r>
    </w:p>
    <w:p>
      <w:pPr>
        <w:pStyle w:val="22"/>
        <w:adjustRightInd w:val="0"/>
        <w:snapToGrid w:val="0"/>
        <w:spacing w:before="0" w:beforeAutospacing="0" w:after="0" w:afterAutospacing="0" w:line="500" w:lineRule="exact"/>
        <w:ind w:firstLine="360" w:firstLineChars="150"/>
        <w:rPr>
          <w:rFonts w:hint="eastAsia"/>
        </w:rPr>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pPr>
        <w:pStyle w:val="22"/>
        <w:adjustRightInd w:val="0"/>
        <w:snapToGrid w:val="0"/>
        <w:spacing w:before="0" w:beforeAutospacing="0" w:after="0" w:afterAutospacing="0" w:line="500" w:lineRule="exact"/>
        <w:ind w:firstLine="360" w:firstLineChars="150"/>
        <w:rPr>
          <w:rFonts w:hint="eastAsia"/>
        </w:rPr>
      </w:pPr>
      <w:r>
        <w:rPr>
          <w:rFonts w:hint="eastAsia"/>
        </w:rPr>
        <w:t>4、有下列情形之一的，属于无效质疑，采购代理机构和采购人不予受理：</w:t>
      </w:r>
    </w:p>
    <w:p>
      <w:pPr>
        <w:pStyle w:val="22"/>
        <w:adjustRightInd w:val="0"/>
        <w:snapToGrid w:val="0"/>
        <w:spacing w:before="0" w:beforeAutospacing="0" w:after="0" w:afterAutospacing="0" w:line="500" w:lineRule="exact"/>
        <w:ind w:firstLine="360" w:firstLineChars="150"/>
        <w:rPr>
          <w:rFonts w:hint="eastAsia"/>
        </w:rPr>
      </w:pPr>
      <w:r>
        <w:rPr>
          <w:rFonts w:hint="eastAsia"/>
        </w:rPr>
        <w:t>（1）质疑人不是参与本次政府采购项目的供应商或潜在供应商；</w:t>
      </w:r>
    </w:p>
    <w:p>
      <w:pPr>
        <w:pStyle w:val="22"/>
        <w:adjustRightInd w:val="0"/>
        <w:snapToGrid w:val="0"/>
        <w:spacing w:before="0" w:beforeAutospacing="0" w:after="0" w:afterAutospacing="0" w:line="500" w:lineRule="exact"/>
        <w:ind w:firstLine="360" w:firstLineChars="150"/>
        <w:rPr>
          <w:rFonts w:hint="eastAsia"/>
        </w:rPr>
      </w:pPr>
      <w:r>
        <w:rPr>
          <w:rFonts w:hint="eastAsia"/>
        </w:rPr>
        <w:t>（2）质疑人与质疑事项不存在利害关系的；</w:t>
      </w:r>
    </w:p>
    <w:p>
      <w:pPr>
        <w:pStyle w:val="22"/>
        <w:adjustRightInd w:val="0"/>
        <w:snapToGrid w:val="0"/>
        <w:spacing w:before="0" w:beforeAutospacing="0" w:after="0" w:afterAutospacing="0" w:line="500" w:lineRule="exact"/>
        <w:ind w:firstLine="360" w:firstLineChars="150"/>
        <w:rPr>
          <w:rFonts w:hint="eastAsia"/>
        </w:rPr>
      </w:pPr>
      <w:r>
        <w:rPr>
          <w:rFonts w:hint="eastAsia"/>
        </w:rPr>
        <w:t>（3）未在法定期限内提出质疑的；</w:t>
      </w:r>
    </w:p>
    <w:p>
      <w:pPr>
        <w:pStyle w:val="22"/>
        <w:adjustRightInd w:val="0"/>
        <w:snapToGrid w:val="0"/>
        <w:spacing w:before="0" w:beforeAutospacing="0" w:after="0" w:afterAutospacing="0" w:line="500" w:lineRule="exact"/>
        <w:ind w:firstLine="360" w:firstLineChars="150"/>
        <w:rPr>
          <w:rFonts w:hint="eastAsia"/>
        </w:rPr>
      </w:pPr>
      <w:r>
        <w:rPr>
          <w:rFonts w:hint="eastAsia"/>
        </w:rPr>
        <w:t>（4）质疑未以书面形式提出，或质疑函主要内容构成不完整的，或缺乏必要的证明材料及证明材料不完整的；</w:t>
      </w:r>
    </w:p>
    <w:p>
      <w:pPr>
        <w:pStyle w:val="22"/>
        <w:adjustRightInd w:val="0"/>
        <w:snapToGrid w:val="0"/>
        <w:spacing w:before="0" w:beforeAutospacing="0" w:after="0" w:afterAutospacing="0" w:line="500" w:lineRule="exact"/>
        <w:ind w:firstLine="360" w:firstLineChars="150"/>
        <w:rPr>
          <w:rFonts w:hint="eastAsia"/>
        </w:rPr>
      </w:pPr>
      <w:r>
        <w:rPr>
          <w:rFonts w:hint="eastAsia"/>
        </w:rPr>
        <w:t>（5）质疑函没有合法有效的签字、盖章或授权的；</w:t>
      </w:r>
    </w:p>
    <w:p>
      <w:pPr>
        <w:pStyle w:val="22"/>
        <w:adjustRightInd w:val="0"/>
        <w:snapToGrid w:val="0"/>
        <w:spacing w:before="0" w:beforeAutospacing="0" w:after="0" w:afterAutospacing="0" w:line="500" w:lineRule="exact"/>
        <w:ind w:firstLine="360" w:firstLineChars="150"/>
        <w:rPr>
          <w:rFonts w:hint="eastAsia"/>
        </w:rPr>
      </w:pPr>
      <w:r>
        <w:rPr>
          <w:rFonts w:hint="eastAsia"/>
        </w:rPr>
        <w:t>（6）以非法手段取得证据、材料的；</w:t>
      </w:r>
    </w:p>
    <w:p>
      <w:pPr>
        <w:pStyle w:val="22"/>
        <w:adjustRightInd w:val="0"/>
        <w:snapToGrid w:val="0"/>
        <w:spacing w:before="0" w:beforeAutospacing="0" w:after="0" w:afterAutospacing="0" w:line="500" w:lineRule="exact"/>
        <w:ind w:firstLine="360" w:firstLineChars="150"/>
        <w:rPr>
          <w:rFonts w:hint="eastAsia"/>
        </w:rPr>
      </w:pPr>
      <w:r>
        <w:rPr>
          <w:rFonts w:hint="eastAsia"/>
        </w:rPr>
        <w:t>（7）质疑答复后，同一质疑人就同一事项再次提出质疑的；</w:t>
      </w:r>
    </w:p>
    <w:p>
      <w:pPr>
        <w:pStyle w:val="22"/>
        <w:adjustRightInd w:val="0"/>
        <w:snapToGrid w:val="0"/>
        <w:spacing w:before="0" w:beforeAutospacing="0" w:after="0" w:afterAutospacing="0" w:line="500" w:lineRule="exact"/>
        <w:ind w:firstLine="360" w:firstLineChars="150"/>
        <w:rPr>
          <w:rFonts w:hint="eastAsia"/>
        </w:rPr>
      </w:pPr>
      <w:r>
        <w:rPr>
          <w:rFonts w:hint="eastAsia"/>
        </w:rPr>
        <w:t>（8）不符合法律、法规、规章和政府采购监管机构规定的其他条件的。</w:t>
      </w:r>
    </w:p>
    <w:p>
      <w:pPr>
        <w:pStyle w:val="22"/>
        <w:adjustRightInd w:val="0"/>
        <w:snapToGrid w:val="0"/>
        <w:spacing w:before="0" w:beforeAutospacing="0" w:after="0" w:afterAutospacing="0" w:line="500" w:lineRule="exact"/>
        <w:ind w:firstLine="360" w:firstLineChars="150"/>
        <w:rPr>
          <w:rFonts w:hint="eastAsia"/>
        </w:rPr>
      </w:pPr>
      <w:r>
        <w:rPr>
          <w:rFonts w:hint="eastAsia"/>
        </w:rPr>
        <w:t>5、质疑人对采购代理机构或采购人的答复不满意，以及采购代理机构或采购人未在规定时间内做出答复的，可以在答复期满后15个工作日内向政府采购监管机构提出投诉。</w:t>
      </w:r>
    </w:p>
    <w:p>
      <w:pPr>
        <w:pStyle w:val="22"/>
        <w:adjustRightInd w:val="0"/>
        <w:snapToGrid w:val="0"/>
        <w:spacing w:before="0" w:beforeAutospacing="0" w:after="0" w:afterAutospacing="0" w:line="500" w:lineRule="exact"/>
        <w:ind w:firstLine="360" w:firstLineChars="150"/>
        <w:rPr>
          <w:rFonts w:hint="eastAsia"/>
        </w:rPr>
      </w:pPr>
      <w:r>
        <w:rPr>
          <w:rFonts w:hint="eastAsia"/>
        </w:rPr>
        <w:t>6、供应商投诉的事项不得超出已质疑事项的范围。</w:t>
      </w:r>
    </w:p>
    <w:p>
      <w:pPr>
        <w:pStyle w:val="22"/>
        <w:adjustRightInd w:val="0"/>
        <w:snapToGrid w:val="0"/>
        <w:spacing w:before="0" w:beforeAutospacing="0" w:after="0" w:afterAutospacing="0" w:line="500" w:lineRule="exact"/>
        <w:ind w:firstLine="360" w:firstLineChars="150"/>
        <w:rPr>
          <w:rFonts w:hint="eastAsia"/>
        </w:rPr>
      </w:pPr>
      <w:r>
        <w:rPr>
          <w:rFonts w:hint="eastAsia"/>
        </w:rPr>
        <w:t>7、对捏造事实、提供虚假材料进行质疑、投诉的行为予以严肃处理：</w:t>
      </w:r>
    </w:p>
    <w:p>
      <w:pPr>
        <w:pStyle w:val="22"/>
        <w:adjustRightInd w:val="0"/>
        <w:snapToGrid w:val="0"/>
        <w:spacing w:before="0" w:beforeAutospacing="0" w:after="0" w:afterAutospacing="0" w:line="500" w:lineRule="exact"/>
        <w:ind w:firstLine="360" w:firstLineChars="150"/>
        <w:rPr>
          <w:rFonts w:hint="eastAsia"/>
        </w:rPr>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pPr>
        <w:pStyle w:val="22"/>
        <w:adjustRightInd w:val="0"/>
        <w:snapToGrid w:val="0"/>
        <w:spacing w:before="0" w:beforeAutospacing="0" w:after="0" w:afterAutospacing="0" w:line="500" w:lineRule="exact"/>
        <w:ind w:firstLine="360" w:firstLineChars="150"/>
        <w:rPr>
          <w:rFonts w:hint="eastAsia"/>
        </w:rPr>
      </w:pPr>
      <w:r>
        <w:rPr>
          <w:rFonts w:hint="eastAsia"/>
        </w:rPr>
        <w:t>8、对捏造事实诬告陷害他人、诽谤他人的法律适用：</w:t>
      </w:r>
    </w:p>
    <w:p>
      <w:pPr>
        <w:pStyle w:val="22"/>
        <w:adjustRightInd w:val="0"/>
        <w:snapToGrid w:val="0"/>
        <w:spacing w:before="0" w:beforeAutospacing="0" w:after="0" w:afterAutospacing="0" w:line="500" w:lineRule="exact"/>
        <w:ind w:firstLine="360" w:firstLineChars="150"/>
        <w:rPr>
          <w:rFonts w:hint="eastAsia"/>
        </w:rPr>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pPr>
        <w:pStyle w:val="22"/>
        <w:adjustRightInd w:val="0"/>
        <w:snapToGrid w:val="0"/>
        <w:spacing w:before="0" w:beforeAutospacing="0" w:after="0" w:afterAutospacing="0" w:line="500" w:lineRule="exact"/>
        <w:ind w:firstLine="360" w:firstLineChars="150"/>
        <w:rPr>
          <w:rFonts w:hint="eastAsia"/>
        </w:rPr>
      </w:pPr>
      <w:r>
        <w:rPr>
          <w:rFonts w:hint="eastAsia"/>
        </w:rPr>
        <w:t>《中华人民共和国刑法》第246条【侮辱罪、诽谤罪】以暴力或者其他方法公然侮辱他人或者捏造事实诽谤他人，情节严重的，处三年以下有期徒刑、拘役、管制或者剥夺政治权利。</w:t>
      </w:r>
    </w:p>
    <w:p>
      <w:pPr>
        <w:pStyle w:val="22"/>
        <w:numPr>
          <w:ilvl w:val="0"/>
          <w:numId w:val="4"/>
        </w:numPr>
        <w:adjustRightInd w:val="0"/>
        <w:snapToGrid w:val="0"/>
        <w:spacing w:before="0" w:beforeAutospacing="0" w:after="0" w:afterAutospacing="0" w:line="500" w:lineRule="exact"/>
        <w:ind w:firstLine="360" w:firstLineChars="150"/>
        <w:rPr>
          <w:rFonts w:hint="eastAsia" w:ascii="宋体" w:hAnsi="宋体" w:eastAsia="宋体" w:cs="宋体"/>
          <w:color w:val="000000" w:themeColor="text1"/>
          <w:kern w:val="0"/>
          <w:sz w:val="24"/>
          <w:lang w:val="en-US" w:eastAsia="zh-CN" w:bidi="ar-SA"/>
          <w14:textFill>
            <w14:solidFill>
              <w14:schemeClr w14:val="tx1"/>
            </w14:solidFill>
          </w14:textFill>
        </w:rPr>
      </w:pPr>
      <w:r>
        <w:rPr>
          <w:rFonts w:hint="eastAsia"/>
        </w:rPr>
        <w:t>质疑函递交地址：</w:t>
      </w:r>
      <w:r>
        <w:rPr>
          <w:rFonts w:hint="eastAsia" w:ascii="宋体" w:hAnsi="宋体" w:eastAsia="宋体" w:cs="宋体"/>
          <w:color w:val="000000" w:themeColor="text1"/>
          <w:kern w:val="0"/>
          <w:sz w:val="24"/>
          <w:lang w:val="en-US" w:eastAsia="zh-CN" w:bidi="ar-SA"/>
          <w14:textFill>
            <w14:solidFill>
              <w14:schemeClr w14:val="tx1"/>
            </w14:solidFill>
          </w14:textFill>
        </w:rPr>
        <w:t>陕西省榆林市榆林大道南段富源大厦6楼602室</w:t>
      </w:r>
    </w:p>
    <w:p>
      <w:pPr>
        <w:pStyle w:val="22"/>
        <w:numPr>
          <w:ilvl w:val="0"/>
          <w:numId w:val="4"/>
        </w:numPr>
        <w:adjustRightInd w:val="0"/>
        <w:snapToGrid w:val="0"/>
        <w:spacing w:before="0" w:beforeAutospacing="0" w:after="0" w:afterAutospacing="0" w:line="500" w:lineRule="exact"/>
        <w:ind w:firstLine="360" w:firstLineChars="150"/>
        <w:rPr>
          <w:rFonts w:hint="eastAsia" w:ascii="Calibri" w:hAnsi="Calibri"/>
        </w:rPr>
      </w:pPr>
      <w:r>
        <w:rPr>
          <w:rFonts w:hint="eastAsia" w:ascii="Calibri" w:hAnsi="Calibri"/>
        </w:rPr>
        <w:t>联系人：</w:t>
      </w:r>
      <w:r>
        <w:rPr>
          <w:rFonts w:hint="eastAsia" w:ascii="Calibri" w:hAnsi="Calibri"/>
          <w:lang w:val="en-US" w:eastAsia="zh-CN"/>
        </w:rPr>
        <w:t>陕西华旭晟信项目管理有限责任公司</w:t>
      </w:r>
      <w:r>
        <w:rPr>
          <w:rFonts w:hint="eastAsia" w:ascii="Calibri" w:hAnsi="Calibri"/>
        </w:rPr>
        <w:t>（业务部）</w:t>
      </w:r>
    </w:p>
    <w:p>
      <w:pPr>
        <w:pStyle w:val="22"/>
        <w:adjustRightInd w:val="0"/>
        <w:snapToGrid w:val="0"/>
        <w:spacing w:before="0" w:beforeAutospacing="0" w:after="0" w:afterAutospacing="0" w:line="500" w:lineRule="exact"/>
        <w:ind w:firstLine="360" w:firstLineChars="150"/>
        <w:rPr>
          <w:rFonts w:hint="default" w:eastAsia="宋体"/>
          <w:lang w:val="en-US" w:eastAsia="zh-CN"/>
        </w:rPr>
      </w:pPr>
      <w:r>
        <w:rPr>
          <w:rFonts w:hint="eastAsia" w:ascii="Calibri" w:hAnsi="Calibri"/>
        </w:rPr>
        <w:t>联系</w:t>
      </w:r>
      <w:r>
        <w:rPr>
          <w:rFonts w:hint="eastAsia"/>
        </w:rPr>
        <w:t>方式：</w:t>
      </w:r>
      <w:r>
        <w:rPr>
          <w:rFonts w:hint="eastAsia"/>
          <w:lang w:val="en-US" w:eastAsia="zh-CN"/>
        </w:rPr>
        <w:t>17709127880</w:t>
      </w:r>
    </w:p>
    <w:p>
      <w:pPr>
        <w:pStyle w:val="22"/>
        <w:adjustRightInd w:val="0"/>
        <w:snapToGrid w:val="0"/>
        <w:spacing w:before="0" w:beforeAutospacing="0" w:after="0" w:afterAutospacing="0" w:line="360" w:lineRule="auto"/>
        <w:ind w:firstLine="360" w:firstLineChars="150"/>
        <w:rPr>
          <w:rFonts w:ascii="Times New Roman" w:hAnsi="Times New Roman"/>
          <w:color w:val="000000"/>
          <w:kern w:val="2"/>
          <w:lang w:bidi="ar"/>
        </w:rPr>
      </w:pPr>
    </w:p>
    <w:bookmarkEnd w:id="144"/>
    <w:bookmarkEnd w:id="145"/>
    <w:bookmarkEnd w:id="146"/>
    <w:bookmarkEnd w:id="147"/>
    <w:p>
      <w:pPr>
        <w:pStyle w:val="42"/>
        <w:spacing w:line="360" w:lineRule="auto"/>
        <w:ind w:firstLine="562" w:firstLineChars="200"/>
        <w:outlineLvl w:val="2"/>
        <w:rPr>
          <w:rFonts w:asciiTheme="minorEastAsia" w:hAnsiTheme="minorEastAsia" w:eastAsiaTheme="minorEastAsia" w:cstheme="minorEastAsia"/>
          <w:b/>
          <w:szCs w:val="28"/>
        </w:rPr>
      </w:pPr>
      <w:bookmarkStart w:id="149" w:name="_Toc23734"/>
      <w:bookmarkStart w:id="150" w:name="_Toc144974534"/>
      <w:bookmarkStart w:id="151" w:name="_Toc152045566"/>
      <w:bookmarkStart w:id="152" w:name="_Toc22430"/>
      <w:bookmarkStart w:id="153" w:name="_Toc513557033"/>
      <w:bookmarkStart w:id="154" w:name="_Toc510859898"/>
      <w:bookmarkStart w:id="155" w:name="_Toc16908"/>
      <w:bookmarkStart w:id="156" w:name="_Toc32214"/>
      <w:bookmarkStart w:id="157" w:name="_Toc5656"/>
      <w:bookmarkStart w:id="158" w:name="_Toc18105"/>
      <w:bookmarkStart w:id="159" w:name="_Toc152042342"/>
      <w:bookmarkStart w:id="160" w:name="_Toc179632584"/>
      <w:bookmarkStart w:id="161" w:name="_Toc31470"/>
      <w:bookmarkStart w:id="162" w:name="_Toc363119284"/>
      <w:bookmarkStart w:id="163" w:name="_Toc13342"/>
      <w:bookmarkStart w:id="164" w:name="_Toc510859692"/>
      <w:r>
        <w:rPr>
          <w:rFonts w:hint="eastAsia" w:asciiTheme="minorEastAsia" w:hAnsiTheme="minorEastAsia" w:eastAsiaTheme="minorEastAsia" w:cstheme="minorEastAsia"/>
          <w:b/>
          <w:szCs w:val="28"/>
        </w:rPr>
        <w:t>6.合同授予</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pPr>
        <w:pStyle w:val="43"/>
        <w:adjustRightInd w:val="0"/>
        <w:snapToGrid w:val="0"/>
        <w:spacing w:line="360" w:lineRule="auto"/>
        <w:ind w:firstLine="480" w:firstLineChars="200"/>
        <w:rPr>
          <w:rFonts w:asciiTheme="minorEastAsia" w:hAnsiTheme="minorEastAsia" w:eastAsiaTheme="minorEastAsia" w:cstheme="minorEastAsia"/>
          <w:szCs w:val="24"/>
        </w:rPr>
      </w:pPr>
      <w:bookmarkStart w:id="165" w:name="_Toc152045567"/>
      <w:bookmarkStart w:id="166" w:name="_Toc152042343"/>
      <w:bookmarkStart w:id="167" w:name="_Toc144974535"/>
      <w:bookmarkStart w:id="168" w:name="_Toc179632585"/>
    </w:p>
    <w:bookmarkEnd w:id="165"/>
    <w:bookmarkEnd w:id="166"/>
    <w:bookmarkEnd w:id="167"/>
    <w:bookmarkEnd w:id="168"/>
    <w:p>
      <w:pPr>
        <w:pStyle w:val="43"/>
        <w:adjustRightInd w:val="0"/>
        <w:snapToGrid w:val="0"/>
        <w:spacing w:line="360" w:lineRule="auto"/>
        <w:rPr>
          <w:rFonts w:ascii="宋体" w:hAnsi="宋体" w:eastAsia="宋体"/>
          <w:b/>
          <w:sz w:val="28"/>
          <w:szCs w:val="28"/>
        </w:rPr>
      </w:pPr>
      <w:bookmarkStart w:id="169" w:name="_Toc152045568"/>
      <w:bookmarkStart w:id="170" w:name="_Toc152042344"/>
      <w:bookmarkStart w:id="171" w:name="_Toc179632586"/>
      <w:bookmarkStart w:id="172" w:name="_Toc144974536"/>
      <w:r>
        <w:rPr>
          <w:rFonts w:hint="eastAsia" w:ascii="宋体" w:hAnsi="宋体" w:eastAsia="宋体"/>
          <w:b/>
          <w:sz w:val="28"/>
          <w:szCs w:val="28"/>
          <w:lang w:val="en-US" w:eastAsia="zh-CN"/>
        </w:rPr>
        <w:t>27</w:t>
      </w:r>
      <w:r>
        <w:rPr>
          <w:rFonts w:hint="eastAsia" w:ascii="宋体" w:hAnsi="宋体" w:eastAsia="宋体"/>
          <w:b/>
          <w:sz w:val="28"/>
          <w:szCs w:val="28"/>
        </w:rPr>
        <w:t>、</w:t>
      </w:r>
      <w:r>
        <w:rPr>
          <w:rFonts w:hint="eastAsia" w:ascii="宋体" w:hAnsi="宋体" w:eastAsia="宋体"/>
          <w:b/>
          <w:sz w:val="28"/>
          <w:szCs w:val="28"/>
          <w:lang w:eastAsia="zh-CN"/>
        </w:rPr>
        <w:t>成交</w:t>
      </w:r>
      <w:r>
        <w:rPr>
          <w:rFonts w:hint="eastAsia" w:ascii="宋体" w:hAnsi="宋体" w:eastAsia="宋体"/>
          <w:b/>
          <w:sz w:val="28"/>
          <w:szCs w:val="28"/>
        </w:rPr>
        <w:t>通知</w:t>
      </w:r>
      <w:bookmarkEnd w:id="169"/>
      <w:bookmarkEnd w:id="170"/>
      <w:bookmarkEnd w:id="171"/>
      <w:bookmarkEnd w:id="172"/>
      <w:r>
        <w:rPr>
          <w:rFonts w:hint="eastAsia" w:ascii="宋体" w:hAnsi="宋体" w:eastAsia="宋体"/>
          <w:b/>
          <w:sz w:val="28"/>
          <w:szCs w:val="28"/>
        </w:rPr>
        <w:t>书</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27</w:t>
      </w:r>
      <w:r>
        <w:rPr>
          <w:rFonts w:hint="eastAsia" w:asciiTheme="minorEastAsia" w:hAnsiTheme="minorEastAsia" w:eastAsiaTheme="minorEastAsia" w:cstheme="minorEastAsia"/>
          <w:sz w:val="24"/>
          <w:szCs w:val="24"/>
        </w:rPr>
        <w:t>.1在本章规定的磋商有效期内，</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将对成交供应商公示，公示期为1日。</w:t>
      </w:r>
    </w:p>
    <w:p>
      <w:pPr>
        <w:adjustRightInd w:val="0"/>
        <w:snapToGrid w:val="0"/>
        <w:spacing w:line="360" w:lineRule="auto"/>
        <w:ind w:firstLine="480" w:firstLineChars="200"/>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27</w:t>
      </w:r>
      <w:r>
        <w:rPr>
          <w:rFonts w:hint="eastAsia" w:asciiTheme="minorEastAsia" w:hAnsiTheme="minorEastAsia" w:eastAsiaTheme="minorEastAsia" w:cstheme="minorEastAsia"/>
          <w:sz w:val="24"/>
          <w:szCs w:val="24"/>
        </w:rPr>
        <w:t>.2在公示期内，未接到供应商对评审结果提出异议或未接到行政监督部门通知</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在招磋商活动中有违法行为时，公示期满后，</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将向成交供应商发出</w:t>
      </w:r>
      <w:r>
        <w:rPr>
          <w:rFonts w:hint="eastAsia" w:asciiTheme="minorEastAsia" w:hAnsiTheme="minorEastAsia" w:eastAsiaTheme="minorEastAsia" w:cstheme="minorEastAsia"/>
          <w:sz w:val="24"/>
          <w:szCs w:val="24"/>
          <w:lang w:eastAsia="zh-CN"/>
        </w:rPr>
        <w:t>成交</w:t>
      </w:r>
      <w:r>
        <w:rPr>
          <w:rFonts w:hint="eastAsia" w:asciiTheme="minorEastAsia" w:hAnsiTheme="minorEastAsia" w:eastAsiaTheme="minorEastAsia" w:cstheme="minorEastAsia"/>
          <w:sz w:val="24"/>
          <w:szCs w:val="24"/>
        </w:rPr>
        <w:t>通知书。</w:t>
      </w:r>
    </w:p>
    <w:p>
      <w:pPr>
        <w:pStyle w:val="43"/>
        <w:adjustRightInd w:val="0"/>
        <w:snapToGrid w:val="0"/>
        <w:spacing w:line="360" w:lineRule="auto"/>
        <w:rPr>
          <w:rFonts w:ascii="宋体" w:hAnsi="宋体" w:eastAsia="宋体"/>
          <w:b/>
          <w:sz w:val="28"/>
          <w:szCs w:val="28"/>
        </w:rPr>
      </w:pPr>
      <w:bookmarkStart w:id="173" w:name="_Toc144974538"/>
      <w:bookmarkStart w:id="174" w:name="_Toc152042346"/>
      <w:bookmarkStart w:id="175" w:name="_Toc152045570"/>
      <w:bookmarkStart w:id="176" w:name="_Toc179632588"/>
      <w:r>
        <w:rPr>
          <w:rFonts w:hint="eastAsia" w:ascii="宋体" w:hAnsi="宋体" w:eastAsia="宋体"/>
          <w:b/>
          <w:sz w:val="28"/>
          <w:szCs w:val="28"/>
          <w:lang w:val="en-US" w:eastAsia="zh-CN"/>
        </w:rPr>
        <w:t>28</w:t>
      </w:r>
      <w:r>
        <w:rPr>
          <w:rFonts w:hint="eastAsia" w:ascii="宋体" w:hAnsi="宋体" w:eastAsia="宋体"/>
          <w:b/>
          <w:sz w:val="28"/>
          <w:szCs w:val="28"/>
        </w:rPr>
        <w:t>、签订合同</w:t>
      </w:r>
      <w:bookmarkEnd w:id="173"/>
      <w:bookmarkEnd w:id="174"/>
      <w:bookmarkEnd w:id="175"/>
      <w:bookmarkEnd w:id="176"/>
    </w:p>
    <w:p>
      <w:pPr>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cstheme="minorEastAsia"/>
          <w:sz w:val="24"/>
          <w:szCs w:val="24"/>
          <w:lang w:val="en-US" w:eastAsia="zh-CN"/>
        </w:rPr>
        <w:t>28</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和成交供应商应当自成交通知书发出之日起</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日内，根据竞争性磋商文件和成交供应商的竞争性磋商响应文件订立书面合同，</w:t>
      </w:r>
      <w:r>
        <w:rPr>
          <w:rFonts w:hint="eastAsia" w:ascii="宋体" w:hAnsi="宋体" w:cs="宋体" w:eastAsiaTheme="minorEastAsia"/>
          <w:sz w:val="24"/>
          <w:szCs w:val="24"/>
          <w:lang w:eastAsia="zh-CN"/>
        </w:rPr>
        <w:t>采购人</w:t>
      </w:r>
      <w:r>
        <w:rPr>
          <w:rFonts w:hint="eastAsia" w:ascii="宋体" w:hAnsi="宋体" w:cs="宋体"/>
          <w:sz w:val="24"/>
          <w:szCs w:val="24"/>
        </w:rPr>
        <w:t>和成交供应商不得再行订立背离合同实质性内容的其他协议。</w:t>
      </w:r>
    </w:p>
    <w:p>
      <w:pPr>
        <w:adjustRightInd w:val="0"/>
        <w:snapToGrid w:val="0"/>
        <w:spacing w:line="360" w:lineRule="auto"/>
        <w:ind w:firstLine="480" w:firstLineChars="200"/>
        <w:outlineLvl w:val="2"/>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28</w:t>
      </w:r>
      <w:r>
        <w:rPr>
          <w:rFonts w:hint="eastAsia" w:asciiTheme="minorEastAsia" w:hAnsiTheme="minorEastAsia" w:eastAsiaTheme="minorEastAsia" w:cstheme="minorEastAsia"/>
          <w:color w:val="auto"/>
          <w:sz w:val="24"/>
          <w:szCs w:val="24"/>
        </w:rPr>
        <w:t>.2成交供应商无正当理由拒签合同的，</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取消其成交资格，</w:t>
      </w:r>
      <w:r>
        <w:rPr>
          <w:rFonts w:hint="eastAsia" w:asciiTheme="minorEastAsia" w:hAnsiTheme="minorEastAsia" w:eastAsiaTheme="minorEastAsia" w:cstheme="minorEastAsia"/>
          <w:color w:val="auto"/>
          <w:sz w:val="24"/>
          <w:szCs w:val="24"/>
          <w:lang w:val="en-US" w:eastAsia="zh-CN"/>
        </w:rPr>
        <w:t>并根据投标信用承诺书有关规定执行</w:t>
      </w:r>
      <w:r>
        <w:rPr>
          <w:rFonts w:hint="eastAsia" w:asciiTheme="minorEastAsia" w:hAnsiTheme="minorEastAsia" w:eastAsiaTheme="minorEastAsia" w:cstheme="minorEastAsia"/>
          <w:color w:val="auto"/>
          <w:sz w:val="24"/>
          <w:szCs w:val="24"/>
        </w:rPr>
        <w:t>；给</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 xml:space="preserve">造成的损失的，成交供应商还应当对予以赔偿。 </w:t>
      </w:r>
    </w:p>
    <w:p>
      <w:pPr>
        <w:spacing w:line="360" w:lineRule="auto"/>
        <w:ind w:left="599" w:leftChars="228" w:hanging="120" w:hangingChars="50"/>
        <w:rPr>
          <w:rFonts w:ascii="宋体" w:hAnsi="宋体" w:cs="宋体"/>
          <w:sz w:val="24"/>
          <w:szCs w:val="24"/>
        </w:rPr>
      </w:pPr>
      <w:r>
        <w:rPr>
          <w:rFonts w:hint="eastAsia" w:ascii="宋体" w:hAnsi="宋体" w:cs="宋体"/>
          <w:sz w:val="24"/>
          <w:szCs w:val="24"/>
          <w:lang w:val="en-US" w:eastAsia="zh-CN"/>
        </w:rPr>
        <w:t>28</w:t>
      </w: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成交供应商应当按照合同约定履行义务，完成成交项目，不得将成交项目</w:t>
      </w:r>
    </w:p>
    <w:p>
      <w:pPr>
        <w:spacing w:line="360" w:lineRule="auto"/>
        <w:rPr>
          <w:color w:val="FF0000"/>
        </w:rPr>
      </w:pPr>
      <w:r>
        <w:rPr>
          <w:rFonts w:hint="eastAsia" w:ascii="宋体" w:hAnsi="宋体" w:cs="宋体"/>
          <w:sz w:val="24"/>
          <w:szCs w:val="24"/>
        </w:rPr>
        <w:t>转让（转包）给他人。</w:t>
      </w:r>
    </w:p>
    <w:p>
      <w:pPr>
        <w:pStyle w:val="42"/>
        <w:spacing w:line="360" w:lineRule="auto"/>
        <w:ind w:firstLine="562" w:firstLineChars="200"/>
        <w:outlineLvl w:val="2"/>
        <w:rPr>
          <w:rFonts w:asciiTheme="minorEastAsia" w:hAnsiTheme="minorEastAsia" w:eastAsiaTheme="minorEastAsia" w:cstheme="minorEastAsia"/>
          <w:b/>
          <w:color w:val="000000" w:themeColor="text1"/>
          <w:szCs w:val="28"/>
          <w14:textFill>
            <w14:solidFill>
              <w14:schemeClr w14:val="tx1"/>
            </w14:solidFill>
          </w14:textFill>
        </w:rPr>
      </w:pPr>
      <w:bookmarkStart w:id="177" w:name="_Toc30718"/>
      <w:bookmarkStart w:id="178" w:name="_Toc363119285"/>
      <w:bookmarkStart w:id="179" w:name="_Toc23799"/>
      <w:bookmarkStart w:id="180" w:name="_Toc152042347"/>
      <w:bookmarkStart w:id="181" w:name="_Toc144974539"/>
      <w:bookmarkStart w:id="182" w:name="_Toc27207"/>
      <w:bookmarkStart w:id="183" w:name="_Toc179632589"/>
      <w:bookmarkStart w:id="184" w:name="_Toc513557034"/>
      <w:bookmarkStart w:id="185" w:name="_Toc510859899"/>
      <w:bookmarkStart w:id="186" w:name="_Toc152045571"/>
      <w:bookmarkStart w:id="187" w:name="_Toc17135"/>
      <w:bookmarkStart w:id="188" w:name="_Toc8386"/>
      <w:bookmarkStart w:id="189" w:name="_Toc16241"/>
      <w:bookmarkStart w:id="190" w:name="_Toc28337"/>
      <w:bookmarkStart w:id="191" w:name="_Toc27160"/>
      <w:bookmarkStart w:id="192" w:name="_Toc510859693"/>
      <w:r>
        <w:rPr>
          <w:rFonts w:hint="eastAsia" w:asciiTheme="minorEastAsia" w:hAnsiTheme="minorEastAsia" w:eastAsiaTheme="minorEastAsia" w:cstheme="minorEastAsia"/>
          <w:b/>
          <w:color w:val="000000" w:themeColor="text1"/>
          <w:szCs w:val="28"/>
          <w14:textFill>
            <w14:solidFill>
              <w14:schemeClr w14:val="tx1"/>
            </w14:solidFill>
          </w14:textFill>
        </w:rPr>
        <w:t>7. 重新采购</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193" w:name="_Toc152042348"/>
      <w:bookmarkStart w:id="194" w:name="_Toc179632590"/>
      <w:bookmarkStart w:id="195" w:name="_Toc152045572"/>
      <w:bookmarkStart w:id="196" w:name="_Toc144974540"/>
      <w:r>
        <w:rPr>
          <w:rFonts w:hint="eastAsia" w:ascii="宋体" w:hAnsi="宋体" w:eastAsia="宋体"/>
          <w:b/>
          <w:color w:val="000000" w:themeColor="text1"/>
          <w:sz w:val="28"/>
          <w:szCs w:val="28"/>
          <w:lang w:val="en-US" w:eastAsia="zh-CN"/>
          <w14:textFill>
            <w14:solidFill>
              <w14:schemeClr w14:val="tx1"/>
            </w14:solidFill>
          </w14:textFill>
        </w:rPr>
        <w:t>29</w:t>
      </w:r>
      <w:r>
        <w:rPr>
          <w:rFonts w:hint="eastAsia" w:ascii="宋体" w:hAnsi="宋体" w:eastAsia="宋体"/>
          <w:b/>
          <w:color w:val="000000" w:themeColor="text1"/>
          <w:sz w:val="28"/>
          <w:szCs w:val="28"/>
          <w14:textFill>
            <w14:solidFill>
              <w14:schemeClr w14:val="tx1"/>
            </w14:solidFill>
          </w14:textFill>
        </w:rPr>
        <w:t>、重新采购</w:t>
      </w:r>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hint="eastAsia" w:ascii="宋体" w:hAnsi="宋体" w:eastAsia="宋体" w:cs="宋体"/>
          <w:sz w:val="24"/>
          <w:szCs w:val="24"/>
        </w:rPr>
      </w:pPr>
      <w:bookmarkStart w:id="197" w:name="_Toc152042350"/>
      <w:bookmarkStart w:id="198" w:name="_Toc29516"/>
      <w:bookmarkStart w:id="199" w:name="_Toc152045574"/>
      <w:bookmarkStart w:id="200" w:name="_Toc6327"/>
      <w:bookmarkStart w:id="201" w:name="_Toc513557035"/>
      <w:bookmarkStart w:id="202" w:name="_Toc510859694"/>
      <w:bookmarkStart w:id="203" w:name="_Toc363119286"/>
      <w:bookmarkStart w:id="204" w:name="_Toc16351"/>
      <w:bookmarkStart w:id="205" w:name="_Toc510859900"/>
      <w:bookmarkStart w:id="206" w:name="_Toc144974542"/>
      <w:bookmarkStart w:id="207" w:name="_Toc9642"/>
      <w:bookmarkStart w:id="208" w:name="_Toc179632592"/>
      <w:r>
        <w:rPr>
          <w:rFonts w:hint="eastAsia" w:ascii="宋体" w:hAnsi="宋体" w:cs="宋体"/>
          <w:sz w:val="24"/>
          <w:szCs w:val="24"/>
          <w:lang w:val="en-US" w:eastAsia="zh-CN"/>
        </w:rPr>
        <w:t>29.1</w:t>
      </w:r>
      <w:r>
        <w:rPr>
          <w:rFonts w:hint="eastAsia" w:ascii="宋体" w:hAnsi="宋体" w:eastAsia="宋体" w:cs="宋体"/>
          <w:sz w:val="24"/>
          <w:szCs w:val="24"/>
        </w:rPr>
        <w:t>磋商开始后，出现下列情形之一的，采购代理机构将终止竞争性磋商采购活动，发布项目终止公告并说明原因，重新开展采购活动：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（一）因情况变化，不再符合规定的竞争性磋商采购方式适用情形的；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（二）出现影响采购公正的违法、违规行为的；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（三）在采购过程中符合要求的供应商不足3家的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（四）报价未超过采购预算的供应商不足3家的。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cs="宋体"/>
          <w:sz w:val="24"/>
          <w:szCs w:val="24"/>
          <w:lang w:val="en-US" w:eastAsia="zh-CN"/>
        </w:rPr>
        <w:t>29</w:t>
      </w:r>
      <w:r>
        <w:rPr>
          <w:rFonts w:hint="eastAsia" w:ascii="宋体" w:hAnsi="宋体" w:eastAsia="宋体" w:cs="宋体"/>
          <w:sz w:val="24"/>
          <w:szCs w:val="24"/>
          <w:lang w:val="en-US" w:eastAsia="zh-CN"/>
        </w:rPr>
        <w:t>.2</w:t>
      </w:r>
      <w:r>
        <w:rPr>
          <w:rFonts w:hint="eastAsia" w:ascii="宋体" w:hAnsi="宋体" w:eastAsia="宋体" w:cs="宋体"/>
          <w:sz w:val="24"/>
          <w:szCs w:val="24"/>
        </w:rPr>
        <w:t>提交最后报价的供应商为2家时，可以继续进行磋商的情形：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（一）市场竞争不充分的科研项目，以及需要扶持的科技成果转化项目；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1"/>
        <w:rPr>
          <w:rFonts w:hint="eastAsia" w:ascii="宋体" w:hAnsi="宋体" w:eastAsia="宋体" w:cs="宋体"/>
          <w:sz w:val="24"/>
          <w:szCs w:val="24"/>
        </w:rPr>
      </w:pPr>
      <w:bookmarkStart w:id="209" w:name="_Toc21530"/>
      <w:r>
        <w:rPr>
          <w:rFonts w:hint="eastAsia" w:ascii="宋体" w:hAnsi="宋体" w:eastAsia="宋体" w:cs="宋体"/>
          <w:sz w:val="24"/>
          <w:szCs w:val="24"/>
        </w:rPr>
        <w:t>（二）政府购买服务项目（含政府和社会资本项目）。</w:t>
      </w:r>
      <w:bookmarkEnd w:id="209"/>
    </w:p>
    <w:p>
      <w:pPr>
        <w:pStyle w:val="42"/>
        <w:spacing w:line="360" w:lineRule="auto"/>
        <w:ind w:firstLine="562" w:firstLineChars="200"/>
        <w:outlineLvl w:val="2"/>
        <w:rPr>
          <w:rFonts w:asciiTheme="minorEastAsia" w:hAnsiTheme="minorEastAsia" w:eastAsiaTheme="minorEastAsia" w:cstheme="minorEastAsia"/>
          <w:b/>
          <w:szCs w:val="28"/>
        </w:rPr>
      </w:pPr>
      <w:bookmarkStart w:id="210" w:name="_Toc29962"/>
      <w:bookmarkStart w:id="211" w:name="_Toc179"/>
      <w:bookmarkStart w:id="212" w:name="_Toc31841"/>
      <w:bookmarkStart w:id="213" w:name="_Toc15443"/>
      <w:r>
        <w:rPr>
          <w:rFonts w:hint="eastAsia" w:asciiTheme="minorEastAsia" w:hAnsiTheme="minorEastAsia" w:eastAsiaTheme="minorEastAsia" w:cstheme="minorEastAsia"/>
          <w:b/>
          <w:szCs w:val="28"/>
        </w:rPr>
        <w:t>8. 纪律和监督</w:t>
      </w:r>
      <w:bookmarkEnd w:id="197"/>
      <w:bookmarkEnd w:id="198"/>
      <w:bookmarkEnd w:id="199"/>
      <w:bookmarkEnd w:id="200"/>
      <w:bookmarkEnd w:id="201"/>
      <w:bookmarkEnd w:id="202"/>
      <w:bookmarkEnd w:id="203"/>
      <w:bookmarkEnd w:id="204"/>
      <w:bookmarkEnd w:id="205"/>
      <w:bookmarkEnd w:id="206"/>
      <w:bookmarkEnd w:id="207"/>
      <w:bookmarkEnd w:id="208"/>
      <w:bookmarkEnd w:id="210"/>
      <w:bookmarkEnd w:id="211"/>
      <w:bookmarkEnd w:id="212"/>
      <w:bookmarkEnd w:id="213"/>
    </w:p>
    <w:p>
      <w:pPr>
        <w:pStyle w:val="43"/>
        <w:adjustRightInd w:val="0"/>
        <w:snapToGrid w:val="0"/>
        <w:spacing w:line="360" w:lineRule="auto"/>
        <w:rPr>
          <w:rFonts w:ascii="宋体" w:hAnsi="宋体" w:eastAsia="宋体"/>
          <w:b/>
          <w:sz w:val="28"/>
          <w:szCs w:val="28"/>
        </w:rPr>
      </w:pPr>
      <w:bookmarkStart w:id="214" w:name="_Toc179632593"/>
      <w:bookmarkStart w:id="215" w:name="_Toc144974543"/>
      <w:bookmarkStart w:id="216" w:name="_Toc152042351"/>
      <w:bookmarkStart w:id="217" w:name="_Toc152045575"/>
      <w:r>
        <w:rPr>
          <w:rFonts w:hint="eastAsia" w:ascii="宋体" w:hAnsi="宋体" w:eastAsia="宋体"/>
          <w:b/>
          <w:sz w:val="28"/>
          <w:szCs w:val="28"/>
          <w:lang w:val="en-US" w:eastAsia="zh-CN"/>
        </w:rPr>
        <w:t>30</w:t>
      </w:r>
      <w:r>
        <w:rPr>
          <w:rFonts w:hint="eastAsia" w:ascii="宋体" w:hAnsi="宋体" w:eastAsia="宋体"/>
          <w:b/>
          <w:sz w:val="28"/>
          <w:szCs w:val="28"/>
        </w:rPr>
        <w:t>、对</w:t>
      </w:r>
      <w:r>
        <w:rPr>
          <w:rFonts w:hint="eastAsia" w:ascii="宋体" w:hAnsi="宋体" w:eastAsia="宋体"/>
          <w:b/>
          <w:sz w:val="28"/>
          <w:szCs w:val="28"/>
          <w:lang w:eastAsia="zh-CN"/>
        </w:rPr>
        <w:t>采购人</w:t>
      </w:r>
      <w:r>
        <w:rPr>
          <w:rFonts w:hint="eastAsia" w:ascii="宋体" w:hAnsi="宋体" w:eastAsia="宋体"/>
          <w:b/>
          <w:sz w:val="28"/>
          <w:szCs w:val="28"/>
        </w:rPr>
        <w:t>的纪律要求</w:t>
      </w:r>
      <w:bookmarkEnd w:id="214"/>
      <w:bookmarkEnd w:id="215"/>
      <w:bookmarkEnd w:id="216"/>
      <w:bookmarkEnd w:id="217"/>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不得泄漏招标投标活动中应当保密的情况和资料，不得与供应商串通损害国家利益、社会公共利益或者他人合法权益。</w:t>
      </w:r>
    </w:p>
    <w:p>
      <w:pPr>
        <w:pStyle w:val="43"/>
        <w:adjustRightInd w:val="0"/>
        <w:snapToGrid w:val="0"/>
        <w:spacing w:line="360" w:lineRule="auto"/>
        <w:rPr>
          <w:rFonts w:ascii="宋体" w:hAnsi="宋体" w:eastAsia="宋体"/>
          <w:b/>
          <w:sz w:val="28"/>
          <w:szCs w:val="28"/>
        </w:rPr>
      </w:pPr>
      <w:bookmarkStart w:id="218" w:name="_Toc179632594"/>
      <w:bookmarkStart w:id="219" w:name="_Toc152042352"/>
      <w:bookmarkStart w:id="220" w:name="_Toc144974544"/>
      <w:bookmarkStart w:id="221" w:name="_Toc152045576"/>
      <w:r>
        <w:rPr>
          <w:rFonts w:hint="eastAsia" w:ascii="宋体" w:hAnsi="宋体" w:eastAsia="宋体"/>
          <w:b/>
          <w:sz w:val="28"/>
          <w:szCs w:val="28"/>
          <w:lang w:val="en-US" w:eastAsia="zh-CN"/>
        </w:rPr>
        <w:t>31</w:t>
      </w:r>
      <w:r>
        <w:rPr>
          <w:rFonts w:hint="eastAsia" w:ascii="宋体" w:hAnsi="宋体" w:eastAsia="宋体"/>
          <w:b/>
          <w:sz w:val="28"/>
          <w:szCs w:val="28"/>
        </w:rPr>
        <w:t>、对供应商的纪律要求</w:t>
      </w:r>
      <w:bookmarkEnd w:id="218"/>
      <w:bookmarkEnd w:id="219"/>
      <w:bookmarkEnd w:id="220"/>
      <w:bookmarkEnd w:id="221"/>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供应商不得相互串通磋商或者与</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串通磋商，不得向</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或者磋商小组成员行贿谋取成交，不得以他人名义磋商或者以其他方式弄虚作假骗取成交；供应商不得以任何方式干扰、影响评审工作。</w:t>
      </w:r>
    </w:p>
    <w:p>
      <w:pPr>
        <w:pStyle w:val="43"/>
        <w:adjustRightInd w:val="0"/>
        <w:snapToGrid w:val="0"/>
        <w:spacing w:line="360" w:lineRule="auto"/>
        <w:rPr>
          <w:rFonts w:ascii="宋体" w:hAnsi="宋体" w:eastAsia="宋体"/>
          <w:b/>
          <w:sz w:val="28"/>
          <w:szCs w:val="28"/>
        </w:rPr>
      </w:pPr>
      <w:bookmarkStart w:id="222" w:name="_Toc144974545"/>
      <w:bookmarkStart w:id="223" w:name="_Toc152045577"/>
      <w:bookmarkStart w:id="224" w:name="_Toc152042353"/>
      <w:bookmarkStart w:id="225" w:name="_Toc179632595"/>
      <w:r>
        <w:rPr>
          <w:rFonts w:hint="eastAsia" w:ascii="宋体" w:hAnsi="宋体" w:eastAsia="宋体"/>
          <w:b/>
          <w:sz w:val="28"/>
          <w:szCs w:val="28"/>
          <w:lang w:val="en-US" w:eastAsia="zh-CN"/>
        </w:rPr>
        <w:t>32</w:t>
      </w:r>
      <w:r>
        <w:rPr>
          <w:rFonts w:hint="eastAsia" w:ascii="宋体" w:hAnsi="宋体" w:eastAsia="宋体"/>
          <w:b/>
          <w:sz w:val="28"/>
          <w:szCs w:val="28"/>
        </w:rPr>
        <w:t>、对磋商小组成员的纪律要求</w:t>
      </w:r>
      <w:bookmarkEnd w:id="222"/>
      <w:bookmarkEnd w:id="223"/>
      <w:bookmarkEnd w:id="224"/>
      <w:bookmarkEnd w:id="225"/>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pPr>
        <w:pStyle w:val="43"/>
        <w:adjustRightInd w:val="0"/>
        <w:snapToGrid w:val="0"/>
        <w:spacing w:line="360" w:lineRule="auto"/>
        <w:rPr>
          <w:rFonts w:ascii="宋体" w:hAnsi="宋体" w:eastAsia="宋体"/>
          <w:b/>
          <w:sz w:val="28"/>
          <w:szCs w:val="28"/>
        </w:rPr>
      </w:pPr>
      <w:bookmarkStart w:id="226" w:name="_Toc152045578"/>
      <w:bookmarkStart w:id="227" w:name="_Toc152042354"/>
      <w:bookmarkStart w:id="228" w:name="_Toc179632596"/>
      <w:bookmarkStart w:id="229" w:name="_Toc144974546"/>
      <w:r>
        <w:rPr>
          <w:rFonts w:hint="eastAsia" w:ascii="宋体" w:hAnsi="宋体" w:eastAsia="宋体"/>
          <w:b/>
          <w:sz w:val="28"/>
          <w:szCs w:val="28"/>
          <w:lang w:val="en-US" w:eastAsia="zh-CN"/>
        </w:rPr>
        <w:t>33</w:t>
      </w:r>
      <w:r>
        <w:rPr>
          <w:rFonts w:hint="eastAsia" w:ascii="宋体" w:hAnsi="宋体" w:eastAsia="宋体"/>
          <w:b/>
          <w:sz w:val="28"/>
          <w:szCs w:val="28"/>
        </w:rPr>
        <w:t>、 对与评审活动有关的工作人员的纪律要求</w:t>
      </w:r>
      <w:bookmarkEnd w:id="226"/>
      <w:bookmarkEnd w:id="227"/>
      <w:bookmarkEnd w:id="228"/>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bookmarkStart w:id="230" w:name="_Toc152042355"/>
      <w:r>
        <w:rPr>
          <w:rFonts w:hint="eastAsia" w:asciiTheme="minorEastAsia" w:hAnsiTheme="minorEastAsia" w:eastAsiaTheme="minorEastAsia" w:cstheme="minorEastAsia"/>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30"/>
    </w:p>
    <w:p>
      <w:pPr>
        <w:pStyle w:val="43"/>
        <w:adjustRightInd w:val="0"/>
        <w:snapToGrid w:val="0"/>
        <w:spacing w:line="360" w:lineRule="auto"/>
        <w:rPr>
          <w:rFonts w:ascii="宋体" w:hAnsi="宋体" w:eastAsia="宋体"/>
          <w:b/>
          <w:sz w:val="28"/>
          <w:szCs w:val="28"/>
        </w:rPr>
      </w:pPr>
      <w:bookmarkStart w:id="231" w:name="_Toc152045579"/>
      <w:bookmarkStart w:id="232" w:name="_Toc152042356"/>
      <w:bookmarkStart w:id="233" w:name="_Toc179632597"/>
      <w:r>
        <w:rPr>
          <w:rFonts w:hint="eastAsia" w:ascii="宋体" w:hAnsi="宋体" w:eastAsia="宋体"/>
          <w:b/>
          <w:sz w:val="28"/>
          <w:szCs w:val="28"/>
        </w:rPr>
        <w:t>3</w:t>
      </w:r>
      <w:r>
        <w:rPr>
          <w:rFonts w:hint="eastAsia" w:ascii="宋体" w:hAnsi="宋体" w:eastAsia="宋体"/>
          <w:b/>
          <w:sz w:val="28"/>
          <w:szCs w:val="28"/>
          <w:lang w:val="en-US" w:eastAsia="zh-CN"/>
        </w:rPr>
        <w:t>4</w:t>
      </w:r>
      <w:r>
        <w:rPr>
          <w:rFonts w:hint="eastAsia" w:ascii="宋体" w:hAnsi="宋体" w:eastAsia="宋体"/>
          <w:b/>
          <w:sz w:val="28"/>
          <w:szCs w:val="28"/>
        </w:rPr>
        <w:t>、 投诉</w:t>
      </w:r>
      <w:bookmarkEnd w:id="229"/>
      <w:bookmarkEnd w:id="231"/>
      <w:bookmarkEnd w:id="232"/>
      <w:bookmarkEnd w:id="233"/>
    </w:p>
    <w:p>
      <w:pPr>
        <w:adjustRightInd w:val="0"/>
        <w:snapToGrid w:val="0"/>
        <w:spacing w:line="360" w:lineRule="auto"/>
        <w:ind w:firstLine="480" w:firstLineChars="200"/>
        <w:outlineLvl w:val="2"/>
        <w:rPr>
          <w:rFonts w:ascii="宋体" w:hAnsi="宋体"/>
          <w:bCs/>
          <w:kern w:val="44"/>
          <w:szCs w:val="44"/>
        </w:rPr>
      </w:pPr>
      <w:r>
        <w:rPr>
          <w:rFonts w:hint="eastAsia" w:asciiTheme="minorEastAsia" w:hAnsiTheme="minorEastAsia" w:eastAsiaTheme="minorEastAsia" w:cstheme="minorEastAsia"/>
          <w:sz w:val="24"/>
          <w:szCs w:val="24"/>
        </w:rPr>
        <w:t>供应商和其他利害关系人认为本次招标活动违反法律、法规和规章规定的，有权向有关行政监督部门投诉。</w:t>
      </w:r>
      <w:bookmarkEnd w:id="24"/>
      <w:bookmarkEnd w:id="25"/>
      <w:bookmarkStart w:id="234" w:name="_Toc511146529"/>
      <w:bookmarkStart w:id="235" w:name="_Toc504605093"/>
    </w:p>
    <w:p>
      <w:pPr>
        <w:jc w:val="center"/>
        <w:rPr>
          <w:rFonts w:hint="eastAsia" w:ascii="宋体" w:hAnsi="宋体"/>
          <w:b/>
          <w:sz w:val="30"/>
          <w:szCs w:val="30"/>
        </w:rPr>
      </w:pPr>
      <w:bookmarkStart w:id="236" w:name="_Toc31487"/>
      <w:r>
        <w:rPr>
          <w:rFonts w:hint="eastAsia" w:ascii="宋体" w:hAnsi="宋体"/>
          <w:b/>
          <w:sz w:val="30"/>
          <w:szCs w:val="30"/>
          <w:lang w:val="en-US" w:eastAsia="zh-CN"/>
        </w:rPr>
        <w:t>9</w:t>
      </w:r>
      <w:r>
        <w:rPr>
          <w:rFonts w:hint="eastAsia" w:ascii="宋体" w:hAnsi="宋体"/>
          <w:b/>
          <w:sz w:val="30"/>
          <w:szCs w:val="30"/>
        </w:rPr>
        <w:t>．其它事项</w:t>
      </w:r>
    </w:p>
    <w:p>
      <w:pPr>
        <w:pStyle w:val="10"/>
        <w:rPr>
          <w:rFonts w:hint="eastAsi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FF"/>
          <w:sz w:val="24"/>
          <w:szCs w:val="24"/>
        </w:rPr>
      </w:pPr>
      <w:r>
        <w:rPr>
          <w:rFonts w:hint="eastAsia" w:ascii="宋体" w:hAnsi="宋体" w:cs="宋体"/>
          <w:sz w:val="24"/>
          <w:szCs w:val="24"/>
          <w:lang w:val="en-US" w:eastAsia="zh-CN"/>
        </w:rPr>
        <w:t>35、</w:t>
      </w:r>
      <w:r>
        <w:rPr>
          <w:rFonts w:hint="eastAsia" w:ascii="宋体" w:hAnsi="宋体" w:eastAsia="宋体" w:cs="宋体"/>
          <w:sz w:val="24"/>
          <w:szCs w:val="24"/>
        </w:rPr>
        <w:t>成交供应商确定后，成交供应商无正当理由拖延或拒签合同的，或未能按照规定的时间提供履约担保，采购人有权取消其成交资格，并按评审顺序重新确定成交供应商。</w:t>
      </w:r>
      <w:r>
        <w:rPr>
          <w:rFonts w:hint="eastAsia" w:ascii="宋体" w:hAnsi="宋体" w:eastAsia="宋体" w:cs="宋体"/>
          <w:color w:val="auto"/>
          <w:sz w:val="24"/>
          <w:szCs w:val="24"/>
        </w:rPr>
        <w:t>同时报请监督机构予以通报，禁止其进入政府采购市场，并</w:t>
      </w:r>
      <w:r>
        <w:rPr>
          <w:rFonts w:hint="eastAsia" w:ascii="宋体" w:hAnsi="宋体" w:cs="宋体"/>
          <w:color w:val="auto"/>
          <w:sz w:val="24"/>
          <w:szCs w:val="24"/>
          <w:lang w:val="en-US" w:eastAsia="zh-CN"/>
        </w:rPr>
        <w:t>根据投标信用承诺书有关规定执行</w:t>
      </w:r>
      <w:r>
        <w:rPr>
          <w:rFonts w:hint="eastAsia" w:ascii="宋体" w:hAnsi="宋体" w:eastAsia="宋体" w:cs="宋体"/>
          <w:color w:val="auto"/>
          <w:sz w:val="24"/>
          <w:szCs w:val="24"/>
        </w:rPr>
        <w:t>。给采购人造成损失，还应当对予以赔偿，并依法承担相应法律责任。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36</w:t>
      </w:r>
      <w:r>
        <w:rPr>
          <w:rFonts w:hint="eastAsia" w:ascii="宋体" w:hAnsi="宋体" w:eastAsia="宋体" w:cs="宋体"/>
          <w:sz w:val="24"/>
          <w:szCs w:val="24"/>
        </w:rPr>
        <w:t>、其他未尽事宜，按照《中华人民共和国政府采购法》、《中华人民共和国政府采购法实施条例》等法律法规的有关条款执行。</w:t>
      </w:r>
    </w:p>
    <w:p>
      <w:pPr>
        <w:pStyle w:val="2"/>
        <w:jc w:val="both"/>
        <w:outlineLvl w:val="9"/>
        <w:rPr>
          <w:rFonts w:ascii="宋体" w:hAnsi="宋体" w:cs="宋体"/>
        </w:rPr>
      </w:pPr>
    </w:p>
    <w:p>
      <w:pPr>
        <w:rPr>
          <w:rFonts w:ascii="宋体" w:hAnsi="宋体" w:cs="宋体"/>
        </w:rPr>
      </w:pPr>
    </w:p>
    <w:p>
      <w:pPr>
        <w:pStyle w:val="10"/>
        <w:rPr>
          <w:rFonts w:ascii="宋体" w:hAnsi="宋体" w:cs="宋体"/>
        </w:rPr>
      </w:pPr>
    </w:p>
    <w:p>
      <w:pPr>
        <w:rPr>
          <w:rFonts w:ascii="宋体" w:hAnsi="宋体" w:cs="宋体"/>
        </w:rPr>
      </w:pPr>
    </w:p>
    <w:p>
      <w:pPr>
        <w:pStyle w:val="2"/>
        <w:jc w:val="both"/>
        <w:outlineLvl w:val="9"/>
        <w:rPr>
          <w:rFonts w:ascii="宋体" w:hAnsi="宋体" w:cs="宋体"/>
        </w:rPr>
        <w:sectPr>
          <w:footerReference r:id="rId11" w:type="default"/>
          <w:pgSz w:w="11906" w:h="16838"/>
          <w:pgMar w:top="1383" w:right="1383" w:bottom="1383" w:left="1383" w:header="851" w:footer="992" w:gutter="0"/>
          <w:pgNumType w:fmt="decimal"/>
          <w:cols w:space="720" w:num="1"/>
          <w:docGrid w:linePitch="312" w:charSpace="0"/>
        </w:sectPr>
      </w:pPr>
    </w:p>
    <w:p>
      <w:pPr>
        <w:pStyle w:val="2"/>
        <w:bidi w:val="0"/>
      </w:pPr>
      <w:bookmarkStart w:id="237" w:name="_Toc24439"/>
      <w:bookmarkStart w:id="238" w:name="_Toc608"/>
      <w:r>
        <w:rPr>
          <w:rFonts w:hint="eastAsia"/>
          <w:sz w:val="36"/>
          <w:szCs w:val="36"/>
        </w:rPr>
        <w:t>第三章  评标方法</w:t>
      </w:r>
      <w:bookmarkEnd w:id="237"/>
      <w:bookmarkEnd w:id="238"/>
    </w:p>
    <w:bookmarkEnd w:id="234"/>
    <w:bookmarkEnd w:id="236"/>
    <w:p>
      <w:pPr>
        <w:widowControl/>
        <w:jc w:val="left"/>
        <w:outlineLvl w:val="1"/>
        <w:rPr>
          <w:rFonts w:hint="eastAsia"/>
        </w:rPr>
      </w:pPr>
      <w:bookmarkStart w:id="239" w:name="_Toc6685"/>
      <w:r>
        <w:rPr>
          <w:rFonts w:hint="eastAsia" w:ascii="宋体" w:hAnsi="宋体" w:cs="宋体"/>
          <w:b/>
          <w:bCs/>
          <w:color w:val="000000"/>
          <w:kern w:val="0"/>
          <w:sz w:val="28"/>
          <w:szCs w:val="28"/>
          <w:lang w:bidi="ar"/>
        </w:rPr>
        <w:t>一、评审方法</w:t>
      </w:r>
      <w:bookmarkEnd w:id="239"/>
      <w:r>
        <w:rPr>
          <w:rFonts w:hint="eastAsia" w:ascii="宋体" w:hAnsi="宋体" w:cs="宋体"/>
          <w:b/>
          <w:bCs/>
          <w:color w:val="000000"/>
          <w:kern w:val="0"/>
          <w:sz w:val="28"/>
          <w:szCs w:val="28"/>
          <w:lang w:bidi="ar"/>
        </w:rPr>
        <w:t xml:space="preserve"> </w:t>
      </w:r>
    </w:p>
    <w:p>
      <w:pPr>
        <w:numPr>
          <w:ilvl w:val="0"/>
          <w:numId w:val="5"/>
        </w:num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本项目采用</w:t>
      </w:r>
      <w:r>
        <w:rPr>
          <w:rFonts w:hint="eastAsia" w:ascii="宋体" w:hAnsi="宋体" w:cs="宋体"/>
          <w:b/>
          <w:sz w:val="24"/>
        </w:rPr>
        <w:t>综合评分</w:t>
      </w:r>
      <w:r>
        <w:rPr>
          <w:rFonts w:hint="eastAsia" w:ascii="宋体" w:hAnsi="宋体" w:cs="宋体"/>
          <w:sz w:val="24"/>
        </w:rPr>
        <w:t>法进行评审，总分为</w:t>
      </w:r>
      <w:r>
        <w:rPr>
          <w:rFonts w:hint="eastAsia" w:ascii="宋体" w:hAnsi="宋体" w:cs="宋体"/>
          <w:sz w:val="24"/>
          <w:u w:val="single"/>
        </w:rPr>
        <w:t>100</w:t>
      </w:r>
      <w:r>
        <w:rPr>
          <w:rFonts w:hint="eastAsia" w:ascii="宋体" w:hAnsi="宋体" w:cs="宋体"/>
          <w:sz w:val="24"/>
        </w:rPr>
        <w:t>分。</w:t>
      </w:r>
    </w:p>
    <w:p>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2、</w:t>
      </w:r>
      <w:r>
        <w:rPr>
          <w:rFonts w:hint="eastAsia" w:ascii="宋体" w:hAnsi="宋体" w:cs="宋体"/>
          <w:sz w:val="24"/>
          <w:szCs w:val="24"/>
          <w:lang w:val="en-US" w:eastAsia="zh-CN"/>
        </w:rPr>
        <w:t>磋商小组</w:t>
      </w:r>
      <w:r>
        <w:rPr>
          <w:rFonts w:hint="eastAsia" w:ascii="宋体" w:hAnsi="宋体" w:cs="宋体"/>
          <w:sz w:val="24"/>
        </w:rPr>
        <w:t>应</w:t>
      </w:r>
      <w:r>
        <w:rPr>
          <w:rFonts w:hint="eastAsia" w:ascii="宋体" w:hAnsi="宋体" w:cs="宋体"/>
          <w:color w:val="000000" w:themeColor="text1"/>
          <w:sz w:val="24"/>
          <w14:textFill>
            <w14:solidFill>
              <w14:schemeClr w14:val="tx1"/>
            </w14:solidFill>
          </w14:textFill>
        </w:rPr>
        <w:t>当按照</w:t>
      </w:r>
      <w:r>
        <w:rPr>
          <w:rFonts w:hint="eastAsia" w:ascii="宋体" w:hAnsi="宋体" w:cs="宋体"/>
          <w:bCs/>
          <w:color w:val="000000" w:themeColor="text1"/>
          <w:sz w:val="24"/>
          <w:szCs w:val="24"/>
          <w:lang w:val="en-US" w:eastAsia="zh-CN"/>
          <w14:textFill>
            <w14:solidFill>
              <w14:schemeClr w14:val="tx1"/>
            </w14:solidFill>
          </w14:textFill>
        </w:rPr>
        <w:t>竞争性磋商</w:t>
      </w:r>
      <w:r>
        <w:rPr>
          <w:rFonts w:hint="eastAsia" w:ascii="宋体" w:hAnsi="宋体" w:cs="宋体"/>
          <w:bCs/>
          <w:color w:val="000000" w:themeColor="text1"/>
          <w:sz w:val="24"/>
          <w:szCs w:val="24"/>
          <w14:textFill>
            <w14:solidFill>
              <w14:schemeClr w14:val="tx1"/>
            </w14:solidFill>
          </w14:textFill>
        </w:rPr>
        <w:t>文件</w:t>
      </w:r>
      <w:r>
        <w:rPr>
          <w:rFonts w:hint="eastAsia" w:ascii="宋体" w:hAnsi="宋体" w:cs="宋体"/>
          <w:color w:val="000000" w:themeColor="text1"/>
          <w:sz w:val="24"/>
          <w14:textFill>
            <w14:solidFill>
              <w14:schemeClr w14:val="tx1"/>
            </w14:solidFill>
          </w14:textFill>
        </w:rPr>
        <w:t>中规定的要求，对</w:t>
      </w:r>
      <w:r>
        <w:rPr>
          <w:rFonts w:hint="eastAsia" w:ascii="宋体" w:hAnsi="宋体" w:cs="宋体"/>
          <w:bCs/>
          <w:color w:val="000000" w:themeColor="text1"/>
          <w:sz w:val="24"/>
          <w:szCs w:val="24"/>
          <w:lang w:val="en-US" w:eastAsia="zh-CN"/>
          <w14:textFill>
            <w14:solidFill>
              <w14:schemeClr w14:val="tx1"/>
            </w14:solidFill>
          </w14:textFill>
        </w:rPr>
        <w:t>竞争性磋商</w:t>
      </w:r>
      <w:r>
        <w:rPr>
          <w:rFonts w:hint="eastAsia" w:ascii="宋体" w:hAnsi="宋体" w:cs="宋体"/>
          <w:bCs/>
          <w:color w:val="000000" w:themeColor="text1"/>
          <w:sz w:val="24"/>
          <w:szCs w:val="24"/>
          <w14:textFill>
            <w14:solidFill>
              <w14:schemeClr w14:val="tx1"/>
            </w14:solidFill>
          </w14:textFill>
        </w:rPr>
        <w:t>文件</w:t>
      </w:r>
      <w:r>
        <w:rPr>
          <w:rFonts w:hint="eastAsia" w:ascii="宋体" w:hAnsi="宋体" w:cs="宋体"/>
          <w:color w:val="000000" w:themeColor="text1"/>
          <w:sz w:val="24"/>
          <w14:textFill>
            <w14:solidFill>
              <w14:schemeClr w14:val="tx1"/>
            </w14:solidFill>
          </w14:textFill>
        </w:rPr>
        <w:t>进行资格性和符合性审查，</w:t>
      </w:r>
      <w:r>
        <w:rPr>
          <w:rFonts w:hint="eastAsia" w:ascii="宋体" w:hAnsi="宋体" w:cs="宋体"/>
          <w:color w:val="000000" w:themeColor="text1"/>
          <w:sz w:val="24"/>
          <w:lang w:val="en-US" w:eastAsia="zh-CN"/>
          <w14:textFill>
            <w14:solidFill>
              <w14:schemeClr w14:val="tx1"/>
            </w14:solidFill>
          </w14:textFill>
        </w:rPr>
        <w:t>通过审查的供应商</w:t>
      </w:r>
      <w:r>
        <w:rPr>
          <w:rFonts w:hint="eastAsia" w:ascii="宋体" w:hAnsi="宋体" w:cs="宋体"/>
          <w:color w:val="000000" w:themeColor="text1"/>
          <w:sz w:val="24"/>
          <w14:textFill>
            <w14:solidFill>
              <w14:schemeClr w14:val="tx1"/>
            </w14:solidFill>
          </w14:textFill>
        </w:rPr>
        <w:t>进行二</w:t>
      </w:r>
      <w:r>
        <w:rPr>
          <w:rFonts w:hint="eastAsia" w:ascii="宋体" w:hAnsi="宋体" w:cs="宋体"/>
          <w:sz w:val="24"/>
        </w:rPr>
        <w:t>次报价（所有报价在公示前均不公开宣布）、综合比较与评价、推荐成交候选供应商名单的工作程序进行评审。在上一步评审中被认定为无效磋商者，不进入下一步的评审。</w:t>
      </w:r>
    </w:p>
    <w:p>
      <w:pPr>
        <w:adjustRightInd w:val="0"/>
        <w:snapToGrid w:val="0"/>
        <w:spacing w:line="360" w:lineRule="auto"/>
        <w:ind w:firstLine="480" w:firstLineChars="200"/>
        <w:jc w:val="left"/>
        <w:rPr>
          <w:rFonts w:hint="eastAsia" w:ascii="宋体" w:hAnsi="宋体" w:cs="宋体"/>
          <w:b/>
          <w:bCs/>
          <w:sz w:val="24"/>
          <w:szCs w:val="24"/>
        </w:rPr>
      </w:pPr>
      <w:r>
        <w:rPr>
          <w:rFonts w:hint="eastAsia" w:ascii="宋体" w:hAnsi="宋体" w:cs="宋体"/>
          <w:bCs/>
          <w:sz w:val="24"/>
        </w:rPr>
        <w:t>3、评审分值：</w:t>
      </w:r>
      <w:r>
        <w:rPr>
          <w:rFonts w:hint="eastAsia" w:ascii="宋体" w:hAnsi="宋体" w:cs="宋体"/>
          <w:b/>
          <w:bCs/>
          <w:sz w:val="24"/>
          <w:szCs w:val="24"/>
        </w:rPr>
        <w:t>评审分值结构表如下</w:t>
      </w:r>
    </w:p>
    <w:p>
      <w:pPr>
        <w:adjustRightInd w:val="0"/>
        <w:snapToGrid w:val="0"/>
        <w:spacing w:line="360" w:lineRule="auto"/>
        <w:ind w:firstLine="424" w:firstLineChars="177"/>
        <w:rPr>
          <w:rFonts w:hint="eastAsia" w:ascii="宋体" w:hAnsi="宋体" w:cs="宋体"/>
          <w:bCs/>
          <w:sz w:val="24"/>
          <w:szCs w:val="24"/>
        </w:rPr>
      </w:pPr>
      <w:r>
        <w:rPr>
          <w:rFonts w:hint="eastAsia" w:ascii="宋体" w:hAnsi="宋体" w:cs="宋体"/>
          <w:bCs/>
          <w:sz w:val="24"/>
          <w:szCs w:val="24"/>
        </w:rPr>
        <w:t>4、</w:t>
      </w:r>
      <w:r>
        <w:rPr>
          <w:rFonts w:hint="eastAsia" w:ascii="宋体" w:hAnsi="宋体" w:cs="宋体"/>
          <w:bCs/>
          <w:sz w:val="24"/>
          <w:szCs w:val="24"/>
          <w:lang w:val="en-US" w:eastAsia="zh-CN"/>
        </w:rPr>
        <w:t>竞争性磋商</w:t>
      </w:r>
      <w:r>
        <w:rPr>
          <w:rFonts w:hint="eastAsia" w:ascii="宋体" w:hAnsi="宋体" w:cs="宋体"/>
          <w:bCs/>
          <w:sz w:val="24"/>
          <w:szCs w:val="24"/>
        </w:rPr>
        <w:t>文件打分表要求提供的证明资料需在投标文件中附响应的复印件或扫描件，以备</w:t>
      </w:r>
      <w:r>
        <w:rPr>
          <w:rFonts w:hint="eastAsia" w:ascii="宋体" w:hAnsi="宋体" w:cs="宋体"/>
          <w:sz w:val="24"/>
          <w:szCs w:val="24"/>
          <w:lang w:val="en-US" w:eastAsia="zh-CN"/>
        </w:rPr>
        <w:t>磋商小组成员</w:t>
      </w:r>
      <w:r>
        <w:rPr>
          <w:rFonts w:hint="eastAsia" w:ascii="宋体" w:hAnsi="宋体" w:cs="宋体"/>
          <w:bCs/>
          <w:sz w:val="24"/>
          <w:szCs w:val="24"/>
        </w:rPr>
        <w:t>审查。</w:t>
      </w:r>
    </w:p>
    <w:p>
      <w:pPr>
        <w:adjustRightInd w:val="0"/>
        <w:snapToGrid w:val="0"/>
        <w:spacing w:line="360" w:lineRule="auto"/>
        <w:ind w:left="289"/>
        <w:jc w:val="left"/>
        <w:rPr>
          <w:rFonts w:hint="eastAsia" w:ascii="宋体" w:hAnsi="宋体" w:cs="宋体"/>
          <w:sz w:val="24"/>
        </w:rPr>
      </w:pPr>
      <w:r>
        <w:rPr>
          <w:rFonts w:hint="eastAsia" w:ascii="宋体" w:hAnsi="宋体" w:cs="宋体"/>
          <w:sz w:val="24"/>
        </w:rPr>
        <w:t xml:space="preserve">  5、特殊情况：</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szCs w:val="24"/>
          <w:lang w:val="en-US" w:eastAsia="zh-CN"/>
        </w:rPr>
        <w:t>磋商小组</w:t>
      </w:r>
      <w:r>
        <w:rPr>
          <w:rFonts w:hint="eastAsia" w:ascii="宋体" w:hAnsi="宋体" w:cs="宋体"/>
          <w:sz w:val="24"/>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宋体" w:hAnsi="宋体" w:cs="宋体"/>
          <w:sz w:val="24"/>
          <w:szCs w:val="24"/>
          <w:lang w:val="en-US" w:eastAsia="zh-CN"/>
        </w:rPr>
        <w:t>磋商小组成员</w:t>
      </w:r>
      <w:r>
        <w:rPr>
          <w:rFonts w:hint="eastAsia" w:ascii="宋体" w:hAnsi="宋体" w:cs="宋体"/>
          <w:sz w:val="24"/>
        </w:rPr>
        <w:t>应当将其作为无效投标处理。</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rPr>
        <w:t>2）得分相同的，按投标报价由低到高顺序排</w:t>
      </w:r>
      <w:r>
        <w:rPr>
          <w:rFonts w:hint="eastAsia" w:ascii="宋体" w:hAnsi="宋体" w:cs="宋体"/>
          <w:sz w:val="24"/>
          <w:szCs w:val="22"/>
        </w:rPr>
        <w:t>列。</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rPr>
        <w:t>3）得分且投标报价相同的，比较技术得分，此技术得分高者排在前。</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szCs w:val="22"/>
        </w:rPr>
        <w:t>4）</w:t>
      </w:r>
      <w:r>
        <w:rPr>
          <w:rFonts w:hint="eastAsia" w:ascii="宋体" w:hAnsi="宋体" w:cs="宋体"/>
          <w:sz w:val="24"/>
          <w:szCs w:val="24"/>
          <w:lang w:val="en-US" w:eastAsia="zh-CN"/>
        </w:rPr>
        <w:t>磋商小组</w:t>
      </w:r>
      <w:r>
        <w:rPr>
          <w:rFonts w:hint="eastAsia" w:ascii="宋体" w:hAnsi="宋体" w:cs="宋体"/>
          <w:sz w:val="24"/>
          <w:szCs w:val="22"/>
        </w:rPr>
        <w:t>评分超出评分标准范围的、各</w:t>
      </w:r>
      <w:r>
        <w:rPr>
          <w:rFonts w:hint="eastAsia" w:ascii="宋体" w:hAnsi="宋体" w:cs="宋体"/>
          <w:sz w:val="24"/>
          <w:szCs w:val="24"/>
          <w:lang w:val="en-US" w:eastAsia="zh-CN"/>
        </w:rPr>
        <w:t>磋商小组</w:t>
      </w:r>
      <w:r>
        <w:rPr>
          <w:rFonts w:hint="eastAsia" w:ascii="宋体" w:hAnsi="宋体" w:cs="宋体"/>
          <w:sz w:val="24"/>
          <w:szCs w:val="22"/>
        </w:rPr>
        <w:t>对客观评审得分不一致的和</w:t>
      </w:r>
      <w:r>
        <w:rPr>
          <w:rFonts w:hint="eastAsia" w:ascii="宋体" w:hAnsi="宋体" w:cs="宋体"/>
          <w:sz w:val="24"/>
          <w:szCs w:val="24"/>
          <w:lang w:val="en-US" w:eastAsia="zh-CN"/>
        </w:rPr>
        <w:t>磋商小组</w:t>
      </w:r>
      <w:r>
        <w:rPr>
          <w:rFonts w:hint="eastAsia" w:ascii="宋体" w:hAnsi="宋体" w:cs="宋体"/>
          <w:sz w:val="24"/>
          <w:szCs w:val="22"/>
        </w:rPr>
        <w:t>认定评分畸高畸低的，</w:t>
      </w:r>
      <w:r>
        <w:rPr>
          <w:rFonts w:hint="eastAsia" w:ascii="宋体" w:hAnsi="宋体" w:cs="宋体"/>
          <w:sz w:val="24"/>
          <w:szCs w:val="24"/>
          <w:lang w:val="en-US" w:eastAsia="zh-CN"/>
        </w:rPr>
        <w:t>磋商小组</w:t>
      </w:r>
      <w:r>
        <w:rPr>
          <w:rFonts w:hint="eastAsia" w:ascii="宋体" w:hAnsi="宋体" w:cs="宋体"/>
          <w:sz w:val="24"/>
          <w:szCs w:val="22"/>
        </w:rPr>
        <w:t>应当当场修改</w:t>
      </w:r>
      <w:r>
        <w:rPr>
          <w:rFonts w:hint="eastAsia" w:ascii="宋体" w:hAnsi="宋体" w:cs="宋体"/>
          <w:sz w:val="24"/>
        </w:rPr>
        <w:t>。</w:t>
      </w:r>
    </w:p>
    <w:p>
      <w:pPr>
        <w:tabs>
          <w:tab w:val="left" w:pos="1080"/>
        </w:tabs>
        <w:adjustRightInd w:val="0"/>
        <w:snapToGrid w:val="0"/>
        <w:spacing w:line="360" w:lineRule="auto"/>
        <w:ind w:left="465"/>
        <w:rPr>
          <w:rFonts w:hint="eastAsia" w:ascii="宋体" w:hAnsi="宋体" w:cs="宋体"/>
          <w:sz w:val="24"/>
        </w:rPr>
      </w:pPr>
      <w:r>
        <w:rPr>
          <w:rFonts w:hint="eastAsia" w:ascii="宋体" w:hAnsi="宋体" w:cs="宋体"/>
          <w:sz w:val="24"/>
        </w:rPr>
        <w:t>6、定标</w:t>
      </w:r>
    </w:p>
    <w:p>
      <w:pPr>
        <w:adjustRightInd w:val="0"/>
        <w:snapToGrid w:val="0"/>
        <w:spacing w:line="360" w:lineRule="auto"/>
        <w:ind w:left="288" w:leftChars="137" w:firstLine="240" w:firstLineChars="100"/>
        <w:jc w:val="left"/>
        <w:rPr>
          <w:rFonts w:hint="eastAsia" w:ascii="宋体" w:hAnsi="宋体" w:cs="宋体"/>
          <w:sz w:val="24"/>
        </w:rPr>
      </w:pPr>
      <w:r>
        <w:rPr>
          <w:rFonts w:hint="eastAsia" w:ascii="宋体" w:hAnsi="宋体" w:cs="宋体"/>
          <w:sz w:val="24"/>
        </w:rPr>
        <w:t>1）最终得分=取其</w:t>
      </w:r>
      <w:r>
        <w:rPr>
          <w:rFonts w:hint="eastAsia" w:ascii="宋体" w:hAnsi="宋体" w:cs="宋体"/>
          <w:sz w:val="24"/>
          <w:szCs w:val="24"/>
          <w:lang w:val="en-US" w:eastAsia="zh-CN"/>
        </w:rPr>
        <w:t>磋商小组成员</w:t>
      </w:r>
      <w:r>
        <w:rPr>
          <w:rFonts w:hint="eastAsia" w:ascii="宋体" w:hAnsi="宋体" w:cs="宋体"/>
          <w:sz w:val="24"/>
        </w:rPr>
        <w:t>的平均分；按得分由高到低顺序排列，推荐</w:t>
      </w:r>
      <w:r>
        <w:rPr>
          <w:rFonts w:hint="eastAsia" w:ascii="宋体" w:hAnsi="宋体" w:cs="宋体"/>
          <w:sz w:val="24"/>
          <w:lang w:val="en-US" w:eastAsia="zh-CN"/>
        </w:rPr>
        <w:t>不少于3名成交候选供应商，并编制评审报告，</w:t>
      </w:r>
      <w:r>
        <w:rPr>
          <w:rFonts w:hint="eastAsia" w:ascii="宋体" w:hAnsi="宋体" w:cs="宋体"/>
          <w:spacing w:val="4"/>
          <w:sz w:val="24"/>
          <w:szCs w:val="24"/>
        </w:rPr>
        <w:t>评标结果由全体</w:t>
      </w:r>
      <w:r>
        <w:rPr>
          <w:rFonts w:hint="eastAsia" w:ascii="宋体" w:hAnsi="宋体" w:cs="宋体"/>
          <w:sz w:val="24"/>
          <w:szCs w:val="24"/>
          <w:lang w:val="en-US" w:eastAsia="zh-CN"/>
        </w:rPr>
        <w:t>磋商小组成员</w:t>
      </w:r>
      <w:r>
        <w:rPr>
          <w:rFonts w:hint="eastAsia" w:ascii="宋体" w:hAnsi="宋体" w:cs="宋体"/>
          <w:sz w:val="24"/>
        </w:rPr>
        <w:t>签字确认。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hint="default" w:ascii="宋体" w:hAnsi="宋体" w:eastAsia="宋体" w:cs="宋体"/>
          <w:sz w:val="24"/>
          <w:lang w:val="en-US" w:eastAsia="zh-CN"/>
        </w:rPr>
      </w:pPr>
      <w:r>
        <w:rPr>
          <w:rFonts w:hint="eastAsia" w:ascii="宋体" w:hAnsi="宋体" w:cs="宋体"/>
          <w:sz w:val="24"/>
          <w:lang w:val="en-US" w:eastAsia="zh-CN"/>
        </w:rPr>
        <w:t>2）符合</w:t>
      </w:r>
      <w:r>
        <w:rPr>
          <w:rFonts w:hint="default" w:ascii="宋体" w:hAnsi="宋体" w:cs="宋体"/>
          <w:sz w:val="24"/>
          <w:lang w:val="en-US" w:eastAsia="zh-CN"/>
        </w:rPr>
        <w:t>①</w:t>
      </w:r>
      <w:r>
        <w:rPr>
          <w:rFonts w:hint="eastAsia" w:ascii="宋体" w:hAnsi="宋体" w:cs="宋体"/>
          <w:sz w:val="24"/>
          <w:lang w:val="en-US" w:eastAsia="zh-CN"/>
        </w:rPr>
        <w:t>市场竞争不</w:t>
      </w:r>
      <w:r>
        <w:rPr>
          <w:rFonts w:hint="eastAsia" w:ascii="宋体" w:hAnsi="宋体" w:eastAsia="宋体" w:cs="宋体"/>
          <w:color w:val="auto"/>
          <w:sz w:val="24"/>
          <w:szCs w:val="24"/>
        </w:rPr>
        <w:t>充分的科研项目，以及需要扶持的科技成果</w:t>
      </w:r>
      <w:r>
        <w:rPr>
          <w:rFonts w:hint="eastAsia" w:ascii="宋体" w:hAnsi="宋体" w:eastAsia="宋体" w:cs="宋体"/>
          <w:sz w:val="24"/>
          <w:szCs w:val="24"/>
        </w:rPr>
        <w:t>转化项目；</w:t>
      </w:r>
      <w:r>
        <w:rPr>
          <w:rFonts w:hint="default" w:ascii="宋体" w:hAnsi="宋体" w:cs="宋体"/>
          <w:sz w:val="24"/>
          <w:lang w:val="en-US" w:eastAsia="zh-CN"/>
        </w:rPr>
        <w:t>②</w:t>
      </w:r>
      <w:r>
        <w:rPr>
          <w:rFonts w:hint="eastAsia" w:ascii="宋体" w:hAnsi="宋体" w:cs="宋体"/>
          <w:sz w:val="24"/>
          <w:lang w:val="en-US" w:eastAsia="zh-CN"/>
        </w:rPr>
        <w:t>政府购</w:t>
      </w:r>
      <w:r>
        <w:rPr>
          <w:rFonts w:hint="eastAsia" w:ascii="宋体" w:hAnsi="宋体" w:eastAsia="宋体" w:cs="宋体"/>
          <w:sz w:val="24"/>
          <w:szCs w:val="24"/>
        </w:rPr>
        <w:t>买服务项目（含政府和社会资本项目）</w:t>
      </w:r>
      <w:r>
        <w:rPr>
          <w:rFonts w:hint="eastAsia" w:ascii="宋体" w:hAnsi="宋体" w:cs="宋体"/>
          <w:sz w:val="24"/>
          <w:szCs w:val="24"/>
          <w:lang w:eastAsia="zh-CN"/>
        </w:rPr>
        <w:t>的</w:t>
      </w:r>
      <w:r>
        <w:rPr>
          <w:rFonts w:hint="eastAsia" w:ascii="宋体" w:hAnsi="宋体" w:cs="宋体"/>
          <w:sz w:val="24"/>
          <w:szCs w:val="24"/>
          <w:lang w:val="en-US" w:eastAsia="zh-CN"/>
        </w:rPr>
        <w:t>情形，可以推荐2家成交候选供应商</w:t>
      </w:r>
      <w:r>
        <w:rPr>
          <w:rFonts w:hint="eastAsia" w:ascii="宋体" w:hAnsi="宋体" w:eastAsia="宋体" w:cs="宋体"/>
          <w:sz w:val="24"/>
          <w:szCs w:val="24"/>
        </w:rPr>
        <w:t>。</w:t>
      </w:r>
    </w:p>
    <w:p>
      <w:pPr>
        <w:pStyle w:val="13"/>
        <w:ind w:left="0" w:leftChars="0" w:firstLine="480" w:firstLineChars="200"/>
        <w:rPr>
          <w:rFonts w:hint="eastAsia" w:cs="宋体"/>
        </w:rPr>
        <w:sectPr>
          <w:pgSz w:w="11906" w:h="16838"/>
          <w:pgMar w:top="1219" w:right="1800" w:bottom="1219" w:left="1800" w:header="851" w:footer="992" w:gutter="0"/>
          <w:pgNumType w:fmt="decimal"/>
          <w:cols w:space="720" w:num="1"/>
          <w:docGrid w:type="lines" w:linePitch="312" w:charSpace="0"/>
        </w:sectPr>
      </w:pPr>
      <w:r>
        <w:rPr>
          <w:rFonts w:hint="eastAsia" w:cs="宋体"/>
          <w:lang w:val="en-US" w:eastAsia="zh-CN"/>
        </w:rPr>
        <w:t>3</w:t>
      </w:r>
      <w:r>
        <w:rPr>
          <w:rFonts w:hint="eastAsia" w:cs="宋体"/>
        </w:rPr>
        <w:t>）采购人根据评标报告中推荐的</w:t>
      </w:r>
      <w:r>
        <w:rPr>
          <w:rFonts w:hint="eastAsia" w:cs="宋体"/>
          <w:lang w:val="en-US" w:eastAsia="zh-CN"/>
        </w:rPr>
        <w:t>成交</w:t>
      </w:r>
      <w:r>
        <w:rPr>
          <w:rFonts w:hint="eastAsia" w:cs="宋体"/>
        </w:rPr>
        <w:t>候选人排列顺序确定</w:t>
      </w:r>
      <w:r>
        <w:rPr>
          <w:rFonts w:hint="eastAsia" w:cs="宋体"/>
          <w:lang w:val="en-US" w:eastAsia="zh-CN"/>
        </w:rPr>
        <w:t>成交供应商</w:t>
      </w:r>
      <w:r>
        <w:rPr>
          <w:rFonts w:hint="eastAsia" w:cs="宋体"/>
        </w:rPr>
        <w:t>，以</w:t>
      </w:r>
      <w:r>
        <w:rPr>
          <w:rFonts w:hint="eastAsia" w:cs="宋体"/>
          <w:lang w:val="en-US" w:eastAsia="zh-CN"/>
        </w:rPr>
        <w:t>成交</w:t>
      </w:r>
      <w:r>
        <w:rPr>
          <w:rFonts w:hint="eastAsia" w:cs="宋体"/>
        </w:rPr>
        <w:t>复函通知采购代理机构。</w:t>
      </w:r>
    </w:p>
    <w:p>
      <w:pPr>
        <w:widowControl/>
        <w:spacing w:line="360" w:lineRule="auto"/>
        <w:jc w:val="left"/>
        <w:outlineLvl w:val="1"/>
        <w:rPr>
          <w:rFonts w:hint="eastAsia" w:ascii="宋体" w:hAnsi="宋体" w:cs="宋体"/>
          <w:b/>
          <w:bCs/>
          <w:color w:val="000000"/>
          <w:kern w:val="0"/>
          <w:sz w:val="28"/>
          <w:szCs w:val="28"/>
          <w:lang w:bidi="ar"/>
        </w:rPr>
      </w:pPr>
      <w:bookmarkStart w:id="240" w:name="_Toc8989"/>
      <w:r>
        <w:rPr>
          <w:rFonts w:hint="eastAsia" w:ascii="宋体" w:hAnsi="宋体" w:cs="宋体"/>
          <w:b/>
          <w:bCs/>
          <w:color w:val="000000"/>
          <w:kern w:val="0"/>
          <w:sz w:val="28"/>
          <w:szCs w:val="28"/>
          <w:lang w:bidi="ar"/>
        </w:rPr>
        <w:t>二、评审程序</w:t>
      </w:r>
      <w:bookmarkEnd w:id="240"/>
      <w:r>
        <w:rPr>
          <w:rFonts w:hint="eastAsia" w:ascii="宋体" w:hAnsi="宋体" w:cs="宋体"/>
          <w:b/>
          <w:bCs/>
          <w:color w:val="000000"/>
          <w:kern w:val="0"/>
          <w:sz w:val="28"/>
          <w:szCs w:val="28"/>
          <w:lang w:bidi="ar"/>
        </w:rPr>
        <w:t xml:space="preserve"> </w:t>
      </w:r>
    </w:p>
    <w:p>
      <w:pPr>
        <w:widowControl/>
        <w:spacing w:line="360" w:lineRule="auto"/>
        <w:jc w:val="left"/>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1、初步评审</w:t>
      </w:r>
    </w:p>
    <w:p>
      <w:pPr>
        <w:widowControl/>
        <w:jc w:val="left"/>
        <w:rPr>
          <w:rFonts w:hint="eastAsia" w:ascii="????" w:hAnsi="????" w:eastAsia="????" w:cs="????"/>
          <w:b/>
          <w:bCs/>
          <w:color w:val="000000"/>
          <w:kern w:val="0"/>
          <w:sz w:val="28"/>
          <w:szCs w:val="28"/>
          <w:lang w:bidi="ar"/>
        </w:rPr>
      </w:pPr>
      <w:r>
        <w:rPr>
          <w:rFonts w:hint="eastAsia" w:ascii="宋体" w:hAnsi="宋体" w:cs="宋体"/>
          <w:b/>
          <w:bCs/>
          <w:color w:val="000000"/>
          <w:kern w:val="0"/>
          <w:sz w:val="28"/>
          <w:szCs w:val="28"/>
          <w:lang w:bidi="ar"/>
        </w:rPr>
        <w:t>1）</w:t>
      </w:r>
      <w:r>
        <w:rPr>
          <w:rFonts w:hint="eastAsia" w:ascii="????" w:hAnsi="????" w:eastAsia="????" w:cs="????"/>
          <w:b/>
          <w:bCs/>
          <w:color w:val="000000"/>
          <w:kern w:val="0"/>
          <w:sz w:val="28"/>
          <w:szCs w:val="28"/>
          <w:lang w:bidi="ar"/>
        </w:rPr>
        <w:t>资格性审查</w:t>
      </w:r>
    </w:p>
    <w:tbl>
      <w:tblPr>
        <w:tblStyle w:val="25"/>
        <w:tblW w:w="9797" w:type="dxa"/>
        <w:jc w:val="center"/>
        <w:tblLayout w:type="fixed"/>
        <w:tblCellMar>
          <w:top w:w="0" w:type="dxa"/>
          <w:left w:w="108" w:type="dxa"/>
          <w:bottom w:w="0" w:type="dxa"/>
          <w:right w:w="108" w:type="dxa"/>
        </w:tblCellMar>
      </w:tblPr>
      <w:tblGrid>
        <w:gridCol w:w="705"/>
        <w:gridCol w:w="2734"/>
        <w:gridCol w:w="6358"/>
      </w:tblGrid>
      <w:tr>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评审因素</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评审标准</w:t>
            </w:r>
          </w:p>
        </w:tc>
      </w:tr>
      <w:tr>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有效的主体资格</w:t>
            </w:r>
          </w:p>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pStyle w:val="10"/>
              <w:spacing w:line="360" w:lineRule="auto"/>
              <w:rPr>
                <w:rFonts w:hint="eastAsia" w:ascii="宋体" w:hAnsi="宋体" w:eastAsia="宋体" w:cs="宋体"/>
                <w:color w:val="auto"/>
                <w:sz w:val="24"/>
                <w:szCs w:val="24"/>
                <w:lang w:eastAsia="zh-CN"/>
              </w:rPr>
            </w:pPr>
            <w:r>
              <w:rPr>
                <w:rFonts w:hint="eastAsia" w:ascii="宋体" w:hAnsi="宋体" w:eastAsia="宋体" w:cs="宋体"/>
                <w:sz w:val="24"/>
                <w:szCs w:val="24"/>
              </w:rPr>
              <w:t>投标人为具有独立承担民事责任能力的法人、事业法人、其他组织或自然人。企业法人应提供合法有效的标识有统一社会信用代码的营业执照；事业法人应提供事业单位法人证书；其他组织应提供合法登记证明文件；</w:t>
            </w:r>
          </w:p>
        </w:tc>
      </w:tr>
      <w:tr>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kern w:val="2"/>
                <w:sz w:val="24"/>
                <w:szCs w:val="24"/>
                <w:shd w:val="clear" w:color="auto" w:fill="auto"/>
                <w:lang w:val="en-US" w:eastAsia="zh-CN" w:bidi="ar-SA"/>
              </w:rPr>
            </w:pPr>
            <w:r>
              <w:rPr>
                <w:rFonts w:hint="eastAsia" w:ascii="宋体" w:hAnsi="宋体" w:cs="宋体"/>
                <w:color w:val="auto"/>
                <w:sz w:val="24"/>
                <w:szCs w:val="24"/>
                <w:lang w:val="en-US" w:eastAsia="zh-CN"/>
              </w:rPr>
              <w:t>资质</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1620"/>
              </w:tabs>
              <w:adjustRightInd w:val="0"/>
              <w:snapToGrid w:val="0"/>
              <w:spacing w:line="360" w:lineRule="auto"/>
              <w:jc w:val="left"/>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sz w:val="24"/>
                <w:szCs w:val="24"/>
              </w:rPr>
              <w:t>具备建设行政主管部门核发的市政公用工程施工总承包三级（含三级）以上资质，具备有效的安全生产许可证；</w:t>
            </w:r>
          </w:p>
        </w:tc>
      </w:tr>
      <w:tr>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3</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kern w:val="0"/>
                <w:sz w:val="24"/>
                <w:szCs w:val="24"/>
              </w:rPr>
            </w:pPr>
            <w:r>
              <w:rPr>
                <w:rFonts w:hint="eastAsia" w:ascii="宋体" w:hAnsi="宋体" w:eastAsia="宋体" w:cs="宋体"/>
                <w:color w:val="auto"/>
                <w:sz w:val="24"/>
                <w:lang w:val="en-US" w:eastAsia="zh-CN"/>
              </w:rPr>
              <w:t>项目经理</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1620"/>
              </w:tabs>
              <w:adjustRightInd w:val="0"/>
              <w:snapToGrid w:val="0"/>
              <w:spacing w:line="360" w:lineRule="auto"/>
              <w:jc w:val="left"/>
              <w:rPr>
                <w:rFonts w:hint="eastAsia" w:ascii="宋体" w:hAnsi="宋体" w:cs="宋体"/>
                <w:color w:val="auto"/>
                <w:kern w:val="0"/>
                <w:sz w:val="24"/>
                <w:szCs w:val="24"/>
              </w:rPr>
            </w:pPr>
            <w:r>
              <w:rPr>
                <w:rFonts w:hint="eastAsia" w:ascii="宋体" w:hAnsi="宋体" w:eastAsia="宋体" w:cs="宋体"/>
                <w:i w:val="0"/>
                <w:iCs w:val="0"/>
                <w:caps w:val="0"/>
                <w:color w:val="auto"/>
                <w:spacing w:val="0"/>
                <w:sz w:val="24"/>
                <w:szCs w:val="24"/>
                <w:shd w:val="clear" w:color="auto" w:fill="FFFFFF"/>
              </w:rPr>
              <w:t>拟派往本项目的建造师必须为本企业注册的建造师，具备市政公用工程专业二级及以上注册建造师执业资格和有效的安全生产考核合格证书(B证)，并提供2023年1月至今本企业为其缴纳的</w:t>
            </w:r>
            <w:r>
              <w:rPr>
                <w:rFonts w:hint="eastAsia" w:ascii="宋体" w:hAnsi="宋体" w:cs="宋体"/>
                <w:i w:val="0"/>
                <w:iCs w:val="0"/>
                <w:caps w:val="0"/>
                <w:color w:val="auto"/>
                <w:spacing w:val="0"/>
                <w:sz w:val="24"/>
                <w:szCs w:val="24"/>
                <w:shd w:val="clear" w:color="auto" w:fill="FFFFFF"/>
                <w:lang w:val="en-US" w:eastAsia="zh-CN"/>
              </w:rPr>
              <w:t>至少1个</w:t>
            </w:r>
            <w:r>
              <w:rPr>
                <w:rFonts w:hint="eastAsia" w:ascii="宋体" w:hAnsi="宋体" w:eastAsia="宋体" w:cs="宋体"/>
                <w:i w:val="0"/>
                <w:iCs w:val="0"/>
                <w:caps w:val="0"/>
                <w:color w:val="auto"/>
                <w:spacing w:val="0"/>
                <w:sz w:val="24"/>
                <w:szCs w:val="24"/>
                <w:shd w:val="clear" w:color="auto" w:fill="FFFFFF"/>
              </w:rPr>
              <w:t>月的社会保险缴纳证明材料（五险一金提供一项即可），且未担任其它在建工程的建造师；</w:t>
            </w:r>
          </w:p>
        </w:tc>
      </w:tr>
      <w:tr>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4</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sz w:val="24"/>
                <w:szCs w:val="24"/>
              </w:rPr>
              <w:t>税收缴纳证明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1620"/>
              </w:tabs>
              <w:adjustRightInd w:val="0"/>
              <w:snapToGrid w:val="0"/>
              <w:spacing w:line="360" w:lineRule="auto"/>
              <w:jc w:val="left"/>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sz w:val="24"/>
                <w:szCs w:val="24"/>
              </w:rPr>
              <w:t>提供开标前6个月缴纳的至少</w:t>
            </w:r>
            <w:r>
              <w:rPr>
                <w:rFonts w:hint="eastAsia" w:ascii="宋体" w:hAnsi="宋体" w:cs="宋体"/>
                <w:sz w:val="24"/>
                <w:szCs w:val="24"/>
                <w:lang w:val="en-US" w:eastAsia="zh-CN"/>
              </w:rPr>
              <w:t>1</w:t>
            </w:r>
            <w:r>
              <w:rPr>
                <w:rFonts w:hint="eastAsia" w:ascii="宋体" w:hAnsi="宋体" w:eastAsia="宋体" w:cs="宋体"/>
                <w:sz w:val="24"/>
                <w:szCs w:val="24"/>
              </w:rPr>
              <w:t>个月的纳税证明（银行缴费凭证）或完税证明，依法免税的单位应提供相关证明材料； </w:t>
            </w:r>
          </w:p>
        </w:tc>
      </w:tr>
      <w:tr>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sz w:val="24"/>
                <w:szCs w:val="24"/>
              </w:rPr>
              <w:t>社会保障资金缴纳证明</w:t>
            </w:r>
          </w:p>
        </w:tc>
        <w:tc>
          <w:tcPr>
            <w:tcW w:w="6358"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left"/>
              <w:rPr>
                <w:rFonts w:hint="eastAsia" w:ascii="宋体" w:hAnsi="宋体" w:eastAsia="宋体" w:cs="宋体"/>
                <w:snapToGrid w:val="0"/>
                <w:color w:val="auto"/>
                <w:kern w:val="0"/>
                <w:sz w:val="24"/>
                <w:szCs w:val="24"/>
                <w:lang w:eastAsia="zh-CN"/>
              </w:rPr>
            </w:pPr>
            <w:r>
              <w:rPr>
                <w:rFonts w:hint="eastAsia" w:ascii="宋体" w:hAnsi="宋体" w:eastAsia="宋体" w:cs="宋体"/>
                <w:sz w:val="24"/>
                <w:szCs w:val="24"/>
              </w:rPr>
              <w:t>提供开标前6个月缴纳的至少</w:t>
            </w:r>
            <w:r>
              <w:rPr>
                <w:rFonts w:hint="eastAsia" w:ascii="宋体" w:hAnsi="宋体" w:cs="宋体"/>
                <w:sz w:val="24"/>
                <w:szCs w:val="24"/>
                <w:lang w:val="en-US" w:eastAsia="zh-CN"/>
              </w:rPr>
              <w:t>1</w:t>
            </w:r>
            <w:r>
              <w:rPr>
                <w:rFonts w:hint="eastAsia" w:ascii="宋体" w:hAnsi="宋体" w:eastAsia="宋体" w:cs="宋体"/>
                <w:sz w:val="24"/>
                <w:szCs w:val="24"/>
              </w:rPr>
              <w:t>个月的社会保障资金银行缴费单据或社保机构开具的社会保险参保缴费情况证明，依法不需要缴纳社会保障资金的单位应提供相关证明材料； </w:t>
            </w:r>
          </w:p>
        </w:tc>
      </w:tr>
      <w:tr>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6</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sz w:val="24"/>
                <w:szCs w:val="24"/>
              </w:rPr>
              <w:t>财务要求</w:t>
            </w:r>
          </w:p>
        </w:tc>
        <w:tc>
          <w:tcPr>
            <w:tcW w:w="6358"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left"/>
              <w:rPr>
                <w:rFonts w:hint="eastAsia" w:ascii="宋体" w:hAnsi="宋体" w:cs="宋体"/>
                <w:color w:val="auto"/>
                <w:sz w:val="24"/>
                <w:szCs w:val="24"/>
                <w:shd w:val="clear" w:color="auto" w:fill="auto"/>
                <w:lang w:eastAsia="zh-CN"/>
              </w:rPr>
            </w:pPr>
            <w:r>
              <w:rPr>
                <w:rFonts w:hint="eastAsia" w:ascii="宋体" w:hAnsi="宋体" w:eastAsia="宋体" w:cs="宋体"/>
                <w:sz w:val="24"/>
                <w:szCs w:val="24"/>
              </w:rPr>
              <w:t>经会计事务所或审计机构出具的财务审计报告（2022年度）；2023年至今新成立公司须提供银行资信证明；</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7</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eastAsia="宋体" w:cs="宋体"/>
                <w:sz w:val="24"/>
                <w:szCs w:val="24"/>
                <w:lang w:val="en-US" w:eastAsia="zh-CN"/>
              </w:rPr>
              <w:t>无</w:t>
            </w:r>
            <w:r>
              <w:rPr>
                <w:rFonts w:hint="eastAsia" w:ascii="宋体" w:hAnsi="宋体" w:eastAsia="宋体" w:cs="宋体"/>
                <w:sz w:val="24"/>
                <w:szCs w:val="24"/>
              </w:rPr>
              <w:t>重大违法记录的书面声明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color w:val="auto"/>
                <w:sz w:val="24"/>
                <w:szCs w:val="24"/>
                <w:lang w:eastAsia="zh-CN"/>
              </w:rPr>
            </w:pPr>
            <w:r>
              <w:rPr>
                <w:rFonts w:hint="eastAsia" w:ascii="宋体" w:hAnsi="宋体" w:eastAsia="宋体" w:cs="宋体"/>
                <w:sz w:val="24"/>
                <w:szCs w:val="24"/>
              </w:rPr>
              <w:t>参加政府采购活动前三年内，在经营活动中没有重大违法记录的书面声明；</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cs="宋体"/>
                <w:color w:val="auto"/>
                <w:kern w:val="0"/>
                <w:sz w:val="24"/>
                <w:szCs w:val="24"/>
                <w:lang w:val="en-US" w:eastAsia="zh-CN"/>
              </w:rPr>
            </w:pP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设备和专业技术能力</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提供具有履行合同所必需的设备和专业技术能力的证明资料或承诺书；</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8</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宋体"/>
                <w:color w:val="auto"/>
                <w:sz w:val="24"/>
                <w:szCs w:val="24"/>
                <w:lang w:val="en-US" w:eastAsia="zh-CN"/>
              </w:rPr>
            </w:pPr>
            <w:r>
              <w:rPr>
                <w:rFonts w:hint="eastAsia" w:ascii="宋体" w:hAnsi="宋体" w:cs="宋体"/>
                <w:sz w:val="24"/>
                <w:szCs w:val="24"/>
                <w:lang w:val="en-US" w:eastAsia="zh-CN"/>
              </w:rPr>
              <w:t>信誉</w:t>
            </w:r>
            <w:r>
              <w:rPr>
                <w:rFonts w:hint="eastAsia" w:ascii="宋体" w:hAnsi="宋体" w:eastAsia="宋体" w:cs="宋体"/>
                <w:sz w:val="24"/>
                <w:szCs w:val="24"/>
                <w:lang w:val="en-US" w:eastAsia="zh-CN"/>
              </w:rPr>
              <w:t>截图</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pStyle w:val="34"/>
              <w:spacing w:line="360" w:lineRule="auto"/>
              <w:ind w:firstLine="0" w:firstLineChars="0"/>
              <w:rPr>
                <w:rFonts w:hint="eastAsia" w:ascii="宋体" w:hAnsi="宋体" w:eastAsia="宋体" w:cs="宋体"/>
                <w:color w:val="auto"/>
                <w:sz w:val="24"/>
                <w:szCs w:val="24"/>
              </w:rPr>
            </w:pPr>
            <w:r>
              <w:rPr>
                <w:rFonts w:hint="eastAsia" w:ascii="宋体" w:hAnsi="宋体" w:eastAsia="宋体" w:cs="宋体"/>
                <w:sz w:val="24"/>
                <w:szCs w:val="24"/>
              </w:rPr>
              <w:t>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自主上报信用承诺书</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val="0"/>
              <w:wordWrap/>
              <w:overflowPunct w:val="0"/>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投标人及其授权委托人应在“信用中国（陕西榆林）”网站(www.ylcredit.gov.cn)进行注册、登录、自主上报信用承诺书，包括：《</w:t>
            </w:r>
            <w:r>
              <w:rPr>
                <w:rFonts w:hint="eastAsia" w:ascii="宋体" w:hAnsi="宋体" w:eastAsia="宋体" w:cs="宋体"/>
                <w:i w:val="0"/>
                <w:iCs w:val="0"/>
                <w:caps w:val="0"/>
                <w:color w:val="auto"/>
                <w:spacing w:val="0"/>
                <w:sz w:val="24"/>
                <w:szCs w:val="24"/>
                <w:shd w:val="clear" w:color="auto" w:fill="FFFFFF"/>
                <w:lang w:eastAsia="zh-CN"/>
              </w:rPr>
              <w:t>榆林市政府采购</w:t>
            </w:r>
            <w:r>
              <w:rPr>
                <w:rFonts w:hint="eastAsia" w:ascii="宋体" w:hAnsi="宋体" w:eastAsia="宋体" w:cs="宋体"/>
                <w:i w:val="0"/>
                <w:iCs w:val="0"/>
                <w:caps w:val="0"/>
                <w:color w:val="auto"/>
                <w:spacing w:val="0"/>
                <w:sz w:val="24"/>
                <w:szCs w:val="24"/>
                <w:shd w:val="clear" w:color="auto" w:fill="FFFFFF"/>
                <w:lang w:val="en-US" w:eastAsia="zh-CN"/>
              </w:rPr>
              <w:t>工程</w:t>
            </w:r>
            <w:r>
              <w:rPr>
                <w:rFonts w:hint="eastAsia" w:ascii="宋体" w:hAnsi="宋体" w:eastAsia="宋体" w:cs="宋体"/>
                <w:i w:val="0"/>
                <w:iCs w:val="0"/>
                <w:caps w:val="0"/>
                <w:color w:val="auto"/>
                <w:spacing w:val="0"/>
                <w:sz w:val="24"/>
                <w:szCs w:val="24"/>
                <w:shd w:val="clear" w:color="auto" w:fill="FFFFFF"/>
                <w:lang w:eastAsia="zh-CN"/>
              </w:rPr>
              <w:t>类项目供应商信用承诺书</w:t>
            </w:r>
            <w:r>
              <w:rPr>
                <w:rFonts w:hint="eastAsia" w:ascii="宋体" w:hAnsi="宋体" w:eastAsia="宋体" w:cs="宋体"/>
                <w:i w:val="0"/>
                <w:iCs w:val="0"/>
                <w:caps w:val="0"/>
                <w:color w:val="auto"/>
                <w:spacing w:val="0"/>
                <w:sz w:val="24"/>
                <w:szCs w:val="24"/>
                <w:shd w:val="clear" w:color="auto" w:fill="FFFFFF"/>
              </w:rPr>
              <w:t>》、《投标人信用承诺》、《投标人委托代理人员信用承诺书》(如有)、《投标信用承诺书》。</w:t>
            </w:r>
          </w:p>
        </w:tc>
      </w:tr>
      <w:tr>
        <w:tblPrEx>
          <w:tblCellMar>
            <w:top w:w="0" w:type="dxa"/>
            <w:left w:w="108" w:type="dxa"/>
            <w:bottom w:w="0" w:type="dxa"/>
            <w:right w:w="108" w:type="dxa"/>
          </w:tblCellMar>
        </w:tblPrEx>
        <w:trPr>
          <w:trHeight w:val="81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eastAsia" w:ascii="宋体" w:hAnsi="宋体" w:eastAsia="宋体" w:cs="宋体"/>
                <w:color w:val="auto"/>
                <w:sz w:val="24"/>
                <w:szCs w:val="24"/>
              </w:rPr>
            </w:pPr>
            <w:r>
              <w:rPr>
                <w:rFonts w:hint="eastAsia" w:ascii="宋体" w:hAnsi="宋体" w:eastAsia="宋体" w:cs="宋体"/>
                <w:sz w:val="24"/>
                <w:szCs w:val="24"/>
              </w:rPr>
              <w:t>供应商信用承诺书</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widowControl/>
              <w:tabs>
                <w:tab w:val="left" w:pos="1620"/>
              </w:tabs>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sz w:val="24"/>
                <w:szCs w:val="24"/>
              </w:rPr>
              <w:t>榆林市政府采购工程类项目供应商信用承诺书；</w:t>
            </w:r>
          </w:p>
        </w:tc>
      </w:tr>
      <w:tr>
        <w:tblPrEx>
          <w:tblCellMar>
            <w:top w:w="0" w:type="dxa"/>
            <w:left w:w="108" w:type="dxa"/>
            <w:bottom w:w="0" w:type="dxa"/>
            <w:right w:w="108" w:type="dxa"/>
          </w:tblCellMar>
        </w:tblPrEx>
        <w:trPr>
          <w:trHeight w:val="57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11</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eastAsia" w:ascii="宋体" w:hAnsi="宋体" w:eastAsia="宋体" w:cs="宋体"/>
                <w:color w:val="auto"/>
                <w:sz w:val="24"/>
                <w:szCs w:val="24"/>
              </w:rPr>
            </w:pPr>
            <w:r>
              <w:rPr>
                <w:rFonts w:hint="eastAsia" w:ascii="宋体" w:hAnsi="宋体" w:cs="宋体"/>
                <w:color w:val="auto"/>
                <w:sz w:val="24"/>
                <w:szCs w:val="24"/>
              </w:rPr>
              <w:t>中小企业声明函</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sz w:val="24"/>
                <w:szCs w:val="24"/>
              </w:rPr>
              <w:t>本项目专门面向</w:t>
            </w:r>
            <w:r>
              <w:rPr>
                <w:rFonts w:hint="eastAsia" w:ascii="宋体" w:hAnsi="宋体" w:cs="宋体"/>
                <w:sz w:val="24"/>
                <w:szCs w:val="24"/>
                <w:lang w:val="en-US" w:eastAsia="zh-CN"/>
              </w:rPr>
              <w:t>中</w:t>
            </w:r>
            <w:r>
              <w:rPr>
                <w:rFonts w:hint="eastAsia" w:ascii="宋体" w:hAnsi="宋体" w:eastAsia="宋体" w:cs="宋体"/>
                <w:sz w:val="24"/>
                <w:szCs w:val="24"/>
              </w:rPr>
              <w:t>小企业（提供中小企业声明函）；</w:t>
            </w:r>
          </w:p>
        </w:tc>
      </w:tr>
      <w:tr>
        <w:tblPrEx>
          <w:tblCellMar>
            <w:top w:w="0" w:type="dxa"/>
            <w:left w:w="108" w:type="dxa"/>
            <w:bottom w:w="0" w:type="dxa"/>
            <w:right w:w="108" w:type="dxa"/>
          </w:tblCellMar>
        </w:tblPrEx>
        <w:trPr>
          <w:trHeight w:val="81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12</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非联合体投标声明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pStyle w:val="10"/>
              <w:tabs>
                <w:tab w:val="left" w:pos="6060"/>
              </w:tabs>
              <w:adjustRightInd w:val="0"/>
              <w:snapToGrid w:val="0"/>
              <w:spacing w:line="360" w:lineRule="auto"/>
              <w:rPr>
                <w:rFonts w:hint="eastAsia" w:ascii="宋体" w:hAnsi="宋体" w:eastAsia="宋体" w:cs="宋体"/>
                <w:bCs/>
                <w:color w:val="auto"/>
                <w:sz w:val="24"/>
                <w:szCs w:val="24"/>
              </w:rPr>
            </w:pPr>
            <w:r>
              <w:rPr>
                <w:rFonts w:hint="eastAsia" w:ascii="宋体" w:hAnsi="宋体" w:eastAsia="宋体" w:cs="宋体"/>
                <w:sz w:val="24"/>
                <w:szCs w:val="24"/>
              </w:rPr>
              <w:t>本项目不接受联合体投标，单位负责人为同一人或者存在直接控股、管理关系的不同投标人，不得参加同一合同项下的政府采购活动</w:t>
            </w:r>
            <w:r>
              <w:rPr>
                <w:rFonts w:hint="eastAsia" w:ascii="宋体" w:hAnsi="宋体" w:cs="宋体"/>
                <w:sz w:val="24"/>
                <w:szCs w:val="24"/>
                <w:lang w:eastAsia="zh-CN"/>
              </w:rPr>
              <w:t>（</w:t>
            </w:r>
            <w:r>
              <w:rPr>
                <w:rFonts w:hint="eastAsia" w:ascii="宋体" w:hAnsi="宋体" w:cs="宋体"/>
                <w:color w:val="000000" w:themeColor="text1"/>
                <w:sz w:val="24"/>
                <w:szCs w:val="24"/>
                <w:shd w:val="clear" w:color="auto" w:fill="auto"/>
                <w:lang w:val="en-US" w:eastAsia="zh-CN"/>
                <w14:textFill>
                  <w14:solidFill>
                    <w14:schemeClr w14:val="tx1"/>
                  </w14:solidFill>
                </w14:textFill>
              </w:rPr>
              <w:t>提供非联合体投标声明）</w:t>
            </w:r>
            <w:r>
              <w:rPr>
                <w:rFonts w:hint="eastAsia" w:ascii="宋体" w:hAnsi="宋体" w:eastAsia="宋体" w:cs="宋体"/>
                <w:sz w:val="24"/>
                <w:szCs w:val="24"/>
              </w:rPr>
              <w:t>。</w:t>
            </w:r>
          </w:p>
        </w:tc>
      </w:tr>
    </w:tbl>
    <w:p>
      <w:pPr>
        <w:widowControl/>
        <w:jc w:val="left"/>
        <w:rPr>
          <w:sz w:val="28"/>
          <w:szCs w:val="28"/>
        </w:rPr>
      </w:pPr>
      <w:r>
        <w:rPr>
          <w:rFonts w:hint="eastAsia" w:ascii="宋体" w:hAnsi="宋体" w:cs="宋体"/>
          <w:b/>
          <w:bCs/>
          <w:color w:val="000000"/>
          <w:kern w:val="0"/>
          <w:sz w:val="28"/>
          <w:szCs w:val="28"/>
          <w:lang w:bidi="ar"/>
        </w:rPr>
        <w:t>2）投标文件有效性、完整性检查（符合性审查）</w:t>
      </w:r>
    </w:p>
    <w:p>
      <w:pPr>
        <w:adjustRightInd w:val="0"/>
        <w:snapToGrid w:val="0"/>
        <w:spacing w:line="240" w:lineRule="auto"/>
        <w:jc w:val="left"/>
        <w:rPr>
          <w:rFonts w:hint="eastAsia" w:ascii="宋体" w:hAnsi="宋体" w:cs="宋体"/>
          <w:sz w:val="24"/>
        </w:rPr>
      </w:pPr>
      <w:r>
        <w:rPr>
          <w:rFonts w:hint="eastAsia" w:ascii="宋体" w:hAnsi="宋体" w:cs="宋体"/>
          <w:sz w:val="24"/>
        </w:rPr>
        <w:t>按照以下内容对投标文件进行符合性审查，一项不合格其投标即为无效投标。</w:t>
      </w:r>
    </w:p>
    <w:tbl>
      <w:tblPr>
        <w:tblStyle w:val="25"/>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8" w:hRule="atLeast"/>
        </w:trPr>
        <w:tc>
          <w:tcPr>
            <w:tcW w:w="817" w:type="dxa"/>
            <w:noWrap w:val="0"/>
            <w:vAlign w:val="center"/>
          </w:tcPr>
          <w:p>
            <w:pPr>
              <w:widowControl/>
              <w:jc w:val="center"/>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序号</w:t>
            </w:r>
          </w:p>
        </w:tc>
        <w:tc>
          <w:tcPr>
            <w:tcW w:w="2123" w:type="dxa"/>
            <w:noWrap w:val="0"/>
            <w:vAlign w:val="center"/>
          </w:tcPr>
          <w:p>
            <w:pPr>
              <w:widowControl/>
              <w:jc w:val="center"/>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评审因素</w:t>
            </w:r>
          </w:p>
        </w:tc>
        <w:tc>
          <w:tcPr>
            <w:tcW w:w="6593" w:type="dxa"/>
            <w:noWrap w:val="0"/>
            <w:vAlign w:val="center"/>
          </w:tcPr>
          <w:p>
            <w:pPr>
              <w:widowControl/>
              <w:jc w:val="center"/>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pPr>
              <w:pStyle w:val="23"/>
              <w:ind w:firstLine="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2123" w:type="dxa"/>
            <w:noWrap w:val="0"/>
            <w:vAlign w:val="center"/>
          </w:tcPr>
          <w:p>
            <w:pPr>
              <w:keepNext w:val="0"/>
              <w:keepLines w:val="0"/>
              <w:suppressLineNumbers w:val="0"/>
              <w:spacing w:before="0" w:beforeAutospacing="0" w:after="0" w:afterAutospacing="0"/>
              <w:ind w:left="0" w:leftChars="0" w:right="0" w:rightChars="0"/>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响应文件项目名称、项目编号、标段（未划分标段的除外）</w:t>
            </w:r>
          </w:p>
        </w:tc>
        <w:tc>
          <w:tcPr>
            <w:tcW w:w="6593" w:type="dxa"/>
            <w:noWrap w:val="0"/>
            <w:vAlign w:val="center"/>
          </w:tcPr>
          <w:p>
            <w:pPr>
              <w:spacing w:line="360" w:lineRule="auto"/>
              <w:jc w:val="left"/>
              <w:rPr>
                <w:rFonts w:hint="eastAsia" w:ascii="宋体" w:hAnsi="宋体" w:eastAsia="宋体" w:cs="宋体"/>
                <w:kern w:val="2"/>
                <w:sz w:val="24"/>
                <w:szCs w:val="24"/>
                <w:lang w:val="en-US" w:eastAsia="zh-CN" w:bidi="ar-SA"/>
              </w:rPr>
            </w:pPr>
            <w:r>
              <w:rPr>
                <w:rFonts w:hint="eastAsia" w:ascii="宋体" w:hAnsi="宋体" w:cs="宋体"/>
                <w:sz w:val="24"/>
                <w:szCs w:val="24"/>
              </w:rPr>
              <w:t>投标文件的项目名称、项目编号、标段与本项目完全一致，且无遗漏。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817" w:type="dxa"/>
            <w:noWrap w:val="0"/>
            <w:vAlign w:val="center"/>
          </w:tcPr>
          <w:p>
            <w:pPr>
              <w:pStyle w:val="23"/>
              <w:ind w:firstLine="0"/>
              <w:jc w:val="center"/>
              <w:rPr>
                <w:rFonts w:hint="default" w:ascii="宋体" w:hAnsi="宋体" w:cs="宋体"/>
                <w:sz w:val="24"/>
                <w:szCs w:val="24"/>
                <w:lang w:val="en-US" w:eastAsia="zh-CN"/>
              </w:rPr>
            </w:pPr>
            <w:r>
              <w:rPr>
                <w:rFonts w:hint="eastAsia" w:ascii="宋体" w:hAnsi="宋体" w:cs="宋体"/>
                <w:sz w:val="24"/>
                <w:szCs w:val="24"/>
                <w:lang w:val="en-US" w:eastAsia="zh-CN"/>
              </w:rPr>
              <w:t>2</w:t>
            </w:r>
          </w:p>
        </w:tc>
        <w:tc>
          <w:tcPr>
            <w:tcW w:w="2123" w:type="dxa"/>
            <w:noWrap w:val="0"/>
            <w:vAlign w:val="center"/>
          </w:tcPr>
          <w:p>
            <w:pPr>
              <w:keepNext w:val="0"/>
              <w:keepLines w:val="0"/>
              <w:suppressLineNumbers w:val="0"/>
              <w:spacing w:before="0" w:beforeAutospacing="0" w:after="0" w:afterAutospacing="0"/>
              <w:ind w:left="0" w:leftChars="0" w:right="0" w:rightChars="0"/>
              <w:jc w:val="left"/>
              <w:rPr>
                <w:rFonts w:hint="eastAsia" w:ascii="宋体" w:hAnsi="宋体" w:eastAsia="宋体" w:cs="宋体"/>
                <w:sz w:val="24"/>
                <w:szCs w:val="24"/>
              </w:rPr>
            </w:pPr>
            <w:r>
              <w:rPr>
                <w:rFonts w:hint="eastAsia" w:ascii="宋体" w:hAnsi="宋体" w:eastAsia="宋体" w:cs="宋体"/>
                <w:sz w:val="24"/>
                <w:szCs w:val="24"/>
              </w:rPr>
              <w:t>响应文件组成</w:t>
            </w:r>
          </w:p>
        </w:tc>
        <w:tc>
          <w:tcPr>
            <w:tcW w:w="6593" w:type="dxa"/>
            <w:noWrap w:val="0"/>
            <w:vAlign w:val="center"/>
          </w:tcPr>
          <w:p>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宋体"/>
                <w:sz w:val="24"/>
                <w:szCs w:val="24"/>
              </w:rPr>
            </w:pPr>
            <w:r>
              <w:rPr>
                <w:rFonts w:hint="eastAsia" w:ascii="宋体" w:hAnsi="宋体" w:eastAsia="宋体" w:cs="宋体"/>
                <w:b w:val="0"/>
                <w:kern w:val="2"/>
                <w:sz w:val="24"/>
                <w:szCs w:val="24"/>
                <w:lang w:val="en-US" w:eastAsia="zh-CN" w:bidi="ar-SA"/>
              </w:rPr>
              <w:t>没有私自篡改磋商文件中规定的磋商响应文件格式及相关内容，按磋商文件中规定的磋商响应文件格式填写相关内容的。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pPr>
              <w:pStyle w:val="23"/>
              <w:ind w:firstLine="0"/>
              <w:jc w:val="center"/>
              <w:rPr>
                <w:rFonts w:hint="default" w:ascii="宋体" w:hAnsi="宋体" w:cs="宋体"/>
                <w:sz w:val="24"/>
                <w:szCs w:val="24"/>
                <w:lang w:val="en-US" w:eastAsia="zh-CN"/>
              </w:rPr>
            </w:pPr>
            <w:r>
              <w:rPr>
                <w:rFonts w:hint="eastAsia" w:ascii="宋体" w:hAnsi="宋体" w:cs="宋体"/>
                <w:sz w:val="24"/>
                <w:szCs w:val="24"/>
                <w:lang w:val="en-US" w:eastAsia="zh-CN"/>
              </w:rPr>
              <w:t>3</w:t>
            </w:r>
          </w:p>
        </w:tc>
        <w:tc>
          <w:tcPr>
            <w:tcW w:w="2123" w:type="dxa"/>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szCs w:val="24"/>
              </w:rPr>
              <w:t>投标函</w:t>
            </w:r>
          </w:p>
        </w:tc>
        <w:tc>
          <w:tcPr>
            <w:tcW w:w="6593" w:type="dxa"/>
            <w:noWrap w:val="0"/>
            <w:vAlign w:val="center"/>
          </w:tcPr>
          <w:p>
            <w:pPr>
              <w:adjustRightInd w:val="0"/>
              <w:snapToGrid w:val="0"/>
              <w:rPr>
                <w:rFonts w:hint="eastAsia" w:ascii="宋体" w:hAnsi="宋体" w:eastAsia="宋体" w:cs="宋体"/>
                <w:kern w:val="2"/>
                <w:sz w:val="24"/>
                <w:szCs w:val="24"/>
                <w:lang w:val="en-US" w:eastAsia="zh-CN" w:bidi="ar-SA"/>
              </w:rPr>
            </w:pPr>
            <w:r>
              <w:rPr>
                <w:rFonts w:hint="eastAsia" w:ascii="宋体" w:hAnsi="宋体" w:cs="宋体"/>
                <w:sz w:val="24"/>
                <w:szCs w:val="24"/>
              </w:rPr>
              <w:t>加盖投标人公章，且经法定代表人或其授权代表签字或盖章。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pPr>
              <w:pStyle w:val="23"/>
              <w:ind w:firstLine="0"/>
              <w:jc w:val="center"/>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cs="宋体"/>
                <w:sz w:val="24"/>
                <w:szCs w:val="24"/>
              </w:rPr>
              <w:t>法定代表人授权书</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响应</w:t>
            </w:r>
            <w:r>
              <w:rPr>
                <w:rFonts w:hint="eastAsia" w:ascii="宋体" w:hAnsi="宋体" w:cs="宋体"/>
                <w:sz w:val="24"/>
                <w:szCs w:val="24"/>
              </w:rPr>
              <w:t>文件有法定代表人授权书（法人直接投标除外）且授权书的合法性和有效性符合竞争性</w:t>
            </w:r>
            <w:r>
              <w:rPr>
                <w:rFonts w:hint="eastAsia" w:ascii="宋体" w:hAnsi="宋体" w:cs="宋体"/>
                <w:sz w:val="24"/>
                <w:szCs w:val="24"/>
                <w:lang w:val="en-US" w:eastAsia="zh-CN"/>
              </w:rPr>
              <w:t>磋商</w:t>
            </w:r>
            <w:r>
              <w:rPr>
                <w:rFonts w:hint="eastAsia" w:ascii="宋体" w:hAnsi="宋体" w:cs="宋体"/>
                <w:sz w:val="24"/>
                <w:szCs w:val="24"/>
              </w:rPr>
              <w:t>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pPr>
              <w:pStyle w:val="23"/>
              <w:ind w:firstLine="0"/>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响应文件签署、盖章</w:t>
            </w:r>
          </w:p>
        </w:tc>
        <w:tc>
          <w:tcPr>
            <w:tcW w:w="6593" w:type="dxa"/>
            <w:noWrap w:val="0"/>
            <w:vAlign w:val="center"/>
          </w:tcPr>
          <w:p>
            <w:pPr>
              <w:keepNext w:val="0"/>
              <w:keepLines w:val="0"/>
              <w:suppressLineNumbers w:val="0"/>
              <w:spacing w:before="0" w:beforeAutospacing="0" w:after="0" w:afterAutospacing="0"/>
              <w:ind w:left="0" w:leftChars="0" w:right="0" w:rightChars="0"/>
              <w:jc w:val="both"/>
              <w:rPr>
                <w:rFonts w:hint="eastAsia" w:ascii="宋体" w:hAnsi="宋体" w:eastAsia="宋体" w:cs="宋体"/>
                <w:sz w:val="24"/>
                <w:szCs w:val="24"/>
              </w:rPr>
            </w:pPr>
            <w:r>
              <w:rPr>
                <w:rFonts w:hint="eastAsia" w:ascii="宋体" w:hAnsi="宋体" w:eastAsia="宋体" w:cs="宋体"/>
                <w:sz w:val="24"/>
                <w:szCs w:val="24"/>
              </w:rPr>
              <w:t>签署、盖章符合</w:t>
            </w:r>
            <w:r>
              <w:rPr>
                <w:rFonts w:hint="eastAsia" w:ascii="宋体" w:hAnsi="宋体" w:cs="宋体"/>
                <w:sz w:val="24"/>
                <w:szCs w:val="24"/>
                <w:lang w:val="en-US" w:eastAsia="zh-CN"/>
              </w:rPr>
              <w:t>磋商</w:t>
            </w:r>
            <w:r>
              <w:rPr>
                <w:rFonts w:hint="eastAsia" w:ascii="宋体" w:hAnsi="宋体" w:eastAsia="宋体" w:cs="宋体"/>
                <w:sz w:val="24"/>
                <w:szCs w:val="24"/>
              </w:rPr>
              <w:t>文件要求，且无遗漏</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7" w:type="dxa"/>
            <w:noWrap w:val="0"/>
            <w:vAlign w:val="center"/>
          </w:tcPr>
          <w:p>
            <w:pPr>
              <w:pStyle w:val="23"/>
              <w:ind w:firstLine="0"/>
              <w:jc w:val="center"/>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响应文件有效期</w:t>
            </w:r>
          </w:p>
        </w:tc>
        <w:tc>
          <w:tcPr>
            <w:tcW w:w="6593" w:type="dxa"/>
            <w:noWrap w:val="0"/>
            <w:vAlign w:val="center"/>
          </w:tcPr>
          <w:p>
            <w:pPr>
              <w:keepNext w:val="0"/>
              <w:keepLines w:val="0"/>
              <w:suppressLineNumbers w:val="0"/>
              <w:spacing w:before="0" w:beforeAutospacing="0" w:after="0" w:afterAutospacing="0"/>
              <w:ind w:left="0" w:leftChars="0" w:right="0" w:rightChars="0"/>
              <w:jc w:val="both"/>
              <w:rPr>
                <w:rFonts w:hint="eastAsia" w:ascii="宋体" w:hAnsi="宋体" w:eastAsia="宋体" w:cs="宋体"/>
                <w:sz w:val="24"/>
                <w:szCs w:val="24"/>
              </w:rPr>
            </w:pPr>
            <w:r>
              <w:rPr>
                <w:rFonts w:hint="eastAsia" w:ascii="宋体" w:hAnsi="宋体" w:eastAsia="宋体" w:cs="宋体"/>
                <w:sz w:val="24"/>
                <w:szCs w:val="24"/>
              </w:rPr>
              <w:t>符合</w:t>
            </w:r>
            <w:r>
              <w:rPr>
                <w:rFonts w:hint="eastAsia" w:ascii="宋体" w:hAnsi="宋体" w:cs="宋体"/>
                <w:sz w:val="24"/>
                <w:szCs w:val="24"/>
                <w:lang w:val="en-US" w:eastAsia="zh-CN"/>
              </w:rPr>
              <w:t>磋商</w:t>
            </w:r>
            <w:r>
              <w:rPr>
                <w:rFonts w:hint="eastAsia" w:ascii="宋体" w:hAnsi="宋体" w:eastAsia="宋体" w:cs="宋体"/>
                <w:sz w:val="24"/>
                <w:szCs w:val="24"/>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noWrap w:val="0"/>
            <w:vAlign w:val="center"/>
          </w:tcPr>
          <w:p>
            <w:pPr>
              <w:pStyle w:val="23"/>
              <w:ind w:firstLine="0"/>
              <w:jc w:val="center"/>
              <w:rPr>
                <w:rFonts w:hint="eastAsia" w:ascii="宋体" w:hAnsi="宋体" w:eastAsia="宋体" w:cs="宋体"/>
                <w:sz w:val="24"/>
                <w:szCs w:val="24"/>
                <w:lang w:eastAsia="zh-CN"/>
              </w:rPr>
            </w:pPr>
            <w:r>
              <w:rPr>
                <w:rFonts w:hint="eastAsia" w:ascii="宋体" w:hAnsi="宋体" w:cs="宋体"/>
                <w:sz w:val="24"/>
                <w:szCs w:val="24"/>
                <w:lang w:val="en-US" w:eastAsia="zh-CN"/>
              </w:rPr>
              <w:t>7</w:t>
            </w:r>
          </w:p>
        </w:tc>
        <w:tc>
          <w:tcPr>
            <w:tcW w:w="2123"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lang w:val="en-US" w:eastAsia="zh-CN"/>
              </w:rPr>
              <w:t>磋商</w:t>
            </w:r>
            <w:r>
              <w:rPr>
                <w:rFonts w:hint="eastAsia" w:ascii="宋体" w:hAnsi="宋体" w:eastAsia="宋体" w:cs="宋体"/>
                <w:sz w:val="24"/>
                <w:szCs w:val="24"/>
              </w:rPr>
              <w:t>报价</w:t>
            </w:r>
          </w:p>
        </w:tc>
        <w:tc>
          <w:tcPr>
            <w:tcW w:w="6593" w:type="dxa"/>
            <w:noWrap w:val="0"/>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同时满足以下条款：</w:t>
            </w:r>
          </w:p>
          <w:p>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磋商</w:t>
            </w:r>
            <w:r>
              <w:rPr>
                <w:rFonts w:hint="eastAsia" w:ascii="宋体" w:hAnsi="宋体" w:eastAsia="宋体" w:cs="宋体"/>
                <w:sz w:val="24"/>
                <w:szCs w:val="24"/>
              </w:rPr>
              <w:t>报价符合唯一性要求；</w:t>
            </w:r>
          </w:p>
          <w:p>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（2）第一次</w:t>
            </w:r>
            <w:r>
              <w:rPr>
                <w:rFonts w:hint="eastAsia" w:ascii="宋体" w:hAnsi="宋体" w:eastAsia="宋体" w:cs="宋体"/>
                <w:sz w:val="24"/>
                <w:szCs w:val="24"/>
                <w:lang w:val="en-US" w:eastAsia="zh-CN"/>
              </w:rPr>
              <w:t>磋商</w:t>
            </w:r>
            <w:r>
              <w:rPr>
                <w:rFonts w:hint="eastAsia" w:ascii="宋体" w:hAnsi="宋体" w:eastAsia="宋体" w:cs="宋体"/>
                <w:sz w:val="24"/>
                <w:szCs w:val="24"/>
              </w:rPr>
              <w:t>报价表填写符合要求；</w:t>
            </w:r>
          </w:p>
          <w:p>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（3）报价货币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单位</w:t>
            </w:r>
            <w:r>
              <w:rPr>
                <w:rFonts w:hint="eastAsia" w:ascii="宋体" w:hAnsi="宋体" w:eastAsia="宋体" w:cs="宋体"/>
                <w:sz w:val="24"/>
                <w:szCs w:val="24"/>
              </w:rPr>
              <w:t>符合</w:t>
            </w:r>
            <w:r>
              <w:rPr>
                <w:rFonts w:hint="eastAsia" w:ascii="宋体" w:hAnsi="宋体" w:eastAsia="宋体" w:cs="宋体"/>
                <w:sz w:val="24"/>
                <w:szCs w:val="24"/>
                <w:lang w:val="en-US" w:eastAsia="zh-CN"/>
              </w:rPr>
              <w:t>磋商</w:t>
            </w:r>
            <w:r>
              <w:rPr>
                <w:rFonts w:hint="eastAsia" w:ascii="宋体" w:hAnsi="宋体" w:eastAsia="宋体" w:cs="宋体"/>
                <w:sz w:val="24"/>
                <w:szCs w:val="24"/>
              </w:rPr>
              <w:t>文件要求；</w:t>
            </w:r>
          </w:p>
          <w:p>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宋体"/>
                <w:sz w:val="24"/>
                <w:szCs w:val="24"/>
              </w:rPr>
            </w:pPr>
            <w:r>
              <w:rPr>
                <w:rFonts w:hint="eastAsia" w:ascii="宋体" w:hAnsi="宋体" w:eastAsia="宋体" w:cs="宋体"/>
                <w:sz w:val="24"/>
                <w:szCs w:val="24"/>
              </w:rPr>
              <w:t>（4）未超出采购预算或</w:t>
            </w:r>
            <w:r>
              <w:rPr>
                <w:rFonts w:hint="eastAsia" w:ascii="宋体" w:hAnsi="宋体" w:eastAsia="宋体" w:cs="宋体"/>
                <w:sz w:val="24"/>
                <w:szCs w:val="24"/>
                <w:lang w:val="en-US" w:eastAsia="zh-CN"/>
              </w:rPr>
              <w:t>磋商</w:t>
            </w:r>
            <w:r>
              <w:rPr>
                <w:rFonts w:hint="eastAsia" w:ascii="宋体" w:hAnsi="宋体" w:eastAsia="宋体" w:cs="宋体"/>
                <w:sz w:val="24"/>
                <w:szCs w:val="24"/>
              </w:rPr>
              <w:t>文件规定的最高限价；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pPr>
              <w:pStyle w:val="23"/>
              <w:ind w:firstLine="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8</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磋商</w:t>
            </w:r>
            <w:r>
              <w:rPr>
                <w:rFonts w:hint="eastAsia" w:ascii="宋体" w:hAnsi="宋体" w:cs="宋体"/>
                <w:sz w:val="24"/>
                <w:szCs w:val="24"/>
                <w:highlight w:val="none"/>
              </w:rPr>
              <w:t>响应文件编写</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磋商</w:t>
            </w:r>
            <w:r>
              <w:rPr>
                <w:rFonts w:hint="eastAsia" w:ascii="宋体" w:hAnsi="宋体" w:cs="宋体"/>
                <w:sz w:val="24"/>
                <w:szCs w:val="24"/>
                <w:highlight w:val="none"/>
              </w:rPr>
              <w:t>响应文件按照竞争性</w:t>
            </w:r>
            <w:r>
              <w:rPr>
                <w:rFonts w:hint="eastAsia" w:ascii="宋体" w:hAnsi="宋体" w:cs="宋体"/>
                <w:sz w:val="24"/>
                <w:szCs w:val="24"/>
                <w:highlight w:val="none"/>
                <w:lang w:val="en-US" w:eastAsia="zh-CN"/>
              </w:rPr>
              <w:t>磋商</w:t>
            </w:r>
            <w:r>
              <w:rPr>
                <w:rFonts w:hint="eastAsia" w:ascii="宋体" w:hAnsi="宋体" w:cs="宋体"/>
                <w:sz w:val="24"/>
                <w:szCs w:val="24"/>
                <w:highlight w:val="none"/>
              </w:rPr>
              <w:t>文件要求的格式编写及</w:t>
            </w:r>
            <w:r>
              <w:rPr>
                <w:rFonts w:hint="eastAsia" w:ascii="宋体" w:hAnsi="宋体" w:cs="宋体"/>
                <w:sz w:val="24"/>
                <w:szCs w:val="24"/>
                <w:highlight w:val="none"/>
                <w:lang w:val="en-US" w:eastAsia="zh-CN"/>
              </w:rPr>
              <w:t>磋商</w:t>
            </w:r>
            <w:r>
              <w:rPr>
                <w:rFonts w:hint="eastAsia" w:ascii="宋体" w:hAnsi="宋体" w:cs="宋体"/>
                <w:sz w:val="24"/>
                <w:szCs w:val="24"/>
                <w:highlight w:val="none"/>
              </w:rPr>
              <w:t>响应文件的关键内容字迹清晰、可辨认的。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pPr>
              <w:pStyle w:val="23"/>
              <w:ind w:firstLine="0"/>
              <w:jc w:val="center"/>
              <w:rPr>
                <w:rFonts w:hint="eastAsia" w:ascii="宋体" w:hAnsi="宋体" w:eastAsia="宋体" w:cs="宋体"/>
                <w:sz w:val="24"/>
                <w:szCs w:val="24"/>
                <w:lang w:eastAsia="zh-CN"/>
              </w:rPr>
            </w:pPr>
            <w:r>
              <w:rPr>
                <w:rFonts w:hint="eastAsia" w:ascii="宋体" w:hAnsi="宋体" w:cs="宋体"/>
                <w:sz w:val="24"/>
                <w:szCs w:val="24"/>
                <w:lang w:val="en-US" w:eastAsia="zh-CN"/>
              </w:rPr>
              <w:t>9</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cs="宋体"/>
                <w:sz w:val="24"/>
                <w:szCs w:val="24"/>
              </w:rPr>
              <w:t>虚假材料</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4"/>
              </w:rPr>
            </w:pPr>
            <w:r>
              <w:rPr>
                <w:rFonts w:hint="eastAsia" w:ascii="宋体" w:hAnsi="宋体" w:cs="宋体"/>
                <w:sz w:val="24"/>
                <w:szCs w:val="24"/>
              </w:rPr>
              <w:t>未提供虚假证明（包括第三方提供的虚假证明），未开具虚假资质，未出现虚假应答。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817" w:type="dxa"/>
            <w:noWrap w:val="0"/>
            <w:vAlign w:val="center"/>
          </w:tcPr>
          <w:p>
            <w:pPr>
              <w:pStyle w:val="23"/>
              <w:ind w:firstLine="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实质性条款响应</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4"/>
              </w:rPr>
            </w:pPr>
            <w:r>
              <w:rPr>
                <w:rFonts w:hint="eastAsia" w:ascii="宋体" w:hAnsi="宋体" w:cs="宋体"/>
                <w:sz w:val="24"/>
                <w:szCs w:val="24"/>
              </w:rPr>
              <w:t>对竞争性</w:t>
            </w:r>
            <w:r>
              <w:rPr>
                <w:rFonts w:hint="eastAsia" w:ascii="宋体" w:hAnsi="宋体" w:cs="宋体"/>
                <w:sz w:val="24"/>
                <w:szCs w:val="24"/>
                <w:lang w:val="en-US" w:eastAsia="zh-CN"/>
              </w:rPr>
              <w:t>磋商</w:t>
            </w:r>
            <w:r>
              <w:rPr>
                <w:rFonts w:hint="eastAsia" w:ascii="宋体" w:hAnsi="宋体" w:cs="宋体"/>
                <w:sz w:val="24"/>
                <w:szCs w:val="24"/>
              </w:rPr>
              <w:t>文件做出了实质性响应没有重大缺项漏项,无明显不符合技术规格、技术标准的要求的。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pPr>
              <w:pStyle w:val="23"/>
              <w:ind w:firstLine="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11</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cs="宋体"/>
                <w:sz w:val="24"/>
                <w:szCs w:val="24"/>
              </w:rPr>
              <w:t>商务要求</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4"/>
                <w:lang w:eastAsia="zh-CN"/>
              </w:rPr>
            </w:pPr>
            <w:r>
              <w:rPr>
                <w:rFonts w:hint="eastAsia" w:ascii="宋体" w:hAnsi="宋体" w:cs="宋体"/>
                <w:sz w:val="24"/>
                <w:szCs w:val="24"/>
              </w:rPr>
              <w:t>商务要求逐条响应并满足竞争性</w:t>
            </w:r>
            <w:r>
              <w:rPr>
                <w:rFonts w:hint="eastAsia" w:ascii="宋体" w:hAnsi="宋体" w:cs="宋体"/>
                <w:sz w:val="24"/>
                <w:szCs w:val="24"/>
                <w:lang w:val="en-US" w:eastAsia="zh-CN"/>
              </w:rPr>
              <w:t>磋商</w:t>
            </w:r>
            <w:r>
              <w:rPr>
                <w:rFonts w:hint="eastAsia" w:ascii="宋体" w:hAnsi="宋体" w:cs="宋体"/>
                <w:sz w:val="24"/>
                <w:szCs w:val="24"/>
              </w:rPr>
              <w:t>文件要求</w:t>
            </w:r>
            <w:r>
              <w:rPr>
                <w:rFonts w:hint="eastAsia" w:ascii="宋体" w:hAnsi="宋体" w:cs="宋体"/>
                <w:sz w:val="24"/>
                <w:szCs w:val="24"/>
                <w:lang w:eastAsia="zh-CN"/>
              </w:rPr>
              <w:t>；</w:t>
            </w:r>
            <w:r>
              <w:rPr>
                <w:rFonts w:hint="eastAsia" w:ascii="宋体" w:hAnsi="宋体" w:eastAsia="宋体" w:cs="宋体"/>
                <w:sz w:val="24"/>
                <w:szCs w:val="24"/>
              </w:rPr>
              <w:t>投标文件在商务响应方面未附加采购单位难以接受的条件</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pPr>
              <w:pStyle w:val="23"/>
              <w:ind w:firstLine="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cs="宋体"/>
                <w:sz w:val="24"/>
                <w:szCs w:val="24"/>
              </w:rPr>
              <w:t>其他要求</w:t>
            </w:r>
          </w:p>
        </w:tc>
        <w:tc>
          <w:tcPr>
            <w:tcW w:w="6593" w:type="dxa"/>
            <w:noWrap w:val="0"/>
            <w:vAlign w:val="center"/>
          </w:tcPr>
          <w:p>
            <w:pPr>
              <w:keepNext w:val="0"/>
              <w:keepLines w:val="0"/>
              <w:suppressLineNumbers w:val="0"/>
              <w:spacing w:before="0" w:beforeAutospacing="0" w:after="0" w:afterAutospacing="0" w:line="360" w:lineRule="auto"/>
              <w:ind w:left="0" w:leftChars="0" w:right="0" w:rightChars="0"/>
              <w:rPr>
                <w:rFonts w:hint="eastAsia" w:ascii="宋体" w:hAnsi="宋体" w:eastAsia="宋体" w:cs="宋体"/>
                <w:sz w:val="24"/>
                <w:szCs w:val="24"/>
              </w:rPr>
            </w:pPr>
            <w:r>
              <w:rPr>
                <w:rFonts w:hint="eastAsia" w:ascii="宋体" w:hAnsi="宋体" w:cs="宋体"/>
                <w:sz w:val="24"/>
                <w:szCs w:val="24"/>
              </w:rPr>
              <w:t>完全理解并接受法律法规和</w:t>
            </w:r>
            <w:r>
              <w:rPr>
                <w:rFonts w:hint="eastAsia" w:ascii="宋体" w:hAnsi="宋体" w:cs="宋体"/>
                <w:sz w:val="24"/>
                <w:szCs w:val="24"/>
                <w:lang w:val="en-US" w:eastAsia="zh-CN"/>
              </w:rPr>
              <w:t>磋商</w:t>
            </w:r>
            <w:r>
              <w:rPr>
                <w:rFonts w:hint="eastAsia" w:ascii="宋体" w:hAnsi="宋体" w:cs="宋体"/>
                <w:sz w:val="24"/>
                <w:szCs w:val="24"/>
              </w:rPr>
              <w:t>文件对供应商的各项须知、规约要求和责任义务，没有出现法律法规或</w:t>
            </w:r>
            <w:r>
              <w:rPr>
                <w:rFonts w:hint="eastAsia" w:ascii="宋体" w:hAnsi="宋体" w:cs="宋体"/>
                <w:sz w:val="24"/>
                <w:szCs w:val="24"/>
                <w:lang w:val="en-US" w:eastAsia="zh-CN"/>
              </w:rPr>
              <w:t>磋商</w:t>
            </w:r>
            <w:r>
              <w:rPr>
                <w:rFonts w:hint="eastAsia" w:ascii="宋体" w:hAnsi="宋体" w:cs="宋体"/>
                <w:sz w:val="24"/>
                <w:szCs w:val="24"/>
              </w:rPr>
              <w:t>文件明确规定的其他被视为“无效响应”的情形。</w:t>
            </w:r>
          </w:p>
        </w:tc>
      </w:tr>
    </w:tbl>
    <w:p>
      <w:pPr>
        <w:widowControl/>
        <w:jc w:val="left"/>
        <w:rPr>
          <w:rFonts w:hint="eastAsia" w:ascii="宋体" w:hAnsi="宋体" w:cs="宋体"/>
          <w:b/>
          <w:bCs/>
          <w:color w:val="000000"/>
          <w:kern w:val="0"/>
          <w:sz w:val="28"/>
          <w:szCs w:val="28"/>
          <w:lang w:bidi="ar"/>
        </w:rPr>
        <w:sectPr>
          <w:pgSz w:w="11906" w:h="16838"/>
          <w:pgMar w:top="1219" w:right="1800" w:bottom="1219" w:left="1800" w:header="851" w:footer="992" w:gutter="0"/>
          <w:pgNumType w:fmt="decimal"/>
          <w:cols w:space="720" w:num="1"/>
          <w:docGrid w:type="lines" w:linePitch="312" w:charSpace="0"/>
        </w:sectPr>
      </w:pPr>
    </w:p>
    <w:p>
      <w:pPr>
        <w:widowControl/>
        <w:numPr>
          <w:ilvl w:val="0"/>
          <w:numId w:val="5"/>
        </w:numPr>
        <w:ind w:left="0" w:leftChars="0" w:firstLine="562" w:firstLineChars="200"/>
        <w:jc w:val="left"/>
        <w:rPr>
          <w:rFonts w:hint="eastAsia"/>
        </w:rPr>
      </w:pPr>
      <w:r>
        <w:rPr>
          <w:rFonts w:hint="eastAsia" w:ascii="宋体" w:hAnsi="宋体" w:cs="宋体"/>
          <w:b/>
          <w:bCs/>
          <w:color w:val="000000"/>
          <w:kern w:val="0"/>
          <w:sz w:val="28"/>
          <w:szCs w:val="28"/>
          <w:lang w:bidi="ar"/>
        </w:rPr>
        <w:t>详细评审</w:t>
      </w:r>
    </w:p>
    <w:tbl>
      <w:tblPr>
        <w:tblStyle w:val="25"/>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790"/>
        <w:gridCol w:w="6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781" w:type="dxa"/>
            <w:gridSpan w:val="3"/>
            <w:noWrap w:val="0"/>
            <w:vAlign w:val="center"/>
          </w:tcPr>
          <w:p>
            <w:pPr>
              <w:spacing w:line="360" w:lineRule="auto"/>
              <w:ind w:firstLine="482" w:firstLineChars="200"/>
              <w:jc w:val="center"/>
              <w:rPr>
                <w:rFonts w:hint="eastAsia" w:ascii="宋体" w:hAnsi="宋体" w:eastAsia="宋体" w:cs="宋体"/>
                <w:b/>
                <w:color w:val="000000"/>
                <w:kern w:val="0"/>
                <w:sz w:val="21"/>
                <w:szCs w:val="21"/>
                <w:lang w:val="en-US" w:eastAsia="zh-CN" w:bidi="ar"/>
              </w:rPr>
            </w:pPr>
            <w:r>
              <w:rPr>
                <w:rFonts w:hint="eastAsia" w:ascii="宋体" w:hAnsi="宋体" w:eastAsia="宋体" w:cs="宋体"/>
                <w:b/>
                <w:color w:val="000000"/>
                <w:kern w:val="0"/>
                <w:sz w:val="24"/>
                <w:szCs w:val="24"/>
                <w:lang w:val="en-US" w:eastAsia="zh-CN" w:bidi="ar"/>
              </w:rPr>
              <w:t>评审分值结构表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000000"/>
                <w:kern w:val="2"/>
                <w:sz w:val="24"/>
                <w:szCs w:val="24"/>
                <w:lang w:val="en-US" w:eastAsia="zh-CN" w:bidi="ar-SA"/>
              </w:rPr>
            </w:pPr>
          </w:p>
        </w:tc>
        <w:tc>
          <w:tcPr>
            <w:tcW w:w="179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b/>
                <w:bCs/>
                <w:color w:val="000000"/>
                <w:sz w:val="24"/>
                <w:szCs w:val="24"/>
              </w:rPr>
              <w:t>评分项</w:t>
            </w:r>
          </w:p>
        </w:tc>
        <w:tc>
          <w:tcPr>
            <w:tcW w:w="6767"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b/>
                <w:bCs/>
                <w:color w:val="000000"/>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1224" w:type="dxa"/>
            <w:noWrap w:val="0"/>
            <w:vAlign w:val="center"/>
          </w:tcPr>
          <w:p>
            <w:pPr>
              <w:spacing w:line="360" w:lineRule="auto"/>
              <w:ind w:left="-118" w:leftChars="-56" w:right="-94" w:rightChars="-45"/>
              <w:jc w:val="center"/>
              <w:rPr>
                <w:rFonts w:hint="default" w:ascii="宋体" w:hAnsi="宋体" w:eastAsia="宋体" w:cs="宋体"/>
                <w:color w:val="000000"/>
                <w:kern w:val="2"/>
                <w:sz w:val="21"/>
                <w:szCs w:val="21"/>
                <w:highlight w:val="none"/>
                <w:lang w:val="en-US" w:eastAsia="zh-CN" w:bidi="ar-SA"/>
              </w:rPr>
            </w:pPr>
            <w:r>
              <w:rPr>
                <w:rFonts w:hint="eastAsia" w:ascii="Times New Roman" w:hAnsi="Times New Roman" w:eastAsia="宋体" w:cs="Times New Roman"/>
                <w:b/>
                <w:bCs/>
                <w:sz w:val="24"/>
                <w:szCs w:val="22"/>
                <w:lang w:val="en-US" w:eastAsia="zh-CN"/>
              </w:rPr>
              <w:t>报价部分（30分</w:t>
            </w:r>
            <w:r>
              <w:rPr>
                <w:rFonts w:hint="eastAsia" w:ascii="宋体" w:hAnsi="宋体" w:cs="宋体"/>
                <w:color w:val="000000"/>
                <w:kern w:val="2"/>
                <w:sz w:val="21"/>
                <w:szCs w:val="21"/>
                <w:highlight w:val="none"/>
                <w:lang w:val="en-US" w:eastAsia="zh-CN" w:bidi="ar-SA"/>
              </w:rPr>
              <w:t>）</w:t>
            </w:r>
          </w:p>
        </w:tc>
        <w:tc>
          <w:tcPr>
            <w:tcW w:w="1790" w:type="dxa"/>
            <w:noWrap w:val="0"/>
            <w:vAlign w:val="center"/>
          </w:tcPr>
          <w:p>
            <w:pPr>
              <w:spacing w:line="440" w:lineRule="exact"/>
              <w:jc w:val="center"/>
              <w:rPr>
                <w:rFonts w:hint="eastAsia"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投标报价</w:t>
            </w:r>
          </w:p>
          <w:p>
            <w:pPr>
              <w:spacing w:line="440" w:lineRule="exact"/>
              <w:jc w:val="center"/>
              <w:rPr>
                <w:rFonts w:hint="eastAsia" w:ascii="宋体" w:hAnsi="宋体" w:eastAsia="宋体" w:cs="宋体"/>
                <w:b/>
                <w:bCs/>
                <w:color w:val="000000"/>
                <w:kern w:val="2"/>
                <w:sz w:val="21"/>
                <w:szCs w:val="21"/>
                <w:highlight w:val="none"/>
                <w:lang w:val="en-US" w:eastAsia="zh-CN" w:bidi="ar-SA"/>
              </w:rPr>
            </w:pPr>
            <w:r>
              <w:rPr>
                <w:rFonts w:hint="eastAsia" w:ascii="Times New Roman" w:hAnsi="Times New Roman" w:eastAsia="宋体" w:cs="Times New Roman"/>
                <w:b/>
                <w:bCs/>
                <w:sz w:val="24"/>
                <w:szCs w:val="22"/>
                <w:lang w:val="en-US" w:eastAsia="zh-CN"/>
              </w:rPr>
              <w:t>（30分）</w:t>
            </w:r>
          </w:p>
        </w:tc>
        <w:tc>
          <w:tcPr>
            <w:tcW w:w="6767" w:type="dxa"/>
            <w:noWrap w:val="0"/>
            <w:tcMar>
              <w:top w:w="0" w:type="dxa"/>
              <w:left w:w="113" w:type="dxa"/>
              <w:bottom w:w="0" w:type="dxa"/>
              <w:right w:w="113" w:type="dxa"/>
            </w:tcMar>
            <w:vAlign w:val="center"/>
          </w:tcPr>
          <w:p>
            <w:pPr>
              <w:spacing w:line="360" w:lineRule="auto"/>
              <w:rPr>
                <w:rFonts w:ascii="宋体" w:hAnsi="宋体" w:cs="宋体"/>
                <w:sz w:val="24"/>
                <w:szCs w:val="24"/>
              </w:rPr>
            </w:pPr>
            <w:r>
              <w:rPr>
                <w:rFonts w:hint="eastAsia" w:ascii="宋体" w:hAnsi="宋体" w:cs="宋体"/>
                <w:sz w:val="24"/>
                <w:szCs w:val="24"/>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价格权值×100</w:t>
            </w:r>
          </w:p>
          <w:p>
            <w:pPr>
              <w:adjustRightInd w:val="0"/>
              <w:snapToGrid w:val="0"/>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cs="宋体"/>
                <w:b/>
                <w:bCs/>
                <w:sz w:val="24"/>
                <w:lang w:val="en-US" w:eastAsia="zh-CN"/>
              </w:rPr>
              <w:t>本项目专门面向中小企业采购，故不再执行价格评审优惠；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1224" w:type="dxa"/>
            <w:vMerge w:val="restart"/>
            <w:noWrap w:val="0"/>
            <w:vAlign w:val="center"/>
          </w:tcPr>
          <w:p>
            <w:pPr>
              <w:spacing w:line="440" w:lineRule="exact"/>
              <w:jc w:val="both"/>
              <w:rPr>
                <w:rFonts w:hint="eastAsia" w:ascii="Times New Roman" w:hAnsi="Times New Roman" w:eastAsia="宋体" w:cs="Times New Roman"/>
                <w:b/>
                <w:bCs/>
                <w:color w:val="auto"/>
                <w:sz w:val="24"/>
                <w:szCs w:val="22"/>
                <w:lang w:val="en-US" w:eastAsia="zh-CN"/>
              </w:rPr>
            </w:pPr>
            <w:r>
              <w:rPr>
                <w:rFonts w:hint="eastAsia" w:ascii="Times New Roman" w:hAnsi="Times New Roman" w:eastAsia="宋体" w:cs="Times New Roman"/>
                <w:b/>
                <w:bCs/>
                <w:color w:val="auto"/>
                <w:sz w:val="24"/>
                <w:szCs w:val="22"/>
                <w:lang w:val="en-US" w:eastAsia="zh-CN"/>
              </w:rPr>
              <w:t>技术部分</w:t>
            </w:r>
          </w:p>
          <w:p>
            <w:pPr>
              <w:spacing w:line="440" w:lineRule="exact"/>
              <w:jc w:val="both"/>
              <w:rPr>
                <w:rFonts w:hint="eastAsia" w:ascii="Times New Roman" w:hAnsi="Times New Roman" w:eastAsia="宋体" w:cs="Times New Roman"/>
                <w:b/>
                <w:bCs/>
                <w:color w:val="auto"/>
                <w:sz w:val="24"/>
                <w:szCs w:val="22"/>
                <w:lang w:val="en-US" w:eastAsia="zh-CN"/>
              </w:rPr>
            </w:pPr>
            <w:r>
              <w:rPr>
                <w:rFonts w:hint="eastAsia" w:ascii="Times New Roman" w:hAnsi="Times New Roman" w:eastAsia="宋体" w:cs="Times New Roman"/>
                <w:b/>
                <w:bCs/>
                <w:color w:val="auto"/>
                <w:sz w:val="24"/>
                <w:szCs w:val="22"/>
                <w:lang w:val="en-US" w:eastAsia="zh-CN"/>
              </w:rPr>
              <w:t>（</w:t>
            </w:r>
            <w:r>
              <w:rPr>
                <w:rFonts w:hint="eastAsia" w:cs="Times New Roman"/>
                <w:b/>
                <w:bCs/>
                <w:color w:val="auto"/>
                <w:sz w:val="24"/>
                <w:szCs w:val="22"/>
                <w:lang w:val="en-US" w:eastAsia="zh-CN"/>
              </w:rPr>
              <w:t>56</w:t>
            </w:r>
            <w:r>
              <w:rPr>
                <w:rFonts w:hint="eastAsia" w:ascii="Times New Roman" w:hAnsi="Times New Roman" w:eastAsia="宋体" w:cs="Times New Roman"/>
                <w:b/>
                <w:bCs/>
                <w:color w:val="auto"/>
                <w:sz w:val="24"/>
                <w:szCs w:val="22"/>
                <w:lang w:val="en-US" w:eastAsia="zh-CN"/>
              </w:rPr>
              <w:t>分）</w:t>
            </w:r>
          </w:p>
          <w:p>
            <w:pPr>
              <w:spacing w:line="360" w:lineRule="auto"/>
              <w:ind w:right="-94" w:rightChars="-45"/>
              <w:jc w:val="center"/>
              <w:rPr>
                <w:rFonts w:hint="default" w:ascii="宋体" w:hAnsi="宋体" w:eastAsia="宋体" w:cs="宋体"/>
                <w:color w:val="000000"/>
                <w:sz w:val="21"/>
                <w:szCs w:val="21"/>
                <w:highlight w:val="none"/>
                <w:lang w:val="en-US" w:eastAsia="zh-CN"/>
              </w:rPr>
            </w:pPr>
          </w:p>
        </w:tc>
        <w:tc>
          <w:tcPr>
            <w:tcW w:w="1790" w:type="dxa"/>
            <w:noWrap w:val="0"/>
            <w:tcMar>
              <w:top w:w="0" w:type="dxa"/>
              <w:left w:w="113" w:type="dxa"/>
              <w:bottom w:w="0" w:type="dxa"/>
              <w:right w:w="113" w:type="dxa"/>
            </w:tcMar>
            <w:vAlign w:val="center"/>
          </w:tcPr>
          <w:p>
            <w:pPr>
              <w:spacing w:line="440" w:lineRule="exact"/>
              <w:jc w:val="center"/>
              <w:rPr>
                <w:rFonts w:hint="default" w:ascii="Times New Roman" w:hAnsi="Times New Roman" w:eastAsia="宋体" w:cs="Times New Roman"/>
                <w:b/>
                <w:bCs/>
                <w:color w:val="auto"/>
                <w:sz w:val="24"/>
                <w:szCs w:val="22"/>
                <w:lang w:val="en-US" w:eastAsia="zh-CN"/>
              </w:rPr>
            </w:pPr>
            <w:r>
              <w:rPr>
                <w:rFonts w:hint="eastAsia" w:cs="Times New Roman"/>
                <w:b/>
                <w:bCs/>
                <w:color w:val="auto"/>
                <w:sz w:val="24"/>
                <w:szCs w:val="22"/>
                <w:lang w:val="en-US" w:eastAsia="zh-CN"/>
              </w:rPr>
              <w:t>施工总体方案（8分）</w:t>
            </w:r>
          </w:p>
        </w:tc>
        <w:tc>
          <w:tcPr>
            <w:tcW w:w="6767" w:type="dxa"/>
            <w:noWrap w:val="0"/>
            <w:tcMar>
              <w:top w:w="0" w:type="dxa"/>
              <w:left w:w="113" w:type="dxa"/>
              <w:bottom w:w="0" w:type="dxa"/>
              <w:right w:w="113" w:type="dxa"/>
            </w:tcMar>
            <w:vAlign w:val="center"/>
          </w:tcPr>
          <w:p>
            <w:pPr>
              <w:pStyle w:val="22"/>
              <w:keepNext w:val="0"/>
              <w:keepLines w:val="0"/>
              <w:widowControl/>
              <w:suppressLineNumbers w:val="0"/>
              <w:spacing w:before="0" w:beforeAutospacing="0" w:after="0" w:afterAutospacing="0"/>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方案有针对性，施工要点、难点把握准确，分析透彻得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p>
          <w:p>
            <w:pPr>
              <w:pStyle w:val="22"/>
              <w:keepNext w:val="0"/>
              <w:keepLines w:val="0"/>
              <w:widowControl/>
              <w:suppressLineNumbers w:val="0"/>
              <w:spacing w:before="0" w:beforeAutospacing="0" w:after="0" w:afterAutospacing="0"/>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方案有针对性，施工要点、难点把握准确，有浅显的项目分析得</w:t>
            </w:r>
            <w:r>
              <w:rPr>
                <w:rFonts w:hint="eastAsia" w:cs="宋体"/>
                <w:kern w:val="2"/>
                <w:sz w:val="24"/>
                <w:szCs w:val="24"/>
                <w:lang w:val="en-US" w:eastAsia="zh-CN" w:bidi="ar-SA"/>
              </w:rPr>
              <w:t>6</w:t>
            </w:r>
            <w:r>
              <w:rPr>
                <w:rFonts w:hint="eastAsia" w:ascii="宋体" w:hAnsi="宋体" w:eastAsia="宋体" w:cs="宋体"/>
                <w:kern w:val="2"/>
                <w:sz w:val="24"/>
                <w:szCs w:val="24"/>
                <w:lang w:val="en-US" w:eastAsia="zh-CN" w:bidi="ar-SA"/>
              </w:rPr>
              <w:t>分；</w:t>
            </w:r>
          </w:p>
          <w:p>
            <w:pPr>
              <w:pStyle w:val="22"/>
              <w:keepNext w:val="0"/>
              <w:keepLines w:val="0"/>
              <w:widowControl/>
              <w:suppressLineNumbers w:val="0"/>
              <w:spacing w:before="0" w:beforeAutospacing="0" w:after="0" w:afterAutospacing="0"/>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方案未针对本项目，或施工要点、难点把握不准确，但无相关分析得</w:t>
            </w: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分：</w:t>
            </w:r>
          </w:p>
          <w:p>
            <w:pPr>
              <w:pStyle w:val="22"/>
              <w:keepNext w:val="0"/>
              <w:keepLines w:val="0"/>
              <w:widowControl/>
              <w:suppressLineNumbers w:val="0"/>
              <w:spacing w:before="0" w:beforeAutospacing="0" w:after="0" w:afterAutospacing="0"/>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方案描述不健全，或未提供要点难点描述及相关分析得2分：</w:t>
            </w:r>
          </w:p>
          <w:p>
            <w:pPr>
              <w:pStyle w:val="22"/>
              <w:keepNext w:val="0"/>
              <w:keepLines w:val="0"/>
              <w:widowControl/>
              <w:suppressLineNumbers w:val="0"/>
              <w:spacing w:before="0" w:beforeAutospacing="0" w:after="0" w:afterAutospacing="0"/>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无施工方案得0分。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1224" w:type="dxa"/>
            <w:vMerge w:val="continue"/>
            <w:noWrap w:val="0"/>
            <w:vAlign w:val="center"/>
          </w:tcPr>
          <w:p>
            <w:pPr>
              <w:spacing w:line="360" w:lineRule="auto"/>
              <w:ind w:right="-94" w:rightChars="-45"/>
              <w:jc w:val="center"/>
              <w:rPr>
                <w:rFonts w:hint="eastAsia" w:ascii="宋体" w:hAnsi="宋体" w:eastAsia="宋体" w:cs="宋体"/>
                <w:color w:val="000000"/>
                <w:sz w:val="21"/>
                <w:szCs w:val="21"/>
                <w:highlight w:val="none"/>
                <w:lang w:val="en-US" w:eastAsia="zh-CN"/>
              </w:rPr>
            </w:pPr>
          </w:p>
        </w:tc>
        <w:tc>
          <w:tcPr>
            <w:tcW w:w="1790" w:type="dxa"/>
            <w:noWrap w:val="0"/>
            <w:tcMar>
              <w:top w:w="0" w:type="dxa"/>
              <w:left w:w="113" w:type="dxa"/>
              <w:bottom w:w="0" w:type="dxa"/>
              <w:right w:w="113" w:type="dxa"/>
            </w:tcMar>
            <w:vAlign w:val="center"/>
          </w:tcPr>
          <w:p>
            <w:pPr>
              <w:spacing w:line="440" w:lineRule="exact"/>
              <w:jc w:val="center"/>
              <w:rPr>
                <w:rFonts w:hint="eastAsia" w:cs="Times New Roman"/>
                <w:b/>
                <w:bCs/>
                <w:color w:val="auto"/>
                <w:sz w:val="24"/>
                <w:szCs w:val="22"/>
                <w:lang w:val="en-US" w:eastAsia="zh-CN"/>
              </w:rPr>
            </w:pPr>
            <w:r>
              <w:rPr>
                <w:rFonts w:hint="eastAsia" w:cs="Times New Roman"/>
                <w:b/>
                <w:bCs/>
                <w:color w:val="auto"/>
                <w:sz w:val="24"/>
                <w:szCs w:val="22"/>
                <w:lang w:val="en-US" w:eastAsia="zh-CN"/>
              </w:rPr>
              <w:t>质量保证体系及措施</w:t>
            </w:r>
          </w:p>
          <w:p>
            <w:pPr>
              <w:spacing w:line="440" w:lineRule="exact"/>
              <w:jc w:val="center"/>
              <w:rPr>
                <w:rFonts w:hint="default" w:ascii="Times New Roman" w:hAnsi="Times New Roman" w:eastAsia="宋体" w:cs="Times New Roman"/>
                <w:b/>
                <w:bCs/>
                <w:color w:val="auto"/>
                <w:sz w:val="24"/>
                <w:szCs w:val="22"/>
                <w:lang w:val="en-US" w:eastAsia="zh-CN"/>
              </w:rPr>
            </w:pPr>
            <w:r>
              <w:rPr>
                <w:rFonts w:hint="eastAsia" w:cs="Times New Roman"/>
                <w:b/>
                <w:bCs/>
                <w:color w:val="auto"/>
                <w:sz w:val="24"/>
                <w:szCs w:val="22"/>
                <w:lang w:val="en-US" w:eastAsia="zh-CN"/>
              </w:rPr>
              <w:t>（8分）</w:t>
            </w:r>
          </w:p>
        </w:tc>
        <w:tc>
          <w:tcPr>
            <w:tcW w:w="6767" w:type="dxa"/>
            <w:noWrap w:val="0"/>
            <w:tcMar>
              <w:top w:w="0" w:type="dxa"/>
              <w:left w:w="113" w:type="dxa"/>
              <w:bottom w:w="0" w:type="dxa"/>
              <w:right w:w="113" w:type="dxa"/>
            </w:tcMar>
            <w:vAlign w:val="center"/>
          </w:tcPr>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质量保证体系完善，措施具体、有效得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质量保证体系完整，有相关措施但描述不完整得6分；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质量保证体系有欠缺，措施零散、无力得4分；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质量保证体系未针对本项目，或未考虑保证措施得2分；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4" w:type="dxa"/>
            <w:vMerge w:val="continue"/>
            <w:noWrap w:val="0"/>
            <w:vAlign w:val="center"/>
          </w:tcPr>
          <w:p>
            <w:pPr>
              <w:spacing w:line="360" w:lineRule="auto"/>
              <w:ind w:right="-94" w:rightChars="-45"/>
              <w:jc w:val="center"/>
              <w:rPr>
                <w:rFonts w:hint="eastAsia" w:ascii="宋体" w:hAnsi="宋体" w:eastAsia="宋体" w:cs="宋体"/>
                <w:color w:val="000000"/>
                <w:sz w:val="21"/>
                <w:szCs w:val="21"/>
                <w:highlight w:val="none"/>
                <w:lang w:val="en-US" w:eastAsia="zh-CN"/>
              </w:rPr>
            </w:pPr>
          </w:p>
        </w:tc>
        <w:tc>
          <w:tcPr>
            <w:tcW w:w="1790" w:type="dxa"/>
            <w:noWrap w:val="0"/>
            <w:tcMar>
              <w:top w:w="0" w:type="dxa"/>
              <w:left w:w="113" w:type="dxa"/>
              <w:bottom w:w="0" w:type="dxa"/>
              <w:right w:w="113" w:type="dxa"/>
            </w:tcMar>
            <w:vAlign w:val="center"/>
          </w:tcPr>
          <w:p>
            <w:pPr>
              <w:spacing w:line="440" w:lineRule="exact"/>
              <w:jc w:val="center"/>
              <w:rPr>
                <w:rFonts w:hint="eastAsia" w:cs="Times New Roman"/>
                <w:b/>
                <w:bCs/>
                <w:color w:val="auto"/>
                <w:sz w:val="24"/>
                <w:szCs w:val="22"/>
                <w:lang w:val="en-US" w:eastAsia="zh-CN"/>
              </w:rPr>
            </w:pPr>
            <w:r>
              <w:rPr>
                <w:rFonts w:hint="eastAsia" w:cs="Times New Roman"/>
                <w:b/>
                <w:bCs/>
                <w:color w:val="auto"/>
                <w:sz w:val="24"/>
                <w:szCs w:val="22"/>
                <w:lang w:val="en-US" w:eastAsia="zh-CN"/>
              </w:rPr>
              <w:t>安全防护及文明施工措施</w:t>
            </w:r>
          </w:p>
          <w:p>
            <w:pPr>
              <w:spacing w:line="440" w:lineRule="exact"/>
              <w:jc w:val="center"/>
              <w:rPr>
                <w:rFonts w:hint="default" w:ascii="Times New Roman" w:hAnsi="Times New Roman" w:eastAsia="宋体" w:cs="Times New Roman"/>
                <w:b/>
                <w:bCs/>
                <w:color w:val="auto"/>
                <w:sz w:val="24"/>
                <w:szCs w:val="22"/>
                <w:lang w:val="en-US" w:eastAsia="zh-CN"/>
              </w:rPr>
            </w:pPr>
            <w:r>
              <w:rPr>
                <w:rFonts w:hint="eastAsia" w:cs="Times New Roman"/>
                <w:b/>
                <w:bCs/>
                <w:color w:val="auto"/>
                <w:sz w:val="24"/>
                <w:szCs w:val="22"/>
                <w:lang w:val="en-US" w:eastAsia="zh-CN"/>
              </w:rPr>
              <w:t>（8分）</w:t>
            </w:r>
          </w:p>
        </w:tc>
        <w:tc>
          <w:tcPr>
            <w:tcW w:w="6767" w:type="dxa"/>
            <w:noWrap w:val="0"/>
            <w:tcMar>
              <w:top w:w="0" w:type="dxa"/>
              <w:left w:w="113" w:type="dxa"/>
              <w:bottom w:w="0" w:type="dxa"/>
              <w:right w:w="113" w:type="dxa"/>
            </w:tcMar>
            <w:vAlign w:val="center"/>
          </w:tcPr>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防护措施具体、有效，施工计划健全得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防护措施较好，施工计划不完整得6分；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防护措施零散、无力，且施工计划有缺失得4分；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安全防护或文明施工措施与本项目无关得2分；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4" w:type="dxa"/>
            <w:vMerge w:val="continue"/>
            <w:noWrap w:val="0"/>
            <w:vAlign w:val="center"/>
          </w:tcPr>
          <w:p>
            <w:pPr>
              <w:spacing w:line="360" w:lineRule="auto"/>
              <w:ind w:right="-94" w:rightChars="-45"/>
              <w:jc w:val="center"/>
              <w:rPr>
                <w:rFonts w:hint="eastAsia" w:ascii="宋体" w:hAnsi="宋体" w:eastAsia="宋体" w:cs="宋体"/>
                <w:color w:val="FF0000"/>
                <w:sz w:val="21"/>
                <w:szCs w:val="21"/>
                <w:highlight w:val="none"/>
                <w:lang w:val="en-US" w:eastAsia="zh-CN"/>
              </w:rPr>
            </w:pPr>
          </w:p>
        </w:tc>
        <w:tc>
          <w:tcPr>
            <w:tcW w:w="1790" w:type="dxa"/>
            <w:noWrap w:val="0"/>
            <w:tcMar>
              <w:top w:w="0" w:type="dxa"/>
              <w:left w:w="113" w:type="dxa"/>
              <w:bottom w:w="0" w:type="dxa"/>
              <w:right w:w="113" w:type="dxa"/>
            </w:tcMar>
            <w:vAlign w:val="center"/>
          </w:tcPr>
          <w:p>
            <w:pPr>
              <w:spacing w:line="440" w:lineRule="exact"/>
              <w:jc w:val="center"/>
              <w:rPr>
                <w:rFonts w:hint="eastAsia" w:cs="Times New Roman"/>
                <w:b/>
                <w:bCs/>
                <w:color w:val="auto"/>
                <w:sz w:val="24"/>
                <w:szCs w:val="22"/>
                <w:lang w:val="en-US" w:eastAsia="zh-CN"/>
              </w:rPr>
            </w:pPr>
            <w:r>
              <w:rPr>
                <w:rFonts w:hint="eastAsia" w:cs="Times New Roman"/>
                <w:b/>
                <w:bCs/>
                <w:color w:val="auto"/>
                <w:sz w:val="24"/>
                <w:szCs w:val="22"/>
                <w:lang w:val="en-US" w:eastAsia="zh-CN"/>
              </w:rPr>
              <w:t>施工进度计划及保证措施</w:t>
            </w:r>
          </w:p>
          <w:p>
            <w:pPr>
              <w:spacing w:line="440" w:lineRule="exact"/>
              <w:jc w:val="center"/>
              <w:rPr>
                <w:rFonts w:hint="default" w:ascii="Times New Roman" w:hAnsi="Times New Roman" w:eastAsia="宋体" w:cs="Times New Roman"/>
                <w:b/>
                <w:bCs/>
                <w:color w:val="auto"/>
                <w:sz w:val="24"/>
                <w:szCs w:val="22"/>
                <w:lang w:val="en-US" w:eastAsia="zh-CN"/>
              </w:rPr>
            </w:pPr>
            <w:r>
              <w:rPr>
                <w:rFonts w:hint="eastAsia" w:cs="Times New Roman"/>
                <w:b/>
                <w:bCs/>
                <w:color w:val="auto"/>
                <w:sz w:val="24"/>
                <w:szCs w:val="22"/>
                <w:lang w:val="en-US" w:eastAsia="zh-CN"/>
              </w:rPr>
              <w:t>（8分）</w:t>
            </w:r>
          </w:p>
        </w:tc>
        <w:tc>
          <w:tcPr>
            <w:tcW w:w="6767" w:type="dxa"/>
            <w:noWrap w:val="0"/>
            <w:tcMar>
              <w:top w:w="0" w:type="dxa"/>
              <w:left w:w="113" w:type="dxa"/>
              <w:bottom w:w="0" w:type="dxa"/>
              <w:right w:w="113" w:type="dxa"/>
            </w:tcMar>
            <w:vAlign w:val="center"/>
          </w:tcPr>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计划安排完善，保证措施具体、有效得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计划安排完整，有相关措施但描述不完整得6分；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计划零散、无力，且进度计划有缺失得4分；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进度计划、保证措施与本项目无关得2分；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未提供相关内容得0分。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1224" w:type="dxa"/>
            <w:vMerge w:val="continue"/>
            <w:noWrap w:val="0"/>
            <w:vAlign w:val="center"/>
          </w:tcPr>
          <w:p>
            <w:pPr>
              <w:spacing w:line="360" w:lineRule="auto"/>
              <w:ind w:right="-94" w:rightChars="-45"/>
              <w:jc w:val="center"/>
              <w:rPr>
                <w:rFonts w:hint="eastAsia" w:ascii="宋体" w:hAnsi="宋体" w:eastAsia="宋体" w:cs="宋体"/>
                <w:color w:val="FF0000"/>
                <w:sz w:val="21"/>
                <w:szCs w:val="21"/>
                <w:highlight w:val="none"/>
                <w:lang w:val="en-US" w:eastAsia="zh-CN"/>
              </w:rPr>
            </w:pPr>
          </w:p>
        </w:tc>
        <w:tc>
          <w:tcPr>
            <w:tcW w:w="1790" w:type="dxa"/>
            <w:noWrap w:val="0"/>
            <w:tcMar>
              <w:top w:w="0" w:type="dxa"/>
              <w:left w:w="113" w:type="dxa"/>
              <w:bottom w:w="0" w:type="dxa"/>
              <w:right w:w="113" w:type="dxa"/>
            </w:tcMar>
            <w:vAlign w:val="center"/>
          </w:tcPr>
          <w:p>
            <w:pPr>
              <w:spacing w:line="440" w:lineRule="exact"/>
              <w:jc w:val="center"/>
              <w:rPr>
                <w:rFonts w:hint="eastAsia" w:cs="Times New Roman"/>
                <w:b/>
                <w:bCs/>
                <w:color w:val="auto"/>
                <w:sz w:val="24"/>
                <w:szCs w:val="22"/>
                <w:lang w:val="en-US" w:eastAsia="zh-CN"/>
              </w:rPr>
            </w:pPr>
            <w:r>
              <w:rPr>
                <w:rFonts w:hint="eastAsia" w:cs="Times New Roman"/>
                <w:b/>
                <w:bCs/>
                <w:color w:val="auto"/>
                <w:sz w:val="24"/>
                <w:szCs w:val="22"/>
                <w:lang w:val="en-US" w:eastAsia="zh-CN"/>
              </w:rPr>
              <w:t>劳动力计划、设备配备情况</w:t>
            </w:r>
          </w:p>
          <w:p>
            <w:pPr>
              <w:spacing w:line="440" w:lineRule="exact"/>
              <w:jc w:val="center"/>
              <w:rPr>
                <w:rFonts w:hint="default" w:ascii="Times New Roman" w:hAnsi="Times New Roman" w:eastAsia="宋体" w:cs="Times New Roman"/>
                <w:b/>
                <w:bCs/>
                <w:color w:val="auto"/>
                <w:sz w:val="24"/>
                <w:szCs w:val="22"/>
                <w:lang w:val="en-US" w:eastAsia="zh-CN"/>
              </w:rPr>
            </w:pPr>
            <w:r>
              <w:rPr>
                <w:rFonts w:hint="eastAsia" w:cs="Times New Roman"/>
                <w:b/>
                <w:bCs/>
                <w:color w:val="auto"/>
                <w:sz w:val="24"/>
                <w:szCs w:val="22"/>
                <w:lang w:val="en-US" w:eastAsia="zh-CN"/>
              </w:rPr>
              <w:t>（8分）</w:t>
            </w:r>
          </w:p>
        </w:tc>
        <w:tc>
          <w:tcPr>
            <w:tcW w:w="6767" w:type="dxa"/>
            <w:noWrap w:val="0"/>
            <w:tcMar>
              <w:top w:w="0" w:type="dxa"/>
              <w:left w:w="113" w:type="dxa"/>
              <w:bottom w:w="0" w:type="dxa"/>
              <w:right w:w="113" w:type="dxa"/>
            </w:tcMar>
            <w:vAlign w:val="center"/>
          </w:tcPr>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计划安排完善，设备能够完全满足或优于项目需要得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计划安排完整，设备基本满足项目需要得6分；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计划安排有缺失，设备不能完全满足项目需要得4分；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计划安排或拟投入设备与本项目无关得2分；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4" w:type="dxa"/>
            <w:vMerge w:val="continue"/>
            <w:noWrap w:val="0"/>
            <w:vAlign w:val="center"/>
          </w:tcPr>
          <w:p>
            <w:pPr>
              <w:spacing w:line="360" w:lineRule="auto"/>
              <w:ind w:right="-94" w:rightChars="-45"/>
              <w:jc w:val="center"/>
              <w:rPr>
                <w:rFonts w:hint="default" w:ascii="宋体" w:hAnsi="宋体" w:eastAsia="宋体" w:cs="宋体"/>
                <w:color w:val="FF0000"/>
                <w:sz w:val="21"/>
                <w:szCs w:val="21"/>
                <w:highlight w:val="none"/>
                <w:lang w:val="en-US" w:eastAsia="zh-CN"/>
              </w:rPr>
            </w:pPr>
          </w:p>
        </w:tc>
        <w:tc>
          <w:tcPr>
            <w:tcW w:w="1790" w:type="dxa"/>
            <w:noWrap w:val="0"/>
            <w:tcMar>
              <w:top w:w="0" w:type="dxa"/>
              <w:left w:w="113" w:type="dxa"/>
              <w:bottom w:w="0" w:type="dxa"/>
              <w:right w:w="113" w:type="dxa"/>
            </w:tcMar>
            <w:vAlign w:val="center"/>
          </w:tcPr>
          <w:p>
            <w:pPr>
              <w:spacing w:line="440" w:lineRule="exact"/>
              <w:jc w:val="center"/>
              <w:rPr>
                <w:rFonts w:hint="eastAsia" w:cs="Times New Roman"/>
                <w:b/>
                <w:bCs/>
                <w:color w:val="auto"/>
                <w:sz w:val="24"/>
                <w:szCs w:val="22"/>
                <w:lang w:val="en-US" w:eastAsia="zh-CN"/>
              </w:rPr>
            </w:pPr>
            <w:r>
              <w:rPr>
                <w:rFonts w:hint="eastAsia" w:cs="Times New Roman"/>
                <w:b/>
                <w:bCs/>
                <w:color w:val="auto"/>
                <w:sz w:val="24"/>
                <w:szCs w:val="22"/>
                <w:lang w:val="en-US" w:eastAsia="zh-CN"/>
              </w:rPr>
              <w:t>紧急情况应对措施</w:t>
            </w:r>
          </w:p>
          <w:p>
            <w:pPr>
              <w:spacing w:line="440" w:lineRule="exact"/>
              <w:jc w:val="center"/>
              <w:rPr>
                <w:rFonts w:hint="default" w:ascii="Times New Roman" w:hAnsi="Times New Roman" w:eastAsia="宋体" w:cs="Times New Roman"/>
                <w:b/>
                <w:bCs/>
                <w:color w:val="FF0000"/>
                <w:sz w:val="24"/>
                <w:szCs w:val="22"/>
                <w:lang w:val="en-US" w:eastAsia="zh-CN"/>
              </w:rPr>
            </w:pPr>
            <w:r>
              <w:rPr>
                <w:rFonts w:hint="eastAsia" w:cs="Times New Roman"/>
                <w:b/>
                <w:bCs/>
                <w:color w:val="auto"/>
                <w:sz w:val="24"/>
                <w:szCs w:val="22"/>
                <w:lang w:val="en-US" w:eastAsia="zh-CN"/>
              </w:rPr>
              <w:t>（8分）</w:t>
            </w:r>
          </w:p>
        </w:tc>
        <w:tc>
          <w:tcPr>
            <w:tcW w:w="6767" w:type="dxa"/>
            <w:noWrap w:val="0"/>
            <w:tcMar>
              <w:top w:w="0" w:type="dxa"/>
              <w:left w:w="113" w:type="dxa"/>
              <w:bottom w:w="0" w:type="dxa"/>
              <w:right w:w="113" w:type="dxa"/>
            </w:tcMar>
            <w:vAlign w:val="center"/>
          </w:tcPr>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针对周边特殊环境的紧急情况应对措施全面、保障有力、考虑周全得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应对措施完整有效、但保障力度不足、考虑不周得6分；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应对措施有欠缺、未充分考虑紧急情况得4分；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应对措施与本项目无关得2分；</w:t>
            </w:r>
          </w:p>
          <w:p>
            <w:pPr>
              <w:pStyle w:val="22"/>
              <w:keepNext w:val="0"/>
              <w:keepLines w:val="0"/>
              <w:widowControl/>
              <w:suppressLineNumbers w:val="0"/>
              <w:spacing w:before="0" w:beforeAutospacing="0" w:after="0" w:afterAutospacing="0" w:line="360" w:lineRule="auto"/>
              <w:ind w:left="0" w:right="0" w:firstLine="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未提供相关内容得0分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4" w:type="dxa"/>
            <w:vMerge w:val="continue"/>
            <w:noWrap w:val="0"/>
            <w:vAlign w:val="center"/>
          </w:tcPr>
          <w:p>
            <w:pPr>
              <w:spacing w:line="360" w:lineRule="auto"/>
              <w:ind w:right="-94" w:rightChars="-45"/>
              <w:jc w:val="center"/>
              <w:rPr>
                <w:rFonts w:hint="default" w:ascii="宋体" w:hAnsi="宋体" w:eastAsia="宋体" w:cs="宋体"/>
                <w:color w:val="000000"/>
                <w:sz w:val="21"/>
                <w:szCs w:val="21"/>
                <w:highlight w:val="none"/>
                <w:lang w:val="en-US" w:eastAsia="zh-CN"/>
              </w:rPr>
            </w:pPr>
          </w:p>
        </w:tc>
        <w:tc>
          <w:tcPr>
            <w:tcW w:w="1790" w:type="dxa"/>
            <w:noWrap w:val="0"/>
            <w:tcMar>
              <w:top w:w="0" w:type="dxa"/>
              <w:left w:w="113" w:type="dxa"/>
              <w:bottom w:w="0" w:type="dxa"/>
              <w:right w:w="113" w:type="dxa"/>
            </w:tcMar>
            <w:vAlign w:val="center"/>
          </w:tcPr>
          <w:p>
            <w:pPr>
              <w:pStyle w:val="22"/>
              <w:keepNext w:val="0"/>
              <w:keepLines w:val="0"/>
              <w:widowControl/>
              <w:suppressLineNumbers w:val="0"/>
              <w:spacing w:before="0" w:beforeAutospacing="0" w:after="0" w:afterAutospacing="0"/>
              <w:ind w:left="0" w:right="0" w:firstLine="0"/>
              <w:jc w:val="center"/>
              <w:rPr>
                <w:rFonts w:hint="eastAsia" w:ascii="Times New Roman" w:hAnsi="Times New Roman" w:eastAsia="宋体" w:cs="Times New Roman"/>
                <w:b/>
                <w:bCs/>
                <w:color w:val="auto"/>
                <w:kern w:val="2"/>
                <w:sz w:val="24"/>
                <w:szCs w:val="22"/>
                <w:lang w:val="en-US" w:eastAsia="zh-CN" w:bidi="ar-SA"/>
              </w:rPr>
            </w:pPr>
            <w:r>
              <w:rPr>
                <w:rFonts w:hint="eastAsia" w:ascii="Times New Roman" w:hAnsi="Times New Roman" w:eastAsia="宋体" w:cs="Times New Roman"/>
                <w:b/>
                <w:bCs/>
                <w:color w:val="auto"/>
                <w:kern w:val="2"/>
                <w:sz w:val="24"/>
                <w:szCs w:val="22"/>
                <w:lang w:val="en-US" w:eastAsia="zh-CN" w:bidi="ar-SA"/>
              </w:rPr>
              <w:t>对本工程的重点难点分析及对策</w:t>
            </w:r>
          </w:p>
          <w:p>
            <w:pPr>
              <w:pStyle w:val="22"/>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b/>
                <w:bCs/>
                <w:color w:val="auto"/>
                <w:sz w:val="24"/>
                <w:szCs w:val="22"/>
                <w:lang w:val="en-US" w:eastAsia="zh-CN"/>
              </w:rPr>
            </w:pPr>
            <w:r>
              <w:rPr>
                <w:rFonts w:hint="eastAsia" w:ascii="Times New Roman" w:hAnsi="Times New Roman" w:eastAsia="宋体" w:cs="Times New Roman"/>
                <w:b/>
                <w:bCs/>
                <w:color w:val="auto"/>
                <w:kern w:val="2"/>
                <w:sz w:val="24"/>
                <w:szCs w:val="22"/>
                <w:lang w:val="en-US" w:eastAsia="zh-CN" w:bidi="ar-SA"/>
              </w:rPr>
              <w:t>（</w:t>
            </w:r>
            <w:r>
              <w:rPr>
                <w:rFonts w:hint="eastAsia" w:ascii="Times New Roman" w:hAnsi="Times New Roman" w:cs="Times New Roman"/>
                <w:b/>
                <w:bCs/>
                <w:color w:val="auto"/>
                <w:kern w:val="2"/>
                <w:sz w:val="24"/>
                <w:szCs w:val="22"/>
                <w:lang w:val="en-US" w:eastAsia="zh-CN" w:bidi="ar-SA"/>
              </w:rPr>
              <w:t>8</w:t>
            </w:r>
            <w:r>
              <w:rPr>
                <w:rFonts w:hint="eastAsia" w:ascii="Times New Roman" w:hAnsi="Times New Roman" w:eastAsia="宋体" w:cs="Times New Roman"/>
                <w:b/>
                <w:bCs/>
                <w:color w:val="auto"/>
                <w:kern w:val="2"/>
                <w:sz w:val="24"/>
                <w:szCs w:val="22"/>
                <w:lang w:val="en-US" w:eastAsia="zh-CN" w:bidi="ar-SA"/>
              </w:rPr>
              <w:t>分）</w:t>
            </w:r>
          </w:p>
        </w:tc>
        <w:tc>
          <w:tcPr>
            <w:tcW w:w="6767" w:type="dxa"/>
            <w:noWrap w:val="0"/>
            <w:tcMar>
              <w:top w:w="0" w:type="dxa"/>
              <w:left w:w="113" w:type="dxa"/>
              <w:bottom w:w="0" w:type="dxa"/>
              <w:right w:w="113" w:type="dxa"/>
            </w:tcMar>
            <w:vAlign w:val="center"/>
          </w:tcPr>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针对项目特点和具体情况重点/难点分析准确，对策有针对性，得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针对项目特点和具体情况重点/难点分析较准确，对策较有针对性，得6分；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方案略有欠缺，得4分；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重点难点分析及对策不到位，或有欠缺，得2分；</w:t>
            </w:r>
          </w:p>
          <w:p>
            <w:pPr>
              <w:pStyle w:val="22"/>
              <w:keepNext w:val="0"/>
              <w:keepLines w:val="0"/>
              <w:widowControl/>
              <w:suppressLineNumbers w:val="0"/>
              <w:spacing w:before="0" w:beforeAutospacing="0" w:after="0" w:afterAutospacing="0" w:line="360" w:lineRule="auto"/>
              <w:ind w:left="0" w:right="0" w:firstLine="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欠合理或未提供相关方案，得0分。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4" w:type="dxa"/>
            <w:noWrap w:val="0"/>
            <w:vAlign w:val="center"/>
          </w:tcPr>
          <w:p>
            <w:pPr>
              <w:spacing w:line="360" w:lineRule="auto"/>
              <w:ind w:right="-94" w:rightChars="-45"/>
              <w:jc w:val="center"/>
              <w:rPr>
                <w:rFonts w:hint="eastAsia" w:ascii="Times New Roman" w:hAnsi="Times New Roman" w:eastAsia="宋体" w:cs="Times New Roman"/>
                <w:b/>
                <w:bCs/>
                <w:color w:val="auto"/>
                <w:sz w:val="24"/>
                <w:szCs w:val="22"/>
                <w:lang w:val="en-US" w:eastAsia="zh-CN"/>
              </w:rPr>
            </w:pPr>
            <w:r>
              <w:rPr>
                <w:rFonts w:hint="eastAsia" w:cs="Times New Roman"/>
                <w:b/>
                <w:bCs/>
                <w:color w:val="auto"/>
                <w:sz w:val="24"/>
                <w:szCs w:val="22"/>
                <w:lang w:val="en-US" w:eastAsia="zh-CN"/>
              </w:rPr>
              <w:t>类似</w:t>
            </w:r>
            <w:r>
              <w:rPr>
                <w:rFonts w:hint="eastAsia" w:ascii="Times New Roman" w:hAnsi="Times New Roman" w:eastAsia="宋体" w:cs="Times New Roman"/>
                <w:b/>
                <w:bCs/>
                <w:color w:val="auto"/>
                <w:sz w:val="24"/>
                <w:szCs w:val="22"/>
                <w:lang w:val="en-US" w:eastAsia="zh-CN"/>
              </w:rPr>
              <w:t>业绩</w:t>
            </w:r>
          </w:p>
          <w:p>
            <w:pPr>
              <w:spacing w:line="360" w:lineRule="auto"/>
              <w:ind w:right="-94" w:rightChars="-45"/>
              <w:jc w:val="center"/>
              <w:rPr>
                <w:rFonts w:hint="default" w:ascii="宋体" w:hAnsi="宋体" w:eastAsia="宋体" w:cs="宋体"/>
                <w:color w:val="000000"/>
                <w:sz w:val="21"/>
                <w:szCs w:val="21"/>
                <w:highlight w:val="none"/>
                <w:lang w:val="en-US" w:eastAsia="zh-CN"/>
              </w:rPr>
            </w:pPr>
            <w:r>
              <w:rPr>
                <w:rFonts w:hint="eastAsia" w:cs="Times New Roman"/>
                <w:b/>
                <w:bCs/>
                <w:color w:val="auto"/>
                <w:sz w:val="24"/>
                <w:szCs w:val="22"/>
                <w:lang w:val="en-US" w:eastAsia="zh-CN"/>
              </w:rPr>
              <w:t>（9分）</w:t>
            </w:r>
          </w:p>
        </w:tc>
        <w:tc>
          <w:tcPr>
            <w:tcW w:w="8557" w:type="dxa"/>
            <w:gridSpan w:val="2"/>
            <w:noWrap w:val="0"/>
            <w:tcMar>
              <w:top w:w="0" w:type="dxa"/>
              <w:left w:w="113" w:type="dxa"/>
              <w:bottom w:w="0" w:type="dxa"/>
              <w:right w:w="113" w:type="dxa"/>
            </w:tcMar>
            <w:vAlign w:val="center"/>
          </w:tcPr>
          <w:p>
            <w:pPr>
              <w:pStyle w:val="22"/>
              <w:keepNext w:val="0"/>
              <w:keepLines w:val="0"/>
              <w:widowControl/>
              <w:suppressLineNumbers w:val="0"/>
              <w:spacing w:before="0" w:beforeAutospacing="0" w:after="0" w:afterAutospacing="0" w:line="360" w:lineRule="auto"/>
              <w:ind w:left="0" w:right="0" w:firstLine="0"/>
              <w:jc w:val="both"/>
              <w:rPr>
                <w:rFonts w:hint="eastAsia" w:ascii="宋体" w:hAnsi="宋体" w:eastAsia="宋体" w:cs="宋体"/>
                <w:kern w:val="2"/>
                <w:sz w:val="24"/>
                <w:szCs w:val="24"/>
                <w:lang w:val="en-US" w:eastAsia="zh-CN" w:bidi="ar-SA"/>
              </w:rPr>
            </w:pPr>
            <w:r>
              <w:rPr>
                <w:rFonts w:hint="default" w:ascii="宋体" w:hAnsi="宋体" w:eastAsia="宋体" w:cs="宋体"/>
                <w:sz w:val="24"/>
                <w:szCs w:val="24"/>
                <w:lang w:val="en-US" w:eastAsia="zh-CN"/>
              </w:rPr>
              <w:t>提供 20</w:t>
            </w:r>
            <w:r>
              <w:rPr>
                <w:rFonts w:hint="eastAsia" w:ascii="宋体" w:hAnsi="宋体" w:eastAsia="宋体" w:cs="宋体"/>
                <w:sz w:val="24"/>
                <w:szCs w:val="24"/>
                <w:lang w:val="en-US" w:eastAsia="zh-CN"/>
              </w:rPr>
              <w:t>20</w:t>
            </w:r>
            <w:r>
              <w:rPr>
                <w:rFonts w:hint="default" w:ascii="宋体" w:hAnsi="宋体" w:eastAsia="宋体" w:cs="宋体"/>
                <w:sz w:val="24"/>
                <w:szCs w:val="24"/>
                <w:lang w:val="en-US" w:eastAsia="zh-CN"/>
              </w:rPr>
              <w:t xml:space="preserve"> 年 1 月至今类似项目合同业绩，每提供1 份得</w:t>
            </w: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 xml:space="preserve">分；最高得 </w:t>
            </w:r>
            <w:r>
              <w:rPr>
                <w:rFonts w:hint="eastAsia" w:ascii="宋体" w:hAnsi="宋体" w:eastAsia="宋体" w:cs="宋体"/>
                <w:sz w:val="24"/>
                <w:szCs w:val="24"/>
                <w:lang w:val="en-US" w:eastAsia="zh-CN"/>
              </w:rPr>
              <w:t>9</w:t>
            </w:r>
            <w:r>
              <w:rPr>
                <w:rFonts w:hint="default" w:ascii="宋体" w:hAnsi="宋体" w:eastAsia="宋体" w:cs="宋体"/>
                <w:sz w:val="24"/>
                <w:szCs w:val="24"/>
                <w:lang w:val="en-US" w:eastAsia="zh-CN"/>
              </w:rPr>
              <w:t>分。（提供合同</w:t>
            </w:r>
            <w:r>
              <w:rPr>
                <w:rFonts w:hint="eastAsia" w:ascii="宋体" w:hAnsi="宋体" w:eastAsia="宋体" w:cs="宋体"/>
                <w:sz w:val="24"/>
                <w:szCs w:val="24"/>
                <w:lang w:val="en-US" w:eastAsia="zh-CN"/>
              </w:rPr>
              <w:t>和</w:t>
            </w:r>
            <w:r>
              <w:rPr>
                <w:rFonts w:hint="default" w:ascii="宋体" w:hAnsi="宋体" w:eastAsia="宋体" w:cs="宋体"/>
                <w:sz w:val="24"/>
                <w:szCs w:val="24"/>
                <w:lang w:val="en-US" w:eastAsia="zh-CN"/>
              </w:rPr>
              <w:t>中标通知书复印件加盖公司鲜章经评委审核，不提供不得分）；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24" w:type="dxa"/>
            <w:noWrap w:val="0"/>
            <w:vAlign w:val="center"/>
          </w:tcPr>
          <w:p>
            <w:pPr>
              <w:spacing w:line="360" w:lineRule="auto"/>
              <w:ind w:right="-94" w:rightChars="-45"/>
              <w:jc w:val="center"/>
              <w:rPr>
                <w:rFonts w:hint="default" w:cs="Times New Roman"/>
                <w:b/>
                <w:bCs/>
                <w:color w:val="auto"/>
                <w:sz w:val="24"/>
                <w:szCs w:val="22"/>
                <w:lang w:val="en-US" w:eastAsia="zh-CN"/>
              </w:rPr>
            </w:pPr>
            <w:r>
              <w:rPr>
                <w:rFonts w:hint="eastAsia" w:cs="Times New Roman"/>
                <w:b/>
                <w:bCs/>
                <w:color w:val="auto"/>
                <w:sz w:val="24"/>
                <w:szCs w:val="22"/>
                <w:lang w:val="en-US" w:eastAsia="zh-CN"/>
              </w:rPr>
              <w:t>人员配置（5分）</w:t>
            </w:r>
          </w:p>
        </w:tc>
        <w:tc>
          <w:tcPr>
            <w:tcW w:w="8557" w:type="dxa"/>
            <w:gridSpan w:val="2"/>
            <w:noWrap w:val="0"/>
            <w:tcMar>
              <w:top w:w="0" w:type="dxa"/>
              <w:left w:w="113" w:type="dxa"/>
              <w:bottom w:w="0" w:type="dxa"/>
              <w:right w:w="113" w:type="dxa"/>
            </w:tcMar>
            <w:vAlign w:val="center"/>
          </w:tcPr>
          <w:p>
            <w:pPr>
              <w:spacing w:line="360" w:lineRule="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提供项目管理机构人员：施工员、专职安全员、质量员、材料员、资料员身份证、岗位证（其中专职安全员需提供安C证），并提供2023年1月至今本企业为其缴纳的至少1个月的社会保险缴纳证明材料（五险一金提供一项即可）；每提供一个得1分，最高得5分。</w:t>
            </w:r>
            <w:bookmarkStart w:id="377" w:name="_GoBack"/>
            <w:bookmarkEnd w:id="377"/>
          </w:p>
        </w:tc>
      </w:tr>
    </w:tbl>
    <w:p>
      <w:pPr>
        <w:pStyle w:val="10"/>
        <w:rPr>
          <w:rFonts w:hint="eastAsia" w:ascii="宋体" w:hAnsi="宋体" w:cs="宋体"/>
        </w:rPr>
      </w:pPr>
    </w:p>
    <w:p>
      <w:pPr>
        <w:rPr>
          <w:rFonts w:hint="eastAsia" w:ascii="宋体" w:hAnsi="宋体" w:cs="宋体"/>
        </w:rPr>
      </w:pPr>
    </w:p>
    <w:p>
      <w:pPr>
        <w:pStyle w:val="10"/>
        <w:rPr>
          <w:rFonts w:hint="eastAsia" w:ascii="宋体" w:hAnsi="宋体" w:cs="宋体"/>
        </w:rPr>
      </w:pPr>
    </w:p>
    <w:p>
      <w:pPr>
        <w:rPr>
          <w:rFonts w:hint="eastAsia" w:ascii="宋体" w:hAnsi="宋体" w:cs="宋体"/>
        </w:rPr>
        <w:sectPr>
          <w:pgSz w:w="11906" w:h="16838"/>
          <w:pgMar w:top="1219" w:right="1800" w:bottom="1219" w:left="1800" w:header="851" w:footer="992" w:gutter="0"/>
          <w:pgNumType w:fmt="decimal"/>
          <w:cols w:space="720" w:num="1"/>
          <w:docGrid w:type="lines" w:linePitch="312" w:charSpace="0"/>
        </w:sectPr>
      </w:pPr>
    </w:p>
    <w:bookmarkEnd w:id="235"/>
    <w:p>
      <w:pPr>
        <w:pStyle w:val="2"/>
        <w:bidi w:val="0"/>
        <w:rPr>
          <w:rFonts w:hint="eastAsia"/>
          <w:sz w:val="36"/>
          <w:szCs w:val="36"/>
        </w:rPr>
      </w:pPr>
      <w:bookmarkStart w:id="241" w:name="_Toc10531"/>
      <w:bookmarkStart w:id="242" w:name="_Toc29384"/>
      <w:bookmarkStart w:id="243" w:name="_Toc14711"/>
      <w:bookmarkStart w:id="244" w:name="_Toc557"/>
      <w:bookmarkStart w:id="245" w:name="_Toc2619"/>
      <w:r>
        <w:rPr>
          <w:rFonts w:hint="eastAsia"/>
          <w:sz w:val="36"/>
          <w:szCs w:val="36"/>
          <w:lang w:val="en-US" w:eastAsia="zh-CN"/>
        </w:rPr>
        <w:t>第四章  商务要求</w:t>
      </w:r>
      <w:bookmarkEnd w:id="241"/>
      <w:bookmarkEnd w:id="242"/>
    </w:p>
    <w:p>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rPr>
        <w:t>一、</w:t>
      </w:r>
      <w:r>
        <w:rPr>
          <w:rFonts w:hint="eastAsia" w:ascii="宋体" w:hAnsi="宋体" w:eastAsia="宋体" w:cs="宋体"/>
          <w:b/>
          <w:bCs w:val="0"/>
          <w:color w:val="auto"/>
          <w:sz w:val="24"/>
          <w:szCs w:val="24"/>
          <w:lang w:val="en-US" w:eastAsia="zh-CN"/>
        </w:rPr>
        <w:t>工期：</w:t>
      </w:r>
      <w:r>
        <w:rPr>
          <w:rFonts w:hint="eastAsia" w:ascii="宋体" w:hAnsi="宋体" w:cs="宋体"/>
          <w:b/>
          <w:bCs w:val="0"/>
          <w:color w:val="FF0000"/>
          <w:sz w:val="24"/>
          <w:szCs w:val="24"/>
          <w:lang w:val="en-US" w:eastAsia="zh-CN"/>
        </w:rPr>
        <w:t>2</w:t>
      </w:r>
      <w:r>
        <w:rPr>
          <w:rFonts w:hint="eastAsia" w:ascii="宋体" w:hAnsi="宋体" w:eastAsia="宋体" w:cs="宋体"/>
          <w:b/>
          <w:bCs w:val="0"/>
          <w:color w:val="FF0000"/>
          <w:sz w:val="24"/>
          <w:szCs w:val="24"/>
          <w:lang w:val="en-US" w:eastAsia="zh-CN"/>
        </w:rPr>
        <w:t>个月。</w:t>
      </w:r>
    </w:p>
    <w:p>
      <w:pPr>
        <w:pStyle w:val="10"/>
        <w:jc w:val="left"/>
        <w:rPr>
          <w:rFonts w:hint="default" w:ascii="宋体" w:hAnsi="宋体" w:cs="宋体"/>
          <w:b/>
          <w:bCs/>
          <w:color w:val="000000" w:themeColor="text1"/>
          <w:sz w:val="24"/>
          <w:highlight w:val="none"/>
          <w:shd w:val="clear"/>
          <w:lang w:val="en-US" w:eastAsia="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 xml:space="preserve">      质保期：</w:t>
      </w:r>
      <w:r>
        <w:rPr>
          <w:rFonts w:hint="eastAsia" w:asciiTheme="minorEastAsia" w:hAnsiTheme="minorEastAsia" w:eastAsiaTheme="minorEastAsia" w:cstheme="minorEastAsia"/>
          <w:bCs/>
          <w:color w:val="000000" w:themeColor="text1"/>
          <w:sz w:val="24"/>
          <w:szCs w:val="24"/>
          <w:highlight w:val="none"/>
          <w:shd w:val="clear"/>
          <w:lang w:val="en-US" w:eastAsia="zh-CN"/>
          <w14:textFill>
            <w14:solidFill>
              <w14:schemeClr w14:val="tx1"/>
            </w14:solidFill>
          </w14:textFill>
        </w:rPr>
        <w:t>验收合格后1年</w:t>
      </w:r>
    </w:p>
    <w:p>
      <w:pPr>
        <w:jc w:val="lef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 xml:space="preserve">      工程质量：合格</w:t>
      </w:r>
    </w:p>
    <w:p>
      <w:pPr>
        <w:jc w:val="left"/>
        <w:rPr>
          <w:rFonts w:hint="default" w:ascii="宋体" w:hAnsi="宋体" w:cs="宋体"/>
          <w:b/>
          <w:bCs/>
          <w:color w:val="auto"/>
          <w:sz w:val="24"/>
          <w:highlight w:val="none"/>
          <w:lang w:val="en-US" w:eastAsia="zh-CN"/>
        </w:rPr>
      </w:pP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241" w:firstLineChars="100"/>
        <w:jc w:val="left"/>
        <w:textAlignment w:val="auto"/>
        <w:rPr>
          <w:rFonts w:hint="eastAsia" w:ascii="Times New Roman" w:hAnsi="Times New Roman" w:eastAsia="宋体" w:cs="Times New Roman"/>
          <w:kern w:val="2"/>
          <w:sz w:val="24"/>
          <w:szCs w:val="16"/>
          <w:lang w:val="en-US" w:eastAsia="zh-CN" w:bidi="ar-SA"/>
        </w:rPr>
      </w:pPr>
      <w:r>
        <w:rPr>
          <w:rFonts w:hint="eastAsia" w:ascii="宋体" w:hAnsi="宋体" w:cs="宋体"/>
          <w:b/>
          <w:bCs w:val="0"/>
          <w:color w:val="auto"/>
          <w:sz w:val="24"/>
          <w:szCs w:val="24"/>
          <w:lang w:val="en-US" w:eastAsia="zh-CN"/>
        </w:rPr>
        <w:t>施工地点：</w:t>
      </w:r>
      <w:r>
        <w:rPr>
          <w:rFonts w:hint="eastAsia" w:ascii="Times New Roman" w:hAnsi="Times New Roman" w:eastAsia="宋体" w:cs="Times New Roman"/>
          <w:kern w:val="2"/>
          <w:sz w:val="24"/>
          <w:szCs w:val="16"/>
          <w:lang w:val="en-US" w:eastAsia="zh-CN" w:bidi="ar-SA"/>
        </w:rPr>
        <w:t>子洲县马蹄沟</w:t>
      </w:r>
      <w:r>
        <w:rPr>
          <w:rFonts w:hint="eastAsia" w:cs="Times New Roman"/>
          <w:kern w:val="2"/>
          <w:sz w:val="24"/>
          <w:szCs w:val="16"/>
          <w:lang w:val="en-US" w:eastAsia="zh-CN" w:bidi="ar-SA"/>
        </w:rPr>
        <w:t>镇</w:t>
      </w:r>
      <w:r>
        <w:rPr>
          <w:rFonts w:hint="eastAsia" w:ascii="Times New Roman" w:hAnsi="Times New Roman" w:eastAsia="宋体" w:cs="Times New Roman"/>
          <w:kern w:val="2"/>
          <w:sz w:val="24"/>
          <w:szCs w:val="16"/>
          <w:lang w:val="en-US" w:eastAsia="zh-CN" w:bidi="ar-SA"/>
        </w:rPr>
        <w:t xml:space="preserve"> </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241" w:firstLineChars="100"/>
        <w:jc w:val="left"/>
        <w:textAlignment w:val="auto"/>
        <w:rPr>
          <w:rFonts w:hint="eastAsia" w:ascii="宋体" w:hAnsi="宋体" w:cs="宋体"/>
          <w:b/>
          <w:bCs w:val="0"/>
          <w:color w:val="auto"/>
          <w:sz w:val="24"/>
          <w:szCs w:val="24"/>
          <w:lang w:val="en-US" w:eastAsia="zh-CN"/>
        </w:rPr>
      </w:pPr>
      <w:r>
        <w:rPr>
          <w:rFonts w:hint="eastAsia" w:ascii="宋体" w:hAnsi="宋体" w:cs="宋体"/>
          <w:b/>
          <w:bCs w:val="0"/>
          <w:color w:val="auto"/>
          <w:sz w:val="24"/>
          <w:szCs w:val="24"/>
          <w:lang w:val="en-US" w:eastAsia="zh-CN"/>
        </w:rPr>
        <w:t>合同价款</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olor w:val="auto"/>
          <w:sz w:val="24"/>
          <w:highlight w:val="none"/>
        </w:rPr>
        <w:t>投标报价应为本次投标项目所包含的一切相关费用。</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2、合同总价一次包死，不受市场价变化的影响。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宋体" w:hAnsi="宋体" w:cs="宋体"/>
          <w:b/>
          <w:bCs w:val="0"/>
          <w:color w:val="auto"/>
          <w:sz w:val="24"/>
          <w:szCs w:val="24"/>
          <w:lang w:val="en-US" w:eastAsia="zh-CN"/>
        </w:rPr>
      </w:pPr>
      <w:bookmarkStart w:id="246" w:name="_Toc16112"/>
      <w:r>
        <w:rPr>
          <w:rFonts w:hint="eastAsia" w:ascii="宋体" w:hAnsi="宋体" w:cs="宋体"/>
          <w:b/>
          <w:bCs w:val="0"/>
          <w:color w:val="auto"/>
          <w:sz w:val="24"/>
          <w:szCs w:val="24"/>
          <w:lang w:val="en-US" w:eastAsia="zh-CN"/>
        </w:rPr>
        <w:t>四、</w:t>
      </w:r>
      <w:bookmarkEnd w:id="246"/>
      <w:r>
        <w:rPr>
          <w:rFonts w:hint="eastAsia" w:ascii="宋体" w:hAnsi="宋体" w:cs="宋体"/>
          <w:b/>
          <w:bCs w:val="0"/>
          <w:color w:val="auto"/>
          <w:sz w:val="24"/>
          <w:szCs w:val="24"/>
          <w:lang w:val="en-US" w:eastAsia="zh-CN"/>
        </w:rPr>
        <w:t xml:space="preserve">付款：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1、合同总价即成交价，不受市场价变化或实际工作量变化的影响。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2、付款方式和程序：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2.1 由采购人负责结算，在付款前，供应商必须开具全额发票给采购人 （附详细清单）。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2.2</w:t>
      </w:r>
      <w:r>
        <w:rPr>
          <w:rFonts w:hint="eastAsia" w:ascii="宋体" w:hAnsi="宋体" w:eastAsia="宋体" w:cs="宋体"/>
          <w:b w:val="0"/>
          <w:bCs/>
          <w:color w:val="auto"/>
          <w:sz w:val="24"/>
          <w:szCs w:val="24"/>
          <w:shd w:val="clear"/>
          <w:lang w:val="en-US" w:eastAsia="zh-CN"/>
        </w:rPr>
        <w:t xml:space="preserve"> </w:t>
      </w:r>
      <w:r>
        <w:rPr>
          <w:rFonts w:hint="eastAsia" w:ascii="宋体" w:hAnsi="宋体" w:eastAsia="宋体" w:cs="宋体"/>
          <w:b w:val="0"/>
          <w:bCs/>
          <w:color w:val="FF0000"/>
          <w:sz w:val="24"/>
          <w:szCs w:val="24"/>
          <w:shd w:val="clear"/>
          <w:lang w:val="en-US" w:eastAsia="zh-CN"/>
        </w:rPr>
        <w:t>付款方式</w:t>
      </w:r>
      <w:r>
        <w:rPr>
          <w:rFonts w:hint="eastAsia" w:ascii="宋体" w:hAnsi="宋体" w:eastAsia="宋体" w:cs="宋体"/>
          <w:b w:val="0"/>
          <w:bCs/>
          <w:color w:val="auto"/>
          <w:sz w:val="24"/>
          <w:szCs w:val="24"/>
          <w:shd w:val="clear"/>
          <w:lang w:val="en-US" w:eastAsia="zh-CN"/>
        </w:rPr>
        <w:t>：</w:t>
      </w:r>
      <w:r>
        <w:rPr>
          <w:rFonts w:hint="eastAsia" w:ascii="宋体" w:hAnsi="宋体" w:cs="宋体"/>
          <w:b w:val="0"/>
          <w:bCs/>
          <w:color w:val="auto"/>
          <w:sz w:val="24"/>
          <w:szCs w:val="24"/>
          <w:lang w:val="en-US" w:eastAsia="zh-CN"/>
        </w:rPr>
        <w:t>合同签订后支付合同价款40%，项目完工后支付合同价款40%，项目审计后支付剩余的20%的合同价款。</w:t>
      </w:r>
    </w:p>
    <w:p>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宋体" w:hAnsi="宋体" w:cs="宋体"/>
          <w:b/>
          <w:bCs w:val="0"/>
          <w:color w:val="auto"/>
          <w:sz w:val="24"/>
          <w:szCs w:val="24"/>
        </w:rPr>
      </w:pPr>
      <w:r>
        <w:rPr>
          <w:rFonts w:hint="eastAsia" w:ascii="宋体" w:hAnsi="宋体" w:cs="宋体"/>
          <w:b/>
          <w:bCs w:val="0"/>
          <w:color w:val="auto"/>
          <w:sz w:val="24"/>
          <w:szCs w:val="24"/>
        </w:rPr>
        <w:t>五、</w:t>
      </w:r>
      <w:r>
        <w:rPr>
          <w:rFonts w:ascii="宋体" w:hAnsi="宋体" w:eastAsia="宋体" w:cs="宋体"/>
          <w:b/>
          <w:bCs w:val="0"/>
          <w:color w:val="auto"/>
          <w:sz w:val="24"/>
          <w:szCs w:val="24"/>
        </w:rPr>
        <w:t>服务保证</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宋体" w:hAnsi="宋体" w:eastAsia="宋体" w:cs="宋体"/>
          <w:b w:val="0"/>
          <w:bCs w:val="0"/>
          <w:color w:val="000000"/>
          <w:sz w:val="24"/>
          <w:szCs w:val="24"/>
        </w:rPr>
      </w:pPr>
      <w:r>
        <w:rPr>
          <w:rFonts w:ascii="宋体" w:hAnsi="宋体" w:eastAsia="宋体" w:cs="宋体"/>
          <w:b w:val="0"/>
          <w:bCs w:val="0"/>
          <w:color w:val="000000"/>
          <w:sz w:val="24"/>
          <w:szCs w:val="24"/>
        </w:rPr>
        <w:t>供应商交付的服务及材料必须保证质量可靠，应全面满足</w:t>
      </w:r>
      <w:r>
        <w:rPr>
          <w:rFonts w:hint="eastAsia" w:ascii="宋体" w:hAnsi="宋体" w:eastAsia="宋体" w:cs="宋体"/>
          <w:b w:val="0"/>
          <w:bCs w:val="0"/>
          <w:color w:val="000000"/>
          <w:sz w:val="24"/>
          <w:szCs w:val="24"/>
          <w:lang w:val="en-US" w:eastAsia="zh-CN"/>
        </w:rPr>
        <w:t>招标</w:t>
      </w:r>
      <w:r>
        <w:rPr>
          <w:rFonts w:ascii="宋体" w:hAnsi="宋体" w:eastAsia="宋体" w:cs="宋体"/>
          <w:b w:val="0"/>
          <w:bCs w:val="0"/>
          <w:color w:val="000000"/>
          <w:sz w:val="24"/>
          <w:szCs w:val="24"/>
        </w:rPr>
        <w:t>文件的要求，采购文件未明确要求的内容，供应商按磋商服务要求或以采购人的 补充要求为准。所供服务及材料应严格按照国家最新发布的规范标准执行，如发生问题由供应商承担全部责任。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ascii="宋体" w:hAnsi="宋体" w:eastAsia="宋体" w:cs="宋体"/>
          <w:b/>
          <w:bCs/>
          <w:color w:val="000000"/>
          <w:sz w:val="24"/>
          <w:szCs w:val="24"/>
        </w:rPr>
      </w:pPr>
      <w:r>
        <w:rPr>
          <w:rFonts w:hint="eastAsia" w:ascii="宋体" w:hAnsi="宋体" w:cs="宋体"/>
          <w:b/>
          <w:bCs/>
          <w:color w:val="000000"/>
          <w:sz w:val="24"/>
          <w:szCs w:val="24"/>
          <w:lang w:val="en-US" w:eastAsia="zh-CN"/>
        </w:rPr>
        <w:t>六、</w:t>
      </w:r>
      <w:r>
        <w:rPr>
          <w:rFonts w:ascii="宋体" w:hAnsi="宋体" w:eastAsia="宋体" w:cs="宋体"/>
          <w:b/>
          <w:bCs/>
          <w:color w:val="000000"/>
          <w:sz w:val="24"/>
          <w:szCs w:val="24"/>
        </w:rPr>
        <w:t>知识产权</w:t>
      </w:r>
    </w:p>
    <w:p>
      <w:pPr>
        <w:pStyle w:val="10"/>
        <w:numPr>
          <w:ilvl w:val="0"/>
          <w:numId w:val="0"/>
        </w:numPr>
        <w:spacing w:line="360" w:lineRule="auto"/>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供应商应对所供服务具有或已取得合法知识产权，供应商应保证所供 服务不会出现因第三方提出侵犯其专利权、商标权或其它知识产权而引发 法律或经济纠纷，否则由供应商负责解决并承担全部责任；如因此影响到 采购人的正常使用，采购人有权单方解除本合同，供应商应无条件向采购 人退回已收取的全部合同价款。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s="宋体"/>
          <w:b/>
          <w:bCs/>
          <w:color w:val="000000"/>
          <w:sz w:val="24"/>
          <w:szCs w:val="24"/>
          <w:lang w:val="en-US" w:eastAsia="zh-CN"/>
        </w:rPr>
      </w:pPr>
      <w:r>
        <w:rPr>
          <w:rFonts w:hint="eastAsia" w:ascii="宋体" w:hAnsi="宋体" w:cs="宋体"/>
          <w:b/>
          <w:bCs/>
          <w:color w:val="000000"/>
          <w:sz w:val="24"/>
          <w:szCs w:val="24"/>
          <w:lang w:val="en-US" w:eastAsia="zh-CN"/>
        </w:rPr>
        <w:t>七、违约责任</w:t>
      </w:r>
    </w:p>
    <w:p>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按《中华人民共和国政府采购法》</w:t>
      </w:r>
      <w:r>
        <w:rPr>
          <w:rFonts w:hint="eastAsia" w:ascii="宋体" w:hAnsi="宋体" w:eastAsia="宋体" w:cs="宋体"/>
          <w:sz w:val="24"/>
          <w:szCs w:val="24"/>
          <w:lang w:eastAsia="zh-CN"/>
        </w:rPr>
        <w:t>、</w:t>
      </w:r>
      <w:r>
        <w:rPr>
          <w:rFonts w:hint="eastAsia" w:ascii="宋体" w:hAnsi="宋体" w:eastAsia="宋体" w:cs="宋体"/>
          <w:sz w:val="24"/>
          <w:szCs w:val="24"/>
        </w:rPr>
        <w:t xml:space="preserve">《中华人民共和国民法典》中的相关条款执行。 </w:t>
      </w:r>
    </w:p>
    <w:p>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未按合同或</w:t>
      </w:r>
      <w:r>
        <w:rPr>
          <w:rFonts w:hint="eastAsia" w:ascii="宋体" w:hAnsi="宋体" w:eastAsia="宋体" w:cs="宋体"/>
          <w:sz w:val="24"/>
          <w:szCs w:val="24"/>
          <w:lang w:val="en-US" w:eastAsia="zh-CN"/>
        </w:rPr>
        <w:t>招标</w:t>
      </w:r>
      <w:r>
        <w:rPr>
          <w:rFonts w:hint="eastAsia" w:ascii="宋体" w:hAnsi="宋体" w:eastAsia="宋体" w:cs="宋体"/>
          <w:sz w:val="24"/>
          <w:szCs w:val="24"/>
        </w:rPr>
        <w:t xml:space="preserve">文件要求提供服务或供应的服务质量不能满足采购人技术要求，采购单位有权终止合同，甚至对供应商违约行为进行追究。 </w:t>
      </w:r>
    </w:p>
    <w:p>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供应商的响应文件为签订正式书面合同书不可分割的部分，供应商应履行相应的责任。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rPr>
      </w:pPr>
      <w:r>
        <w:rPr>
          <w:rFonts w:hint="eastAsia" w:ascii="宋体" w:hAnsi="宋体" w:eastAsia="宋体" w:cs="宋体"/>
          <w:b/>
          <w:bCs/>
          <w:color w:val="000000"/>
          <w:sz w:val="24"/>
          <w:szCs w:val="24"/>
          <w:lang w:val="en-US" w:eastAsia="zh-CN"/>
        </w:rPr>
        <w:t>八、验收标准</w:t>
      </w:r>
    </w:p>
    <w:p>
      <w:pPr>
        <w:bidi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按照采购合同的约定和现行国家标准、行业标准以及企业标准对每一项技术、服务、安全标准的履约情况进行确认。由代理公司和采购方组织，邀请省库专家和监督单位与采购方共同验收，验收合格后由监督方出具验收证明。                                                                                                                                                                                                                                                                                                                                                                                                                                                                                                                                                                                                                                                                                                                                                                                                                                                                                                                                                                                                                                                                                                                                                                                                                                                                                                                                                                                                                                                                                                                                                                                                                                                                                                                                                                                                                                                                                                                                                                                                                                                                                                                                                                                                                                                                                                                                                                                                                                                                                                                                                                                                                                                                                                                                                                                                      </w:t>
      </w:r>
    </w:p>
    <w:p>
      <w:pPr>
        <w:bidi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验收依据：</w:t>
      </w:r>
      <w:r>
        <w:rPr>
          <w:rFonts w:hint="eastAsia" w:ascii="宋体" w:hAnsi="宋体" w:eastAsia="宋体" w:cs="宋体"/>
          <w:sz w:val="24"/>
          <w:szCs w:val="24"/>
        </w:rPr>
        <w:t>合同文本、磋商文件、磋商响应文件；国家或行业标准、规范等规定的标准和方法。</w:t>
      </w:r>
    </w:p>
    <w:p>
      <w:pPr>
        <w:bidi w:val="0"/>
        <w:spacing w:line="360" w:lineRule="auto"/>
        <w:ind w:firstLine="480" w:firstLineChars="200"/>
        <w:rPr>
          <w:rFonts w:hint="eastAsia" w:ascii="宋体" w:hAnsi="宋体" w:eastAsia="宋体" w:cs="宋体"/>
          <w:sz w:val="24"/>
          <w:szCs w:val="24"/>
        </w:rPr>
        <w:sectPr>
          <w:pgSz w:w="11906" w:h="16838"/>
          <w:pgMar w:top="1219" w:right="1800" w:bottom="1219" w:left="1800" w:header="851" w:footer="992" w:gutter="0"/>
          <w:pgNumType w:fmt="decimal"/>
          <w:cols w:space="720" w:num="1"/>
          <w:docGrid w:type="lines" w:linePitch="312" w:charSpace="0"/>
        </w:sectPr>
      </w:pPr>
    </w:p>
    <w:bookmarkEnd w:id="243"/>
    <w:bookmarkEnd w:id="244"/>
    <w:bookmarkEnd w:id="245"/>
    <w:p>
      <w:pPr>
        <w:pStyle w:val="2"/>
        <w:bidi w:val="0"/>
        <w:rPr>
          <w:rFonts w:hint="eastAsia"/>
          <w:sz w:val="36"/>
          <w:szCs w:val="36"/>
          <w:lang w:eastAsia="zh-CN"/>
        </w:rPr>
      </w:pPr>
      <w:bookmarkStart w:id="247" w:name="_Toc31409"/>
      <w:bookmarkStart w:id="248" w:name="_Toc28604"/>
      <w:bookmarkStart w:id="249" w:name="_Toc25814"/>
      <w:bookmarkStart w:id="250" w:name="_Toc6363"/>
      <w:bookmarkStart w:id="251" w:name="_Toc28897"/>
      <w:bookmarkStart w:id="252" w:name="_Toc26171"/>
      <w:bookmarkStart w:id="253" w:name="_Toc3157"/>
      <w:bookmarkStart w:id="254" w:name="_Toc24168"/>
      <w:bookmarkStart w:id="255" w:name="_Toc13059"/>
      <w:bookmarkStart w:id="256" w:name="_Toc30843"/>
      <w:bookmarkStart w:id="257" w:name="_Toc3752"/>
      <w:bookmarkStart w:id="258" w:name="_Toc1581"/>
      <w:bookmarkStart w:id="259" w:name="_Toc17980"/>
      <w:bookmarkStart w:id="260" w:name="_Toc14444"/>
      <w:bookmarkStart w:id="261" w:name="_Toc474770760"/>
      <w:bookmarkStart w:id="262" w:name="_Toc510859905"/>
      <w:bookmarkStart w:id="263" w:name="_Toc6072"/>
      <w:bookmarkStart w:id="264" w:name="_Toc504605199"/>
      <w:r>
        <w:rPr>
          <w:rFonts w:hint="eastAsia"/>
          <w:sz w:val="36"/>
          <w:szCs w:val="36"/>
          <w:lang w:val="en-US" w:eastAsia="zh-CN"/>
        </w:rPr>
        <w:t>第五章</w:t>
      </w:r>
      <w:r>
        <w:rPr>
          <w:rFonts w:hint="eastAsia"/>
          <w:sz w:val="36"/>
          <w:szCs w:val="36"/>
        </w:rPr>
        <w:t xml:space="preserve"> </w:t>
      </w:r>
      <w:r>
        <w:rPr>
          <w:rFonts w:hint="eastAsia"/>
          <w:sz w:val="36"/>
          <w:szCs w:val="36"/>
          <w:lang w:val="en-US" w:eastAsia="zh-CN"/>
        </w:rPr>
        <w:t xml:space="preserve"> </w:t>
      </w:r>
      <w:bookmarkEnd w:id="247"/>
      <w:r>
        <w:rPr>
          <w:rFonts w:hint="eastAsia"/>
          <w:sz w:val="36"/>
          <w:szCs w:val="36"/>
        </w:rPr>
        <w:t>政府采购合同</w:t>
      </w:r>
      <w:bookmarkEnd w:id="248"/>
      <w:bookmarkEnd w:id="249"/>
    </w:p>
    <w:bookmarkEnd w:id="250"/>
    <w:bookmarkEnd w:id="251"/>
    <w:bookmarkEnd w:id="252"/>
    <w:bookmarkEnd w:id="253"/>
    <w:bookmarkEnd w:id="254"/>
    <w:bookmarkEnd w:id="255"/>
    <w:bookmarkEnd w:id="256"/>
    <w:bookmarkEnd w:id="257"/>
    <w:bookmarkEnd w:id="258"/>
    <w:bookmarkEnd w:id="259"/>
    <w:bookmarkEnd w:id="260"/>
    <w:p>
      <w:pPr>
        <w:spacing w:before="120" w:line="360" w:lineRule="auto"/>
        <w:ind w:firstLine="3064" w:firstLineChars="1090"/>
        <w:rPr>
          <w:rFonts w:hint="eastAsia" w:ascii="宋体" w:hAnsi="宋体" w:cs="宋体"/>
          <w:sz w:val="28"/>
          <w:szCs w:val="28"/>
        </w:rPr>
      </w:pPr>
      <w:bookmarkStart w:id="265" w:name="_Toc15910"/>
      <w:bookmarkStart w:id="266" w:name="_Toc20301"/>
      <w:r>
        <w:rPr>
          <w:rFonts w:hint="eastAsia" w:ascii="宋体" w:hAnsi="宋体" w:cs="宋体"/>
          <w:b/>
          <w:bCs/>
          <w:sz w:val="28"/>
          <w:szCs w:val="28"/>
        </w:rPr>
        <w:t>合同编号：</w:t>
      </w:r>
      <w:r>
        <w:rPr>
          <w:rFonts w:hint="eastAsia" w:ascii="宋体" w:hAnsi="宋体" w:cs="宋体"/>
          <w:b/>
          <w:bCs/>
          <w:sz w:val="28"/>
          <w:szCs w:val="28"/>
          <w:u w:val="single"/>
        </w:rPr>
        <w:t xml:space="preserve">            </w:t>
      </w:r>
      <w:r>
        <w:rPr>
          <w:rFonts w:hint="eastAsia" w:ascii="宋体" w:hAnsi="宋体" w:cs="宋体"/>
          <w:sz w:val="28"/>
          <w:szCs w:val="28"/>
        </w:rPr>
        <w:t xml:space="preserve">        </w:t>
      </w:r>
    </w:p>
    <w:p>
      <w:pPr>
        <w:spacing w:before="120" w:line="360" w:lineRule="auto"/>
        <w:rPr>
          <w:rFonts w:hint="eastAsia" w:ascii="宋体" w:hAnsi="宋体" w:cs="宋体"/>
          <w:sz w:val="28"/>
          <w:szCs w:val="28"/>
        </w:rPr>
      </w:pPr>
    </w:p>
    <w:p>
      <w:pPr>
        <w:spacing w:before="120" w:line="360" w:lineRule="auto"/>
        <w:rPr>
          <w:rFonts w:hint="eastAsia" w:ascii="宋体" w:hAnsi="宋体" w:cs="宋体"/>
          <w:sz w:val="28"/>
          <w:szCs w:val="28"/>
        </w:rPr>
      </w:pPr>
    </w:p>
    <w:p>
      <w:pPr>
        <w:spacing w:before="120" w:line="360" w:lineRule="auto"/>
        <w:rPr>
          <w:rFonts w:hint="eastAsia" w:ascii="宋体" w:hAnsi="宋体" w:cs="宋体"/>
          <w:sz w:val="28"/>
          <w:szCs w:val="28"/>
        </w:rPr>
      </w:pPr>
    </w:p>
    <w:p>
      <w:pPr>
        <w:spacing w:before="120" w:line="360" w:lineRule="auto"/>
        <w:rPr>
          <w:rFonts w:hint="eastAsia" w:ascii="宋体" w:hAnsi="宋体" w:cs="宋体"/>
          <w:sz w:val="28"/>
          <w:szCs w:val="28"/>
        </w:rPr>
      </w:pPr>
    </w:p>
    <w:p>
      <w:pPr>
        <w:pStyle w:val="10"/>
        <w:rPr>
          <w:rFonts w:hint="eastAsia" w:ascii="宋体" w:hAnsi="宋体" w:cs="宋体"/>
          <w:sz w:val="28"/>
          <w:szCs w:val="28"/>
        </w:rPr>
      </w:pPr>
    </w:p>
    <w:p>
      <w:pPr>
        <w:rPr>
          <w:rFonts w:hint="eastAsia" w:ascii="宋体" w:hAnsi="宋体" w:cs="宋体"/>
          <w:sz w:val="28"/>
          <w:szCs w:val="28"/>
        </w:rPr>
      </w:pPr>
    </w:p>
    <w:p>
      <w:pPr>
        <w:pStyle w:val="10"/>
        <w:rPr>
          <w:rFonts w:hint="eastAsia" w:ascii="宋体" w:hAnsi="宋体" w:cs="宋体"/>
          <w:sz w:val="28"/>
          <w:szCs w:val="28"/>
        </w:rPr>
      </w:pPr>
    </w:p>
    <w:p>
      <w:pPr>
        <w:rPr>
          <w:rFonts w:hint="eastAsia" w:ascii="宋体" w:hAnsi="宋体" w:cs="宋体"/>
          <w:sz w:val="28"/>
          <w:szCs w:val="28"/>
        </w:rPr>
      </w:pPr>
    </w:p>
    <w:p>
      <w:pPr>
        <w:pStyle w:val="10"/>
        <w:rPr>
          <w:rFonts w:hint="eastAsia"/>
        </w:rPr>
      </w:pPr>
    </w:p>
    <w:p>
      <w:pPr>
        <w:spacing w:before="120" w:line="360" w:lineRule="auto"/>
        <w:rPr>
          <w:rFonts w:hint="eastAsia" w:ascii="宋体" w:hAnsi="宋体" w:cs="宋体"/>
          <w:sz w:val="28"/>
          <w:szCs w:val="28"/>
        </w:rPr>
      </w:pPr>
    </w:p>
    <w:p>
      <w:pPr>
        <w:spacing w:before="120" w:line="360" w:lineRule="auto"/>
        <w:rPr>
          <w:rFonts w:hint="eastAsia" w:ascii="宋体" w:hAnsi="宋体" w:cs="宋体"/>
          <w:sz w:val="28"/>
          <w:szCs w:val="28"/>
        </w:rPr>
      </w:pPr>
    </w:p>
    <w:p>
      <w:pPr>
        <w:pStyle w:val="10"/>
        <w:rPr>
          <w:rFonts w:hint="eastAsia" w:ascii="宋体" w:hAnsi="宋体" w:cs="宋体"/>
          <w:szCs w:val="28"/>
        </w:rPr>
      </w:pPr>
    </w:p>
    <w:p>
      <w:pPr>
        <w:spacing w:before="120" w:line="360" w:lineRule="auto"/>
        <w:rPr>
          <w:rFonts w:hint="eastAsia" w:ascii="宋体" w:hAnsi="宋体" w:cs="宋体"/>
          <w:sz w:val="28"/>
          <w:szCs w:val="28"/>
        </w:rPr>
      </w:pPr>
    </w:p>
    <w:p>
      <w:pPr>
        <w:pStyle w:val="7"/>
        <w:ind w:firstLine="0" w:firstLineChars="0"/>
        <w:rPr>
          <w:rFonts w:hint="eastAsia" w:ascii="宋体" w:hAnsi="宋体" w:cs="宋体"/>
          <w:b/>
          <w:bCs/>
          <w:sz w:val="28"/>
          <w:szCs w:val="28"/>
        </w:rPr>
      </w:pPr>
    </w:p>
    <w:p>
      <w:pPr>
        <w:pStyle w:val="7"/>
        <w:ind w:firstLine="562"/>
        <w:rPr>
          <w:rFonts w:hint="eastAsia" w:ascii="宋体" w:hAnsi="宋体" w:cs="宋体"/>
          <w:b/>
          <w:bCs/>
          <w:sz w:val="28"/>
          <w:szCs w:val="28"/>
        </w:rPr>
      </w:pPr>
    </w:p>
    <w:p>
      <w:pPr>
        <w:spacing w:before="120" w:line="360" w:lineRule="auto"/>
        <w:ind w:left="960"/>
        <w:rPr>
          <w:rFonts w:hint="eastAsia" w:ascii="宋体" w:hAnsi="宋体" w:cs="宋体"/>
          <w:b/>
          <w:bCs/>
          <w:sz w:val="28"/>
          <w:szCs w:val="28"/>
        </w:rPr>
      </w:pPr>
      <w:r>
        <w:rPr>
          <w:rFonts w:hint="eastAsia" w:ascii="宋体" w:hAnsi="宋体" w:cs="宋体"/>
          <w:b/>
          <w:bCs/>
          <w:sz w:val="28"/>
          <w:szCs w:val="28"/>
        </w:rPr>
        <w:t>采购项目名称：</w:t>
      </w:r>
      <w:r>
        <w:rPr>
          <w:rFonts w:hint="eastAsia" w:ascii="宋体" w:hAnsi="宋体" w:cs="宋体"/>
          <w:b/>
          <w:bCs/>
          <w:sz w:val="28"/>
          <w:szCs w:val="28"/>
          <w:u w:val="single"/>
        </w:rPr>
        <w:t xml:space="preserve">                                 </w:t>
      </w:r>
    </w:p>
    <w:p>
      <w:pPr>
        <w:spacing w:before="120" w:line="360" w:lineRule="auto"/>
        <w:ind w:left="960"/>
        <w:rPr>
          <w:rFonts w:hint="eastAsia" w:ascii="宋体" w:hAnsi="宋体" w:cs="宋体"/>
          <w:b/>
          <w:bCs/>
          <w:sz w:val="28"/>
          <w:szCs w:val="28"/>
        </w:rPr>
      </w:pPr>
      <w:r>
        <w:rPr>
          <w:rFonts w:hint="eastAsia" w:ascii="宋体" w:hAnsi="宋体" w:cs="宋体"/>
          <w:b/>
          <w:bCs/>
          <w:sz w:val="28"/>
          <w:szCs w:val="28"/>
        </w:rPr>
        <w:t>采  购  人：</w:t>
      </w:r>
      <w:r>
        <w:rPr>
          <w:rFonts w:hint="eastAsia" w:ascii="宋体" w:hAnsi="宋体" w:cs="宋体"/>
          <w:b/>
          <w:bCs/>
          <w:sz w:val="28"/>
          <w:szCs w:val="28"/>
          <w:u w:val="single"/>
        </w:rPr>
        <w:t xml:space="preserve">                                    </w:t>
      </w:r>
    </w:p>
    <w:p>
      <w:pPr>
        <w:spacing w:before="120" w:line="360" w:lineRule="auto"/>
        <w:ind w:left="960"/>
        <w:rPr>
          <w:rFonts w:hint="eastAsia" w:ascii="宋体" w:hAnsi="宋体" w:cs="宋体"/>
          <w:b/>
          <w:bCs/>
          <w:sz w:val="28"/>
          <w:szCs w:val="28"/>
          <w:u w:val="single"/>
        </w:rPr>
      </w:pPr>
      <w:r>
        <w:rPr>
          <w:rFonts w:hint="eastAsia" w:ascii="宋体" w:hAnsi="宋体" w:cs="宋体"/>
          <w:b/>
          <w:bCs/>
          <w:sz w:val="28"/>
          <w:szCs w:val="28"/>
        </w:rPr>
        <w:t>供  应  商：</w:t>
      </w:r>
      <w:r>
        <w:rPr>
          <w:rFonts w:hint="eastAsia" w:ascii="宋体" w:hAnsi="宋体" w:cs="宋体"/>
          <w:b/>
          <w:bCs/>
          <w:sz w:val="28"/>
          <w:szCs w:val="28"/>
          <w:u w:val="single"/>
        </w:rPr>
        <w:t xml:space="preserve">                                   </w:t>
      </w:r>
    </w:p>
    <w:p>
      <w:pPr>
        <w:spacing w:line="360" w:lineRule="auto"/>
        <w:ind w:firstLine="981" w:firstLineChars="349"/>
        <w:rPr>
          <w:rFonts w:hint="eastAsia" w:ascii="宋体" w:hAnsi="宋体" w:cs="宋体"/>
          <w:b/>
          <w:bCs/>
          <w:sz w:val="24"/>
          <w:szCs w:val="24"/>
          <w:u w:val="single"/>
        </w:rPr>
      </w:pPr>
      <w:r>
        <w:rPr>
          <w:rFonts w:hint="eastAsia" w:ascii="宋体" w:hAnsi="宋体" w:cs="宋体"/>
          <w:b/>
          <w:bCs/>
          <w:sz w:val="28"/>
          <w:szCs w:val="28"/>
        </w:rPr>
        <w:t>签署日期：</w:t>
      </w:r>
      <w:r>
        <w:rPr>
          <w:rFonts w:hint="eastAsia" w:ascii="宋体" w:hAnsi="宋体" w:cs="宋体"/>
          <w:b/>
          <w:bCs/>
          <w:sz w:val="24"/>
          <w:szCs w:val="24"/>
          <w:u w:val="single"/>
        </w:rPr>
        <w:t>　　　　　　　　　　　　　             　　</w:t>
      </w:r>
    </w:p>
    <w:p>
      <w:pPr>
        <w:spacing w:line="360" w:lineRule="auto"/>
        <w:ind w:firstLine="643" w:firstLineChars="200"/>
        <w:jc w:val="center"/>
        <w:rPr>
          <w:rFonts w:hint="eastAsia" w:ascii="宋体" w:hAnsi="宋体"/>
          <w:b/>
          <w:bCs/>
          <w:sz w:val="32"/>
          <w:szCs w:val="32"/>
        </w:rPr>
        <w:sectPr>
          <w:headerReference r:id="rId12" w:type="default"/>
          <w:footerReference r:id="rId13" w:type="default"/>
          <w:pgSz w:w="11906" w:h="16838"/>
          <w:pgMar w:top="1383" w:right="1383" w:bottom="1383" w:left="1383" w:header="851" w:footer="992" w:gutter="0"/>
          <w:pgNumType w:fmt="decimal"/>
          <w:cols w:space="720" w:num="1"/>
          <w:docGrid w:linePitch="312" w:charSpace="0"/>
        </w:sectPr>
      </w:pPr>
    </w:p>
    <w:p>
      <w:pPr>
        <w:spacing w:line="360" w:lineRule="auto"/>
        <w:ind w:firstLine="643" w:firstLineChars="200"/>
        <w:jc w:val="center"/>
        <w:rPr>
          <w:rFonts w:hint="eastAsia" w:ascii="宋体" w:hAnsi="宋体"/>
          <w:b/>
          <w:bCs/>
          <w:sz w:val="32"/>
          <w:szCs w:val="32"/>
        </w:rPr>
      </w:pPr>
      <w:r>
        <w:rPr>
          <w:rFonts w:hint="eastAsia" w:ascii="宋体" w:hAnsi="宋体"/>
          <w:b/>
          <w:bCs/>
          <w:sz w:val="32"/>
          <w:szCs w:val="32"/>
        </w:rPr>
        <w:t>建设工程施工合同</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r>
        <w:rPr>
          <w:rFonts w:hint="eastAsia" w:ascii="宋体" w:hAnsi="宋体"/>
          <w:sz w:val="24"/>
        </w:rPr>
        <w:t>甲方：                        （简称甲方）</w:t>
      </w:r>
    </w:p>
    <w:p>
      <w:pPr>
        <w:spacing w:line="360" w:lineRule="auto"/>
        <w:ind w:firstLine="480" w:firstLineChars="200"/>
        <w:rPr>
          <w:rFonts w:hint="eastAsia" w:ascii="宋体" w:hAnsi="宋体"/>
          <w:sz w:val="24"/>
        </w:rPr>
      </w:pPr>
      <w:r>
        <w:rPr>
          <w:rFonts w:hint="eastAsia" w:ascii="宋体" w:hAnsi="宋体"/>
          <w:sz w:val="24"/>
        </w:rPr>
        <w:t>乙方：                        （简称乙方）</w:t>
      </w:r>
    </w:p>
    <w:p>
      <w:pPr>
        <w:spacing w:line="360" w:lineRule="auto"/>
        <w:ind w:firstLine="480" w:firstLineChars="200"/>
        <w:rPr>
          <w:rFonts w:hint="eastAsia" w:ascii="宋体" w:hAnsi="宋体"/>
          <w:sz w:val="24"/>
        </w:rPr>
      </w:pPr>
      <w:r>
        <w:rPr>
          <w:rFonts w:hint="eastAsia" w:ascii="宋体" w:hAnsi="宋体"/>
          <w:sz w:val="24"/>
        </w:rPr>
        <w:t xml:space="preserve">    依照《中华人民共和国合同法》、《中华人民共和国建筑法》及其他法律、行政法规，遵循平等、自愿、公平诚实信用的原则，双方就本建筑工程施工协商一致，订立本合同。</w:t>
      </w:r>
    </w:p>
    <w:p>
      <w:pPr>
        <w:spacing w:line="360" w:lineRule="auto"/>
        <w:ind w:firstLine="480" w:firstLineChars="200"/>
        <w:rPr>
          <w:rFonts w:hint="eastAsia" w:ascii="宋体" w:hAnsi="宋体"/>
          <w:sz w:val="24"/>
        </w:rPr>
      </w:pPr>
      <w:r>
        <w:rPr>
          <w:rFonts w:hint="eastAsia" w:ascii="宋体" w:hAnsi="宋体"/>
          <w:sz w:val="24"/>
        </w:rPr>
        <w:t>工程名称：</w:t>
      </w:r>
    </w:p>
    <w:p>
      <w:pPr>
        <w:spacing w:line="360" w:lineRule="auto"/>
        <w:ind w:firstLine="480" w:firstLineChars="200"/>
        <w:rPr>
          <w:rFonts w:hint="eastAsia" w:ascii="宋体" w:hAnsi="宋体"/>
          <w:sz w:val="24"/>
        </w:rPr>
      </w:pPr>
      <w:r>
        <w:rPr>
          <w:rFonts w:hint="eastAsia" w:ascii="宋体" w:hAnsi="宋体"/>
          <w:sz w:val="24"/>
        </w:rPr>
        <w:t>工程地点：</w:t>
      </w:r>
    </w:p>
    <w:p>
      <w:pPr>
        <w:spacing w:line="360" w:lineRule="auto"/>
        <w:ind w:firstLine="480" w:firstLineChars="200"/>
        <w:rPr>
          <w:rFonts w:hint="eastAsia" w:ascii="宋体" w:hAnsi="宋体"/>
          <w:sz w:val="24"/>
        </w:rPr>
      </w:pPr>
      <w:r>
        <w:rPr>
          <w:rFonts w:hint="eastAsia" w:ascii="宋体" w:hAnsi="宋体"/>
          <w:sz w:val="24"/>
        </w:rPr>
        <w:t>三、工程内容：严格按照设计要求予以完成。</w:t>
      </w:r>
    </w:p>
    <w:p>
      <w:pPr>
        <w:spacing w:line="360" w:lineRule="auto"/>
        <w:ind w:firstLine="480" w:firstLineChars="200"/>
        <w:rPr>
          <w:rFonts w:hint="eastAsia" w:ascii="宋体" w:hAnsi="宋体"/>
          <w:sz w:val="24"/>
        </w:rPr>
      </w:pPr>
      <w:r>
        <w:rPr>
          <w:rFonts w:hint="eastAsia" w:ascii="宋体" w:hAnsi="宋体"/>
          <w:sz w:val="24"/>
        </w:rPr>
        <w:t>四、工程承包范围：</w:t>
      </w:r>
    </w:p>
    <w:p>
      <w:pPr>
        <w:spacing w:line="360" w:lineRule="auto"/>
        <w:ind w:firstLine="480" w:firstLineChars="200"/>
        <w:rPr>
          <w:rFonts w:hint="eastAsia" w:ascii="宋体" w:hAnsi="宋体"/>
          <w:sz w:val="24"/>
        </w:rPr>
      </w:pPr>
      <w:r>
        <w:rPr>
          <w:rFonts w:hint="eastAsia" w:ascii="宋体" w:hAnsi="宋体"/>
          <w:sz w:val="24"/>
        </w:rPr>
        <w:t>五、工程造价及付款方式：工程成交价为     元（￥    元）。</w:t>
      </w:r>
      <w:r>
        <w:rPr>
          <w:rFonts w:hint="eastAsia" w:ascii="宋体" w:hAnsi="宋体" w:cs="宋体"/>
          <w:color w:val="auto"/>
          <w:sz w:val="24"/>
          <w:szCs w:val="24"/>
          <w:lang w:eastAsia="zh-CN"/>
        </w:rPr>
        <w:t>合同签订后支付</w:t>
      </w:r>
      <w:r>
        <w:rPr>
          <w:rFonts w:hint="eastAsia" w:ascii="宋体" w:hAnsi="宋体" w:cs="宋体"/>
          <w:color w:val="auto"/>
          <w:sz w:val="24"/>
          <w:szCs w:val="24"/>
          <w:u w:val="single"/>
          <w:lang w:val="en-US" w:eastAsia="zh-CN"/>
        </w:rPr>
        <w:t xml:space="preserve">                                           </w:t>
      </w:r>
      <w:r>
        <w:rPr>
          <w:rFonts w:hint="eastAsia" w:ascii="宋体" w:hAnsi="宋体"/>
          <w:sz w:val="24"/>
          <w:lang w:eastAsia="zh-CN"/>
        </w:rPr>
        <w:t>。</w:t>
      </w:r>
    </w:p>
    <w:p>
      <w:pPr>
        <w:spacing w:line="360" w:lineRule="auto"/>
        <w:ind w:firstLine="480" w:firstLineChars="200"/>
        <w:rPr>
          <w:rFonts w:hint="eastAsia" w:ascii="宋体" w:hAnsi="宋体"/>
          <w:sz w:val="24"/>
        </w:rPr>
      </w:pPr>
      <w:r>
        <w:rPr>
          <w:rFonts w:hint="eastAsia" w:ascii="宋体" w:hAnsi="宋体"/>
          <w:sz w:val="24"/>
        </w:rPr>
        <w:t>六、工程期限：</w:t>
      </w:r>
    </w:p>
    <w:p>
      <w:pPr>
        <w:spacing w:line="360" w:lineRule="auto"/>
        <w:ind w:firstLine="480" w:firstLineChars="200"/>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年   月  日至   月  日，共计  天。</w:t>
      </w:r>
    </w:p>
    <w:p>
      <w:pPr>
        <w:spacing w:line="360" w:lineRule="auto"/>
        <w:ind w:firstLine="480" w:firstLineChars="200"/>
        <w:rPr>
          <w:rFonts w:hint="eastAsia" w:ascii="宋体" w:hAnsi="宋体"/>
          <w:sz w:val="24"/>
        </w:rPr>
      </w:pPr>
      <w:r>
        <w:rPr>
          <w:rFonts w:hint="eastAsia" w:ascii="宋体" w:hAnsi="宋体"/>
          <w:sz w:val="24"/>
          <w:lang w:val="en-US" w:eastAsia="zh-CN"/>
        </w:rPr>
        <w:t>七、</w:t>
      </w:r>
      <w:r>
        <w:rPr>
          <w:rFonts w:hint="eastAsia" w:ascii="宋体" w:hAnsi="宋体"/>
          <w:sz w:val="24"/>
        </w:rPr>
        <w:t>双方责任;</w:t>
      </w:r>
    </w:p>
    <w:p>
      <w:pPr>
        <w:spacing w:line="360" w:lineRule="auto"/>
        <w:ind w:firstLine="480" w:firstLineChars="200"/>
        <w:rPr>
          <w:rFonts w:hint="eastAsia" w:ascii="宋体" w:hAnsi="宋体"/>
          <w:sz w:val="24"/>
        </w:rPr>
      </w:pPr>
      <w:r>
        <w:rPr>
          <w:rFonts w:hint="eastAsia" w:ascii="宋体" w:hAnsi="宋体"/>
          <w:sz w:val="24"/>
        </w:rPr>
        <w:t>甲方：</w:t>
      </w:r>
    </w:p>
    <w:p>
      <w:pPr>
        <w:spacing w:line="360" w:lineRule="auto"/>
        <w:ind w:firstLine="480" w:firstLineChars="200"/>
        <w:rPr>
          <w:rFonts w:hint="eastAsia" w:ascii="宋体" w:hAnsi="宋体"/>
          <w:sz w:val="24"/>
        </w:rPr>
      </w:pPr>
      <w:r>
        <w:rPr>
          <w:rFonts w:hint="eastAsia" w:ascii="宋体" w:hAnsi="宋体"/>
          <w:sz w:val="24"/>
        </w:rPr>
        <w:t>设专人负责管理工程质量安全，并及时沟通解决现场具体问题。</w:t>
      </w:r>
    </w:p>
    <w:p>
      <w:pPr>
        <w:spacing w:line="360" w:lineRule="auto"/>
        <w:ind w:firstLine="480" w:firstLineChars="200"/>
        <w:rPr>
          <w:rFonts w:hint="eastAsia" w:ascii="宋体" w:hAnsi="宋体"/>
          <w:sz w:val="24"/>
        </w:rPr>
      </w:pPr>
      <w:r>
        <w:rPr>
          <w:rFonts w:hint="eastAsia" w:ascii="宋体" w:hAnsi="宋体"/>
          <w:sz w:val="24"/>
        </w:rPr>
        <w:t>按时付款。</w:t>
      </w:r>
    </w:p>
    <w:p>
      <w:pPr>
        <w:spacing w:line="360" w:lineRule="auto"/>
        <w:ind w:firstLine="480" w:firstLineChars="200"/>
        <w:rPr>
          <w:rFonts w:hint="eastAsia" w:ascii="宋体" w:hAnsi="宋体"/>
          <w:sz w:val="24"/>
        </w:rPr>
      </w:pPr>
      <w:r>
        <w:rPr>
          <w:rFonts w:hint="eastAsia" w:ascii="宋体" w:hAnsi="宋体"/>
          <w:sz w:val="24"/>
        </w:rPr>
        <w:t>乙方：</w:t>
      </w:r>
    </w:p>
    <w:p>
      <w:pPr>
        <w:spacing w:line="36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1、施工单位必须严格按国家施工规范及技术标准进行施工，施工质量必须达到合格标准，质量维修期执行《建设工程质量管理条例》及有关规定。</w:t>
      </w:r>
    </w:p>
    <w:p>
      <w:pPr>
        <w:spacing w:line="36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2、施工所涉及到的所有材料必须符合国家强制标准。</w:t>
      </w:r>
    </w:p>
    <w:p>
      <w:pPr>
        <w:spacing w:line="36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3、施工人员必须严格遵守有关安全规定，文明施工，如在施工过程中出现安全事故，均由乙方全权负责，甲方概不承担任何责任。</w:t>
      </w:r>
    </w:p>
    <w:p>
      <w:pPr>
        <w:spacing w:line="36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4、及时向甲方通报工程进度，做好施工记录。</w:t>
      </w:r>
    </w:p>
    <w:p>
      <w:pPr>
        <w:spacing w:line="36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5、精心施工，确保工程质量和进度。因施工技术造成的工程质量问题均有乙方承担。</w:t>
      </w:r>
    </w:p>
    <w:p>
      <w:pPr>
        <w:spacing w:line="36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6、 工程竣工后，现场应打扫干净，垃圾由施工方负责清运。</w:t>
      </w:r>
    </w:p>
    <w:p>
      <w:pPr>
        <w:spacing w:line="360" w:lineRule="auto"/>
        <w:ind w:firstLine="480" w:firstLineChars="200"/>
        <w:rPr>
          <w:rFonts w:hint="eastAsia" w:ascii="宋体" w:hAnsi="宋体" w:eastAsia="宋体" w:cs="Times New Roman"/>
          <w:sz w:val="24"/>
          <w:lang w:val="en-US" w:eastAsia="zh-CN"/>
        </w:rPr>
      </w:pPr>
    </w:p>
    <w:p>
      <w:pPr>
        <w:spacing w:line="360" w:lineRule="auto"/>
        <w:ind w:firstLine="480" w:firstLineChars="200"/>
        <w:rPr>
          <w:rFonts w:hint="eastAsia" w:ascii="宋体" w:hAnsi="宋体"/>
          <w:sz w:val="24"/>
        </w:rPr>
      </w:pPr>
      <w:r>
        <w:rPr>
          <w:rFonts w:hint="eastAsia" w:ascii="宋体" w:hAnsi="宋体"/>
          <w:sz w:val="24"/>
        </w:rPr>
        <w:t>八、工程验收：</w:t>
      </w:r>
    </w:p>
    <w:p>
      <w:pPr>
        <w:spacing w:line="360" w:lineRule="auto"/>
        <w:ind w:firstLine="480" w:firstLineChars="200"/>
        <w:rPr>
          <w:rFonts w:hint="eastAsia" w:ascii="宋体" w:hAnsi="宋体"/>
          <w:sz w:val="24"/>
        </w:rPr>
      </w:pPr>
      <w:r>
        <w:rPr>
          <w:rFonts w:hint="eastAsia" w:ascii="宋体" w:hAnsi="宋体"/>
          <w:sz w:val="24"/>
        </w:rPr>
        <w:t>工程达到设计要求且符合合同规定技术标准，甲方组织相关人员办理验收手续。</w:t>
      </w:r>
    </w:p>
    <w:p>
      <w:pPr>
        <w:spacing w:line="360" w:lineRule="auto"/>
        <w:ind w:firstLine="480" w:firstLineChars="200"/>
        <w:rPr>
          <w:rFonts w:hint="eastAsia" w:ascii="宋体" w:hAnsi="宋体"/>
          <w:sz w:val="24"/>
        </w:rPr>
      </w:pPr>
      <w:r>
        <w:rPr>
          <w:rFonts w:hint="eastAsia" w:ascii="宋体" w:hAnsi="宋体"/>
          <w:sz w:val="24"/>
        </w:rPr>
        <w:t>九、争议解决：</w:t>
      </w:r>
    </w:p>
    <w:p>
      <w:pPr>
        <w:spacing w:line="360" w:lineRule="auto"/>
        <w:ind w:firstLine="480" w:firstLineChars="200"/>
        <w:rPr>
          <w:rFonts w:hint="eastAsia" w:ascii="宋体" w:hAnsi="宋体"/>
          <w:sz w:val="24"/>
        </w:rPr>
      </w:pPr>
      <w:r>
        <w:rPr>
          <w:rFonts w:hint="eastAsia" w:ascii="宋体" w:hAnsi="宋体"/>
          <w:sz w:val="24"/>
        </w:rPr>
        <w:t>本规划设计合同在履行过程中发生纠纷，双方应及时协商解决；协商不成时，按下列方式(2)解决：</w:t>
      </w:r>
    </w:p>
    <w:p>
      <w:pPr>
        <w:spacing w:line="360" w:lineRule="auto"/>
        <w:ind w:firstLine="480" w:firstLineChars="200"/>
        <w:rPr>
          <w:rFonts w:hint="eastAsia" w:ascii="宋体" w:hAnsi="宋体"/>
          <w:sz w:val="24"/>
        </w:rPr>
      </w:pPr>
      <w:r>
        <w:rPr>
          <w:rFonts w:hint="eastAsia" w:ascii="宋体" w:hAnsi="宋体"/>
          <w:sz w:val="24"/>
        </w:rPr>
        <w:t>1、提交甲方所在地仲裁委员会仲裁。</w:t>
      </w:r>
    </w:p>
    <w:p>
      <w:pPr>
        <w:spacing w:line="360" w:lineRule="auto"/>
        <w:ind w:firstLine="480" w:firstLineChars="200"/>
        <w:rPr>
          <w:rFonts w:hint="eastAsia" w:ascii="宋体" w:hAnsi="宋体"/>
          <w:sz w:val="24"/>
        </w:rPr>
      </w:pPr>
      <w:r>
        <w:rPr>
          <w:rFonts w:hint="eastAsia" w:ascii="宋体" w:hAnsi="宋体"/>
          <w:sz w:val="24"/>
        </w:rPr>
        <w:t>2、向甲方所在地有管辖权的人民法院起诉。</w:t>
      </w:r>
    </w:p>
    <w:p>
      <w:pPr>
        <w:spacing w:line="360" w:lineRule="auto"/>
        <w:ind w:firstLine="480" w:firstLineChars="200"/>
        <w:rPr>
          <w:rFonts w:hint="eastAsia" w:ascii="宋体" w:hAnsi="宋体"/>
          <w:sz w:val="24"/>
        </w:rPr>
      </w:pPr>
      <w:r>
        <w:rPr>
          <w:rFonts w:hint="eastAsia" w:ascii="宋体" w:hAnsi="宋体"/>
          <w:sz w:val="24"/>
        </w:rPr>
        <w:t>十、违约责任：</w:t>
      </w:r>
    </w:p>
    <w:p>
      <w:pPr>
        <w:spacing w:line="360" w:lineRule="auto"/>
        <w:ind w:firstLine="480" w:firstLineChars="200"/>
        <w:rPr>
          <w:rFonts w:hint="eastAsia" w:ascii="宋体" w:hAnsi="宋体"/>
          <w:sz w:val="24"/>
        </w:rPr>
      </w:pPr>
      <w:r>
        <w:rPr>
          <w:rFonts w:hint="eastAsia" w:ascii="宋体" w:hAnsi="宋体"/>
          <w:sz w:val="24"/>
        </w:rPr>
        <w:t>1、违约的处理：合同双方之任何一方不能全面履行合同条款，均属违约。</w:t>
      </w:r>
    </w:p>
    <w:p>
      <w:pPr>
        <w:spacing w:line="360" w:lineRule="auto"/>
        <w:ind w:firstLine="480" w:firstLineChars="200"/>
        <w:rPr>
          <w:rFonts w:hint="eastAsia" w:ascii="宋体" w:hAnsi="宋体"/>
          <w:sz w:val="24"/>
        </w:rPr>
      </w:pPr>
      <w:r>
        <w:rPr>
          <w:rFonts w:hint="eastAsia" w:ascii="宋体" w:hAnsi="宋体"/>
          <w:sz w:val="24"/>
        </w:rPr>
        <w:t>2、违约所造成的经济损失，概由违约方承担赔偿。违约造成工期延误责任分担：甲方违约，工期相应顺延，乙方违约，工期不得顺延。</w:t>
      </w:r>
    </w:p>
    <w:p>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3、违约标准：合同履行中任何一方无正当理由而单方面提出终止合同均属单方毁约，毁约方承担赔偿因此造成对方的全部经济损失。</w:t>
      </w:r>
    </w:p>
    <w:p>
      <w:pPr>
        <w:spacing w:line="360" w:lineRule="auto"/>
        <w:ind w:firstLine="480" w:firstLineChars="200"/>
        <w:rPr>
          <w:rFonts w:hint="eastAsia" w:ascii="宋体" w:hAnsi="宋体"/>
          <w:sz w:val="24"/>
        </w:rPr>
      </w:pPr>
      <w:r>
        <w:rPr>
          <w:rFonts w:hint="eastAsia" w:ascii="宋体" w:hAnsi="宋体" w:eastAsia="宋体" w:cs="Times New Roman"/>
          <w:sz w:val="24"/>
        </w:rPr>
        <w:t>十一、本合同一式肆份</w:t>
      </w:r>
      <w:r>
        <w:rPr>
          <w:rFonts w:hint="eastAsia" w:ascii="宋体" w:hAnsi="宋体"/>
          <w:sz w:val="24"/>
        </w:rPr>
        <w:t>，甲乙双方各执两份，从签字之日起生效。</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r>
        <w:rPr>
          <w:rFonts w:hint="eastAsia" w:ascii="宋体" w:hAnsi="宋体"/>
          <w:sz w:val="24"/>
        </w:rPr>
        <w:t>甲方：（盖章）                   乙方：（盖章）</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r>
        <w:rPr>
          <w:rFonts w:hint="eastAsia" w:ascii="宋体" w:hAnsi="宋体"/>
          <w:sz w:val="24"/>
        </w:rPr>
        <w:t>法人或代表：（签字）          法人或代表：（签字）</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r>
        <w:rPr>
          <w:rFonts w:hint="eastAsia" w:ascii="宋体" w:hAnsi="宋体"/>
          <w:sz w:val="24"/>
        </w:rPr>
        <w:t>年     月     日</w:t>
      </w:r>
    </w:p>
    <w:p>
      <w:pPr>
        <w:pStyle w:val="2"/>
        <w:bidi w:val="0"/>
        <w:rPr>
          <w:rFonts w:hint="eastAsia"/>
          <w:color w:val="auto"/>
          <w:sz w:val="36"/>
          <w:szCs w:val="36"/>
          <w:lang w:val="en-US" w:eastAsia="zh-CN"/>
        </w:rPr>
        <w:sectPr>
          <w:pgSz w:w="11906" w:h="16838"/>
          <w:pgMar w:top="1383" w:right="1383" w:bottom="1383" w:left="1383" w:header="851" w:footer="992" w:gutter="0"/>
          <w:pgNumType w:fmt="decimal"/>
          <w:cols w:space="720" w:num="1"/>
          <w:docGrid w:linePitch="312" w:charSpace="0"/>
        </w:sectPr>
      </w:pPr>
    </w:p>
    <w:p>
      <w:pPr>
        <w:pStyle w:val="2"/>
        <w:numPr>
          <w:ilvl w:val="0"/>
          <w:numId w:val="7"/>
        </w:numPr>
        <w:bidi w:val="0"/>
        <w:rPr>
          <w:rFonts w:hint="eastAsia"/>
          <w:color w:val="auto"/>
          <w:sz w:val="36"/>
          <w:szCs w:val="36"/>
          <w:lang w:eastAsia="zh-CN"/>
        </w:rPr>
      </w:pPr>
      <w:r>
        <w:rPr>
          <w:rFonts w:hint="eastAsia"/>
          <w:color w:val="auto"/>
          <w:sz w:val="36"/>
          <w:szCs w:val="36"/>
          <w:lang w:val="en-US" w:eastAsia="zh-CN"/>
        </w:rPr>
        <w:t xml:space="preserve"> </w:t>
      </w:r>
      <w:bookmarkEnd w:id="265"/>
      <w:bookmarkEnd w:id="266"/>
      <w:r>
        <w:rPr>
          <w:rFonts w:hint="eastAsia"/>
          <w:color w:val="auto"/>
          <w:sz w:val="36"/>
          <w:szCs w:val="36"/>
          <w:lang w:eastAsia="zh-CN"/>
        </w:rPr>
        <w:t>工程量清单</w:t>
      </w:r>
    </w:p>
    <w:p>
      <w:pPr>
        <w:pStyle w:val="10"/>
        <w:rPr>
          <w:rFonts w:hint="eastAsia" w:ascii="宋体" w:hAnsi="宋体" w:eastAsia="宋体" w:cs="宋体"/>
          <w:b w:val="0"/>
          <w:bCs w:val="0"/>
          <w:i w:val="0"/>
          <w:iCs w:val="0"/>
          <w:caps w:val="0"/>
          <w:color w:val="333333"/>
          <w:spacing w:val="0"/>
          <w:sz w:val="21"/>
          <w:szCs w:val="21"/>
          <w:shd w:val="clear" w:color="auto" w:fill="FFFFFF"/>
        </w:rPr>
      </w:pPr>
    </w:p>
    <w:p>
      <w:pPr>
        <w:numPr>
          <w:ilvl w:val="0"/>
          <w:numId w:val="0"/>
        </w:numPr>
        <w:rPr>
          <w:rFonts w:hint="eastAsia"/>
        </w:rPr>
      </w:pPr>
    </w:p>
    <w:p>
      <w:pPr>
        <w:spacing w:line="360" w:lineRule="auto"/>
        <w:rPr>
          <w:rFonts w:hint="eastAsia" w:ascii="Arial" w:hAnsi="Arial" w:eastAsia="宋体" w:cs="Arial"/>
          <w:sz w:val="24"/>
          <w:lang w:eastAsia="zh-CN"/>
        </w:rPr>
      </w:pPr>
    </w:p>
    <w:bookmarkEnd w:id="261"/>
    <w:bookmarkEnd w:id="262"/>
    <w:bookmarkEnd w:id="263"/>
    <w:p>
      <w:pPr>
        <w:pStyle w:val="2"/>
        <w:bidi w:val="0"/>
        <w:rPr>
          <w:rFonts w:hint="eastAsia"/>
          <w:lang w:eastAsia="zh-CN"/>
        </w:rPr>
        <w:sectPr>
          <w:pgSz w:w="11906" w:h="16838"/>
          <w:pgMar w:top="1383" w:right="1383" w:bottom="1383" w:left="1383" w:header="851" w:footer="992" w:gutter="0"/>
          <w:pgNumType w:fmt="decimal"/>
          <w:cols w:space="720" w:num="1"/>
          <w:docGrid w:linePitch="312" w:charSpace="0"/>
        </w:sectPr>
      </w:pPr>
      <w:bookmarkStart w:id="267" w:name="_Toc4993"/>
      <w:bookmarkStart w:id="268" w:name="_Toc21629"/>
      <w:bookmarkStart w:id="269" w:name="_Toc513557045"/>
    </w:p>
    <w:p>
      <w:pPr>
        <w:pStyle w:val="2"/>
        <w:bidi w:val="0"/>
        <w:rPr>
          <w:rFonts w:hint="eastAsia" w:hAnsi="宋体"/>
          <w:b/>
          <w:szCs w:val="44"/>
          <w:lang w:eastAsia="zh-CN"/>
        </w:rPr>
      </w:pPr>
      <w:bookmarkStart w:id="270" w:name="_Toc14374"/>
      <w:r>
        <w:rPr>
          <w:rFonts w:hint="eastAsia"/>
          <w:sz w:val="36"/>
          <w:szCs w:val="36"/>
          <w:lang w:eastAsia="zh-CN"/>
        </w:rPr>
        <w:t>第</w:t>
      </w:r>
      <w:r>
        <w:rPr>
          <w:rFonts w:hint="eastAsia"/>
          <w:sz w:val="36"/>
          <w:szCs w:val="36"/>
          <w:lang w:val="en-US" w:eastAsia="zh-CN"/>
        </w:rPr>
        <w:t>七</w:t>
      </w:r>
      <w:r>
        <w:rPr>
          <w:rFonts w:hint="eastAsia"/>
          <w:sz w:val="36"/>
          <w:szCs w:val="36"/>
          <w:lang w:eastAsia="zh-CN"/>
        </w:rPr>
        <w:t>章  竞争性磋商响应文件格式</w:t>
      </w:r>
      <w:bookmarkEnd w:id="267"/>
      <w:bookmarkEnd w:id="270"/>
    </w:p>
    <w:p>
      <w:pPr>
        <w:spacing w:line="360" w:lineRule="auto"/>
        <w:jc w:val="both"/>
        <w:rPr>
          <w:rFonts w:hint="eastAsia" w:hAnsi="宋体"/>
          <w:b/>
          <w:sz w:val="44"/>
          <w:szCs w:val="44"/>
          <w:lang w:eastAsia="zh-CN"/>
        </w:rPr>
      </w:pPr>
    </w:p>
    <w:bookmarkEnd w:id="264"/>
    <w:bookmarkEnd w:id="268"/>
    <w:bookmarkEnd w:id="269"/>
    <w:p>
      <w:pPr>
        <w:spacing w:line="360" w:lineRule="auto"/>
        <w:jc w:val="left"/>
        <w:outlineLvl w:val="9"/>
        <w:rPr>
          <w:rFonts w:hint="eastAsia" w:ascii="宋体" w:hAnsi="宋体" w:cs="仿宋_GB2312"/>
          <w:b/>
          <w:sz w:val="32"/>
          <w:szCs w:val="22"/>
          <w:lang w:eastAsia="zh-CN"/>
        </w:rPr>
      </w:pPr>
      <w:bookmarkStart w:id="271" w:name="_Toc1997"/>
      <w:bookmarkStart w:id="272" w:name="_Toc18625"/>
      <w:bookmarkStart w:id="273" w:name="_Toc31931"/>
      <w:bookmarkStart w:id="274" w:name="_Toc20828"/>
      <w:bookmarkStart w:id="275" w:name="_Toc11120"/>
      <w:r>
        <w:rPr>
          <w:rFonts w:hint="eastAsia" w:ascii="宋体" w:hAnsi="宋体" w:cs="仿宋_GB2312"/>
          <w:b/>
          <w:sz w:val="32"/>
          <w:szCs w:val="22"/>
          <w:lang w:eastAsia="zh-CN"/>
        </w:rPr>
        <w:t>采购项目编号：</w:t>
      </w:r>
      <w:r>
        <w:rPr>
          <w:rFonts w:hint="eastAsia" w:ascii="宋体" w:hAnsi="宋体" w:cs="仿宋_GB2312"/>
          <w:b/>
          <w:sz w:val="32"/>
          <w:szCs w:val="22"/>
          <w:lang w:val="en-US" w:eastAsia="zh-CN"/>
        </w:rPr>
        <w:t xml:space="preserve"> </w:t>
      </w:r>
      <w:r>
        <w:rPr>
          <w:rFonts w:hint="eastAsia" w:ascii="宋体" w:hAnsi="宋体" w:cs="仿宋_GB2312"/>
          <w:b/>
          <w:sz w:val="32"/>
          <w:szCs w:val="22"/>
          <w:lang w:eastAsia="zh-CN"/>
        </w:rPr>
        <w:t xml:space="preserve">            </w:t>
      </w:r>
      <w:r>
        <w:rPr>
          <w:rFonts w:hint="eastAsia" w:ascii="宋体" w:hAnsi="宋体" w:cs="仿宋_GB2312"/>
          <w:b/>
          <w:sz w:val="32"/>
          <w:szCs w:val="22"/>
          <w:lang w:val="en-US" w:eastAsia="zh-CN"/>
        </w:rPr>
        <w:t xml:space="preserve">                 </w:t>
      </w:r>
      <w:r>
        <w:rPr>
          <w:rFonts w:hint="eastAsia" w:ascii="宋体" w:hAnsi="宋体" w:cs="仿宋_GB2312"/>
          <w:b/>
          <w:sz w:val="32"/>
          <w:szCs w:val="22"/>
          <w:lang w:eastAsia="zh-CN"/>
        </w:rPr>
        <w:t>（正/副本）</w:t>
      </w:r>
      <w:bookmarkEnd w:id="271"/>
      <w:bookmarkEnd w:id="272"/>
      <w:bookmarkEnd w:id="273"/>
      <w:bookmarkEnd w:id="274"/>
      <w:bookmarkEnd w:id="275"/>
    </w:p>
    <w:p>
      <w:pPr>
        <w:spacing w:line="360" w:lineRule="auto"/>
        <w:jc w:val="left"/>
        <w:outlineLvl w:val="9"/>
        <w:rPr>
          <w:rFonts w:hint="eastAsia" w:hAnsi="宋体"/>
          <w:b/>
          <w:sz w:val="32"/>
          <w:szCs w:val="32"/>
          <w:lang w:eastAsia="zh-CN"/>
        </w:rPr>
      </w:pPr>
    </w:p>
    <w:p>
      <w:pPr>
        <w:spacing w:line="360" w:lineRule="auto"/>
        <w:jc w:val="left"/>
        <w:outlineLvl w:val="9"/>
        <w:rPr>
          <w:rFonts w:hint="eastAsia" w:hAnsi="宋体"/>
          <w:b/>
          <w:sz w:val="32"/>
          <w:szCs w:val="32"/>
          <w:lang w:eastAsia="zh-CN"/>
        </w:rPr>
      </w:pPr>
    </w:p>
    <w:p>
      <w:pPr>
        <w:pStyle w:val="10"/>
        <w:jc w:val="center"/>
        <w:outlineLvl w:val="9"/>
      </w:pPr>
      <w:r>
        <w:rPr>
          <w:rFonts w:hint="eastAsia" w:hAnsi="宋体"/>
          <w:b/>
          <w:sz w:val="44"/>
          <w:szCs w:val="44"/>
          <w:u w:val="single"/>
          <w:lang w:val="en-US" w:eastAsia="zh-CN"/>
        </w:rPr>
        <w:t xml:space="preserve">                            </w:t>
      </w:r>
      <w:r>
        <w:rPr>
          <w:rFonts w:hint="eastAsia" w:hAnsi="宋体"/>
          <w:b/>
          <w:sz w:val="44"/>
          <w:szCs w:val="44"/>
          <w:lang w:eastAsia="zh-CN"/>
        </w:rPr>
        <w:t>采购项目</w:t>
      </w:r>
    </w:p>
    <w:p>
      <w:pPr>
        <w:pStyle w:val="10"/>
        <w:outlineLvl w:val="9"/>
      </w:pPr>
    </w:p>
    <w:p>
      <w:pPr>
        <w:jc w:val="both"/>
        <w:outlineLvl w:val="9"/>
        <w:rPr>
          <w:rFonts w:hAnsi="宋体"/>
          <w:b/>
          <w:sz w:val="52"/>
          <w:szCs w:val="52"/>
        </w:rPr>
      </w:pPr>
    </w:p>
    <w:p>
      <w:pPr>
        <w:jc w:val="center"/>
        <w:outlineLvl w:val="9"/>
        <w:rPr>
          <w:rFonts w:hint="eastAsia" w:hAnsi="宋体"/>
          <w:b/>
          <w:sz w:val="52"/>
          <w:szCs w:val="52"/>
        </w:rPr>
      </w:pPr>
    </w:p>
    <w:p>
      <w:pPr>
        <w:jc w:val="center"/>
        <w:outlineLvl w:val="9"/>
        <w:rPr>
          <w:rFonts w:hint="eastAsia" w:hAnsi="宋体"/>
          <w:b/>
          <w:sz w:val="52"/>
          <w:szCs w:val="52"/>
        </w:rPr>
      </w:pPr>
    </w:p>
    <w:p>
      <w:pPr>
        <w:jc w:val="center"/>
        <w:outlineLvl w:val="9"/>
        <w:rPr>
          <w:rFonts w:hAnsi="宋体"/>
          <w:b/>
          <w:sz w:val="72"/>
          <w:szCs w:val="72"/>
        </w:rPr>
      </w:pPr>
      <w:r>
        <w:rPr>
          <w:rFonts w:hint="eastAsia" w:hAnsi="宋体"/>
          <w:b/>
          <w:sz w:val="72"/>
          <w:szCs w:val="72"/>
        </w:rPr>
        <w:t>竞争性磋商响应文件</w:t>
      </w:r>
    </w:p>
    <w:p>
      <w:pPr>
        <w:outlineLvl w:val="9"/>
        <w:rPr>
          <w:rFonts w:hAnsi="宋体"/>
          <w:b/>
          <w:sz w:val="36"/>
          <w:szCs w:val="36"/>
        </w:rPr>
      </w:pPr>
      <w:r>
        <w:rPr>
          <w:rFonts w:hint="eastAsia" w:hAnsi="宋体"/>
          <w:b/>
          <w:sz w:val="36"/>
          <w:szCs w:val="36"/>
        </w:rPr>
        <w:t xml:space="preserve">               </w:t>
      </w:r>
    </w:p>
    <w:p>
      <w:pPr>
        <w:jc w:val="center"/>
        <w:outlineLvl w:val="9"/>
        <w:rPr>
          <w:rFonts w:hAnsi="宋体"/>
          <w:b/>
          <w:sz w:val="36"/>
          <w:szCs w:val="36"/>
        </w:rPr>
      </w:pPr>
    </w:p>
    <w:p>
      <w:pPr>
        <w:jc w:val="center"/>
        <w:outlineLvl w:val="9"/>
        <w:rPr>
          <w:rFonts w:hAnsi="宋体"/>
          <w:b/>
          <w:sz w:val="36"/>
          <w:szCs w:val="36"/>
        </w:rPr>
      </w:pPr>
    </w:p>
    <w:p>
      <w:pPr>
        <w:pStyle w:val="10"/>
        <w:outlineLvl w:val="9"/>
      </w:pPr>
    </w:p>
    <w:p>
      <w:pPr>
        <w:pStyle w:val="10"/>
        <w:outlineLvl w:val="9"/>
      </w:pPr>
    </w:p>
    <w:p>
      <w:pPr>
        <w:pStyle w:val="10"/>
        <w:outlineLvl w:val="9"/>
      </w:pPr>
    </w:p>
    <w:p>
      <w:pPr>
        <w:outlineLvl w:val="9"/>
        <w:rPr>
          <w:rFonts w:hAnsi="宋体"/>
          <w:b/>
          <w:sz w:val="36"/>
          <w:szCs w:val="36"/>
        </w:rPr>
      </w:pPr>
    </w:p>
    <w:p>
      <w:pPr>
        <w:tabs>
          <w:tab w:val="center" w:pos="5346"/>
        </w:tabs>
        <w:spacing w:line="480" w:lineRule="auto"/>
        <w:ind w:firstLine="1928" w:firstLineChars="600"/>
        <w:outlineLvl w:val="9"/>
        <w:rPr>
          <w:rFonts w:hAnsi="宋体"/>
          <w:b/>
          <w:sz w:val="32"/>
          <w:szCs w:val="32"/>
          <w:u w:val="single"/>
        </w:rPr>
      </w:pPr>
      <w:bookmarkStart w:id="276" w:name="_Toc17368"/>
      <w:bookmarkStart w:id="277" w:name="_Toc6010"/>
      <w:bookmarkStart w:id="278" w:name="_Toc393"/>
      <w:bookmarkStart w:id="279" w:name="_Toc4952"/>
      <w:bookmarkStart w:id="280" w:name="_Toc26671"/>
      <w:r>
        <w:rPr>
          <w:rFonts w:hint="eastAsia" w:hAnsi="宋体"/>
          <w:b/>
          <w:sz w:val="32"/>
          <w:szCs w:val="32"/>
        </w:rPr>
        <w:t>供应商名称（公章）</w:t>
      </w:r>
      <w:bookmarkEnd w:id="276"/>
      <w:bookmarkEnd w:id="277"/>
      <w:bookmarkEnd w:id="278"/>
      <w:bookmarkEnd w:id="279"/>
      <w:bookmarkEnd w:id="280"/>
      <w:r>
        <w:rPr>
          <w:rFonts w:hint="eastAsia" w:hAnsi="宋体"/>
          <w:b/>
          <w:sz w:val="32"/>
          <w:szCs w:val="32"/>
          <w:u w:val="single"/>
        </w:rPr>
        <w:t xml:space="preserve">                  </w:t>
      </w:r>
    </w:p>
    <w:p>
      <w:pPr>
        <w:pStyle w:val="10"/>
        <w:outlineLvl w:val="9"/>
      </w:pPr>
    </w:p>
    <w:p>
      <w:pPr>
        <w:tabs>
          <w:tab w:val="center" w:pos="5346"/>
        </w:tabs>
        <w:spacing w:line="480" w:lineRule="auto"/>
        <w:ind w:firstLine="1928" w:firstLineChars="600"/>
        <w:outlineLvl w:val="9"/>
        <w:rPr>
          <w:rFonts w:hAnsi="宋体"/>
          <w:b/>
          <w:sz w:val="32"/>
          <w:szCs w:val="32"/>
          <w:u w:val="single"/>
        </w:rPr>
      </w:pPr>
      <w:bookmarkStart w:id="281" w:name="_Toc5300"/>
      <w:bookmarkStart w:id="282" w:name="_Toc20251"/>
      <w:bookmarkStart w:id="283" w:name="_Toc28374"/>
      <w:bookmarkStart w:id="284" w:name="_Toc1193"/>
      <w:bookmarkStart w:id="285" w:name="_Toc18783"/>
      <w:bookmarkStart w:id="286" w:name="_Toc22265"/>
      <w:r>
        <w:rPr>
          <w:rFonts w:hint="eastAsia" w:hAnsi="宋体"/>
          <w:b/>
          <w:sz w:val="32"/>
          <w:szCs w:val="32"/>
        </w:rPr>
        <w:t>法人或授权人签字或盖章：</w:t>
      </w:r>
      <w:bookmarkEnd w:id="281"/>
      <w:bookmarkEnd w:id="282"/>
      <w:bookmarkEnd w:id="283"/>
      <w:bookmarkEnd w:id="284"/>
      <w:bookmarkEnd w:id="285"/>
      <w:bookmarkEnd w:id="286"/>
      <w:r>
        <w:rPr>
          <w:rFonts w:hint="eastAsia" w:hAnsi="宋体"/>
          <w:b/>
          <w:sz w:val="32"/>
          <w:szCs w:val="32"/>
          <w:u w:val="single"/>
        </w:rPr>
        <w:t xml:space="preserve">            </w:t>
      </w:r>
    </w:p>
    <w:p>
      <w:pPr>
        <w:spacing w:line="360" w:lineRule="auto"/>
        <w:jc w:val="center"/>
        <w:outlineLvl w:val="9"/>
        <w:rPr>
          <w:rFonts w:hint="eastAsia" w:hAnsi="宋体"/>
          <w:b/>
          <w:sz w:val="32"/>
          <w:szCs w:val="32"/>
          <w:lang w:val="en-US" w:eastAsia="zh-CN"/>
        </w:rPr>
      </w:pPr>
      <w:r>
        <w:rPr>
          <w:rFonts w:hint="eastAsia" w:hAnsi="宋体"/>
          <w:b/>
          <w:sz w:val="32"/>
          <w:szCs w:val="32"/>
          <w:u w:val="single"/>
          <w:lang w:val="en-US" w:eastAsia="zh-CN"/>
        </w:rPr>
        <w:t xml:space="preserve">     </w:t>
      </w:r>
      <w:r>
        <w:rPr>
          <w:rFonts w:hint="eastAsia" w:hAnsi="宋体"/>
          <w:b/>
          <w:sz w:val="32"/>
          <w:szCs w:val="32"/>
        </w:rPr>
        <w:t>年</w:t>
      </w:r>
      <w:r>
        <w:rPr>
          <w:rFonts w:hint="eastAsia" w:hAnsi="宋体"/>
          <w:b/>
          <w:sz w:val="32"/>
          <w:szCs w:val="32"/>
          <w:u w:val="single"/>
        </w:rPr>
        <w:t xml:space="preserve">   </w:t>
      </w:r>
      <w:r>
        <w:rPr>
          <w:rFonts w:hint="eastAsia" w:hAnsi="宋体"/>
          <w:b/>
          <w:sz w:val="32"/>
          <w:szCs w:val="32"/>
        </w:rPr>
        <w:t>月</w:t>
      </w:r>
      <w:r>
        <w:rPr>
          <w:rFonts w:hint="eastAsia" w:hAnsi="宋体"/>
          <w:b/>
          <w:sz w:val="32"/>
          <w:szCs w:val="32"/>
          <w:u w:val="single"/>
        </w:rPr>
        <w:t xml:space="preserve">   </w:t>
      </w:r>
      <w:bookmarkStart w:id="287" w:name="_Toc344572156"/>
      <w:r>
        <w:rPr>
          <w:rFonts w:hint="eastAsia" w:hAnsi="宋体"/>
          <w:b/>
          <w:sz w:val="32"/>
          <w:szCs w:val="32"/>
          <w:lang w:val="en-US" w:eastAsia="zh-CN"/>
        </w:rPr>
        <w:t>日</w:t>
      </w:r>
    </w:p>
    <w:p>
      <w:pPr>
        <w:spacing w:line="360" w:lineRule="auto"/>
        <w:jc w:val="center"/>
        <w:outlineLvl w:val="9"/>
        <w:rPr>
          <w:rFonts w:hint="eastAsia" w:hAnsi="宋体"/>
          <w:b/>
          <w:sz w:val="32"/>
          <w:szCs w:val="32"/>
          <w:lang w:val="en-US" w:eastAsia="zh-CN"/>
        </w:rPr>
      </w:pPr>
    </w:p>
    <w:p>
      <w:pPr>
        <w:spacing w:line="360" w:lineRule="auto"/>
        <w:jc w:val="center"/>
        <w:outlineLvl w:val="9"/>
        <w:rPr>
          <w:rFonts w:hint="eastAsia" w:hAnsi="宋体"/>
          <w:b/>
          <w:sz w:val="32"/>
          <w:szCs w:val="32"/>
          <w:lang w:val="en-US" w:eastAsia="zh-CN"/>
        </w:rPr>
      </w:pPr>
    </w:p>
    <w:p>
      <w:pPr>
        <w:spacing w:line="360" w:lineRule="auto"/>
        <w:jc w:val="center"/>
        <w:outlineLvl w:val="9"/>
        <w:rPr>
          <w:rFonts w:hint="eastAsia" w:hAnsi="宋体"/>
          <w:b/>
          <w:sz w:val="32"/>
          <w:szCs w:val="32"/>
          <w:lang w:val="en-US" w:eastAsia="zh-CN"/>
        </w:rPr>
      </w:pPr>
    </w:p>
    <w:p>
      <w:pPr>
        <w:spacing w:line="360" w:lineRule="auto"/>
        <w:jc w:val="center"/>
        <w:outlineLvl w:val="9"/>
        <w:rPr>
          <w:b/>
          <w:sz w:val="44"/>
        </w:rPr>
      </w:pPr>
      <w:r>
        <w:rPr>
          <w:rFonts w:hint="eastAsia"/>
          <w:b/>
          <w:sz w:val="44"/>
        </w:rPr>
        <w:t>目  录</w:t>
      </w:r>
    </w:p>
    <w:p>
      <w:pPr>
        <w:spacing w:line="360" w:lineRule="auto"/>
        <w:ind w:firstLine="3520" w:firstLineChars="1100"/>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须自动索引</w:t>
      </w:r>
      <w:r>
        <w:rPr>
          <w:rFonts w:hint="eastAsia" w:ascii="宋体" w:hAnsi="宋体" w:eastAsia="宋体" w:cs="宋体"/>
          <w:sz w:val="32"/>
          <w:szCs w:val="32"/>
          <w:lang w:eastAsia="zh-CN"/>
        </w:rPr>
        <w:t>）</w:t>
      </w:r>
    </w:p>
    <w:p>
      <w:pPr>
        <w:pStyle w:val="7"/>
        <w:spacing w:line="360" w:lineRule="auto"/>
        <w:ind w:firstLine="400"/>
        <w:jc w:val="center"/>
        <w:outlineLvl w:val="9"/>
      </w:pPr>
      <w:r>
        <w:rPr>
          <w:rFonts w:hint="eastAsia" w:ascii="宋体" w:hAnsi="宋体" w:eastAsia="宋体" w:cs="宋体"/>
          <w:color w:val="auto"/>
        </w:rPr>
        <w:br w:type="page"/>
      </w:r>
    </w:p>
    <w:bookmarkEnd w:id="287"/>
    <w:p>
      <w:pPr>
        <w:spacing w:line="360" w:lineRule="auto"/>
        <w:jc w:val="center"/>
        <w:outlineLvl w:val="1"/>
        <w:rPr>
          <w:rFonts w:hint="eastAsia" w:ascii="宋体" w:hAnsi="宋体" w:eastAsia="宋体" w:cs="宋体"/>
          <w:b/>
          <w:sz w:val="32"/>
          <w:szCs w:val="32"/>
        </w:rPr>
      </w:pPr>
      <w:bookmarkStart w:id="288" w:name="_Toc403077648"/>
      <w:bookmarkStart w:id="289" w:name="_Toc363474027"/>
      <w:bookmarkStart w:id="290" w:name="_Toc19670"/>
      <w:bookmarkStart w:id="291" w:name="_Toc24357"/>
      <w:bookmarkStart w:id="292" w:name="_Toc15830"/>
      <w:bookmarkStart w:id="293" w:name="_Toc20261"/>
      <w:bookmarkStart w:id="294" w:name="_Toc12920"/>
      <w:bookmarkStart w:id="295" w:name="_Toc15940"/>
      <w:bookmarkStart w:id="296" w:name="_Toc204524343"/>
      <w:r>
        <w:rPr>
          <w:rFonts w:hint="eastAsia" w:ascii="宋体" w:hAnsi="宋体" w:cs="宋体"/>
          <w:b/>
          <w:sz w:val="32"/>
          <w:szCs w:val="32"/>
          <w:lang w:val="en-US" w:eastAsia="zh-CN"/>
        </w:rPr>
        <w:t>一、</w:t>
      </w:r>
      <w:bookmarkEnd w:id="288"/>
      <w:bookmarkEnd w:id="289"/>
      <w:r>
        <w:rPr>
          <w:rFonts w:hint="eastAsia" w:ascii="宋体" w:hAnsi="宋体" w:eastAsia="宋体" w:cs="宋体"/>
          <w:b/>
          <w:sz w:val="32"/>
          <w:szCs w:val="32"/>
        </w:rPr>
        <w:t>响应函</w:t>
      </w:r>
      <w:bookmarkEnd w:id="290"/>
      <w:bookmarkEnd w:id="291"/>
      <w:bookmarkEnd w:id="292"/>
      <w:bookmarkEnd w:id="293"/>
      <w:bookmarkEnd w:id="294"/>
      <w:bookmarkEnd w:id="295"/>
    </w:p>
    <w:p>
      <w:pPr>
        <w:spacing w:line="360" w:lineRule="auto"/>
        <w:jc w:val="left"/>
        <w:outlineLvl w:val="9"/>
        <w:rPr>
          <w:rFonts w:hint="eastAsia" w:hAnsi="宋体" w:eastAsia="宋体"/>
          <w:spacing w:val="4"/>
          <w:sz w:val="24"/>
          <w:szCs w:val="24"/>
          <w:lang w:eastAsia="zh-CN"/>
        </w:rPr>
      </w:pPr>
      <w:r>
        <w:rPr>
          <w:rFonts w:hint="eastAsia" w:hAnsi="宋体"/>
          <w:spacing w:val="4"/>
          <w:sz w:val="24"/>
          <w:szCs w:val="24"/>
        </w:rPr>
        <w:t>致：</w:t>
      </w:r>
      <w:r>
        <w:rPr>
          <w:rFonts w:hint="eastAsia" w:hAnsi="宋体"/>
          <w:spacing w:val="4"/>
          <w:sz w:val="24"/>
          <w:szCs w:val="24"/>
          <w:lang w:eastAsia="zh-CN"/>
        </w:rPr>
        <w:t>陕西华旭晟信项目管理有限责任公司</w:t>
      </w:r>
    </w:p>
    <w:p>
      <w:pPr>
        <w:spacing w:line="360" w:lineRule="auto"/>
        <w:ind w:firstLine="496" w:firstLineChars="200"/>
        <w:outlineLvl w:val="9"/>
        <w:rPr>
          <w:rFonts w:hint="eastAsia" w:hAnsi="宋体" w:eastAsia="宋体"/>
          <w:spacing w:val="4"/>
          <w:sz w:val="24"/>
          <w:szCs w:val="24"/>
          <w:u w:val="single"/>
          <w:lang w:eastAsia="zh-CN"/>
        </w:rPr>
      </w:pPr>
      <w:r>
        <w:rPr>
          <w:rFonts w:hint="eastAsia" w:hAnsi="宋体"/>
          <w:spacing w:val="4"/>
          <w:sz w:val="24"/>
          <w:szCs w:val="24"/>
        </w:rPr>
        <w:t>根据贵方“</w:t>
      </w:r>
      <w:r>
        <w:rPr>
          <w:rFonts w:hint="eastAsia" w:hAnsi="宋体"/>
          <w:spacing w:val="4"/>
          <w:sz w:val="24"/>
          <w:szCs w:val="24"/>
          <w:u w:val="single"/>
        </w:rPr>
        <w:t xml:space="preserve">          </w:t>
      </w:r>
      <w:r>
        <w:rPr>
          <w:rFonts w:hint="eastAsia" w:hAnsi="宋体"/>
          <w:spacing w:val="4"/>
          <w:sz w:val="24"/>
          <w:szCs w:val="24"/>
        </w:rPr>
        <w:t>”项目的磋商文件</w:t>
      </w:r>
      <w:r>
        <w:rPr>
          <w:rFonts w:hint="eastAsia" w:hAnsi="宋体"/>
          <w:spacing w:val="4"/>
          <w:sz w:val="24"/>
          <w:szCs w:val="24"/>
          <w:u w:val="single"/>
        </w:rPr>
        <w:t>(编号：      )</w:t>
      </w:r>
      <w:r>
        <w:rPr>
          <w:rFonts w:hint="eastAsia" w:hAnsi="宋体"/>
          <w:spacing w:val="4"/>
          <w:sz w:val="24"/>
          <w:szCs w:val="24"/>
        </w:rPr>
        <w:t>，签字代表</w:t>
      </w:r>
      <w:r>
        <w:rPr>
          <w:rFonts w:hint="eastAsia" w:hAnsi="宋体"/>
          <w:spacing w:val="4"/>
          <w:sz w:val="24"/>
          <w:szCs w:val="24"/>
          <w:u w:val="single"/>
        </w:rPr>
        <w:t>（全名、职务）</w:t>
      </w:r>
      <w:r>
        <w:rPr>
          <w:rFonts w:hint="eastAsia" w:hAnsi="宋体"/>
          <w:spacing w:val="4"/>
          <w:sz w:val="24"/>
          <w:szCs w:val="24"/>
        </w:rPr>
        <w:t>经正式授权并代表供应商</w:t>
      </w:r>
      <w:r>
        <w:rPr>
          <w:rFonts w:hint="eastAsia" w:hAnsi="宋体"/>
          <w:spacing w:val="4"/>
          <w:sz w:val="24"/>
          <w:szCs w:val="24"/>
          <w:u w:val="single"/>
        </w:rPr>
        <w:t>(供应商名称、地址、统一社会信用代码)</w:t>
      </w:r>
      <w:r>
        <w:rPr>
          <w:rFonts w:hint="eastAsia" w:hAnsi="宋体"/>
          <w:spacing w:val="4"/>
          <w:sz w:val="24"/>
          <w:szCs w:val="24"/>
        </w:rPr>
        <w:t xml:space="preserve"> 提交竞争性磋商响应文件</w:t>
      </w:r>
      <w:r>
        <w:rPr>
          <w:rFonts w:hint="eastAsia" w:hAnsi="宋体"/>
          <w:spacing w:val="4"/>
          <w:sz w:val="24"/>
          <w:szCs w:val="24"/>
          <w:lang w:eastAsia="zh-CN"/>
        </w:rPr>
        <w:t>。</w:t>
      </w:r>
    </w:p>
    <w:p>
      <w:pPr>
        <w:spacing w:line="360" w:lineRule="auto"/>
        <w:ind w:left="549" w:leftChars="251" w:hanging="22" w:hangingChars="9"/>
        <w:jc w:val="left"/>
        <w:outlineLvl w:val="9"/>
        <w:rPr>
          <w:rFonts w:hAnsi="宋体"/>
          <w:spacing w:val="4"/>
          <w:sz w:val="24"/>
          <w:szCs w:val="24"/>
        </w:rPr>
      </w:pPr>
      <w:r>
        <w:rPr>
          <w:rFonts w:hint="eastAsia" w:hAnsi="宋体"/>
          <w:spacing w:val="4"/>
          <w:sz w:val="24"/>
          <w:szCs w:val="24"/>
        </w:rPr>
        <w:t>我方承诺如下：</w:t>
      </w:r>
    </w:p>
    <w:p>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 xml:space="preserve">1）磋商总价为 </w:t>
      </w:r>
      <w:r>
        <w:rPr>
          <w:rFonts w:hint="eastAsia" w:hAnsi="宋体"/>
          <w:spacing w:val="4"/>
          <w:sz w:val="24"/>
          <w:szCs w:val="24"/>
          <w:u w:val="single"/>
        </w:rPr>
        <w:t xml:space="preserve">        </w:t>
      </w:r>
      <w:r>
        <w:rPr>
          <w:rFonts w:hint="eastAsia" w:hAnsi="宋体"/>
          <w:spacing w:val="4"/>
          <w:sz w:val="24"/>
          <w:szCs w:val="24"/>
        </w:rPr>
        <w:t>（人民币）（用文字和数字表示的磋商总价）。</w:t>
      </w:r>
    </w:p>
    <w:p>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2）如果成交，我们根据竞争性磋商文件的规定，履行合同的责任和义务。</w:t>
      </w:r>
    </w:p>
    <w:p>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3）我们已详细阅读和审核全部竞争性磋商文件（含修改部分，如有的话），及有关附件，我们知道必须放弃提出含糊不清或误解的问题的权利。</w:t>
      </w:r>
    </w:p>
    <w:p>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4）我们同意在磋商有效期内（</w:t>
      </w:r>
      <w:r>
        <w:rPr>
          <w:rFonts w:hint="eastAsia" w:hAnsi="宋体"/>
          <w:spacing w:val="4"/>
          <w:sz w:val="24"/>
          <w:szCs w:val="24"/>
          <w:u w:val="single"/>
        </w:rPr>
        <w:t xml:space="preserve">自磋商之日起 </w:t>
      </w:r>
      <w:r>
        <w:rPr>
          <w:rFonts w:hint="eastAsia" w:hAnsi="宋体"/>
          <w:spacing w:val="4"/>
          <w:sz w:val="24"/>
          <w:szCs w:val="24"/>
          <w:u w:val="single"/>
          <w:lang w:val="en-US" w:eastAsia="zh-CN"/>
        </w:rPr>
        <w:t xml:space="preserve"> </w:t>
      </w:r>
      <w:r>
        <w:rPr>
          <w:rFonts w:hint="eastAsia" w:hAnsi="宋体"/>
          <w:spacing w:val="4"/>
          <w:sz w:val="24"/>
          <w:szCs w:val="24"/>
          <w:u w:val="single"/>
        </w:rPr>
        <w:t>天内</w:t>
      </w:r>
      <w:r>
        <w:rPr>
          <w:rFonts w:hint="eastAsia" w:hAnsi="宋体"/>
          <w:spacing w:val="4"/>
          <w:sz w:val="24"/>
          <w:szCs w:val="24"/>
        </w:rPr>
        <w:t>），本磋商响应函对我方具有约束力。</w:t>
      </w:r>
    </w:p>
    <w:p>
      <w:pPr>
        <w:tabs>
          <w:tab w:val="left" w:pos="2160"/>
        </w:tabs>
        <w:spacing w:line="360" w:lineRule="auto"/>
        <w:ind w:firstLine="496" w:firstLineChars="200"/>
        <w:jc w:val="left"/>
        <w:outlineLvl w:val="9"/>
        <w:rPr>
          <w:rFonts w:hint="eastAsia" w:ascii="Times New Roman" w:hAnsi="宋体" w:eastAsia="宋体" w:cs="Times New Roman"/>
          <w:spacing w:val="4"/>
          <w:sz w:val="24"/>
          <w:szCs w:val="24"/>
        </w:rPr>
      </w:pPr>
      <w:r>
        <w:rPr>
          <w:rFonts w:hint="eastAsia" w:hAnsi="宋体"/>
          <w:spacing w:val="4"/>
          <w:sz w:val="24"/>
          <w:szCs w:val="24"/>
        </w:rPr>
        <w:t>5）如果在磋商后规定的磋商有效</w:t>
      </w:r>
      <w:r>
        <w:rPr>
          <w:rFonts w:hint="eastAsia" w:ascii="Times New Roman" w:hAnsi="宋体" w:eastAsia="宋体" w:cs="Times New Roman"/>
          <w:spacing w:val="4"/>
          <w:sz w:val="24"/>
          <w:szCs w:val="24"/>
        </w:rPr>
        <w:t>期内撤销磋商文件，我们</w:t>
      </w:r>
      <w:r>
        <w:rPr>
          <w:rFonts w:hint="eastAsia" w:ascii="Times New Roman" w:hAnsi="宋体" w:eastAsia="宋体" w:cs="Times New Roman"/>
          <w:spacing w:val="4"/>
          <w:sz w:val="24"/>
          <w:szCs w:val="24"/>
          <w:lang w:val="en-US" w:eastAsia="zh-CN"/>
        </w:rPr>
        <w:t>自愿根据投标信用承诺书有关规定执行。</w:t>
      </w:r>
    </w:p>
    <w:p>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 xml:space="preserve">6）同意提供贵方可能另外要求的与本磋商有关的任何证据和资料。 </w:t>
      </w:r>
    </w:p>
    <w:p>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lang w:val="en-US" w:eastAsia="zh-CN"/>
        </w:rPr>
        <w:t>7</w:t>
      </w:r>
      <w:r>
        <w:rPr>
          <w:rFonts w:hint="eastAsia" w:hAnsi="宋体"/>
          <w:spacing w:val="4"/>
          <w:sz w:val="24"/>
          <w:szCs w:val="24"/>
        </w:rPr>
        <w:t>）与本磋商有关的一切正式往来通讯为：</w:t>
      </w:r>
    </w:p>
    <w:p>
      <w:pPr>
        <w:spacing w:line="360" w:lineRule="auto"/>
        <w:ind w:firstLine="1240" w:firstLineChars="500"/>
        <w:jc w:val="left"/>
        <w:outlineLvl w:val="9"/>
        <w:rPr>
          <w:rFonts w:hint="eastAsia" w:hAnsi="宋体"/>
          <w:spacing w:val="4"/>
          <w:sz w:val="24"/>
          <w:szCs w:val="24"/>
        </w:rPr>
      </w:pPr>
    </w:p>
    <w:p>
      <w:pPr>
        <w:spacing w:line="360" w:lineRule="auto"/>
        <w:ind w:firstLine="1240" w:firstLineChars="500"/>
        <w:jc w:val="left"/>
        <w:outlineLvl w:val="9"/>
        <w:rPr>
          <w:rFonts w:hAnsi="宋体"/>
          <w:spacing w:val="4"/>
          <w:sz w:val="24"/>
          <w:szCs w:val="24"/>
        </w:rPr>
      </w:pPr>
      <w:r>
        <w:rPr>
          <w:rFonts w:hint="eastAsia" w:hAnsi="宋体"/>
          <w:spacing w:val="4"/>
          <w:sz w:val="24"/>
          <w:szCs w:val="24"/>
        </w:rPr>
        <w:t>联系地址：</w:t>
      </w:r>
    </w:p>
    <w:p>
      <w:pPr>
        <w:spacing w:line="360" w:lineRule="auto"/>
        <w:ind w:firstLine="1240" w:firstLineChars="500"/>
        <w:jc w:val="left"/>
        <w:outlineLvl w:val="9"/>
        <w:rPr>
          <w:rFonts w:hAnsi="宋体"/>
          <w:spacing w:val="4"/>
          <w:sz w:val="24"/>
          <w:szCs w:val="24"/>
        </w:rPr>
      </w:pPr>
      <w:r>
        <w:rPr>
          <w:rFonts w:hint="eastAsia" w:hAnsi="宋体"/>
          <w:spacing w:val="4"/>
          <w:sz w:val="24"/>
          <w:szCs w:val="24"/>
        </w:rPr>
        <w:t>邮政编码：</w:t>
      </w:r>
    </w:p>
    <w:p>
      <w:pPr>
        <w:spacing w:line="360" w:lineRule="auto"/>
        <w:ind w:firstLine="1240" w:firstLineChars="500"/>
        <w:jc w:val="left"/>
        <w:outlineLvl w:val="9"/>
        <w:rPr>
          <w:rFonts w:hAnsi="宋体"/>
          <w:spacing w:val="4"/>
          <w:sz w:val="24"/>
          <w:szCs w:val="24"/>
        </w:rPr>
      </w:pPr>
      <w:r>
        <w:rPr>
          <w:rFonts w:hint="eastAsia" w:hAnsi="宋体"/>
          <w:spacing w:val="4"/>
          <w:sz w:val="24"/>
          <w:szCs w:val="24"/>
        </w:rPr>
        <w:t>电    话：</w:t>
      </w:r>
    </w:p>
    <w:p>
      <w:pPr>
        <w:spacing w:line="360" w:lineRule="auto"/>
        <w:ind w:firstLine="1240" w:firstLineChars="500"/>
        <w:jc w:val="left"/>
        <w:outlineLvl w:val="9"/>
        <w:rPr>
          <w:rFonts w:hAnsi="宋体"/>
          <w:spacing w:val="4"/>
          <w:sz w:val="24"/>
          <w:szCs w:val="24"/>
        </w:rPr>
      </w:pPr>
      <w:r>
        <w:rPr>
          <w:rFonts w:hint="eastAsia" w:hAnsi="宋体"/>
          <w:spacing w:val="4"/>
          <w:sz w:val="24"/>
          <w:szCs w:val="24"/>
        </w:rPr>
        <w:t>传    真：</w:t>
      </w:r>
    </w:p>
    <w:p>
      <w:pPr>
        <w:spacing w:line="360" w:lineRule="auto"/>
        <w:ind w:firstLine="1240" w:firstLineChars="500"/>
        <w:jc w:val="left"/>
        <w:outlineLvl w:val="9"/>
        <w:rPr>
          <w:rFonts w:hAnsi="宋体"/>
          <w:spacing w:val="4"/>
          <w:sz w:val="24"/>
          <w:szCs w:val="24"/>
        </w:rPr>
      </w:pPr>
      <w:r>
        <w:rPr>
          <w:rFonts w:hint="eastAsia" w:hAnsi="宋体"/>
          <w:spacing w:val="4"/>
          <w:sz w:val="24"/>
          <w:szCs w:val="24"/>
        </w:rPr>
        <w:t>供应商名称（盖章）：</w:t>
      </w:r>
    </w:p>
    <w:p>
      <w:pPr>
        <w:spacing w:line="360" w:lineRule="auto"/>
        <w:ind w:firstLine="1240" w:firstLineChars="500"/>
        <w:jc w:val="left"/>
        <w:outlineLvl w:val="9"/>
        <w:rPr>
          <w:rFonts w:hAnsi="宋体"/>
          <w:spacing w:val="4"/>
          <w:sz w:val="24"/>
          <w:szCs w:val="24"/>
        </w:rPr>
      </w:pPr>
      <w:r>
        <w:rPr>
          <w:rFonts w:hint="eastAsia" w:hAnsi="宋体"/>
          <w:spacing w:val="4"/>
          <w:sz w:val="24"/>
          <w:szCs w:val="24"/>
        </w:rPr>
        <w:t>供应商法定代表人签字</w:t>
      </w:r>
      <w:r>
        <w:rPr>
          <w:rFonts w:hint="eastAsia" w:hAnsi="宋体"/>
          <w:spacing w:val="4"/>
          <w:sz w:val="24"/>
          <w:szCs w:val="24"/>
          <w:lang w:val="en-US" w:eastAsia="zh-CN"/>
        </w:rPr>
        <w:t>或盖章</w:t>
      </w:r>
      <w:r>
        <w:rPr>
          <w:rFonts w:hint="eastAsia" w:hAnsi="宋体"/>
          <w:spacing w:val="4"/>
          <w:sz w:val="24"/>
          <w:szCs w:val="24"/>
        </w:rPr>
        <w:t>：</w:t>
      </w:r>
    </w:p>
    <w:p>
      <w:pPr>
        <w:spacing w:line="360" w:lineRule="auto"/>
        <w:ind w:firstLine="1240" w:firstLineChars="500"/>
        <w:jc w:val="left"/>
        <w:outlineLvl w:val="9"/>
        <w:rPr>
          <w:rFonts w:hAnsi="宋体"/>
          <w:spacing w:val="4"/>
          <w:sz w:val="24"/>
          <w:szCs w:val="24"/>
        </w:rPr>
      </w:pPr>
      <w:r>
        <w:rPr>
          <w:rFonts w:hint="eastAsia" w:hAnsi="宋体"/>
          <w:spacing w:val="4"/>
          <w:sz w:val="24"/>
          <w:szCs w:val="24"/>
        </w:rPr>
        <w:t>日    期：</w:t>
      </w:r>
    </w:p>
    <w:p>
      <w:pPr>
        <w:spacing w:before="312" w:beforeLines="100"/>
        <w:jc w:val="center"/>
        <w:outlineLvl w:val="1"/>
        <w:rPr>
          <w:rFonts w:hint="eastAsia" w:eastAsia="宋体"/>
          <w:sz w:val="30"/>
          <w:szCs w:val="30"/>
          <w:lang w:eastAsia="zh-CN"/>
        </w:rPr>
      </w:pPr>
      <w:r>
        <w:rPr>
          <w:rFonts w:hint="eastAsia"/>
        </w:rPr>
        <w:br w:type="page"/>
      </w:r>
      <w:bookmarkStart w:id="297" w:name="_Toc485"/>
      <w:bookmarkStart w:id="298" w:name="_Toc31101"/>
      <w:bookmarkStart w:id="299" w:name="_Toc18764"/>
      <w:bookmarkStart w:id="300" w:name="_Toc363474028"/>
      <w:bookmarkStart w:id="301" w:name="_Toc403077649"/>
      <w:r>
        <w:rPr>
          <w:rFonts w:hint="eastAsia" w:ascii="宋体" w:hAnsi="宋体" w:eastAsia="宋体" w:cs="宋体"/>
          <w:b/>
          <w:sz w:val="32"/>
          <w:szCs w:val="32"/>
          <w:lang w:val="en-US" w:eastAsia="zh-CN"/>
        </w:rPr>
        <w:t>二、第一次</w:t>
      </w:r>
      <w:r>
        <w:rPr>
          <w:rFonts w:hint="eastAsia" w:ascii="宋体" w:hAnsi="宋体" w:eastAsia="宋体" w:cs="宋体"/>
          <w:b/>
          <w:sz w:val="32"/>
          <w:szCs w:val="32"/>
          <w:lang w:eastAsia="zh-CN"/>
        </w:rPr>
        <w:t>磋商报价表</w:t>
      </w:r>
      <w:bookmarkEnd w:id="297"/>
      <w:bookmarkEnd w:id="298"/>
    </w:p>
    <w:p>
      <w:pPr>
        <w:spacing w:line="360" w:lineRule="auto"/>
        <w:outlineLvl w:val="9"/>
        <w:rPr>
          <w:rFonts w:hint="eastAsia" w:ascii="宋体" w:hAnsi="宋体" w:cs="宋体"/>
          <w:b/>
          <w:bCs/>
          <w:sz w:val="28"/>
          <w:szCs w:val="28"/>
        </w:rPr>
      </w:pPr>
      <w:r>
        <w:rPr>
          <w:rFonts w:hint="eastAsia" w:ascii="宋体" w:hAnsi="宋体" w:cs="宋体"/>
          <w:b/>
          <w:bCs/>
          <w:sz w:val="28"/>
          <w:szCs w:val="28"/>
        </w:rPr>
        <w:t>项目编号：</w:t>
      </w:r>
    </w:p>
    <w:p>
      <w:pPr>
        <w:pStyle w:val="10"/>
        <w:spacing w:line="360" w:lineRule="auto"/>
        <w:outlineLvl w:val="9"/>
        <w:rPr>
          <w:rFonts w:hint="eastAsia" w:ascii="宋体" w:hAnsi="宋体" w:cs="宋体"/>
        </w:rPr>
      </w:pPr>
      <w:r>
        <w:rPr>
          <w:rFonts w:hint="eastAsia" w:ascii="宋体" w:hAnsi="宋体" w:eastAsia="宋体" w:cs="宋体"/>
          <w:b/>
          <w:bCs/>
          <w:kern w:val="2"/>
          <w:sz w:val="28"/>
          <w:szCs w:val="28"/>
          <w:lang w:val="en-US" w:eastAsia="zh-CN" w:bidi="ar-SA"/>
        </w:rPr>
        <w:t>项目名称：</w:t>
      </w:r>
    </w:p>
    <w:tbl>
      <w:tblPr>
        <w:tblStyle w:val="25"/>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pPr>
              <w:spacing w:line="360" w:lineRule="auto"/>
              <w:jc w:val="center"/>
              <w:outlineLvl w:val="9"/>
              <w:rPr>
                <w:rFonts w:hint="eastAsia" w:ascii="宋体" w:hAnsi="宋体" w:cs="宋体"/>
                <w:b/>
                <w:bCs/>
                <w:sz w:val="24"/>
                <w:szCs w:val="24"/>
              </w:rPr>
            </w:pPr>
            <w:r>
              <w:rPr>
                <w:rFonts w:hint="eastAsia" w:ascii="宋体" w:hAnsi="宋体" w:cs="宋体"/>
                <w:b/>
                <w:bCs/>
                <w:sz w:val="24"/>
                <w:szCs w:val="24"/>
              </w:rPr>
              <w:t>投标总价</w:t>
            </w:r>
          </w:p>
          <w:p>
            <w:pPr>
              <w:spacing w:line="360" w:lineRule="auto"/>
              <w:jc w:val="center"/>
              <w:outlineLvl w:val="9"/>
              <w:rPr>
                <w:rFonts w:hint="eastAsia" w:ascii="宋体" w:hAnsi="宋体" w:cs="宋体"/>
                <w:b/>
                <w:bCs/>
                <w:sz w:val="24"/>
                <w:szCs w:val="24"/>
              </w:rPr>
            </w:pPr>
            <w:r>
              <w:rPr>
                <w:rFonts w:hint="eastAsia" w:ascii="宋体" w:hAnsi="宋体" w:cs="宋体"/>
                <w:b/>
                <w:bCs/>
                <w:sz w:val="24"/>
                <w:szCs w:val="24"/>
              </w:rPr>
              <w:t>（人民币）</w:t>
            </w:r>
          </w:p>
        </w:tc>
        <w:tc>
          <w:tcPr>
            <w:tcW w:w="7560" w:type="dxa"/>
            <w:noWrap w:val="0"/>
            <w:vAlign w:val="center"/>
          </w:tcPr>
          <w:p>
            <w:pPr>
              <w:spacing w:line="360" w:lineRule="auto"/>
              <w:outlineLvl w:val="9"/>
              <w:rPr>
                <w:rFonts w:hint="eastAsia" w:ascii="宋体" w:hAnsi="宋体" w:cs="宋体"/>
                <w:b/>
                <w:bCs/>
                <w:sz w:val="24"/>
                <w:szCs w:val="24"/>
              </w:rPr>
            </w:pPr>
            <w:r>
              <w:rPr>
                <w:rFonts w:hint="eastAsia" w:ascii="宋体" w:hAnsi="宋体" w:cs="宋体"/>
                <w:b/>
                <w:bCs/>
                <w:sz w:val="24"/>
                <w:szCs w:val="24"/>
              </w:rPr>
              <w:t>小写金额：</w:t>
            </w:r>
            <w:r>
              <w:rPr>
                <w:rFonts w:hint="eastAsia" w:ascii="宋体" w:hAnsi="宋体" w:cs="宋体"/>
                <w:b/>
                <w:bCs/>
                <w:sz w:val="24"/>
                <w:szCs w:val="24"/>
                <w:u w:val="single"/>
              </w:rPr>
              <w:t xml:space="preserve">                        </w:t>
            </w:r>
            <w:r>
              <w:rPr>
                <w:rFonts w:hint="eastAsia" w:ascii="宋体" w:hAnsi="宋体" w:cs="宋体"/>
                <w:b/>
                <w:bCs/>
                <w:sz w:val="24"/>
                <w:szCs w:val="24"/>
              </w:rPr>
              <w:t xml:space="preserve"> </w:t>
            </w:r>
          </w:p>
          <w:p>
            <w:pPr>
              <w:spacing w:line="360" w:lineRule="auto"/>
              <w:outlineLvl w:val="9"/>
              <w:rPr>
                <w:rFonts w:hint="eastAsia" w:ascii="宋体" w:hAnsi="宋体" w:cs="宋体"/>
                <w:sz w:val="24"/>
                <w:szCs w:val="24"/>
              </w:rPr>
            </w:pPr>
            <w:r>
              <w:rPr>
                <w:rFonts w:hint="eastAsia" w:ascii="宋体" w:hAnsi="宋体" w:cs="宋体"/>
                <w:b/>
                <w:bCs/>
                <w:sz w:val="24"/>
                <w:szCs w:val="24"/>
              </w:rPr>
              <w:t>大写金额：</w:t>
            </w:r>
            <w:r>
              <w:rPr>
                <w:rFonts w:hint="eastAsia" w:ascii="宋体" w:hAnsi="宋体" w:cs="宋体"/>
                <w:b/>
                <w:bCs/>
                <w:sz w:val="24"/>
                <w:szCs w:val="24"/>
                <w:u w:val="single"/>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pPr>
              <w:spacing w:line="360" w:lineRule="auto"/>
              <w:jc w:val="center"/>
              <w:outlineLvl w:val="9"/>
              <w:rPr>
                <w:rFonts w:hint="eastAsia" w:ascii="宋体" w:hAnsi="宋体" w:cs="宋体"/>
                <w:b/>
                <w:bCs/>
                <w:sz w:val="24"/>
                <w:szCs w:val="24"/>
              </w:rPr>
            </w:pPr>
            <w:r>
              <w:rPr>
                <w:rFonts w:hint="eastAsia" w:ascii="宋体" w:hAnsi="宋体" w:cs="宋体"/>
                <w:b/>
                <w:bCs/>
                <w:sz w:val="24"/>
                <w:szCs w:val="24"/>
              </w:rPr>
              <w:t>投标人</w:t>
            </w:r>
          </w:p>
          <w:p>
            <w:pPr>
              <w:spacing w:line="360" w:lineRule="auto"/>
              <w:jc w:val="center"/>
              <w:outlineLvl w:val="9"/>
              <w:rPr>
                <w:rFonts w:hint="eastAsia" w:ascii="宋体" w:hAnsi="宋体" w:cs="宋体"/>
                <w:b/>
                <w:bCs/>
                <w:sz w:val="24"/>
                <w:szCs w:val="24"/>
              </w:rPr>
            </w:pPr>
            <w:r>
              <w:rPr>
                <w:rFonts w:hint="eastAsia" w:ascii="宋体" w:hAnsi="宋体" w:cs="宋体"/>
                <w:b/>
                <w:bCs/>
                <w:sz w:val="24"/>
                <w:szCs w:val="24"/>
              </w:rPr>
              <w:t>（公司名称）</w:t>
            </w:r>
          </w:p>
        </w:tc>
        <w:tc>
          <w:tcPr>
            <w:tcW w:w="7560" w:type="dxa"/>
            <w:noWrap w:val="0"/>
            <w:vAlign w:val="center"/>
          </w:tcPr>
          <w:p>
            <w:pPr>
              <w:spacing w:line="360" w:lineRule="auto"/>
              <w:outlineLvl w:val="9"/>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pPr>
              <w:spacing w:line="360" w:lineRule="auto"/>
              <w:jc w:val="center"/>
              <w:outlineLvl w:val="9"/>
              <w:rPr>
                <w:rFonts w:hint="eastAsia" w:ascii="宋体" w:hAnsi="宋体" w:eastAsia="宋体"/>
                <w:b/>
                <w:sz w:val="24"/>
                <w:szCs w:val="24"/>
                <w:lang w:eastAsia="zh-CN"/>
              </w:rPr>
            </w:pPr>
            <w:r>
              <w:rPr>
                <w:rFonts w:hint="eastAsia" w:ascii="宋体" w:hAnsi="宋体"/>
                <w:b/>
                <w:sz w:val="24"/>
                <w:szCs w:val="24"/>
                <w:lang w:val="en-US" w:eastAsia="zh-CN"/>
              </w:rPr>
              <w:t>工期</w:t>
            </w:r>
          </w:p>
        </w:tc>
        <w:tc>
          <w:tcPr>
            <w:tcW w:w="7560" w:type="dxa"/>
            <w:noWrap w:val="0"/>
            <w:vAlign w:val="center"/>
          </w:tcPr>
          <w:p>
            <w:pPr>
              <w:spacing w:line="360" w:lineRule="auto"/>
              <w:outlineLvl w:val="9"/>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pPr>
              <w:spacing w:line="360" w:lineRule="auto"/>
              <w:jc w:val="center"/>
              <w:outlineLvl w:val="9"/>
              <w:rPr>
                <w:rFonts w:hint="default" w:ascii="宋体" w:hAnsi="宋体"/>
                <w:b/>
                <w:sz w:val="24"/>
                <w:szCs w:val="24"/>
                <w:lang w:val="en-US" w:eastAsia="zh-CN"/>
              </w:rPr>
            </w:pPr>
            <w:r>
              <w:rPr>
                <w:rFonts w:hint="eastAsia" w:ascii="宋体" w:hAnsi="宋体"/>
                <w:b/>
                <w:sz w:val="24"/>
                <w:szCs w:val="24"/>
                <w:lang w:val="en-US" w:eastAsia="zh-CN"/>
              </w:rPr>
              <w:t>质保期</w:t>
            </w:r>
          </w:p>
        </w:tc>
        <w:tc>
          <w:tcPr>
            <w:tcW w:w="7560" w:type="dxa"/>
            <w:noWrap w:val="0"/>
            <w:vAlign w:val="center"/>
          </w:tcPr>
          <w:p>
            <w:pPr>
              <w:spacing w:line="360" w:lineRule="auto"/>
              <w:outlineLvl w:val="9"/>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pPr>
              <w:spacing w:line="360" w:lineRule="auto"/>
              <w:jc w:val="center"/>
              <w:outlineLvl w:val="9"/>
              <w:rPr>
                <w:rFonts w:hint="default" w:ascii="宋体" w:hAnsi="宋体"/>
                <w:b/>
                <w:sz w:val="24"/>
                <w:szCs w:val="24"/>
                <w:lang w:val="en-US" w:eastAsia="zh-CN"/>
              </w:rPr>
            </w:pPr>
            <w:r>
              <w:rPr>
                <w:rFonts w:hint="eastAsia" w:ascii="宋体" w:hAnsi="宋体"/>
                <w:b/>
                <w:sz w:val="24"/>
                <w:szCs w:val="24"/>
                <w:lang w:val="en-US" w:eastAsia="zh-CN"/>
              </w:rPr>
              <w:t>工程质量</w:t>
            </w:r>
          </w:p>
        </w:tc>
        <w:tc>
          <w:tcPr>
            <w:tcW w:w="7560" w:type="dxa"/>
            <w:noWrap w:val="0"/>
            <w:vAlign w:val="center"/>
          </w:tcPr>
          <w:p>
            <w:pPr>
              <w:spacing w:line="360" w:lineRule="auto"/>
              <w:outlineLvl w:val="9"/>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pPr>
              <w:spacing w:line="360" w:lineRule="auto"/>
              <w:jc w:val="center"/>
              <w:outlineLvl w:val="9"/>
              <w:rPr>
                <w:rFonts w:hint="eastAsia" w:ascii="宋体" w:hAnsi="宋体" w:cs="宋体"/>
                <w:b/>
                <w:bCs/>
                <w:sz w:val="24"/>
              </w:rPr>
            </w:pPr>
            <w:r>
              <w:rPr>
                <w:rFonts w:hint="eastAsia" w:ascii="宋体" w:hAnsi="宋体" w:cs="宋体"/>
                <w:b/>
                <w:bCs/>
                <w:sz w:val="24"/>
              </w:rPr>
              <w:t>投标声明</w:t>
            </w:r>
          </w:p>
        </w:tc>
        <w:tc>
          <w:tcPr>
            <w:tcW w:w="7560" w:type="dxa"/>
            <w:noWrap w:val="0"/>
            <w:vAlign w:val="center"/>
          </w:tcPr>
          <w:p>
            <w:pPr>
              <w:spacing w:line="360" w:lineRule="auto"/>
              <w:outlineLvl w:val="9"/>
              <w:rPr>
                <w:rFonts w:hint="eastAsia" w:ascii="宋体" w:hAnsi="宋体" w:cs="宋体"/>
                <w:sz w:val="24"/>
                <w:szCs w:val="24"/>
              </w:rPr>
            </w:pPr>
          </w:p>
        </w:tc>
      </w:tr>
    </w:tbl>
    <w:p>
      <w:pPr>
        <w:outlineLvl w:val="9"/>
        <w:rPr>
          <w:rFonts w:hint="eastAsia" w:ascii="宋体" w:hAnsi="宋体" w:cs="宋体"/>
        </w:rPr>
      </w:pPr>
    </w:p>
    <w:p>
      <w:pPr>
        <w:spacing w:line="360" w:lineRule="auto"/>
        <w:outlineLvl w:val="9"/>
        <w:rPr>
          <w:rFonts w:hint="eastAsia" w:ascii="宋体" w:hAnsi="宋体" w:cs="宋体"/>
          <w:sz w:val="24"/>
        </w:rPr>
      </w:pPr>
    </w:p>
    <w:p>
      <w:pPr>
        <w:widowControl/>
        <w:jc w:val="right"/>
        <w:outlineLvl w:val="9"/>
      </w:pPr>
      <w:r>
        <w:rPr>
          <w:rFonts w:hint="eastAsia" w:ascii="宋体" w:hAnsi="宋体" w:cs="宋体"/>
          <w:sz w:val="24"/>
          <w:szCs w:val="24"/>
        </w:rPr>
        <w:t xml:space="preserve">  法人代表或被授权代表：</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（盖章或签字） </w:t>
      </w:r>
    </w:p>
    <w:p>
      <w:pPr>
        <w:ind w:right="-161"/>
        <w:outlineLvl w:val="9"/>
        <w:rPr>
          <w:rFonts w:hint="eastAsia" w:ascii="宋体" w:hAnsi="宋体" w:cs="宋体"/>
          <w:sz w:val="24"/>
          <w:szCs w:val="24"/>
          <w:u w:val="single"/>
        </w:rPr>
      </w:pPr>
    </w:p>
    <w:p>
      <w:pPr>
        <w:widowControl/>
        <w:spacing w:line="360" w:lineRule="auto"/>
        <w:jc w:val="center"/>
        <w:outlineLvl w:val="9"/>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投   标   人  ：</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（盖单位章） </w:t>
      </w:r>
    </w:p>
    <w:p>
      <w:pPr>
        <w:ind w:right="-161" w:firstLine="2160" w:firstLineChars="900"/>
        <w:outlineLvl w:val="9"/>
        <w:rPr>
          <w:rFonts w:hint="eastAsia" w:ascii="宋体" w:hAnsi="宋体" w:cs="宋体"/>
          <w:sz w:val="24"/>
          <w:szCs w:val="24"/>
          <w:u w:val="single"/>
        </w:rPr>
      </w:pPr>
      <w:r>
        <w:rPr>
          <w:rFonts w:hint="eastAsia" w:ascii="宋体" w:hAnsi="宋体" w:cs="宋体"/>
          <w:sz w:val="24"/>
          <w:szCs w:val="24"/>
        </w:rPr>
        <w:t>日                 期：</w:t>
      </w:r>
      <w:r>
        <w:rPr>
          <w:rFonts w:hint="eastAsia" w:ascii="宋体" w:hAnsi="宋体" w:cs="宋体"/>
          <w:sz w:val="24"/>
          <w:szCs w:val="24"/>
          <w:u w:val="single"/>
        </w:rPr>
        <w:t xml:space="preserve">                      </w:t>
      </w:r>
    </w:p>
    <w:p>
      <w:pPr>
        <w:ind w:right="-161" w:firstLine="2640" w:firstLineChars="1100"/>
        <w:outlineLvl w:val="9"/>
        <w:rPr>
          <w:rFonts w:hint="eastAsia" w:ascii="宋体" w:hAnsi="宋体" w:cs="宋体"/>
          <w:sz w:val="24"/>
          <w:szCs w:val="24"/>
          <w:u w:val="single"/>
        </w:rPr>
      </w:pPr>
    </w:p>
    <w:p>
      <w:pPr>
        <w:spacing w:line="120" w:lineRule="exact"/>
        <w:outlineLvl w:val="9"/>
        <w:rPr>
          <w:rFonts w:ascii="宋体" w:hAnsi="宋体" w:cs="宋体"/>
          <w:sz w:val="24"/>
          <w:szCs w:val="24"/>
        </w:rPr>
      </w:pPr>
    </w:p>
    <w:p>
      <w:pPr>
        <w:pStyle w:val="10"/>
        <w:outlineLvl w:val="9"/>
      </w:pPr>
    </w:p>
    <w:p>
      <w:pPr>
        <w:spacing w:line="480" w:lineRule="auto"/>
        <w:ind w:right="-161"/>
        <w:jc w:val="center"/>
        <w:outlineLvl w:val="9"/>
        <w:rPr>
          <w:rFonts w:hint="eastAsia"/>
          <w:b/>
          <w:bCs/>
          <w:sz w:val="36"/>
          <w:szCs w:val="16"/>
        </w:rPr>
        <w:sectPr>
          <w:pgSz w:w="11906" w:h="16838"/>
          <w:pgMar w:top="1383" w:right="1383" w:bottom="1383" w:left="1383" w:header="851" w:footer="992" w:gutter="0"/>
          <w:pgNumType w:fmt="decimal"/>
          <w:cols w:space="720" w:num="1"/>
          <w:docGrid w:linePitch="312" w:charSpace="0"/>
        </w:sectPr>
      </w:pPr>
      <w:bookmarkStart w:id="302" w:name="_Toc26878"/>
      <w:bookmarkStart w:id="303" w:name="_Toc859"/>
      <w:bookmarkStart w:id="304" w:name="_Toc9067"/>
      <w:bookmarkStart w:id="305" w:name="_Toc1408"/>
      <w:bookmarkStart w:id="306" w:name="_Toc776"/>
      <w:bookmarkStart w:id="307" w:name="_Toc16078"/>
      <w:bookmarkStart w:id="308" w:name="_Toc1083"/>
      <w:bookmarkStart w:id="309" w:name="_Toc27665"/>
      <w:bookmarkStart w:id="310" w:name="_Toc5971"/>
      <w:bookmarkStart w:id="311" w:name="_Toc21755"/>
      <w:bookmarkStart w:id="312" w:name="_Toc30603"/>
      <w:bookmarkStart w:id="313" w:name="_Toc14005"/>
      <w:bookmarkStart w:id="314" w:name="_Toc8483"/>
      <w:bookmarkStart w:id="315" w:name="_Toc3758"/>
      <w:bookmarkStart w:id="316" w:name="_Toc29346"/>
    </w:p>
    <w:p>
      <w:pPr>
        <w:snapToGrid w:val="0"/>
        <w:spacing w:line="360" w:lineRule="auto"/>
        <w:jc w:val="center"/>
        <w:outlineLvl w:val="1"/>
        <w:rPr>
          <w:rFonts w:ascii="宋体" w:hAnsi="宋体" w:cs="宋体"/>
          <w:b/>
          <w:sz w:val="32"/>
          <w:szCs w:val="32"/>
        </w:rPr>
      </w:pPr>
      <w:bookmarkStart w:id="317" w:name="_Toc32049"/>
      <w:r>
        <w:rPr>
          <w:rFonts w:hint="eastAsia" w:ascii="宋体" w:hAnsi="宋体" w:cs="宋体"/>
          <w:b/>
          <w:sz w:val="32"/>
          <w:szCs w:val="32"/>
          <w:lang w:val="en-US" w:eastAsia="zh-CN"/>
        </w:rPr>
        <w:t>三、</w:t>
      </w:r>
      <w:r>
        <w:rPr>
          <w:rFonts w:hint="eastAsia" w:ascii="宋体" w:hAnsi="宋体" w:cs="宋体"/>
          <w:b/>
          <w:sz w:val="32"/>
          <w:szCs w:val="32"/>
        </w:rPr>
        <w:t>磋商分项报价表</w:t>
      </w:r>
      <w:bookmarkEnd w:id="317"/>
    </w:p>
    <w:p>
      <w:pPr>
        <w:jc w:val="center"/>
        <w:outlineLvl w:val="9"/>
      </w:pPr>
    </w:p>
    <w:p>
      <w:pPr>
        <w:spacing w:line="480" w:lineRule="auto"/>
        <w:ind w:right="-161"/>
        <w:jc w:val="center"/>
        <w:outlineLvl w:val="9"/>
        <w:rPr>
          <w:rFonts w:hint="eastAsia" w:eastAsia="宋体"/>
          <w:b w:val="0"/>
          <w:bCs w:val="0"/>
          <w:sz w:val="24"/>
          <w:szCs w:val="24"/>
          <w:lang w:eastAsia="zh-CN"/>
        </w:rPr>
      </w:pPr>
      <w:r>
        <w:rPr>
          <w:rFonts w:hint="eastAsia"/>
          <w:b w:val="0"/>
          <w:bCs w:val="0"/>
          <w:sz w:val="24"/>
          <w:szCs w:val="24"/>
          <w:lang w:eastAsia="zh-CN"/>
        </w:rPr>
        <w:t>（</w:t>
      </w:r>
      <w:r>
        <w:rPr>
          <w:rFonts w:hint="eastAsia"/>
          <w:b w:val="0"/>
          <w:bCs w:val="0"/>
          <w:sz w:val="24"/>
          <w:szCs w:val="24"/>
          <w:lang w:val="en-US" w:eastAsia="zh-CN"/>
        </w:rPr>
        <w:t>以广联达软件生成为准</w:t>
      </w:r>
      <w:r>
        <w:rPr>
          <w:rFonts w:hint="eastAsia"/>
          <w:b w:val="0"/>
          <w:bCs w:val="0"/>
          <w:sz w:val="24"/>
          <w:szCs w:val="24"/>
          <w:lang w:eastAsia="zh-CN"/>
        </w:rPr>
        <w:t>）</w:t>
      </w:r>
    </w:p>
    <w:p>
      <w:pPr>
        <w:outlineLvl w:val="9"/>
        <w:rPr>
          <w:rFonts w:hint="eastAsia"/>
        </w:rPr>
      </w:pPr>
    </w:p>
    <w:p>
      <w:pPr>
        <w:spacing w:line="480" w:lineRule="auto"/>
        <w:ind w:right="-161"/>
        <w:jc w:val="center"/>
        <w:outlineLvl w:val="9"/>
        <w:rPr>
          <w:rFonts w:hint="eastAsia"/>
          <w:b/>
          <w:bCs/>
          <w:sz w:val="36"/>
          <w:szCs w:val="16"/>
          <w:lang w:val="en-US" w:eastAsia="zh-CN"/>
        </w:rPr>
        <w:sectPr>
          <w:pgSz w:w="11906" w:h="16838"/>
          <w:pgMar w:top="1383" w:right="1383" w:bottom="1383" w:left="1383" w:header="851" w:footer="992" w:gutter="0"/>
          <w:pgNumType w:fmt="decimal"/>
          <w:cols w:space="720" w:num="1"/>
          <w:docGrid w:linePitch="312" w:charSpace="0"/>
        </w:sectPr>
      </w:pPr>
    </w:p>
    <w:p>
      <w:pPr>
        <w:spacing w:line="480" w:lineRule="auto"/>
        <w:ind w:right="-161"/>
        <w:jc w:val="center"/>
        <w:outlineLvl w:val="1"/>
        <w:rPr>
          <w:rFonts w:hint="eastAsia" w:ascii="宋体" w:hAnsi="宋体" w:cs="宋体"/>
          <w:b/>
          <w:bCs/>
          <w:sz w:val="24"/>
          <w:szCs w:val="24"/>
          <w:u w:val="single"/>
        </w:rPr>
      </w:pPr>
      <w:bookmarkStart w:id="318" w:name="_Toc31177"/>
      <w:r>
        <w:rPr>
          <w:rFonts w:hint="eastAsia"/>
          <w:b/>
          <w:bCs/>
          <w:sz w:val="36"/>
          <w:szCs w:val="16"/>
          <w:lang w:val="en-US" w:eastAsia="zh-CN"/>
        </w:rPr>
        <w:t>四</w:t>
      </w:r>
      <w:r>
        <w:rPr>
          <w:rFonts w:hint="eastAsia"/>
          <w:b/>
          <w:bCs/>
          <w:sz w:val="36"/>
          <w:szCs w:val="16"/>
        </w:rPr>
        <w:t>、资格证明文件</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8"/>
    </w:p>
    <w:p>
      <w:pPr>
        <w:spacing w:before="120" w:beforeLines="50" w:line="400" w:lineRule="exact"/>
        <w:ind w:left="-141" w:leftChars="-67" w:firstLine="480" w:firstLineChars="200"/>
        <w:outlineLvl w:val="9"/>
        <w:rPr>
          <w:rFonts w:hint="eastAsia" w:ascii="宋体" w:hAnsi="宋体" w:eastAsia="宋体" w:cs="宋体"/>
          <w:color w:val="auto"/>
          <w:sz w:val="24"/>
          <w:szCs w:val="24"/>
        </w:rPr>
        <w:sectPr>
          <w:pgSz w:w="11906" w:h="16838"/>
          <w:pgMar w:top="1440" w:right="1287" w:bottom="1440" w:left="1440" w:header="850" w:footer="992" w:gutter="0"/>
          <w:pgNumType w:fmt="decimal"/>
          <w:cols w:space="720" w:num="1"/>
          <w:titlePg/>
          <w:docGrid w:linePitch="360" w:charSpace="0"/>
        </w:sectPr>
      </w:pPr>
      <w:r>
        <w:rPr>
          <w:rFonts w:hint="eastAsia" w:ascii="宋体" w:hAnsi="宋体" w:eastAsia="宋体" w:cs="宋体"/>
          <w:color w:val="auto"/>
          <w:sz w:val="24"/>
          <w:szCs w:val="24"/>
        </w:rPr>
        <w:t>投标人按“第</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 xml:space="preserve">章 </w:t>
      </w:r>
      <w:r>
        <w:rPr>
          <w:rFonts w:hint="eastAsia" w:ascii="宋体" w:hAnsi="宋体" w:eastAsia="宋体" w:cs="宋体"/>
          <w:color w:val="auto"/>
          <w:sz w:val="24"/>
          <w:szCs w:val="24"/>
          <w:lang w:val="en-US" w:eastAsia="zh-CN"/>
        </w:rPr>
        <w:t>招标公告 二、申请人的资格要求 3.本项目的特定资格要求</w:t>
      </w:r>
      <w:r>
        <w:rPr>
          <w:rFonts w:hint="eastAsia" w:ascii="宋体" w:hAnsi="宋体" w:eastAsia="宋体" w:cs="宋体"/>
          <w:color w:val="auto"/>
          <w:sz w:val="24"/>
          <w:szCs w:val="24"/>
        </w:rPr>
        <w:t>”逐一提供全部资料，缺少其中任何一项，其投标文件将被视为无效文件。其中，《</w:t>
      </w:r>
      <w:r>
        <w:rPr>
          <w:rFonts w:hint="eastAsia" w:ascii="宋体" w:hAnsi="宋体" w:eastAsia="宋体" w:cs="宋体"/>
          <w:color w:val="auto"/>
          <w:sz w:val="24"/>
          <w:szCs w:val="24"/>
          <w:lang w:eastAsia="zh-CN"/>
        </w:rPr>
        <w:t>榆林市政府采购工程类项目供应商信用承诺书</w:t>
      </w:r>
      <w:r>
        <w:rPr>
          <w:rFonts w:hint="eastAsia" w:ascii="宋体" w:hAnsi="宋体" w:eastAsia="宋体" w:cs="宋体"/>
          <w:color w:val="auto"/>
          <w:sz w:val="24"/>
          <w:szCs w:val="24"/>
        </w:rPr>
        <w:t>》、《投标人信用承诺》、《投标信用承诺》、《投标人委托代理人员信用承诺书》（如有）应按下文给定格式填写，否则</w:t>
      </w:r>
      <w:r>
        <w:rPr>
          <w:rFonts w:hint="eastAsia" w:ascii="宋体" w:hAnsi="宋体" w:eastAsia="宋体" w:cs="宋体"/>
          <w:b/>
          <w:bCs/>
          <w:color w:val="auto"/>
          <w:sz w:val="24"/>
          <w:szCs w:val="24"/>
        </w:rPr>
        <w:t>按无效处理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sz w:val="24"/>
          <w:szCs w:val="24"/>
          <w:lang w:eastAsia="zh-CN"/>
        </w:rPr>
      </w:pPr>
      <w:r>
        <w:rPr>
          <w:rFonts w:hint="eastAsia" w:ascii="宋体" w:hAnsi="宋体" w:eastAsia="宋体" w:cs="宋体"/>
          <w:b/>
          <w:sz w:val="24"/>
          <w:szCs w:val="24"/>
          <w:lang w:eastAsia="zh-CN"/>
        </w:rPr>
        <w:t>榆林市政府采购工程类项目供应商信用承诺书</w:t>
      </w:r>
    </w:p>
    <w:p>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市场主体名称：</w:t>
      </w:r>
    </w:p>
    <w:p>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证件号码：</w:t>
      </w:r>
    </w:p>
    <w:p>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法人代表：</w:t>
      </w:r>
    </w:p>
    <w:p>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承诺有效期限：    年    月    日—    年    月    日</w:t>
      </w:r>
    </w:p>
    <w:p>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承诺内容：</w:t>
      </w:r>
    </w:p>
    <w:p>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七、根据政府采购相关法律法规的规定需要作出的其他诺：</w:t>
      </w:r>
      <w:r>
        <w:rPr>
          <w:rFonts w:hint="eastAsia" w:ascii="宋体" w:hAnsi="宋体" w:eastAsia="宋体" w:cs="宋体"/>
          <w:sz w:val="24"/>
          <w:szCs w:val="24"/>
          <w:u w:val="single"/>
        </w:rPr>
        <w:t>         </w:t>
      </w:r>
      <w:r>
        <w:rPr>
          <w:rFonts w:hint="eastAsia" w:ascii="宋体" w:hAnsi="宋体" w:eastAsia="宋体" w:cs="宋体"/>
          <w:sz w:val="24"/>
          <w:szCs w:val="24"/>
        </w:rPr>
        <w:t>。</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承诺单位（盖章）：</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法定代表人（负责人）：</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法定代表人（负责人）身份证号：</w:t>
      </w:r>
    </w:p>
    <w:p>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承诺日期：</w:t>
      </w:r>
    </w:p>
    <w:p>
      <w:pPr>
        <w:pStyle w:val="52"/>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sz w:val="24"/>
          <w:szCs w:val="24"/>
        </w:rPr>
      </w:pPr>
    </w:p>
    <w:p>
      <w:pPr>
        <w:pStyle w:val="52"/>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sz w:val="24"/>
          <w:szCs w:val="24"/>
        </w:rPr>
      </w:pPr>
    </w:p>
    <w:p>
      <w:pPr>
        <w:pStyle w:val="5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sz w:val="24"/>
          <w:szCs w:val="24"/>
        </w:rPr>
      </w:pPr>
      <w:r>
        <w:rPr>
          <w:rFonts w:hint="eastAsia" w:ascii="宋体" w:hAnsi="宋体" w:eastAsia="宋体" w:cs="宋体"/>
          <w:kern w:val="2"/>
          <w:sz w:val="21"/>
          <w:szCs w:val="21"/>
          <w:lang w:val="en-US" w:eastAsia="zh-CN" w:bidi="ar-SA"/>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ascii="宋体" w:hAnsi="宋体" w:eastAsia="宋体" w:cs="宋体"/>
          <w:kern w:val="2"/>
          <w:sz w:val="21"/>
          <w:szCs w:val="21"/>
          <w:lang w:val="en-US" w:eastAsia="zh-CN" w:bidi="ar-SA"/>
        </w:rPr>
        <w:br w:type="page"/>
      </w:r>
      <w:r>
        <w:rPr>
          <w:rFonts w:hint="eastAsia" w:ascii="宋体" w:hAnsi="宋体" w:eastAsia="宋体" w:cs="宋体"/>
          <w:b/>
          <w:bCs/>
          <w:sz w:val="24"/>
          <w:szCs w:val="24"/>
        </w:rPr>
        <w:t>投标人信用承诺</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统一社会信用代码：</w:t>
      </w:r>
      <w:r>
        <w:rPr>
          <w:rFonts w:hint="eastAsia" w:ascii="宋体" w:hAnsi="宋体" w:eastAsia="宋体" w:cs="宋体"/>
          <w:sz w:val="24"/>
          <w:szCs w:val="24"/>
          <w:u w:val="single"/>
        </w:rPr>
        <w:t xml:space="preserve">                             </w:t>
      </w:r>
      <w:r>
        <w:rPr>
          <w:rFonts w:hint="eastAsia" w:ascii="宋体" w:hAnsi="宋体" w:eastAsia="宋体" w:cs="宋体"/>
          <w:sz w:val="24"/>
          <w:szCs w:val="24"/>
        </w:rPr>
        <w:t>法人代表：</w:t>
      </w:r>
      <w:r>
        <w:rPr>
          <w:rFonts w:hint="eastAsia" w:ascii="宋体" w:hAnsi="宋体" w:eastAsia="宋体" w:cs="宋体"/>
          <w:sz w:val="24"/>
          <w:szCs w:val="24"/>
          <w:u w:val="single"/>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u w:val="single"/>
        </w:rPr>
        <w:t xml:space="preserve">                   </w:t>
      </w:r>
      <w:r>
        <w:rPr>
          <w:rFonts w:hint="eastAsia" w:ascii="宋体" w:hAnsi="宋体" w:eastAsia="宋体" w:cs="宋体"/>
          <w:sz w:val="24"/>
          <w:szCs w:val="24"/>
        </w:rPr>
        <w:t>项目招投标活动中，我公司（单位）郑重作出以下信用承诺：</w:t>
      </w:r>
    </w:p>
    <w:p>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lang w:eastAsia="zh-CN"/>
        </w:rPr>
        <w:t>谈判文件</w:t>
      </w:r>
      <w:r>
        <w:rPr>
          <w:rFonts w:hint="eastAsia" w:ascii="宋体" w:hAnsi="宋体" w:eastAsia="宋体" w:cs="宋体"/>
          <w:sz w:val="24"/>
          <w:szCs w:val="24"/>
        </w:rPr>
        <w:t>和投标文件与招标人签订合同；在签订合同时向招标人提出附加条件、或者改变投标文件的实质性内容；放弃中标；不按照</w:t>
      </w:r>
      <w:r>
        <w:rPr>
          <w:rFonts w:hint="eastAsia" w:ascii="宋体" w:hAnsi="宋体" w:eastAsia="宋体" w:cs="宋体"/>
          <w:sz w:val="24"/>
          <w:szCs w:val="24"/>
          <w:lang w:eastAsia="zh-CN"/>
        </w:rPr>
        <w:t>谈判文件</w:t>
      </w:r>
      <w:r>
        <w:rPr>
          <w:rFonts w:hint="eastAsia" w:ascii="宋体" w:hAnsi="宋体" w:eastAsia="宋体" w:cs="宋体"/>
          <w:sz w:val="24"/>
          <w:szCs w:val="24"/>
        </w:rPr>
        <w:t>的规定提交履约保证金。5.招投标法规定的其它违法违规行为。</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（三）自愿接受招投标监督部门和有关行政监督部门的依法检查。</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法定代表人（签章）：                           投标人（盖章）：</w:t>
      </w:r>
    </w:p>
    <w:p>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承诺时间：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val="0"/>
        <w:kinsoku/>
        <w:wordWrap/>
        <w:overflowPunct/>
        <w:topLinePunct w:val="0"/>
        <w:autoSpaceDE/>
        <w:autoSpaceDN/>
        <w:bidi w:val="0"/>
        <w:spacing w:line="360" w:lineRule="auto"/>
        <w:jc w:val="center"/>
        <w:textAlignment w:val="auto"/>
        <w:outlineLvl w:val="9"/>
        <w:rPr>
          <w:rFonts w:hint="eastAsia" w:ascii="宋体" w:hAnsi="宋体" w:eastAsia="宋体" w:cs="宋体"/>
          <w:b/>
          <w:bCs/>
          <w:sz w:val="24"/>
          <w:szCs w:val="24"/>
        </w:rPr>
      </w:pPr>
      <w:r>
        <w:rPr>
          <w:rFonts w:hint="eastAsia" w:ascii="宋体" w:hAnsi="宋体" w:eastAsia="宋体" w:cs="宋体"/>
          <w:b/>
          <w:bCs/>
          <w:sz w:val="21"/>
          <w:szCs w:val="21"/>
        </w:rPr>
        <w:t>注：</w:t>
      </w:r>
      <w:r>
        <w:rPr>
          <w:rFonts w:hint="eastAsia" w:ascii="宋体" w:hAnsi="宋体" w:eastAsia="宋体" w:cs="宋体"/>
          <w:sz w:val="21"/>
          <w:szCs w:val="21"/>
        </w:rPr>
        <w:t>此承诺书除附在投标文件中外还须上传至“信用中国（陕西榆林）”网站投标人自主上报信用承诺书附件。（承诺有效期同投标有效期，承诺起始时间为提交投标文件截止之日，须后附截图。）</w:t>
      </w:r>
      <w:r>
        <w:rPr>
          <w:rFonts w:hint="eastAsia" w:ascii="宋体" w:hAnsi="宋体" w:eastAsia="宋体" w:cs="宋体"/>
          <w:sz w:val="21"/>
          <w:szCs w:val="21"/>
        </w:rPr>
        <w:br w:type="page"/>
      </w:r>
      <w:r>
        <w:rPr>
          <w:rFonts w:hint="eastAsia" w:ascii="宋体" w:hAnsi="宋体" w:eastAsia="宋体" w:cs="宋体"/>
          <w:b/>
          <w:bCs/>
          <w:sz w:val="24"/>
          <w:szCs w:val="24"/>
        </w:rPr>
        <w:t>投标信用承诺书</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项目标段：</w:t>
      </w:r>
      <w:r>
        <w:rPr>
          <w:rFonts w:hint="eastAsia" w:ascii="宋体" w:hAnsi="宋体" w:eastAsia="宋体" w:cs="宋体"/>
          <w:sz w:val="24"/>
          <w:szCs w:val="24"/>
          <w:u w:val="single"/>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统一社会信用代码：</w:t>
      </w:r>
      <w:r>
        <w:rPr>
          <w:rFonts w:hint="eastAsia" w:ascii="宋体" w:hAnsi="宋体" w:eastAsia="宋体" w:cs="宋体"/>
          <w:sz w:val="24"/>
          <w:szCs w:val="24"/>
          <w:u w:val="single"/>
        </w:rPr>
        <w:t xml:space="preserve">                               </w:t>
      </w:r>
      <w:r>
        <w:rPr>
          <w:rFonts w:hint="eastAsia" w:ascii="宋体" w:hAnsi="宋体" w:eastAsia="宋体" w:cs="宋体"/>
          <w:sz w:val="24"/>
          <w:szCs w:val="24"/>
        </w:rPr>
        <w:t>法人代表：</w:t>
      </w:r>
      <w:r>
        <w:rPr>
          <w:rFonts w:hint="eastAsia" w:ascii="宋体" w:hAnsi="宋体" w:eastAsia="宋体" w:cs="宋体"/>
          <w:sz w:val="24"/>
          <w:szCs w:val="24"/>
          <w:u w:val="single"/>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在本项目标段招投标活动中，我公司（单位）自愿作出以下投标信用承诺：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（一）能严格遵守法律法规、职业道德和行业规范。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lang w:eastAsia="zh-CN"/>
        </w:rPr>
        <w:t>谈判文件</w:t>
      </w:r>
      <w:r>
        <w:rPr>
          <w:rFonts w:hint="eastAsia" w:ascii="宋体" w:hAnsi="宋体" w:eastAsia="宋体" w:cs="宋体"/>
          <w:sz w:val="24"/>
          <w:szCs w:val="24"/>
        </w:rPr>
        <w:t>和投标文件与招标人签订合同；在签订合同时向招标人提出附加条件、或者改变投标文件的实质性内容；放弃中标；不按照</w:t>
      </w:r>
      <w:r>
        <w:rPr>
          <w:rFonts w:hint="eastAsia" w:ascii="宋体" w:hAnsi="宋体" w:eastAsia="宋体" w:cs="宋体"/>
          <w:sz w:val="24"/>
          <w:szCs w:val="24"/>
          <w:lang w:eastAsia="zh-CN"/>
        </w:rPr>
        <w:t>谈判文件</w:t>
      </w:r>
      <w:r>
        <w:rPr>
          <w:rFonts w:hint="eastAsia" w:ascii="宋体" w:hAnsi="宋体" w:eastAsia="宋体" w:cs="宋体"/>
          <w:sz w:val="24"/>
          <w:szCs w:val="24"/>
        </w:rPr>
        <w:t>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p>
    <w:p>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法定代表人（签章）：                           投标人（盖章）：</w:t>
      </w:r>
    </w:p>
    <w:p>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sz w:val="24"/>
          <w:szCs w:val="24"/>
        </w:rPr>
      </w:pPr>
    </w:p>
    <w:p>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宋体" w:hAnsi="宋体" w:eastAsia="宋体" w:cs="宋体"/>
          <w:sz w:val="24"/>
          <w:szCs w:val="24"/>
        </w:rPr>
      </w:pPr>
      <w:r>
        <w:rPr>
          <w:rFonts w:hint="eastAsia" w:ascii="宋体" w:hAnsi="宋体" w:eastAsia="宋体" w:cs="宋体"/>
          <w:sz w:val="24"/>
          <w:szCs w:val="24"/>
        </w:rPr>
        <w:t>承诺时间：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1"/>
          <w:szCs w:val="21"/>
        </w:rPr>
      </w:pPr>
      <w:r>
        <w:rPr>
          <w:rFonts w:hint="eastAsia" w:ascii="宋体" w:hAnsi="宋体" w:eastAsia="宋体" w:cs="宋体"/>
          <w:b/>
          <w:sz w:val="21"/>
          <w:szCs w:val="21"/>
        </w:rPr>
        <w:t>说明：本承诺书效力和作用等同投标保证金，其有效期与投标有效期一致。</w:t>
      </w:r>
      <w:r>
        <w:rPr>
          <w:rFonts w:hint="eastAsia" w:ascii="宋体" w:hAnsi="宋体" w:eastAsia="宋体" w:cs="宋体"/>
          <w:sz w:val="21"/>
          <w:szCs w:val="21"/>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1"/>
          <w:szCs w:val="21"/>
        </w:rPr>
        <w:sectPr>
          <w:pgSz w:w="11906" w:h="16838"/>
          <w:pgMar w:top="1440" w:right="1287" w:bottom="1440" w:left="1440" w:header="850" w:footer="992" w:gutter="0"/>
          <w:pgNumType w:fmt="decimal"/>
          <w:cols w:space="720" w:num="1"/>
          <w:titlePg/>
          <w:docGrid w:linePitch="360" w:charSpace="0"/>
        </w:sectPr>
      </w:pPr>
      <w:r>
        <w:rPr>
          <w:rFonts w:hint="eastAsia" w:ascii="宋体" w:hAnsi="宋体" w:eastAsia="宋体" w:cs="宋体"/>
          <w:b/>
          <w:bCs/>
          <w:sz w:val="21"/>
          <w:szCs w:val="21"/>
        </w:rPr>
        <w:t>注：</w:t>
      </w:r>
      <w:r>
        <w:rPr>
          <w:rFonts w:hint="eastAsia" w:ascii="宋体" w:hAnsi="宋体" w:eastAsia="宋体" w:cs="宋体"/>
          <w:sz w:val="21"/>
          <w:szCs w:val="21"/>
        </w:rPr>
        <w:t>此承诺书除附在投标文件中外还须上传至“信用中国（陕西榆林）”网站投标人自主上报信用承诺书附件。（须后附截图）</w:t>
      </w:r>
    </w:p>
    <w:p>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投标人委托代理人员信用承诺书</w:t>
      </w: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u w:val="single"/>
        </w:rPr>
        <w:t xml:space="preserve">                     </w:t>
      </w:r>
      <w:r>
        <w:rPr>
          <w:rFonts w:hint="eastAsia" w:ascii="宋体" w:hAnsi="宋体" w:eastAsia="宋体" w:cs="宋体"/>
          <w:sz w:val="24"/>
          <w:szCs w:val="24"/>
        </w:rPr>
        <w:t>项目招投标活动中，我个人郑重作出以下信用承诺：</w:t>
      </w:r>
    </w:p>
    <w:p>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rPr>
      </w:pPr>
      <w:r>
        <w:rPr>
          <w:rFonts w:hint="eastAsia" w:ascii="宋体" w:hAnsi="宋体" w:eastAsia="宋体" w:cs="宋体"/>
          <w:sz w:val="24"/>
          <w:szCs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rPr>
      </w:pPr>
      <w:r>
        <w:rPr>
          <w:rFonts w:hint="eastAsia" w:ascii="宋体" w:hAnsi="宋体" w:eastAsia="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lang w:eastAsia="zh-CN"/>
        </w:rPr>
        <w:t>谈判文件</w:t>
      </w:r>
      <w:r>
        <w:rPr>
          <w:rFonts w:hint="eastAsia" w:ascii="宋体" w:hAnsi="宋体" w:eastAsia="宋体" w:cs="宋体"/>
          <w:sz w:val="24"/>
          <w:szCs w:val="24"/>
        </w:rPr>
        <w:t>和投标文件与招标人签订合同；在签订合同时向招标人提出附加条件、或者改变投标文件的实质性内容；放弃中标；不按照</w:t>
      </w:r>
      <w:r>
        <w:rPr>
          <w:rFonts w:hint="eastAsia" w:ascii="宋体" w:hAnsi="宋体" w:eastAsia="宋体" w:cs="宋体"/>
          <w:sz w:val="24"/>
          <w:szCs w:val="24"/>
          <w:lang w:eastAsia="zh-CN"/>
        </w:rPr>
        <w:t>谈判文件</w:t>
      </w:r>
      <w:r>
        <w:rPr>
          <w:rFonts w:hint="eastAsia" w:ascii="宋体" w:hAnsi="宋体" w:eastAsia="宋体" w:cs="宋体"/>
          <w:sz w:val="24"/>
          <w:szCs w:val="24"/>
        </w:rPr>
        <w:t>的规定提交履约保证金。5.招投标法规定的其它违法违规行为。</w:t>
      </w:r>
    </w:p>
    <w:p>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（三）自愿接受招投标监督部门和有关行政监督部门的依法检查。</w:t>
      </w: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rPr>
      </w:pPr>
      <w:r>
        <w:rPr>
          <w:rFonts w:hint="eastAsia" w:ascii="宋体" w:hAnsi="宋体" w:eastAsia="宋体" w:cs="宋体"/>
          <w:sz w:val="24"/>
          <w:szCs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rPr>
      </w:pPr>
      <w:r>
        <w:rPr>
          <w:rFonts w:hint="eastAsia" w:ascii="宋体" w:hAnsi="宋体" w:eastAsia="宋体" w:cs="宋体"/>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u w:val="single"/>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p>
    <w:p>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u w:val="single"/>
        </w:rPr>
      </w:pPr>
      <w:r>
        <w:rPr>
          <w:rFonts w:hint="eastAsia" w:ascii="宋体" w:hAnsi="宋体" w:eastAsia="宋体" w:cs="宋体"/>
          <w:sz w:val="24"/>
          <w:szCs w:val="24"/>
        </w:rPr>
        <w:t>承诺人（签字）：</w:t>
      </w:r>
      <w:r>
        <w:rPr>
          <w:rFonts w:hint="eastAsia" w:ascii="宋体" w:hAnsi="宋体" w:eastAsia="宋体" w:cs="宋体"/>
          <w:sz w:val="24"/>
          <w:szCs w:val="24"/>
          <w:u w:val="single"/>
        </w:rPr>
        <w:t xml:space="preserve">                 </w:t>
      </w:r>
    </w:p>
    <w:p>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rPr>
      </w:pPr>
      <w:r>
        <w:rPr>
          <w:rFonts w:hint="eastAsia" w:ascii="宋体" w:hAnsi="宋体" w:eastAsia="宋体" w:cs="宋体"/>
          <w:sz w:val="24"/>
          <w:szCs w:val="24"/>
        </w:rPr>
        <w:t>承诺时间：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23"/>
        <w:keepNext w:val="0"/>
        <w:keepLines w:val="0"/>
        <w:pageBreakBefore w:val="0"/>
        <w:kinsoku/>
        <w:wordWrap/>
        <w:overflowPunct/>
        <w:topLinePunct w:val="0"/>
        <w:autoSpaceDE/>
        <w:autoSpaceDN/>
        <w:bidi w:val="0"/>
        <w:snapToGrid/>
        <w:spacing w:line="360" w:lineRule="auto"/>
        <w:ind w:firstLine="180"/>
        <w:outlineLvl w:val="9"/>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b/>
          <w:bCs/>
          <w:sz w:val="24"/>
          <w:szCs w:val="24"/>
        </w:rPr>
      </w:pPr>
    </w:p>
    <w:p>
      <w:pPr>
        <w:pStyle w:val="10"/>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lang w:eastAsia="zh-CN"/>
        </w:rPr>
      </w:pPr>
      <w:r>
        <w:rPr>
          <w:rFonts w:hint="eastAsia" w:ascii="宋体" w:hAnsi="宋体" w:eastAsia="宋体" w:cs="宋体"/>
          <w:b/>
          <w:bCs/>
          <w:sz w:val="21"/>
          <w:szCs w:val="21"/>
        </w:rPr>
        <w:t>注：</w:t>
      </w:r>
      <w:r>
        <w:rPr>
          <w:rFonts w:hint="eastAsia" w:ascii="宋体" w:hAnsi="宋体" w:eastAsia="宋体" w:cs="宋体"/>
          <w:sz w:val="21"/>
          <w:szCs w:val="21"/>
        </w:rPr>
        <w:t>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pPr>
        <w:outlineLvl w:val="9"/>
        <w:rPr>
          <w:rFonts w:hint="eastAsia" w:ascii="宋体" w:hAnsi="宋体" w:eastAsia="宋体" w:cs="宋体"/>
          <w:lang w:eastAsia="zh-CN"/>
        </w:rPr>
        <w:sectPr>
          <w:pgSz w:w="11906" w:h="16838"/>
          <w:pgMar w:top="1440" w:right="1287" w:bottom="1440" w:left="1440" w:header="850" w:footer="992" w:gutter="0"/>
          <w:pgNumType w:fmt="decimal"/>
          <w:cols w:space="720" w:num="1"/>
          <w:titlePg/>
          <w:docGrid w:linePitch="360" w:charSpace="0"/>
        </w:sectPr>
      </w:pPr>
    </w:p>
    <w:p>
      <w:pPr>
        <w:spacing w:line="360" w:lineRule="atLeast"/>
        <w:ind w:firstLine="723" w:firstLineChars="200"/>
        <w:jc w:val="center"/>
        <w:outlineLvl w:val="1"/>
        <w:rPr>
          <w:rFonts w:hint="eastAsia" w:ascii="宋体" w:hAnsi="宋体" w:cs="宋体"/>
          <w:b/>
          <w:bCs/>
          <w:sz w:val="36"/>
          <w:szCs w:val="36"/>
        </w:rPr>
      </w:pPr>
      <w:bookmarkStart w:id="319" w:name="_Toc10654"/>
      <w:bookmarkStart w:id="320" w:name="_Toc30459"/>
      <w:r>
        <w:rPr>
          <w:rFonts w:hint="eastAsia" w:ascii="宋体" w:hAnsi="宋体" w:cs="宋体"/>
          <w:b/>
          <w:bCs/>
          <w:sz w:val="36"/>
          <w:szCs w:val="36"/>
          <w:lang w:val="en-US" w:eastAsia="zh-CN"/>
        </w:rPr>
        <w:t>五</w:t>
      </w:r>
      <w:r>
        <w:rPr>
          <w:rFonts w:hint="eastAsia" w:ascii="宋体" w:hAnsi="宋体" w:cs="宋体"/>
          <w:b/>
          <w:bCs/>
          <w:sz w:val="36"/>
          <w:szCs w:val="36"/>
        </w:rPr>
        <w:t>、供应商参加政府采购活动承诺书</w:t>
      </w:r>
      <w:bookmarkEnd w:id="319"/>
      <w:bookmarkEnd w:id="320"/>
    </w:p>
    <w:p>
      <w:pPr>
        <w:pStyle w:val="48"/>
        <w:outlineLvl w:val="9"/>
        <w:rPr>
          <w:rFonts w:hint="eastAsia" w:ascii="宋体" w:hAnsi="宋体" w:cs="宋体"/>
        </w:rPr>
      </w:pPr>
    </w:p>
    <w:p>
      <w:pPr>
        <w:pStyle w:val="14"/>
        <w:spacing w:line="360" w:lineRule="auto"/>
        <w:jc w:val="center"/>
        <w:outlineLvl w:val="9"/>
        <w:rPr>
          <w:rFonts w:hAnsi="宋体" w:cs="宋体"/>
          <w:b/>
          <w:sz w:val="32"/>
        </w:rPr>
      </w:pPr>
      <w:r>
        <w:rPr>
          <w:rFonts w:hAnsi="宋体" w:cs="宋体"/>
          <w:b/>
          <w:sz w:val="32"/>
        </w:rPr>
        <w:t>承诺书</w:t>
      </w:r>
      <w:r>
        <w:rPr>
          <w:rFonts w:hAnsi="宋体" w:cs="宋体"/>
          <w:b/>
          <w:sz w:val="32"/>
          <w:szCs w:val="32"/>
        </w:rPr>
        <w:t>Ⅰ</w:t>
      </w:r>
    </w:p>
    <w:p>
      <w:pPr>
        <w:outlineLvl w:val="9"/>
        <w:rPr>
          <w:rFonts w:hint="eastAsia" w:ascii="宋体" w:hAnsi="宋体" w:cs="宋体"/>
        </w:rPr>
      </w:pP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为响应党中央、国务院关于治理政府采购领域商业贿赂行为的号召，我公司在此庄严承诺：</w:t>
      </w: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1、在参与政府采购活动中遵纪守法、诚信经营、公平竞标。</w:t>
      </w: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2、不向政府采购人、采购代理机构和政府采购评审专家进行任何形式的商业贿赂以谋取交易机会。</w:t>
      </w: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3、不向政府采购代理机构和采购人提供虚假资质文件或采用虚假应标方式参与政府采购市场竞争并谋取中标、成交。</w:t>
      </w: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4、不采取“围标、陪标”等商业欺诈手段获得政府采购定单。</w:t>
      </w: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5、不采取不正当手段诋毁、排挤其他供应商。</w:t>
      </w: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6、不在提供商品和服务时“偷梁换柱、以次充好”损害采购人的合法权益。</w:t>
      </w: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7、不与采购人、采购代理机构政府采购评审专家或其它供应商恶意串通，进行质疑和投诉，维护政府采购市场秩序。</w:t>
      </w: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8、尊重和接受政府采购监督管理部门的监督和政府采购代理机构招标采购要求，承担因违约行为给采购人造成的损失。</w:t>
      </w:r>
    </w:p>
    <w:p>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9、不发生其他有悖于政府采购公开、公平、公正和诚信原则的行为。</w:t>
      </w:r>
    </w:p>
    <w:p>
      <w:pPr>
        <w:pStyle w:val="10"/>
        <w:outlineLvl w:val="9"/>
        <w:rPr>
          <w:rFonts w:hint="eastAsia"/>
          <w:lang w:eastAsia="zh-CN"/>
        </w:rPr>
      </w:pPr>
    </w:p>
    <w:p>
      <w:pPr>
        <w:widowControl/>
        <w:spacing w:line="360" w:lineRule="auto"/>
        <w:ind w:left="239" w:leftChars="114"/>
        <w:jc w:val="left"/>
        <w:outlineLvl w:val="9"/>
        <w:rPr>
          <w:rFonts w:hint="eastAsia" w:ascii="宋体" w:hAnsi="宋体" w:eastAsia="宋体" w:cs="宋体"/>
          <w:kern w:val="0"/>
          <w:sz w:val="24"/>
          <w:lang w:eastAsia="zh-CN"/>
        </w:rPr>
      </w:pPr>
      <w:r>
        <w:rPr>
          <w:rFonts w:hint="eastAsia" w:ascii="宋体" w:hAnsi="宋体" w:eastAsia="宋体" w:cs="宋体"/>
          <w:kern w:val="0"/>
          <w:sz w:val="24"/>
        </w:rPr>
        <w:t>承诺单位名称：</w:t>
      </w:r>
      <w:r>
        <w:rPr>
          <w:rFonts w:hint="eastAsia" w:ascii="宋体" w:hAnsi="宋体" w:eastAsia="宋体" w:cs="宋体"/>
          <w:kern w:val="0"/>
          <w:sz w:val="24"/>
          <w:u w:val="single"/>
        </w:rPr>
        <w:t xml:space="preserve">             </w:t>
      </w:r>
      <w:r>
        <w:rPr>
          <w:rFonts w:hint="eastAsia" w:ascii="宋体" w:hAnsi="宋体" w:eastAsia="宋体" w:cs="宋体"/>
          <w:kern w:val="0"/>
          <w:sz w:val="24"/>
        </w:rPr>
        <w:t>（盖章）</w:t>
      </w:r>
    </w:p>
    <w:p>
      <w:pPr>
        <w:widowControl/>
        <w:spacing w:line="360" w:lineRule="auto"/>
        <w:ind w:left="239" w:leftChars="114"/>
        <w:jc w:val="left"/>
        <w:outlineLvl w:val="9"/>
        <w:rPr>
          <w:rFonts w:hint="eastAsia" w:ascii="宋体" w:hAnsi="宋体" w:eastAsia="宋体" w:cs="宋体"/>
          <w:kern w:val="0"/>
          <w:sz w:val="24"/>
          <w:lang w:eastAsia="zh-CN"/>
        </w:rPr>
      </w:pPr>
      <w:r>
        <w:rPr>
          <w:rFonts w:hint="eastAsia" w:ascii="宋体" w:hAnsi="宋体" w:eastAsia="宋体" w:cs="宋体"/>
          <w:sz w:val="24"/>
          <w:szCs w:val="24"/>
        </w:rPr>
        <w:t>法定代表人/单位负责人/或被授权人签字：</w:t>
      </w:r>
      <w:r>
        <w:rPr>
          <w:rFonts w:hint="eastAsia" w:ascii="宋体" w:hAnsi="宋体" w:cs="宋体"/>
          <w:sz w:val="24"/>
          <w:szCs w:val="24"/>
          <w:u w:val="single"/>
          <w:lang w:val="en-US" w:eastAsia="zh-CN"/>
        </w:rPr>
        <w:t xml:space="preserve">           </w:t>
      </w:r>
      <w:r>
        <w:rPr>
          <w:rFonts w:hint="eastAsia" w:ascii="宋体" w:hAnsi="宋体" w:eastAsia="宋体" w:cs="宋体"/>
          <w:kern w:val="0"/>
          <w:sz w:val="24"/>
        </w:rPr>
        <w:t>（签字）</w:t>
      </w:r>
    </w:p>
    <w:p>
      <w:pPr>
        <w:widowControl/>
        <w:spacing w:line="360" w:lineRule="auto"/>
        <w:ind w:left="239" w:leftChars="114"/>
        <w:jc w:val="left"/>
        <w:outlineLvl w:val="9"/>
        <w:rPr>
          <w:rFonts w:hint="eastAsia" w:ascii="宋体" w:hAnsi="宋体" w:eastAsia="宋体" w:cs="宋体"/>
          <w:kern w:val="0"/>
          <w:sz w:val="24"/>
        </w:rPr>
      </w:pPr>
      <w:r>
        <w:rPr>
          <w:rFonts w:hint="eastAsia" w:ascii="宋体" w:hAnsi="宋体" w:eastAsia="宋体" w:cs="宋体"/>
          <w:kern w:val="0"/>
          <w:sz w:val="24"/>
        </w:rPr>
        <w:t>地  址：</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rPr>
        <w:t>                     </w:t>
      </w:r>
    </w:p>
    <w:p>
      <w:pPr>
        <w:widowControl/>
        <w:spacing w:line="360" w:lineRule="auto"/>
        <w:ind w:left="239" w:leftChars="114"/>
        <w:jc w:val="left"/>
        <w:outlineLvl w:val="9"/>
        <w:rPr>
          <w:rFonts w:hint="eastAsia" w:ascii="宋体" w:hAnsi="宋体" w:eastAsia="宋体" w:cs="宋体"/>
          <w:kern w:val="0"/>
          <w:sz w:val="24"/>
          <w:lang w:eastAsia="zh-CN"/>
        </w:rPr>
      </w:pPr>
      <w:r>
        <w:rPr>
          <w:rFonts w:hint="eastAsia" w:ascii="宋体" w:hAnsi="宋体" w:eastAsia="宋体" w:cs="宋体"/>
          <w:kern w:val="0"/>
          <w:sz w:val="24"/>
        </w:rPr>
        <w:t>邮  编：</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 xml:space="preserve">        </w:t>
      </w:r>
    </w:p>
    <w:p>
      <w:pPr>
        <w:widowControl/>
        <w:spacing w:line="360" w:lineRule="auto"/>
        <w:ind w:left="239" w:leftChars="114"/>
        <w:jc w:val="left"/>
        <w:outlineLvl w:val="9"/>
        <w:rPr>
          <w:rFonts w:hint="eastAsia" w:ascii="宋体" w:hAnsi="宋体" w:eastAsia="宋体" w:cs="宋体"/>
          <w:kern w:val="0"/>
          <w:sz w:val="24"/>
        </w:rPr>
      </w:pPr>
      <w:r>
        <w:rPr>
          <w:rFonts w:hint="eastAsia" w:ascii="宋体" w:hAnsi="宋体" w:eastAsia="宋体" w:cs="宋体"/>
          <w:kern w:val="0"/>
          <w:sz w:val="24"/>
        </w:rPr>
        <w:t>电  话：</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rPr>
        <w:t>   </w:t>
      </w:r>
    </w:p>
    <w:p>
      <w:pPr>
        <w:spacing w:line="360" w:lineRule="atLeast"/>
        <w:ind w:firstLine="240" w:firstLineChars="100"/>
        <w:jc w:val="both"/>
        <w:outlineLvl w:val="9"/>
        <w:rPr>
          <w:rFonts w:hint="eastAsia" w:ascii="宋体" w:hAnsi="宋体" w:cs="宋体"/>
          <w:b/>
          <w:sz w:val="32"/>
          <w:szCs w:val="32"/>
        </w:rPr>
      </w:pPr>
      <w:r>
        <w:rPr>
          <w:rFonts w:hint="eastAsia" w:ascii="宋体" w:hAnsi="宋体" w:cs="宋体"/>
          <w:kern w:val="0"/>
          <w:sz w:val="24"/>
          <w:lang w:val="en-US" w:eastAsia="zh-CN"/>
        </w:rPr>
        <w:t>日    期：</w:t>
      </w:r>
      <w:r>
        <w:rPr>
          <w:rFonts w:hint="eastAsia" w:ascii="宋体" w:hAnsi="宋体" w:eastAsia="宋体" w:cs="宋体"/>
          <w:kern w:val="0"/>
          <w:sz w:val="24"/>
          <w:u w:val="single"/>
        </w:rPr>
        <w:t>       </w:t>
      </w:r>
      <w:r>
        <w:rPr>
          <w:rFonts w:hint="eastAsia" w:ascii="宋体" w:hAnsi="宋体" w:eastAsia="宋体" w:cs="宋体"/>
          <w:kern w:val="0"/>
          <w:sz w:val="24"/>
        </w:rPr>
        <w:t>            </w:t>
      </w:r>
    </w:p>
    <w:p>
      <w:pPr>
        <w:spacing w:line="360" w:lineRule="atLeast"/>
        <w:jc w:val="center"/>
        <w:outlineLvl w:val="9"/>
        <w:rPr>
          <w:rFonts w:hint="eastAsia" w:ascii="宋体" w:hAnsi="宋体" w:cs="宋体"/>
          <w:b/>
          <w:sz w:val="32"/>
          <w:szCs w:val="32"/>
        </w:rPr>
      </w:pPr>
    </w:p>
    <w:p>
      <w:pPr>
        <w:spacing w:line="360" w:lineRule="atLeast"/>
        <w:jc w:val="center"/>
        <w:outlineLvl w:val="9"/>
        <w:rPr>
          <w:rFonts w:hint="eastAsia" w:ascii="宋体" w:hAnsi="宋体" w:cs="宋体"/>
          <w:b/>
          <w:sz w:val="32"/>
          <w:szCs w:val="32"/>
        </w:rPr>
      </w:pPr>
    </w:p>
    <w:p>
      <w:pPr>
        <w:spacing w:line="360" w:lineRule="atLeast"/>
        <w:jc w:val="center"/>
        <w:outlineLvl w:val="9"/>
        <w:rPr>
          <w:rFonts w:hint="eastAsia" w:ascii="宋体" w:hAnsi="宋体" w:cs="宋体"/>
          <w:b/>
          <w:sz w:val="32"/>
          <w:szCs w:val="32"/>
        </w:rPr>
      </w:pPr>
    </w:p>
    <w:p>
      <w:pPr>
        <w:spacing w:line="360" w:lineRule="atLeast"/>
        <w:jc w:val="center"/>
        <w:outlineLvl w:val="9"/>
        <w:rPr>
          <w:rFonts w:hint="eastAsia" w:ascii="宋体" w:hAnsi="宋体" w:cs="宋体"/>
          <w:b/>
          <w:sz w:val="32"/>
          <w:szCs w:val="32"/>
        </w:rPr>
      </w:pPr>
    </w:p>
    <w:p>
      <w:pPr>
        <w:spacing w:line="360" w:lineRule="atLeast"/>
        <w:jc w:val="center"/>
        <w:outlineLvl w:val="9"/>
        <w:rPr>
          <w:rFonts w:hint="eastAsia" w:ascii="宋体" w:hAnsi="宋体" w:cs="宋体"/>
          <w:b/>
          <w:sz w:val="32"/>
          <w:szCs w:val="32"/>
        </w:rPr>
      </w:pPr>
    </w:p>
    <w:p>
      <w:pPr>
        <w:spacing w:line="360" w:lineRule="atLeast"/>
        <w:jc w:val="center"/>
        <w:outlineLvl w:val="9"/>
        <w:rPr>
          <w:rFonts w:hint="eastAsia" w:ascii="宋体" w:hAnsi="宋体" w:cs="宋体"/>
          <w:b/>
          <w:sz w:val="32"/>
          <w:szCs w:val="32"/>
        </w:rPr>
      </w:pPr>
      <w:r>
        <w:rPr>
          <w:rFonts w:hint="eastAsia" w:ascii="宋体" w:hAnsi="宋体" w:cs="宋体"/>
          <w:b/>
          <w:sz w:val="32"/>
          <w:szCs w:val="32"/>
        </w:rPr>
        <w:t>承诺书Ⅱ</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outlineLvl w:val="9"/>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陕西华旭晟信项目管理有限责任公司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hint="eastAsia" w:ascii="宋体" w:hAnsi="宋体" w:cs="宋体"/>
                <w:sz w:val="24"/>
              </w:rPr>
            </w:pPr>
            <w:r>
              <w:rPr>
                <w:rFonts w:hint="eastAsia" w:ascii="宋体" w:hAnsi="宋体" w:cs="宋体"/>
                <w:sz w:val="24"/>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投标单位</w:t>
            </w:r>
          </w:p>
        </w:tc>
        <w:tc>
          <w:tcPr>
            <w:tcW w:w="342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法定代表人</w:t>
            </w:r>
          </w:p>
        </w:tc>
        <w:tc>
          <w:tcPr>
            <w:tcW w:w="23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（公章）</w:t>
            </w:r>
          </w:p>
        </w:tc>
        <w:tc>
          <w:tcPr>
            <w:tcW w:w="342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（签字或盖章）</w:t>
            </w:r>
          </w:p>
        </w:tc>
        <w:tc>
          <w:tcPr>
            <w:tcW w:w="2340" w:type="dxa"/>
            <w:noWrap w:val="0"/>
            <w:vAlign w:val="center"/>
          </w:tcPr>
          <w:p>
            <w:pPr>
              <w:spacing w:line="360" w:lineRule="atLeast"/>
              <w:ind w:firstLine="240" w:firstLineChars="100"/>
              <w:jc w:val="center"/>
              <w:outlineLvl w:val="9"/>
              <w:rPr>
                <w:rFonts w:hint="eastAsia" w:ascii="宋体" w:hAnsi="宋体" w:cs="宋体"/>
                <w:sz w:val="24"/>
              </w:rPr>
            </w:pPr>
            <w:r>
              <w:rPr>
                <w:rFonts w:hint="eastAsia" w:ascii="宋体" w:hAnsi="宋体" w:cs="宋体"/>
                <w:sz w:val="24"/>
              </w:rPr>
              <w:t>年  月  日</w:t>
            </w:r>
          </w:p>
        </w:tc>
      </w:tr>
    </w:tbl>
    <w:p>
      <w:pPr>
        <w:spacing w:line="360" w:lineRule="atLeast"/>
        <w:outlineLvl w:val="9"/>
        <w:rPr>
          <w:rFonts w:hint="eastAsia" w:ascii="宋体" w:hAnsi="宋体" w:cs="宋体"/>
          <w:b/>
          <w:sz w:val="42"/>
          <w:szCs w:val="42"/>
        </w:rPr>
      </w:pPr>
    </w:p>
    <w:p>
      <w:pPr>
        <w:outlineLvl w:val="9"/>
        <w:rPr>
          <w:rFonts w:hint="eastAsia" w:ascii="宋体" w:hAnsi="宋体" w:cs="宋体"/>
          <w:b/>
          <w:sz w:val="42"/>
          <w:szCs w:val="42"/>
        </w:rPr>
      </w:pPr>
    </w:p>
    <w:p>
      <w:pPr>
        <w:spacing w:line="360" w:lineRule="atLeast"/>
        <w:jc w:val="center"/>
        <w:outlineLvl w:val="9"/>
        <w:rPr>
          <w:rFonts w:hint="eastAsia" w:ascii="宋体" w:hAnsi="宋体" w:cs="宋体"/>
          <w:b/>
          <w:sz w:val="32"/>
          <w:szCs w:val="32"/>
        </w:rPr>
      </w:pPr>
      <w:r>
        <w:rPr>
          <w:rFonts w:hint="eastAsia" w:ascii="宋体" w:hAnsi="宋体" w:cs="宋体"/>
          <w:b/>
          <w:sz w:val="32"/>
          <w:szCs w:val="32"/>
        </w:rPr>
        <w:t>承诺书Ⅲ</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outlineLvl w:val="9"/>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陕西华旭晟信项目管理有限责任公司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hint="eastAsia" w:ascii="宋体" w:hAnsi="宋体" w:cs="宋体"/>
                <w:sz w:val="24"/>
              </w:rPr>
            </w:pPr>
            <w:r>
              <w:rPr>
                <w:rFonts w:hint="eastAsia" w:ascii="宋体" w:hAnsi="宋体" w:cs="宋体"/>
                <w:sz w:val="24"/>
              </w:rPr>
              <w:t>作为参加贵公司组织的招标采购项目的投标单位，本公司郑重申告并承诺：近三年受到有关行政主管部门的行政处理、不良行为记录为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投标单位</w:t>
            </w:r>
          </w:p>
        </w:tc>
        <w:tc>
          <w:tcPr>
            <w:tcW w:w="342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法定代表人</w:t>
            </w:r>
          </w:p>
        </w:tc>
        <w:tc>
          <w:tcPr>
            <w:tcW w:w="23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（公章）</w:t>
            </w:r>
          </w:p>
        </w:tc>
        <w:tc>
          <w:tcPr>
            <w:tcW w:w="342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（签字或盖章）</w:t>
            </w:r>
          </w:p>
        </w:tc>
        <w:tc>
          <w:tcPr>
            <w:tcW w:w="2340" w:type="dxa"/>
            <w:noWrap w:val="0"/>
            <w:vAlign w:val="center"/>
          </w:tcPr>
          <w:p>
            <w:pPr>
              <w:spacing w:line="360" w:lineRule="atLeast"/>
              <w:ind w:firstLine="240" w:firstLineChars="100"/>
              <w:jc w:val="center"/>
              <w:outlineLvl w:val="9"/>
              <w:rPr>
                <w:rFonts w:hint="eastAsia" w:ascii="宋体" w:hAnsi="宋体" w:cs="宋体"/>
                <w:sz w:val="24"/>
              </w:rPr>
            </w:pPr>
            <w:r>
              <w:rPr>
                <w:rFonts w:hint="eastAsia" w:ascii="宋体" w:hAnsi="宋体" w:cs="宋体"/>
                <w:sz w:val="24"/>
              </w:rPr>
              <w:t>年  月  日</w:t>
            </w:r>
          </w:p>
        </w:tc>
      </w:tr>
    </w:tbl>
    <w:p>
      <w:pPr>
        <w:spacing w:line="360" w:lineRule="atLeast"/>
        <w:outlineLvl w:val="9"/>
        <w:rPr>
          <w:rFonts w:hint="eastAsia" w:ascii="宋体" w:hAnsi="宋体" w:cs="宋体"/>
          <w:b/>
          <w:sz w:val="32"/>
          <w:szCs w:val="32"/>
        </w:rPr>
      </w:pPr>
    </w:p>
    <w:p>
      <w:pPr>
        <w:pStyle w:val="10"/>
        <w:outlineLvl w:val="9"/>
        <w:rPr>
          <w:rFonts w:hint="eastAsia" w:ascii="宋体" w:hAnsi="宋体" w:cs="宋体"/>
          <w:sz w:val="32"/>
          <w:szCs w:val="32"/>
        </w:rPr>
      </w:pPr>
    </w:p>
    <w:p>
      <w:pPr>
        <w:spacing w:line="360" w:lineRule="atLeast"/>
        <w:jc w:val="center"/>
        <w:outlineLvl w:val="9"/>
        <w:rPr>
          <w:rFonts w:hint="eastAsia" w:ascii="宋体" w:hAnsi="宋体" w:cs="宋体"/>
          <w:b/>
          <w:sz w:val="32"/>
          <w:szCs w:val="32"/>
        </w:rPr>
      </w:pPr>
    </w:p>
    <w:p>
      <w:pPr>
        <w:spacing w:line="360" w:lineRule="atLeast"/>
        <w:jc w:val="center"/>
        <w:outlineLvl w:val="9"/>
        <w:rPr>
          <w:rFonts w:hint="eastAsia" w:ascii="宋体" w:hAnsi="宋体" w:cs="宋体"/>
          <w:b/>
          <w:sz w:val="32"/>
          <w:szCs w:val="32"/>
        </w:rPr>
      </w:pPr>
    </w:p>
    <w:p>
      <w:pPr>
        <w:spacing w:line="360" w:lineRule="atLeast"/>
        <w:jc w:val="center"/>
        <w:outlineLvl w:val="9"/>
        <w:rPr>
          <w:rFonts w:hint="eastAsia" w:ascii="宋体" w:hAnsi="宋体" w:cs="宋体"/>
          <w:b/>
          <w:sz w:val="32"/>
          <w:szCs w:val="32"/>
        </w:rPr>
      </w:pPr>
      <w:r>
        <w:rPr>
          <w:rFonts w:hint="eastAsia" w:ascii="宋体" w:hAnsi="宋体" w:cs="宋体"/>
          <w:b/>
          <w:sz w:val="32"/>
          <w:szCs w:val="32"/>
        </w:rPr>
        <w:t>承诺书Ⅳ</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outlineLvl w:val="9"/>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陕西华旭晟信项目管理有限责任公司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hint="eastAsia" w:ascii="宋体" w:hAnsi="宋体" w:cs="宋体"/>
                <w:sz w:val="24"/>
              </w:rPr>
            </w:pPr>
            <w:r>
              <w:rPr>
                <w:rFonts w:hint="eastAsia" w:ascii="宋体" w:hAnsi="宋体" w:cs="宋体"/>
                <w:sz w:val="24"/>
              </w:rPr>
              <w:t>作为参加贵公司组织的招标采购项目的投标单位，本公司郑重申告：近三年因项目质量问题的不法行为记录为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投标单位</w:t>
            </w:r>
          </w:p>
        </w:tc>
        <w:tc>
          <w:tcPr>
            <w:tcW w:w="342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法定代表人</w:t>
            </w:r>
          </w:p>
        </w:tc>
        <w:tc>
          <w:tcPr>
            <w:tcW w:w="23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（公章）</w:t>
            </w:r>
          </w:p>
        </w:tc>
        <w:tc>
          <w:tcPr>
            <w:tcW w:w="342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（签字或盖章）</w:t>
            </w:r>
          </w:p>
        </w:tc>
        <w:tc>
          <w:tcPr>
            <w:tcW w:w="2340" w:type="dxa"/>
            <w:noWrap w:val="0"/>
            <w:vAlign w:val="center"/>
          </w:tcPr>
          <w:p>
            <w:pPr>
              <w:spacing w:line="360" w:lineRule="atLeast"/>
              <w:ind w:firstLine="240" w:firstLineChars="100"/>
              <w:jc w:val="center"/>
              <w:outlineLvl w:val="9"/>
              <w:rPr>
                <w:rFonts w:hint="eastAsia" w:ascii="宋体" w:hAnsi="宋体" w:cs="宋体"/>
                <w:sz w:val="24"/>
              </w:rPr>
            </w:pPr>
            <w:r>
              <w:rPr>
                <w:rFonts w:hint="eastAsia" w:ascii="宋体" w:hAnsi="宋体" w:cs="宋体"/>
                <w:sz w:val="24"/>
              </w:rPr>
              <w:t>年  月  日</w:t>
            </w:r>
          </w:p>
        </w:tc>
      </w:tr>
    </w:tbl>
    <w:p>
      <w:pPr>
        <w:spacing w:line="360" w:lineRule="auto"/>
        <w:ind w:right="480"/>
        <w:outlineLvl w:val="9"/>
        <w:rPr>
          <w:rFonts w:hint="eastAsia" w:ascii="宋体" w:hAnsi="宋体" w:cs="宋体"/>
          <w:sz w:val="24"/>
          <w:szCs w:val="28"/>
        </w:rPr>
      </w:pPr>
    </w:p>
    <w:p>
      <w:pPr>
        <w:spacing w:line="360" w:lineRule="atLeast"/>
        <w:jc w:val="center"/>
        <w:outlineLvl w:val="9"/>
        <w:rPr>
          <w:rFonts w:hint="eastAsia" w:ascii="宋体" w:hAnsi="宋体" w:cs="宋体"/>
          <w:b/>
          <w:sz w:val="32"/>
          <w:szCs w:val="32"/>
        </w:rPr>
      </w:pPr>
      <w:bookmarkStart w:id="321" w:name="_Toc27080"/>
      <w:r>
        <w:rPr>
          <w:rFonts w:hint="eastAsia" w:ascii="宋体" w:hAnsi="宋体" w:cs="宋体"/>
          <w:b/>
          <w:sz w:val="32"/>
          <w:szCs w:val="32"/>
        </w:rPr>
        <w:t>承诺书</w:t>
      </w:r>
      <w:r>
        <w:rPr>
          <w:rFonts w:hint="eastAsia" w:ascii="宋体" w:hAnsi="宋体" w:cs="宋体"/>
          <w:b/>
          <w:sz w:val="36"/>
          <w:szCs w:val="36"/>
        </w:rPr>
        <w:fldChar w:fldCharType="begin"/>
      </w:r>
      <w:r>
        <w:rPr>
          <w:rFonts w:hint="eastAsia" w:ascii="宋体" w:hAnsi="宋体" w:cs="宋体"/>
          <w:b/>
          <w:sz w:val="36"/>
          <w:szCs w:val="36"/>
        </w:rPr>
        <w:instrText xml:space="preserve"> = 5 \* ROMAN </w:instrText>
      </w:r>
      <w:r>
        <w:rPr>
          <w:rFonts w:hint="eastAsia" w:ascii="宋体" w:hAnsi="宋体" w:cs="宋体"/>
          <w:b/>
          <w:sz w:val="36"/>
          <w:szCs w:val="36"/>
        </w:rPr>
        <w:fldChar w:fldCharType="separate"/>
      </w:r>
      <w:r>
        <w:rPr>
          <w:rFonts w:hint="eastAsia" w:ascii="宋体" w:hAnsi="宋体" w:cs="宋体"/>
          <w:b/>
          <w:sz w:val="36"/>
          <w:szCs w:val="36"/>
        </w:rPr>
        <w:t>V</w:t>
      </w:r>
      <w:r>
        <w:rPr>
          <w:rFonts w:hint="eastAsia" w:ascii="宋体" w:hAnsi="宋体" w:cs="宋体"/>
          <w:b/>
          <w:sz w:val="36"/>
          <w:szCs w:val="36"/>
        </w:rPr>
        <w:fldChar w:fldCharType="end"/>
      </w:r>
      <w:bookmarkEnd w:id="321"/>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outlineLvl w:val="9"/>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陕西华旭晟信项目管理有限责任公司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hint="eastAsia" w:ascii="宋体" w:hAnsi="宋体" w:cs="宋体"/>
                <w:sz w:val="24"/>
              </w:rPr>
            </w:pPr>
            <w:r>
              <w:rPr>
                <w:rFonts w:hint="eastAsia" w:ascii="宋体" w:hAnsi="宋体" w:cs="宋体"/>
                <w:sz w:val="24"/>
              </w:rPr>
              <w:t>作为参加贵公司组织的招标采购项目的投标单位，本公司承诺：参加本次投标提交的所有资质证明文件及业绩证明是真实的、有效的，如有隐瞒实情，愿承担一切责任及后果。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投标单位</w:t>
            </w:r>
          </w:p>
        </w:tc>
        <w:tc>
          <w:tcPr>
            <w:tcW w:w="342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法定代表人</w:t>
            </w:r>
          </w:p>
        </w:tc>
        <w:tc>
          <w:tcPr>
            <w:tcW w:w="23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（公章）</w:t>
            </w:r>
          </w:p>
        </w:tc>
        <w:tc>
          <w:tcPr>
            <w:tcW w:w="3420" w:type="dxa"/>
            <w:noWrap w:val="0"/>
            <w:vAlign w:val="center"/>
          </w:tcPr>
          <w:p>
            <w:pPr>
              <w:spacing w:line="360" w:lineRule="atLeast"/>
              <w:jc w:val="center"/>
              <w:outlineLvl w:val="9"/>
              <w:rPr>
                <w:rFonts w:hint="eastAsia" w:ascii="宋体" w:hAnsi="宋体" w:cs="宋体"/>
                <w:sz w:val="24"/>
              </w:rPr>
            </w:pPr>
            <w:r>
              <w:rPr>
                <w:rFonts w:hint="eastAsia" w:ascii="宋体" w:hAnsi="宋体" w:cs="宋体"/>
                <w:sz w:val="24"/>
              </w:rPr>
              <w:t>（签字或盖章）</w:t>
            </w:r>
          </w:p>
        </w:tc>
        <w:tc>
          <w:tcPr>
            <w:tcW w:w="2340" w:type="dxa"/>
            <w:noWrap w:val="0"/>
            <w:vAlign w:val="center"/>
          </w:tcPr>
          <w:p>
            <w:pPr>
              <w:spacing w:line="360" w:lineRule="atLeast"/>
              <w:ind w:firstLine="240" w:firstLineChars="100"/>
              <w:jc w:val="center"/>
              <w:outlineLvl w:val="9"/>
              <w:rPr>
                <w:rFonts w:hint="eastAsia" w:ascii="宋体" w:hAnsi="宋体" w:cs="宋体"/>
                <w:sz w:val="24"/>
              </w:rPr>
            </w:pPr>
            <w:r>
              <w:rPr>
                <w:rFonts w:hint="eastAsia" w:ascii="宋体" w:hAnsi="宋体" w:cs="宋体"/>
                <w:sz w:val="24"/>
              </w:rPr>
              <w:t>年  月  日</w:t>
            </w:r>
          </w:p>
        </w:tc>
      </w:tr>
    </w:tbl>
    <w:p>
      <w:pPr>
        <w:outlineLvl w:val="9"/>
        <w:rPr>
          <w:rFonts w:ascii="宋体" w:hAnsi="宋体" w:cs="宋体"/>
          <w:b/>
          <w:sz w:val="24"/>
          <w:szCs w:val="24"/>
          <w:u w:val="single"/>
        </w:rPr>
      </w:pPr>
    </w:p>
    <w:p>
      <w:pPr>
        <w:pStyle w:val="10"/>
        <w:outlineLvl w:val="9"/>
        <w:rPr>
          <w:rFonts w:hint="eastAsia" w:ascii="宋体" w:hAnsi="宋体" w:cs="宋体"/>
          <w:b w:val="0"/>
          <w:sz w:val="24"/>
          <w:szCs w:val="24"/>
          <w:u w:val="single"/>
        </w:rPr>
      </w:pPr>
    </w:p>
    <w:p>
      <w:pPr>
        <w:outlineLvl w:val="9"/>
        <w:rPr>
          <w:rFonts w:hint="eastAsia" w:ascii="宋体" w:hAnsi="宋体" w:cs="宋体"/>
          <w:b/>
          <w:sz w:val="24"/>
          <w:szCs w:val="24"/>
          <w:u w:val="single"/>
        </w:rPr>
      </w:pPr>
    </w:p>
    <w:p>
      <w:pPr>
        <w:pStyle w:val="10"/>
        <w:outlineLvl w:val="9"/>
        <w:rPr>
          <w:rFonts w:hint="eastAsia" w:ascii="宋体" w:hAnsi="宋体" w:cs="宋体"/>
          <w:b w:val="0"/>
          <w:sz w:val="24"/>
          <w:szCs w:val="24"/>
          <w:u w:val="single"/>
        </w:rPr>
      </w:pPr>
    </w:p>
    <w:p>
      <w:pPr>
        <w:outlineLvl w:val="9"/>
        <w:rPr>
          <w:rFonts w:hint="eastAsia" w:ascii="宋体" w:hAnsi="宋体" w:cs="宋体"/>
          <w:b/>
          <w:sz w:val="24"/>
          <w:szCs w:val="24"/>
          <w:u w:val="single"/>
        </w:rPr>
      </w:pPr>
    </w:p>
    <w:p>
      <w:pPr>
        <w:spacing w:line="360" w:lineRule="auto"/>
        <w:jc w:val="center"/>
        <w:outlineLvl w:val="9"/>
        <w:rPr>
          <w:rFonts w:hint="eastAsia" w:ascii="宋体" w:hAnsi="宋体" w:cs="宋体"/>
          <w:b/>
          <w:sz w:val="32"/>
          <w:szCs w:val="32"/>
        </w:rPr>
        <w:sectPr>
          <w:pgSz w:w="11906" w:h="16838"/>
          <w:pgMar w:top="1383" w:right="1383" w:bottom="1383" w:left="1383" w:header="851" w:footer="992" w:gutter="0"/>
          <w:pgNumType w:fmt="decimal"/>
          <w:cols w:space="720" w:num="1"/>
          <w:docGrid w:linePitch="312" w:charSpace="0"/>
        </w:sectPr>
      </w:pPr>
    </w:p>
    <w:p>
      <w:pPr>
        <w:spacing w:line="360" w:lineRule="auto"/>
        <w:jc w:val="center"/>
        <w:outlineLvl w:val="1"/>
        <w:rPr>
          <w:rFonts w:hint="eastAsia" w:ascii="宋体" w:hAnsi="宋体" w:cs="宋体"/>
          <w:b/>
          <w:sz w:val="32"/>
          <w:szCs w:val="32"/>
        </w:rPr>
      </w:pPr>
      <w:bookmarkStart w:id="322" w:name="_Toc21718"/>
      <w:bookmarkStart w:id="323" w:name="_Toc11048"/>
      <w:r>
        <w:rPr>
          <w:rFonts w:hint="eastAsia" w:ascii="宋体" w:hAnsi="宋体" w:cs="宋体"/>
          <w:b/>
          <w:sz w:val="32"/>
          <w:szCs w:val="32"/>
          <w:lang w:val="en-US" w:eastAsia="zh-CN"/>
        </w:rPr>
        <w:t>六</w:t>
      </w:r>
      <w:r>
        <w:rPr>
          <w:rFonts w:hint="eastAsia" w:ascii="宋体" w:hAnsi="宋体" w:cs="宋体"/>
          <w:b/>
          <w:sz w:val="32"/>
          <w:szCs w:val="32"/>
        </w:rPr>
        <w:t>、投标方案</w:t>
      </w:r>
      <w:bookmarkEnd w:id="322"/>
      <w:bookmarkEnd w:id="323"/>
    </w:p>
    <w:p>
      <w:pPr>
        <w:spacing w:line="360" w:lineRule="auto"/>
        <w:ind w:firstLine="241" w:firstLineChars="100"/>
        <w:jc w:val="both"/>
        <w:outlineLvl w:val="9"/>
        <w:rPr>
          <w:rFonts w:hint="eastAsia" w:ascii="宋体" w:hAnsi="宋体" w:eastAsia="宋体" w:cs="宋体"/>
          <w:b/>
          <w:bCs/>
          <w:sz w:val="24"/>
          <w:lang w:val="en-US" w:eastAsia="zh-CN"/>
        </w:rPr>
      </w:pPr>
      <w:r>
        <w:rPr>
          <w:rFonts w:hint="eastAsia" w:ascii="宋体" w:hAnsi="宋体" w:eastAsia="宋体" w:cs="宋体"/>
          <w:b/>
          <w:bCs/>
          <w:sz w:val="24"/>
        </w:rPr>
        <w:t>各投标人根据采购内容及评审办法自主编</w:t>
      </w:r>
      <w:r>
        <w:rPr>
          <w:rFonts w:hint="eastAsia" w:ascii="宋体" w:hAnsi="宋体" w:eastAsia="宋体" w:cs="宋体"/>
          <w:b/>
          <w:bCs/>
          <w:sz w:val="24"/>
          <w:lang w:val="en-US" w:eastAsia="zh-CN"/>
        </w:rPr>
        <w:t>写。</w:t>
      </w: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p>
      <w:pPr>
        <w:pStyle w:val="34"/>
        <w:outlineLvl w:val="9"/>
        <w:rPr>
          <w:rFonts w:hint="eastAsia" w:ascii="宋体" w:hAnsi="宋体" w:eastAsia="宋体" w:cs="宋体"/>
          <w:b/>
          <w:bCs/>
          <w:sz w:val="24"/>
          <w:lang w:val="en-US" w:eastAsia="zh-CN"/>
        </w:rPr>
      </w:pPr>
    </w:p>
    <w:bookmarkEnd w:id="296"/>
    <w:bookmarkEnd w:id="299"/>
    <w:bookmarkEnd w:id="300"/>
    <w:bookmarkEnd w:id="301"/>
    <w:p>
      <w:pPr>
        <w:numPr>
          <w:ilvl w:val="0"/>
          <w:numId w:val="0"/>
        </w:numPr>
        <w:spacing w:line="360" w:lineRule="auto"/>
        <w:jc w:val="center"/>
        <w:outlineLvl w:val="1"/>
        <w:rPr>
          <w:rFonts w:hint="eastAsia" w:ascii="宋体" w:hAnsi="宋体" w:cs="宋体"/>
          <w:b/>
          <w:sz w:val="36"/>
          <w:szCs w:val="24"/>
          <w:lang w:val="en-US" w:eastAsia="zh-CN"/>
        </w:rPr>
        <w:sectPr>
          <w:pgSz w:w="11906" w:h="16838"/>
          <w:pgMar w:top="1417" w:right="1669" w:bottom="1361" w:left="1417" w:header="851" w:footer="992" w:gutter="0"/>
          <w:pgNumType w:fmt="decimal"/>
          <w:cols w:space="720" w:num="1"/>
          <w:docGrid w:linePitch="312" w:charSpace="0"/>
        </w:sectPr>
      </w:pPr>
      <w:bookmarkStart w:id="324" w:name="_Toc7932"/>
      <w:bookmarkStart w:id="325" w:name="_Toc26336"/>
      <w:bookmarkStart w:id="326" w:name="_Toc15686"/>
      <w:bookmarkStart w:id="327" w:name="_Toc4907"/>
    </w:p>
    <w:p>
      <w:pPr>
        <w:numPr>
          <w:ilvl w:val="0"/>
          <w:numId w:val="0"/>
        </w:numPr>
        <w:spacing w:line="360" w:lineRule="auto"/>
        <w:jc w:val="center"/>
        <w:outlineLvl w:val="1"/>
        <w:rPr>
          <w:rFonts w:hint="eastAsia" w:ascii="宋体" w:hAnsi="宋体" w:eastAsia="宋体" w:cs="宋体"/>
          <w:b/>
          <w:sz w:val="36"/>
          <w:szCs w:val="24"/>
        </w:rPr>
      </w:pPr>
      <w:r>
        <w:rPr>
          <w:rFonts w:hint="eastAsia" w:ascii="宋体" w:hAnsi="宋体" w:cs="宋体"/>
          <w:b/>
          <w:sz w:val="36"/>
          <w:szCs w:val="24"/>
          <w:lang w:val="en-US" w:eastAsia="zh-CN"/>
        </w:rPr>
        <w:t>七、</w:t>
      </w:r>
      <w:r>
        <w:rPr>
          <w:rFonts w:hint="eastAsia" w:ascii="宋体" w:hAnsi="宋体" w:eastAsia="宋体" w:cs="宋体"/>
          <w:b/>
          <w:sz w:val="36"/>
          <w:szCs w:val="24"/>
        </w:rPr>
        <w:t>商务偏离表</w:t>
      </w:r>
      <w:bookmarkEnd w:id="324"/>
      <w:bookmarkEnd w:id="325"/>
      <w:bookmarkEnd w:id="326"/>
      <w:bookmarkEnd w:id="327"/>
    </w:p>
    <w:p>
      <w:pPr>
        <w:spacing w:line="360" w:lineRule="auto"/>
        <w:outlineLvl w:val="9"/>
        <w:rPr>
          <w:rFonts w:hint="eastAsia"/>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 xml:space="preserve">            采购项目编号：</w:t>
      </w:r>
      <w:r>
        <w:rPr>
          <w:rFonts w:hint="eastAsia" w:ascii="宋体" w:hAnsi="宋体" w:cs="宋体"/>
          <w:color w:val="000000"/>
          <w:sz w:val="24"/>
          <w:u w:val="single"/>
        </w:rPr>
        <w:t xml:space="preserve">                   </w:t>
      </w:r>
    </w:p>
    <w:tbl>
      <w:tblPr>
        <w:tblStyle w:val="25"/>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pPr>
              <w:spacing w:line="360" w:lineRule="auto"/>
              <w:jc w:val="center"/>
              <w:outlineLvl w:val="9"/>
              <w:rPr>
                <w:rFonts w:hint="eastAsia" w:ascii="宋体" w:hAnsi="宋体" w:cs="宋体"/>
                <w:b/>
                <w:color w:val="000000"/>
                <w:sz w:val="24"/>
              </w:rPr>
            </w:pPr>
            <w:r>
              <w:rPr>
                <w:rFonts w:hint="eastAsia" w:ascii="宋体" w:hAnsi="宋体" w:cs="宋体"/>
                <w:b/>
                <w:sz w:val="24"/>
              </w:rPr>
              <w:t>序号</w:t>
            </w:r>
          </w:p>
        </w:tc>
        <w:tc>
          <w:tcPr>
            <w:tcW w:w="2931" w:type="dxa"/>
            <w:noWrap w:val="0"/>
            <w:vAlign w:val="top"/>
          </w:tcPr>
          <w:p>
            <w:pPr>
              <w:spacing w:line="360" w:lineRule="auto"/>
              <w:jc w:val="center"/>
              <w:outlineLvl w:val="9"/>
              <w:rPr>
                <w:rFonts w:hint="eastAsia" w:ascii="宋体" w:hAnsi="宋体" w:cs="宋体"/>
                <w:b/>
                <w:color w:val="000000"/>
                <w:sz w:val="24"/>
              </w:rPr>
            </w:pPr>
            <w:r>
              <w:rPr>
                <w:rFonts w:hint="eastAsia" w:ascii="宋体" w:hAnsi="宋体" w:cs="宋体"/>
                <w:b/>
                <w:sz w:val="24"/>
              </w:rPr>
              <w:t>竞争性磋商文件商务要求</w:t>
            </w:r>
          </w:p>
        </w:tc>
        <w:tc>
          <w:tcPr>
            <w:tcW w:w="3231" w:type="dxa"/>
            <w:noWrap w:val="0"/>
            <w:vAlign w:val="top"/>
          </w:tcPr>
          <w:p>
            <w:pPr>
              <w:spacing w:line="360" w:lineRule="auto"/>
              <w:jc w:val="center"/>
              <w:outlineLvl w:val="9"/>
              <w:rPr>
                <w:rFonts w:hint="eastAsia" w:ascii="宋体" w:hAnsi="宋体" w:cs="宋体"/>
                <w:b/>
                <w:color w:val="000000"/>
                <w:sz w:val="24"/>
              </w:rPr>
            </w:pPr>
            <w:r>
              <w:rPr>
                <w:rFonts w:hint="eastAsia" w:ascii="宋体" w:hAnsi="宋体" w:cs="宋体"/>
                <w:b/>
                <w:sz w:val="24"/>
              </w:rPr>
              <w:t>竞争性磋商响应文件商务响应</w:t>
            </w:r>
          </w:p>
        </w:tc>
        <w:tc>
          <w:tcPr>
            <w:tcW w:w="1202" w:type="dxa"/>
            <w:noWrap w:val="0"/>
            <w:vAlign w:val="top"/>
          </w:tcPr>
          <w:p>
            <w:pPr>
              <w:spacing w:line="360" w:lineRule="auto"/>
              <w:jc w:val="center"/>
              <w:outlineLvl w:val="9"/>
              <w:rPr>
                <w:rFonts w:hint="eastAsia" w:ascii="宋体" w:hAnsi="宋体" w:cs="宋体"/>
                <w:b/>
                <w:color w:val="000000"/>
                <w:sz w:val="24"/>
              </w:rPr>
            </w:pPr>
            <w:r>
              <w:rPr>
                <w:rFonts w:hint="eastAsia" w:ascii="宋体" w:hAnsi="宋体" w:cs="宋体"/>
                <w:b/>
                <w:sz w:val="24"/>
              </w:rPr>
              <w:t>偏离情况</w:t>
            </w:r>
          </w:p>
        </w:tc>
        <w:tc>
          <w:tcPr>
            <w:tcW w:w="1350" w:type="dxa"/>
            <w:noWrap w:val="0"/>
            <w:vAlign w:val="top"/>
          </w:tcPr>
          <w:p>
            <w:pPr>
              <w:spacing w:line="360" w:lineRule="auto"/>
              <w:jc w:val="center"/>
              <w:outlineLvl w:val="9"/>
              <w:rPr>
                <w:rFonts w:hint="eastAsia" w:ascii="宋体" w:hAnsi="宋体" w:cs="宋体"/>
                <w:b/>
                <w:color w:val="000000"/>
                <w:sz w:val="24"/>
              </w:rPr>
            </w:pPr>
            <w:r>
              <w:rPr>
                <w:rFonts w:hint="eastAsia" w:ascii="宋体" w:hAnsi="宋体" w:cs="宋体"/>
                <w:b/>
                <w:sz w:val="24"/>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hint="eastAsia" w:ascii="宋体" w:hAnsi="宋体" w:cs="宋体"/>
                <w:color w:val="000000"/>
                <w:sz w:val="24"/>
              </w:rPr>
            </w:pPr>
          </w:p>
        </w:tc>
        <w:tc>
          <w:tcPr>
            <w:tcW w:w="2931" w:type="dxa"/>
            <w:noWrap w:val="0"/>
            <w:vAlign w:val="top"/>
          </w:tcPr>
          <w:p>
            <w:pPr>
              <w:spacing w:line="360" w:lineRule="auto"/>
              <w:jc w:val="center"/>
              <w:outlineLvl w:val="9"/>
              <w:rPr>
                <w:rFonts w:hint="eastAsia" w:ascii="宋体" w:hAnsi="宋体" w:cs="宋体"/>
                <w:color w:val="000000"/>
                <w:sz w:val="24"/>
              </w:rPr>
            </w:pPr>
          </w:p>
        </w:tc>
        <w:tc>
          <w:tcPr>
            <w:tcW w:w="3231" w:type="dxa"/>
            <w:noWrap w:val="0"/>
            <w:vAlign w:val="top"/>
          </w:tcPr>
          <w:p>
            <w:pPr>
              <w:spacing w:line="360" w:lineRule="auto"/>
              <w:jc w:val="center"/>
              <w:outlineLvl w:val="9"/>
              <w:rPr>
                <w:rFonts w:hint="eastAsia" w:ascii="宋体" w:hAnsi="宋体" w:cs="宋体"/>
                <w:color w:val="000000"/>
                <w:sz w:val="24"/>
              </w:rPr>
            </w:pPr>
          </w:p>
        </w:tc>
        <w:tc>
          <w:tcPr>
            <w:tcW w:w="1202" w:type="dxa"/>
            <w:noWrap w:val="0"/>
            <w:vAlign w:val="top"/>
          </w:tcPr>
          <w:p>
            <w:pPr>
              <w:spacing w:line="360" w:lineRule="auto"/>
              <w:jc w:val="center"/>
              <w:outlineLvl w:val="9"/>
              <w:rPr>
                <w:rFonts w:hint="eastAsia" w:ascii="宋体" w:hAnsi="宋体" w:cs="宋体"/>
                <w:color w:val="000000"/>
                <w:sz w:val="24"/>
              </w:rPr>
            </w:pPr>
          </w:p>
        </w:tc>
        <w:tc>
          <w:tcPr>
            <w:tcW w:w="1350" w:type="dxa"/>
            <w:noWrap w:val="0"/>
            <w:vAlign w:val="top"/>
          </w:tcPr>
          <w:p>
            <w:pPr>
              <w:spacing w:line="360" w:lineRule="auto"/>
              <w:jc w:val="center"/>
              <w:outlineLvl w:val="9"/>
              <w:rPr>
                <w:rFonts w:hint="eastAsia" w:ascii="宋体" w:hAnsi="宋体" w:cs="宋体"/>
                <w:color w:val="000000"/>
                <w:sz w:val="24"/>
              </w:rPr>
            </w:pPr>
          </w:p>
        </w:tc>
      </w:tr>
    </w:tbl>
    <w:p>
      <w:pPr>
        <w:spacing w:line="360" w:lineRule="auto"/>
        <w:ind w:right="-161"/>
        <w:outlineLvl w:val="9"/>
        <w:rPr>
          <w:rFonts w:hint="eastAsia" w:ascii="宋体" w:hAnsi="宋体" w:cs="宋体"/>
          <w:color w:val="000000"/>
          <w:sz w:val="24"/>
        </w:rPr>
      </w:pPr>
      <w:r>
        <w:rPr>
          <w:rFonts w:hint="eastAsia" w:ascii="宋体" w:hAnsi="宋体" w:cs="宋体"/>
          <w:color w:val="000000"/>
          <w:sz w:val="24"/>
        </w:rPr>
        <w:t>说明：</w:t>
      </w:r>
    </w:p>
    <w:p>
      <w:pPr>
        <w:spacing w:line="360" w:lineRule="auto"/>
        <w:ind w:right="-161" w:firstLine="480" w:firstLineChars="200"/>
        <w:outlineLvl w:val="9"/>
        <w:rPr>
          <w:rFonts w:ascii="宋体" w:hAnsi="宋体" w:cs="宋体"/>
          <w:color w:val="000000"/>
          <w:sz w:val="24"/>
        </w:rPr>
      </w:pPr>
      <w:r>
        <w:rPr>
          <w:rFonts w:hint="eastAsia" w:ascii="宋体" w:hAnsi="宋体" w:cs="宋体"/>
          <w:color w:val="000000"/>
          <w:sz w:val="24"/>
        </w:rPr>
        <w:t>1、竞争性磋商响应文件根据磋商文件的商务要求</w:t>
      </w:r>
      <w:r>
        <w:rPr>
          <w:rFonts w:hint="eastAsia" w:ascii="宋体" w:hAnsi="宋体" w:cs="宋体"/>
          <w:color w:val="000000"/>
          <w:sz w:val="24"/>
          <w:szCs w:val="22"/>
        </w:rPr>
        <w:t>如</w:t>
      </w:r>
      <w:r>
        <w:rPr>
          <w:rFonts w:hint="eastAsia" w:ascii="宋体" w:hAnsi="宋体" w:cs="宋体"/>
          <w:color w:val="000000"/>
          <w:sz w:val="24"/>
        </w:rPr>
        <w:t>实填写。</w:t>
      </w:r>
    </w:p>
    <w:p>
      <w:pPr>
        <w:spacing w:line="360" w:lineRule="auto"/>
        <w:ind w:right="-161" w:firstLine="480" w:firstLineChars="200"/>
        <w:outlineLvl w:val="9"/>
        <w:rPr>
          <w:rFonts w:ascii="宋体" w:hAnsi="宋体" w:cs="宋体"/>
          <w:color w:val="000000"/>
          <w:sz w:val="24"/>
        </w:rPr>
      </w:pPr>
      <w:r>
        <w:rPr>
          <w:rFonts w:hint="eastAsia" w:ascii="宋体" w:hAnsi="宋体" w:cs="宋体"/>
          <w:color w:val="000000"/>
          <w:sz w:val="24"/>
        </w:rPr>
        <w:t>2、偏离情况填写：正偏离、无偏离、负偏离。</w:t>
      </w:r>
    </w:p>
    <w:p>
      <w:pPr>
        <w:spacing w:line="360" w:lineRule="auto"/>
        <w:ind w:firstLine="480" w:firstLineChars="200"/>
        <w:outlineLvl w:val="9"/>
        <w:rPr>
          <w:rFonts w:ascii="宋体" w:hAnsi="宋体" w:cs="宋体"/>
          <w:sz w:val="24"/>
        </w:rPr>
      </w:pPr>
      <w:r>
        <w:rPr>
          <w:rFonts w:hint="eastAsia" w:ascii="宋体" w:hAnsi="宋体" w:cs="宋体"/>
          <w:color w:val="000000"/>
          <w:sz w:val="24"/>
        </w:rPr>
        <w:t>3、响应说明填写：优于、相同、低于并对偏离情况做出详细的说明。</w:t>
      </w:r>
    </w:p>
    <w:p>
      <w:pPr>
        <w:spacing w:line="360" w:lineRule="auto"/>
        <w:ind w:right="-161" w:firstLine="2640" w:firstLineChars="1100"/>
        <w:outlineLvl w:val="9"/>
        <w:rPr>
          <w:rFonts w:hint="eastAsia" w:ascii="宋体" w:hAnsi="宋体" w:cs="宋体"/>
          <w:color w:val="000000"/>
          <w:sz w:val="24"/>
          <w:szCs w:val="24"/>
        </w:rPr>
      </w:pPr>
    </w:p>
    <w:p>
      <w:pPr>
        <w:spacing w:line="360" w:lineRule="auto"/>
        <w:ind w:right="-161"/>
        <w:jc w:val="right"/>
        <w:outlineLvl w:val="9"/>
        <w:rPr>
          <w:rFonts w:hint="eastAsia" w:ascii="宋体" w:hAnsi="宋体" w:cs="宋体"/>
          <w:sz w:val="24"/>
          <w:szCs w:val="24"/>
          <w:u w:val="single"/>
        </w:rPr>
      </w:pPr>
      <w:r>
        <w:rPr>
          <w:rFonts w:hint="eastAsia" w:ascii="宋体" w:hAnsi="宋体" w:cs="宋体"/>
          <w:sz w:val="24"/>
          <w:szCs w:val="24"/>
        </w:rPr>
        <w:t xml:space="preserve">   法人代表或被授权代表：</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（盖章或签字）</w:t>
      </w:r>
    </w:p>
    <w:p>
      <w:pPr>
        <w:widowControl/>
        <w:spacing w:line="360" w:lineRule="auto"/>
        <w:jc w:val="center"/>
        <w:outlineLvl w:val="9"/>
        <w:rPr>
          <w:rFonts w:hint="eastAsia" w:ascii="宋体" w:hAnsi="宋体" w:cs="宋体"/>
          <w:sz w:val="24"/>
          <w:szCs w:val="24"/>
          <w:u w:val="single"/>
        </w:rPr>
      </w:pPr>
      <w:r>
        <w:rPr>
          <w:rFonts w:hint="eastAsia" w:ascii="宋体" w:hAnsi="宋体" w:cs="宋体"/>
          <w:sz w:val="24"/>
          <w:szCs w:val="24"/>
        </w:rPr>
        <w:t xml:space="preserve">            投   标   人  ：</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（盖单位章） </w:t>
      </w:r>
    </w:p>
    <w:p>
      <w:pPr>
        <w:spacing w:line="360" w:lineRule="auto"/>
        <w:ind w:firstLine="2160" w:firstLineChars="900"/>
        <w:outlineLvl w:val="9"/>
        <w:rPr>
          <w:rFonts w:hint="eastAsia" w:ascii="宋体" w:hAnsi="宋体" w:cs="宋体"/>
          <w:b/>
          <w:sz w:val="32"/>
          <w:szCs w:val="22"/>
        </w:rPr>
      </w:pPr>
      <w:r>
        <w:rPr>
          <w:rFonts w:hint="eastAsia" w:ascii="宋体" w:hAnsi="宋体" w:cs="宋体"/>
          <w:sz w:val="24"/>
          <w:szCs w:val="24"/>
        </w:rPr>
        <w:t>日                 期：</w:t>
      </w:r>
      <w:r>
        <w:rPr>
          <w:rFonts w:hint="eastAsia" w:ascii="宋体" w:hAnsi="宋体" w:cs="宋体"/>
          <w:sz w:val="24"/>
          <w:szCs w:val="24"/>
          <w:u w:val="single"/>
        </w:rPr>
        <w:t xml:space="preserve">                      </w:t>
      </w:r>
    </w:p>
    <w:p>
      <w:pPr>
        <w:spacing w:line="360" w:lineRule="auto"/>
        <w:jc w:val="center"/>
        <w:outlineLvl w:val="9"/>
        <w:rPr>
          <w:rFonts w:hint="eastAsia" w:ascii="宋体" w:hAnsi="宋体" w:eastAsia="宋体" w:cs="宋体"/>
          <w:b/>
          <w:color w:val="auto"/>
          <w:sz w:val="32"/>
          <w:szCs w:val="32"/>
          <w:lang w:eastAsia="zh-CN"/>
        </w:rPr>
        <w:sectPr>
          <w:pgSz w:w="11906" w:h="16838"/>
          <w:pgMar w:top="1417" w:right="1669" w:bottom="1361" w:left="1417" w:header="851" w:footer="992" w:gutter="0"/>
          <w:pgNumType w:fmt="decimal"/>
          <w:cols w:space="720" w:num="1"/>
          <w:docGrid w:linePitch="312" w:charSpace="0"/>
        </w:sectPr>
      </w:pPr>
      <w:bookmarkStart w:id="328" w:name="_Toc1722"/>
      <w:bookmarkStart w:id="329" w:name="_Toc25773"/>
      <w:bookmarkStart w:id="330" w:name="_Toc16973"/>
      <w:bookmarkStart w:id="331" w:name="_Toc10877"/>
      <w:bookmarkStart w:id="332" w:name="_Toc18580"/>
      <w:bookmarkStart w:id="333" w:name="_Toc20312"/>
      <w:bookmarkStart w:id="334" w:name="_Toc6574"/>
      <w:bookmarkStart w:id="335" w:name="_Toc14309"/>
      <w:bookmarkStart w:id="336" w:name="_Toc29582"/>
      <w:bookmarkStart w:id="337" w:name="_Toc16651"/>
    </w:p>
    <w:p>
      <w:pPr>
        <w:spacing w:line="360" w:lineRule="auto"/>
        <w:jc w:val="center"/>
        <w:outlineLvl w:val="1"/>
        <w:rPr>
          <w:rFonts w:hint="eastAsia"/>
          <w:b/>
          <w:bCs/>
          <w:sz w:val="36"/>
          <w:szCs w:val="16"/>
        </w:rPr>
      </w:pPr>
      <w:bookmarkStart w:id="338" w:name="_Toc28299"/>
      <w:bookmarkStart w:id="339" w:name="_Toc9517"/>
      <w:bookmarkStart w:id="340" w:name="_Toc5129"/>
      <w:bookmarkStart w:id="341" w:name="_Toc22784"/>
      <w:bookmarkStart w:id="342" w:name="_Toc5757"/>
      <w:bookmarkStart w:id="343" w:name="_Toc9935"/>
      <w:bookmarkStart w:id="344" w:name="_Toc21191"/>
      <w:r>
        <w:rPr>
          <w:rFonts w:hint="eastAsia"/>
          <w:b/>
          <w:bCs/>
          <w:sz w:val="36"/>
          <w:szCs w:val="16"/>
          <w:lang w:val="en-US" w:eastAsia="zh-CN"/>
        </w:rPr>
        <w:t>八</w:t>
      </w:r>
      <w:r>
        <w:rPr>
          <w:rFonts w:hint="eastAsia"/>
          <w:b/>
          <w:bCs/>
          <w:sz w:val="36"/>
          <w:szCs w:val="16"/>
        </w:rPr>
        <w:t>、法定代表人证明书及法定代表人授权书</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pStyle w:val="10"/>
        <w:spacing w:line="360" w:lineRule="auto"/>
        <w:ind w:left="372" w:leftChars="177"/>
        <w:jc w:val="center"/>
        <w:outlineLvl w:val="9"/>
        <w:rPr>
          <w:rFonts w:hint="eastAsia" w:ascii="宋体" w:hAnsi="宋体" w:cs="宋体"/>
          <w:b/>
          <w:bCs/>
          <w:kern w:val="0"/>
          <w:sz w:val="36"/>
          <w:szCs w:val="36"/>
        </w:rPr>
      </w:pPr>
      <w:r>
        <w:rPr>
          <w:rFonts w:hint="eastAsia"/>
          <w:b/>
          <w:bCs/>
          <w:sz w:val="36"/>
          <w:szCs w:val="36"/>
        </w:rPr>
        <w:t>（一）</w:t>
      </w:r>
      <w:r>
        <w:rPr>
          <w:rFonts w:hint="eastAsia" w:ascii="宋体" w:hAnsi="宋体" w:cs="宋体"/>
          <w:b/>
          <w:bCs/>
          <w:sz w:val="36"/>
          <w:szCs w:val="36"/>
        </w:rPr>
        <w:t>法定代表人证明书</w:t>
      </w:r>
    </w:p>
    <w:tbl>
      <w:tblPr>
        <w:tblStyle w:val="25"/>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pPr>
              <w:tabs>
                <w:tab w:val="left" w:pos="210"/>
              </w:tabs>
              <w:spacing w:line="320" w:lineRule="exact"/>
              <w:outlineLvl w:val="9"/>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陕西华旭晟信项目管理有限责任公司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企</w:t>
            </w:r>
          </w:p>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业</w:t>
            </w:r>
          </w:p>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法</w:t>
            </w:r>
          </w:p>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人</w:t>
            </w:r>
          </w:p>
        </w:tc>
        <w:tc>
          <w:tcPr>
            <w:tcW w:w="2067"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企业名称</w:t>
            </w:r>
          </w:p>
        </w:tc>
        <w:tc>
          <w:tcPr>
            <w:tcW w:w="7225" w:type="dxa"/>
            <w:gridSpan w:val="3"/>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法定地址</w:t>
            </w:r>
          </w:p>
        </w:tc>
        <w:tc>
          <w:tcPr>
            <w:tcW w:w="7225" w:type="dxa"/>
            <w:gridSpan w:val="3"/>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邮政编码</w:t>
            </w:r>
          </w:p>
        </w:tc>
        <w:tc>
          <w:tcPr>
            <w:tcW w:w="7225" w:type="dxa"/>
            <w:gridSpan w:val="3"/>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工商登记机关</w:t>
            </w:r>
          </w:p>
        </w:tc>
        <w:tc>
          <w:tcPr>
            <w:tcW w:w="7225" w:type="dxa"/>
            <w:gridSpan w:val="3"/>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机构代码证号</w:t>
            </w:r>
          </w:p>
        </w:tc>
        <w:tc>
          <w:tcPr>
            <w:tcW w:w="7225" w:type="dxa"/>
            <w:gridSpan w:val="3"/>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sz w:val="24"/>
                <w:szCs w:val="24"/>
              </w:rPr>
              <w:t>项目名称</w:t>
            </w:r>
          </w:p>
        </w:tc>
        <w:tc>
          <w:tcPr>
            <w:tcW w:w="7225" w:type="dxa"/>
            <w:gridSpan w:val="3"/>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sz w:val="24"/>
                <w:szCs w:val="24"/>
              </w:rPr>
              <w:t>项目编号</w:t>
            </w:r>
          </w:p>
        </w:tc>
        <w:tc>
          <w:tcPr>
            <w:tcW w:w="7225" w:type="dxa"/>
            <w:gridSpan w:val="3"/>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法定代表人</w:t>
            </w:r>
          </w:p>
        </w:tc>
        <w:tc>
          <w:tcPr>
            <w:tcW w:w="2067"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姓名</w:t>
            </w:r>
          </w:p>
        </w:tc>
        <w:tc>
          <w:tcPr>
            <w:tcW w:w="2551" w:type="dxa"/>
            <w:noWrap w:val="0"/>
            <w:vAlign w:val="center"/>
          </w:tcPr>
          <w:p>
            <w:pPr>
              <w:tabs>
                <w:tab w:val="left" w:pos="210"/>
              </w:tabs>
              <w:spacing w:line="320" w:lineRule="exact"/>
              <w:jc w:val="center"/>
              <w:outlineLvl w:val="9"/>
              <w:rPr>
                <w:rFonts w:hint="eastAsia" w:ascii="宋体" w:hAnsi="宋体" w:cs="宋体"/>
                <w:kern w:val="0"/>
                <w:sz w:val="24"/>
              </w:rPr>
            </w:pPr>
          </w:p>
        </w:tc>
        <w:tc>
          <w:tcPr>
            <w:tcW w:w="2346"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性别</w:t>
            </w:r>
          </w:p>
        </w:tc>
        <w:tc>
          <w:tcPr>
            <w:tcW w:w="2328" w:type="dxa"/>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职务</w:t>
            </w:r>
          </w:p>
        </w:tc>
        <w:tc>
          <w:tcPr>
            <w:tcW w:w="2551" w:type="dxa"/>
            <w:noWrap w:val="0"/>
            <w:vAlign w:val="center"/>
          </w:tcPr>
          <w:p>
            <w:pPr>
              <w:tabs>
                <w:tab w:val="left" w:pos="210"/>
              </w:tabs>
              <w:spacing w:line="320" w:lineRule="exact"/>
              <w:jc w:val="center"/>
              <w:outlineLvl w:val="9"/>
              <w:rPr>
                <w:rFonts w:hint="eastAsia" w:ascii="宋体" w:hAnsi="宋体" w:cs="宋体"/>
                <w:kern w:val="0"/>
                <w:sz w:val="24"/>
              </w:rPr>
            </w:pPr>
          </w:p>
        </w:tc>
        <w:tc>
          <w:tcPr>
            <w:tcW w:w="2346"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联系电话</w:t>
            </w:r>
          </w:p>
        </w:tc>
        <w:tc>
          <w:tcPr>
            <w:tcW w:w="2328" w:type="dxa"/>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传真</w:t>
            </w:r>
          </w:p>
        </w:tc>
        <w:tc>
          <w:tcPr>
            <w:tcW w:w="7225" w:type="dxa"/>
            <w:gridSpan w:val="3"/>
            <w:noWrap w:val="0"/>
            <w:vAlign w:val="center"/>
          </w:tcPr>
          <w:p>
            <w:pPr>
              <w:tabs>
                <w:tab w:val="left" w:pos="210"/>
              </w:tabs>
              <w:spacing w:line="320" w:lineRule="exact"/>
              <w:jc w:val="center"/>
              <w:outlineLvl w:val="9"/>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法定代表人身份证复印件</w:t>
            </w:r>
          </w:p>
        </w:tc>
        <w:tc>
          <w:tcPr>
            <w:tcW w:w="4618" w:type="dxa"/>
            <w:gridSpan w:val="2"/>
            <w:vMerge w:val="restart"/>
            <w:noWrap w:val="0"/>
            <w:vAlign w:val="center"/>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（粘贴处）</w:t>
            </w:r>
          </w:p>
        </w:tc>
        <w:tc>
          <w:tcPr>
            <w:tcW w:w="4674" w:type="dxa"/>
            <w:gridSpan w:val="2"/>
            <w:noWrap w:val="0"/>
            <w:vAlign w:val="center"/>
          </w:tcPr>
          <w:p>
            <w:pPr>
              <w:tabs>
                <w:tab w:val="left" w:pos="210"/>
              </w:tabs>
              <w:spacing w:line="320" w:lineRule="exact"/>
              <w:jc w:val="center"/>
              <w:outlineLvl w:val="9"/>
              <w:rPr>
                <w:rFonts w:hint="eastAsia" w:ascii="宋体" w:hAnsi="宋体" w:eastAsia="宋体" w:cs="宋体"/>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pPr>
              <w:tabs>
                <w:tab w:val="left" w:pos="210"/>
              </w:tabs>
              <w:spacing w:line="320" w:lineRule="exact"/>
              <w:jc w:val="center"/>
              <w:outlineLvl w:val="9"/>
              <w:rPr>
                <w:rFonts w:hint="eastAsia" w:ascii="宋体" w:hAnsi="宋体" w:cs="宋体"/>
                <w:kern w:val="0"/>
                <w:sz w:val="24"/>
              </w:rPr>
            </w:pPr>
          </w:p>
        </w:tc>
        <w:tc>
          <w:tcPr>
            <w:tcW w:w="4618" w:type="dxa"/>
            <w:gridSpan w:val="2"/>
            <w:vMerge w:val="continue"/>
            <w:noWrap w:val="0"/>
            <w:vAlign w:val="center"/>
          </w:tcPr>
          <w:p>
            <w:pPr>
              <w:tabs>
                <w:tab w:val="left" w:pos="210"/>
              </w:tabs>
              <w:spacing w:line="320" w:lineRule="exact"/>
              <w:jc w:val="center"/>
              <w:outlineLvl w:val="9"/>
              <w:rPr>
                <w:rFonts w:hint="eastAsia" w:ascii="宋体" w:hAnsi="宋体" w:cs="宋体"/>
                <w:kern w:val="0"/>
                <w:sz w:val="24"/>
              </w:rPr>
            </w:pPr>
          </w:p>
        </w:tc>
        <w:tc>
          <w:tcPr>
            <w:tcW w:w="4674" w:type="dxa"/>
            <w:gridSpan w:val="2"/>
            <w:noWrap w:val="0"/>
            <w:vAlign w:val="bottom"/>
          </w:tcPr>
          <w:p>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（公章）</w:t>
            </w:r>
          </w:p>
          <w:p>
            <w:pPr>
              <w:tabs>
                <w:tab w:val="left" w:pos="210"/>
              </w:tabs>
              <w:spacing w:line="320" w:lineRule="exact"/>
              <w:jc w:val="center"/>
              <w:outlineLvl w:val="9"/>
              <w:rPr>
                <w:rFonts w:hint="eastAsia" w:ascii="宋体" w:hAnsi="宋体" w:cs="宋体"/>
                <w:kern w:val="0"/>
                <w:sz w:val="24"/>
              </w:rPr>
            </w:pPr>
          </w:p>
          <w:p>
            <w:pPr>
              <w:tabs>
                <w:tab w:val="left" w:pos="210"/>
              </w:tabs>
              <w:spacing w:line="320" w:lineRule="exact"/>
              <w:jc w:val="center"/>
              <w:outlineLvl w:val="9"/>
              <w:rPr>
                <w:rFonts w:hint="eastAsia" w:ascii="宋体" w:hAnsi="宋体" w:cs="宋体"/>
                <w:kern w:val="0"/>
                <w:sz w:val="24"/>
              </w:rPr>
            </w:pPr>
          </w:p>
          <w:p>
            <w:pPr>
              <w:tabs>
                <w:tab w:val="left" w:pos="210"/>
              </w:tabs>
              <w:spacing w:line="320" w:lineRule="exact"/>
              <w:jc w:val="center"/>
              <w:outlineLvl w:val="9"/>
              <w:rPr>
                <w:rFonts w:hint="eastAsia" w:ascii="宋体" w:hAnsi="宋体" w:cs="宋体"/>
                <w:kern w:val="0"/>
                <w:sz w:val="24"/>
              </w:rPr>
            </w:pPr>
          </w:p>
          <w:p>
            <w:pPr>
              <w:tabs>
                <w:tab w:val="left" w:pos="210"/>
              </w:tabs>
              <w:spacing w:line="320" w:lineRule="exact"/>
              <w:jc w:val="right"/>
              <w:outlineLvl w:val="9"/>
              <w:rPr>
                <w:rFonts w:hint="eastAsia" w:ascii="宋体" w:hAnsi="宋体" w:cs="宋体"/>
                <w:kern w:val="0"/>
                <w:sz w:val="24"/>
              </w:rPr>
            </w:pPr>
            <w:r>
              <w:rPr>
                <w:rFonts w:hint="eastAsia" w:ascii="宋体" w:hAnsi="宋体" w:cs="宋体"/>
                <w:kern w:val="0"/>
                <w:sz w:val="24"/>
              </w:rPr>
              <w:t xml:space="preserve">年  月  日 </w:t>
            </w:r>
          </w:p>
        </w:tc>
      </w:tr>
    </w:tbl>
    <w:p>
      <w:pPr>
        <w:tabs>
          <w:tab w:val="left" w:pos="329"/>
        </w:tabs>
        <w:jc w:val="center"/>
        <w:outlineLvl w:val="9"/>
        <w:rPr>
          <w:rFonts w:hint="eastAsia" w:ascii="宋体" w:hAnsi="宋体" w:cs="宋体"/>
          <w:b/>
          <w:sz w:val="32"/>
          <w:szCs w:val="32"/>
        </w:rPr>
      </w:pPr>
    </w:p>
    <w:p>
      <w:pPr>
        <w:tabs>
          <w:tab w:val="left" w:pos="329"/>
        </w:tabs>
        <w:jc w:val="center"/>
        <w:outlineLvl w:val="9"/>
        <w:rPr>
          <w:rFonts w:hint="eastAsia" w:ascii="宋体" w:hAnsi="宋体" w:cs="宋体"/>
        </w:rPr>
      </w:pPr>
      <w:r>
        <w:rPr>
          <w:rFonts w:hint="eastAsia" w:ascii="宋体" w:hAnsi="宋体" w:cs="宋体"/>
          <w:b/>
          <w:sz w:val="32"/>
          <w:szCs w:val="32"/>
        </w:rPr>
        <w:t>（二）法定代表人授权书</w:t>
      </w:r>
    </w:p>
    <w:p>
      <w:pPr>
        <w:tabs>
          <w:tab w:val="left" w:pos="8820"/>
        </w:tabs>
        <w:spacing w:line="360" w:lineRule="auto"/>
        <w:ind w:firstLine="570"/>
        <w:outlineLvl w:val="9"/>
        <w:rPr>
          <w:rFonts w:hint="eastAsia" w:ascii="宋体" w:hAnsi="宋体" w:cs="宋体"/>
          <w:sz w:val="24"/>
          <w:szCs w:val="24"/>
          <w:u w:val="single"/>
        </w:rPr>
      </w:pPr>
      <w:r>
        <w:rPr>
          <w:rFonts w:hint="eastAsia" w:ascii="宋体" w:hAnsi="宋体" w:cs="宋体"/>
          <w:sz w:val="24"/>
          <w:szCs w:val="24"/>
        </w:rPr>
        <w:t>本授权委托书声明：我</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（法定代表人姓名）</w:t>
      </w:r>
      <w:r>
        <w:rPr>
          <w:rFonts w:hint="eastAsia" w:ascii="宋体" w:hAnsi="宋体" w:cs="宋体"/>
          <w:sz w:val="24"/>
          <w:szCs w:val="24"/>
        </w:rPr>
        <w:t>系注册于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（投标人地址）</w:t>
      </w:r>
      <w:r>
        <w:rPr>
          <w:rFonts w:hint="eastAsia" w:ascii="宋体" w:hAnsi="宋体" w:cs="宋体"/>
          <w:sz w:val="24"/>
          <w:szCs w:val="24"/>
        </w:rPr>
        <w:t>的</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（投标人名称）  </w:t>
      </w:r>
      <w:r>
        <w:rPr>
          <w:rFonts w:hint="eastAsia" w:ascii="宋体" w:hAnsi="宋体" w:cs="宋体"/>
          <w:sz w:val="24"/>
          <w:szCs w:val="24"/>
        </w:rPr>
        <w:t>的法定代表人，现代表公司授权下面签字的</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（被授权人的姓名、职务）</w:t>
      </w:r>
      <w:r>
        <w:rPr>
          <w:rFonts w:hint="eastAsia" w:ascii="宋体" w:hAnsi="宋体" w:cs="宋体"/>
          <w:sz w:val="24"/>
          <w:szCs w:val="24"/>
        </w:rPr>
        <w:t>为我公司合法代理人，代表本公司参加</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（采购项目名称）</w:t>
      </w:r>
      <w:r>
        <w:rPr>
          <w:rFonts w:hint="eastAsia" w:ascii="宋体" w:hAnsi="宋体" w:cs="宋体"/>
          <w:sz w:val="24"/>
          <w:szCs w:val="24"/>
        </w:rPr>
        <w:t>采购项目编号：</w:t>
      </w:r>
      <w:r>
        <w:rPr>
          <w:rFonts w:hint="eastAsia" w:ascii="宋体" w:hAnsi="宋体" w:cs="宋体"/>
          <w:sz w:val="24"/>
          <w:szCs w:val="24"/>
          <w:u w:val="single"/>
          <w:lang w:val="en-US" w:eastAsia="zh-CN"/>
        </w:rPr>
        <w:t xml:space="preserve">          </w:t>
      </w:r>
      <w:r>
        <w:rPr>
          <w:rFonts w:hint="eastAsia" w:ascii="宋体" w:hAnsi="宋体" w:cs="宋体"/>
          <w:sz w:val="24"/>
          <w:szCs w:val="24"/>
        </w:rPr>
        <w:t>的投标活动。代理人在本次投标中所签署的一切文件和处理的一切有关事务，我公司均予承认。</w:t>
      </w:r>
    </w:p>
    <w:p>
      <w:pPr>
        <w:spacing w:line="360" w:lineRule="auto"/>
        <w:ind w:firstLine="570"/>
        <w:outlineLvl w:val="9"/>
        <w:rPr>
          <w:rFonts w:hint="eastAsia" w:ascii="宋体" w:hAnsi="宋体" w:cs="宋体"/>
          <w:sz w:val="24"/>
          <w:szCs w:val="24"/>
        </w:rPr>
      </w:pPr>
      <w:r>
        <w:rPr>
          <w:rFonts w:hint="eastAsia" w:ascii="宋体" w:hAnsi="宋体" w:cs="宋体"/>
          <w:sz w:val="24"/>
          <w:szCs w:val="24"/>
        </w:rPr>
        <w:t>本授权书于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rPr>
        <w:t>日签字</w:t>
      </w:r>
      <w:r>
        <w:rPr>
          <w:rFonts w:hint="eastAsia" w:ascii="宋体" w:hAnsi="宋体" w:cs="宋体"/>
          <w:color w:val="000000"/>
          <w:sz w:val="24"/>
          <w:szCs w:val="24"/>
        </w:rPr>
        <w:t>（盖章）</w:t>
      </w:r>
      <w:r>
        <w:rPr>
          <w:rFonts w:hint="eastAsia" w:ascii="宋体" w:hAnsi="宋体" w:cs="宋体"/>
          <w:sz w:val="24"/>
          <w:szCs w:val="24"/>
        </w:rPr>
        <w:t>生效，有效期自开标之日起</w:t>
      </w:r>
      <w:r>
        <w:rPr>
          <w:rFonts w:hint="eastAsia" w:ascii="宋体" w:hAnsi="宋体" w:cs="宋体"/>
          <w:sz w:val="24"/>
          <w:szCs w:val="24"/>
          <w:u w:val="single"/>
        </w:rPr>
        <w:t xml:space="preserve"> </w:t>
      </w:r>
      <w:r>
        <w:rPr>
          <w:rFonts w:hint="eastAsia" w:ascii="宋体" w:hAnsi="宋体" w:cs="宋体"/>
          <w:sz w:val="24"/>
          <w:szCs w:val="24"/>
        </w:rPr>
        <w:t>天；特此声明。</w:t>
      </w:r>
    </w:p>
    <w:tbl>
      <w:tblPr>
        <w:tblStyle w:val="25"/>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pPr>
              <w:spacing w:line="360" w:lineRule="auto"/>
              <w:jc w:val="center"/>
              <w:outlineLvl w:val="9"/>
              <w:rPr>
                <w:rFonts w:hint="eastAsia" w:ascii="宋体" w:hAnsi="宋体" w:cs="宋体"/>
                <w:sz w:val="24"/>
                <w:szCs w:val="24"/>
              </w:rPr>
            </w:pPr>
            <w:r>
              <w:rPr>
                <w:rFonts w:hint="eastAsia" w:ascii="宋体" w:hAnsi="宋体" w:cs="宋体"/>
                <w:sz w:val="24"/>
                <w:szCs w:val="24"/>
              </w:rPr>
              <w:t>法定代表人身份证复印件</w:t>
            </w:r>
          </w:p>
          <w:p>
            <w:pPr>
              <w:spacing w:line="360" w:lineRule="auto"/>
              <w:jc w:val="center"/>
              <w:outlineLvl w:val="9"/>
              <w:rPr>
                <w:rFonts w:hint="eastAsia" w:ascii="宋体" w:hAnsi="宋体" w:cs="宋体"/>
                <w:sz w:val="24"/>
                <w:szCs w:val="24"/>
              </w:rPr>
            </w:pPr>
          </w:p>
        </w:tc>
        <w:tc>
          <w:tcPr>
            <w:tcW w:w="4470" w:type="dxa"/>
            <w:noWrap w:val="0"/>
            <w:vAlign w:val="center"/>
          </w:tcPr>
          <w:p>
            <w:pPr>
              <w:spacing w:line="360" w:lineRule="auto"/>
              <w:jc w:val="center"/>
              <w:outlineLvl w:val="9"/>
              <w:rPr>
                <w:rFonts w:hint="eastAsia" w:ascii="宋体" w:hAnsi="宋体" w:cs="宋体"/>
                <w:sz w:val="24"/>
                <w:szCs w:val="24"/>
              </w:rPr>
            </w:pPr>
            <w:r>
              <w:rPr>
                <w:rFonts w:hint="eastAsia" w:ascii="宋体" w:hAnsi="宋体" w:cs="宋体"/>
                <w:sz w:val="24"/>
                <w:szCs w:val="24"/>
              </w:rPr>
              <w:t>授权代表身份证复印件</w:t>
            </w:r>
          </w:p>
          <w:p>
            <w:pPr>
              <w:spacing w:line="360" w:lineRule="auto"/>
              <w:jc w:val="center"/>
              <w:outlineLvl w:val="9"/>
              <w:rPr>
                <w:rFonts w:hint="eastAsia" w:ascii="宋体" w:hAnsi="宋体" w:cs="宋体"/>
                <w:sz w:val="24"/>
                <w:szCs w:val="24"/>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pPr>
              <w:spacing w:line="360" w:lineRule="auto"/>
              <w:jc w:val="center"/>
              <w:outlineLvl w:val="9"/>
              <w:rPr>
                <w:rFonts w:hint="eastAsia" w:ascii="宋体" w:hAnsi="宋体" w:cs="宋体"/>
                <w:sz w:val="24"/>
                <w:szCs w:val="24"/>
              </w:rPr>
            </w:pPr>
            <w:r>
              <w:rPr>
                <w:rFonts w:hint="eastAsia" w:ascii="宋体" w:hAnsi="宋体" w:cs="宋体"/>
                <w:sz w:val="24"/>
                <w:szCs w:val="24"/>
              </w:rPr>
              <w:t>法定代表人身份证复印件</w:t>
            </w:r>
          </w:p>
          <w:p>
            <w:pPr>
              <w:spacing w:line="360" w:lineRule="auto"/>
              <w:jc w:val="center"/>
              <w:outlineLvl w:val="9"/>
              <w:rPr>
                <w:rFonts w:hint="eastAsia" w:ascii="宋体" w:hAnsi="宋体" w:cs="宋体"/>
                <w:sz w:val="24"/>
                <w:szCs w:val="24"/>
              </w:rPr>
            </w:pPr>
          </w:p>
        </w:tc>
        <w:tc>
          <w:tcPr>
            <w:tcW w:w="4470" w:type="dxa"/>
            <w:noWrap w:val="0"/>
            <w:vAlign w:val="center"/>
          </w:tcPr>
          <w:p>
            <w:pPr>
              <w:spacing w:line="360" w:lineRule="auto"/>
              <w:jc w:val="center"/>
              <w:outlineLvl w:val="9"/>
              <w:rPr>
                <w:rFonts w:hint="eastAsia" w:ascii="宋体" w:hAnsi="宋体" w:cs="宋体"/>
                <w:sz w:val="24"/>
                <w:szCs w:val="24"/>
              </w:rPr>
            </w:pPr>
            <w:r>
              <w:rPr>
                <w:rFonts w:hint="eastAsia" w:ascii="宋体" w:hAnsi="宋体" w:cs="宋体"/>
                <w:sz w:val="24"/>
                <w:szCs w:val="24"/>
              </w:rPr>
              <w:t>授权代表身份证复印件</w:t>
            </w:r>
          </w:p>
          <w:p>
            <w:pPr>
              <w:spacing w:line="360" w:lineRule="auto"/>
              <w:jc w:val="center"/>
              <w:outlineLvl w:val="9"/>
              <w:rPr>
                <w:rFonts w:hint="eastAsia" w:ascii="宋体" w:hAnsi="宋体" w:cs="宋体"/>
                <w:sz w:val="24"/>
                <w:szCs w:val="24"/>
              </w:rPr>
            </w:pPr>
          </w:p>
        </w:tc>
      </w:tr>
    </w:tbl>
    <w:p>
      <w:pPr>
        <w:spacing w:line="360" w:lineRule="auto"/>
        <w:ind w:firstLine="482" w:firstLineChars="200"/>
        <w:outlineLvl w:val="9"/>
        <w:rPr>
          <w:rFonts w:hint="eastAsia" w:ascii="宋体" w:hAnsi="宋体" w:cs="宋体"/>
          <w:b/>
          <w:bCs/>
          <w:sz w:val="24"/>
          <w:szCs w:val="22"/>
        </w:rPr>
      </w:pPr>
      <w:r>
        <w:rPr>
          <w:rFonts w:hint="eastAsia" w:ascii="宋体" w:hAnsi="宋体" w:cs="宋体"/>
          <w:b/>
          <w:bCs/>
          <w:sz w:val="24"/>
          <w:szCs w:val="24"/>
        </w:rPr>
        <w:t>注：此授权书的有效期应与投标文件有效期一致。身份证正反面复印件必须依次加盖单位鲜章。</w:t>
      </w:r>
    </w:p>
    <w:p>
      <w:pPr>
        <w:spacing w:line="360" w:lineRule="auto"/>
        <w:outlineLvl w:val="9"/>
        <w:rPr>
          <w:rFonts w:hint="eastAsia" w:ascii="宋体" w:hAnsi="宋体" w:cs="宋体"/>
          <w:sz w:val="24"/>
          <w:szCs w:val="24"/>
        </w:rPr>
      </w:pPr>
      <w:r>
        <w:rPr>
          <w:rFonts w:hint="eastAsia" w:ascii="宋体" w:hAnsi="宋体" w:cs="宋体"/>
          <w:sz w:val="24"/>
          <w:szCs w:val="24"/>
        </w:rPr>
        <w:t xml:space="preserve">                       </w:t>
      </w:r>
    </w:p>
    <w:p>
      <w:pPr>
        <w:spacing w:line="360" w:lineRule="auto"/>
        <w:ind w:firstLine="3600" w:firstLineChars="1500"/>
        <w:outlineLvl w:val="9"/>
        <w:rPr>
          <w:rFonts w:hint="eastAsia" w:ascii="宋体" w:hAnsi="宋体" w:cs="宋体"/>
          <w:sz w:val="24"/>
          <w:szCs w:val="24"/>
        </w:rPr>
      </w:pPr>
      <w:r>
        <w:rPr>
          <w:rFonts w:hint="eastAsia" w:ascii="宋体" w:hAnsi="宋体" w:cs="宋体"/>
          <w:sz w:val="24"/>
          <w:szCs w:val="24"/>
        </w:rPr>
        <w:t>投标人：</w:t>
      </w:r>
      <w:r>
        <w:rPr>
          <w:rFonts w:hint="eastAsia" w:ascii="宋体" w:hAnsi="宋体" w:cs="宋体"/>
          <w:sz w:val="24"/>
          <w:szCs w:val="24"/>
          <w:u w:val="single"/>
        </w:rPr>
        <w:t xml:space="preserve">                           </w:t>
      </w:r>
      <w:r>
        <w:rPr>
          <w:rFonts w:hint="eastAsia" w:ascii="宋体" w:hAnsi="宋体" w:cs="宋体"/>
          <w:sz w:val="24"/>
          <w:szCs w:val="24"/>
        </w:rPr>
        <w:t>（公章）</w:t>
      </w:r>
    </w:p>
    <w:p>
      <w:pPr>
        <w:spacing w:line="360" w:lineRule="auto"/>
        <w:ind w:left="3120" w:hanging="3120" w:hangingChars="1300"/>
        <w:outlineLvl w:val="9"/>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（签字</w:t>
      </w:r>
      <w:r>
        <w:rPr>
          <w:rFonts w:hint="eastAsia" w:ascii="宋体" w:hAnsi="宋体" w:cs="宋体"/>
          <w:sz w:val="24"/>
          <w:szCs w:val="24"/>
          <w:lang w:eastAsia="zh-CN"/>
        </w:rPr>
        <w:t>或</w:t>
      </w:r>
      <w:r>
        <w:rPr>
          <w:rFonts w:hint="eastAsia" w:ascii="宋体" w:hAnsi="宋体" w:cs="宋体"/>
          <w:sz w:val="24"/>
          <w:szCs w:val="24"/>
        </w:rPr>
        <w:t>盖章）</w:t>
      </w:r>
    </w:p>
    <w:p>
      <w:pPr>
        <w:pStyle w:val="10"/>
        <w:ind w:firstLine="3360" w:firstLineChars="1400"/>
        <w:outlineLvl w:val="9"/>
        <w:rPr>
          <w:rFonts w:hint="eastAsia" w:eastAsia="宋体"/>
          <w:lang w:eastAsia="zh-CN"/>
        </w:rPr>
      </w:pPr>
      <w:r>
        <w:rPr>
          <w:rFonts w:hint="eastAsia" w:ascii="宋体" w:hAnsi="宋体" w:eastAsia="宋体" w:cs="宋体"/>
          <w:kern w:val="2"/>
          <w:sz w:val="24"/>
          <w:szCs w:val="24"/>
          <w:lang w:val="en-US" w:eastAsia="zh-CN" w:bidi="ar-SA"/>
        </w:rPr>
        <w:t>授权代表</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sz w:val="24"/>
          <w:szCs w:val="24"/>
          <w:u w:val="none"/>
          <w:lang w:eastAsia="zh-CN"/>
        </w:rPr>
        <w:t>（</w:t>
      </w:r>
      <w:r>
        <w:rPr>
          <w:rFonts w:hint="eastAsia" w:ascii="宋体" w:hAnsi="宋体" w:cs="宋体"/>
          <w:sz w:val="24"/>
          <w:szCs w:val="24"/>
          <w:u w:val="none"/>
          <w:lang w:val="en-US" w:eastAsia="zh-CN"/>
        </w:rPr>
        <w:t>签字</w:t>
      </w:r>
      <w:r>
        <w:rPr>
          <w:rFonts w:hint="eastAsia" w:ascii="宋体" w:hAnsi="宋体" w:cs="宋体"/>
          <w:sz w:val="24"/>
          <w:szCs w:val="24"/>
          <w:u w:val="none"/>
          <w:lang w:eastAsia="zh-CN"/>
        </w:rPr>
        <w:t>）</w:t>
      </w:r>
    </w:p>
    <w:p>
      <w:pPr>
        <w:pStyle w:val="10"/>
        <w:ind w:firstLine="3360" w:firstLineChars="1400"/>
        <w:outlineLvl w:val="9"/>
        <w:rPr>
          <w:rFonts w:hint="eastAsia" w:ascii="宋体" w:hAnsi="宋体" w:cs="宋体"/>
          <w:sz w:val="24"/>
          <w:szCs w:val="24"/>
          <w:u w:val="single"/>
        </w:rPr>
        <w:sectPr>
          <w:pgSz w:w="11906" w:h="16838"/>
          <w:pgMar w:top="1440" w:right="1531" w:bottom="1440" w:left="1531" w:header="720" w:footer="720" w:gutter="0"/>
          <w:pgNumType w:fmt="decimal"/>
          <w:cols w:space="720" w:num="1"/>
          <w:docGrid w:type="lines" w:linePitch="312" w:charSpace="0"/>
        </w:sectPr>
      </w:pPr>
      <w:r>
        <w:rPr>
          <w:rFonts w:hint="eastAsia" w:ascii="宋体" w:hAnsi="宋体" w:cs="宋体"/>
          <w:sz w:val="24"/>
          <w:szCs w:val="24"/>
        </w:rPr>
        <w:t>日    期：</w:t>
      </w:r>
      <w:r>
        <w:rPr>
          <w:rFonts w:hint="eastAsia" w:ascii="宋体" w:hAnsi="宋体" w:cs="宋体"/>
          <w:sz w:val="24"/>
          <w:szCs w:val="24"/>
          <w:u w:val="single"/>
        </w:rPr>
        <w:t xml:space="preserve">                             </w:t>
      </w:r>
    </w:p>
    <w:p>
      <w:pPr>
        <w:spacing w:line="360" w:lineRule="auto"/>
        <w:jc w:val="center"/>
        <w:outlineLvl w:val="1"/>
        <w:rPr>
          <w:rFonts w:hint="eastAsia" w:ascii="宋体" w:hAnsi="宋体" w:eastAsia="宋体" w:cs="宋体"/>
          <w:b/>
          <w:sz w:val="32"/>
          <w:szCs w:val="32"/>
        </w:rPr>
      </w:pPr>
      <w:bookmarkStart w:id="345" w:name="_Toc4340"/>
      <w:bookmarkStart w:id="346" w:name="_Toc27147"/>
      <w:bookmarkStart w:id="347" w:name="_Toc28711"/>
      <w:bookmarkStart w:id="348" w:name="_Toc24901"/>
      <w:bookmarkStart w:id="349" w:name="_Toc12973"/>
      <w:bookmarkStart w:id="350" w:name="_Toc31996"/>
      <w:bookmarkStart w:id="351" w:name="_Toc21538"/>
      <w:r>
        <w:rPr>
          <w:rFonts w:hint="eastAsia" w:ascii="宋体" w:hAnsi="宋体" w:cs="宋体"/>
          <w:b/>
          <w:bCs/>
          <w:color w:val="000000"/>
          <w:kern w:val="0"/>
          <w:sz w:val="36"/>
          <w:szCs w:val="36"/>
          <w:lang w:val="en-US" w:eastAsia="zh-CN" w:bidi="ar"/>
        </w:rPr>
        <w:t>九</w:t>
      </w:r>
      <w:r>
        <w:rPr>
          <w:rFonts w:hint="eastAsia" w:ascii="宋体" w:hAnsi="宋体" w:cs="宋体"/>
          <w:b/>
          <w:bCs/>
          <w:color w:val="000000"/>
          <w:kern w:val="0"/>
          <w:sz w:val="36"/>
          <w:szCs w:val="36"/>
          <w:lang w:bidi="ar"/>
        </w:rPr>
        <w:t>、</w:t>
      </w:r>
      <w:bookmarkEnd w:id="345"/>
      <w:bookmarkEnd w:id="346"/>
      <w:bookmarkEnd w:id="347"/>
      <w:bookmarkEnd w:id="348"/>
      <w:bookmarkEnd w:id="349"/>
      <w:bookmarkEnd w:id="350"/>
      <w:bookmarkStart w:id="352" w:name="_Toc1221"/>
      <w:bookmarkStart w:id="353" w:name="_Toc2265"/>
      <w:bookmarkStart w:id="354" w:name="_Toc21962"/>
      <w:bookmarkStart w:id="355" w:name="_Toc5108"/>
      <w:bookmarkStart w:id="356" w:name="_Toc10427"/>
      <w:r>
        <w:rPr>
          <w:rFonts w:hint="eastAsia" w:ascii="宋体" w:hAnsi="宋体" w:eastAsia="宋体" w:cs="宋体"/>
          <w:b/>
          <w:sz w:val="32"/>
          <w:szCs w:val="32"/>
          <w:lang w:val="en-US" w:eastAsia="zh-CN"/>
        </w:rPr>
        <w:t>中小</w:t>
      </w:r>
      <w:r>
        <w:rPr>
          <w:rFonts w:hint="eastAsia" w:ascii="宋体" w:hAnsi="宋体" w:eastAsia="宋体" w:cs="宋体"/>
          <w:b/>
          <w:sz w:val="32"/>
          <w:szCs w:val="32"/>
        </w:rPr>
        <w:t>企业、监狱企业、残疾人福利单位声明函或证明</w:t>
      </w:r>
      <w:bookmarkEnd w:id="351"/>
    </w:p>
    <w:p>
      <w:pPr>
        <w:pStyle w:val="10"/>
        <w:outlineLvl w:val="9"/>
        <w:rPr>
          <w:rFonts w:hint="eastAsia" w:ascii="宋体" w:hAnsi="宋体" w:eastAsia="宋体" w:cs="宋体"/>
          <w:lang w:val="en-US"/>
        </w:rPr>
      </w:pPr>
    </w:p>
    <w:p>
      <w:pPr>
        <w:spacing w:line="500" w:lineRule="exact"/>
        <w:jc w:val="center"/>
        <w:outlineLvl w:val="9"/>
        <w:rPr>
          <w:rFonts w:hint="eastAsia" w:ascii="宋体" w:hAnsi="宋体" w:eastAsia="宋体" w:cs="宋体"/>
          <w:b/>
          <w:color w:val="auto"/>
          <w:spacing w:val="6"/>
          <w:sz w:val="28"/>
          <w:szCs w:val="28"/>
        </w:rPr>
      </w:pPr>
      <w:bookmarkStart w:id="357" w:name="_Toc15759"/>
      <w:bookmarkStart w:id="358" w:name="_Toc25215"/>
      <w:bookmarkStart w:id="359" w:name="_Toc6863"/>
      <w:bookmarkStart w:id="360" w:name="_Toc8674"/>
      <w:r>
        <w:rPr>
          <w:rFonts w:hint="eastAsia" w:ascii="宋体" w:hAnsi="宋体" w:eastAsia="宋体" w:cs="宋体"/>
          <w:b/>
          <w:color w:val="auto"/>
          <w:spacing w:val="6"/>
          <w:sz w:val="28"/>
          <w:szCs w:val="28"/>
        </w:rPr>
        <w:t>1.</w:t>
      </w:r>
      <w:r>
        <w:rPr>
          <w:rFonts w:hint="eastAsia" w:ascii="宋体" w:hAnsi="宋体" w:eastAsia="宋体" w:cs="宋体"/>
          <w:b/>
          <w:color w:val="auto"/>
          <w:spacing w:val="6"/>
          <w:sz w:val="28"/>
          <w:szCs w:val="28"/>
          <w:lang w:val="en-US" w:eastAsia="zh-CN"/>
        </w:rPr>
        <w:t>中小</w:t>
      </w:r>
      <w:r>
        <w:rPr>
          <w:rFonts w:hint="eastAsia" w:ascii="宋体" w:hAnsi="宋体" w:eastAsia="宋体" w:cs="宋体"/>
          <w:b/>
          <w:color w:val="auto"/>
          <w:spacing w:val="6"/>
          <w:sz w:val="28"/>
          <w:szCs w:val="28"/>
        </w:rPr>
        <w:t>企业声明函</w:t>
      </w:r>
      <w:bookmarkEnd w:id="357"/>
      <w:bookmarkEnd w:id="358"/>
      <w:bookmarkEnd w:id="359"/>
    </w:p>
    <w:p>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本公司（联合体）郑重声明，根据《政府采购促进中小企业发展管理办法》（财库﹝2020﹞46 号）的规定，本公司（联合体）参加</w:t>
      </w:r>
      <w:r>
        <w:rPr>
          <w:rFonts w:hint="eastAsia" w:ascii="宋体" w:hAnsi="宋体" w:eastAsia="宋体" w:cs="宋体"/>
          <w:color w:val="auto"/>
          <w:sz w:val="24"/>
          <w:u w:val="single"/>
        </w:rPr>
        <w:t>（单位名称）</w:t>
      </w:r>
      <w:r>
        <w:rPr>
          <w:rFonts w:hint="eastAsia" w:ascii="宋体" w:hAnsi="宋体" w:eastAsia="宋体" w:cs="宋体"/>
          <w:color w:val="auto"/>
          <w:sz w:val="24"/>
        </w:rPr>
        <w:t>的</w:t>
      </w:r>
      <w:r>
        <w:rPr>
          <w:rFonts w:hint="eastAsia" w:ascii="宋体" w:hAnsi="宋体" w:eastAsia="宋体" w:cs="宋体"/>
          <w:color w:val="auto"/>
          <w:sz w:val="24"/>
          <w:u w:val="single"/>
        </w:rPr>
        <w:t>（项目名称）</w:t>
      </w:r>
      <w:r>
        <w:rPr>
          <w:rFonts w:hint="eastAsia" w:ascii="宋体" w:hAnsi="宋体" w:eastAsia="宋体" w:cs="宋体"/>
          <w:color w:val="auto"/>
          <w:sz w:val="24"/>
        </w:rPr>
        <w:t>采购活动，</w:t>
      </w:r>
      <w:r>
        <w:rPr>
          <w:rFonts w:hint="eastAsia" w:ascii="宋体" w:hAnsi="宋体" w:eastAsia="宋体" w:cs="宋体"/>
          <w:color w:val="auto"/>
          <w:sz w:val="24"/>
          <w:lang w:val="en-US" w:eastAsia="zh-CN"/>
        </w:rPr>
        <w:t>工程的施工单位全部为符合政策要求的中小企业。相关企业（含联合体中的中小企业、签订分包意向协议的中小企业）的具体情 况如下</w:t>
      </w:r>
      <w:r>
        <w:rPr>
          <w:rFonts w:hint="eastAsia" w:ascii="宋体" w:hAnsi="宋体" w:eastAsia="宋体" w:cs="宋体"/>
          <w:color w:val="auto"/>
          <w:sz w:val="24"/>
        </w:rPr>
        <w:t>：</w:t>
      </w:r>
    </w:p>
    <w:p>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1.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，属于（采购文件中明确的所属行业）；承</w:t>
      </w:r>
      <w:r>
        <w:rPr>
          <w:rFonts w:hint="eastAsia" w:ascii="宋体" w:hAnsi="宋体" w:eastAsia="宋体" w:cs="宋体"/>
          <w:color w:val="auto"/>
          <w:sz w:val="24"/>
          <w:lang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中型企业、</w:t>
      </w:r>
      <w:r>
        <w:rPr>
          <w:rFonts w:hint="eastAsia" w:ascii="宋体" w:hAnsi="宋体" w:eastAsia="宋体" w:cs="宋体"/>
          <w:color w:val="auto"/>
          <w:sz w:val="24"/>
        </w:rPr>
        <w:t>小型企业、微型企业）；</w:t>
      </w:r>
    </w:p>
    <w:p>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，属于（采购文件中明确的所属行业）；承</w:t>
      </w:r>
      <w:r>
        <w:rPr>
          <w:rFonts w:hint="eastAsia" w:ascii="宋体" w:hAnsi="宋体" w:eastAsia="宋体" w:cs="宋体"/>
          <w:color w:val="auto"/>
          <w:sz w:val="24"/>
          <w:lang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中型企业、</w:t>
      </w:r>
      <w:r>
        <w:rPr>
          <w:rFonts w:hint="eastAsia" w:ascii="宋体" w:hAnsi="宋体" w:eastAsia="宋体" w:cs="宋体"/>
          <w:color w:val="auto"/>
          <w:sz w:val="24"/>
        </w:rPr>
        <w:t>小型企业、微型企业）；</w:t>
      </w:r>
    </w:p>
    <w:p>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以上企业，不属于大企业的分支机构，不存在控股股东为大企业的情形，也不存在与大企业的负责人为同一人的情形。</w:t>
      </w:r>
    </w:p>
    <w:p>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本企业对上述声明内容的真实性负责。如有虚假，将依法承担相应责任。</w:t>
      </w:r>
    </w:p>
    <w:p>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企业名称（盖章）：</w:t>
      </w:r>
    </w:p>
    <w:p>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日期：</w:t>
      </w:r>
    </w:p>
    <w:p>
      <w:pPr>
        <w:tabs>
          <w:tab w:val="left" w:pos="5670"/>
        </w:tabs>
        <w:outlineLvl w:val="9"/>
        <w:rPr>
          <w:rFonts w:hint="eastAsia" w:ascii="宋体" w:hAnsi="宋体" w:eastAsia="宋体" w:cs="宋体"/>
          <w:color w:val="auto"/>
          <w:sz w:val="24"/>
        </w:rPr>
      </w:pPr>
      <w:r>
        <w:rPr>
          <w:rFonts w:hint="eastAsia" w:ascii="宋体" w:hAnsi="宋体" w:eastAsia="宋体" w:cs="宋体"/>
          <w:color w:val="auto"/>
          <w:sz w:val="24"/>
        </w:rPr>
        <w:t>备注：</w:t>
      </w:r>
    </w:p>
    <w:p>
      <w:pPr>
        <w:tabs>
          <w:tab w:val="left" w:pos="5670"/>
        </w:tabs>
        <w:outlineLvl w:val="9"/>
        <w:rPr>
          <w:rFonts w:hint="eastAsia" w:ascii="宋体" w:hAnsi="宋体" w:eastAsia="宋体" w:cs="宋体"/>
          <w:color w:val="auto"/>
          <w:sz w:val="24"/>
        </w:rPr>
      </w:pPr>
      <w:r>
        <w:rPr>
          <w:rFonts w:hint="eastAsia" w:ascii="宋体" w:hAnsi="宋体" w:eastAsia="宋体" w:cs="宋体"/>
          <w:color w:val="auto"/>
          <w:sz w:val="24"/>
        </w:rPr>
        <w:t xml:space="preserve">从业人员、营业收入、资产总额填报上一年度数据，无上一年度数据的新成立企业可不填报。 </w:t>
      </w:r>
    </w:p>
    <w:p>
      <w:pPr>
        <w:spacing w:line="500" w:lineRule="exact"/>
        <w:jc w:val="center"/>
        <w:outlineLvl w:val="9"/>
        <w:rPr>
          <w:rFonts w:hint="eastAsia" w:ascii="宋体" w:hAnsi="宋体" w:eastAsia="宋体" w:cs="宋体"/>
          <w:b/>
          <w:color w:val="auto"/>
          <w:spacing w:val="6"/>
          <w:sz w:val="28"/>
          <w:szCs w:val="28"/>
        </w:rPr>
        <w:sectPr>
          <w:footerReference r:id="rId14" w:type="default"/>
          <w:pgSz w:w="11906" w:h="16838"/>
          <w:pgMar w:top="1440" w:right="1800" w:bottom="1440" w:left="1800" w:header="851" w:footer="992" w:gutter="0"/>
          <w:pgNumType w:fmt="decimal"/>
          <w:cols w:space="720" w:num="1"/>
          <w:docGrid w:type="lines" w:linePitch="312" w:charSpace="0"/>
        </w:sectPr>
      </w:pPr>
    </w:p>
    <w:p>
      <w:pPr>
        <w:spacing w:line="500" w:lineRule="exact"/>
        <w:jc w:val="center"/>
        <w:outlineLvl w:val="9"/>
        <w:rPr>
          <w:rFonts w:hint="eastAsia" w:ascii="宋体" w:hAnsi="宋体" w:eastAsia="宋体" w:cs="宋体"/>
          <w:b/>
          <w:spacing w:val="6"/>
          <w:sz w:val="28"/>
          <w:szCs w:val="28"/>
        </w:rPr>
      </w:pPr>
      <w:r>
        <w:rPr>
          <w:rFonts w:hint="eastAsia" w:ascii="宋体" w:hAnsi="宋体" w:eastAsia="宋体" w:cs="宋体"/>
          <w:b/>
          <w:spacing w:val="6"/>
          <w:sz w:val="28"/>
          <w:szCs w:val="28"/>
        </w:rPr>
        <w:t>2.残疾人福利性单位声明函</w:t>
      </w:r>
      <w:bookmarkEnd w:id="360"/>
    </w:p>
    <w:p>
      <w:pPr>
        <w:spacing w:line="500" w:lineRule="exact"/>
        <w:ind w:firstLine="1200" w:firstLineChars="500"/>
        <w:outlineLvl w:val="9"/>
        <w:rPr>
          <w:rFonts w:hint="eastAsia" w:ascii="宋体" w:hAnsi="宋体" w:eastAsia="宋体" w:cs="宋体"/>
          <w:sz w:val="24"/>
        </w:rPr>
      </w:pPr>
      <w:r>
        <w:rPr>
          <w:rFonts w:hint="eastAsia" w:ascii="宋体" w:hAnsi="宋体" w:eastAsia="宋体" w:cs="宋体"/>
          <w:sz w:val="24"/>
        </w:rPr>
        <w:t>（注：符合条件的残疾人福利性单位请提供本函，不符合的不提供本函）</w:t>
      </w:r>
    </w:p>
    <w:p>
      <w:pPr>
        <w:pStyle w:val="10"/>
        <w:outlineLvl w:val="9"/>
        <w:rPr>
          <w:rFonts w:hint="eastAsia" w:ascii="宋体" w:hAnsi="宋体" w:eastAsia="宋体" w:cs="宋体"/>
        </w:rPr>
      </w:pPr>
    </w:p>
    <w:p>
      <w:pPr>
        <w:spacing w:line="500" w:lineRule="exact"/>
        <w:ind w:firstLine="504" w:firstLineChars="200"/>
        <w:outlineLvl w:val="9"/>
        <w:rPr>
          <w:rFonts w:hint="eastAsia" w:ascii="宋体" w:hAnsi="宋体" w:eastAsia="宋体" w:cs="宋体"/>
          <w:spacing w:val="6"/>
          <w:sz w:val="24"/>
        </w:rPr>
      </w:pPr>
      <w:r>
        <w:rPr>
          <w:rFonts w:hint="eastAsia" w:ascii="宋体" w:hAnsi="宋体" w:eastAsia="宋体" w:cs="宋体"/>
          <w:spacing w:val="6"/>
          <w:sz w:val="24"/>
        </w:rPr>
        <w:t>本单位郑重声明，根据《财政部 民政部 中国残疾人联合会关于促进残疾人就业政府采购政策的通知》（财库</w:t>
      </w:r>
      <w:r>
        <w:rPr>
          <w:rFonts w:hint="eastAsia" w:ascii="宋体" w:hAnsi="宋体" w:eastAsia="宋体" w:cs="宋体"/>
          <w:sz w:val="24"/>
        </w:rPr>
        <w:t>〔2017〕 141</w:t>
      </w:r>
      <w:r>
        <w:rPr>
          <w:rFonts w:hint="eastAsia" w:ascii="宋体" w:hAnsi="宋体" w:eastAsia="宋体" w:cs="宋体"/>
          <w:spacing w:val="6"/>
          <w:sz w:val="24"/>
        </w:rPr>
        <w:t>号）的规定，本单位为符合条件的残疾人福利性单位，且本单位参加</w:t>
      </w:r>
      <w:r>
        <w:rPr>
          <w:rFonts w:hint="eastAsia" w:ascii="宋体" w:hAnsi="宋体" w:eastAsia="宋体" w:cs="宋体"/>
          <w:sz w:val="24"/>
          <w:u w:val="single"/>
        </w:rPr>
        <w:t xml:space="preserve">            </w:t>
      </w:r>
      <w:r>
        <w:rPr>
          <w:rFonts w:hint="eastAsia" w:ascii="宋体" w:hAnsi="宋体" w:eastAsia="宋体" w:cs="宋体"/>
          <w:spacing w:val="6"/>
          <w:sz w:val="24"/>
        </w:rPr>
        <w:t>单位的</w:t>
      </w:r>
      <w:r>
        <w:rPr>
          <w:rFonts w:hint="eastAsia" w:ascii="宋体" w:hAnsi="宋体" w:eastAsia="宋体" w:cs="宋体"/>
          <w:b/>
          <w:bCs/>
          <w:spacing w:val="6"/>
          <w:sz w:val="24"/>
          <w:u w:val="single"/>
        </w:rPr>
        <w:t xml:space="preserve">         </w:t>
      </w:r>
      <w:r>
        <w:rPr>
          <w:rFonts w:hint="eastAsia" w:ascii="宋体" w:hAnsi="宋体" w:eastAsia="宋体"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00" w:lineRule="exact"/>
        <w:ind w:firstLine="504" w:firstLineChars="200"/>
        <w:outlineLvl w:val="9"/>
        <w:rPr>
          <w:rFonts w:hint="eastAsia" w:ascii="宋体" w:hAnsi="宋体" w:eastAsia="宋体" w:cs="宋体"/>
          <w:spacing w:val="6"/>
          <w:sz w:val="24"/>
        </w:rPr>
      </w:pPr>
      <w:r>
        <w:rPr>
          <w:rFonts w:hint="eastAsia" w:ascii="宋体" w:hAnsi="宋体" w:eastAsia="宋体" w:cs="宋体"/>
          <w:spacing w:val="6"/>
          <w:sz w:val="24"/>
        </w:rPr>
        <w:t>本单位对上述声明的真实性负责。如有虚假，将依法承担相应责任。</w:t>
      </w:r>
    </w:p>
    <w:p>
      <w:pPr>
        <w:spacing w:line="500" w:lineRule="exact"/>
        <w:outlineLvl w:val="9"/>
        <w:rPr>
          <w:rFonts w:hint="eastAsia" w:ascii="宋体" w:hAnsi="宋体" w:eastAsia="宋体" w:cs="宋体"/>
          <w:spacing w:val="6"/>
          <w:sz w:val="24"/>
        </w:rPr>
      </w:pPr>
    </w:p>
    <w:p>
      <w:pPr>
        <w:tabs>
          <w:tab w:val="left" w:pos="4860"/>
        </w:tabs>
        <w:spacing w:line="500" w:lineRule="exact"/>
        <w:ind w:right="1560" w:firstLine="504" w:firstLineChars="200"/>
        <w:jc w:val="center"/>
        <w:outlineLvl w:val="9"/>
        <w:rPr>
          <w:rFonts w:hint="eastAsia" w:ascii="宋体" w:hAnsi="宋体" w:eastAsia="宋体" w:cs="宋体"/>
          <w:spacing w:val="6"/>
          <w:sz w:val="24"/>
        </w:rPr>
      </w:pPr>
      <w:r>
        <w:rPr>
          <w:rFonts w:hint="eastAsia" w:ascii="宋体" w:hAnsi="宋体" w:eastAsia="宋体" w:cs="宋体"/>
          <w:spacing w:val="6"/>
          <w:sz w:val="24"/>
        </w:rPr>
        <w:t xml:space="preserve">                                  单位名称（盖章）：</w:t>
      </w:r>
    </w:p>
    <w:p>
      <w:pPr>
        <w:adjustRightInd w:val="0"/>
        <w:snapToGrid w:val="0"/>
        <w:spacing w:line="500" w:lineRule="exact"/>
        <w:ind w:firstLine="630" w:firstLineChars="250"/>
        <w:outlineLvl w:val="9"/>
        <w:rPr>
          <w:rFonts w:hint="eastAsia" w:ascii="宋体" w:hAnsi="宋体" w:eastAsia="宋体" w:cs="宋体"/>
          <w:szCs w:val="21"/>
        </w:rPr>
      </w:pPr>
      <w:r>
        <w:rPr>
          <w:rFonts w:hint="eastAsia" w:ascii="宋体" w:hAnsi="宋体" w:eastAsia="宋体" w:cs="宋体"/>
          <w:spacing w:val="6"/>
          <w:sz w:val="24"/>
        </w:rPr>
        <w:t xml:space="preserve">                                         日  期：</w:t>
      </w:r>
    </w:p>
    <w:p>
      <w:pPr>
        <w:adjustRightInd w:val="0"/>
        <w:snapToGrid w:val="0"/>
        <w:spacing w:line="500" w:lineRule="exact"/>
        <w:outlineLvl w:val="9"/>
        <w:rPr>
          <w:rFonts w:hint="eastAsia" w:ascii="宋体" w:hAnsi="宋体" w:eastAsia="宋体" w:cs="宋体"/>
          <w:szCs w:val="21"/>
        </w:rPr>
      </w:pPr>
    </w:p>
    <w:p>
      <w:pPr>
        <w:tabs>
          <w:tab w:val="left" w:pos="5670"/>
        </w:tabs>
        <w:ind w:firstLine="566"/>
        <w:outlineLvl w:val="9"/>
        <w:rPr>
          <w:rFonts w:hint="eastAsia" w:ascii="宋体" w:hAnsi="宋体" w:eastAsia="宋体" w:cs="宋体"/>
          <w:szCs w:val="21"/>
        </w:rPr>
      </w:pPr>
      <w:r>
        <w:rPr>
          <w:rFonts w:hint="eastAsia" w:ascii="宋体" w:hAnsi="宋体" w:eastAsia="宋体" w:cs="宋体"/>
          <w:b/>
          <w:bCs/>
          <w:szCs w:val="21"/>
        </w:rPr>
        <w:t>备注：</w:t>
      </w:r>
      <w:r>
        <w:rPr>
          <w:rFonts w:hint="eastAsia" w:ascii="宋体" w:hAnsi="宋体" w:eastAsia="宋体" w:cs="宋体"/>
          <w:szCs w:val="21"/>
        </w:rPr>
        <w:t>项目不分标段的，第___标段空白处填写“/”。</w:t>
      </w:r>
    </w:p>
    <w:p>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根据《财政部 民政部 中国残疾人联合会关于促进残疾人就业政府采购政策的通知》（财库〔2017〕141号）的规定：</w:t>
      </w:r>
    </w:p>
    <w:p>
      <w:pPr>
        <w:tabs>
          <w:tab w:val="left" w:pos="5670"/>
        </w:tabs>
        <w:ind w:firstLine="420" w:firstLineChars="200"/>
        <w:outlineLvl w:val="9"/>
        <w:rPr>
          <w:rFonts w:hint="eastAsia" w:ascii="宋体" w:hAnsi="宋体" w:eastAsia="宋体" w:cs="宋体"/>
          <w:szCs w:val="21"/>
        </w:rPr>
      </w:pPr>
      <w:r>
        <w:rPr>
          <w:rFonts w:hint="eastAsia" w:ascii="宋体" w:hAnsi="宋体" w:eastAsia="宋体" w:cs="宋体"/>
          <w:szCs w:val="21"/>
        </w:rPr>
        <w:t>一、享受政府采购支持政策的残疾人福利性单位应当同时满足以下条件：</w:t>
      </w:r>
    </w:p>
    <w:p>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（一）安置的残疾人占本单位在职职工人数的比例不低于25%（含25%），并且安置的残疾人人数不少于10人（含10人）；</w:t>
      </w:r>
    </w:p>
    <w:p>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（二）依法与安置的每位残疾人签订了一年以上（含一年）的劳动合同或服务协议；</w:t>
      </w:r>
    </w:p>
    <w:p>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（三）为安置的每位残疾人按月足额缴纳了基本养老保险、基本医疗保险、失业保险、工伤保险和生育保险等社会保险费；</w:t>
      </w:r>
    </w:p>
    <w:p>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（四）通过银行等金融机构向安置的每位残疾人，按月支付了不低于单位所在区县适用的经省级人民政府批准的月最低工资标准的工资；</w:t>
      </w:r>
    </w:p>
    <w:p>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（五）提供本单位承担的服务（以下简称产品），或者提供其他残疾人福利性单位提供的服。</w:t>
      </w:r>
    </w:p>
    <w:p>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tabs>
          <w:tab w:val="left" w:pos="5670"/>
        </w:tabs>
        <w:ind w:firstLine="420" w:firstLineChars="200"/>
        <w:outlineLvl w:val="9"/>
        <w:rPr>
          <w:rFonts w:hint="eastAsia" w:ascii="宋体" w:hAnsi="宋体" w:eastAsia="宋体" w:cs="宋体"/>
          <w:szCs w:val="21"/>
        </w:rPr>
      </w:pPr>
      <w:r>
        <w:rPr>
          <w:rFonts w:hint="eastAsia" w:ascii="宋体" w:hAnsi="宋体" w:eastAsia="宋体" w:cs="宋体"/>
          <w:szCs w:val="21"/>
        </w:rPr>
        <w:t>二、中标、成交供应商为残疾人福利性单位的，采购人或者其委托的采购代理机构应当随中标、成交结果同时公告其《残疾人福利性单位声明函》，接受社会监督。</w:t>
      </w:r>
    </w:p>
    <w:p>
      <w:pPr>
        <w:tabs>
          <w:tab w:val="left" w:pos="5670"/>
        </w:tabs>
        <w:jc w:val="center"/>
        <w:outlineLvl w:val="9"/>
        <w:rPr>
          <w:rFonts w:hint="eastAsia" w:ascii="宋体" w:hAnsi="宋体" w:eastAsia="宋体" w:cs="宋体"/>
          <w:b/>
          <w:spacing w:val="6"/>
          <w:sz w:val="28"/>
          <w:szCs w:val="28"/>
        </w:rPr>
      </w:pPr>
      <w:r>
        <w:rPr>
          <w:rFonts w:hint="eastAsia" w:ascii="宋体" w:hAnsi="宋体" w:eastAsia="宋体" w:cs="宋体"/>
          <w:b/>
          <w:bCs/>
          <w:sz w:val="36"/>
          <w:szCs w:val="36"/>
        </w:rPr>
        <w:br w:type="page"/>
      </w:r>
      <w:bookmarkStart w:id="361" w:name="_Toc23398"/>
      <w:r>
        <w:rPr>
          <w:rFonts w:hint="eastAsia" w:ascii="宋体" w:hAnsi="宋体" w:eastAsia="宋体" w:cs="宋体"/>
          <w:b/>
          <w:bCs/>
          <w:sz w:val="28"/>
          <w:szCs w:val="28"/>
        </w:rPr>
        <w:t>3.</w:t>
      </w:r>
      <w:r>
        <w:rPr>
          <w:rFonts w:hint="eastAsia" w:ascii="宋体" w:hAnsi="宋体" w:eastAsia="宋体" w:cs="宋体"/>
          <w:b/>
          <w:spacing w:val="6"/>
          <w:sz w:val="28"/>
          <w:szCs w:val="28"/>
        </w:rPr>
        <w:t>监狱企业证明函</w:t>
      </w:r>
      <w:bookmarkEnd w:id="361"/>
    </w:p>
    <w:p>
      <w:pPr>
        <w:jc w:val="center"/>
        <w:outlineLvl w:val="9"/>
        <w:rPr>
          <w:rFonts w:hint="eastAsia" w:ascii="宋体" w:hAnsi="宋体" w:eastAsia="宋体" w:cs="宋体"/>
          <w:sz w:val="24"/>
        </w:rPr>
      </w:pPr>
      <w:r>
        <w:rPr>
          <w:rFonts w:hint="eastAsia" w:ascii="宋体" w:hAnsi="宋体" w:eastAsia="宋体" w:cs="宋体"/>
          <w:sz w:val="24"/>
        </w:rPr>
        <w:t>（注：符合条件的监狱企业请提供本函，不符合的不提供本函）</w:t>
      </w:r>
    </w:p>
    <w:p>
      <w:pPr>
        <w:outlineLvl w:val="9"/>
        <w:rPr>
          <w:rFonts w:hint="eastAsia" w:ascii="宋体" w:hAnsi="宋体" w:eastAsia="宋体" w:cs="宋体"/>
        </w:rPr>
      </w:pPr>
    </w:p>
    <w:p>
      <w:pPr>
        <w:spacing w:line="500" w:lineRule="exact"/>
        <w:ind w:firstLine="480" w:firstLineChars="200"/>
        <w:outlineLvl w:val="9"/>
        <w:rPr>
          <w:rFonts w:hint="eastAsia" w:ascii="宋体" w:hAnsi="宋体" w:eastAsia="宋体" w:cs="宋体"/>
          <w:sz w:val="24"/>
        </w:rPr>
      </w:pPr>
      <w:r>
        <w:rPr>
          <w:rFonts w:hint="eastAsia" w:ascii="宋体" w:hAnsi="宋体" w:eastAsia="宋体" w:cs="宋体"/>
          <w:sz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outlineLvl w:val="9"/>
        <w:rPr>
          <w:rFonts w:hint="eastAsia" w:ascii="宋体" w:hAnsi="宋体" w:eastAsia="宋体" w:cs="宋体"/>
          <w:sz w:val="24"/>
        </w:rPr>
      </w:pPr>
      <w:r>
        <w:rPr>
          <w:rFonts w:hint="eastAsia" w:ascii="宋体" w:hAnsi="宋体" w:eastAsia="宋体" w:cs="宋体"/>
          <w:sz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23"/>
        <w:ind w:firstLine="183"/>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widowControl/>
        <w:jc w:val="left"/>
        <w:outlineLvl w:val="9"/>
        <w:rPr>
          <w:rFonts w:hint="eastAsia" w:ascii="宋体" w:hAnsi="宋体" w:eastAsia="宋体" w:cs="宋体"/>
          <w:kern w:val="0"/>
          <w:sz w:val="24"/>
          <w:u w:val="single"/>
        </w:rPr>
      </w:pPr>
      <w:r>
        <w:rPr>
          <w:rFonts w:hint="eastAsia" w:ascii="宋体" w:hAnsi="宋体" w:eastAsia="宋体" w:cs="宋体"/>
        </w:rPr>
        <w:tab/>
      </w:r>
      <w:r>
        <w:rPr>
          <w:rFonts w:hint="eastAsia" w:ascii="宋体" w:hAnsi="宋体" w:eastAsia="宋体" w:cs="宋体"/>
        </w:rPr>
        <w:t xml:space="preserve"> </w:t>
      </w:r>
      <w:r>
        <w:rPr>
          <w:rFonts w:hint="eastAsia" w:ascii="宋体" w:hAnsi="宋体" w:eastAsia="宋体" w:cs="宋体"/>
          <w:kern w:val="0"/>
          <w:sz w:val="24"/>
        </w:rPr>
        <w:t>供应商（盖章）：</w:t>
      </w:r>
      <w:r>
        <w:rPr>
          <w:rFonts w:hint="eastAsia" w:ascii="宋体" w:hAnsi="宋体" w:eastAsia="宋体" w:cs="宋体"/>
          <w:kern w:val="0"/>
          <w:sz w:val="24"/>
          <w:u w:val="single"/>
        </w:rPr>
        <w:t xml:space="preserve">                                               </w:t>
      </w:r>
    </w:p>
    <w:p>
      <w:pPr>
        <w:widowControl/>
        <w:ind w:firstLine="482"/>
        <w:jc w:val="left"/>
        <w:outlineLvl w:val="9"/>
        <w:rPr>
          <w:rFonts w:hint="eastAsia" w:ascii="宋体" w:hAnsi="宋体" w:eastAsia="宋体" w:cs="宋体"/>
          <w:kern w:val="0"/>
          <w:sz w:val="24"/>
        </w:rPr>
      </w:pPr>
    </w:p>
    <w:p>
      <w:pPr>
        <w:widowControl/>
        <w:ind w:firstLine="480" w:firstLineChars="200"/>
        <w:jc w:val="left"/>
        <w:outlineLvl w:val="9"/>
        <w:rPr>
          <w:rFonts w:hint="eastAsia" w:ascii="宋体" w:hAnsi="宋体" w:eastAsia="宋体" w:cs="宋体"/>
          <w:kern w:val="0"/>
          <w:sz w:val="24"/>
          <w:u w:val="single"/>
        </w:rPr>
      </w:pPr>
      <w:r>
        <w:rPr>
          <w:rFonts w:hint="eastAsia" w:ascii="宋体" w:hAnsi="宋体" w:eastAsia="宋体" w:cs="宋体"/>
          <w:kern w:val="0"/>
          <w:sz w:val="24"/>
        </w:rPr>
        <w:t>承诺人（签字）：</w:t>
      </w:r>
      <w:r>
        <w:rPr>
          <w:rFonts w:hint="eastAsia" w:ascii="宋体" w:hAnsi="宋体" w:eastAsia="宋体" w:cs="宋体"/>
          <w:kern w:val="0"/>
          <w:sz w:val="24"/>
          <w:u w:val="single"/>
        </w:rPr>
        <w:t xml:space="preserve">                 </w:t>
      </w:r>
    </w:p>
    <w:p>
      <w:pPr>
        <w:widowControl/>
        <w:ind w:firstLine="482"/>
        <w:jc w:val="left"/>
        <w:outlineLvl w:val="9"/>
        <w:rPr>
          <w:rFonts w:hint="eastAsia" w:ascii="宋体" w:hAnsi="宋体" w:eastAsia="宋体" w:cs="宋体"/>
          <w:kern w:val="0"/>
          <w:sz w:val="24"/>
          <w:u w:val="single"/>
        </w:rPr>
      </w:pPr>
    </w:p>
    <w:p>
      <w:pPr>
        <w:widowControl/>
        <w:ind w:firstLine="480" w:firstLineChars="200"/>
        <w:jc w:val="left"/>
        <w:outlineLvl w:val="9"/>
        <w:rPr>
          <w:rFonts w:hint="eastAsia" w:ascii="宋体" w:hAnsi="宋体" w:eastAsia="宋体" w:cs="宋体"/>
          <w:kern w:val="0"/>
          <w:sz w:val="24"/>
        </w:rPr>
      </w:pPr>
      <w:r>
        <w:rPr>
          <w:rFonts w:hint="eastAsia" w:ascii="宋体" w:hAnsi="宋体" w:eastAsia="宋体" w:cs="宋体"/>
          <w:kern w:val="0"/>
          <w:sz w:val="24"/>
        </w:rPr>
        <w:t>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pPr>
        <w:pStyle w:val="16"/>
        <w:outlineLvl w:val="9"/>
        <w:rPr>
          <w:rFonts w:hint="eastAsia" w:ascii="宋体" w:hAnsi="宋体" w:eastAsia="宋体" w:cs="宋体"/>
          <w:kern w:val="0"/>
          <w:sz w:val="24"/>
        </w:rPr>
      </w:pPr>
    </w:p>
    <w:p>
      <w:pPr>
        <w:kinsoku w:val="0"/>
        <w:spacing w:line="360" w:lineRule="auto"/>
        <w:ind w:firstLine="1205" w:firstLineChars="500"/>
        <w:outlineLvl w:val="9"/>
        <w:rPr>
          <w:rFonts w:hint="eastAsia" w:ascii="宋体" w:hAnsi="宋体" w:cs="宋体"/>
          <w:b/>
          <w:bCs/>
          <w:sz w:val="24"/>
          <w:szCs w:val="24"/>
        </w:rPr>
      </w:pPr>
    </w:p>
    <w:p>
      <w:pPr>
        <w:spacing w:line="240" w:lineRule="auto"/>
        <w:jc w:val="center"/>
        <w:outlineLvl w:val="9"/>
        <w:rPr>
          <w:rFonts w:hint="eastAsia"/>
          <w:sz w:val="36"/>
          <w:szCs w:val="16"/>
        </w:rPr>
      </w:pPr>
    </w:p>
    <w:p>
      <w:pPr>
        <w:outlineLvl w:val="9"/>
        <w:rPr>
          <w:rFonts w:hint="eastAsia"/>
          <w:sz w:val="36"/>
          <w:szCs w:val="16"/>
        </w:rPr>
      </w:pPr>
    </w:p>
    <w:p>
      <w:pPr>
        <w:pStyle w:val="10"/>
        <w:outlineLvl w:val="9"/>
        <w:rPr>
          <w:rFonts w:hint="eastAsia"/>
          <w:sz w:val="36"/>
          <w:szCs w:val="16"/>
        </w:rPr>
      </w:pPr>
    </w:p>
    <w:bookmarkEnd w:id="352"/>
    <w:bookmarkEnd w:id="353"/>
    <w:bookmarkEnd w:id="354"/>
    <w:bookmarkEnd w:id="355"/>
    <w:bookmarkEnd w:id="356"/>
    <w:p>
      <w:pPr>
        <w:pStyle w:val="10"/>
        <w:outlineLvl w:val="9"/>
        <w:rPr>
          <w:rFonts w:hint="eastAsia" w:ascii="宋体" w:hAnsi="宋体" w:cs="宋体"/>
          <w:sz w:val="36"/>
          <w:szCs w:val="36"/>
        </w:rPr>
      </w:pPr>
      <w:bookmarkStart w:id="362" w:name="_Toc3658"/>
      <w:bookmarkStart w:id="363" w:name="_Toc2007"/>
      <w:bookmarkStart w:id="364" w:name="_Toc8066"/>
    </w:p>
    <w:p>
      <w:pPr>
        <w:outlineLvl w:val="9"/>
        <w:rPr>
          <w:rFonts w:hint="eastAsia" w:ascii="宋体" w:hAnsi="宋体" w:cs="宋体"/>
          <w:sz w:val="36"/>
          <w:szCs w:val="36"/>
        </w:rPr>
      </w:pPr>
    </w:p>
    <w:p>
      <w:pPr>
        <w:pStyle w:val="10"/>
        <w:outlineLvl w:val="9"/>
        <w:rPr>
          <w:rFonts w:hint="eastAsia" w:ascii="宋体" w:hAnsi="宋体" w:cs="宋体"/>
          <w:sz w:val="36"/>
          <w:szCs w:val="36"/>
        </w:rPr>
      </w:pPr>
    </w:p>
    <w:p>
      <w:pPr>
        <w:adjustRightInd w:val="0"/>
        <w:snapToGrid w:val="0"/>
        <w:spacing w:line="500" w:lineRule="exact"/>
        <w:ind w:firstLine="964" w:firstLineChars="300"/>
        <w:jc w:val="both"/>
        <w:outlineLvl w:val="0"/>
        <w:rPr>
          <w:b/>
          <w:bCs/>
          <w:sz w:val="32"/>
          <w:szCs w:val="28"/>
        </w:rPr>
      </w:pPr>
      <w:bookmarkStart w:id="365" w:name="_Toc25531"/>
      <w:bookmarkStart w:id="366" w:name="_Toc1810"/>
      <w:bookmarkStart w:id="367" w:name="_Toc23524"/>
      <w:bookmarkStart w:id="368" w:name="_Toc11256"/>
      <w:bookmarkStart w:id="369" w:name="_Toc10444"/>
      <w:bookmarkStart w:id="370" w:name="_Toc26945"/>
      <w:bookmarkStart w:id="371" w:name="_Toc13397"/>
      <w:bookmarkStart w:id="372" w:name="_Toc7372"/>
      <w:bookmarkStart w:id="373" w:name="_Toc30245"/>
      <w:bookmarkStart w:id="374" w:name="_Toc3826"/>
      <w:r>
        <w:rPr>
          <w:rFonts w:hint="eastAsia" w:ascii="宋体" w:hAnsi="宋体" w:cs="宋体"/>
          <w:b/>
          <w:bCs/>
          <w:sz w:val="32"/>
          <w:szCs w:val="28"/>
          <w:lang w:val="en-US" w:eastAsia="zh-CN"/>
        </w:rPr>
        <w:t xml:space="preserve">第八章  </w:t>
      </w:r>
      <w:bookmarkEnd w:id="365"/>
      <w:bookmarkEnd w:id="366"/>
      <w:bookmarkEnd w:id="367"/>
      <w:bookmarkEnd w:id="368"/>
      <w:bookmarkEnd w:id="369"/>
      <w:bookmarkEnd w:id="370"/>
      <w:bookmarkEnd w:id="371"/>
      <w:bookmarkEnd w:id="372"/>
      <w:bookmarkEnd w:id="373"/>
      <w:bookmarkStart w:id="375" w:name="_Toc4420"/>
      <w:bookmarkStart w:id="376" w:name="_Toc27221"/>
      <w:r>
        <w:rPr>
          <w:rFonts w:hint="eastAsia" w:ascii="宋体" w:hAnsi="宋体" w:cs="宋体"/>
          <w:b/>
          <w:bCs/>
          <w:sz w:val="32"/>
          <w:szCs w:val="28"/>
        </w:rPr>
        <w:t>关于信用承诺网上公示的通知及操作指南</w:t>
      </w:r>
      <w:bookmarkEnd w:id="374"/>
      <w:bookmarkEnd w:id="375"/>
      <w:bookmarkEnd w:id="376"/>
    </w:p>
    <w:p>
      <w:pPr>
        <w:bidi w:val="0"/>
        <w:outlineLvl w:val="9"/>
        <w:rPr>
          <w:rFonts w:hint="eastAsia"/>
          <w:sz w:val="36"/>
          <w:szCs w:val="36"/>
        </w:rPr>
      </w:pPr>
    </w:p>
    <w:p>
      <w:pPr>
        <w:pStyle w:val="7"/>
        <w:spacing w:line="480" w:lineRule="auto"/>
        <w:ind w:firstLine="0"/>
        <w:jc w:val="center"/>
        <w:outlineLvl w:val="9"/>
        <w:sectPr>
          <w:footerReference r:id="rId15" w:type="default"/>
          <w:pgSz w:w="11906" w:h="16838"/>
          <w:pgMar w:top="1440" w:right="1531" w:bottom="1440" w:left="1531" w:header="720" w:footer="720" w:gutter="0"/>
          <w:pgNumType w:fmt="decimal"/>
          <w:cols w:space="720" w:num="1"/>
          <w:docGrid w:type="lines" w:linePitch="312" w:charSpace="0"/>
        </w:sectPr>
      </w:pPr>
      <w:r>
        <w:drawing>
          <wp:inline distT="0" distB="0" distL="114300" distR="114300">
            <wp:extent cx="5298440" cy="7381240"/>
            <wp:effectExtent l="0" t="0" r="16510" b="10160"/>
            <wp:docPr id="27" name="图片 26" descr="C:/Users/Administrator/AppData/Local/Temp/picturecompress_20211201175357/output_26.pn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AppData/Local/Temp/picturecompress_20211201175357/output_26.pngoutput_26"/>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drawing>
          <wp:inline distT="0" distB="0" distL="114300" distR="114300">
            <wp:extent cx="5807075" cy="7776210"/>
            <wp:effectExtent l="0" t="0" r="3175" b="15240"/>
            <wp:docPr id="26" name="图片 27" descr="C:/Users/Administrator/AppData/Local/Temp/picturecompress_20211201175357/output_27.pn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C:/Users/Administrator/AppData/Local/Temp/picturecompress_20211201175357/output_27.pngoutput_27"/>
                    <pic:cNvPicPr>
                      <a:picLocks noChangeAspect="1"/>
                    </pic:cNvPicPr>
                  </pic:nvPicPr>
                  <pic:blipFill>
                    <a:blip r:embed="rId20"/>
                    <a:stretch>
                      <a:fillRect/>
                    </a:stretch>
                  </pic:blipFill>
                  <pic:spPr>
                    <a:xfrm>
                      <a:off x="0" y="0"/>
                      <a:ext cx="5807075" cy="7776210"/>
                    </a:xfrm>
                    <a:prstGeom prst="rect">
                      <a:avLst/>
                    </a:prstGeom>
                    <a:noFill/>
                    <a:ln>
                      <a:noFill/>
                    </a:ln>
                  </pic:spPr>
                </pic:pic>
              </a:graphicData>
            </a:graphic>
          </wp:inline>
        </w:drawing>
      </w:r>
    </w:p>
    <w:p>
      <w:pPr>
        <w:jc w:val="both"/>
        <w:outlineLvl w:val="9"/>
      </w:pPr>
      <w:r>
        <w:drawing>
          <wp:inline distT="0" distB="0" distL="114300" distR="114300">
            <wp:extent cx="5537200" cy="7781290"/>
            <wp:effectExtent l="0" t="0" r="10160" b="6350"/>
            <wp:docPr id="47" name="图片 28" descr="C:/Users/Administrator/AppData/Local/Temp/picturecompress_20211201175357/output_28.pn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descr="C:/Users/Administrator/AppData/Local/Temp/picturecompress_20211201175357/output_28.pngoutput_28"/>
                    <pic:cNvPicPr>
                      <a:picLocks noChangeAspect="1"/>
                    </pic:cNvPicPr>
                  </pic:nvPicPr>
                  <pic:blipFill>
                    <a:blip r:embed="rId21"/>
                    <a:stretch>
                      <a:fillRect/>
                    </a:stretch>
                  </pic:blipFill>
                  <pic:spPr>
                    <a:xfrm rot="5400000">
                      <a:off x="0" y="0"/>
                      <a:ext cx="5537200" cy="7781290"/>
                    </a:xfrm>
                    <a:prstGeom prst="rect">
                      <a:avLst/>
                    </a:prstGeom>
                    <a:noFill/>
                    <a:ln>
                      <a:noFill/>
                    </a:ln>
                  </pic:spPr>
                </pic:pic>
              </a:graphicData>
            </a:graphic>
          </wp:inline>
        </w:drawing>
      </w:r>
      <w:r>
        <w:drawing>
          <wp:inline distT="0" distB="0" distL="114300" distR="114300">
            <wp:extent cx="5761355" cy="7972425"/>
            <wp:effectExtent l="0" t="0" r="9525" b="10795"/>
            <wp:docPr id="46" name="图片 29" descr="C:/Users/Administrator/AppData/Local/Temp/picturecompress_20211201175357/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descr="C:/Users/Administrator/AppData/Local/Temp/picturecompress_20211201175357/output_29.pngoutput_29"/>
                    <pic:cNvPicPr>
                      <a:picLocks noChangeAspect="1"/>
                    </pic:cNvPicPr>
                  </pic:nvPicPr>
                  <pic:blipFill>
                    <a:blip r:embed="rId22"/>
                    <a:stretch>
                      <a:fillRect/>
                    </a:stretch>
                  </pic:blipFill>
                  <pic:spPr>
                    <a:xfrm rot="5400000">
                      <a:off x="0" y="0"/>
                      <a:ext cx="5761355" cy="7972425"/>
                    </a:xfrm>
                    <a:prstGeom prst="rect">
                      <a:avLst/>
                    </a:prstGeom>
                    <a:noFill/>
                    <a:ln>
                      <a:noFill/>
                    </a:ln>
                  </pic:spPr>
                </pic:pic>
              </a:graphicData>
            </a:graphic>
          </wp:inline>
        </w:drawing>
      </w:r>
      <w:r>
        <w:drawing>
          <wp:inline distT="0" distB="0" distL="114300" distR="114300">
            <wp:extent cx="5375275" cy="7501255"/>
            <wp:effectExtent l="0" t="0" r="4445" b="15875"/>
            <wp:docPr id="45" name="图片 30" descr="C:/Users/Administrator/AppData/Local/Temp/picturecompress_20211201175357/output_30.pn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C:/Users/Administrator/AppData/Local/Temp/picturecompress_20211201175357/output_30.pngoutput_30"/>
                    <pic:cNvPicPr>
                      <a:picLocks noChangeAspect="1"/>
                    </pic:cNvPicPr>
                  </pic:nvPicPr>
                  <pic:blipFill>
                    <a:blip r:embed="rId23"/>
                    <a:stretch>
                      <a:fillRect/>
                    </a:stretch>
                  </pic:blipFill>
                  <pic:spPr>
                    <a:xfrm rot="5400000">
                      <a:off x="0" y="0"/>
                      <a:ext cx="5375275" cy="7501255"/>
                    </a:xfrm>
                    <a:prstGeom prst="rect">
                      <a:avLst/>
                    </a:prstGeom>
                    <a:noFill/>
                    <a:ln>
                      <a:noFill/>
                    </a:ln>
                  </pic:spPr>
                </pic:pic>
              </a:graphicData>
            </a:graphic>
          </wp:inline>
        </w:drawing>
      </w:r>
      <w:r>
        <w:drawing>
          <wp:inline distT="0" distB="0" distL="114300" distR="114300">
            <wp:extent cx="5640070" cy="7687310"/>
            <wp:effectExtent l="0" t="0" r="8890" b="17780"/>
            <wp:docPr id="44" name="图片 31" descr="C:/Users/Administrator/AppData/Local/Temp/picturecompress_20211201175519/output_31.pn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C:/Users/Administrator/AppData/Local/Temp/picturecompress_20211201175519/output_31.pngoutput_31"/>
                    <pic:cNvPicPr>
                      <a:picLocks noChangeAspect="1"/>
                    </pic:cNvPicPr>
                  </pic:nvPicPr>
                  <pic:blipFill>
                    <a:blip r:embed="rId24"/>
                    <a:stretch>
                      <a:fillRect/>
                    </a:stretch>
                  </pic:blipFill>
                  <pic:spPr>
                    <a:xfrm rot="5400000">
                      <a:off x="0" y="0"/>
                      <a:ext cx="5640070" cy="7687310"/>
                    </a:xfrm>
                    <a:prstGeom prst="rect">
                      <a:avLst/>
                    </a:prstGeom>
                    <a:noFill/>
                    <a:ln>
                      <a:noFill/>
                    </a:ln>
                  </pic:spPr>
                </pic:pic>
              </a:graphicData>
            </a:graphic>
          </wp:inline>
        </w:drawing>
      </w:r>
      <w:r>
        <w:drawing>
          <wp:inline distT="0" distB="0" distL="114300" distR="114300">
            <wp:extent cx="5534025" cy="7713980"/>
            <wp:effectExtent l="0" t="0" r="1270" b="9525"/>
            <wp:docPr id="43" name="图片 32" descr="C:/Users/Administrator/AppData/Local/Temp/picturecompress_20211201175357/output_32.pn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C:/Users/Administrator/AppData/Local/Temp/picturecompress_20211201175357/output_32.pngoutput_32"/>
                    <pic:cNvPicPr>
                      <a:picLocks noChangeAspect="1"/>
                    </pic:cNvPicPr>
                  </pic:nvPicPr>
                  <pic:blipFill>
                    <a:blip r:embed="rId25"/>
                    <a:stretch>
                      <a:fillRect/>
                    </a:stretch>
                  </pic:blipFill>
                  <pic:spPr>
                    <a:xfrm rot="5400000">
                      <a:off x="0" y="0"/>
                      <a:ext cx="5534025" cy="7713980"/>
                    </a:xfrm>
                    <a:prstGeom prst="rect">
                      <a:avLst/>
                    </a:prstGeom>
                    <a:noFill/>
                    <a:ln>
                      <a:noFill/>
                    </a:ln>
                  </pic:spPr>
                </pic:pic>
              </a:graphicData>
            </a:graphic>
          </wp:inline>
        </w:drawing>
      </w:r>
      <w:r>
        <w:drawing>
          <wp:inline distT="0" distB="0" distL="114300" distR="114300">
            <wp:extent cx="5464175" cy="7693660"/>
            <wp:effectExtent l="0" t="0" r="2540" b="3175"/>
            <wp:docPr id="42" name="图片 33" descr="C:/Users/Administrator/AppData/Local/Temp/picturecompress_20211201175357/output_33.pn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C:/Users/Administrator/AppData/Local/Temp/picturecompress_20211201175357/output_33.pngoutput_33"/>
                    <pic:cNvPicPr>
                      <a:picLocks noChangeAspect="1"/>
                    </pic:cNvPicPr>
                  </pic:nvPicPr>
                  <pic:blipFill>
                    <a:blip r:embed="rId26"/>
                    <a:stretch>
                      <a:fillRect/>
                    </a:stretch>
                  </pic:blipFill>
                  <pic:spPr>
                    <a:xfrm rot="5400000">
                      <a:off x="0" y="0"/>
                      <a:ext cx="5464175" cy="7693660"/>
                    </a:xfrm>
                    <a:prstGeom prst="rect">
                      <a:avLst/>
                    </a:prstGeom>
                    <a:noFill/>
                    <a:ln>
                      <a:noFill/>
                    </a:ln>
                  </pic:spPr>
                </pic:pic>
              </a:graphicData>
            </a:graphic>
          </wp:inline>
        </w:drawing>
      </w:r>
      <w:r>
        <w:drawing>
          <wp:inline distT="0" distB="0" distL="114300" distR="114300">
            <wp:extent cx="5580380" cy="7706995"/>
            <wp:effectExtent l="0" t="0" r="8255" b="1270"/>
            <wp:docPr id="41" name="图片 34" descr="C:/Users/Administrator/AppData/Local/Temp/picturecompress_20211201175357/output_34.pn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C:/Users/Administrator/AppData/Local/Temp/picturecompress_20211201175357/output_34.pngoutput_34"/>
                    <pic:cNvPicPr>
                      <a:picLocks noChangeAspect="1"/>
                    </pic:cNvPicPr>
                  </pic:nvPicPr>
                  <pic:blipFill>
                    <a:blip r:embed="rId27"/>
                    <a:stretch>
                      <a:fillRect/>
                    </a:stretch>
                  </pic:blipFill>
                  <pic:spPr>
                    <a:xfrm rot="5400000">
                      <a:off x="0" y="0"/>
                      <a:ext cx="5580380" cy="7706995"/>
                    </a:xfrm>
                    <a:prstGeom prst="rect">
                      <a:avLst/>
                    </a:prstGeom>
                    <a:noFill/>
                    <a:ln>
                      <a:noFill/>
                    </a:ln>
                  </pic:spPr>
                </pic:pic>
              </a:graphicData>
            </a:graphic>
          </wp:inline>
        </w:drawing>
      </w:r>
      <w:r>
        <w:drawing>
          <wp:inline distT="0" distB="0" distL="114300" distR="114300">
            <wp:extent cx="6002020" cy="8295005"/>
            <wp:effectExtent l="0" t="0" r="10795" b="17780"/>
            <wp:docPr id="40" name="图片 35" descr="C:/Users/Administrator/AppData/Local/Temp/picturecompress_20211201175357/output_35.pn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C:/Users/Administrator/AppData/Local/Temp/picturecompress_20211201175357/output_35.pngoutput_35"/>
                    <pic:cNvPicPr>
                      <a:picLocks noChangeAspect="1"/>
                    </pic:cNvPicPr>
                  </pic:nvPicPr>
                  <pic:blipFill>
                    <a:blip r:embed="rId28"/>
                    <a:stretch>
                      <a:fillRect/>
                    </a:stretch>
                  </pic:blipFill>
                  <pic:spPr>
                    <a:xfrm rot="5400000">
                      <a:off x="0" y="0"/>
                      <a:ext cx="6002020" cy="8295005"/>
                    </a:xfrm>
                    <a:prstGeom prst="rect">
                      <a:avLst/>
                    </a:prstGeom>
                    <a:noFill/>
                    <a:ln>
                      <a:noFill/>
                    </a:ln>
                  </pic:spPr>
                </pic:pic>
              </a:graphicData>
            </a:graphic>
          </wp:inline>
        </w:drawing>
      </w:r>
      <w:r>
        <w:drawing>
          <wp:inline distT="0" distB="0" distL="114300" distR="114300">
            <wp:extent cx="5573395" cy="7620000"/>
            <wp:effectExtent l="0" t="0" r="0" b="8255"/>
            <wp:docPr id="39" name="图片 36" descr="C:/Users/Administrator/AppData/Local/Temp/picturecompress_20211201175357/output_36.pn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C:/Users/Administrator/AppData/Local/Temp/picturecompress_20211201175357/output_36.pngoutput_36"/>
                    <pic:cNvPicPr>
                      <a:picLocks noChangeAspect="1"/>
                    </pic:cNvPicPr>
                  </pic:nvPicPr>
                  <pic:blipFill>
                    <a:blip r:embed="rId29"/>
                    <a:stretch>
                      <a:fillRect/>
                    </a:stretch>
                  </pic:blipFill>
                  <pic:spPr>
                    <a:xfrm rot="5400000">
                      <a:off x="0" y="0"/>
                      <a:ext cx="5573395" cy="7620000"/>
                    </a:xfrm>
                    <a:prstGeom prst="rect">
                      <a:avLst/>
                    </a:prstGeom>
                    <a:noFill/>
                    <a:ln>
                      <a:noFill/>
                    </a:ln>
                  </pic:spPr>
                </pic:pic>
              </a:graphicData>
            </a:graphic>
          </wp:inline>
        </w:drawing>
      </w:r>
      <w:r>
        <w:drawing>
          <wp:inline distT="0" distB="0" distL="114300" distR="114300">
            <wp:extent cx="5594350" cy="7762240"/>
            <wp:effectExtent l="0" t="0" r="10160" b="6350"/>
            <wp:docPr id="38" name="图片 37" descr="C:/Users/Administrator/AppData/Local/Temp/picturecompress_20211201175357/output_37.pn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C:/Users/Administrator/AppData/Local/Temp/picturecompress_20211201175357/output_37.pngoutput_37"/>
                    <pic:cNvPicPr>
                      <a:picLocks noChangeAspect="1"/>
                    </pic:cNvPicPr>
                  </pic:nvPicPr>
                  <pic:blipFill>
                    <a:blip r:embed="rId30"/>
                    <a:stretch>
                      <a:fillRect/>
                    </a:stretch>
                  </pic:blipFill>
                  <pic:spPr>
                    <a:xfrm rot="5400000">
                      <a:off x="0" y="0"/>
                      <a:ext cx="5594350" cy="7762240"/>
                    </a:xfrm>
                    <a:prstGeom prst="rect">
                      <a:avLst/>
                    </a:prstGeom>
                    <a:noFill/>
                    <a:ln>
                      <a:noFill/>
                    </a:ln>
                  </pic:spPr>
                </pic:pic>
              </a:graphicData>
            </a:graphic>
          </wp:inline>
        </w:drawing>
      </w:r>
      <w:r>
        <w:drawing>
          <wp:inline distT="0" distB="0" distL="114300" distR="114300">
            <wp:extent cx="5516245" cy="7505700"/>
            <wp:effectExtent l="0" t="0" r="0" b="8255"/>
            <wp:docPr id="37" name="图片 38" descr="C:/Users/Administrator/AppData/Local/Temp/picturecompress_20211201175357/output_38.pn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C:/Users/Administrator/AppData/Local/Temp/picturecompress_20211201175357/output_38.pngoutput_38"/>
                    <pic:cNvPicPr>
                      <a:picLocks noChangeAspect="1"/>
                    </pic:cNvPicPr>
                  </pic:nvPicPr>
                  <pic:blipFill>
                    <a:blip r:embed="rId31"/>
                    <a:stretch>
                      <a:fillRect/>
                    </a:stretch>
                  </pic:blipFill>
                  <pic:spPr>
                    <a:xfrm rot="5400000">
                      <a:off x="0" y="0"/>
                      <a:ext cx="5516245" cy="7505700"/>
                    </a:xfrm>
                    <a:prstGeom prst="rect">
                      <a:avLst/>
                    </a:prstGeom>
                    <a:noFill/>
                    <a:ln>
                      <a:noFill/>
                    </a:ln>
                  </pic:spPr>
                </pic:pic>
              </a:graphicData>
            </a:graphic>
          </wp:inline>
        </w:drawing>
      </w:r>
      <w:r>
        <w:drawing>
          <wp:inline distT="0" distB="0" distL="114300" distR="114300">
            <wp:extent cx="5575935" cy="7753985"/>
            <wp:effectExtent l="0" t="0" r="18415" b="5715"/>
            <wp:docPr id="4" name="图片 39" descr="C:/Users/Administrator/AppData/Local/Temp/picturecompress_20211201175357/output_39.pn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C:/Users/Administrator/AppData/Local/Temp/picturecompress_20211201175357/output_39.pngoutput_39"/>
                    <pic:cNvPicPr>
                      <a:picLocks noChangeAspect="1"/>
                    </pic:cNvPicPr>
                  </pic:nvPicPr>
                  <pic:blipFill>
                    <a:blip r:embed="rId32"/>
                    <a:stretch>
                      <a:fillRect/>
                    </a:stretch>
                  </pic:blipFill>
                  <pic:spPr>
                    <a:xfrm rot="5400000">
                      <a:off x="0" y="0"/>
                      <a:ext cx="5575935" cy="7753985"/>
                    </a:xfrm>
                    <a:prstGeom prst="rect">
                      <a:avLst/>
                    </a:prstGeom>
                    <a:noFill/>
                    <a:ln>
                      <a:noFill/>
                    </a:ln>
                  </pic:spPr>
                </pic:pic>
              </a:graphicData>
            </a:graphic>
          </wp:inline>
        </w:drawing>
      </w:r>
      <w:r>
        <w:drawing>
          <wp:inline distT="0" distB="0" distL="114300" distR="114300">
            <wp:extent cx="5148580" cy="7205345"/>
            <wp:effectExtent l="0" t="0" r="14605" b="13970"/>
            <wp:docPr id="8" name="图片 40" descr="C:/Users/Administrator/AppData/Local/Temp/picturecompress_20211201175357/output_40.pn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C:/Users/Administrator/AppData/Local/Temp/picturecompress_20211201175357/output_40.pngoutput_40"/>
                    <pic:cNvPicPr>
                      <a:picLocks noChangeAspect="1"/>
                    </pic:cNvPicPr>
                  </pic:nvPicPr>
                  <pic:blipFill>
                    <a:blip r:embed="rId33"/>
                    <a:stretch>
                      <a:fillRect/>
                    </a:stretch>
                  </pic:blipFill>
                  <pic:spPr>
                    <a:xfrm rot="5400000">
                      <a:off x="0" y="0"/>
                      <a:ext cx="5148580" cy="7205345"/>
                    </a:xfrm>
                    <a:prstGeom prst="rect">
                      <a:avLst/>
                    </a:prstGeom>
                    <a:noFill/>
                    <a:ln>
                      <a:noFill/>
                    </a:ln>
                  </pic:spPr>
                </pic:pic>
              </a:graphicData>
            </a:graphic>
          </wp:inline>
        </w:drawing>
      </w:r>
      <w:bookmarkEnd w:id="362"/>
      <w:bookmarkEnd w:id="363"/>
      <w:bookmarkEnd w:id="364"/>
    </w:p>
    <w:p>
      <w:pPr>
        <w:rPr>
          <w:rFonts w:hint="eastAsia"/>
          <w:lang w:eastAsia="zh-CN"/>
        </w:rPr>
      </w:pPr>
    </w:p>
    <w:p>
      <w:pPr>
        <w:rPr>
          <w:rFonts w:hint="eastAsia"/>
          <w:lang w:eastAsia="zh-CN"/>
        </w:rPr>
      </w:pPr>
    </w:p>
    <w:sectPr>
      <w:footerReference r:id="rId16" w:type="default"/>
      <w:footnotePr>
        <w:pos w:val="beneathText"/>
      </w:footnotePr>
      <w:pgSz w:w="16838" w:h="11906" w:orient="landscape"/>
      <w:pgMar w:top="1531" w:right="1440" w:bottom="1531" w:left="1440"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
    <w:altName w:val="Segoe Print"/>
    <w:panose1 w:val="00000000000000000000"/>
    <w:charset w:val="00"/>
    <w:family w:val="auto"/>
    <w:pitch w:val="default"/>
    <w:sig w:usb0="00000000" w:usb1="00000000" w:usb2="00000000" w:usb3="00000000" w:csb0="00040001" w:csb1="00000000"/>
  </w:font>
  <w:font w:name="方正小标宋简体">
    <w:altName w:val="黑体"/>
    <w:panose1 w:val="00000000000000000000"/>
    <w:charset w:val="86"/>
    <w:family w:val="script"/>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365"/>
        <w:tab w:val="clear" w:pos="4153"/>
      </w:tabs>
      <w:ind w:right="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365"/>
        <w:tab w:val="clear" w:pos="4153"/>
      </w:tabs>
      <w:ind w:right="360"/>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w:t>
    </w:r>
    <w:r>
      <w:t xml:space="preserve"> 3 -</w:t>
    </w:r>
    <w:r>
      <w:fldChar w:fldCharType="end"/>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365"/>
        <w:tab w:val="clear" w:pos="4153"/>
      </w:tabs>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w:t>
                    </w:r>
                    <w:r>
                      <w:fldChar w:fldCharType="end"/>
                    </w:r>
                  </w:p>
                </w:txbxContent>
              </v:textbox>
            </v:shape>
          </w:pict>
        </mc:Fallback>
      </mc:AlternateContent>
    </w:r>
  </w:p>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rPr>
        <w:rFonts w:ascii="宋体" w:hAnsi="宋体"/>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60</w:t>
                    </w:r>
                    <w:r>
                      <w:fldChar w:fldCharType="end"/>
                    </w:r>
                  </w:p>
                </w:txbxContent>
              </v:textbox>
            </v:shape>
          </w:pict>
        </mc:Fallback>
      </mc:AlternateContent>
    </w: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rPr>
        <w:rFonts w:ascii="宋体" w:hAnsi="宋体"/>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61</w:t>
                    </w:r>
                    <w:r>
                      <w:fldChar w:fldCharType="end"/>
                    </w:r>
                  </w:p>
                </w:txbxContent>
              </v:textbox>
            </v:shape>
          </w:pict>
        </mc:Fallback>
      </mc:AlternateConten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right"/>
    </w:pPr>
    <w:r>
      <w:rPr>
        <w:rFonts w:hint="eastAsia"/>
      </w:rPr>
      <w:t xml:space="preserve">                                                      </w:t>
    </w:r>
  </w:p>
  <w:p>
    <w:pPr>
      <w:pStyle w:val="18"/>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left" w:pos="8097"/>
      </w:tabs>
      <w:jc w:val="left"/>
      <w:rPr>
        <w:highlight w:val="yellow"/>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F79D6"/>
    <w:multiLevelType w:val="singleLevel"/>
    <w:tmpl w:val="AE6F79D6"/>
    <w:lvl w:ilvl="0" w:tentative="0">
      <w:start w:val="1"/>
      <w:numFmt w:val="decimal"/>
      <w:suff w:val="nothing"/>
      <w:lvlText w:val="%1）"/>
      <w:lvlJc w:val="left"/>
    </w:lvl>
  </w:abstractNum>
  <w:abstractNum w:abstractNumId="1">
    <w:nsid w:val="C97A92E2"/>
    <w:multiLevelType w:val="singleLevel"/>
    <w:tmpl w:val="C97A92E2"/>
    <w:lvl w:ilvl="0" w:tentative="0">
      <w:start w:val="2"/>
      <w:numFmt w:val="chineseCounting"/>
      <w:suff w:val="nothing"/>
      <w:lvlText w:val="%1、"/>
      <w:lvlJc w:val="left"/>
      <w:rPr>
        <w:rFonts w:hint="eastAsia"/>
      </w:rPr>
    </w:lvl>
  </w:abstractNum>
  <w:abstractNum w:abstractNumId="2">
    <w:nsid w:val="D8A1DD42"/>
    <w:multiLevelType w:val="singleLevel"/>
    <w:tmpl w:val="D8A1DD42"/>
    <w:lvl w:ilvl="0" w:tentative="0">
      <w:start w:val="1"/>
      <w:numFmt w:val="decimal"/>
      <w:suff w:val="nothing"/>
      <w:lvlText w:val="%1、"/>
      <w:lvlJc w:val="left"/>
    </w:lvl>
  </w:abstractNum>
  <w:abstractNum w:abstractNumId="3">
    <w:nsid w:val="F8EA444D"/>
    <w:multiLevelType w:val="singleLevel"/>
    <w:tmpl w:val="F8EA444D"/>
    <w:lvl w:ilvl="0" w:tentative="0">
      <w:start w:val="1"/>
      <w:numFmt w:val="decimal"/>
      <w:suff w:val="nothing"/>
      <w:lvlText w:val="%1、"/>
      <w:lvlJc w:val="left"/>
    </w:lvl>
  </w:abstractNum>
  <w:abstractNum w:abstractNumId="4">
    <w:nsid w:val="08B2D8E5"/>
    <w:multiLevelType w:val="singleLevel"/>
    <w:tmpl w:val="08B2D8E5"/>
    <w:lvl w:ilvl="0" w:tentative="0">
      <w:start w:val="9"/>
      <w:numFmt w:val="decimal"/>
      <w:suff w:val="nothing"/>
      <w:lvlText w:val="%1、"/>
      <w:lvlJc w:val="left"/>
    </w:lvl>
  </w:abstractNum>
  <w:abstractNum w:abstractNumId="5">
    <w:nsid w:val="4670638B"/>
    <w:multiLevelType w:val="singleLevel"/>
    <w:tmpl w:val="4670638B"/>
    <w:lvl w:ilvl="0" w:tentative="0">
      <w:start w:val="6"/>
      <w:numFmt w:val="chineseCounting"/>
      <w:suff w:val="space"/>
      <w:lvlText w:val="第%1章"/>
      <w:lvlJc w:val="left"/>
      <w:rPr>
        <w:rFonts w:hint="eastAsia"/>
      </w:rPr>
    </w:lvl>
  </w:abstractNum>
  <w:abstractNum w:abstractNumId="6">
    <w:nsid w:val="59FB0796"/>
    <w:multiLevelType w:val="singleLevel"/>
    <w:tmpl w:val="59FB0796"/>
    <w:lvl w:ilvl="0" w:tentative="0">
      <w:start w:val="1"/>
      <w:numFmt w:val="decimal"/>
      <w:suff w:val="nothing"/>
      <w:lvlText w:val="%1、"/>
      <w:lvlJc w:val="left"/>
    </w:lvl>
  </w:abstractNum>
  <w:num w:numId="1">
    <w:abstractNumId w:val="6"/>
  </w:num>
  <w:num w:numId="2">
    <w:abstractNumId w:val="0"/>
  </w:num>
  <w:num w:numId="3">
    <w:abstractNumId w:val="3"/>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M2Y4MTk2ZWQwNjI4OGI3NGVhMzFlNTFkYjE4ZjkifQ=="/>
  </w:docVars>
  <w:rsids>
    <w:rsidRoot w:val="3A3E1146"/>
    <w:rsid w:val="00155E9A"/>
    <w:rsid w:val="00172295"/>
    <w:rsid w:val="001E0333"/>
    <w:rsid w:val="0049132B"/>
    <w:rsid w:val="00494FFB"/>
    <w:rsid w:val="00515C5E"/>
    <w:rsid w:val="005319D6"/>
    <w:rsid w:val="00577718"/>
    <w:rsid w:val="00593490"/>
    <w:rsid w:val="0061348B"/>
    <w:rsid w:val="006C21B0"/>
    <w:rsid w:val="007D3EB8"/>
    <w:rsid w:val="00863B59"/>
    <w:rsid w:val="008E0C60"/>
    <w:rsid w:val="009D3880"/>
    <w:rsid w:val="00A6705F"/>
    <w:rsid w:val="00AF47A5"/>
    <w:rsid w:val="00C11BB0"/>
    <w:rsid w:val="00E46AD2"/>
    <w:rsid w:val="00F931CB"/>
    <w:rsid w:val="0100390C"/>
    <w:rsid w:val="0100630B"/>
    <w:rsid w:val="01156757"/>
    <w:rsid w:val="01477D1C"/>
    <w:rsid w:val="014E7300"/>
    <w:rsid w:val="01541EA9"/>
    <w:rsid w:val="01610878"/>
    <w:rsid w:val="016F283F"/>
    <w:rsid w:val="017460A8"/>
    <w:rsid w:val="018C519F"/>
    <w:rsid w:val="01AD48A5"/>
    <w:rsid w:val="01DA477F"/>
    <w:rsid w:val="01DE1AD3"/>
    <w:rsid w:val="01FD609D"/>
    <w:rsid w:val="021A09FD"/>
    <w:rsid w:val="023B6BC5"/>
    <w:rsid w:val="023D293E"/>
    <w:rsid w:val="02467A44"/>
    <w:rsid w:val="026B74AB"/>
    <w:rsid w:val="02720839"/>
    <w:rsid w:val="02753E85"/>
    <w:rsid w:val="027F153C"/>
    <w:rsid w:val="029B159F"/>
    <w:rsid w:val="02A73BD6"/>
    <w:rsid w:val="02A824AD"/>
    <w:rsid w:val="02B250DA"/>
    <w:rsid w:val="02DF57A3"/>
    <w:rsid w:val="02E4208D"/>
    <w:rsid w:val="02EA3A9D"/>
    <w:rsid w:val="02F71F45"/>
    <w:rsid w:val="02F76F90"/>
    <w:rsid w:val="030B1CD5"/>
    <w:rsid w:val="030B2A3C"/>
    <w:rsid w:val="03263951"/>
    <w:rsid w:val="034C4B6E"/>
    <w:rsid w:val="03767AF5"/>
    <w:rsid w:val="03870314"/>
    <w:rsid w:val="038A570F"/>
    <w:rsid w:val="03B278E6"/>
    <w:rsid w:val="03C6567D"/>
    <w:rsid w:val="03E5590A"/>
    <w:rsid w:val="03E85211"/>
    <w:rsid w:val="040A684F"/>
    <w:rsid w:val="040D0631"/>
    <w:rsid w:val="041575B8"/>
    <w:rsid w:val="04243DB5"/>
    <w:rsid w:val="043438CC"/>
    <w:rsid w:val="046917C8"/>
    <w:rsid w:val="046B5540"/>
    <w:rsid w:val="048B3E34"/>
    <w:rsid w:val="04DA4474"/>
    <w:rsid w:val="05010BC4"/>
    <w:rsid w:val="05101044"/>
    <w:rsid w:val="05175588"/>
    <w:rsid w:val="051F632A"/>
    <w:rsid w:val="05203DC1"/>
    <w:rsid w:val="05235E1B"/>
    <w:rsid w:val="05290E6D"/>
    <w:rsid w:val="052B2F21"/>
    <w:rsid w:val="052F2A11"/>
    <w:rsid w:val="05461B09"/>
    <w:rsid w:val="05812B41"/>
    <w:rsid w:val="05882122"/>
    <w:rsid w:val="05910B93"/>
    <w:rsid w:val="059960DD"/>
    <w:rsid w:val="059E1945"/>
    <w:rsid w:val="05B922DB"/>
    <w:rsid w:val="05C869C2"/>
    <w:rsid w:val="05D666A6"/>
    <w:rsid w:val="05DF774C"/>
    <w:rsid w:val="061301D1"/>
    <w:rsid w:val="062F07EF"/>
    <w:rsid w:val="066E5BC6"/>
    <w:rsid w:val="067A7CBC"/>
    <w:rsid w:val="06916ADF"/>
    <w:rsid w:val="06E11AE9"/>
    <w:rsid w:val="06F63304"/>
    <w:rsid w:val="07181283"/>
    <w:rsid w:val="0749768F"/>
    <w:rsid w:val="07580954"/>
    <w:rsid w:val="075C1AB8"/>
    <w:rsid w:val="07603356"/>
    <w:rsid w:val="076C2DD1"/>
    <w:rsid w:val="077E24E4"/>
    <w:rsid w:val="07834D12"/>
    <w:rsid w:val="078D3673"/>
    <w:rsid w:val="079052BE"/>
    <w:rsid w:val="07B1271A"/>
    <w:rsid w:val="07BB67DE"/>
    <w:rsid w:val="07CA6A21"/>
    <w:rsid w:val="07DA7079"/>
    <w:rsid w:val="07DF3389"/>
    <w:rsid w:val="07FB6BDB"/>
    <w:rsid w:val="08014C21"/>
    <w:rsid w:val="08161480"/>
    <w:rsid w:val="08610359"/>
    <w:rsid w:val="08760957"/>
    <w:rsid w:val="08844E22"/>
    <w:rsid w:val="088A4403"/>
    <w:rsid w:val="08BB6344"/>
    <w:rsid w:val="08CA666F"/>
    <w:rsid w:val="08DD4532"/>
    <w:rsid w:val="08EA726B"/>
    <w:rsid w:val="08F17FDE"/>
    <w:rsid w:val="0911242E"/>
    <w:rsid w:val="09184661"/>
    <w:rsid w:val="091A70EB"/>
    <w:rsid w:val="09206705"/>
    <w:rsid w:val="092B3874"/>
    <w:rsid w:val="0932487E"/>
    <w:rsid w:val="09371E95"/>
    <w:rsid w:val="093F0D49"/>
    <w:rsid w:val="09446F59"/>
    <w:rsid w:val="097C01EF"/>
    <w:rsid w:val="098A290C"/>
    <w:rsid w:val="09954E0D"/>
    <w:rsid w:val="09C91B1B"/>
    <w:rsid w:val="09DB3168"/>
    <w:rsid w:val="09EF6C13"/>
    <w:rsid w:val="09F00295"/>
    <w:rsid w:val="0A0F4BBF"/>
    <w:rsid w:val="0A117F52"/>
    <w:rsid w:val="0A297BDC"/>
    <w:rsid w:val="0A2F5262"/>
    <w:rsid w:val="0A312D88"/>
    <w:rsid w:val="0A6767AA"/>
    <w:rsid w:val="0A717628"/>
    <w:rsid w:val="0A96708F"/>
    <w:rsid w:val="0A9B3379"/>
    <w:rsid w:val="0AAA2B3A"/>
    <w:rsid w:val="0AAC0660"/>
    <w:rsid w:val="0AD007F3"/>
    <w:rsid w:val="0ADF4592"/>
    <w:rsid w:val="0AEC3153"/>
    <w:rsid w:val="0AF10769"/>
    <w:rsid w:val="0AF225B3"/>
    <w:rsid w:val="0B00285D"/>
    <w:rsid w:val="0B022976"/>
    <w:rsid w:val="0B047D8E"/>
    <w:rsid w:val="0B1B1342"/>
    <w:rsid w:val="0B2B77D7"/>
    <w:rsid w:val="0B2D21BD"/>
    <w:rsid w:val="0B36513E"/>
    <w:rsid w:val="0B381EF4"/>
    <w:rsid w:val="0B5C03AF"/>
    <w:rsid w:val="0B703F6E"/>
    <w:rsid w:val="0B723658"/>
    <w:rsid w:val="0B980BE5"/>
    <w:rsid w:val="0BD32CF6"/>
    <w:rsid w:val="0BDC69EE"/>
    <w:rsid w:val="0BEC07AD"/>
    <w:rsid w:val="0BF12D0A"/>
    <w:rsid w:val="0C101DEE"/>
    <w:rsid w:val="0C225FA5"/>
    <w:rsid w:val="0C4C7576"/>
    <w:rsid w:val="0C52306D"/>
    <w:rsid w:val="0C5C7E64"/>
    <w:rsid w:val="0C72601D"/>
    <w:rsid w:val="0C7B256F"/>
    <w:rsid w:val="0C915D60"/>
    <w:rsid w:val="0C963376"/>
    <w:rsid w:val="0CA43CE5"/>
    <w:rsid w:val="0CC872A8"/>
    <w:rsid w:val="0CCF4ADA"/>
    <w:rsid w:val="0CE17CAE"/>
    <w:rsid w:val="0CE51C08"/>
    <w:rsid w:val="0CFF53BF"/>
    <w:rsid w:val="0D1129FD"/>
    <w:rsid w:val="0D186481"/>
    <w:rsid w:val="0D3A63F7"/>
    <w:rsid w:val="0D3D37F2"/>
    <w:rsid w:val="0D4B23B2"/>
    <w:rsid w:val="0D682F64"/>
    <w:rsid w:val="0D6C7F50"/>
    <w:rsid w:val="0D74027F"/>
    <w:rsid w:val="0D7A5A18"/>
    <w:rsid w:val="0D7C256C"/>
    <w:rsid w:val="0DA844A6"/>
    <w:rsid w:val="0DD7231B"/>
    <w:rsid w:val="0DF02FC6"/>
    <w:rsid w:val="0DFC545B"/>
    <w:rsid w:val="0E601E8E"/>
    <w:rsid w:val="0E721BC1"/>
    <w:rsid w:val="0E794CFD"/>
    <w:rsid w:val="0E7E2314"/>
    <w:rsid w:val="0E925DBF"/>
    <w:rsid w:val="0E991C92"/>
    <w:rsid w:val="0E9F4261"/>
    <w:rsid w:val="0EA07AC5"/>
    <w:rsid w:val="0EC046DA"/>
    <w:rsid w:val="0ECF2DB5"/>
    <w:rsid w:val="0EDE2DB2"/>
    <w:rsid w:val="0EE04D7C"/>
    <w:rsid w:val="0EEA6178"/>
    <w:rsid w:val="0F05649B"/>
    <w:rsid w:val="0F0C5B71"/>
    <w:rsid w:val="0F135152"/>
    <w:rsid w:val="0F145B27"/>
    <w:rsid w:val="0F225629"/>
    <w:rsid w:val="0F227CFE"/>
    <w:rsid w:val="0F377F2C"/>
    <w:rsid w:val="0F381D7B"/>
    <w:rsid w:val="0F475EA9"/>
    <w:rsid w:val="0F4B669A"/>
    <w:rsid w:val="0F517A28"/>
    <w:rsid w:val="0F615EBD"/>
    <w:rsid w:val="0F8200B8"/>
    <w:rsid w:val="0F9207AD"/>
    <w:rsid w:val="0FA56A89"/>
    <w:rsid w:val="0FD541B5"/>
    <w:rsid w:val="0FF00FEF"/>
    <w:rsid w:val="0FF46A27"/>
    <w:rsid w:val="101C3B92"/>
    <w:rsid w:val="102B7CD1"/>
    <w:rsid w:val="10301ADC"/>
    <w:rsid w:val="1035792C"/>
    <w:rsid w:val="10367256"/>
    <w:rsid w:val="103E61FE"/>
    <w:rsid w:val="10490802"/>
    <w:rsid w:val="10685029"/>
    <w:rsid w:val="106C45FC"/>
    <w:rsid w:val="108A1444"/>
    <w:rsid w:val="10967DE9"/>
    <w:rsid w:val="109B53FF"/>
    <w:rsid w:val="109E41F1"/>
    <w:rsid w:val="10A74BAE"/>
    <w:rsid w:val="10AA4612"/>
    <w:rsid w:val="10B92746"/>
    <w:rsid w:val="10DE353E"/>
    <w:rsid w:val="10F06EDA"/>
    <w:rsid w:val="110D797F"/>
    <w:rsid w:val="111A207B"/>
    <w:rsid w:val="111B209C"/>
    <w:rsid w:val="111E1B8C"/>
    <w:rsid w:val="11333889"/>
    <w:rsid w:val="113C6CB1"/>
    <w:rsid w:val="11427629"/>
    <w:rsid w:val="11643A43"/>
    <w:rsid w:val="1173012A"/>
    <w:rsid w:val="11970B06"/>
    <w:rsid w:val="119F0F1F"/>
    <w:rsid w:val="11C10E95"/>
    <w:rsid w:val="11C24C0D"/>
    <w:rsid w:val="11F16D5E"/>
    <w:rsid w:val="11FE3E97"/>
    <w:rsid w:val="12142E4D"/>
    <w:rsid w:val="121865DB"/>
    <w:rsid w:val="1223332E"/>
    <w:rsid w:val="1225502D"/>
    <w:rsid w:val="122574BC"/>
    <w:rsid w:val="12273C58"/>
    <w:rsid w:val="12316C28"/>
    <w:rsid w:val="125B2AB5"/>
    <w:rsid w:val="128D6FC9"/>
    <w:rsid w:val="12AD31C8"/>
    <w:rsid w:val="12BE3627"/>
    <w:rsid w:val="12CB7D62"/>
    <w:rsid w:val="12F36384"/>
    <w:rsid w:val="13365721"/>
    <w:rsid w:val="133833D9"/>
    <w:rsid w:val="13421B62"/>
    <w:rsid w:val="134A310C"/>
    <w:rsid w:val="13617714"/>
    <w:rsid w:val="13631AD8"/>
    <w:rsid w:val="137A57A0"/>
    <w:rsid w:val="137C732D"/>
    <w:rsid w:val="137F7E6F"/>
    <w:rsid w:val="138A0316"/>
    <w:rsid w:val="13AF55AA"/>
    <w:rsid w:val="13B647DF"/>
    <w:rsid w:val="141F00F5"/>
    <w:rsid w:val="144911CC"/>
    <w:rsid w:val="144E4536"/>
    <w:rsid w:val="14504752"/>
    <w:rsid w:val="14556AED"/>
    <w:rsid w:val="145F04F1"/>
    <w:rsid w:val="149C1746"/>
    <w:rsid w:val="149E0624"/>
    <w:rsid w:val="149F4D92"/>
    <w:rsid w:val="14A22887"/>
    <w:rsid w:val="14A22C13"/>
    <w:rsid w:val="14A36A7A"/>
    <w:rsid w:val="14B946FD"/>
    <w:rsid w:val="14BC5944"/>
    <w:rsid w:val="14D6324F"/>
    <w:rsid w:val="15064E11"/>
    <w:rsid w:val="15341A03"/>
    <w:rsid w:val="1545358A"/>
    <w:rsid w:val="154C4D2C"/>
    <w:rsid w:val="15593193"/>
    <w:rsid w:val="156264EB"/>
    <w:rsid w:val="157D50D3"/>
    <w:rsid w:val="1594066F"/>
    <w:rsid w:val="15AA2C29"/>
    <w:rsid w:val="15AB5EBA"/>
    <w:rsid w:val="15AE34DE"/>
    <w:rsid w:val="15C11704"/>
    <w:rsid w:val="15D3423C"/>
    <w:rsid w:val="15DA0777"/>
    <w:rsid w:val="15E42046"/>
    <w:rsid w:val="15FB06EE"/>
    <w:rsid w:val="15FF30BE"/>
    <w:rsid w:val="1604710E"/>
    <w:rsid w:val="160C6457"/>
    <w:rsid w:val="16165636"/>
    <w:rsid w:val="162437A1"/>
    <w:rsid w:val="16293840"/>
    <w:rsid w:val="164107F7"/>
    <w:rsid w:val="16414353"/>
    <w:rsid w:val="167209B0"/>
    <w:rsid w:val="16726C02"/>
    <w:rsid w:val="16921052"/>
    <w:rsid w:val="16950915"/>
    <w:rsid w:val="1695469E"/>
    <w:rsid w:val="169923E1"/>
    <w:rsid w:val="16B03286"/>
    <w:rsid w:val="16B26FFE"/>
    <w:rsid w:val="16F450E7"/>
    <w:rsid w:val="16F81DA0"/>
    <w:rsid w:val="17063BEF"/>
    <w:rsid w:val="17094A74"/>
    <w:rsid w:val="171C60F0"/>
    <w:rsid w:val="171E6442"/>
    <w:rsid w:val="172B3C4A"/>
    <w:rsid w:val="17365E81"/>
    <w:rsid w:val="17695FA4"/>
    <w:rsid w:val="176C53FF"/>
    <w:rsid w:val="179F452E"/>
    <w:rsid w:val="17A03DC0"/>
    <w:rsid w:val="17AA65AD"/>
    <w:rsid w:val="17C249B3"/>
    <w:rsid w:val="17E7717C"/>
    <w:rsid w:val="17FF389C"/>
    <w:rsid w:val="17FF6273"/>
    <w:rsid w:val="181810E3"/>
    <w:rsid w:val="1820443C"/>
    <w:rsid w:val="18383533"/>
    <w:rsid w:val="18510A99"/>
    <w:rsid w:val="18570964"/>
    <w:rsid w:val="18585984"/>
    <w:rsid w:val="18814EDA"/>
    <w:rsid w:val="188C387F"/>
    <w:rsid w:val="18932E60"/>
    <w:rsid w:val="18A10C75"/>
    <w:rsid w:val="18A62B93"/>
    <w:rsid w:val="18B82B11"/>
    <w:rsid w:val="18CE3E98"/>
    <w:rsid w:val="18EE0096"/>
    <w:rsid w:val="190860B0"/>
    <w:rsid w:val="192B4E46"/>
    <w:rsid w:val="192D0BBE"/>
    <w:rsid w:val="19371A3D"/>
    <w:rsid w:val="19834C82"/>
    <w:rsid w:val="198D3D53"/>
    <w:rsid w:val="199826A2"/>
    <w:rsid w:val="199B7755"/>
    <w:rsid w:val="19AA77DF"/>
    <w:rsid w:val="19B25567"/>
    <w:rsid w:val="19DE162A"/>
    <w:rsid w:val="19EF116A"/>
    <w:rsid w:val="19FF6103"/>
    <w:rsid w:val="1A073B05"/>
    <w:rsid w:val="1A3D3083"/>
    <w:rsid w:val="1A424B3D"/>
    <w:rsid w:val="1A515CFE"/>
    <w:rsid w:val="1A5959E3"/>
    <w:rsid w:val="1A5D2E82"/>
    <w:rsid w:val="1A6908FD"/>
    <w:rsid w:val="1A7D4B23"/>
    <w:rsid w:val="1A80748F"/>
    <w:rsid w:val="1A9058A9"/>
    <w:rsid w:val="1A9F3D3E"/>
    <w:rsid w:val="1A9F789A"/>
    <w:rsid w:val="1AC94917"/>
    <w:rsid w:val="1AFC1190"/>
    <w:rsid w:val="1AFF2A2E"/>
    <w:rsid w:val="1B025B91"/>
    <w:rsid w:val="1B0604F0"/>
    <w:rsid w:val="1B1464DA"/>
    <w:rsid w:val="1B1A5C98"/>
    <w:rsid w:val="1B281F85"/>
    <w:rsid w:val="1B553555"/>
    <w:rsid w:val="1B662AAD"/>
    <w:rsid w:val="1B79633D"/>
    <w:rsid w:val="1BA57132"/>
    <w:rsid w:val="1BB05AD7"/>
    <w:rsid w:val="1BDD7243"/>
    <w:rsid w:val="1BF53514"/>
    <w:rsid w:val="1BFD0D1C"/>
    <w:rsid w:val="1C136791"/>
    <w:rsid w:val="1C1C7C94"/>
    <w:rsid w:val="1C262333"/>
    <w:rsid w:val="1C3362E1"/>
    <w:rsid w:val="1C5514CB"/>
    <w:rsid w:val="1C632B49"/>
    <w:rsid w:val="1C8D362E"/>
    <w:rsid w:val="1C9753F9"/>
    <w:rsid w:val="1CA97058"/>
    <w:rsid w:val="1CB03FE0"/>
    <w:rsid w:val="1CBB4CEA"/>
    <w:rsid w:val="1CC23D13"/>
    <w:rsid w:val="1CD13F56"/>
    <w:rsid w:val="1CE67A02"/>
    <w:rsid w:val="1CED6FE2"/>
    <w:rsid w:val="1CF80B3B"/>
    <w:rsid w:val="1D1C3424"/>
    <w:rsid w:val="1D225130"/>
    <w:rsid w:val="1D4B5FB6"/>
    <w:rsid w:val="1D5A5F73"/>
    <w:rsid w:val="1D5D190B"/>
    <w:rsid w:val="1D5E11F7"/>
    <w:rsid w:val="1D636E5C"/>
    <w:rsid w:val="1D686669"/>
    <w:rsid w:val="1D7F39B2"/>
    <w:rsid w:val="1D850600"/>
    <w:rsid w:val="1DA638ED"/>
    <w:rsid w:val="1DA8115B"/>
    <w:rsid w:val="1DB34AD2"/>
    <w:rsid w:val="1DD54A47"/>
    <w:rsid w:val="1E05658C"/>
    <w:rsid w:val="1E1D38F7"/>
    <w:rsid w:val="1E276524"/>
    <w:rsid w:val="1E4B75AE"/>
    <w:rsid w:val="1E4D2A45"/>
    <w:rsid w:val="1E585A9B"/>
    <w:rsid w:val="1E605592"/>
    <w:rsid w:val="1E636E30"/>
    <w:rsid w:val="1E796654"/>
    <w:rsid w:val="1E965458"/>
    <w:rsid w:val="1EAE48FD"/>
    <w:rsid w:val="1EBB3A0B"/>
    <w:rsid w:val="1EBF49AE"/>
    <w:rsid w:val="1EC27FFB"/>
    <w:rsid w:val="1EC71AB5"/>
    <w:rsid w:val="1ED55F80"/>
    <w:rsid w:val="1EDB10BC"/>
    <w:rsid w:val="1EE76503"/>
    <w:rsid w:val="1EFD54D7"/>
    <w:rsid w:val="1F1545CE"/>
    <w:rsid w:val="1F274302"/>
    <w:rsid w:val="1F38650F"/>
    <w:rsid w:val="1F4F2B0F"/>
    <w:rsid w:val="1F6E6D87"/>
    <w:rsid w:val="1F841754"/>
    <w:rsid w:val="1F8D685B"/>
    <w:rsid w:val="1FA91635"/>
    <w:rsid w:val="1FB738D7"/>
    <w:rsid w:val="1FBB33C8"/>
    <w:rsid w:val="1FC3402A"/>
    <w:rsid w:val="1FC5177E"/>
    <w:rsid w:val="1FCF6BD7"/>
    <w:rsid w:val="1FE43FA1"/>
    <w:rsid w:val="20271CC8"/>
    <w:rsid w:val="202F16C0"/>
    <w:rsid w:val="20427F48"/>
    <w:rsid w:val="204D457A"/>
    <w:rsid w:val="207417C9"/>
    <w:rsid w:val="207B2B57"/>
    <w:rsid w:val="20B7160C"/>
    <w:rsid w:val="20B91CE4"/>
    <w:rsid w:val="20C756B8"/>
    <w:rsid w:val="20E73D48"/>
    <w:rsid w:val="20EA55E7"/>
    <w:rsid w:val="20F17CC2"/>
    <w:rsid w:val="20FD17BE"/>
    <w:rsid w:val="211F4A87"/>
    <w:rsid w:val="21220FDB"/>
    <w:rsid w:val="21272A34"/>
    <w:rsid w:val="213B68AD"/>
    <w:rsid w:val="21555156"/>
    <w:rsid w:val="21676C37"/>
    <w:rsid w:val="21976E5D"/>
    <w:rsid w:val="2197751D"/>
    <w:rsid w:val="219E6AFD"/>
    <w:rsid w:val="21C61B60"/>
    <w:rsid w:val="21CD1190"/>
    <w:rsid w:val="21DC7625"/>
    <w:rsid w:val="21EB376C"/>
    <w:rsid w:val="22097F72"/>
    <w:rsid w:val="222D1C2F"/>
    <w:rsid w:val="2254540E"/>
    <w:rsid w:val="226118D9"/>
    <w:rsid w:val="22630287"/>
    <w:rsid w:val="22660462"/>
    <w:rsid w:val="227817C2"/>
    <w:rsid w:val="227B299A"/>
    <w:rsid w:val="22A46395"/>
    <w:rsid w:val="22F34C27"/>
    <w:rsid w:val="231B6DD4"/>
    <w:rsid w:val="232C2B22"/>
    <w:rsid w:val="233139A1"/>
    <w:rsid w:val="233A0AA7"/>
    <w:rsid w:val="234522A4"/>
    <w:rsid w:val="235B2F2E"/>
    <w:rsid w:val="23645D40"/>
    <w:rsid w:val="23871813"/>
    <w:rsid w:val="23A14CC0"/>
    <w:rsid w:val="23A94E6A"/>
    <w:rsid w:val="23C91E2B"/>
    <w:rsid w:val="23D20CE0"/>
    <w:rsid w:val="23EB4639"/>
    <w:rsid w:val="23F752D7"/>
    <w:rsid w:val="240864B0"/>
    <w:rsid w:val="242157C3"/>
    <w:rsid w:val="24253E98"/>
    <w:rsid w:val="24280900"/>
    <w:rsid w:val="24311EAA"/>
    <w:rsid w:val="246F29D3"/>
    <w:rsid w:val="24727DCD"/>
    <w:rsid w:val="24950F82"/>
    <w:rsid w:val="249661B1"/>
    <w:rsid w:val="249A48C2"/>
    <w:rsid w:val="249D12EE"/>
    <w:rsid w:val="24B403E6"/>
    <w:rsid w:val="24B76319"/>
    <w:rsid w:val="24C74FB8"/>
    <w:rsid w:val="24C90335"/>
    <w:rsid w:val="24D31C46"/>
    <w:rsid w:val="24E16D01"/>
    <w:rsid w:val="24E231A5"/>
    <w:rsid w:val="24ED56A6"/>
    <w:rsid w:val="24F37160"/>
    <w:rsid w:val="24FE78B3"/>
    <w:rsid w:val="25115838"/>
    <w:rsid w:val="25207829"/>
    <w:rsid w:val="252C4420"/>
    <w:rsid w:val="256B319A"/>
    <w:rsid w:val="257D4C7B"/>
    <w:rsid w:val="257F12C3"/>
    <w:rsid w:val="25A246E2"/>
    <w:rsid w:val="25A641D2"/>
    <w:rsid w:val="25B14925"/>
    <w:rsid w:val="25BF34E6"/>
    <w:rsid w:val="25C32FD6"/>
    <w:rsid w:val="25CD5C03"/>
    <w:rsid w:val="25E37751"/>
    <w:rsid w:val="25E82A3D"/>
    <w:rsid w:val="25EA2F9C"/>
    <w:rsid w:val="25FC109E"/>
    <w:rsid w:val="260F3265"/>
    <w:rsid w:val="26255D30"/>
    <w:rsid w:val="265C708D"/>
    <w:rsid w:val="266B541C"/>
    <w:rsid w:val="266D2A28"/>
    <w:rsid w:val="266E3A32"/>
    <w:rsid w:val="267317BA"/>
    <w:rsid w:val="267A29D7"/>
    <w:rsid w:val="267F648B"/>
    <w:rsid w:val="269A2D75"/>
    <w:rsid w:val="26AE6D2F"/>
    <w:rsid w:val="26DA109E"/>
    <w:rsid w:val="26E256DE"/>
    <w:rsid w:val="26FC7E22"/>
    <w:rsid w:val="270C275B"/>
    <w:rsid w:val="27174C5C"/>
    <w:rsid w:val="273870AC"/>
    <w:rsid w:val="27402404"/>
    <w:rsid w:val="276421E5"/>
    <w:rsid w:val="276854B7"/>
    <w:rsid w:val="276C5573"/>
    <w:rsid w:val="27A85B99"/>
    <w:rsid w:val="27B23977"/>
    <w:rsid w:val="27D52B4D"/>
    <w:rsid w:val="27DE7716"/>
    <w:rsid w:val="27ED0F2C"/>
    <w:rsid w:val="27EE1E60"/>
    <w:rsid w:val="27F356C9"/>
    <w:rsid w:val="27FD412F"/>
    <w:rsid w:val="281C69CE"/>
    <w:rsid w:val="28490586"/>
    <w:rsid w:val="28497097"/>
    <w:rsid w:val="285223EF"/>
    <w:rsid w:val="28577471"/>
    <w:rsid w:val="287E36F4"/>
    <w:rsid w:val="287E4F92"/>
    <w:rsid w:val="28950E82"/>
    <w:rsid w:val="28A15125"/>
    <w:rsid w:val="28CA467C"/>
    <w:rsid w:val="28E82D54"/>
    <w:rsid w:val="28EC2844"/>
    <w:rsid w:val="28ED036A"/>
    <w:rsid w:val="29023E15"/>
    <w:rsid w:val="29033504"/>
    <w:rsid w:val="29183639"/>
    <w:rsid w:val="292C2C40"/>
    <w:rsid w:val="293E4316"/>
    <w:rsid w:val="294127D7"/>
    <w:rsid w:val="294E6051"/>
    <w:rsid w:val="29787C34"/>
    <w:rsid w:val="29A547A1"/>
    <w:rsid w:val="29C410CB"/>
    <w:rsid w:val="29C6398F"/>
    <w:rsid w:val="29DF1CCB"/>
    <w:rsid w:val="29E17ECF"/>
    <w:rsid w:val="29E90D1D"/>
    <w:rsid w:val="29FD282F"/>
    <w:rsid w:val="2A020CBF"/>
    <w:rsid w:val="2A11688F"/>
    <w:rsid w:val="2A1B0C69"/>
    <w:rsid w:val="2A27165A"/>
    <w:rsid w:val="2A351FC9"/>
    <w:rsid w:val="2A424D20"/>
    <w:rsid w:val="2A4A2EAA"/>
    <w:rsid w:val="2A510807"/>
    <w:rsid w:val="2A522B7B"/>
    <w:rsid w:val="2A5306A1"/>
    <w:rsid w:val="2A6B1546"/>
    <w:rsid w:val="2A7918AF"/>
    <w:rsid w:val="2A897878"/>
    <w:rsid w:val="2A932D82"/>
    <w:rsid w:val="2AAB4039"/>
    <w:rsid w:val="2AAF3B29"/>
    <w:rsid w:val="2AB654B5"/>
    <w:rsid w:val="2AC4736E"/>
    <w:rsid w:val="2AC94BBC"/>
    <w:rsid w:val="2ACD0453"/>
    <w:rsid w:val="2AD029E2"/>
    <w:rsid w:val="2AED223B"/>
    <w:rsid w:val="2AF7102C"/>
    <w:rsid w:val="2AF861BA"/>
    <w:rsid w:val="2B065713"/>
    <w:rsid w:val="2B0D6AA1"/>
    <w:rsid w:val="2B11417F"/>
    <w:rsid w:val="2B3109E2"/>
    <w:rsid w:val="2B367DA6"/>
    <w:rsid w:val="2B454FC8"/>
    <w:rsid w:val="2B512E32"/>
    <w:rsid w:val="2B522706"/>
    <w:rsid w:val="2B5A7C7C"/>
    <w:rsid w:val="2B63442E"/>
    <w:rsid w:val="2B674404"/>
    <w:rsid w:val="2B6C5576"/>
    <w:rsid w:val="2B6D7311"/>
    <w:rsid w:val="2B7177A9"/>
    <w:rsid w:val="2B74267D"/>
    <w:rsid w:val="2B852ADC"/>
    <w:rsid w:val="2B996587"/>
    <w:rsid w:val="2BC17F83"/>
    <w:rsid w:val="2BC5737C"/>
    <w:rsid w:val="2BC902D5"/>
    <w:rsid w:val="2BD355F5"/>
    <w:rsid w:val="2BE01EB4"/>
    <w:rsid w:val="2BE643B4"/>
    <w:rsid w:val="2BEB6DE3"/>
    <w:rsid w:val="2BED3CB8"/>
    <w:rsid w:val="2BF0264B"/>
    <w:rsid w:val="2BF27BB5"/>
    <w:rsid w:val="2BF33EE9"/>
    <w:rsid w:val="2BF65788"/>
    <w:rsid w:val="2C2E3173"/>
    <w:rsid w:val="2C412EA7"/>
    <w:rsid w:val="2C5030EA"/>
    <w:rsid w:val="2C532BDA"/>
    <w:rsid w:val="2C534988"/>
    <w:rsid w:val="2C6708D1"/>
    <w:rsid w:val="2C6852A9"/>
    <w:rsid w:val="2C792640"/>
    <w:rsid w:val="2C7C3EDF"/>
    <w:rsid w:val="2C8068DD"/>
    <w:rsid w:val="2C972810"/>
    <w:rsid w:val="2C9F3729"/>
    <w:rsid w:val="2CA3146B"/>
    <w:rsid w:val="2CC633AC"/>
    <w:rsid w:val="2CF577ED"/>
    <w:rsid w:val="2D016192"/>
    <w:rsid w:val="2D17277F"/>
    <w:rsid w:val="2D281971"/>
    <w:rsid w:val="2D410C84"/>
    <w:rsid w:val="2D502C75"/>
    <w:rsid w:val="2D5664DE"/>
    <w:rsid w:val="2D6F535B"/>
    <w:rsid w:val="2D766B80"/>
    <w:rsid w:val="2D7971C6"/>
    <w:rsid w:val="2D8E2DF0"/>
    <w:rsid w:val="2D9A4A11"/>
    <w:rsid w:val="2D9B0395"/>
    <w:rsid w:val="2D9C5EBB"/>
    <w:rsid w:val="2DD13DB6"/>
    <w:rsid w:val="2DFB0E33"/>
    <w:rsid w:val="2E114561"/>
    <w:rsid w:val="2E255193"/>
    <w:rsid w:val="2E2A6AAB"/>
    <w:rsid w:val="2E3305CD"/>
    <w:rsid w:val="2E513149"/>
    <w:rsid w:val="2E7F52E1"/>
    <w:rsid w:val="2E9949CD"/>
    <w:rsid w:val="2EA17C2D"/>
    <w:rsid w:val="2EAB3BA0"/>
    <w:rsid w:val="2EBE07DF"/>
    <w:rsid w:val="2EC549F9"/>
    <w:rsid w:val="2EC5717E"/>
    <w:rsid w:val="2ECA7717"/>
    <w:rsid w:val="2ED406E8"/>
    <w:rsid w:val="2EDC6090"/>
    <w:rsid w:val="2EE63891"/>
    <w:rsid w:val="2EE6563F"/>
    <w:rsid w:val="2EE67D35"/>
    <w:rsid w:val="2F034443"/>
    <w:rsid w:val="2F4607D4"/>
    <w:rsid w:val="2F490108"/>
    <w:rsid w:val="2F544078"/>
    <w:rsid w:val="2F634EE2"/>
    <w:rsid w:val="2F81253B"/>
    <w:rsid w:val="2F9B467C"/>
    <w:rsid w:val="2FA07574"/>
    <w:rsid w:val="2FA554FB"/>
    <w:rsid w:val="2FB709B0"/>
    <w:rsid w:val="2FC96724"/>
    <w:rsid w:val="30032221"/>
    <w:rsid w:val="30105F91"/>
    <w:rsid w:val="30405223"/>
    <w:rsid w:val="30506FE0"/>
    <w:rsid w:val="305674EF"/>
    <w:rsid w:val="306A2B50"/>
    <w:rsid w:val="30782C0F"/>
    <w:rsid w:val="307A6987"/>
    <w:rsid w:val="30843362"/>
    <w:rsid w:val="309E2150"/>
    <w:rsid w:val="30A25EDE"/>
    <w:rsid w:val="30A53990"/>
    <w:rsid w:val="30A91A23"/>
    <w:rsid w:val="30B25424"/>
    <w:rsid w:val="30B5036B"/>
    <w:rsid w:val="30C70546"/>
    <w:rsid w:val="31087379"/>
    <w:rsid w:val="312468F3"/>
    <w:rsid w:val="316E375D"/>
    <w:rsid w:val="31722DE3"/>
    <w:rsid w:val="317A57A7"/>
    <w:rsid w:val="31A17F44"/>
    <w:rsid w:val="31A55C86"/>
    <w:rsid w:val="31A737AC"/>
    <w:rsid w:val="31CB1F89"/>
    <w:rsid w:val="320A7897"/>
    <w:rsid w:val="32130E41"/>
    <w:rsid w:val="321B7CF6"/>
    <w:rsid w:val="321E77E6"/>
    <w:rsid w:val="32297AFD"/>
    <w:rsid w:val="322F3459"/>
    <w:rsid w:val="32346C69"/>
    <w:rsid w:val="32394CA9"/>
    <w:rsid w:val="32435C97"/>
    <w:rsid w:val="32586854"/>
    <w:rsid w:val="32700AC1"/>
    <w:rsid w:val="32721814"/>
    <w:rsid w:val="32806CA0"/>
    <w:rsid w:val="32A7310F"/>
    <w:rsid w:val="32BA12BD"/>
    <w:rsid w:val="32C15FF8"/>
    <w:rsid w:val="32CC2D9E"/>
    <w:rsid w:val="32D66952"/>
    <w:rsid w:val="32DD3D4A"/>
    <w:rsid w:val="32E96D73"/>
    <w:rsid w:val="32EB483E"/>
    <w:rsid w:val="32F04786"/>
    <w:rsid w:val="331C3D26"/>
    <w:rsid w:val="33291F9F"/>
    <w:rsid w:val="33370FEA"/>
    <w:rsid w:val="333E1EEE"/>
    <w:rsid w:val="335C0083"/>
    <w:rsid w:val="33754C06"/>
    <w:rsid w:val="3378463D"/>
    <w:rsid w:val="337C6572"/>
    <w:rsid w:val="33BC2E13"/>
    <w:rsid w:val="33D463AE"/>
    <w:rsid w:val="33E35BA8"/>
    <w:rsid w:val="34254E5C"/>
    <w:rsid w:val="342804A8"/>
    <w:rsid w:val="346239BA"/>
    <w:rsid w:val="34724719"/>
    <w:rsid w:val="34921223"/>
    <w:rsid w:val="34955FD2"/>
    <w:rsid w:val="3498562E"/>
    <w:rsid w:val="34A30758"/>
    <w:rsid w:val="34BA45C5"/>
    <w:rsid w:val="34BB756E"/>
    <w:rsid w:val="34DC1AF0"/>
    <w:rsid w:val="34E24AFB"/>
    <w:rsid w:val="34FB5BBD"/>
    <w:rsid w:val="34FF56AD"/>
    <w:rsid w:val="351C00C1"/>
    <w:rsid w:val="352E7D40"/>
    <w:rsid w:val="35325A82"/>
    <w:rsid w:val="35337105"/>
    <w:rsid w:val="353C420B"/>
    <w:rsid w:val="355754E9"/>
    <w:rsid w:val="35577297"/>
    <w:rsid w:val="355C7475"/>
    <w:rsid w:val="356D07FD"/>
    <w:rsid w:val="35765431"/>
    <w:rsid w:val="357E0CC8"/>
    <w:rsid w:val="358C3E1D"/>
    <w:rsid w:val="359120CE"/>
    <w:rsid w:val="359C2EFC"/>
    <w:rsid w:val="35A87AF3"/>
    <w:rsid w:val="35C97A69"/>
    <w:rsid w:val="35E36D7D"/>
    <w:rsid w:val="35EF383D"/>
    <w:rsid w:val="360C2B63"/>
    <w:rsid w:val="360D5BA8"/>
    <w:rsid w:val="36173C37"/>
    <w:rsid w:val="361A2790"/>
    <w:rsid w:val="364F7F6E"/>
    <w:rsid w:val="365B0D17"/>
    <w:rsid w:val="36653C36"/>
    <w:rsid w:val="3679148F"/>
    <w:rsid w:val="36835E6A"/>
    <w:rsid w:val="368F0E8A"/>
    <w:rsid w:val="36A52284"/>
    <w:rsid w:val="36C941C4"/>
    <w:rsid w:val="36F56D7F"/>
    <w:rsid w:val="371116C7"/>
    <w:rsid w:val="373A0397"/>
    <w:rsid w:val="374C2700"/>
    <w:rsid w:val="37517D16"/>
    <w:rsid w:val="37563943"/>
    <w:rsid w:val="375D1149"/>
    <w:rsid w:val="379C139A"/>
    <w:rsid w:val="37BF18B3"/>
    <w:rsid w:val="37D56B99"/>
    <w:rsid w:val="37F30DCD"/>
    <w:rsid w:val="381807A6"/>
    <w:rsid w:val="382E4232"/>
    <w:rsid w:val="38381034"/>
    <w:rsid w:val="38487848"/>
    <w:rsid w:val="38507FCD"/>
    <w:rsid w:val="38717B72"/>
    <w:rsid w:val="38750761"/>
    <w:rsid w:val="38804D57"/>
    <w:rsid w:val="38B96C99"/>
    <w:rsid w:val="38C84008"/>
    <w:rsid w:val="38F368E2"/>
    <w:rsid w:val="38F92413"/>
    <w:rsid w:val="39406294"/>
    <w:rsid w:val="396E0276"/>
    <w:rsid w:val="397B79C7"/>
    <w:rsid w:val="398C433A"/>
    <w:rsid w:val="39965EB4"/>
    <w:rsid w:val="39972358"/>
    <w:rsid w:val="39987E7E"/>
    <w:rsid w:val="399E5831"/>
    <w:rsid w:val="39C12F31"/>
    <w:rsid w:val="39EB4452"/>
    <w:rsid w:val="39FC040D"/>
    <w:rsid w:val="3A0472C2"/>
    <w:rsid w:val="3A2B0CF2"/>
    <w:rsid w:val="3A303BAF"/>
    <w:rsid w:val="3A321D29"/>
    <w:rsid w:val="3A3E1146"/>
    <w:rsid w:val="3A6D30B9"/>
    <w:rsid w:val="3A790A95"/>
    <w:rsid w:val="3AA02AB4"/>
    <w:rsid w:val="3AAF547F"/>
    <w:rsid w:val="3AD27A96"/>
    <w:rsid w:val="3ADE7B13"/>
    <w:rsid w:val="3AE2791F"/>
    <w:rsid w:val="3AF85078"/>
    <w:rsid w:val="3B0E664A"/>
    <w:rsid w:val="3B0F4119"/>
    <w:rsid w:val="3B4E004F"/>
    <w:rsid w:val="3B5E633C"/>
    <w:rsid w:val="3B727056"/>
    <w:rsid w:val="3B7312B9"/>
    <w:rsid w:val="3B847F81"/>
    <w:rsid w:val="3B9E47CD"/>
    <w:rsid w:val="3BB16FD5"/>
    <w:rsid w:val="3BDF7FE6"/>
    <w:rsid w:val="3BEE1FD7"/>
    <w:rsid w:val="3BF75330"/>
    <w:rsid w:val="3BF770DE"/>
    <w:rsid w:val="3BF84C04"/>
    <w:rsid w:val="3BF87588"/>
    <w:rsid w:val="3C047A4D"/>
    <w:rsid w:val="3C0D06AF"/>
    <w:rsid w:val="3C3420E0"/>
    <w:rsid w:val="3C5A141B"/>
    <w:rsid w:val="3C7C39AC"/>
    <w:rsid w:val="3C8A3384"/>
    <w:rsid w:val="3C9C5234"/>
    <w:rsid w:val="3CA408E8"/>
    <w:rsid w:val="3CA52FDE"/>
    <w:rsid w:val="3CD75376"/>
    <w:rsid w:val="3CEA09F1"/>
    <w:rsid w:val="3CF37BF5"/>
    <w:rsid w:val="3D3F16FF"/>
    <w:rsid w:val="3D485717"/>
    <w:rsid w:val="3D72044D"/>
    <w:rsid w:val="3D90787E"/>
    <w:rsid w:val="3D962926"/>
    <w:rsid w:val="3DBE509A"/>
    <w:rsid w:val="3DC04B01"/>
    <w:rsid w:val="3DD60F75"/>
    <w:rsid w:val="3DE471D9"/>
    <w:rsid w:val="3E1877DF"/>
    <w:rsid w:val="3E2241BA"/>
    <w:rsid w:val="3E2717D1"/>
    <w:rsid w:val="3E38578C"/>
    <w:rsid w:val="3E43485C"/>
    <w:rsid w:val="3E4405D4"/>
    <w:rsid w:val="3E50538B"/>
    <w:rsid w:val="3E543DC7"/>
    <w:rsid w:val="3E5F0F6A"/>
    <w:rsid w:val="3E6842AE"/>
    <w:rsid w:val="3E686071"/>
    <w:rsid w:val="3E6A003B"/>
    <w:rsid w:val="3E774ED1"/>
    <w:rsid w:val="3E7A5DA4"/>
    <w:rsid w:val="3E9560B7"/>
    <w:rsid w:val="3E974BA8"/>
    <w:rsid w:val="3EAD4561"/>
    <w:rsid w:val="3EB5502E"/>
    <w:rsid w:val="3ECA1683"/>
    <w:rsid w:val="3EDA5FC1"/>
    <w:rsid w:val="3F057FEE"/>
    <w:rsid w:val="3F0A35CC"/>
    <w:rsid w:val="3F204B9E"/>
    <w:rsid w:val="3F435726"/>
    <w:rsid w:val="3F591E5E"/>
    <w:rsid w:val="3F5B5BD6"/>
    <w:rsid w:val="3F620D12"/>
    <w:rsid w:val="3F634A8A"/>
    <w:rsid w:val="3F7015CA"/>
    <w:rsid w:val="3F72705C"/>
    <w:rsid w:val="3F781209"/>
    <w:rsid w:val="3F7D78FA"/>
    <w:rsid w:val="3F850EA5"/>
    <w:rsid w:val="3F8714EC"/>
    <w:rsid w:val="3F9F1093"/>
    <w:rsid w:val="3FAC2374"/>
    <w:rsid w:val="3FCC262F"/>
    <w:rsid w:val="3FD33F63"/>
    <w:rsid w:val="3FEC2CD2"/>
    <w:rsid w:val="403D4CF2"/>
    <w:rsid w:val="403E177F"/>
    <w:rsid w:val="404243F3"/>
    <w:rsid w:val="40556AC9"/>
    <w:rsid w:val="407C4056"/>
    <w:rsid w:val="4081166C"/>
    <w:rsid w:val="40A435AC"/>
    <w:rsid w:val="40C8729B"/>
    <w:rsid w:val="40D61330"/>
    <w:rsid w:val="411918A4"/>
    <w:rsid w:val="41197C65"/>
    <w:rsid w:val="41214BFD"/>
    <w:rsid w:val="412A1D04"/>
    <w:rsid w:val="413E2C75"/>
    <w:rsid w:val="414C3A28"/>
    <w:rsid w:val="414F52C6"/>
    <w:rsid w:val="417E40C0"/>
    <w:rsid w:val="418A09F4"/>
    <w:rsid w:val="41CA5CC4"/>
    <w:rsid w:val="41F01EAA"/>
    <w:rsid w:val="42297686"/>
    <w:rsid w:val="422B5D33"/>
    <w:rsid w:val="42552980"/>
    <w:rsid w:val="426B25D4"/>
    <w:rsid w:val="426B5681"/>
    <w:rsid w:val="42727268"/>
    <w:rsid w:val="427D5E63"/>
    <w:rsid w:val="42A653BA"/>
    <w:rsid w:val="42C65A5C"/>
    <w:rsid w:val="42C944B4"/>
    <w:rsid w:val="42D02437"/>
    <w:rsid w:val="42F205FF"/>
    <w:rsid w:val="42F23D5F"/>
    <w:rsid w:val="42F44377"/>
    <w:rsid w:val="43071151"/>
    <w:rsid w:val="431247FD"/>
    <w:rsid w:val="431E13F4"/>
    <w:rsid w:val="4326474D"/>
    <w:rsid w:val="436361B0"/>
    <w:rsid w:val="439E42E3"/>
    <w:rsid w:val="43A80903"/>
    <w:rsid w:val="43E20674"/>
    <w:rsid w:val="43EA577A"/>
    <w:rsid w:val="43EB73AA"/>
    <w:rsid w:val="43F565F9"/>
    <w:rsid w:val="44136783"/>
    <w:rsid w:val="44150A49"/>
    <w:rsid w:val="44233E12"/>
    <w:rsid w:val="445350CD"/>
    <w:rsid w:val="446A46FF"/>
    <w:rsid w:val="447D2BAF"/>
    <w:rsid w:val="44833538"/>
    <w:rsid w:val="44935E12"/>
    <w:rsid w:val="44A818BD"/>
    <w:rsid w:val="44C1472D"/>
    <w:rsid w:val="44CD4E80"/>
    <w:rsid w:val="44D22DE7"/>
    <w:rsid w:val="44D426B2"/>
    <w:rsid w:val="44D473C9"/>
    <w:rsid w:val="44E03886"/>
    <w:rsid w:val="44E20B2F"/>
    <w:rsid w:val="44E24DB2"/>
    <w:rsid w:val="44E714C2"/>
    <w:rsid w:val="44EA1B73"/>
    <w:rsid w:val="44EB0FE7"/>
    <w:rsid w:val="44FC39B7"/>
    <w:rsid w:val="450A4C54"/>
    <w:rsid w:val="452A76F8"/>
    <w:rsid w:val="453942C3"/>
    <w:rsid w:val="453A148C"/>
    <w:rsid w:val="45667082"/>
    <w:rsid w:val="456B41CA"/>
    <w:rsid w:val="458B6AE9"/>
    <w:rsid w:val="459C7154"/>
    <w:rsid w:val="45B147A1"/>
    <w:rsid w:val="45CC15DB"/>
    <w:rsid w:val="45CE5353"/>
    <w:rsid w:val="45E36925"/>
    <w:rsid w:val="461B13FB"/>
    <w:rsid w:val="461B710B"/>
    <w:rsid w:val="462676C7"/>
    <w:rsid w:val="466435C2"/>
    <w:rsid w:val="46674E60"/>
    <w:rsid w:val="46732210"/>
    <w:rsid w:val="46771BE6"/>
    <w:rsid w:val="46846EDC"/>
    <w:rsid w:val="46A359CC"/>
    <w:rsid w:val="46B553BE"/>
    <w:rsid w:val="46D01214"/>
    <w:rsid w:val="46D21C8C"/>
    <w:rsid w:val="46D87B0C"/>
    <w:rsid w:val="47134FE8"/>
    <w:rsid w:val="471C1660"/>
    <w:rsid w:val="472E6609"/>
    <w:rsid w:val="47305B9A"/>
    <w:rsid w:val="47713C7F"/>
    <w:rsid w:val="477261B2"/>
    <w:rsid w:val="47783365"/>
    <w:rsid w:val="478D6B48"/>
    <w:rsid w:val="478F41FD"/>
    <w:rsid w:val="479640A9"/>
    <w:rsid w:val="47AC3472"/>
    <w:rsid w:val="47D227AD"/>
    <w:rsid w:val="47E10C1D"/>
    <w:rsid w:val="47EC1AC1"/>
    <w:rsid w:val="482079BC"/>
    <w:rsid w:val="4821760A"/>
    <w:rsid w:val="48291245"/>
    <w:rsid w:val="484E254C"/>
    <w:rsid w:val="485B6C46"/>
    <w:rsid w:val="48662BA5"/>
    <w:rsid w:val="48744696"/>
    <w:rsid w:val="48981C49"/>
    <w:rsid w:val="48FD385A"/>
    <w:rsid w:val="490B41C9"/>
    <w:rsid w:val="490E3CB9"/>
    <w:rsid w:val="49137521"/>
    <w:rsid w:val="491D3164"/>
    <w:rsid w:val="49303C2F"/>
    <w:rsid w:val="494823F1"/>
    <w:rsid w:val="49553696"/>
    <w:rsid w:val="495A05DD"/>
    <w:rsid w:val="495E69EE"/>
    <w:rsid w:val="49610ABA"/>
    <w:rsid w:val="49B04D70"/>
    <w:rsid w:val="49BB74BE"/>
    <w:rsid w:val="49BD7ADA"/>
    <w:rsid w:val="49C83E68"/>
    <w:rsid w:val="49FC1D63"/>
    <w:rsid w:val="4A2E4398"/>
    <w:rsid w:val="4A301A0D"/>
    <w:rsid w:val="4A350BE4"/>
    <w:rsid w:val="4A421E6C"/>
    <w:rsid w:val="4A4756D4"/>
    <w:rsid w:val="4A8204BA"/>
    <w:rsid w:val="4A8775D1"/>
    <w:rsid w:val="4A8A3813"/>
    <w:rsid w:val="4A8C30E7"/>
    <w:rsid w:val="4AA757D8"/>
    <w:rsid w:val="4AB56AE2"/>
    <w:rsid w:val="4AC41B32"/>
    <w:rsid w:val="4AC558EE"/>
    <w:rsid w:val="4ACE3700"/>
    <w:rsid w:val="4AEC1002"/>
    <w:rsid w:val="4AF55130"/>
    <w:rsid w:val="4AF6380F"/>
    <w:rsid w:val="4B047121"/>
    <w:rsid w:val="4B0C5FD6"/>
    <w:rsid w:val="4B17589E"/>
    <w:rsid w:val="4B3113E2"/>
    <w:rsid w:val="4B391DA4"/>
    <w:rsid w:val="4B492A9E"/>
    <w:rsid w:val="4B5E6486"/>
    <w:rsid w:val="4B6127C6"/>
    <w:rsid w:val="4B63568F"/>
    <w:rsid w:val="4B666BB6"/>
    <w:rsid w:val="4B683B54"/>
    <w:rsid w:val="4B8E10E1"/>
    <w:rsid w:val="4B996BD0"/>
    <w:rsid w:val="4B9D5296"/>
    <w:rsid w:val="4BA3693A"/>
    <w:rsid w:val="4BEF1B80"/>
    <w:rsid w:val="4BF03B4A"/>
    <w:rsid w:val="4BF76C86"/>
    <w:rsid w:val="4BFE0015"/>
    <w:rsid w:val="4C2B6930"/>
    <w:rsid w:val="4C35155C"/>
    <w:rsid w:val="4C3D6D8F"/>
    <w:rsid w:val="4C3F5444"/>
    <w:rsid w:val="4C682E9E"/>
    <w:rsid w:val="4C8D3147"/>
    <w:rsid w:val="4CA7245A"/>
    <w:rsid w:val="4CAE6D08"/>
    <w:rsid w:val="4CBD57DA"/>
    <w:rsid w:val="4CDF7E46"/>
    <w:rsid w:val="4CE25C17"/>
    <w:rsid w:val="4CFF4B86"/>
    <w:rsid w:val="4D165792"/>
    <w:rsid w:val="4D2B629C"/>
    <w:rsid w:val="4D505D9D"/>
    <w:rsid w:val="4D50664E"/>
    <w:rsid w:val="4D565C2E"/>
    <w:rsid w:val="4D603FF5"/>
    <w:rsid w:val="4D7367E0"/>
    <w:rsid w:val="4D7544C6"/>
    <w:rsid w:val="4D7B0486"/>
    <w:rsid w:val="4D7B3677"/>
    <w:rsid w:val="4DAD3AA0"/>
    <w:rsid w:val="4DDD0F66"/>
    <w:rsid w:val="4DEC63D5"/>
    <w:rsid w:val="4E071685"/>
    <w:rsid w:val="4E0A4CE6"/>
    <w:rsid w:val="4E0B4C6B"/>
    <w:rsid w:val="4E361CE8"/>
    <w:rsid w:val="4E4C3CE6"/>
    <w:rsid w:val="4E6F0D56"/>
    <w:rsid w:val="4E740A62"/>
    <w:rsid w:val="4E8642F1"/>
    <w:rsid w:val="4E885413"/>
    <w:rsid w:val="4EA772D4"/>
    <w:rsid w:val="4EB946C7"/>
    <w:rsid w:val="4EC512BE"/>
    <w:rsid w:val="4ED14E60"/>
    <w:rsid w:val="4EDD2163"/>
    <w:rsid w:val="4EE15AE8"/>
    <w:rsid w:val="4EE74D90"/>
    <w:rsid w:val="4EFB6A8D"/>
    <w:rsid w:val="4F1C0718"/>
    <w:rsid w:val="4F1F09CE"/>
    <w:rsid w:val="4F2002A2"/>
    <w:rsid w:val="4F367AC5"/>
    <w:rsid w:val="4F461068"/>
    <w:rsid w:val="4F6603AB"/>
    <w:rsid w:val="4F6C0F32"/>
    <w:rsid w:val="4F7D6837"/>
    <w:rsid w:val="4F8151E4"/>
    <w:rsid w:val="4F980780"/>
    <w:rsid w:val="4F9A2A6C"/>
    <w:rsid w:val="4F9A44F8"/>
    <w:rsid w:val="4F9D514F"/>
    <w:rsid w:val="4F9F38BD"/>
    <w:rsid w:val="4FB15CA7"/>
    <w:rsid w:val="4FB25CF5"/>
    <w:rsid w:val="4FB50D87"/>
    <w:rsid w:val="4FB76E58"/>
    <w:rsid w:val="4FC74BC1"/>
    <w:rsid w:val="4FC926E8"/>
    <w:rsid w:val="4FD6333A"/>
    <w:rsid w:val="4FE13ED5"/>
    <w:rsid w:val="4FE95A43"/>
    <w:rsid w:val="50106568"/>
    <w:rsid w:val="501108E6"/>
    <w:rsid w:val="50111814"/>
    <w:rsid w:val="501E106D"/>
    <w:rsid w:val="50383588"/>
    <w:rsid w:val="504D156B"/>
    <w:rsid w:val="5051457C"/>
    <w:rsid w:val="50525383"/>
    <w:rsid w:val="505A4B1C"/>
    <w:rsid w:val="50620693"/>
    <w:rsid w:val="506A211C"/>
    <w:rsid w:val="506B19F1"/>
    <w:rsid w:val="5074015B"/>
    <w:rsid w:val="50747B0E"/>
    <w:rsid w:val="50800F31"/>
    <w:rsid w:val="50812FC2"/>
    <w:rsid w:val="5093166F"/>
    <w:rsid w:val="50BC1CEC"/>
    <w:rsid w:val="50BD225A"/>
    <w:rsid w:val="50C35389"/>
    <w:rsid w:val="50F17972"/>
    <w:rsid w:val="511D7E7F"/>
    <w:rsid w:val="513D338D"/>
    <w:rsid w:val="513F75DA"/>
    <w:rsid w:val="51570C6F"/>
    <w:rsid w:val="517321A0"/>
    <w:rsid w:val="517A6D4B"/>
    <w:rsid w:val="519A258E"/>
    <w:rsid w:val="519F4486"/>
    <w:rsid w:val="51A72EFC"/>
    <w:rsid w:val="51A74305"/>
    <w:rsid w:val="51A927D1"/>
    <w:rsid w:val="51AF590D"/>
    <w:rsid w:val="51C4760A"/>
    <w:rsid w:val="51DE67B7"/>
    <w:rsid w:val="51E41A5B"/>
    <w:rsid w:val="51EB0955"/>
    <w:rsid w:val="51F11A9F"/>
    <w:rsid w:val="51F86065"/>
    <w:rsid w:val="520619D1"/>
    <w:rsid w:val="520839FB"/>
    <w:rsid w:val="522925FF"/>
    <w:rsid w:val="522B1438"/>
    <w:rsid w:val="522C1C1A"/>
    <w:rsid w:val="523429E2"/>
    <w:rsid w:val="52362032"/>
    <w:rsid w:val="523E5D6C"/>
    <w:rsid w:val="523F3135"/>
    <w:rsid w:val="52495D62"/>
    <w:rsid w:val="526B27DD"/>
    <w:rsid w:val="5288688A"/>
    <w:rsid w:val="528D161E"/>
    <w:rsid w:val="52A336C4"/>
    <w:rsid w:val="52B92EE7"/>
    <w:rsid w:val="52D7336D"/>
    <w:rsid w:val="52D84868"/>
    <w:rsid w:val="52E53CDC"/>
    <w:rsid w:val="530103EA"/>
    <w:rsid w:val="53195734"/>
    <w:rsid w:val="53235D2E"/>
    <w:rsid w:val="53415339"/>
    <w:rsid w:val="53670B95"/>
    <w:rsid w:val="537C2E9C"/>
    <w:rsid w:val="53A05E55"/>
    <w:rsid w:val="53BD6A07"/>
    <w:rsid w:val="53C37D67"/>
    <w:rsid w:val="53C66F72"/>
    <w:rsid w:val="53E126F6"/>
    <w:rsid w:val="53E27438"/>
    <w:rsid w:val="53F305D5"/>
    <w:rsid w:val="53F57F4F"/>
    <w:rsid w:val="542D67DB"/>
    <w:rsid w:val="54316AAD"/>
    <w:rsid w:val="543C3DD0"/>
    <w:rsid w:val="54554569"/>
    <w:rsid w:val="545F361A"/>
    <w:rsid w:val="546E760A"/>
    <w:rsid w:val="546F6F25"/>
    <w:rsid w:val="547468B2"/>
    <w:rsid w:val="548B667E"/>
    <w:rsid w:val="54A85821"/>
    <w:rsid w:val="54CD4A28"/>
    <w:rsid w:val="54D47B64"/>
    <w:rsid w:val="54DA3940"/>
    <w:rsid w:val="54DA7145"/>
    <w:rsid w:val="54DE6C35"/>
    <w:rsid w:val="54E81862"/>
    <w:rsid w:val="54ED345A"/>
    <w:rsid w:val="54F414A4"/>
    <w:rsid w:val="55074B5A"/>
    <w:rsid w:val="55202DAA"/>
    <w:rsid w:val="55376345"/>
    <w:rsid w:val="553E1482"/>
    <w:rsid w:val="554F7B33"/>
    <w:rsid w:val="55530427"/>
    <w:rsid w:val="555A1DC6"/>
    <w:rsid w:val="55684751"/>
    <w:rsid w:val="5579541F"/>
    <w:rsid w:val="55825812"/>
    <w:rsid w:val="5588094F"/>
    <w:rsid w:val="559B0682"/>
    <w:rsid w:val="55BA31FE"/>
    <w:rsid w:val="55D63DB0"/>
    <w:rsid w:val="55D87B28"/>
    <w:rsid w:val="55DA73FC"/>
    <w:rsid w:val="55E42029"/>
    <w:rsid w:val="55FA3DFE"/>
    <w:rsid w:val="560E52F8"/>
    <w:rsid w:val="561C1DF7"/>
    <w:rsid w:val="561D378D"/>
    <w:rsid w:val="561E0347"/>
    <w:rsid w:val="56262CB0"/>
    <w:rsid w:val="563805C7"/>
    <w:rsid w:val="56786C15"/>
    <w:rsid w:val="56813D1C"/>
    <w:rsid w:val="56921A85"/>
    <w:rsid w:val="56933A4F"/>
    <w:rsid w:val="56A96DCF"/>
    <w:rsid w:val="56B0733F"/>
    <w:rsid w:val="56C562EE"/>
    <w:rsid w:val="56C6140B"/>
    <w:rsid w:val="56C82710"/>
    <w:rsid w:val="56D06A51"/>
    <w:rsid w:val="56EA18C1"/>
    <w:rsid w:val="56EB5639"/>
    <w:rsid w:val="56FA587C"/>
    <w:rsid w:val="57087F99"/>
    <w:rsid w:val="57106E4E"/>
    <w:rsid w:val="573C60CD"/>
    <w:rsid w:val="575415CB"/>
    <w:rsid w:val="577536F9"/>
    <w:rsid w:val="579E445A"/>
    <w:rsid w:val="57B8376D"/>
    <w:rsid w:val="57BD5228"/>
    <w:rsid w:val="57BF5BC4"/>
    <w:rsid w:val="57C975DB"/>
    <w:rsid w:val="580E5A83"/>
    <w:rsid w:val="58164938"/>
    <w:rsid w:val="58213456"/>
    <w:rsid w:val="58240E03"/>
    <w:rsid w:val="5825158A"/>
    <w:rsid w:val="582E3475"/>
    <w:rsid w:val="58466D6B"/>
    <w:rsid w:val="584F7EF2"/>
    <w:rsid w:val="586456A3"/>
    <w:rsid w:val="58896EB8"/>
    <w:rsid w:val="588B70D4"/>
    <w:rsid w:val="58B37ACE"/>
    <w:rsid w:val="58B73599"/>
    <w:rsid w:val="58B75292"/>
    <w:rsid w:val="58BC4D55"/>
    <w:rsid w:val="58BF6D7E"/>
    <w:rsid w:val="58C05D2A"/>
    <w:rsid w:val="58C61EBA"/>
    <w:rsid w:val="594D5C94"/>
    <w:rsid w:val="59981AA8"/>
    <w:rsid w:val="59B5219E"/>
    <w:rsid w:val="59B82194"/>
    <w:rsid w:val="59D851F4"/>
    <w:rsid w:val="59EC2FB2"/>
    <w:rsid w:val="59EF3692"/>
    <w:rsid w:val="5A0C522A"/>
    <w:rsid w:val="5A1651A2"/>
    <w:rsid w:val="5A1D3D5C"/>
    <w:rsid w:val="5A3317D1"/>
    <w:rsid w:val="5A3A2B60"/>
    <w:rsid w:val="5A427C66"/>
    <w:rsid w:val="5A517EA9"/>
    <w:rsid w:val="5A5D23AA"/>
    <w:rsid w:val="5A6C40FE"/>
    <w:rsid w:val="5A8042EB"/>
    <w:rsid w:val="5A8A7E13"/>
    <w:rsid w:val="5A9E067A"/>
    <w:rsid w:val="5AA26283"/>
    <w:rsid w:val="5AB53F94"/>
    <w:rsid w:val="5AC16DDD"/>
    <w:rsid w:val="5ACB7C5C"/>
    <w:rsid w:val="5ACE005D"/>
    <w:rsid w:val="5AE72210"/>
    <w:rsid w:val="5AF50835"/>
    <w:rsid w:val="5B043D7C"/>
    <w:rsid w:val="5B084A0C"/>
    <w:rsid w:val="5B215ACE"/>
    <w:rsid w:val="5B2345DF"/>
    <w:rsid w:val="5B242EC8"/>
    <w:rsid w:val="5B26198F"/>
    <w:rsid w:val="5B270FCB"/>
    <w:rsid w:val="5B286BC6"/>
    <w:rsid w:val="5B286E5C"/>
    <w:rsid w:val="5B321A89"/>
    <w:rsid w:val="5B6065F6"/>
    <w:rsid w:val="5B8A3673"/>
    <w:rsid w:val="5BBB2923"/>
    <w:rsid w:val="5BCA59B2"/>
    <w:rsid w:val="5BCF1086"/>
    <w:rsid w:val="5BDB0397"/>
    <w:rsid w:val="5BDB3ECE"/>
    <w:rsid w:val="5BE23CB3"/>
    <w:rsid w:val="5BE34E7F"/>
    <w:rsid w:val="5BEC49BF"/>
    <w:rsid w:val="5BF907F8"/>
    <w:rsid w:val="5C294C3A"/>
    <w:rsid w:val="5C341831"/>
    <w:rsid w:val="5C350A03"/>
    <w:rsid w:val="5C540CEB"/>
    <w:rsid w:val="5C6043D4"/>
    <w:rsid w:val="5C7B745F"/>
    <w:rsid w:val="5C874A01"/>
    <w:rsid w:val="5C913694"/>
    <w:rsid w:val="5C96601A"/>
    <w:rsid w:val="5C974299"/>
    <w:rsid w:val="5C9F314E"/>
    <w:rsid w:val="5CA40876"/>
    <w:rsid w:val="5D0E3E30"/>
    <w:rsid w:val="5D186A5C"/>
    <w:rsid w:val="5D2A2CDF"/>
    <w:rsid w:val="5D30024A"/>
    <w:rsid w:val="5D356701"/>
    <w:rsid w:val="5D361F20"/>
    <w:rsid w:val="5D3715D8"/>
    <w:rsid w:val="5D42351E"/>
    <w:rsid w:val="5D4567E9"/>
    <w:rsid w:val="5D4635C9"/>
    <w:rsid w:val="5D4855EF"/>
    <w:rsid w:val="5D5A7075"/>
    <w:rsid w:val="5D753247"/>
    <w:rsid w:val="5D973E25"/>
    <w:rsid w:val="5DB04EE7"/>
    <w:rsid w:val="5DBF512A"/>
    <w:rsid w:val="5DDD2180"/>
    <w:rsid w:val="5DEF5A0F"/>
    <w:rsid w:val="5E113BD7"/>
    <w:rsid w:val="5E5B30A5"/>
    <w:rsid w:val="5E6006BB"/>
    <w:rsid w:val="5E6341DD"/>
    <w:rsid w:val="5E734892"/>
    <w:rsid w:val="5E7973F4"/>
    <w:rsid w:val="5E975130"/>
    <w:rsid w:val="5E990595"/>
    <w:rsid w:val="5E9B5B97"/>
    <w:rsid w:val="5EC96260"/>
    <w:rsid w:val="5EE9110F"/>
    <w:rsid w:val="5EFA0B0F"/>
    <w:rsid w:val="5F053F00"/>
    <w:rsid w:val="5F0D1409"/>
    <w:rsid w:val="5F3F6A72"/>
    <w:rsid w:val="5F4F0039"/>
    <w:rsid w:val="5F5003C9"/>
    <w:rsid w:val="5F506981"/>
    <w:rsid w:val="5F5D2E4C"/>
    <w:rsid w:val="5F697A43"/>
    <w:rsid w:val="5F7E34EF"/>
    <w:rsid w:val="5F881C77"/>
    <w:rsid w:val="5FB24F46"/>
    <w:rsid w:val="5FB756AF"/>
    <w:rsid w:val="5FB76F8F"/>
    <w:rsid w:val="5FDF3861"/>
    <w:rsid w:val="5FEC330E"/>
    <w:rsid w:val="5FFE26B1"/>
    <w:rsid w:val="600664AF"/>
    <w:rsid w:val="60365B77"/>
    <w:rsid w:val="603E48FF"/>
    <w:rsid w:val="6045400C"/>
    <w:rsid w:val="604C0D0F"/>
    <w:rsid w:val="60657D45"/>
    <w:rsid w:val="606F1089"/>
    <w:rsid w:val="606F4BE5"/>
    <w:rsid w:val="60726FC9"/>
    <w:rsid w:val="608A5EC3"/>
    <w:rsid w:val="6098238E"/>
    <w:rsid w:val="60A800F7"/>
    <w:rsid w:val="60B464F7"/>
    <w:rsid w:val="60E07891"/>
    <w:rsid w:val="60E2185B"/>
    <w:rsid w:val="60E43A22"/>
    <w:rsid w:val="60F14772"/>
    <w:rsid w:val="610E08A2"/>
    <w:rsid w:val="6110289B"/>
    <w:rsid w:val="61382BD4"/>
    <w:rsid w:val="61630BEE"/>
    <w:rsid w:val="61642270"/>
    <w:rsid w:val="616D55C9"/>
    <w:rsid w:val="61777FF7"/>
    <w:rsid w:val="617821BF"/>
    <w:rsid w:val="61A42FB4"/>
    <w:rsid w:val="61A439AB"/>
    <w:rsid w:val="61A92379"/>
    <w:rsid w:val="61AD3C17"/>
    <w:rsid w:val="61B2747F"/>
    <w:rsid w:val="61BA6334"/>
    <w:rsid w:val="61ED6B42"/>
    <w:rsid w:val="61F963FD"/>
    <w:rsid w:val="62095AF3"/>
    <w:rsid w:val="621243C2"/>
    <w:rsid w:val="621719D8"/>
    <w:rsid w:val="621E4B15"/>
    <w:rsid w:val="621E5CC2"/>
    <w:rsid w:val="62210161"/>
    <w:rsid w:val="622140C6"/>
    <w:rsid w:val="622163B3"/>
    <w:rsid w:val="62496437"/>
    <w:rsid w:val="626968D5"/>
    <w:rsid w:val="628F77C1"/>
    <w:rsid w:val="62A82630"/>
    <w:rsid w:val="62C3746A"/>
    <w:rsid w:val="62E617AF"/>
    <w:rsid w:val="62FB23EA"/>
    <w:rsid w:val="63086863"/>
    <w:rsid w:val="632919C3"/>
    <w:rsid w:val="63381C06"/>
    <w:rsid w:val="633E13D1"/>
    <w:rsid w:val="63554509"/>
    <w:rsid w:val="636E5628"/>
    <w:rsid w:val="63730918"/>
    <w:rsid w:val="637A5D7B"/>
    <w:rsid w:val="63BD398E"/>
    <w:rsid w:val="63D469BA"/>
    <w:rsid w:val="63D97B78"/>
    <w:rsid w:val="63EC39A0"/>
    <w:rsid w:val="63FB0133"/>
    <w:rsid w:val="63FF248C"/>
    <w:rsid w:val="640B731B"/>
    <w:rsid w:val="640E5125"/>
    <w:rsid w:val="640F72BA"/>
    <w:rsid w:val="6410048D"/>
    <w:rsid w:val="641066DF"/>
    <w:rsid w:val="641B57B0"/>
    <w:rsid w:val="641C7510"/>
    <w:rsid w:val="642A4B6E"/>
    <w:rsid w:val="64303E47"/>
    <w:rsid w:val="6433260C"/>
    <w:rsid w:val="64357D9A"/>
    <w:rsid w:val="64391B01"/>
    <w:rsid w:val="643B477A"/>
    <w:rsid w:val="644C3818"/>
    <w:rsid w:val="64544BA2"/>
    <w:rsid w:val="646A4041"/>
    <w:rsid w:val="64BC0CA6"/>
    <w:rsid w:val="64C179D9"/>
    <w:rsid w:val="64D43BB1"/>
    <w:rsid w:val="64D73EDE"/>
    <w:rsid w:val="64E91A94"/>
    <w:rsid w:val="64F36CAE"/>
    <w:rsid w:val="64F41B5D"/>
    <w:rsid w:val="64F6240E"/>
    <w:rsid w:val="651F1286"/>
    <w:rsid w:val="653D3504"/>
    <w:rsid w:val="653E0219"/>
    <w:rsid w:val="654523B9"/>
    <w:rsid w:val="654E74BF"/>
    <w:rsid w:val="65562818"/>
    <w:rsid w:val="65586590"/>
    <w:rsid w:val="6562704F"/>
    <w:rsid w:val="65B17A4E"/>
    <w:rsid w:val="65DC4ACB"/>
    <w:rsid w:val="65E322FD"/>
    <w:rsid w:val="65E87914"/>
    <w:rsid w:val="65FD18F1"/>
    <w:rsid w:val="660D3A72"/>
    <w:rsid w:val="66214BD4"/>
    <w:rsid w:val="662769A1"/>
    <w:rsid w:val="662A2B0C"/>
    <w:rsid w:val="662B5A52"/>
    <w:rsid w:val="662E56E3"/>
    <w:rsid w:val="663A5C95"/>
    <w:rsid w:val="66567AB6"/>
    <w:rsid w:val="66594AA3"/>
    <w:rsid w:val="665A1E94"/>
    <w:rsid w:val="66612F0E"/>
    <w:rsid w:val="66644AC0"/>
    <w:rsid w:val="66682803"/>
    <w:rsid w:val="666D1BC7"/>
    <w:rsid w:val="6679056C"/>
    <w:rsid w:val="667961B0"/>
    <w:rsid w:val="66815672"/>
    <w:rsid w:val="66A355E9"/>
    <w:rsid w:val="66B21CD0"/>
    <w:rsid w:val="66D74F4C"/>
    <w:rsid w:val="66FE6CC3"/>
    <w:rsid w:val="67136C12"/>
    <w:rsid w:val="67240341"/>
    <w:rsid w:val="672801D6"/>
    <w:rsid w:val="67334DA0"/>
    <w:rsid w:val="673821D5"/>
    <w:rsid w:val="67472418"/>
    <w:rsid w:val="67523C88"/>
    <w:rsid w:val="677A0A3F"/>
    <w:rsid w:val="677B0314"/>
    <w:rsid w:val="6796339F"/>
    <w:rsid w:val="67A71109"/>
    <w:rsid w:val="67A902CE"/>
    <w:rsid w:val="67AB5B9E"/>
    <w:rsid w:val="67AF7FBD"/>
    <w:rsid w:val="67B51A77"/>
    <w:rsid w:val="67D30150"/>
    <w:rsid w:val="67EB7247"/>
    <w:rsid w:val="67FC0B68"/>
    <w:rsid w:val="68060525"/>
    <w:rsid w:val="68103152"/>
    <w:rsid w:val="681F15E7"/>
    <w:rsid w:val="68246BFD"/>
    <w:rsid w:val="68370D4F"/>
    <w:rsid w:val="683740E0"/>
    <w:rsid w:val="68476448"/>
    <w:rsid w:val="68611A0A"/>
    <w:rsid w:val="686D2352"/>
    <w:rsid w:val="68815DFE"/>
    <w:rsid w:val="68831B76"/>
    <w:rsid w:val="6897727D"/>
    <w:rsid w:val="689B650E"/>
    <w:rsid w:val="689C2C37"/>
    <w:rsid w:val="68A06E8C"/>
    <w:rsid w:val="68DB066B"/>
    <w:rsid w:val="68E1689C"/>
    <w:rsid w:val="68FB5BB0"/>
    <w:rsid w:val="690C3919"/>
    <w:rsid w:val="690F3409"/>
    <w:rsid w:val="691240E0"/>
    <w:rsid w:val="691B3B5C"/>
    <w:rsid w:val="691D5B26"/>
    <w:rsid w:val="69280027"/>
    <w:rsid w:val="692E35B4"/>
    <w:rsid w:val="69431F17"/>
    <w:rsid w:val="694E3F32"/>
    <w:rsid w:val="695452C0"/>
    <w:rsid w:val="69561038"/>
    <w:rsid w:val="6959539D"/>
    <w:rsid w:val="69731BEA"/>
    <w:rsid w:val="697509FA"/>
    <w:rsid w:val="69872FA0"/>
    <w:rsid w:val="698776CE"/>
    <w:rsid w:val="69935DE8"/>
    <w:rsid w:val="699A7F63"/>
    <w:rsid w:val="69BE02DB"/>
    <w:rsid w:val="69D41F5D"/>
    <w:rsid w:val="69DB153D"/>
    <w:rsid w:val="69E8675C"/>
    <w:rsid w:val="69F34AD9"/>
    <w:rsid w:val="69F85C4B"/>
    <w:rsid w:val="69FB573C"/>
    <w:rsid w:val="69FE1C76"/>
    <w:rsid w:val="6A0960AB"/>
    <w:rsid w:val="6A0B3BD1"/>
    <w:rsid w:val="6A0E546F"/>
    <w:rsid w:val="6A175A16"/>
    <w:rsid w:val="6A266C5C"/>
    <w:rsid w:val="6A2B4273"/>
    <w:rsid w:val="6A481F03"/>
    <w:rsid w:val="6A9B4D03"/>
    <w:rsid w:val="6AA42BFF"/>
    <w:rsid w:val="6AA67D9D"/>
    <w:rsid w:val="6AAB0F10"/>
    <w:rsid w:val="6AAF6C52"/>
    <w:rsid w:val="6AC41FD2"/>
    <w:rsid w:val="6ADA3A3E"/>
    <w:rsid w:val="6ADD1949"/>
    <w:rsid w:val="6AE461D0"/>
    <w:rsid w:val="6AEA5EDC"/>
    <w:rsid w:val="6AF705F9"/>
    <w:rsid w:val="6B014A19"/>
    <w:rsid w:val="6B160A7F"/>
    <w:rsid w:val="6B3B04E6"/>
    <w:rsid w:val="6B572E46"/>
    <w:rsid w:val="6B70570C"/>
    <w:rsid w:val="6B791415"/>
    <w:rsid w:val="6B94551F"/>
    <w:rsid w:val="6BA33A90"/>
    <w:rsid w:val="6BA8544F"/>
    <w:rsid w:val="6BB122F3"/>
    <w:rsid w:val="6BB81B36"/>
    <w:rsid w:val="6BDA5F51"/>
    <w:rsid w:val="6BF52F1B"/>
    <w:rsid w:val="6BFF1513"/>
    <w:rsid w:val="6C186A79"/>
    <w:rsid w:val="6C195BB1"/>
    <w:rsid w:val="6C1A1401"/>
    <w:rsid w:val="6C44161C"/>
    <w:rsid w:val="6C4909E0"/>
    <w:rsid w:val="6C57598C"/>
    <w:rsid w:val="6C812606"/>
    <w:rsid w:val="6C9E6F7E"/>
    <w:rsid w:val="6CA11A31"/>
    <w:rsid w:val="6CA33CEF"/>
    <w:rsid w:val="6CB5251A"/>
    <w:rsid w:val="6CC369E5"/>
    <w:rsid w:val="6CD209D6"/>
    <w:rsid w:val="6CFA7F2C"/>
    <w:rsid w:val="6D011CF4"/>
    <w:rsid w:val="6D062D75"/>
    <w:rsid w:val="6D0D7CC2"/>
    <w:rsid w:val="6D176B31"/>
    <w:rsid w:val="6D4C0636"/>
    <w:rsid w:val="6D617FAC"/>
    <w:rsid w:val="6D723F67"/>
    <w:rsid w:val="6DBE71AC"/>
    <w:rsid w:val="6DC76061"/>
    <w:rsid w:val="6DC9002B"/>
    <w:rsid w:val="6DD644F6"/>
    <w:rsid w:val="6DDD2EE0"/>
    <w:rsid w:val="6E1374F8"/>
    <w:rsid w:val="6E166FE8"/>
    <w:rsid w:val="6E1B5CDB"/>
    <w:rsid w:val="6E2E4332"/>
    <w:rsid w:val="6E30120B"/>
    <w:rsid w:val="6E3630E3"/>
    <w:rsid w:val="6E4B7973"/>
    <w:rsid w:val="6E4C3863"/>
    <w:rsid w:val="6E5B2C4D"/>
    <w:rsid w:val="6E7C5B14"/>
    <w:rsid w:val="6E7F2DDF"/>
    <w:rsid w:val="6E7F693B"/>
    <w:rsid w:val="6E810905"/>
    <w:rsid w:val="6E862D78"/>
    <w:rsid w:val="6EA17E97"/>
    <w:rsid w:val="6EB73CB1"/>
    <w:rsid w:val="6EB83BFB"/>
    <w:rsid w:val="6EC31970"/>
    <w:rsid w:val="6ED0363B"/>
    <w:rsid w:val="6ED07197"/>
    <w:rsid w:val="6ED749C9"/>
    <w:rsid w:val="6EDC0C2C"/>
    <w:rsid w:val="6EF73894"/>
    <w:rsid w:val="6EF92792"/>
    <w:rsid w:val="6EFC4430"/>
    <w:rsid w:val="6EFF7A7C"/>
    <w:rsid w:val="6F16554D"/>
    <w:rsid w:val="6F1E1004"/>
    <w:rsid w:val="6F2B1FBA"/>
    <w:rsid w:val="6F3040D9"/>
    <w:rsid w:val="6F5C0A2B"/>
    <w:rsid w:val="6F6A3147"/>
    <w:rsid w:val="6F7A60BD"/>
    <w:rsid w:val="6F82445E"/>
    <w:rsid w:val="6F8F7052"/>
    <w:rsid w:val="6FB57A55"/>
    <w:rsid w:val="6FC50CC6"/>
    <w:rsid w:val="6FCD3700"/>
    <w:rsid w:val="6FE0340A"/>
    <w:rsid w:val="702A0B29"/>
    <w:rsid w:val="70657DB3"/>
    <w:rsid w:val="707D6EAA"/>
    <w:rsid w:val="70926DFA"/>
    <w:rsid w:val="70A67F01"/>
    <w:rsid w:val="70AB3A18"/>
    <w:rsid w:val="70E250CE"/>
    <w:rsid w:val="70F27898"/>
    <w:rsid w:val="71193077"/>
    <w:rsid w:val="712B4B58"/>
    <w:rsid w:val="713954C7"/>
    <w:rsid w:val="713C4FB8"/>
    <w:rsid w:val="71791D68"/>
    <w:rsid w:val="71942602"/>
    <w:rsid w:val="719F49E4"/>
    <w:rsid w:val="71A15DCC"/>
    <w:rsid w:val="71CB2A38"/>
    <w:rsid w:val="71D62D16"/>
    <w:rsid w:val="71D84CE0"/>
    <w:rsid w:val="72014BEC"/>
    <w:rsid w:val="72127AC6"/>
    <w:rsid w:val="72181581"/>
    <w:rsid w:val="72226E2C"/>
    <w:rsid w:val="722C0B88"/>
    <w:rsid w:val="722C7F52"/>
    <w:rsid w:val="72444124"/>
    <w:rsid w:val="72491472"/>
    <w:rsid w:val="7249173A"/>
    <w:rsid w:val="72C40DC1"/>
    <w:rsid w:val="72D52FCE"/>
    <w:rsid w:val="72DA4A88"/>
    <w:rsid w:val="72E94CCB"/>
    <w:rsid w:val="73047407"/>
    <w:rsid w:val="730B69EF"/>
    <w:rsid w:val="730C2768"/>
    <w:rsid w:val="73155AC0"/>
    <w:rsid w:val="73247AB1"/>
    <w:rsid w:val="732934A9"/>
    <w:rsid w:val="732B52E4"/>
    <w:rsid w:val="73416AB6"/>
    <w:rsid w:val="73463ECB"/>
    <w:rsid w:val="734F3C71"/>
    <w:rsid w:val="73530396"/>
    <w:rsid w:val="735A1725"/>
    <w:rsid w:val="73685BF0"/>
    <w:rsid w:val="736B3932"/>
    <w:rsid w:val="73774085"/>
    <w:rsid w:val="7379604F"/>
    <w:rsid w:val="739D1E6C"/>
    <w:rsid w:val="73B34D2F"/>
    <w:rsid w:val="73B45214"/>
    <w:rsid w:val="73EB6821"/>
    <w:rsid w:val="73FB4CB6"/>
    <w:rsid w:val="73FC1035"/>
    <w:rsid w:val="74031DBD"/>
    <w:rsid w:val="74082F2F"/>
    <w:rsid w:val="740D2C3B"/>
    <w:rsid w:val="74157ED7"/>
    <w:rsid w:val="741B0EB4"/>
    <w:rsid w:val="741D2E7E"/>
    <w:rsid w:val="7431692A"/>
    <w:rsid w:val="74373814"/>
    <w:rsid w:val="74561B17"/>
    <w:rsid w:val="745D14CD"/>
    <w:rsid w:val="746E2840"/>
    <w:rsid w:val="748839B5"/>
    <w:rsid w:val="749F3E77"/>
    <w:rsid w:val="74A50A66"/>
    <w:rsid w:val="74AE3AD6"/>
    <w:rsid w:val="74BD1F6B"/>
    <w:rsid w:val="74C57072"/>
    <w:rsid w:val="74D80B53"/>
    <w:rsid w:val="74F55BA9"/>
    <w:rsid w:val="75156511"/>
    <w:rsid w:val="75181898"/>
    <w:rsid w:val="751853F4"/>
    <w:rsid w:val="75232716"/>
    <w:rsid w:val="75271ADB"/>
    <w:rsid w:val="75466405"/>
    <w:rsid w:val="75495400"/>
    <w:rsid w:val="756E5C8B"/>
    <w:rsid w:val="758C19CA"/>
    <w:rsid w:val="758C50E7"/>
    <w:rsid w:val="759F5B15"/>
    <w:rsid w:val="75A53232"/>
    <w:rsid w:val="75A949BB"/>
    <w:rsid w:val="75B72E5F"/>
    <w:rsid w:val="75BF7F65"/>
    <w:rsid w:val="75DD38A8"/>
    <w:rsid w:val="75E11C8A"/>
    <w:rsid w:val="75E86E8D"/>
    <w:rsid w:val="75F8130B"/>
    <w:rsid w:val="75FE0A8D"/>
    <w:rsid w:val="75FE68CD"/>
    <w:rsid w:val="76100556"/>
    <w:rsid w:val="76116A13"/>
    <w:rsid w:val="76257DC8"/>
    <w:rsid w:val="76394C4B"/>
    <w:rsid w:val="7643770F"/>
    <w:rsid w:val="764F5021"/>
    <w:rsid w:val="765839BD"/>
    <w:rsid w:val="766052A4"/>
    <w:rsid w:val="76865E18"/>
    <w:rsid w:val="76A258BD"/>
    <w:rsid w:val="76B13D52"/>
    <w:rsid w:val="76B82806"/>
    <w:rsid w:val="76F93003"/>
    <w:rsid w:val="77056897"/>
    <w:rsid w:val="771B5BC5"/>
    <w:rsid w:val="771D13E7"/>
    <w:rsid w:val="77242776"/>
    <w:rsid w:val="7736689E"/>
    <w:rsid w:val="77490794"/>
    <w:rsid w:val="774B1AB0"/>
    <w:rsid w:val="775C2F0E"/>
    <w:rsid w:val="775F730A"/>
    <w:rsid w:val="77770AF7"/>
    <w:rsid w:val="777A4144"/>
    <w:rsid w:val="77903967"/>
    <w:rsid w:val="7791148D"/>
    <w:rsid w:val="77972F48"/>
    <w:rsid w:val="77AB254F"/>
    <w:rsid w:val="77C53203"/>
    <w:rsid w:val="77C74EAF"/>
    <w:rsid w:val="77DE61B1"/>
    <w:rsid w:val="77DF48AB"/>
    <w:rsid w:val="77ED6D6B"/>
    <w:rsid w:val="781520BE"/>
    <w:rsid w:val="783267CC"/>
    <w:rsid w:val="784D1858"/>
    <w:rsid w:val="785E73E8"/>
    <w:rsid w:val="7897512C"/>
    <w:rsid w:val="78A47CB4"/>
    <w:rsid w:val="78EE0759"/>
    <w:rsid w:val="78FB5758"/>
    <w:rsid w:val="790A599B"/>
    <w:rsid w:val="79144124"/>
    <w:rsid w:val="79172C15"/>
    <w:rsid w:val="792F71B0"/>
    <w:rsid w:val="79444A09"/>
    <w:rsid w:val="79563D5A"/>
    <w:rsid w:val="796E7CD8"/>
    <w:rsid w:val="79773C4C"/>
    <w:rsid w:val="79880533"/>
    <w:rsid w:val="798B6ADC"/>
    <w:rsid w:val="7993773F"/>
    <w:rsid w:val="799C723E"/>
    <w:rsid w:val="79AC325B"/>
    <w:rsid w:val="79BA116F"/>
    <w:rsid w:val="79C124FE"/>
    <w:rsid w:val="79E26407"/>
    <w:rsid w:val="79EB31D2"/>
    <w:rsid w:val="79EF3BFA"/>
    <w:rsid w:val="7A0A5C53"/>
    <w:rsid w:val="7A105D2C"/>
    <w:rsid w:val="7A1563A6"/>
    <w:rsid w:val="7A48677B"/>
    <w:rsid w:val="7A4A18CD"/>
    <w:rsid w:val="7A6115EB"/>
    <w:rsid w:val="7A7371DA"/>
    <w:rsid w:val="7A7A445B"/>
    <w:rsid w:val="7A811C8D"/>
    <w:rsid w:val="7A872C09"/>
    <w:rsid w:val="7A87426C"/>
    <w:rsid w:val="7A8C2505"/>
    <w:rsid w:val="7A8F02BC"/>
    <w:rsid w:val="7AA716F4"/>
    <w:rsid w:val="7AAA4D40"/>
    <w:rsid w:val="7AB20098"/>
    <w:rsid w:val="7ACA3634"/>
    <w:rsid w:val="7B004782"/>
    <w:rsid w:val="7B087FDE"/>
    <w:rsid w:val="7B4052F0"/>
    <w:rsid w:val="7B413E20"/>
    <w:rsid w:val="7B474C85"/>
    <w:rsid w:val="7B5D748F"/>
    <w:rsid w:val="7B66335D"/>
    <w:rsid w:val="7B6F0D05"/>
    <w:rsid w:val="7B792C7F"/>
    <w:rsid w:val="7B841A35"/>
    <w:rsid w:val="7B86755B"/>
    <w:rsid w:val="7BAF32A4"/>
    <w:rsid w:val="7BB128AD"/>
    <w:rsid w:val="7BBD0AA3"/>
    <w:rsid w:val="7BDE7397"/>
    <w:rsid w:val="7BF003F6"/>
    <w:rsid w:val="7BF71835"/>
    <w:rsid w:val="7C042B76"/>
    <w:rsid w:val="7C091F3A"/>
    <w:rsid w:val="7C596A1E"/>
    <w:rsid w:val="7C6F6CE6"/>
    <w:rsid w:val="7C7E46D6"/>
    <w:rsid w:val="7C855D2B"/>
    <w:rsid w:val="7C8B6DF3"/>
    <w:rsid w:val="7C9749CF"/>
    <w:rsid w:val="7CA73C2D"/>
    <w:rsid w:val="7CBB0C65"/>
    <w:rsid w:val="7CC3033B"/>
    <w:rsid w:val="7CFE4D0B"/>
    <w:rsid w:val="7D0D584B"/>
    <w:rsid w:val="7D0F532E"/>
    <w:rsid w:val="7D1943FF"/>
    <w:rsid w:val="7D410C4C"/>
    <w:rsid w:val="7D422B20"/>
    <w:rsid w:val="7D4C2119"/>
    <w:rsid w:val="7D644FF4"/>
    <w:rsid w:val="7D692C90"/>
    <w:rsid w:val="7D6C548F"/>
    <w:rsid w:val="7D8775BA"/>
    <w:rsid w:val="7D953281"/>
    <w:rsid w:val="7DA43EDD"/>
    <w:rsid w:val="7DA97531"/>
    <w:rsid w:val="7DAA5057"/>
    <w:rsid w:val="7DB122B5"/>
    <w:rsid w:val="7DC65E60"/>
    <w:rsid w:val="7DD23A56"/>
    <w:rsid w:val="7DD520D4"/>
    <w:rsid w:val="7DE642E1"/>
    <w:rsid w:val="7E2F6A52"/>
    <w:rsid w:val="7E357016"/>
    <w:rsid w:val="7E3A287F"/>
    <w:rsid w:val="7E5F22E5"/>
    <w:rsid w:val="7E6E6608"/>
    <w:rsid w:val="7E771BAC"/>
    <w:rsid w:val="7E7E276B"/>
    <w:rsid w:val="7E800BC1"/>
    <w:rsid w:val="7E891110"/>
    <w:rsid w:val="7E8A5C21"/>
    <w:rsid w:val="7EA452E1"/>
    <w:rsid w:val="7EC0795C"/>
    <w:rsid w:val="7ED964CE"/>
    <w:rsid w:val="7EDE76AE"/>
    <w:rsid w:val="7EE76FBE"/>
    <w:rsid w:val="7EEF71C5"/>
    <w:rsid w:val="7F056578"/>
    <w:rsid w:val="7F250E39"/>
    <w:rsid w:val="7F4A1447"/>
    <w:rsid w:val="7F590AE3"/>
    <w:rsid w:val="7F6A2CF0"/>
    <w:rsid w:val="7F786BAA"/>
    <w:rsid w:val="7F842003"/>
    <w:rsid w:val="7F8E4C30"/>
    <w:rsid w:val="7F945FBF"/>
    <w:rsid w:val="7FA2692E"/>
    <w:rsid w:val="7FCC5758"/>
    <w:rsid w:val="7FD447D6"/>
    <w:rsid w:val="7FDE1E1C"/>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adjustRightInd w:val="0"/>
      <w:snapToGrid w:val="0"/>
      <w:spacing w:line="360" w:lineRule="auto"/>
      <w:jc w:val="center"/>
      <w:outlineLvl w:val="0"/>
    </w:pPr>
    <w:rPr>
      <w:b/>
      <w:sz w:val="44"/>
    </w:rPr>
  </w:style>
  <w:style w:type="paragraph" w:styleId="3">
    <w:name w:val="heading 2"/>
    <w:basedOn w:val="1"/>
    <w:next w:val="1"/>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99"/>
    <w:pPr>
      <w:ind w:firstLine="420" w:firstLineChars="200"/>
    </w:pPr>
    <w:rPr>
      <w:rFonts w:ascii="Calibri" w:hAnsi="Calibri"/>
      <w:kern w:val="0"/>
      <w:sz w:val="20"/>
    </w:rPr>
  </w:style>
  <w:style w:type="paragraph" w:styleId="8">
    <w:name w:val="toa heading"/>
    <w:basedOn w:val="1"/>
    <w:next w:val="1"/>
    <w:qFormat/>
    <w:uiPriority w:val="0"/>
    <w:pPr>
      <w:spacing w:before="120"/>
    </w:pPr>
    <w:rPr>
      <w:rFonts w:ascii="Arial" w:hAnsi="Arial"/>
      <w:b/>
      <w:bCs/>
    </w:rPr>
  </w:style>
  <w:style w:type="paragraph" w:styleId="9">
    <w:name w:val="Body Text 3"/>
    <w:basedOn w:val="1"/>
    <w:qFormat/>
    <w:uiPriority w:val="99"/>
    <w:pPr>
      <w:spacing w:after="120"/>
    </w:pPr>
    <w:rPr>
      <w:sz w:val="16"/>
      <w:szCs w:val="16"/>
    </w:rPr>
  </w:style>
  <w:style w:type="paragraph" w:styleId="10">
    <w:name w:val="Body Text"/>
    <w:basedOn w:val="1"/>
    <w:next w:val="1"/>
    <w:qFormat/>
    <w:uiPriority w:val="99"/>
    <w:pPr>
      <w:spacing w:after="120"/>
    </w:pPr>
    <w:rPr>
      <w:szCs w:val="24"/>
    </w:rPr>
  </w:style>
  <w:style w:type="paragraph" w:styleId="11">
    <w:name w:val="Body Text Indent"/>
    <w:basedOn w:val="1"/>
    <w:next w:val="10"/>
    <w:qFormat/>
    <w:uiPriority w:val="0"/>
    <w:pPr>
      <w:ind w:left="1083" w:leftChars="30" w:hanging="1020" w:hangingChars="425"/>
    </w:pPr>
    <w:rPr>
      <w:rFonts w:ascii="宋体" w:hAnsi="宋体"/>
      <w:sz w:val="24"/>
    </w:rPr>
  </w:style>
  <w:style w:type="paragraph" w:styleId="12">
    <w:name w:val="List 2"/>
    <w:basedOn w:val="1"/>
    <w:qFormat/>
    <w:uiPriority w:val="0"/>
    <w:pPr>
      <w:spacing w:line="360" w:lineRule="auto"/>
      <w:ind w:left="100" w:leftChars="200" w:hanging="200" w:hangingChars="200"/>
    </w:pPr>
    <w:rPr>
      <w:szCs w:val="20"/>
    </w:rPr>
  </w:style>
  <w:style w:type="paragraph" w:styleId="13">
    <w:name w:val="Block Text"/>
    <w:basedOn w:val="1"/>
    <w:next w:val="1"/>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4">
    <w:name w:val="Plain Text"/>
    <w:basedOn w:val="1"/>
    <w:next w:val="1"/>
    <w:qFormat/>
    <w:uiPriority w:val="99"/>
    <w:rPr>
      <w:rFonts w:ascii="宋体" w:hAnsi="Courier New"/>
    </w:rPr>
  </w:style>
  <w:style w:type="paragraph" w:styleId="15">
    <w:name w:val="Body Text Indent 2"/>
    <w:basedOn w:val="1"/>
    <w:semiHidden/>
    <w:unhideWhenUsed/>
    <w:qFormat/>
    <w:uiPriority w:val="99"/>
    <w:pPr>
      <w:spacing w:after="120" w:line="480" w:lineRule="auto"/>
      <w:ind w:left="420" w:leftChars="200"/>
    </w:pPr>
  </w:style>
  <w:style w:type="paragraph" w:styleId="16">
    <w:name w:val="footer"/>
    <w:basedOn w:val="1"/>
    <w:next w:val="1"/>
    <w:qFormat/>
    <w:uiPriority w:val="99"/>
    <w:pPr>
      <w:tabs>
        <w:tab w:val="center" w:pos="4153"/>
        <w:tab w:val="right" w:pos="8306"/>
      </w:tabs>
      <w:adjustRightInd w:val="0"/>
      <w:spacing w:line="240" w:lineRule="atLeast"/>
      <w:jc w:val="left"/>
      <w:textAlignment w:val="baseline"/>
    </w:pPr>
    <w:rPr>
      <w:kern w:val="0"/>
      <w:sz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99"/>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HTML Preformatted"/>
    <w:basedOn w:val="1"/>
    <w:qFormat/>
    <w:uiPriority w:val="0"/>
    <w:rPr>
      <w:rFonts w:ascii="Courier New" w:hAnsi="Courier New"/>
      <w:sz w:val="20"/>
    </w:rPr>
  </w:style>
  <w:style w:type="paragraph" w:styleId="22">
    <w:name w:val="Normal (Web)"/>
    <w:basedOn w:val="1"/>
    <w:next w:val="17"/>
    <w:qFormat/>
    <w:uiPriority w:val="99"/>
    <w:pPr>
      <w:widowControl/>
      <w:spacing w:before="100" w:beforeAutospacing="1" w:after="100" w:afterAutospacing="1"/>
      <w:jc w:val="left"/>
    </w:pPr>
    <w:rPr>
      <w:rFonts w:ascii="宋体" w:hAnsi="宋体" w:cs="宋体"/>
      <w:kern w:val="0"/>
      <w:sz w:val="24"/>
      <w:szCs w:val="24"/>
    </w:rPr>
  </w:style>
  <w:style w:type="paragraph" w:styleId="23">
    <w:name w:val="Body Text First Indent"/>
    <w:basedOn w:val="10"/>
    <w:next w:val="1"/>
    <w:qFormat/>
    <w:uiPriority w:val="0"/>
    <w:pPr>
      <w:adjustRightInd w:val="0"/>
      <w:ind w:firstLine="420"/>
      <w:jc w:val="left"/>
      <w:textAlignment w:val="baseline"/>
    </w:pPr>
    <w:rPr>
      <w:kern w:val="0"/>
      <w:sz w:val="21"/>
    </w:rPr>
  </w:style>
  <w:style w:type="paragraph" w:styleId="24">
    <w:name w:val="Body Text First Indent 2"/>
    <w:basedOn w:val="11"/>
    <w:next w:val="1"/>
    <w:qFormat/>
    <w:uiPriority w:val="0"/>
    <w:pPr>
      <w:ind w:firstLine="420"/>
    </w:pPr>
    <w:rPr>
      <w:rFonts w:hint="eastAsia"/>
      <w:sz w:val="21"/>
    </w:r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qFormat/>
    <w:uiPriority w:val="99"/>
    <w:rPr>
      <w:rFonts w:cs="Times New Roman"/>
    </w:rPr>
  </w:style>
  <w:style w:type="character" w:styleId="30">
    <w:name w:val="FollowedHyperlink"/>
    <w:basedOn w:val="27"/>
    <w:qFormat/>
    <w:uiPriority w:val="0"/>
    <w:rPr>
      <w:color w:val="551A8B"/>
      <w:u w:val="single"/>
    </w:rPr>
  </w:style>
  <w:style w:type="character" w:styleId="31">
    <w:name w:val="Emphasis"/>
    <w:basedOn w:val="27"/>
    <w:qFormat/>
    <w:uiPriority w:val="0"/>
    <w:rPr>
      <w:color w:val="D73130"/>
      <w:sz w:val="24"/>
      <w:szCs w:val="24"/>
    </w:rPr>
  </w:style>
  <w:style w:type="character" w:styleId="32">
    <w:name w:val="Hyperlink"/>
    <w:basedOn w:val="27"/>
    <w:qFormat/>
    <w:uiPriority w:val="0"/>
    <w:rPr>
      <w:color w:val="0000FF"/>
      <w:u w:val="none"/>
    </w:rPr>
  </w:style>
  <w:style w:type="character" w:styleId="33">
    <w:name w:val="HTML Cite"/>
    <w:basedOn w:val="27"/>
    <w:qFormat/>
    <w:uiPriority w:val="0"/>
    <w:rPr>
      <w:sz w:val="24"/>
      <w:szCs w:val="24"/>
    </w:rPr>
  </w:style>
  <w:style w:type="paragraph" w:customStyle="1" w:styleId="34">
    <w:name w:val="正文缩进1"/>
    <w:basedOn w:val="1"/>
    <w:qFormat/>
    <w:uiPriority w:val="0"/>
    <w:pPr>
      <w:ind w:firstLine="420" w:firstLineChars="200"/>
    </w:pPr>
  </w:style>
  <w:style w:type="paragraph" w:customStyle="1" w:styleId="35">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styleId="36">
    <w:name w:val="List Paragraph"/>
    <w:basedOn w:val="1"/>
    <w:next w:val="37"/>
    <w:qFormat/>
    <w:uiPriority w:val="34"/>
    <w:pPr>
      <w:ind w:firstLine="420" w:firstLineChars="200"/>
    </w:pPr>
    <w:rPr>
      <w:rFonts w:ascii="Calibri" w:hAnsi="Calibri"/>
      <w:szCs w:val="22"/>
    </w:rPr>
  </w:style>
  <w:style w:type="paragraph" w:customStyle="1" w:styleId="37">
    <w:name w:val="正文1"/>
    <w:next w:val="22"/>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38">
    <w:name w:val="正式文本"/>
    <w:basedOn w:val="1"/>
    <w:qFormat/>
    <w:uiPriority w:val="0"/>
    <w:pPr>
      <w:spacing w:line="540" w:lineRule="exact"/>
      <w:ind w:firstLine="200" w:firstLineChars="200"/>
    </w:pPr>
    <w:rPr>
      <w:rFonts w:ascii="宋体" w:hAnsi="Arial Narrow" w:eastAsia="宋体" w:cs="Times New Roman"/>
      <w:sz w:val="28"/>
      <w:szCs w:val="24"/>
    </w:rPr>
  </w:style>
  <w:style w:type="paragraph" w:customStyle="1" w:styleId="39">
    <w:name w:val="WPSOffice手动目录 1"/>
    <w:qFormat/>
    <w:uiPriority w:val="0"/>
    <w:rPr>
      <w:rFonts w:ascii="Calibri" w:hAnsi="Calibri" w:eastAsia="宋体" w:cs="Times New Roman"/>
      <w:lang w:val="en-US" w:eastAsia="zh-CN" w:bidi="ar-SA"/>
    </w:rPr>
  </w:style>
  <w:style w:type="paragraph" w:customStyle="1" w:styleId="40">
    <w:name w:val="WPSOffice手动目录 2"/>
    <w:qFormat/>
    <w:uiPriority w:val="0"/>
    <w:pPr>
      <w:ind w:left="200" w:leftChars="200"/>
    </w:pPr>
    <w:rPr>
      <w:rFonts w:ascii="Calibri" w:hAnsi="Calibri" w:eastAsia="宋体" w:cs="Times New Roman"/>
      <w:lang w:val="en-US" w:eastAsia="zh-CN" w:bidi="ar-SA"/>
    </w:rPr>
  </w:style>
  <w:style w:type="paragraph" w:customStyle="1" w:styleId="41">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42">
    <w:name w:val="样式 标题 2 + Times New Roman 四号 非加粗 段前: 5 磅 段后: 0 磅 行距: 固定值 20..."/>
    <w:basedOn w:val="3"/>
    <w:qFormat/>
    <w:uiPriority w:val="99"/>
    <w:pPr>
      <w:spacing w:before="100" w:line="400" w:lineRule="exact"/>
    </w:pPr>
    <w:rPr>
      <w:rFonts w:ascii="Times New Roman" w:hAnsi="Times New Roman" w:cs="宋体"/>
      <w:b w:val="0"/>
      <w:kern w:val="0"/>
      <w:sz w:val="28"/>
    </w:rPr>
  </w:style>
  <w:style w:type="paragraph" w:customStyle="1" w:styleId="43">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customStyle="1" w:styleId="44">
    <w:name w:val="目录"/>
    <w:basedOn w:val="1"/>
    <w:qFormat/>
    <w:uiPriority w:val="99"/>
    <w:pPr>
      <w:jc w:val="center"/>
    </w:pPr>
    <w:rPr>
      <w:rFonts w:ascii="宋体" w:hAnsi="Calibri"/>
      <w:b/>
      <w:sz w:val="36"/>
      <w:szCs w:val="22"/>
    </w:rPr>
  </w:style>
  <w:style w:type="paragraph" w:customStyle="1" w:styleId="45">
    <w:name w:val="正文样式"/>
    <w:basedOn w:val="1"/>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46">
    <w:name w:val="首行缩进"/>
    <w:basedOn w:val="1"/>
    <w:qFormat/>
    <w:uiPriority w:val="0"/>
    <w:pPr>
      <w:spacing w:line="360" w:lineRule="auto"/>
      <w:ind w:firstLine="480" w:firstLineChars="200"/>
    </w:pPr>
    <w:rPr>
      <w:sz w:val="24"/>
      <w:szCs w:val="22"/>
      <w:lang w:val="zh-CN"/>
    </w:rPr>
  </w:style>
  <w:style w:type="paragraph" w:customStyle="1" w:styleId="47">
    <w:name w:val="Table Paragraph"/>
    <w:basedOn w:val="1"/>
    <w:qFormat/>
    <w:uiPriority w:val="1"/>
    <w:rPr>
      <w:rFonts w:ascii="仿宋" w:hAnsi="仿宋" w:eastAsia="仿宋" w:cs="仿宋"/>
      <w:lang w:val="zh-CN" w:eastAsia="zh-CN" w:bidi="zh-CN"/>
    </w:rPr>
  </w:style>
  <w:style w:type="paragraph" w:customStyle="1" w:styleId="48">
    <w:name w:val="Default"/>
    <w:basedOn w:val="1"/>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49">
    <w:name w:val="Table Normal"/>
    <w:unhideWhenUsed/>
    <w:qFormat/>
    <w:uiPriority w:val="0"/>
    <w:tblPr>
      <w:tblCellMar>
        <w:top w:w="0" w:type="dxa"/>
        <w:left w:w="0" w:type="dxa"/>
        <w:bottom w:w="0" w:type="dxa"/>
        <w:right w:w="0" w:type="dxa"/>
      </w:tblCellMar>
    </w:tblPr>
  </w:style>
  <w:style w:type="character" w:customStyle="1" w:styleId="50">
    <w:name w:val="font11"/>
    <w:basedOn w:val="27"/>
    <w:qFormat/>
    <w:uiPriority w:val="0"/>
    <w:rPr>
      <w:rFonts w:hint="eastAsia" w:ascii="宋体" w:hAnsi="宋体" w:eastAsia="宋体" w:cs="宋体"/>
      <w:color w:val="000000"/>
      <w:sz w:val="24"/>
      <w:szCs w:val="24"/>
      <w:u w:val="none"/>
    </w:rPr>
  </w:style>
  <w:style w:type="paragraph" w:customStyle="1" w:styleId="51">
    <w:name w:val="Fließtext"/>
    <w:basedOn w:val="1"/>
    <w:qFormat/>
    <w:uiPriority w:val="0"/>
    <w:pPr>
      <w:overflowPunct w:val="0"/>
      <w:autoSpaceDE w:val="0"/>
      <w:autoSpaceDN w:val="0"/>
      <w:adjustRightInd w:val="0"/>
      <w:textAlignment w:val="baseline"/>
    </w:pPr>
    <w:rPr>
      <w:kern w:val="28"/>
      <w:sz w:val="28"/>
      <w:szCs w:val="20"/>
    </w:rPr>
  </w:style>
  <w:style w:type="paragraph" w:customStyle="1" w:styleId="52">
    <w:name w:val="正文（缩进 2 字符）"/>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30984</Words>
  <Characters>33345</Characters>
  <Lines>0</Lines>
  <Paragraphs>0</Paragraphs>
  <TotalTime>6</TotalTime>
  <ScaleCrop>false</ScaleCrop>
  <LinksUpToDate>false</LinksUpToDate>
  <CharactersWithSpaces>38795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黑曼巴</cp:lastModifiedBy>
  <cp:lastPrinted>2023-05-12T06:59:00Z</cp:lastPrinted>
  <dcterms:modified xsi:type="dcterms:W3CDTF">2023-10-07T06:34:58Z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EAEAFC8150E9493FB0FDC9EFB409FE4D_13</vt:lpwstr>
  </property>
</Properties>
</file>