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rPr>
      </w:pPr>
    </w:p>
    <w:p>
      <w:pPr>
        <w:spacing w:line="360" w:lineRule="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采购</w:t>
      </w:r>
      <w:r>
        <w:rPr>
          <w:rFonts w:hint="eastAsia" w:ascii="宋体" w:hAnsi="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ZZCG202</w:t>
      </w:r>
      <w:r>
        <w:rPr>
          <w:rFonts w:hint="default" w:ascii="宋体" w:hAnsi="宋体" w:cs="宋体"/>
          <w:b/>
          <w:color w:val="auto"/>
          <w:sz w:val="28"/>
          <w:szCs w:val="28"/>
          <w:highlight w:val="none"/>
          <w:lang w:val="en-US" w:eastAsia="zh-CN"/>
        </w:rPr>
        <w:t>3005</w:t>
      </w:r>
    </w:p>
    <w:p>
      <w:pPr>
        <w:bidi w:val="0"/>
        <w:rPr>
          <w:rFonts w:hint="eastAsia" w:ascii="宋体" w:hAnsi="宋体" w:eastAsia="宋体" w:cs="宋体"/>
        </w:rPr>
      </w:pPr>
    </w:p>
    <w:p>
      <w:pPr>
        <w:bidi w:val="0"/>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45"/>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eastAsia="zh-CN"/>
        </w:rPr>
        <w:t>子洲县委办公用房维修改造工程</w:t>
      </w:r>
    </w:p>
    <w:p>
      <w:pPr>
        <w:pStyle w:val="45"/>
        <w:spacing w:line="360" w:lineRule="auto"/>
        <w:rPr>
          <w:rFonts w:hint="eastAsia" w:ascii="宋体" w:hAnsi="宋体" w:eastAsia="宋体" w:cs="宋体"/>
          <w:b/>
          <w:bCs/>
          <w:sz w:val="28"/>
          <w:szCs w:val="28"/>
        </w:rPr>
      </w:pPr>
    </w:p>
    <w:p>
      <w:pPr>
        <w:pStyle w:val="45"/>
        <w:spacing w:line="360" w:lineRule="auto"/>
        <w:rPr>
          <w:rFonts w:hint="eastAsia" w:ascii="宋体" w:hAnsi="宋体" w:eastAsia="宋体" w:cs="宋体"/>
          <w:b/>
          <w:bCs/>
          <w:sz w:val="28"/>
          <w:szCs w:val="28"/>
        </w:rPr>
      </w:pPr>
    </w:p>
    <w:p>
      <w:pPr>
        <w:pStyle w:val="45"/>
        <w:spacing w:line="360" w:lineRule="auto"/>
        <w:ind w:left="0" w:leftChars="0" w:firstLine="0" w:firstLineChars="0"/>
        <w:rPr>
          <w:rFonts w:hint="eastAsia" w:ascii="宋体" w:hAnsi="宋体" w:eastAsia="宋体" w:cs="宋体"/>
          <w:b/>
          <w:bCs/>
          <w:sz w:val="36"/>
          <w:szCs w:val="36"/>
        </w:rPr>
      </w:pPr>
    </w:p>
    <w:p>
      <w:pPr>
        <w:pStyle w:val="45"/>
        <w:spacing w:line="360" w:lineRule="auto"/>
        <w:ind w:left="0" w:leftChars="0" w:firstLine="0" w:firstLineChars="0"/>
        <w:rPr>
          <w:rFonts w:hint="eastAsia" w:ascii="宋体" w:hAnsi="宋体" w:eastAsia="宋体" w:cs="宋体"/>
          <w:b/>
          <w:bCs/>
          <w:sz w:val="36"/>
          <w:szCs w:val="36"/>
        </w:rPr>
      </w:pPr>
    </w:p>
    <w:p>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pPr>
        <w:pStyle w:val="6"/>
        <w:spacing w:line="360" w:lineRule="auto"/>
        <w:rPr>
          <w:rFonts w:hint="eastAsia" w:ascii="宋体" w:hAnsi="宋体" w:eastAsia="宋体" w:cs="宋体"/>
          <w:sz w:val="18"/>
          <w:szCs w:val="18"/>
        </w:rPr>
      </w:pPr>
    </w:p>
    <w:p>
      <w:pPr>
        <w:rPr>
          <w:rFonts w:hint="eastAsia"/>
        </w:rPr>
      </w:pPr>
    </w:p>
    <w:p>
      <w:pPr>
        <w:spacing w:line="360" w:lineRule="auto"/>
        <w:rPr>
          <w:rFonts w:hint="eastAsia" w:ascii="宋体" w:hAnsi="宋体" w:eastAsia="宋体" w:cs="宋体"/>
          <w:b/>
          <w:sz w:val="16"/>
          <w:szCs w:val="11"/>
          <w:lang w:val="en-ZA"/>
        </w:rPr>
      </w:pPr>
    </w:p>
    <w:p>
      <w:pPr>
        <w:spacing w:line="360" w:lineRule="auto"/>
        <w:rPr>
          <w:rFonts w:hint="eastAsia" w:ascii="宋体" w:hAnsi="宋体" w:eastAsia="宋体" w:cs="宋体"/>
          <w:b/>
          <w:lang w:val="en-ZA"/>
        </w:rPr>
      </w:pPr>
    </w:p>
    <w:p>
      <w:pPr>
        <w:spacing w:line="360" w:lineRule="auto"/>
        <w:ind w:left="0" w:leftChars="0" w:firstLine="964" w:firstLineChars="300"/>
        <w:rPr>
          <w:rFonts w:hint="eastAsia" w:ascii="宋体" w:hAnsi="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中共子洲县委办公室</w:t>
      </w:r>
    </w:p>
    <w:p>
      <w:pPr>
        <w:pStyle w:val="18"/>
        <w:spacing w:line="360" w:lineRule="auto"/>
        <w:rPr>
          <w:rFonts w:hint="eastAsia"/>
          <w:sz w:val="32"/>
          <w:szCs w:val="32"/>
          <w:lang w:val="en-US" w:eastAsia="zh-CN"/>
        </w:rPr>
      </w:pPr>
    </w:p>
    <w:p>
      <w:pPr>
        <w:spacing w:line="360" w:lineRule="auto"/>
        <w:ind w:left="0" w:leftChars="0" w:firstLine="964" w:firstLineChars="300"/>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cs="宋体"/>
          <w:b/>
          <w:sz w:val="32"/>
          <w:szCs w:val="32"/>
          <w:lang w:eastAsia="zh-CN"/>
        </w:rPr>
        <w:t>子洲县政府采购中心</w:t>
      </w:r>
    </w:p>
    <w:p>
      <w:pPr>
        <w:pStyle w:val="18"/>
        <w:spacing w:line="360" w:lineRule="auto"/>
        <w:rPr>
          <w:rFonts w:hint="eastAsia"/>
          <w:sz w:val="32"/>
          <w:szCs w:val="32"/>
        </w:rPr>
      </w:pPr>
    </w:p>
    <w:p>
      <w:pPr>
        <w:spacing w:line="360" w:lineRule="auto"/>
        <w:ind w:firstLine="2891" w:firstLineChars="900"/>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val="en-US" w:eastAsia="zh-CN"/>
        </w:rPr>
        <w:t>三</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九</w:t>
      </w:r>
      <w:r>
        <w:rPr>
          <w:rFonts w:hint="eastAsia" w:ascii="宋体" w:hAnsi="宋体" w:eastAsia="宋体" w:cs="宋体"/>
          <w:b/>
          <w:sz w:val="32"/>
          <w:szCs w:val="32"/>
        </w:rPr>
        <w:t>月</w:t>
      </w:r>
    </w:p>
    <w:p>
      <w:pPr>
        <w:spacing w:line="360" w:lineRule="auto"/>
        <w:rPr>
          <w:rFonts w:hint="eastAsia" w:ascii="宋体" w:hAnsi="宋体" w:eastAsia="宋体" w:cs="宋体"/>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458617452"/>
      <w:bookmarkStart w:id="1" w:name="_Toc19866"/>
      <w:bookmarkStart w:id="2" w:name="_Toc30185"/>
      <w:bookmarkStart w:id="3" w:name="_Toc29080"/>
      <w:bookmarkStart w:id="4" w:name="_Toc458617729"/>
      <w:bookmarkStart w:id="5" w:name="_Toc31341_WPSOffice_Level1"/>
      <w:bookmarkStart w:id="6" w:name="_Toc21123"/>
      <w:r>
        <w:rPr>
          <w:rFonts w:hint="eastAsia" w:ascii="宋体" w:hAnsi="宋体" w:eastAsia="宋体" w:cs="宋体"/>
          <w:b/>
          <w:bCs/>
          <w:sz w:val="40"/>
          <w:szCs w:val="28"/>
          <w:lang w:eastAsia="zh-CN"/>
        </w:rPr>
        <w:t>目</w:t>
      </w:r>
      <w:r>
        <w:rPr>
          <w:rFonts w:hint="eastAsia" w:ascii="宋体" w:hAnsi="宋体" w:cs="宋体"/>
          <w:b/>
          <w:bCs/>
          <w:sz w:val="40"/>
          <w:szCs w:val="28"/>
          <w:lang w:val="en-US" w:eastAsia="zh-CN"/>
        </w:rPr>
        <w:t xml:space="preserve">  </w:t>
      </w:r>
      <w:r>
        <w:rPr>
          <w:rFonts w:hint="eastAsia" w:ascii="宋体" w:hAnsi="宋体" w:eastAsia="宋体" w:cs="宋体"/>
          <w:b/>
          <w:bCs/>
          <w:sz w:val="40"/>
          <w:szCs w:val="28"/>
          <w:lang w:eastAsia="zh-CN"/>
        </w:rPr>
        <w:t>录</w:t>
      </w:r>
    </w:p>
    <w:p>
      <w:pPr>
        <w:pStyle w:val="21"/>
        <w:tabs>
          <w:tab w:val="right" w:leader="dot" w:pos="8997"/>
        </w:tabs>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TOC \o "1-3" \h \u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_Toc11836 </w:instrText>
      </w:r>
      <w:r>
        <w:rPr>
          <w:rFonts w:hint="eastAsia" w:asciiTheme="minorEastAsia" w:hAnsiTheme="minorEastAsia" w:eastAsiaTheme="minorEastAsia" w:cstheme="minorEastAsia"/>
          <w:szCs w:val="24"/>
          <w:lang w:eastAsia="zh-CN"/>
        </w:rPr>
        <w:fldChar w:fldCharType="separate"/>
      </w:r>
      <w:r>
        <w:rPr>
          <w:rFonts w:hint="eastAsia"/>
        </w:rPr>
        <w:t>第一章  竞争性磋商公告</w:t>
      </w:r>
      <w:r>
        <w:tab/>
      </w:r>
      <w:r>
        <w:fldChar w:fldCharType="begin"/>
      </w:r>
      <w:r>
        <w:instrText xml:space="preserve"> PAGEREF _Toc11836 \h </w:instrText>
      </w:r>
      <w:r>
        <w:fldChar w:fldCharType="separate"/>
      </w:r>
      <w:r>
        <w:t>3</w:t>
      </w:r>
      <w:r>
        <w:fldChar w:fldCharType="end"/>
      </w:r>
      <w:r>
        <w:rPr>
          <w:rFonts w:hint="eastAsia" w:asciiTheme="minorEastAsia" w:hAnsiTheme="minorEastAsia" w:eastAsiaTheme="minorEastAsia" w:cstheme="minorEastAsia"/>
          <w:szCs w:val="24"/>
          <w:lang w:eastAsia="zh-CN"/>
        </w:rPr>
        <w:fldChar w:fldCharType="end"/>
      </w:r>
    </w:p>
    <w:p>
      <w:pPr>
        <w:pStyle w:val="21"/>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_Toc3345 </w:instrText>
      </w:r>
      <w:r>
        <w:rPr>
          <w:rFonts w:hint="eastAsia" w:asciiTheme="minorEastAsia" w:hAnsiTheme="minorEastAsia" w:eastAsiaTheme="minorEastAsia" w:cstheme="minorEastAsia"/>
          <w:szCs w:val="24"/>
          <w:lang w:eastAsia="zh-CN"/>
        </w:rPr>
        <w:fldChar w:fldCharType="separate"/>
      </w:r>
      <w:r>
        <w:rPr>
          <w:rFonts w:hint="eastAsia" w:ascii="Times New Roman" w:hAnsi="Times New Roman" w:eastAsia="宋体" w:cs="Times New Roman"/>
          <w:bCs/>
          <w:kern w:val="44"/>
          <w:szCs w:val="44"/>
          <w:lang w:val="en-US" w:eastAsia="zh-CN" w:bidi="ar-SA"/>
        </w:rPr>
        <w:t>第二章 供应商须知</w:t>
      </w:r>
      <w:r>
        <w:tab/>
      </w:r>
      <w:r>
        <w:fldChar w:fldCharType="begin"/>
      </w:r>
      <w:r>
        <w:instrText xml:space="preserve"> PAGEREF _Toc3345 \h </w:instrText>
      </w:r>
      <w:r>
        <w:fldChar w:fldCharType="separate"/>
      </w:r>
      <w:r>
        <w:t>7</w:t>
      </w:r>
      <w:r>
        <w:fldChar w:fldCharType="end"/>
      </w:r>
      <w:r>
        <w:rPr>
          <w:rFonts w:hint="eastAsia" w:asciiTheme="minorEastAsia" w:hAnsiTheme="minorEastAsia" w:eastAsiaTheme="minorEastAsia" w:cstheme="minorEastAsia"/>
          <w:szCs w:val="24"/>
          <w:lang w:eastAsia="zh-CN"/>
        </w:rPr>
        <w:fldChar w:fldCharType="end"/>
      </w:r>
    </w:p>
    <w:p>
      <w:pPr>
        <w:pStyle w:val="22"/>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_Toc9751 </w:instrText>
      </w:r>
      <w:r>
        <w:rPr>
          <w:rFonts w:hint="eastAsia" w:asciiTheme="minorEastAsia" w:hAnsiTheme="minorEastAsia" w:eastAsiaTheme="minorEastAsia" w:cstheme="minorEastAsia"/>
          <w:szCs w:val="24"/>
          <w:lang w:eastAsia="zh-CN"/>
        </w:rPr>
        <w:fldChar w:fldCharType="separate"/>
      </w:r>
      <w:r>
        <w:rPr>
          <w:rFonts w:hint="eastAsia" w:ascii="宋体" w:hAnsi="宋体" w:eastAsia="宋体" w:cs="宋体"/>
          <w:szCs w:val="28"/>
        </w:rPr>
        <w:t>供应商须知前附表</w:t>
      </w:r>
      <w:r>
        <w:tab/>
      </w:r>
      <w:r>
        <w:fldChar w:fldCharType="begin"/>
      </w:r>
      <w:r>
        <w:instrText xml:space="preserve"> PAGEREF _Toc9751 \h </w:instrText>
      </w:r>
      <w:r>
        <w:fldChar w:fldCharType="separate"/>
      </w:r>
      <w:r>
        <w:t>7</w:t>
      </w:r>
      <w:r>
        <w:fldChar w:fldCharType="end"/>
      </w:r>
      <w:r>
        <w:rPr>
          <w:rFonts w:hint="eastAsia" w:asciiTheme="minorEastAsia" w:hAnsiTheme="minorEastAsia" w:eastAsiaTheme="minorEastAsia" w:cstheme="minorEastAsia"/>
          <w:szCs w:val="24"/>
          <w:lang w:eastAsia="zh-CN"/>
        </w:rPr>
        <w:fldChar w:fldCharType="end"/>
      </w:r>
    </w:p>
    <w:p>
      <w:pPr>
        <w:pStyle w:val="21"/>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_Toc32634 </w:instrText>
      </w:r>
      <w:r>
        <w:rPr>
          <w:rFonts w:hint="eastAsia" w:asciiTheme="minorEastAsia" w:hAnsiTheme="minorEastAsia" w:eastAsiaTheme="minorEastAsia" w:cstheme="minorEastAsia"/>
          <w:szCs w:val="24"/>
          <w:lang w:eastAsia="zh-CN"/>
        </w:rPr>
        <w:fldChar w:fldCharType="separate"/>
      </w:r>
      <w:r>
        <w:rPr>
          <w:rFonts w:hint="eastAsia"/>
          <w:lang w:val="en-US" w:eastAsia="zh-CN"/>
        </w:rPr>
        <w:t xml:space="preserve">第三章  </w:t>
      </w:r>
      <w:r>
        <w:rPr>
          <w:rFonts w:hint="eastAsia"/>
        </w:rPr>
        <w:t>采购内容及技术要求</w:t>
      </w:r>
      <w:r>
        <w:tab/>
      </w:r>
      <w:r>
        <w:fldChar w:fldCharType="begin"/>
      </w:r>
      <w:r>
        <w:instrText xml:space="preserve"> PAGEREF _Toc32634 \h </w:instrText>
      </w:r>
      <w:r>
        <w:fldChar w:fldCharType="separate"/>
      </w:r>
      <w:r>
        <w:t>23</w:t>
      </w:r>
      <w:r>
        <w:fldChar w:fldCharType="end"/>
      </w:r>
      <w:r>
        <w:rPr>
          <w:rFonts w:hint="eastAsia" w:asciiTheme="minorEastAsia" w:hAnsiTheme="minorEastAsia" w:eastAsiaTheme="minorEastAsia" w:cstheme="minorEastAsia"/>
          <w:szCs w:val="24"/>
          <w:lang w:eastAsia="zh-CN"/>
        </w:rPr>
        <w:fldChar w:fldCharType="end"/>
      </w:r>
    </w:p>
    <w:p>
      <w:pPr>
        <w:pStyle w:val="21"/>
        <w:tabs>
          <w:tab w:val="right" w:leader="dot" w:pos="8997"/>
        </w:tabs>
        <w:rPr>
          <w:rFonts w:hint="default"/>
          <w:lang w:val="en-US"/>
        </w:rPr>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_Toc8609 </w:instrText>
      </w:r>
      <w:r>
        <w:rPr>
          <w:rFonts w:hint="eastAsia" w:asciiTheme="minorEastAsia" w:hAnsiTheme="minorEastAsia" w:eastAsiaTheme="minorEastAsia" w:cstheme="minorEastAsia"/>
          <w:szCs w:val="24"/>
          <w:lang w:eastAsia="zh-CN"/>
        </w:rPr>
        <w:fldChar w:fldCharType="separate"/>
      </w:r>
      <w:r>
        <w:rPr>
          <w:rFonts w:hint="eastAsia"/>
          <w:szCs w:val="36"/>
        </w:rPr>
        <w:t>第</w:t>
      </w:r>
      <w:r>
        <w:rPr>
          <w:rFonts w:hint="eastAsia"/>
          <w:szCs w:val="36"/>
          <w:lang w:eastAsia="zh-CN"/>
        </w:rPr>
        <w:t>四</w:t>
      </w:r>
      <w:r>
        <w:rPr>
          <w:rFonts w:hint="eastAsia"/>
          <w:szCs w:val="36"/>
        </w:rPr>
        <w:t>章 商务要求</w:t>
      </w:r>
      <w:r>
        <w:tab/>
      </w:r>
      <w:r>
        <w:rPr>
          <w:rFonts w:hint="default"/>
          <w:lang w:val="en-US"/>
        </w:rPr>
        <w:t>2</w:t>
      </w:r>
      <w:r>
        <w:rPr>
          <w:rFonts w:hint="eastAsia" w:asciiTheme="minorEastAsia" w:hAnsiTheme="minorEastAsia" w:eastAsiaTheme="minorEastAsia" w:cstheme="minorEastAsia"/>
          <w:szCs w:val="24"/>
          <w:lang w:eastAsia="zh-CN"/>
        </w:rPr>
        <w:fldChar w:fldCharType="end"/>
      </w:r>
      <w:r>
        <w:rPr>
          <w:rFonts w:hint="default" w:asciiTheme="minorEastAsia" w:hAnsiTheme="minorEastAsia" w:eastAsiaTheme="minorEastAsia" w:cstheme="minorEastAsia"/>
          <w:szCs w:val="24"/>
          <w:lang w:val="en-US" w:eastAsia="zh-CN"/>
        </w:rPr>
        <w:t>6</w:t>
      </w:r>
    </w:p>
    <w:p>
      <w:pPr>
        <w:pStyle w:val="21"/>
        <w:tabs>
          <w:tab w:val="right" w:leader="dot" w:pos="8997"/>
        </w:tabs>
        <w:rPr>
          <w:rFonts w:hint="default"/>
          <w:lang w:val="en-US"/>
        </w:rPr>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_Toc24962 </w:instrText>
      </w:r>
      <w:r>
        <w:rPr>
          <w:rFonts w:hint="eastAsia" w:asciiTheme="minorEastAsia" w:hAnsiTheme="minorEastAsia" w:eastAsiaTheme="minorEastAsia" w:cstheme="minorEastAsia"/>
          <w:szCs w:val="24"/>
          <w:lang w:eastAsia="zh-CN"/>
        </w:rPr>
        <w:fldChar w:fldCharType="separate"/>
      </w:r>
      <w:r>
        <w:rPr>
          <w:rFonts w:hint="eastAsia"/>
        </w:rPr>
        <w:t>第</w:t>
      </w:r>
      <w:r>
        <w:rPr>
          <w:rFonts w:hint="eastAsia"/>
          <w:lang w:eastAsia="zh-CN"/>
        </w:rPr>
        <w:t>五</w:t>
      </w:r>
      <w:r>
        <w:rPr>
          <w:rFonts w:hint="eastAsia"/>
        </w:rPr>
        <w:t>章 响应文件格式</w:t>
      </w:r>
      <w:r>
        <w:tab/>
      </w:r>
      <w:r>
        <w:rPr>
          <w:rFonts w:hint="default"/>
          <w:lang w:val="en-US"/>
        </w:rPr>
        <w:t>2</w:t>
      </w:r>
      <w:r>
        <w:rPr>
          <w:rFonts w:hint="eastAsia" w:asciiTheme="minorEastAsia" w:hAnsiTheme="minorEastAsia" w:eastAsiaTheme="minorEastAsia" w:cstheme="minorEastAsia"/>
          <w:szCs w:val="24"/>
          <w:lang w:eastAsia="zh-CN"/>
        </w:rPr>
        <w:fldChar w:fldCharType="end"/>
      </w:r>
      <w:r>
        <w:rPr>
          <w:rFonts w:hint="default" w:asciiTheme="minorEastAsia" w:hAnsiTheme="minorEastAsia" w:eastAsiaTheme="minorEastAsia" w:cstheme="minorEastAsia"/>
          <w:szCs w:val="24"/>
          <w:lang w:val="en-US" w:eastAsia="zh-CN"/>
        </w:rPr>
        <w:t>7</w:t>
      </w:r>
    </w:p>
    <w:p>
      <w:pPr>
        <w:pStyle w:val="22"/>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_Toc6138 </w:instrText>
      </w:r>
      <w:r>
        <w:rPr>
          <w:rFonts w:hint="eastAsia" w:asciiTheme="minorEastAsia" w:hAnsiTheme="minorEastAsia" w:eastAsiaTheme="minorEastAsia" w:cstheme="minorEastAsia"/>
          <w:szCs w:val="24"/>
          <w:lang w:eastAsia="zh-CN"/>
        </w:rPr>
        <w:fldChar w:fldCharType="separate"/>
      </w:r>
      <w:r>
        <w:rPr>
          <w:rFonts w:hint="eastAsia"/>
          <w:lang w:eastAsia="zh-CN"/>
        </w:rPr>
        <w:t>一、</w:t>
      </w:r>
      <w:r>
        <w:rPr>
          <w:rFonts w:hint="eastAsia"/>
        </w:rPr>
        <w:t>磋商函</w:t>
      </w:r>
      <w:r>
        <w:tab/>
      </w:r>
      <w:r>
        <w:fldChar w:fldCharType="begin"/>
      </w:r>
      <w:r>
        <w:instrText xml:space="preserve"> PAGEREF _Toc6138 \h </w:instrText>
      </w:r>
      <w:r>
        <w:fldChar w:fldCharType="separate"/>
      </w:r>
      <w:r>
        <w:t>29</w:t>
      </w:r>
      <w:r>
        <w:fldChar w:fldCharType="end"/>
      </w:r>
      <w:r>
        <w:rPr>
          <w:rFonts w:hint="eastAsia" w:asciiTheme="minorEastAsia" w:hAnsiTheme="minorEastAsia" w:eastAsiaTheme="minorEastAsia" w:cstheme="minorEastAsia"/>
          <w:szCs w:val="24"/>
          <w:lang w:eastAsia="zh-CN"/>
        </w:rPr>
        <w:fldChar w:fldCharType="end"/>
      </w:r>
    </w:p>
    <w:p>
      <w:pPr>
        <w:pStyle w:val="22"/>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_Toc12536 </w:instrText>
      </w:r>
      <w:r>
        <w:rPr>
          <w:rFonts w:hint="eastAsia" w:asciiTheme="minorEastAsia" w:hAnsiTheme="minorEastAsia" w:eastAsiaTheme="minorEastAsia" w:cstheme="minorEastAsia"/>
          <w:szCs w:val="24"/>
          <w:lang w:eastAsia="zh-CN"/>
        </w:rPr>
        <w:fldChar w:fldCharType="separate"/>
      </w:r>
      <w:r>
        <w:rPr>
          <w:rFonts w:hint="eastAsia" w:ascii="Arial" w:hAnsi="Arial" w:eastAsia="新宋体" w:cs="Times New Roman"/>
          <w:bCs/>
          <w:kern w:val="2"/>
          <w:szCs w:val="32"/>
          <w:lang w:val="en-US" w:eastAsia="zh-CN" w:bidi="ar-SA"/>
        </w:rPr>
        <w:t>二、法定代表人证明书及法定代表人授权书</w:t>
      </w:r>
      <w:r>
        <w:tab/>
      </w:r>
      <w:r>
        <w:fldChar w:fldCharType="begin"/>
      </w:r>
      <w:r>
        <w:instrText xml:space="preserve"> PAGEREF _Toc12536 \h </w:instrText>
      </w:r>
      <w:r>
        <w:fldChar w:fldCharType="separate"/>
      </w:r>
      <w:r>
        <w:t>30</w:t>
      </w:r>
      <w:r>
        <w:fldChar w:fldCharType="end"/>
      </w:r>
      <w:r>
        <w:rPr>
          <w:rFonts w:hint="eastAsia" w:asciiTheme="minorEastAsia" w:hAnsiTheme="minorEastAsia" w:eastAsiaTheme="minorEastAsia" w:cstheme="minorEastAsia"/>
          <w:szCs w:val="24"/>
          <w:lang w:eastAsia="zh-CN"/>
        </w:rPr>
        <w:fldChar w:fldCharType="end"/>
      </w:r>
    </w:p>
    <w:p>
      <w:pPr>
        <w:pStyle w:val="16"/>
        <w:tabs>
          <w:tab w:val="right" w:leader="dot" w:pos="8997"/>
        </w:tabs>
        <w:rPr>
          <w:rFonts w:hint="eastAsia" w:ascii="宋体" w:hAnsi="宋体" w:eastAsia="宋体" w:cs="宋体"/>
          <w:kern w:val="2"/>
          <w:sz w:val="21"/>
          <w:szCs w:val="32"/>
          <w:lang w:val="en-US" w:eastAsia="zh-CN" w:bidi="ar-SA"/>
        </w:rPr>
      </w:pPr>
      <w:r>
        <w:rPr>
          <w:rFonts w:hint="eastAsia" w:ascii="宋体" w:hAnsi="宋体" w:eastAsia="宋体" w:cs="宋体"/>
          <w:kern w:val="2"/>
          <w:sz w:val="21"/>
          <w:szCs w:val="32"/>
          <w:lang w:val="en-US" w:eastAsia="zh-CN" w:bidi="ar-SA"/>
        </w:rPr>
        <w:fldChar w:fldCharType="begin"/>
      </w:r>
      <w:r>
        <w:rPr>
          <w:rFonts w:hint="eastAsia" w:ascii="宋体" w:hAnsi="宋体" w:eastAsia="宋体" w:cs="宋体"/>
          <w:kern w:val="2"/>
          <w:sz w:val="21"/>
          <w:szCs w:val="32"/>
          <w:lang w:val="en-US" w:eastAsia="zh-CN" w:bidi="ar-SA"/>
        </w:rPr>
        <w:instrText xml:space="preserve"> HYPERLINK \l _Toc23939 </w:instrText>
      </w:r>
      <w:r>
        <w:rPr>
          <w:rFonts w:hint="eastAsia" w:ascii="宋体" w:hAnsi="宋体" w:eastAsia="宋体" w:cs="宋体"/>
          <w:kern w:val="2"/>
          <w:sz w:val="21"/>
          <w:szCs w:val="32"/>
          <w:lang w:val="en-US" w:eastAsia="zh-CN" w:bidi="ar-SA"/>
        </w:rPr>
        <w:fldChar w:fldCharType="separate"/>
      </w:r>
      <w:r>
        <w:rPr>
          <w:rFonts w:hint="eastAsia" w:ascii="宋体" w:hAnsi="宋体" w:eastAsia="宋体" w:cs="宋体"/>
          <w:kern w:val="2"/>
          <w:sz w:val="21"/>
          <w:szCs w:val="32"/>
          <w:lang w:val="en-US" w:eastAsia="zh-CN" w:bidi="ar-SA"/>
        </w:rPr>
        <w:t>2-1、法定代表人证明书</w:t>
      </w:r>
      <w:r>
        <w:rPr>
          <w:rFonts w:hint="eastAsia" w:ascii="宋体" w:hAnsi="宋体" w:eastAsia="宋体" w:cs="宋体"/>
          <w:kern w:val="2"/>
          <w:sz w:val="21"/>
          <w:szCs w:val="32"/>
          <w:lang w:val="en-US" w:eastAsia="zh-CN" w:bidi="ar-SA"/>
        </w:rPr>
        <w:tab/>
      </w:r>
      <w:r>
        <w:rPr>
          <w:rFonts w:hint="eastAsia" w:ascii="宋体" w:hAnsi="宋体" w:eastAsia="宋体" w:cs="宋体"/>
          <w:kern w:val="2"/>
          <w:sz w:val="21"/>
          <w:szCs w:val="32"/>
          <w:lang w:val="en-US" w:eastAsia="zh-CN" w:bidi="ar-SA"/>
        </w:rPr>
        <w:fldChar w:fldCharType="begin"/>
      </w:r>
      <w:r>
        <w:rPr>
          <w:rFonts w:hint="eastAsia" w:ascii="宋体" w:hAnsi="宋体" w:eastAsia="宋体" w:cs="宋体"/>
          <w:kern w:val="2"/>
          <w:sz w:val="21"/>
          <w:szCs w:val="32"/>
          <w:lang w:val="en-US" w:eastAsia="zh-CN" w:bidi="ar-SA"/>
        </w:rPr>
        <w:instrText xml:space="preserve"> PAGEREF _Toc23939 \h </w:instrText>
      </w:r>
      <w:r>
        <w:rPr>
          <w:rFonts w:hint="eastAsia" w:ascii="宋体" w:hAnsi="宋体" w:eastAsia="宋体" w:cs="宋体"/>
          <w:kern w:val="2"/>
          <w:sz w:val="21"/>
          <w:szCs w:val="32"/>
          <w:lang w:val="en-US" w:eastAsia="zh-CN" w:bidi="ar-SA"/>
        </w:rPr>
        <w:fldChar w:fldCharType="separate"/>
      </w:r>
      <w:r>
        <w:rPr>
          <w:rFonts w:hint="eastAsia" w:ascii="宋体" w:hAnsi="宋体" w:eastAsia="宋体" w:cs="宋体"/>
          <w:kern w:val="2"/>
          <w:sz w:val="21"/>
          <w:szCs w:val="32"/>
          <w:lang w:val="en-US" w:eastAsia="zh-CN" w:bidi="ar-SA"/>
        </w:rPr>
        <w:t>30</w:t>
      </w:r>
      <w:r>
        <w:rPr>
          <w:rFonts w:hint="eastAsia" w:ascii="宋体" w:hAnsi="宋体" w:eastAsia="宋体" w:cs="宋体"/>
          <w:kern w:val="2"/>
          <w:sz w:val="21"/>
          <w:szCs w:val="32"/>
          <w:lang w:val="en-US" w:eastAsia="zh-CN" w:bidi="ar-SA"/>
        </w:rPr>
        <w:fldChar w:fldCharType="end"/>
      </w:r>
      <w:r>
        <w:rPr>
          <w:rFonts w:hint="eastAsia" w:ascii="宋体" w:hAnsi="宋体" w:eastAsia="宋体" w:cs="宋体"/>
          <w:kern w:val="2"/>
          <w:sz w:val="21"/>
          <w:szCs w:val="32"/>
          <w:lang w:val="en-US" w:eastAsia="zh-CN" w:bidi="ar-SA"/>
        </w:rPr>
        <w:fldChar w:fldCharType="end"/>
      </w:r>
    </w:p>
    <w:p>
      <w:pPr>
        <w:pStyle w:val="16"/>
        <w:tabs>
          <w:tab w:val="right" w:leader="dot" w:pos="8997"/>
        </w:tabs>
      </w:pPr>
      <w:r>
        <w:rPr>
          <w:rFonts w:hint="eastAsia" w:ascii="宋体" w:hAnsi="宋体" w:eastAsia="宋体" w:cs="宋体"/>
          <w:kern w:val="2"/>
          <w:sz w:val="21"/>
          <w:szCs w:val="32"/>
          <w:lang w:val="en-US" w:eastAsia="zh-CN" w:bidi="ar-SA"/>
        </w:rPr>
        <w:fldChar w:fldCharType="begin"/>
      </w:r>
      <w:r>
        <w:rPr>
          <w:rFonts w:hint="eastAsia" w:ascii="宋体" w:hAnsi="宋体" w:eastAsia="宋体" w:cs="宋体"/>
          <w:kern w:val="2"/>
          <w:sz w:val="21"/>
          <w:szCs w:val="32"/>
          <w:lang w:val="en-US" w:eastAsia="zh-CN" w:bidi="ar-SA"/>
        </w:rPr>
        <w:instrText xml:space="preserve"> HYPERLINK \l _Toc11073 </w:instrText>
      </w:r>
      <w:r>
        <w:rPr>
          <w:rFonts w:hint="eastAsia" w:ascii="宋体" w:hAnsi="宋体" w:eastAsia="宋体" w:cs="宋体"/>
          <w:kern w:val="2"/>
          <w:sz w:val="21"/>
          <w:szCs w:val="32"/>
          <w:lang w:val="en-US" w:eastAsia="zh-CN" w:bidi="ar-SA"/>
        </w:rPr>
        <w:fldChar w:fldCharType="separate"/>
      </w:r>
      <w:r>
        <w:rPr>
          <w:rFonts w:hint="eastAsia" w:ascii="宋体" w:hAnsi="宋体" w:eastAsia="宋体" w:cs="宋体"/>
          <w:kern w:val="2"/>
          <w:sz w:val="21"/>
          <w:szCs w:val="32"/>
          <w:lang w:val="en-US" w:eastAsia="zh-CN" w:bidi="ar-SA"/>
        </w:rPr>
        <w:t>2-2、法定代表人授权书</w:t>
      </w:r>
      <w:r>
        <w:rPr>
          <w:rFonts w:hint="eastAsia" w:ascii="宋体" w:hAnsi="宋体" w:eastAsia="宋体" w:cs="宋体"/>
          <w:kern w:val="2"/>
          <w:sz w:val="21"/>
          <w:szCs w:val="32"/>
          <w:lang w:val="en-US" w:eastAsia="zh-CN" w:bidi="ar-SA"/>
        </w:rPr>
        <w:tab/>
      </w:r>
      <w:r>
        <w:rPr>
          <w:rFonts w:hint="eastAsia" w:ascii="宋体" w:hAnsi="宋体" w:eastAsia="宋体" w:cs="宋体"/>
          <w:kern w:val="2"/>
          <w:sz w:val="21"/>
          <w:szCs w:val="32"/>
          <w:lang w:val="en-US" w:eastAsia="zh-CN" w:bidi="ar-SA"/>
        </w:rPr>
        <w:fldChar w:fldCharType="begin"/>
      </w:r>
      <w:r>
        <w:rPr>
          <w:rFonts w:hint="eastAsia" w:ascii="宋体" w:hAnsi="宋体" w:eastAsia="宋体" w:cs="宋体"/>
          <w:kern w:val="2"/>
          <w:sz w:val="21"/>
          <w:szCs w:val="32"/>
          <w:lang w:val="en-US" w:eastAsia="zh-CN" w:bidi="ar-SA"/>
        </w:rPr>
        <w:instrText xml:space="preserve"> PAGEREF _Toc11073 \h </w:instrText>
      </w:r>
      <w:r>
        <w:rPr>
          <w:rFonts w:hint="eastAsia" w:ascii="宋体" w:hAnsi="宋体" w:eastAsia="宋体" w:cs="宋体"/>
          <w:kern w:val="2"/>
          <w:sz w:val="21"/>
          <w:szCs w:val="32"/>
          <w:lang w:val="en-US" w:eastAsia="zh-CN" w:bidi="ar-SA"/>
        </w:rPr>
        <w:fldChar w:fldCharType="separate"/>
      </w:r>
      <w:r>
        <w:rPr>
          <w:rFonts w:hint="eastAsia" w:ascii="宋体" w:hAnsi="宋体" w:eastAsia="宋体" w:cs="宋体"/>
          <w:kern w:val="2"/>
          <w:sz w:val="21"/>
          <w:szCs w:val="32"/>
          <w:lang w:val="en-US" w:eastAsia="zh-CN" w:bidi="ar-SA"/>
        </w:rPr>
        <w:t>31</w:t>
      </w:r>
      <w:r>
        <w:rPr>
          <w:rFonts w:hint="eastAsia" w:ascii="宋体" w:hAnsi="宋体" w:eastAsia="宋体" w:cs="宋体"/>
          <w:kern w:val="2"/>
          <w:sz w:val="21"/>
          <w:szCs w:val="32"/>
          <w:lang w:val="en-US" w:eastAsia="zh-CN" w:bidi="ar-SA"/>
        </w:rPr>
        <w:fldChar w:fldCharType="end"/>
      </w:r>
      <w:r>
        <w:rPr>
          <w:rFonts w:hint="eastAsia" w:ascii="宋体" w:hAnsi="宋体" w:eastAsia="宋体" w:cs="宋体"/>
          <w:kern w:val="2"/>
          <w:sz w:val="21"/>
          <w:szCs w:val="32"/>
          <w:lang w:val="en-US" w:eastAsia="zh-CN" w:bidi="ar-SA"/>
        </w:rPr>
        <w:fldChar w:fldCharType="end"/>
      </w:r>
    </w:p>
    <w:p>
      <w:pPr>
        <w:pStyle w:val="22"/>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_Toc23066 </w:instrText>
      </w:r>
      <w:r>
        <w:rPr>
          <w:rFonts w:hint="eastAsia" w:asciiTheme="minorEastAsia" w:hAnsiTheme="minorEastAsia" w:eastAsiaTheme="minorEastAsia" w:cstheme="minorEastAsia"/>
          <w:szCs w:val="24"/>
          <w:lang w:eastAsia="zh-CN"/>
        </w:rPr>
        <w:fldChar w:fldCharType="separate"/>
      </w:r>
      <w:r>
        <w:rPr>
          <w:rFonts w:hint="eastAsia"/>
          <w:lang w:val="en-US" w:eastAsia="zh-CN"/>
        </w:rPr>
        <w:t>三</w:t>
      </w:r>
      <w:r>
        <w:rPr>
          <w:rFonts w:hint="eastAsia"/>
        </w:rPr>
        <w:t>、磋商一览表</w:t>
      </w:r>
      <w:r>
        <w:tab/>
      </w:r>
      <w:r>
        <w:fldChar w:fldCharType="begin"/>
      </w:r>
      <w:r>
        <w:instrText xml:space="preserve"> PAGEREF _Toc23066 \h </w:instrText>
      </w:r>
      <w:r>
        <w:fldChar w:fldCharType="separate"/>
      </w:r>
      <w:r>
        <w:t>32</w:t>
      </w:r>
      <w:r>
        <w:fldChar w:fldCharType="end"/>
      </w:r>
      <w:r>
        <w:rPr>
          <w:rFonts w:hint="eastAsia" w:asciiTheme="minorEastAsia" w:hAnsiTheme="minorEastAsia" w:eastAsiaTheme="minorEastAsia" w:cstheme="minorEastAsia"/>
          <w:szCs w:val="24"/>
          <w:lang w:eastAsia="zh-CN"/>
        </w:rPr>
        <w:fldChar w:fldCharType="end"/>
      </w:r>
    </w:p>
    <w:p>
      <w:pPr>
        <w:pStyle w:val="16"/>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_Toc3781 </w:instrText>
      </w:r>
      <w:r>
        <w:rPr>
          <w:rFonts w:hint="eastAsia" w:asciiTheme="minorEastAsia" w:hAnsiTheme="minorEastAsia" w:eastAsiaTheme="minorEastAsia" w:cstheme="minorEastAsia"/>
          <w:szCs w:val="24"/>
          <w:lang w:eastAsia="zh-CN"/>
        </w:rPr>
        <w:fldChar w:fldCharType="separate"/>
      </w:r>
      <w:r>
        <w:rPr>
          <w:rFonts w:hint="eastAsia" w:ascii="宋体" w:hAnsi="宋体" w:eastAsia="宋体" w:cs="宋体"/>
          <w:kern w:val="2"/>
          <w:sz w:val="21"/>
          <w:szCs w:val="32"/>
          <w:lang w:val="en-US" w:eastAsia="zh-CN" w:bidi="ar-SA"/>
        </w:rPr>
        <w:t>分项报价表</w:t>
      </w:r>
      <w:r>
        <w:tab/>
      </w:r>
      <w:r>
        <w:fldChar w:fldCharType="begin"/>
      </w:r>
      <w:r>
        <w:instrText xml:space="preserve"> PAGEREF _Toc3781 \h </w:instrText>
      </w:r>
      <w:r>
        <w:fldChar w:fldCharType="separate"/>
      </w:r>
      <w:r>
        <w:t>33</w:t>
      </w:r>
      <w:r>
        <w:fldChar w:fldCharType="end"/>
      </w:r>
      <w:r>
        <w:rPr>
          <w:rFonts w:hint="eastAsia" w:asciiTheme="minorEastAsia" w:hAnsiTheme="minorEastAsia" w:eastAsiaTheme="minorEastAsia" w:cstheme="minorEastAsia"/>
          <w:szCs w:val="24"/>
          <w:lang w:eastAsia="zh-CN"/>
        </w:rPr>
        <w:fldChar w:fldCharType="end"/>
      </w:r>
    </w:p>
    <w:p>
      <w:pPr>
        <w:pStyle w:val="22"/>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_Toc20691 </w:instrText>
      </w:r>
      <w:r>
        <w:rPr>
          <w:rFonts w:hint="eastAsia" w:asciiTheme="minorEastAsia" w:hAnsiTheme="minorEastAsia" w:eastAsiaTheme="minorEastAsia" w:cstheme="minorEastAsia"/>
          <w:szCs w:val="24"/>
          <w:lang w:eastAsia="zh-CN"/>
        </w:rPr>
        <w:fldChar w:fldCharType="separate"/>
      </w:r>
      <w:r>
        <w:rPr>
          <w:rFonts w:hint="eastAsia" w:ascii="Arial" w:hAnsi="Arial" w:eastAsia="新宋体" w:cs="Times New Roman"/>
          <w:bCs/>
          <w:kern w:val="2"/>
          <w:szCs w:val="32"/>
          <w:lang w:val="en-US" w:eastAsia="zh-CN" w:bidi="ar-SA"/>
        </w:rPr>
        <w:t>四、商务条款响应偏离表</w:t>
      </w:r>
      <w:r>
        <w:tab/>
      </w:r>
      <w:r>
        <w:fldChar w:fldCharType="begin"/>
      </w:r>
      <w:r>
        <w:instrText xml:space="preserve"> PAGEREF _Toc20691 \h </w:instrText>
      </w:r>
      <w:r>
        <w:fldChar w:fldCharType="separate"/>
      </w:r>
      <w:r>
        <w:t>34</w:t>
      </w:r>
      <w:r>
        <w:fldChar w:fldCharType="end"/>
      </w:r>
      <w:r>
        <w:rPr>
          <w:rFonts w:hint="eastAsia" w:asciiTheme="minorEastAsia" w:hAnsiTheme="minorEastAsia" w:eastAsiaTheme="minorEastAsia" w:cstheme="minorEastAsia"/>
          <w:szCs w:val="24"/>
          <w:lang w:eastAsia="zh-CN"/>
        </w:rPr>
        <w:fldChar w:fldCharType="end"/>
      </w:r>
    </w:p>
    <w:p>
      <w:pPr>
        <w:pStyle w:val="22"/>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_Toc16231 </w:instrText>
      </w:r>
      <w:r>
        <w:rPr>
          <w:rFonts w:hint="eastAsia" w:asciiTheme="minorEastAsia" w:hAnsiTheme="minorEastAsia" w:eastAsiaTheme="minorEastAsia" w:cstheme="minorEastAsia"/>
          <w:szCs w:val="24"/>
          <w:lang w:eastAsia="zh-CN"/>
        </w:rPr>
        <w:fldChar w:fldCharType="separate"/>
      </w:r>
      <w:r>
        <w:rPr>
          <w:rFonts w:hint="eastAsia" w:ascii="Arial" w:hAnsi="Arial" w:eastAsia="新宋体" w:cs="Times New Roman"/>
          <w:bCs/>
          <w:kern w:val="2"/>
          <w:szCs w:val="32"/>
          <w:lang w:val="en-US" w:eastAsia="zh-CN" w:bidi="ar-SA"/>
        </w:rPr>
        <w:t>五、技术规格响应偏离表</w:t>
      </w:r>
      <w:r>
        <w:tab/>
      </w:r>
      <w:r>
        <w:fldChar w:fldCharType="begin"/>
      </w:r>
      <w:r>
        <w:instrText xml:space="preserve"> PAGEREF _Toc16231 \h </w:instrText>
      </w:r>
      <w:r>
        <w:fldChar w:fldCharType="separate"/>
      </w:r>
      <w:r>
        <w:t>35</w:t>
      </w:r>
      <w:r>
        <w:fldChar w:fldCharType="end"/>
      </w:r>
      <w:r>
        <w:rPr>
          <w:rFonts w:hint="eastAsia" w:asciiTheme="minorEastAsia" w:hAnsiTheme="minorEastAsia" w:eastAsiaTheme="minorEastAsia" w:cstheme="minorEastAsia"/>
          <w:szCs w:val="24"/>
          <w:lang w:eastAsia="zh-CN"/>
        </w:rPr>
        <w:fldChar w:fldCharType="end"/>
      </w:r>
    </w:p>
    <w:p>
      <w:pPr>
        <w:pStyle w:val="22"/>
        <w:tabs>
          <w:tab w:val="right" w:leader="dot" w:pos="8997"/>
        </w:tabs>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_Toc5791 </w:instrText>
      </w:r>
      <w:r>
        <w:rPr>
          <w:rFonts w:hint="eastAsia" w:asciiTheme="minorEastAsia" w:hAnsiTheme="minorEastAsia" w:eastAsiaTheme="minorEastAsia" w:cstheme="minorEastAsia"/>
          <w:szCs w:val="24"/>
          <w:lang w:eastAsia="zh-CN"/>
        </w:rPr>
        <w:fldChar w:fldCharType="separate"/>
      </w:r>
      <w:r>
        <w:rPr>
          <w:rFonts w:hint="eastAsia"/>
          <w:lang w:val="en-US" w:eastAsia="zh-CN"/>
        </w:rPr>
        <w:t>六</w:t>
      </w:r>
      <w:r>
        <w:rPr>
          <w:rFonts w:hint="eastAsia"/>
        </w:rPr>
        <w:t>、供应商资质证明文件</w:t>
      </w:r>
      <w:r>
        <w:tab/>
      </w:r>
      <w:r>
        <w:fldChar w:fldCharType="begin"/>
      </w:r>
      <w:r>
        <w:instrText xml:space="preserve"> PAGEREF _Toc5791 \h </w:instrText>
      </w:r>
      <w:r>
        <w:fldChar w:fldCharType="separate"/>
      </w:r>
      <w:r>
        <w:t>36</w:t>
      </w:r>
      <w:r>
        <w:fldChar w:fldCharType="end"/>
      </w:r>
      <w:r>
        <w:rPr>
          <w:rFonts w:hint="eastAsia" w:asciiTheme="minorEastAsia" w:hAnsiTheme="minorEastAsia" w:eastAsiaTheme="minorEastAsia" w:cstheme="minorEastAsia"/>
          <w:szCs w:val="24"/>
          <w:lang w:eastAsia="zh-CN"/>
        </w:rPr>
        <w:fldChar w:fldCharType="end"/>
      </w:r>
    </w:p>
    <w:p>
      <w:pPr>
        <w:pStyle w:val="22"/>
        <w:tabs>
          <w:tab w:val="right" w:leader="dot" w:pos="8997"/>
        </w:tabs>
        <w:rPr>
          <w:rFonts w:hint="default"/>
          <w:lang w:val="en-US"/>
        </w:rPr>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_Toc9354 </w:instrText>
      </w:r>
      <w:r>
        <w:rPr>
          <w:rFonts w:hint="eastAsia" w:asciiTheme="minorEastAsia" w:hAnsiTheme="minorEastAsia" w:eastAsiaTheme="minorEastAsia" w:cstheme="minorEastAsia"/>
          <w:szCs w:val="24"/>
          <w:lang w:eastAsia="zh-CN"/>
        </w:rPr>
        <w:fldChar w:fldCharType="separate"/>
      </w:r>
      <w:r>
        <w:rPr>
          <w:rFonts w:hint="eastAsia"/>
          <w:lang w:val="en-US" w:eastAsia="zh-CN"/>
        </w:rPr>
        <w:t>七、服务方案</w:t>
      </w:r>
      <w:r>
        <w:tab/>
      </w:r>
      <w:r>
        <w:rPr>
          <w:rFonts w:hint="default"/>
          <w:lang w:val="en-US"/>
        </w:rPr>
        <w:t>5</w:t>
      </w:r>
      <w:r>
        <w:rPr>
          <w:rFonts w:hint="eastAsia" w:asciiTheme="minorEastAsia" w:hAnsiTheme="minorEastAsia" w:eastAsiaTheme="minorEastAsia" w:cstheme="minorEastAsia"/>
          <w:szCs w:val="24"/>
          <w:lang w:eastAsia="zh-CN"/>
        </w:rPr>
        <w:fldChar w:fldCharType="end"/>
      </w:r>
      <w:r>
        <w:rPr>
          <w:rFonts w:hint="default" w:asciiTheme="minorEastAsia" w:hAnsiTheme="minorEastAsia" w:eastAsiaTheme="minorEastAsia" w:cstheme="minorEastAsia"/>
          <w:szCs w:val="24"/>
          <w:lang w:val="en-US" w:eastAsia="zh-CN"/>
        </w:rPr>
        <w:t>1</w:t>
      </w:r>
    </w:p>
    <w:p>
      <w:pPr>
        <w:pStyle w:val="22"/>
        <w:tabs>
          <w:tab w:val="right" w:leader="dot" w:pos="8997"/>
        </w:tabs>
        <w:rPr>
          <w:rFonts w:hint="default"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eastAsia="zh-CN"/>
        </w:rPr>
        <w:fldChar w:fldCharType="begin"/>
      </w:r>
      <w:r>
        <w:rPr>
          <w:rFonts w:hint="eastAsia" w:asciiTheme="minorEastAsia" w:hAnsiTheme="minorEastAsia" w:eastAsiaTheme="minorEastAsia" w:cstheme="minorEastAsia"/>
          <w:szCs w:val="24"/>
          <w:lang w:eastAsia="zh-CN"/>
        </w:rPr>
        <w:instrText xml:space="preserve"> HYPERLINK \l _Toc2753 </w:instrText>
      </w:r>
      <w:r>
        <w:rPr>
          <w:rFonts w:hint="eastAsia" w:asciiTheme="minorEastAsia" w:hAnsiTheme="minorEastAsia" w:eastAsiaTheme="minorEastAsia" w:cstheme="minorEastAsia"/>
          <w:szCs w:val="24"/>
          <w:lang w:eastAsia="zh-CN"/>
        </w:rPr>
        <w:fldChar w:fldCharType="separate"/>
      </w:r>
      <w:r>
        <w:rPr>
          <w:rFonts w:hint="eastAsia"/>
          <w:lang w:val="en-US" w:eastAsia="zh-CN"/>
        </w:rPr>
        <w:t>八</w:t>
      </w:r>
      <w:r>
        <w:rPr>
          <w:rFonts w:hint="eastAsia"/>
          <w:lang w:eastAsia="zh-CN"/>
        </w:rPr>
        <w:t>、投标人承诺书</w:t>
      </w:r>
      <w:r>
        <w:tab/>
      </w:r>
      <w:r>
        <w:rPr>
          <w:rFonts w:hint="default"/>
          <w:lang w:val="en-US"/>
        </w:rPr>
        <w:t>5</w:t>
      </w:r>
      <w:r>
        <w:rPr>
          <w:rFonts w:hint="eastAsia" w:asciiTheme="minorEastAsia" w:hAnsiTheme="minorEastAsia" w:eastAsiaTheme="minorEastAsia" w:cstheme="minorEastAsia"/>
          <w:szCs w:val="24"/>
          <w:lang w:eastAsia="zh-CN"/>
        </w:rPr>
        <w:fldChar w:fldCharType="end"/>
      </w:r>
      <w:r>
        <w:rPr>
          <w:rFonts w:hint="default" w:asciiTheme="minorEastAsia" w:hAnsiTheme="minorEastAsia" w:eastAsiaTheme="minorEastAsia" w:cstheme="minorEastAsia"/>
          <w:szCs w:val="24"/>
          <w:lang w:val="en-US" w:eastAsia="zh-CN"/>
        </w:rPr>
        <w:t>2</w:t>
      </w:r>
    </w:p>
    <w:p>
      <w:pPr>
        <w:ind w:firstLine="420" w:firstLineChars="0"/>
        <w:rPr>
          <w:rFonts w:hint="default" w:ascii="Times New Roman" w:hAnsi="Times New Roman" w:eastAsia="宋体" w:cs="Times New Roman"/>
          <w:kern w:val="2"/>
          <w:sz w:val="21"/>
          <w:szCs w:val="24"/>
          <w:lang w:val="en-US" w:eastAsia="zh-CN" w:bidi="ar-SA"/>
        </w:rPr>
      </w:pPr>
      <w:r>
        <w:rPr>
          <w:rFonts w:hint="eastAsia"/>
          <w:lang w:val="en-US" w:eastAsia="zh-CN"/>
        </w:rPr>
        <w:t>九、</w:t>
      </w:r>
      <w:r>
        <w:rPr>
          <w:rFonts w:hint="eastAsia" w:ascii="Times New Roman" w:hAnsi="Times New Roman" w:eastAsia="宋体" w:cs="Times New Roman"/>
          <w:kern w:val="2"/>
          <w:sz w:val="21"/>
          <w:szCs w:val="24"/>
          <w:lang w:val="en-US" w:eastAsia="zh-CN" w:bidi="ar-SA"/>
        </w:rPr>
        <w:t>投标人认为有利于中标的其他情况说明</w:t>
      </w:r>
      <w:r>
        <w:rPr>
          <w:rFonts w:hint="default" w:cs="Times New Roman"/>
          <w:kern w:val="2"/>
          <w:sz w:val="21"/>
          <w:szCs w:val="24"/>
          <w:lang w:val="en-US" w:eastAsia="zh-CN" w:bidi="ar-SA"/>
        </w:rPr>
        <w:t>..................................................................................56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Cs w:val="24"/>
          <w:lang w:eastAsia="zh-CN"/>
        </w:rPr>
        <w:fldChar w:fldCharType="end"/>
      </w:r>
    </w:p>
    <w:p>
      <w:pPr>
        <w:rPr>
          <w:rFonts w:hint="eastAsia"/>
        </w:rPr>
      </w:pPr>
      <w:bookmarkStart w:id="7" w:name="_Toc11836"/>
      <w:bookmarkStart w:id="8" w:name="_Toc13919"/>
      <w:r>
        <w:rPr>
          <w:rFonts w:hint="eastAsia"/>
        </w:rPr>
        <w:br w:type="page"/>
      </w:r>
    </w:p>
    <w:p>
      <w:pPr>
        <w:pStyle w:val="3"/>
        <w:bidi w:val="0"/>
        <w:rPr>
          <w:rFonts w:hint="eastAsia"/>
        </w:rPr>
      </w:pPr>
      <w:r>
        <w:rPr>
          <w:rFonts w:hint="eastAsia"/>
        </w:rPr>
        <w:t>第一章  竞争性磋商公告</w:t>
      </w:r>
      <w:bookmarkEnd w:id="0"/>
      <w:bookmarkEnd w:id="1"/>
      <w:bookmarkEnd w:id="2"/>
      <w:bookmarkEnd w:id="3"/>
      <w:bookmarkEnd w:id="4"/>
      <w:bookmarkEnd w:id="5"/>
      <w:bookmarkEnd w:id="6"/>
      <w:bookmarkEnd w:id="7"/>
      <w:bookmarkEnd w:id="8"/>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bookmarkStart w:id="9" w:name="_Toc3"/>
      <w:bookmarkStart w:id="10" w:name="_Toc28595"/>
      <w:bookmarkStart w:id="11" w:name="_Toc27526"/>
      <w:bookmarkStart w:id="12" w:name="_Toc12217"/>
      <w:bookmarkStart w:id="13" w:name="_Toc6954_WPSOffice_Level1"/>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中共子洲县委办公室子洲县委办公用房维修改造工程竞争性磋商公告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30"/>
          <w:b/>
          <w:bCs/>
          <w:i w:val="0"/>
          <w:iCs w:val="0"/>
          <w:caps w:val="0"/>
          <w:color w:val="auto"/>
          <w:spacing w:val="0"/>
          <w:sz w:val="21"/>
          <w:szCs w:val="21"/>
          <w:shd w:val="clear" w:fill="FFFFFF"/>
        </w:rPr>
        <w:t>项目概况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子洲县委办公用房维修改造工程</w:t>
      </w:r>
      <w:r>
        <w:rPr>
          <w:rFonts w:hint="eastAsia" w:ascii="微软雅黑" w:hAnsi="微软雅黑" w:eastAsia="微软雅黑" w:cs="微软雅黑"/>
          <w:i w:val="0"/>
          <w:iCs w:val="0"/>
          <w:caps w:val="0"/>
          <w:color w:val="auto"/>
          <w:spacing w:val="0"/>
          <w:sz w:val="21"/>
          <w:szCs w:val="21"/>
          <w:shd w:val="clear" w:fill="FFFFFF"/>
        </w:rPr>
        <w:t>采购项目的潜在供应商应在登录全国公共资源交易中心平台（陕西省）使用CA锁报名后自行下载获取采购文件，并于 2023年09月05日 13时30分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一、项目基本情况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项目编号：ZZCG2023005</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项目名称：子洲县委办公用房维修改造工程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预算金额：1,937,168.32元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合同包1(子洲县委办公用房维修改造工程):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合同包预算金额：1,937,168.32元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合同包最高限价：1,937,168.32元</w:t>
      </w:r>
    </w:p>
    <w:tbl>
      <w:tblPr>
        <w:tblStyle w:val="26"/>
        <w:tblW w:w="9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9"/>
        <w:gridCol w:w="1885"/>
        <w:gridCol w:w="1885"/>
        <w:gridCol w:w="747"/>
        <w:gridCol w:w="134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3" w:hRule="atLeast"/>
          <w:tblHeader/>
        </w:trPr>
        <w:tc>
          <w:tcPr>
            <w:tcW w:w="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房屋修缮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办公用房维修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1,937,168.32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1,937,168.32</w:t>
            </w: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合同履行期限：合同签订后45日内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二、申请人的资格要求：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合同包1(子洲县委办公用房维修改造工程)落实政府采购政策需满足的资格要求如下: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合同包1(子洲县委办公用房维修改造工程)特定资格要求如下: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1.年检有效的统一社会信用代码的营业执照（满足本次采购要求）。</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2.法定代表人直接投标的，须出法定代表人身份证；法定代表人授权代表参加投标的，须出具法定代表人授权委托书、法定代表人身份证复印件以及被授权代表身份证。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3.财务状况报告：提供2021年度或2022年度的财务审计报告，成立时间至提交谈判响应文件递交截止时间不足一年的，须提供其基本存款账户开户银行近三个月内出具的银行资信证明或自成立以来的财务报表；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4.税收缴纳证明：提供2022年01月至今已缴纳的至少一个月的纳税证明（银行缴费凭证）或完税证明，依法免税的单位应提供相关证明材料；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对列入“信用中国”网站(www.creditchina.gov.cn)“记录失信被执行人、重大税收违法案件当事人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8.投标信用承诺书（保证金）（承诺书效力和作用等同投标保证金）。</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9.具有建设行政主管部门核发的建筑工程施工总承包三级及以上、建筑装修装饰工程专业承包二级及以上资质。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10.具有国家建设行政主管部门颁发的施工企业安全生产许可证。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11.本项目专门面向中小企业，非中小企业不得参加本项目投标。</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12.本项目不接受联合体投标，单位负责人为同一人或者存在直接控股、管理关系的不同投标人，不得参加同一合同项下的政府采购活动。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三、获取采购文件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2023年08月23日 至 2023年08月29日 ，每天上午 08:00:00 至 12:00:00 ，下午 15:00:00 至 18:00:00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途径：登录全国公共资源交易中心平台（陕西省）使用CA锁报名后自行下载</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四、响应文件提交</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2023年09月05日 13时30分00秒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地点：榆林公共资源交易中心十楼开标6室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五、开启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2023年09月05日 13时30分00秒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地点：榆林公共资源交易中心十楼开标6室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六、公告期限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七、其他补充事宜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温馨提示：</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1、供应商可登录全国公共资源交易中心平台（陕西省） （http://www.sxggzyjy.cn/）,选择“电子交易平台-政府采购交易系统-企业端进行登录，登录后选择“交易乙方”身份进入供应商界面进行报名，自行获取竞争性磋商文件；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30"/>
          <w:b/>
          <w:bCs/>
          <w:i w:val="0"/>
          <w:iCs w:val="0"/>
          <w:caps w:val="0"/>
          <w:color w:val="auto"/>
          <w:spacing w:val="0"/>
          <w:sz w:val="21"/>
          <w:szCs w:val="21"/>
          <w:shd w:val="clear"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名称：中共子洲县委办公室</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地址：子洲县人民街232号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联系方式：0912-7232900</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名称：子洲县政府采购中心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地址：子洲县财政局</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联系方式：0912-7231245</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项目联系人：李丰收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电话：0912-7231245</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子洲县政府采购中心</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pStyle w:val="2"/>
        <w:ind w:left="0" w:leftChars="0" w:firstLine="0" w:firstLineChars="0"/>
        <w:rPr>
          <w:rFonts w:hint="eastAsia" w:ascii="微软雅黑" w:hAnsi="微软雅黑" w:eastAsia="微软雅黑" w:cs="微软雅黑"/>
          <w:i w:val="0"/>
          <w:iCs w:val="0"/>
          <w:caps w:val="0"/>
          <w:color w:val="333333"/>
          <w:spacing w:val="0"/>
          <w:sz w:val="21"/>
          <w:szCs w:val="21"/>
        </w:rPr>
      </w:pPr>
    </w:p>
    <w:p>
      <w:pPr>
        <w:numPr>
          <w:ilvl w:val="0"/>
          <w:numId w:val="1"/>
        </w:numPr>
        <w:ind w:firstLine="2891" w:firstLineChars="800"/>
        <w:outlineLvl w:val="0"/>
        <w:rPr>
          <w:rFonts w:hint="eastAsia" w:ascii="Times New Roman" w:hAnsi="Times New Roman" w:eastAsia="宋体" w:cs="Times New Roman"/>
          <w:b/>
          <w:bCs/>
          <w:kern w:val="44"/>
          <w:sz w:val="36"/>
          <w:szCs w:val="44"/>
          <w:lang w:val="en-US" w:eastAsia="zh-CN" w:bidi="ar-SA"/>
        </w:rPr>
      </w:pPr>
      <w:r>
        <w:rPr>
          <w:rFonts w:hint="eastAsia" w:cs="Times New Roman"/>
          <w:b/>
          <w:bCs/>
          <w:kern w:val="44"/>
          <w:sz w:val="36"/>
          <w:szCs w:val="44"/>
          <w:lang w:val="en-US" w:eastAsia="zh-CN" w:bidi="ar-SA"/>
        </w:rPr>
        <w:t xml:space="preserve"> </w:t>
      </w:r>
      <w:r>
        <w:rPr>
          <w:rFonts w:hint="eastAsia" w:ascii="Times New Roman" w:hAnsi="Times New Roman" w:eastAsia="宋体" w:cs="Times New Roman"/>
          <w:b/>
          <w:bCs/>
          <w:kern w:val="44"/>
          <w:sz w:val="36"/>
          <w:szCs w:val="44"/>
          <w:lang w:val="en-US" w:eastAsia="zh-CN" w:bidi="ar-SA"/>
        </w:rPr>
        <w:t xml:space="preserve"> </w:t>
      </w:r>
      <w:bookmarkStart w:id="14" w:name="_Toc3345"/>
      <w:r>
        <w:rPr>
          <w:rFonts w:hint="eastAsia" w:ascii="Times New Roman" w:hAnsi="Times New Roman" w:eastAsia="宋体" w:cs="Times New Roman"/>
          <w:b/>
          <w:bCs/>
          <w:kern w:val="44"/>
          <w:sz w:val="36"/>
          <w:szCs w:val="44"/>
          <w:lang w:val="en-US" w:eastAsia="zh-CN" w:bidi="ar-SA"/>
        </w:rPr>
        <w:t>供应商须知</w:t>
      </w:r>
      <w:bookmarkEnd w:id="9"/>
      <w:bookmarkEnd w:id="10"/>
      <w:bookmarkEnd w:id="11"/>
      <w:bookmarkEnd w:id="12"/>
      <w:bookmarkEnd w:id="13"/>
      <w:bookmarkEnd w:id="14"/>
    </w:p>
    <w:p>
      <w:pPr>
        <w:pStyle w:val="8"/>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909"/>
      <w:bookmarkStart w:id="16" w:name="_Toc30624"/>
      <w:bookmarkStart w:id="17" w:name="_Toc7032"/>
      <w:bookmarkStart w:id="18" w:name="_Toc18614"/>
      <w:bookmarkStart w:id="19" w:name="_Toc26603"/>
      <w:bookmarkStart w:id="20" w:name="_Toc9751"/>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6"/>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中共子洲县委办公室</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cs="宋体"/>
                <w:lang w:val="en-US" w:eastAsia="zh-CN"/>
              </w:rPr>
              <w:t>子洲县大理路</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联 系 人：</w:t>
            </w:r>
            <w:r>
              <w:rPr>
                <w:rFonts w:hint="eastAsia" w:ascii="宋体" w:hAnsi="宋体" w:cs="宋体"/>
                <w:color w:val="auto"/>
                <w:lang w:val="en-US" w:eastAsia="zh-CN"/>
              </w:rPr>
              <w:t>高丽丽</w:t>
            </w:r>
          </w:p>
          <w:p>
            <w:pPr>
              <w:spacing w:line="360" w:lineRule="auto"/>
              <w:rPr>
                <w:rFonts w:hint="default" w:ascii="宋体" w:hAnsi="宋体" w:eastAsia="宋体" w:cs="宋体"/>
                <w:lang w:val="en-US" w:eastAsia="zh-CN"/>
              </w:rPr>
            </w:pPr>
            <w:r>
              <w:rPr>
                <w:rFonts w:hint="eastAsia" w:ascii="宋体" w:hAnsi="宋体" w:eastAsia="宋体" w:cs="宋体"/>
                <w:color w:val="auto"/>
                <w:lang w:val="en-US" w:eastAsia="zh-CN"/>
              </w:rPr>
              <w:t>联系方式：</w:t>
            </w:r>
            <w:r>
              <w:rPr>
                <w:rFonts w:hint="default" w:ascii="宋体" w:hAnsi="宋体" w:cs="宋体"/>
                <w:color w:val="auto"/>
                <w:lang w:val="en-US" w:eastAsia="zh-CN"/>
              </w:rPr>
              <w:t>18191286886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采购代理机构名称：</w:t>
            </w:r>
            <w:r>
              <w:rPr>
                <w:rFonts w:hint="eastAsia" w:ascii="宋体" w:hAnsi="宋体" w:cs="宋体"/>
                <w:sz w:val="24"/>
                <w:szCs w:val="24"/>
                <w:lang w:val="zh-CN"/>
              </w:rPr>
              <w:t>子洲县政府采购中心</w:t>
            </w:r>
            <w:r>
              <w:rPr>
                <w:rFonts w:hint="eastAsia" w:ascii="宋体" w:hAnsi="宋体" w:eastAsia="宋体" w:cs="宋体"/>
                <w:sz w:val="24"/>
                <w:szCs w:val="24"/>
                <w:lang w:val="zh-CN"/>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zh-CN"/>
              </w:rPr>
              <w:t>地址：</w:t>
            </w:r>
            <w:r>
              <w:rPr>
                <w:rFonts w:hint="eastAsia" w:ascii="宋体" w:hAnsi="宋体" w:cs="宋体"/>
                <w:sz w:val="24"/>
                <w:szCs w:val="24"/>
                <w:lang w:val="zh-CN"/>
              </w:rPr>
              <w:t>子洲县财政局</w:t>
            </w:r>
            <w:r>
              <w:rPr>
                <w:rFonts w:hint="eastAsia" w:ascii="宋体" w:hAnsi="宋体" w:cs="宋体"/>
                <w:sz w:val="24"/>
                <w:szCs w:val="24"/>
                <w:lang w:val="en-US" w:eastAsia="zh-CN"/>
              </w:rPr>
              <w:t>2号楼202室</w:t>
            </w:r>
          </w:p>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李丰收</w:t>
            </w:r>
          </w:p>
          <w:p>
            <w:pPr>
              <w:spacing w:line="360" w:lineRule="auto"/>
              <w:rPr>
                <w:rFonts w:hint="default" w:ascii="宋体" w:hAnsi="宋体" w:eastAsia="宋体" w:cs="宋体"/>
                <w:szCs w:val="24"/>
                <w:lang w:val="en-US" w:eastAsia="zh-CN"/>
              </w:rPr>
            </w:pPr>
            <w:r>
              <w:rPr>
                <w:rFonts w:hint="eastAsia" w:ascii="宋体" w:hAnsi="宋体" w:eastAsia="宋体" w:cs="宋体"/>
                <w:sz w:val="24"/>
                <w:szCs w:val="24"/>
                <w:lang w:val="zh-CN"/>
              </w:rPr>
              <w:t>电话：</w:t>
            </w:r>
            <w:r>
              <w:rPr>
                <w:rFonts w:hint="eastAsia" w:ascii="宋体" w:hAnsi="宋体" w:cs="宋体"/>
                <w:sz w:val="24"/>
                <w:szCs w:val="24"/>
                <w:lang w:val="en-US" w:eastAsia="zh-CN"/>
              </w:rPr>
              <w:t>0912-7231245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cs="宋体"/>
                <w:sz w:val="24"/>
                <w:szCs w:val="24"/>
                <w:lang w:val="zh-CN" w:eastAsia="zh-CN"/>
              </w:rPr>
              <w:t>子洲县财政局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pPr>
              <w:spacing w:line="360" w:lineRule="auto"/>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子洲县委办公用房维修改造工程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ZZCG202</w:t>
            </w:r>
            <w:r>
              <w:rPr>
                <w:rFonts w:hint="default" w:ascii="宋体" w:hAnsi="宋体" w:cs="宋体"/>
                <w:color w:val="auto"/>
                <w:sz w:val="24"/>
                <w:szCs w:val="24"/>
                <w:highlight w:val="none"/>
                <w:lang w:val="en-US" w:eastAsia="zh-CN"/>
              </w:rPr>
              <w:t>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pPr>
              <w:spacing w:line="360" w:lineRule="auto"/>
              <w:rPr>
                <w:rFonts w:hint="default" w:ascii="宋体" w:hAnsi="宋体" w:eastAsia="宋体" w:cs="宋体"/>
                <w:sz w:val="24"/>
                <w:szCs w:val="24"/>
                <w:lang w:val="en-US"/>
              </w:rPr>
            </w:pPr>
            <w:r>
              <w:rPr>
                <w:rFonts w:hint="eastAsia" w:ascii="宋体" w:hAnsi="宋体" w:cs="宋体"/>
                <w:sz w:val="24"/>
                <w:szCs w:val="24"/>
                <w:lang w:val="en-US"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tcPr>
          <w:p>
            <w:pPr>
              <w:spacing w:line="360" w:lineRule="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壹佰玖拾叁万柒仟壹佰陆拾捌元叁角贰分（</w:t>
            </w:r>
            <w:r>
              <w:rPr>
                <w:rFonts w:hint="default" w:ascii="宋体" w:hAnsi="宋体" w:cs="宋体"/>
                <w:color w:val="auto"/>
                <w:sz w:val="24"/>
                <w:szCs w:val="24"/>
                <w:lang w:val="en-US" w:eastAsia="zh-CN"/>
              </w:rPr>
              <w:t>1937168.32</w:t>
            </w:r>
            <w:r>
              <w:rPr>
                <w:rFonts w:hint="eastAsia" w:ascii="宋体" w:hAnsi="宋体" w:cs="宋体"/>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改善办公环境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pPr>
              <w:spacing w:line="360" w:lineRule="auto"/>
              <w:jc w:val="both"/>
              <w:rPr>
                <w:rFonts w:hint="eastAsia" w:ascii="宋体" w:hAnsi="宋体" w:eastAsia="宋体" w:cs="宋体"/>
                <w:sz w:val="24"/>
                <w:szCs w:val="24"/>
                <w:lang w:val="zh-CN" w:eastAsia="zh-CN"/>
              </w:rPr>
            </w:pPr>
            <w:r>
              <w:rPr>
                <w:rFonts w:hint="eastAsia" w:ascii="宋体" w:hAnsi="宋体" w:cs="宋体"/>
                <w:sz w:val="24"/>
                <w:szCs w:val="24"/>
                <w:lang w:val="zh-CN" w:eastAsia="zh-CN"/>
              </w:rPr>
              <w:t>详见竞争性磋商文件第三章</w:t>
            </w:r>
            <w:r>
              <w:rPr>
                <w:rFonts w:hint="eastAsia" w:ascii="宋体" w:hAnsi="宋体" w:eastAsia="宋体" w:cs="宋体"/>
                <w:sz w:val="24"/>
                <w:szCs w:val="24"/>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1</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供应商应具备《中华人民共和国政府采购法》第二十二条规定的条件；并提供以下资格证明文件：</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1.年检有效的统一社会信用代码的营业执照（满足本次采购要求）。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2.法定代表人直接投标的，须出法定代表人身份证；法定代表人授权代表参加投标的，须出具法定代表人授权委托书、法定代表人身份证复印件以及被授权代表身份证。</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3.财务状况报告：提供2021年度或2022年度的财务审计报告，成立时间至提交谈判响应文件递交截止时间不足一年的，须提供其基本存款账户开户银行近三个月内出具的银行资信证明或自成立以来的财务报表；</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4.税收缴纳证明：提供2022年01月至今已缴纳的至少一个月的纳税证明（银行缴费凭证）或完税证明，依法免税的单位应提供相关证明材料；</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5.社会保障资金缴纳证明：提供2022年01月至今已缴纳的至少一个月的社会保障资金银行缴费单据或社保机构开具的社会保险参保缴费情况证明，依法不需要缴纳社会保障资金的单位应提供相关证明材料；</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6.参加政府采购活动前三年内，在经营活动中没有重大违法记录的书面声明；</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对列入“信用中国”网站(www.creditchina.gov.cn)“记录失信被执行人、重大税收违法案件当事人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8.投标信用承诺书（保证金）（承诺书效力和作用等同投标保证金）。</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9.具有建设行政主管部门核发的建筑工程施工总承包三级及以上、建筑装修装饰工程专业承包二级及以上资质。</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10.具有国家建设行政主管部门颁发的施工企业安全生产许可证。</w:t>
            </w:r>
          </w:p>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本项目专门面向中小企业，非中小企业不得参加本项目投标。</w:t>
            </w:r>
          </w:p>
          <w:p>
            <w:pPr>
              <w:spacing w:line="360" w:lineRule="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本项目不接受联合体投标，单位负责人为同一人或者存在直接控股、管理关系的不同投标人，不得参加同一合同项下的政府采购活动。</w:t>
            </w:r>
          </w:p>
          <w:p>
            <w:pPr>
              <w:spacing w:line="360" w:lineRule="auto"/>
              <w:rPr>
                <w:rFonts w:hint="eastAsia" w:ascii="微软雅黑" w:hAnsi="微软雅黑" w:eastAsia="微软雅黑" w:cs="微软雅黑"/>
                <w:i w:val="0"/>
                <w:iCs w:val="0"/>
                <w:caps w:val="0"/>
                <w:color w:val="333333"/>
                <w:spacing w:val="0"/>
                <w:kern w:val="2"/>
                <w:sz w:val="21"/>
                <w:szCs w:val="21"/>
                <w:shd w:val="clear"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cs="宋体"/>
                <w:color w:val="auto"/>
                <w:szCs w:val="24"/>
                <w:lang w:val="en-US" w:eastAsia="zh-CN"/>
              </w:rPr>
              <w:t>2</w:t>
            </w:r>
          </w:p>
        </w:tc>
        <w:tc>
          <w:tcPr>
            <w:tcW w:w="2014"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lang w:val="zh-CN" w:eastAsia="zh-CN"/>
              </w:rPr>
              <w:t>期</w:t>
            </w:r>
            <w:r>
              <w:rPr>
                <w:rFonts w:hint="eastAsia" w:ascii="宋体" w:hAnsi="宋体" w:cs="宋体"/>
                <w:color w:val="auto"/>
                <w:sz w:val="24"/>
                <w:szCs w:val="24"/>
                <w:highlight w:val="none"/>
                <w:lang w:val="en-US" w:eastAsia="zh-CN"/>
              </w:rPr>
              <w:t>限</w:t>
            </w:r>
          </w:p>
        </w:tc>
        <w:tc>
          <w:tcPr>
            <w:tcW w:w="7200" w:type="dxa"/>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en-US" w:eastAsia="zh-CN"/>
              </w:rPr>
              <w:t>合同签订后</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日内（施工期间不得影响机关正常办公）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3</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竞争性磋商文件</w:t>
            </w:r>
            <w:r>
              <w:rPr>
                <w:rFonts w:hint="eastAsia" w:ascii="宋体" w:hAnsi="宋体" w:cs="宋体"/>
                <w:color w:val="auto"/>
                <w:sz w:val="24"/>
                <w:szCs w:val="24"/>
                <w:highlight w:val="none"/>
                <w:lang w:val="zh-CN"/>
              </w:rPr>
              <w:t>领取</w:t>
            </w:r>
          </w:p>
        </w:tc>
        <w:tc>
          <w:tcPr>
            <w:tcW w:w="7200" w:type="dxa"/>
          </w:tcPr>
          <w:p>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登录全国公共资源交易中心平台（陕西省）使用CA锁报名后自行下载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响应文件提交截止时间、开标时间和地点</w:t>
            </w:r>
          </w:p>
        </w:tc>
        <w:tc>
          <w:tcPr>
            <w:tcW w:w="7200" w:type="dxa"/>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响应文件提交截止时间： </w:t>
            </w:r>
            <w:r>
              <w:rPr>
                <w:rFonts w:hint="default" w:ascii="宋体" w:hAnsi="宋体" w:eastAsia="宋体" w:cs="宋体"/>
                <w:color w:val="auto"/>
                <w:sz w:val="24"/>
                <w:szCs w:val="24"/>
                <w:highlight w:val="none"/>
                <w:lang w:val="en-US"/>
              </w:rPr>
              <w:t>2023-9-05  13:30:00</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开标时间： </w:t>
            </w:r>
            <w:r>
              <w:rPr>
                <w:rFonts w:hint="default" w:ascii="宋体" w:hAnsi="宋体" w:eastAsia="宋体" w:cs="宋体"/>
                <w:color w:val="auto"/>
                <w:sz w:val="24"/>
                <w:szCs w:val="24"/>
                <w:highlight w:val="none"/>
                <w:lang w:val="en-US"/>
              </w:rPr>
              <w:t>2023-9-05  13:30:00</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highlight w:val="none"/>
                <w:lang w:val="zh-CN"/>
              </w:rPr>
              <w:t>投标、开标地点：</w:t>
            </w:r>
            <w:r>
              <w:rPr>
                <w:rFonts w:hint="eastAsia" w:cs="Times New Roman"/>
                <w:b w:val="0"/>
                <w:bCs w:val="0"/>
                <w:color w:val="000000" w:themeColor="text1"/>
                <w:kern w:val="0"/>
                <w:sz w:val="24"/>
                <w:szCs w:val="24"/>
                <w:highlight w:val="none"/>
                <w:u w:val="none"/>
                <w:lang w:val="en-US" w:eastAsia="zh-CN" w:bidi="ar"/>
                <w14:textFill>
                  <w14:solidFill>
                    <w14:schemeClr w14:val="tx1"/>
                  </w14:solidFill>
                </w14:textFill>
              </w:rPr>
              <w:t>榆林公共资源交易中心十楼开标6室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18</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Cs w:val="24"/>
                <w:lang w:val="en-US" w:eastAsia="zh-CN"/>
              </w:rPr>
              <w:t>19</w:t>
            </w:r>
          </w:p>
        </w:tc>
        <w:tc>
          <w:tcPr>
            <w:tcW w:w="2014" w:type="dxa"/>
            <w:vAlign w:val="center"/>
          </w:tcPr>
          <w:p>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Cs w:val="24"/>
              </w:rPr>
              <w:t>投标担保</w:t>
            </w:r>
          </w:p>
        </w:tc>
        <w:tc>
          <w:tcPr>
            <w:tcW w:w="7200" w:type="dxa"/>
            <w:vAlign w:val="top"/>
          </w:tcPr>
          <w:p>
            <w:pPr>
              <w:spacing w:line="360" w:lineRule="auto"/>
              <w:rPr>
                <w:rFonts w:hint="eastAsia" w:ascii="宋体" w:hAnsi="宋体" w:eastAsia="宋体" w:cs="宋体"/>
                <w:kern w:val="2"/>
                <w:sz w:val="24"/>
                <w:szCs w:val="24"/>
                <w:lang w:val="zh-CN" w:eastAsia="zh-CN" w:bidi="ar-SA"/>
              </w:rPr>
            </w:pPr>
            <w:r>
              <w:rPr>
                <w:rFonts w:hint="eastAsia" w:ascii="微软雅黑" w:hAnsi="微软雅黑" w:eastAsia="微软雅黑" w:cs="微软雅黑"/>
                <w:i w:val="0"/>
                <w:iCs w:val="0"/>
                <w:caps w:val="0"/>
                <w:color w:val="000000"/>
                <w:spacing w:val="0"/>
                <w:sz w:val="21"/>
                <w:szCs w:val="21"/>
                <w:shd w:val="clear" w:color="auto" w:fill="FFFFFF"/>
              </w:rPr>
              <w:t>投标信用承诺书（保证金）（承诺书效力和作用等同投标保证金）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cs="宋体"/>
                <w:szCs w:val="24"/>
                <w:lang w:val="en-US" w:eastAsia="zh-CN"/>
              </w:rPr>
              <w:t>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default" w:ascii="宋体" w:hAnsi="宋体" w:cs="宋体"/>
                <w:szCs w:val="24"/>
                <w:lang w:val="en-US" w:eastAsia="zh-CN"/>
              </w:rPr>
              <w:t>22</w:t>
            </w:r>
          </w:p>
        </w:tc>
        <w:tc>
          <w:tcPr>
            <w:tcW w:w="2014" w:type="dxa"/>
            <w:vAlign w:val="center"/>
          </w:tcPr>
          <w:p>
            <w:pPr>
              <w:spacing w:line="360" w:lineRule="auto"/>
              <w:jc w:val="center"/>
              <w:rPr>
                <w:rFonts w:hint="eastAsia" w:ascii="宋体" w:hAnsi="宋体" w:eastAsia="宋体" w:cs="宋体"/>
                <w:sz w:val="24"/>
                <w:szCs w:val="24"/>
                <w:lang w:val="zh-CN" w:eastAsia="zh-CN"/>
              </w:rPr>
            </w:pPr>
            <w:r>
              <w:rPr>
                <w:rFonts w:hint="eastAsia" w:hAnsi="宋体"/>
                <w:b w:val="0"/>
                <w:bCs w:val="0"/>
                <w:sz w:val="24"/>
                <w:szCs w:val="24"/>
                <w:lang w:eastAsia="zh-CN"/>
              </w:rPr>
              <w:t>签到</w:t>
            </w:r>
          </w:p>
        </w:tc>
        <w:tc>
          <w:tcPr>
            <w:tcW w:w="7200" w:type="dxa"/>
            <w:vAlign w:val="center"/>
          </w:tcPr>
          <w:p>
            <w:pPr>
              <w:spacing w:line="360" w:lineRule="auto"/>
              <w:rPr>
                <w:rFonts w:hint="eastAsia" w:ascii="宋体" w:hAnsi="宋体" w:eastAsia="宋体" w:cs="宋体"/>
                <w:sz w:val="24"/>
                <w:szCs w:val="24"/>
                <w:lang w:val="zh-CN" w:eastAsia="zh-CN"/>
              </w:rPr>
            </w:pPr>
            <w:r>
              <w:rPr>
                <w:rFonts w:hint="eastAsia" w:eastAsia="宋体"/>
                <w:color w:val="auto"/>
                <w:kern w:val="2"/>
                <w:sz w:val="24"/>
                <w:szCs w:val="24"/>
                <w:lang w:val="en-US" w:eastAsia="zh-CN"/>
              </w:rPr>
              <w:t>供应商应</w:t>
            </w:r>
            <w:r>
              <w:rPr>
                <w:rFonts w:hint="eastAsia" w:eastAsia="宋体"/>
                <w:color w:val="auto"/>
                <w:kern w:val="2"/>
                <w:sz w:val="24"/>
                <w:szCs w:val="24"/>
              </w:rPr>
              <w:t>按要求及时签到</w:t>
            </w:r>
            <w:r>
              <w:rPr>
                <w:rFonts w:hint="eastAsia" w:eastAsia="宋体"/>
                <w:color w:val="auto"/>
                <w:kern w:val="2"/>
                <w:sz w:val="24"/>
                <w:szCs w:val="24"/>
                <w:lang w:val="en-US" w:eastAsia="zh-CN"/>
              </w:rPr>
              <w:t>（签到时间为投标截止时间前1小时内，如果未签到将视为放弃投标资格），</w:t>
            </w:r>
            <w:r>
              <w:rPr>
                <w:rFonts w:hint="eastAsia" w:eastAsia="宋体"/>
                <w:color w:val="auto"/>
                <w:kern w:val="2"/>
                <w:sz w:val="24"/>
                <w:szCs w:val="24"/>
              </w:rPr>
              <w:t>评审过程中，评标委员会可能会就某些问题要求供应商进行澄清</w:t>
            </w:r>
            <w:r>
              <w:rPr>
                <w:rFonts w:hint="eastAsia" w:eastAsia="宋体"/>
                <w:color w:val="auto"/>
                <w:kern w:val="2"/>
                <w:sz w:val="24"/>
                <w:szCs w:val="24"/>
                <w:lang w:eastAsia="zh-CN"/>
              </w:rPr>
              <w:t>，</w:t>
            </w:r>
            <w:r>
              <w:rPr>
                <w:rFonts w:hint="eastAsia" w:eastAsia="宋体"/>
                <w:color w:val="auto"/>
                <w:kern w:val="2"/>
                <w:sz w:val="24"/>
                <w:szCs w:val="24"/>
                <w:lang w:val="en-US" w:eastAsia="zh-CN"/>
              </w:rPr>
              <w:t>请供应商</w:t>
            </w:r>
            <w:r>
              <w:rPr>
                <w:rFonts w:hint="eastAsia"/>
                <w:color w:val="auto"/>
                <w:kern w:val="2"/>
                <w:sz w:val="24"/>
                <w:szCs w:val="24"/>
                <w:lang w:val="en-US" w:eastAsia="zh-CN"/>
              </w:rPr>
              <w:t>手机</w:t>
            </w:r>
            <w:r>
              <w:rPr>
                <w:rFonts w:hint="eastAsia" w:eastAsia="宋体"/>
                <w:color w:val="auto"/>
                <w:kern w:val="2"/>
                <w:sz w:val="24"/>
                <w:szCs w:val="24"/>
              </w:rPr>
              <w:t>保持</w:t>
            </w:r>
            <w:r>
              <w:rPr>
                <w:rFonts w:hint="eastAsia"/>
                <w:color w:val="auto"/>
                <w:kern w:val="2"/>
                <w:sz w:val="24"/>
                <w:szCs w:val="24"/>
                <w:lang w:eastAsia="zh-CN"/>
              </w:rPr>
              <w:t>畅通</w:t>
            </w:r>
            <w:r>
              <w:rPr>
                <w:rFonts w:hint="eastAsia" w:eastAsia="宋体"/>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default" w:ascii="宋体" w:hAnsi="宋体" w:cs="宋体"/>
                <w:szCs w:val="24"/>
                <w:lang w:val="en-US" w:eastAsia="zh-CN"/>
              </w:rPr>
              <w:t>23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pPr>
              <w:pStyle w:val="48"/>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价，供应商应</w:t>
            </w:r>
            <w:r>
              <w:rPr>
                <w:rFonts w:hint="eastAsia" w:ascii="宋体" w:hAnsi="宋体" w:cs="宋体"/>
                <w:kern w:val="2"/>
                <w:sz w:val="24"/>
                <w:szCs w:val="24"/>
                <w:lang w:val="en-US" w:eastAsia="zh-CN" w:bidi="ar-SA"/>
              </w:rPr>
              <w:t>在报价中</w:t>
            </w:r>
            <w:r>
              <w:rPr>
                <w:rFonts w:hint="eastAsia" w:ascii="宋体" w:hAnsi="宋体" w:eastAsia="宋体" w:cs="宋体"/>
                <w:kern w:val="2"/>
                <w:sz w:val="24"/>
                <w:szCs w:val="24"/>
                <w:lang w:val="zh-CN" w:eastAsia="zh-CN" w:bidi="ar-SA"/>
              </w:rPr>
              <w:t>表明</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完成本次招标所要求的</w:t>
            </w:r>
            <w:r>
              <w:rPr>
                <w:rFonts w:hint="eastAsia" w:ascii="宋体" w:hAnsi="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default" w:ascii="宋体" w:hAnsi="宋体" w:cs="宋体"/>
                <w:szCs w:val="24"/>
                <w:lang w:val="en-US" w:eastAsia="zh-CN"/>
              </w:rPr>
              <w:t>24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pPr>
              <w:pStyle w:val="48"/>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default" w:ascii="宋体" w:hAnsi="宋体" w:cs="宋体"/>
                <w:szCs w:val="24"/>
                <w:lang w:val="en-US" w:eastAsia="zh-CN"/>
              </w:rPr>
              <w:t>25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pPr>
              <w:pStyle w:val="48"/>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供应商与采购人在</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通知书发出</w:t>
            </w:r>
            <w:r>
              <w:rPr>
                <w:rFonts w:hint="default" w:ascii="宋体" w:hAnsi="宋体" w:cs="宋体"/>
                <w:kern w:val="2"/>
                <w:sz w:val="24"/>
                <w:szCs w:val="24"/>
                <w:lang w:val="en-US" w:eastAsia="zh-CN" w:bidi="ar-SA"/>
              </w:rPr>
              <w:t>1</w:t>
            </w:r>
            <w:r>
              <w:rPr>
                <w:rFonts w:hint="eastAsia" w:ascii="宋体" w:hAnsi="宋体" w:eastAsia="宋体" w:cs="宋体"/>
                <w:kern w:val="2"/>
                <w:sz w:val="24"/>
                <w:szCs w:val="24"/>
                <w:lang w:val="zh-CN" w:eastAsia="zh-CN" w:bidi="ar-SA"/>
              </w:rPr>
              <w:t>0天内签订合同，不及时签订视为自动放弃。非经采购人同意，本项目不允许</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后另行转包或者分包。</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人无正当理由不得放弃</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。因自身原因拒绝签订政府采购合同的或者未按合同约定进行履约的，</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default" w:ascii="宋体" w:hAnsi="宋体" w:cs="宋体"/>
                <w:szCs w:val="24"/>
                <w:lang w:val="en-US" w:eastAsia="zh-CN"/>
              </w:rPr>
            </w:pPr>
            <w:r>
              <w:rPr>
                <w:rFonts w:hint="default" w:ascii="宋体" w:hAnsi="宋体" w:cs="宋体"/>
                <w:szCs w:val="24"/>
                <w:lang w:val="en-US" w:eastAsia="zh-CN"/>
              </w:rPr>
              <w:t>26</w:t>
            </w:r>
          </w:p>
        </w:tc>
        <w:tc>
          <w:tcPr>
            <w:tcW w:w="2014" w:type="dxa"/>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同义</w:t>
            </w:r>
          </w:p>
          <w:p>
            <w:pPr>
              <w:spacing w:line="360" w:lineRule="auto"/>
              <w:jc w:val="center"/>
              <w:rPr>
                <w:rFonts w:hint="eastAsia" w:ascii="宋体" w:hAnsi="宋体" w:cs="宋体"/>
                <w:color w:val="FF0000"/>
                <w:sz w:val="24"/>
                <w:szCs w:val="24"/>
              </w:rPr>
            </w:pPr>
            <w:r>
              <w:rPr>
                <w:rFonts w:hint="eastAsia" w:ascii="宋体" w:hAnsi="宋体" w:cs="宋体"/>
                <w:color w:val="auto"/>
                <w:sz w:val="24"/>
                <w:szCs w:val="24"/>
              </w:rPr>
              <w:t>词语</w:t>
            </w:r>
          </w:p>
        </w:tc>
        <w:tc>
          <w:tcPr>
            <w:tcW w:w="7200" w:type="dxa"/>
            <w:vAlign w:val="center"/>
          </w:tcPr>
          <w:p>
            <w:pPr>
              <w:spacing w:line="360" w:lineRule="auto"/>
              <w:rPr>
                <w:rFonts w:hint="eastAsia" w:ascii="宋体" w:hAnsi="宋体" w:cs="宋体"/>
                <w:color w:val="FF0000"/>
                <w:sz w:val="24"/>
                <w:szCs w:val="24"/>
              </w:rPr>
            </w:pPr>
            <w:r>
              <w:rPr>
                <w:rFonts w:hint="eastAsia" w:ascii="宋体" w:hAnsi="宋体" w:cs="宋体"/>
                <w:color w:val="auto"/>
                <w:sz w:val="24"/>
              </w:rPr>
              <w:t>构成</w:t>
            </w:r>
            <w:r>
              <w:rPr>
                <w:rFonts w:hint="eastAsia" w:ascii="宋体" w:hAnsi="宋体" w:cs="宋体"/>
                <w:color w:val="auto"/>
                <w:sz w:val="24"/>
                <w:lang w:eastAsia="zh-CN"/>
              </w:rPr>
              <w:t>竞争性磋商文件</w:t>
            </w:r>
            <w:r>
              <w:rPr>
                <w:rFonts w:hint="eastAsia" w:ascii="宋体" w:hAnsi="宋体" w:cs="宋体"/>
                <w:color w:val="auto"/>
                <w:sz w:val="24"/>
              </w:rPr>
              <w:t>组成部分的各章节中出现的措辞“委托人”、“发包人“和“</w:t>
            </w:r>
            <w:r>
              <w:rPr>
                <w:rFonts w:hint="eastAsia" w:ascii="宋体" w:hAnsi="宋体" w:cs="宋体"/>
                <w:color w:val="auto"/>
                <w:sz w:val="24"/>
                <w:lang w:eastAsia="zh-CN"/>
              </w:rPr>
              <w:t>供应商</w:t>
            </w:r>
            <w:r>
              <w:rPr>
                <w:rFonts w:hint="eastAsia" w:ascii="宋体" w:hAnsi="宋体" w:cs="宋体"/>
                <w:color w:val="auto"/>
                <w:sz w:val="24"/>
              </w:rPr>
              <w:t>”、“承包人”，在招标投标阶段应当分别按“采购人”和“</w:t>
            </w:r>
            <w:r>
              <w:rPr>
                <w:rFonts w:hint="eastAsia" w:ascii="宋体" w:hAnsi="宋体" w:cs="宋体"/>
                <w:color w:val="auto"/>
                <w:sz w:val="24"/>
                <w:lang w:eastAsia="zh-CN"/>
              </w:rPr>
              <w:t>供应商</w:t>
            </w:r>
            <w:r>
              <w:rPr>
                <w:rFonts w:hint="eastAsia" w:ascii="宋体" w:hAnsi="宋体" w:cs="宋体"/>
                <w:color w:val="auto"/>
                <w:sz w:val="24"/>
              </w:rPr>
              <w:t>”进行理解。</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本项目招标依据《中华人民共和国政府采购法》等有关法律法规及规定。</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Times New Roman" w:hAnsi="宋体" w:eastAsia="宋体" w:cs="Times New Roman"/>
          <w:b/>
          <w:bCs/>
          <w:color w:val="auto"/>
          <w:sz w:val="24"/>
          <w:szCs w:val="24"/>
          <w:lang w:val="zh-CN" w:eastAsia="zh-CN"/>
        </w:rPr>
        <w:t>1、适用范围：</w:t>
      </w:r>
      <w:r>
        <w:rPr>
          <w:rFonts w:hint="eastAsia" w:ascii="宋体" w:hAnsi="宋体" w:eastAsia="宋体" w:cs="宋体"/>
          <w:kern w:val="2"/>
          <w:sz w:val="24"/>
          <w:szCs w:val="24"/>
          <w:lang w:val="zh-CN" w:eastAsia="zh-CN" w:bidi="ar-SA"/>
        </w:rPr>
        <w:t>本竞争性磋商文件仅适用于本项目的招标。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2、名词解释：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中共子洲县委办公室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w:t>
      </w:r>
      <w:r>
        <w:rPr>
          <w:rFonts w:hint="eastAsia" w:ascii="宋体" w:hAnsi="宋体" w:cs="宋体"/>
          <w:kern w:val="2"/>
          <w:sz w:val="24"/>
          <w:szCs w:val="24"/>
          <w:lang w:val="zh-CN" w:eastAsia="zh-CN" w:bidi="ar-SA"/>
        </w:rPr>
        <w:t>子洲县政府采购中心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子洲县委办公用房维修改造工程</w:t>
      </w:r>
      <w:r>
        <w:rPr>
          <w:rFonts w:hint="eastAsia" w:ascii="宋体" w:hAnsi="宋体" w:eastAsia="宋体" w:cs="宋体"/>
          <w:color w:val="auto"/>
          <w:kern w:val="2"/>
          <w:sz w:val="24"/>
          <w:szCs w:val="24"/>
          <w:lang w:val="zh-CN" w:eastAsia="zh-CN" w:bidi="ar-SA"/>
        </w:rPr>
        <w:t>的相关工作。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3、合格的供应商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w:t>
      </w:r>
      <w:r>
        <w:rPr>
          <w:rFonts w:hint="eastAsia" w:ascii="宋体" w:hAnsi="宋体" w:cs="宋体"/>
          <w:kern w:val="2"/>
          <w:sz w:val="24"/>
          <w:szCs w:val="24"/>
          <w:lang w:val="zh-CN" w:eastAsia="zh-CN" w:bidi="ar-SA"/>
        </w:rPr>
        <w:t>获取</w:t>
      </w:r>
      <w:r>
        <w:rPr>
          <w:rFonts w:hint="eastAsia" w:ascii="宋体" w:hAnsi="宋体" w:eastAsia="宋体" w:cs="宋体"/>
          <w:kern w:val="2"/>
          <w:sz w:val="24"/>
          <w:szCs w:val="24"/>
          <w:lang w:val="zh-CN" w:eastAsia="zh-CN" w:bidi="ar-SA"/>
        </w:rPr>
        <w:t>磋商文件，其他未</w:t>
      </w:r>
      <w:r>
        <w:rPr>
          <w:rFonts w:hint="eastAsia" w:ascii="宋体" w:hAnsi="宋体" w:cs="宋体"/>
          <w:kern w:val="2"/>
          <w:sz w:val="24"/>
          <w:szCs w:val="24"/>
          <w:lang w:val="zh-CN" w:eastAsia="zh-CN" w:bidi="ar-SA"/>
        </w:rPr>
        <w:t>获取</w:t>
      </w:r>
      <w:r>
        <w:rPr>
          <w:rFonts w:hint="eastAsia" w:ascii="宋体" w:hAnsi="宋体" w:eastAsia="宋体" w:cs="宋体"/>
          <w:kern w:val="2"/>
          <w:sz w:val="24"/>
          <w:szCs w:val="24"/>
          <w:lang w:val="zh-CN" w:eastAsia="zh-CN" w:bidi="ar-SA"/>
        </w:rPr>
        <w:t>磋商文件的潜在供应商均无资格参加本次磋商。</w:t>
      </w:r>
    </w:p>
    <w:p>
      <w:pPr>
        <w:spacing w:line="360" w:lineRule="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4、保密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pPr>
        <w:spacing w:line="360" w:lineRule="auto"/>
        <w:rPr>
          <w:rFonts w:hint="eastAsia" w:ascii="宋体" w:hAnsi="宋体" w:eastAsia="宋体" w:cs="宋体"/>
          <w:b/>
          <w:bCs/>
          <w:kern w:val="2"/>
          <w:sz w:val="24"/>
          <w:szCs w:val="24"/>
          <w:lang w:val="zh-CN" w:eastAsia="zh-CN" w:bidi="ar-SA"/>
        </w:rPr>
      </w:pPr>
      <w:bookmarkStart w:id="22" w:name="_Toc394934414"/>
      <w:bookmarkStart w:id="23" w:name="_Toc246928899"/>
      <w:r>
        <w:rPr>
          <w:rFonts w:hint="eastAsia" w:ascii="宋体" w:hAnsi="宋体" w:eastAsia="宋体" w:cs="宋体"/>
          <w:b/>
          <w:bCs/>
          <w:kern w:val="2"/>
          <w:sz w:val="24"/>
          <w:szCs w:val="24"/>
          <w:lang w:val="zh-CN" w:eastAsia="zh-CN" w:bidi="ar-SA"/>
        </w:rPr>
        <w:t>5、费用</w:t>
      </w:r>
      <w:bookmarkEnd w:id="22"/>
      <w:bookmarkEnd w:id="23"/>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pPr>
        <w:spacing w:line="360" w:lineRule="auto"/>
        <w:rPr>
          <w:rFonts w:hint="eastAsia" w:ascii="宋体" w:hAnsi="宋体" w:eastAsia="宋体" w:cs="宋体"/>
          <w:b/>
          <w:bCs/>
          <w:color w:val="auto"/>
          <w:szCs w:val="24"/>
        </w:rPr>
      </w:pPr>
      <w:r>
        <w:rPr>
          <w:rFonts w:hint="eastAsia" w:ascii="宋体" w:hAnsi="宋体" w:eastAsia="宋体" w:cs="宋体"/>
          <w:b/>
          <w:bCs/>
          <w:color w:val="auto"/>
          <w:szCs w:val="24"/>
        </w:rPr>
        <w:t>6、磋商文件的组成</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w:t>
      </w:r>
      <w:r>
        <w:rPr>
          <w:rFonts w:hint="eastAsia" w:ascii="宋体" w:hAnsi="宋体" w:cs="宋体"/>
          <w:color w:val="auto"/>
          <w:szCs w:val="24"/>
          <w:lang w:val="en-US" w:eastAsia="zh-CN"/>
        </w:rPr>
        <w:t>3</w:t>
      </w:r>
      <w:r>
        <w:rPr>
          <w:rFonts w:hint="eastAsia" w:ascii="宋体" w:hAnsi="宋体" w:eastAsia="宋体" w:cs="宋体"/>
          <w:color w:val="auto"/>
          <w:szCs w:val="24"/>
        </w:rPr>
        <w:t>）</w:t>
      </w:r>
      <w:r>
        <w:rPr>
          <w:rFonts w:hint="eastAsia" w:ascii="宋体" w:hAnsi="宋体" w:eastAsia="宋体" w:cs="宋体"/>
          <w:color w:val="auto"/>
          <w:szCs w:val="32"/>
          <w:lang w:eastAsia="zh-CN"/>
        </w:rPr>
        <w:t>采购内容及技术要求</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w:t>
      </w:r>
      <w:r>
        <w:rPr>
          <w:rFonts w:hint="eastAsia" w:ascii="宋体" w:hAnsi="宋体" w:cs="宋体"/>
          <w:color w:val="auto"/>
          <w:szCs w:val="24"/>
          <w:lang w:val="en-US" w:eastAsia="zh-CN"/>
        </w:rPr>
        <w:t>4</w:t>
      </w:r>
      <w:r>
        <w:rPr>
          <w:rFonts w:hint="eastAsia" w:ascii="宋体" w:hAnsi="宋体" w:eastAsia="宋体" w:cs="宋体"/>
          <w:color w:val="auto"/>
          <w:szCs w:val="24"/>
        </w:rPr>
        <w:t>）</w:t>
      </w:r>
      <w:r>
        <w:rPr>
          <w:rFonts w:hint="eastAsia" w:ascii="宋体" w:hAnsi="宋体" w:eastAsia="宋体" w:cs="宋体"/>
          <w:color w:val="auto"/>
          <w:szCs w:val="24"/>
          <w:lang w:eastAsia="zh-CN"/>
        </w:rPr>
        <w:t>商务要求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cs="宋体"/>
          <w:color w:val="auto"/>
          <w:szCs w:val="24"/>
          <w:lang w:val="en-US" w:eastAsia="zh-CN"/>
        </w:rPr>
        <w:t>5</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pPr>
        <w:spacing w:line="360" w:lineRule="auto"/>
        <w:rPr>
          <w:rFonts w:hint="eastAsia" w:ascii="宋体" w:hAnsi="宋体" w:eastAsia="宋体" w:cs="宋体"/>
          <w:b/>
          <w:bCs/>
          <w:color w:val="FF0000"/>
          <w:szCs w:val="24"/>
        </w:rPr>
      </w:pPr>
      <w:r>
        <w:rPr>
          <w:rFonts w:hint="eastAsia" w:ascii="宋体" w:hAnsi="宋体" w:eastAsia="宋体" w:cs="宋体"/>
          <w:b/>
          <w:bCs/>
          <w:color w:val="auto"/>
          <w:szCs w:val="24"/>
        </w:rPr>
        <w:t>7、磋商文件的澄清及修改</w:t>
      </w:r>
    </w:p>
    <w:p>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cs="宋体"/>
          <w:szCs w:val="24"/>
          <w:lang w:eastAsia="zh-CN"/>
        </w:rPr>
        <w:t>获取</w:t>
      </w:r>
      <w:r>
        <w:rPr>
          <w:rFonts w:hint="eastAsia" w:ascii="宋体" w:hAnsi="宋体" w:eastAsia="宋体" w:cs="宋体"/>
          <w:szCs w:val="24"/>
        </w:rPr>
        <w:t>磋商文件的</w:t>
      </w:r>
      <w:r>
        <w:rPr>
          <w:rFonts w:hint="eastAsia" w:ascii="宋体" w:hAnsi="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cs="宋体"/>
          <w:b/>
          <w:szCs w:val="24"/>
          <w:bdr w:val="single" w:color="auto" w:sz="4" w:space="0"/>
          <w:lang w:eastAsia="zh-CN"/>
        </w:rPr>
        <w:t>供应商</w:t>
      </w:r>
      <w:r>
        <w:rPr>
          <w:rFonts w:hint="eastAsia" w:ascii="宋体" w:hAnsi="宋体" w:eastAsia="宋体" w:cs="宋体"/>
          <w:b/>
          <w:szCs w:val="24"/>
          <w:bdr w:val="single" w:color="auto" w:sz="4" w:space="0"/>
        </w:rPr>
        <w:t>自负。</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pPr>
        <w:spacing w:line="360" w:lineRule="auto"/>
        <w:rPr>
          <w:rFonts w:hint="eastAsia" w:ascii="宋体" w:hAnsi="宋体" w:eastAsia="宋体" w:cs="宋体"/>
          <w:b/>
          <w:bCs/>
          <w:szCs w:val="24"/>
        </w:rPr>
      </w:pPr>
      <w:r>
        <w:rPr>
          <w:rFonts w:hint="eastAsia" w:ascii="宋体" w:hAnsi="宋体" w:eastAsia="宋体" w:cs="宋体"/>
          <w:b/>
          <w:bCs/>
          <w:szCs w:val="24"/>
        </w:rPr>
        <w:t>8、</w:t>
      </w:r>
      <w:r>
        <w:rPr>
          <w:rFonts w:hint="eastAsia" w:ascii="宋体" w:hAnsi="宋体" w:cs="宋体"/>
          <w:b/>
          <w:bCs/>
          <w:szCs w:val="24"/>
          <w:lang w:eastAsia="zh-CN"/>
        </w:rPr>
        <w:t>供应商</w:t>
      </w:r>
      <w:r>
        <w:rPr>
          <w:rFonts w:hint="eastAsia" w:ascii="宋体" w:hAnsi="宋体" w:eastAsia="宋体" w:cs="宋体"/>
          <w:b/>
          <w:bCs/>
          <w:szCs w:val="24"/>
        </w:rPr>
        <w:t>信用记录查询及政府采购项目需要落实的政策</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对列入“信用中国”网站(www.creditchina.gov.cn)“记录失信被执行人或重大税收违法案件当事人名单或政府采购严重违法失信行为”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lang w:eastAsia="zh-CN"/>
        </w:rPr>
      </w:pPr>
      <w:bookmarkStart w:id="24" w:name="_Toc31339"/>
      <w:bookmarkStart w:id="25" w:name="_Toc3390"/>
      <w:bookmarkStart w:id="26" w:name="_Toc4189"/>
      <w:bookmarkStart w:id="27" w:name="_Toc25485"/>
      <w:r>
        <w:rPr>
          <w:rFonts w:hint="eastAsia" w:ascii="宋体" w:hAnsi="宋体" w:eastAsia="宋体" w:cs="宋体"/>
          <w:szCs w:val="24"/>
        </w:rPr>
        <w:t>8.2</w:t>
      </w:r>
      <w:bookmarkStart w:id="28" w:name="_Toc18307"/>
      <w:bookmarkStart w:id="29" w:name="_Toc13885"/>
      <w:bookmarkStart w:id="30" w:name="_Toc6716"/>
      <w:bookmarkStart w:id="31" w:name="_Toc21818"/>
      <w:bookmarkStart w:id="32" w:name="_Toc28576"/>
      <w:bookmarkStart w:id="33" w:name="_Toc20184"/>
      <w:bookmarkStart w:id="34" w:name="_Toc20097"/>
      <w:bookmarkStart w:id="35" w:name="_Toc11560"/>
      <w:bookmarkStart w:id="36" w:name="_Toc15111"/>
      <w:bookmarkStart w:id="37" w:name="_Toc30752"/>
      <w:bookmarkStart w:id="38" w:name="_Toc5823"/>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360" w:lineRule="auto"/>
        <w:ind w:firstLine="480" w:firstLineChars="200"/>
        <w:rPr>
          <w:rFonts w:hint="default" w:ascii="宋体" w:hAnsi="宋体" w:eastAsia="宋体" w:cs="宋体"/>
          <w:szCs w:val="24"/>
          <w:lang w:val="en-US" w:eastAsia="zh-CN"/>
        </w:rPr>
      </w:pPr>
      <w:r>
        <w:rPr>
          <w:rFonts w:hint="eastAsia" w:ascii="宋体" w:hAnsi="宋体" w:cs="宋体"/>
          <w:szCs w:val="24"/>
          <w:lang w:val="en-US" w:eastAsia="zh-CN"/>
        </w:rPr>
        <w:t>本项目全部面向中小企业采购，潜在供应商应为中小企业或监狱、</w:t>
      </w:r>
      <w:r>
        <w:rPr>
          <w:rFonts w:ascii="宋体" w:hAnsi="宋体"/>
          <w:color w:val="auto"/>
          <w:sz w:val="24"/>
          <w:highlight w:val="none"/>
        </w:rPr>
        <w:t>戒毒</w:t>
      </w:r>
      <w:r>
        <w:rPr>
          <w:rFonts w:hint="eastAsia" w:ascii="宋体" w:hAnsi="宋体" w:cs="宋体"/>
          <w:szCs w:val="24"/>
          <w:lang w:val="en-US" w:eastAsia="zh-CN"/>
        </w:rPr>
        <w:t>企业或残疾人企业，并提供</w:t>
      </w:r>
      <w:r>
        <w:rPr>
          <w:rFonts w:hint="eastAsia" w:ascii="宋体" w:hAnsi="宋体"/>
          <w:color w:val="auto"/>
          <w:sz w:val="24"/>
          <w:szCs w:val="24"/>
          <w:highlight w:val="none"/>
        </w:rPr>
        <w:t>中小企业声明函和</w:t>
      </w:r>
      <w:r>
        <w:rPr>
          <w:rFonts w:ascii="宋体" w:hAnsi="宋体"/>
          <w:color w:val="auto"/>
          <w:sz w:val="24"/>
          <w:szCs w:val="24"/>
          <w:highlight w:val="none"/>
        </w:rPr>
        <w:t>监狱和戒毒企业</w:t>
      </w:r>
      <w:r>
        <w:rPr>
          <w:rFonts w:hint="eastAsia" w:ascii="宋体" w:hAnsi="宋体"/>
          <w:color w:val="auto"/>
          <w:sz w:val="24"/>
          <w:szCs w:val="24"/>
          <w:highlight w:val="none"/>
        </w:rPr>
        <w:t>、残疾人福利性单位证明资料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所有符合要求的供应商报价均以原价进行评分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未提供中小企业声明函和</w:t>
      </w:r>
      <w:r>
        <w:rPr>
          <w:rFonts w:ascii="宋体" w:hAnsi="宋体"/>
          <w:color w:val="auto"/>
          <w:sz w:val="24"/>
          <w:szCs w:val="24"/>
          <w:highlight w:val="none"/>
        </w:rPr>
        <w:t>监狱和戒毒企业</w:t>
      </w:r>
      <w:r>
        <w:rPr>
          <w:rFonts w:hint="eastAsia" w:ascii="宋体" w:hAnsi="宋体"/>
          <w:color w:val="auto"/>
          <w:sz w:val="24"/>
          <w:szCs w:val="24"/>
          <w:highlight w:val="none"/>
        </w:rPr>
        <w:t>、残疾人福利性单位证明资料的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不得参加本项目投标活动。</w:t>
      </w:r>
    </w:p>
    <w:p>
      <w:pPr>
        <w:spacing w:line="480" w:lineRule="exact"/>
        <w:ind w:firstLine="597" w:firstLineChars="249"/>
        <w:rPr>
          <w:rFonts w:hint="eastAsia" w:ascii="宋体" w:hAnsi="宋体"/>
          <w:sz w:val="24"/>
          <w:highlight w:val="none"/>
        </w:rPr>
      </w:pPr>
      <w:r>
        <w:rPr>
          <w:rFonts w:hint="eastAsia" w:ascii="宋体" w:hAnsi="宋体"/>
          <w:sz w:val="24"/>
          <w:highlight w:val="none"/>
          <w:lang w:val="en-US" w:eastAsia="zh-CN"/>
        </w:rPr>
        <w:t>8.</w:t>
      </w:r>
      <w:r>
        <w:rPr>
          <w:rFonts w:hint="default" w:ascii="宋体" w:hAnsi="宋体"/>
          <w:sz w:val="24"/>
          <w:highlight w:val="none"/>
          <w:lang w:val="en-US" w:eastAsia="zh-CN"/>
        </w:rPr>
        <w:t>3</w:t>
      </w:r>
      <w:r>
        <w:rPr>
          <w:rFonts w:hint="eastAsia" w:ascii="宋体" w:hAnsi="宋体"/>
          <w:sz w:val="24"/>
          <w:highlight w:val="none"/>
        </w:rPr>
        <w:t>、节能产品、环境标志产品政策</w:t>
      </w:r>
    </w:p>
    <w:p>
      <w:pPr>
        <w:spacing w:line="480" w:lineRule="exact"/>
        <w:ind w:firstLine="597" w:firstLineChars="249"/>
        <w:rPr>
          <w:rFonts w:hint="eastAsia" w:ascii="宋体" w:hAnsi="宋体"/>
          <w:sz w:val="24"/>
          <w:highlight w:val="none"/>
        </w:rPr>
      </w:pPr>
      <w:r>
        <w:rPr>
          <w:rFonts w:hint="eastAsia" w:ascii="宋体" w:hAnsi="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pStyle w:val="2"/>
        <w:rPr>
          <w:rFonts w:hint="eastAsia"/>
        </w:rPr>
      </w:pP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pPr>
        <w:spacing w:line="360" w:lineRule="auto"/>
        <w:rPr>
          <w:rFonts w:hint="eastAsia" w:ascii="宋体" w:hAnsi="宋体" w:eastAsia="宋体" w:cs="宋体"/>
          <w:b/>
          <w:bCs/>
          <w:color w:val="auto"/>
          <w:szCs w:val="24"/>
        </w:rPr>
      </w:pPr>
      <w:r>
        <w:rPr>
          <w:rFonts w:hint="eastAsia" w:ascii="宋体" w:hAnsi="宋体" w:eastAsia="宋体" w:cs="宋体"/>
          <w:b/>
          <w:bCs/>
          <w:color w:val="auto"/>
          <w:szCs w:val="24"/>
        </w:rPr>
        <w:t>9、响应文件的构成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w:t>
      </w:r>
      <w:r>
        <w:rPr>
          <w:rFonts w:hint="eastAsia" w:ascii="宋体" w:hAnsi="宋体" w:cs="宋体"/>
          <w:color w:val="auto"/>
          <w:szCs w:val="24"/>
          <w:lang w:eastAsia="zh-CN"/>
        </w:rPr>
        <w:t>五</w:t>
      </w:r>
      <w:r>
        <w:rPr>
          <w:rFonts w:hint="eastAsia" w:ascii="宋体" w:hAnsi="宋体" w:eastAsia="宋体" w:cs="宋体"/>
          <w:color w:val="auto"/>
          <w:szCs w:val="24"/>
        </w:rPr>
        <w:t>章“响应文件格式”及磋商文件要求提供的资格证书原件。</w:t>
      </w:r>
    </w:p>
    <w:p>
      <w:pPr>
        <w:spacing w:line="360" w:lineRule="auto"/>
        <w:rPr>
          <w:rFonts w:hint="eastAsia" w:ascii="宋体" w:hAnsi="宋体" w:eastAsia="宋体" w:cs="宋体"/>
          <w:b/>
          <w:bCs/>
          <w:color w:val="auto"/>
          <w:szCs w:val="24"/>
        </w:rPr>
      </w:pPr>
      <w:r>
        <w:rPr>
          <w:rFonts w:hint="eastAsia" w:ascii="宋体" w:hAnsi="宋体" w:eastAsia="宋体" w:cs="宋体"/>
          <w:b/>
          <w:bCs/>
          <w:color w:val="auto"/>
          <w:szCs w:val="24"/>
        </w:rPr>
        <w:t>10、磋商报价</w:t>
      </w:r>
    </w:p>
    <w:p>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w:t>
      </w:r>
    </w:p>
    <w:p>
      <w:pPr>
        <w:spacing w:line="360" w:lineRule="auto"/>
        <w:ind w:firstLine="480" w:firstLineChars="200"/>
        <w:rPr>
          <w:rFonts w:hint="eastAsia" w:hAnsi="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hAnsi="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pPr>
        <w:spacing w:line="360" w:lineRule="auto"/>
        <w:ind w:firstLine="480" w:firstLineChars="200"/>
        <w:rPr>
          <w:rFonts w:hint="eastAsia" w:hAnsi="宋体"/>
          <w:b w:val="0"/>
          <w:bCs w:val="0"/>
          <w:sz w:val="24"/>
          <w:szCs w:val="24"/>
        </w:rPr>
      </w:pPr>
      <w:r>
        <w:rPr>
          <w:rFonts w:hint="eastAsia" w:hAnsi="宋体"/>
          <w:b w:val="0"/>
          <w:bCs w:val="0"/>
          <w:sz w:val="24"/>
          <w:szCs w:val="24"/>
        </w:rPr>
        <w:t>10.3供应商必须就整个项目进行响应，不得将整个项目中的内容拆开响应。拆开响应的，按无效响应文件处理。</w:t>
      </w:r>
    </w:p>
    <w:p>
      <w:pPr>
        <w:spacing w:line="360" w:lineRule="auto"/>
        <w:ind w:firstLine="480" w:firstLineChars="200"/>
        <w:rPr>
          <w:rFonts w:hint="eastAsia" w:hAnsi="宋体"/>
          <w:b w:val="0"/>
          <w:bCs w:val="0"/>
          <w:sz w:val="24"/>
          <w:szCs w:val="24"/>
        </w:rPr>
      </w:pPr>
      <w:r>
        <w:rPr>
          <w:rFonts w:hint="eastAsia" w:hAnsi="宋体"/>
          <w:b w:val="0"/>
          <w:bCs w:val="0"/>
          <w:sz w:val="24"/>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hint="eastAsia" w:hAnsi="宋体"/>
          <w:b/>
          <w:bCs/>
          <w:sz w:val="24"/>
          <w:szCs w:val="24"/>
        </w:rPr>
      </w:pPr>
      <w:r>
        <w:rPr>
          <w:rFonts w:hint="eastAsia" w:hAnsi="宋体"/>
          <w:b/>
          <w:bCs/>
          <w:sz w:val="24"/>
          <w:szCs w:val="24"/>
        </w:rPr>
        <w:t>11、响应文件的编制</w:t>
      </w:r>
    </w:p>
    <w:p>
      <w:pPr>
        <w:spacing w:line="360" w:lineRule="auto"/>
        <w:ind w:firstLine="480" w:firstLineChars="200"/>
        <w:rPr>
          <w:rFonts w:hint="eastAsia" w:hAnsi="宋体"/>
          <w:b w:val="0"/>
          <w:bCs w:val="0"/>
          <w:sz w:val="24"/>
          <w:szCs w:val="24"/>
        </w:rPr>
      </w:pPr>
      <w:bookmarkStart w:id="39" w:name="_Toc394934424"/>
      <w:bookmarkStart w:id="40" w:name="_Toc246928911"/>
      <w:bookmarkStart w:id="41" w:name="_Toc317248152"/>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.1供应商应按</w:t>
      </w:r>
      <w:r>
        <w:rPr>
          <w:rFonts w:hint="eastAsia" w:hAnsi="宋体"/>
          <w:b w:val="0"/>
          <w:bCs w:val="0"/>
          <w:sz w:val="24"/>
          <w:szCs w:val="24"/>
          <w:lang w:eastAsia="zh-CN"/>
        </w:rPr>
        <w:t>竞争性磋商</w:t>
      </w:r>
      <w:r>
        <w:rPr>
          <w:rFonts w:hint="eastAsia" w:hAnsi="宋体"/>
          <w:b w:val="0"/>
          <w:bCs w:val="0"/>
          <w:sz w:val="24"/>
          <w:szCs w:val="24"/>
        </w:rPr>
        <w:t>文件中列示的清单、主材的品名、规格、型号、数量、交货期（工期）等按照</w:t>
      </w:r>
      <w:r>
        <w:rPr>
          <w:rFonts w:hint="eastAsia" w:hAnsi="宋体"/>
          <w:b w:val="0"/>
          <w:bCs w:val="0"/>
          <w:sz w:val="24"/>
          <w:szCs w:val="24"/>
          <w:lang w:eastAsia="zh-CN"/>
        </w:rPr>
        <w:t>竞争性磋商</w:t>
      </w:r>
      <w:r>
        <w:rPr>
          <w:rFonts w:hint="eastAsia" w:hAnsi="宋体"/>
          <w:b w:val="0"/>
          <w:bCs w:val="0"/>
          <w:sz w:val="24"/>
          <w:szCs w:val="24"/>
        </w:rPr>
        <w:t>响应文件格式标明报价。</w:t>
      </w:r>
    </w:p>
    <w:p>
      <w:pPr>
        <w:spacing w:line="360" w:lineRule="auto"/>
        <w:ind w:firstLine="480" w:firstLineChars="200"/>
        <w:rPr>
          <w:rFonts w:hint="eastAsia" w:hAnsi="宋体"/>
          <w:b w:val="0"/>
          <w:bCs w:val="0"/>
          <w:sz w:val="24"/>
          <w:szCs w:val="24"/>
        </w:rPr>
      </w:pPr>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.2响应文件中标明的产品和材料价格，在合同执行过程中固定不变，不得以任何理由变更。</w:t>
      </w:r>
    </w:p>
    <w:p>
      <w:pPr>
        <w:spacing w:line="360" w:lineRule="auto"/>
        <w:ind w:firstLine="480" w:firstLineChars="200"/>
        <w:rPr>
          <w:rFonts w:hint="eastAsia" w:hAnsi="宋体"/>
          <w:b w:val="0"/>
          <w:bCs w:val="0"/>
          <w:sz w:val="24"/>
          <w:szCs w:val="24"/>
        </w:rPr>
      </w:pPr>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.3供应商只能一次报出价格不得更改，报价包括项目完成、可以正常使用条件下所包含的一切费用。</w:t>
      </w:r>
    </w:p>
    <w:p>
      <w:pPr>
        <w:spacing w:line="360" w:lineRule="auto"/>
        <w:ind w:firstLine="480" w:firstLineChars="200"/>
        <w:rPr>
          <w:rFonts w:hint="eastAsia" w:hAnsi="宋体"/>
          <w:b w:val="0"/>
          <w:bCs w:val="0"/>
          <w:sz w:val="24"/>
          <w:szCs w:val="24"/>
        </w:rPr>
      </w:pPr>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.4投标报价只能提交唯一、不可选择的报价。</w:t>
      </w:r>
    </w:p>
    <w:p>
      <w:pPr>
        <w:spacing w:line="360" w:lineRule="auto"/>
        <w:ind w:firstLine="480" w:firstLineChars="200"/>
        <w:rPr>
          <w:rFonts w:hint="eastAsia" w:hAnsi="宋体"/>
          <w:b w:val="0"/>
          <w:bCs w:val="0"/>
          <w:sz w:val="24"/>
          <w:szCs w:val="24"/>
        </w:rPr>
      </w:pPr>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.5报价货币：人民币，单位：元，四舍五入精确到小数点后两位。</w:t>
      </w:r>
    </w:p>
    <w:p>
      <w:pPr>
        <w:spacing w:line="360" w:lineRule="auto"/>
        <w:ind w:firstLine="480" w:firstLineChars="200"/>
        <w:rPr>
          <w:rFonts w:hint="eastAsia" w:hAnsi="宋体"/>
          <w:b w:val="0"/>
          <w:bCs w:val="0"/>
          <w:sz w:val="24"/>
          <w:szCs w:val="24"/>
        </w:rPr>
      </w:pPr>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.6开标一览表和分项报价表中报价大写盖投标人公章，小写盖法人私章。</w:t>
      </w:r>
    </w:p>
    <w:p>
      <w:pPr>
        <w:spacing w:line="360" w:lineRule="auto"/>
        <w:ind w:firstLine="480" w:firstLineChars="200"/>
        <w:rPr>
          <w:rFonts w:hint="eastAsia" w:hAnsi="宋体"/>
          <w:b w:val="0"/>
          <w:bCs w:val="0"/>
          <w:sz w:val="24"/>
          <w:szCs w:val="24"/>
        </w:rPr>
      </w:pPr>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.7凡因供应商对</w:t>
      </w:r>
      <w:r>
        <w:rPr>
          <w:rFonts w:hint="eastAsia" w:hAnsi="宋体"/>
          <w:b w:val="0"/>
          <w:bCs w:val="0"/>
          <w:sz w:val="24"/>
          <w:szCs w:val="24"/>
          <w:lang w:eastAsia="zh-CN"/>
        </w:rPr>
        <w:t>竞争性磋商</w:t>
      </w:r>
      <w:r>
        <w:rPr>
          <w:rFonts w:hint="eastAsia" w:hAnsi="宋体"/>
          <w:b w:val="0"/>
          <w:bCs w:val="0"/>
          <w:sz w:val="24"/>
          <w:szCs w:val="24"/>
        </w:rPr>
        <w:t>文件阅读不深、理解不透、误解、疏漏、或因市场行情了解不清造成的后果和风险均由各供应商自负。</w:t>
      </w:r>
    </w:p>
    <w:p>
      <w:pPr>
        <w:spacing w:line="360" w:lineRule="auto"/>
        <w:ind w:firstLine="480" w:firstLineChars="200"/>
        <w:rPr>
          <w:rFonts w:hint="eastAsia" w:hAnsi="宋体"/>
          <w:b w:val="0"/>
          <w:bCs w:val="0"/>
          <w:sz w:val="24"/>
          <w:szCs w:val="24"/>
        </w:rPr>
      </w:pPr>
      <w:r>
        <w:rPr>
          <w:rFonts w:hint="default" w:hAnsi="宋体"/>
          <w:b w:val="0"/>
          <w:bCs w:val="0"/>
          <w:sz w:val="24"/>
          <w:szCs w:val="24"/>
          <w:lang w:val="en-US" w:eastAsia="zh-CN"/>
        </w:rPr>
        <w:t>1</w:t>
      </w:r>
      <w:r>
        <w:rPr>
          <w:rFonts w:hint="eastAsia" w:hAnsi="宋体"/>
          <w:b w:val="0"/>
          <w:bCs w:val="0"/>
          <w:sz w:val="24"/>
          <w:szCs w:val="24"/>
          <w:lang w:val="en-US" w:eastAsia="zh-CN"/>
        </w:rPr>
        <w:t>1</w:t>
      </w:r>
      <w:r>
        <w:rPr>
          <w:rFonts w:hint="eastAsia" w:hAnsi="宋体"/>
          <w:b w:val="0"/>
          <w:bCs w:val="0"/>
          <w:sz w:val="24"/>
          <w:szCs w:val="24"/>
        </w:rPr>
        <w:t>.8投标报价不可超项目预算，超预算的报价视为不响应招标文件，为无效投标。</w:t>
      </w:r>
    </w:p>
    <w:p>
      <w:pPr>
        <w:spacing w:line="360" w:lineRule="auto"/>
        <w:ind w:firstLine="480" w:firstLineChars="200"/>
        <w:rPr>
          <w:rFonts w:hint="eastAsia" w:hAnsi="宋体"/>
          <w:b w:val="0"/>
          <w:bCs w:val="0"/>
          <w:sz w:val="24"/>
          <w:szCs w:val="24"/>
        </w:rPr>
      </w:pPr>
      <w:r>
        <w:rPr>
          <w:rFonts w:hint="eastAsia" w:hAnsi="宋体"/>
          <w:b w:val="0"/>
          <w:bCs w:val="0"/>
          <w:sz w:val="24"/>
          <w:szCs w:val="24"/>
        </w:rPr>
        <w:t>　　</w:t>
      </w:r>
      <w:r>
        <w:rPr>
          <w:rFonts w:hint="default" w:ascii="Calibri" w:hAnsi="Calibri" w:cs="Calibri"/>
          <w:b w:val="0"/>
          <w:bCs w:val="0"/>
          <w:sz w:val="24"/>
          <w:szCs w:val="24"/>
          <w:lang w:val="en-US" w:eastAsia="zh-CN"/>
        </w:rPr>
        <w:t>①</w:t>
      </w:r>
      <w:r>
        <w:rPr>
          <w:rFonts w:hint="eastAsia" w:hAnsi="宋体"/>
          <w:b w:val="0"/>
          <w:bCs w:val="0"/>
          <w:sz w:val="24"/>
          <w:szCs w:val="24"/>
        </w:rPr>
        <w:t>本次</w:t>
      </w:r>
      <w:r>
        <w:rPr>
          <w:rFonts w:hint="eastAsia" w:hAnsi="宋体"/>
          <w:b w:val="0"/>
          <w:bCs w:val="0"/>
          <w:sz w:val="24"/>
          <w:szCs w:val="24"/>
          <w:lang w:eastAsia="zh-CN"/>
        </w:rPr>
        <w:t>磋商</w:t>
      </w:r>
      <w:r>
        <w:rPr>
          <w:rFonts w:hint="eastAsia" w:hAnsi="宋体"/>
          <w:b w:val="0"/>
          <w:bCs w:val="0"/>
          <w:sz w:val="24"/>
          <w:szCs w:val="24"/>
        </w:rPr>
        <w:t>所发生的费用各供应商自行承担。</w:t>
      </w:r>
    </w:p>
    <w:p>
      <w:pPr>
        <w:spacing w:line="360" w:lineRule="auto"/>
        <w:ind w:firstLine="960" w:firstLineChars="400"/>
        <w:rPr>
          <w:rFonts w:hint="eastAsia" w:hAnsi="宋体"/>
          <w:b w:val="0"/>
          <w:bCs w:val="0"/>
          <w:sz w:val="24"/>
          <w:szCs w:val="24"/>
        </w:rPr>
      </w:pPr>
      <w:r>
        <w:rPr>
          <w:rFonts w:hint="default" w:ascii="Calibri" w:hAnsi="Calibri" w:cs="Calibri"/>
          <w:b w:val="0"/>
          <w:bCs w:val="0"/>
          <w:sz w:val="24"/>
          <w:szCs w:val="24"/>
        </w:rPr>
        <w:t>②</w:t>
      </w:r>
      <w:r>
        <w:rPr>
          <w:rFonts w:hint="eastAsia" w:hAnsi="宋体"/>
          <w:b w:val="0"/>
          <w:bCs w:val="0"/>
          <w:sz w:val="24"/>
          <w:szCs w:val="24"/>
          <w:lang w:eastAsia="zh-CN"/>
        </w:rPr>
        <w:t>竞争性磋商</w:t>
      </w:r>
      <w:r>
        <w:rPr>
          <w:rFonts w:hint="eastAsia" w:hAnsi="宋体"/>
          <w:b w:val="0"/>
          <w:bCs w:val="0"/>
          <w:sz w:val="24"/>
          <w:szCs w:val="24"/>
        </w:rPr>
        <w:t>响应文件有效期为自</w:t>
      </w:r>
      <w:r>
        <w:rPr>
          <w:rFonts w:hint="eastAsia" w:hAnsi="宋体"/>
          <w:b w:val="0"/>
          <w:bCs w:val="0"/>
          <w:sz w:val="24"/>
          <w:szCs w:val="24"/>
          <w:lang w:eastAsia="zh-CN"/>
        </w:rPr>
        <w:t>竞争性磋商</w:t>
      </w:r>
      <w:r>
        <w:rPr>
          <w:rFonts w:hint="eastAsia" w:hAnsi="宋体"/>
          <w:b w:val="0"/>
          <w:bCs w:val="0"/>
          <w:sz w:val="24"/>
          <w:szCs w:val="24"/>
        </w:rPr>
        <w:t>之日起九十天。</w:t>
      </w:r>
    </w:p>
    <w:p>
      <w:pPr>
        <w:spacing w:line="360" w:lineRule="auto"/>
        <w:ind w:firstLine="480" w:firstLineChars="200"/>
        <w:rPr>
          <w:rFonts w:hint="eastAsia" w:hAnsi="宋体"/>
          <w:b w:val="0"/>
          <w:bCs w:val="0"/>
          <w:sz w:val="24"/>
          <w:szCs w:val="24"/>
        </w:rPr>
      </w:pPr>
      <w:r>
        <w:rPr>
          <w:rFonts w:hint="eastAsia" w:hAnsi="宋体"/>
          <w:b w:val="0"/>
          <w:bCs w:val="0"/>
          <w:sz w:val="24"/>
          <w:szCs w:val="24"/>
        </w:rPr>
        <w:t>　</w:t>
      </w:r>
      <w:r>
        <w:rPr>
          <w:rFonts w:hint="default" w:hAnsi="宋体"/>
          <w:b w:val="0"/>
          <w:bCs w:val="0"/>
          <w:sz w:val="24"/>
          <w:szCs w:val="24"/>
          <w:lang w:val="en-US"/>
        </w:rPr>
        <w:t xml:space="preserve">  </w:t>
      </w:r>
      <w:r>
        <w:rPr>
          <w:rFonts w:hint="default" w:ascii="Calibri" w:hAnsi="Calibri" w:cs="Calibri"/>
          <w:b w:val="0"/>
          <w:bCs w:val="0"/>
          <w:sz w:val="24"/>
          <w:szCs w:val="24"/>
        </w:rPr>
        <w:t>③</w:t>
      </w:r>
      <w:r>
        <w:rPr>
          <w:rFonts w:hint="eastAsia" w:hAnsi="宋体"/>
          <w:b w:val="0"/>
          <w:bCs w:val="0"/>
          <w:sz w:val="24"/>
          <w:szCs w:val="24"/>
        </w:rPr>
        <w:t>未按</w:t>
      </w:r>
      <w:r>
        <w:rPr>
          <w:rFonts w:hint="eastAsia" w:hAnsi="宋体"/>
          <w:b w:val="0"/>
          <w:bCs w:val="0"/>
          <w:sz w:val="24"/>
          <w:szCs w:val="24"/>
          <w:lang w:eastAsia="zh-CN"/>
        </w:rPr>
        <w:t>磋商</w:t>
      </w:r>
      <w:r>
        <w:rPr>
          <w:rFonts w:hint="eastAsia" w:hAnsi="宋体"/>
          <w:b w:val="0"/>
          <w:bCs w:val="0"/>
          <w:sz w:val="24"/>
          <w:szCs w:val="24"/>
        </w:rPr>
        <w:t>文件编制投标文件的，按无效标处理。</w:t>
      </w:r>
    </w:p>
    <w:p>
      <w:pPr>
        <w:spacing w:line="360" w:lineRule="auto"/>
        <w:rPr>
          <w:rFonts w:hint="eastAsia" w:ascii="Times New Roman" w:hAnsi="宋体" w:cs="Times New Roman"/>
          <w:b/>
          <w:bCs/>
          <w:sz w:val="24"/>
          <w:szCs w:val="24"/>
        </w:rPr>
      </w:pPr>
      <w:bookmarkStart w:id="42" w:name="_Toc307476825"/>
      <w:bookmarkStart w:id="43" w:name="_Toc11798"/>
      <w:bookmarkStart w:id="44" w:name="_Toc313435092"/>
      <w:bookmarkStart w:id="45" w:name="_Toc317063967"/>
      <w:bookmarkStart w:id="46" w:name="_Toc2387"/>
      <w:bookmarkStart w:id="47" w:name="_Toc307319711"/>
      <w:bookmarkStart w:id="48" w:name="_Toc302465482"/>
      <w:r>
        <w:rPr>
          <w:rFonts w:hint="default" w:ascii="Times New Roman" w:hAnsi="宋体" w:cs="Times New Roman"/>
          <w:b/>
          <w:bCs/>
          <w:sz w:val="24"/>
          <w:szCs w:val="24"/>
          <w:lang w:val="en-US" w:eastAsia="zh-CN"/>
        </w:rPr>
        <w:t>12.</w:t>
      </w:r>
      <w:r>
        <w:rPr>
          <w:rFonts w:hint="eastAsia" w:ascii="Times New Roman" w:hAnsi="宋体" w:cs="Times New Roman"/>
          <w:b/>
          <w:bCs/>
          <w:sz w:val="24"/>
          <w:szCs w:val="24"/>
          <w:lang w:eastAsia="zh-CN"/>
        </w:rPr>
        <w:t>竞争性磋商</w:t>
      </w:r>
      <w:r>
        <w:rPr>
          <w:rFonts w:hint="eastAsia" w:ascii="Times New Roman" w:hAnsi="宋体" w:cs="Times New Roman"/>
          <w:b/>
          <w:bCs/>
          <w:sz w:val="24"/>
          <w:szCs w:val="24"/>
        </w:rPr>
        <w:t>响应文件的式样和签署</w:t>
      </w:r>
      <w:bookmarkEnd w:id="42"/>
      <w:bookmarkEnd w:id="43"/>
      <w:bookmarkEnd w:id="44"/>
      <w:bookmarkEnd w:id="45"/>
      <w:bookmarkEnd w:id="46"/>
      <w:bookmarkEnd w:id="47"/>
      <w:bookmarkEnd w:id="48"/>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本项目采用电子投标文件的形式。</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编制电子投标文件时，应使用最新发布的电子</w:t>
      </w:r>
      <w:r>
        <w:rPr>
          <w:rFonts w:hint="eastAsia" w:ascii="Times New Roman" w:hAnsi="宋体" w:cs="Times New Roman"/>
          <w:b w:val="0"/>
          <w:bCs w:val="0"/>
          <w:sz w:val="24"/>
          <w:szCs w:val="24"/>
          <w:lang w:eastAsia="zh-CN"/>
        </w:rPr>
        <w:t>公开招标</w:t>
      </w:r>
      <w:r>
        <w:rPr>
          <w:rFonts w:hint="eastAsia" w:ascii="Times New Roman" w:hAnsi="宋体" w:cs="Times New Roman"/>
          <w:b w:val="0"/>
          <w:bCs w:val="0"/>
          <w:sz w:val="24"/>
          <w:szCs w:val="24"/>
        </w:rPr>
        <w:t>文件及专用制作工具进行编制。并使用数字认证证书（CA锁）对电子投标文件进行签章、加密、递交及开标时解密等相关招投标事宜。</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1、电子</w:t>
      </w:r>
      <w:r>
        <w:rPr>
          <w:rFonts w:hint="eastAsia" w:ascii="Times New Roman" w:hAnsi="宋体" w:cs="Times New Roman"/>
          <w:b w:val="0"/>
          <w:bCs w:val="0"/>
          <w:sz w:val="24"/>
          <w:szCs w:val="24"/>
          <w:lang w:eastAsia="zh-CN"/>
        </w:rPr>
        <w:t>公开招标</w:t>
      </w:r>
      <w:r>
        <w:rPr>
          <w:rFonts w:hint="eastAsia" w:ascii="Times New Roman" w:hAnsi="宋体" w:cs="Times New Roman"/>
          <w:b w:val="0"/>
          <w:bCs w:val="0"/>
          <w:sz w:val="24"/>
          <w:szCs w:val="24"/>
        </w:rPr>
        <w:t>文件下载。投标人登录全国公共资源交易平台（陕西省） 网站〖首页·〉电子交易平台·〉企业端〗后，在〖</w:t>
      </w:r>
      <w:r>
        <w:rPr>
          <w:rFonts w:hint="eastAsia" w:ascii="Times New Roman" w:hAnsi="宋体" w:cs="Times New Roman"/>
          <w:b w:val="0"/>
          <w:bCs w:val="0"/>
          <w:sz w:val="24"/>
          <w:szCs w:val="24"/>
          <w:lang w:eastAsia="zh-CN"/>
        </w:rPr>
        <w:t>公开招标</w:t>
      </w:r>
      <w:r>
        <w:rPr>
          <w:rFonts w:hint="eastAsia" w:ascii="Times New Roman" w:hAnsi="宋体" w:cs="Times New Roman"/>
          <w:b w:val="0"/>
          <w:bCs w:val="0"/>
          <w:sz w:val="24"/>
          <w:szCs w:val="24"/>
        </w:rPr>
        <w:t>公告/出让公告〗 模块中选择项目点击“我要投标”，参与投标活动。然后即可在〖我的项目〗中点击“项目流程&gt;交易文件下载”下载电子</w:t>
      </w:r>
      <w:r>
        <w:rPr>
          <w:rFonts w:hint="eastAsia" w:ascii="Times New Roman" w:hAnsi="宋体" w:cs="Times New Roman"/>
          <w:b w:val="0"/>
          <w:bCs w:val="0"/>
          <w:sz w:val="24"/>
          <w:szCs w:val="24"/>
          <w:lang w:eastAsia="zh-CN"/>
        </w:rPr>
        <w:t>公开招标</w:t>
      </w:r>
      <w:r>
        <w:rPr>
          <w:rFonts w:hint="eastAsia" w:ascii="Times New Roman" w:hAnsi="宋体" w:cs="Times New Roman"/>
          <w:b w:val="0"/>
          <w:bCs w:val="0"/>
          <w:sz w:val="24"/>
          <w:szCs w:val="24"/>
        </w:rPr>
        <w:t xml:space="preserve">文件。 </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2、电子</w:t>
      </w:r>
      <w:r>
        <w:rPr>
          <w:rFonts w:hint="eastAsia" w:ascii="Times New Roman" w:hAnsi="宋体" w:cs="Times New Roman"/>
          <w:b w:val="0"/>
          <w:bCs w:val="0"/>
          <w:sz w:val="24"/>
          <w:szCs w:val="24"/>
          <w:lang w:eastAsia="zh-CN"/>
        </w:rPr>
        <w:t>公开招标</w:t>
      </w:r>
      <w:r>
        <w:rPr>
          <w:rFonts w:hint="eastAsia" w:ascii="Times New Roman" w:hAnsi="宋体" w:cs="Times New Roman"/>
          <w:b w:val="0"/>
          <w:bCs w:val="0"/>
          <w:sz w:val="24"/>
          <w:szCs w:val="24"/>
        </w:rPr>
        <w:t>文件需要使用专用软件打开、浏览。投标人可在全国公共 资源交易平台（陕西省）网站〖首页·〉服务指南·〉下载专区〗免费下载“陕西省公共资源交易平台政府采购电子标书制作工具(V8.0.0.2)”，并升级至最新版本，使用该客户端可以打开电子</w:t>
      </w:r>
      <w:r>
        <w:rPr>
          <w:rFonts w:hint="eastAsia" w:ascii="Times New Roman" w:hAnsi="宋体" w:cs="Times New Roman"/>
          <w:b w:val="0"/>
          <w:bCs w:val="0"/>
          <w:sz w:val="24"/>
          <w:szCs w:val="24"/>
          <w:lang w:eastAsia="zh-CN"/>
        </w:rPr>
        <w:t>公开招标</w:t>
      </w:r>
      <w:r>
        <w:rPr>
          <w:rFonts w:hint="eastAsia" w:ascii="Times New Roman" w:hAnsi="宋体" w:cs="Times New Roman"/>
          <w:b w:val="0"/>
          <w:bCs w:val="0"/>
          <w:sz w:val="24"/>
          <w:szCs w:val="24"/>
        </w:rPr>
        <w:t>文件。软件操作手册详见全国公共资源交易平台（陕西省）网站〖首页·〉服务指南·〉下载专区〗中的《陕西省公共资源交易（政府采购类）投标文件制作软件操作手册》。</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 xml:space="preserve">3、制作电子投标文件。电子投标文件同样需要使用上述软件进行编制。 在编制过程中，如有技术性问题，请先翻阅操作手册，或致电软件开发商。 </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 xml:space="preserve">    技术支持热线：4009280095、4009980000 </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 xml:space="preserve">    CA锁购买：榆林市市民大厦四楼窗口购买,或下载手机APP：陕公共资源交易服务，线上购买。联系电话：0912-3515031　</w:t>
      </w:r>
    </w:p>
    <w:p>
      <w:pPr>
        <w:spacing w:line="360" w:lineRule="auto"/>
        <w:rPr>
          <w:rFonts w:hint="eastAsia" w:ascii="Times New Roman" w:hAnsi="宋体" w:cs="Times New Roman"/>
          <w:b/>
          <w:bCs/>
          <w:sz w:val="24"/>
          <w:szCs w:val="24"/>
          <w:lang w:eastAsia="zh-CN"/>
        </w:rPr>
      </w:pPr>
      <w:bookmarkStart w:id="49" w:name="_Toc13487"/>
      <w:r>
        <w:rPr>
          <w:rFonts w:hint="default" w:ascii="Times New Roman" w:hAnsi="宋体" w:cs="Times New Roman"/>
          <w:b/>
          <w:bCs/>
          <w:sz w:val="24"/>
          <w:szCs w:val="24"/>
          <w:lang w:val="en-US" w:eastAsia="zh-CN"/>
        </w:rPr>
        <w:t>13</w:t>
      </w:r>
      <w:r>
        <w:rPr>
          <w:rFonts w:hint="eastAsia" w:ascii="Times New Roman" w:hAnsi="宋体" w:cs="Times New Roman"/>
          <w:b/>
          <w:bCs/>
          <w:sz w:val="24"/>
          <w:szCs w:val="24"/>
          <w:lang w:val="en-US" w:eastAsia="zh-CN"/>
        </w:rPr>
        <w:t>.</w:t>
      </w:r>
      <w:r>
        <w:rPr>
          <w:rFonts w:hint="eastAsia" w:ascii="Times New Roman" w:hAnsi="宋体" w:cs="Times New Roman"/>
          <w:b/>
          <w:bCs/>
          <w:sz w:val="24"/>
          <w:szCs w:val="24"/>
          <w:lang w:eastAsia="zh-CN"/>
        </w:rPr>
        <w:t>竞争性磋商响应文件的递交</w:t>
      </w:r>
      <w:bookmarkEnd w:id="49"/>
    </w:p>
    <w:p>
      <w:pPr>
        <w:spacing w:line="360" w:lineRule="auto"/>
        <w:ind w:firstLine="480" w:firstLineChars="200"/>
        <w:rPr>
          <w:rFonts w:hint="eastAsia" w:ascii="Times New Roman" w:hAnsi="宋体" w:cs="Times New Roman"/>
          <w:b w:val="0"/>
          <w:bCs w:val="0"/>
          <w:sz w:val="24"/>
          <w:szCs w:val="24"/>
        </w:rPr>
      </w:pPr>
      <w:r>
        <w:rPr>
          <w:rFonts w:hint="default" w:ascii="Times New Roman" w:hAnsi="宋体" w:cs="Times New Roman"/>
          <w:b w:val="0"/>
          <w:bCs w:val="0"/>
          <w:sz w:val="24"/>
          <w:szCs w:val="24"/>
          <w:lang w:val="en-US"/>
        </w:rPr>
        <w:t>13.1</w:t>
      </w:r>
      <w:r>
        <w:rPr>
          <w:rFonts w:hint="eastAsia" w:ascii="Times New Roman" w:hAnsi="宋体" w:cs="Times New Roman"/>
          <w:b w:val="0"/>
          <w:bCs w:val="0"/>
          <w:sz w:val="24"/>
          <w:szCs w:val="24"/>
          <w:lang w:val="en-US" w:eastAsia="zh-CN"/>
        </w:rPr>
        <w:t>磋商</w:t>
      </w:r>
      <w:r>
        <w:rPr>
          <w:rFonts w:hint="eastAsia" w:ascii="Times New Roman" w:hAnsi="宋体" w:cs="Times New Roman"/>
          <w:b w:val="0"/>
          <w:bCs w:val="0"/>
          <w:sz w:val="24"/>
          <w:szCs w:val="24"/>
        </w:rPr>
        <w:t>文件的提交</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spacing w:line="360" w:lineRule="auto"/>
        <w:ind w:firstLine="480" w:firstLineChars="200"/>
        <w:rPr>
          <w:rFonts w:hint="eastAsia" w:ascii="Times New Roman" w:hAnsi="宋体" w:cs="Times New Roman"/>
          <w:b w:val="0"/>
          <w:bCs w:val="0"/>
          <w:sz w:val="24"/>
          <w:szCs w:val="24"/>
        </w:rPr>
      </w:pPr>
      <w:r>
        <w:rPr>
          <w:rFonts w:hint="default" w:ascii="Times New Roman" w:hAnsi="宋体" w:cs="Times New Roman"/>
          <w:b w:val="0"/>
          <w:bCs w:val="0"/>
          <w:sz w:val="24"/>
          <w:szCs w:val="24"/>
          <w:lang w:val="en-US"/>
        </w:rPr>
        <w:t>13.2</w:t>
      </w:r>
      <w:r>
        <w:rPr>
          <w:rFonts w:hint="eastAsia" w:ascii="Times New Roman" w:hAnsi="宋体" w:cs="Times New Roman"/>
          <w:b w:val="0"/>
          <w:bCs w:val="0"/>
          <w:sz w:val="24"/>
          <w:szCs w:val="24"/>
          <w:lang w:val="en-US" w:eastAsia="zh-CN"/>
        </w:rPr>
        <w:t>磋商</w:t>
      </w:r>
      <w:r>
        <w:rPr>
          <w:rFonts w:hint="eastAsia" w:ascii="Times New Roman" w:hAnsi="宋体" w:cs="Times New Roman"/>
          <w:b w:val="0"/>
          <w:bCs w:val="0"/>
          <w:sz w:val="24"/>
          <w:szCs w:val="24"/>
        </w:rPr>
        <w:t>文件的补充、修改和撤回</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投标人在递交投标文件后，且在提交投标文件截止时间前，可以对所提交的投标文件进行补充、修改或撤回。</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 xml:space="preserve">对电子投标文件进行补充、修改的，应先从电子交易平台上撤回旧版，再重新提交新版。 </w:t>
      </w:r>
    </w:p>
    <w:p>
      <w:pPr>
        <w:spacing w:line="360" w:lineRule="auto"/>
        <w:ind w:firstLine="480" w:firstLineChars="200"/>
        <w:rPr>
          <w:rFonts w:hint="eastAsia" w:ascii="Times New Roman" w:hAnsi="宋体" w:cs="Times New Roman"/>
          <w:b w:val="0"/>
          <w:bCs w:val="0"/>
          <w:sz w:val="24"/>
          <w:szCs w:val="24"/>
        </w:rPr>
      </w:pPr>
      <w:r>
        <w:rPr>
          <w:rFonts w:hint="eastAsia" w:ascii="Times New Roman" w:hAnsi="宋体" w:cs="Times New Roman"/>
          <w:b w:val="0"/>
          <w:bCs w:val="0"/>
          <w:sz w:val="24"/>
          <w:szCs w:val="24"/>
        </w:rPr>
        <w:t>投标文件提交截止时间后，投标人不得对其投标文件做任何修改。</w:t>
      </w:r>
    </w:p>
    <w:p>
      <w:pPr>
        <w:pStyle w:val="12"/>
        <w:rPr>
          <w:rFonts w:hint="eastAsia"/>
        </w:rPr>
      </w:pPr>
    </w:p>
    <w:p>
      <w:pPr>
        <w:spacing w:line="360" w:lineRule="auto"/>
        <w:rPr>
          <w:rFonts w:hint="eastAsia" w:ascii="Times New Roman" w:hAnsi="宋体" w:cs="Times New Roman"/>
          <w:b/>
          <w:bCs/>
          <w:sz w:val="24"/>
          <w:szCs w:val="24"/>
          <w:lang w:eastAsia="zh-CN"/>
        </w:rPr>
      </w:pPr>
      <w:r>
        <w:rPr>
          <w:rFonts w:hint="default" w:ascii="Times New Roman" w:hAnsi="宋体" w:cs="Times New Roman"/>
          <w:b/>
          <w:bCs/>
          <w:sz w:val="24"/>
          <w:szCs w:val="24"/>
          <w:lang w:val="en-US" w:eastAsia="zh-CN"/>
        </w:rPr>
        <w:t>14</w:t>
      </w:r>
      <w:r>
        <w:rPr>
          <w:rFonts w:hint="eastAsia" w:ascii="Times New Roman" w:hAnsi="宋体" w:cs="Times New Roman"/>
          <w:b/>
          <w:bCs/>
          <w:sz w:val="24"/>
          <w:szCs w:val="24"/>
          <w:lang w:eastAsia="zh-CN"/>
        </w:rPr>
        <w:t>、供应商资质证明文件</w:t>
      </w:r>
      <w:bookmarkEnd w:id="39"/>
      <w:bookmarkEnd w:id="40"/>
    </w:p>
    <w:bookmarkEnd w:id="41"/>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1.年检有效的统一社会信用代码的营业执照（满足本次采购要求）。</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2.法定代表人直接投标的，须出法定代表人身份证；法定代表人授权代表参加投标的，须出具法定代表人授权委托书、法定代表人身份证复印件以及被授权代表身份证。</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3.财务状况报告：提供2021年度或2022年度的财务审计报告，成立时间至提交谈判响应文件递交截止时间不足一年的，须提供其基本存款账户开户银行近三个月内出具的银行资信证明或自成立以来的财务报表；</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4.税收缴纳证明：提供2022年01月至今已缴纳的至少一个月的纳税证明（银行缴费凭证）或完税证明，依法免税的单位应提供相关证明材料；</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5.社会保障资金缴纳证明：提供2022年01月至今已缴纳的至少一个月的社会保障资金银行缴费单据或社保机构开具的社会保险参保缴费情况证明，依法不需要缴纳社会保障资金的单位应提供相关证明材料；</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6.参加政府采购活动前三年内，在经营活动中没有重大违法记录的书面声明；</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对列入“信用中国”网站(www.creditchina.gov.cn)“记录失信被执行人、重大税收违法案件当事人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8.投标信用承诺书（保证金）（承诺书效力和作用等同投标保证金）。</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9.具有建设行政主管部门核发的建筑工程施工总承包三级及以上、建筑装修装饰工程专业承包二级及以上资质。</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10.具有国家建设行政主管部门颁发的施工企业安全生产许可证。</w:t>
      </w:r>
    </w:p>
    <w:p>
      <w:pPr>
        <w:spacing w:line="360" w:lineRule="auto"/>
        <w:ind w:firstLine="420" w:firstLineChars="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本项目专门面向中小企业，非中小企业不得参加本项目投标。</w:t>
      </w: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本项目不接受联合体投标，单位负责人为同一人或者存在直接控股、管理关系的不同投标人，不得参加同一合同项下的政府采购活动。</w:t>
      </w:r>
    </w:p>
    <w:p>
      <w:pPr>
        <w:adjustRightInd w:val="0"/>
        <w:snapToGrid w:val="0"/>
        <w:spacing w:line="440" w:lineRule="exact"/>
        <w:rPr>
          <w:rFonts w:hint="eastAsia" w:ascii="Times New Roman" w:hAnsi="宋体" w:cs="Times New Roman"/>
          <w:b/>
          <w:bCs/>
          <w:color w:val="auto"/>
          <w:sz w:val="24"/>
          <w:szCs w:val="24"/>
          <w:lang w:val="zh-CN"/>
        </w:rPr>
      </w:pPr>
      <w:r>
        <w:rPr>
          <w:rFonts w:hint="default" w:ascii="Times New Roman" w:hAnsi="宋体" w:cs="Times New Roman"/>
          <w:b/>
          <w:bCs/>
          <w:color w:val="auto"/>
          <w:sz w:val="24"/>
          <w:szCs w:val="24"/>
          <w:lang w:val="en-US"/>
        </w:rPr>
        <w:t>15</w:t>
      </w:r>
      <w:r>
        <w:rPr>
          <w:rFonts w:hint="eastAsia" w:ascii="Times New Roman" w:hAnsi="宋体" w:cs="Times New Roman"/>
          <w:b/>
          <w:bCs/>
          <w:color w:val="auto"/>
          <w:sz w:val="24"/>
          <w:szCs w:val="24"/>
          <w:lang w:val="zh-CN"/>
        </w:rPr>
        <w:t>、磋商有效期</w:t>
      </w:r>
    </w:p>
    <w:p>
      <w:pPr>
        <w:spacing w:line="360" w:lineRule="auto"/>
        <w:ind w:firstLine="480" w:firstLineChars="200"/>
        <w:rPr>
          <w:rFonts w:hint="eastAsia" w:ascii="宋体" w:hAnsi="宋体" w:eastAsia="宋体" w:cs="宋体"/>
          <w:sz w:val="24"/>
          <w:szCs w:val="24"/>
          <w:lang w:val="zh-CN"/>
        </w:rPr>
      </w:pPr>
      <w:r>
        <w:rPr>
          <w:rFonts w:hint="default" w:ascii="宋体" w:hAnsi="宋体" w:cs="宋体"/>
          <w:sz w:val="24"/>
          <w:szCs w:val="24"/>
          <w:lang w:val="en-US"/>
        </w:rPr>
        <w:t>15</w:t>
      </w:r>
      <w:r>
        <w:rPr>
          <w:rFonts w:hint="eastAsia" w:ascii="宋体" w:hAnsi="宋体" w:eastAsia="宋体" w:cs="宋体"/>
          <w:sz w:val="24"/>
          <w:szCs w:val="24"/>
          <w:lang w:val="zh-CN"/>
        </w:rPr>
        <w:t xml:space="preserve">.1响应文件从磋商之日起，磋商有效期为90日历天。响应文件中所有要求的证明文件的有效期比本须知规定的有效期短的，将被视为非响应磋商，采购人有权拒绝。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hint="eastAsia" w:asciiTheme="minorEastAsia" w:hAnsiTheme="minorEastAsia" w:eastAsiaTheme="minorEastAsia" w:cstheme="minorEastAsia"/>
          <w:szCs w:val="24"/>
        </w:rPr>
      </w:pPr>
      <w:r>
        <w:rPr>
          <w:rFonts w:hint="default" w:ascii="宋体" w:hAnsi="宋体" w:cs="宋体"/>
          <w:sz w:val="24"/>
          <w:szCs w:val="24"/>
          <w:lang w:val="en-US"/>
        </w:rPr>
        <w:t>15</w:t>
      </w:r>
      <w:r>
        <w:rPr>
          <w:rFonts w:hint="eastAsia" w:ascii="宋体" w:hAnsi="宋体" w:eastAsia="宋体" w:cs="宋体"/>
          <w:sz w:val="24"/>
          <w:szCs w:val="24"/>
          <w:lang w:val="zh-CN"/>
        </w:rPr>
        <w:t>.2特殊情况下，采购人可于磋商有效期满之前要求供应商同意延长有效期，要求与答复均应为书面形式。</w:t>
      </w:r>
    </w:p>
    <w:p>
      <w:pPr>
        <w:adjustRightInd w:val="0"/>
        <w:snapToGrid w:val="0"/>
        <w:spacing w:line="440" w:lineRule="exact"/>
        <w:rPr>
          <w:b/>
          <w:bCs/>
          <w:color w:val="0000FF"/>
          <w:sz w:val="24"/>
          <w:szCs w:val="24"/>
        </w:rPr>
      </w:pPr>
      <w:r>
        <w:rPr>
          <w:rFonts w:hint="default" w:hAnsi="宋体"/>
          <w:b/>
          <w:bCs/>
          <w:color w:val="auto"/>
          <w:sz w:val="24"/>
          <w:szCs w:val="24"/>
          <w:lang w:val="en-US" w:eastAsia="zh-CN"/>
        </w:rPr>
        <w:t>16</w:t>
      </w:r>
      <w:r>
        <w:rPr>
          <w:rFonts w:hint="eastAsia" w:hAnsi="宋体"/>
          <w:b/>
          <w:bCs/>
          <w:color w:val="auto"/>
          <w:sz w:val="24"/>
          <w:szCs w:val="24"/>
          <w:lang w:val="en-US" w:eastAsia="zh-CN"/>
        </w:rPr>
        <w:t>.</w:t>
      </w:r>
      <w:r>
        <w:rPr>
          <w:rFonts w:hint="eastAsia" w:hAnsi="宋体"/>
          <w:b/>
          <w:bCs/>
          <w:color w:val="auto"/>
          <w:sz w:val="24"/>
          <w:szCs w:val="24"/>
        </w:rPr>
        <w:t xml:space="preserve"> 竞争性磋商响应文件有下列情况之一者将视为无效：</w:t>
      </w:r>
    </w:p>
    <w:p>
      <w:pPr>
        <w:adjustRightInd w:val="0"/>
        <w:snapToGrid w:val="0"/>
        <w:spacing w:line="440" w:lineRule="exact"/>
        <w:ind w:firstLine="480" w:firstLineChars="200"/>
        <w:rPr>
          <w:rFonts w:hint="eastAsia" w:hAnsi="宋体"/>
          <w:sz w:val="24"/>
          <w:szCs w:val="24"/>
        </w:rPr>
      </w:pPr>
      <w:bookmarkStart w:id="50" w:name="_Hlk34387735"/>
      <w:bookmarkEnd w:id="50"/>
      <w:r>
        <w:rPr>
          <w:rFonts w:hint="eastAsia" w:hAnsi="宋体"/>
          <w:sz w:val="24"/>
          <w:szCs w:val="24"/>
        </w:rPr>
        <w:t>（</w:t>
      </w:r>
      <w:r>
        <w:rPr>
          <w:rFonts w:hint="eastAsia" w:hAnsi="宋体"/>
          <w:sz w:val="24"/>
          <w:szCs w:val="24"/>
          <w:lang w:val="en-US" w:eastAsia="zh-CN"/>
        </w:rPr>
        <w:t>1</w:t>
      </w:r>
      <w:r>
        <w:rPr>
          <w:rFonts w:hint="eastAsia" w:hAnsi="宋体"/>
          <w:sz w:val="24"/>
          <w:szCs w:val="24"/>
        </w:rPr>
        <w:t>）未按要求加盖投标人公章和法定代表人或其授权代表签字或盖章的；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2</w:t>
      </w:r>
      <w:r>
        <w:rPr>
          <w:rFonts w:hint="eastAsia" w:hAnsi="宋体"/>
          <w:sz w:val="24"/>
          <w:szCs w:val="24"/>
        </w:rPr>
        <w:t>）未按竞争性磋商文件要求提交资格证明文件或未通过竞争性磋商响应文件有效性审查的；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3</w:t>
      </w:r>
      <w:r>
        <w:rPr>
          <w:rFonts w:hint="eastAsia" w:hAnsi="宋体"/>
          <w:sz w:val="24"/>
          <w:szCs w:val="24"/>
        </w:rPr>
        <w:t>）提交的竞争性磋商响应文件有效期短于竞争性磋商文件规定有效期的；</w:t>
      </w:r>
    </w:p>
    <w:p>
      <w:pPr>
        <w:adjustRightInd w:val="0"/>
        <w:snapToGrid w:val="0"/>
        <w:spacing w:line="440" w:lineRule="exact"/>
        <w:ind w:firstLine="480" w:firstLineChars="200"/>
        <w:rPr>
          <w:rFonts w:hint="eastAsia"/>
          <w:sz w:val="24"/>
          <w:szCs w:val="24"/>
        </w:rPr>
      </w:pPr>
      <w:r>
        <w:rPr>
          <w:rFonts w:hint="eastAsia" w:hAnsi="宋体"/>
          <w:sz w:val="24"/>
          <w:szCs w:val="24"/>
        </w:rPr>
        <w:t>（</w:t>
      </w:r>
      <w:r>
        <w:rPr>
          <w:rFonts w:hint="eastAsia" w:hAnsi="宋体"/>
          <w:sz w:val="24"/>
          <w:szCs w:val="24"/>
          <w:lang w:val="en-US" w:eastAsia="zh-CN"/>
        </w:rPr>
        <w:t>4</w:t>
      </w:r>
      <w:r>
        <w:rPr>
          <w:rFonts w:hint="eastAsia" w:hAnsi="宋体"/>
          <w:sz w:val="24"/>
          <w:szCs w:val="24"/>
        </w:rPr>
        <w:t>）未按磋商小组要求对竞争性磋商响应文件进行澄清（说明或者更正）的；</w:t>
      </w:r>
    </w:p>
    <w:p>
      <w:pPr>
        <w:adjustRightInd w:val="0"/>
        <w:snapToGrid w:val="0"/>
        <w:spacing w:line="440" w:lineRule="exact"/>
        <w:ind w:firstLine="480" w:firstLineChars="200"/>
        <w:rPr>
          <w:rFonts w:hint="eastAsia"/>
          <w:sz w:val="24"/>
          <w:szCs w:val="24"/>
        </w:rPr>
      </w:pPr>
      <w:r>
        <w:rPr>
          <w:rFonts w:hint="eastAsia" w:hAnsi="宋体"/>
          <w:sz w:val="24"/>
          <w:szCs w:val="24"/>
        </w:rPr>
        <w:t>（</w:t>
      </w:r>
      <w:r>
        <w:rPr>
          <w:rFonts w:hint="eastAsia" w:hAnsi="宋体"/>
          <w:sz w:val="24"/>
          <w:szCs w:val="24"/>
          <w:lang w:val="en-US" w:eastAsia="zh-CN"/>
        </w:rPr>
        <w:t>5</w:t>
      </w:r>
      <w:r>
        <w:rPr>
          <w:rFonts w:hint="eastAsia" w:hAnsi="宋体"/>
          <w:sz w:val="24"/>
          <w:szCs w:val="24"/>
        </w:rPr>
        <w:t>）磋商小组对竞争性磋商响应文件评审后，认为在有效性、完整性和响应程度方面没有实质性响应竞争性磋商文件的或有重大缺项漏项</w:t>
      </w:r>
      <w:r>
        <w:rPr>
          <w:sz w:val="24"/>
          <w:szCs w:val="24"/>
        </w:rPr>
        <w:t>,</w:t>
      </w:r>
      <w:r>
        <w:rPr>
          <w:rFonts w:hint="eastAsia" w:hAnsi="宋体"/>
          <w:sz w:val="24"/>
          <w:szCs w:val="24"/>
        </w:rPr>
        <w:t>明显不符合技术规格、技术标准的要求的；</w:t>
      </w:r>
    </w:p>
    <w:p>
      <w:pPr>
        <w:adjustRightInd w:val="0"/>
        <w:snapToGrid w:val="0"/>
        <w:spacing w:line="440" w:lineRule="exact"/>
        <w:ind w:firstLine="480" w:firstLineChars="200"/>
        <w:rPr>
          <w:rFonts w:hint="eastAsia" w:ascii="Times New Roman"/>
          <w:kern w:val="2"/>
          <w:sz w:val="24"/>
          <w:szCs w:val="24"/>
        </w:rPr>
      </w:pPr>
      <w:r>
        <w:rPr>
          <w:rFonts w:hint="eastAsia" w:hAnsi="宋体"/>
          <w:sz w:val="24"/>
          <w:szCs w:val="24"/>
        </w:rPr>
        <w:t>（</w:t>
      </w:r>
      <w:r>
        <w:rPr>
          <w:rFonts w:hint="eastAsia" w:hAnsi="宋体"/>
          <w:sz w:val="24"/>
          <w:szCs w:val="24"/>
          <w:lang w:val="en-US" w:eastAsia="zh-CN"/>
        </w:rPr>
        <w:t>6</w:t>
      </w:r>
      <w:r>
        <w:rPr>
          <w:rFonts w:hint="eastAsia" w:hAnsi="宋体"/>
          <w:sz w:val="24"/>
          <w:szCs w:val="24"/>
        </w:rPr>
        <w:t>）重新提交的竞争性磋商响应文件没有实质性响应竞争性磋商文件的。</w:t>
      </w:r>
      <w:bookmarkStart w:id="51" w:name="_Toc453917526"/>
      <w:bookmarkEnd w:id="51"/>
      <w:bookmarkStart w:id="52" w:name="_Toc385234434"/>
      <w:bookmarkEnd w:id="52"/>
      <w:bookmarkStart w:id="53" w:name="_Toc453858063"/>
      <w:bookmarkEnd w:id="53"/>
      <w:bookmarkStart w:id="54" w:name="_Toc453917619"/>
      <w:bookmarkEnd w:id="54"/>
    </w:p>
    <w:p>
      <w:pPr>
        <w:adjustRightInd w:val="0"/>
        <w:snapToGrid w:val="0"/>
        <w:spacing w:line="440" w:lineRule="exact"/>
        <w:ind w:firstLine="480" w:firstLineChars="200"/>
        <w:rPr>
          <w:sz w:val="24"/>
          <w:szCs w:val="24"/>
        </w:rPr>
      </w:pPr>
      <w:r>
        <w:rPr>
          <w:rFonts w:hint="eastAsia" w:hAnsi="宋体"/>
          <w:sz w:val="24"/>
          <w:szCs w:val="24"/>
        </w:rPr>
        <w:t>（</w:t>
      </w:r>
      <w:r>
        <w:rPr>
          <w:rFonts w:hint="eastAsia"/>
          <w:sz w:val="24"/>
          <w:szCs w:val="24"/>
          <w:lang w:val="en-US" w:eastAsia="zh-CN"/>
        </w:rPr>
        <w:t>7</w:t>
      </w:r>
      <w:r>
        <w:rPr>
          <w:rFonts w:hint="eastAsia" w:hAnsi="宋体"/>
          <w:sz w:val="24"/>
          <w:szCs w:val="24"/>
        </w:rPr>
        <w:t>）投标单位针对同一项目递交两份或多份内容不同的竞争性磋商响应文件，未书面声明哪一份是有效的或出现选择性报价的；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hAnsi="宋体"/>
          <w:sz w:val="24"/>
          <w:szCs w:val="24"/>
        </w:rPr>
      </w:pPr>
      <w:r>
        <w:rPr>
          <w:rFonts w:hint="eastAsia" w:hAnsi="宋体"/>
          <w:sz w:val="24"/>
          <w:szCs w:val="24"/>
        </w:rPr>
        <w:t>（</w:t>
      </w:r>
      <w:r>
        <w:rPr>
          <w:rFonts w:hint="eastAsia" w:hAnsi="宋体"/>
          <w:sz w:val="24"/>
          <w:szCs w:val="24"/>
          <w:lang w:val="en-US" w:eastAsia="zh-CN"/>
        </w:rPr>
        <w:t>8</w:t>
      </w:r>
      <w:r>
        <w:rPr>
          <w:rFonts w:hint="eastAsia" w:hAnsi="宋体"/>
          <w:sz w:val="24"/>
          <w:szCs w:val="24"/>
        </w:rPr>
        <w:t>）磋商评审小组一致认为某投标人磋商最终报价明显不合理或者低于成本，无法保证服务质量和不能诚信履约的；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9</w:t>
      </w:r>
      <w:r>
        <w:rPr>
          <w:rFonts w:hint="eastAsia" w:hAnsi="宋体"/>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cs="宋体"/>
          <w:sz w:val="24"/>
          <w:szCs w:val="24"/>
        </w:rPr>
      </w:pPr>
      <w:r>
        <w:rPr>
          <w:rFonts w:hint="eastAsia" w:hAnsi="宋体"/>
          <w:sz w:val="24"/>
          <w:szCs w:val="24"/>
        </w:rPr>
        <w:t>（</w:t>
      </w:r>
      <w:r>
        <w:rPr>
          <w:rFonts w:hAnsi="宋体"/>
          <w:sz w:val="24"/>
          <w:szCs w:val="24"/>
        </w:rPr>
        <w:t>1</w:t>
      </w:r>
      <w:r>
        <w:rPr>
          <w:rFonts w:hint="eastAsia" w:hAnsi="宋体"/>
          <w:sz w:val="24"/>
          <w:szCs w:val="24"/>
          <w:lang w:val="en-US" w:eastAsia="zh-CN"/>
        </w:rPr>
        <w:t>0</w:t>
      </w:r>
      <w:r>
        <w:rPr>
          <w:rFonts w:hint="eastAsia" w:hAnsi="宋体"/>
          <w:sz w:val="24"/>
          <w:szCs w:val="24"/>
        </w:rPr>
        <w:t>）不符合现行法律法规和竞争性磋商文件规定的其他实质性要求的。</w:t>
      </w:r>
    </w:p>
    <w:p>
      <w:pPr>
        <w:adjustRightInd w:val="0"/>
        <w:snapToGrid w:val="0"/>
        <w:spacing w:line="440" w:lineRule="exact"/>
        <w:rPr>
          <w:rFonts w:hint="eastAsia" w:hAnsi="宋体"/>
          <w:b/>
          <w:sz w:val="24"/>
          <w:szCs w:val="24"/>
        </w:rPr>
      </w:pPr>
      <w:r>
        <w:rPr>
          <w:rFonts w:hint="default" w:hAnsi="宋体"/>
          <w:b/>
          <w:sz w:val="24"/>
          <w:szCs w:val="24"/>
          <w:lang w:val="en-US" w:eastAsia="zh-CN"/>
        </w:rPr>
        <w:t>17.</w:t>
      </w:r>
      <w:r>
        <w:rPr>
          <w:rFonts w:hint="eastAsia" w:hAnsi="宋体"/>
          <w:b/>
          <w:sz w:val="24"/>
          <w:szCs w:val="24"/>
        </w:rPr>
        <w:t>有下列情形之一的，视为投标人串通投标，其投标无效：</w:t>
      </w:r>
    </w:p>
    <w:p>
      <w:pPr>
        <w:pStyle w:val="12"/>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rPr>
      </w:pPr>
      <w:bookmarkStart w:id="55" w:name="_Hlk34387752"/>
      <w:bookmarkEnd w:id="55"/>
      <w:r>
        <w:rPr>
          <w:rFonts w:hint="eastAsia" w:hAnsi="宋体"/>
          <w:sz w:val="24"/>
          <w:szCs w:val="24"/>
        </w:rPr>
        <w:t>（1）不同投标人的竞争性磋商响应文件由同一单位或者个人编制；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（2）不同投标人委托同一单位或个人办理磋商事宜；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（3）不同投标人的竞争性磋商响应文件载明的项目管理成员或者联系人员为同一人；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（4）不同投标人的竞争性磋商响应文件异常一致或者磋商报价呈规律性差异；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（5）不同投标人的竞争性磋商响应文件互相混装；</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w:t>
      </w:r>
      <w:r>
        <w:rPr>
          <w:rFonts w:hint="eastAsia" w:ascii="宋体" w:hAnsi="宋体" w:cs="宋体"/>
          <w:b/>
          <w:szCs w:val="24"/>
          <w:lang w:val="en-US" w:eastAsia="zh-CN"/>
        </w:rPr>
        <w:t>四</w:t>
      </w:r>
      <w:r>
        <w:rPr>
          <w:rFonts w:hint="eastAsia" w:ascii="宋体" w:hAnsi="宋体" w:eastAsia="宋体" w:cs="宋体"/>
          <w:b/>
          <w:szCs w:val="24"/>
        </w:rPr>
        <w:t>）开 标</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56" w:name="_Toc394934434"/>
      <w:r>
        <w:rPr>
          <w:rFonts w:hint="eastAsia" w:ascii="宋体" w:hAnsi="宋体" w:eastAsia="宋体" w:cs="宋体"/>
          <w:szCs w:val="24"/>
        </w:rPr>
        <w:t>1</w:t>
      </w:r>
      <w:r>
        <w:rPr>
          <w:rFonts w:hint="default" w:ascii="Times New Roman" w:hAnsi="宋体" w:cs="Times New Roman"/>
          <w:b/>
          <w:sz w:val="24"/>
          <w:szCs w:val="24"/>
          <w:lang w:val="en-US" w:eastAsia="zh-CN"/>
        </w:rPr>
        <w:t>8</w:t>
      </w:r>
      <w:r>
        <w:rPr>
          <w:rFonts w:hint="eastAsia" w:ascii="Times New Roman" w:hAnsi="宋体" w:cs="Times New Roman"/>
          <w:b/>
          <w:sz w:val="24"/>
          <w:szCs w:val="24"/>
        </w:rPr>
        <w:t>、</w:t>
      </w:r>
      <w:bookmarkEnd w:id="56"/>
      <w:r>
        <w:rPr>
          <w:rFonts w:hint="eastAsia" w:ascii="Times New Roman" w:hAnsi="宋体" w:cs="Times New Roman"/>
          <w:b/>
          <w:sz w:val="24"/>
          <w:szCs w:val="24"/>
        </w:rPr>
        <w:t>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bookmarkStart w:id="57" w:name="_Toc394934435"/>
      <w:bookmarkStart w:id="58" w:name="_Toc246928921"/>
      <w:r>
        <w:rPr>
          <w:rFonts w:hint="eastAsia" w:ascii="Times New Roman" w:hAnsi="宋体" w:eastAsia="宋体" w:cs="Times New Roman"/>
          <w:sz w:val="24"/>
          <w:szCs w:val="24"/>
          <w:lang w:val="en-US" w:eastAsia="zh-CN"/>
        </w:rPr>
        <w:t>1</w:t>
      </w:r>
      <w:r>
        <w:rPr>
          <w:rFonts w:hint="default" w:hAnsi="宋体" w:cs="Times New Roman"/>
          <w:sz w:val="24"/>
          <w:szCs w:val="24"/>
          <w:lang w:val="en-US" w:eastAsia="zh-CN"/>
        </w:rPr>
        <w:t>8</w:t>
      </w:r>
      <w:r>
        <w:rPr>
          <w:rFonts w:hint="eastAsia" w:ascii="Times New Roman" w:hAnsi="宋体" w:eastAsia="宋体" w:cs="Times New Roman"/>
          <w:sz w:val="24"/>
          <w:szCs w:val="24"/>
          <w:lang w:val="en-US" w:eastAsia="zh-CN"/>
        </w:rPr>
        <w:t>.</w:t>
      </w:r>
      <w:r>
        <w:rPr>
          <w:rFonts w:hint="default" w:hAnsi="宋体" w:cs="Times New Roman"/>
          <w:sz w:val="24"/>
          <w:szCs w:val="24"/>
          <w:lang w:val="en-US" w:eastAsia="zh-CN"/>
        </w:rPr>
        <w:t>1</w:t>
      </w:r>
      <w:r>
        <w:rPr>
          <w:rFonts w:hint="eastAsia" w:ascii="Times New Roman" w:hAnsi="宋体" w:eastAsia="宋体" w:cs="Times New Roman"/>
          <w:sz w:val="24"/>
          <w:szCs w:val="24"/>
          <w:lang w:val="en-US" w:eastAsia="zh-CN"/>
        </w:rPr>
        <w:t>招标代理机构</w:t>
      </w:r>
      <w:r>
        <w:rPr>
          <w:rFonts w:hint="eastAsia" w:ascii="Times New Roman" w:hAnsi="宋体" w:eastAsia="宋体" w:cs="Times New Roman"/>
          <w:sz w:val="24"/>
          <w:szCs w:val="24"/>
        </w:rPr>
        <w:t>组织招标、开标、评标工作，整个过程受政府采购监管机构的监督、管理。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val="en-US" w:eastAsia="zh-CN"/>
        </w:rPr>
        <w:t>1</w:t>
      </w:r>
      <w:r>
        <w:rPr>
          <w:rFonts w:hint="default" w:hAnsi="宋体" w:cs="Times New Roman"/>
          <w:sz w:val="24"/>
          <w:szCs w:val="24"/>
          <w:lang w:val="en-US" w:eastAsia="zh-CN"/>
        </w:rPr>
        <w:t>8</w:t>
      </w:r>
      <w:r>
        <w:rPr>
          <w:rFonts w:hint="eastAsia" w:ascii="Times New Roman" w:hAnsi="宋体" w:eastAsia="宋体" w:cs="Times New Roman"/>
          <w:sz w:val="24"/>
          <w:szCs w:val="24"/>
          <w:lang w:val="en-US" w:eastAsia="zh-CN"/>
        </w:rPr>
        <w:t>.2招标代理机构</w:t>
      </w:r>
      <w:r>
        <w:rPr>
          <w:rFonts w:hint="eastAsia" w:ascii="Times New Roman" w:hAnsi="宋体" w:eastAsia="宋体" w:cs="Times New Roman"/>
          <w:sz w:val="24"/>
          <w:szCs w:val="24"/>
        </w:rPr>
        <w:t>在磋商文件规定的时间和地点组织开标，供应商必须在榆林市不见面开标大厅系统签名报到</w:t>
      </w:r>
      <w:r>
        <w:rPr>
          <w:rFonts w:hint="eastAsia" w:ascii="Times New Roman" w:hAnsi="宋体"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rPr>
        <w:t xml:space="preserve"> 供应商不足3家的，不得开标。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w:t>
      </w:r>
      <w:r>
        <w:rPr>
          <w:rFonts w:hint="default" w:hAnsi="宋体" w:cs="Times New Roman"/>
          <w:sz w:val="24"/>
          <w:szCs w:val="24"/>
          <w:lang w:val="en-US" w:eastAsia="zh-CN"/>
        </w:rPr>
        <w:t>8</w:t>
      </w:r>
      <w:r>
        <w:rPr>
          <w:rFonts w:hint="eastAsia" w:ascii="Times New Roman" w:hAnsi="宋体" w:eastAsia="宋体" w:cs="Times New Roman"/>
          <w:sz w:val="24"/>
          <w:szCs w:val="24"/>
          <w:lang w:val="en-US" w:eastAsia="zh-CN"/>
        </w:rPr>
        <w:t>.3</w:t>
      </w:r>
      <w:r>
        <w:rPr>
          <w:rFonts w:hint="eastAsia" w:ascii="Times New Roman" w:hAnsi="宋体" w:eastAsia="宋体" w:cs="Times New Roman"/>
          <w:sz w:val="24"/>
          <w:szCs w:val="24"/>
        </w:rPr>
        <w:t>开标时，供应商应在规定时间内，</w:t>
      </w:r>
      <w:r>
        <w:rPr>
          <w:rFonts w:hint="eastAsia" w:ascii="Times New Roman" w:hAnsi="宋体" w:eastAsia="宋体" w:cs="Times New Roman"/>
          <w:sz w:val="24"/>
          <w:szCs w:val="24"/>
          <w:lang w:eastAsia="zh-CN"/>
        </w:rPr>
        <w:t>递交</w:t>
      </w:r>
      <w:r>
        <w:rPr>
          <w:rFonts w:hint="eastAsia" w:ascii="Times New Roman" w:hAnsi="宋体" w:eastAsia="宋体" w:cs="Times New Roman"/>
          <w:sz w:val="24"/>
          <w:szCs w:val="24"/>
        </w:rPr>
        <w:t>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w:t>
      </w:r>
      <w:r>
        <w:rPr>
          <w:rFonts w:hint="default" w:hAnsi="宋体" w:cs="Times New Roman"/>
          <w:sz w:val="24"/>
          <w:szCs w:val="24"/>
          <w:lang w:val="en-US" w:eastAsia="zh-CN"/>
        </w:rPr>
        <w:t>8</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rPr>
        <w:t>开标会议记录由</w:t>
      </w:r>
      <w:r>
        <w:rPr>
          <w:rFonts w:hint="eastAsia" w:ascii="Times New Roman" w:hAnsi="宋体" w:eastAsia="宋体" w:cs="Times New Roman"/>
          <w:sz w:val="24"/>
          <w:szCs w:val="24"/>
          <w:lang w:val="en-US" w:eastAsia="zh-CN"/>
        </w:rPr>
        <w:t>招标代理机构</w:t>
      </w:r>
      <w:r>
        <w:rPr>
          <w:rFonts w:hint="eastAsia" w:ascii="Times New Roman" w:hAnsi="宋体" w:eastAsia="宋体" w:cs="Times New Roman"/>
          <w:sz w:val="24"/>
          <w:szCs w:val="24"/>
        </w:rPr>
        <w:t>工作人员记录，参加开标的各供应商在规定时间内，在榆林市不见面开标大厅系统签</w:t>
      </w:r>
      <w:r>
        <w:rPr>
          <w:rFonts w:hint="eastAsia" w:ascii="Times New Roman" w:hAnsi="宋体" w:cs="Times New Roman"/>
          <w:sz w:val="24"/>
          <w:szCs w:val="24"/>
          <w:lang w:val="en-US" w:eastAsia="zh-CN"/>
        </w:rPr>
        <w:t>到</w:t>
      </w:r>
      <w:r>
        <w:rPr>
          <w:rFonts w:hint="eastAsia" w:ascii="Times New Roman"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w:t>
      </w:r>
      <w:r>
        <w:rPr>
          <w:rFonts w:hint="default" w:hAnsi="宋体" w:cs="Times New Roman"/>
          <w:sz w:val="24"/>
          <w:szCs w:val="24"/>
          <w:lang w:val="en-US" w:eastAsia="zh-CN"/>
        </w:rPr>
        <w:t>8</w:t>
      </w:r>
      <w:r>
        <w:rPr>
          <w:rFonts w:hint="eastAsia" w:ascii="Times New Roman" w:hAnsi="宋体" w:eastAsia="宋体" w:cs="Times New Roman"/>
          <w:sz w:val="24"/>
          <w:szCs w:val="24"/>
          <w:lang w:val="en-US" w:eastAsia="zh-CN"/>
        </w:rPr>
        <w:t>.</w:t>
      </w:r>
      <w:r>
        <w:rPr>
          <w:rFonts w:hint="default" w:hAnsi="宋体" w:cs="Times New Roman"/>
          <w:sz w:val="24"/>
          <w:szCs w:val="24"/>
          <w:lang w:val="en-US" w:eastAsia="zh-CN"/>
        </w:rPr>
        <w:t>5</w:t>
      </w:r>
      <w:r>
        <w:rPr>
          <w:rFonts w:hint="eastAsia" w:ascii="Times New Roman" w:hAnsi="宋体" w:eastAsia="宋体" w:cs="Times New Roman"/>
          <w:sz w:val="24"/>
          <w:szCs w:val="24"/>
        </w:rPr>
        <w:t>投标供应商未参加开标的，视同认可开标结果。</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1</w:t>
      </w:r>
      <w:r>
        <w:rPr>
          <w:rFonts w:hint="default" w:ascii="宋体" w:hAnsi="宋体" w:cs="宋体"/>
          <w:b/>
          <w:bCs/>
          <w:sz w:val="22"/>
          <w:szCs w:val="22"/>
          <w:lang w:val="en-US"/>
        </w:rPr>
        <w:t>9</w:t>
      </w:r>
      <w:r>
        <w:rPr>
          <w:rFonts w:hint="eastAsia" w:ascii="宋体" w:hAnsi="宋体" w:eastAsia="宋体" w:cs="宋体"/>
          <w:b/>
          <w:bCs/>
          <w:sz w:val="22"/>
          <w:szCs w:val="22"/>
        </w:rPr>
        <w:t>、磋商小组</w:t>
      </w:r>
      <w:bookmarkEnd w:id="57"/>
      <w:bookmarkEnd w:id="58"/>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w:t>
      </w:r>
      <w:r>
        <w:rPr>
          <w:rFonts w:hint="default" w:ascii="宋体" w:hAnsi="宋体" w:cs="宋体"/>
          <w:szCs w:val="24"/>
          <w:lang w:val="en-US"/>
        </w:rPr>
        <w:t>9</w:t>
      </w:r>
      <w:r>
        <w:rPr>
          <w:rFonts w:hint="eastAsia" w:ascii="宋体" w:hAnsi="宋体" w:eastAsia="宋体" w:cs="宋体"/>
          <w:szCs w:val="24"/>
        </w:rPr>
        <w:t>.1 根据本次招标项目的特点，参照《中华人民共和国政府采购法》等有关规定组建磋商小组。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w:t>
      </w:r>
      <w:r>
        <w:rPr>
          <w:rFonts w:hint="default" w:ascii="宋体" w:hAnsi="宋体" w:cs="宋体"/>
          <w:szCs w:val="24"/>
          <w:lang w:val="en-US"/>
        </w:rPr>
        <w:t>9</w:t>
      </w:r>
      <w:r>
        <w:rPr>
          <w:rFonts w:hint="eastAsia" w:ascii="宋体" w:hAnsi="宋体" w:eastAsia="宋体" w:cs="宋体"/>
          <w:szCs w:val="24"/>
        </w:rPr>
        <w:t>.2本项目磋商小组专家的产生方式符合国家和地方有关评审专家产生方式的规定。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w:t>
      </w:r>
      <w:r>
        <w:rPr>
          <w:rFonts w:hint="default" w:ascii="宋体" w:hAnsi="宋体" w:cs="宋体"/>
          <w:szCs w:val="24"/>
          <w:lang w:val="en-US"/>
        </w:rPr>
        <w:t>9</w:t>
      </w:r>
      <w:r>
        <w:rPr>
          <w:rFonts w:hint="eastAsia" w:ascii="宋体" w:hAnsi="宋体" w:eastAsia="宋体" w:cs="宋体"/>
          <w:szCs w:val="24"/>
        </w:rPr>
        <w:t>.3 磋商小组成员对各供应商磋商响应文件进行审查、质疑、评估和比较，并推荐成交候选供应商。</w:t>
      </w:r>
    </w:p>
    <w:p>
      <w:pPr>
        <w:spacing w:line="360" w:lineRule="auto"/>
        <w:jc w:val="center"/>
        <w:rPr>
          <w:rFonts w:hint="eastAsia" w:ascii="宋体" w:hAnsi="宋体" w:eastAsia="宋体" w:cs="宋体"/>
          <w:b/>
          <w:szCs w:val="24"/>
        </w:rPr>
      </w:pPr>
      <w:bookmarkStart w:id="59" w:name="_Toc246928924"/>
      <w:bookmarkStart w:id="60" w:name="_Toc394934436"/>
      <w:r>
        <w:rPr>
          <w:rFonts w:hint="eastAsia" w:ascii="宋体" w:hAnsi="宋体" w:eastAsia="宋体" w:cs="宋体"/>
          <w:b/>
          <w:szCs w:val="24"/>
        </w:rPr>
        <w:t>（</w:t>
      </w:r>
      <w:r>
        <w:rPr>
          <w:rFonts w:hint="eastAsia" w:ascii="宋体" w:hAnsi="宋体" w:cs="宋体"/>
          <w:b/>
          <w:szCs w:val="24"/>
          <w:lang w:val="en-US" w:eastAsia="zh-CN"/>
        </w:rPr>
        <w:t>五</w:t>
      </w:r>
      <w:r>
        <w:rPr>
          <w:rFonts w:hint="eastAsia" w:ascii="宋体" w:hAnsi="宋体" w:eastAsia="宋体" w:cs="宋体"/>
          <w:b/>
          <w:szCs w:val="24"/>
        </w:rPr>
        <w:t>）评 审</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2"/>
          <w:szCs w:val="22"/>
        </w:rPr>
      </w:pPr>
      <w:r>
        <w:rPr>
          <w:rFonts w:hint="default" w:ascii="宋体" w:hAnsi="宋体" w:eastAsia="宋体" w:cs="宋体"/>
          <w:b/>
          <w:bCs/>
          <w:sz w:val="22"/>
          <w:szCs w:val="22"/>
          <w:lang w:val="en-US"/>
        </w:rPr>
        <w:t>20</w:t>
      </w:r>
      <w:r>
        <w:rPr>
          <w:rFonts w:hint="eastAsia" w:ascii="宋体" w:hAnsi="宋体" w:eastAsia="宋体" w:cs="宋体"/>
          <w:b/>
          <w:bCs/>
          <w:sz w:val="22"/>
          <w:szCs w:val="22"/>
        </w:rPr>
        <w:t>、评审</w:t>
      </w:r>
      <w:bookmarkEnd w:id="59"/>
      <w:bookmarkEnd w:id="60"/>
    </w:p>
    <w:p>
      <w:pPr>
        <w:spacing w:line="360" w:lineRule="auto"/>
        <w:ind w:firstLine="480" w:firstLineChars="200"/>
        <w:rPr>
          <w:rFonts w:hint="eastAsia" w:ascii="宋体" w:hAnsi="宋体" w:eastAsia="宋体" w:cs="宋体"/>
          <w:szCs w:val="24"/>
        </w:rPr>
      </w:pPr>
      <w:r>
        <w:rPr>
          <w:rFonts w:hint="default" w:ascii="宋体" w:hAnsi="宋体" w:cs="宋体"/>
          <w:szCs w:val="24"/>
          <w:lang w:val="en-US"/>
        </w:rPr>
        <w:t>20</w:t>
      </w:r>
      <w:r>
        <w:rPr>
          <w:rFonts w:hint="eastAsia" w:ascii="宋体" w:hAnsi="宋体" w:eastAsia="宋体" w:cs="宋体"/>
          <w:szCs w:val="24"/>
        </w:rPr>
        <w:t>.1 磋商小组将遵循公开、公平、公正和择优的原则，对所有供应商的磋商响应文件评审，都采用相同的程序和标准。</w:t>
      </w:r>
    </w:p>
    <w:p>
      <w:pPr>
        <w:spacing w:line="360" w:lineRule="auto"/>
        <w:ind w:firstLine="480" w:firstLineChars="200"/>
        <w:rPr>
          <w:rFonts w:hint="eastAsia" w:ascii="宋体" w:hAnsi="宋体" w:eastAsia="宋体" w:cs="宋体"/>
          <w:szCs w:val="24"/>
        </w:rPr>
      </w:pPr>
      <w:r>
        <w:rPr>
          <w:rFonts w:hint="default" w:ascii="宋体" w:hAnsi="宋体" w:cs="宋体"/>
          <w:szCs w:val="24"/>
          <w:lang w:val="en-US"/>
        </w:rPr>
        <w:t>20</w:t>
      </w:r>
      <w:r>
        <w:rPr>
          <w:rFonts w:hint="eastAsia" w:ascii="宋体" w:hAnsi="宋体" w:eastAsia="宋体" w:cs="宋体"/>
          <w:szCs w:val="24"/>
        </w:rPr>
        <w:t>.2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b/>
          <w:bCs/>
          <w:szCs w:val="24"/>
        </w:rPr>
      </w:pPr>
      <w:bookmarkStart w:id="61" w:name="_Toc394934437"/>
      <w:r>
        <w:rPr>
          <w:rFonts w:hint="eastAsia" w:ascii="宋体" w:hAnsi="宋体" w:eastAsia="宋体" w:cs="宋体"/>
          <w:b/>
          <w:bCs/>
          <w:szCs w:val="24"/>
        </w:rPr>
        <w:t>2</w:t>
      </w:r>
      <w:r>
        <w:rPr>
          <w:rFonts w:hint="default" w:ascii="宋体" w:hAnsi="宋体" w:cs="宋体"/>
          <w:b/>
          <w:bCs/>
          <w:szCs w:val="24"/>
          <w:lang w:val="en-US"/>
        </w:rPr>
        <w:t>1</w:t>
      </w:r>
      <w:r>
        <w:rPr>
          <w:rFonts w:hint="eastAsia" w:ascii="宋体" w:hAnsi="宋体" w:eastAsia="宋体" w:cs="宋体"/>
          <w:b/>
          <w:bCs/>
          <w:szCs w:val="24"/>
        </w:rPr>
        <w:t>、评审</w:t>
      </w:r>
      <w:bookmarkEnd w:id="61"/>
      <w:r>
        <w:rPr>
          <w:rFonts w:hint="eastAsia" w:ascii="宋体" w:hAnsi="宋体" w:eastAsia="宋体" w:cs="宋体"/>
          <w:b/>
          <w:bCs/>
          <w:szCs w:val="24"/>
        </w:rPr>
        <w:t>程序及办法</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w:t>
      </w:r>
      <w:r>
        <w:rPr>
          <w:rFonts w:hint="default" w:ascii="宋体" w:hAnsi="宋体" w:cs="宋体"/>
          <w:szCs w:val="24"/>
          <w:lang w:val="en-US"/>
        </w:rPr>
        <w:t>1</w:t>
      </w:r>
      <w:r>
        <w:rPr>
          <w:rFonts w:hint="eastAsia" w:ascii="宋体" w:hAnsi="宋体" w:eastAsia="宋体" w:cs="宋体"/>
          <w:szCs w:val="24"/>
        </w:rPr>
        <w:t>.1磋商小组对于各个供应商的响应文件先进行资格审查，一项不合格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.1.1资格审查内容为：</w:t>
      </w:r>
      <w:r>
        <w:rPr>
          <w:rFonts w:hint="eastAsia" w:ascii="宋体" w:hAnsi="宋体" w:eastAsia="宋体" w:cs="宋体"/>
          <w:color w:val="auto"/>
          <w:szCs w:val="24"/>
          <w:lang w:eastAsia="zh-CN"/>
        </w:rPr>
        <w:t>供应商须知前附表（供应商资质证明文件）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.1.2符合性审查内容为：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.1.2.1</w:t>
      </w:r>
      <w:r>
        <w:rPr>
          <w:rFonts w:hint="eastAsia" w:ascii="宋体" w:hAnsi="宋体" w:cs="宋体"/>
          <w:color w:val="auto"/>
          <w:szCs w:val="24"/>
          <w:lang w:eastAsia="zh-CN"/>
        </w:rPr>
        <w:t>响应文件封面、响应函、法定代表人授权委托书三处的项目名称、项目编号、标段号均无遗漏，且与所投项目名称、项目编号、标段号完全一致</w:t>
      </w:r>
      <w:r>
        <w:rPr>
          <w:rFonts w:hint="eastAsia" w:ascii="宋体" w:hAnsi="宋体" w:eastAsia="宋体" w:cs="宋体"/>
          <w:color w:val="auto"/>
          <w:szCs w:val="24"/>
        </w:rPr>
        <w:t>；</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w:t>
      </w:r>
      <w:r>
        <w:rPr>
          <w:rFonts w:hint="eastAsia" w:ascii="宋体" w:hAnsi="宋体" w:cs="宋体"/>
          <w:color w:val="auto"/>
          <w:szCs w:val="24"/>
          <w:lang w:val="en-US" w:eastAsia="zh-CN"/>
        </w:rPr>
        <w:t>2</w:t>
      </w:r>
      <w:r>
        <w:rPr>
          <w:rFonts w:hint="eastAsia" w:ascii="宋体" w:hAnsi="宋体" w:eastAsia="宋体" w:cs="宋体"/>
          <w:color w:val="auto"/>
          <w:szCs w:val="24"/>
        </w:rPr>
        <w:t>响应文件签署、盖章均按磋商文件要求签字、盖章（评分标准中要求提供的证明材料除外）；</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w:t>
      </w:r>
      <w:r>
        <w:rPr>
          <w:rFonts w:hint="eastAsia" w:ascii="宋体" w:hAnsi="宋体" w:cs="宋体"/>
          <w:color w:val="auto"/>
          <w:szCs w:val="24"/>
          <w:lang w:val="en-US" w:eastAsia="zh-CN"/>
        </w:rPr>
        <w:t>3</w:t>
      </w:r>
      <w:r>
        <w:rPr>
          <w:rFonts w:hint="eastAsia" w:ascii="宋体" w:hAnsi="宋体" w:eastAsia="宋体" w:cs="宋体"/>
          <w:color w:val="auto"/>
          <w:szCs w:val="24"/>
        </w:rPr>
        <w:t>响应文件有效期符合磋商文件的要求。；</w:t>
      </w:r>
    </w:p>
    <w:p>
      <w:pPr>
        <w:spacing w:line="360" w:lineRule="auto"/>
        <w:ind w:firstLine="480" w:firstLineChars="200"/>
        <w:rPr>
          <w:rFonts w:hint="eastAsia" w:ascii="宋体" w:hAnsi="宋体" w:cs="宋体"/>
          <w:color w:val="auto"/>
          <w:szCs w:val="24"/>
          <w:lang w:val="en-US" w:eastAsia="zh-CN"/>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w:t>
      </w:r>
      <w:r>
        <w:rPr>
          <w:rFonts w:hint="eastAsia" w:ascii="宋体" w:hAnsi="宋体" w:cs="宋体"/>
          <w:color w:val="auto"/>
          <w:szCs w:val="24"/>
          <w:lang w:val="en-US" w:eastAsia="zh-CN"/>
        </w:rPr>
        <w:t>4第一次磋商报价表</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（1）第一次磋商报价表填写符合要求；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（2）计量单位、报价货币均符合磋商文件要求；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（3）第一次磋商报价未超出采购预算或磋商文件规定的最高限价。；</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w:t>
      </w:r>
      <w:r>
        <w:rPr>
          <w:rFonts w:hint="eastAsia" w:ascii="宋体" w:hAnsi="宋体" w:cs="宋体"/>
          <w:color w:val="auto"/>
          <w:szCs w:val="24"/>
          <w:lang w:val="en-US" w:eastAsia="zh-CN"/>
        </w:rPr>
        <w:t>5</w:t>
      </w:r>
      <w:r>
        <w:rPr>
          <w:rFonts w:hint="eastAsia" w:ascii="宋体" w:hAnsi="宋体" w:eastAsia="宋体" w:cs="宋体"/>
          <w:color w:val="auto"/>
          <w:szCs w:val="24"/>
        </w:rPr>
        <w:t>技术/服务要求完全理解并接受对合格供应商、合格的货物、工程或服务要求，技术/服务没有重大偏离和保留。；</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w:t>
      </w:r>
      <w:r>
        <w:rPr>
          <w:rFonts w:hint="eastAsia" w:ascii="宋体" w:hAnsi="宋体" w:cs="宋体"/>
          <w:color w:val="auto"/>
          <w:szCs w:val="24"/>
          <w:lang w:val="en-US" w:eastAsia="zh-CN"/>
        </w:rPr>
        <w:t>6</w:t>
      </w:r>
      <w:r>
        <w:rPr>
          <w:rFonts w:hint="eastAsia" w:ascii="宋体" w:hAnsi="宋体" w:eastAsia="宋体" w:cs="宋体"/>
          <w:color w:val="auto"/>
          <w:szCs w:val="24"/>
        </w:rPr>
        <w:t>有完全理解并接受磋商文件合同基本条款要求的描述；</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.1.2.</w:t>
      </w:r>
      <w:r>
        <w:rPr>
          <w:rFonts w:hint="eastAsia" w:ascii="宋体" w:hAnsi="宋体" w:cs="宋体"/>
          <w:color w:val="auto"/>
          <w:szCs w:val="24"/>
          <w:lang w:val="en-US" w:eastAsia="zh-CN"/>
        </w:rPr>
        <w:t>7</w:t>
      </w:r>
      <w:r>
        <w:rPr>
          <w:rFonts w:hint="eastAsia" w:ascii="宋体" w:hAnsi="宋体" w:eastAsia="宋体" w:cs="宋体"/>
          <w:color w:val="auto"/>
          <w:szCs w:val="24"/>
        </w:rPr>
        <w:t xml:space="preserve"> 不符合法律、法规和磋商文件中规定的其他实质性要求的。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w:t>
      </w:r>
      <w:r>
        <w:rPr>
          <w:rFonts w:hint="default" w:ascii="宋体" w:hAnsi="宋体" w:cs="宋体"/>
          <w:color w:val="auto"/>
          <w:szCs w:val="24"/>
          <w:lang w:val="en-US"/>
        </w:rPr>
        <w:t>1</w:t>
      </w:r>
      <w:r>
        <w:rPr>
          <w:rFonts w:hint="eastAsia" w:ascii="宋体" w:hAnsi="宋体" w:eastAsia="宋体" w:cs="宋体"/>
          <w:color w:val="auto"/>
          <w:szCs w:val="24"/>
        </w:rPr>
        <w:t>.2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hint="eastAsia" w:ascii="宋体" w:hAnsi="宋体" w:eastAsia="宋体" w:cs="宋体"/>
          <w:color w:val="auto"/>
          <w:szCs w:val="24"/>
        </w:rPr>
      </w:pPr>
      <w:r>
        <w:rPr>
          <w:rFonts w:hint="default" w:ascii="宋体" w:hAnsi="宋体" w:cs="宋体"/>
          <w:color w:val="auto"/>
          <w:szCs w:val="24"/>
          <w:lang w:val="en-US"/>
        </w:rPr>
        <w:t>21</w:t>
      </w:r>
      <w:r>
        <w:rPr>
          <w:rFonts w:hint="eastAsia" w:ascii="宋体" w:hAnsi="宋体" w:eastAsia="宋体" w:cs="宋体"/>
          <w:color w:val="auto"/>
          <w:szCs w:val="24"/>
        </w:rPr>
        <w:t>.2.1 澄清文件将作为响应文件的一部分。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1</w:t>
      </w:r>
      <w:r>
        <w:rPr>
          <w:rFonts w:hint="eastAsia" w:ascii="宋体" w:hAnsi="宋体" w:eastAsia="宋体" w:cs="宋体"/>
          <w:szCs w:val="24"/>
        </w:rPr>
        <w:t>.2.2 算术错误将按以下方法更正：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1</w:t>
      </w:r>
      <w:r>
        <w:rPr>
          <w:rFonts w:hint="eastAsia" w:ascii="宋体" w:hAnsi="宋体" w:eastAsia="宋体" w:cs="宋体"/>
          <w:szCs w:val="24"/>
        </w:rPr>
        <w:t>.2.2.1响应文件的大写金额和小写金额不一致的，以大写金额为准；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1</w:t>
      </w:r>
      <w:r>
        <w:rPr>
          <w:rFonts w:hint="eastAsia" w:ascii="宋体" w:hAnsi="宋体" w:eastAsia="宋体" w:cs="宋体"/>
          <w:szCs w:val="24"/>
        </w:rPr>
        <w:t>.2.2.2 总价金额与按单价汇总金额不一致的，以单价金额计算结果为准；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1</w:t>
      </w:r>
      <w:r>
        <w:rPr>
          <w:rFonts w:hint="eastAsia" w:ascii="宋体" w:hAnsi="宋体" w:eastAsia="宋体" w:cs="宋体"/>
          <w:szCs w:val="24"/>
        </w:rPr>
        <w:t>.2.2.3 单价金额小数点有明显错位的，应当以总价为准，并修改单价；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1</w:t>
      </w:r>
      <w:r>
        <w:rPr>
          <w:rFonts w:hint="eastAsia" w:ascii="宋体" w:hAnsi="宋体" w:eastAsia="宋体" w:cs="宋体"/>
          <w:szCs w:val="24"/>
        </w:rPr>
        <w:t>.2.2.4 对不同文字文本磋商响应文件的解释发生异议的，以中文文本为准；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1</w:t>
      </w:r>
      <w:r>
        <w:rPr>
          <w:rFonts w:hint="eastAsia" w:ascii="宋体" w:hAnsi="宋体" w:eastAsia="宋体" w:cs="宋体"/>
          <w:szCs w:val="24"/>
        </w:rPr>
        <w:t>.2.2.5 对于供应商不接受对其错误的更改，其磋商属于无效磋商情形。</w:t>
      </w:r>
    </w:p>
    <w:p>
      <w:pPr>
        <w:spacing w:line="360" w:lineRule="auto"/>
        <w:rPr>
          <w:rFonts w:hint="eastAsia" w:ascii="宋体" w:hAnsi="宋体" w:eastAsia="宋体" w:cs="宋体"/>
          <w:b/>
          <w:bCs/>
          <w:szCs w:val="24"/>
        </w:rPr>
      </w:pPr>
      <w:bookmarkStart w:id="62" w:name="_Toc394934438"/>
      <w:r>
        <w:rPr>
          <w:rFonts w:hint="eastAsia" w:ascii="宋体" w:hAnsi="宋体" w:eastAsia="宋体" w:cs="宋体"/>
          <w:b/>
          <w:bCs/>
          <w:szCs w:val="24"/>
        </w:rPr>
        <w:t>2</w:t>
      </w:r>
      <w:r>
        <w:rPr>
          <w:rFonts w:hint="default" w:ascii="宋体" w:hAnsi="宋体" w:cs="宋体"/>
          <w:b/>
          <w:bCs/>
          <w:szCs w:val="24"/>
          <w:lang w:val="en-US"/>
        </w:rPr>
        <w:t>2</w:t>
      </w:r>
      <w:r>
        <w:rPr>
          <w:rFonts w:hint="eastAsia" w:ascii="宋体" w:hAnsi="宋体" w:eastAsia="宋体" w:cs="宋体"/>
          <w:b/>
          <w:bCs/>
          <w:szCs w:val="24"/>
        </w:rPr>
        <w:t>、</w:t>
      </w:r>
      <w:bookmarkEnd w:id="62"/>
      <w:r>
        <w:rPr>
          <w:rFonts w:hint="eastAsia" w:ascii="宋体" w:hAnsi="宋体" w:eastAsia="宋体" w:cs="宋体"/>
          <w:b/>
          <w:bCs/>
          <w:szCs w:val="24"/>
        </w:rPr>
        <w:t>磋商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2</w:t>
      </w:r>
      <w:r>
        <w:rPr>
          <w:rFonts w:hint="eastAsia" w:ascii="宋体" w:hAnsi="宋体" w:eastAsia="宋体" w:cs="宋体"/>
          <w:szCs w:val="24"/>
        </w:rPr>
        <w:t>.1磋商小组根据各磋商供应商响应文件响应情况决定是否与各供应商进行磋商，并给与参加磋商的供应商平等的磋商机会。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2</w:t>
      </w:r>
      <w:r>
        <w:rPr>
          <w:rFonts w:hint="eastAsia" w:ascii="宋体" w:hAnsi="宋体" w:eastAsia="宋体" w:cs="宋体"/>
          <w:szCs w:val="24"/>
        </w:rPr>
        <w:t>.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2</w:t>
      </w:r>
      <w:r>
        <w:rPr>
          <w:rFonts w:hint="eastAsia" w:ascii="宋体" w:hAnsi="宋体" w:eastAsia="宋体" w:cs="宋体"/>
          <w:szCs w:val="24"/>
        </w:rPr>
        <w:t>.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hint="eastAsia" w:ascii="宋体" w:hAnsi="宋体" w:eastAsia="宋体" w:cs="宋体"/>
          <w:b/>
          <w:bCs/>
          <w:szCs w:val="24"/>
        </w:rPr>
      </w:pPr>
      <w:bookmarkStart w:id="63" w:name="_Toc394934439"/>
      <w:r>
        <w:rPr>
          <w:rFonts w:hint="eastAsia" w:ascii="宋体" w:hAnsi="宋体" w:eastAsia="宋体" w:cs="宋体"/>
          <w:b/>
          <w:bCs/>
          <w:szCs w:val="24"/>
        </w:rPr>
        <w:t>2</w:t>
      </w:r>
      <w:r>
        <w:rPr>
          <w:rFonts w:hint="default" w:ascii="宋体" w:hAnsi="宋体" w:cs="宋体"/>
          <w:b/>
          <w:bCs/>
          <w:szCs w:val="24"/>
          <w:lang w:val="en-US"/>
        </w:rPr>
        <w:t>3</w:t>
      </w:r>
      <w:r>
        <w:rPr>
          <w:rFonts w:hint="eastAsia" w:ascii="宋体" w:hAnsi="宋体" w:eastAsia="宋体" w:cs="宋体"/>
          <w:b/>
          <w:bCs/>
          <w:szCs w:val="24"/>
        </w:rPr>
        <w:t>、评审方法</w:t>
      </w:r>
      <w:bookmarkEnd w:id="63"/>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磋商小组从质量和服务均能满足磋商文件实质性响应要求的供应商中，按照最后得分由高到低的顺序提出成交候选人。</w:t>
      </w:r>
    </w:p>
    <w:p>
      <w:pPr>
        <w:pStyle w:val="12"/>
        <w:rPr>
          <w:rFonts w:hint="eastAsia"/>
        </w:rPr>
      </w:pP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评分内容和评分方式</w:t>
      </w:r>
    </w:p>
    <w:p>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98"/>
        <w:tblW w:w="89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543"/>
        <w:gridCol w:w="1546"/>
        <w:gridCol w:w="60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15" w:type="dxa"/>
            <w:tcBorders>
              <w:top w:val="single" w:color="000000" w:sz="6" w:space="0"/>
              <w:left w:val="single" w:color="000000" w:sz="6" w:space="0"/>
            </w:tcBorders>
            <w:vAlign w:val="top"/>
          </w:tcPr>
          <w:p>
            <w:pPr>
              <w:spacing w:before="223" w:line="231" w:lineRule="auto"/>
              <w:ind w:left="146"/>
              <w:rPr>
                <w:rFonts w:ascii="黑体" w:hAnsi="黑体" w:eastAsia="黑体" w:cs="黑体"/>
                <w:sz w:val="20"/>
                <w:szCs w:val="20"/>
              </w:rPr>
            </w:pPr>
            <w:r>
              <w:rPr>
                <w:rFonts w:ascii="黑体" w:hAnsi="黑体" w:eastAsia="黑体" w:cs="黑体"/>
                <w:spacing w:val="6"/>
                <w:sz w:val="20"/>
                <w:szCs w:val="20"/>
              </w:rPr>
              <w:t>条款号</w:t>
            </w:r>
          </w:p>
        </w:tc>
        <w:tc>
          <w:tcPr>
            <w:tcW w:w="2089" w:type="dxa"/>
            <w:gridSpan w:val="2"/>
            <w:tcBorders>
              <w:top w:val="single" w:color="000000" w:sz="6" w:space="0"/>
            </w:tcBorders>
            <w:vAlign w:val="top"/>
          </w:tcPr>
          <w:p>
            <w:pPr>
              <w:spacing w:before="223" w:line="230" w:lineRule="auto"/>
              <w:ind w:left="768"/>
              <w:rPr>
                <w:rFonts w:ascii="黑体" w:hAnsi="黑体" w:eastAsia="黑体" w:cs="黑体"/>
                <w:sz w:val="20"/>
                <w:szCs w:val="20"/>
              </w:rPr>
            </w:pPr>
            <w:r>
              <w:rPr>
                <w:rFonts w:ascii="黑体" w:hAnsi="黑体" w:eastAsia="黑体" w:cs="黑体"/>
                <w:spacing w:val="7"/>
                <w:sz w:val="20"/>
                <w:szCs w:val="20"/>
              </w:rPr>
              <w:t>评审因素</w:t>
            </w:r>
          </w:p>
        </w:tc>
        <w:tc>
          <w:tcPr>
            <w:tcW w:w="6094" w:type="dxa"/>
            <w:tcBorders>
              <w:top w:val="single" w:color="000000" w:sz="6" w:space="0"/>
              <w:right w:val="single" w:color="000000" w:sz="6" w:space="0"/>
            </w:tcBorders>
            <w:vAlign w:val="top"/>
          </w:tcPr>
          <w:p>
            <w:pPr>
              <w:spacing w:before="223" w:line="230" w:lineRule="auto"/>
              <w:ind w:left="3045"/>
              <w:rPr>
                <w:rFonts w:ascii="黑体" w:hAnsi="黑体" w:eastAsia="黑体" w:cs="黑体"/>
                <w:sz w:val="20"/>
                <w:szCs w:val="20"/>
              </w:rPr>
            </w:pPr>
            <w:r>
              <w:rPr>
                <w:rFonts w:ascii="黑体" w:hAnsi="黑体" w:eastAsia="黑体" w:cs="黑体"/>
                <w:spacing w:val="7"/>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15" w:type="dxa"/>
            <w:tcBorders>
              <w:left w:val="single" w:color="000000" w:sz="6" w:space="0"/>
            </w:tcBorders>
            <w:vAlign w:val="top"/>
          </w:tcPr>
          <w:p>
            <w:pPr>
              <w:spacing w:line="294" w:lineRule="auto"/>
              <w:rPr>
                <w:rFonts w:ascii="Arial"/>
                <w:sz w:val="21"/>
              </w:rPr>
            </w:pPr>
          </w:p>
          <w:p>
            <w:pPr>
              <w:spacing w:before="65" w:line="191" w:lineRule="auto"/>
              <w:ind w:left="302"/>
              <w:rPr>
                <w:rFonts w:ascii="黑体" w:hAnsi="黑体" w:eastAsia="黑体" w:cs="黑体"/>
                <w:sz w:val="20"/>
                <w:szCs w:val="20"/>
              </w:rPr>
            </w:pPr>
            <w:r>
              <w:rPr>
                <w:rFonts w:ascii="黑体" w:hAnsi="黑体" w:eastAsia="黑体" w:cs="黑体"/>
                <w:spacing w:val="3"/>
                <w:sz w:val="20"/>
                <w:szCs w:val="20"/>
              </w:rPr>
              <w:t>2.3</w:t>
            </w:r>
          </w:p>
        </w:tc>
        <w:tc>
          <w:tcPr>
            <w:tcW w:w="2089" w:type="dxa"/>
            <w:gridSpan w:val="2"/>
            <w:vAlign w:val="top"/>
          </w:tcPr>
          <w:p>
            <w:pPr>
              <w:spacing w:before="130" w:line="231" w:lineRule="auto"/>
              <w:ind w:left="774"/>
              <w:rPr>
                <w:rFonts w:ascii="黑体" w:hAnsi="黑体" w:eastAsia="黑体" w:cs="黑体"/>
                <w:sz w:val="20"/>
                <w:szCs w:val="20"/>
              </w:rPr>
            </w:pPr>
            <w:r>
              <w:rPr>
                <w:rFonts w:ascii="黑体" w:hAnsi="黑体" w:eastAsia="黑体" w:cs="黑体"/>
                <w:spacing w:val="6"/>
                <w:sz w:val="20"/>
                <w:szCs w:val="20"/>
              </w:rPr>
              <w:t>分值构成</w:t>
            </w:r>
          </w:p>
          <w:p>
            <w:pPr>
              <w:spacing w:before="217" w:line="231" w:lineRule="auto"/>
              <w:ind w:left="547"/>
              <w:rPr>
                <w:rFonts w:ascii="黑体" w:hAnsi="黑体" w:eastAsia="黑体" w:cs="黑体"/>
                <w:sz w:val="20"/>
                <w:szCs w:val="20"/>
              </w:rPr>
            </w:pPr>
            <w:r>
              <w:rPr>
                <w:rFonts w:ascii="黑体" w:hAnsi="黑体" w:eastAsia="黑体" w:cs="黑体"/>
                <w:spacing w:val="-1"/>
                <w:sz w:val="20"/>
                <w:szCs w:val="20"/>
              </w:rPr>
              <w:t>（总分</w:t>
            </w:r>
            <w:r>
              <w:rPr>
                <w:rFonts w:ascii="黑体" w:hAnsi="黑体" w:eastAsia="黑体" w:cs="黑体"/>
                <w:spacing w:val="-27"/>
                <w:sz w:val="20"/>
                <w:szCs w:val="20"/>
              </w:rPr>
              <w:t xml:space="preserve"> </w:t>
            </w:r>
            <w:r>
              <w:rPr>
                <w:rFonts w:ascii="黑体" w:hAnsi="黑体" w:eastAsia="黑体" w:cs="黑体"/>
                <w:spacing w:val="-1"/>
                <w:sz w:val="20"/>
                <w:szCs w:val="20"/>
              </w:rPr>
              <w:t>100</w:t>
            </w:r>
            <w:r>
              <w:rPr>
                <w:rFonts w:ascii="黑体" w:hAnsi="黑体" w:eastAsia="黑体" w:cs="黑体"/>
                <w:spacing w:val="-35"/>
                <w:sz w:val="20"/>
                <w:szCs w:val="20"/>
              </w:rPr>
              <w:t xml:space="preserve"> </w:t>
            </w:r>
            <w:r>
              <w:rPr>
                <w:rFonts w:ascii="黑体" w:hAnsi="黑体" w:eastAsia="黑体" w:cs="黑体"/>
                <w:spacing w:val="-1"/>
                <w:sz w:val="20"/>
                <w:szCs w:val="20"/>
              </w:rPr>
              <w:t>分）</w:t>
            </w:r>
          </w:p>
        </w:tc>
        <w:tc>
          <w:tcPr>
            <w:tcW w:w="6094" w:type="dxa"/>
            <w:tcBorders>
              <w:right w:val="single" w:color="000000" w:sz="6" w:space="0"/>
            </w:tcBorders>
            <w:vAlign w:val="top"/>
          </w:tcPr>
          <w:p>
            <w:pPr>
              <w:spacing w:line="264" w:lineRule="auto"/>
              <w:rPr>
                <w:rFonts w:ascii="Arial"/>
                <w:sz w:val="21"/>
              </w:rPr>
            </w:pPr>
          </w:p>
          <w:p>
            <w:pPr>
              <w:spacing w:before="65" w:line="221" w:lineRule="auto"/>
              <w:ind w:left="111"/>
              <w:rPr>
                <w:rFonts w:ascii="黑体" w:hAnsi="黑体" w:eastAsia="黑体" w:cs="黑体"/>
                <w:sz w:val="20"/>
                <w:szCs w:val="20"/>
              </w:rPr>
            </w:pPr>
            <w:r>
              <w:rPr>
                <w:rFonts w:ascii="黑体" w:hAnsi="黑体" w:eastAsia="黑体" w:cs="黑体"/>
                <w:spacing w:val="5"/>
                <w:sz w:val="20"/>
                <w:szCs w:val="20"/>
              </w:rPr>
              <w:t>报价得分</w:t>
            </w:r>
            <w:r>
              <w:rPr>
                <w:rFonts w:ascii="黑体" w:hAnsi="黑体" w:eastAsia="黑体" w:cs="黑体"/>
                <w:spacing w:val="-38"/>
                <w:sz w:val="20"/>
                <w:szCs w:val="20"/>
              </w:rPr>
              <w:t xml:space="preserve"> </w:t>
            </w:r>
            <w:r>
              <w:rPr>
                <w:rFonts w:ascii="黑体" w:hAnsi="黑体" w:eastAsia="黑体" w:cs="黑体"/>
                <w:spacing w:val="5"/>
                <w:sz w:val="20"/>
                <w:szCs w:val="20"/>
              </w:rPr>
              <w:t>30</w:t>
            </w:r>
            <w:r>
              <w:rPr>
                <w:rFonts w:ascii="黑体" w:hAnsi="黑体" w:eastAsia="黑体" w:cs="黑体"/>
                <w:spacing w:val="-33"/>
                <w:sz w:val="20"/>
                <w:szCs w:val="20"/>
              </w:rPr>
              <w:t xml:space="preserve"> </w:t>
            </w:r>
            <w:r>
              <w:rPr>
                <w:rFonts w:ascii="黑体" w:hAnsi="黑体" w:eastAsia="黑体" w:cs="黑体"/>
                <w:spacing w:val="5"/>
                <w:sz w:val="20"/>
                <w:szCs w:val="20"/>
              </w:rPr>
              <w:t>分，技术标分值</w:t>
            </w:r>
            <w:r>
              <w:rPr>
                <w:rFonts w:ascii="黑体" w:hAnsi="黑体" w:eastAsia="黑体" w:cs="黑体"/>
                <w:spacing w:val="-44"/>
                <w:sz w:val="20"/>
                <w:szCs w:val="20"/>
              </w:rPr>
              <w:t xml:space="preserve"> </w:t>
            </w:r>
            <w:r>
              <w:rPr>
                <w:rFonts w:ascii="黑体" w:hAnsi="黑体" w:eastAsia="黑体" w:cs="黑体"/>
                <w:spacing w:val="5"/>
                <w:sz w:val="20"/>
                <w:szCs w:val="20"/>
              </w:rPr>
              <w:t>52</w:t>
            </w:r>
            <w:r>
              <w:rPr>
                <w:rFonts w:ascii="黑体" w:hAnsi="黑体" w:eastAsia="黑体" w:cs="黑体"/>
                <w:spacing w:val="-33"/>
                <w:sz w:val="20"/>
                <w:szCs w:val="20"/>
              </w:rPr>
              <w:t xml:space="preserve"> </w:t>
            </w:r>
            <w:r>
              <w:rPr>
                <w:rFonts w:ascii="黑体" w:hAnsi="黑体" w:eastAsia="黑体" w:cs="黑体"/>
                <w:spacing w:val="5"/>
                <w:sz w:val="20"/>
                <w:szCs w:val="20"/>
              </w:rPr>
              <w:t>分，商务部分</w:t>
            </w:r>
            <w:r>
              <w:rPr>
                <w:rFonts w:ascii="黑体" w:hAnsi="黑体" w:eastAsia="黑体" w:cs="黑体"/>
                <w:spacing w:val="-29"/>
                <w:sz w:val="20"/>
                <w:szCs w:val="20"/>
              </w:rPr>
              <w:t xml:space="preserve"> </w:t>
            </w:r>
            <w:r>
              <w:rPr>
                <w:rFonts w:ascii="黑体" w:hAnsi="黑体" w:eastAsia="黑体" w:cs="黑体"/>
                <w:spacing w:val="5"/>
                <w:sz w:val="20"/>
                <w:szCs w:val="20"/>
              </w:rPr>
              <w:t>18</w:t>
            </w:r>
            <w:r>
              <w:rPr>
                <w:rFonts w:ascii="黑体" w:hAnsi="黑体" w:eastAsia="黑体" w:cs="黑体"/>
                <w:spacing w:val="-33"/>
                <w:sz w:val="20"/>
                <w:szCs w:val="20"/>
              </w:rPr>
              <w:t xml:space="preserve"> </w:t>
            </w:r>
            <w:r>
              <w:rPr>
                <w:rFonts w:ascii="黑体" w:hAnsi="黑体" w:eastAsia="黑体" w:cs="黑体"/>
                <w:spacing w:val="5"/>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815" w:type="dxa"/>
            <w:tcBorders>
              <w:left w:val="single" w:color="000000" w:sz="6" w:space="0"/>
            </w:tcBorders>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65" w:line="191" w:lineRule="auto"/>
              <w:ind w:left="199"/>
              <w:rPr>
                <w:rFonts w:ascii="黑体" w:hAnsi="黑体" w:eastAsia="黑体" w:cs="黑体"/>
                <w:sz w:val="20"/>
                <w:szCs w:val="20"/>
              </w:rPr>
            </w:pPr>
            <w:r>
              <w:rPr>
                <w:rFonts w:ascii="黑体" w:hAnsi="黑体" w:eastAsia="黑体" w:cs="黑体"/>
                <w:spacing w:val="3"/>
                <w:sz w:val="20"/>
                <w:szCs w:val="20"/>
              </w:rPr>
              <w:t>2.3.1</w:t>
            </w:r>
          </w:p>
        </w:tc>
        <w:tc>
          <w:tcPr>
            <w:tcW w:w="2089" w:type="dxa"/>
            <w:gridSpan w:val="2"/>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65" w:line="468" w:lineRule="exact"/>
              <w:ind w:left="585"/>
              <w:rPr>
                <w:rFonts w:ascii="黑体" w:hAnsi="黑体" w:eastAsia="黑体" w:cs="黑体"/>
                <w:sz w:val="20"/>
                <w:szCs w:val="20"/>
              </w:rPr>
            </w:pPr>
            <w:r>
              <w:rPr>
                <w:rFonts w:ascii="黑体" w:hAnsi="黑体" w:eastAsia="黑体" w:cs="黑体"/>
                <w:spacing w:val="7"/>
                <w:position w:val="20"/>
                <w:sz w:val="20"/>
                <w:szCs w:val="20"/>
              </w:rPr>
              <w:t>报价得分</w:t>
            </w:r>
          </w:p>
          <w:p>
            <w:pPr>
              <w:spacing w:line="230" w:lineRule="auto"/>
              <w:ind w:left="605"/>
              <w:rPr>
                <w:rFonts w:ascii="黑体" w:hAnsi="黑体" w:eastAsia="黑体" w:cs="黑体"/>
                <w:sz w:val="20"/>
                <w:szCs w:val="20"/>
              </w:rPr>
            </w:pPr>
            <w:r>
              <w:rPr>
                <w:rFonts w:ascii="黑体" w:hAnsi="黑体" w:eastAsia="黑体" w:cs="黑体"/>
                <w:spacing w:val="-2"/>
                <w:sz w:val="20"/>
                <w:szCs w:val="20"/>
              </w:rPr>
              <w:t>（30</w:t>
            </w:r>
            <w:r>
              <w:rPr>
                <w:rFonts w:ascii="黑体" w:hAnsi="黑体" w:eastAsia="黑体" w:cs="黑体"/>
                <w:spacing w:val="-36"/>
                <w:sz w:val="20"/>
                <w:szCs w:val="20"/>
              </w:rPr>
              <w:t xml:space="preserve"> </w:t>
            </w:r>
            <w:r>
              <w:rPr>
                <w:rFonts w:ascii="黑体" w:hAnsi="黑体" w:eastAsia="黑体" w:cs="黑体"/>
                <w:spacing w:val="-2"/>
                <w:sz w:val="20"/>
                <w:szCs w:val="20"/>
              </w:rPr>
              <w:t>分）</w:t>
            </w:r>
          </w:p>
        </w:tc>
        <w:tc>
          <w:tcPr>
            <w:tcW w:w="6094" w:type="dxa"/>
            <w:tcBorders>
              <w:right w:val="single" w:color="000000" w:sz="6" w:space="0"/>
            </w:tcBorders>
            <w:vAlign w:val="top"/>
          </w:tcPr>
          <w:p>
            <w:pPr>
              <w:spacing w:before="53" w:line="230" w:lineRule="auto"/>
              <w:ind w:left="119"/>
              <w:rPr>
                <w:rFonts w:ascii="黑体" w:hAnsi="黑体" w:eastAsia="黑体" w:cs="黑体"/>
                <w:sz w:val="20"/>
                <w:szCs w:val="20"/>
              </w:rPr>
            </w:pPr>
            <w:r>
              <w:rPr>
                <w:rFonts w:ascii="黑体" w:hAnsi="黑体" w:eastAsia="黑体" w:cs="黑体"/>
                <w:spacing w:val="9"/>
                <w:sz w:val="20"/>
                <w:szCs w:val="20"/>
              </w:rPr>
              <w:t>实质性满足竞争性磋商文件的要求且为最终磋商报价进行计算：</w:t>
            </w:r>
          </w:p>
          <w:p>
            <w:pPr>
              <w:spacing w:before="62" w:line="255" w:lineRule="auto"/>
              <w:ind w:left="124" w:right="105" w:hanging="5"/>
              <w:rPr>
                <w:rFonts w:ascii="黑体" w:hAnsi="黑体" w:eastAsia="黑体" w:cs="黑体"/>
                <w:sz w:val="20"/>
                <w:szCs w:val="20"/>
              </w:rPr>
            </w:pPr>
            <w:r>
              <w:rPr>
                <w:rFonts w:ascii="黑体" w:hAnsi="黑体" w:eastAsia="黑体" w:cs="黑体"/>
                <w:spacing w:val="8"/>
                <w:sz w:val="20"/>
                <w:szCs w:val="20"/>
              </w:rPr>
              <w:t>最后磋商报价（30</w:t>
            </w:r>
            <w:r>
              <w:rPr>
                <w:rFonts w:ascii="黑体" w:hAnsi="黑体" w:eastAsia="黑体" w:cs="黑体"/>
                <w:spacing w:val="-35"/>
                <w:sz w:val="20"/>
                <w:szCs w:val="20"/>
              </w:rPr>
              <w:t xml:space="preserve"> </w:t>
            </w:r>
            <w:r>
              <w:rPr>
                <w:rFonts w:ascii="黑体" w:hAnsi="黑体" w:eastAsia="黑体" w:cs="黑体"/>
                <w:spacing w:val="8"/>
                <w:sz w:val="20"/>
                <w:szCs w:val="20"/>
              </w:rPr>
              <w:t>分</w:t>
            </w:r>
            <w:r>
              <w:rPr>
                <w:rFonts w:ascii="黑体" w:hAnsi="黑体" w:eastAsia="黑体" w:cs="黑体"/>
                <w:spacing w:val="-8"/>
                <w:sz w:val="20"/>
                <w:szCs w:val="20"/>
              </w:rPr>
              <w:t>）：</w:t>
            </w:r>
            <w:r>
              <w:rPr>
                <w:rFonts w:ascii="黑体" w:hAnsi="黑体" w:eastAsia="黑体" w:cs="黑体"/>
                <w:spacing w:val="8"/>
                <w:sz w:val="20"/>
                <w:szCs w:val="20"/>
              </w:rPr>
              <w:t>满足磋商文件要求且最后磋</w:t>
            </w:r>
            <w:r>
              <w:rPr>
                <w:rFonts w:ascii="黑体" w:hAnsi="黑体" w:eastAsia="黑体" w:cs="黑体"/>
                <w:spacing w:val="7"/>
                <w:sz w:val="20"/>
                <w:szCs w:val="20"/>
              </w:rPr>
              <w:t>商报价最低的供应商</w:t>
            </w:r>
            <w:r>
              <w:rPr>
                <w:rFonts w:ascii="黑体" w:hAnsi="黑体" w:eastAsia="黑体" w:cs="黑体"/>
                <w:sz w:val="20"/>
                <w:szCs w:val="20"/>
              </w:rPr>
              <w:t xml:space="preserve"> </w:t>
            </w:r>
            <w:r>
              <w:rPr>
                <w:rFonts w:ascii="黑体" w:hAnsi="黑体" w:eastAsia="黑体" w:cs="黑体"/>
                <w:spacing w:val="8"/>
                <w:sz w:val="20"/>
                <w:szCs w:val="20"/>
              </w:rPr>
              <w:t>的价格为磋商基准价，其价格分为满分。</w:t>
            </w:r>
          </w:p>
          <w:p>
            <w:pPr>
              <w:spacing w:before="72" w:line="230" w:lineRule="auto"/>
              <w:ind w:left="116"/>
              <w:rPr>
                <w:rFonts w:ascii="黑体" w:hAnsi="黑体" w:eastAsia="黑体" w:cs="黑体"/>
                <w:sz w:val="20"/>
                <w:szCs w:val="20"/>
              </w:rPr>
            </w:pPr>
            <w:r>
              <w:rPr>
                <w:rFonts w:ascii="黑体" w:hAnsi="黑体" w:eastAsia="黑体" w:cs="黑体"/>
                <w:spacing w:val="8"/>
                <w:sz w:val="20"/>
                <w:szCs w:val="20"/>
              </w:rPr>
              <w:t>其他供应商的价格分按照下列公式计算：</w:t>
            </w:r>
          </w:p>
          <w:p>
            <w:pPr>
              <w:spacing w:before="62" w:line="230" w:lineRule="auto"/>
              <w:ind w:left="112"/>
              <w:rPr>
                <w:rFonts w:ascii="黑体" w:hAnsi="黑体" w:eastAsia="黑体" w:cs="黑体"/>
                <w:sz w:val="20"/>
                <w:szCs w:val="20"/>
              </w:rPr>
            </w:pPr>
            <w:r>
              <w:rPr>
                <w:rFonts w:ascii="黑体" w:hAnsi="黑体" w:eastAsia="黑体" w:cs="黑体"/>
                <w:spacing w:val="6"/>
                <w:sz w:val="20"/>
                <w:szCs w:val="20"/>
              </w:rPr>
              <w:t>磋商报价得分=（磋商基准价/最后磋商报价）</w:t>
            </w:r>
            <w:r>
              <w:rPr>
                <w:rFonts w:ascii="黑体" w:hAnsi="黑体" w:eastAsia="黑体" w:cs="黑体"/>
                <w:spacing w:val="-34"/>
                <w:sz w:val="20"/>
                <w:szCs w:val="20"/>
              </w:rPr>
              <w:t xml:space="preserve"> </w:t>
            </w:r>
            <w:r>
              <w:rPr>
                <w:rFonts w:ascii="黑体" w:hAnsi="黑体" w:eastAsia="黑体" w:cs="黑体"/>
                <w:spacing w:val="6"/>
                <w:sz w:val="20"/>
                <w:szCs w:val="20"/>
              </w:rPr>
              <w:t>×30</w:t>
            </w:r>
          </w:p>
          <w:p>
            <w:pPr>
              <w:spacing w:before="61" w:line="275" w:lineRule="auto"/>
              <w:ind w:left="112" w:right="105"/>
              <w:rPr>
                <w:rFonts w:ascii="黑体" w:hAnsi="黑体" w:eastAsia="黑体" w:cs="黑体"/>
                <w:sz w:val="20"/>
                <w:szCs w:val="20"/>
              </w:rPr>
            </w:pPr>
            <w:r>
              <w:rPr>
                <w:rFonts w:ascii="黑体" w:hAnsi="黑体" w:eastAsia="黑体" w:cs="黑体"/>
                <w:spacing w:val="9"/>
                <w:sz w:val="20"/>
                <w:szCs w:val="20"/>
              </w:rPr>
              <w:t>评审委员会发现某一供应商的最后报价明显低于其他供应商的最后报价，使得其报价可能低于其成本的，应当要求该供应商作出书面说明并提供相应的证明材料。供应商不能合理说明或者不能提供相应证明材料的，由评审委员会认定该供应商以低于成本报价竞标，其供应商的最后报价不予认</w:t>
            </w:r>
            <w:r>
              <w:rPr>
                <w:rFonts w:ascii="黑体" w:hAnsi="黑体" w:eastAsia="黑体" w:cs="黑体"/>
                <w:spacing w:val="8"/>
                <w:sz w:val="20"/>
                <w:szCs w:val="20"/>
              </w:rPr>
              <w:t>可，作无效响应处理视为自动放弃。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5" w:type="dxa"/>
            <w:vMerge w:val="restart"/>
            <w:tcBorders>
              <w:left w:val="single" w:color="000000" w:sz="6" w:space="0"/>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65" w:line="191" w:lineRule="auto"/>
              <w:ind w:left="199"/>
              <w:rPr>
                <w:rFonts w:ascii="黑体" w:hAnsi="黑体" w:eastAsia="黑体" w:cs="黑体"/>
                <w:sz w:val="20"/>
                <w:szCs w:val="20"/>
              </w:rPr>
            </w:pPr>
            <w:r>
              <w:rPr>
                <w:rFonts w:ascii="黑体" w:hAnsi="黑体" w:eastAsia="黑体" w:cs="黑体"/>
                <w:spacing w:val="3"/>
                <w:sz w:val="20"/>
                <w:szCs w:val="20"/>
              </w:rPr>
              <w:t>2.3.2</w:t>
            </w:r>
          </w:p>
        </w:tc>
        <w:tc>
          <w:tcPr>
            <w:tcW w:w="543" w:type="dxa"/>
            <w:vMerge w:val="restart"/>
            <w:tcBorders>
              <w:bottom w:val="nil"/>
            </w:tcBorders>
            <w:textDirection w:val="tbRlV"/>
            <w:vAlign w:val="top"/>
          </w:tcPr>
          <w:p>
            <w:pPr>
              <w:spacing w:before="208" w:line="211" w:lineRule="auto"/>
              <w:ind w:left="172"/>
              <w:rPr>
                <w:rFonts w:ascii="黑体" w:hAnsi="黑体" w:eastAsia="黑体" w:cs="黑体"/>
                <w:sz w:val="20"/>
                <w:szCs w:val="20"/>
              </w:rPr>
            </w:pPr>
            <w:r>
              <w:rPr>
                <w:rFonts w:ascii="黑体" w:hAnsi="黑体" w:eastAsia="黑体" w:cs="黑体"/>
                <w:spacing w:val="12"/>
                <w:sz w:val="20"/>
                <w:szCs w:val="20"/>
              </w:rPr>
              <w:t>商</w:t>
            </w:r>
            <w:r>
              <w:rPr>
                <w:rFonts w:ascii="黑体" w:hAnsi="黑体" w:eastAsia="黑体" w:cs="黑体"/>
                <w:spacing w:val="27"/>
                <w:sz w:val="20"/>
                <w:szCs w:val="20"/>
              </w:rPr>
              <w:t xml:space="preserve">  </w:t>
            </w:r>
            <w:r>
              <w:rPr>
                <w:rFonts w:ascii="黑体" w:hAnsi="黑体" w:eastAsia="黑体" w:cs="黑体"/>
                <w:spacing w:val="12"/>
                <w:sz w:val="20"/>
                <w:szCs w:val="20"/>
              </w:rPr>
              <w:t>务</w:t>
            </w:r>
            <w:r>
              <w:rPr>
                <w:rFonts w:ascii="黑体" w:hAnsi="黑体" w:eastAsia="黑体" w:cs="黑体"/>
                <w:spacing w:val="28"/>
                <w:sz w:val="20"/>
                <w:szCs w:val="20"/>
              </w:rPr>
              <w:t xml:space="preserve">  </w:t>
            </w:r>
            <w:r>
              <w:rPr>
                <w:rFonts w:ascii="黑体" w:hAnsi="黑体" w:eastAsia="黑体" w:cs="黑体"/>
                <w:spacing w:val="12"/>
                <w:sz w:val="20"/>
                <w:szCs w:val="20"/>
              </w:rPr>
              <w:t>部</w:t>
            </w:r>
            <w:r>
              <w:rPr>
                <w:rFonts w:ascii="黑体" w:hAnsi="黑体" w:eastAsia="黑体" w:cs="黑体"/>
                <w:spacing w:val="28"/>
                <w:sz w:val="20"/>
                <w:szCs w:val="20"/>
              </w:rPr>
              <w:t xml:space="preserve">  </w:t>
            </w:r>
            <w:r>
              <w:rPr>
                <w:rFonts w:ascii="黑体" w:hAnsi="黑体" w:eastAsia="黑体" w:cs="黑体"/>
                <w:spacing w:val="12"/>
                <w:sz w:val="20"/>
                <w:szCs w:val="20"/>
              </w:rPr>
              <w:t>分</w:t>
            </w:r>
          </w:p>
        </w:tc>
        <w:tc>
          <w:tcPr>
            <w:tcW w:w="1546" w:type="dxa"/>
            <w:vAlign w:val="top"/>
          </w:tcPr>
          <w:p>
            <w:pPr>
              <w:spacing w:line="302" w:lineRule="auto"/>
              <w:rPr>
                <w:rFonts w:ascii="Arial"/>
                <w:sz w:val="21"/>
              </w:rPr>
            </w:pPr>
          </w:p>
          <w:p>
            <w:pPr>
              <w:spacing w:before="65" w:line="231" w:lineRule="auto"/>
              <w:ind w:right="13"/>
              <w:jc w:val="right"/>
              <w:rPr>
                <w:rFonts w:ascii="黑体" w:hAnsi="黑体" w:eastAsia="黑体" w:cs="黑体"/>
                <w:sz w:val="20"/>
                <w:szCs w:val="20"/>
              </w:rPr>
            </w:pPr>
            <w:r>
              <w:rPr>
                <w:rFonts w:ascii="黑体" w:hAnsi="黑体" w:eastAsia="黑体" w:cs="黑体"/>
                <w:spacing w:val="-5"/>
                <w:sz w:val="20"/>
                <w:szCs w:val="20"/>
              </w:rPr>
              <w:t>信用得分（10</w:t>
            </w:r>
            <w:r>
              <w:rPr>
                <w:rFonts w:ascii="黑体" w:hAnsi="黑体" w:eastAsia="黑体" w:cs="黑体"/>
                <w:spacing w:val="-27"/>
                <w:sz w:val="20"/>
                <w:szCs w:val="20"/>
              </w:rPr>
              <w:t xml:space="preserve"> </w:t>
            </w:r>
            <w:r>
              <w:rPr>
                <w:rFonts w:ascii="黑体" w:hAnsi="黑体" w:eastAsia="黑体" w:cs="黑体"/>
                <w:spacing w:val="-5"/>
                <w:sz w:val="20"/>
                <w:szCs w:val="20"/>
              </w:rPr>
              <w:t>分）</w:t>
            </w:r>
          </w:p>
        </w:tc>
        <w:tc>
          <w:tcPr>
            <w:tcW w:w="6094" w:type="dxa"/>
            <w:tcBorders>
              <w:right w:val="single" w:color="000000" w:sz="6" w:space="0"/>
            </w:tcBorders>
            <w:vAlign w:val="top"/>
          </w:tcPr>
          <w:p>
            <w:pPr>
              <w:spacing w:before="58" w:line="268" w:lineRule="auto"/>
              <w:ind w:left="111" w:right="102" w:firstLine="5"/>
              <w:jc w:val="both"/>
              <w:rPr>
                <w:rFonts w:ascii="黑体" w:hAnsi="黑体" w:eastAsia="黑体" w:cs="黑体"/>
                <w:sz w:val="20"/>
                <w:szCs w:val="20"/>
              </w:rPr>
            </w:pPr>
            <w:r>
              <w:rPr>
                <w:rFonts w:ascii="黑体" w:hAnsi="黑体" w:eastAsia="黑体" w:cs="黑体"/>
                <w:spacing w:val="8"/>
                <w:sz w:val="20"/>
                <w:szCs w:val="20"/>
              </w:rPr>
              <w:t>无不良记录的得满分</w:t>
            </w:r>
            <w:r>
              <w:rPr>
                <w:rFonts w:ascii="黑体" w:hAnsi="黑体" w:eastAsia="黑体" w:cs="黑体"/>
                <w:spacing w:val="-22"/>
                <w:sz w:val="20"/>
                <w:szCs w:val="20"/>
              </w:rPr>
              <w:t xml:space="preserve"> </w:t>
            </w:r>
            <w:r>
              <w:rPr>
                <w:rFonts w:ascii="黑体" w:hAnsi="黑体" w:eastAsia="黑体" w:cs="黑体"/>
                <w:spacing w:val="8"/>
                <w:sz w:val="20"/>
                <w:szCs w:val="20"/>
              </w:rPr>
              <w:t>10</w:t>
            </w:r>
            <w:r>
              <w:rPr>
                <w:rFonts w:ascii="黑体" w:hAnsi="黑体" w:eastAsia="黑体" w:cs="黑体"/>
                <w:spacing w:val="-36"/>
                <w:sz w:val="20"/>
                <w:szCs w:val="20"/>
              </w:rPr>
              <w:t xml:space="preserve"> </w:t>
            </w:r>
            <w:r>
              <w:rPr>
                <w:rFonts w:ascii="黑体" w:hAnsi="黑体" w:eastAsia="黑体" w:cs="黑体"/>
                <w:spacing w:val="8"/>
                <w:sz w:val="20"/>
                <w:szCs w:val="20"/>
              </w:rPr>
              <w:t>分。被行政部门实施行政处罚但未限制其投标资格的，每条扣</w:t>
            </w:r>
            <w:r>
              <w:rPr>
                <w:rFonts w:ascii="黑体" w:hAnsi="黑体" w:eastAsia="黑体" w:cs="黑体"/>
                <w:spacing w:val="-23"/>
                <w:sz w:val="20"/>
                <w:szCs w:val="20"/>
              </w:rPr>
              <w:t xml:space="preserve"> </w:t>
            </w:r>
            <w:r>
              <w:rPr>
                <w:rFonts w:ascii="黑体" w:hAnsi="黑体" w:eastAsia="黑体" w:cs="黑体"/>
                <w:spacing w:val="8"/>
                <w:sz w:val="20"/>
                <w:szCs w:val="20"/>
              </w:rPr>
              <w:t>2</w:t>
            </w:r>
            <w:r>
              <w:rPr>
                <w:rFonts w:ascii="黑体" w:hAnsi="黑体" w:eastAsia="黑体" w:cs="黑体"/>
                <w:spacing w:val="-35"/>
                <w:sz w:val="20"/>
                <w:szCs w:val="20"/>
              </w:rPr>
              <w:t xml:space="preserve"> </w:t>
            </w:r>
            <w:r>
              <w:rPr>
                <w:rFonts w:ascii="黑体" w:hAnsi="黑体" w:eastAsia="黑体" w:cs="黑体"/>
                <w:spacing w:val="8"/>
                <w:sz w:val="20"/>
                <w:szCs w:val="20"/>
              </w:rPr>
              <w:t>分，扣完为止。（评审以投标文件中所附截图及信用信息</w:t>
            </w:r>
            <w:r>
              <w:rPr>
                <w:rFonts w:ascii="黑体" w:hAnsi="黑体" w:eastAsia="黑体" w:cs="黑体"/>
                <w:spacing w:val="7"/>
                <w:sz w:val="20"/>
                <w:szCs w:val="20"/>
              </w:rPr>
              <w:t>报告为依据）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15" w:type="dxa"/>
            <w:vMerge w:val="continue"/>
            <w:tcBorders>
              <w:top w:val="nil"/>
              <w:left w:val="single" w:color="000000" w:sz="6" w:space="0"/>
            </w:tcBorders>
            <w:vAlign w:val="top"/>
          </w:tcPr>
          <w:p>
            <w:pPr>
              <w:rPr>
                <w:rFonts w:ascii="Arial"/>
                <w:sz w:val="21"/>
              </w:rPr>
            </w:pPr>
          </w:p>
        </w:tc>
        <w:tc>
          <w:tcPr>
            <w:tcW w:w="543" w:type="dxa"/>
            <w:vMerge w:val="continue"/>
            <w:tcBorders>
              <w:top w:val="nil"/>
            </w:tcBorders>
            <w:textDirection w:val="tbRlV"/>
            <w:vAlign w:val="top"/>
          </w:tcPr>
          <w:p>
            <w:pPr>
              <w:rPr>
                <w:rFonts w:ascii="Arial"/>
                <w:sz w:val="21"/>
              </w:rPr>
            </w:pPr>
          </w:p>
        </w:tc>
        <w:tc>
          <w:tcPr>
            <w:tcW w:w="1546" w:type="dxa"/>
            <w:vAlign w:val="top"/>
          </w:tcPr>
          <w:p>
            <w:pPr>
              <w:spacing w:before="168" w:line="468" w:lineRule="exact"/>
              <w:ind w:left="108"/>
              <w:rPr>
                <w:rFonts w:ascii="黑体" w:hAnsi="黑体" w:eastAsia="黑体" w:cs="黑体"/>
                <w:sz w:val="20"/>
                <w:szCs w:val="20"/>
              </w:rPr>
            </w:pPr>
            <w:r>
              <w:rPr>
                <w:rFonts w:ascii="黑体" w:hAnsi="黑体" w:eastAsia="黑体" w:cs="黑体"/>
                <w:spacing w:val="8"/>
                <w:position w:val="20"/>
                <w:sz w:val="20"/>
                <w:szCs w:val="20"/>
              </w:rPr>
              <w:t>拟投入项目管理</w:t>
            </w:r>
          </w:p>
          <w:p>
            <w:pPr>
              <w:spacing w:line="229" w:lineRule="auto"/>
              <w:ind w:left="112"/>
              <w:rPr>
                <w:rFonts w:ascii="黑体" w:hAnsi="黑体" w:eastAsia="黑体" w:cs="黑体"/>
                <w:sz w:val="20"/>
                <w:szCs w:val="20"/>
              </w:rPr>
            </w:pPr>
            <w:r>
              <w:rPr>
                <w:rFonts w:ascii="黑体" w:hAnsi="黑体" w:eastAsia="黑体" w:cs="黑体"/>
                <w:spacing w:val="3"/>
                <w:sz w:val="20"/>
                <w:szCs w:val="20"/>
              </w:rPr>
              <w:t>人员(8</w:t>
            </w:r>
            <w:r>
              <w:rPr>
                <w:rFonts w:ascii="黑体" w:hAnsi="黑体" w:eastAsia="黑体" w:cs="黑体"/>
                <w:spacing w:val="-34"/>
                <w:sz w:val="20"/>
                <w:szCs w:val="20"/>
              </w:rPr>
              <w:t xml:space="preserve"> </w:t>
            </w:r>
            <w:r>
              <w:rPr>
                <w:rFonts w:ascii="黑体" w:hAnsi="黑体" w:eastAsia="黑体" w:cs="黑体"/>
                <w:spacing w:val="3"/>
                <w:sz w:val="20"/>
                <w:szCs w:val="20"/>
              </w:rPr>
              <w:t>分)</w:t>
            </w:r>
          </w:p>
        </w:tc>
        <w:tc>
          <w:tcPr>
            <w:tcW w:w="6094" w:type="dxa"/>
            <w:tcBorders>
              <w:right w:val="single" w:color="000000" w:sz="6" w:space="0"/>
            </w:tcBorders>
            <w:vAlign w:val="top"/>
          </w:tcPr>
          <w:p>
            <w:pPr>
              <w:spacing w:before="88" w:line="266" w:lineRule="auto"/>
              <w:ind w:left="114" w:right="50" w:hanging="3"/>
              <w:jc w:val="both"/>
              <w:rPr>
                <w:rFonts w:ascii="黑体" w:hAnsi="黑体" w:eastAsia="黑体" w:cs="黑体"/>
                <w:sz w:val="20"/>
                <w:szCs w:val="20"/>
              </w:rPr>
            </w:pPr>
            <w:r>
              <w:rPr>
                <w:rFonts w:ascii="黑体" w:hAnsi="黑体" w:eastAsia="黑体" w:cs="黑体"/>
                <w:spacing w:val="9"/>
                <w:sz w:val="20"/>
                <w:szCs w:val="20"/>
              </w:rPr>
              <w:t>项目人员组成中除安全员外，配备（施工员、质量员、材料员、资</w:t>
            </w:r>
            <w:r>
              <w:rPr>
                <w:rFonts w:ascii="黑体" w:hAnsi="黑体" w:eastAsia="黑体" w:cs="黑体"/>
                <w:spacing w:val="8"/>
                <w:sz w:val="20"/>
                <w:szCs w:val="20"/>
              </w:rPr>
              <w:t>料员）</w:t>
            </w:r>
            <w:r>
              <w:rPr>
                <w:rFonts w:ascii="黑体" w:hAnsi="黑体" w:eastAsia="黑体" w:cs="黑体"/>
                <w:spacing w:val="4"/>
                <w:sz w:val="20"/>
                <w:szCs w:val="20"/>
              </w:rPr>
              <w:t>人员满足施工要求、所附相关证明材料（有效的岗位证书和身份证）齐全，</w:t>
            </w:r>
            <w:r>
              <w:rPr>
                <w:rFonts w:ascii="黑体" w:hAnsi="黑体" w:eastAsia="黑体" w:cs="黑体"/>
                <w:spacing w:val="7"/>
                <w:sz w:val="20"/>
                <w:szCs w:val="20"/>
              </w:rPr>
              <w:t>每配备一个人员得</w:t>
            </w:r>
            <w:r>
              <w:rPr>
                <w:rFonts w:ascii="黑体" w:hAnsi="黑体" w:eastAsia="黑体" w:cs="黑体"/>
                <w:spacing w:val="-34"/>
                <w:sz w:val="20"/>
                <w:szCs w:val="20"/>
              </w:rPr>
              <w:t xml:space="preserve"> </w:t>
            </w:r>
            <w:r>
              <w:rPr>
                <w:rFonts w:ascii="黑体" w:hAnsi="黑体" w:eastAsia="黑体" w:cs="黑体"/>
                <w:spacing w:val="7"/>
                <w:sz w:val="20"/>
                <w:szCs w:val="20"/>
              </w:rPr>
              <w:t>2</w:t>
            </w:r>
            <w:r>
              <w:rPr>
                <w:rFonts w:ascii="黑体" w:hAnsi="黑体" w:eastAsia="黑体" w:cs="黑体"/>
                <w:spacing w:val="-33"/>
                <w:sz w:val="20"/>
                <w:szCs w:val="20"/>
              </w:rPr>
              <w:t xml:space="preserve"> </w:t>
            </w:r>
            <w:r>
              <w:rPr>
                <w:rFonts w:ascii="黑体" w:hAnsi="黑体" w:eastAsia="黑体" w:cs="黑体"/>
                <w:spacing w:val="7"/>
                <w:sz w:val="20"/>
                <w:szCs w:val="20"/>
              </w:rPr>
              <w:t>分，最高得</w:t>
            </w:r>
            <w:r>
              <w:rPr>
                <w:rFonts w:ascii="黑体" w:hAnsi="黑体" w:eastAsia="黑体" w:cs="黑体"/>
                <w:spacing w:val="-42"/>
                <w:sz w:val="20"/>
                <w:szCs w:val="20"/>
              </w:rPr>
              <w:t xml:space="preserve"> </w:t>
            </w:r>
            <w:r>
              <w:rPr>
                <w:rFonts w:ascii="黑体" w:hAnsi="黑体" w:eastAsia="黑体" w:cs="黑体"/>
                <w:spacing w:val="7"/>
                <w:sz w:val="20"/>
                <w:szCs w:val="20"/>
              </w:rPr>
              <w:t>8</w:t>
            </w:r>
            <w:r>
              <w:rPr>
                <w:rFonts w:ascii="黑体" w:hAnsi="黑体" w:eastAsia="黑体" w:cs="黑体"/>
                <w:spacing w:val="-33"/>
                <w:sz w:val="20"/>
                <w:szCs w:val="20"/>
              </w:rPr>
              <w:t xml:space="preserve"> </w:t>
            </w:r>
            <w:r>
              <w:rPr>
                <w:rFonts w:ascii="黑体" w:hAnsi="黑体" w:eastAsia="黑体" w:cs="黑体"/>
                <w:spacing w:val="7"/>
                <w:sz w:val="20"/>
                <w:szCs w:val="20"/>
              </w:rPr>
              <w:t>分。岗位证书不重复计分。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5" w:type="dxa"/>
            <w:vMerge w:val="restart"/>
            <w:tcBorders>
              <w:left w:val="single" w:color="000000" w:sz="6" w:space="0"/>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191" w:lineRule="auto"/>
              <w:ind w:left="199"/>
              <w:rPr>
                <w:rFonts w:ascii="黑体" w:hAnsi="黑体" w:eastAsia="黑体" w:cs="黑体"/>
                <w:sz w:val="20"/>
                <w:szCs w:val="20"/>
              </w:rPr>
            </w:pPr>
            <w:r>
              <w:rPr>
                <w:rFonts w:ascii="黑体" w:hAnsi="黑体" w:eastAsia="黑体" w:cs="黑体"/>
                <w:spacing w:val="3"/>
                <w:sz w:val="20"/>
                <w:szCs w:val="20"/>
              </w:rPr>
              <w:t>2.3.3</w:t>
            </w:r>
          </w:p>
        </w:tc>
        <w:tc>
          <w:tcPr>
            <w:tcW w:w="2089" w:type="dxa"/>
            <w:gridSpan w:val="2"/>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468" w:lineRule="exact"/>
              <w:ind w:left="663"/>
              <w:rPr>
                <w:rFonts w:ascii="黑体" w:hAnsi="黑体" w:eastAsia="黑体" w:cs="黑体"/>
                <w:sz w:val="20"/>
                <w:szCs w:val="20"/>
              </w:rPr>
            </w:pPr>
            <w:r>
              <w:rPr>
                <w:rFonts w:ascii="黑体" w:hAnsi="黑体" w:eastAsia="黑体" w:cs="黑体"/>
                <w:spacing w:val="8"/>
                <w:position w:val="20"/>
                <w:sz w:val="20"/>
                <w:szCs w:val="20"/>
              </w:rPr>
              <w:t>技术标分值</w:t>
            </w:r>
          </w:p>
          <w:p>
            <w:pPr>
              <w:spacing w:line="230" w:lineRule="auto"/>
              <w:ind w:left="761"/>
              <w:rPr>
                <w:rFonts w:ascii="黑体" w:hAnsi="黑体" w:eastAsia="黑体" w:cs="黑体"/>
                <w:sz w:val="20"/>
                <w:szCs w:val="20"/>
              </w:rPr>
            </w:pPr>
            <w:r>
              <w:rPr>
                <w:rFonts w:ascii="黑体" w:hAnsi="黑体" w:eastAsia="黑体" w:cs="黑体"/>
                <w:spacing w:val="-3"/>
                <w:sz w:val="20"/>
                <w:szCs w:val="20"/>
              </w:rPr>
              <w:t>（52</w:t>
            </w:r>
            <w:r>
              <w:rPr>
                <w:rFonts w:ascii="黑体" w:hAnsi="黑体" w:eastAsia="黑体" w:cs="黑体"/>
                <w:spacing w:val="-34"/>
                <w:sz w:val="20"/>
                <w:szCs w:val="20"/>
              </w:rPr>
              <w:t xml:space="preserve"> </w:t>
            </w:r>
            <w:r>
              <w:rPr>
                <w:rFonts w:ascii="黑体" w:hAnsi="黑体" w:eastAsia="黑体" w:cs="黑体"/>
                <w:spacing w:val="-3"/>
                <w:sz w:val="20"/>
                <w:szCs w:val="20"/>
              </w:rPr>
              <w:t>分）</w:t>
            </w:r>
          </w:p>
        </w:tc>
        <w:tc>
          <w:tcPr>
            <w:tcW w:w="6094" w:type="dxa"/>
            <w:tcBorders>
              <w:right w:val="single" w:color="000000" w:sz="6" w:space="0"/>
            </w:tcBorders>
            <w:vAlign w:val="top"/>
          </w:tcPr>
          <w:p>
            <w:pPr>
              <w:spacing w:before="136" w:line="221" w:lineRule="auto"/>
              <w:ind w:left="121"/>
              <w:rPr>
                <w:rFonts w:ascii="黑体" w:hAnsi="黑体" w:eastAsia="黑体" w:cs="黑体"/>
                <w:sz w:val="20"/>
                <w:szCs w:val="20"/>
              </w:rPr>
            </w:pPr>
            <w:r>
              <w:rPr>
                <w:rFonts w:ascii="黑体" w:hAnsi="黑体" w:eastAsia="黑体" w:cs="黑体"/>
                <w:spacing w:val="5"/>
                <w:sz w:val="20"/>
                <w:szCs w:val="20"/>
              </w:rPr>
              <w:t>1.施工方案[5-18]分；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5" w:type="dxa"/>
            <w:vMerge w:val="continue"/>
            <w:tcBorders>
              <w:top w:val="nil"/>
              <w:left w:val="single" w:color="000000" w:sz="6" w:space="0"/>
              <w:bottom w:val="nil"/>
            </w:tcBorders>
            <w:vAlign w:val="top"/>
          </w:tcPr>
          <w:p>
            <w:pPr>
              <w:rPr>
                <w:rFonts w:ascii="Arial"/>
                <w:sz w:val="21"/>
              </w:rPr>
            </w:pPr>
          </w:p>
        </w:tc>
        <w:tc>
          <w:tcPr>
            <w:tcW w:w="2089" w:type="dxa"/>
            <w:gridSpan w:val="2"/>
            <w:vMerge w:val="continue"/>
            <w:tcBorders>
              <w:top w:val="nil"/>
              <w:bottom w:val="nil"/>
            </w:tcBorders>
            <w:vAlign w:val="top"/>
          </w:tcPr>
          <w:p>
            <w:pPr>
              <w:rPr>
                <w:rFonts w:ascii="Arial"/>
                <w:sz w:val="21"/>
              </w:rPr>
            </w:pPr>
          </w:p>
        </w:tc>
        <w:tc>
          <w:tcPr>
            <w:tcW w:w="6094" w:type="dxa"/>
            <w:tcBorders>
              <w:right w:val="single" w:color="000000" w:sz="6" w:space="0"/>
            </w:tcBorders>
            <w:vAlign w:val="top"/>
          </w:tcPr>
          <w:p>
            <w:pPr>
              <w:spacing w:before="139" w:line="221" w:lineRule="auto"/>
              <w:ind w:left="109"/>
              <w:rPr>
                <w:rFonts w:ascii="黑体" w:hAnsi="黑体" w:eastAsia="黑体" w:cs="黑体"/>
                <w:sz w:val="20"/>
                <w:szCs w:val="20"/>
              </w:rPr>
            </w:pPr>
            <w:r>
              <w:rPr>
                <w:rFonts w:ascii="黑体" w:hAnsi="黑体" w:eastAsia="黑体" w:cs="黑体"/>
                <w:spacing w:val="8"/>
                <w:sz w:val="20"/>
                <w:szCs w:val="20"/>
              </w:rPr>
              <w:t>2.施工机械设备配备计划和劳动力安排计划[4-10</w:t>
            </w:r>
            <w:r>
              <w:rPr>
                <w:rFonts w:ascii="黑体" w:hAnsi="黑体" w:eastAsia="黑体" w:cs="黑体"/>
                <w:spacing w:val="7"/>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5" w:type="dxa"/>
            <w:vMerge w:val="continue"/>
            <w:tcBorders>
              <w:top w:val="nil"/>
              <w:left w:val="single" w:color="000000" w:sz="6" w:space="0"/>
              <w:bottom w:val="nil"/>
            </w:tcBorders>
            <w:vAlign w:val="top"/>
          </w:tcPr>
          <w:p>
            <w:pPr>
              <w:rPr>
                <w:rFonts w:ascii="Arial"/>
                <w:sz w:val="21"/>
              </w:rPr>
            </w:pPr>
          </w:p>
        </w:tc>
        <w:tc>
          <w:tcPr>
            <w:tcW w:w="2089" w:type="dxa"/>
            <w:gridSpan w:val="2"/>
            <w:vMerge w:val="continue"/>
            <w:tcBorders>
              <w:top w:val="nil"/>
              <w:bottom w:val="nil"/>
            </w:tcBorders>
            <w:vAlign w:val="top"/>
          </w:tcPr>
          <w:p>
            <w:pPr>
              <w:rPr>
                <w:rFonts w:ascii="Arial"/>
                <w:sz w:val="21"/>
              </w:rPr>
            </w:pPr>
          </w:p>
        </w:tc>
        <w:tc>
          <w:tcPr>
            <w:tcW w:w="6094" w:type="dxa"/>
            <w:tcBorders>
              <w:right w:val="single" w:color="000000" w:sz="6" w:space="0"/>
            </w:tcBorders>
            <w:vAlign w:val="top"/>
          </w:tcPr>
          <w:p>
            <w:pPr>
              <w:spacing w:before="140" w:line="221" w:lineRule="auto"/>
              <w:ind w:left="111"/>
              <w:rPr>
                <w:rFonts w:ascii="黑体" w:hAnsi="黑体" w:eastAsia="黑体" w:cs="黑体"/>
                <w:sz w:val="20"/>
                <w:szCs w:val="20"/>
              </w:rPr>
            </w:pPr>
            <w:r>
              <w:rPr>
                <w:rFonts w:ascii="黑体" w:hAnsi="黑体" w:eastAsia="黑体" w:cs="黑体"/>
                <w:spacing w:val="6"/>
                <w:sz w:val="20"/>
                <w:szCs w:val="20"/>
              </w:rPr>
              <w:t>3.工期保证措施[0-8]分；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15" w:type="dxa"/>
            <w:vMerge w:val="continue"/>
            <w:tcBorders>
              <w:top w:val="nil"/>
              <w:left w:val="single" w:color="000000" w:sz="6" w:space="0"/>
              <w:bottom w:val="nil"/>
            </w:tcBorders>
            <w:vAlign w:val="top"/>
          </w:tcPr>
          <w:p>
            <w:pPr>
              <w:rPr>
                <w:rFonts w:ascii="Arial"/>
                <w:sz w:val="21"/>
              </w:rPr>
            </w:pPr>
          </w:p>
        </w:tc>
        <w:tc>
          <w:tcPr>
            <w:tcW w:w="2089" w:type="dxa"/>
            <w:gridSpan w:val="2"/>
            <w:vMerge w:val="continue"/>
            <w:tcBorders>
              <w:top w:val="nil"/>
              <w:bottom w:val="nil"/>
            </w:tcBorders>
            <w:vAlign w:val="top"/>
          </w:tcPr>
          <w:p>
            <w:pPr>
              <w:rPr>
                <w:rFonts w:ascii="Arial"/>
                <w:sz w:val="21"/>
              </w:rPr>
            </w:pPr>
          </w:p>
        </w:tc>
        <w:tc>
          <w:tcPr>
            <w:tcW w:w="6094" w:type="dxa"/>
            <w:tcBorders>
              <w:right w:val="single" w:color="000000" w:sz="6" w:space="0"/>
            </w:tcBorders>
            <w:vAlign w:val="top"/>
          </w:tcPr>
          <w:p>
            <w:pPr>
              <w:spacing w:before="167" w:line="221" w:lineRule="auto"/>
              <w:ind w:left="105"/>
              <w:rPr>
                <w:rFonts w:ascii="黑体" w:hAnsi="黑体" w:eastAsia="黑体" w:cs="黑体"/>
                <w:sz w:val="20"/>
                <w:szCs w:val="20"/>
              </w:rPr>
            </w:pPr>
            <w:r>
              <w:rPr>
                <w:rFonts w:ascii="黑体" w:hAnsi="黑体" w:eastAsia="黑体" w:cs="黑体"/>
                <w:spacing w:val="7"/>
                <w:sz w:val="20"/>
                <w:szCs w:val="20"/>
              </w:rPr>
              <w:t>4.工程质量保证措施[2-8]分；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5" w:type="dxa"/>
            <w:vMerge w:val="continue"/>
            <w:tcBorders>
              <w:top w:val="nil"/>
              <w:left w:val="single" w:color="000000" w:sz="6" w:space="0"/>
              <w:bottom w:val="nil"/>
            </w:tcBorders>
            <w:vAlign w:val="top"/>
          </w:tcPr>
          <w:p>
            <w:pPr>
              <w:rPr>
                <w:rFonts w:ascii="Arial"/>
                <w:sz w:val="21"/>
              </w:rPr>
            </w:pPr>
          </w:p>
        </w:tc>
        <w:tc>
          <w:tcPr>
            <w:tcW w:w="2089" w:type="dxa"/>
            <w:gridSpan w:val="2"/>
            <w:vMerge w:val="continue"/>
            <w:tcBorders>
              <w:top w:val="nil"/>
              <w:bottom w:val="nil"/>
            </w:tcBorders>
            <w:vAlign w:val="top"/>
          </w:tcPr>
          <w:p>
            <w:pPr>
              <w:rPr>
                <w:rFonts w:ascii="Arial"/>
                <w:sz w:val="21"/>
              </w:rPr>
            </w:pPr>
          </w:p>
        </w:tc>
        <w:tc>
          <w:tcPr>
            <w:tcW w:w="6094" w:type="dxa"/>
            <w:tcBorders>
              <w:right w:val="single" w:color="000000" w:sz="6" w:space="0"/>
            </w:tcBorders>
            <w:vAlign w:val="top"/>
          </w:tcPr>
          <w:p>
            <w:pPr>
              <w:spacing w:before="140" w:line="231" w:lineRule="auto"/>
              <w:ind w:left="106"/>
              <w:rPr>
                <w:rFonts w:ascii="黑体" w:hAnsi="黑体" w:eastAsia="黑体" w:cs="黑体"/>
                <w:sz w:val="20"/>
                <w:szCs w:val="20"/>
              </w:rPr>
            </w:pPr>
            <w:r>
              <w:rPr>
                <w:rFonts w:ascii="黑体" w:hAnsi="黑体" w:eastAsia="黑体" w:cs="黑体"/>
                <w:spacing w:val="6"/>
                <w:sz w:val="20"/>
                <w:szCs w:val="20"/>
              </w:rPr>
              <w:t>5.安全保证措施[2-8]分。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15" w:type="dxa"/>
            <w:vMerge w:val="continue"/>
            <w:tcBorders>
              <w:top w:val="nil"/>
              <w:left w:val="single" w:color="000000" w:sz="6" w:space="0"/>
              <w:bottom w:val="single" w:color="000000" w:sz="6" w:space="0"/>
            </w:tcBorders>
            <w:vAlign w:val="top"/>
          </w:tcPr>
          <w:p>
            <w:pPr>
              <w:rPr>
                <w:rFonts w:ascii="Arial"/>
                <w:sz w:val="21"/>
              </w:rPr>
            </w:pPr>
          </w:p>
        </w:tc>
        <w:tc>
          <w:tcPr>
            <w:tcW w:w="2089" w:type="dxa"/>
            <w:gridSpan w:val="2"/>
            <w:vMerge w:val="continue"/>
            <w:tcBorders>
              <w:top w:val="nil"/>
              <w:bottom w:val="single" w:color="000000" w:sz="6" w:space="0"/>
            </w:tcBorders>
            <w:vAlign w:val="top"/>
          </w:tcPr>
          <w:p>
            <w:pPr>
              <w:rPr>
                <w:rFonts w:ascii="Arial"/>
                <w:sz w:val="21"/>
              </w:rPr>
            </w:pPr>
          </w:p>
        </w:tc>
        <w:tc>
          <w:tcPr>
            <w:tcW w:w="6094" w:type="dxa"/>
            <w:tcBorders>
              <w:bottom w:val="single" w:color="000000" w:sz="6" w:space="0"/>
              <w:right w:val="single" w:color="000000" w:sz="6" w:space="0"/>
            </w:tcBorders>
            <w:vAlign w:val="top"/>
          </w:tcPr>
          <w:p>
            <w:pPr>
              <w:spacing w:before="141" w:line="230" w:lineRule="auto"/>
              <w:ind w:left="111"/>
              <w:rPr>
                <w:rFonts w:ascii="黑体" w:hAnsi="黑体" w:eastAsia="黑体" w:cs="黑体"/>
                <w:sz w:val="20"/>
                <w:szCs w:val="20"/>
              </w:rPr>
            </w:pPr>
            <w:r>
              <w:rPr>
                <w:rFonts w:ascii="黑体" w:hAnsi="黑体" w:eastAsia="黑体" w:cs="黑体"/>
                <w:spacing w:val="3"/>
                <w:sz w:val="20"/>
                <w:szCs w:val="20"/>
              </w:rPr>
              <w:t>备注：</w:t>
            </w:r>
          </w:p>
          <w:p>
            <w:pPr>
              <w:spacing w:before="219" w:line="221" w:lineRule="auto"/>
              <w:ind w:left="111"/>
              <w:rPr>
                <w:rFonts w:ascii="黑体" w:hAnsi="黑体" w:eastAsia="黑体" w:cs="黑体"/>
                <w:sz w:val="20"/>
                <w:szCs w:val="20"/>
              </w:rPr>
            </w:pPr>
            <w:r>
              <w:rPr>
                <w:rFonts w:ascii="黑体" w:hAnsi="黑体" w:eastAsia="黑体" w:cs="黑体"/>
                <w:spacing w:val="9"/>
                <w:sz w:val="20"/>
                <w:szCs w:val="20"/>
              </w:rPr>
              <w:t>以上评审要素依据响应文件的具体情况，评委自主赋分。</w:t>
            </w:r>
          </w:p>
        </w:tc>
      </w:tr>
    </w:tbl>
    <w:p>
      <w:pPr>
        <w:pStyle w:val="12"/>
        <w:rPr>
          <w:rFonts w:hint="eastAsia"/>
        </w:rPr>
      </w:pPr>
    </w:p>
    <w:p>
      <w:pPr>
        <w:pStyle w:val="18"/>
        <w:rPr>
          <w:rFonts w:hint="eastAsia" w:ascii="宋体" w:hAnsi="宋体" w:eastAsia="宋体" w:cs="宋体"/>
          <w:b/>
          <w:bCs/>
          <w:szCs w:val="24"/>
        </w:rPr>
      </w:pPr>
    </w:p>
    <w:p>
      <w:pPr>
        <w:spacing w:line="360" w:lineRule="auto"/>
        <w:jc w:val="center"/>
        <w:rPr>
          <w:rFonts w:hint="eastAsia" w:ascii="宋体" w:hAnsi="宋体" w:eastAsia="宋体" w:cs="宋体"/>
          <w:b/>
          <w:snapToGrid w:val="0"/>
          <w:szCs w:val="24"/>
        </w:rPr>
      </w:pP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w:t>
      </w:r>
      <w:r>
        <w:rPr>
          <w:rFonts w:hint="eastAsia" w:ascii="宋体" w:hAnsi="宋体" w:cs="宋体"/>
          <w:b/>
          <w:snapToGrid w:val="0"/>
          <w:szCs w:val="24"/>
          <w:lang w:val="en-US" w:eastAsia="zh-CN"/>
        </w:rPr>
        <w:t>六</w:t>
      </w:r>
      <w:r>
        <w:rPr>
          <w:rFonts w:hint="eastAsia" w:ascii="宋体" w:hAnsi="宋体" w:eastAsia="宋体" w:cs="宋体"/>
          <w:b/>
          <w:snapToGrid w:val="0"/>
          <w:szCs w:val="24"/>
        </w:rPr>
        <w:t>） 授予合同</w:t>
      </w:r>
    </w:p>
    <w:p>
      <w:pPr>
        <w:spacing w:line="360" w:lineRule="auto"/>
        <w:rPr>
          <w:rFonts w:hint="eastAsia" w:ascii="宋体" w:hAnsi="宋体" w:eastAsia="宋体" w:cs="宋体"/>
          <w:b/>
          <w:bCs/>
          <w:szCs w:val="24"/>
        </w:rPr>
      </w:pPr>
      <w:bookmarkStart w:id="64" w:name="_Toc246928926"/>
      <w:bookmarkStart w:id="65" w:name="_Toc389620200"/>
      <w:bookmarkStart w:id="66" w:name="_Toc394934441"/>
      <w:bookmarkStart w:id="67" w:name="_Toc385992361"/>
      <w:r>
        <w:rPr>
          <w:rFonts w:hint="eastAsia" w:ascii="宋体" w:hAnsi="宋体" w:eastAsia="宋体" w:cs="宋体"/>
          <w:b/>
          <w:bCs/>
          <w:szCs w:val="24"/>
        </w:rPr>
        <w:t>2</w:t>
      </w:r>
      <w:r>
        <w:rPr>
          <w:rFonts w:hint="default" w:ascii="宋体" w:hAnsi="宋体" w:cs="宋体"/>
          <w:b/>
          <w:bCs/>
          <w:szCs w:val="24"/>
          <w:lang w:val="en-US"/>
        </w:rPr>
        <w:t>4</w:t>
      </w:r>
      <w:r>
        <w:rPr>
          <w:rFonts w:hint="eastAsia" w:ascii="宋体" w:hAnsi="宋体" w:eastAsia="宋体" w:cs="宋体"/>
          <w:b/>
          <w:bCs/>
          <w:szCs w:val="24"/>
        </w:rPr>
        <w:t>、成交准则</w:t>
      </w:r>
      <w:bookmarkEnd w:id="64"/>
      <w:bookmarkEnd w:id="65"/>
      <w:bookmarkEnd w:id="66"/>
      <w:bookmarkEnd w:id="67"/>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4</w:t>
      </w:r>
      <w:r>
        <w:rPr>
          <w:rFonts w:hint="eastAsia" w:ascii="宋体" w:hAnsi="宋体" w:eastAsia="宋体" w:cs="宋体"/>
          <w:szCs w:val="24"/>
        </w:rPr>
        <w:t>.1合同将授予响应文件符合磋商文件要求、并能圆满地履行合同且总得分最高的供应商。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4</w:t>
      </w:r>
      <w:r>
        <w:rPr>
          <w:rFonts w:hint="eastAsia" w:ascii="宋体" w:hAnsi="宋体" w:eastAsia="宋体" w:cs="宋体"/>
          <w:szCs w:val="24"/>
        </w:rPr>
        <w:t>.2磋商小组将根据评审方法推荐成交候选供应商名单。</w:t>
      </w:r>
      <w:bookmarkStart w:id="68" w:name="_Toc389620201"/>
      <w:bookmarkStart w:id="69" w:name="_Toc385992362"/>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4</w:t>
      </w:r>
      <w:r>
        <w:rPr>
          <w:rFonts w:hint="eastAsia" w:ascii="宋体" w:hAnsi="宋体" w:eastAsia="宋体" w:cs="宋体"/>
          <w:szCs w:val="24"/>
        </w:rPr>
        <w:t>.3采购代理机构在评审结束后将评审结论送采购人，采购人在收到评审结论后按照评审报告中推荐的成交候选供应商确定成交人。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4</w:t>
      </w:r>
      <w:r>
        <w:rPr>
          <w:rFonts w:hint="eastAsia" w:ascii="宋体" w:hAnsi="宋体" w:eastAsia="宋体" w:cs="宋体"/>
          <w:szCs w:val="24"/>
        </w:rPr>
        <w:t>.4成交人因不可抗力或自身原因不能履行合同的，采购人可以再排位在成交人之后的第一位的成交候选人签订合同，以此类推。</w:t>
      </w:r>
    </w:p>
    <w:bookmarkEnd w:id="68"/>
    <w:bookmarkEnd w:id="69"/>
    <w:p>
      <w:pPr>
        <w:spacing w:line="360" w:lineRule="auto"/>
        <w:rPr>
          <w:rFonts w:hint="eastAsia" w:ascii="宋体" w:hAnsi="宋体" w:eastAsia="宋体" w:cs="宋体"/>
          <w:b/>
          <w:bCs/>
          <w:szCs w:val="24"/>
        </w:rPr>
      </w:pPr>
      <w:bookmarkStart w:id="70" w:name="_Toc389620203"/>
      <w:bookmarkStart w:id="71" w:name="_Toc385992364"/>
      <w:bookmarkStart w:id="72" w:name="_Toc246928927"/>
      <w:bookmarkStart w:id="73" w:name="_Toc394934442"/>
      <w:r>
        <w:rPr>
          <w:rFonts w:hint="eastAsia" w:ascii="宋体" w:hAnsi="宋体" w:eastAsia="宋体" w:cs="宋体"/>
          <w:b/>
          <w:bCs/>
          <w:szCs w:val="24"/>
        </w:rPr>
        <w:t>2</w:t>
      </w:r>
      <w:r>
        <w:rPr>
          <w:rFonts w:hint="default" w:ascii="宋体" w:hAnsi="宋体" w:cs="宋体"/>
          <w:b/>
          <w:bCs/>
          <w:szCs w:val="24"/>
          <w:lang w:val="en-US"/>
        </w:rPr>
        <w:t>5</w:t>
      </w:r>
      <w:r>
        <w:rPr>
          <w:rFonts w:hint="eastAsia" w:ascii="宋体" w:hAnsi="宋体" w:eastAsia="宋体" w:cs="宋体"/>
          <w:b/>
          <w:bCs/>
          <w:szCs w:val="24"/>
        </w:rPr>
        <w:t>、定标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采购代理机构应在评审结束后2个工作日内，将评审结论送采购人确认。</w:t>
      </w:r>
    </w:p>
    <w:bookmarkEnd w:id="70"/>
    <w:bookmarkEnd w:id="71"/>
    <w:p>
      <w:pPr>
        <w:spacing w:line="360" w:lineRule="auto"/>
        <w:rPr>
          <w:rFonts w:hint="eastAsia" w:ascii="宋体" w:hAnsi="宋体" w:eastAsia="宋体" w:cs="宋体"/>
          <w:b/>
          <w:bCs/>
          <w:szCs w:val="24"/>
        </w:rPr>
      </w:pPr>
      <w:r>
        <w:rPr>
          <w:rFonts w:hint="eastAsia" w:ascii="宋体" w:hAnsi="宋体" w:eastAsia="宋体" w:cs="宋体"/>
          <w:b/>
          <w:bCs/>
          <w:szCs w:val="24"/>
        </w:rPr>
        <w:t>2</w:t>
      </w:r>
      <w:r>
        <w:rPr>
          <w:rFonts w:hint="default" w:ascii="宋体" w:hAnsi="宋体" w:cs="宋体"/>
          <w:b/>
          <w:bCs/>
          <w:szCs w:val="24"/>
          <w:lang w:val="en-US"/>
        </w:rPr>
        <w:t>6</w:t>
      </w:r>
      <w:r>
        <w:rPr>
          <w:rFonts w:hint="eastAsia" w:ascii="宋体" w:hAnsi="宋体" w:eastAsia="宋体" w:cs="宋体"/>
          <w:b/>
          <w:bCs/>
          <w:szCs w:val="24"/>
        </w:rPr>
        <w:t>、成交通知</w:t>
      </w:r>
      <w:bookmarkEnd w:id="72"/>
      <w:r>
        <w:rPr>
          <w:rFonts w:hint="eastAsia" w:ascii="宋体" w:hAnsi="宋体" w:eastAsia="宋体" w:cs="宋体"/>
          <w:b/>
          <w:bCs/>
          <w:szCs w:val="24"/>
        </w:rPr>
        <w:t>书</w:t>
      </w:r>
      <w:bookmarkEnd w:id="73"/>
    </w:p>
    <w:p>
      <w:pPr>
        <w:spacing w:line="360" w:lineRule="auto"/>
        <w:ind w:firstLine="480" w:firstLineChars="200"/>
        <w:rPr>
          <w:rFonts w:hint="eastAsia" w:ascii="宋体" w:hAnsi="宋体" w:eastAsia="宋体" w:cs="宋体"/>
          <w:szCs w:val="24"/>
        </w:rPr>
      </w:pPr>
      <w:bookmarkStart w:id="74" w:name="_Toc389620205"/>
      <w:bookmarkStart w:id="75" w:name="_Toc394934443"/>
      <w:bookmarkStart w:id="76" w:name="_Toc385992366"/>
      <w:bookmarkStart w:id="77" w:name="_Toc246928928"/>
      <w:r>
        <w:rPr>
          <w:rFonts w:hint="eastAsia" w:ascii="宋体" w:hAnsi="宋体" w:eastAsia="宋体" w:cs="宋体"/>
          <w:szCs w:val="24"/>
        </w:rPr>
        <w:t>2</w:t>
      </w:r>
      <w:r>
        <w:rPr>
          <w:rFonts w:hint="default" w:ascii="宋体" w:hAnsi="宋体" w:cs="宋体"/>
          <w:szCs w:val="24"/>
          <w:lang w:val="en-US"/>
        </w:rPr>
        <w:t>6</w:t>
      </w:r>
      <w:r>
        <w:rPr>
          <w:rFonts w:hint="eastAsia" w:ascii="宋体" w:hAnsi="宋体" w:eastAsia="宋体" w:cs="宋体"/>
          <w:szCs w:val="24"/>
        </w:rPr>
        <w:t>.1《成交通知书》将作为签订合同的依据。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6</w:t>
      </w:r>
      <w:r>
        <w:rPr>
          <w:rFonts w:hint="eastAsia" w:ascii="宋体" w:hAnsi="宋体" w:eastAsia="宋体" w:cs="宋体"/>
          <w:szCs w:val="24"/>
        </w:rPr>
        <w:t>.2对未成交者，采购代理机构和采购人不做出解释，亦不退还响应文件。</w:t>
      </w:r>
    </w:p>
    <w:p>
      <w:pPr>
        <w:spacing w:line="360" w:lineRule="auto"/>
        <w:rPr>
          <w:rFonts w:hint="eastAsia" w:ascii="宋体" w:hAnsi="宋体" w:eastAsia="宋体" w:cs="宋体"/>
          <w:b/>
          <w:bCs/>
          <w:szCs w:val="24"/>
        </w:rPr>
      </w:pPr>
      <w:r>
        <w:rPr>
          <w:rFonts w:hint="eastAsia" w:ascii="宋体" w:hAnsi="宋体" w:eastAsia="宋体" w:cs="宋体"/>
          <w:b/>
          <w:bCs/>
          <w:szCs w:val="24"/>
        </w:rPr>
        <w:t>2</w:t>
      </w:r>
      <w:r>
        <w:rPr>
          <w:rFonts w:hint="default" w:ascii="宋体" w:hAnsi="宋体" w:cs="宋体"/>
          <w:b/>
          <w:bCs/>
          <w:szCs w:val="24"/>
          <w:lang w:val="en-US"/>
        </w:rPr>
        <w:t>7</w:t>
      </w:r>
      <w:r>
        <w:rPr>
          <w:rFonts w:hint="eastAsia" w:ascii="宋体" w:hAnsi="宋体" w:eastAsia="宋体" w:cs="宋体"/>
          <w:b/>
          <w:bCs/>
          <w:szCs w:val="24"/>
        </w:rPr>
        <w:t>、签订合同</w:t>
      </w:r>
      <w:bookmarkEnd w:id="74"/>
      <w:bookmarkEnd w:id="75"/>
      <w:bookmarkEnd w:id="76"/>
      <w:bookmarkEnd w:id="77"/>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7</w:t>
      </w:r>
      <w:r>
        <w:rPr>
          <w:rFonts w:hint="eastAsia" w:ascii="宋体" w:hAnsi="宋体" w:eastAsia="宋体" w:cs="宋体"/>
          <w:szCs w:val="24"/>
        </w:rPr>
        <w:t>.1成交人应当自成交通知书发出之日起</w:t>
      </w:r>
      <w:r>
        <w:rPr>
          <w:rFonts w:hint="default" w:ascii="宋体" w:hAnsi="宋体" w:cs="宋体"/>
          <w:szCs w:val="24"/>
          <w:lang w:val="en-US"/>
        </w:rPr>
        <w:t>1</w:t>
      </w:r>
      <w:r>
        <w:rPr>
          <w:rFonts w:hint="eastAsia" w:ascii="宋体" w:hAnsi="宋体" w:eastAsia="宋体" w:cs="宋体"/>
          <w:szCs w:val="24"/>
        </w:rPr>
        <w:t>0日内，按照磋商文件确定的事项和成交人的响应文件，持成交通知书与采购人签订合同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7</w:t>
      </w:r>
      <w:r>
        <w:rPr>
          <w:rFonts w:hint="eastAsia" w:ascii="宋体" w:hAnsi="宋体" w:eastAsia="宋体" w:cs="宋体"/>
          <w:szCs w:val="24"/>
        </w:rPr>
        <w:t>.2 磋商文件、成交人的响应文件和补充文件（如澄清、承诺等）等，均为签订合同的依据。所签订的合同不得对磋商文件和成交人响应文件作实质性修改。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w:t>
      </w:r>
      <w:r>
        <w:rPr>
          <w:rFonts w:hint="default" w:ascii="宋体" w:hAnsi="宋体" w:cs="宋体"/>
          <w:szCs w:val="24"/>
          <w:lang w:val="en-US"/>
        </w:rPr>
        <w:t>7</w:t>
      </w:r>
      <w:r>
        <w:rPr>
          <w:rFonts w:hint="eastAsia" w:ascii="宋体" w:hAnsi="宋体" w:eastAsia="宋体" w:cs="宋体"/>
          <w:szCs w:val="24"/>
        </w:rPr>
        <w:t>.3采购人需追加与合同标的相同的货物、工程或服务的，在不改变合同其他条款的前提下，可以与</w:t>
      </w:r>
      <w:r>
        <w:rPr>
          <w:rFonts w:hint="eastAsia" w:ascii="宋体" w:hAnsi="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pPr>
        <w:spacing w:line="360" w:lineRule="auto"/>
        <w:ind w:firstLine="482" w:firstLineChars="200"/>
        <w:jc w:val="center"/>
        <w:rPr>
          <w:rFonts w:hint="eastAsia" w:ascii="宋体" w:hAnsi="宋体" w:eastAsia="宋体" w:cs="宋体"/>
          <w:b/>
          <w:snapToGrid w:val="0"/>
          <w:szCs w:val="24"/>
        </w:rPr>
      </w:pPr>
      <w:bookmarkStart w:id="78" w:name="_Toc506112136"/>
      <w:r>
        <w:rPr>
          <w:rFonts w:hint="eastAsia" w:ascii="宋体" w:hAnsi="宋体" w:eastAsia="宋体" w:cs="宋体"/>
          <w:b/>
          <w:bCs/>
          <w:snapToGrid w:val="0"/>
          <w:szCs w:val="24"/>
        </w:rPr>
        <w:t>（</w:t>
      </w:r>
      <w:r>
        <w:rPr>
          <w:rFonts w:hint="eastAsia" w:ascii="宋体" w:hAnsi="宋体" w:cs="宋体"/>
          <w:b/>
          <w:snapToGrid w:val="0"/>
          <w:szCs w:val="24"/>
          <w:lang w:val="en-US" w:eastAsia="zh-CN"/>
        </w:rPr>
        <w:t>七</w:t>
      </w:r>
      <w:r>
        <w:rPr>
          <w:rFonts w:hint="eastAsia" w:ascii="宋体" w:hAnsi="宋体" w:eastAsia="宋体" w:cs="宋体"/>
          <w:b/>
          <w:snapToGrid w:val="0"/>
          <w:szCs w:val="24"/>
        </w:rPr>
        <w:t>）重新组织采购活动</w:t>
      </w:r>
      <w:bookmarkEnd w:id="78"/>
    </w:p>
    <w:p>
      <w:pPr>
        <w:spacing w:line="360" w:lineRule="auto"/>
        <w:rPr>
          <w:rFonts w:hint="eastAsia" w:ascii="宋体" w:hAnsi="宋体" w:eastAsia="宋体" w:cs="宋体"/>
          <w:szCs w:val="24"/>
        </w:rPr>
      </w:pPr>
      <w:r>
        <w:rPr>
          <w:rFonts w:hint="eastAsia" w:ascii="宋体" w:hAnsi="宋体" w:cs="宋体"/>
          <w:b/>
          <w:bCs/>
          <w:szCs w:val="24"/>
          <w:lang w:val="en-US" w:eastAsia="zh-CN"/>
        </w:rPr>
        <w:t>2</w:t>
      </w:r>
      <w:r>
        <w:rPr>
          <w:rFonts w:hint="default" w:ascii="宋体" w:hAnsi="宋体" w:cs="宋体"/>
          <w:b/>
          <w:bCs/>
          <w:szCs w:val="24"/>
          <w:lang w:val="en-US" w:eastAsia="zh-CN"/>
        </w:rPr>
        <w:t>8</w:t>
      </w:r>
      <w:r>
        <w:rPr>
          <w:rFonts w:hint="eastAsia" w:ascii="宋体" w:hAnsi="宋体" w:eastAsia="宋体" w:cs="宋体"/>
          <w:b/>
          <w:bCs/>
          <w:szCs w:val="24"/>
        </w:rPr>
        <w:t>、如果发生下列情况之一，采购人和采购代理机构将按《政府采购法》、《政府采购货物和服务招标投标管理办法》（财政部第87号）等有关规定重新组织采购活动：</w:t>
      </w:r>
    </w:p>
    <w:p>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pPr>
        <w:spacing w:line="360" w:lineRule="auto"/>
        <w:jc w:val="center"/>
        <w:rPr>
          <w:rFonts w:hint="eastAsia" w:ascii="宋体" w:hAnsi="宋体" w:eastAsia="宋体" w:cs="宋体"/>
          <w:kern w:val="0"/>
          <w:sz w:val="28"/>
          <w:szCs w:val="28"/>
        </w:rPr>
      </w:pPr>
      <w:bookmarkStart w:id="79" w:name="_Toc506112138"/>
      <w:bookmarkStart w:id="80" w:name="_Toc506112139"/>
      <w:bookmarkStart w:id="81" w:name="_Toc458617743"/>
      <w:bookmarkStart w:id="82" w:name="_Toc458617466"/>
      <w:r>
        <w:rPr>
          <w:rFonts w:hint="eastAsia" w:ascii="宋体" w:hAnsi="宋体" w:eastAsia="宋体" w:cs="宋体"/>
          <w:b/>
          <w:snapToGrid w:val="0"/>
          <w:szCs w:val="24"/>
        </w:rPr>
        <w:t>（十）询问、质疑与投诉</w:t>
      </w:r>
      <w:bookmarkEnd w:id="79"/>
      <w:r>
        <w:rPr>
          <w:rFonts w:hint="eastAsia" w:ascii="宋体" w:hAnsi="宋体" w:eastAsia="宋体" w:cs="宋体"/>
          <w:b/>
          <w:snapToGrid w:val="0"/>
          <w:szCs w:val="24"/>
        </w:rPr>
        <w:t>(按照中华人民共和国财政部令第94号执行)</w:t>
      </w:r>
    </w:p>
    <w:p>
      <w:pPr>
        <w:spacing w:line="360" w:lineRule="auto"/>
        <w:rPr>
          <w:rFonts w:hint="eastAsia" w:ascii="宋体" w:hAnsi="宋体" w:eastAsia="宋体" w:cs="宋体"/>
          <w:b/>
          <w:bCs/>
          <w:szCs w:val="24"/>
        </w:rPr>
      </w:pPr>
      <w:r>
        <w:rPr>
          <w:rFonts w:hint="eastAsia" w:ascii="宋体" w:hAnsi="宋体" w:cs="宋体"/>
          <w:b/>
          <w:bCs/>
          <w:szCs w:val="24"/>
          <w:lang w:val="en-US" w:eastAsia="zh-CN"/>
        </w:rPr>
        <w:t>2</w:t>
      </w:r>
      <w:r>
        <w:rPr>
          <w:rFonts w:hint="default" w:ascii="宋体" w:hAnsi="宋体" w:cs="宋体"/>
          <w:b/>
          <w:bCs/>
          <w:szCs w:val="24"/>
          <w:lang w:val="en-US" w:eastAsia="zh-CN"/>
        </w:rPr>
        <w:t>9</w:t>
      </w:r>
      <w:r>
        <w:rPr>
          <w:rFonts w:hint="eastAsia" w:ascii="宋体" w:hAnsi="宋体" w:eastAsia="宋体" w:cs="宋体"/>
          <w:b/>
          <w:bCs/>
          <w:szCs w:val="24"/>
        </w:rPr>
        <w:t>、询问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Cs w:val="24"/>
        </w:rPr>
      </w:pPr>
      <w:r>
        <w:rPr>
          <w:rFonts w:hint="default" w:ascii="宋体" w:hAnsi="宋体" w:cs="宋体"/>
          <w:b/>
          <w:bCs/>
          <w:kern w:val="0"/>
          <w:szCs w:val="24"/>
          <w:lang w:val="en-US" w:eastAsia="zh-CN"/>
        </w:rPr>
        <w:t>30</w:t>
      </w:r>
      <w:r>
        <w:rPr>
          <w:rFonts w:hint="eastAsia" w:ascii="宋体" w:hAnsi="宋体" w:eastAsia="宋体" w:cs="宋体"/>
          <w:b/>
          <w:bCs/>
          <w:kern w:val="0"/>
          <w:szCs w:val="24"/>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.1供应商认为采购文件、采购过程、</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.2潜在供应商已依法获取其可质疑的采购文件的，可以对该文件提出质疑。对采购文件提出质疑的，应当在获取采购文件或者采购文件公告期限届满之日起7个工作日内提出。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.2.1有异议的应提供以下资料，资料不全的不予受理：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.3供应商在法定质疑期内必须一次性提出针对同一采购程序环节的质疑，多次提出相同质疑问题的采购人及采购代理机构不接收。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.4质疑供应商对采购人、采购代理机构的答复不满意，认为本次招标活动违反法律、法规和规章规定的，有权向项目</w:t>
      </w:r>
      <w:r>
        <w:rPr>
          <w:rFonts w:hint="eastAsia" w:ascii="宋体" w:hAnsi="宋体" w:cs="宋体"/>
          <w:sz w:val="24"/>
          <w:szCs w:val="24"/>
          <w:lang w:val="en-US" w:eastAsia="zh-CN"/>
        </w:rPr>
        <w:t>所在地</w:t>
      </w:r>
      <w:r>
        <w:rPr>
          <w:rFonts w:hint="eastAsia" w:ascii="宋体" w:hAnsi="宋体" w:eastAsia="宋体" w:cs="宋体"/>
          <w:sz w:val="24"/>
          <w:szCs w:val="24"/>
          <w:lang w:val="en-US" w:eastAsia="zh-CN"/>
        </w:rPr>
        <w:t>财政</w:t>
      </w:r>
      <w:r>
        <w:rPr>
          <w:rFonts w:hint="eastAsia" w:ascii="宋体" w:hAnsi="宋体" w:cs="宋体"/>
          <w:sz w:val="24"/>
          <w:szCs w:val="24"/>
          <w:lang w:val="en-US" w:eastAsia="zh-CN"/>
        </w:rPr>
        <w:t>局</w:t>
      </w:r>
      <w:r>
        <w:rPr>
          <w:rFonts w:hint="eastAsia" w:ascii="宋体" w:hAnsi="宋体" w:eastAsia="宋体" w:cs="宋体"/>
          <w:sz w:val="24"/>
          <w:szCs w:val="24"/>
          <w:lang w:val="en-US" w:eastAsia="zh-CN"/>
        </w:rPr>
        <w:t>提出投诉，质疑是投诉的前置条件；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.5其他应说明的事项：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.5.1以上材料，质疑人须在每一页上加盖公章原件及电子版送至质疑函递交地址。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.5.2质疑提出时间：质疑需在有效期内提出，逾期不予受理；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.5.3质疑递交地址：</w:t>
      </w:r>
      <w:r>
        <w:rPr>
          <w:rFonts w:hint="eastAsia" w:ascii="宋体" w:hAnsi="宋体" w:cs="宋体"/>
          <w:sz w:val="24"/>
          <w:szCs w:val="24"/>
          <w:lang w:val="en-US" w:eastAsia="zh-CN"/>
        </w:rPr>
        <w:t>子洲县财政局2号楼202室（</w:t>
      </w:r>
      <w:r>
        <w:rPr>
          <w:rFonts w:hint="eastAsia" w:ascii="宋体" w:hAnsi="宋体" w:cs="宋体"/>
          <w:sz w:val="24"/>
          <w:szCs w:val="24"/>
          <w:lang w:val="zh-CN"/>
        </w:rPr>
        <w:t>子洲县政府采购中心</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0912-7231245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cs="宋体"/>
          <w:szCs w:val="24"/>
          <w:lang w:val="en-US" w:eastAsia="zh-CN"/>
        </w:rPr>
        <w:t>0</w:t>
      </w:r>
      <w:r>
        <w:rPr>
          <w:rFonts w:hint="eastAsia" w:ascii="宋体" w:hAnsi="宋体" w:eastAsia="宋体" w:cs="宋体"/>
          <w:szCs w:val="24"/>
        </w:rPr>
        <w:t>.6投诉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w:t>
      </w:r>
      <w:r>
        <w:rPr>
          <w:rFonts w:hint="eastAsia" w:ascii="宋体" w:hAnsi="宋体" w:cs="宋体"/>
          <w:b/>
          <w:snapToGrid w:val="0"/>
          <w:szCs w:val="24"/>
          <w:lang w:val="en-US" w:eastAsia="zh-CN"/>
        </w:rPr>
        <w:t>八</w:t>
      </w:r>
      <w:r>
        <w:rPr>
          <w:rFonts w:hint="eastAsia" w:ascii="宋体" w:hAnsi="宋体" w:eastAsia="宋体" w:cs="宋体"/>
          <w:b/>
          <w:snapToGrid w:val="0"/>
          <w:szCs w:val="24"/>
        </w:rPr>
        <w:t>）拒绝商业贿赂</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Cs w:val="24"/>
        </w:rPr>
      </w:pPr>
      <w:r>
        <w:rPr>
          <w:rFonts w:hint="eastAsia" w:ascii="宋体" w:hAnsi="宋体" w:eastAsia="宋体" w:cs="宋体"/>
          <w:b w:val="0"/>
          <w:bCs w:val="0"/>
          <w:szCs w:val="24"/>
        </w:rPr>
        <w:t>3</w:t>
      </w:r>
      <w:r>
        <w:rPr>
          <w:rFonts w:hint="eastAsia" w:ascii="宋体" w:hAnsi="宋体" w:cs="宋体"/>
          <w:b w:val="0"/>
          <w:bCs w:val="0"/>
          <w:szCs w:val="24"/>
          <w:lang w:val="en-US" w:eastAsia="zh-CN"/>
        </w:rPr>
        <w:t>1</w:t>
      </w:r>
      <w:r>
        <w:rPr>
          <w:rFonts w:hint="eastAsia" w:ascii="宋体" w:hAnsi="宋体" w:eastAsia="宋体" w:cs="宋体"/>
          <w:b w:val="0"/>
          <w:bCs w:val="0"/>
          <w:szCs w:val="24"/>
        </w:rPr>
        <w:t>、遵照陕西省财政厅的规定，采购人、采购代理机构、</w:t>
      </w:r>
      <w:r>
        <w:rPr>
          <w:rFonts w:hint="eastAsia" w:ascii="宋体" w:hAnsi="宋体" w:eastAsia="宋体" w:cs="宋体"/>
          <w:b w:val="0"/>
          <w:bCs w:val="0"/>
          <w:szCs w:val="24"/>
          <w:lang w:eastAsia="zh-CN"/>
        </w:rPr>
        <w:t>供应商</w:t>
      </w:r>
      <w:r>
        <w:rPr>
          <w:rFonts w:hint="eastAsia" w:ascii="宋体" w:hAnsi="宋体" w:eastAsia="宋体" w:cs="宋体"/>
          <w:b w:val="0"/>
          <w:bCs w:val="0"/>
          <w:szCs w:val="24"/>
        </w:rPr>
        <w:t>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Cs w:val="24"/>
        </w:rPr>
      </w:pPr>
      <w:r>
        <w:rPr>
          <w:rFonts w:hint="eastAsia" w:ascii="宋体" w:hAnsi="宋体" w:eastAsia="宋体" w:cs="宋体"/>
          <w:b w:val="0"/>
          <w:bCs w:val="0"/>
          <w:szCs w:val="24"/>
        </w:rPr>
        <w:t>3</w:t>
      </w:r>
      <w:r>
        <w:rPr>
          <w:rFonts w:hint="eastAsia" w:ascii="宋体" w:hAnsi="宋体" w:cs="宋体"/>
          <w:b w:val="0"/>
          <w:bCs w:val="0"/>
          <w:szCs w:val="24"/>
          <w:lang w:val="en-US" w:eastAsia="zh-CN"/>
        </w:rPr>
        <w:t>2</w:t>
      </w:r>
      <w:r>
        <w:rPr>
          <w:rFonts w:hint="eastAsia" w:ascii="宋体" w:hAnsi="宋体" w:eastAsia="宋体" w:cs="宋体"/>
          <w:b w:val="0"/>
          <w:bCs w:val="0"/>
          <w:szCs w:val="24"/>
        </w:rPr>
        <w:t>、</w:t>
      </w:r>
      <w:r>
        <w:rPr>
          <w:rFonts w:hint="eastAsia" w:ascii="宋体" w:hAnsi="宋体" w:eastAsia="宋体" w:cs="宋体"/>
          <w:b w:val="0"/>
          <w:bCs w:val="0"/>
          <w:szCs w:val="24"/>
          <w:lang w:eastAsia="zh-CN"/>
        </w:rPr>
        <w:t>供应商</w:t>
      </w:r>
      <w:r>
        <w:rPr>
          <w:rFonts w:hint="eastAsia" w:ascii="宋体" w:hAnsi="宋体" w:eastAsia="宋体" w:cs="宋体"/>
          <w:b w:val="0"/>
          <w:bCs w:val="0"/>
          <w:szCs w:val="24"/>
        </w:rPr>
        <w:t>必须填写《拒绝政府采购领域商业贿赂承诺书》（附件）并附在</w:t>
      </w:r>
      <w:r>
        <w:rPr>
          <w:rFonts w:hint="eastAsia" w:ascii="宋体" w:hAnsi="宋体" w:eastAsia="宋体" w:cs="宋体"/>
          <w:b w:val="0"/>
          <w:bCs w:val="0"/>
          <w:szCs w:val="24"/>
          <w:lang w:eastAsia="zh-CN"/>
        </w:rPr>
        <w:t>竞争性磋商响应文件</w:t>
      </w:r>
      <w:r>
        <w:rPr>
          <w:rFonts w:hint="eastAsia" w:ascii="宋体" w:hAnsi="宋体" w:eastAsia="宋体" w:cs="宋体"/>
          <w:b w:val="0"/>
          <w:bCs w:val="0"/>
          <w:szCs w:val="24"/>
        </w:rPr>
        <w:t>中，同时应保证</w:t>
      </w:r>
      <w:r>
        <w:rPr>
          <w:rFonts w:hint="eastAsia" w:ascii="宋体" w:hAnsi="宋体" w:eastAsia="宋体" w:cs="宋体"/>
          <w:b w:val="0"/>
          <w:bCs w:val="0"/>
          <w:szCs w:val="24"/>
          <w:lang w:eastAsia="zh-CN"/>
        </w:rPr>
        <w:t>竞争性磋商响应文件</w:t>
      </w:r>
      <w:r>
        <w:rPr>
          <w:rFonts w:hint="eastAsia" w:ascii="宋体" w:hAnsi="宋体" w:eastAsia="宋体" w:cs="宋体"/>
          <w:b w:val="0"/>
          <w:bCs w:val="0"/>
          <w:szCs w:val="24"/>
        </w:rPr>
        <w:t>正、副本中一致。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napToGrid w:val="0"/>
          <w:szCs w:val="24"/>
        </w:rPr>
      </w:pPr>
      <w:r>
        <w:rPr>
          <w:rFonts w:hint="eastAsia" w:ascii="宋体" w:hAnsi="宋体" w:eastAsia="宋体" w:cs="宋体"/>
          <w:b/>
          <w:bCs/>
          <w:snapToGrid w:val="0"/>
          <w:szCs w:val="24"/>
        </w:rPr>
        <w:t>（</w:t>
      </w:r>
      <w:r>
        <w:rPr>
          <w:rFonts w:hint="eastAsia" w:ascii="宋体" w:hAnsi="宋体" w:cs="宋体"/>
          <w:b/>
          <w:bCs/>
          <w:snapToGrid w:val="0"/>
          <w:szCs w:val="24"/>
          <w:lang w:val="en-US" w:eastAsia="zh-CN"/>
        </w:rPr>
        <w:t>九</w:t>
      </w:r>
      <w:r>
        <w:rPr>
          <w:rFonts w:hint="eastAsia" w:ascii="宋体" w:hAnsi="宋体" w:eastAsia="宋体" w:cs="宋体"/>
          <w:b/>
          <w:bCs/>
          <w:snapToGrid w:val="0"/>
          <w:szCs w:val="24"/>
        </w:rPr>
        <w:t>）其他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Cs w:val="24"/>
        </w:rPr>
      </w:pPr>
      <w:r>
        <w:rPr>
          <w:rFonts w:hint="eastAsia" w:ascii="宋体" w:hAnsi="宋体" w:eastAsia="宋体" w:cs="宋体"/>
          <w:b w:val="0"/>
          <w:bCs w:val="0"/>
          <w:szCs w:val="24"/>
        </w:rPr>
        <w:t>3</w:t>
      </w:r>
      <w:r>
        <w:rPr>
          <w:rFonts w:hint="eastAsia" w:ascii="宋体" w:hAnsi="宋体" w:cs="宋体"/>
          <w:b w:val="0"/>
          <w:bCs w:val="0"/>
          <w:szCs w:val="24"/>
          <w:lang w:val="en-US" w:eastAsia="zh-CN"/>
        </w:rPr>
        <w:t>3</w:t>
      </w:r>
      <w:r>
        <w:rPr>
          <w:rFonts w:hint="eastAsia" w:ascii="宋体" w:hAnsi="宋体" w:eastAsia="宋体" w:cs="宋体"/>
          <w:b w:val="0"/>
          <w:bCs w:val="0"/>
          <w:szCs w:val="24"/>
        </w:rPr>
        <w:t>、本</w:t>
      </w:r>
      <w:r>
        <w:rPr>
          <w:rFonts w:hint="eastAsia" w:ascii="宋体" w:hAnsi="宋体" w:eastAsia="宋体" w:cs="宋体"/>
          <w:b w:val="0"/>
          <w:bCs w:val="0"/>
          <w:szCs w:val="24"/>
          <w:lang w:eastAsia="zh-CN"/>
        </w:rPr>
        <w:t>磋商文件</w:t>
      </w:r>
      <w:r>
        <w:rPr>
          <w:rFonts w:hint="eastAsia" w:ascii="宋体" w:hAnsi="宋体" w:eastAsia="宋体" w:cs="宋体"/>
          <w:b w:val="0"/>
          <w:bCs w:val="0"/>
          <w:szCs w:val="24"/>
        </w:rPr>
        <w:t>的解释权归采购人及采购代理机构所有。</w:t>
      </w:r>
    </w:p>
    <w:p>
      <w:pPr>
        <w:pStyle w:val="8"/>
        <w:spacing w:line="360" w:lineRule="auto"/>
        <w:rPr>
          <w:rFonts w:hint="eastAsia" w:ascii="宋体" w:hAnsi="宋体" w:eastAsia="宋体" w:cs="宋体"/>
          <w:b w:val="0"/>
          <w:bCs w:val="0"/>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3"/>
        <w:numPr>
          <w:ilvl w:val="0"/>
          <w:numId w:val="1"/>
        </w:numPr>
        <w:bidi w:val="0"/>
        <w:ind w:left="0" w:leftChars="0" w:firstLine="2891" w:firstLineChars="800"/>
        <w:jc w:val="center"/>
        <w:rPr>
          <w:rFonts w:hint="eastAsia"/>
        </w:rPr>
      </w:pPr>
      <w:bookmarkStart w:id="83" w:name="_Toc10411"/>
      <w:bookmarkStart w:id="84" w:name="_Toc4166"/>
      <w:bookmarkStart w:id="85" w:name="_Toc32634"/>
      <w:r>
        <w:rPr>
          <w:rFonts w:hint="eastAsia"/>
          <w:lang w:val="en-US" w:eastAsia="zh-CN"/>
        </w:rPr>
        <w:t xml:space="preserve"> </w:t>
      </w:r>
      <w:r>
        <w:rPr>
          <w:rFonts w:hint="eastAsia"/>
        </w:rPr>
        <w:t>采购内容及技术要求</w:t>
      </w:r>
      <w:bookmarkEnd w:id="83"/>
      <w:bookmarkEnd w:id="84"/>
      <w:bookmarkEnd w:id="85"/>
    </w:p>
    <w:p>
      <w:pPr>
        <w:numPr>
          <w:ilvl w:val="0"/>
          <w:numId w:val="0"/>
        </w:numPr>
        <w:rPr>
          <w:rFonts w:hint="eastAsia"/>
        </w:rPr>
      </w:pPr>
    </w:p>
    <w:p>
      <w:pPr>
        <w:numPr>
          <w:ilvl w:val="0"/>
          <w:numId w:val="2"/>
        </w:numPr>
        <w:rPr>
          <w:rFonts w:hint="eastAsia" w:ascii="宋体" w:hAnsi="宋体" w:cs="宋体"/>
          <w:b/>
          <w:bCs/>
          <w:sz w:val="28"/>
          <w:lang w:val="en-US" w:eastAsia="zh-CN"/>
        </w:rPr>
      </w:pPr>
      <w:r>
        <w:rPr>
          <w:rFonts w:hint="eastAsia" w:ascii="宋体" w:hAnsi="宋体" w:cs="宋体"/>
          <w:b/>
          <w:bCs/>
          <w:sz w:val="28"/>
          <w:lang w:val="en-US" w:eastAsia="zh-CN"/>
        </w:rPr>
        <w:t>项目实施时间、地点、工程概况、履行期限及方式</w:t>
      </w:r>
    </w:p>
    <w:p>
      <w:pPr>
        <w:pStyle w:val="15"/>
        <w:numPr>
          <w:ilvl w:val="0"/>
          <w:numId w:val="3"/>
        </w:numPr>
        <w:ind w:leftChars="100" w:right="1680" w:rightChars="700"/>
        <w:rPr>
          <w:rFonts w:hint="eastAsia" w:ascii="宋体" w:hAnsi="宋体" w:cs="宋体"/>
          <w:b w:val="0"/>
          <w:bCs w:val="0"/>
          <w:kern w:val="2"/>
          <w:sz w:val="28"/>
          <w:szCs w:val="24"/>
          <w:lang w:val="en-US" w:eastAsia="zh-CN" w:bidi="ar-SA"/>
        </w:rPr>
      </w:pPr>
      <w:r>
        <w:rPr>
          <w:rFonts w:hint="eastAsia" w:ascii="宋体" w:hAnsi="宋体" w:cs="宋体"/>
          <w:b w:val="0"/>
          <w:bCs w:val="0"/>
          <w:kern w:val="2"/>
          <w:sz w:val="28"/>
          <w:szCs w:val="24"/>
          <w:lang w:val="en-US" w:eastAsia="zh-CN" w:bidi="ar-SA"/>
        </w:rPr>
        <w:t>项目实施时间:合同签订后开始实施</w:t>
      </w:r>
    </w:p>
    <w:p>
      <w:pPr>
        <w:pStyle w:val="15"/>
        <w:numPr>
          <w:ilvl w:val="0"/>
          <w:numId w:val="3"/>
        </w:numPr>
        <w:ind w:leftChars="100" w:right="1680" w:rightChars="700"/>
        <w:rPr>
          <w:rFonts w:hint="default" w:ascii="宋体" w:hAnsi="宋体" w:cs="宋体"/>
          <w:b w:val="0"/>
          <w:bCs w:val="0"/>
          <w:kern w:val="2"/>
          <w:sz w:val="28"/>
          <w:szCs w:val="24"/>
          <w:lang w:val="en-US" w:eastAsia="zh-CN" w:bidi="ar-SA"/>
        </w:rPr>
      </w:pPr>
      <w:r>
        <w:rPr>
          <w:rFonts w:hint="eastAsia" w:ascii="宋体" w:hAnsi="宋体" w:cs="宋体"/>
          <w:b w:val="0"/>
          <w:bCs w:val="0"/>
          <w:kern w:val="2"/>
          <w:sz w:val="28"/>
          <w:szCs w:val="24"/>
          <w:lang w:val="en-US" w:eastAsia="zh-CN" w:bidi="ar-SA"/>
        </w:rPr>
        <w:t>项目实施地点:子洲县委办公大楼</w:t>
      </w:r>
    </w:p>
    <w:p>
      <w:pPr>
        <w:numPr>
          <w:ilvl w:val="0"/>
          <w:numId w:val="0"/>
        </w:numPr>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基本概况：142间办公室内部铺设竹木底板共计2130平米，拆除原有水泥踢脚线为实木踢脚线，共计238.56平米，包暖气片213平米，更换电线及配管各3550米，更换办公室房门锁芯142个，办公室及楼道刷喷涂料共计10028平米。达到节约实用的整体目标，达到美观完善的办公及生活环境。</w:t>
      </w:r>
    </w:p>
    <w:p>
      <w:pPr>
        <w:pStyle w:val="15"/>
        <w:numPr>
          <w:ilvl w:val="0"/>
          <w:numId w:val="0"/>
        </w:numPr>
        <w:ind w:right="0" w:rightChars="0"/>
        <w:jc w:val="left"/>
        <w:rPr>
          <w:rFonts w:hint="eastAsia" w:ascii="宋体" w:hAnsi="宋体" w:cs="宋体"/>
          <w:kern w:val="2"/>
          <w:sz w:val="28"/>
          <w:szCs w:val="28"/>
          <w:lang w:val="en-US" w:eastAsia="zh-CN" w:bidi="ar-SA"/>
        </w:rPr>
      </w:pPr>
      <w:r>
        <w:rPr>
          <w:rFonts w:hint="eastAsia"/>
          <w:lang w:val="en-US" w:eastAsia="zh-CN"/>
        </w:rPr>
        <w:t xml:space="preserve">  </w:t>
      </w:r>
      <w:r>
        <w:rPr>
          <w:rFonts w:hint="eastAsia" w:ascii="宋体" w:hAnsi="宋体" w:eastAsia="宋体" w:cs="宋体"/>
          <w:sz w:val="28"/>
          <w:szCs w:val="28"/>
        </w:rPr>
        <w:t>4、</w:t>
      </w:r>
      <w:r>
        <w:rPr>
          <w:rFonts w:hint="eastAsia" w:ascii="宋体" w:hAnsi="宋体" w:cs="宋体"/>
          <w:kern w:val="2"/>
          <w:sz w:val="28"/>
          <w:szCs w:val="28"/>
          <w:lang w:val="en-US" w:eastAsia="zh-CN" w:bidi="ar-SA"/>
        </w:rPr>
        <w:t>履行期限及方式:项目须于签订合同后45日内（施工期间不得影响机关正常办公）完成施工任务，并达到验收合格标准。</w:t>
      </w:r>
    </w:p>
    <w:p>
      <w:pPr>
        <w:pStyle w:val="15"/>
        <w:numPr>
          <w:ilvl w:val="0"/>
          <w:numId w:val="0"/>
        </w:numPr>
        <w:ind w:right="0" w:rightChars="0" w:firstLine="280" w:firstLineChars="100"/>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5、质量要求:达到国家、行业相关规范、规定合格标准。</w:t>
      </w:r>
    </w:p>
    <w:p>
      <w:pPr>
        <w:pStyle w:val="15"/>
        <w:numPr>
          <w:ilvl w:val="0"/>
          <w:numId w:val="0"/>
        </w:numPr>
        <w:ind w:right="1680" w:rightChars="700"/>
        <w:rPr>
          <w:rFonts w:hint="eastAsia" w:ascii="宋体" w:hAnsi="宋体" w:eastAsia="宋体" w:cs="宋体"/>
          <w:b/>
          <w:bCs/>
          <w:sz w:val="28"/>
          <w:lang w:val="en-US" w:eastAsia="zh-CN"/>
        </w:rPr>
      </w:pPr>
      <w:r>
        <w:rPr>
          <w:rFonts w:hint="eastAsia" w:ascii="宋体" w:hAnsi="宋体" w:cs="宋体"/>
          <w:b/>
          <w:bCs/>
          <w:sz w:val="28"/>
          <w:lang w:val="en-US" w:eastAsia="zh-CN"/>
        </w:rPr>
        <w:t>二</w:t>
      </w:r>
      <w:r>
        <w:rPr>
          <w:rFonts w:hint="eastAsia" w:ascii="宋体" w:hAnsi="宋体" w:eastAsia="宋体" w:cs="宋体"/>
          <w:b/>
          <w:bCs/>
          <w:sz w:val="28"/>
          <w:lang w:val="en-US" w:eastAsia="zh-CN"/>
        </w:rPr>
        <w:t>、技术要求：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1、依据设计文件的要求，本招标工程项目的材料、设备、施工须达到所涉及到的现行中华人民共和国以及省、自治区、直辖市或行业的工程建设标准、规范的要求。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2、根据工程设计要求，该项工程项目的材料、设备、施工除必须达到以上标准外，还应满足设计要求和业主在招标文件中的有关规定。</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3、该工程项目的材料、设备、施工如无上述1、2条的标准，在材料、设备的订货采购和施工安装时，应出具生产厂家或施工安装企业技术监督部门已备案企业标准，并经业主批准后方可实施。</w:t>
      </w:r>
    </w:p>
    <w:p>
      <w:pPr>
        <w:spacing w:line="360" w:lineRule="auto"/>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cs="宋体"/>
          <w:sz w:val="28"/>
          <w:szCs w:val="28"/>
          <w:lang w:val="en-US" w:eastAsia="zh-CN"/>
        </w:rPr>
        <w:t>验收方式:由采购单位组织有关专业人员按相关的国家标准、质量标准和采购文件所列的各项要求进行验收。</w:t>
      </w:r>
    </w:p>
    <w:p>
      <w:pPr>
        <w:rPr>
          <w:rFonts w:hint="eastAsia"/>
        </w:rPr>
      </w:pPr>
      <w:r>
        <w:rPr>
          <w:rFonts w:hint="eastAsia" w:ascii="宋体" w:hAnsi="宋体" w:cs="宋体"/>
          <w:b/>
          <w:bCs/>
          <w:sz w:val="28"/>
          <w:lang w:val="en-US" w:eastAsia="zh-CN"/>
        </w:rPr>
        <w:t>三、工程量清单</w:t>
      </w:r>
    </w:p>
    <w:tbl>
      <w:tblPr>
        <w:tblStyle w:val="26"/>
        <w:tblW w:w="8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261"/>
        <w:gridCol w:w="2259"/>
        <w:gridCol w:w="959"/>
        <w:gridCol w:w="959"/>
        <w:gridCol w:w="2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  名  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分部分项工程费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(综合单价× 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可能发生的差价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措施项目费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(综合单价× 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可能发生的差价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其中：安全文明施工措施费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其他项目费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(综合单价× 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可能发生的差价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建筑施工安全生产责任保险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税前工程造价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人工土石方工程综合系数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机械土石方工程综合系数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桩基工程综合系数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土建工程综合系数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增值税销项税额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附加税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8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20104002001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竹木地板</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铺在水泥地面上：石塑地板，厚0.6cm,宽20cm，暗灰色，防水、防火、防腐、耐磨、环保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20105006001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木质踢脚线</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238.56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安装踢脚线 实木材质、厚1cm、高12cm、黑色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AB</w:t>
            </w:r>
            <w:r>
              <w:rPr>
                <w:rStyle w:val="99"/>
                <w:lang w:val="en-US" w:eastAsia="zh-CN" w:bidi="ar"/>
              </w:rPr>
              <w:t>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拆除旧踢脚线</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1988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AB</w:t>
            </w:r>
            <w:r>
              <w:rPr>
                <w:rStyle w:val="99"/>
                <w:lang w:val="en-US" w:eastAsia="zh-CN" w:bidi="ar"/>
              </w:rPr>
              <w:t>002</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砍墙皮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10028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20507001001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刷喷涂料（楼道及办公室）</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10028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水泥砂浆，内砖墙面16MM  刮大白浆2遍、刷喷防水、耐高温、阻燃、耐磨、抗菌环保乳胶漆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20602001001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饰面板暖气罩</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抗压、耐高温、阻燃、板厚1.5cm、白色大理石、柚木板挂板式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30212001001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电气配管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3550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PC20材质、明装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30212003001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电气配线</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3550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管内穿线 BYJ-2.5 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30204031001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小电器:插座</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安装 二三电源插座、典雅白色、耐高温、防漏电\16A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AB</w:t>
            </w:r>
            <w:r>
              <w:rPr>
                <w:rStyle w:val="99"/>
                <w:lang w:val="en-US" w:eastAsia="zh-CN" w:bidi="ar"/>
              </w:rPr>
              <w:t>004</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办公室换锁芯</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更换 C级量子双排A、B锁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AB</w:t>
            </w:r>
            <w:r>
              <w:rPr>
                <w:rStyle w:val="99"/>
                <w:lang w:val="en-US" w:eastAsia="zh-CN" w:bidi="ar"/>
              </w:rPr>
              <w:t>003</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垃圾外运</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项</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拆除后垃圾外运</w:t>
            </w:r>
          </w:p>
        </w:tc>
      </w:tr>
    </w:tbl>
    <w:p>
      <w:pPr>
        <w:rPr>
          <w:rFonts w:hint="eastAsia"/>
        </w:rPr>
      </w:pPr>
    </w:p>
    <w:p/>
    <w:p/>
    <w:p>
      <w:pPr>
        <w:pStyle w:val="8"/>
        <w:rPr>
          <w:rFonts w:hint="eastAsia"/>
        </w:rPr>
      </w:pPr>
    </w:p>
    <w:p>
      <w:pPr>
        <w:pStyle w:val="9"/>
        <w:rPr>
          <w:rFonts w:hint="eastAsia"/>
        </w:rPr>
      </w:pPr>
    </w:p>
    <w:p>
      <w:pPr>
        <w:rPr>
          <w:rFonts w:hint="eastAsia"/>
        </w:rPr>
      </w:pPr>
    </w:p>
    <w:p>
      <w:pPr>
        <w:pStyle w:val="8"/>
        <w:rPr>
          <w:rFonts w:hint="eastAsia"/>
        </w:rPr>
      </w:pPr>
    </w:p>
    <w:p>
      <w:pPr>
        <w:pStyle w:val="9"/>
        <w:rPr>
          <w:rFonts w:hint="eastAsia"/>
        </w:rPr>
      </w:pPr>
    </w:p>
    <w:p>
      <w:pPr>
        <w:pStyle w:val="9"/>
        <w:rPr>
          <w:rFonts w:hint="eastAsia"/>
          <w:lang w:val="en-US" w:eastAsia="zh-CN"/>
        </w:rPr>
      </w:pPr>
    </w:p>
    <w:p>
      <w:pPr>
        <w:numPr>
          <w:ilvl w:val="0"/>
          <w:numId w:val="4"/>
        </w:numPr>
        <w:ind w:left="2880" w:leftChars="0" w:firstLine="0" w:firstLineChars="0"/>
        <w:rPr>
          <w:rFonts w:hint="eastAsia"/>
          <w:sz w:val="36"/>
          <w:szCs w:val="36"/>
        </w:rPr>
        <w:sectPr>
          <w:headerReference r:id="rId9" w:type="first"/>
          <w:footerReference r:id="rId11" w:type="first"/>
          <w:headerReference r:id="rId8" w:type="default"/>
          <w:footerReference r:id="rId10"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86" w:name="_Toc5822"/>
      <w:bookmarkStart w:id="87" w:name="_Toc12457"/>
      <w:bookmarkStart w:id="88" w:name="_Toc23302"/>
    </w:p>
    <w:p>
      <w:pPr>
        <w:numPr>
          <w:ilvl w:val="0"/>
          <w:numId w:val="0"/>
        </w:numPr>
        <w:ind w:firstLine="3253" w:firstLineChars="900"/>
        <w:outlineLvl w:val="0"/>
        <w:rPr>
          <w:rFonts w:hint="eastAsia"/>
          <w:b/>
          <w:bCs/>
          <w:sz w:val="36"/>
          <w:szCs w:val="36"/>
        </w:rPr>
      </w:pPr>
      <w:r>
        <w:rPr>
          <w:rFonts w:hint="eastAsia"/>
          <w:b/>
          <w:bCs/>
          <w:sz w:val="36"/>
          <w:szCs w:val="36"/>
          <w:lang w:eastAsia="zh-CN"/>
        </w:rPr>
        <w:t>第四章</w:t>
      </w:r>
      <w:r>
        <w:rPr>
          <w:rFonts w:hint="eastAsia"/>
          <w:b/>
          <w:bCs/>
          <w:sz w:val="36"/>
          <w:szCs w:val="36"/>
        </w:rPr>
        <w:t xml:space="preserve"> </w:t>
      </w:r>
      <w:bookmarkStart w:id="89" w:name="_Toc8609"/>
      <w:r>
        <w:rPr>
          <w:rFonts w:hint="eastAsia"/>
          <w:b/>
          <w:bCs/>
          <w:sz w:val="36"/>
          <w:szCs w:val="36"/>
        </w:rPr>
        <w:t>商务要求</w:t>
      </w:r>
      <w:bookmarkEnd w:id="86"/>
      <w:bookmarkEnd w:id="87"/>
      <w:bookmarkEnd w:id="88"/>
      <w:bookmarkEnd w:id="89"/>
    </w:p>
    <w:p>
      <w:pPr>
        <w:pStyle w:val="12"/>
        <w:numPr>
          <w:ilvl w:val="0"/>
          <w:numId w:val="0"/>
        </w:numPr>
        <w:rPr>
          <w:rFonts w:hint="eastAsia"/>
          <w:b w:val="0"/>
          <w:bCs w:val="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Cs w:val="24"/>
          <w:lang w:val="en-US" w:eastAsia="zh-CN"/>
        </w:rPr>
      </w:pPr>
      <w:r>
        <w:rPr>
          <w:rFonts w:hint="eastAsia" w:ascii="宋体" w:hAnsi="宋体"/>
          <w:b/>
          <w:color w:val="auto"/>
          <w:sz w:val="24"/>
          <w:highlight w:val="none"/>
        </w:rPr>
        <w:t>一、</w:t>
      </w:r>
      <w:r>
        <w:rPr>
          <w:rFonts w:hint="eastAsia" w:ascii="宋体" w:hAnsi="宋体"/>
          <w:b/>
          <w:color w:val="auto"/>
          <w:sz w:val="24"/>
          <w:highlight w:val="none"/>
          <w:lang w:eastAsia="zh-CN"/>
        </w:rPr>
        <w:t>服务期限：</w:t>
      </w:r>
      <w:r>
        <w:rPr>
          <w:rFonts w:hint="eastAsia" w:ascii="宋体" w:hAnsi="宋体" w:cs="宋体"/>
          <w:kern w:val="2"/>
          <w:sz w:val="28"/>
          <w:szCs w:val="28"/>
          <w:lang w:val="en-US" w:eastAsia="zh-CN" w:bidi="ar-SA"/>
        </w:rPr>
        <w:t>项</w:t>
      </w:r>
      <w:r>
        <w:rPr>
          <w:rFonts w:hint="eastAsia" w:ascii="宋体" w:hAnsi="宋体" w:eastAsia="宋体" w:cs="宋体"/>
          <w:kern w:val="0"/>
          <w:szCs w:val="24"/>
          <w:lang w:val="en-US" w:eastAsia="zh-CN"/>
        </w:rPr>
        <w:t>目须于签订合同后45日内（施工期间不得影响机关正常办公）完成施工任务，并达到验收合格标准。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Cs w:val="24"/>
        </w:rPr>
      </w:pPr>
      <w:r>
        <w:rPr>
          <w:rFonts w:hint="eastAsia" w:ascii="宋体" w:hAnsi="宋体" w:eastAsia="宋体" w:cs="Times New Roman"/>
          <w:b/>
          <w:color w:val="auto"/>
          <w:sz w:val="24"/>
          <w:highlight w:val="none"/>
          <w:lang w:eastAsia="zh-CN"/>
        </w:rPr>
        <w:t>二、</w:t>
      </w:r>
      <w:r>
        <w:rPr>
          <w:rFonts w:hint="eastAsia" w:ascii="宋体" w:hAnsi="宋体" w:eastAsia="宋体" w:cs="Times New Roman"/>
          <w:b/>
          <w:color w:val="auto"/>
          <w:sz w:val="24"/>
          <w:highlight w:val="none"/>
          <w:lang w:val="en-US" w:eastAsia="zh-CN"/>
        </w:rPr>
        <w:t>项目实施地点:</w:t>
      </w:r>
      <w:r>
        <w:rPr>
          <w:rFonts w:hint="eastAsia" w:ascii="宋体" w:hAnsi="宋体" w:eastAsia="宋体" w:cs="宋体"/>
          <w:kern w:val="0"/>
          <w:szCs w:val="24"/>
          <w:lang w:val="en-US" w:eastAsia="zh-CN"/>
        </w:rPr>
        <w:t>子洲县委办公大楼</w:t>
      </w:r>
      <w:r>
        <w:rPr>
          <w:rFonts w:hint="eastAsia" w:ascii="宋体" w:hAnsi="宋体" w:eastAsia="宋体" w:cs="宋体"/>
          <w:kern w:val="0"/>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color w:val="auto"/>
          <w:sz w:val="24"/>
          <w:highlight w:val="none"/>
          <w:lang w:eastAsia="zh-CN"/>
        </w:rPr>
      </w:pPr>
      <w:r>
        <w:rPr>
          <w:rFonts w:hint="eastAsia" w:ascii="宋体" w:hAnsi="宋体" w:eastAsia="宋体" w:cs="Times New Roman"/>
          <w:b/>
          <w:color w:val="auto"/>
          <w:sz w:val="24"/>
          <w:highlight w:val="none"/>
          <w:lang w:eastAsia="zh-CN"/>
        </w:rPr>
        <w:t>三、付款方式：</w:t>
      </w:r>
      <w:r>
        <w:rPr>
          <w:rFonts w:hint="eastAsia" w:ascii="宋体" w:hAnsi="宋体" w:eastAsia="宋体" w:cs="宋体"/>
          <w:kern w:val="0"/>
          <w:szCs w:val="24"/>
          <w:lang w:val="en-US" w:eastAsia="zh-CN"/>
        </w:rPr>
        <w:t>采购合同签订7个工作日后，甲方向乙方预付合同金额的40%；当施工进度达到总工程量的50%，甲方向乙方支付合同金额的30%；竣工后，验收合格且满足合同约定的其他条件，甲方支付合同金额的25%，预留5%的质量保证金，无质量问题后年底付清（工程价格以审计结算价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color w:val="auto"/>
          <w:sz w:val="24"/>
          <w:highlight w:val="none"/>
          <w:lang w:eastAsia="zh-CN"/>
        </w:rPr>
      </w:pPr>
      <w:r>
        <w:rPr>
          <w:rFonts w:hint="eastAsia" w:ascii="宋体" w:hAnsi="宋体" w:eastAsia="宋体" w:cs="Times New Roman"/>
          <w:b/>
          <w:color w:val="auto"/>
          <w:sz w:val="24"/>
          <w:highlight w:val="none"/>
          <w:lang w:eastAsia="zh-CN"/>
        </w:rPr>
        <w:t>四、违约责任：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1</w:t>
      </w:r>
      <w:r>
        <w:rPr>
          <w:rFonts w:hint="eastAsia" w:ascii="宋体" w:hAnsi="宋体" w:eastAsia="宋体" w:cs="宋体"/>
          <w:kern w:val="0"/>
          <w:szCs w:val="24"/>
          <w:lang w:eastAsia="zh-CN"/>
        </w:rPr>
        <w:t>.</w:t>
      </w:r>
      <w:r>
        <w:rPr>
          <w:rFonts w:hint="eastAsia" w:ascii="宋体" w:hAnsi="宋体" w:eastAsia="宋体" w:cs="宋体"/>
          <w:kern w:val="0"/>
          <w:szCs w:val="24"/>
        </w:rPr>
        <w:t>按《中华人民共和国</w:t>
      </w:r>
      <w:r>
        <w:rPr>
          <w:rFonts w:hint="eastAsia" w:ascii="宋体" w:hAnsi="宋体" w:eastAsia="宋体" w:cs="宋体"/>
          <w:kern w:val="0"/>
          <w:szCs w:val="24"/>
          <w:lang w:val="en-US" w:eastAsia="zh-CN"/>
        </w:rPr>
        <w:t>民法典</w:t>
      </w:r>
      <w:r>
        <w:rPr>
          <w:rFonts w:hint="eastAsia" w:ascii="宋体" w:hAnsi="宋体" w:eastAsia="宋体" w:cs="宋体"/>
          <w:kern w:val="0"/>
          <w:szCs w:val="24"/>
        </w:rPr>
        <w:t>》中的相关条款执行；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2</w:t>
      </w:r>
      <w:r>
        <w:rPr>
          <w:rFonts w:hint="eastAsia" w:ascii="宋体" w:hAnsi="宋体" w:eastAsia="宋体" w:cs="宋体"/>
          <w:kern w:val="0"/>
          <w:szCs w:val="24"/>
          <w:lang w:eastAsia="zh-CN"/>
        </w:rPr>
        <w:t>.</w:t>
      </w:r>
      <w:r>
        <w:rPr>
          <w:rFonts w:hint="eastAsia" w:ascii="宋体" w:hAnsi="宋体" w:eastAsia="宋体" w:cs="宋体"/>
          <w:kern w:val="0"/>
          <w:szCs w:val="24"/>
        </w:rPr>
        <w:t>未按合同要求提供</w:t>
      </w:r>
      <w:r>
        <w:rPr>
          <w:rFonts w:hint="eastAsia" w:ascii="宋体" w:hAnsi="宋体" w:eastAsia="宋体" w:cs="宋体"/>
          <w:kern w:val="0"/>
          <w:szCs w:val="24"/>
          <w:lang w:val="en-US" w:eastAsia="zh-CN"/>
        </w:rPr>
        <w:t>服务</w:t>
      </w:r>
      <w:r>
        <w:rPr>
          <w:rFonts w:hint="eastAsia" w:ascii="宋体" w:hAnsi="宋体" w:eastAsia="宋体" w:cs="宋体"/>
          <w:kern w:val="0"/>
          <w:szCs w:val="24"/>
        </w:rPr>
        <w:t>质量不能满足技术要求，采购人有权终止合同，同时报请政府采购管理部门对其违约行为进行追究。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color w:val="auto"/>
          <w:sz w:val="24"/>
          <w:highlight w:val="none"/>
          <w:lang w:eastAsia="zh-CN"/>
        </w:rPr>
      </w:pPr>
      <w:r>
        <w:rPr>
          <w:rFonts w:hint="eastAsia" w:ascii="宋体" w:hAnsi="宋体" w:eastAsia="宋体" w:cs="Times New Roman"/>
          <w:b/>
          <w:color w:val="auto"/>
          <w:sz w:val="24"/>
          <w:highlight w:val="none"/>
          <w:lang w:eastAsia="zh-CN"/>
        </w:rPr>
        <w:t>五、验收：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 xml:space="preserve">按照采购合同的约定和现行国家标准、行业标准以及企业标准对每一项技术、服务、安全标准的履约情况进行确认。由代理机构和采购方组织，代理机构与采购方共同验收，验收合格后出具验收证明。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val="en-US" w:eastAsia="zh-CN"/>
        </w:rPr>
        <w:t>验收依据：</w:t>
      </w:r>
      <w:r>
        <w:rPr>
          <w:rFonts w:hint="eastAsia" w:ascii="宋体" w:hAnsi="宋体" w:eastAsia="宋体" w:cs="宋体"/>
          <w:kern w:val="0"/>
          <w:szCs w:val="24"/>
        </w:rPr>
        <w:t>合同文本、磋商文件、磋商响应文件；国家或行业标准、规范等规定的标准和方法。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0" w:name="_Toc3556"/>
      <w:bookmarkStart w:id="91" w:name="_Toc547"/>
      <w:bookmarkStart w:id="92" w:name="_Toc22043"/>
      <w:bookmarkStart w:id="93" w:name="_Toc19045_WPSOffice_Level1"/>
    </w:p>
    <w:p>
      <w:pPr>
        <w:pStyle w:val="3"/>
        <w:numPr>
          <w:ilvl w:val="0"/>
          <w:numId w:val="0"/>
        </w:numPr>
        <w:bidi w:val="0"/>
        <w:ind w:firstLine="2891" w:firstLineChars="800"/>
        <w:jc w:val="both"/>
        <w:rPr>
          <w:rFonts w:hint="eastAsia"/>
        </w:rPr>
      </w:pPr>
      <w:bookmarkStart w:id="94" w:name="_Toc24962"/>
      <w:r>
        <w:rPr>
          <w:rFonts w:hint="eastAsia"/>
          <w:lang w:eastAsia="zh-CN"/>
        </w:rPr>
        <w:t>第五章</w:t>
      </w:r>
      <w:r>
        <w:rPr>
          <w:rFonts w:hint="eastAsia"/>
          <w:lang w:val="en-US" w:eastAsia="zh-CN"/>
        </w:rPr>
        <w:t xml:space="preserve"> </w:t>
      </w:r>
      <w:r>
        <w:rPr>
          <w:rFonts w:hint="eastAsia"/>
        </w:rPr>
        <w:t>响应文件格式</w:t>
      </w:r>
      <w:bookmarkEnd w:id="90"/>
      <w:bookmarkEnd w:id="91"/>
      <w:bookmarkEnd w:id="92"/>
      <w:bookmarkEnd w:id="93"/>
      <w:bookmarkEnd w:id="94"/>
    </w:p>
    <w:p>
      <w:pPr>
        <w:widowControl w:val="0"/>
        <w:numPr>
          <w:ilvl w:val="0"/>
          <w:numId w:val="0"/>
        </w:numPr>
        <w:jc w:val="both"/>
        <w:rPr>
          <w:rFonts w:hint="eastAsia"/>
        </w:rPr>
      </w:pPr>
    </w:p>
    <w:p>
      <w:pPr>
        <w:pStyle w:val="43"/>
        <w:rPr>
          <w:rFonts w:hint="eastAsia"/>
        </w:rPr>
      </w:pPr>
    </w:p>
    <w:p>
      <w:pPr>
        <w:spacing w:line="360" w:lineRule="auto"/>
        <w:ind w:left="105"/>
        <w:jc w:val="both"/>
        <w:rPr>
          <w:rFonts w:hint="eastAsia" w:ascii="宋体" w:hAnsi="宋体" w:cs="宋体"/>
          <w:b/>
          <w:bCs/>
          <w:sz w:val="32"/>
          <w:szCs w:val="32"/>
          <w:lang w:eastAsia="zh-CN"/>
        </w:rPr>
      </w:pPr>
      <w:bookmarkStart w:id="95" w:name="_Toc184794035"/>
      <w:bookmarkStart w:id="96" w:name="_Toc257126854"/>
      <w:r>
        <w:rPr>
          <w:rFonts w:hint="eastAsia" w:ascii="宋体" w:hAnsi="宋体" w:cs="宋体"/>
          <w:b/>
          <w:bCs/>
          <w:sz w:val="32"/>
          <w:szCs w:val="32"/>
          <w:lang w:eastAsia="zh-CN"/>
        </w:rPr>
        <w:t>采购项目编号：</w:t>
      </w:r>
    </w:p>
    <w:p>
      <w:pPr>
        <w:pStyle w:val="18"/>
        <w:rPr>
          <w:rFonts w:hint="eastAsia" w:ascii="宋体" w:hAnsi="宋体" w:cs="宋体"/>
          <w:b/>
          <w:bCs/>
          <w:sz w:val="32"/>
          <w:szCs w:val="32"/>
          <w:lang w:eastAsia="zh-CN"/>
        </w:rPr>
      </w:pPr>
    </w:p>
    <w:p>
      <w:pPr>
        <w:pStyle w:val="18"/>
        <w:rPr>
          <w:rFonts w:hint="eastAsia" w:ascii="宋体" w:hAnsi="宋体" w:cs="宋体"/>
          <w:b/>
          <w:bCs/>
          <w:sz w:val="32"/>
          <w:szCs w:val="32"/>
          <w:lang w:eastAsia="zh-CN"/>
        </w:rPr>
      </w:pPr>
    </w:p>
    <w:bookmarkEnd w:id="95"/>
    <w:bookmarkEnd w:id="96"/>
    <w:p>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子洲县委办公用房维修改造工程</w:t>
      </w:r>
    </w:p>
    <w:p>
      <w:pPr>
        <w:pStyle w:val="18"/>
        <w:spacing w:line="360" w:lineRule="auto"/>
        <w:rPr>
          <w:rFonts w:hint="eastAsia" w:ascii="宋体" w:hAnsi="宋体" w:eastAsia="宋体" w:cs="宋体"/>
          <w:b/>
          <w:bCs/>
          <w:sz w:val="52"/>
        </w:rPr>
      </w:pPr>
    </w:p>
    <w:p>
      <w:pPr>
        <w:pStyle w:val="18"/>
        <w:spacing w:line="360" w:lineRule="auto"/>
        <w:rPr>
          <w:rFonts w:hint="eastAsia" w:ascii="宋体" w:hAnsi="宋体" w:eastAsia="宋体" w:cs="宋体"/>
          <w:b/>
          <w:bCs/>
          <w:sz w:val="52"/>
        </w:rPr>
      </w:pPr>
    </w:p>
    <w:p>
      <w:pPr>
        <w:spacing w:line="360" w:lineRule="auto"/>
        <w:ind w:left="105"/>
        <w:jc w:val="center"/>
        <w:rPr>
          <w:rFonts w:hint="eastAsia" w:ascii="宋体" w:hAnsi="宋体" w:eastAsia="宋体" w:cs="宋体"/>
          <w:b/>
          <w:bCs/>
          <w:sz w:val="52"/>
        </w:rPr>
      </w:pPr>
      <w:r>
        <w:rPr>
          <w:rFonts w:hint="eastAsia" w:ascii="宋体" w:hAnsi="宋体" w:cs="宋体"/>
          <w:b/>
          <w:bCs/>
          <w:sz w:val="72"/>
          <w:szCs w:val="22"/>
          <w:lang w:eastAsia="zh-CN"/>
        </w:rPr>
        <w:t>竞争性磋商</w:t>
      </w:r>
      <w:r>
        <w:rPr>
          <w:rFonts w:hint="eastAsia" w:ascii="宋体" w:hAnsi="宋体" w:eastAsia="宋体" w:cs="宋体"/>
          <w:b/>
          <w:bCs/>
          <w:sz w:val="72"/>
          <w:szCs w:val="22"/>
        </w:rPr>
        <w:t>响应文件</w:t>
      </w:r>
    </w:p>
    <w:p>
      <w:pPr>
        <w:spacing w:line="360" w:lineRule="auto"/>
        <w:jc w:val="left"/>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法人代表人或</w:t>
      </w:r>
    </w:p>
    <w:p>
      <w:pPr>
        <w:spacing w:line="360" w:lineRule="auto"/>
        <w:ind w:left="1296" w:leftChars="540"/>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pPr>
        <w:pStyle w:val="2"/>
        <w:rPr>
          <w:rFonts w:hint="eastAsia"/>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日        期：   年   月   日</w:t>
      </w: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pPr>
        <w:spacing w:line="360" w:lineRule="auto"/>
        <w:rPr>
          <w:rFonts w:hint="eastAsia" w:ascii="宋体" w:hAnsi="宋体" w:eastAsia="宋体" w:cs="宋体"/>
          <w:sz w:val="32"/>
          <w:szCs w:val="32"/>
          <w:lang w:eastAsia="zh-CN"/>
        </w:rPr>
      </w:pPr>
      <w:r>
        <w:rPr>
          <w:rFonts w:hint="eastAsia" w:ascii="宋体" w:hAnsi="宋体" w:cs="宋体"/>
          <w:sz w:val="32"/>
          <w:szCs w:val="32"/>
          <w:lang w:eastAsia="zh-CN"/>
        </w:rPr>
        <w:t>（</w:t>
      </w:r>
      <w:r>
        <w:rPr>
          <w:rFonts w:hint="eastAsia" w:ascii="宋体" w:hAnsi="宋体" w:cs="宋体"/>
          <w:sz w:val="32"/>
          <w:szCs w:val="32"/>
          <w:lang w:val="en-US" w:eastAsia="zh-CN"/>
        </w:rPr>
        <w:t>须自动索引</w:t>
      </w:r>
      <w:r>
        <w:rPr>
          <w:rFonts w:hint="eastAsia" w:ascii="宋体" w:hAnsi="宋体" w:cs="宋体"/>
          <w:sz w:val="32"/>
          <w:szCs w:val="32"/>
          <w:lang w:eastAsia="zh-CN"/>
        </w:rPr>
        <w:t>）</w:t>
      </w: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widowControl/>
        <w:spacing w:line="360" w:lineRule="auto"/>
        <w:jc w:val="left"/>
        <w:rPr>
          <w:rFonts w:hint="eastAsia" w:ascii="宋体" w:hAnsi="宋体" w:eastAsia="宋体" w:cs="宋体"/>
          <w:b/>
          <w:bCs/>
          <w:sz w:val="28"/>
        </w:rPr>
      </w:pPr>
      <w:bookmarkStart w:id="97" w:name="_Toc184704698"/>
      <w:bookmarkStart w:id="98" w:name="_Toc32675"/>
      <w:bookmarkStart w:id="99" w:name="_Toc184704625"/>
      <w:r>
        <w:rPr>
          <w:rFonts w:hint="eastAsia" w:ascii="宋体" w:hAnsi="宋体" w:eastAsia="宋体" w:cs="宋体"/>
          <w:b/>
          <w:bCs/>
          <w:sz w:val="28"/>
        </w:rPr>
        <w:br w:type="page"/>
      </w:r>
    </w:p>
    <w:bookmarkEnd w:id="97"/>
    <w:bookmarkEnd w:id="98"/>
    <w:bookmarkEnd w:id="99"/>
    <w:p>
      <w:pPr>
        <w:pStyle w:val="4"/>
        <w:bidi w:val="0"/>
        <w:rPr>
          <w:rFonts w:hint="eastAsia"/>
        </w:rPr>
      </w:pPr>
      <w:bookmarkStart w:id="100" w:name="_Toc6138"/>
      <w:r>
        <w:rPr>
          <w:rFonts w:hint="eastAsia"/>
          <w:lang w:eastAsia="zh-CN"/>
        </w:rPr>
        <w:t>一、</w:t>
      </w:r>
      <w:r>
        <w:rPr>
          <w:rFonts w:hint="eastAsia"/>
        </w:rPr>
        <w:t>磋商函</w:t>
      </w:r>
      <w:bookmarkEnd w:id="100"/>
    </w:p>
    <w:p>
      <w:pPr>
        <w:spacing w:line="360" w:lineRule="auto"/>
        <w:rPr>
          <w:rFonts w:ascii="宋体" w:hAnsi="宋体"/>
          <w:color w:val="auto"/>
          <w:szCs w:val="21"/>
          <w:highlight w:val="none"/>
        </w:rPr>
      </w:pPr>
      <w:r>
        <w:rPr>
          <w:rFonts w:hint="eastAsia" w:ascii="宋体" w:hAnsi="宋体"/>
          <w:color w:val="auto"/>
          <w:szCs w:val="21"/>
          <w:highlight w:val="none"/>
        </w:rPr>
        <w:t>（采购人名称） ：</w:t>
      </w:r>
    </w:p>
    <w:p>
      <w:pPr>
        <w:spacing w:line="480" w:lineRule="exact"/>
        <w:ind w:firstLine="504" w:firstLineChars="210"/>
        <w:rPr>
          <w:rFonts w:hint="eastAsia" w:ascii="宋体" w:hAnsi="宋体" w:cs="宋体"/>
          <w:sz w:val="24"/>
        </w:rPr>
      </w:pPr>
      <w:r>
        <w:rPr>
          <w:rFonts w:hint="eastAsia" w:ascii="宋体" w:hAnsi="宋体" w:cs="宋体"/>
          <w:sz w:val="24"/>
        </w:rPr>
        <w:t>我单位收到贵公司(文件编号：     )</w:t>
      </w:r>
      <w:r>
        <w:rPr>
          <w:rFonts w:hint="eastAsia" w:ascii="宋体" w:hAnsi="宋体" w:cs="宋体"/>
          <w:sz w:val="24"/>
          <w:lang w:val="en-US" w:eastAsia="zh-CN"/>
        </w:rPr>
        <w:t>磋商</w:t>
      </w:r>
      <w:r>
        <w:rPr>
          <w:rFonts w:hint="eastAsia" w:ascii="宋体" w:hAnsi="宋体" w:cs="宋体"/>
          <w:sz w:val="24"/>
        </w:rPr>
        <w:t>文件，经详细研究，我们决定参加本次</w:t>
      </w:r>
      <w:r>
        <w:rPr>
          <w:rFonts w:hint="eastAsia" w:ascii="宋体" w:hAnsi="宋体" w:cs="宋体"/>
          <w:sz w:val="24"/>
          <w:lang w:val="en-US" w:eastAsia="zh-CN"/>
        </w:rPr>
        <w:t>磋商</w:t>
      </w:r>
      <w:r>
        <w:rPr>
          <w:rFonts w:hint="eastAsia" w:ascii="宋体" w:hAnsi="宋体" w:cs="宋体"/>
          <w:sz w:val="24"/>
        </w:rPr>
        <w:t>活动。为此，我方郑重声明以下诸点，并负法律责任。</w:t>
      </w:r>
    </w:p>
    <w:p>
      <w:pPr>
        <w:spacing w:line="500" w:lineRule="exact"/>
        <w:ind w:firstLine="420"/>
        <w:rPr>
          <w:rFonts w:ascii="宋体" w:hAnsi="宋体"/>
          <w:color w:val="auto"/>
          <w:szCs w:val="21"/>
          <w:highlight w:val="none"/>
        </w:rPr>
      </w:pPr>
      <w:r>
        <w:rPr>
          <w:rFonts w:hint="eastAsia" w:ascii="宋体" w:hAnsi="宋体"/>
          <w:color w:val="auto"/>
          <w:szCs w:val="21"/>
          <w:highlight w:val="none"/>
        </w:rPr>
        <w:t>1. 愿意按照磋商文件中的一切要求，总报价为：</w:t>
      </w:r>
    </w:p>
    <w:p>
      <w:pPr>
        <w:spacing w:line="500" w:lineRule="exact"/>
        <w:ind w:firstLine="840" w:firstLineChars="350"/>
        <w:rPr>
          <w:rFonts w:hint="eastAsia" w:ascii="宋体" w:hAnsi="宋体"/>
          <w:color w:val="auto"/>
          <w:szCs w:val="21"/>
          <w:highlight w:val="none"/>
          <w:u w:val="singl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元。</w:t>
      </w:r>
    </w:p>
    <w:p>
      <w:pPr>
        <w:spacing w:line="5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已</w:t>
      </w:r>
      <w:r>
        <w:rPr>
          <w:rFonts w:hint="eastAsia" w:ascii="宋体" w:hAnsi="宋体"/>
          <w:color w:val="auto"/>
          <w:szCs w:val="21"/>
          <w:highlight w:val="none"/>
          <w:lang w:eastAsia="zh-CN"/>
        </w:rPr>
        <w:t>出具投标信用承诺书（保证金）（承诺书效力和作用等同投标保证金）。</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供应商将按磋商文件的规定履行合同责任和义务；</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.供应商已详细审查全部磋商文件，包括修改文件（如有的话）以及全部参考资料和有关附件。我们完全理解并同意放弃对这方面有不明及误解的权利；</w:t>
      </w:r>
    </w:p>
    <w:p>
      <w:pPr>
        <w:spacing w:line="500" w:lineRule="exact"/>
        <w:ind w:firstLine="42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.其响应文件自磋商之日起有效期为</w:t>
      </w:r>
      <w:r>
        <w:rPr>
          <w:rFonts w:hint="eastAsia" w:ascii="宋体" w:hAnsi="宋体"/>
          <w:color w:val="auto"/>
          <w:szCs w:val="21"/>
          <w:highlight w:val="none"/>
          <w:u w:val="single"/>
        </w:rPr>
        <w:t xml:space="preserve">     </w:t>
      </w:r>
      <w:r>
        <w:rPr>
          <w:rFonts w:hint="eastAsia" w:ascii="宋体" w:hAnsi="宋体"/>
          <w:color w:val="auto"/>
          <w:szCs w:val="21"/>
          <w:highlight w:val="none"/>
        </w:rPr>
        <w:t>个日历日；</w:t>
      </w:r>
    </w:p>
    <w:p>
      <w:pPr>
        <w:spacing w:line="500" w:lineRule="exact"/>
        <w:ind w:firstLine="42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.供应商同意提供按照贵方可能要求的与其磋商有关的一切数据或资料，完全理解贵方不一定要接受最低价的报价或收到的任何其他报价。</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.与本项目有关的一切正式往来通讯请寄：</w:t>
      </w:r>
    </w:p>
    <w:p>
      <w:pPr>
        <w:spacing w:line="500" w:lineRule="exact"/>
        <w:ind w:firstLine="420"/>
        <w:rPr>
          <w:rFonts w:hint="eastAsia" w:eastAsia="宋体"/>
          <w:lang w:val="en-US" w:eastAsia="zh-CN"/>
        </w:rPr>
      </w:pPr>
      <w:r>
        <w:rPr>
          <w:rFonts w:hint="eastAsia" w:ascii="宋体" w:hAnsi="宋体"/>
          <w:color w:val="auto"/>
          <w:szCs w:val="21"/>
          <w:highlight w:val="none"/>
          <w:lang w:val="en-US" w:eastAsia="zh-CN"/>
        </w:rPr>
        <w:t>供应商全称（印章）：</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pacing w:line="500" w:lineRule="exact"/>
        <w:ind w:firstLine="420"/>
        <w:rPr>
          <w:rFonts w:ascii="宋体" w:hAnsi="宋体"/>
          <w:color w:val="auto"/>
          <w:szCs w:val="21"/>
          <w:highlight w:val="none"/>
          <w:u w:val="single"/>
        </w:rPr>
      </w:pPr>
      <w:r>
        <w:rPr>
          <w:rFonts w:hint="eastAsia" w:ascii="宋体" w:hAnsi="宋体"/>
          <w:color w:val="auto"/>
          <w:szCs w:val="21"/>
          <w:highlight w:val="none"/>
        </w:rPr>
        <w:t>供应商代表姓名、职务（印刷体）：</w:t>
      </w:r>
      <w:r>
        <w:rPr>
          <w:rFonts w:hint="eastAsia" w:ascii="宋体" w:hAnsi="宋体"/>
          <w:color w:val="auto"/>
          <w:szCs w:val="21"/>
          <w:highlight w:val="none"/>
          <w:u w:val="single"/>
        </w:rPr>
        <w:t xml:space="preserve">         </w:t>
      </w:r>
    </w:p>
    <w:p>
      <w:pPr>
        <w:spacing w:line="56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供应商名称：</w:t>
      </w:r>
      <w:r>
        <w:rPr>
          <w:rFonts w:hint="eastAsia" w:ascii="宋体" w:hAnsi="宋体"/>
          <w:color w:val="auto"/>
          <w:szCs w:val="21"/>
          <w:highlight w:val="none"/>
          <w:u w:val="single"/>
        </w:rPr>
        <w:t xml:space="preserve">              （公章） </w:t>
      </w:r>
    </w:p>
    <w:p>
      <w:pPr>
        <w:spacing w:line="56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s="仿宋_GB2312"/>
          <w:color w:val="auto"/>
          <w:szCs w:val="21"/>
          <w:highlight w:val="none"/>
        </w:rPr>
        <w:t>法定代表人或被授权代表</w:t>
      </w:r>
      <w:r>
        <w:rPr>
          <w:rFonts w:hint="eastAsia" w:ascii="宋体" w:hAnsi="宋体" w:cs="仿宋_GB2312"/>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（签字或盖章）</w:t>
      </w:r>
    </w:p>
    <w:p>
      <w:pPr>
        <w:spacing w:line="560" w:lineRule="exact"/>
        <w:ind w:firstLine="480" w:firstLineChars="200"/>
        <w:rPr>
          <w:rFonts w:ascii="宋体" w:hAnsi="宋体"/>
          <w:color w:val="auto"/>
          <w:szCs w:val="21"/>
          <w:highlight w:val="none"/>
        </w:rPr>
      </w:pPr>
      <w:r>
        <w:rPr>
          <w:rFonts w:hint="eastAsia" w:ascii="宋体" w:hAnsi="宋体"/>
          <w:color w:val="auto"/>
          <w:szCs w:val="21"/>
          <w:highlight w:val="none"/>
        </w:rPr>
        <w:t>日     期：   年   月   日</w:t>
      </w:r>
      <w:bookmarkStart w:id="101" w:name="_Hlt491573407"/>
      <w:bookmarkEnd w:id="101"/>
    </w:p>
    <w:p>
      <w:pPr>
        <w:rPr>
          <w:rFonts w:ascii="宋体" w:hAnsi="宋体"/>
          <w:color w:val="auto"/>
          <w:sz w:val="32"/>
          <w:szCs w:val="32"/>
          <w:highlight w:val="none"/>
        </w:rPr>
      </w:pPr>
    </w:p>
    <w:p>
      <w:pPr>
        <w:widowControl/>
        <w:jc w:val="left"/>
        <w:rPr>
          <w:rFonts w:ascii="宋体" w:hAnsi="宋体"/>
          <w:b/>
          <w:bCs/>
          <w:color w:val="auto"/>
          <w:sz w:val="28"/>
          <w:highlight w:val="none"/>
        </w:rPr>
      </w:pPr>
      <w:r>
        <w:rPr>
          <w:rFonts w:hint="eastAsia" w:ascii="宋体" w:hAnsi="宋体"/>
          <w:b/>
          <w:bCs/>
          <w:color w:val="auto"/>
          <w:sz w:val="28"/>
          <w:highlight w:val="none"/>
        </w:rPr>
        <w:br w:type="page"/>
      </w:r>
    </w:p>
    <w:p>
      <w:pPr>
        <w:spacing w:line="480" w:lineRule="exact"/>
        <w:ind w:left="240" w:leftChars="100"/>
        <w:jc w:val="center"/>
        <w:outlineLvl w:val="1"/>
        <w:rPr>
          <w:rFonts w:hint="eastAsia" w:hAnsi="宋体" w:cs="宋体"/>
          <w:b/>
          <w:bCs/>
          <w:sz w:val="24"/>
          <w:lang w:val="en-US" w:eastAsia="zh-CN"/>
        </w:rPr>
      </w:pPr>
      <w:bookmarkStart w:id="102" w:name="_Toc12536"/>
      <w:r>
        <w:rPr>
          <w:rFonts w:hint="eastAsia" w:ascii="Arial" w:hAnsi="Arial" w:eastAsia="新宋体" w:cs="Times New Roman"/>
          <w:b/>
          <w:bCs/>
          <w:kern w:val="2"/>
          <w:sz w:val="32"/>
          <w:szCs w:val="32"/>
          <w:lang w:val="en-US" w:eastAsia="zh-CN" w:bidi="ar-SA"/>
        </w:rPr>
        <w:t>二、法定代表人证明书及法定代表人授权书</w:t>
      </w:r>
      <w:bookmarkEnd w:id="102"/>
      <w:bookmarkStart w:id="103" w:name="_Toc18694"/>
    </w:p>
    <w:p>
      <w:pPr>
        <w:spacing w:line="480" w:lineRule="exact"/>
        <w:ind w:left="240" w:leftChars="100"/>
        <w:jc w:val="center"/>
        <w:outlineLvl w:val="2"/>
        <w:rPr>
          <w:rFonts w:hAnsi="宋体" w:cs="宋体"/>
          <w:b/>
          <w:bCs/>
          <w:sz w:val="24"/>
        </w:rPr>
      </w:pPr>
      <w:bookmarkStart w:id="104" w:name="_Toc23939"/>
      <w:r>
        <w:rPr>
          <w:rFonts w:hint="eastAsia" w:hAnsi="宋体" w:cs="宋体"/>
          <w:b/>
          <w:bCs/>
          <w:sz w:val="24"/>
          <w:lang w:val="en-US" w:eastAsia="zh-CN"/>
        </w:rPr>
        <w:t>2</w:t>
      </w:r>
      <w:r>
        <w:rPr>
          <w:rFonts w:hint="eastAsia" w:hAnsi="宋体" w:cs="宋体"/>
          <w:b/>
          <w:bCs/>
          <w:sz w:val="24"/>
        </w:rPr>
        <w:t>-1、法定代表人证明书</w:t>
      </w:r>
      <w:bookmarkEnd w:id="103"/>
      <w:bookmarkEnd w:id="10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项目名称</w:t>
            </w:r>
          </w:p>
        </w:tc>
        <w:tc>
          <w:tcPr>
            <w:tcW w:w="788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文件编号</w:t>
            </w:r>
          </w:p>
        </w:tc>
        <w:tc>
          <w:tcPr>
            <w:tcW w:w="788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权   限</w:t>
            </w:r>
          </w:p>
        </w:tc>
        <w:tc>
          <w:tcPr>
            <w:tcW w:w="7883" w:type="dxa"/>
            <w:gridSpan w:val="5"/>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有效期</w:t>
            </w:r>
          </w:p>
        </w:tc>
        <w:tc>
          <w:tcPr>
            <w:tcW w:w="7883" w:type="dxa"/>
            <w:gridSpan w:val="5"/>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自提交磋商响应文件的截止之日起</w:t>
            </w:r>
            <w:r>
              <w:rPr>
                <w:rFonts w:hint="eastAsia" w:hAnsi="宋体" w:cs="宋体"/>
                <w:bCs/>
                <w:caps/>
                <w:sz w:val="24"/>
                <w:u w:val="single"/>
              </w:rPr>
              <w:t xml:space="preserve">    </w:t>
            </w:r>
            <w:r>
              <w:rPr>
                <w:rFonts w:hint="eastAsia" w:hAnsi="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企业</w:t>
            </w:r>
          </w:p>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信息</w:t>
            </w: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企 业 名 称 </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 定 地 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统一社会信用代码</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spacing w:line="360" w:lineRule="auto"/>
              <w:rPr>
                <w:rFonts w:hAnsi="宋体" w:cs="宋体"/>
                <w:bCs/>
                <w:caps/>
                <w:sz w:val="24"/>
              </w:rPr>
            </w:pPr>
            <w:r>
              <w:rPr>
                <w:rFonts w:hint="eastAsia" w:hAnsi="宋体" w:cs="宋体"/>
                <w:bCs/>
                <w:caps/>
                <w:sz w:val="24"/>
              </w:rPr>
              <w:t>工商登记机关</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spacing w:line="360" w:lineRule="auto"/>
              <w:rPr>
                <w:rFonts w:hAnsi="宋体" w:cs="宋体"/>
                <w:bCs/>
                <w:caps/>
                <w:sz w:val="24"/>
              </w:rPr>
            </w:pPr>
            <w:r>
              <w:rPr>
                <w:rFonts w:hint="eastAsia" w:hAnsi="宋体" w:cs="宋体"/>
                <w:bCs/>
                <w:caps/>
                <w:sz w:val="24"/>
              </w:rPr>
              <w:t>网    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法定代</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表人</w:t>
            </w: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姓    名</w:t>
            </w:r>
          </w:p>
        </w:tc>
        <w:tc>
          <w:tcPr>
            <w:tcW w:w="1814" w:type="dxa"/>
            <w:gridSpan w:val="2"/>
          </w:tcPr>
          <w:p>
            <w:pPr>
              <w:tabs>
                <w:tab w:val="right" w:leader="dot" w:pos="9022"/>
              </w:tabs>
              <w:autoSpaceDE w:val="0"/>
              <w:autoSpaceDN w:val="0"/>
              <w:adjustRightInd w:val="0"/>
              <w:spacing w:line="360" w:lineRule="auto"/>
              <w:jc w:val="left"/>
              <w:rPr>
                <w:rFonts w:hAnsi="宋体" w:cs="宋体"/>
                <w:bCs/>
                <w:caps/>
                <w:sz w:val="24"/>
              </w:rPr>
            </w:pPr>
          </w:p>
        </w:tc>
        <w:tc>
          <w:tcPr>
            <w:tcW w:w="123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性    别</w:t>
            </w:r>
          </w:p>
        </w:tc>
        <w:tc>
          <w:tcPr>
            <w:tcW w:w="2554" w:type="dxa"/>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职    务</w:t>
            </w:r>
          </w:p>
        </w:tc>
        <w:tc>
          <w:tcPr>
            <w:tcW w:w="1814" w:type="dxa"/>
            <w:gridSpan w:val="2"/>
          </w:tcPr>
          <w:p>
            <w:pPr>
              <w:tabs>
                <w:tab w:val="right" w:leader="dot" w:pos="9022"/>
              </w:tabs>
              <w:autoSpaceDE w:val="0"/>
              <w:autoSpaceDN w:val="0"/>
              <w:adjustRightInd w:val="0"/>
              <w:spacing w:line="360" w:lineRule="auto"/>
              <w:jc w:val="left"/>
              <w:rPr>
                <w:rFonts w:hAnsi="宋体" w:cs="宋体"/>
                <w:bCs/>
                <w:caps/>
                <w:sz w:val="24"/>
              </w:rPr>
            </w:pPr>
          </w:p>
        </w:tc>
        <w:tc>
          <w:tcPr>
            <w:tcW w:w="123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联系电话</w:t>
            </w:r>
          </w:p>
        </w:tc>
        <w:tc>
          <w:tcPr>
            <w:tcW w:w="2554" w:type="dxa"/>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传    真</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通讯地址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bCs/>
                <w:caps/>
                <w:sz w:val="24"/>
              </w:rPr>
            </w:pPr>
          </w:p>
        </w:tc>
        <w:tc>
          <w:tcPr>
            <w:tcW w:w="4627" w:type="dxa"/>
            <w:gridSpan w:val="3"/>
          </w:tcPr>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法定代表人签字并盖章：</w:t>
            </w:r>
          </w:p>
        </w:tc>
      </w:tr>
    </w:tbl>
    <w:p>
      <w:pPr>
        <w:spacing w:line="360" w:lineRule="auto"/>
        <w:rPr>
          <w:rFonts w:hint="eastAsia" w:hAnsi="宋体" w:cs="宋体"/>
          <w:sz w:val="24"/>
        </w:rPr>
      </w:pPr>
    </w:p>
    <w:p>
      <w:pPr>
        <w:spacing w:line="360" w:lineRule="auto"/>
        <w:rPr>
          <w:rFonts w:hAnsi="宋体" w:cs="宋体"/>
          <w:sz w:val="24"/>
        </w:rPr>
      </w:pPr>
      <w:r>
        <w:rPr>
          <w:rFonts w:hint="eastAsia" w:hAnsi="宋体" w:cs="宋体"/>
          <w:sz w:val="24"/>
        </w:rPr>
        <w:t>供应商名称：</w:t>
      </w:r>
      <w:r>
        <w:rPr>
          <w:rFonts w:hint="eastAsia" w:hAnsi="宋体" w:cs="宋体"/>
          <w:sz w:val="24"/>
          <w:u w:val="single"/>
        </w:rPr>
        <w:t xml:space="preserve">                        </w:t>
      </w:r>
      <w:r>
        <w:rPr>
          <w:rFonts w:hint="eastAsia" w:hAnsi="宋体" w:cs="宋体"/>
          <w:sz w:val="24"/>
        </w:rPr>
        <w:t xml:space="preserve">（供应商单位公章） </w:t>
      </w:r>
    </w:p>
    <w:p>
      <w:pPr>
        <w:spacing w:line="480" w:lineRule="exact"/>
        <w:jc w:val="left"/>
        <w:rPr>
          <w:rFonts w:hAnsi="宋体" w:cs="宋体"/>
          <w:sz w:val="24"/>
        </w:rPr>
      </w:pPr>
      <w:r>
        <w:rPr>
          <w:rFonts w:hint="eastAsia" w:hAnsi="宋体" w:cs="宋体"/>
          <w:sz w:val="24"/>
        </w:rPr>
        <w:t xml:space="preserve">日 期：  </w:t>
      </w:r>
    </w:p>
    <w:p>
      <w:pPr>
        <w:spacing w:line="480" w:lineRule="exact"/>
        <w:jc w:val="center"/>
        <w:outlineLvl w:val="2"/>
        <w:rPr>
          <w:rFonts w:hAnsi="宋体" w:cs="宋体"/>
          <w:b/>
          <w:bCs/>
          <w:sz w:val="24"/>
        </w:rPr>
      </w:pPr>
      <w:r>
        <w:rPr>
          <w:rFonts w:hint="eastAsia" w:hAnsi="宋体" w:cs="宋体"/>
          <w:b/>
          <w:bCs/>
          <w:sz w:val="24"/>
        </w:rPr>
        <w:br w:type="page"/>
      </w:r>
      <w:bookmarkStart w:id="105" w:name="_Toc31873"/>
      <w:bookmarkStart w:id="106" w:name="_Toc11073"/>
      <w:r>
        <w:rPr>
          <w:rFonts w:hint="eastAsia" w:hAnsi="宋体" w:cs="宋体"/>
          <w:b/>
          <w:bCs/>
          <w:sz w:val="24"/>
          <w:lang w:val="en-US" w:eastAsia="zh-CN"/>
        </w:rPr>
        <w:t>2</w:t>
      </w:r>
      <w:r>
        <w:rPr>
          <w:rFonts w:hint="eastAsia" w:hAnsi="宋体" w:cs="宋体"/>
          <w:b/>
          <w:bCs/>
          <w:sz w:val="24"/>
        </w:rPr>
        <w:t>-2、法定代表人授权书</w:t>
      </w:r>
      <w:bookmarkEnd w:id="105"/>
      <w:bookmarkEnd w:id="10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被授</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权项</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目与</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内容</w:t>
            </w: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项目名称</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文件编号</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授权范围</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法律责任</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授权期限</w:t>
            </w:r>
          </w:p>
        </w:tc>
        <w:tc>
          <w:tcPr>
            <w:tcW w:w="6553" w:type="dxa"/>
            <w:gridSpan w:val="5"/>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本授权书自提交磋商响应文件的截止之日起</w:t>
            </w:r>
            <w:r>
              <w:rPr>
                <w:rFonts w:hint="eastAsia" w:hAnsi="宋体" w:cs="宋体"/>
                <w:bCs/>
                <w:caps/>
                <w:sz w:val="24"/>
                <w:u w:val="single"/>
              </w:rPr>
              <w:t xml:space="preserve">    </w:t>
            </w:r>
            <w:r>
              <w:rPr>
                <w:rFonts w:hint="eastAsia" w:hAnsi="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企业信息</w:t>
            </w: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 xml:space="preserve">企 业 名 称 </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法 定 地 址</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统一社会信用代码</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法定代表人</w:t>
            </w: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手机号码</w:t>
            </w:r>
          </w:p>
        </w:tc>
        <w:tc>
          <w:tcPr>
            <w:tcW w:w="2649" w:type="dxa"/>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被授权人</w:t>
            </w: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手机号码</w:t>
            </w:r>
          </w:p>
        </w:tc>
        <w:tc>
          <w:tcPr>
            <w:tcW w:w="2649" w:type="dxa"/>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通讯地址</w:t>
            </w:r>
          </w:p>
        </w:tc>
        <w:tc>
          <w:tcPr>
            <w:tcW w:w="7797" w:type="dxa"/>
            <w:gridSpan w:val="6"/>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bCs/>
                <w:caps/>
                <w:sz w:val="24"/>
              </w:rPr>
            </w:pPr>
          </w:p>
        </w:tc>
        <w:tc>
          <w:tcPr>
            <w:tcW w:w="4712" w:type="dxa"/>
            <w:gridSpan w:val="3"/>
          </w:tcPr>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被授权人二代身份证正面复印件或扫描件</w:t>
            </w:r>
          </w:p>
          <w:p>
            <w:pPr>
              <w:tabs>
                <w:tab w:val="right" w:leader="dot" w:pos="9022"/>
              </w:tabs>
              <w:autoSpaceDE w:val="0"/>
              <w:autoSpaceDN w:val="0"/>
              <w:adjustRightInd w:val="0"/>
              <w:spacing w:line="360" w:lineRule="auto"/>
              <w:jc w:val="left"/>
              <w:rPr>
                <w:rFonts w:hAnsi="宋体" w:cs="宋体"/>
                <w:bCs/>
                <w:caps/>
                <w:sz w:val="24"/>
              </w:rPr>
            </w:pPr>
          </w:p>
        </w:tc>
        <w:tc>
          <w:tcPr>
            <w:tcW w:w="471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被授权人二代身份证反面复印件或扫描件</w:t>
            </w:r>
          </w:p>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法定代表人及被授权人签字：</w:t>
            </w:r>
          </w:p>
        </w:tc>
      </w:tr>
    </w:tbl>
    <w:p>
      <w:pPr>
        <w:autoSpaceDE w:val="0"/>
        <w:autoSpaceDN w:val="0"/>
        <w:adjustRightInd w:val="0"/>
        <w:snapToGrid w:val="0"/>
        <w:spacing w:line="360" w:lineRule="auto"/>
        <w:rPr>
          <w:rFonts w:hint="eastAsia" w:hAnsi="宋体" w:cs="宋体"/>
          <w:bCs/>
          <w:caps/>
          <w:sz w:val="24"/>
        </w:rPr>
      </w:pPr>
    </w:p>
    <w:p>
      <w:pPr>
        <w:autoSpaceDE w:val="0"/>
        <w:autoSpaceDN w:val="0"/>
        <w:adjustRightInd w:val="0"/>
        <w:snapToGrid w:val="0"/>
        <w:spacing w:line="360" w:lineRule="auto"/>
        <w:rPr>
          <w:rFonts w:hAnsi="宋体" w:cs="宋体"/>
          <w:bCs/>
          <w:caps/>
          <w:sz w:val="24"/>
        </w:rPr>
      </w:pPr>
      <w:r>
        <w:rPr>
          <w:rFonts w:hint="eastAsia" w:hAnsi="宋体" w:cs="宋体"/>
          <w:bCs/>
          <w:caps/>
          <w:sz w:val="24"/>
        </w:rPr>
        <w:t>供应商名称：</w:t>
      </w:r>
      <w:r>
        <w:rPr>
          <w:rFonts w:hint="eastAsia" w:hAnsi="宋体" w:cs="宋体"/>
          <w:bCs/>
          <w:caps/>
          <w:sz w:val="24"/>
          <w:u w:val="single"/>
        </w:rPr>
        <w:t xml:space="preserve">             </w:t>
      </w:r>
      <w:r>
        <w:rPr>
          <w:rFonts w:hint="eastAsia" w:hAnsi="宋体" w:cs="宋体"/>
          <w:bCs/>
          <w:caps/>
          <w:sz w:val="24"/>
        </w:rPr>
        <w:t xml:space="preserve">（供应商单位公章） </w:t>
      </w:r>
    </w:p>
    <w:p>
      <w:pPr>
        <w:autoSpaceDE w:val="0"/>
        <w:autoSpaceDN w:val="0"/>
        <w:adjustRightInd w:val="0"/>
        <w:snapToGrid w:val="0"/>
        <w:spacing w:line="360" w:lineRule="auto"/>
      </w:pPr>
      <w:r>
        <w:rPr>
          <w:rFonts w:hint="eastAsia" w:hAnsi="宋体" w:cs="宋体"/>
          <w:bCs/>
          <w:caps/>
          <w:sz w:val="24"/>
        </w:rPr>
        <w:t>日 期</w:t>
      </w:r>
      <w:r>
        <w:rPr>
          <w:rFonts w:hint="eastAsia" w:hAnsi="宋体" w:cs="宋体"/>
          <w:bCs/>
          <w:caps/>
          <w:sz w:val="28"/>
          <w:szCs w:val="28"/>
        </w:rPr>
        <w:t xml:space="preserve">：    </w:t>
      </w:r>
    </w:p>
    <w:p>
      <w:pPr>
        <w:pStyle w:val="4"/>
        <w:bidi w:val="0"/>
        <w:ind w:firstLine="3213" w:firstLineChars="1000"/>
        <w:jc w:val="both"/>
        <w:rPr>
          <w:rFonts w:hint="eastAsia"/>
        </w:rPr>
      </w:pPr>
      <w:bookmarkStart w:id="107" w:name="_Toc23066"/>
      <w:bookmarkStart w:id="108" w:name="_Toc3275"/>
      <w:bookmarkStart w:id="109" w:name="_Toc24912"/>
      <w:bookmarkStart w:id="110" w:name="_Toc28680"/>
      <w:r>
        <w:rPr>
          <w:rFonts w:hint="eastAsia"/>
          <w:lang w:val="en-US" w:eastAsia="zh-CN"/>
        </w:rPr>
        <w:t>三</w:t>
      </w:r>
      <w:r>
        <w:rPr>
          <w:rFonts w:hint="eastAsia"/>
        </w:rPr>
        <w:t>、磋商一览表</w:t>
      </w:r>
      <w:bookmarkEnd w:id="107"/>
      <w:bookmarkEnd w:id="108"/>
      <w:bookmarkEnd w:id="109"/>
      <w:bookmarkEnd w:id="110"/>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总报价</w:t>
            </w:r>
          </w:p>
          <w:p>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服务</w:t>
            </w:r>
            <w:r>
              <w:rPr>
                <w:rFonts w:hint="eastAsia" w:ascii="宋体" w:hAnsi="宋体" w:cs="宋体"/>
                <w:szCs w:val="21"/>
                <w:lang w:eastAsia="zh-CN"/>
              </w:rPr>
              <w:t>期</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其他声明</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备注</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pPr>
        <w:spacing w:line="360" w:lineRule="auto"/>
        <w:rPr>
          <w:rFonts w:hint="eastAsia" w:ascii="宋体" w:hAnsi="宋体" w:eastAsia="宋体" w:cs="宋体"/>
          <w:szCs w:val="21"/>
        </w:rPr>
      </w:pP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日</w:t>
      </w:r>
    </w:p>
    <w:p>
      <w:pPr>
        <w:pStyle w:val="12"/>
        <w:spacing w:line="360" w:lineRule="auto"/>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5"/>
        <w:keepNext/>
        <w:keepLines w:val="0"/>
        <w:pageBreakBefore w:val="0"/>
        <w:widowControl w:val="0"/>
        <w:kinsoku/>
        <w:wordWrap/>
        <w:overflowPunct/>
        <w:topLinePunct w:val="0"/>
        <w:autoSpaceDE/>
        <w:autoSpaceDN/>
        <w:bidi w:val="0"/>
        <w:adjustRightInd/>
        <w:snapToGrid/>
        <w:spacing w:before="0" w:beforeLines="0"/>
        <w:textAlignment w:val="auto"/>
        <w:rPr>
          <w:rFonts w:hint="eastAsia" w:asciiTheme="minorEastAsia" w:hAnsiTheme="minorEastAsia" w:eastAsiaTheme="minorEastAsia" w:cstheme="minorEastAsia"/>
        </w:rPr>
      </w:pPr>
      <w:bookmarkStart w:id="111" w:name="_Toc3781"/>
      <w:r>
        <w:rPr>
          <w:rFonts w:hint="eastAsia" w:asciiTheme="minorEastAsia" w:hAnsiTheme="minorEastAsia" w:eastAsiaTheme="minorEastAsia" w:cstheme="minorEastAsia"/>
        </w:rPr>
        <w:t>分项报价表</w:t>
      </w:r>
      <w:bookmarkEnd w:id="111"/>
    </w:p>
    <w:p>
      <w:pPr>
        <w:spacing w:line="360" w:lineRule="auto"/>
        <w:jc w:val="both"/>
        <w:rPr>
          <w:rFonts w:hint="eastAsia" w:ascii="宋体" w:hAnsi="宋体" w:eastAsia="宋体" w:cs="宋体"/>
          <w:sz w:val="24"/>
          <w:szCs w:val="24"/>
          <w:u w:val="single"/>
          <w:lang w:val="en-US" w:eastAsia="zh-CN"/>
        </w:rPr>
      </w:pPr>
      <w:r>
        <w:rPr>
          <w:rFonts w:hint="eastAsia" w:ascii="宋体" w:hAnsi="宋体" w:eastAsia="宋体" w:cs="宋体"/>
          <w:sz w:val="24"/>
          <w:szCs w:val="24"/>
          <w:highlight w:val="none"/>
          <w:lang w:eastAsia="zh-CN"/>
        </w:rPr>
        <w:t>采购项目</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p>
    <w:tbl>
      <w:tblPr>
        <w:tblStyle w:val="26"/>
        <w:tblW w:w="10276"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133"/>
        <w:gridCol w:w="1240"/>
        <w:gridCol w:w="242"/>
        <w:gridCol w:w="2120"/>
        <w:gridCol w:w="1240"/>
        <w:gridCol w:w="124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序号</w:t>
            </w:r>
          </w:p>
        </w:tc>
        <w:tc>
          <w:tcPr>
            <w:tcW w:w="2133" w:type="dxa"/>
            <w:noWrap w:val="0"/>
            <w:vAlign w:val="center"/>
          </w:tcPr>
          <w:p>
            <w:pPr>
              <w:snapToGrid w:val="0"/>
              <w:spacing w:line="288" w:lineRule="auto"/>
              <w:jc w:val="center"/>
              <w:rPr>
                <w:rFonts w:hint="eastAsia" w:ascii="宋体" w:hAnsi="宋体" w:eastAsia="宋体" w:cs="宋体"/>
                <w:sz w:val="24"/>
                <w:lang w:eastAsia="zh-CN"/>
              </w:rPr>
            </w:pPr>
            <w:r>
              <w:rPr>
                <w:rFonts w:hint="eastAsia" w:ascii="宋体" w:hAnsi="宋体" w:cs="宋体"/>
                <w:sz w:val="24"/>
                <w:lang w:eastAsia="zh-CN"/>
              </w:rPr>
              <w:t>规格要求</w:t>
            </w:r>
          </w:p>
        </w:tc>
        <w:tc>
          <w:tcPr>
            <w:tcW w:w="1482" w:type="dxa"/>
            <w:gridSpan w:val="2"/>
            <w:noWrap w:val="0"/>
            <w:vAlign w:val="center"/>
          </w:tcPr>
          <w:p>
            <w:pPr>
              <w:snapToGrid w:val="0"/>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数量</w:t>
            </w:r>
          </w:p>
        </w:tc>
        <w:tc>
          <w:tcPr>
            <w:tcW w:w="2120" w:type="dxa"/>
            <w:noWrap w:val="0"/>
            <w:vAlign w:val="center"/>
          </w:tcPr>
          <w:p>
            <w:pPr>
              <w:snapToGrid w:val="0"/>
              <w:spacing w:line="288" w:lineRule="auto"/>
              <w:jc w:val="center"/>
              <w:rPr>
                <w:rFonts w:hint="eastAsia" w:ascii="宋体" w:hAnsi="宋体" w:eastAsia="宋体" w:cs="宋体"/>
                <w:sz w:val="24"/>
                <w:lang w:val="en-US" w:eastAsia="zh-CN"/>
              </w:rPr>
            </w:pPr>
            <w:r>
              <w:rPr>
                <w:rFonts w:hint="eastAsia" w:ascii="宋体" w:hAnsi="宋体" w:cs="宋体"/>
                <w:sz w:val="24"/>
                <w:lang w:eastAsia="zh-CN"/>
              </w:rPr>
              <w:t>单位</w:t>
            </w:r>
          </w:p>
        </w:tc>
        <w:tc>
          <w:tcPr>
            <w:tcW w:w="1240" w:type="dxa"/>
            <w:noWrap w:val="0"/>
            <w:vAlign w:val="center"/>
          </w:tcPr>
          <w:p>
            <w:pPr>
              <w:snapToGrid w:val="0"/>
              <w:spacing w:line="288" w:lineRule="auto"/>
              <w:jc w:val="center"/>
              <w:rPr>
                <w:rFonts w:hint="eastAsia" w:ascii="宋体" w:hAnsi="宋体" w:cs="宋体"/>
                <w:sz w:val="24"/>
                <w:lang w:eastAsia="zh-CN"/>
              </w:rPr>
            </w:pPr>
            <w:r>
              <w:rPr>
                <w:rFonts w:hint="eastAsia" w:ascii="宋体" w:hAnsi="宋体" w:cs="宋体"/>
                <w:sz w:val="24"/>
                <w:lang w:eastAsia="zh-CN"/>
              </w:rPr>
              <w:t>单价</w:t>
            </w:r>
          </w:p>
        </w:tc>
        <w:tc>
          <w:tcPr>
            <w:tcW w:w="1240" w:type="dxa"/>
            <w:noWrap w:val="0"/>
            <w:vAlign w:val="center"/>
          </w:tcPr>
          <w:p>
            <w:pPr>
              <w:snapToGrid w:val="0"/>
              <w:spacing w:line="288" w:lineRule="auto"/>
              <w:jc w:val="center"/>
              <w:rPr>
                <w:rFonts w:hint="eastAsia" w:ascii="宋体" w:hAnsi="宋体" w:eastAsia="宋体" w:cs="宋体"/>
                <w:sz w:val="24"/>
                <w:lang w:eastAsia="zh-CN"/>
              </w:rPr>
            </w:pPr>
            <w:r>
              <w:rPr>
                <w:rFonts w:hint="eastAsia" w:ascii="宋体" w:hAnsi="宋体" w:cs="宋体"/>
                <w:sz w:val="24"/>
                <w:lang w:eastAsia="zh-CN"/>
              </w:rPr>
              <w:t>合计</w:t>
            </w:r>
          </w:p>
        </w:tc>
        <w:tc>
          <w:tcPr>
            <w:tcW w:w="1248"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highlight w:val="yellow"/>
              </w:rPr>
            </w:pPr>
            <w:r>
              <w:rPr>
                <w:rFonts w:hint="eastAsia" w:ascii="宋体" w:hAnsi="宋体" w:cs="宋体"/>
                <w:sz w:val="24"/>
              </w:rPr>
              <w:t>1</w:t>
            </w:r>
          </w:p>
        </w:tc>
        <w:tc>
          <w:tcPr>
            <w:tcW w:w="2133" w:type="dxa"/>
            <w:noWrap w:val="0"/>
            <w:vAlign w:val="center"/>
          </w:tcPr>
          <w:p>
            <w:pPr>
              <w:snapToGrid w:val="0"/>
              <w:spacing w:line="288" w:lineRule="auto"/>
              <w:jc w:val="center"/>
              <w:rPr>
                <w:rFonts w:hint="eastAsia" w:ascii="宋体" w:hAnsi="宋体" w:cs="宋体"/>
                <w:sz w:val="24"/>
                <w:highlight w:val="yellow"/>
              </w:rPr>
            </w:pPr>
          </w:p>
        </w:tc>
        <w:tc>
          <w:tcPr>
            <w:tcW w:w="1482" w:type="dxa"/>
            <w:gridSpan w:val="2"/>
            <w:noWrap w:val="0"/>
            <w:vAlign w:val="center"/>
          </w:tcPr>
          <w:p>
            <w:pPr>
              <w:snapToGrid w:val="0"/>
              <w:spacing w:line="288" w:lineRule="auto"/>
              <w:jc w:val="center"/>
              <w:rPr>
                <w:rFonts w:hint="eastAsia" w:ascii="宋体" w:hAnsi="宋体" w:cs="宋体"/>
                <w:sz w:val="24"/>
                <w:highlight w:val="yellow"/>
              </w:rPr>
            </w:pPr>
          </w:p>
        </w:tc>
        <w:tc>
          <w:tcPr>
            <w:tcW w:w="2120" w:type="dxa"/>
            <w:noWrap w:val="0"/>
            <w:vAlign w:val="center"/>
          </w:tcPr>
          <w:p>
            <w:pPr>
              <w:snapToGrid w:val="0"/>
              <w:spacing w:line="288" w:lineRule="auto"/>
              <w:jc w:val="center"/>
              <w:rPr>
                <w:rFonts w:hint="eastAsia" w:ascii="宋体" w:hAnsi="宋体" w:cs="宋体"/>
                <w:sz w:val="24"/>
                <w:highlight w:val="yellow"/>
              </w:rPr>
            </w:pPr>
          </w:p>
        </w:tc>
        <w:tc>
          <w:tcPr>
            <w:tcW w:w="1240" w:type="dxa"/>
            <w:noWrap w:val="0"/>
            <w:vAlign w:val="center"/>
          </w:tcPr>
          <w:p>
            <w:pPr>
              <w:snapToGrid w:val="0"/>
              <w:spacing w:line="288" w:lineRule="auto"/>
              <w:jc w:val="center"/>
              <w:rPr>
                <w:rFonts w:hint="eastAsia" w:ascii="宋体" w:hAnsi="宋体" w:cs="宋体"/>
                <w:sz w:val="24"/>
                <w:highlight w:val="yellow"/>
              </w:rPr>
            </w:pPr>
          </w:p>
        </w:tc>
        <w:tc>
          <w:tcPr>
            <w:tcW w:w="1240" w:type="dxa"/>
            <w:noWrap w:val="0"/>
            <w:vAlign w:val="center"/>
          </w:tcPr>
          <w:p>
            <w:pPr>
              <w:snapToGrid w:val="0"/>
              <w:spacing w:line="288" w:lineRule="auto"/>
              <w:jc w:val="center"/>
              <w:rPr>
                <w:rFonts w:hint="eastAsia" w:ascii="宋体" w:hAnsi="宋体" w:cs="宋体"/>
                <w:sz w:val="24"/>
                <w:highlight w:val="yellow"/>
              </w:rPr>
            </w:pPr>
          </w:p>
        </w:tc>
        <w:tc>
          <w:tcPr>
            <w:tcW w:w="1248" w:type="dxa"/>
            <w:noWrap w:val="0"/>
            <w:vAlign w:val="center"/>
          </w:tcPr>
          <w:p>
            <w:pPr>
              <w:snapToGrid w:val="0"/>
              <w:spacing w:line="288" w:lineRule="auto"/>
              <w:jc w:val="center"/>
              <w:rPr>
                <w:rFonts w:hint="eastAsia" w:ascii="宋体"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2</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3</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4</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5</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6</w:t>
            </w:r>
          </w:p>
        </w:tc>
        <w:tc>
          <w:tcPr>
            <w:tcW w:w="213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其他费用</w:t>
            </w: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13" w:type="dxa"/>
            <w:noWrap w:val="0"/>
            <w:vAlign w:val="center"/>
          </w:tcPr>
          <w:p>
            <w:pPr>
              <w:snapToGrid w:val="0"/>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213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总  计</w:t>
            </w:r>
          </w:p>
        </w:tc>
        <w:tc>
          <w:tcPr>
            <w:tcW w:w="1240" w:type="dxa"/>
            <w:noWrap w:val="0"/>
            <w:vAlign w:val="center"/>
          </w:tcPr>
          <w:p>
            <w:pPr>
              <w:snapToGrid w:val="0"/>
              <w:spacing w:line="288" w:lineRule="auto"/>
              <w:jc w:val="left"/>
              <w:rPr>
                <w:rFonts w:hint="eastAsia" w:ascii="宋体" w:hAnsi="宋体" w:cs="宋体"/>
                <w:sz w:val="24"/>
              </w:rPr>
            </w:pPr>
          </w:p>
        </w:tc>
        <w:tc>
          <w:tcPr>
            <w:tcW w:w="6090" w:type="dxa"/>
            <w:gridSpan w:val="5"/>
            <w:noWrap w:val="0"/>
            <w:vAlign w:val="center"/>
          </w:tcPr>
          <w:p>
            <w:pPr>
              <w:snapToGrid w:val="0"/>
              <w:spacing w:line="288" w:lineRule="auto"/>
              <w:jc w:val="left"/>
              <w:rPr>
                <w:rFonts w:hint="eastAsia" w:ascii="宋体" w:hAnsi="宋体" w:cs="宋体"/>
                <w:sz w:val="24"/>
              </w:rPr>
            </w:pPr>
            <w:r>
              <w:rPr>
                <w:rFonts w:hint="eastAsia" w:ascii="宋体" w:hAnsi="宋体" w:cs="宋体"/>
                <w:sz w:val="24"/>
              </w:rPr>
              <w:t xml:space="preserve">大写：人民币        </w:t>
            </w:r>
            <w:r>
              <w:rPr>
                <w:rFonts w:hint="eastAsia" w:ascii="宋体" w:hAnsi="宋体" w:cs="宋体"/>
                <w:sz w:val="24"/>
                <w:lang w:val="en-US" w:eastAsia="zh-CN"/>
              </w:rPr>
              <w:t xml:space="preserve">      </w:t>
            </w:r>
            <w:r>
              <w:rPr>
                <w:rFonts w:hint="eastAsia" w:ascii="宋体" w:hAnsi="宋体" w:cs="宋体"/>
                <w:sz w:val="24"/>
              </w:rPr>
              <w:t xml:space="preserve">   （小写￥       ）</w:t>
            </w:r>
          </w:p>
        </w:tc>
      </w:tr>
    </w:tbl>
    <w:p>
      <w:pPr>
        <w:adjustRightInd w:val="0"/>
        <w:snapToGrid w:val="0"/>
        <w:spacing w:line="360" w:lineRule="auto"/>
        <w:jc w:val="both"/>
        <w:rPr>
          <w:rFonts w:hint="eastAsia" w:ascii="宋体" w:hAnsi="宋体" w:eastAsia="宋体" w:cs="宋体"/>
          <w:sz w:val="24"/>
          <w:szCs w:val="24"/>
        </w:rPr>
      </w:pPr>
    </w:p>
    <w:p>
      <w:pPr>
        <w:adjustRightInd w:val="0"/>
        <w:snapToGrid w:val="0"/>
        <w:spacing w:line="360" w:lineRule="auto"/>
        <w:jc w:val="both"/>
        <w:rPr>
          <w:rFonts w:hint="eastAsia" w:ascii="宋体" w:hAnsi="宋体" w:eastAsia="宋体" w:cs="宋体"/>
          <w:sz w:val="24"/>
          <w:szCs w:val="24"/>
        </w:rPr>
      </w:pPr>
    </w:p>
    <w:p>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注：1. </w:t>
      </w:r>
      <w:r>
        <w:rPr>
          <w:rFonts w:hint="eastAsia" w:ascii="宋体" w:hAnsi="宋体" w:eastAsia="宋体" w:cs="宋体"/>
          <w:sz w:val="24"/>
          <w:szCs w:val="24"/>
          <w:lang w:eastAsia="zh-CN"/>
        </w:rPr>
        <w:t>投标人</w:t>
      </w:r>
      <w:r>
        <w:rPr>
          <w:rFonts w:hint="eastAsia" w:ascii="宋体" w:hAnsi="宋体" w:eastAsia="宋体" w:cs="宋体"/>
          <w:sz w:val="24"/>
          <w:szCs w:val="24"/>
        </w:rPr>
        <w:t>须按照</w:t>
      </w:r>
      <w:r>
        <w:rPr>
          <w:rFonts w:hint="eastAsia" w:ascii="宋体" w:hAnsi="宋体" w:eastAsia="宋体" w:cs="宋体"/>
          <w:sz w:val="24"/>
          <w:szCs w:val="24"/>
          <w:lang w:eastAsia="zh-CN"/>
        </w:rPr>
        <w:t>磋商文件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w:t>
      </w:r>
      <w:r>
        <w:rPr>
          <w:rFonts w:hint="eastAsia" w:ascii="宋体" w:hAnsi="宋体" w:eastAsia="宋体" w:cs="宋体"/>
          <w:sz w:val="24"/>
          <w:szCs w:val="24"/>
        </w:rPr>
        <w:t>中涉及的清单进行报价</w:t>
      </w:r>
      <w:r>
        <w:rPr>
          <w:rFonts w:hint="eastAsia" w:ascii="宋体" w:hAnsi="宋体" w:eastAsia="宋体" w:cs="宋体"/>
          <w:sz w:val="24"/>
          <w:szCs w:val="24"/>
          <w:lang w:eastAsia="zh-CN"/>
        </w:rPr>
        <w:t>，格式可自定</w:t>
      </w:r>
      <w:r>
        <w:rPr>
          <w:rFonts w:hint="eastAsia" w:ascii="宋体" w:hAnsi="宋体" w:eastAsia="宋体" w:cs="宋体"/>
          <w:sz w:val="24"/>
          <w:szCs w:val="24"/>
        </w:rPr>
        <w:t>。</w:t>
      </w:r>
    </w:p>
    <w:p>
      <w:pPr>
        <w:adjustRightInd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如果按单价计算的结果与总价不一致，以单价为准修正总价。</w:t>
      </w:r>
    </w:p>
    <w:p>
      <w:pPr>
        <w:adjustRightInd w:val="0"/>
        <w:snapToGrid w:val="0"/>
        <w:spacing w:line="360" w:lineRule="auto"/>
        <w:ind w:left="859" w:leftChars="225" w:hanging="319" w:hangingChars="133"/>
        <w:jc w:val="both"/>
        <w:rPr>
          <w:rFonts w:hint="eastAsia" w:ascii="宋体" w:hAnsi="宋体" w:eastAsia="宋体" w:cs="宋体"/>
          <w:sz w:val="24"/>
          <w:szCs w:val="24"/>
        </w:rPr>
      </w:pPr>
      <w:r>
        <w:rPr>
          <w:rFonts w:hint="eastAsia" w:ascii="宋体" w:hAnsi="宋体" w:eastAsia="宋体" w:cs="宋体"/>
          <w:sz w:val="24"/>
          <w:szCs w:val="24"/>
        </w:rPr>
        <w:t>3. 上述</w:t>
      </w:r>
      <w:r>
        <w:rPr>
          <w:rFonts w:hint="eastAsia" w:ascii="宋体" w:hAnsi="宋体" w:eastAsia="宋体" w:cs="宋体"/>
          <w:sz w:val="24"/>
          <w:szCs w:val="24"/>
          <w:lang w:eastAsia="zh-CN"/>
        </w:rPr>
        <w:t>投标</w:t>
      </w:r>
      <w:r>
        <w:rPr>
          <w:rFonts w:hint="eastAsia" w:ascii="宋体" w:hAnsi="宋体" w:eastAsia="宋体" w:cs="宋体"/>
          <w:sz w:val="24"/>
          <w:szCs w:val="24"/>
        </w:rPr>
        <w:t>总报价包含了</w:t>
      </w:r>
      <w:r>
        <w:rPr>
          <w:rFonts w:hint="eastAsia" w:ascii="宋体" w:hAnsi="宋体" w:eastAsia="宋体" w:cs="宋体"/>
          <w:sz w:val="24"/>
          <w:szCs w:val="24"/>
          <w:lang w:eastAsia="zh-CN"/>
        </w:rPr>
        <w:t>投标人</w:t>
      </w:r>
      <w:r>
        <w:rPr>
          <w:rFonts w:hint="eastAsia" w:ascii="宋体" w:hAnsi="宋体" w:eastAsia="宋体" w:cs="宋体"/>
          <w:sz w:val="24"/>
          <w:szCs w:val="24"/>
        </w:rPr>
        <w:t>为此项目所支付的一切费用，在整个合同期内不做调整。</w:t>
      </w: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bookmarkStart w:id="112" w:name="_Toc6560"/>
    </w:p>
    <w:bookmarkEnd w:id="112"/>
    <w:p>
      <w:pPr>
        <w:spacing w:line="480" w:lineRule="exact"/>
        <w:ind w:left="240" w:leftChars="100"/>
        <w:jc w:val="center"/>
        <w:outlineLvl w:val="1"/>
        <w:rPr>
          <w:rFonts w:hint="eastAsia" w:ascii="Arial" w:hAnsi="Arial" w:eastAsia="新宋体" w:cs="Times New Roman"/>
          <w:b/>
          <w:bCs/>
          <w:kern w:val="2"/>
          <w:sz w:val="32"/>
          <w:szCs w:val="32"/>
          <w:lang w:val="en-US" w:eastAsia="zh-CN" w:bidi="ar-SA"/>
        </w:rPr>
      </w:pPr>
      <w:bookmarkStart w:id="113" w:name="_Toc20691"/>
      <w:bookmarkStart w:id="114" w:name="_Toc19883"/>
      <w:bookmarkStart w:id="115" w:name="_Toc312789404"/>
      <w:bookmarkStart w:id="116" w:name="_Toc334522292"/>
      <w:bookmarkStart w:id="117" w:name="_Toc311415658"/>
      <w:bookmarkStart w:id="118" w:name="_Toc12268"/>
      <w:bookmarkStart w:id="119" w:name="_Toc12277"/>
      <w:bookmarkStart w:id="120" w:name="_Toc356814675"/>
      <w:bookmarkStart w:id="121" w:name="_Toc19460"/>
      <w:bookmarkStart w:id="122" w:name="_Toc283240497"/>
      <w:bookmarkStart w:id="123" w:name="_Toc347478747"/>
      <w:r>
        <w:rPr>
          <w:rFonts w:hint="eastAsia" w:ascii="Arial" w:hAnsi="Arial" w:eastAsia="新宋体" w:cs="Times New Roman"/>
          <w:b/>
          <w:bCs/>
          <w:kern w:val="2"/>
          <w:sz w:val="32"/>
          <w:szCs w:val="32"/>
          <w:lang w:val="en-US" w:eastAsia="zh-CN" w:bidi="ar-SA"/>
        </w:rPr>
        <w:t>四、商务条款响应偏离表</w:t>
      </w:r>
      <w:bookmarkEnd w:id="113"/>
    </w:p>
    <w:p>
      <w:pPr>
        <w:spacing w:line="480" w:lineRule="exac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项目编号：</w:t>
      </w:r>
      <w:r>
        <w:rPr>
          <w:rFonts w:hint="eastAsia" w:ascii="宋体" w:hAnsi="宋体" w:cs="宋体"/>
          <w:color w:val="000000"/>
          <w:sz w:val="24"/>
          <w:u w:val="singl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320" w:lineRule="exact"/>
              <w:ind w:left="-110" w:leftChars="-46"/>
              <w:jc w:val="center"/>
              <w:rPr>
                <w:rFonts w:hint="eastAsia" w:ascii="宋体" w:hAnsi="宋体" w:cs="宋体"/>
                <w:color w:val="000000"/>
                <w:sz w:val="24"/>
              </w:rPr>
            </w:pPr>
            <w:r>
              <w:rPr>
                <w:rFonts w:hint="eastAsia" w:ascii="宋体" w:hAnsi="宋体" w:cs="宋体"/>
                <w:color w:val="000000"/>
                <w:sz w:val="24"/>
              </w:rPr>
              <w:t xml:space="preserve"> 序号</w:t>
            </w:r>
          </w:p>
        </w:tc>
        <w:tc>
          <w:tcPr>
            <w:tcW w:w="2950" w:type="dxa"/>
            <w:noWrap w:val="0"/>
            <w:tcMar>
              <w:top w:w="57" w:type="dxa"/>
              <w:left w:w="28" w:type="dxa"/>
              <w:bottom w:w="57" w:type="dxa"/>
              <w:right w:w="28" w:type="dxa"/>
            </w:tcMar>
            <w:vAlign w:val="center"/>
          </w:tcPr>
          <w:p>
            <w:pPr>
              <w:spacing w:line="320" w:lineRule="exact"/>
              <w:ind w:left="240" w:leftChars="100" w:firstLine="480" w:firstLineChars="200"/>
              <w:rPr>
                <w:rFonts w:hint="eastAsia" w:ascii="宋体" w:hAnsi="宋体" w:cs="宋体"/>
                <w:color w:val="000000"/>
                <w:sz w:val="24"/>
              </w:rPr>
            </w:pPr>
            <w:r>
              <w:rPr>
                <w:rFonts w:hint="eastAsia" w:ascii="宋体" w:hAnsi="宋体" w:cs="宋体"/>
                <w:color w:val="000000"/>
                <w:sz w:val="24"/>
              </w:rPr>
              <w:t>招标文件</w:t>
            </w:r>
          </w:p>
          <w:p>
            <w:pPr>
              <w:spacing w:line="320" w:lineRule="exact"/>
              <w:ind w:left="240" w:leftChars="100" w:firstLine="240" w:firstLineChars="100"/>
              <w:rPr>
                <w:rFonts w:hint="eastAsia" w:ascii="宋体" w:hAnsi="宋体" w:cs="宋体"/>
                <w:color w:val="000000"/>
                <w:sz w:val="24"/>
              </w:rPr>
            </w:pPr>
            <w:r>
              <w:rPr>
                <w:rFonts w:hint="eastAsia" w:ascii="宋体" w:hAnsi="宋体" w:cs="宋体"/>
                <w:color w:val="000000"/>
                <w:sz w:val="24"/>
              </w:rPr>
              <w:t>商务要求条款</w:t>
            </w:r>
          </w:p>
        </w:tc>
        <w:tc>
          <w:tcPr>
            <w:tcW w:w="2379" w:type="dxa"/>
            <w:noWrap w:val="0"/>
            <w:tcMar>
              <w:top w:w="57" w:type="dxa"/>
              <w:left w:w="28" w:type="dxa"/>
              <w:bottom w:w="57" w:type="dxa"/>
              <w:right w:w="28" w:type="dxa"/>
            </w:tcMar>
            <w:vAlign w:val="center"/>
          </w:tcPr>
          <w:p>
            <w:pPr>
              <w:spacing w:line="320" w:lineRule="exact"/>
              <w:ind w:left="240" w:leftChars="100" w:firstLine="360" w:firstLineChars="150"/>
              <w:rPr>
                <w:rFonts w:hint="eastAsia" w:ascii="宋体" w:hAnsi="宋体" w:cs="宋体"/>
                <w:color w:val="000000"/>
                <w:sz w:val="24"/>
              </w:rPr>
            </w:pPr>
            <w:r>
              <w:rPr>
                <w:rFonts w:hint="eastAsia" w:ascii="宋体" w:hAnsi="宋体" w:cs="宋体"/>
                <w:color w:val="000000"/>
                <w:sz w:val="24"/>
              </w:rPr>
              <w:t>投标文件</w:t>
            </w:r>
          </w:p>
          <w:p>
            <w:pPr>
              <w:spacing w:line="320" w:lineRule="exact"/>
              <w:ind w:left="240" w:leftChars="100" w:firstLine="120" w:firstLineChars="50"/>
              <w:rPr>
                <w:rFonts w:hint="eastAsia" w:ascii="宋体" w:hAnsi="宋体" w:cs="宋体"/>
                <w:color w:val="000000"/>
                <w:sz w:val="24"/>
              </w:rPr>
            </w:pPr>
            <w:r>
              <w:rPr>
                <w:rFonts w:hint="eastAsia" w:ascii="宋体" w:hAnsi="宋体" w:cs="宋体"/>
                <w:color w:val="000000"/>
                <w:sz w:val="24"/>
              </w:rPr>
              <w:t>商务响应条款</w:t>
            </w:r>
          </w:p>
        </w:tc>
        <w:tc>
          <w:tcPr>
            <w:tcW w:w="1650" w:type="dxa"/>
            <w:noWrap w:val="0"/>
            <w:tcMar>
              <w:top w:w="57" w:type="dxa"/>
              <w:left w:w="28" w:type="dxa"/>
              <w:bottom w:w="57" w:type="dxa"/>
              <w:right w:w="28" w:type="dxa"/>
            </w:tcMar>
            <w:vAlign w:val="center"/>
          </w:tcPr>
          <w:p>
            <w:pPr>
              <w:spacing w:line="320" w:lineRule="exact"/>
              <w:ind w:left="240" w:leftChars="100"/>
              <w:rPr>
                <w:rFonts w:hint="eastAsia" w:ascii="宋体" w:hAnsi="宋体" w:cs="宋体"/>
                <w:color w:val="000000"/>
                <w:sz w:val="24"/>
              </w:rPr>
            </w:pPr>
            <w:r>
              <w:rPr>
                <w:rFonts w:hint="eastAsia" w:ascii="宋体" w:hAnsi="宋体" w:cs="宋体"/>
                <w:color w:val="000000"/>
                <w:sz w:val="24"/>
              </w:rPr>
              <w:t>偏离情况</w:t>
            </w:r>
          </w:p>
        </w:tc>
        <w:tc>
          <w:tcPr>
            <w:tcW w:w="1438" w:type="dxa"/>
            <w:noWrap w:val="0"/>
            <w:vAlign w:val="center"/>
          </w:tcPr>
          <w:p>
            <w:pPr>
              <w:spacing w:line="320" w:lineRule="exact"/>
              <w:ind w:left="240" w:leftChars="100"/>
              <w:rPr>
                <w:rFonts w:hint="eastAsia" w:ascii="宋体" w:hAnsi="宋体" w:cs="宋体"/>
                <w:color w:val="000000"/>
                <w:sz w:val="24"/>
              </w:rPr>
            </w:pPr>
            <w:r>
              <w:rPr>
                <w:rFonts w:hint="eastAsia" w:ascii="宋体" w:hAnsi="宋体" w:cs="宋体"/>
                <w:color w:val="000000"/>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bl>
    <w:p>
      <w:pPr>
        <w:spacing w:line="480" w:lineRule="exact"/>
        <w:rPr>
          <w:rFonts w:hint="eastAsia" w:ascii="宋体" w:hAnsi="宋体" w:cs="宋体"/>
          <w:color w:val="000000"/>
          <w:sz w:val="24"/>
        </w:rPr>
      </w:pPr>
      <w:r>
        <w:rPr>
          <w:rFonts w:hint="eastAsia" w:ascii="宋体" w:hAnsi="宋体" w:cs="宋体"/>
          <w:color w:val="000000"/>
          <w:sz w:val="24"/>
        </w:rPr>
        <w:t xml:space="preserve">  注：</w:t>
      </w:r>
    </w:p>
    <w:p>
      <w:pPr>
        <w:spacing w:line="480" w:lineRule="exact"/>
        <w:rPr>
          <w:rFonts w:hint="eastAsia" w:ascii="宋体" w:hAnsi="宋体" w:cs="宋体"/>
          <w:color w:val="000000"/>
          <w:sz w:val="24"/>
        </w:rPr>
      </w:pPr>
      <w:r>
        <w:rPr>
          <w:rFonts w:hint="eastAsia" w:ascii="宋体" w:hAnsi="宋体" w:cs="宋体"/>
          <w:color w:val="000000"/>
          <w:sz w:val="24"/>
        </w:rPr>
        <w:t xml:space="preserve">   1、本表应按照招标文件商务条款填写；</w:t>
      </w:r>
    </w:p>
    <w:p>
      <w:pPr>
        <w:spacing w:line="480" w:lineRule="exact"/>
        <w:rPr>
          <w:rFonts w:hint="eastAsia" w:ascii="宋体" w:hAnsi="宋体" w:cs="宋体"/>
          <w:color w:val="000000"/>
          <w:sz w:val="24"/>
        </w:rPr>
      </w:pPr>
      <w:r>
        <w:rPr>
          <w:rFonts w:hint="eastAsia" w:ascii="宋体" w:hAnsi="宋体" w:cs="宋体"/>
          <w:color w:val="000000"/>
          <w:sz w:val="24"/>
        </w:rPr>
        <w:t xml:space="preserve">   2、如有漏报、瞒报招标文件所要求的性能指标等将视为没有实质性响应招标文件。</w:t>
      </w:r>
    </w:p>
    <w:p>
      <w:pPr>
        <w:spacing w:line="480" w:lineRule="exact"/>
        <w:rPr>
          <w:rFonts w:hint="eastAsia" w:ascii="宋体" w:hAnsi="宋体" w:cs="宋体"/>
          <w:color w:val="000000"/>
          <w:sz w:val="24"/>
        </w:rPr>
      </w:pP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14"/>
    <w:bookmarkEnd w:id="115"/>
    <w:bookmarkEnd w:id="116"/>
    <w:bookmarkEnd w:id="117"/>
    <w:bookmarkEnd w:id="118"/>
    <w:bookmarkEnd w:id="119"/>
    <w:bookmarkEnd w:id="120"/>
    <w:bookmarkEnd w:id="121"/>
    <w:bookmarkEnd w:id="122"/>
    <w:bookmarkEnd w:id="123"/>
    <w:p>
      <w:pPr>
        <w:spacing w:line="480" w:lineRule="exact"/>
        <w:ind w:left="240" w:leftChars="100"/>
        <w:jc w:val="center"/>
        <w:outlineLvl w:val="1"/>
        <w:rPr>
          <w:rFonts w:hint="eastAsia" w:ascii="Arial" w:hAnsi="Arial" w:eastAsia="新宋体" w:cs="Times New Roman"/>
          <w:b/>
          <w:bCs/>
          <w:kern w:val="2"/>
          <w:sz w:val="32"/>
          <w:szCs w:val="32"/>
          <w:lang w:val="en-US" w:eastAsia="zh-CN" w:bidi="ar-SA"/>
        </w:rPr>
      </w:pPr>
      <w:bookmarkStart w:id="124" w:name="_Toc16231"/>
      <w:bookmarkStart w:id="125" w:name="_Toc5817"/>
      <w:bookmarkStart w:id="126" w:name="_Toc492757486"/>
      <w:r>
        <w:rPr>
          <w:rFonts w:hint="eastAsia" w:ascii="Arial" w:hAnsi="Arial" w:eastAsia="新宋体" w:cs="Times New Roman"/>
          <w:b/>
          <w:bCs/>
          <w:kern w:val="2"/>
          <w:sz w:val="32"/>
          <w:szCs w:val="32"/>
          <w:lang w:val="en-US" w:eastAsia="zh-CN" w:bidi="ar-SA"/>
        </w:rPr>
        <w:t>五、技术规格响应偏离表</w:t>
      </w:r>
      <w:bookmarkEnd w:id="124"/>
    </w:p>
    <w:p>
      <w:pPr>
        <w:spacing w:line="360" w:lineRule="auto"/>
        <w:jc w:val="left"/>
        <w:rPr>
          <w:rFonts w:hint="eastAsia" w:ascii="宋体" w:hAnsi="宋体" w:eastAsia="宋体" w:cs="宋体"/>
          <w:szCs w:val="24"/>
          <w:u w:val="single"/>
        </w:rPr>
      </w:pPr>
      <w:r>
        <w:rPr>
          <w:rFonts w:hint="eastAsia" w:ascii="宋体" w:hAnsi="宋体" w:eastAsia="宋体" w:cs="宋体"/>
          <w:szCs w:val="24"/>
          <w:lang w:eastAsia="zh-CN"/>
        </w:rPr>
        <w:t>项目</w:t>
      </w:r>
      <w:r>
        <w:rPr>
          <w:rFonts w:hint="eastAsia" w:ascii="宋体" w:hAnsi="宋体" w:eastAsia="宋体" w:cs="宋体"/>
          <w:szCs w:val="24"/>
        </w:rPr>
        <w:t>名称：</w:t>
      </w:r>
      <w:r>
        <w:rPr>
          <w:rFonts w:hint="eastAsia" w:ascii="宋体" w:hAnsi="宋体" w:eastAsia="宋体" w:cs="宋体"/>
          <w:szCs w:val="24"/>
          <w:u w:val="single"/>
        </w:rPr>
        <w:t xml:space="preserve">                    </w:t>
      </w:r>
      <w:r>
        <w:rPr>
          <w:rFonts w:hint="eastAsia" w:ascii="宋体" w:hAnsi="宋体" w:eastAsia="宋体" w:cs="宋体"/>
          <w:szCs w:val="24"/>
        </w:rPr>
        <w:t xml:space="preserve">            项目编号：</w:t>
      </w:r>
      <w:r>
        <w:rPr>
          <w:rFonts w:hint="eastAsia" w:ascii="宋体" w:hAnsi="宋体" w:eastAsia="宋体" w:cs="宋体"/>
          <w:szCs w:val="24"/>
          <w:u w:val="single"/>
        </w:rPr>
        <w:t xml:space="preserve">                  </w:t>
      </w:r>
    </w:p>
    <w:tbl>
      <w:tblPr>
        <w:tblStyle w:val="26"/>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46" w:leftChars="19"/>
              <w:jc w:val="center"/>
              <w:rPr>
                <w:rFonts w:hint="eastAsia" w:ascii="宋体" w:hAnsi="宋体" w:eastAsia="宋体" w:cs="宋体"/>
                <w:b/>
                <w:szCs w:val="24"/>
              </w:rPr>
            </w:pPr>
            <w:r>
              <w:rPr>
                <w:rFonts w:hint="eastAsia" w:ascii="宋体" w:hAnsi="宋体" w:eastAsia="宋体" w:cs="宋体"/>
                <w:b/>
                <w:szCs w:val="24"/>
              </w:rPr>
              <w:t>序号</w:t>
            </w:r>
          </w:p>
        </w:tc>
        <w:tc>
          <w:tcPr>
            <w:tcW w:w="2794" w:type="dxa"/>
            <w:tcMar>
              <w:top w:w="57" w:type="dxa"/>
              <w:left w:w="28" w:type="dxa"/>
              <w:bottom w:w="57" w:type="dxa"/>
              <w:right w:w="28" w:type="dxa"/>
            </w:tcMar>
            <w:vAlign w:val="center"/>
          </w:tcPr>
          <w:p>
            <w:pPr>
              <w:spacing w:line="360" w:lineRule="auto"/>
              <w:ind w:left="240" w:leftChars="100"/>
              <w:jc w:val="center"/>
              <w:rPr>
                <w:rFonts w:hint="eastAsia" w:ascii="宋体" w:hAnsi="宋体" w:eastAsia="宋体" w:cs="宋体"/>
                <w:b/>
                <w:szCs w:val="24"/>
              </w:rPr>
            </w:pPr>
            <w:r>
              <w:rPr>
                <w:rFonts w:hint="eastAsia" w:ascii="宋体" w:hAnsi="宋体" w:eastAsia="宋体" w:cs="宋体"/>
                <w:b/>
                <w:szCs w:val="24"/>
              </w:rPr>
              <w:t>磋商文件技术需求</w:t>
            </w:r>
          </w:p>
        </w:tc>
        <w:tc>
          <w:tcPr>
            <w:tcW w:w="2659"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响应文件技术响应</w:t>
            </w:r>
          </w:p>
        </w:tc>
        <w:tc>
          <w:tcPr>
            <w:tcW w:w="2485"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bl>
    <w:p>
      <w:pPr>
        <w:spacing w:before="120" w:beforeLines="50" w:line="400" w:lineRule="exact"/>
        <w:ind w:left="-161" w:leftChars="-67" w:firstLine="480" w:firstLineChars="200"/>
        <w:rPr>
          <w:rFonts w:hint="eastAsia" w:ascii="宋体" w:hAnsi="宋体" w:eastAsia="宋体" w:cs="宋体"/>
          <w:color w:val="auto"/>
          <w:szCs w:val="21"/>
        </w:rPr>
      </w:pPr>
      <w:bookmarkStart w:id="127" w:name="_Toc2240"/>
      <w:bookmarkStart w:id="128" w:name="_Toc193187103"/>
      <w:bookmarkStart w:id="129" w:name="_Toc458617476"/>
      <w:bookmarkStart w:id="130" w:name="_Toc193126887"/>
      <w:bookmarkStart w:id="131" w:name="_Toc11969"/>
      <w:bookmarkStart w:id="132" w:name="_Toc188808838"/>
      <w:bookmarkStart w:id="133" w:name="_Toc194663924"/>
      <w:r>
        <w:rPr>
          <w:rFonts w:hint="eastAsia" w:ascii="宋体" w:hAnsi="宋体" w:eastAsia="宋体" w:cs="宋体"/>
          <w:color w:val="auto"/>
          <w:szCs w:val="21"/>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eastAsia="宋体" w:cs="宋体"/>
          <w:b/>
          <w:color w:val="auto"/>
          <w:szCs w:val="21"/>
        </w:rPr>
        <w:t>投标无效</w:t>
      </w:r>
      <w:r>
        <w:rPr>
          <w:rFonts w:hint="eastAsia" w:ascii="宋体" w:hAnsi="宋体" w:eastAsia="宋体" w:cs="宋体"/>
          <w:color w:val="auto"/>
          <w:szCs w:val="21"/>
        </w:rPr>
        <w:t>。</w:t>
      </w:r>
    </w:p>
    <w:p>
      <w:pPr>
        <w:spacing w:line="400" w:lineRule="exact"/>
        <w:ind w:left="-161" w:leftChars="-67" w:firstLine="480" w:firstLineChars="200"/>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日</w:t>
      </w:r>
    </w:p>
    <w:p>
      <w:pPr>
        <w:spacing w:line="360" w:lineRule="auto"/>
        <w:rPr>
          <w:rFonts w:hint="eastAsia" w:ascii="宋体" w:hAnsi="宋体" w:eastAsia="宋体" w:cs="宋体"/>
          <w:color w:val="000000"/>
          <w:szCs w:val="21"/>
        </w:rPr>
      </w:pPr>
    </w:p>
    <w:p>
      <w:pPr>
        <w:pStyle w:val="47"/>
        <w:spacing w:line="360" w:lineRule="auto"/>
        <w:ind w:left="0" w:leftChars="0" w:firstLine="0" w:firstLineChars="0"/>
        <w:rPr>
          <w:rFonts w:hint="eastAsia" w:ascii="宋体" w:hAnsi="宋体" w:eastAsia="宋体" w:cs="宋体"/>
          <w:b/>
        </w:rPr>
      </w:pPr>
    </w:p>
    <w:bookmarkEnd w:id="127"/>
    <w:bookmarkEnd w:id="128"/>
    <w:bookmarkEnd w:id="129"/>
    <w:bookmarkEnd w:id="130"/>
    <w:bookmarkEnd w:id="131"/>
    <w:bookmarkEnd w:id="132"/>
    <w:bookmarkEnd w:id="133"/>
    <w:p>
      <w:pPr>
        <w:pStyle w:val="4"/>
        <w:bidi w:val="0"/>
        <w:outlineLvl w:val="1"/>
        <w:rPr>
          <w:rFonts w:hint="eastAsia"/>
        </w:rPr>
      </w:pPr>
      <w:bookmarkStart w:id="134" w:name="_Toc5791"/>
      <w:bookmarkStart w:id="135" w:name="_Toc32409"/>
      <w:bookmarkStart w:id="136" w:name="_Toc27409"/>
      <w:r>
        <w:rPr>
          <w:rFonts w:hint="eastAsia"/>
          <w:lang w:val="en-US" w:eastAsia="zh-CN"/>
        </w:rPr>
        <w:t>六</w:t>
      </w:r>
      <w:r>
        <w:rPr>
          <w:rFonts w:hint="eastAsia"/>
        </w:rPr>
        <w:t>、</w:t>
      </w:r>
      <w:bookmarkStart w:id="137" w:name="_Toc356927980"/>
      <w:r>
        <w:rPr>
          <w:rFonts w:hint="eastAsia"/>
        </w:rPr>
        <w:t>供应商资质证明文件</w:t>
      </w:r>
      <w:bookmarkEnd w:id="134"/>
    </w:p>
    <w:bookmarkEnd w:id="137"/>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1.营业执照</w:t>
      </w:r>
    </w:p>
    <w:p>
      <w:pPr>
        <w:rPr>
          <w:rFonts w:hint="eastAsia"/>
          <w:lang w:val="en-US" w:eastAsia="zh-CN"/>
        </w:rPr>
      </w:pPr>
      <w:r>
        <w:rPr>
          <w:rFonts w:hint="eastAsia"/>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法定代表人授权委托书</w:t>
      </w:r>
    </w:p>
    <w:p>
      <w:pPr>
        <w:rPr>
          <w:rFonts w:hint="eastAsia"/>
          <w:lang w:val="en-US" w:eastAsia="zh-CN"/>
        </w:rPr>
      </w:pPr>
      <w:r>
        <w:rPr>
          <w:rFonts w:hint="eastAsia"/>
          <w:lang w:val="en-US" w:eastAsia="zh-CN"/>
        </w:rPr>
        <w:br w:type="page"/>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财务状况报告</w:t>
      </w:r>
    </w:p>
    <w:p>
      <w:pPr>
        <w:rPr>
          <w:rFonts w:hint="eastAsia"/>
          <w:lang w:val="en-US" w:eastAsia="zh-CN"/>
        </w:rPr>
      </w:pPr>
      <w:r>
        <w:rPr>
          <w:rFonts w:hint="eastAsia"/>
          <w:lang w:val="en-US" w:eastAsia="zh-CN"/>
        </w:rPr>
        <w:br w:type="page"/>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4.</w:t>
      </w:r>
      <w:r>
        <w:rPr>
          <w:rFonts w:hint="eastAsia" w:ascii="仿宋" w:hAnsi="仿宋" w:eastAsia="仿宋" w:cs="仿宋"/>
          <w:sz w:val="32"/>
          <w:szCs w:val="32"/>
          <w:lang w:val="en-US" w:eastAsia="zh-CN"/>
        </w:rPr>
        <w:t>税收缴纳证明</w:t>
      </w:r>
    </w:p>
    <w:p>
      <w:pPr>
        <w:rPr>
          <w:rFonts w:hint="eastAsia"/>
          <w:lang w:val="en-US" w:eastAsia="zh-CN"/>
        </w:rPr>
      </w:pPr>
      <w:r>
        <w:rPr>
          <w:rFonts w:hint="eastAsia"/>
          <w:lang w:val="en-US" w:eastAsia="zh-CN"/>
        </w:rPr>
        <w:br w:type="page"/>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5.</w:t>
      </w:r>
      <w:r>
        <w:rPr>
          <w:rFonts w:hint="eastAsia" w:ascii="仿宋" w:hAnsi="仿宋" w:eastAsia="仿宋" w:cs="仿宋"/>
          <w:sz w:val="32"/>
          <w:szCs w:val="32"/>
          <w:lang w:val="en-US" w:eastAsia="zh-CN"/>
        </w:rPr>
        <w:t>社会保障资金缴纳证明</w:t>
      </w:r>
    </w:p>
    <w:p>
      <w:pPr>
        <w:rPr>
          <w:rFonts w:hint="eastAsia"/>
          <w:lang w:val="en-US" w:eastAsia="zh-CN"/>
        </w:rPr>
      </w:pPr>
      <w:r>
        <w:rPr>
          <w:rFonts w:hint="eastAsia"/>
          <w:lang w:val="en-US" w:eastAsia="zh-CN"/>
        </w:rPr>
        <w:br w:type="page"/>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6.</w:t>
      </w:r>
      <w:r>
        <w:rPr>
          <w:rFonts w:hint="eastAsia" w:ascii="仿宋" w:hAnsi="仿宋" w:eastAsia="仿宋" w:cs="仿宋"/>
          <w:sz w:val="32"/>
          <w:szCs w:val="32"/>
          <w:lang w:val="en-US" w:eastAsia="zh-CN"/>
        </w:rPr>
        <w:t>无重大违法记录的书面声明</w:t>
      </w:r>
    </w:p>
    <w:p>
      <w:pPr>
        <w:spacing w:line="500" w:lineRule="exact"/>
        <w:jc w:val="center"/>
        <w:rPr>
          <w:rFonts w:ascii="仿宋" w:hAnsi="仿宋" w:eastAsia="仿宋" w:cs="Times New Roman"/>
          <w:b/>
          <w:sz w:val="32"/>
          <w:szCs w:val="32"/>
        </w:rPr>
      </w:pPr>
      <w:r>
        <w:rPr>
          <w:rFonts w:hint="eastAsia" w:ascii="仿宋" w:hAnsi="仿宋" w:eastAsia="仿宋" w:cs="Times New Roman"/>
          <w:b/>
          <w:sz w:val="32"/>
          <w:szCs w:val="32"/>
        </w:rPr>
        <w:t>投标人</w:t>
      </w:r>
      <w:r>
        <w:rPr>
          <w:rFonts w:ascii="仿宋" w:hAnsi="仿宋" w:eastAsia="仿宋" w:cs="Times New Roman"/>
          <w:b/>
          <w:sz w:val="32"/>
          <w:szCs w:val="32"/>
        </w:rPr>
        <w:t>书面声明函</w:t>
      </w:r>
    </w:p>
    <w:p>
      <w:pPr>
        <w:adjustRightInd w:val="0"/>
        <w:snapToGrid w:val="0"/>
        <w:spacing w:line="500" w:lineRule="exact"/>
        <w:jc w:val="left"/>
        <w:rPr>
          <w:rFonts w:ascii="宋体" w:hAnsi="宋体" w:cs="宋体"/>
          <w:kern w:val="0"/>
        </w:rPr>
      </w:pPr>
      <w:r>
        <w:rPr>
          <w:rFonts w:hint="eastAsia" w:ascii="宋体" w:hAnsi="宋体" w:cs="宋体"/>
          <w:kern w:val="0"/>
          <w:lang w:eastAsia="zh-CN"/>
        </w:rPr>
        <w:t>子洲县政府采购中心</w:t>
      </w:r>
      <w:r>
        <w:rPr>
          <w:rFonts w:ascii="宋体" w:hAnsi="宋体" w:cs="宋体"/>
          <w:kern w:val="0"/>
        </w:rPr>
        <w:t>：</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我方作为</w:t>
      </w:r>
      <w:r>
        <w:rPr>
          <w:rFonts w:hint="eastAsia" w:ascii="宋体" w:hAnsi="宋体" w:cs="宋体"/>
          <w:kern w:val="0"/>
        </w:rPr>
        <w:t>项目名称</w:t>
      </w:r>
      <w:r>
        <w:rPr>
          <w:rFonts w:hint="eastAsia" w:ascii="宋体" w:hAnsi="宋体" w:cs="宋体"/>
          <w:kern w:val="0"/>
          <w:lang w:val="en-US" w:eastAsia="zh-CN"/>
        </w:rPr>
        <w:t xml:space="preserve">    </w:t>
      </w:r>
      <w:r>
        <w:rPr>
          <w:rFonts w:hint="eastAsia" w:ascii="宋体" w:hAnsi="宋体" w:cs="宋体"/>
          <w:kern w:val="0"/>
        </w:rPr>
        <w:t>（项目编号：____）</w:t>
      </w:r>
      <w:r>
        <w:rPr>
          <w:rFonts w:ascii="宋体" w:hAnsi="宋体" w:cs="宋体"/>
          <w:kern w:val="0"/>
        </w:rPr>
        <w:t>第</w:t>
      </w:r>
      <w:r>
        <w:rPr>
          <w:rFonts w:hint="eastAsia" w:ascii="宋体" w:hAnsi="宋体" w:cs="宋体"/>
          <w:kern w:val="0"/>
        </w:rPr>
        <w:t>___标段的投标投标人，在此郑重声明：</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1、在参加本次政府采购活动前3年内的经营活动中</w:t>
      </w:r>
      <w:r>
        <w:rPr>
          <w:rFonts w:hint="eastAsia" w:ascii="宋体" w:hAnsi="宋体" w:cs="宋体"/>
          <w:kern w:val="0"/>
        </w:rPr>
        <w:t>____（填“没有”或“有”）</w:t>
      </w:r>
      <w:r>
        <w:rPr>
          <w:rFonts w:ascii="宋体" w:hAnsi="宋体" w:cs="宋体"/>
          <w:kern w:val="0"/>
        </w:rPr>
        <w:t>重大违法记录。</w:t>
      </w:r>
      <w:r>
        <w:rPr>
          <w:rFonts w:hint="eastAsia" w:ascii="宋体" w:hAnsi="宋体" w:cs="宋体"/>
          <w:kern w:val="0"/>
        </w:rPr>
        <w:t>投标人在参加政府采购活动前3年内因违法经营被禁止在一定期限内参加政府采购活动，期限届满的，可以参加政府采购活动，但应提供期限届满的证明材料。</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2、</w:t>
      </w:r>
      <w:r>
        <w:rPr>
          <w:rFonts w:hint="eastAsia" w:ascii="宋体" w:hAnsi="宋体" w:cs="宋体"/>
          <w:kern w:val="0"/>
        </w:rPr>
        <w:t>我方______（填“未被列入”或“被列入”）失信被执行人名单。</w:t>
      </w:r>
    </w:p>
    <w:p>
      <w:pPr>
        <w:adjustRightInd w:val="0"/>
        <w:snapToGrid w:val="0"/>
        <w:spacing w:line="500" w:lineRule="exact"/>
        <w:ind w:firstLine="480" w:firstLineChars="200"/>
        <w:jc w:val="left"/>
        <w:rPr>
          <w:rFonts w:ascii="宋体" w:hAnsi="宋体" w:cs="宋体"/>
          <w:kern w:val="0"/>
        </w:rPr>
      </w:pPr>
      <w:r>
        <w:rPr>
          <w:rFonts w:hint="eastAsia" w:ascii="宋体" w:hAnsi="宋体" w:cs="宋体"/>
          <w:kern w:val="0"/>
        </w:rPr>
        <w:t>3、我方______（填“未被列入”或“被列入”）重大税收违法案件当事人名单。</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4</w:t>
      </w:r>
      <w:r>
        <w:rPr>
          <w:rFonts w:hint="eastAsia" w:ascii="宋体" w:hAnsi="宋体" w:cs="宋体"/>
          <w:kern w:val="0"/>
        </w:rPr>
        <w:t>、我方______（填“未被列入”或“被列入”）政府采购严重违法失信行为记录名单。</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如有不实，我方将无条件地退出本项目的采购活动，并遵照《政府采购法》有关</w:t>
      </w:r>
      <w:r>
        <w:rPr>
          <w:rFonts w:hint="eastAsia" w:ascii="宋体" w:hAnsi="宋体" w:cs="宋体"/>
          <w:kern w:val="0"/>
        </w:rPr>
        <w:t>“提供虚假材料的规定”</w:t>
      </w:r>
      <w:r>
        <w:rPr>
          <w:rFonts w:ascii="宋体" w:hAnsi="宋体" w:cs="宋体"/>
          <w:kern w:val="0"/>
        </w:rPr>
        <w:t>接受处罚。</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特此声明。</w:t>
      </w:r>
    </w:p>
    <w:p>
      <w:pPr>
        <w:adjustRightInd w:val="0"/>
        <w:snapToGrid w:val="0"/>
        <w:spacing w:line="500" w:lineRule="exact"/>
        <w:ind w:firstLine="480" w:firstLineChars="200"/>
        <w:jc w:val="left"/>
        <w:rPr>
          <w:rFonts w:ascii="宋体" w:hAnsi="宋体" w:cs="宋体"/>
          <w:kern w:val="0"/>
        </w:rPr>
      </w:pPr>
      <w:r>
        <w:rPr>
          <w:rFonts w:hint="eastAsia" w:ascii="宋体" w:hAnsi="宋体" w:cs="宋体"/>
          <w:kern w:val="0"/>
        </w:rPr>
        <w:t>投标人</w:t>
      </w:r>
      <w:r>
        <w:rPr>
          <w:rFonts w:ascii="宋体" w:hAnsi="宋体" w:cs="宋体"/>
          <w:kern w:val="0"/>
        </w:rPr>
        <w:t>：</w:t>
      </w:r>
      <w:r>
        <w:rPr>
          <w:rFonts w:hint="eastAsia" w:ascii="宋体" w:hAnsi="宋体" w:cs="宋体"/>
          <w:kern w:val="0"/>
        </w:rPr>
        <w:t>名称</w:t>
      </w:r>
      <w:r>
        <w:rPr>
          <w:rFonts w:ascii="宋体" w:hAnsi="宋体" w:cs="宋体"/>
          <w:kern w:val="0"/>
        </w:rPr>
        <w:t>（盖章）</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法定代表人或授权</w:t>
      </w:r>
      <w:r>
        <w:rPr>
          <w:rFonts w:hint="eastAsia" w:ascii="宋体" w:hAnsi="宋体" w:cs="宋体"/>
          <w:kern w:val="0"/>
        </w:rPr>
        <w:t>代表</w:t>
      </w:r>
      <w:r>
        <w:rPr>
          <w:rFonts w:ascii="宋体" w:hAnsi="宋体" w:cs="宋体"/>
          <w:kern w:val="0"/>
        </w:rPr>
        <w:t>：（</w:t>
      </w:r>
      <w:r>
        <w:rPr>
          <w:rFonts w:hint="eastAsia" w:ascii="宋体" w:hAnsi="宋体" w:cs="宋体"/>
          <w:kern w:val="0"/>
        </w:rPr>
        <w:t>签字或盖章</w:t>
      </w:r>
      <w:r>
        <w:rPr>
          <w:rFonts w:ascii="宋体" w:hAnsi="宋体" w:cs="宋体"/>
          <w:kern w:val="0"/>
        </w:rPr>
        <w:t>）</w:t>
      </w:r>
    </w:p>
    <w:p>
      <w:pPr>
        <w:adjustRightInd w:val="0"/>
        <w:snapToGrid w:val="0"/>
        <w:spacing w:line="500" w:lineRule="exact"/>
        <w:ind w:firstLine="480" w:firstLineChars="200"/>
        <w:jc w:val="left"/>
        <w:rPr>
          <w:rFonts w:ascii="宋体" w:hAnsi="宋体" w:cs="宋体"/>
          <w:kern w:val="0"/>
        </w:rPr>
      </w:pPr>
      <w:r>
        <w:rPr>
          <w:rFonts w:ascii="宋体" w:hAnsi="宋体" w:cs="宋体"/>
          <w:kern w:val="0"/>
        </w:rPr>
        <w:t>日期：</w:t>
      </w:r>
      <w:r>
        <w:rPr>
          <w:rFonts w:hint="eastAsia" w:ascii="宋体" w:hAnsi="宋体" w:cs="宋体"/>
          <w:kern w:val="0"/>
        </w:rPr>
        <w:t>　　年　月　日</w:t>
      </w:r>
    </w:p>
    <w:p>
      <w:pPr>
        <w:adjustRightInd w:val="0"/>
        <w:snapToGrid w:val="0"/>
        <w:spacing w:line="500" w:lineRule="exact"/>
        <w:ind w:firstLine="480" w:firstLineChars="200"/>
        <w:jc w:val="left"/>
        <w:rPr>
          <w:rFonts w:ascii="宋体" w:hAnsi="宋体" w:cs="宋体"/>
          <w:kern w:val="0"/>
        </w:rPr>
      </w:pPr>
    </w:p>
    <w:p>
      <w:pPr>
        <w:pStyle w:val="25"/>
        <w:spacing w:line="500" w:lineRule="exact"/>
        <w:ind w:firstLine="283"/>
        <w:rPr>
          <w:rFonts w:hint="eastAsia" w:ascii="宋体" w:hAnsi="宋体" w:cs="宋体"/>
          <w:kern w:val="0"/>
          <w:sz w:val="28"/>
          <w:szCs w:val="28"/>
        </w:rPr>
      </w:pPr>
      <w:r>
        <w:rPr>
          <w:rFonts w:hint="eastAsia" w:ascii="宋体" w:hAnsi="宋体" w:cs="宋体"/>
          <w:kern w:val="0"/>
          <w:sz w:val="28"/>
          <w:szCs w:val="28"/>
        </w:rPr>
        <w:t>备注：项目不分标段的，第___标段空白处填写“/”。</w:t>
      </w:r>
    </w:p>
    <w:p>
      <w:pPr>
        <w:rPr>
          <w:rFonts w:hint="eastAsia"/>
          <w:lang w:val="en-US" w:eastAsia="zh-CN"/>
        </w:rPr>
      </w:pPr>
      <w:r>
        <w:rPr>
          <w:rFonts w:hint="eastAsia"/>
          <w:lang w:val="en-US" w:eastAsia="zh-CN"/>
        </w:rPr>
        <w:br w:type="page"/>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7.</w:t>
      </w:r>
      <w:r>
        <w:rPr>
          <w:rFonts w:hint="eastAsia" w:ascii="仿宋" w:hAnsi="仿宋" w:eastAsia="仿宋" w:cs="仿宋"/>
          <w:sz w:val="32"/>
          <w:szCs w:val="32"/>
          <w:lang w:val="en-US" w:eastAsia="zh-CN"/>
        </w:rPr>
        <w:t>信用中国报告</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pStyle w:val="12"/>
        <w:rPr>
          <w:rFonts w:hint="eastAsia"/>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投标信用承诺书（保证金）</w:t>
      </w:r>
    </w:p>
    <w:p>
      <w:pPr>
        <w:spacing w:line="500" w:lineRule="exact"/>
        <w:jc w:val="center"/>
        <w:rPr>
          <w:rFonts w:ascii="仿宋" w:hAnsi="仿宋" w:eastAsia="仿宋" w:cs="Times New Roman"/>
          <w:b/>
          <w:sz w:val="32"/>
          <w:szCs w:val="32"/>
        </w:rPr>
      </w:pPr>
      <w:r>
        <w:rPr>
          <w:rFonts w:hint="eastAsia" w:ascii="仿宋" w:hAnsi="仿宋" w:eastAsia="仿宋" w:cs="Times New Roman"/>
          <w:b/>
          <w:sz w:val="32"/>
          <w:szCs w:val="32"/>
        </w:rPr>
        <w:t>投标信用承诺书（保证金）</w:t>
      </w:r>
    </w:p>
    <w:p>
      <w:pPr>
        <w:spacing w:line="540" w:lineRule="exact"/>
        <w:jc w:val="left"/>
        <w:rPr>
          <w:rFonts w:ascii="宋体" w:hAnsi="宋体" w:cs="宋体"/>
          <w:kern w:val="0"/>
          <w:sz w:val="24"/>
        </w:rPr>
      </w:pPr>
    </w:p>
    <w:p>
      <w:pPr>
        <w:spacing w:line="500" w:lineRule="exact"/>
        <w:jc w:val="left"/>
        <w:rPr>
          <w:rFonts w:ascii="宋体" w:cs="宋体"/>
          <w:kern w:val="0"/>
          <w:u w:val="single"/>
        </w:rPr>
      </w:pPr>
      <w:r>
        <w:rPr>
          <w:rFonts w:hint="eastAsia" w:ascii="宋体" w:hAnsi="宋体" w:cs="宋体"/>
          <w:kern w:val="0"/>
        </w:rPr>
        <w:t>项目名称：</w:t>
      </w:r>
      <w:r>
        <w:rPr>
          <w:rFonts w:ascii="宋体" w:hAnsi="宋体" w:cs="宋体"/>
          <w:kern w:val="0"/>
          <w:u w:val="single"/>
        </w:rPr>
        <w:t xml:space="preserve">            </w:t>
      </w:r>
      <w:r>
        <w:rPr>
          <w:rFonts w:hint="eastAsia" w:ascii="宋体" w:hAnsi="宋体" w:cs="宋体"/>
          <w:kern w:val="0"/>
          <w:u w:val="single"/>
        </w:rPr>
        <w:t xml:space="preserve">  </w:t>
      </w:r>
      <w:r>
        <w:rPr>
          <w:rFonts w:ascii="宋体" w:hAnsi="宋体" w:cs="宋体"/>
          <w:kern w:val="0"/>
          <w:u w:val="single"/>
        </w:rPr>
        <w:t xml:space="preserve">                                                    </w:t>
      </w:r>
    </w:p>
    <w:p>
      <w:pPr>
        <w:spacing w:line="500" w:lineRule="exact"/>
        <w:jc w:val="left"/>
        <w:rPr>
          <w:rFonts w:ascii="宋体" w:hAnsi="宋体" w:cs="宋体"/>
          <w:kern w:val="0"/>
          <w:u w:val="single"/>
        </w:rPr>
      </w:pPr>
      <w:r>
        <w:rPr>
          <w:rFonts w:hint="eastAsia" w:ascii="宋体" w:hAnsi="宋体" w:cs="宋体"/>
          <w:kern w:val="0"/>
        </w:rPr>
        <w:t>投标人：</w:t>
      </w:r>
      <w:r>
        <w:rPr>
          <w:rFonts w:ascii="宋体" w:hAnsi="宋体" w:cs="宋体"/>
          <w:kern w:val="0"/>
          <w:u w:val="single"/>
        </w:rPr>
        <w:t xml:space="preserve">                                                                    </w:t>
      </w:r>
    </w:p>
    <w:p>
      <w:pPr>
        <w:spacing w:line="500" w:lineRule="exact"/>
        <w:jc w:val="left"/>
        <w:rPr>
          <w:rFonts w:ascii="宋体" w:hAnsi="宋体" w:cs="宋体"/>
          <w:kern w:val="0"/>
          <w:u w:val="single"/>
        </w:rPr>
      </w:pPr>
      <w:r>
        <w:rPr>
          <w:rFonts w:hint="eastAsia" w:ascii="宋体" w:hAnsi="宋体" w:cs="宋体"/>
          <w:kern w:val="0"/>
        </w:rPr>
        <w:t>统一社会信用代码：</w:t>
      </w:r>
      <w:r>
        <w:rPr>
          <w:rFonts w:ascii="宋体" w:hAnsi="宋体" w:cs="宋体"/>
          <w:kern w:val="0"/>
          <w:u w:val="single"/>
        </w:rPr>
        <w:t xml:space="preserve">                               </w:t>
      </w:r>
      <w:r>
        <w:rPr>
          <w:rFonts w:hint="eastAsia" w:ascii="宋体" w:hAnsi="宋体" w:cs="宋体"/>
          <w:kern w:val="0"/>
        </w:rPr>
        <w:t>法人代表：</w:t>
      </w:r>
      <w:r>
        <w:rPr>
          <w:rFonts w:ascii="宋体" w:hAnsi="宋体" w:cs="宋体"/>
          <w:kern w:val="0"/>
          <w:u w:val="single"/>
        </w:rPr>
        <w:t xml:space="preserve">                 </w:t>
      </w:r>
    </w:p>
    <w:p>
      <w:pPr>
        <w:adjustRightInd w:val="0"/>
        <w:snapToGrid w:val="0"/>
        <w:spacing w:line="500" w:lineRule="exact"/>
        <w:ind w:firstLine="480" w:firstLineChars="200"/>
        <w:jc w:val="left"/>
        <w:rPr>
          <w:rFonts w:ascii="宋体" w:cs="宋体"/>
          <w:kern w:val="0"/>
        </w:rPr>
      </w:pPr>
      <w:r>
        <w:rPr>
          <w:rFonts w:hint="eastAsia" w:ascii="宋体" w:hAnsi="宋体" w:cs="宋体"/>
          <w:kern w:val="0"/>
        </w:rPr>
        <w:t>在本项目招投标活动中，我公司（单位）自愿作出以下投标信用承诺：</w:t>
      </w:r>
    </w:p>
    <w:p>
      <w:pPr>
        <w:adjustRightInd w:val="0"/>
        <w:snapToGrid w:val="0"/>
        <w:spacing w:line="500" w:lineRule="exact"/>
        <w:ind w:firstLine="480" w:firstLineChars="200"/>
        <w:jc w:val="left"/>
        <w:rPr>
          <w:rFonts w:ascii="宋体" w:hAnsi="宋体" w:cs="宋体"/>
          <w:kern w:val="0"/>
        </w:rPr>
      </w:pPr>
      <w:r>
        <w:rPr>
          <w:rFonts w:hint="eastAsia" w:ascii="宋体" w:hAnsi="宋体" w:cs="宋体"/>
          <w:kern w:val="0"/>
        </w:rPr>
        <w:t>（一）能严格遵守法律法规、职业道德和行业规范。</w:t>
      </w:r>
    </w:p>
    <w:p>
      <w:pPr>
        <w:adjustRightInd w:val="0"/>
        <w:snapToGrid w:val="0"/>
        <w:spacing w:line="500" w:lineRule="exact"/>
        <w:ind w:firstLine="480" w:firstLineChars="200"/>
        <w:jc w:val="left"/>
        <w:rPr>
          <w:rFonts w:ascii="宋体" w:cs="宋体"/>
          <w:kern w:val="0"/>
        </w:rPr>
      </w:pPr>
      <w:r>
        <w:rPr>
          <w:rFonts w:hint="eastAsia" w:ascii="宋体" w:hAnsi="宋体" w:cs="宋体"/>
          <w:kern w:val="0"/>
        </w:rPr>
        <w:t>（二）不得有以下违法违规行为：</w:t>
      </w:r>
      <w:r>
        <w:rPr>
          <w:rFonts w:ascii="宋体" w:hAnsi="宋体" w:cs="宋体"/>
          <w:kern w:val="0"/>
        </w:rPr>
        <w:t>1.</w:t>
      </w:r>
      <w:r>
        <w:rPr>
          <w:rFonts w:hint="eastAsia" w:ascii="宋体" w:hAnsi="宋体" w:cs="宋体"/>
          <w:kern w:val="0"/>
        </w:rPr>
        <w:t>围标串标；以他人名义或者其他方式弄虚作假投标；出让出租资格、资质证书供他人投标；恶意竞标；以暴力、威胁、利诱等手段阻止或者控制其他潜在投标人参与招投标活动。</w:t>
      </w:r>
      <w:r>
        <w:rPr>
          <w:rFonts w:ascii="宋体" w:hAnsi="宋体" w:cs="宋体"/>
          <w:kern w:val="0"/>
        </w:rPr>
        <w:t>2.</w:t>
      </w:r>
      <w:r>
        <w:rPr>
          <w:rFonts w:hint="eastAsia" w:ascii="宋体" w:hAnsi="宋体" w:cs="宋体"/>
          <w:kern w:val="0"/>
        </w:rPr>
        <w:t>向监督部门、交易中心、采购人、</w:t>
      </w:r>
      <w:r>
        <w:rPr>
          <w:rFonts w:hint="eastAsia" w:ascii="宋体" w:hAnsi="宋体" w:cs="宋体"/>
          <w:kern w:val="0"/>
          <w:lang w:eastAsia="zh-CN"/>
        </w:rPr>
        <w:t>公开招标</w:t>
      </w:r>
      <w:r>
        <w:rPr>
          <w:rFonts w:hint="eastAsia" w:ascii="宋体" w:hAnsi="宋体" w:cs="宋体"/>
          <w:kern w:val="0"/>
        </w:rPr>
        <w:t>代理机构、评审委员会及其成员等当事主体赠送财物。</w:t>
      </w:r>
      <w:r>
        <w:rPr>
          <w:rFonts w:ascii="宋体" w:hAnsi="宋体" w:cs="宋体"/>
          <w:kern w:val="0"/>
        </w:rPr>
        <w:t>3.</w:t>
      </w:r>
      <w:r>
        <w:rPr>
          <w:rFonts w:hint="eastAsia" w:ascii="宋体" w:hAnsi="宋体" w:cs="宋体"/>
          <w:kern w:val="0"/>
        </w:rPr>
        <w:t>投标截止后至中标人确定前，修改或者撤销投标文件。</w:t>
      </w:r>
      <w:r>
        <w:rPr>
          <w:rFonts w:ascii="宋体" w:hAnsi="宋体" w:cs="宋体"/>
          <w:kern w:val="0"/>
        </w:rPr>
        <w:t>4.</w:t>
      </w:r>
      <w:r>
        <w:rPr>
          <w:rFonts w:hint="eastAsia" w:ascii="宋体" w:hAnsi="宋体" w:cs="宋体"/>
          <w:kern w:val="0"/>
        </w:rPr>
        <w:t>在被确定为中标人后无正当理由：不按照</w:t>
      </w:r>
      <w:r>
        <w:rPr>
          <w:rFonts w:hint="eastAsia" w:ascii="宋体" w:hAnsi="宋体" w:cs="宋体"/>
          <w:kern w:val="0"/>
          <w:lang w:eastAsia="zh-CN"/>
        </w:rPr>
        <w:t>公开招标</w:t>
      </w:r>
      <w:r>
        <w:rPr>
          <w:rFonts w:hint="eastAsia" w:ascii="宋体" w:hAnsi="宋体" w:cs="宋体"/>
          <w:kern w:val="0"/>
        </w:rPr>
        <w:t>文件和投标文件与采购人签订合同；在签订合同时向采购人提出附加条件、或者改变投标文件的实质性内容；收到中标通知书后，30日内未将合同原件送至</w:t>
      </w:r>
      <w:r>
        <w:rPr>
          <w:rFonts w:hint="eastAsia" w:ascii="宋体" w:hAnsi="宋体" w:cs="宋体"/>
          <w:kern w:val="0"/>
          <w:lang w:eastAsia="zh-CN"/>
        </w:rPr>
        <w:t>公开招标</w:t>
      </w:r>
      <w:r>
        <w:rPr>
          <w:rFonts w:hint="eastAsia" w:ascii="宋体" w:hAnsi="宋体" w:cs="宋体"/>
          <w:kern w:val="0"/>
        </w:rPr>
        <w:t>代理机构备案；放弃中标；不按照</w:t>
      </w:r>
      <w:r>
        <w:rPr>
          <w:rFonts w:hint="eastAsia" w:ascii="宋体" w:hAnsi="宋体" w:cs="宋体"/>
          <w:kern w:val="0"/>
          <w:lang w:eastAsia="zh-CN"/>
        </w:rPr>
        <w:t>公开招标</w:t>
      </w:r>
      <w:r>
        <w:rPr>
          <w:rFonts w:hint="eastAsia" w:ascii="宋体" w:hAnsi="宋体" w:cs="宋体"/>
          <w:kern w:val="0"/>
        </w:rPr>
        <w:t>文件的规定提交履约保证金。</w:t>
      </w:r>
      <w:r>
        <w:rPr>
          <w:rFonts w:ascii="宋体" w:hAnsi="宋体" w:cs="宋体"/>
          <w:kern w:val="0"/>
        </w:rPr>
        <w:t>5.</w:t>
      </w:r>
      <w:r>
        <w:rPr>
          <w:rFonts w:hint="eastAsia" w:ascii="宋体" w:hAnsi="宋体" w:cs="宋体"/>
          <w:kern w:val="0"/>
        </w:rPr>
        <w:t>招投标法规定的其它违法违规行为。</w:t>
      </w:r>
    </w:p>
    <w:p>
      <w:pPr>
        <w:adjustRightInd w:val="0"/>
        <w:snapToGrid w:val="0"/>
        <w:spacing w:line="500" w:lineRule="exact"/>
        <w:ind w:firstLine="480" w:firstLineChars="200"/>
        <w:jc w:val="left"/>
        <w:rPr>
          <w:rFonts w:ascii="宋体" w:cs="宋体"/>
          <w:kern w:val="0"/>
        </w:rPr>
      </w:pPr>
      <w:r>
        <w:rPr>
          <w:rFonts w:hint="eastAsia" w:ascii="宋体" w:hAnsi="宋体" w:cs="宋体"/>
          <w:kern w:val="0"/>
        </w:rPr>
        <w:t>（三）若我公司（单位）及相关参与人员违背以上承诺事项，即被视为失信企业（法人），依据《关于对公共资源交易领域严重失信主体开展联合惩戒的备忘录》（发改法规﹝</w:t>
      </w:r>
      <w:r>
        <w:rPr>
          <w:rFonts w:ascii="宋体" w:hAnsi="宋体" w:cs="宋体"/>
          <w:kern w:val="0"/>
        </w:rPr>
        <w:t>20</w:t>
      </w:r>
      <w:r>
        <w:rPr>
          <w:rFonts w:hint="eastAsia" w:ascii="宋体" w:hAnsi="宋体" w:cs="宋体"/>
          <w:kern w:val="0"/>
        </w:rPr>
        <w:t>18﹞</w:t>
      </w:r>
      <w:r>
        <w:rPr>
          <w:rFonts w:ascii="宋体" w:hAnsi="宋体" w:cs="宋体"/>
          <w:kern w:val="0"/>
        </w:rPr>
        <w:t>457</w:t>
      </w:r>
      <w:r>
        <w:rPr>
          <w:rFonts w:hint="eastAsia" w:ascii="宋体" w:hAnsi="宋体" w:cs="宋体"/>
          <w:kern w:val="0"/>
        </w:rPr>
        <w:t>号），自愿接受</w:t>
      </w:r>
      <w:r>
        <w:rPr>
          <w:rFonts w:ascii="宋体" w:hAnsi="宋体" w:cs="宋体"/>
          <w:kern w:val="0"/>
        </w:rPr>
        <w:t>1</w:t>
      </w:r>
      <w:r>
        <w:rPr>
          <w:rFonts w:hint="eastAsia" w:ascii="宋体" w:hAnsi="宋体" w:cs="宋体"/>
          <w:kern w:val="0"/>
        </w:rPr>
        <w:t>至</w:t>
      </w:r>
      <w:r>
        <w:rPr>
          <w:rFonts w:ascii="宋体" w:hAnsi="宋体" w:cs="宋体"/>
          <w:kern w:val="0"/>
        </w:rPr>
        <w:t>3</w:t>
      </w:r>
      <w:r>
        <w:rPr>
          <w:rFonts w:hint="eastAsia" w:ascii="宋体" w:hAnsi="宋体" w:cs="宋体"/>
          <w:kern w:val="0"/>
        </w:rPr>
        <w:t>年内限制参与公共资源交易活动。</w:t>
      </w:r>
    </w:p>
    <w:p>
      <w:pPr>
        <w:adjustRightInd w:val="0"/>
        <w:snapToGrid w:val="0"/>
        <w:spacing w:line="500" w:lineRule="exact"/>
        <w:ind w:firstLine="480" w:firstLineChars="200"/>
        <w:jc w:val="left"/>
        <w:rPr>
          <w:rFonts w:ascii="宋体" w:hAnsi="宋体" w:cs="宋体"/>
          <w:kern w:val="0"/>
        </w:rPr>
      </w:pPr>
    </w:p>
    <w:p>
      <w:pPr>
        <w:tabs>
          <w:tab w:val="left" w:pos="4395"/>
        </w:tabs>
        <w:adjustRightInd w:val="0"/>
        <w:snapToGrid w:val="0"/>
        <w:spacing w:line="500" w:lineRule="exact"/>
        <w:ind w:firstLine="480" w:firstLineChars="200"/>
        <w:jc w:val="left"/>
        <w:rPr>
          <w:rFonts w:ascii="宋体" w:cs="宋体"/>
          <w:kern w:val="0"/>
        </w:rPr>
      </w:pPr>
      <w:r>
        <w:rPr>
          <w:rFonts w:hint="eastAsia" w:ascii="宋体" w:hAnsi="宋体" w:cs="宋体"/>
          <w:kern w:val="0"/>
        </w:rPr>
        <w:t>法定代表人（</w:t>
      </w:r>
      <w:r>
        <w:rPr>
          <w:rFonts w:ascii="宋体" w:hAnsi="宋体" w:cs="宋体"/>
          <w:kern w:val="0"/>
        </w:rPr>
        <w:t>签字或盖章</w:t>
      </w:r>
      <w:r>
        <w:rPr>
          <w:rFonts w:hint="eastAsia" w:ascii="宋体" w:hAnsi="宋体" w:cs="宋体"/>
          <w:kern w:val="0"/>
        </w:rPr>
        <w:t>）：</w:t>
      </w:r>
      <w:r>
        <w:rPr>
          <w:rFonts w:ascii="宋体" w:hAnsi="宋体" w:cs="宋体"/>
          <w:kern w:val="0"/>
        </w:rPr>
        <w:t xml:space="preserve">             </w:t>
      </w:r>
      <w:r>
        <w:rPr>
          <w:rFonts w:hint="eastAsia" w:ascii="宋体" w:hAnsi="宋体" w:cs="宋体"/>
          <w:kern w:val="0"/>
        </w:rPr>
        <w:t>投标人（</w:t>
      </w:r>
      <w:r>
        <w:rPr>
          <w:rFonts w:ascii="宋体" w:hAnsi="宋体" w:cs="宋体"/>
          <w:kern w:val="0"/>
        </w:rPr>
        <w:t>盖章</w:t>
      </w:r>
      <w:r>
        <w:rPr>
          <w:rFonts w:hint="eastAsia" w:ascii="宋体" w:hAnsi="宋体" w:cs="宋体"/>
          <w:kern w:val="0"/>
        </w:rPr>
        <w:t>）：</w:t>
      </w:r>
    </w:p>
    <w:p>
      <w:pPr>
        <w:adjustRightInd w:val="0"/>
        <w:snapToGrid w:val="0"/>
        <w:spacing w:line="500" w:lineRule="exact"/>
        <w:rPr>
          <w:rFonts w:ascii="宋体" w:hAnsi="宋体" w:cs="宋体"/>
          <w:b/>
          <w:kern w:val="0"/>
        </w:rPr>
      </w:pPr>
    </w:p>
    <w:p>
      <w:pPr>
        <w:adjustRightInd w:val="0"/>
        <w:snapToGrid w:val="0"/>
        <w:spacing w:line="500" w:lineRule="exact"/>
        <w:jc w:val="right"/>
        <w:rPr>
          <w:rFonts w:ascii="宋体" w:cs="宋体"/>
          <w:kern w:val="0"/>
        </w:rPr>
      </w:pPr>
      <w:r>
        <w:rPr>
          <w:rFonts w:hint="eastAsia" w:ascii="宋体" w:hAnsi="宋体" w:cs="宋体"/>
          <w:kern w:val="0"/>
        </w:rPr>
        <w:t>承诺时间：</w:t>
      </w:r>
      <w:r>
        <w:rPr>
          <w:rFonts w:ascii="宋体" w:hAnsi="宋体" w:cs="宋体"/>
          <w:kern w:val="0"/>
          <w:u w:val="single"/>
        </w:rPr>
        <w:t xml:space="preserve">       </w:t>
      </w:r>
      <w:r>
        <w:rPr>
          <w:rFonts w:hint="eastAsia" w:ascii="宋体" w:hAnsi="宋体" w:cs="宋体"/>
          <w:kern w:val="0"/>
        </w:rPr>
        <w:t>年</w:t>
      </w:r>
      <w:r>
        <w:rPr>
          <w:rFonts w:ascii="宋体" w:hAnsi="宋体" w:cs="宋体"/>
          <w:kern w:val="0"/>
          <w:u w:val="single"/>
        </w:rPr>
        <w:t xml:space="preserve">     </w:t>
      </w:r>
      <w:r>
        <w:rPr>
          <w:rFonts w:hint="eastAsia" w:ascii="宋体" w:hAnsi="宋体" w:cs="宋体"/>
          <w:kern w:val="0"/>
        </w:rPr>
        <w:t>月</w:t>
      </w:r>
      <w:r>
        <w:rPr>
          <w:rFonts w:ascii="宋体" w:hAnsi="宋体" w:cs="宋体"/>
          <w:kern w:val="0"/>
          <w:u w:val="single"/>
        </w:rPr>
        <w:t xml:space="preserve">     </w:t>
      </w:r>
      <w:r>
        <w:rPr>
          <w:rFonts w:hint="eastAsia" w:ascii="宋体" w:hAnsi="宋体" w:cs="宋体"/>
          <w:kern w:val="0"/>
        </w:rPr>
        <w:t>日</w:t>
      </w:r>
    </w:p>
    <w:p>
      <w:pPr>
        <w:rPr>
          <w:rFonts w:hint="eastAsia" w:ascii="宋体" w:hAnsi="宋体" w:cs="宋体"/>
          <w:b/>
          <w:kern w:val="0"/>
          <w:sz w:val="24"/>
        </w:rPr>
      </w:pPr>
    </w:p>
    <w:p>
      <w:pPr>
        <w:pStyle w:val="12"/>
        <w:rPr>
          <w:rFonts w:hint="eastAsia"/>
          <w:lang w:val="en-US" w:eastAsia="zh-CN"/>
        </w:rPr>
      </w:pPr>
      <w:r>
        <w:rPr>
          <w:rFonts w:hint="eastAsia" w:ascii="仿宋" w:hAnsi="仿宋" w:eastAsia="仿宋" w:cs="Times New Roman"/>
          <w:b/>
          <w:sz w:val="21"/>
          <w:szCs w:val="21"/>
        </w:rPr>
        <w:t>说明：本承诺书效力和作用等同投标保证金，其有效期与投标有效期一致。</w:t>
      </w:r>
      <w:r>
        <w:rPr>
          <w:rFonts w:ascii="仿宋" w:hAnsi="仿宋" w:eastAsia="仿宋" w:cs="Times New Roman"/>
          <w:b/>
          <w:sz w:val="21"/>
          <w:szCs w:val="21"/>
        </w:rPr>
        <w:t xml:space="preserve">  </w:t>
      </w:r>
    </w:p>
    <w:p>
      <w:pPr>
        <w:pStyle w:val="12"/>
        <w:numPr>
          <w:ilvl w:val="0"/>
          <w:numId w:val="0"/>
        </w:numPr>
        <w:rPr>
          <w:rFonts w:hint="eastAsia"/>
          <w:lang w:val="en-US" w:eastAsia="zh-CN"/>
        </w:rPr>
      </w:pPr>
    </w:p>
    <w:p>
      <w:pPr>
        <w:pStyle w:val="12"/>
        <w:numPr>
          <w:ilvl w:val="0"/>
          <w:numId w:val="0"/>
        </w:numPr>
        <w:rPr>
          <w:rFonts w:hint="eastAsia"/>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7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建设行政主管部门核发的建筑工程施工总承包三级及以上、建筑装修装饰工程专业承包二级及以上资质</w:t>
      </w:r>
    </w:p>
    <w:p>
      <w:pPr>
        <w:rPr>
          <w:rFonts w:hint="eastAsia"/>
          <w:lang w:val="en-US" w:eastAsia="zh-CN"/>
        </w:rPr>
      </w:pPr>
      <w:r>
        <w:rPr>
          <w:rFonts w:hint="eastAsia"/>
          <w:lang w:val="en-US" w:eastAsia="zh-CN"/>
        </w:rPr>
        <w:br w:type="page"/>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10.</w:t>
      </w:r>
      <w:r>
        <w:rPr>
          <w:rFonts w:hint="eastAsia" w:ascii="仿宋" w:hAnsi="仿宋" w:eastAsia="仿宋" w:cs="仿宋"/>
          <w:sz w:val="32"/>
          <w:szCs w:val="32"/>
          <w:lang w:val="en-US" w:eastAsia="zh-CN"/>
        </w:rPr>
        <w:t>国家建设行政主管部门颁发的施工企业安全生产许可证</w:t>
      </w:r>
    </w:p>
    <w:p>
      <w:pPr>
        <w:rPr>
          <w:rFonts w:hint="eastAsia"/>
          <w:lang w:val="en-US" w:eastAsia="zh-CN"/>
        </w:rPr>
      </w:pPr>
      <w:r>
        <w:rPr>
          <w:rFonts w:hint="eastAsia"/>
          <w:lang w:val="en-US" w:eastAsia="zh-CN"/>
        </w:rPr>
        <w:br w:type="page"/>
      </w:r>
    </w:p>
    <w:p>
      <w:pPr>
        <w:rPr>
          <w:rFonts w:hint="eastAsia"/>
          <w:lang w:val="en-US" w:eastAsia="zh-CN"/>
        </w:rPr>
      </w:pPr>
    </w:p>
    <w:p>
      <w:pPr>
        <w:pStyle w:val="12"/>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11</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中小企业、监狱企业、残疾人福利单位声明函或证明</w:t>
      </w:r>
    </w:p>
    <w:p>
      <w:pPr>
        <w:numPr>
          <w:ilvl w:val="0"/>
          <w:numId w:val="6"/>
        </w:numPr>
        <w:spacing w:line="500" w:lineRule="exact"/>
        <w:jc w:val="center"/>
        <w:outlineLvl w:val="2"/>
        <w:rPr>
          <w:rFonts w:hint="eastAsia" w:ascii="宋体" w:hAnsi="宋体" w:eastAsia="宋体" w:cs="宋体"/>
          <w:b/>
          <w:color w:val="auto"/>
          <w:spacing w:val="6"/>
          <w:sz w:val="28"/>
          <w:szCs w:val="28"/>
        </w:rPr>
      </w:pPr>
      <w:r>
        <w:rPr>
          <w:rFonts w:hint="eastAsia" w:ascii="宋体" w:hAnsi="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p>
    <w:p>
      <w:pPr>
        <w:pStyle w:val="18"/>
        <w:numPr>
          <w:ilvl w:val="0"/>
          <w:numId w:val="0"/>
        </w:numPr>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（非中小企业不填写）</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rPr>
        <w:t xml:space="preserve">  </w:t>
      </w: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采购活动，服务全部由符合政策要求的小微企业承接。相关企业（含联合体中的</w:t>
      </w:r>
      <w:r>
        <w:rPr>
          <w:rFonts w:hint="eastAsia" w:ascii="宋体" w:hAnsi="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cs="宋体"/>
          <w:color w:val="auto"/>
          <w:sz w:val="24"/>
          <w:lang w:val="en-US" w:eastAsia="zh-CN"/>
        </w:rPr>
        <w:t>中小</w:t>
      </w:r>
      <w:r>
        <w:rPr>
          <w:rFonts w:hint="eastAsia" w:ascii="宋体" w:hAnsi="宋体" w:eastAsia="宋体" w:cs="宋体"/>
          <w:color w:val="auto"/>
          <w:sz w:val="24"/>
        </w:rPr>
        <w:t>企业）的具体情况如下：</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宋体" w:hAnsi="宋体" w:eastAsia="宋体" w:cs="宋体"/>
          <w:b/>
          <w:color w:val="auto"/>
          <w:spacing w:val="6"/>
          <w:sz w:val="28"/>
          <w:szCs w:val="28"/>
        </w:rPr>
        <w:sectPr>
          <w:footerReference r:id="rId12" w:type="default"/>
          <w:pgSz w:w="11906" w:h="16838"/>
          <w:pgMar w:top="1440" w:right="1800" w:bottom="1440" w:left="1800" w:header="851" w:footer="992" w:gutter="0"/>
          <w:pgNumType w:fmt="decimal"/>
          <w:cols w:space="720" w:num="1"/>
          <w:docGrid w:type="lines" w:linePitch="312" w:charSpace="0"/>
        </w:sectPr>
      </w:pPr>
    </w:p>
    <w:p>
      <w:pPr>
        <w:numPr>
          <w:ilvl w:val="0"/>
          <w:numId w:val="7"/>
        </w:numPr>
        <w:spacing w:line="500" w:lineRule="exact"/>
        <w:jc w:val="center"/>
        <w:outlineLvl w:val="2"/>
        <w:rPr>
          <w:rFonts w:hint="eastAsia" w:ascii="宋体" w:hAnsi="宋体" w:eastAsia="宋体" w:cs="宋体"/>
          <w:b/>
          <w:color w:val="auto"/>
          <w:spacing w:val="6"/>
          <w:sz w:val="28"/>
          <w:szCs w:val="28"/>
        </w:rPr>
      </w:pPr>
      <w:r>
        <w:rPr>
          <w:rFonts w:hint="eastAsia" w:ascii="宋体" w:hAnsi="宋体" w:eastAsia="宋体" w:cs="宋体"/>
          <w:b/>
          <w:color w:val="auto"/>
          <w:spacing w:val="6"/>
          <w:sz w:val="28"/>
          <w:szCs w:val="28"/>
        </w:rPr>
        <w:t>残疾人福利性单位声明函</w:t>
      </w:r>
    </w:p>
    <w:p>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非</w:t>
      </w:r>
      <w:r>
        <w:rPr>
          <w:rFonts w:hint="eastAsia" w:ascii="宋体" w:hAnsi="宋体" w:eastAsia="宋体" w:cs="宋体"/>
          <w:color w:val="auto"/>
          <w:sz w:val="24"/>
        </w:rPr>
        <w:t>残疾人福利性单位</w:t>
      </w:r>
      <w:r>
        <w:rPr>
          <w:rFonts w:hint="eastAsia" w:ascii="宋体" w:hAnsi="宋体" w:eastAsia="宋体" w:cs="宋体"/>
          <w:color w:val="auto"/>
          <w:sz w:val="24"/>
          <w:lang w:eastAsia="zh-CN"/>
        </w:rPr>
        <w:t>不填写</w:t>
      </w:r>
      <w:r>
        <w:rPr>
          <w:rFonts w:hint="eastAsia" w:ascii="宋体" w:hAnsi="宋体" w:eastAsia="宋体" w:cs="宋体"/>
          <w:color w:val="auto"/>
          <w:sz w:val="24"/>
        </w:rPr>
        <w:t>）</w:t>
      </w:r>
    </w:p>
    <w:p>
      <w:pPr>
        <w:spacing w:line="500" w:lineRule="exact"/>
        <w:rPr>
          <w:rFonts w:hint="eastAsia" w:ascii="宋体" w:hAnsi="宋体" w:eastAsia="宋体" w:cs="宋体"/>
          <w:b/>
          <w:color w:val="auto"/>
          <w:spacing w:val="6"/>
          <w:sz w:val="30"/>
          <w:szCs w:val="30"/>
        </w:rPr>
      </w:pPr>
    </w:p>
    <w:p>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pPr>
        <w:spacing w:line="500" w:lineRule="exact"/>
        <w:rPr>
          <w:rFonts w:hint="eastAsia" w:ascii="宋体" w:hAnsi="宋体" w:eastAsia="宋体" w:cs="宋体"/>
          <w:color w:val="auto"/>
          <w:spacing w:val="6"/>
          <w:sz w:val="24"/>
        </w:rPr>
      </w:pPr>
    </w:p>
    <w:p>
      <w:pPr>
        <w:tabs>
          <w:tab w:val="left" w:pos="4860"/>
        </w:tabs>
        <w:spacing w:line="500"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pPr>
        <w:adjustRightInd w:val="0"/>
        <w:snapToGrid w:val="0"/>
        <w:spacing w:line="500" w:lineRule="exact"/>
        <w:ind w:firstLine="630" w:firstLineChars="250"/>
        <w:rPr>
          <w:rFonts w:hint="eastAsia" w:ascii="宋体" w:hAnsi="宋体" w:eastAsia="宋体" w:cs="宋体"/>
          <w:color w:val="auto"/>
          <w:szCs w:val="21"/>
        </w:rPr>
      </w:pPr>
      <w:r>
        <w:rPr>
          <w:rFonts w:hint="eastAsia" w:ascii="宋体" w:hAnsi="宋体" w:eastAsia="宋体" w:cs="宋体"/>
          <w:color w:val="auto"/>
          <w:spacing w:val="6"/>
          <w:sz w:val="24"/>
        </w:rPr>
        <w:t xml:space="preserve">                                </w:t>
      </w:r>
      <w:r>
        <w:rPr>
          <w:rFonts w:hint="eastAsia" w:ascii="宋体" w:hAnsi="宋体" w:cs="宋体"/>
          <w:color w:val="auto"/>
          <w:spacing w:val="6"/>
          <w:sz w:val="24"/>
          <w:lang w:val="en-US" w:eastAsia="zh-CN"/>
        </w:rPr>
        <w:t xml:space="preserve"> </w:t>
      </w:r>
      <w:r>
        <w:rPr>
          <w:rFonts w:hint="eastAsia" w:ascii="宋体" w:hAnsi="宋体" w:eastAsia="宋体" w:cs="宋体"/>
          <w:color w:val="auto"/>
          <w:spacing w:val="6"/>
          <w:sz w:val="24"/>
        </w:rPr>
        <w:t xml:space="preserve">     日  期：</w:t>
      </w:r>
    </w:p>
    <w:p>
      <w:pPr>
        <w:adjustRightInd w:val="0"/>
        <w:snapToGrid w:val="0"/>
        <w:spacing w:line="500" w:lineRule="exact"/>
        <w:rPr>
          <w:rFonts w:hint="eastAsia" w:ascii="宋体" w:hAnsi="宋体" w:eastAsia="宋体" w:cs="宋体"/>
          <w:color w:val="auto"/>
          <w:szCs w:val="21"/>
        </w:rPr>
      </w:pPr>
    </w:p>
    <w:p>
      <w:pPr>
        <w:tabs>
          <w:tab w:val="left" w:pos="5670"/>
        </w:tabs>
        <w:ind w:firstLine="566"/>
        <w:rPr>
          <w:rFonts w:hint="eastAsia" w:ascii="宋体" w:hAnsi="宋体" w:eastAsia="宋体" w:cs="宋体"/>
          <w:color w:val="auto"/>
          <w:szCs w:val="21"/>
        </w:rPr>
      </w:pPr>
      <w:r>
        <w:rPr>
          <w:rFonts w:hint="eastAsia" w:ascii="宋体" w:hAnsi="宋体" w:eastAsia="宋体" w:cs="宋体"/>
          <w:b/>
          <w:bCs/>
          <w:color w:val="auto"/>
          <w:szCs w:val="21"/>
        </w:rPr>
        <w:t>备注：</w:t>
      </w:r>
      <w:r>
        <w:rPr>
          <w:rFonts w:hint="eastAsia" w:ascii="宋体" w:hAnsi="宋体" w:eastAsia="宋体" w:cs="宋体"/>
          <w:color w:val="auto"/>
          <w:szCs w:val="21"/>
        </w:rPr>
        <w:t>项目不分标段的，第___标段空白处填写“/”。</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根据《财政部 民政部 中国残疾人联合会关于促进残疾人就业政府采购政策的通知》（财库〔2017〕141号）的规定：</w:t>
      </w:r>
    </w:p>
    <w:p>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一、享受政府采购支持政策的残疾人福利性单位应当同时满足以下条件：</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（一）安置的残疾人占本单位在职职工人数的比例不低于25%（含25%），并且安置的残疾人人数不少于10人（含10人）；</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（二）依法与安置的每位残疾人签订了一年以上（含一年）的劳动合同或服务协议；</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（五）提供本单位承担的服务（以下简称产品），或者提供其他残疾人福利性单位提供的服。</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二、中标、成交供应商为残疾人福利性单位的，采购人或者其委托的采购代理机构应当随中标、成交结果同时公告其《残疾人福利性单位声明函》，接受社会监督。</w:t>
      </w:r>
    </w:p>
    <w:p>
      <w:pPr>
        <w:tabs>
          <w:tab w:val="left" w:pos="5670"/>
        </w:tabs>
        <w:jc w:val="center"/>
        <w:outlineLvl w:val="2"/>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r>
        <w:rPr>
          <w:rFonts w:hint="eastAsia" w:ascii="宋体" w:hAnsi="宋体" w:eastAsia="宋体" w:cs="宋体"/>
          <w:b/>
          <w:bCs/>
          <w:color w:val="auto"/>
          <w:sz w:val="28"/>
          <w:szCs w:val="28"/>
        </w:rPr>
        <w:t>3.</w:t>
      </w:r>
      <w:r>
        <w:rPr>
          <w:rFonts w:hint="eastAsia" w:ascii="宋体" w:hAnsi="宋体" w:eastAsia="宋体" w:cs="宋体"/>
          <w:b/>
          <w:color w:val="auto"/>
          <w:spacing w:val="6"/>
          <w:sz w:val="28"/>
          <w:szCs w:val="28"/>
        </w:rPr>
        <w:t>监狱企业证明函</w:t>
      </w:r>
    </w:p>
    <w:p>
      <w:pPr>
        <w:jc w:val="center"/>
        <w:rPr>
          <w:rFonts w:hint="eastAsia" w:ascii="宋体" w:hAnsi="宋体" w:eastAsia="宋体" w:cs="宋体"/>
          <w:color w:val="auto"/>
          <w:sz w:val="24"/>
        </w:rPr>
      </w:pPr>
      <w:r>
        <w:rPr>
          <w:rFonts w:hint="eastAsia" w:ascii="宋体" w:hAnsi="宋体" w:eastAsia="宋体" w:cs="宋体"/>
          <w:color w:val="auto"/>
          <w:sz w:val="24"/>
        </w:rPr>
        <w:t>（符合条件的监狱企业请提供本函，不符合的不提供本函）</w:t>
      </w:r>
    </w:p>
    <w:p>
      <w:pPr>
        <w:rPr>
          <w:rFonts w:hint="eastAsia" w:ascii="宋体" w:hAnsi="宋体" w:eastAsia="宋体" w:cs="宋体"/>
          <w:color w:val="auto"/>
        </w:rPr>
      </w:pP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5"/>
        <w:ind w:firstLine="183"/>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widowControl/>
        <w:jc w:val="left"/>
        <w:rPr>
          <w:rFonts w:hint="eastAsia" w:ascii="宋体" w:hAnsi="宋体" w:eastAsia="宋体" w:cs="宋体"/>
          <w:color w:val="auto"/>
          <w:kern w:val="0"/>
          <w:sz w:val="24"/>
          <w:u w:val="single"/>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kern w:val="0"/>
          <w:sz w:val="24"/>
        </w:rPr>
        <w:t>供应商（盖章）：</w:t>
      </w:r>
      <w:r>
        <w:rPr>
          <w:rFonts w:hint="eastAsia" w:ascii="宋体" w:hAnsi="宋体" w:eastAsia="宋体" w:cs="宋体"/>
          <w:color w:val="auto"/>
          <w:kern w:val="0"/>
          <w:sz w:val="24"/>
          <w:u w:val="single"/>
        </w:rPr>
        <w:t xml:space="preserve">                                               </w:t>
      </w:r>
    </w:p>
    <w:p>
      <w:pPr>
        <w:widowControl/>
        <w:ind w:firstLine="482"/>
        <w:jc w:val="left"/>
        <w:rPr>
          <w:rFonts w:hint="eastAsia" w:ascii="宋体" w:hAnsi="宋体" w:eastAsia="宋体" w:cs="宋体"/>
          <w:color w:val="auto"/>
          <w:kern w:val="0"/>
          <w:sz w:val="24"/>
        </w:rPr>
      </w:pPr>
    </w:p>
    <w:p>
      <w:pPr>
        <w:widowControl/>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pPr>
        <w:widowControl/>
        <w:ind w:firstLine="482"/>
        <w:jc w:val="left"/>
        <w:rPr>
          <w:rFonts w:hint="eastAsia" w:ascii="宋体" w:hAnsi="宋体" w:eastAsia="宋体" w:cs="宋体"/>
          <w:color w:val="auto"/>
          <w:kern w:val="0"/>
          <w:sz w:val="24"/>
          <w:u w:val="single"/>
        </w:rPr>
      </w:pPr>
    </w:p>
    <w:p>
      <w:pPr>
        <w:widowControl/>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pPr>
        <w:pStyle w:val="15"/>
        <w:rPr>
          <w:rFonts w:hint="eastAsia" w:ascii="宋体" w:hAnsi="宋体" w:eastAsia="宋体" w:cs="宋体"/>
          <w:color w:val="auto"/>
          <w:kern w:val="0"/>
          <w:sz w:val="24"/>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default"/>
          <w:lang w:val="en-US" w:eastAsia="zh-CN"/>
        </w:rPr>
      </w:pPr>
    </w:p>
    <w:p>
      <w:pPr>
        <w:pStyle w:val="4"/>
        <w:bidi w:val="0"/>
        <w:jc w:val="both"/>
        <w:rPr>
          <w:rFonts w:hint="eastAsia"/>
          <w:lang w:eastAsia="zh-CN"/>
        </w:rPr>
      </w:pPr>
      <w:r>
        <w:rPr>
          <w:rFonts w:hint="default" w:ascii="仿宋" w:hAnsi="仿宋" w:eastAsia="仿宋" w:cs="仿宋"/>
          <w:sz w:val="32"/>
          <w:szCs w:val="32"/>
          <w:highlight w:val="none"/>
          <w:lang w:val="en-US" w:eastAsia="zh-CN"/>
        </w:rPr>
        <w:t>12.</w:t>
      </w:r>
      <w:r>
        <w:rPr>
          <w:rFonts w:hint="eastAsia" w:ascii="仿宋" w:hAnsi="仿宋" w:eastAsia="仿宋" w:cs="仿宋"/>
          <w:sz w:val="32"/>
          <w:szCs w:val="32"/>
          <w:highlight w:val="none"/>
          <w:lang w:val="en-US" w:eastAsia="zh-CN"/>
        </w:rPr>
        <w:t>非联合体投标声明函</w:t>
      </w:r>
    </w:p>
    <w:p>
      <w:pPr>
        <w:pStyle w:val="12"/>
        <w:jc w:val="center"/>
        <w:rPr>
          <w:rFonts w:hint="default"/>
          <w:sz w:val="32"/>
          <w:szCs w:val="36"/>
          <w:lang w:val="en-US" w:eastAsia="zh-CN"/>
        </w:rPr>
      </w:pPr>
      <w:r>
        <w:rPr>
          <w:rFonts w:hint="default"/>
          <w:b/>
          <w:bCs/>
          <w:sz w:val="32"/>
          <w:szCs w:val="36"/>
          <w:lang w:val="en-US" w:eastAsia="zh-CN"/>
        </w:rPr>
        <w:t>非联合体投标声明</w:t>
      </w:r>
    </w:p>
    <w:p>
      <w:pPr>
        <w:pStyle w:val="12"/>
        <w:rPr>
          <w:rFonts w:hint="default"/>
          <w:lang w:val="en-US" w:eastAsia="zh-CN"/>
        </w:rPr>
      </w:pPr>
      <w:r>
        <w:rPr>
          <w:rFonts w:hint="eastAsia"/>
          <w:lang w:val="en-US" w:eastAsia="zh-CN"/>
        </w:rPr>
        <w:t>子洲县政府采购中心</w:t>
      </w:r>
      <w:r>
        <w:rPr>
          <w:rFonts w:hint="default"/>
          <w:lang w:val="en-US" w:eastAsia="zh-CN"/>
        </w:rPr>
        <w:t>:</w:t>
      </w:r>
    </w:p>
    <w:p>
      <w:pPr>
        <w:pStyle w:val="12"/>
        <w:ind w:firstLine="420" w:firstLineChars="0"/>
        <w:rPr>
          <w:rFonts w:hint="default"/>
          <w:lang w:val="en-US" w:eastAsia="zh-CN"/>
        </w:rPr>
      </w:pPr>
      <w:r>
        <w:rPr>
          <w:rFonts w:hint="default"/>
          <w:lang w:val="en-US" w:eastAsia="zh-CN"/>
        </w:rPr>
        <w:t>本公司就参加本次投标工作，作出郑重承诺:</w:t>
      </w:r>
    </w:p>
    <w:p>
      <w:pPr>
        <w:pStyle w:val="12"/>
        <w:ind w:firstLine="420" w:firstLineChars="0"/>
        <w:rPr>
          <w:rFonts w:hint="default"/>
          <w:lang w:val="en-US" w:eastAsia="zh-CN"/>
        </w:rPr>
      </w:pPr>
      <w:r>
        <w:rPr>
          <w:rFonts w:hint="default"/>
          <w:lang w:val="en-US" w:eastAsia="zh-CN"/>
        </w:rPr>
        <w:t>本公司保证本项目并非联合体投标。本公司违反上述保证，或本声明</w:t>
      </w:r>
      <w:r>
        <w:rPr>
          <w:rFonts w:hint="eastAsia"/>
          <w:lang w:val="en-US" w:eastAsia="zh-CN"/>
        </w:rPr>
        <w:t>陈述</w:t>
      </w:r>
      <w:r>
        <w:rPr>
          <w:rFonts w:hint="default"/>
          <w:lang w:val="en-US" w:eastAsia="zh-CN"/>
        </w:rPr>
        <w:t>与事实不符，经查实，本公司愿意承担由此带来的法律后果。</w:t>
      </w:r>
    </w:p>
    <w:p>
      <w:pPr>
        <w:pStyle w:val="12"/>
        <w:wordWrap w:val="0"/>
        <w:jc w:val="right"/>
        <w:rPr>
          <w:rFonts w:hint="default"/>
          <w:lang w:val="en-US" w:eastAsia="zh-CN"/>
        </w:rPr>
      </w:pPr>
      <w:r>
        <w:rPr>
          <w:rFonts w:hint="default"/>
          <w:lang w:val="en-US" w:eastAsia="zh-CN"/>
        </w:rPr>
        <w:t xml:space="preserve">投标人: (盖章) </w:t>
      </w:r>
      <w:r>
        <w:rPr>
          <w:rFonts w:hint="eastAsia"/>
          <w:lang w:val="en-US" w:eastAsia="zh-CN"/>
        </w:rPr>
        <w:t xml:space="preserve">         </w:t>
      </w:r>
    </w:p>
    <w:p>
      <w:pPr>
        <w:pStyle w:val="12"/>
        <w:jc w:val="right"/>
        <w:rPr>
          <w:rFonts w:hint="default"/>
          <w:lang w:val="en-US" w:eastAsia="zh-CN"/>
        </w:rPr>
      </w:pPr>
      <w:r>
        <w:rPr>
          <w:rFonts w:hint="default"/>
          <w:lang w:val="en-US" w:eastAsia="zh-CN"/>
        </w:rPr>
        <w:t>法定代表人:(签字或盖章</w:t>
      </w:r>
      <w:r>
        <w:rPr>
          <w:rFonts w:hint="eastAsia"/>
          <w:lang w:val="en-US" w:eastAsia="zh-CN"/>
        </w:rPr>
        <w:t>）</w:t>
      </w:r>
    </w:p>
    <w:p>
      <w:pPr>
        <w:pStyle w:val="12"/>
        <w:jc w:val="right"/>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pPr>
        <w:pStyle w:val="12"/>
        <w:rPr>
          <w:rFonts w:hint="eastAsia"/>
          <w:lang w:eastAsia="zh-CN"/>
        </w:rPr>
        <w:sectPr>
          <w:pgSz w:w="11906" w:h="16838"/>
          <w:pgMar w:top="1440" w:right="1287" w:bottom="1440" w:left="1440" w:header="850" w:footer="992" w:gutter="0"/>
          <w:pgNumType w:fmt="decimal"/>
          <w:cols w:space="720" w:num="1"/>
          <w:titlePg/>
          <w:docGrid w:linePitch="360" w:charSpace="0"/>
        </w:sectPr>
      </w:pPr>
    </w:p>
    <w:p>
      <w:pPr>
        <w:pStyle w:val="4"/>
        <w:numPr>
          <w:ilvl w:val="0"/>
          <w:numId w:val="8"/>
        </w:numPr>
        <w:bidi w:val="0"/>
        <w:ind w:leftChars="0"/>
        <w:jc w:val="center"/>
        <w:rPr>
          <w:rFonts w:hint="eastAsia" w:ascii="宋体" w:hAnsi="宋体" w:eastAsia="宋体" w:cs="宋体"/>
          <w:b/>
          <w:color w:val="auto"/>
          <w:sz w:val="32"/>
          <w:szCs w:val="32"/>
          <w:lang w:val="en-US" w:eastAsia="zh-CN"/>
        </w:rPr>
      </w:pPr>
      <w:bookmarkStart w:id="138" w:name="_Toc9354"/>
      <w:r>
        <w:rPr>
          <w:rFonts w:hint="eastAsia"/>
          <w:lang w:val="en-US" w:eastAsia="zh-CN"/>
        </w:rPr>
        <w:t>服务方案</w:t>
      </w:r>
      <w:bookmarkEnd w:id="138"/>
    </w:p>
    <w:p>
      <w:pPr>
        <w:pStyle w:val="4"/>
        <w:numPr>
          <w:ilvl w:val="0"/>
          <w:numId w:val="0"/>
        </w:numPr>
        <w:bidi w:val="0"/>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（不限于以下内容）</w:t>
      </w:r>
    </w:p>
    <w:p>
      <w:pPr>
        <w:spacing w:line="311" w:lineRule="auto"/>
        <w:rPr>
          <w:rFonts w:ascii="Arial"/>
          <w:sz w:val="21"/>
        </w:rPr>
      </w:pPr>
    </w:p>
    <w:p>
      <w:pPr>
        <w:spacing w:before="75" w:line="230" w:lineRule="auto"/>
        <w:ind w:left="4198"/>
        <w:rPr>
          <w:rFonts w:ascii="黑体" w:hAnsi="黑体" w:eastAsia="黑体" w:cs="黑体"/>
          <w:sz w:val="23"/>
          <w:szCs w:val="23"/>
        </w:rPr>
      </w:pPr>
      <w:r>
        <w:rPr>
          <w:rFonts w:ascii="黑体" w:hAnsi="黑体" w:eastAsia="黑体" w:cs="黑体"/>
          <w:spacing w:val="3"/>
          <w:sz w:val="23"/>
          <w:szCs w:val="23"/>
        </w:rPr>
        <w:t>（格式自拟）</w:t>
      </w:r>
    </w:p>
    <w:p>
      <w:pPr>
        <w:spacing w:line="262" w:lineRule="auto"/>
        <w:rPr>
          <w:rFonts w:ascii="Arial"/>
          <w:sz w:val="21"/>
        </w:rPr>
      </w:pPr>
    </w:p>
    <w:p>
      <w:pPr>
        <w:spacing w:before="75" w:line="229" w:lineRule="auto"/>
        <w:ind w:left="18"/>
        <w:rPr>
          <w:rFonts w:ascii="黑体" w:hAnsi="黑体" w:eastAsia="黑体" w:cs="黑体"/>
          <w:sz w:val="23"/>
          <w:szCs w:val="23"/>
        </w:rPr>
      </w:pPr>
      <w:r>
        <w:rPr>
          <w:rFonts w:ascii="黑体" w:hAnsi="黑体" w:eastAsia="黑体" w:cs="黑体"/>
          <w:spacing w:val="5"/>
          <w:sz w:val="23"/>
          <w:szCs w:val="23"/>
        </w:rPr>
        <w:t>1、施工方案</w:t>
      </w:r>
    </w:p>
    <w:p>
      <w:pPr>
        <w:spacing w:before="216" w:line="231" w:lineRule="auto"/>
        <w:ind w:left="4"/>
        <w:rPr>
          <w:rFonts w:ascii="黑体" w:hAnsi="黑体" w:eastAsia="黑体" w:cs="黑体"/>
          <w:sz w:val="23"/>
          <w:szCs w:val="23"/>
        </w:rPr>
      </w:pPr>
      <w:r>
        <w:rPr>
          <w:rFonts w:ascii="黑体" w:hAnsi="黑体" w:eastAsia="黑体" w:cs="黑体"/>
          <w:spacing w:val="8"/>
          <w:sz w:val="23"/>
          <w:szCs w:val="23"/>
        </w:rPr>
        <w:t>2、工期保证措施</w:t>
      </w:r>
    </w:p>
    <w:p>
      <w:pPr>
        <w:spacing w:before="211" w:line="230" w:lineRule="auto"/>
        <w:ind w:left="6"/>
        <w:rPr>
          <w:rFonts w:ascii="黑体" w:hAnsi="黑体" w:eastAsia="黑体" w:cs="黑体"/>
          <w:sz w:val="23"/>
          <w:szCs w:val="23"/>
        </w:rPr>
      </w:pPr>
      <w:r>
        <w:rPr>
          <w:rFonts w:ascii="黑体" w:hAnsi="黑体" w:eastAsia="黑体" w:cs="黑体"/>
          <w:spacing w:val="8"/>
          <w:sz w:val="23"/>
          <w:szCs w:val="23"/>
        </w:rPr>
        <w:t>3、工程质量保证措施</w:t>
      </w:r>
    </w:p>
    <w:p>
      <w:pPr>
        <w:spacing w:before="213" w:line="231" w:lineRule="auto"/>
        <w:rPr>
          <w:rFonts w:ascii="黑体" w:hAnsi="黑体" w:eastAsia="黑体" w:cs="黑体"/>
          <w:sz w:val="23"/>
          <w:szCs w:val="23"/>
        </w:rPr>
      </w:pPr>
      <w:r>
        <w:rPr>
          <w:rFonts w:ascii="黑体" w:hAnsi="黑体" w:eastAsia="黑体" w:cs="黑体"/>
          <w:spacing w:val="9"/>
          <w:sz w:val="23"/>
          <w:szCs w:val="23"/>
        </w:rPr>
        <w:t>4、安全保证措施</w:t>
      </w:r>
    </w:p>
    <w:p>
      <w:pPr>
        <w:spacing w:before="213" w:line="230" w:lineRule="auto"/>
        <w:rPr>
          <w:rFonts w:ascii="黑体" w:hAnsi="黑体" w:eastAsia="黑体" w:cs="黑体"/>
          <w:sz w:val="23"/>
          <w:szCs w:val="23"/>
        </w:rPr>
      </w:pPr>
      <w:r>
        <w:rPr>
          <w:rFonts w:ascii="黑体" w:hAnsi="黑体" w:eastAsia="黑体" w:cs="黑体"/>
          <w:spacing w:val="9"/>
          <w:sz w:val="23"/>
          <w:szCs w:val="23"/>
        </w:rPr>
        <w:t>5、施工机械设备配备计划和劳动力安排计划</w:t>
      </w:r>
    </w:p>
    <w:p>
      <w:pPr>
        <w:pStyle w:val="15"/>
        <w:ind w:left="0" w:leftChars="0" w:firstLine="240" w:firstLineChars="100"/>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w:t>
      </w:r>
    </w:p>
    <w:p>
      <w:pPr>
        <w:pStyle w:val="12"/>
        <w:rPr>
          <w:rFonts w:hint="eastAsia"/>
          <w:lang w:val="en-US" w:eastAsia="zh-CN"/>
        </w:rPr>
        <w:sectPr>
          <w:pgSz w:w="11906" w:h="16838"/>
          <w:pgMar w:top="1440" w:right="1417" w:bottom="1440" w:left="1417" w:header="851" w:footer="992" w:gutter="0"/>
          <w:pgNumType w:fmt="decimal"/>
          <w:cols w:space="720" w:num="1"/>
          <w:docGrid w:type="lines" w:linePitch="312" w:charSpace="0"/>
        </w:sectPr>
      </w:pPr>
    </w:p>
    <w:bookmarkEnd w:id="125"/>
    <w:bookmarkEnd w:id="126"/>
    <w:bookmarkEnd w:id="135"/>
    <w:bookmarkEnd w:id="136"/>
    <w:p>
      <w:pPr>
        <w:pStyle w:val="4"/>
        <w:numPr>
          <w:ilvl w:val="0"/>
          <w:numId w:val="9"/>
        </w:numPr>
        <w:bidi w:val="0"/>
        <w:rPr>
          <w:rFonts w:hint="eastAsia"/>
          <w:lang w:eastAsia="zh-CN"/>
        </w:rPr>
      </w:pPr>
      <w:bookmarkStart w:id="139" w:name="_Toc2753"/>
      <w:r>
        <w:rPr>
          <w:rFonts w:hint="eastAsia"/>
          <w:lang w:eastAsia="zh-CN"/>
        </w:rPr>
        <w:t>投标人承诺书</w:t>
      </w:r>
      <w:bookmarkEnd w:id="139"/>
    </w:p>
    <w:p>
      <w:pPr>
        <w:rPr>
          <w:rFonts w:hint="eastAsia"/>
          <w:lang w:eastAsia="zh-CN"/>
        </w:rPr>
      </w:pP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b/>
          <w:bCs/>
          <w:sz w:val="32"/>
          <w:szCs w:val="32"/>
        </w:rPr>
      </w:pPr>
      <w:bookmarkStart w:id="140" w:name="_Toc11958"/>
      <w:bookmarkStart w:id="141" w:name="_Toc15657"/>
      <w:bookmarkStart w:id="142" w:name="_Toc1373"/>
      <w:r>
        <w:rPr>
          <w:rFonts w:hint="eastAsia" w:ascii="宋体" w:hAnsi="宋体" w:eastAsia="宋体" w:cs="宋体"/>
          <w:b/>
          <w:bCs/>
          <w:sz w:val="28"/>
        </w:rPr>
        <w:t>拒绝政府采购领域商业贿赂承诺书</w:t>
      </w:r>
      <w:r>
        <w:rPr>
          <w:rFonts w:hint="eastAsia"/>
          <w:b/>
          <w:bCs/>
          <w:sz w:val="32"/>
          <w:szCs w:val="32"/>
        </w:rPr>
        <w:t>（一）</w:t>
      </w:r>
      <w:bookmarkEnd w:id="140"/>
      <w:bookmarkEnd w:id="141"/>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4、不采取“围标、陪标”等商业欺诈手段获得政府采购定单。</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5、不采取不正当手段诋毁、排挤其他供应商。</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7、不与采购人、采购代理机构政府采购评审专家或其它供应商恶意串通，进行质疑和投诉，维护政府采购市场秩序。</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pStyle w:val="18"/>
        <w:rPr>
          <w:rFonts w:hint="eastAsia"/>
          <w:lang w:eastAsia="zh-CN"/>
        </w:rPr>
      </w:pPr>
    </w:p>
    <w:p>
      <w:pPr>
        <w:widowControl/>
        <w:spacing w:line="360" w:lineRule="auto"/>
        <w:ind w:left="274" w:leftChars="114"/>
        <w:jc w:val="left"/>
        <w:rPr>
          <w:rFonts w:hint="eastAsia" w:ascii="宋体" w:hAnsi="宋体" w:eastAsia="宋体" w:cs="宋体"/>
          <w:kern w:val="0"/>
          <w:sz w:val="24"/>
          <w:lang w:eastAsia="zh-CN"/>
        </w:rPr>
      </w:pPr>
      <w:r>
        <w:rPr>
          <w:rFonts w:ascii="宋体" w:hAnsi="宋体" w:cs="宋体"/>
          <w:kern w:val="0"/>
          <w:sz w:val="24"/>
        </w:rPr>
        <w:t>承诺单位</w:t>
      </w:r>
      <w:r>
        <w:rPr>
          <w:rFonts w:hint="eastAsia" w:ascii="宋体" w:hAnsi="宋体" w:cs="宋体"/>
          <w:kern w:val="0"/>
          <w:sz w:val="24"/>
        </w:rPr>
        <w:t>名称</w:t>
      </w:r>
      <w:r>
        <w:rPr>
          <w:rFonts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rPr>
        <w:t>（盖章）</w:t>
      </w: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sz w:val="24"/>
          <w:szCs w:val="24"/>
        </w:rPr>
        <w:t>法定代表人/单位负责人</w:t>
      </w:r>
      <w:r>
        <w:rPr>
          <w:rFonts w:ascii="宋体" w:hAnsi="宋体"/>
          <w:sz w:val="24"/>
          <w:szCs w:val="24"/>
        </w:rPr>
        <w:t>/</w:t>
      </w:r>
      <w:r>
        <w:rPr>
          <w:rFonts w:hint="eastAsia" w:ascii="宋体" w:hAnsi="宋体"/>
          <w:sz w:val="24"/>
          <w:szCs w:val="24"/>
        </w:rPr>
        <w:t>或</w:t>
      </w:r>
      <w:r>
        <w:rPr>
          <w:rFonts w:ascii="宋体" w:hAnsi="宋体"/>
          <w:sz w:val="24"/>
          <w:szCs w:val="24"/>
        </w:rPr>
        <w:t>被授权人签字：</w:t>
      </w:r>
      <w:r>
        <w:rPr>
          <w:rFonts w:ascii="宋体" w:hAnsi="宋体" w:cs="宋体"/>
          <w:kern w:val="0"/>
          <w:sz w:val="24"/>
        </w:rPr>
        <w:t>（签字）</w:t>
      </w:r>
    </w:p>
    <w:p>
      <w:pPr>
        <w:widowControl/>
        <w:spacing w:line="360" w:lineRule="auto"/>
        <w:ind w:left="274" w:leftChars="114"/>
        <w:jc w:val="left"/>
        <w:rPr>
          <w:rFonts w:hint="eastAsia" w:ascii="宋体" w:hAnsi="宋体" w:cs="宋体"/>
          <w:kern w:val="0"/>
          <w:sz w:val="24"/>
        </w:rPr>
      </w:pPr>
      <w:r>
        <w:rPr>
          <w:rFonts w:ascii="宋体" w:hAnsi="宋体" w:cs="宋体"/>
          <w:kern w:val="0"/>
          <w:sz w:val="24"/>
        </w:rPr>
        <w:t>地  址：                        </w:t>
      </w:r>
    </w:p>
    <w:p>
      <w:pPr>
        <w:widowControl/>
        <w:spacing w:line="360" w:lineRule="auto"/>
        <w:ind w:left="274" w:leftChars="114"/>
        <w:jc w:val="left"/>
        <w:rPr>
          <w:rFonts w:hint="eastAsia" w:ascii="宋体" w:hAnsi="宋体" w:eastAsia="宋体" w:cs="宋体"/>
          <w:kern w:val="0"/>
          <w:sz w:val="24"/>
          <w:lang w:eastAsia="zh-CN"/>
        </w:rPr>
      </w:pPr>
      <w:r>
        <w:rPr>
          <w:rFonts w:ascii="宋体" w:hAnsi="宋体" w:cs="宋体"/>
          <w:kern w:val="0"/>
          <w:sz w:val="24"/>
        </w:rPr>
        <w:t>邮  编：</w:t>
      </w:r>
    </w:p>
    <w:p>
      <w:pPr>
        <w:widowControl/>
        <w:spacing w:line="360" w:lineRule="auto"/>
        <w:ind w:left="274" w:leftChars="114"/>
        <w:jc w:val="left"/>
        <w:rPr>
          <w:rFonts w:ascii="宋体" w:hAnsi="宋体" w:cs="宋体"/>
          <w:kern w:val="0"/>
          <w:sz w:val="24"/>
        </w:rPr>
      </w:pPr>
      <w:r>
        <w:rPr>
          <w:rFonts w:ascii="宋体" w:hAnsi="宋体" w:cs="宋体"/>
          <w:kern w:val="0"/>
          <w:sz w:val="24"/>
        </w:rPr>
        <w:t>电  话：                             </w:t>
      </w:r>
    </w:p>
    <w:p>
      <w:pPr>
        <w:widowControl/>
        <w:spacing w:line="360" w:lineRule="auto"/>
        <w:ind w:left="274" w:leftChars="114"/>
        <w:jc w:val="left"/>
        <w:rPr>
          <w:rFonts w:hint="eastAsia" w:ascii="宋体" w:hAnsi="宋体" w:cs="宋体"/>
          <w:kern w:val="0"/>
          <w:sz w:val="24"/>
        </w:rPr>
      </w:pPr>
      <w:r>
        <w:rPr>
          <w:rFonts w:hint="eastAsia" w:ascii="宋体" w:hAnsi="宋体" w:cs="宋体"/>
          <w:kern w:val="0"/>
          <w:sz w:val="24"/>
        </w:rPr>
        <w:t>日    期：</w:t>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w:t>
      </w:r>
      <w:r>
        <w:rPr>
          <w:rFonts w:hint="eastAsia" w:ascii="宋体" w:hAnsi="宋体" w:cs="宋体"/>
          <w:kern w:val="0"/>
          <w:sz w:val="24"/>
        </w:rPr>
        <w:t xml:space="preserve">                                                </w:t>
      </w:r>
    </w:p>
    <w:p>
      <w:pPr>
        <w:widowControl/>
        <w:spacing w:line="360" w:lineRule="auto"/>
        <w:ind w:firstLine="3855" w:firstLineChars="1200"/>
        <w:rPr>
          <w:rFonts w:hint="eastAsia" w:ascii="宋体" w:hAnsi="宋体"/>
          <w:b/>
          <w:sz w:val="32"/>
          <w:szCs w:val="32"/>
        </w:rPr>
      </w:pPr>
    </w:p>
    <w:p>
      <w:pPr>
        <w:pStyle w:val="18"/>
        <w:rPr>
          <w:rFonts w:hint="eastAsia" w:ascii="宋体" w:hAnsi="宋体"/>
          <w:b/>
          <w:sz w:val="32"/>
          <w:szCs w:val="32"/>
        </w:rPr>
      </w:pPr>
    </w:p>
    <w:p>
      <w:pPr>
        <w:pStyle w:val="18"/>
        <w:rPr>
          <w:rFonts w:hint="eastAsia" w:ascii="宋体" w:hAnsi="宋体"/>
          <w:b/>
          <w:sz w:val="32"/>
          <w:szCs w:val="32"/>
        </w:rPr>
      </w:pPr>
    </w:p>
    <w:p>
      <w:pPr>
        <w:pStyle w:val="18"/>
        <w:rPr>
          <w:rFonts w:hint="eastAsia" w:ascii="宋体" w:hAnsi="宋体"/>
          <w:b/>
          <w:sz w:val="32"/>
          <w:szCs w:val="32"/>
        </w:rPr>
      </w:pP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rPr>
      </w:pPr>
      <w:r>
        <w:rPr>
          <w:rFonts w:hint="eastAsia" w:ascii="宋体" w:hAnsi="宋体" w:eastAsia="宋体" w:cs="宋体"/>
          <w:b/>
          <w:bCs/>
          <w:sz w:val="28"/>
        </w:rPr>
        <w:t>质量安全责任承诺书</w:t>
      </w:r>
      <w:r>
        <w:rPr>
          <w:rFonts w:hint="eastAsia" w:ascii="宋体" w:hAnsi="宋体"/>
          <w:b/>
          <w:sz w:val="32"/>
          <w:szCs w:val="32"/>
        </w:rPr>
        <w:t>（二）</w:t>
      </w:r>
    </w:p>
    <w:p>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为保证本采购项目顺利进行，作为供应商，现郑重承诺：</w:t>
      </w:r>
    </w:p>
    <w:p>
      <w:pPr>
        <w:widowControl/>
        <w:spacing w:line="360" w:lineRule="auto"/>
        <w:ind w:left="274" w:leftChars="114" w:firstLine="470" w:firstLineChars="196"/>
        <w:jc w:val="left"/>
        <w:rPr>
          <w:rFonts w:hint="eastAsia" w:ascii="宋体" w:hAnsi="宋体" w:eastAsia="宋体" w:cs="宋体"/>
          <w:kern w:val="0"/>
          <w:sz w:val="24"/>
        </w:rPr>
      </w:pPr>
    </w:p>
    <w:p>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1、我方投标产品的生产（包括设计、制造、安装、改造、维修等）、投入使用的材料等均完全符合国家现行质量、安全、环保标准和要求。</w:t>
      </w:r>
    </w:p>
    <w:p>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2、我方将严格按照国家现行相关储存、运输、安装调试技术标准及规范、服务标准 及规范、施工标准及规范，在规定的时限内，保质、保量完成项目全部内容，并向采购人交付合格产品。</w:t>
      </w:r>
    </w:p>
    <w:p>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3、对于因产品生产质量以及储存、运输、安装调试、服务、施工等过程中产生的任何安全事故，我方承担全部责任。</w:t>
      </w:r>
    </w:p>
    <w:p>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4、我方提供的服务符合现行的国家、行业、地区、企业标准及要求，标准不一致的，以更为严格的为准，我方对提供的服务的质量、安全、环保等承担全部责任。</w:t>
      </w:r>
    </w:p>
    <w:p>
      <w:pPr>
        <w:widowControl/>
        <w:spacing w:line="360" w:lineRule="auto"/>
        <w:jc w:val="left"/>
        <w:rPr>
          <w:rFonts w:hint="eastAsia" w:ascii="宋体" w:hAnsi="宋体" w:eastAsia="宋体" w:cs="宋体"/>
          <w:kern w:val="0"/>
          <w:sz w:val="24"/>
        </w:rPr>
      </w:pPr>
    </w:p>
    <w:p>
      <w:pPr>
        <w:widowControl/>
        <w:spacing w:line="360" w:lineRule="auto"/>
        <w:ind w:left="274" w:leftChars="114" w:firstLine="470" w:firstLineChars="196"/>
        <w:jc w:val="right"/>
        <w:rPr>
          <w:rFonts w:hint="eastAsia" w:ascii="宋体" w:hAnsi="宋体" w:eastAsia="宋体" w:cs="宋体"/>
          <w:kern w:val="0"/>
          <w:sz w:val="24"/>
        </w:rPr>
      </w:pPr>
    </w:p>
    <w:p>
      <w:pPr>
        <w:widowControl/>
        <w:wordWrap w:val="0"/>
        <w:spacing w:line="360" w:lineRule="auto"/>
        <w:jc w:val="right"/>
        <w:rPr>
          <w:rFonts w:hint="default" w:ascii="宋体" w:hAnsi="宋体" w:eastAsia="宋体" w:cs="宋体"/>
          <w:kern w:val="0"/>
          <w:sz w:val="24"/>
          <w:lang w:val="en-US"/>
        </w:rPr>
      </w:pPr>
      <w:r>
        <w:rPr>
          <w:rFonts w:hint="eastAsia" w:ascii="宋体" w:hAnsi="宋体" w:eastAsia="宋体" w:cs="宋体"/>
          <w:kern w:val="0"/>
          <w:sz w:val="24"/>
        </w:rPr>
        <w:t>供应商名称：（加盖公章）</w:t>
      </w:r>
      <w:r>
        <w:rPr>
          <w:rFonts w:hint="default" w:ascii="宋体" w:hAnsi="宋体" w:eastAsia="宋体" w:cs="宋体"/>
          <w:kern w:val="0"/>
          <w:sz w:val="24"/>
          <w:lang w:val="en-US"/>
        </w:rPr>
        <w:t xml:space="preserve">  </w:t>
      </w:r>
    </w:p>
    <w:p>
      <w:pPr>
        <w:widowControl/>
        <w:spacing w:line="360" w:lineRule="auto"/>
        <w:ind w:left="274" w:leftChars="114" w:firstLine="470" w:firstLineChars="196"/>
        <w:jc w:val="right"/>
        <w:rPr>
          <w:rFonts w:hint="eastAsia" w:ascii="宋体" w:hAnsi="宋体" w:eastAsia="宋体" w:cs="宋体"/>
          <w:kern w:val="0"/>
          <w:sz w:val="24"/>
        </w:rPr>
      </w:pPr>
    </w:p>
    <w:p>
      <w:pPr>
        <w:widowControl/>
        <w:spacing w:line="360" w:lineRule="auto"/>
        <w:ind w:left="274" w:leftChars="114" w:firstLine="470" w:firstLineChars="196"/>
        <w:jc w:val="right"/>
        <w:rPr>
          <w:rFonts w:hint="eastAsia" w:ascii="宋体" w:hAnsi="宋体" w:eastAsia="宋体" w:cs="宋体"/>
          <w:kern w:val="0"/>
          <w:sz w:val="24"/>
        </w:rPr>
      </w:pPr>
    </w:p>
    <w:p>
      <w:pPr>
        <w:widowControl/>
        <w:wordWrap w:val="0"/>
        <w:spacing w:line="360" w:lineRule="auto"/>
        <w:ind w:firstLine="960" w:firstLineChars="400"/>
        <w:jc w:val="right"/>
        <w:rPr>
          <w:rFonts w:hint="default" w:ascii="宋体" w:hAnsi="宋体" w:eastAsia="宋体" w:cs="宋体"/>
          <w:kern w:val="0"/>
          <w:sz w:val="24"/>
          <w:lang w:val="en-US"/>
        </w:rPr>
      </w:pPr>
      <w:r>
        <w:rPr>
          <w:rFonts w:hint="eastAsia" w:ascii="宋体" w:hAnsi="宋体" w:eastAsia="宋体" w:cs="宋体"/>
          <w:kern w:val="0"/>
          <w:sz w:val="24"/>
        </w:rPr>
        <w:t>年  月  日</w:t>
      </w:r>
      <w:r>
        <w:rPr>
          <w:rFonts w:hint="default" w:ascii="宋体" w:hAnsi="宋体" w:eastAsia="宋体" w:cs="宋体"/>
          <w:kern w:val="0"/>
          <w:sz w:val="24"/>
          <w:lang w:val="en-US"/>
        </w:rPr>
        <w:t xml:space="preserve">      </w:t>
      </w:r>
    </w:p>
    <w:p>
      <w:pPr>
        <w:pStyle w:val="18"/>
        <w:rPr>
          <w:rFonts w:hint="eastAsia" w:ascii="宋体" w:hAnsi="宋体"/>
          <w:b/>
          <w:sz w:val="32"/>
          <w:szCs w:val="32"/>
        </w:rPr>
      </w:pPr>
    </w:p>
    <w:p>
      <w:pPr>
        <w:pStyle w:val="18"/>
        <w:spacing w:line="360" w:lineRule="auto"/>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承诺书（</w:t>
      </w:r>
      <w:r>
        <w:rPr>
          <w:rFonts w:hint="eastAsia" w:ascii="宋体" w:hAnsi="宋体"/>
          <w:b/>
          <w:sz w:val="32"/>
          <w:szCs w:val="32"/>
          <w:lang w:val="en-US" w:eastAsia="zh-CN"/>
        </w:rPr>
        <w:t>三</w:t>
      </w:r>
      <w:r>
        <w:rPr>
          <w:rFonts w:hint="eastAsia" w:ascii="宋体" w:hAnsi="宋体"/>
          <w:b/>
          <w:sz w:val="32"/>
          <w:szCs w:val="32"/>
        </w:rPr>
        <w:t>）</w:t>
      </w:r>
    </w:p>
    <w:p>
      <w:pPr>
        <w:spacing w:line="360" w:lineRule="auto"/>
        <w:jc w:val="center"/>
        <w:rPr>
          <w:rFonts w:hint="eastAsia" w:ascii="宋体" w:hAnsi="宋体"/>
          <w:b/>
          <w:sz w:val="24"/>
        </w:rPr>
      </w:pPr>
    </w:p>
    <w:tbl>
      <w:tblPr>
        <w:tblStyle w:val="2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pPr>
              <w:spacing w:line="360" w:lineRule="auto"/>
              <w:jc w:val="center"/>
              <w:rPr>
                <w:rFonts w:hint="eastAsia" w:ascii="宋体" w:hAnsi="宋体"/>
                <w:sz w:val="24"/>
              </w:rPr>
            </w:pPr>
            <w:r>
              <w:rPr>
                <w:rFonts w:hint="eastAsia" w:ascii="宋体" w:hAnsi="宋体"/>
                <w:sz w:val="24"/>
              </w:rPr>
              <w:t xml:space="preserve"> 供应商</w:t>
            </w:r>
          </w:p>
        </w:tc>
        <w:tc>
          <w:tcPr>
            <w:tcW w:w="3465"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71"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465"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71"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jc w:val="center"/>
        <w:rPr>
          <w:rFonts w:hint="eastAsia" w:ascii="宋体" w:hAnsi="宋体"/>
          <w:b/>
          <w:sz w:val="32"/>
          <w:szCs w:val="32"/>
        </w:rPr>
      </w:pPr>
    </w:p>
    <w:p>
      <w:pPr>
        <w:spacing w:line="360" w:lineRule="auto"/>
        <w:jc w:val="center"/>
        <w:rPr>
          <w:rFonts w:hint="eastAsia" w:ascii="宋体" w:hAnsi="宋体"/>
          <w:b/>
          <w:sz w:val="24"/>
        </w:rPr>
      </w:pPr>
      <w:r>
        <w:rPr>
          <w:rFonts w:hint="eastAsia" w:ascii="宋体" w:hAnsi="宋体"/>
          <w:b/>
          <w:sz w:val="32"/>
          <w:szCs w:val="32"/>
        </w:rPr>
        <w:t>承诺书（</w:t>
      </w:r>
      <w:r>
        <w:rPr>
          <w:rFonts w:hint="eastAsia" w:ascii="宋体" w:hAnsi="宋体"/>
          <w:b/>
          <w:sz w:val="32"/>
          <w:szCs w:val="32"/>
          <w:lang w:val="en-US" w:eastAsia="zh-CN"/>
        </w:rPr>
        <w:t>四</w:t>
      </w:r>
      <w:r>
        <w:rPr>
          <w:rFonts w:hint="eastAsia" w:ascii="宋体" w:hAnsi="宋体"/>
          <w:b/>
          <w:sz w:val="32"/>
          <w:szCs w:val="32"/>
        </w:rPr>
        <w:t>）</w:t>
      </w:r>
    </w:p>
    <w:tbl>
      <w:tblPr>
        <w:tblStyle w:val="2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作为参加贵公司组织的本次招标项目的供应商，本公司郑重申告并承诺：近三年受到有关行政主管部门的行政处理、不良行为记录为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pPr>
              <w:spacing w:line="360" w:lineRule="auto"/>
              <w:jc w:val="center"/>
              <w:rPr>
                <w:rFonts w:hint="eastAsia" w:ascii="宋体" w:hAnsi="宋体"/>
                <w:sz w:val="24"/>
              </w:rPr>
            </w:pPr>
            <w:r>
              <w:rPr>
                <w:rFonts w:hint="eastAsia" w:ascii="宋体" w:hAnsi="宋体"/>
                <w:sz w:val="24"/>
              </w:rPr>
              <w:t>供应商</w:t>
            </w:r>
          </w:p>
        </w:tc>
        <w:tc>
          <w:tcPr>
            <w:tcW w:w="3497"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92"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497"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92"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jc w:val="both"/>
        <w:rPr>
          <w:rFonts w:hint="eastAsia" w:ascii="宋体" w:hAnsi="宋体"/>
          <w:b/>
          <w:sz w:val="32"/>
          <w:szCs w:val="32"/>
        </w:rPr>
      </w:pPr>
    </w:p>
    <w:p>
      <w:pPr>
        <w:spacing w:line="360" w:lineRule="auto"/>
        <w:jc w:val="center"/>
        <w:rPr>
          <w:rFonts w:hint="eastAsia"/>
        </w:rPr>
      </w:pPr>
      <w:r>
        <w:rPr>
          <w:rFonts w:hint="eastAsia" w:ascii="宋体" w:hAnsi="宋体"/>
          <w:b/>
          <w:sz w:val="32"/>
          <w:szCs w:val="32"/>
        </w:rPr>
        <w:t>承诺书（</w:t>
      </w:r>
      <w:r>
        <w:rPr>
          <w:rFonts w:hint="eastAsia" w:ascii="宋体" w:hAnsi="宋体"/>
          <w:b/>
          <w:sz w:val="32"/>
          <w:szCs w:val="32"/>
          <w:lang w:val="en-US" w:eastAsia="zh-CN"/>
        </w:rPr>
        <w:t>五</w:t>
      </w:r>
      <w:r>
        <w:rPr>
          <w:rFonts w:hint="eastAsia" w:ascii="宋体" w:hAnsi="宋体"/>
          <w:b/>
          <w:sz w:val="32"/>
          <w:szCs w:val="32"/>
        </w:rPr>
        <w:t>）</w:t>
      </w:r>
    </w:p>
    <w:tbl>
      <w:tblPr>
        <w:tblStyle w:val="2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作为参加贵公司组织的本次招标项目的供应商，本公司郑重申告：近三年因产品供货问题（水货、替代品、次品、翻新品等）的不法行为记录为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p>
            <w:pPr>
              <w:spacing w:line="360" w:lineRule="auto"/>
              <w:ind w:firstLine="480" w:firstLineChars="200"/>
              <w:rPr>
                <w:rFonts w:hint="eastAsia" w:ascii="宋体" w:hAnsi="宋体"/>
                <w:sz w:val="24"/>
              </w:rPr>
            </w:pPr>
            <w:r>
              <w:rPr>
                <w:rFonts w:hint="eastAsia" w:ascii="宋体" w:hAnsi="宋体"/>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pPr>
              <w:spacing w:line="360" w:lineRule="auto"/>
              <w:jc w:val="center"/>
              <w:rPr>
                <w:rFonts w:hint="eastAsia" w:ascii="宋体" w:hAnsi="宋体"/>
                <w:sz w:val="24"/>
              </w:rPr>
            </w:pPr>
            <w:r>
              <w:rPr>
                <w:rFonts w:hint="eastAsia" w:ascii="宋体" w:hAnsi="宋体"/>
                <w:sz w:val="24"/>
              </w:rPr>
              <w:t>供应商</w:t>
            </w:r>
          </w:p>
        </w:tc>
        <w:tc>
          <w:tcPr>
            <w:tcW w:w="3471"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76"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pPr>
              <w:spacing w:line="360" w:lineRule="auto"/>
              <w:ind w:left="-62" w:leftChars="-26" w:firstLine="52" w:firstLineChars="22"/>
              <w:jc w:val="center"/>
              <w:rPr>
                <w:rFonts w:hint="eastAsia" w:ascii="宋体" w:hAnsi="宋体"/>
                <w:sz w:val="24"/>
              </w:rPr>
            </w:pPr>
            <w:r>
              <w:rPr>
                <w:rFonts w:hint="eastAsia" w:ascii="宋体" w:hAnsi="宋体"/>
                <w:sz w:val="24"/>
              </w:rPr>
              <w:t>（投标人名称）（公章）</w:t>
            </w:r>
          </w:p>
        </w:tc>
        <w:tc>
          <w:tcPr>
            <w:tcW w:w="3471"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76"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ind w:firstLine="3213" w:firstLineChars="1000"/>
        <w:rPr>
          <w:rFonts w:hint="eastAsia" w:ascii="宋体" w:hAnsi="宋体"/>
          <w:b/>
          <w:sz w:val="32"/>
          <w:szCs w:val="32"/>
        </w:rPr>
      </w:pPr>
    </w:p>
    <w:p>
      <w:pPr>
        <w:spacing w:line="360" w:lineRule="auto"/>
        <w:jc w:val="center"/>
        <w:rPr>
          <w:rFonts w:hint="eastAsia" w:ascii="宋体" w:hAnsi="宋体"/>
          <w:b/>
          <w:sz w:val="32"/>
          <w:szCs w:val="32"/>
        </w:rPr>
      </w:pPr>
      <w:r>
        <w:rPr>
          <w:rFonts w:hint="eastAsia" w:ascii="宋体" w:hAnsi="宋体"/>
          <w:b/>
          <w:sz w:val="32"/>
          <w:szCs w:val="32"/>
        </w:rPr>
        <w:t>承诺书（</w:t>
      </w:r>
      <w:r>
        <w:rPr>
          <w:rFonts w:hint="eastAsia" w:ascii="宋体" w:hAnsi="宋体"/>
          <w:b/>
          <w:sz w:val="32"/>
          <w:szCs w:val="32"/>
          <w:lang w:val="en-US" w:eastAsia="zh-CN"/>
        </w:rPr>
        <w:t>六</w:t>
      </w:r>
      <w:r>
        <w:rPr>
          <w:rFonts w:hint="eastAsia" w:ascii="宋体" w:hAnsi="宋体"/>
          <w:b/>
          <w:sz w:val="32"/>
          <w:szCs w:val="32"/>
        </w:rPr>
        <w:t>）</w:t>
      </w:r>
    </w:p>
    <w:tbl>
      <w:tblPr>
        <w:tblStyle w:val="26"/>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作为参加贵公司组织的本次招标项目的供应商，本公司承诺：参加本次招标提交的所有资质证明文件是真实的、有效的，如有隐瞒实情，愿承担一切责任及后果。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pPr>
              <w:spacing w:line="360" w:lineRule="auto"/>
              <w:jc w:val="center"/>
              <w:rPr>
                <w:rFonts w:hint="eastAsia" w:ascii="宋体" w:hAnsi="宋体"/>
                <w:sz w:val="24"/>
              </w:rPr>
            </w:pPr>
            <w:r>
              <w:rPr>
                <w:rFonts w:hint="eastAsia" w:ascii="宋体" w:hAnsi="宋体"/>
                <w:sz w:val="24"/>
              </w:rPr>
              <w:t>供应商</w:t>
            </w:r>
          </w:p>
        </w:tc>
        <w:tc>
          <w:tcPr>
            <w:tcW w:w="3524"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761"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524"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761"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widowControl/>
        <w:spacing w:line="360" w:lineRule="auto"/>
        <w:jc w:val="left"/>
        <w:rPr>
          <w:rFonts w:hint="eastAsia" w:ascii="宋体" w:hAnsi="宋体" w:eastAsia="宋体" w:cs="宋体"/>
          <w:b/>
          <w:sz w:val="28"/>
          <w:szCs w:val="28"/>
        </w:rPr>
      </w:pPr>
    </w:p>
    <w:p>
      <w:pPr>
        <w:pStyle w:val="23"/>
        <w:shd w:val="clear" w:color="auto" w:fill="FFFFFF"/>
        <w:adjustRightInd w:val="0"/>
        <w:snapToGrid w:val="0"/>
        <w:spacing w:before="0" w:beforeAutospacing="0" w:after="0" w:afterAutospacing="0" w:line="360" w:lineRule="auto"/>
        <w:ind w:firstLine="480"/>
        <w:jc w:val="center"/>
        <w:rPr>
          <w:rFonts w:hint="eastAsia" w:eastAsia="宋体"/>
          <w:color w:val="auto"/>
          <w:lang w:eastAsia="zh-CN"/>
        </w:rPr>
      </w:pPr>
      <w:r>
        <w:rPr>
          <w:rFonts w:hint="eastAsia" w:ascii="宋体" w:hAnsi="宋体" w:eastAsia="宋体" w:cs="宋体"/>
          <w:b/>
          <w:sz w:val="28"/>
          <w:szCs w:val="28"/>
        </w:rPr>
        <w:br w:type="page"/>
      </w:r>
      <w:r>
        <w:rPr>
          <w:rFonts w:hint="eastAsia"/>
          <w:color w:val="auto"/>
          <w:shd w:val="clear" w:color="auto" w:fill="FFFFFF"/>
          <w:lang w:eastAsia="zh-CN"/>
        </w:rPr>
        <w:t>榆林市政府采购服务类项目供应商信用承诺书</w:t>
      </w:r>
    </w:p>
    <w:p>
      <w:pPr>
        <w:pStyle w:val="23"/>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市场主体名称：</w:t>
      </w:r>
    </w:p>
    <w:p>
      <w:pPr>
        <w:pStyle w:val="23"/>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证件类型：统一社会信用代码</w:t>
      </w:r>
    </w:p>
    <w:p>
      <w:pPr>
        <w:pStyle w:val="23"/>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证件号码：</w:t>
      </w:r>
    </w:p>
    <w:p>
      <w:pPr>
        <w:pStyle w:val="23"/>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法人代表：</w:t>
      </w:r>
    </w:p>
    <w:p>
      <w:pPr>
        <w:pStyle w:val="23"/>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承诺有效期限：    年     月    日—    年    月      日</w:t>
      </w:r>
    </w:p>
    <w:p>
      <w:pPr>
        <w:pStyle w:val="23"/>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承诺内容：</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为维护公开、公平、公正的政府采购市场秩序，树立诚实守信的政府采购供应商形象，本单位自愿做出以下承诺：</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一、承诺本单位严格遵守国家法律、法规和规章，全面履行应尽的责任和义务，全面做到履约守信，具备《政府采购法》第二十二条第一款规定的条件;</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四、承诺本单位自觉接受行政管理部门、行业组织、社会公众、新闻舆论的监督；</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六、承诺本单位提出政府采购质疑和投诉坚持依法依规、诚实信用原则，在全国范围12个月内没有三次以上查无实据的政府采购投诉；</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七、根据政府采购相关法律法规的规定需要作出的其他承诺：</w:t>
      </w:r>
      <w:r>
        <w:rPr>
          <w:rFonts w:hint="eastAsia"/>
          <w:color w:val="auto"/>
          <w:u w:val="single"/>
          <w:shd w:val="clear" w:color="auto" w:fill="FFFFFF"/>
        </w:rPr>
        <w:t>                                                                                        ;</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3"/>
        <w:shd w:val="clear" w:color="auto" w:fill="FFFFFF"/>
        <w:wordWrap w:val="0"/>
        <w:adjustRightInd w:val="0"/>
        <w:snapToGrid w:val="0"/>
        <w:spacing w:before="0" w:beforeAutospacing="0" w:after="0" w:afterAutospacing="0" w:line="360" w:lineRule="auto"/>
        <w:ind w:firstLine="640"/>
        <w:jc w:val="right"/>
        <w:rPr>
          <w:rFonts w:hint="default"/>
          <w:color w:val="auto"/>
          <w:lang w:val="en-US"/>
        </w:rPr>
      </w:pPr>
      <w:r>
        <w:rPr>
          <w:rFonts w:hint="eastAsia"/>
          <w:color w:val="auto"/>
          <w:shd w:val="clear" w:color="auto" w:fill="FFFFFF"/>
        </w:rPr>
        <w:t>             承诺单位（盖章）：</w:t>
      </w:r>
      <w:r>
        <w:rPr>
          <w:rFonts w:hint="default"/>
          <w:color w:val="auto"/>
          <w:shd w:val="clear" w:color="auto" w:fill="FFFFFF"/>
          <w:lang w:val="en-US"/>
        </w:rPr>
        <w:t xml:space="preserve">               </w:t>
      </w:r>
    </w:p>
    <w:p>
      <w:pPr>
        <w:pStyle w:val="23"/>
        <w:shd w:val="clear" w:color="auto" w:fill="FFFFFF"/>
        <w:wordWrap w:val="0"/>
        <w:adjustRightInd w:val="0"/>
        <w:snapToGrid w:val="0"/>
        <w:spacing w:before="0" w:beforeAutospacing="0" w:after="0" w:afterAutospacing="0" w:line="360" w:lineRule="auto"/>
        <w:ind w:firstLine="640"/>
        <w:jc w:val="right"/>
        <w:rPr>
          <w:rFonts w:hint="default"/>
          <w:color w:val="auto"/>
          <w:shd w:val="clear" w:color="auto" w:fill="FFFFFF"/>
          <w:lang w:val="en-US"/>
        </w:rPr>
      </w:pPr>
      <w:r>
        <w:rPr>
          <w:rFonts w:hint="eastAsia"/>
          <w:color w:val="auto"/>
          <w:shd w:val="clear" w:color="auto" w:fill="FFFFFF"/>
        </w:rPr>
        <w:t>           法定代表人（负责人）：</w:t>
      </w:r>
      <w:r>
        <w:rPr>
          <w:rFonts w:hint="default"/>
          <w:color w:val="auto"/>
          <w:shd w:val="clear" w:color="auto" w:fill="FFFFFF"/>
          <w:lang w:val="en-US"/>
        </w:rPr>
        <w:t xml:space="preserve">           </w:t>
      </w:r>
    </w:p>
    <w:p>
      <w:pPr>
        <w:pStyle w:val="23"/>
        <w:shd w:val="clear" w:color="auto" w:fill="FFFFFF"/>
        <w:wordWrap w:val="0"/>
        <w:adjustRightInd w:val="0"/>
        <w:snapToGrid w:val="0"/>
        <w:spacing w:before="0" w:beforeAutospacing="0" w:after="0" w:afterAutospacing="0" w:line="360" w:lineRule="auto"/>
        <w:ind w:firstLine="1920" w:firstLineChars="800"/>
        <w:jc w:val="right"/>
        <w:rPr>
          <w:rFonts w:hint="default"/>
          <w:color w:val="auto"/>
          <w:shd w:val="clear" w:color="auto" w:fill="FFFFFF"/>
          <w:lang w:val="en-US"/>
        </w:rPr>
      </w:pPr>
      <w:r>
        <w:rPr>
          <w:rFonts w:hint="eastAsia"/>
          <w:color w:val="auto"/>
          <w:shd w:val="clear" w:color="auto" w:fill="FFFFFF"/>
        </w:rPr>
        <w:t>法定代表人（负责人）身份证号：</w:t>
      </w:r>
      <w:r>
        <w:rPr>
          <w:rFonts w:hint="default"/>
          <w:color w:val="auto"/>
          <w:shd w:val="clear" w:color="auto" w:fill="FFFFFF"/>
          <w:lang w:val="en-US"/>
        </w:rPr>
        <w:t xml:space="preserve">  </w:t>
      </w:r>
    </w:p>
    <w:p>
      <w:pPr>
        <w:pStyle w:val="23"/>
        <w:shd w:val="clear" w:color="auto" w:fill="FFFFFF"/>
        <w:wordWrap w:val="0"/>
        <w:adjustRightInd w:val="0"/>
        <w:snapToGrid w:val="0"/>
        <w:spacing w:before="0" w:beforeAutospacing="0" w:after="0" w:afterAutospacing="0" w:line="360" w:lineRule="auto"/>
        <w:ind w:firstLine="1920" w:firstLineChars="800"/>
        <w:jc w:val="right"/>
        <w:rPr>
          <w:rFonts w:hint="default"/>
          <w:color w:val="auto"/>
          <w:shd w:val="clear" w:color="auto" w:fill="FFFFFF"/>
          <w:lang w:val="en-US"/>
        </w:rPr>
      </w:pPr>
      <w:r>
        <w:rPr>
          <w:rFonts w:hint="eastAsia"/>
          <w:color w:val="auto"/>
          <w:shd w:val="clear" w:color="auto" w:fill="FFFFFF"/>
        </w:rPr>
        <w:t>     承诺日期：</w:t>
      </w:r>
      <w:r>
        <w:rPr>
          <w:rFonts w:hint="default"/>
          <w:color w:val="auto"/>
          <w:shd w:val="clear" w:color="auto" w:fill="FFFFFF"/>
          <w:lang w:val="en-US"/>
        </w:rPr>
        <w:t xml:space="preserve">           </w:t>
      </w:r>
    </w:p>
    <w:p>
      <w:pPr>
        <w:rPr>
          <w:rFonts w:hint="default"/>
          <w:color w:val="auto"/>
          <w:shd w:val="clear" w:color="auto" w:fill="FFFFFF"/>
          <w:lang w:val="en-US"/>
        </w:rPr>
      </w:pPr>
      <w:r>
        <w:rPr>
          <w:rFonts w:hint="default"/>
          <w:color w:val="auto"/>
          <w:shd w:val="clear" w:color="auto" w:fill="FFFFFF"/>
          <w:lang w:val="en-US"/>
        </w:rPr>
        <w:br w:type="page"/>
      </w:r>
    </w:p>
    <w:p>
      <w:pPr>
        <w:pStyle w:val="23"/>
        <w:shd w:val="clear" w:color="auto" w:fill="FFFFFF"/>
        <w:wordWrap/>
        <w:adjustRightInd w:val="0"/>
        <w:snapToGrid w:val="0"/>
        <w:spacing w:before="0" w:beforeAutospacing="0" w:after="0" w:afterAutospacing="0" w:line="360" w:lineRule="auto"/>
        <w:ind w:firstLine="2570" w:firstLineChars="800"/>
        <w:jc w:val="center"/>
        <w:rPr>
          <w:rFonts w:hint="eastAsia"/>
          <w:b/>
          <w:bCs/>
          <w:color w:val="auto"/>
          <w:sz w:val="32"/>
          <w:szCs w:val="32"/>
          <w:shd w:val="clear" w:color="auto" w:fill="FFFFFF"/>
          <w:lang w:val="en-US" w:eastAsia="zh-CN"/>
        </w:rPr>
      </w:pPr>
      <w:r>
        <w:rPr>
          <w:rFonts w:hint="eastAsia"/>
          <w:b/>
          <w:bCs/>
          <w:color w:val="auto"/>
          <w:sz w:val="32"/>
          <w:szCs w:val="32"/>
          <w:shd w:val="clear" w:color="auto" w:fill="FFFFFF"/>
          <w:lang w:val="en-US" w:eastAsia="zh-CN"/>
        </w:rPr>
        <w:t>合同条款响应</w:t>
      </w:r>
    </w:p>
    <w:p>
      <w:pPr>
        <w:pStyle w:val="19"/>
        <w:rPr>
          <w:rFonts w:hint="eastAsia"/>
          <w:lang w:val="en-US" w:eastAsia="zh-CN"/>
        </w:rPr>
      </w:pPr>
      <w:bookmarkStart w:id="143" w:name="_GoBack"/>
      <w:bookmarkEnd w:id="143"/>
    </w:p>
    <w:p>
      <w:pPr>
        <w:pStyle w:val="19"/>
        <w:rPr>
          <w:rFonts w:hint="eastAsia"/>
          <w:lang w:val="en-US" w:eastAsia="zh-CN"/>
        </w:rPr>
      </w:pPr>
    </w:p>
    <w:p>
      <w:pPr>
        <w:pStyle w:val="23"/>
        <w:shd w:val="clear" w:color="auto" w:fill="FFFFFF"/>
        <w:wordWrap/>
        <w:adjustRightInd w:val="0"/>
        <w:snapToGrid w:val="0"/>
        <w:spacing w:before="0" w:beforeAutospacing="0" w:after="0" w:afterAutospacing="0" w:line="360" w:lineRule="auto"/>
        <w:ind w:firstLine="420" w:firstLineChars="0"/>
        <w:jc w:val="both"/>
        <w:rPr>
          <w:rFonts w:hint="eastAsia"/>
          <w:color w:val="auto"/>
          <w:shd w:val="clear" w:color="auto" w:fill="FFFFFF"/>
          <w:lang w:val="en-US" w:eastAsia="zh-CN"/>
        </w:rPr>
      </w:pPr>
      <w:r>
        <w:rPr>
          <w:rFonts w:hint="eastAsia"/>
          <w:color w:val="auto"/>
          <w:shd w:val="clear" w:color="auto" w:fill="FFFFFF"/>
          <w:lang w:val="en-US" w:eastAsia="zh-CN"/>
        </w:rPr>
        <w:t>完全理解并接受竞争性磋商文件钟的“合同基本条款”要求。</w:t>
      </w:r>
    </w:p>
    <w:p>
      <w:pPr>
        <w:pStyle w:val="19"/>
        <w:rPr>
          <w:rFonts w:hint="eastAsia"/>
          <w:lang w:val="en-US" w:eastAsia="zh-CN"/>
        </w:rPr>
      </w:pPr>
    </w:p>
    <w:p>
      <w:pPr>
        <w:pStyle w:val="23"/>
        <w:shd w:val="clear" w:color="auto" w:fill="FFFFFF"/>
        <w:wordWrap w:val="0"/>
        <w:adjustRightInd w:val="0"/>
        <w:snapToGrid w:val="0"/>
        <w:spacing w:before="0" w:beforeAutospacing="0" w:after="0" w:afterAutospacing="0" w:line="360" w:lineRule="auto"/>
        <w:ind w:firstLine="1920" w:firstLineChars="800"/>
        <w:jc w:val="right"/>
        <w:rPr>
          <w:rFonts w:hint="default"/>
          <w:color w:val="auto"/>
          <w:shd w:val="clear" w:color="auto" w:fill="FFFFFF"/>
          <w:lang w:val="en-US" w:eastAsia="zh-CN"/>
        </w:rPr>
      </w:pPr>
      <w:r>
        <w:rPr>
          <w:rFonts w:hint="eastAsia"/>
          <w:color w:val="auto"/>
          <w:shd w:val="clear" w:color="auto" w:fill="FFFFFF"/>
          <w:lang w:val="en-US" w:eastAsia="zh-CN"/>
        </w:rPr>
        <w:t>投标人名称（盖章）</w:t>
      </w:r>
      <w:r>
        <w:rPr>
          <w:rFonts w:hint="eastAsia"/>
          <w:color w:val="auto"/>
          <w:u w:val="single"/>
          <w:shd w:val="clear" w:color="auto" w:fill="FFFFFF"/>
          <w:lang w:val="en-US" w:eastAsia="zh-CN"/>
        </w:rPr>
        <w:t xml:space="preserve">       </w:t>
      </w:r>
    </w:p>
    <w:p>
      <w:pPr>
        <w:pStyle w:val="23"/>
        <w:shd w:val="clear" w:color="auto" w:fill="FFFFFF"/>
        <w:wordWrap w:val="0"/>
        <w:adjustRightInd w:val="0"/>
        <w:snapToGrid w:val="0"/>
        <w:spacing w:before="0" w:beforeAutospacing="0" w:after="0" w:afterAutospacing="0" w:line="360" w:lineRule="auto"/>
        <w:ind w:firstLine="1920" w:firstLineChars="800"/>
        <w:jc w:val="right"/>
        <w:rPr>
          <w:rFonts w:hint="default"/>
          <w:color w:val="auto"/>
          <w:shd w:val="clear" w:color="auto" w:fill="FFFFFF"/>
          <w:lang w:val="en-US"/>
        </w:rPr>
        <w:sectPr>
          <w:pgSz w:w="11906" w:h="16838"/>
          <w:pgMar w:top="1440" w:right="1417" w:bottom="1440" w:left="1417" w:header="851" w:footer="992" w:gutter="0"/>
          <w:pgNumType w:fmt="decimal"/>
          <w:cols w:space="720" w:num="1"/>
          <w:docGrid w:type="lines" w:linePitch="312" w:charSpace="0"/>
        </w:sectPr>
      </w:pPr>
      <w:r>
        <w:rPr>
          <w:rFonts w:hint="eastAsia"/>
          <w:color w:val="auto"/>
          <w:shd w:val="clear" w:color="auto" w:fill="FFFFFF"/>
          <w:lang w:val="en-US" w:eastAsia="zh-CN"/>
        </w:rPr>
        <w:t xml:space="preserve"> 年   月   日</w:t>
      </w:r>
      <w:r>
        <w:rPr>
          <w:rFonts w:hint="default"/>
          <w:color w:val="auto"/>
          <w:shd w:val="clear" w:color="auto" w:fill="FFFFFF"/>
          <w:lang w:val="en-US"/>
        </w:rPr>
        <w:t xml:space="preserve"> </w:t>
      </w:r>
      <w:r>
        <w:rPr>
          <w:rFonts w:hint="eastAsia"/>
          <w:color w:val="auto"/>
          <w:shd w:val="clear" w:color="auto" w:fill="FFFFFF"/>
          <w:lang w:val="en-US" w:eastAsia="zh-CN"/>
        </w:rPr>
        <w:t xml:space="preserve">  </w:t>
      </w:r>
      <w:r>
        <w:rPr>
          <w:rFonts w:hint="default"/>
          <w:color w:val="auto"/>
          <w:shd w:val="clear" w:color="auto" w:fill="FFFFFF"/>
          <w:lang w:val="en-US"/>
        </w:rPr>
        <w:t xml:space="preserve"> </w:t>
      </w:r>
    </w:p>
    <w:p>
      <w:pPr>
        <w:rPr>
          <w:rFonts w:hint="eastAsia" w:ascii="宋体" w:hAnsi="宋体" w:eastAsia="宋体" w:cs="宋体"/>
          <w:b/>
          <w:sz w:val="28"/>
          <w:szCs w:val="28"/>
        </w:rPr>
      </w:pPr>
    </w:p>
    <w:p>
      <w:pPr>
        <w:pStyle w:val="12"/>
        <w:rPr>
          <w:rFonts w:hint="eastAsia"/>
        </w:rPr>
      </w:pPr>
    </w:p>
    <w:bookmarkEnd w:id="142"/>
    <w:p>
      <w:pPr>
        <w:spacing w:line="360" w:lineRule="auto"/>
        <w:jc w:val="center"/>
        <w:outlineLvl w:val="1"/>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九</w:t>
      </w:r>
      <w:r>
        <w:rPr>
          <w:rFonts w:hint="eastAsia" w:ascii="宋体" w:hAnsi="宋体" w:eastAsia="宋体" w:cs="宋体"/>
          <w:b/>
          <w:color w:val="auto"/>
          <w:sz w:val="32"/>
          <w:szCs w:val="32"/>
          <w:lang w:val="en-US" w:eastAsia="zh-CN"/>
        </w:rPr>
        <w:t>、投标人认为有利于中标的其他情况说明</w:t>
      </w:r>
    </w:p>
    <w:p>
      <w:pPr>
        <w:pStyle w:val="15"/>
        <w:ind w:left="0" w:leftChars="0" w:firstLine="0" w:firstLineChars="0"/>
        <w:rPr>
          <w:rFonts w:hint="default" w:ascii="宋体" w:hAnsi="宋体" w:eastAsia="宋体" w:cs="宋体"/>
          <w:color w:val="auto"/>
          <w:kern w:val="0"/>
          <w:sz w:val="24"/>
          <w:lang w:val="en-US" w:eastAsia="zh-CN"/>
        </w:rPr>
      </w:pPr>
    </w:p>
    <w:sectPr>
      <w:headerReference r:id="rId14" w:type="first"/>
      <w:headerReference r:id="rId13" w:type="default"/>
      <w:footerReference r:id="rId15"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p>
    <w:pPr>
      <w:pStyle w:val="18"/>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31"/>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604D2"/>
    <w:multiLevelType w:val="singleLevel"/>
    <w:tmpl w:val="83F604D2"/>
    <w:lvl w:ilvl="0" w:tentative="0">
      <w:start w:val="1"/>
      <w:numFmt w:val="decimal"/>
      <w:suff w:val="nothing"/>
      <w:lvlText w:val="%1、"/>
      <w:lvlJc w:val="left"/>
    </w:lvl>
  </w:abstractNum>
  <w:abstractNum w:abstractNumId="1">
    <w:nsid w:val="B7BAD01B"/>
    <w:multiLevelType w:val="singleLevel"/>
    <w:tmpl w:val="B7BAD01B"/>
    <w:lvl w:ilvl="0" w:tentative="0">
      <w:start w:val="8"/>
      <w:numFmt w:val="chineseCounting"/>
      <w:suff w:val="nothing"/>
      <w:lvlText w:val="%1、"/>
      <w:lvlJc w:val="left"/>
      <w:rPr>
        <w:rFonts w:hint="eastAsia"/>
      </w:rPr>
    </w:lvl>
  </w:abstractNum>
  <w:abstractNum w:abstractNumId="2">
    <w:nsid w:val="CA570FF8"/>
    <w:multiLevelType w:val="singleLevel"/>
    <w:tmpl w:val="CA570FF8"/>
    <w:lvl w:ilvl="0" w:tentative="0">
      <w:start w:val="2"/>
      <w:numFmt w:val="chineseCounting"/>
      <w:suff w:val="space"/>
      <w:lvlText w:val="第%1章"/>
      <w:lvlJc w:val="left"/>
      <w:rPr>
        <w:rFonts w:hint="eastAsia"/>
      </w:rPr>
    </w:lvl>
  </w:abstractNum>
  <w:abstractNum w:abstractNumId="3">
    <w:nsid w:val="E2C79CD1"/>
    <w:multiLevelType w:val="singleLevel"/>
    <w:tmpl w:val="E2C79CD1"/>
    <w:lvl w:ilvl="0" w:tentative="0">
      <w:start w:val="8"/>
      <w:numFmt w:val="decimal"/>
      <w:lvlText w:val="%1."/>
      <w:lvlJc w:val="left"/>
      <w:pPr>
        <w:tabs>
          <w:tab w:val="left" w:pos="312"/>
        </w:tabs>
      </w:pPr>
    </w:lvl>
  </w:abstractNum>
  <w:abstractNum w:abstractNumId="4">
    <w:nsid w:val="4C8E832D"/>
    <w:multiLevelType w:val="singleLevel"/>
    <w:tmpl w:val="4C8E832D"/>
    <w:lvl w:ilvl="0" w:tentative="0">
      <w:start w:val="1"/>
      <w:numFmt w:val="chineseCounting"/>
      <w:suff w:val="nothing"/>
      <w:lvlText w:val="%1、"/>
      <w:lvlJc w:val="left"/>
      <w:rPr>
        <w:rFonts w:hint="eastAsia"/>
      </w:rPr>
    </w:lvl>
  </w:abstractNum>
  <w:abstractNum w:abstractNumId="5">
    <w:nsid w:val="60EA00AD"/>
    <w:multiLevelType w:val="singleLevel"/>
    <w:tmpl w:val="60EA00AD"/>
    <w:lvl w:ilvl="0" w:tentative="0">
      <w:start w:val="5"/>
      <w:numFmt w:val="chineseCounting"/>
      <w:suff w:val="space"/>
      <w:lvlText w:val="第%1章"/>
      <w:lvlJc w:val="left"/>
      <w:pPr>
        <w:ind w:left="3600" w:leftChars="0" w:firstLine="0" w:firstLineChars="0"/>
      </w:pPr>
      <w:rPr>
        <w:rFonts w:hint="eastAsia"/>
      </w:rPr>
    </w:lvl>
  </w:abstractNum>
  <w:abstractNum w:abstractNumId="6">
    <w:nsid w:val="616C0A09"/>
    <w:multiLevelType w:val="singleLevel"/>
    <w:tmpl w:val="616C0A09"/>
    <w:lvl w:ilvl="0" w:tentative="0">
      <w:start w:val="1"/>
      <w:numFmt w:val="decimal"/>
      <w:lvlText w:val="%1."/>
      <w:lvlJc w:val="left"/>
      <w:pPr>
        <w:tabs>
          <w:tab w:val="left" w:pos="312"/>
        </w:tabs>
      </w:pPr>
    </w:lvl>
  </w:abstractNum>
  <w:abstractNum w:abstractNumId="7">
    <w:nsid w:val="6C1EB2E8"/>
    <w:multiLevelType w:val="singleLevel"/>
    <w:tmpl w:val="6C1EB2E8"/>
    <w:lvl w:ilvl="0" w:tentative="0">
      <w:start w:val="2"/>
      <w:numFmt w:val="decimal"/>
      <w:lvlText w:val="%1."/>
      <w:lvlJc w:val="left"/>
      <w:pPr>
        <w:tabs>
          <w:tab w:val="left" w:pos="312"/>
        </w:tabs>
      </w:pPr>
    </w:lvl>
  </w:abstractNum>
  <w:abstractNum w:abstractNumId="8">
    <w:nsid w:val="7A18DD56"/>
    <w:multiLevelType w:val="singleLevel"/>
    <w:tmpl w:val="7A18DD56"/>
    <w:lvl w:ilvl="0" w:tentative="0">
      <w:start w:val="7"/>
      <w:numFmt w:val="chineseCounting"/>
      <w:suff w:val="nothing"/>
      <w:lvlText w:val="%1、"/>
      <w:lvlJc w:val="left"/>
      <w:rPr>
        <w:rFonts w:hint="eastAsia"/>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mZjODRiMzEzZjJhNGUxNGE2ZGRjMmIxNzAyZmU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0045D6"/>
    <w:rsid w:val="051E25B2"/>
    <w:rsid w:val="05A51BC8"/>
    <w:rsid w:val="05BE2EA9"/>
    <w:rsid w:val="05CC31B6"/>
    <w:rsid w:val="05E9146B"/>
    <w:rsid w:val="06072174"/>
    <w:rsid w:val="06420D53"/>
    <w:rsid w:val="068655C7"/>
    <w:rsid w:val="06BB26E2"/>
    <w:rsid w:val="06F56E23"/>
    <w:rsid w:val="07037A79"/>
    <w:rsid w:val="0710231E"/>
    <w:rsid w:val="072F7888"/>
    <w:rsid w:val="074E052D"/>
    <w:rsid w:val="076548E0"/>
    <w:rsid w:val="076646E5"/>
    <w:rsid w:val="07695B4E"/>
    <w:rsid w:val="07716D75"/>
    <w:rsid w:val="07982650"/>
    <w:rsid w:val="079E29AD"/>
    <w:rsid w:val="07B40FAC"/>
    <w:rsid w:val="07CC1D00"/>
    <w:rsid w:val="07EA70C4"/>
    <w:rsid w:val="07FF00E8"/>
    <w:rsid w:val="088D187E"/>
    <w:rsid w:val="08915791"/>
    <w:rsid w:val="08D63AD4"/>
    <w:rsid w:val="08E21413"/>
    <w:rsid w:val="08F46A88"/>
    <w:rsid w:val="090D1A10"/>
    <w:rsid w:val="091B0E60"/>
    <w:rsid w:val="09514A5B"/>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F02F5A"/>
    <w:rsid w:val="0DF76ECF"/>
    <w:rsid w:val="0E523A8C"/>
    <w:rsid w:val="0E722304"/>
    <w:rsid w:val="0EAF7CD8"/>
    <w:rsid w:val="0ECF2DB5"/>
    <w:rsid w:val="0EEA398E"/>
    <w:rsid w:val="0F2C0C4D"/>
    <w:rsid w:val="0F552746"/>
    <w:rsid w:val="0F5578FC"/>
    <w:rsid w:val="0FBB23C6"/>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02219"/>
    <w:rsid w:val="125C6E10"/>
    <w:rsid w:val="126C25A8"/>
    <w:rsid w:val="127F3EB9"/>
    <w:rsid w:val="128D7AAE"/>
    <w:rsid w:val="12B332C9"/>
    <w:rsid w:val="12FC7CAB"/>
    <w:rsid w:val="13145EE0"/>
    <w:rsid w:val="13510A0A"/>
    <w:rsid w:val="136D31E4"/>
    <w:rsid w:val="13960100"/>
    <w:rsid w:val="1399374C"/>
    <w:rsid w:val="13CB4F3C"/>
    <w:rsid w:val="13E10CF5"/>
    <w:rsid w:val="14326376"/>
    <w:rsid w:val="14726477"/>
    <w:rsid w:val="149F4D92"/>
    <w:rsid w:val="14D913C4"/>
    <w:rsid w:val="15290E10"/>
    <w:rsid w:val="153A00FF"/>
    <w:rsid w:val="15597637"/>
    <w:rsid w:val="15D078F9"/>
    <w:rsid w:val="16144D88"/>
    <w:rsid w:val="169F68BE"/>
    <w:rsid w:val="16C70F97"/>
    <w:rsid w:val="16C86822"/>
    <w:rsid w:val="17342303"/>
    <w:rsid w:val="17410C64"/>
    <w:rsid w:val="175F7D40"/>
    <w:rsid w:val="176105FC"/>
    <w:rsid w:val="17954587"/>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8B27CB"/>
    <w:rsid w:val="1CC7757C"/>
    <w:rsid w:val="1CCE2C27"/>
    <w:rsid w:val="1D110B21"/>
    <w:rsid w:val="1D5012C9"/>
    <w:rsid w:val="1D7F34F5"/>
    <w:rsid w:val="1D8E7C3C"/>
    <w:rsid w:val="1DB827A1"/>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60519"/>
    <w:rsid w:val="22DC0561"/>
    <w:rsid w:val="22E744D4"/>
    <w:rsid w:val="22F004BC"/>
    <w:rsid w:val="23082DAA"/>
    <w:rsid w:val="231177A3"/>
    <w:rsid w:val="23617AC9"/>
    <w:rsid w:val="238721A7"/>
    <w:rsid w:val="23C71C0F"/>
    <w:rsid w:val="240752CE"/>
    <w:rsid w:val="2432165A"/>
    <w:rsid w:val="244F735A"/>
    <w:rsid w:val="24554343"/>
    <w:rsid w:val="249D7540"/>
    <w:rsid w:val="24C0668A"/>
    <w:rsid w:val="24C31E12"/>
    <w:rsid w:val="24E06CDB"/>
    <w:rsid w:val="24FD6B05"/>
    <w:rsid w:val="252162EF"/>
    <w:rsid w:val="25432AB8"/>
    <w:rsid w:val="254B0AC9"/>
    <w:rsid w:val="25AD37B3"/>
    <w:rsid w:val="25BB34F5"/>
    <w:rsid w:val="25D44885"/>
    <w:rsid w:val="25D56733"/>
    <w:rsid w:val="25FB178E"/>
    <w:rsid w:val="260528F0"/>
    <w:rsid w:val="260B04D9"/>
    <w:rsid w:val="261A2DE0"/>
    <w:rsid w:val="26423FDC"/>
    <w:rsid w:val="268838D8"/>
    <w:rsid w:val="26BE024C"/>
    <w:rsid w:val="26F61BF3"/>
    <w:rsid w:val="27182904"/>
    <w:rsid w:val="273522DD"/>
    <w:rsid w:val="27410F59"/>
    <w:rsid w:val="275D0C9D"/>
    <w:rsid w:val="27B57123"/>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14204B"/>
    <w:rsid w:val="2B4C581C"/>
    <w:rsid w:val="2B5B1F78"/>
    <w:rsid w:val="2B5D3E88"/>
    <w:rsid w:val="2B6C0A0A"/>
    <w:rsid w:val="2B7F0BF7"/>
    <w:rsid w:val="2B8C789D"/>
    <w:rsid w:val="2BAC05D7"/>
    <w:rsid w:val="2BB43672"/>
    <w:rsid w:val="2BDA4865"/>
    <w:rsid w:val="2BE84461"/>
    <w:rsid w:val="2C085EDF"/>
    <w:rsid w:val="2C716FB3"/>
    <w:rsid w:val="2CBF2AF3"/>
    <w:rsid w:val="2D387BB0"/>
    <w:rsid w:val="2D633337"/>
    <w:rsid w:val="2D751FC1"/>
    <w:rsid w:val="2D911852"/>
    <w:rsid w:val="2DDF75B5"/>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0E7534"/>
    <w:rsid w:val="301462E0"/>
    <w:rsid w:val="309D2BA1"/>
    <w:rsid w:val="30BF1FF1"/>
    <w:rsid w:val="3147169A"/>
    <w:rsid w:val="31A537D7"/>
    <w:rsid w:val="31A87524"/>
    <w:rsid w:val="32051165"/>
    <w:rsid w:val="320842AE"/>
    <w:rsid w:val="32372C93"/>
    <w:rsid w:val="32377195"/>
    <w:rsid w:val="32AB6FB4"/>
    <w:rsid w:val="33185518"/>
    <w:rsid w:val="332F1BF4"/>
    <w:rsid w:val="33570700"/>
    <w:rsid w:val="335C05C6"/>
    <w:rsid w:val="337606C2"/>
    <w:rsid w:val="3377133E"/>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90FE5"/>
    <w:rsid w:val="36AF5A99"/>
    <w:rsid w:val="36BD6A28"/>
    <w:rsid w:val="36C159A7"/>
    <w:rsid w:val="36C52720"/>
    <w:rsid w:val="36E030A2"/>
    <w:rsid w:val="370E7E29"/>
    <w:rsid w:val="37465845"/>
    <w:rsid w:val="3752247A"/>
    <w:rsid w:val="378E314A"/>
    <w:rsid w:val="37B9114C"/>
    <w:rsid w:val="37DB7F0B"/>
    <w:rsid w:val="381F16B5"/>
    <w:rsid w:val="38480390"/>
    <w:rsid w:val="38544332"/>
    <w:rsid w:val="386B0B3A"/>
    <w:rsid w:val="388E037A"/>
    <w:rsid w:val="38AF17EE"/>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136199"/>
    <w:rsid w:val="3D4541A5"/>
    <w:rsid w:val="3D826747"/>
    <w:rsid w:val="3D9916BA"/>
    <w:rsid w:val="3DB85F11"/>
    <w:rsid w:val="3DCE4303"/>
    <w:rsid w:val="3DD54484"/>
    <w:rsid w:val="3DDC47DD"/>
    <w:rsid w:val="3E0642B2"/>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0BB2DD0"/>
    <w:rsid w:val="40E61E7E"/>
    <w:rsid w:val="411B386E"/>
    <w:rsid w:val="41635B5D"/>
    <w:rsid w:val="419F571C"/>
    <w:rsid w:val="41B514D2"/>
    <w:rsid w:val="41D22565"/>
    <w:rsid w:val="41F97142"/>
    <w:rsid w:val="426052B1"/>
    <w:rsid w:val="43040F57"/>
    <w:rsid w:val="430D5439"/>
    <w:rsid w:val="431C1B20"/>
    <w:rsid w:val="43707776"/>
    <w:rsid w:val="439C315E"/>
    <w:rsid w:val="43A11CAC"/>
    <w:rsid w:val="449A0F4E"/>
    <w:rsid w:val="44BB002C"/>
    <w:rsid w:val="44E6727B"/>
    <w:rsid w:val="450F2633"/>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3C371B"/>
    <w:rsid w:val="48AB293F"/>
    <w:rsid w:val="48B325DE"/>
    <w:rsid w:val="48F13107"/>
    <w:rsid w:val="49497A84"/>
    <w:rsid w:val="49C418F7"/>
    <w:rsid w:val="49C730DB"/>
    <w:rsid w:val="4A5B1180"/>
    <w:rsid w:val="4A902FA7"/>
    <w:rsid w:val="4A944108"/>
    <w:rsid w:val="4AA20994"/>
    <w:rsid w:val="4B520BA4"/>
    <w:rsid w:val="4B5D68DD"/>
    <w:rsid w:val="4B96043D"/>
    <w:rsid w:val="4BEA3A51"/>
    <w:rsid w:val="4BEE7EF0"/>
    <w:rsid w:val="4C4320C7"/>
    <w:rsid w:val="4C5A3019"/>
    <w:rsid w:val="4C6205A3"/>
    <w:rsid w:val="4C685E41"/>
    <w:rsid w:val="4CD400A0"/>
    <w:rsid w:val="4D082E9D"/>
    <w:rsid w:val="4D17473A"/>
    <w:rsid w:val="4D470C91"/>
    <w:rsid w:val="4D662315"/>
    <w:rsid w:val="4DBE2899"/>
    <w:rsid w:val="4DD21759"/>
    <w:rsid w:val="4DD30641"/>
    <w:rsid w:val="4DEB1A10"/>
    <w:rsid w:val="4E0A733B"/>
    <w:rsid w:val="4E5A5666"/>
    <w:rsid w:val="4E5E353A"/>
    <w:rsid w:val="4E704ACE"/>
    <w:rsid w:val="4F18763F"/>
    <w:rsid w:val="4F564DCF"/>
    <w:rsid w:val="4F7D7094"/>
    <w:rsid w:val="4F9F4271"/>
    <w:rsid w:val="4FB01626"/>
    <w:rsid w:val="500951FA"/>
    <w:rsid w:val="50117F4A"/>
    <w:rsid w:val="50412BC6"/>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291B63"/>
    <w:rsid w:val="522F4A38"/>
    <w:rsid w:val="52754DA9"/>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4540B"/>
    <w:rsid w:val="568822AF"/>
    <w:rsid w:val="572006D7"/>
    <w:rsid w:val="576B1A2E"/>
    <w:rsid w:val="576D604E"/>
    <w:rsid w:val="579540E4"/>
    <w:rsid w:val="579B058F"/>
    <w:rsid w:val="57A51C8C"/>
    <w:rsid w:val="57B7635B"/>
    <w:rsid w:val="57D7479F"/>
    <w:rsid w:val="57E827E9"/>
    <w:rsid w:val="58036CED"/>
    <w:rsid w:val="585B5DFB"/>
    <w:rsid w:val="586109FB"/>
    <w:rsid w:val="58683D80"/>
    <w:rsid w:val="58801BE2"/>
    <w:rsid w:val="58854F91"/>
    <w:rsid w:val="58940A27"/>
    <w:rsid w:val="58C42A65"/>
    <w:rsid w:val="58D71214"/>
    <w:rsid w:val="59355AA7"/>
    <w:rsid w:val="594631F1"/>
    <w:rsid w:val="599B721F"/>
    <w:rsid w:val="59AF61A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02869"/>
    <w:rsid w:val="5C7E6007"/>
    <w:rsid w:val="5CFE60C6"/>
    <w:rsid w:val="5D20751D"/>
    <w:rsid w:val="5D4822B9"/>
    <w:rsid w:val="5D485594"/>
    <w:rsid w:val="5D8926DC"/>
    <w:rsid w:val="5DA67D73"/>
    <w:rsid w:val="5DBE3B21"/>
    <w:rsid w:val="5DC2432B"/>
    <w:rsid w:val="5E0718E2"/>
    <w:rsid w:val="5E111E29"/>
    <w:rsid w:val="5EA3657F"/>
    <w:rsid w:val="5EB714EC"/>
    <w:rsid w:val="5ED0656F"/>
    <w:rsid w:val="5EF0705C"/>
    <w:rsid w:val="5F245EED"/>
    <w:rsid w:val="5F555D46"/>
    <w:rsid w:val="5F5702AF"/>
    <w:rsid w:val="5FA2080B"/>
    <w:rsid w:val="5FBE7D8F"/>
    <w:rsid w:val="5FD2383A"/>
    <w:rsid w:val="60414B36"/>
    <w:rsid w:val="60653D95"/>
    <w:rsid w:val="60732927"/>
    <w:rsid w:val="612A67D8"/>
    <w:rsid w:val="6138147B"/>
    <w:rsid w:val="61846E0D"/>
    <w:rsid w:val="61E95941"/>
    <w:rsid w:val="61FE4473"/>
    <w:rsid w:val="62060C3F"/>
    <w:rsid w:val="62273667"/>
    <w:rsid w:val="62357339"/>
    <w:rsid w:val="6251463D"/>
    <w:rsid w:val="62EA1EA0"/>
    <w:rsid w:val="62FE53CF"/>
    <w:rsid w:val="63696264"/>
    <w:rsid w:val="63B00EFB"/>
    <w:rsid w:val="6407724D"/>
    <w:rsid w:val="641F34CF"/>
    <w:rsid w:val="64224BFC"/>
    <w:rsid w:val="644C3BBB"/>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7E46C75"/>
    <w:rsid w:val="682D0411"/>
    <w:rsid w:val="68594AF9"/>
    <w:rsid w:val="687D5F74"/>
    <w:rsid w:val="68C40F78"/>
    <w:rsid w:val="69894F6A"/>
    <w:rsid w:val="69BA1CF4"/>
    <w:rsid w:val="69E558DF"/>
    <w:rsid w:val="69FD14B4"/>
    <w:rsid w:val="6A14474C"/>
    <w:rsid w:val="6A302FEF"/>
    <w:rsid w:val="6AD36F5E"/>
    <w:rsid w:val="6AF52B6F"/>
    <w:rsid w:val="6AFB3C45"/>
    <w:rsid w:val="6B451364"/>
    <w:rsid w:val="6B464FC6"/>
    <w:rsid w:val="6B7B1E70"/>
    <w:rsid w:val="6B8F7466"/>
    <w:rsid w:val="6BF30DC0"/>
    <w:rsid w:val="6C186A7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515B6"/>
    <w:rsid w:val="70DA60AB"/>
    <w:rsid w:val="70FD7462"/>
    <w:rsid w:val="711315BD"/>
    <w:rsid w:val="71211F2C"/>
    <w:rsid w:val="71A11F76"/>
    <w:rsid w:val="724313C1"/>
    <w:rsid w:val="727A78A2"/>
    <w:rsid w:val="72872262"/>
    <w:rsid w:val="728C164C"/>
    <w:rsid w:val="72BF7C4E"/>
    <w:rsid w:val="72E90827"/>
    <w:rsid w:val="73007CC5"/>
    <w:rsid w:val="73155AC0"/>
    <w:rsid w:val="7357430D"/>
    <w:rsid w:val="7362469D"/>
    <w:rsid w:val="74076F92"/>
    <w:rsid w:val="741E6BF6"/>
    <w:rsid w:val="744F2DEB"/>
    <w:rsid w:val="7476433D"/>
    <w:rsid w:val="747F6E36"/>
    <w:rsid w:val="7480721F"/>
    <w:rsid w:val="749A242A"/>
    <w:rsid w:val="75334D95"/>
    <w:rsid w:val="75577984"/>
    <w:rsid w:val="7565477A"/>
    <w:rsid w:val="756A7E5B"/>
    <w:rsid w:val="75C02E5A"/>
    <w:rsid w:val="75FF3278"/>
    <w:rsid w:val="76377DFF"/>
    <w:rsid w:val="764D1239"/>
    <w:rsid w:val="764D1A95"/>
    <w:rsid w:val="76A4500F"/>
    <w:rsid w:val="770019DC"/>
    <w:rsid w:val="77170059"/>
    <w:rsid w:val="7719472E"/>
    <w:rsid w:val="775C1F10"/>
    <w:rsid w:val="775C569B"/>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178B1"/>
    <w:rsid w:val="7B585393"/>
    <w:rsid w:val="7B5B0730"/>
    <w:rsid w:val="7B8C2B31"/>
    <w:rsid w:val="7B8D0BDF"/>
    <w:rsid w:val="7B983F16"/>
    <w:rsid w:val="7B9E2CA6"/>
    <w:rsid w:val="7BC260B9"/>
    <w:rsid w:val="7C0208A6"/>
    <w:rsid w:val="7C0E4525"/>
    <w:rsid w:val="7C326E3C"/>
    <w:rsid w:val="7CEC27EB"/>
    <w:rsid w:val="7D00333D"/>
    <w:rsid w:val="7D187E67"/>
    <w:rsid w:val="7D284642"/>
    <w:rsid w:val="7D9B305C"/>
    <w:rsid w:val="7DE92023"/>
    <w:rsid w:val="7E1161E3"/>
    <w:rsid w:val="7E5111BD"/>
    <w:rsid w:val="7F2B7DC0"/>
    <w:rsid w:val="7F5D15F3"/>
    <w:rsid w:val="7F7E5346"/>
    <w:rsid w:val="7F800765"/>
    <w:rsid w:val="7F8A6337"/>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4"/>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5">
    <w:name w:val="heading 3"/>
    <w:basedOn w:val="1"/>
    <w:next w:val="1"/>
    <w:qFormat/>
    <w:uiPriority w:val="0"/>
    <w:pPr>
      <w:keepNext/>
      <w:spacing w:before="624" w:beforeLines="200" w:line="400" w:lineRule="exact"/>
      <w:jc w:val="center"/>
      <w:outlineLvl w:val="2"/>
    </w:pPr>
    <w:rPr>
      <w:b/>
      <w:bCs/>
      <w:sz w:val="24"/>
      <w:szCs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link w:val="29"/>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8">
    <w:name w:val="Normal Indent"/>
    <w:basedOn w:val="1"/>
    <w:next w:val="9"/>
    <w:qFormat/>
    <w:uiPriority w:val="0"/>
    <w:pPr>
      <w:ind w:firstLine="420"/>
    </w:pPr>
    <w:rPr>
      <w:sz w:val="21"/>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Document Map"/>
    <w:basedOn w:val="1"/>
    <w:unhideWhenUsed/>
    <w:qFormat/>
    <w:uiPriority w:val="99"/>
    <w:rPr>
      <w:rFonts w:ascii="宋体"/>
      <w:sz w:val="18"/>
      <w:szCs w:val="18"/>
    </w:rPr>
  </w:style>
  <w:style w:type="paragraph" w:styleId="11">
    <w:name w:val="toa heading"/>
    <w:basedOn w:val="1"/>
    <w:next w:val="1"/>
    <w:semiHidden/>
    <w:qFormat/>
    <w:uiPriority w:val="0"/>
    <w:pPr>
      <w:spacing w:before="120"/>
    </w:pPr>
    <w:rPr>
      <w:rFonts w:ascii="Arial" w:hAnsi="Arial" w:cs="Arial"/>
      <w:szCs w:val="24"/>
    </w:rPr>
  </w:style>
  <w:style w:type="paragraph" w:styleId="12">
    <w:name w:val="Body Text"/>
    <w:basedOn w:val="1"/>
    <w:next w:val="1"/>
    <w:qFormat/>
    <w:uiPriority w:val="0"/>
    <w:pPr>
      <w:spacing w:after="120" w:afterLines="0"/>
    </w:pPr>
  </w:style>
  <w:style w:type="paragraph" w:styleId="13">
    <w:name w:val="Body Text Indent"/>
    <w:basedOn w:val="1"/>
    <w:qFormat/>
    <w:uiPriority w:val="0"/>
    <w:pPr>
      <w:spacing w:afterLines="50" w:line="360" w:lineRule="exact"/>
      <w:ind w:firstLine="480" w:firstLineChars="200"/>
    </w:pPr>
    <w:rPr>
      <w:rFonts w:ascii="宋体" w:hAnsi="宋体"/>
      <w:szCs w:val="24"/>
    </w:rPr>
  </w:style>
  <w:style w:type="paragraph" w:styleId="14">
    <w:name w:val="List 2"/>
    <w:basedOn w:val="1"/>
    <w:qFormat/>
    <w:uiPriority w:val="0"/>
    <w:pPr>
      <w:ind w:left="100" w:leftChars="200" w:hanging="200" w:hangingChars="200"/>
    </w:pPr>
    <w:rPr>
      <w:szCs w:val="24"/>
    </w:rPr>
  </w:style>
  <w:style w:type="paragraph" w:styleId="15">
    <w:name w:val="Block Text"/>
    <w:basedOn w:val="1"/>
    <w:qFormat/>
    <w:uiPriority w:val="0"/>
    <w:pPr>
      <w:widowControl w:val="0"/>
      <w:spacing w:after="12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16">
    <w:name w:val="toc 3"/>
    <w:basedOn w:val="1"/>
    <w:next w:val="1"/>
    <w:qFormat/>
    <w:uiPriority w:val="0"/>
    <w:pPr>
      <w:ind w:left="840" w:leftChars="400"/>
    </w:pPr>
  </w:style>
  <w:style w:type="paragraph" w:styleId="17">
    <w:name w:val="Plain Text"/>
    <w:basedOn w:val="1"/>
    <w:unhideWhenUsed/>
    <w:qFormat/>
    <w:uiPriority w:val="0"/>
    <w:rPr>
      <w:rFonts w:ascii="宋体" w:hAnsi="Courier New" w:cstheme="minorBidi"/>
      <w:sz w:val="21"/>
    </w:r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1"/>
      <w:szCs w:val="24"/>
    </w:rPr>
  </w:style>
  <w:style w:type="paragraph" w:styleId="22">
    <w:name w:val="toc 2"/>
    <w:basedOn w:val="1"/>
    <w:next w:val="1"/>
    <w:qFormat/>
    <w:uiPriority w:val="39"/>
    <w:pPr>
      <w:ind w:left="420" w:leftChars="200"/>
    </w:pPr>
    <w:rPr>
      <w:sz w:val="21"/>
      <w:szCs w:val="24"/>
    </w:rPr>
  </w:style>
  <w:style w:type="paragraph" w:styleId="23">
    <w:name w:val="Normal (Web)"/>
    <w:basedOn w:val="1"/>
    <w:next w:val="19"/>
    <w:qFormat/>
    <w:uiPriority w:val="0"/>
    <w:rPr>
      <w:szCs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12"/>
    <w:next w:val="1"/>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1 Char"/>
    <w:basedOn w:val="1"/>
    <w:link w:val="28"/>
    <w:qFormat/>
    <w:uiPriority w:val="0"/>
  </w:style>
  <w:style w:type="character" w:styleId="30">
    <w:name w:val="Strong"/>
    <w:basedOn w:val="28"/>
    <w:qFormat/>
    <w:uiPriority w:val="22"/>
    <w:rPr>
      <w:b/>
      <w:bCs/>
    </w:rPr>
  </w:style>
  <w:style w:type="character" w:styleId="31">
    <w:name w:val="page number"/>
    <w:basedOn w:val="28"/>
    <w:qFormat/>
    <w:uiPriority w:val="0"/>
  </w:style>
  <w:style w:type="character" w:styleId="32">
    <w:name w:val="FollowedHyperlink"/>
    <w:basedOn w:val="28"/>
    <w:qFormat/>
    <w:uiPriority w:val="0"/>
    <w:rPr>
      <w:color w:val="800080"/>
      <w:u w:val="none"/>
    </w:rPr>
  </w:style>
  <w:style w:type="character" w:styleId="33">
    <w:name w:val="Emphasis"/>
    <w:basedOn w:val="28"/>
    <w:qFormat/>
    <w:uiPriority w:val="0"/>
    <w:rPr>
      <w:color w:val="CC0000"/>
      <w:sz w:val="24"/>
      <w:szCs w:val="24"/>
    </w:rPr>
  </w:style>
  <w:style w:type="character" w:styleId="34">
    <w:name w:val="HTML Definition"/>
    <w:basedOn w:val="28"/>
    <w:qFormat/>
    <w:uiPriority w:val="0"/>
  </w:style>
  <w:style w:type="character" w:styleId="35">
    <w:name w:val="HTML Typewriter"/>
    <w:basedOn w:val="28"/>
    <w:qFormat/>
    <w:uiPriority w:val="0"/>
    <w:rPr>
      <w:rFonts w:hint="default" w:ascii="monospace" w:hAnsi="monospace" w:eastAsia="monospace" w:cs="monospace"/>
      <w:sz w:val="20"/>
    </w:rPr>
  </w:style>
  <w:style w:type="character" w:styleId="36">
    <w:name w:val="HTML Acronym"/>
    <w:basedOn w:val="28"/>
    <w:qFormat/>
    <w:uiPriority w:val="0"/>
  </w:style>
  <w:style w:type="character" w:styleId="37">
    <w:name w:val="HTML Variable"/>
    <w:basedOn w:val="28"/>
    <w:qFormat/>
    <w:uiPriority w:val="0"/>
  </w:style>
  <w:style w:type="character" w:styleId="38">
    <w:name w:val="Hyperlink"/>
    <w:basedOn w:val="28"/>
    <w:qFormat/>
    <w:uiPriority w:val="0"/>
    <w:rPr>
      <w:color w:val="0000FF"/>
      <w:u w:val="none"/>
    </w:rPr>
  </w:style>
  <w:style w:type="character" w:styleId="39">
    <w:name w:val="HTML Code"/>
    <w:basedOn w:val="28"/>
    <w:qFormat/>
    <w:uiPriority w:val="0"/>
    <w:rPr>
      <w:rFonts w:ascii="微软雅黑" w:hAnsi="微软雅黑" w:eastAsia="微软雅黑" w:cs="微软雅黑"/>
      <w:sz w:val="20"/>
    </w:rPr>
  </w:style>
  <w:style w:type="character" w:styleId="40">
    <w:name w:val="HTML Cite"/>
    <w:basedOn w:val="28"/>
    <w:qFormat/>
    <w:uiPriority w:val="0"/>
    <w:rPr>
      <w:sz w:val="24"/>
      <w:szCs w:val="24"/>
    </w:rPr>
  </w:style>
  <w:style w:type="character" w:styleId="41">
    <w:name w:val="HTML Keyboard"/>
    <w:basedOn w:val="28"/>
    <w:qFormat/>
    <w:uiPriority w:val="0"/>
    <w:rPr>
      <w:rFonts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正文缩进1"/>
    <w:basedOn w:val="1"/>
    <w:qFormat/>
    <w:uiPriority w:val="0"/>
    <w:pPr>
      <w:ind w:firstLine="200" w:firstLineChars="200"/>
    </w:pPr>
  </w:style>
  <w:style w:type="character" w:customStyle="1" w:styleId="44">
    <w:name w:val="标题 1 Char"/>
    <w:basedOn w:val="28"/>
    <w:link w:val="3"/>
    <w:qFormat/>
    <w:uiPriority w:val="0"/>
    <w:rPr>
      <w:b/>
      <w:bCs/>
      <w:kern w:val="44"/>
      <w:sz w:val="36"/>
      <w:szCs w:val="44"/>
    </w:rPr>
  </w:style>
  <w:style w:type="paragraph" w:customStyle="1" w:styleId="45">
    <w:name w:val="首行缩进"/>
    <w:basedOn w:val="1"/>
    <w:qFormat/>
    <w:uiPriority w:val="0"/>
    <w:pPr>
      <w:spacing w:line="360" w:lineRule="auto"/>
      <w:ind w:firstLine="480" w:firstLineChars="200"/>
    </w:pPr>
    <w:rPr>
      <w:sz w:val="24"/>
      <w:szCs w:val="22"/>
      <w:lang w:val="zh-CN"/>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8">
    <w:name w:val="p15"/>
    <w:basedOn w:val="1"/>
    <w:qFormat/>
    <w:uiPriority w:val="99"/>
    <w:pPr>
      <w:widowControl/>
    </w:pPr>
    <w:rPr>
      <w:kern w:val="0"/>
      <w:sz w:val="21"/>
      <w:szCs w:val="21"/>
    </w:rPr>
  </w:style>
  <w:style w:type="character" w:customStyle="1" w:styleId="49">
    <w:name w:val="标题 2 Char Char"/>
    <w:qFormat/>
    <w:uiPriority w:val="0"/>
    <w:rPr>
      <w:rFonts w:hint="default" w:ascii="Arial" w:hAnsi="Arial" w:eastAsia="宋体" w:cs="Arial"/>
      <w:b/>
      <w:kern w:val="2"/>
      <w:sz w:val="30"/>
      <w:lang w:val="en-US" w:eastAsia="zh-CN" w:bidi="ar-SA"/>
    </w:rPr>
  </w:style>
  <w:style w:type="character" w:customStyle="1" w:styleId="50">
    <w:name w:val="font11"/>
    <w:basedOn w:val="28"/>
    <w:qFormat/>
    <w:uiPriority w:val="0"/>
    <w:rPr>
      <w:rFonts w:hint="eastAsia" w:ascii="宋体" w:hAnsi="宋体" w:eastAsia="宋体" w:cs="宋体"/>
      <w:color w:val="000000"/>
      <w:sz w:val="24"/>
      <w:szCs w:val="24"/>
      <w:u w:val="none"/>
    </w:rPr>
  </w:style>
  <w:style w:type="character" w:customStyle="1" w:styleId="51">
    <w:name w:val="font01"/>
    <w:basedOn w:val="28"/>
    <w:qFormat/>
    <w:uiPriority w:val="0"/>
    <w:rPr>
      <w:rFonts w:hint="eastAsia" w:ascii="宋体" w:hAnsi="宋体" w:eastAsia="宋体" w:cs="宋体"/>
      <w:color w:val="FF0000"/>
      <w:sz w:val="24"/>
      <w:szCs w:val="24"/>
      <w:u w:val="none"/>
    </w:rPr>
  </w:style>
  <w:style w:type="paragraph" w:customStyle="1" w:styleId="52">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3">
    <w:name w:val="font41"/>
    <w:basedOn w:val="28"/>
    <w:qFormat/>
    <w:uiPriority w:val="0"/>
    <w:rPr>
      <w:rFonts w:hint="eastAsia" w:ascii="宋体" w:hAnsi="宋体" w:eastAsia="宋体" w:cs="宋体"/>
      <w:color w:val="000000"/>
      <w:sz w:val="24"/>
      <w:szCs w:val="24"/>
      <w:u w:val="none"/>
    </w:rPr>
  </w:style>
  <w:style w:type="paragraph" w:customStyle="1" w:styleId="54">
    <w:name w:val="List Paragraph"/>
    <w:basedOn w:val="1"/>
    <w:qFormat/>
    <w:uiPriority w:val="34"/>
    <w:pPr>
      <w:ind w:firstLine="420" w:firstLineChars="200"/>
    </w:pPr>
  </w:style>
  <w:style w:type="paragraph" w:customStyle="1" w:styleId="55">
    <w:name w:val="Table Paragraph"/>
    <w:basedOn w:val="1"/>
    <w:qFormat/>
    <w:uiPriority w:val="1"/>
    <w:rPr>
      <w:rFonts w:ascii="宋体" w:hAnsi="宋体" w:eastAsia="宋体" w:cs="宋体"/>
      <w:lang w:val="zh-CN" w:eastAsia="zh-CN" w:bidi="zh-CN"/>
    </w:rPr>
  </w:style>
  <w:style w:type="character" w:customStyle="1" w:styleId="56">
    <w:name w:val="stclosebtn"/>
    <w:basedOn w:val="28"/>
    <w:qFormat/>
    <w:uiPriority w:val="0"/>
  </w:style>
  <w:style w:type="character" w:customStyle="1" w:styleId="57">
    <w:name w:val="number"/>
    <w:basedOn w:val="28"/>
    <w:qFormat/>
    <w:uiPriority w:val="0"/>
    <w:rPr>
      <w:color w:val="FF8833"/>
      <w:sz w:val="18"/>
      <w:szCs w:val="18"/>
    </w:rPr>
  </w:style>
  <w:style w:type="character" w:customStyle="1" w:styleId="58">
    <w:name w:val="phone"/>
    <w:basedOn w:val="28"/>
    <w:qFormat/>
    <w:uiPriority w:val="0"/>
    <w:rPr>
      <w:color w:val="FF8833"/>
      <w:sz w:val="18"/>
      <w:szCs w:val="18"/>
    </w:rPr>
  </w:style>
  <w:style w:type="character" w:customStyle="1" w:styleId="59">
    <w:name w:val="proollist"/>
    <w:basedOn w:val="28"/>
    <w:qFormat/>
    <w:uiPriority w:val="0"/>
  </w:style>
  <w:style w:type="character" w:customStyle="1" w:styleId="60">
    <w:name w:val="beforeinfotext"/>
    <w:basedOn w:val="28"/>
    <w:qFormat/>
    <w:uiPriority w:val="0"/>
    <w:rPr>
      <w:color w:val="666666"/>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3">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5">
    <w:name w:val="edit_class"/>
    <w:basedOn w:val="28"/>
    <w:qFormat/>
    <w:uiPriority w:val="0"/>
  </w:style>
  <w:style w:type="character" w:customStyle="1" w:styleId="66">
    <w:name w:val="hover44"/>
    <w:basedOn w:val="28"/>
    <w:qFormat/>
    <w:uiPriority w:val="0"/>
    <w:rPr>
      <w:color w:val="FFFFFF"/>
    </w:rPr>
  </w:style>
  <w:style w:type="character" w:customStyle="1" w:styleId="67">
    <w:name w:val="active3"/>
    <w:basedOn w:val="28"/>
    <w:qFormat/>
    <w:uiPriority w:val="0"/>
    <w:rPr>
      <w:color w:val="00FF00"/>
      <w:shd w:val="clear" w:fill="111111"/>
    </w:rPr>
  </w:style>
  <w:style w:type="character" w:customStyle="1" w:styleId="68">
    <w:name w:val="cy"/>
    <w:basedOn w:val="28"/>
    <w:qFormat/>
    <w:uiPriority w:val="0"/>
  </w:style>
  <w:style w:type="character" w:customStyle="1" w:styleId="69">
    <w:name w:val="design_class"/>
    <w:basedOn w:val="28"/>
    <w:qFormat/>
    <w:uiPriority w:val="0"/>
  </w:style>
  <w:style w:type="character" w:customStyle="1" w:styleId="70">
    <w:name w:val="cdropright"/>
    <w:basedOn w:val="28"/>
    <w:qFormat/>
    <w:uiPriority w:val="0"/>
  </w:style>
  <w:style w:type="character" w:customStyle="1" w:styleId="71">
    <w:name w:val="w32"/>
    <w:basedOn w:val="28"/>
    <w:qFormat/>
    <w:uiPriority w:val="0"/>
  </w:style>
  <w:style w:type="character" w:customStyle="1" w:styleId="72">
    <w:name w:val="moreaction32"/>
    <w:basedOn w:val="28"/>
    <w:qFormat/>
    <w:uiPriority w:val="0"/>
  </w:style>
  <w:style w:type="character" w:customStyle="1" w:styleId="73">
    <w:name w:val="button"/>
    <w:basedOn w:val="28"/>
    <w:qFormat/>
    <w:uiPriority w:val="0"/>
  </w:style>
  <w:style w:type="character" w:customStyle="1" w:styleId="74">
    <w:name w:val="pagechatarealistclose_box"/>
    <w:basedOn w:val="28"/>
    <w:qFormat/>
    <w:uiPriority w:val="0"/>
  </w:style>
  <w:style w:type="character" w:customStyle="1" w:styleId="75">
    <w:name w:val="pagechatarealistclose_box1"/>
    <w:basedOn w:val="28"/>
    <w:qFormat/>
    <w:uiPriority w:val="0"/>
  </w:style>
  <w:style w:type="character" w:customStyle="1" w:styleId="76">
    <w:name w:val="biggerthanmax"/>
    <w:basedOn w:val="28"/>
    <w:qFormat/>
    <w:uiPriority w:val="0"/>
    <w:rPr>
      <w:shd w:val="clear" w:fill="FFFF00"/>
    </w:rPr>
  </w:style>
  <w:style w:type="character" w:customStyle="1" w:styleId="77">
    <w:name w:val="ico1656"/>
    <w:basedOn w:val="28"/>
    <w:qFormat/>
    <w:uiPriority w:val="0"/>
  </w:style>
  <w:style w:type="character" w:customStyle="1" w:styleId="78">
    <w:name w:val="ico1657"/>
    <w:basedOn w:val="28"/>
    <w:qFormat/>
    <w:uiPriority w:val="0"/>
  </w:style>
  <w:style w:type="character" w:customStyle="1" w:styleId="79">
    <w:name w:val="ico1658"/>
    <w:basedOn w:val="28"/>
    <w:qFormat/>
    <w:uiPriority w:val="0"/>
  </w:style>
  <w:style w:type="character" w:customStyle="1" w:styleId="80">
    <w:name w:val="hilite6"/>
    <w:basedOn w:val="28"/>
    <w:qFormat/>
    <w:uiPriority w:val="0"/>
    <w:rPr>
      <w:color w:val="FFFFFF"/>
      <w:shd w:val="clear" w:fill="666666"/>
    </w:rPr>
  </w:style>
  <w:style w:type="character" w:customStyle="1" w:styleId="81">
    <w:name w:val="cdropleft"/>
    <w:basedOn w:val="28"/>
    <w:qFormat/>
    <w:uiPriority w:val="0"/>
  </w:style>
  <w:style w:type="character" w:customStyle="1" w:styleId="82">
    <w:name w:val="drapbtn"/>
    <w:basedOn w:val="28"/>
    <w:qFormat/>
    <w:uiPriority w:val="0"/>
  </w:style>
  <w:style w:type="character" w:customStyle="1" w:styleId="83">
    <w:name w:val="after"/>
    <w:basedOn w:val="28"/>
    <w:qFormat/>
    <w:uiPriority w:val="0"/>
    <w:rPr>
      <w:sz w:val="0"/>
      <w:szCs w:val="0"/>
    </w:rPr>
  </w:style>
  <w:style w:type="character" w:customStyle="1" w:styleId="84">
    <w:name w:val="tmpztreemove_arrow"/>
    <w:basedOn w:val="28"/>
    <w:qFormat/>
    <w:uiPriority w:val="0"/>
  </w:style>
  <w:style w:type="character" w:customStyle="1" w:styleId="85">
    <w:name w:val="browse_class&gt;span"/>
    <w:basedOn w:val="28"/>
    <w:qFormat/>
    <w:uiPriority w:val="0"/>
  </w:style>
  <w:style w:type="character" w:customStyle="1" w:styleId="86">
    <w:name w:val="estimate_gray"/>
    <w:basedOn w:val="28"/>
    <w:qFormat/>
    <w:uiPriority w:val="0"/>
    <w:rPr>
      <w:color w:val="FFFFFF"/>
    </w:rPr>
  </w:style>
  <w:style w:type="character" w:customStyle="1" w:styleId="87">
    <w:name w:val="liked_gray"/>
    <w:basedOn w:val="28"/>
    <w:qFormat/>
    <w:uiPriority w:val="0"/>
    <w:rPr>
      <w:color w:val="FFFFFF"/>
    </w:rPr>
  </w:style>
  <w:style w:type="character" w:customStyle="1" w:styleId="88">
    <w:name w:val="xdrichtextbox2"/>
    <w:basedOn w:val="28"/>
    <w:qFormat/>
    <w:uiPriority w:val="0"/>
  </w:style>
  <w:style w:type="character" w:customStyle="1" w:styleId="89">
    <w:name w:val="button4"/>
    <w:basedOn w:val="28"/>
    <w:qFormat/>
    <w:uiPriority w:val="0"/>
  </w:style>
  <w:style w:type="character" w:customStyle="1" w:styleId="90">
    <w:name w:val="active7"/>
    <w:basedOn w:val="28"/>
    <w:qFormat/>
    <w:uiPriority w:val="0"/>
    <w:rPr>
      <w:color w:val="00FF00"/>
      <w:shd w:val="clear" w:fill="111111"/>
    </w:rPr>
  </w:style>
  <w:style w:type="character" w:customStyle="1" w:styleId="91">
    <w:name w:val="hilite5"/>
    <w:basedOn w:val="28"/>
    <w:qFormat/>
    <w:uiPriority w:val="0"/>
    <w:rPr>
      <w:color w:val="FFFFFF"/>
      <w:shd w:val="clear" w:fill="666666"/>
    </w:rPr>
  </w:style>
  <w:style w:type="character" w:customStyle="1" w:styleId="92">
    <w:name w:val="xdrichtextbox"/>
    <w:basedOn w:val="28"/>
    <w:qFormat/>
    <w:uiPriority w:val="0"/>
    <w:rPr>
      <w:color w:val="auto"/>
      <w:sz w:val="12"/>
      <w:szCs w:val="12"/>
      <w:u w:val="none"/>
      <w:bdr w:val="single" w:color="DCDCDC" w:sz="8" w:space="0"/>
      <w:shd w:val="clear" w:fill="auto"/>
    </w:rPr>
  </w:style>
  <w:style w:type="character" w:customStyle="1" w:styleId="93">
    <w:name w:val="hover41"/>
    <w:basedOn w:val="28"/>
    <w:qFormat/>
    <w:uiPriority w:val="0"/>
    <w:rPr>
      <w:color w:val="FFFFFF"/>
    </w:rPr>
  </w:style>
  <w:style w:type="character" w:customStyle="1" w:styleId="94">
    <w:name w:val="mini-outputtext1"/>
    <w:basedOn w:val="28"/>
    <w:qFormat/>
    <w:uiPriority w:val="0"/>
  </w:style>
  <w:style w:type="character" w:customStyle="1" w:styleId="95">
    <w:name w:val="正文文本_"/>
    <w:basedOn w:val="28"/>
    <w:link w:val="96"/>
    <w:unhideWhenUsed/>
    <w:qFormat/>
    <w:locked/>
    <w:uiPriority w:val="99"/>
    <w:rPr>
      <w:rFonts w:cs="Times New Roman"/>
      <w:sz w:val="30"/>
    </w:rPr>
  </w:style>
  <w:style w:type="paragraph" w:customStyle="1" w:styleId="96">
    <w:name w:val="正文文本1"/>
    <w:basedOn w:val="1"/>
    <w:link w:val="95"/>
    <w:unhideWhenUsed/>
    <w:qFormat/>
    <w:uiPriority w:val="99"/>
    <w:pPr>
      <w:shd w:val="clear" w:color="auto" w:fill="FFFFFF"/>
      <w:spacing w:before="240" w:after="720" w:line="240" w:lineRule="atLeast"/>
      <w:jc w:val="center"/>
    </w:pPr>
    <w:rPr>
      <w:rFonts w:cs="Times New Roman"/>
      <w:sz w:val="30"/>
    </w:rPr>
  </w:style>
  <w:style w:type="paragraph" w:customStyle="1" w:styleId="97">
    <w:name w:val="列出段落3"/>
    <w:basedOn w:val="1"/>
    <w:qFormat/>
    <w:uiPriority w:val="0"/>
    <w:pPr>
      <w:ind w:firstLine="420" w:firstLineChars="200"/>
    </w:pPr>
    <w:rPr>
      <w:rFonts w:cs="Times New Roman"/>
    </w:rPr>
  </w:style>
  <w:style w:type="table" w:customStyle="1" w:styleId="98">
    <w:name w:val="Table Normal"/>
    <w:semiHidden/>
    <w:unhideWhenUsed/>
    <w:qFormat/>
    <w:uiPriority w:val="0"/>
    <w:tblPr>
      <w:tblCellMar>
        <w:top w:w="0" w:type="dxa"/>
        <w:left w:w="0" w:type="dxa"/>
        <w:bottom w:w="0" w:type="dxa"/>
        <w:right w:w="0" w:type="dxa"/>
      </w:tblCellMar>
    </w:tblPr>
  </w:style>
  <w:style w:type="character" w:customStyle="1" w:styleId="99">
    <w:name w:val="font21"/>
    <w:basedOn w:val="28"/>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19820</Words>
  <Characters>21337</Characters>
  <Lines>0</Lines>
  <Paragraphs>0</Paragraphs>
  <TotalTime>16</TotalTime>
  <ScaleCrop>false</ScaleCrop>
  <LinksUpToDate>false</LinksUpToDate>
  <CharactersWithSpaces>25682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Administrator</cp:lastModifiedBy>
  <cp:lastPrinted>2023-08-18T01:14:00Z</cp:lastPrinted>
  <dcterms:modified xsi:type="dcterms:W3CDTF">2023-08-22T01:45:34Z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3491E33068BA49688BC90DCC48E62C1D</vt:lpwstr>
  </property>
</Properties>
</file>