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100" w:firstLine="562" w:firstLineChars="200"/>
        <w:jc w:val="both"/>
        <w:textAlignment w:val="auto"/>
        <w:rPr>
          <w:rFonts w:hint="eastAsia" w:ascii="Calibri" w:hAnsi="Calibri" w:eastAsia="宋体" w:cs="Times New Roman"/>
          <w:b/>
          <w:bCs/>
          <w:color w:val="000000"/>
          <w:sz w:val="28"/>
          <w:szCs w:val="28"/>
          <w:lang w:val="en-US" w:eastAsia="zh-CN"/>
        </w:rPr>
      </w:pPr>
      <w:r>
        <w:rPr>
          <w:rFonts w:hint="eastAsia" w:ascii="Calibri" w:hAnsi="Calibri" w:eastAsia="宋体" w:cs="Times New Roman"/>
          <w:b/>
          <w:bCs/>
          <w:color w:val="000000"/>
          <w:sz w:val="28"/>
          <w:szCs w:val="28"/>
          <w:lang w:val="en-US" w:eastAsia="zh-CN"/>
        </w:rPr>
        <w:t>一、建设目标：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100" w:firstLine="560" w:firstLineChars="200"/>
        <w:jc w:val="both"/>
        <w:textAlignment w:val="auto"/>
        <w:rPr>
          <w:rFonts w:hint="eastAsia" w:ascii="Calibri" w:hAnsi="Calibri" w:eastAsia="宋体" w:cs="Times New Roman"/>
          <w:b w:val="0"/>
          <w:bCs w:val="0"/>
          <w:color w:val="000000"/>
          <w:sz w:val="28"/>
          <w:szCs w:val="28"/>
          <w:lang w:val="en-US" w:eastAsia="zh-CN"/>
        </w:rPr>
      </w:pPr>
      <w:r>
        <w:rPr>
          <w:rFonts w:hint="eastAsia" w:ascii="Calibri" w:hAnsi="Calibri" w:eastAsia="宋体" w:cs="Times New Roman"/>
          <w:b w:val="0"/>
          <w:bCs w:val="0"/>
          <w:color w:val="000000"/>
          <w:sz w:val="28"/>
          <w:szCs w:val="28"/>
          <w:lang w:val="en-US" w:eastAsia="zh-CN"/>
        </w:rPr>
        <w:t>新建4处专用水位站，实现汉江安康城区段河道水位的实时在线监测，为中心城区防洪科学决策提供基础保障，最大程度的减轻洪水灾害损失。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100" w:firstLine="562" w:firstLineChars="200"/>
        <w:jc w:val="both"/>
        <w:textAlignment w:val="auto"/>
        <w:rPr>
          <w:rFonts w:hint="eastAsia" w:ascii="Calibri" w:hAnsi="Calibri" w:eastAsia="宋体" w:cs="Times New Roman"/>
          <w:b/>
          <w:bCs/>
          <w:color w:val="000000"/>
          <w:sz w:val="28"/>
          <w:szCs w:val="28"/>
          <w:lang w:val="en-US" w:eastAsia="zh-CN"/>
        </w:rPr>
      </w:pPr>
      <w:r>
        <w:rPr>
          <w:rFonts w:hint="eastAsia" w:ascii="Calibri" w:hAnsi="Calibri" w:eastAsia="宋体" w:cs="Times New Roman"/>
          <w:b/>
          <w:bCs/>
          <w:color w:val="000000"/>
          <w:sz w:val="28"/>
          <w:szCs w:val="28"/>
          <w:lang w:val="en-US" w:eastAsia="zh-CN"/>
        </w:rPr>
        <w:t>二、建设任务：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100" w:firstLine="560" w:firstLineChars="200"/>
        <w:jc w:val="both"/>
        <w:textAlignment w:val="auto"/>
        <w:rPr>
          <w:rFonts w:hint="eastAsia" w:ascii="Calibri" w:hAnsi="Calibri" w:eastAsia="宋体" w:cs="Times New Roman"/>
          <w:b w:val="0"/>
          <w:bCs w:val="0"/>
          <w:color w:val="000000"/>
          <w:sz w:val="28"/>
          <w:szCs w:val="28"/>
          <w:lang w:val="en-US" w:eastAsia="zh-CN"/>
        </w:rPr>
      </w:pPr>
      <w:r>
        <w:rPr>
          <w:rFonts w:hint="eastAsia" w:ascii="Calibri" w:hAnsi="Calibri" w:eastAsia="宋体" w:cs="Times New Roman"/>
          <w:b w:val="0"/>
          <w:bCs w:val="0"/>
          <w:color w:val="000000"/>
          <w:sz w:val="28"/>
          <w:szCs w:val="28"/>
          <w:lang w:val="en-US" w:eastAsia="zh-CN"/>
        </w:rPr>
        <w:t>新建4处专用水位站，具体为：建筑工程主要包括水准点4个、直立式水尺12根、斜坡水尺（B=50cm）162.9米、水尺板（B=25cm）18米、压力井沉沙池4处、水位计压力管道敷设467.6米、水位计观测平台4处；仪器设备主要包括压力式水位计传感器4套、太阳能供电系统4套、现场视频监测设备4套、遥测终端4台、户外实时水位显示大屏设备1套。运行管护内容包括：大断面测量及水位面积关系曲线分析、断面流量监测、水位流量关系率定、设施设备</w:t>
      </w:r>
      <w:r>
        <w:rPr>
          <w:rFonts w:hint="eastAsia" w:ascii="Calibri" w:hAnsi="Calibri" w:eastAsia="宋体" w:cs="Times New Roman"/>
          <w:b w:val="0"/>
          <w:bCs w:val="0"/>
          <w:color w:val="000000"/>
          <w:sz w:val="28"/>
          <w:szCs w:val="28"/>
          <w:lang w:val="en-US" w:eastAsia="zh-CN"/>
        </w:rPr>
        <w:t>保养维护、监测仪器巡检维修、站点组网运行及管理。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2" w:firstLineChars="200"/>
        <w:jc w:val="both"/>
        <w:textAlignment w:val="auto"/>
        <w:rPr>
          <w:rFonts w:hint="eastAsia" w:ascii="Calibri" w:hAnsi="Calibri" w:eastAsia="宋体" w:cs="Times New Roman"/>
          <w:b/>
          <w:bCs/>
          <w:color w:val="000000"/>
          <w:sz w:val="28"/>
          <w:szCs w:val="28"/>
          <w:lang w:val="en-US" w:eastAsia="zh-CN"/>
        </w:rPr>
      </w:pPr>
      <w:r>
        <w:rPr>
          <w:rFonts w:hint="eastAsia" w:ascii="Calibri" w:hAnsi="Calibri" w:eastAsia="宋体" w:cs="Times New Roman"/>
          <w:b/>
          <w:bCs/>
          <w:color w:val="000000"/>
          <w:sz w:val="28"/>
          <w:szCs w:val="28"/>
          <w:lang w:val="en-US" w:eastAsia="zh-CN"/>
        </w:rPr>
        <w:t>资格要求</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具有独立承担民事责任的能力，提供营业执照、税务登记证、组织机构代码证或登载有统一社会信用代码的营业执照（或《事业单位法人证书》或其他合法组织登记证书、自然人只须提交身份证）；   </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财务状况报告：提供2021年度或2022年度财务审计报告（成立时间至开标时间不足一年的可提供成立后任意时段的资产负债表）或开标前六个月内其基本存款账户开户银行出具的资信证明；    </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具有履行合同所必需的设备和专业技术能力（须附相关证明材料或书面声明）；</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有依法缴纳税收和社会保障资金的良好记录【提供投标人2022年01月至今任意一个月完税证明（依法免税的投标人应提供相关文件证明）、2022年01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本项目只面向中小企业，投标企业须提供中小企业声明函。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Calibri" w:hAnsi="Calibri" w:eastAsia="宋体" w:cs="Times New Roman"/>
          <w:b/>
          <w:bCs/>
          <w:color w:val="000000"/>
          <w:sz w:val="28"/>
          <w:szCs w:val="28"/>
          <w:lang w:val="en-US" w:eastAsia="zh-CN"/>
        </w:rPr>
        <w:t>四、</w:t>
      </w:r>
      <w:r>
        <w:rPr>
          <w:rFonts w:hint="eastAsia" w:ascii="宋体" w:hAnsi="宋体" w:eastAsia="宋体" w:cs="宋体"/>
          <w:b/>
          <w:bCs/>
          <w:color w:val="000000"/>
          <w:kern w:val="0"/>
          <w:sz w:val="28"/>
          <w:szCs w:val="28"/>
          <w:lang w:val="en-US" w:eastAsia="zh-CN" w:bidi="ar"/>
        </w:rPr>
        <w:t xml:space="preserve">产品要求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本技术规格及要求，并未对一切技术细节做出规定，也未充分引述有关标准和规范条文。投标人根据技术要求提供设备，不支持正在研发中的产品。如投标人中标后发现未预见事宜，可能需要增加的设备材料或其它费用全部由中标人自行解决，采购人不再追加价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2、其它设备、辅料、配件及在整体设备安装和调试时不能缺少或必需的一切附属配件必须为专业生产企业的定型品牌产品，不得使用已经淘汰或拼凑、组装的伪劣、假冒部件及产品。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供货方应将每台设备的中文技术资料（包括设备使用说明书等）一套包装好随同设备一起发运。设备包装箱内必须附有详细的装箱清单。如果使用方确认供货方提供的技术资料不完整或在运输过程中丢失，供货方须在收到采购人通知后7天内将这些资料免费寄给使用方。由于技术文件中的错误而引起的费用由中标人承担。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产品品牌，若本招标文件涉及到了产品的品牌，其唯一的含义是借鉴该品牌产品的技术参数来衡量投标人所投产品技术参数的优劣，并非规定投标产品必须为该品牌产品，即使投标人投标该产品，也不一定得到该项的最高分值。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五、设备到货验收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中标人按合同规定日期发货，全部产品运至采购人指定地点后，由采购人、中标人共同检查、验收，验收的依据根据招标文件要求、中标人投标文件承诺及中标人提供的资料和国家规定的有关标准和验收规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2、共同验收合格后，签署货到验收合格的有关文件，但不包括对产品质量的验收。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3、在验收过程中，如果有任何一方提出异议或不同结果的，可以委托权威部门核验。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4、供应的备品备件，其检验验收应与产品要求一致，其名称、规格、产地、数量、单价应详细列出清单。备品备件的数量的供应期限不少于质量保证期的限度。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六、售后服务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1、费用：在保修期内由于货物故障所产生的一切费用由供应商负责。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服务保证：自验收单上签字之日起计算,在规定的质保期内，对提供产品进行维修，不收取任何额外费用；保修期间内，除易损件（出厂随机配备的备品、备件范围）外，各种设备经两次维修后仍不能正常使用，应免费更换同品牌、同型号设备。自更换之日起重新计算质量保证期限。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提供24小时热线咨询和技术支持，在远程不能处理问题情况下，必须提供现场服务，要求2小时内快速做出响应，24小时内到达现场并实地解决问题。紧急故障由其售后服务人员在1小时内做出响应，4小时内到达现场，12小时内维修完毕。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对产品售后服务体系，含质保范围、期限、技术支持、时间响应等作出详细说明和必要的承诺。提供具体的售后服务措施，保证产品的正常安全运行。提供最近的售后服务地址、联系电话和工作人员名单。接到维修通知单后，及时到达维修现场。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七</w:t>
      </w:r>
      <w:bookmarkStart w:id="0" w:name="_GoBack"/>
      <w:bookmarkEnd w:id="0"/>
      <w:r>
        <w:rPr>
          <w:rFonts w:hint="eastAsia" w:ascii="宋体" w:hAnsi="宋体" w:eastAsia="宋体" w:cs="宋体"/>
          <w:b/>
          <w:bCs/>
          <w:color w:val="000000"/>
          <w:kern w:val="0"/>
          <w:sz w:val="28"/>
          <w:szCs w:val="28"/>
          <w:lang w:val="en-US" w:eastAsia="zh-CN" w:bidi="ar"/>
        </w:rPr>
        <w:t xml:space="preserve">、质量保证和维修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质量保证：保证所有产品（含备品备件）必须是全新的、未曾使用过的合格优质产品，技术条件最大限度满足招标文件的要求，并应能达到使用的年限（寿命）。设备的包装应为生产厂商出厂时的原包装。必须全部符合国家现行相关标准。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2、售后服务维修点（站）：当产品发生故障时，售后服务点（站）在接到采购人故障通知单后保证最迟 24 小时内到达现场并解决和处理发生问题，保证正常使用和运行。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3、免费培训：安装完成后一次。以后根据采购人需要适时提供相关技术服务及培训；培训内容：设备的使用、维护、故障处理等。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100" w:firstLine="562" w:firstLineChars="200"/>
        <w:jc w:val="both"/>
        <w:textAlignment w:val="auto"/>
        <w:rPr>
          <w:rFonts w:hint="default" w:ascii="Calibri" w:hAnsi="Calibri" w:eastAsia="宋体" w:cs="Times New Roman"/>
          <w:b/>
          <w:bCs/>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17026"/>
    <w:multiLevelType w:val="singleLevel"/>
    <w:tmpl w:val="91317026"/>
    <w:lvl w:ilvl="0" w:tentative="0">
      <w:start w:val="1"/>
      <w:numFmt w:val="decimal"/>
      <w:suff w:val="nothing"/>
      <w:lvlText w:val="（%1）"/>
      <w:lvlJc w:val="left"/>
    </w:lvl>
  </w:abstractNum>
  <w:abstractNum w:abstractNumId="1">
    <w:nsid w:val="1AA21EC8"/>
    <w:multiLevelType w:val="singleLevel"/>
    <w:tmpl w:val="1AA21EC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NTQ2NTNmZjgyZWEyZGUzNDVlMjJiNGYwMWFlYjEifQ=="/>
  </w:docVars>
  <w:rsids>
    <w:rsidRoot w:val="00000000"/>
    <w:rsid w:val="20AA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2023-05-17T08:28:33Z</dcterms:created>
  <dc:creator>Administrator</dc:creator>
  <cp:lastModifiedBy>站住！你个小胖子</cp:lastModifiedBy>
  <dcterms:modified xsi:type="dcterms:W3CDTF">2023-05-17T08:30:29Z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565220EC2B144DE29743C71D2F7D9FCF_12</vt:lpwstr>
  </property>
</Properties>
</file>