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283"/>
        </w:tabs>
        <w:spacing w:before="33"/>
        <w:ind w:left="0" w:right="82"/>
        <w:jc w:val="center"/>
      </w:pPr>
      <w:r>
        <w:t>采购内容及服务要求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工作内容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40" w:lineRule="exact"/>
        <w:ind w:leftChars="233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供应商需完成以下工作：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1.安排专业团队根据项目建设实际情况进行现场踏勘；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2.完成石泉县2023年后柳、喜河、熨斗、饶峰镇农村公路生命安全防护工程勘察设计编制工作，组织专家对勘察设计成果进行评审，根据专家评审意见修订，并提交经评审合格的勘察设计成果终稿纸质版6份，电子版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3.供应商所出具的成果应符合国家现行有关标准、规范的规定，并承担相应的法津责任。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4.供应商需在进场施工前进行技术交底。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5.供应商对提交成果的真实性、有效性负全部责任。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二、服务期：30个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日历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三、质量保证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本次项目成交单位需有专业团队，根据项目所需进行服务，所提交的成果应符合国家现行有关标准、规范的规定，并对所提交成果承担相应的法津责任。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四、技术支持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提供服务期内技术咨询服务。供应商怠于或无法提供服务支持的，采购人有权委托第三方处理，由此产生的费用和后果由供应商负责，费用直接从应付款或质保金中扣除。供应商指定的项目总协调人必须是供应商公司管理层人员。项目实施过程中一旦出现重大问题，项目总协调人应能及时赶到现场。供应商更换项目负责人和主要技术人员，须将变更人及其工作影响、替换人资历等情况以书面材料报告项目采购人审核，经同意后方可更换。因供应商的人员变更原因所造成的任何项目质量、进度滞后的后果，由供应商承担。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2.供应商在项目实施过程中，质量保障人员、资源不足或者执行不力，给项目质量带来的风险超出采购人认定的允许范围时，采购人可终止本项目的合作并进行索赔。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五、服务保证</w:t>
      </w:r>
    </w:p>
    <w:p>
      <w:pPr>
        <w:keepNext w:val="0"/>
        <w:keepLines w:val="0"/>
        <w:pageBreakBefore w:val="0"/>
        <w:widowControl w:val="0"/>
        <w:tabs>
          <w:tab w:val="left" w:pos="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交付的成果及材料必须保证质量可靠，应全面满足谈判文件的要求，谈判文件未明确要求的内容，供应商按谈判服务要求或以采购人的补充要求为准。所供服务应严格按照国家最新发布的规范标准执行，如发生问题由供应商承担全部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83EFE"/>
    <w:multiLevelType w:val="singleLevel"/>
    <w:tmpl w:val="74283EFE"/>
    <w:lvl w:ilvl="0" w:tentative="0">
      <w:start w:val="1"/>
      <w:numFmt w:val="chineseCounting"/>
      <w:suff w:val="nothing"/>
      <w:lvlText w:val="%1、"/>
      <w:lvlJc w:val="left"/>
      <w:pPr>
        <w:ind w:left="-4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714F1CB8"/>
    <w:rsid w:val="714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67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2023-05-12T07:56:00Z</dcterms:created>
  <dc:creator>蒋零壹</dc:creator>
  <cp:lastModifiedBy>蒋零壹</cp:lastModifiedBy>
  <dcterms:modified xsi:type="dcterms:W3CDTF">2023-05-12T07:57:28Z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F9DA5831862D4821B631214BE7FD8B65_11</vt:lpwstr>
  </property>
</Properties>
</file>