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宋体" w:cs="宋体"/>
          <w:b/>
          <w:sz w:val="36"/>
          <w:highlight w:val="none"/>
        </w:rPr>
      </w:pPr>
      <w:r>
        <w:rPr>
          <w:rFonts w:hint="eastAsia" w:hAnsi="宋体" w:cs="宋体"/>
          <w:b/>
          <w:bCs/>
          <w:sz w:val="32"/>
          <w:szCs w:val="32"/>
          <w:highlight w:val="none"/>
        </w:rPr>
        <w:t>项目编号：</w:t>
      </w:r>
      <w:r>
        <w:rPr>
          <w:rFonts w:hint="eastAsia" w:hAnsi="宋体" w:cs="宋体"/>
          <w:b/>
          <w:bCs/>
          <w:sz w:val="32"/>
          <w:szCs w:val="32"/>
          <w:highlight w:val="none"/>
          <w:lang w:eastAsia="zh-CN"/>
        </w:rPr>
        <w:t>SXZCZB2023-ZCCS-0312</w:t>
      </w:r>
    </w:p>
    <w:p>
      <w:pPr>
        <w:rPr>
          <w:rFonts w:hAnsi="宋体" w:cs="宋体"/>
          <w:b/>
          <w:sz w:val="36"/>
          <w:highlight w:val="none"/>
        </w:rPr>
      </w:pPr>
    </w:p>
    <w:p>
      <w:pPr>
        <w:jc w:val="center"/>
        <w:rPr>
          <w:rFonts w:hAnsi="宋体" w:cs="宋体"/>
          <w:b/>
          <w:bCs/>
          <w:sz w:val="52"/>
          <w:szCs w:val="52"/>
          <w:highlight w:val="none"/>
        </w:rPr>
      </w:pPr>
    </w:p>
    <w:p>
      <w:pPr>
        <w:spacing w:line="780" w:lineRule="auto"/>
        <w:jc w:val="center"/>
        <w:rPr>
          <w:rFonts w:hint="eastAsia" w:hAnsi="宋体" w:cs="宋体"/>
          <w:b/>
          <w:bCs/>
          <w:sz w:val="72"/>
          <w:szCs w:val="72"/>
          <w:highlight w:val="none"/>
          <w:lang w:eastAsia="zh-CN"/>
        </w:rPr>
      </w:pPr>
    </w:p>
    <w:p>
      <w:pPr>
        <w:spacing w:line="780" w:lineRule="auto"/>
        <w:jc w:val="center"/>
        <w:rPr>
          <w:rFonts w:hAnsi="宋体" w:cs="宋体"/>
          <w:b/>
          <w:sz w:val="72"/>
          <w:szCs w:val="72"/>
          <w:highlight w:val="none"/>
        </w:rPr>
      </w:pPr>
      <w:r>
        <w:rPr>
          <w:rFonts w:hint="eastAsia" w:hAnsi="宋体" w:cs="宋体"/>
          <w:b/>
          <w:bCs/>
          <w:sz w:val="72"/>
          <w:szCs w:val="72"/>
          <w:highlight w:val="none"/>
          <w:lang w:eastAsia="zh-CN"/>
        </w:rPr>
        <w:t>宁陕县广货街镇漫沟民宿区基础配套项目</w:t>
      </w:r>
    </w:p>
    <w:p>
      <w:pPr>
        <w:spacing w:line="780" w:lineRule="auto"/>
        <w:jc w:val="center"/>
        <w:rPr>
          <w:rFonts w:hint="eastAsia" w:hAnsi="宋体" w:cs="宋体"/>
          <w:b/>
          <w:sz w:val="72"/>
          <w:szCs w:val="72"/>
          <w:highlight w:val="none"/>
        </w:rPr>
      </w:pPr>
    </w:p>
    <w:p>
      <w:pPr>
        <w:spacing w:line="780" w:lineRule="auto"/>
        <w:jc w:val="center"/>
        <w:rPr>
          <w:rFonts w:hint="eastAsia" w:hAnsi="宋体" w:cs="宋体"/>
          <w:b/>
          <w:sz w:val="72"/>
          <w:szCs w:val="72"/>
          <w:highlight w:val="none"/>
        </w:rPr>
      </w:pPr>
    </w:p>
    <w:p>
      <w:pPr>
        <w:spacing w:line="780" w:lineRule="auto"/>
        <w:jc w:val="center"/>
        <w:rPr>
          <w:rFonts w:hAnsi="宋体" w:cs="宋体"/>
          <w:b/>
          <w:sz w:val="72"/>
          <w:szCs w:val="72"/>
          <w:highlight w:val="none"/>
        </w:rPr>
      </w:pPr>
      <w:r>
        <w:rPr>
          <w:rFonts w:hint="eastAsia" w:hAnsi="宋体" w:cs="宋体"/>
          <w:b/>
          <w:sz w:val="72"/>
          <w:szCs w:val="72"/>
          <w:highlight w:val="none"/>
        </w:rPr>
        <w:t>竞争性磋商文件</w:t>
      </w:r>
    </w:p>
    <w:p>
      <w:pPr>
        <w:rPr>
          <w:rFonts w:hAnsi="宋体" w:cs="宋体"/>
          <w:highlight w:val="none"/>
        </w:rPr>
      </w:pPr>
      <w:bookmarkStart w:id="0" w:name="_Toc363463325"/>
    </w:p>
    <w:p>
      <w:pPr>
        <w:rPr>
          <w:rFonts w:hAnsi="宋体" w:cs="宋体"/>
          <w:highlight w:val="none"/>
        </w:rPr>
      </w:pPr>
    </w:p>
    <w:p>
      <w:pPr>
        <w:rPr>
          <w:highlight w:val="none"/>
        </w:rPr>
      </w:pPr>
    </w:p>
    <w:p>
      <w:pPr>
        <w:rPr>
          <w:rFonts w:hAnsi="宋体" w:cs="宋体"/>
          <w:highlight w:val="none"/>
        </w:rPr>
      </w:pPr>
    </w:p>
    <w:bookmarkEnd w:id="0"/>
    <w:p>
      <w:pPr>
        <w:jc w:val="center"/>
        <w:rPr>
          <w:rFonts w:hAnsi="宋体" w:cs="宋体"/>
          <w:b/>
          <w:sz w:val="36"/>
          <w:szCs w:val="36"/>
          <w:highlight w:val="none"/>
        </w:rPr>
      </w:pPr>
    </w:p>
    <w:p>
      <w:pPr>
        <w:jc w:val="both"/>
        <w:rPr>
          <w:rFonts w:hint="eastAsia" w:hAnsi="宋体" w:cs="宋体"/>
          <w:b/>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auto"/>
        <w:ind w:left="2160" w:leftChars="900"/>
        <w:jc w:val="both"/>
        <w:textAlignment w:val="auto"/>
        <w:rPr>
          <w:rFonts w:hint="eastAsia" w:hAnsi="宋体" w:cs="宋体"/>
          <w:b/>
          <w:sz w:val="32"/>
          <w:szCs w:val="32"/>
          <w:highlight w:val="none"/>
          <w:lang w:eastAsia="zh-CN"/>
        </w:rPr>
      </w:pPr>
      <w:r>
        <w:rPr>
          <w:rFonts w:hint="eastAsia" w:hAnsi="宋体" w:cs="宋体"/>
          <w:b/>
          <w:sz w:val="32"/>
          <w:szCs w:val="32"/>
          <w:highlight w:val="none"/>
          <w:lang w:eastAsia="zh-CN"/>
        </w:rPr>
        <w:t>采</w:t>
      </w:r>
      <w:r>
        <w:rPr>
          <w:rFonts w:hint="eastAsia" w:hAnsi="宋体" w:cs="宋体"/>
          <w:b/>
          <w:sz w:val="32"/>
          <w:szCs w:val="32"/>
          <w:highlight w:val="none"/>
          <w:lang w:val="en-US" w:eastAsia="zh-CN"/>
        </w:rPr>
        <w:t xml:space="preserve"> </w:t>
      </w:r>
      <w:r>
        <w:rPr>
          <w:rFonts w:hint="eastAsia" w:hAnsi="宋体" w:cs="宋体"/>
          <w:b/>
          <w:sz w:val="32"/>
          <w:szCs w:val="32"/>
          <w:highlight w:val="none"/>
          <w:lang w:eastAsia="zh-CN"/>
        </w:rPr>
        <w:t>购</w:t>
      </w:r>
      <w:r>
        <w:rPr>
          <w:rFonts w:hint="eastAsia" w:hAnsi="宋体" w:cs="宋体"/>
          <w:b/>
          <w:sz w:val="32"/>
          <w:szCs w:val="32"/>
          <w:highlight w:val="none"/>
          <w:lang w:val="en-US" w:eastAsia="zh-CN"/>
        </w:rPr>
        <w:t xml:space="preserve"> </w:t>
      </w:r>
      <w:r>
        <w:rPr>
          <w:rFonts w:hint="eastAsia" w:hAnsi="宋体" w:cs="宋体"/>
          <w:b/>
          <w:sz w:val="32"/>
          <w:szCs w:val="32"/>
          <w:highlight w:val="none"/>
          <w:lang w:eastAsia="zh-CN"/>
        </w:rPr>
        <w:t>人：宁陕县广货街镇人民政府</w:t>
      </w:r>
    </w:p>
    <w:p>
      <w:pPr>
        <w:keepNext w:val="0"/>
        <w:keepLines w:val="0"/>
        <w:pageBreakBefore w:val="0"/>
        <w:widowControl w:val="0"/>
        <w:kinsoku/>
        <w:wordWrap/>
        <w:overflowPunct/>
        <w:topLinePunct w:val="0"/>
        <w:autoSpaceDE/>
        <w:autoSpaceDN/>
        <w:bidi w:val="0"/>
        <w:adjustRightInd/>
        <w:snapToGrid/>
        <w:spacing w:line="600" w:lineRule="auto"/>
        <w:ind w:left="2160" w:leftChars="900"/>
        <w:jc w:val="both"/>
        <w:textAlignment w:val="auto"/>
        <w:rPr>
          <w:rFonts w:hint="eastAsia" w:hAnsi="宋体" w:cs="宋体"/>
          <w:b/>
          <w:sz w:val="32"/>
          <w:szCs w:val="32"/>
          <w:highlight w:val="none"/>
          <w:lang w:eastAsia="zh-CN"/>
        </w:rPr>
      </w:pPr>
      <w:r>
        <w:rPr>
          <w:rFonts w:hint="eastAsia" w:hAnsi="宋体" w:cs="宋体"/>
          <w:b/>
          <w:sz w:val="32"/>
          <w:szCs w:val="32"/>
          <w:highlight w:val="none"/>
          <w:lang w:eastAsia="zh-CN"/>
        </w:rPr>
        <w:t>代理机构：陕西至诚招标咨询有限公司</w:t>
      </w:r>
    </w:p>
    <w:p>
      <w:pPr>
        <w:pStyle w:val="2"/>
        <w:keepNext w:val="0"/>
        <w:keepLines w:val="0"/>
        <w:pageBreakBefore w:val="0"/>
        <w:widowControl w:val="0"/>
        <w:kinsoku/>
        <w:wordWrap/>
        <w:overflowPunct/>
        <w:topLinePunct w:val="0"/>
        <w:autoSpaceDE/>
        <w:autoSpaceDN/>
        <w:bidi w:val="0"/>
        <w:adjustRightInd/>
        <w:snapToGrid/>
        <w:spacing w:after="0" w:line="600" w:lineRule="auto"/>
        <w:ind w:left="2160" w:leftChars="900"/>
        <w:jc w:val="both"/>
        <w:textAlignment w:val="auto"/>
        <w:rPr>
          <w:rFonts w:hint="eastAsia" w:ascii="宋体" w:hAnsi="宋体" w:eastAsia="宋体" w:cs="宋体"/>
          <w:b/>
          <w:kern w:val="0"/>
          <w:sz w:val="32"/>
          <w:szCs w:val="32"/>
          <w:highlight w:val="none"/>
          <w:lang w:val="en-US" w:eastAsia="zh-CN" w:bidi="ar-SA"/>
        </w:rPr>
      </w:pPr>
      <w:r>
        <w:rPr>
          <w:rFonts w:hint="eastAsia" w:ascii="宋体" w:hAnsi="宋体" w:eastAsia="宋体" w:cs="宋体"/>
          <w:b/>
          <w:kern w:val="0"/>
          <w:sz w:val="32"/>
          <w:szCs w:val="32"/>
          <w:highlight w:val="none"/>
          <w:lang w:val="en-US" w:eastAsia="zh-CN" w:bidi="ar-SA"/>
        </w:rPr>
        <w:t>日    期：二〇二</w:t>
      </w:r>
      <w:r>
        <w:rPr>
          <w:rFonts w:hint="eastAsia" w:ascii="宋体" w:hAnsi="宋体" w:cs="宋体"/>
          <w:b/>
          <w:kern w:val="0"/>
          <w:sz w:val="32"/>
          <w:szCs w:val="32"/>
          <w:highlight w:val="none"/>
          <w:lang w:val="en-US" w:eastAsia="zh-CN" w:bidi="ar-SA"/>
        </w:rPr>
        <w:t>三</w:t>
      </w:r>
      <w:r>
        <w:rPr>
          <w:rFonts w:hint="eastAsia" w:ascii="宋体" w:hAnsi="宋体" w:eastAsia="宋体" w:cs="宋体"/>
          <w:b/>
          <w:kern w:val="0"/>
          <w:sz w:val="32"/>
          <w:szCs w:val="32"/>
          <w:highlight w:val="none"/>
          <w:lang w:val="en-US" w:eastAsia="zh-CN" w:bidi="ar-SA"/>
        </w:rPr>
        <w:t>年</w:t>
      </w:r>
      <w:r>
        <w:rPr>
          <w:rFonts w:hint="eastAsia" w:ascii="宋体" w:hAnsi="宋体" w:cs="宋体"/>
          <w:b/>
          <w:kern w:val="0"/>
          <w:sz w:val="32"/>
          <w:szCs w:val="32"/>
          <w:highlight w:val="none"/>
          <w:lang w:val="en-US" w:eastAsia="zh-CN" w:bidi="ar-SA"/>
        </w:rPr>
        <w:t>三</w:t>
      </w:r>
      <w:r>
        <w:rPr>
          <w:rFonts w:hint="eastAsia" w:ascii="宋体" w:hAnsi="宋体" w:eastAsia="宋体" w:cs="宋体"/>
          <w:b/>
          <w:kern w:val="0"/>
          <w:sz w:val="32"/>
          <w:szCs w:val="32"/>
          <w:highlight w:val="none"/>
          <w:lang w:val="en-US" w:eastAsia="zh-CN" w:bidi="ar-SA"/>
        </w:rPr>
        <w:t>月</w:t>
      </w:r>
    </w:p>
    <w:p>
      <w:pPr>
        <w:rPr>
          <w:rFonts w:hint="eastAsia" w:ascii="宋体" w:hAnsi="宋体" w:cs="宋体"/>
          <w:b/>
          <w:bCs/>
          <w:sz w:val="28"/>
          <w:szCs w:val="28"/>
          <w:highlight w:val="none"/>
        </w:rPr>
      </w:pPr>
      <w:r>
        <w:rPr>
          <w:rFonts w:hint="eastAsia" w:ascii="宋体" w:hAnsi="宋体" w:cs="宋体"/>
          <w:b/>
          <w:bCs/>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b/>
          <w:bCs/>
          <w:color w:val="auto"/>
          <w:sz w:val="32"/>
          <w:szCs w:val="32"/>
          <w:highlight w:val="none"/>
          <w:lang w:val="en-US" w:eastAsia="zh-CN"/>
        </w:rPr>
        <w:t>特别提醒</w:t>
      </w:r>
    </w:p>
    <w:p>
      <w:pPr>
        <w:adjustRightInd w:val="0"/>
        <w:snapToGrid w:val="0"/>
        <w:spacing w:line="560" w:lineRule="exact"/>
        <w:ind w:firstLine="482" w:firstLineChars="200"/>
        <w:jc w:val="left"/>
        <w:rPr>
          <w:rFonts w:hint="eastAsia" w:hAnsi="宋体" w:cs="宋体"/>
          <w:b/>
          <w:bCs/>
          <w:snapToGrid w:val="0"/>
          <w:color w:val="000000"/>
          <w:highlight w:val="none"/>
        </w:rPr>
      </w:pPr>
      <w:r>
        <w:rPr>
          <w:rFonts w:hint="eastAsia" w:hAnsi="宋体" w:cs="宋体"/>
          <w:b/>
          <w:bCs/>
          <w:snapToGrid w:val="0"/>
          <w:color w:val="000000"/>
          <w:highlight w:val="none"/>
        </w:rPr>
        <w:t>1、本项目采用不见面开标系统：电子化投标方式投标，投标人须使用数字认证证书（CA锁）对电子投标文件进行签章、加密、递交及开标时签到、解密等相关招投标事宜。开标时投标人须携带数字认证证书（CA锁），如因投标人自身原因未正确使用数字认证证书（CA锁）造成无法解密投标文件，按无效投标对待。</w:t>
      </w:r>
    </w:p>
    <w:p>
      <w:pPr>
        <w:adjustRightInd w:val="0"/>
        <w:snapToGrid w:val="0"/>
        <w:spacing w:line="560" w:lineRule="exact"/>
        <w:ind w:firstLine="482" w:firstLineChars="200"/>
        <w:jc w:val="left"/>
        <w:rPr>
          <w:rFonts w:hint="eastAsia" w:hAnsi="宋体" w:cs="宋体"/>
          <w:b/>
          <w:bCs/>
          <w:snapToGrid w:val="0"/>
          <w:color w:val="000000"/>
          <w:highlight w:val="none"/>
        </w:rPr>
      </w:pPr>
      <w:r>
        <w:rPr>
          <w:rFonts w:hint="eastAsia" w:hAnsi="宋体" w:cs="宋体"/>
          <w:b/>
          <w:bCs/>
          <w:snapToGrid w:val="0"/>
          <w:color w:val="000000"/>
          <w:highlight w:val="none"/>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pPr>
        <w:adjustRightInd w:val="0"/>
        <w:snapToGrid w:val="0"/>
        <w:spacing w:line="560" w:lineRule="exact"/>
        <w:ind w:firstLine="482" w:firstLineChars="200"/>
        <w:jc w:val="left"/>
        <w:rPr>
          <w:rFonts w:hint="eastAsia" w:hAnsi="宋体" w:cs="宋体"/>
          <w:b/>
          <w:bCs/>
          <w:snapToGrid w:val="0"/>
          <w:color w:val="000000"/>
          <w:highlight w:val="none"/>
        </w:rPr>
      </w:pPr>
      <w:r>
        <w:rPr>
          <w:rFonts w:hint="eastAsia" w:hAnsi="宋体" w:cs="宋体"/>
          <w:b/>
          <w:bCs/>
          <w:snapToGrid w:val="0"/>
          <w:color w:val="000000"/>
          <w:highlight w:val="none"/>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pPr>
        <w:adjustRightInd w:val="0"/>
        <w:snapToGrid w:val="0"/>
        <w:spacing w:line="560" w:lineRule="exact"/>
        <w:ind w:firstLine="482" w:firstLineChars="200"/>
        <w:jc w:val="left"/>
        <w:rPr>
          <w:rFonts w:hint="eastAsia" w:hAnsi="宋体" w:cs="宋体"/>
          <w:b/>
          <w:bCs/>
          <w:snapToGrid w:val="0"/>
          <w:color w:val="000000"/>
          <w:highlight w:val="none"/>
        </w:rPr>
      </w:pPr>
      <w:r>
        <w:rPr>
          <w:rFonts w:hint="eastAsia" w:hAnsi="宋体" w:cs="宋体"/>
          <w:b/>
          <w:bCs/>
          <w:snapToGrid w:val="0"/>
          <w:color w:val="000000"/>
          <w:highlight w:val="none"/>
        </w:rPr>
        <w:t>4、不见面开标系统：打开登录页面网址选择点击右上角“登录”，在左侧选择“投标人”身份，登录地区选择“安康市不见面开标”插入CA锁登录，输入密码后，点击“登录”：（http://122.112.246.33/BidOpening/bidopeninghallaction/hall/login），</w:t>
      </w:r>
    </w:p>
    <w:p>
      <w:pPr>
        <w:adjustRightInd w:val="0"/>
        <w:snapToGrid w:val="0"/>
        <w:spacing w:line="560" w:lineRule="exact"/>
        <w:ind w:firstLine="482" w:firstLineChars="200"/>
        <w:jc w:val="left"/>
        <w:rPr>
          <w:rFonts w:hint="eastAsia" w:hAnsi="宋体" w:cs="宋体"/>
          <w:b/>
          <w:bCs/>
          <w:snapToGrid w:val="0"/>
          <w:color w:val="000000"/>
          <w:highlight w:val="none"/>
        </w:rPr>
      </w:pPr>
      <w:r>
        <w:rPr>
          <w:rFonts w:hint="eastAsia" w:hAnsi="宋体" w:cs="宋体"/>
          <w:b/>
          <w:bCs/>
          <w:snapToGrid w:val="0"/>
          <w:color w:val="000000"/>
          <w:highlight w:val="none"/>
        </w:rPr>
        <w:t>投标人登录之后可以看到当前投标人今日开标项目；1、选择要开标的项目，点击进入，页面首先阅读开标流程，点击“我已阅读”进入开标大厅，点击“取消”返回项目列表页面。</w:t>
      </w:r>
    </w:p>
    <w:p>
      <w:pPr>
        <w:adjustRightInd w:val="0"/>
        <w:snapToGrid w:val="0"/>
        <w:spacing w:line="560" w:lineRule="exact"/>
        <w:ind w:firstLine="482" w:firstLineChars="200"/>
        <w:jc w:val="left"/>
        <w:rPr>
          <w:rFonts w:hint="eastAsia" w:hAnsi="宋体" w:cs="宋体"/>
          <w:b/>
          <w:bCs/>
          <w:snapToGrid w:val="0"/>
          <w:color w:val="000000"/>
          <w:highlight w:val="none"/>
        </w:rPr>
      </w:pPr>
      <w:r>
        <w:rPr>
          <w:rFonts w:hint="eastAsia" w:hAnsi="宋体" w:cs="宋体"/>
          <w:b/>
          <w:bCs/>
          <w:snapToGrid w:val="0"/>
          <w:color w:val="000000"/>
          <w:highlight w:val="none"/>
        </w:rPr>
        <w:t>5、开标签到</w:t>
      </w:r>
    </w:p>
    <w:p>
      <w:pPr>
        <w:adjustRightInd w:val="0"/>
        <w:snapToGrid w:val="0"/>
        <w:spacing w:line="560" w:lineRule="exact"/>
        <w:ind w:firstLine="482" w:firstLineChars="200"/>
        <w:jc w:val="left"/>
        <w:rPr>
          <w:rFonts w:hint="eastAsia" w:hAnsi="宋体" w:cs="宋体"/>
          <w:b/>
          <w:bCs/>
          <w:snapToGrid w:val="0"/>
          <w:color w:val="000000"/>
          <w:highlight w:val="none"/>
        </w:rPr>
      </w:pPr>
      <w:r>
        <w:rPr>
          <w:rFonts w:hint="eastAsia" w:hAnsi="宋体" w:cs="宋体"/>
          <w:b/>
          <w:bCs/>
          <w:snapToGrid w:val="0"/>
          <w:color w:val="000000"/>
          <w:highlight w:val="none"/>
        </w:rPr>
        <w:t>投标人等待开标时需要签到，等候开标。请在开标前完成签到，开标时间到了之后就不能签到；点击页面上“签到”按钮进行签到，开标前10分钟可以签到。签到成功之后，按钮灰化，无需再次签到，同时第一个座位图右下角出现绿色√；</w:t>
      </w:r>
    </w:p>
    <w:p>
      <w:pPr>
        <w:adjustRightInd w:val="0"/>
        <w:snapToGrid w:val="0"/>
        <w:spacing w:line="560" w:lineRule="exact"/>
        <w:ind w:firstLine="482" w:firstLineChars="200"/>
        <w:jc w:val="left"/>
        <w:rPr>
          <w:rFonts w:hint="eastAsia" w:hAnsi="宋体" w:cs="宋体"/>
          <w:b/>
          <w:bCs/>
          <w:snapToGrid w:val="0"/>
          <w:color w:val="000000"/>
          <w:highlight w:val="none"/>
        </w:rPr>
      </w:pPr>
      <w:r>
        <w:rPr>
          <w:rFonts w:hint="eastAsia" w:hAnsi="宋体" w:cs="宋体"/>
          <w:b/>
          <w:bCs/>
          <w:snapToGrid w:val="0"/>
          <w:color w:val="000000"/>
          <w:highlight w:val="none"/>
        </w:rPr>
        <w:t>6、磋商环节：供应商进入不见面开标系统进行一对一磋商；</w:t>
      </w:r>
    </w:p>
    <w:p>
      <w:pPr>
        <w:adjustRightInd w:val="0"/>
        <w:snapToGrid w:val="0"/>
        <w:spacing w:line="560" w:lineRule="exact"/>
        <w:ind w:firstLine="482" w:firstLineChars="200"/>
        <w:jc w:val="left"/>
        <w:rPr>
          <w:rFonts w:hint="eastAsia" w:hAnsi="宋体" w:cs="宋体"/>
          <w:b/>
          <w:bCs/>
          <w:snapToGrid w:val="0"/>
          <w:color w:val="000000"/>
          <w:highlight w:val="none"/>
        </w:rPr>
      </w:pPr>
      <w:r>
        <w:rPr>
          <w:rFonts w:hint="eastAsia" w:hAnsi="宋体" w:cs="宋体"/>
          <w:b/>
          <w:bCs/>
          <w:snapToGrid w:val="0"/>
          <w:color w:val="000000"/>
          <w:highlight w:val="none"/>
        </w:rPr>
        <w:t xml:space="preserve">7、评审过程中，磋商小组要求供应商提交多轮（最后）磋商报价时，供应商须登录全国公共资源交易平台（陕西省）在交易系统中提交多轮（最后）报价，并用数字认证证书（CA锁）签章。 </w:t>
      </w:r>
    </w:p>
    <w:p>
      <w:pPr>
        <w:adjustRightInd w:val="0"/>
        <w:snapToGrid w:val="0"/>
        <w:spacing w:line="560" w:lineRule="exact"/>
        <w:ind w:firstLine="482" w:firstLineChars="200"/>
        <w:jc w:val="left"/>
        <w:rPr>
          <w:rFonts w:hint="eastAsia" w:hAnsi="宋体" w:cs="宋体"/>
          <w:b/>
          <w:bCs/>
          <w:snapToGrid w:val="0"/>
          <w:color w:val="000000"/>
          <w:highlight w:val="none"/>
        </w:rPr>
      </w:pPr>
      <w:r>
        <w:rPr>
          <w:rFonts w:hint="eastAsia" w:hAnsi="宋体" w:cs="宋体"/>
          <w:b/>
          <w:bCs/>
          <w:snapToGrid w:val="0"/>
          <w:color w:val="000000"/>
          <w:highlight w:val="none"/>
        </w:rPr>
        <w:t>8、注意事项</w:t>
      </w:r>
    </w:p>
    <w:p>
      <w:pPr>
        <w:adjustRightInd w:val="0"/>
        <w:snapToGrid w:val="0"/>
        <w:spacing w:line="560" w:lineRule="exact"/>
        <w:ind w:firstLine="482" w:firstLineChars="200"/>
        <w:jc w:val="left"/>
        <w:rPr>
          <w:rFonts w:hint="eastAsia" w:hAnsi="宋体" w:cs="宋体"/>
          <w:b/>
          <w:bCs/>
          <w:snapToGrid w:val="0"/>
          <w:color w:val="000000"/>
          <w:highlight w:val="none"/>
        </w:rPr>
      </w:pPr>
      <w:r>
        <w:rPr>
          <w:rFonts w:hint="eastAsia" w:hAnsi="宋体" w:cs="宋体"/>
          <w:b/>
          <w:bCs/>
          <w:snapToGrid w:val="0"/>
          <w:color w:val="000000"/>
          <w:highlight w:val="none"/>
        </w:rPr>
        <w:t>（1）、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pPr>
        <w:adjustRightInd w:val="0"/>
        <w:snapToGrid w:val="0"/>
        <w:spacing w:line="560" w:lineRule="exact"/>
        <w:ind w:firstLine="482" w:firstLineChars="200"/>
        <w:jc w:val="left"/>
        <w:rPr>
          <w:rFonts w:hint="eastAsia" w:hAnsi="宋体" w:cs="宋体"/>
          <w:b/>
          <w:bCs/>
          <w:snapToGrid w:val="0"/>
          <w:color w:val="000000"/>
          <w:highlight w:val="none"/>
        </w:rPr>
      </w:pPr>
      <w:r>
        <w:rPr>
          <w:rFonts w:hint="eastAsia" w:hAnsi="宋体" w:cs="宋体"/>
          <w:b/>
          <w:bCs/>
          <w:snapToGrid w:val="0"/>
          <w:color w:val="000000"/>
          <w:highlight w:val="none"/>
        </w:rPr>
        <w:t>（2）、建议投标人在开标前半小时登录不见面开标大厅，并及时签到（开标前60分钟即可签到），遇到问题及时联系客服4009280095。</w:t>
      </w:r>
    </w:p>
    <w:p>
      <w:pPr>
        <w:adjustRightInd w:val="0"/>
        <w:snapToGrid w:val="0"/>
        <w:spacing w:line="560" w:lineRule="exact"/>
        <w:ind w:firstLine="482" w:firstLineChars="200"/>
        <w:jc w:val="left"/>
        <w:rPr>
          <w:rFonts w:hint="eastAsia" w:hAnsi="宋体" w:cs="宋体"/>
          <w:b/>
          <w:bCs/>
          <w:snapToGrid w:val="0"/>
          <w:color w:val="000000"/>
          <w:highlight w:val="none"/>
        </w:rPr>
      </w:pPr>
      <w:r>
        <w:rPr>
          <w:rFonts w:hint="eastAsia" w:hAnsi="宋体" w:cs="宋体"/>
          <w:b/>
          <w:bCs/>
          <w:snapToGrid w:val="0"/>
          <w:color w:val="000000"/>
          <w:highlight w:val="none"/>
        </w:rPr>
        <w:t>（3）、投标人需注意CA锁一定要提前准备好，并确保CA锁为制作投标文件的CA锁。</w:t>
      </w:r>
    </w:p>
    <w:p>
      <w:pPr>
        <w:adjustRightInd w:val="0"/>
        <w:snapToGrid w:val="0"/>
        <w:spacing w:line="560" w:lineRule="exact"/>
        <w:ind w:firstLine="482" w:firstLineChars="200"/>
        <w:jc w:val="left"/>
        <w:rPr>
          <w:rFonts w:hint="eastAsia" w:hAnsi="宋体" w:cs="宋体"/>
          <w:b/>
          <w:bCs/>
          <w:snapToGrid w:val="0"/>
          <w:color w:val="000000"/>
          <w:highlight w:val="none"/>
        </w:rPr>
      </w:pPr>
      <w:r>
        <w:rPr>
          <w:rFonts w:hint="eastAsia" w:hAnsi="宋体" w:cs="宋体"/>
          <w:b/>
          <w:bCs/>
          <w:snapToGrid w:val="0"/>
          <w:color w:val="000000"/>
          <w:highlight w:val="none"/>
        </w:rPr>
        <w:t>（4）、及时关注右侧公告及互动栏目信息。</w:t>
      </w:r>
    </w:p>
    <w:p>
      <w:pPr>
        <w:adjustRightInd w:val="0"/>
        <w:snapToGrid w:val="0"/>
        <w:spacing w:line="560" w:lineRule="exact"/>
        <w:ind w:firstLine="241" w:firstLineChars="100"/>
        <w:jc w:val="left"/>
        <w:rPr>
          <w:rFonts w:hint="eastAsia" w:hAnsi="宋体" w:eastAsia="宋体" w:cs="宋体"/>
          <w:b/>
          <w:bCs/>
          <w:snapToGrid w:val="0"/>
          <w:color w:val="000000"/>
          <w:highlight w:val="none"/>
          <w:lang w:val="en-US" w:eastAsia="zh-CN"/>
        </w:rPr>
      </w:pPr>
      <w:r>
        <w:rPr>
          <w:rFonts w:hint="eastAsia" w:hAnsi="宋体" w:cs="宋体"/>
          <w:b/>
          <w:bCs/>
          <w:snapToGrid w:val="0"/>
          <w:color w:val="000000"/>
          <w:highlight w:val="none"/>
          <w:lang w:val="en-US" w:eastAsia="zh-CN"/>
        </w:rPr>
        <w:t>9</w:t>
      </w:r>
      <w:r>
        <w:rPr>
          <w:rFonts w:hint="eastAsia" w:hAnsi="宋体" w:cs="宋体"/>
          <w:b/>
          <w:bCs/>
          <w:snapToGrid w:val="0"/>
          <w:color w:val="000000"/>
          <w:highlight w:val="none"/>
        </w:rPr>
        <w:t>、</w:t>
      </w:r>
      <w:r>
        <w:rPr>
          <w:rFonts w:hint="eastAsia" w:hAnsi="宋体" w:cs="宋体"/>
          <w:b/>
          <w:bCs/>
          <w:snapToGrid w:val="0"/>
          <w:color w:val="000000"/>
          <w:szCs w:val="22"/>
          <w:highlight w:val="none"/>
          <w:lang w:val="en-US" w:eastAsia="zh-CN"/>
        </w:rPr>
        <w:t>工程概况</w:t>
      </w:r>
      <w:r>
        <w:rPr>
          <w:rFonts w:hint="eastAsia" w:hAnsi="宋体" w:cs="宋体"/>
          <w:b/>
          <w:bCs/>
          <w:snapToGrid w:val="0"/>
          <w:color w:val="000000"/>
          <w:highlight w:val="none"/>
          <w:lang w:val="en-US" w:eastAsia="zh-CN"/>
        </w:rPr>
        <w:t>说明</w:t>
      </w:r>
      <w:r>
        <w:rPr>
          <w:rFonts w:hint="eastAsia" w:hAnsi="宋体" w:cs="宋体"/>
          <w:b/>
          <w:bCs/>
          <w:snapToGrid w:val="0"/>
          <w:color w:val="000000"/>
          <w:szCs w:val="22"/>
          <w:highlight w:val="none"/>
          <w:lang w:val="en-US" w:eastAsia="zh-CN"/>
        </w:rPr>
        <w:t>：</w:t>
      </w:r>
    </w:p>
    <w:p>
      <w:pPr>
        <w:adjustRightInd w:val="0"/>
        <w:snapToGrid w:val="0"/>
        <w:spacing w:line="560" w:lineRule="exact"/>
        <w:ind w:firstLine="482" w:firstLineChars="200"/>
        <w:jc w:val="left"/>
        <w:rPr>
          <w:rFonts w:hint="eastAsia" w:hAnsi="宋体" w:cs="宋体"/>
          <w:b/>
          <w:bCs/>
          <w:snapToGrid w:val="0"/>
          <w:color w:val="000000"/>
          <w:szCs w:val="22"/>
          <w:highlight w:val="none"/>
          <w:lang w:val="en-US" w:eastAsia="zh-CN"/>
        </w:rPr>
      </w:pPr>
      <w:r>
        <w:rPr>
          <w:rFonts w:hint="eastAsia" w:hAnsi="宋体" w:cs="宋体"/>
          <w:b/>
          <w:bCs/>
          <w:snapToGrid w:val="0"/>
          <w:color w:val="000000"/>
          <w:szCs w:val="22"/>
          <w:highlight w:val="none"/>
          <w:lang w:val="en-US" w:eastAsia="zh-CN"/>
        </w:rPr>
        <w:t>（1）、广货街镇漫沟民宿区基础配套项目（一期）：项目总投资100万元。建设内容为修建平板桥1座，长25米、宽4米；新建混凝土基础、浆砌石河堤防护挡墙，长100米、宽5米。采用推广以工代赈方式实施。根据推广以工代赈方式相关要求，成交单位应吸纳广货街镇为主的群众参与工程项目建设，带动当地群众务工人数不少于10人，发放劳务报酬不低于15.9万元。</w:t>
      </w:r>
    </w:p>
    <w:p>
      <w:pPr>
        <w:adjustRightInd w:val="0"/>
        <w:snapToGrid w:val="0"/>
        <w:spacing w:line="560" w:lineRule="exact"/>
        <w:ind w:firstLine="482" w:firstLineChars="200"/>
        <w:jc w:val="left"/>
        <w:rPr>
          <w:rFonts w:hint="eastAsia" w:hAnsi="宋体" w:cs="宋体"/>
          <w:b/>
          <w:bCs/>
          <w:snapToGrid w:val="0"/>
          <w:color w:val="000000"/>
          <w:szCs w:val="22"/>
          <w:highlight w:val="none"/>
          <w:lang w:val="en-US" w:eastAsia="zh-CN"/>
        </w:rPr>
      </w:pPr>
      <w:r>
        <w:rPr>
          <w:rFonts w:hint="eastAsia" w:hAnsi="宋体" w:cs="宋体"/>
          <w:b/>
          <w:bCs/>
          <w:snapToGrid w:val="0"/>
          <w:color w:val="000000"/>
          <w:szCs w:val="22"/>
          <w:highlight w:val="none"/>
          <w:lang w:val="en-US" w:eastAsia="zh-CN"/>
        </w:rPr>
        <w:t>（2）、广货街镇漫沟民宿区基础配套项目（二期）：项目总投资100万元。建设内容为1.新建浆砌石内挡墙长度50米，高度3米；2.50立方米蓄水池1个，铺设管道200米；3.采用混凝土对公路河堤挡墙进行修复；4.场地平整；5.新建15立方米化粪池一座；6.新建浆砌石河堤防护挡墙长度150米，高度为5米，混凝土基础，浆砌石挡墙。</w:t>
      </w:r>
    </w:p>
    <w:p>
      <w:pPr>
        <w:adjustRightInd w:val="0"/>
        <w:snapToGrid w:val="0"/>
        <w:spacing w:line="560" w:lineRule="exact"/>
        <w:ind w:firstLine="482" w:firstLineChars="200"/>
        <w:jc w:val="left"/>
        <w:rPr>
          <w:rFonts w:hint="default" w:hAnsi="宋体" w:cs="宋体"/>
          <w:b/>
          <w:bCs/>
          <w:snapToGrid w:val="0"/>
          <w:color w:val="000000"/>
          <w:szCs w:val="22"/>
          <w:highlight w:val="none"/>
          <w:lang w:val="en-US" w:eastAsia="zh-CN"/>
        </w:rPr>
      </w:pPr>
      <w:r>
        <w:rPr>
          <w:rFonts w:hint="eastAsia" w:hAnsi="宋体" w:cs="宋体"/>
          <w:b/>
          <w:bCs/>
          <w:snapToGrid w:val="0"/>
          <w:color w:val="000000"/>
          <w:szCs w:val="22"/>
          <w:highlight w:val="none"/>
          <w:lang w:val="en-US" w:eastAsia="zh-CN"/>
        </w:rPr>
        <w:t>（3）、因广货街镇漫沟民宿区基础配套项目（一期）、（二期）实施地点一致，建设内容关联性强，故合并实施，为广货街镇漫沟民宿区基础配套项目。</w:t>
      </w:r>
    </w:p>
    <w:p>
      <w:pPr>
        <w:pStyle w:val="4"/>
        <w:rPr>
          <w:rFonts w:hint="default" w:eastAsia="宋体"/>
          <w:highlight w:val="none"/>
          <w:lang w:val="en-US" w:eastAsia="zh-CN"/>
        </w:rPr>
        <w:sectPr>
          <w:headerReference r:id="rId4" w:type="first"/>
          <w:headerReference r:id="rId3" w:type="default"/>
          <w:footerReference r:id="rId5" w:type="default"/>
          <w:pgSz w:w="11906" w:h="16838"/>
          <w:pgMar w:top="1304" w:right="1361" w:bottom="1304" w:left="1361" w:header="851" w:footer="992" w:gutter="0"/>
          <w:cols w:space="720" w:num="1"/>
          <w:titlePg/>
          <w:docGrid w:type="lines" w:linePitch="312" w:charSpace="0"/>
        </w:sectPr>
      </w:pPr>
    </w:p>
    <w:p>
      <w:pPr>
        <w:rPr>
          <w:rFonts w:hAnsi="宋体" w:cs="宋体"/>
          <w:highlight w:val="none"/>
        </w:rPr>
      </w:pPr>
    </w:p>
    <w:p>
      <w:pPr>
        <w:jc w:val="center"/>
        <w:rPr>
          <w:rFonts w:hAnsi="宋体" w:cs="宋体"/>
          <w:b/>
          <w:sz w:val="44"/>
          <w:szCs w:val="44"/>
          <w:highlight w:val="none"/>
        </w:rPr>
      </w:pPr>
      <w:r>
        <w:rPr>
          <w:rFonts w:hint="eastAsia" w:hAnsi="宋体" w:cs="宋体"/>
          <w:b/>
          <w:sz w:val="44"/>
          <w:szCs w:val="44"/>
          <w:highlight w:val="none"/>
        </w:rPr>
        <w:t>目 录</w:t>
      </w:r>
    </w:p>
    <w:p>
      <w:pPr>
        <w:jc w:val="center"/>
        <w:rPr>
          <w:rFonts w:hAnsi="宋体" w:cs="宋体"/>
          <w:b/>
          <w:sz w:val="44"/>
          <w:szCs w:val="44"/>
          <w:highlight w:val="none"/>
        </w:rPr>
      </w:pPr>
    </w:p>
    <w:p>
      <w:pPr>
        <w:pStyle w:val="17"/>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sz w:val="32"/>
          <w:szCs w:val="22"/>
          <w:highlight w:val="none"/>
        </w:rPr>
      </w:pPr>
      <w:bookmarkStart w:id="1" w:name="_Toc19886"/>
      <w:bookmarkStart w:id="2" w:name="_Toc389582033"/>
      <w:bookmarkStart w:id="3" w:name="_Toc21518"/>
      <w:bookmarkStart w:id="4" w:name="_Toc16218"/>
      <w:bookmarkStart w:id="5" w:name="_Toc5293"/>
      <w:bookmarkStart w:id="6" w:name="_Toc20858"/>
      <w:bookmarkStart w:id="7" w:name="_Toc20652"/>
      <w:bookmarkStart w:id="8" w:name="_Toc27420"/>
      <w:bookmarkStart w:id="9" w:name="_Toc403077638"/>
      <w:bookmarkStart w:id="10" w:name="_Toc363473971"/>
      <w:bookmarkStart w:id="11" w:name="_Toc363474016"/>
      <w:r>
        <w:rPr>
          <w:rFonts w:hint="eastAsia" w:hAnsi="宋体" w:cs="宋体"/>
          <w:bCs/>
          <w:sz w:val="36"/>
          <w:szCs w:val="36"/>
          <w:highlight w:val="none"/>
        </w:rPr>
        <w:fldChar w:fldCharType="begin"/>
      </w:r>
      <w:r>
        <w:rPr>
          <w:rFonts w:hint="eastAsia" w:hAnsi="宋体" w:cs="宋体"/>
          <w:bCs/>
          <w:sz w:val="36"/>
          <w:szCs w:val="36"/>
          <w:highlight w:val="none"/>
        </w:rPr>
        <w:instrText xml:space="preserve">TOC \o "1-2" \h \u </w:instrText>
      </w:r>
      <w:r>
        <w:rPr>
          <w:rFonts w:hint="eastAsia" w:hAnsi="宋体" w:cs="宋体"/>
          <w:bCs/>
          <w:sz w:val="36"/>
          <w:szCs w:val="36"/>
          <w:highlight w:val="none"/>
        </w:rPr>
        <w:fldChar w:fldCharType="separate"/>
      </w:r>
      <w:r>
        <w:rPr>
          <w:rFonts w:hint="eastAsia" w:hAnsi="宋体" w:cs="宋体"/>
          <w:bCs/>
          <w:sz w:val="32"/>
          <w:szCs w:val="36"/>
          <w:highlight w:val="none"/>
        </w:rPr>
        <w:fldChar w:fldCharType="begin"/>
      </w:r>
      <w:r>
        <w:rPr>
          <w:rFonts w:hint="eastAsia" w:hAnsi="宋体" w:cs="宋体"/>
          <w:bCs/>
          <w:sz w:val="32"/>
          <w:szCs w:val="36"/>
          <w:highlight w:val="none"/>
        </w:rPr>
        <w:instrText xml:space="preserve"> HYPERLINK \l _Toc25304 </w:instrText>
      </w:r>
      <w:r>
        <w:rPr>
          <w:rFonts w:hint="eastAsia" w:hAnsi="宋体" w:cs="宋体"/>
          <w:bCs/>
          <w:sz w:val="32"/>
          <w:szCs w:val="36"/>
          <w:highlight w:val="none"/>
        </w:rPr>
        <w:fldChar w:fldCharType="separate"/>
      </w:r>
      <w:r>
        <w:rPr>
          <w:rFonts w:hint="eastAsia" w:ascii="宋体" w:eastAsia="宋体" w:cs="宋体"/>
          <w:bCs/>
          <w:sz w:val="32"/>
          <w:szCs w:val="44"/>
          <w:highlight w:val="none"/>
        </w:rPr>
        <w:t>第一章  竞争性磋商公告</w:t>
      </w:r>
      <w:r>
        <w:rPr>
          <w:sz w:val="32"/>
          <w:szCs w:val="22"/>
          <w:highlight w:val="none"/>
        </w:rPr>
        <w:tab/>
      </w:r>
      <w:r>
        <w:rPr>
          <w:sz w:val="32"/>
          <w:szCs w:val="22"/>
          <w:highlight w:val="none"/>
        </w:rPr>
        <w:fldChar w:fldCharType="begin"/>
      </w:r>
      <w:r>
        <w:rPr>
          <w:sz w:val="32"/>
          <w:szCs w:val="22"/>
          <w:highlight w:val="none"/>
        </w:rPr>
        <w:instrText xml:space="preserve"> PAGEREF _Toc25304 \h </w:instrText>
      </w:r>
      <w:r>
        <w:rPr>
          <w:sz w:val="32"/>
          <w:szCs w:val="22"/>
          <w:highlight w:val="none"/>
        </w:rPr>
        <w:fldChar w:fldCharType="separate"/>
      </w:r>
      <w:r>
        <w:rPr>
          <w:sz w:val="32"/>
          <w:szCs w:val="22"/>
          <w:highlight w:val="none"/>
        </w:rPr>
        <w:t>1</w:t>
      </w:r>
      <w:r>
        <w:rPr>
          <w:sz w:val="32"/>
          <w:szCs w:val="22"/>
          <w:highlight w:val="none"/>
        </w:rPr>
        <w:fldChar w:fldCharType="end"/>
      </w:r>
      <w:r>
        <w:rPr>
          <w:rFonts w:hint="eastAsia" w:hAnsi="宋体" w:cs="宋体"/>
          <w:bCs/>
          <w:sz w:val="32"/>
          <w:szCs w:val="36"/>
          <w:highlight w:val="none"/>
        </w:rPr>
        <w:fldChar w:fldCharType="end"/>
      </w:r>
    </w:p>
    <w:p>
      <w:pPr>
        <w:pStyle w:val="17"/>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sz w:val="32"/>
          <w:szCs w:val="22"/>
          <w:highlight w:val="none"/>
        </w:rPr>
      </w:pPr>
      <w:r>
        <w:rPr>
          <w:rFonts w:hint="eastAsia" w:hAnsi="宋体" w:cs="宋体"/>
          <w:bCs/>
          <w:sz w:val="32"/>
          <w:szCs w:val="36"/>
          <w:highlight w:val="none"/>
        </w:rPr>
        <w:fldChar w:fldCharType="begin"/>
      </w:r>
      <w:r>
        <w:rPr>
          <w:rFonts w:hint="eastAsia" w:hAnsi="宋体" w:cs="宋体"/>
          <w:bCs/>
          <w:sz w:val="32"/>
          <w:szCs w:val="36"/>
          <w:highlight w:val="none"/>
        </w:rPr>
        <w:instrText xml:space="preserve"> HYPERLINK \l _Toc31456 </w:instrText>
      </w:r>
      <w:r>
        <w:rPr>
          <w:rFonts w:hint="eastAsia" w:hAnsi="宋体" w:cs="宋体"/>
          <w:bCs/>
          <w:sz w:val="32"/>
          <w:szCs w:val="36"/>
          <w:highlight w:val="none"/>
        </w:rPr>
        <w:fldChar w:fldCharType="separate"/>
      </w:r>
      <w:r>
        <w:rPr>
          <w:rFonts w:hint="eastAsia" w:hAnsi="宋体" w:cs="宋体"/>
          <w:bCs/>
          <w:kern w:val="2"/>
          <w:sz w:val="32"/>
          <w:szCs w:val="44"/>
          <w:highlight w:val="none"/>
        </w:rPr>
        <w:t>第二章  供应商须知</w:t>
      </w:r>
      <w:r>
        <w:rPr>
          <w:sz w:val="32"/>
          <w:szCs w:val="22"/>
          <w:highlight w:val="none"/>
        </w:rPr>
        <w:tab/>
      </w:r>
      <w:r>
        <w:rPr>
          <w:sz w:val="32"/>
          <w:szCs w:val="22"/>
          <w:highlight w:val="none"/>
        </w:rPr>
        <w:fldChar w:fldCharType="begin"/>
      </w:r>
      <w:r>
        <w:rPr>
          <w:sz w:val="32"/>
          <w:szCs w:val="22"/>
          <w:highlight w:val="none"/>
        </w:rPr>
        <w:instrText xml:space="preserve"> PAGEREF _Toc31456 \h </w:instrText>
      </w:r>
      <w:r>
        <w:rPr>
          <w:sz w:val="32"/>
          <w:szCs w:val="22"/>
          <w:highlight w:val="none"/>
        </w:rPr>
        <w:fldChar w:fldCharType="separate"/>
      </w:r>
      <w:r>
        <w:rPr>
          <w:sz w:val="32"/>
          <w:szCs w:val="22"/>
          <w:highlight w:val="none"/>
        </w:rPr>
        <w:t>5</w:t>
      </w:r>
      <w:r>
        <w:rPr>
          <w:sz w:val="32"/>
          <w:szCs w:val="22"/>
          <w:highlight w:val="none"/>
        </w:rPr>
        <w:fldChar w:fldCharType="end"/>
      </w:r>
      <w:r>
        <w:rPr>
          <w:rFonts w:hint="eastAsia" w:hAnsi="宋体" w:cs="宋体"/>
          <w:bCs/>
          <w:sz w:val="32"/>
          <w:szCs w:val="36"/>
          <w:highlight w:val="none"/>
        </w:rPr>
        <w:fldChar w:fldCharType="end"/>
      </w:r>
    </w:p>
    <w:p>
      <w:pPr>
        <w:pStyle w:val="19"/>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sz w:val="32"/>
          <w:szCs w:val="22"/>
          <w:highlight w:val="none"/>
        </w:rPr>
      </w:pPr>
      <w:r>
        <w:rPr>
          <w:rFonts w:hint="eastAsia" w:hAnsi="宋体" w:cs="宋体"/>
          <w:bCs/>
          <w:sz w:val="32"/>
          <w:szCs w:val="36"/>
          <w:highlight w:val="none"/>
        </w:rPr>
        <w:fldChar w:fldCharType="begin"/>
      </w:r>
      <w:r>
        <w:rPr>
          <w:rFonts w:hint="eastAsia" w:hAnsi="宋体" w:cs="宋体"/>
          <w:bCs/>
          <w:sz w:val="32"/>
          <w:szCs w:val="36"/>
          <w:highlight w:val="none"/>
        </w:rPr>
        <w:instrText xml:space="preserve"> HYPERLINK \l _Toc20192 </w:instrText>
      </w:r>
      <w:r>
        <w:rPr>
          <w:rFonts w:hint="eastAsia" w:hAnsi="宋体" w:cs="宋体"/>
          <w:bCs/>
          <w:sz w:val="32"/>
          <w:szCs w:val="36"/>
          <w:highlight w:val="none"/>
        </w:rPr>
        <w:fldChar w:fldCharType="separate"/>
      </w:r>
      <w:r>
        <w:rPr>
          <w:rFonts w:hint="eastAsia" w:ascii="宋体" w:hAnsi="宋体" w:cs="宋体"/>
          <w:sz w:val="32"/>
          <w:szCs w:val="22"/>
          <w:highlight w:val="none"/>
        </w:rPr>
        <w:t>供应商须知前附表</w:t>
      </w:r>
      <w:r>
        <w:rPr>
          <w:sz w:val="32"/>
          <w:szCs w:val="22"/>
          <w:highlight w:val="none"/>
        </w:rPr>
        <w:tab/>
      </w:r>
      <w:r>
        <w:rPr>
          <w:sz w:val="32"/>
          <w:szCs w:val="22"/>
          <w:highlight w:val="none"/>
        </w:rPr>
        <w:fldChar w:fldCharType="begin"/>
      </w:r>
      <w:r>
        <w:rPr>
          <w:sz w:val="32"/>
          <w:szCs w:val="22"/>
          <w:highlight w:val="none"/>
        </w:rPr>
        <w:instrText xml:space="preserve"> PAGEREF _Toc20192 \h </w:instrText>
      </w:r>
      <w:r>
        <w:rPr>
          <w:sz w:val="32"/>
          <w:szCs w:val="22"/>
          <w:highlight w:val="none"/>
        </w:rPr>
        <w:fldChar w:fldCharType="separate"/>
      </w:r>
      <w:r>
        <w:rPr>
          <w:sz w:val="32"/>
          <w:szCs w:val="22"/>
          <w:highlight w:val="none"/>
        </w:rPr>
        <w:t>5</w:t>
      </w:r>
      <w:r>
        <w:rPr>
          <w:sz w:val="32"/>
          <w:szCs w:val="22"/>
          <w:highlight w:val="none"/>
        </w:rPr>
        <w:fldChar w:fldCharType="end"/>
      </w:r>
      <w:r>
        <w:rPr>
          <w:rFonts w:hint="eastAsia" w:hAnsi="宋体" w:cs="宋体"/>
          <w:bCs/>
          <w:sz w:val="32"/>
          <w:szCs w:val="36"/>
          <w:highlight w:val="none"/>
        </w:rPr>
        <w:fldChar w:fldCharType="end"/>
      </w:r>
    </w:p>
    <w:p>
      <w:pPr>
        <w:pStyle w:val="17"/>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sz w:val="32"/>
          <w:szCs w:val="22"/>
          <w:highlight w:val="none"/>
        </w:rPr>
      </w:pPr>
      <w:r>
        <w:rPr>
          <w:rFonts w:hint="eastAsia" w:hAnsi="宋体" w:cs="宋体"/>
          <w:bCs/>
          <w:sz w:val="32"/>
          <w:szCs w:val="36"/>
          <w:highlight w:val="none"/>
        </w:rPr>
        <w:fldChar w:fldCharType="begin"/>
      </w:r>
      <w:r>
        <w:rPr>
          <w:rFonts w:hint="eastAsia" w:hAnsi="宋体" w:cs="宋体"/>
          <w:bCs/>
          <w:sz w:val="32"/>
          <w:szCs w:val="36"/>
          <w:highlight w:val="none"/>
        </w:rPr>
        <w:instrText xml:space="preserve"> HYPERLINK \l _Toc32262 </w:instrText>
      </w:r>
      <w:r>
        <w:rPr>
          <w:rFonts w:hint="eastAsia" w:hAnsi="宋体" w:cs="宋体"/>
          <w:bCs/>
          <w:sz w:val="32"/>
          <w:szCs w:val="36"/>
          <w:highlight w:val="none"/>
        </w:rPr>
        <w:fldChar w:fldCharType="separate"/>
      </w:r>
      <w:r>
        <w:rPr>
          <w:rFonts w:hint="eastAsia" w:ascii="宋体" w:eastAsia="宋体" w:cs="宋体"/>
          <w:bCs/>
          <w:sz w:val="32"/>
          <w:szCs w:val="44"/>
          <w:highlight w:val="none"/>
        </w:rPr>
        <w:t xml:space="preserve">第三章  </w:t>
      </w:r>
      <w:r>
        <w:rPr>
          <w:rFonts w:hint="eastAsia" w:ascii="宋体" w:eastAsia="宋体" w:cs="宋体"/>
          <w:bCs/>
          <w:sz w:val="32"/>
          <w:szCs w:val="40"/>
          <w:highlight w:val="none"/>
        </w:rPr>
        <w:t>评审</w:t>
      </w:r>
      <w:r>
        <w:rPr>
          <w:rFonts w:hint="eastAsia" w:ascii="宋体" w:eastAsia="宋体" w:cs="宋体"/>
          <w:bCs/>
          <w:sz w:val="32"/>
          <w:szCs w:val="44"/>
          <w:highlight w:val="none"/>
        </w:rPr>
        <w:t>方法</w:t>
      </w:r>
      <w:r>
        <w:rPr>
          <w:sz w:val="32"/>
          <w:szCs w:val="22"/>
          <w:highlight w:val="none"/>
        </w:rPr>
        <w:tab/>
      </w:r>
      <w:r>
        <w:rPr>
          <w:sz w:val="32"/>
          <w:szCs w:val="22"/>
          <w:highlight w:val="none"/>
        </w:rPr>
        <w:fldChar w:fldCharType="begin"/>
      </w:r>
      <w:r>
        <w:rPr>
          <w:sz w:val="32"/>
          <w:szCs w:val="22"/>
          <w:highlight w:val="none"/>
        </w:rPr>
        <w:instrText xml:space="preserve"> PAGEREF _Toc32262 \h </w:instrText>
      </w:r>
      <w:r>
        <w:rPr>
          <w:sz w:val="32"/>
          <w:szCs w:val="22"/>
          <w:highlight w:val="none"/>
        </w:rPr>
        <w:fldChar w:fldCharType="separate"/>
      </w:r>
      <w:r>
        <w:rPr>
          <w:sz w:val="32"/>
          <w:szCs w:val="22"/>
          <w:highlight w:val="none"/>
        </w:rPr>
        <w:t>22</w:t>
      </w:r>
      <w:r>
        <w:rPr>
          <w:sz w:val="32"/>
          <w:szCs w:val="22"/>
          <w:highlight w:val="none"/>
        </w:rPr>
        <w:fldChar w:fldCharType="end"/>
      </w:r>
      <w:r>
        <w:rPr>
          <w:rFonts w:hint="eastAsia" w:hAnsi="宋体" w:cs="宋体"/>
          <w:bCs/>
          <w:sz w:val="32"/>
          <w:szCs w:val="36"/>
          <w:highlight w:val="none"/>
        </w:rPr>
        <w:fldChar w:fldCharType="end"/>
      </w:r>
    </w:p>
    <w:p>
      <w:pPr>
        <w:pStyle w:val="17"/>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sz w:val="32"/>
          <w:szCs w:val="22"/>
          <w:highlight w:val="none"/>
        </w:rPr>
      </w:pPr>
      <w:r>
        <w:rPr>
          <w:rFonts w:hint="eastAsia" w:hAnsi="宋体" w:cs="宋体"/>
          <w:bCs/>
          <w:sz w:val="32"/>
          <w:szCs w:val="36"/>
          <w:highlight w:val="none"/>
        </w:rPr>
        <w:fldChar w:fldCharType="begin"/>
      </w:r>
      <w:r>
        <w:rPr>
          <w:rFonts w:hint="eastAsia" w:hAnsi="宋体" w:cs="宋体"/>
          <w:bCs/>
          <w:sz w:val="32"/>
          <w:szCs w:val="36"/>
          <w:highlight w:val="none"/>
        </w:rPr>
        <w:instrText xml:space="preserve"> HYPERLINK \l _Toc12500 </w:instrText>
      </w:r>
      <w:r>
        <w:rPr>
          <w:rFonts w:hint="eastAsia" w:hAnsi="宋体" w:cs="宋体"/>
          <w:bCs/>
          <w:sz w:val="32"/>
          <w:szCs w:val="36"/>
          <w:highlight w:val="none"/>
        </w:rPr>
        <w:fldChar w:fldCharType="separate"/>
      </w:r>
      <w:r>
        <w:rPr>
          <w:rFonts w:hint="eastAsia" w:ascii="宋体" w:eastAsia="宋体" w:cs="宋体"/>
          <w:bCs/>
          <w:sz w:val="32"/>
          <w:szCs w:val="44"/>
          <w:highlight w:val="none"/>
        </w:rPr>
        <w:t xml:space="preserve">第四章  </w:t>
      </w:r>
      <w:r>
        <w:rPr>
          <w:rFonts w:hint="eastAsia" w:ascii="宋体" w:eastAsia="宋体" w:cs="宋体"/>
          <w:bCs/>
          <w:sz w:val="32"/>
          <w:szCs w:val="44"/>
          <w:highlight w:val="none"/>
          <w:lang w:val="en-US" w:eastAsia="zh-CN"/>
        </w:rPr>
        <w:t>合同文本及主要条款</w:t>
      </w:r>
      <w:r>
        <w:rPr>
          <w:sz w:val="32"/>
          <w:szCs w:val="22"/>
          <w:highlight w:val="none"/>
        </w:rPr>
        <w:tab/>
      </w:r>
      <w:r>
        <w:rPr>
          <w:sz w:val="32"/>
          <w:szCs w:val="22"/>
          <w:highlight w:val="none"/>
        </w:rPr>
        <w:fldChar w:fldCharType="begin"/>
      </w:r>
      <w:r>
        <w:rPr>
          <w:sz w:val="32"/>
          <w:szCs w:val="22"/>
          <w:highlight w:val="none"/>
        </w:rPr>
        <w:instrText xml:space="preserve"> PAGEREF _Toc12500 \h </w:instrText>
      </w:r>
      <w:r>
        <w:rPr>
          <w:sz w:val="32"/>
          <w:szCs w:val="22"/>
          <w:highlight w:val="none"/>
        </w:rPr>
        <w:fldChar w:fldCharType="separate"/>
      </w:r>
      <w:r>
        <w:rPr>
          <w:sz w:val="32"/>
          <w:szCs w:val="22"/>
          <w:highlight w:val="none"/>
        </w:rPr>
        <w:t>30</w:t>
      </w:r>
      <w:r>
        <w:rPr>
          <w:sz w:val="32"/>
          <w:szCs w:val="22"/>
          <w:highlight w:val="none"/>
        </w:rPr>
        <w:fldChar w:fldCharType="end"/>
      </w:r>
      <w:r>
        <w:rPr>
          <w:rFonts w:hint="eastAsia" w:hAnsi="宋体" w:cs="宋体"/>
          <w:bCs/>
          <w:sz w:val="32"/>
          <w:szCs w:val="36"/>
          <w:highlight w:val="none"/>
        </w:rPr>
        <w:fldChar w:fldCharType="end"/>
      </w:r>
    </w:p>
    <w:p>
      <w:pPr>
        <w:pStyle w:val="17"/>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sz w:val="32"/>
          <w:szCs w:val="22"/>
          <w:highlight w:val="none"/>
        </w:rPr>
      </w:pPr>
      <w:r>
        <w:rPr>
          <w:rFonts w:hint="eastAsia" w:hAnsi="宋体" w:cs="宋体"/>
          <w:bCs/>
          <w:sz w:val="32"/>
          <w:szCs w:val="36"/>
          <w:highlight w:val="none"/>
        </w:rPr>
        <w:fldChar w:fldCharType="begin"/>
      </w:r>
      <w:r>
        <w:rPr>
          <w:rFonts w:hint="eastAsia" w:hAnsi="宋体" w:cs="宋体"/>
          <w:bCs/>
          <w:sz w:val="32"/>
          <w:szCs w:val="36"/>
          <w:highlight w:val="none"/>
        </w:rPr>
        <w:instrText xml:space="preserve"> HYPERLINK \l _Toc21141 </w:instrText>
      </w:r>
      <w:r>
        <w:rPr>
          <w:rFonts w:hint="eastAsia" w:hAnsi="宋体" w:cs="宋体"/>
          <w:bCs/>
          <w:sz w:val="32"/>
          <w:szCs w:val="36"/>
          <w:highlight w:val="none"/>
        </w:rPr>
        <w:fldChar w:fldCharType="separate"/>
      </w:r>
      <w:r>
        <w:rPr>
          <w:rFonts w:hint="eastAsia" w:ascii="宋体" w:eastAsia="宋体" w:cs="宋体"/>
          <w:kern w:val="0"/>
          <w:sz w:val="32"/>
          <w:szCs w:val="44"/>
          <w:highlight w:val="none"/>
        </w:rPr>
        <w:t>第五章  磋商内容及技术要求</w:t>
      </w:r>
      <w:r>
        <w:rPr>
          <w:sz w:val="32"/>
          <w:szCs w:val="22"/>
          <w:highlight w:val="none"/>
        </w:rPr>
        <w:tab/>
      </w:r>
      <w:r>
        <w:rPr>
          <w:sz w:val="32"/>
          <w:szCs w:val="22"/>
          <w:highlight w:val="none"/>
        </w:rPr>
        <w:fldChar w:fldCharType="begin"/>
      </w:r>
      <w:r>
        <w:rPr>
          <w:sz w:val="32"/>
          <w:szCs w:val="22"/>
          <w:highlight w:val="none"/>
        </w:rPr>
        <w:instrText xml:space="preserve"> PAGEREF _Toc21141 \h </w:instrText>
      </w:r>
      <w:r>
        <w:rPr>
          <w:sz w:val="32"/>
          <w:szCs w:val="22"/>
          <w:highlight w:val="none"/>
        </w:rPr>
        <w:fldChar w:fldCharType="separate"/>
      </w:r>
      <w:r>
        <w:rPr>
          <w:sz w:val="32"/>
          <w:szCs w:val="22"/>
          <w:highlight w:val="none"/>
        </w:rPr>
        <w:t>38</w:t>
      </w:r>
      <w:r>
        <w:rPr>
          <w:sz w:val="32"/>
          <w:szCs w:val="22"/>
          <w:highlight w:val="none"/>
        </w:rPr>
        <w:fldChar w:fldCharType="end"/>
      </w:r>
      <w:r>
        <w:rPr>
          <w:rFonts w:hint="eastAsia" w:hAnsi="宋体" w:cs="宋体"/>
          <w:bCs/>
          <w:sz w:val="32"/>
          <w:szCs w:val="36"/>
          <w:highlight w:val="none"/>
        </w:rPr>
        <w:fldChar w:fldCharType="end"/>
      </w:r>
    </w:p>
    <w:p>
      <w:pPr>
        <w:pStyle w:val="17"/>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sz w:val="32"/>
          <w:szCs w:val="22"/>
          <w:highlight w:val="none"/>
        </w:rPr>
      </w:pPr>
      <w:r>
        <w:rPr>
          <w:rFonts w:hint="eastAsia" w:hAnsi="宋体" w:cs="宋体"/>
          <w:bCs/>
          <w:sz w:val="32"/>
          <w:szCs w:val="36"/>
          <w:highlight w:val="none"/>
        </w:rPr>
        <w:fldChar w:fldCharType="begin"/>
      </w:r>
      <w:r>
        <w:rPr>
          <w:rFonts w:hint="eastAsia" w:hAnsi="宋体" w:cs="宋体"/>
          <w:bCs/>
          <w:sz w:val="32"/>
          <w:szCs w:val="36"/>
          <w:highlight w:val="none"/>
        </w:rPr>
        <w:instrText xml:space="preserve"> HYPERLINK \l _Toc3587 </w:instrText>
      </w:r>
      <w:r>
        <w:rPr>
          <w:rFonts w:hint="eastAsia" w:hAnsi="宋体" w:cs="宋体"/>
          <w:bCs/>
          <w:sz w:val="32"/>
          <w:szCs w:val="36"/>
          <w:highlight w:val="none"/>
        </w:rPr>
        <w:fldChar w:fldCharType="separate"/>
      </w:r>
      <w:r>
        <w:rPr>
          <w:rFonts w:hint="eastAsia" w:ascii="宋体" w:eastAsia="宋体" w:cs="宋体"/>
          <w:kern w:val="0"/>
          <w:sz w:val="32"/>
          <w:szCs w:val="44"/>
          <w:highlight w:val="none"/>
          <w:lang w:val="en-US" w:eastAsia="zh-CN"/>
        </w:rPr>
        <w:t>第六章  竞争性磋商响应文件格式</w:t>
      </w:r>
      <w:r>
        <w:rPr>
          <w:sz w:val="32"/>
          <w:szCs w:val="22"/>
          <w:highlight w:val="none"/>
        </w:rPr>
        <w:tab/>
      </w:r>
      <w:r>
        <w:rPr>
          <w:sz w:val="32"/>
          <w:szCs w:val="22"/>
          <w:highlight w:val="none"/>
        </w:rPr>
        <w:fldChar w:fldCharType="begin"/>
      </w:r>
      <w:r>
        <w:rPr>
          <w:sz w:val="32"/>
          <w:szCs w:val="22"/>
          <w:highlight w:val="none"/>
        </w:rPr>
        <w:instrText xml:space="preserve"> PAGEREF _Toc3587 \h </w:instrText>
      </w:r>
      <w:r>
        <w:rPr>
          <w:sz w:val="32"/>
          <w:szCs w:val="22"/>
          <w:highlight w:val="none"/>
        </w:rPr>
        <w:fldChar w:fldCharType="separate"/>
      </w:r>
      <w:r>
        <w:rPr>
          <w:sz w:val="32"/>
          <w:szCs w:val="22"/>
          <w:highlight w:val="none"/>
        </w:rPr>
        <w:t>42</w:t>
      </w:r>
      <w:r>
        <w:rPr>
          <w:sz w:val="32"/>
          <w:szCs w:val="22"/>
          <w:highlight w:val="none"/>
        </w:rPr>
        <w:fldChar w:fldCharType="end"/>
      </w:r>
      <w:r>
        <w:rPr>
          <w:rFonts w:hint="eastAsia" w:hAnsi="宋体" w:cs="宋体"/>
          <w:bCs/>
          <w:sz w:val="32"/>
          <w:szCs w:val="36"/>
          <w:highlight w:val="none"/>
        </w:rPr>
        <w:fldChar w:fldCharType="end"/>
      </w:r>
    </w:p>
    <w:p>
      <w:pPr>
        <w:pStyle w:val="17"/>
        <w:keepNext w:val="0"/>
        <w:keepLines w:val="0"/>
        <w:pageBreakBefore w:val="0"/>
        <w:widowControl w:val="0"/>
        <w:tabs>
          <w:tab w:val="right" w:leader="dot" w:pos="8302"/>
        </w:tabs>
        <w:kinsoku/>
        <w:wordWrap/>
        <w:overflowPunct/>
        <w:topLinePunct w:val="0"/>
        <w:autoSpaceDE/>
        <w:autoSpaceDN/>
        <w:bidi w:val="0"/>
        <w:adjustRightInd/>
        <w:snapToGrid/>
        <w:spacing w:line="480" w:lineRule="auto"/>
        <w:ind w:left="0" w:leftChars="0"/>
        <w:textAlignment w:val="auto"/>
        <w:rPr>
          <w:rFonts w:hAnsi="宋体" w:cs="宋体"/>
          <w:bCs/>
          <w:sz w:val="36"/>
          <w:szCs w:val="36"/>
          <w:highlight w:val="none"/>
        </w:rPr>
      </w:pPr>
      <w:r>
        <w:rPr>
          <w:rFonts w:hint="eastAsia" w:hAnsi="宋体" w:cs="宋体"/>
          <w:bCs/>
          <w:sz w:val="32"/>
          <w:szCs w:val="36"/>
          <w:highlight w:val="none"/>
        </w:rPr>
        <w:fldChar w:fldCharType="end"/>
      </w:r>
    </w:p>
    <w:p>
      <w:pPr>
        <w:pStyle w:val="3"/>
        <w:spacing w:before="312" w:beforeLines="100"/>
        <w:jc w:val="center"/>
        <w:rPr>
          <w:rFonts w:ascii="宋体" w:eastAsia="宋体" w:cs="宋体"/>
          <w:bCs/>
          <w:sz w:val="36"/>
          <w:szCs w:val="36"/>
          <w:highlight w:val="none"/>
        </w:rPr>
        <w:sectPr>
          <w:footerReference r:id="rId7" w:type="first"/>
          <w:footerReference r:id="rId6" w:type="default"/>
          <w:pgSz w:w="11906" w:h="16838"/>
          <w:pgMar w:top="1304" w:right="1361" w:bottom="1304" w:left="1361" w:header="851" w:footer="992" w:gutter="0"/>
          <w:pgNumType w:fmt="decimal" w:start="1"/>
          <w:cols w:space="720" w:num="1"/>
          <w:titlePg/>
          <w:docGrid w:type="lines" w:linePitch="312" w:charSpace="0"/>
        </w:sectPr>
      </w:pPr>
    </w:p>
    <w:p>
      <w:pPr>
        <w:pStyle w:val="3"/>
        <w:keepNext w:val="0"/>
        <w:keepLines/>
        <w:pageBreakBefore/>
        <w:spacing w:before="156" w:beforeLines="50" w:after="156" w:afterLines="50" w:line="360" w:lineRule="auto"/>
        <w:jc w:val="center"/>
        <w:rPr>
          <w:rFonts w:ascii="宋体" w:eastAsia="宋体" w:cs="宋体"/>
          <w:bCs/>
          <w:sz w:val="36"/>
          <w:szCs w:val="36"/>
          <w:highlight w:val="none"/>
        </w:rPr>
      </w:pPr>
      <w:bookmarkStart w:id="12" w:name="_Toc25304"/>
      <w:bookmarkStart w:id="13" w:name="_Toc423973071"/>
      <w:r>
        <w:rPr>
          <w:rFonts w:hint="eastAsia" w:asci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sz w:val="36"/>
          <w:szCs w:val="36"/>
          <w:highlight w:val="none"/>
        </w:rPr>
        <w:t>竞争性磋商公告</w:t>
      </w:r>
      <w:bookmarkEnd w:id="8"/>
      <w:bookmarkEnd w:id="12"/>
      <w:bookmarkEnd w:id="1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color w:val="auto"/>
          <w:sz w:val="24"/>
          <w:szCs w:val="24"/>
          <w:highlight w:val="none"/>
        </w:rPr>
      </w:pPr>
      <w:bookmarkStart w:id="14" w:name="_Toc2929"/>
      <w:bookmarkStart w:id="15" w:name="_Toc389582035"/>
      <w:bookmarkStart w:id="16" w:name="_Toc423973072"/>
      <w:bookmarkStart w:id="17" w:name="_Toc29249"/>
      <w:r>
        <w:rPr>
          <w:rStyle w:val="24"/>
          <w:rFonts w:hint="eastAsia" w:ascii="宋体" w:hAnsi="宋体" w:eastAsia="宋体" w:cs="宋体"/>
          <w:b/>
          <w:bCs/>
          <w:i w:val="0"/>
          <w:iCs w:val="0"/>
          <w:caps w:val="0"/>
          <w:color w:val="auto"/>
          <w:spacing w:val="0"/>
          <w:sz w:val="24"/>
          <w:szCs w:val="24"/>
          <w:highlight w:val="none"/>
          <w:shd w:val="clear" w:fill="FFFFFF"/>
        </w:rPr>
        <w:t>项目概况</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宁陕县广货街镇漫沟民宿区基础配套项目采购项目的潜在供应商应在全国公共资源交易平台（陕西省·安康市）获取采购文件，并于2023年03月24日 14时00分（北京时间）前提交响应文件。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4"/>
          <w:rFonts w:hint="eastAsia" w:ascii="宋体" w:hAnsi="宋体" w:eastAsia="宋体" w:cs="宋体"/>
          <w:b/>
          <w:bCs/>
          <w:i w:val="0"/>
          <w:iCs w:val="0"/>
          <w:caps w:val="0"/>
          <w:color w:val="auto"/>
          <w:spacing w:val="0"/>
          <w:sz w:val="24"/>
          <w:szCs w:val="24"/>
          <w:highlight w:val="none"/>
          <w:shd w:val="clear" w:fill="FFFFFF"/>
        </w:rPr>
      </w:pPr>
      <w:r>
        <w:rPr>
          <w:rStyle w:val="24"/>
          <w:rFonts w:hint="eastAsia" w:ascii="宋体" w:hAnsi="宋体" w:eastAsia="宋体" w:cs="宋体"/>
          <w:b/>
          <w:bCs/>
          <w:i w:val="0"/>
          <w:iCs w:val="0"/>
          <w:caps w:val="0"/>
          <w:color w:val="auto"/>
          <w:spacing w:val="0"/>
          <w:sz w:val="24"/>
          <w:szCs w:val="24"/>
          <w:highlight w:val="none"/>
          <w:shd w:val="clear" w:fill="FFFFFF"/>
        </w:rPr>
        <w:t>一、项目基本情况</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项目编号：SXZCZB2023-ZCCS-0312</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项目名称：宁陕县广货街镇漫沟民宿区基础配套项目</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采购方式：竞争性磋商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预算金额：2,000,000.00元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采购需求：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合同包1(宁陕县广货街镇漫沟民宿区基础配套项目):</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合同包预算金额：2,000,000.00元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合同包最高限价：1,858,216.74元</w:t>
      </w:r>
    </w:p>
    <w:tbl>
      <w:tblPr>
        <w:tblStyle w:val="21"/>
        <w:tblW w:w="942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81"/>
        <w:gridCol w:w="481"/>
        <w:gridCol w:w="3661"/>
        <w:gridCol w:w="722"/>
        <w:gridCol w:w="722"/>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3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7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7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其他建筑工程</w:t>
            </w:r>
          </w:p>
        </w:tc>
        <w:tc>
          <w:tcPr>
            <w:tcW w:w="3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1.修建平板桥1座：长度25米，宽度4米；2.新建浆砌石河堤防护挡墙长度100米，高度为5米，混凝土基础，浆砌石挡墙。3.新建浆砌石内挡墙长度50米，高度3米；4.新建50立方米蓄水池1个，铺设管道等</w:t>
            </w:r>
          </w:p>
        </w:tc>
        <w:tc>
          <w:tcPr>
            <w:tcW w:w="7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7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2,000,000.00</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1,858,216.74</w:t>
            </w:r>
          </w:p>
        </w:tc>
      </w:tr>
    </w:tbl>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合同履行期限：</w:t>
      </w:r>
      <w:r>
        <w:rPr>
          <w:rFonts w:hint="eastAsia" w:ascii="宋体" w:hAnsi="宋体" w:eastAsia="宋体" w:cs="宋体"/>
          <w:i w:val="0"/>
          <w:iCs w:val="0"/>
          <w:caps w:val="0"/>
          <w:color w:val="auto"/>
          <w:spacing w:val="0"/>
          <w:sz w:val="24"/>
          <w:szCs w:val="24"/>
          <w:highlight w:val="none"/>
          <w:shd w:val="clear" w:fill="FFFFFF"/>
          <w:lang w:val="en-US" w:eastAsia="zh-CN"/>
        </w:rPr>
        <w:t>4个月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4"/>
          <w:rFonts w:hint="eastAsia" w:ascii="宋体" w:hAnsi="宋体" w:eastAsia="宋体" w:cs="宋体"/>
          <w:b/>
          <w:bCs/>
          <w:i w:val="0"/>
          <w:iCs w:val="0"/>
          <w:caps w:val="0"/>
          <w:color w:val="auto"/>
          <w:spacing w:val="0"/>
          <w:sz w:val="24"/>
          <w:szCs w:val="24"/>
          <w:highlight w:val="none"/>
          <w:shd w:val="clear" w:fill="FFFFFF"/>
        </w:rPr>
      </w:pPr>
      <w:r>
        <w:rPr>
          <w:rStyle w:val="24"/>
          <w:rFonts w:hint="eastAsia" w:ascii="宋体" w:hAnsi="宋体" w:eastAsia="宋体" w:cs="宋体"/>
          <w:b/>
          <w:bCs/>
          <w:i w:val="0"/>
          <w:iCs w:val="0"/>
          <w:caps w:val="0"/>
          <w:color w:val="auto"/>
          <w:spacing w:val="0"/>
          <w:sz w:val="24"/>
          <w:szCs w:val="24"/>
          <w:highlight w:val="none"/>
          <w:shd w:val="clear" w:fill="FFFFFF"/>
        </w:rPr>
        <w:t>二、申请人的资格要求：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2.落实政府采购政策需满足的资格要求：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合同包1(宁陕县广货街镇漫沟民宿区基础配套项目)落实政府采购政策需满足的资格要求如下: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依据《中华人民共和国政府采购法》和《中华人民共和国政府采购实施条例》的有关规定，落实政府采购“优先购买节能环保产品、扶持小微企业、监狱企业、福利企业”等相关政策。</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（1）《财政部国家发展改革委关于印发〈节能产品政府采购实施意见〉的通知》（财库〔2004〕185号）；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（2）《国务院办公厅关于建立政府强制采购节能产品制度的通知》（国办发〔2007〕51号）；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（3）《财政部环保总局关于环境标志产品政府采购实施的意见》（财库〔2006〕90号）；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（4）《政府采购促进中小企业发展暂行办法》（财库【2020】46号）；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（5）《财政部司法部关于政府采购支持监狱企业发展有关问题的通知》（财库〔2014〕68号）；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（6）《三部门联合发布关于促进残疾人就业政府采购政策的通知》（财库〔2017〕141号）；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（7）《财政部发展改革委生态环境部市场监管总局关于调整优化节能产品、环境标志产品政府采购执行机制的通知》（财库〔2019〕9号）；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（8）《财政部国务院扶贫办关于运用政府采购政策支持脱贫攻坚的通知》（财库〔2019〕27号）；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（9）《陕西省中小企业政府采购信用融资办法》（陕财办采〔2018〕23号）等。</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3.本项目的特定资格要求：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合同包1(宁陕县广货街镇漫沟民宿区基础配套项目)特定资格要求如下: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1、提供合格有效的法人或者其他组织的营业执照等证明文件，自然人的身份证明；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2、提供法定代表人授权书（附法定代表人、被授权人身份证复印件）及被授权人身份证原件（法定代表人直接参加投标，须提供法定代表人身份证明及身份证原件）；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财务状况：提供2021或2022年度的财务审计报告（至少包括资产负债表和利润表，成立时间至提交磋商响应文件截止时间不足一年的可提供成立后任意时段的资产负债表），或开标时间前六个月内银行出具的资信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4、税收缴纳证明：提供磋商截止日前近一年内任意一个月的纳税证明或完税证明（任意税种），依法免税的单位应提供相关证明材料；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6、供应商应通过“信用中国”网站(www.creditchina.gov.cn)、中国政府采购网(www.ccgp.gov.cn)查询相关主体信用记录；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供应商须具备具备公路工程施工总承包三级（含三级）或市政公用工程施工总承包三级（含三级）及以上资质；拟派项目经理具备公路工程二级或市政公用工程二级及以上注册建造师资格和安全生产考核合格B证，且无在建工程，提供无在建承诺书；</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8、提供具有履行本合同所必需的设备和专业技术能力的说明及承诺书；</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9、参加政府采购活动前3年内，在经营活动中没有重大违法记录的书面声明；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10、本项目不接受联合体磋商。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4"/>
          <w:rFonts w:hint="eastAsia" w:ascii="宋体" w:hAnsi="宋体" w:eastAsia="宋体" w:cs="宋体"/>
          <w:b/>
          <w:bCs/>
          <w:i w:val="0"/>
          <w:iCs w:val="0"/>
          <w:caps w:val="0"/>
          <w:color w:val="auto"/>
          <w:spacing w:val="0"/>
          <w:sz w:val="24"/>
          <w:szCs w:val="24"/>
          <w:highlight w:val="none"/>
          <w:shd w:val="clear" w:fill="FFFFFF"/>
        </w:rPr>
      </w:pPr>
      <w:r>
        <w:rPr>
          <w:rStyle w:val="24"/>
          <w:rFonts w:hint="eastAsia" w:ascii="宋体" w:hAnsi="宋体" w:eastAsia="宋体" w:cs="宋体"/>
          <w:b/>
          <w:bCs/>
          <w:i w:val="0"/>
          <w:iCs w:val="0"/>
          <w:caps w:val="0"/>
          <w:color w:val="auto"/>
          <w:spacing w:val="0"/>
          <w:sz w:val="24"/>
          <w:szCs w:val="24"/>
          <w:highlight w:val="none"/>
          <w:shd w:val="clear" w:fill="FFFFFF"/>
        </w:rPr>
        <w:t>三、获取采购文件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时间：2023年03月14日至2023年03月20日，每天上午09:00:00至12:00:00，下午14:00:00至17:00:00（北京时间）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途径：全国公共资源交易平台（陕西省·安康市）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方式：现场获取</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售价：500元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4"/>
          <w:rFonts w:hint="eastAsia" w:ascii="宋体" w:hAnsi="宋体" w:eastAsia="宋体" w:cs="宋体"/>
          <w:b/>
          <w:bCs/>
          <w:i w:val="0"/>
          <w:iCs w:val="0"/>
          <w:caps w:val="0"/>
          <w:color w:val="auto"/>
          <w:spacing w:val="0"/>
          <w:sz w:val="24"/>
          <w:szCs w:val="24"/>
          <w:highlight w:val="none"/>
          <w:shd w:val="clear" w:fill="FFFFFF"/>
        </w:rPr>
      </w:pPr>
      <w:r>
        <w:rPr>
          <w:rStyle w:val="24"/>
          <w:rFonts w:hint="eastAsia" w:ascii="宋体" w:hAnsi="宋体" w:eastAsia="宋体" w:cs="宋体"/>
          <w:b/>
          <w:bCs/>
          <w:i w:val="0"/>
          <w:iCs w:val="0"/>
          <w:caps w:val="0"/>
          <w:color w:val="auto"/>
          <w:spacing w:val="0"/>
          <w:sz w:val="24"/>
          <w:szCs w:val="24"/>
          <w:highlight w:val="none"/>
          <w:shd w:val="clear" w:fill="FFFFFF"/>
        </w:rPr>
        <w:t>四、响应文件提交</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截止时间：2023年03月24日 14时00分00秒（北京时间）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地点：安康市公共资源交易中心407开标室（安康市汉滨区香溪路8号）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4"/>
          <w:rFonts w:hint="eastAsia" w:ascii="宋体" w:hAnsi="宋体" w:eastAsia="宋体" w:cs="宋体"/>
          <w:b/>
          <w:bCs/>
          <w:i w:val="0"/>
          <w:iCs w:val="0"/>
          <w:caps w:val="0"/>
          <w:color w:val="auto"/>
          <w:spacing w:val="0"/>
          <w:sz w:val="24"/>
          <w:szCs w:val="24"/>
          <w:highlight w:val="none"/>
          <w:shd w:val="clear" w:fill="FFFFFF"/>
        </w:rPr>
      </w:pPr>
      <w:r>
        <w:rPr>
          <w:rStyle w:val="24"/>
          <w:rFonts w:hint="eastAsia" w:ascii="宋体" w:hAnsi="宋体" w:eastAsia="宋体" w:cs="宋体"/>
          <w:b/>
          <w:bCs/>
          <w:i w:val="0"/>
          <w:iCs w:val="0"/>
          <w:caps w:val="0"/>
          <w:color w:val="auto"/>
          <w:spacing w:val="0"/>
          <w:sz w:val="24"/>
          <w:szCs w:val="24"/>
          <w:highlight w:val="none"/>
          <w:shd w:val="clear" w:fill="FFFFFF"/>
        </w:rPr>
        <w:t>五、开启</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时间：2023年03月24日 14时00分00秒（北京时间）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地点：安康市公共资源交易中心407开标室（安康市汉滨区香溪路8号）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4"/>
          <w:rFonts w:hint="eastAsia" w:ascii="宋体" w:hAnsi="宋体" w:eastAsia="宋体" w:cs="宋体"/>
          <w:b/>
          <w:bCs/>
          <w:i w:val="0"/>
          <w:iCs w:val="0"/>
          <w:caps w:val="0"/>
          <w:color w:val="auto"/>
          <w:spacing w:val="0"/>
          <w:sz w:val="24"/>
          <w:szCs w:val="24"/>
          <w:highlight w:val="none"/>
          <w:shd w:val="clear" w:fill="FFFFFF"/>
        </w:rPr>
      </w:pPr>
      <w:r>
        <w:rPr>
          <w:rStyle w:val="24"/>
          <w:rFonts w:hint="eastAsia" w:ascii="宋体" w:hAnsi="宋体" w:eastAsia="宋体" w:cs="宋体"/>
          <w:b/>
          <w:bCs/>
          <w:i w:val="0"/>
          <w:iCs w:val="0"/>
          <w:caps w:val="0"/>
          <w:color w:val="auto"/>
          <w:spacing w:val="0"/>
          <w:sz w:val="24"/>
          <w:szCs w:val="24"/>
          <w:highlight w:val="none"/>
          <w:shd w:val="clear" w:fill="FFFFFF"/>
        </w:rPr>
        <w:t>六、公告期限</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自本公告发布之日起3个工作日。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4"/>
          <w:rFonts w:hint="eastAsia" w:ascii="宋体" w:hAnsi="宋体" w:eastAsia="宋体" w:cs="宋体"/>
          <w:b/>
          <w:bCs/>
          <w:i w:val="0"/>
          <w:iCs w:val="0"/>
          <w:caps w:val="0"/>
          <w:color w:val="auto"/>
          <w:spacing w:val="0"/>
          <w:sz w:val="24"/>
          <w:szCs w:val="24"/>
          <w:highlight w:val="none"/>
          <w:shd w:val="clear" w:fill="FFFFFF"/>
        </w:rPr>
      </w:pPr>
      <w:r>
        <w:rPr>
          <w:rStyle w:val="24"/>
          <w:rFonts w:hint="eastAsia" w:ascii="宋体" w:hAnsi="宋体" w:eastAsia="宋体" w:cs="宋体"/>
          <w:b/>
          <w:bCs/>
          <w:i w:val="0"/>
          <w:iCs w:val="0"/>
          <w:caps w:val="0"/>
          <w:color w:val="auto"/>
          <w:spacing w:val="0"/>
          <w:sz w:val="24"/>
          <w:szCs w:val="24"/>
          <w:highlight w:val="none"/>
          <w:shd w:val="clear" w:fill="FFFFFF"/>
        </w:rPr>
        <w:t>七、其他补充事宜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Fonts w:hint="eastAsia" w:ascii="宋体" w:hAnsi="宋体" w:eastAsia="宋体" w:cs="宋体"/>
          <w:color w:val="auto"/>
          <w:sz w:val="24"/>
          <w:szCs w:val="24"/>
          <w:highlight w:val="none"/>
        </w:rPr>
      </w:pPr>
      <w:r>
        <w:rPr>
          <w:rStyle w:val="24"/>
          <w:rFonts w:hint="eastAsia" w:ascii="宋体" w:hAnsi="宋体" w:eastAsia="宋体" w:cs="宋体"/>
          <w:b/>
          <w:bCs/>
          <w:i w:val="0"/>
          <w:iCs w:val="0"/>
          <w:caps w:val="0"/>
          <w:color w:val="auto"/>
          <w:spacing w:val="0"/>
          <w:sz w:val="24"/>
          <w:szCs w:val="24"/>
          <w:highlight w:val="none"/>
          <w:shd w:val="clear" w:fill="FFFFFF"/>
        </w:rPr>
        <w:t>1、购买磋商文件请携带单位介绍信原件，经办人身份证原件及加盖供应商公章的身份证复印件。2、供应商于文件发售时间内登录全国公共资源交易平台（陕西省·安康市）系统（http://aq.sxggzyjy.cn/），选择本项目点击“我要投标”，参与投标活动；网上报名成功后，须至采购代理机构进行报名确认，同时提供报名回执单、有效的单位介绍信、被介绍人身份证原件及复印件（加盖供应商鲜章），否则无法完成后续流程；3、供应商须在获取磋商文件时限内登录全国公共资源交易平台（陕西省·安康市）系统，直接下载磋商文件。逾期下载通道将关闭，未及时下载招标文件将会影响后续开评标活动；4.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5.电子投标文件技术支持：4009280095、4009980000；6.本项目专门面向中小企业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4"/>
          <w:rFonts w:hint="eastAsia" w:ascii="宋体" w:hAnsi="宋体" w:eastAsia="宋体" w:cs="宋体"/>
          <w:b/>
          <w:bCs/>
          <w:i w:val="0"/>
          <w:iCs w:val="0"/>
          <w:caps w:val="0"/>
          <w:color w:val="auto"/>
          <w:spacing w:val="0"/>
          <w:sz w:val="24"/>
          <w:szCs w:val="24"/>
          <w:highlight w:val="none"/>
          <w:shd w:val="clear" w:fill="FFFFFF"/>
        </w:rPr>
      </w:pPr>
      <w:r>
        <w:rPr>
          <w:rStyle w:val="24"/>
          <w:rFonts w:hint="eastAsia" w:ascii="宋体" w:hAnsi="宋体" w:eastAsia="宋体" w:cs="宋体"/>
          <w:b/>
          <w:bCs/>
          <w:i w:val="0"/>
          <w:iCs w:val="0"/>
          <w:caps w:val="0"/>
          <w:color w:val="auto"/>
          <w:spacing w:val="0"/>
          <w:sz w:val="24"/>
          <w:szCs w:val="24"/>
          <w:highlight w:val="none"/>
          <w:shd w:val="clear" w:fill="FFFFFF"/>
        </w:rPr>
        <w:t>八、对本次招标提出询问，请按以下方式联系。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1.采购人信息</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名称：宁陕县广货街镇人民政府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地址：宁陕县广货街镇沙沟村88号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联系方式：0915-6914212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2.采购代理机构信息</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名称：陕西至诚招标咨询有限公司</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地址：陕西省西安市经济技术开发区未央路171-1 号银池道拉斯财富中心21楼</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联系方式：029-88219779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项目联系人：康乐</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电话：029-88219779</w:t>
      </w:r>
    </w:p>
    <w:p>
      <w:pPr>
        <w:outlineLvl w:val="9"/>
        <w:rPr>
          <w:rFonts w:hint="eastAsia" w:ascii="宋体" w:hAnsi="宋体" w:eastAsia="宋体" w:cs="宋体"/>
          <w:i w:val="0"/>
          <w:iCs w:val="0"/>
          <w:caps w:val="0"/>
          <w:color w:val="auto"/>
          <w:spacing w:val="0"/>
          <w:sz w:val="24"/>
          <w:szCs w:val="24"/>
          <w:highlight w:val="none"/>
          <w:shd w:val="clear" w:fill="FFFFFF"/>
        </w:rPr>
      </w:pPr>
    </w:p>
    <w:p>
      <w:pPr>
        <w:outlineLvl w:val="9"/>
        <w:rPr>
          <w:rFonts w:hint="eastAsia" w:ascii="宋体" w:hAnsi="宋体" w:eastAsia="宋体" w:cs="宋体"/>
          <w:i w:val="0"/>
          <w:iCs w:val="0"/>
          <w:caps w:val="0"/>
          <w:color w:val="auto"/>
          <w:spacing w:val="0"/>
          <w:sz w:val="24"/>
          <w:szCs w:val="24"/>
          <w:highlight w:val="none"/>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right"/>
        <w:textAlignment w:val="auto"/>
        <w:outlineLvl w:val="9"/>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陕西至诚招标咨询有限公司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right"/>
        <w:textAlignment w:val="auto"/>
        <w:outlineLvl w:val="9"/>
        <w:rPr>
          <w:rFonts w:hint="default"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2023年03月13日</w:t>
      </w:r>
    </w:p>
    <w:p>
      <w:pPr>
        <w:spacing w:line="348" w:lineRule="auto"/>
        <w:ind w:right="119"/>
        <w:jc w:val="center"/>
        <w:outlineLvl w:val="0"/>
        <w:rPr>
          <w:rFonts w:hAnsi="宋体" w:cs="宋体"/>
          <w:bCs/>
          <w:sz w:val="36"/>
          <w:szCs w:val="36"/>
          <w:highlight w:val="none"/>
        </w:rPr>
      </w:pPr>
      <w:r>
        <w:rPr>
          <w:rFonts w:hint="eastAsia" w:hAnsi="宋体" w:cs="宋体"/>
          <w:bCs/>
          <w:sz w:val="36"/>
          <w:szCs w:val="36"/>
          <w:highlight w:val="none"/>
        </w:rPr>
        <w:br w:type="page"/>
      </w:r>
      <w:bookmarkStart w:id="18" w:name="_Toc31456"/>
      <w:r>
        <w:rPr>
          <w:rFonts w:hint="eastAsia" w:hAnsi="宋体" w:cs="宋体"/>
          <w:b/>
          <w:bCs/>
          <w:kern w:val="2"/>
          <w:sz w:val="36"/>
          <w:szCs w:val="36"/>
          <w:highlight w:val="none"/>
        </w:rPr>
        <w:t xml:space="preserve">第二章  </w:t>
      </w:r>
      <w:bookmarkEnd w:id="14"/>
      <w:bookmarkEnd w:id="15"/>
      <w:bookmarkStart w:id="19" w:name="OLE_LINK3"/>
      <w:r>
        <w:rPr>
          <w:rFonts w:hint="eastAsia" w:hAnsi="宋体" w:cs="宋体"/>
          <w:b/>
          <w:bCs/>
          <w:kern w:val="2"/>
          <w:sz w:val="36"/>
          <w:szCs w:val="36"/>
          <w:highlight w:val="none"/>
        </w:rPr>
        <w:t>供应商须知</w:t>
      </w:r>
      <w:bookmarkEnd w:id="16"/>
      <w:bookmarkEnd w:id="17"/>
      <w:bookmarkEnd w:id="18"/>
      <w:bookmarkEnd w:id="19"/>
    </w:p>
    <w:p>
      <w:pPr>
        <w:pStyle w:val="4"/>
        <w:widowControl w:val="0"/>
        <w:spacing w:before="120" w:after="120" w:line="360" w:lineRule="auto"/>
        <w:ind w:left="0"/>
        <w:jc w:val="center"/>
        <w:rPr>
          <w:rFonts w:ascii="宋体" w:hAnsi="宋体" w:cs="宋体"/>
          <w:sz w:val="32"/>
          <w:highlight w:val="none"/>
        </w:rPr>
      </w:pPr>
      <w:bookmarkStart w:id="20" w:name="_Toc423973073"/>
      <w:bookmarkStart w:id="21" w:name="OLE_LINK2"/>
      <w:bookmarkStart w:id="22" w:name="_Toc20192"/>
      <w:bookmarkStart w:id="23" w:name="_Toc19364"/>
      <w:r>
        <w:rPr>
          <w:rFonts w:hint="eastAsia" w:ascii="宋体" w:hAnsi="宋体" w:cs="宋体"/>
          <w:sz w:val="32"/>
          <w:highlight w:val="none"/>
        </w:rPr>
        <w:t>供应商须知前附表</w:t>
      </w:r>
      <w:bookmarkEnd w:id="20"/>
      <w:bookmarkEnd w:id="21"/>
      <w:bookmarkEnd w:id="22"/>
      <w:bookmarkEnd w:id="23"/>
    </w:p>
    <w:p>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tbl>
      <w:tblPr>
        <w:tblStyle w:val="21"/>
        <w:tblW w:w="90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5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pPr>
              <w:spacing w:before="156" w:beforeLines="50" w:line="360" w:lineRule="auto"/>
              <w:jc w:val="center"/>
              <w:rPr>
                <w:rFonts w:hAnsi="宋体" w:cs="宋体"/>
                <w:b/>
                <w:szCs w:val="24"/>
                <w:highlight w:val="none"/>
              </w:rPr>
            </w:pPr>
            <w:r>
              <w:rPr>
                <w:rFonts w:hint="eastAsia" w:hAnsi="宋体" w:cs="宋体"/>
                <w:b/>
                <w:szCs w:val="24"/>
                <w:highlight w:val="none"/>
              </w:rPr>
              <w:t>序号</w:t>
            </w:r>
          </w:p>
        </w:tc>
        <w:tc>
          <w:tcPr>
            <w:tcW w:w="951" w:type="dxa"/>
            <w:vAlign w:val="center"/>
          </w:tcPr>
          <w:p>
            <w:pPr>
              <w:spacing w:before="156" w:beforeLines="50" w:line="360" w:lineRule="auto"/>
              <w:jc w:val="center"/>
              <w:rPr>
                <w:rFonts w:hAnsi="宋体" w:cs="宋体"/>
                <w:b/>
                <w:szCs w:val="24"/>
                <w:highlight w:val="none"/>
              </w:rPr>
            </w:pPr>
            <w:r>
              <w:rPr>
                <w:rFonts w:hint="eastAsia" w:hAnsi="宋体" w:cs="宋体"/>
                <w:b/>
                <w:szCs w:val="24"/>
                <w:highlight w:val="none"/>
              </w:rPr>
              <w:t>条款号</w:t>
            </w:r>
          </w:p>
        </w:tc>
        <w:tc>
          <w:tcPr>
            <w:tcW w:w="7542" w:type="dxa"/>
          </w:tcPr>
          <w:p>
            <w:pPr>
              <w:spacing w:before="156" w:beforeLines="50" w:line="360" w:lineRule="auto"/>
              <w:jc w:val="center"/>
              <w:rPr>
                <w:rFonts w:hAnsi="宋体" w:cs="宋体"/>
                <w:b/>
                <w:szCs w:val="24"/>
                <w:highlight w:val="none"/>
              </w:rPr>
            </w:pPr>
            <w:r>
              <w:rPr>
                <w:rFonts w:hint="eastAsia" w:hAnsi="宋体" w:cs="宋体"/>
                <w:b/>
                <w:szCs w:val="24"/>
                <w:highlight w:val="none"/>
              </w:rPr>
              <w:t xml:space="preserve">编 列 内 容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pPr>
              <w:spacing w:line="360" w:lineRule="auto"/>
              <w:jc w:val="center"/>
              <w:rPr>
                <w:rFonts w:hAnsi="宋体" w:cs="宋体"/>
                <w:szCs w:val="24"/>
                <w:highlight w:val="none"/>
              </w:rPr>
            </w:pPr>
            <w:r>
              <w:rPr>
                <w:rFonts w:hint="eastAsia" w:hAnsi="宋体" w:cs="宋体"/>
                <w:szCs w:val="24"/>
                <w:highlight w:val="none"/>
              </w:rPr>
              <w:t>1</w:t>
            </w:r>
          </w:p>
        </w:tc>
        <w:tc>
          <w:tcPr>
            <w:tcW w:w="951" w:type="dxa"/>
            <w:vAlign w:val="center"/>
          </w:tcPr>
          <w:p>
            <w:pPr>
              <w:spacing w:line="360" w:lineRule="auto"/>
              <w:jc w:val="center"/>
              <w:rPr>
                <w:rFonts w:hAnsi="宋体" w:cs="宋体"/>
                <w:szCs w:val="24"/>
                <w:highlight w:val="none"/>
              </w:rPr>
            </w:pPr>
            <w:r>
              <w:rPr>
                <w:rFonts w:hint="eastAsia" w:hAnsi="宋体" w:cs="宋体"/>
                <w:szCs w:val="24"/>
                <w:highlight w:val="none"/>
              </w:rPr>
              <w:t>2.3</w:t>
            </w:r>
          </w:p>
        </w:tc>
        <w:tc>
          <w:tcPr>
            <w:tcW w:w="7542" w:type="dxa"/>
          </w:tcPr>
          <w:p>
            <w:pPr>
              <w:spacing w:line="360" w:lineRule="auto"/>
              <w:rPr>
                <w:rFonts w:hAnsi="宋体" w:cs="宋体"/>
                <w:szCs w:val="24"/>
                <w:highlight w:val="none"/>
              </w:rPr>
            </w:pPr>
            <w:r>
              <w:rPr>
                <w:rFonts w:hint="eastAsia" w:hAnsi="宋体" w:cs="宋体"/>
                <w:szCs w:val="24"/>
                <w:highlight w:val="none"/>
              </w:rPr>
              <w:t>采购代理机构：陕西至诚招标咨询有限公司</w:t>
            </w:r>
          </w:p>
          <w:p>
            <w:pPr>
              <w:spacing w:line="360" w:lineRule="auto"/>
              <w:rPr>
                <w:rFonts w:hint="eastAsia" w:hAnsi="宋体" w:cs="宋体"/>
                <w:szCs w:val="24"/>
                <w:highlight w:val="none"/>
                <w:lang w:eastAsia="zh-CN"/>
              </w:rPr>
            </w:pPr>
            <w:r>
              <w:rPr>
                <w:rFonts w:hint="eastAsia" w:hAnsi="宋体" w:cs="宋体"/>
                <w:szCs w:val="24"/>
                <w:highlight w:val="none"/>
              </w:rPr>
              <w:t>地        址：</w:t>
            </w:r>
            <w:r>
              <w:rPr>
                <w:rFonts w:hint="eastAsia" w:hAnsi="宋体" w:cs="宋体"/>
                <w:szCs w:val="24"/>
                <w:highlight w:val="none"/>
                <w:lang w:eastAsia="zh-CN"/>
              </w:rPr>
              <w:t>陕西省西安市经济技术开发区未央路171-1 号银池道拉斯财富中心21楼</w:t>
            </w:r>
          </w:p>
          <w:p>
            <w:pPr>
              <w:spacing w:line="360" w:lineRule="auto"/>
              <w:rPr>
                <w:rFonts w:hint="default" w:hAnsi="宋体" w:eastAsia="宋体" w:cs="宋体"/>
                <w:szCs w:val="24"/>
                <w:highlight w:val="none"/>
                <w:lang w:val="en-US" w:eastAsia="zh-CN"/>
              </w:rPr>
            </w:pPr>
            <w:r>
              <w:rPr>
                <w:rFonts w:hint="eastAsia" w:hAnsi="宋体" w:cs="宋体"/>
                <w:szCs w:val="24"/>
                <w:highlight w:val="none"/>
              </w:rPr>
              <w:t>邮        编：7100</w:t>
            </w:r>
            <w:r>
              <w:rPr>
                <w:rFonts w:hint="eastAsia" w:hAnsi="宋体" w:cs="宋体"/>
                <w:szCs w:val="24"/>
                <w:highlight w:val="none"/>
                <w:lang w:val="en-US" w:eastAsia="zh-CN"/>
              </w:rPr>
              <w:t>21</w:t>
            </w:r>
          </w:p>
          <w:p>
            <w:pPr>
              <w:spacing w:line="360" w:lineRule="auto"/>
              <w:rPr>
                <w:rFonts w:hint="default" w:hAnsi="宋体" w:eastAsia="宋体" w:cs="宋体"/>
                <w:szCs w:val="24"/>
                <w:highlight w:val="none"/>
                <w:lang w:val="en-US" w:eastAsia="zh-CN"/>
              </w:rPr>
            </w:pPr>
            <w:r>
              <w:rPr>
                <w:rFonts w:hint="eastAsia" w:hAnsi="宋体" w:cs="宋体"/>
                <w:szCs w:val="24"/>
                <w:highlight w:val="none"/>
              </w:rPr>
              <w:t>电        话：029-88219779</w:t>
            </w:r>
          </w:p>
          <w:p>
            <w:pPr>
              <w:spacing w:line="360" w:lineRule="auto"/>
              <w:rPr>
                <w:rFonts w:hAnsi="宋体" w:cs="宋体"/>
                <w:szCs w:val="24"/>
                <w:highlight w:val="none"/>
              </w:rPr>
            </w:pPr>
            <w:r>
              <w:rPr>
                <w:rFonts w:hint="eastAsia"/>
                <w:szCs w:val="24"/>
                <w:highlight w:val="none"/>
              </w:rPr>
              <w:t>邮        箱：sxzczbzxyxgs@163.com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pPr>
              <w:spacing w:line="360" w:lineRule="auto"/>
              <w:jc w:val="center"/>
              <w:rPr>
                <w:rFonts w:hAnsi="宋体" w:cs="宋体"/>
                <w:szCs w:val="24"/>
                <w:highlight w:val="none"/>
              </w:rPr>
            </w:pPr>
            <w:r>
              <w:rPr>
                <w:rFonts w:hint="eastAsia" w:hAnsi="宋体" w:cs="宋体"/>
                <w:szCs w:val="24"/>
                <w:highlight w:val="none"/>
              </w:rPr>
              <w:t>2</w:t>
            </w:r>
          </w:p>
        </w:tc>
        <w:tc>
          <w:tcPr>
            <w:tcW w:w="951" w:type="dxa"/>
            <w:vAlign w:val="center"/>
          </w:tcPr>
          <w:p>
            <w:pPr>
              <w:spacing w:line="360" w:lineRule="auto"/>
              <w:jc w:val="center"/>
              <w:rPr>
                <w:rFonts w:hint="eastAsia" w:hAnsi="宋体" w:eastAsia="宋体" w:cs="宋体"/>
                <w:szCs w:val="24"/>
                <w:highlight w:val="none"/>
                <w:lang w:val="en-US" w:eastAsia="zh-CN"/>
              </w:rPr>
            </w:pPr>
            <w:r>
              <w:rPr>
                <w:rFonts w:hint="eastAsia" w:hAnsi="宋体" w:cs="宋体"/>
                <w:szCs w:val="24"/>
                <w:highlight w:val="none"/>
              </w:rPr>
              <w:t>3.</w:t>
            </w:r>
            <w:r>
              <w:rPr>
                <w:rFonts w:hint="eastAsia" w:hAnsi="宋体" w:cs="宋体"/>
                <w:szCs w:val="24"/>
                <w:highlight w:val="none"/>
                <w:lang w:val="en-US" w:eastAsia="zh-CN"/>
              </w:rPr>
              <w:t>5</w:t>
            </w:r>
          </w:p>
        </w:tc>
        <w:tc>
          <w:tcPr>
            <w:tcW w:w="7542" w:type="dxa"/>
            <w:vAlign w:val="center"/>
          </w:tcPr>
          <w:p>
            <w:pPr>
              <w:spacing w:line="360" w:lineRule="auto"/>
              <w:rPr>
                <w:rFonts w:hAnsi="宋体" w:cs="宋体"/>
                <w:szCs w:val="24"/>
                <w:highlight w:val="none"/>
              </w:rPr>
            </w:pPr>
            <w:r>
              <w:rPr>
                <w:rFonts w:hint="eastAsia" w:hAnsi="宋体" w:cs="宋体"/>
                <w:szCs w:val="24"/>
                <w:highlight w:val="none"/>
              </w:rPr>
              <w:t>本项目不接受联合体磋商。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pPr>
              <w:spacing w:line="360" w:lineRule="auto"/>
              <w:jc w:val="center"/>
              <w:rPr>
                <w:rFonts w:hAnsi="宋体" w:cs="宋体"/>
                <w:szCs w:val="24"/>
                <w:highlight w:val="none"/>
              </w:rPr>
            </w:pPr>
            <w:r>
              <w:rPr>
                <w:rFonts w:hint="eastAsia" w:hAnsi="宋体" w:cs="宋体"/>
                <w:szCs w:val="24"/>
                <w:highlight w:val="none"/>
              </w:rPr>
              <w:t>3</w:t>
            </w:r>
          </w:p>
        </w:tc>
        <w:tc>
          <w:tcPr>
            <w:tcW w:w="951" w:type="dxa"/>
            <w:vAlign w:val="center"/>
          </w:tcPr>
          <w:p>
            <w:pPr>
              <w:spacing w:line="360" w:lineRule="auto"/>
              <w:jc w:val="center"/>
              <w:rPr>
                <w:rFonts w:hAnsi="宋体" w:cs="宋体"/>
                <w:szCs w:val="24"/>
                <w:highlight w:val="none"/>
              </w:rPr>
            </w:pPr>
            <w:r>
              <w:rPr>
                <w:rFonts w:hint="eastAsia" w:hAnsi="宋体" w:cs="宋体"/>
                <w:szCs w:val="24"/>
                <w:highlight w:val="none"/>
              </w:rPr>
              <w:t>9.2</w:t>
            </w:r>
          </w:p>
        </w:tc>
        <w:tc>
          <w:tcPr>
            <w:tcW w:w="7542" w:type="dxa"/>
            <w:vAlign w:val="center"/>
          </w:tcPr>
          <w:p>
            <w:pPr>
              <w:spacing w:line="360" w:lineRule="auto"/>
              <w:rPr>
                <w:rFonts w:hAnsi="宋体" w:cs="宋体"/>
                <w:szCs w:val="24"/>
                <w:highlight w:val="none"/>
              </w:rPr>
            </w:pPr>
            <w:r>
              <w:rPr>
                <w:rFonts w:hint="eastAsia" w:hAnsi="宋体" w:cs="宋体"/>
                <w:szCs w:val="24"/>
                <w:highlight w:val="none"/>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pPr>
              <w:spacing w:line="360" w:lineRule="auto"/>
              <w:jc w:val="center"/>
              <w:rPr>
                <w:rFonts w:hAnsi="宋体" w:cs="宋体"/>
                <w:szCs w:val="24"/>
                <w:highlight w:val="none"/>
              </w:rPr>
            </w:pPr>
            <w:r>
              <w:rPr>
                <w:rFonts w:hint="eastAsia" w:hAnsi="宋体" w:cs="宋体"/>
                <w:szCs w:val="24"/>
                <w:highlight w:val="none"/>
              </w:rPr>
              <w:t>4</w:t>
            </w:r>
          </w:p>
        </w:tc>
        <w:tc>
          <w:tcPr>
            <w:tcW w:w="951" w:type="dxa"/>
            <w:vAlign w:val="center"/>
          </w:tcPr>
          <w:p>
            <w:pPr>
              <w:spacing w:line="360" w:lineRule="auto"/>
              <w:jc w:val="center"/>
              <w:rPr>
                <w:rFonts w:hAnsi="宋体" w:cs="宋体"/>
                <w:szCs w:val="24"/>
                <w:highlight w:val="none"/>
              </w:rPr>
            </w:pPr>
            <w:r>
              <w:rPr>
                <w:rFonts w:hint="eastAsia" w:hAnsi="宋体" w:cs="宋体"/>
                <w:szCs w:val="24"/>
                <w:highlight w:val="none"/>
              </w:rPr>
              <w:t>9.3</w:t>
            </w:r>
          </w:p>
        </w:tc>
        <w:tc>
          <w:tcPr>
            <w:tcW w:w="7542" w:type="dxa"/>
            <w:vAlign w:val="center"/>
          </w:tcPr>
          <w:p>
            <w:pPr>
              <w:spacing w:line="360" w:lineRule="auto"/>
              <w:rPr>
                <w:rFonts w:hAnsi="宋体" w:cs="宋体"/>
                <w:szCs w:val="24"/>
                <w:highlight w:val="none"/>
              </w:rPr>
            </w:pPr>
            <w:r>
              <w:rPr>
                <w:rFonts w:hint="eastAsia" w:hAnsi="宋体" w:cs="宋体"/>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pPr>
              <w:spacing w:line="360" w:lineRule="auto"/>
              <w:jc w:val="center"/>
              <w:rPr>
                <w:rFonts w:hAnsi="宋体" w:cs="宋体"/>
                <w:szCs w:val="24"/>
                <w:highlight w:val="none"/>
              </w:rPr>
            </w:pPr>
            <w:r>
              <w:rPr>
                <w:rFonts w:hint="eastAsia" w:hAnsi="宋体" w:cs="宋体"/>
                <w:szCs w:val="24"/>
                <w:highlight w:val="none"/>
              </w:rPr>
              <w:t>5</w:t>
            </w:r>
          </w:p>
        </w:tc>
        <w:tc>
          <w:tcPr>
            <w:tcW w:w="951" w:type="dxa"/>
            <w:vAlign w:val="center"/>
          </w:tcPr>
          <w:p>
            <w:pPr>
              <w:spacing w:line="360" w:lineRule="auto"/>
              <w:jc w:val="center"/>
              <w:rPr>
                <w:rFonts w:hAnsi="宋体" w:cs="宋体"/>
                <w:szCs w:val="24"/>
                <w:highlight w:val="none"/>
              </w:rPr>
            </w:pPr>
            <w:r>
              <w:rPr>
                <w:rFonts w:hint="eastAsia" w:hAnsi="宋体" w:cs="宋体"/>
                <w:szCs w:val="24"/>
                <w:highlight w:val="none"/>
              </w:rPr>
              <w:t>11.1</w:t>
            </w:r>
          </w:p>
        </w:tc>
        <w:tc>
          <w:tcPr>
            <w:tcW w:w="7542" w:type="dxa"/>
          </w:tcPr>
          <w:p>
            <w:pPr>
              <w:spacing w:line="360" w:lineRule="auto"/>
              <w:ind w:firstLine="480"/>
              <w:rPr>
                <w:rFonts w:hint="default" w:hAnsi="宋体" w:cs="宋体"/>
                <w:szCs w:val="24"/>
                <w:highlight w:val="none"/>
                <w:lang w:val="en-US"/>
              </w:rPr>
            </w:pPr>
            <w:r>
              <w:rPr>
                <w:rFonts w:hint="eastAsia" w:hAnsi="宋体" w:cs="宋体"/>
                <w:szCs w:val="24"/>
                <w:highlight w:val="none"/>
              </w:rPr>
              <w:t>磋商报价：</w:t>
            </w:r>
            <w:r>
              <w:rPr>
                <w:rFonts w:hint="eastAsia" w:hAnsi="宋体" w:cs="宋体"/>
                <w:szCs w:val="24"/>
                <w:highlight w:val="none"/>
                <w:lang w:val="en-US" w:eastAsia="zh-CN"/>
              </w:rPr>
              <w:t>磋商报价为供应商在响应文件中提出的各项支付金额的总和，供应商磋商报价包括但不限于材料费、施工设备使用费、劳务费、管理费、利润、规费、税金、安全和文明施工措施、技术措施费、风险费、政策文件规定的各项费用和支出等。</w:t>
            </w:r>
          </w:p>
          <w:p>
            <w:pPr>
              <w:spacing w:line="360" w:lineRule="auto"/>
              <w:ind w:firstLine="48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供应商所报的价格应考虑到可能发生的所有与完成本项目相关服务及履行合同义务有关的一切费用，任何有选择的报价将不予接受，按无效磋商处理。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pPr>
              <w:spacing w:line="360" w:lineRule="auto"/>
              <w:jc w:val="center"/>
              <w:rPr>
                <w:rFonts w:hAnsi="宋体" w:cs="宋体"/>
                <w:szCs w:val="24"/>
                <w:highlight w:val="none"/>
              </w:rPr>
            </w:pPr>
            <w:r>
              <w:rPr>
                <w:rFonts w:hint="eastAsia" w:hAnsi="宋体" w:cs="宋体"/>
                <w:szCs w:val="24"/>
                <w:highlight w:val="none"/>
              </w:rPr>
              <w:t>6</w:t>
            </w:r>
          </w:p>
        </w:tc>
        <w:tc>
          <w:tcPr>
            <w:tcW w:w="951" w:type="dxa"/>
            <w:vAlign w:val="center"/>
          </w:tcPr>
          <w:p>
            <w:pPr>
              <w:spacing w:line="360" w:lineRule="auto"/>
              <w:jc w:val="center"/>
              <w:rPr>
                <w:rFonts w:hAnsi="宋体" w:cs="宋体"/>
                <w:szCs w:val="24"/>
                <w:highlight w:val="none"/>
              </w:rPr>
            </w:pPr>
            <w:r>
              <w:rPr>
                <w:rFonts w:hint="eastAsia" w:hAnsi="宋体" w:cs="宋体"/>
                <w:szCs w:val="24"/>
                <w:highlight w:val="none"/>
              </w:rPr>
              <w:t>12.1</w:t>
            </w:r>
          </w:p>
        </w:tc>
        <w:tc>
          <w:tcPr>
            <w:tcW w:w="7542" w:type="dxa"/>
          </w:tcPr>
          <w:p>
            <w:pPr>
              <w:spacing w:line="360" w:lineRule="auto"/>
              <w:ind w:firstLine="480"/>
              <w:rPr>
                <w:rFonts w:hint="eastAsia" w:hAnsi="宋体" w:cs="宋体"/>
                <w:szCs w:val="24"/>
                <w:highlight w:val="none"/>
                <w:lang w:val="en-US" w:eastAsia="zh-CN"/>
              </w:rPr>
            </w:pPr>
            <w:r>
              <w:rPr>
                <w:rFonts w:hint="eastAsia" w:hAnsi="宋体" w:cs="宋体"/>
                <w:szCs w:val="24"/>
                <w:highlight w:val="none"/>
                <w:lang w:val="en-US" w:eastAsia="zh-CN"/>
              </w:rPr>
              <w:t>特定资格证明文件：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1、提供合格有效的法人或者其他组织的营业执照等证明文件，自然人的身份证明；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2、提供法定代表人授权书（附法定代表人、被授权人身份证复印件）及被授权人身份证原件（法定代表人直接参加投标，须提供法定代表人身份证明及身份证原件）；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财务状况：提供2021或2022年度的财务审计报告（至少包括资产负债表和利润表，成立时间至提交磋商响应文件截止时间不足一年的可提供成立后任意时段的资产负债表），或开标时间前六个月内银行出具的资信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4、税收缴纳证明：提供磋商截止日前近一年内任意一个月的纳税证明或完税证明（任意税种），依法免税的单位应提供相关证明材料；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6、供应商应通过“信用中国”网站(www.creditchina.gov.cn)、中国政府采购网(www.ccgp.gov.cn)查询相关主体信用记录；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供应商须具备具备公路工程施工总承包三级（含三级）或市政公用工程施工总承包三级（含三级）及以上资质；拟派项目经理具备公路工程二级或市政公用工程二级及以上注册建造师资格和安全生产考核合格B证，且无在建工程，提供无在建承诺书；</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8、提供具有履行本合同所必需的设备和专业技术能力的说明及承诺书；</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9、参加政府采购活动前3年内，在经营活动中没有重大违法记录的书面声明；</w:t>
            </w:r>
          </w:p>
          <w:p>
            <w:pPr>
              <w:spacing w:line="360" w:lineRule="auto"/>
              <w:ind w:firstLine="480" w:firstLineChars="200"/>
              <w:rPr>
                <w:rFonts w:hint="eastAsia" w:hAnsi="宋体" w:cs="宋体"/>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10、本项目不接受联合体磋商。</w:t>
            </w:r>
          </w:p>
          <w:p>
            <w:pPr>
              <w:spacing w:line="360" w:lineRule="auto"/>
              <w:ind w:firstLine="482" w:firstLineChars="200"/>
              <w:rPr>
                <w:rFonts w:hAnsi="宋体" w:cs="宋体"/>
                <w:szCs w:val="24"/>
                <w:highlight w:val="none"/>
              </w:rPr>
            </w:pPr>
            <w:r>
              <w:rPr>
                <w:rFonts w:hint="eastAsia" w:hAnsi="宋体" w:cs="宋体"/>
                <w:b/>
                <w:bCs/>
                <w:szCs w:val="24"/>
                <w:highlight w:val="none"/>
              </w:rPr>
              <w:t>以上（1-</w:t>
            </w:r>
            <w:r>
              <w:rPr>
                <w:rFonts w:hint="eastAsia" w:hAnsi="宋体" w:cs="宋体"/>
                <w:b/>
                <w:bCs/>
                <w:szCs w:val="24"/>
                <w:highlight w:val="none"/>
                <w:lang w:val="en-US" w:eastAsia="zh-CN"/>
              </w:rPr>
              <w:t>10</w:t>
            </w:r>
            <w:r>
              <w:rPr>
                <w:rFonts w:hint="eastAsia" w:hAnsi="宋体" w:cs="宋体"/>
                <w:b/>
                <w:bCs/>
                <w:szCs w:val="24"/>
                <w:highlight w:val="none"/>
              </w:rPr>
              <w:t>）为必备资质，缺一项或某项达不到要求，按无效磋商处理。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592" w:type="dxa"/>
            <w:vAlign w:val="center"/>
          </w:tcPr>
          <w:p>
            <w:pPr>
              <w:spacing w:line="360" w:lineRule="auto"/>
              <w:jc w:val="center"/>
              <w:rPr>
                <w:rFonts w:hAnsi="宋体" w:cs="宋体"/>
                <w:szCs w:val="24"/>
                <w:highlight w:val="none"/>
              </w:rPr>
            </w:pPr>
            <w:r>
              <w:rPr>
                <w:rFonts w:hint="eastAsia" w:hAnsi="宋体" w:cs="宋体"/>
                <w:szCs w:val="24"/>
                <w:highlight w:val="none"/>
              </w:rPr>
              <w:t>7</w:t>
            </w:r>
          </w:p>
        </w:tc>
        <w:tc>
          <w:tcPr>
            <w:tcW w:w="951" w:type="dxa"/>
            <w:vAlign w:val="center"/>
          </w:tcPr>
          <w:p>
            <w:pPr>
              <w:spacing w:line="360" w:lineRule="auto"/>
              <w:jc w:val="center"/>
              <w:rPr>
                <w:rFonts w:hAnsi="宋体" w:cs="宋体"/>
                <w:szCs w:val="24"/>
                <w:highlight w:val="none"/>
              </w:rPr>
            </w:pPr>
            <w:r>
              <w:rPr>
                <w:rFonts w:hint="eastAsia" w:hAnsi="宋体" w:cs="宋体"/>
                <w:szCs w:val="24"/>
                <w:highlight w:val="none"/>
              </w:rPr>
              <w:t>14.4</w:t>
            </w:r>
          </w:p>
        </w:tc>
        <w:tc>
          <w:tcPr>
            <w:tcW w:w="7542" w:type="dxa"/>
          </w:tcPr>
          <w:p>
            <w:pPr>
              <w:spacing w:line="360" w:lineRule="auto"/>
              <w:rPr>
                <w:rFonts w:hint="default" w:hAnsi="宋体" w:eastAsia="宋体" w:cs="宋体"/>
                <w:szCs w:val="24"/>
                <w:highlight w:val="none"/>
                <w:lang w:val="en-US" w:eastAsia="zh-CN"/>
              </w:rPr>
            </w:pPr>
            <w:r>
              <w:rPr>
                <w:rFonts w:hint="eastAsia" w:hAnsi="宋体" w:cs="宋体"/>
                <w:b/>
                <w:bCs/>
                <w:szCs w:val="24"/>
                <w:highlight w:val="none"/>
              </w:rPr>
              <w:t>磋商保证金：</w:t>
            </w:r>
            <w:r>
              <w:rPr>
                <w:rFonts w:hint="eastAsia" w:hAnsi="宋体" w:cs="宋体"/>
                <w:b/>
                <w:bCs/>
                <w:szCs w:val="24"/>
                <w:highlight w:val="none"/>
                <w:lang w:val="en-US" w:eastAsia="zh-CN"/>
              </w:rPr>
              <w:t>本项目不收取保证金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pPr>
              <w:spacing w:line="360" w:lineRule="auto"/>
              <w:jc w:val="center"/>
              <w:rPr>
                <w:rFonts w:hAnsi="宋体" w:cs="宋体"/>
                <w:szCs w:val="24"/>
                <w:highlight w:val="none"/>
              </w:rPr>
            </w:pPr>
            <w:r>
              <w:rPr>
                <w:rFonts w:hint="eastAsia" w:hAnsi="宋体" w:cs="宋体"/>
                <w:szCs w:val="24"/>
                <w:highlight w:val="none"/>
              </w:rPr>
              <w:t>8</w:t>
            </w:r>
          </w:p>
        </w:tc>
        <w:tc>
          <w:tcPr>
            <w:tcW w:w="951" w:type="dxa"/>
            <w:vAlign w:val="center"/>
          </w:tcPr>
          <w:p>
            <w:pPr>
              <w:spacing w:line="360" w:lineRule="auto"/>
              <w:jc w:val="center"/>
              <w:rPr>
                <w:rFonts w:hAnsi="宋体" w:cs="宋体"/>
                <w:szCs w:val="24"/>
                <w:highlight w:val="none"/>
              </w:rPr>
            </w:pPr>
            <w:r>
              <w:rPr>
                <w:rFonts w:hint="eastAsia" w:hAnsi="宋体" w:cs="宋体"/>
                <w:szCs w:val="24"/>
                <w:highlight w:val="none"/>
              </w:rPr>
              <w:t>15.1</w:t>
            </w:r>
          </w:p>
        </w:tc>
        <w:tc>
          <w:tcPr>
            <w:tcW w:w="7542" w:type="dxa"/>
            <w:vAlign w:val="center"/>
          </w:tcPr>
          <w:p>
            <w:pPr>
              <w:spacing w:line="360" w:lineRule="auto"/>
              <w:rPr>
                <w:rFonts w:hAnsi="宋体" w:cs="宋体"/>
                <w:highlight w:val="none"/>
              </w:rPr>
            </w:pPr>
            <w:r>
              <w:rPr>
                <w:rFonts w:hint="eastAsia" w:hAnsi="宋体" w:cs="宋体"/>
                <w:szCs w:val="24"/>
                <w:highlight w:val="none"/>
              </w:rPr>
              <w:t>磋商有效期:提交磋商响应文件的截止之日起90天。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pPr>
              <w:spacing w:after="156" w:afterLines="50" w:line="360" w:lineRule="auto"/>
              <w:jc w:val="center"/>
              <w:rPr>
                <w:rFonts w:hint="eastAsia" w:hAnsi="宋体" w:eastAsia="宋体" w:cs="宋体"/>
                <w:szCs w:val="24"/>
                <w:highlight w:val="none"/>
                <w:lang w:val="en-US" w:eastAsia="zh-CN"/>
              </w:rPr>
            </w:pPr>
            <w:r>
              <w:rPr>
                <w:rFonts w:hint="eastAsia" w:hAnsi="宋体" w:cs="宋体"/>
                <w:szCs w:val="24"/>
                <w:highlight w:val="none"/>
                <w:lang w:val="en-US" w:eastAsia="zh-CN"/>
              </w:rPr>
              <w:t>9</w:t>
            </w:r>
          </w:p>
        </w:tc>
        <w:tc>
          <w:tcPr>
            <w:tcW w:w="951" w:type="dxa"/>
            <w:vAlign w:val="center"/>
          </w:tcPr>
          <w:p>
            <w:pPr>
              <w:spacing w:after="156" w:afterLines="50" w:line="360" w:lineRule="auto"/>
              <w:jc w:val="center"/>
              <w:rPr>
                <w:rFonts w:hAnsi="宋体" w:cs="宋体"/>
                <w:szCs w:val="24"/>
                <w:highlight w:val="none"/>
              </w:rPr>
            </w:pPr>
            <w:r>
              <w:rPr>
                <w:rFonts w:hint="eastAsia" w:hAnsi="宋体" w:cs="宋体"/>
                <w:szCs w:val="24"/>
                <w:highlight w:val="none"/>
              </w:rPr>
              <w:t>18.1</w:t>
            </w:r>
          </w:p>
        </w:tc>
        <w:tc>
          <w:tcPr>
            <w:tcW w:w="7542" w:type="dxa"/>
          </w:tcPr>
          <w:p>
            <w:pPr>
              <w:spacing w:line="360" w:lineRule="auto"/>
              <w:rPr>
                <w:rFonts w:hint="eastAsia" w:hAnsi="宋体" w:cs="宋体"/>
                <w:szCs w:val="24"/>
                <w:highlight w:val="none"/>
                <w:lang w:val="en-US" w:eastAsia="zh-CN"/>
              </w:rPr>
            </w:pPr>
            <w:r>
              <w:rPr>
                <w:rFonts w:hint="eastAsia" w:hAnsi="宋体" w:cs="宋体"/>
                <w:szCs w:val="24"/>
                <w:highlight w:val="none"/>
                <w:lang w:val="en-US" w:eastAsia="zh-CN"/>
              </w:rPr>
              <w:t>磋商响应文件递交截止时间：详见磋商公告</w:t>
            </w:r>
          </w:p>
          <w:p>
            <w:pPr>
              <w:spacing w:line="360" w:lineRule="auto"/>
              <w:rPr>
                <w:rFonts w:hint="default" w:hAnsi="宋体" w:cs="宋体"/>
                <w:szCs w:val="24"/>
                <w:highlight w:val="none"/>
                <w:lang w:val="en-US" w:eastAsia="zh-CN"/>
              </w:rPr>
            </w:pPr>
            <w:r>
              <w:rPr>
                <w:rFonts w:hint="eastAsia" w:hAnsi="宋体" w:cs="宋体"/>
                <w:szCs w:val="24"/>
                <w:highlight w:val="none"/>
                <w:lang w:val="en-US" w:eastAsia="zh-CN"/>
              </w:rPr>
              <w:t>磋商响应文件递交地址：详见磋商公告</w:t>
            </w:r>
          </w:p>
          <w:p>
            <w:pPr>
              <w:spacing w:line="360" w:lineRule="auto"/>
              <w:rPr>
                <w:rFonts w:hAnsi="宋体" w:cs="宋体"/>
                <w:szCs w:val="24"/>
                <w:highlight w:val="none"/>
              </w:rPr>
            </w:pPr>
            <w:r>
              <w:rPr>
                <w:rFonts w:hint="eastAsia" w:hAnsi="宋体" w:cs="宋体"/>
                <w:szCs w:val="24"/>
                <w:highlight w:val="none"/>
                <w:lang w:val="en-US" w:eastAsia="zh-CN"/>
              </w:rPr>
              <w:t>磋商响应文件接收人：陕西至诚招标咨询有限公司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pPr>
              <w:spacing w:after="156" w:afterLines="50" w:line="360" w:lineRule="auto"/>
              <w:jc w:val="center"/>
              <w:rPr>
                <w:rFonts w:hint="eastAsia" w:hAnsi="宋体" w:eastAsia="宋体" w:cs="宋体"/>
                <w:szCs w:val="24"/>
                <w:highlight w:val="none"/>
                <w:lang w:val="en-US" w:eastAsia="zh-CN"/>
              </w:rPr>
            </w:pPr>
            <w:r>
              <w:rPr>
                <w:rFonts w:hint="eastAsia" w:hAnsi="宋体" w:cs="宋体"/>
                <w:szCs w:val="24"/>
                <w:highlight w:val="none"/>
              </w:rPr>
              <w:t>1</w:t>
            </w:r>
            <w:r>
              <w:rPr>
                <w:rFonts w:hint="eastAsia" w:hAnsi="宋体" w:cs="宋体"/>
                <w:szCs w:val="24"/>
                <w:highlight w:val="none"/>
                <w:lang w:val="en-US" w:eastAsia="zh-CN"/>
              </w:rPr>
              <w:t>0</w:t>
            </w:r>
          </w:p>
        </w:tc>
        <w:tc>
          <w:tcPr>
            <w:tcW w:w="951" w:type="dxa"/>
            <w:vAlign w:val="center"/>
          </w:tcPr>
          <w:p>
            <w:pPr>
              <w:spacing w:after="156" w:afterLines="50" w:line="360" w:lineRule="auto"/>
              <w:jc w:val="center"/>
              <w:rPr>
                <w:rFonts w:hAnsi="宋体" w:cs="宋体"/>
                <w:szCs w:val="24"/>
                <w:highlight w:val="none"/>
              </w:rPr>
            </w:pPr>
            <w:r>
              <w:rPr>
                <w:rFonts w:hint="eastAsia" w:hAnsi="宋体" w:cs="宋体"/>
                <w:szCs w:val="24"/>
                <w:highlight w:val="none"/>
              </w:rPr>
              <w:t>21.1</w:t>
            </w:r>
          </w:p>
        </w:tc>
        <w:tc>
          <w:tcPr>
            <w:tcW w:w="7542" w:type="dxa"/>
            <w:vAlign w:val="center"/>
          </w:tcPr>
          <w:p>
            <w:pPr>
              <w:spacing w:line="360" w:lineRule="auto"/>
              <w:rPr>
                <w:rFonts w:hint="eastAsia" w:hAnsi="宋体" w:cs="宋体"/>
                <w:szCs w:val="24"/>
                <w:highlight w:val="none"/>
                <w:lang w:val="en-US" w:eastAsia="zh-CN"/>
              </w:rPr>
            </w:pPr>
            <w:r>
              <w:rPr>
                <w:rFonts w:hint="eastAsia" w:hAnsi="宋体" w:cs="宋体"/>
                <w:szCs w:val="24"/>
                <w:highlight w:val="none"/>
                <w:lang w:val="en-US" w:eastAsia="zh-CN"/>
              </w:rPr>
              <w:t>磋商时间：详见磋商公告</w:t>
            </w:r>
          </w:p>
          <w:p>
            <w:pPr>
              <w:spacing w:line="360" w:lineRule="auto"/>
              <w:rPr>
                <w:rFonts w:hint="eastAsia" w:hAnsi="宋体" w:eastAsia="宋体" w:cs="宋体"/>
                <w:szCs w:val="24"/>
                <w:highlight w:val="none"/>
                <w:lang w:eastAsia="zh-CN"/>
              </w:rPr>
            </w:pPr>
            <w:r>
              <w:rPr>
                <w:rFonts w:hint="eastAsia" w:hAnsi="宋体" w:cs="宋体"/>
                <w:szCs w:val="24"/>
                <w:highlight w:val="none"/>
                <w:lang w:val="en-US" w:eastAsia="zh-CN"/>
              </w:rPr>
              <w:t>磋商地点：详见磋商公告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pPr>
              <w:spacing w:after="156" w:afterLines="50" w:line="480" w:lineRule="auto"/>
              <w:jc w:val="center"/>
              <w:rPr>
                <w:rFonts w:hint="eastAsia" w:hAnsi="宋体" w:eastAsia="宋体" w:cs="宋体"/>
                <w:szCs w:val="24"/>
                <w:highlight w:val="none"/>
                <w:lang w:val="en-US" w:eastAsia="zh-CN"/>
              </w:rPr>
            </w:pPr>
            <w:r>
              <w:rPr>
                <w:rFonts w:hint="eastAsia" w:hAnsi="宋体" w:cs="宋体"/>
                <w:szCs w:val="24"/>
                <w:highlight w:val="none"/>
              </w:rPr>
              <w:t>1</w:t>
            </w:r>
            <w:r>
              <w:rPr>
                <w:rFonts w:hint="eastAsia" w:hAnsi="宋体" w:cs="宋体"/>
                <w:szCs w:val="24"/>
                <w:highlight w:val="none"/>
                <w:lang w:val="en-US" w:eastAsia="zh-CN"/>
              </w:rPr>
              <w:t>1</w:t>
            </w:r>
          </w:p>
        </w:tc>
        <w:tc>
          <w:tcPr>
            <w:tcW w:w="951" w:type="dxa"/>
            <w:vAlign w:val="center"/>
          </w:tcPr>
          <w:p>
            <w:pPr>
              <w:spacing w:after="156" w:afterLines="50" w:line="360" w:lineRule="auto"/>
              <w:jc w:val="center"/>
              <w:rPr>
                <w:rFonts w:hint="default" w:hAnsi="宋体" w:eastAsia="宋体" w:cs="宋体"/>
                <w:szCs w:val="24"/>
                <w:highlight w:val="none"/>
                <w:lang w:val="en-US" w:eastAsia="zh-CN"/>
              </w:rPr>
            </w:pPr>
            <w:r>
              <w:rPr>
                <w:rFonts w:hint="eastAsia" w:hAnsi="宋体" w:cs="宋体"/>
                <w:szCs w:val="24"/>
                <w:highlight w:val="none"/>
                <w:lang w:val="en-US" w:eastAsia="zh-CN"/>
              </w:rPr>
              <w:t>25</w:t>
            </w:r>
          </w:p>
        </w:tc>
        <w:tc>
          <w:tcPr>
            <w:tcW w:w="7542" w:type="dxa"/>
            <w:vAlign w:val="center"/>
          </w:tcPr>
          <w:p>
            <w:pPr>
              <w:spacing w:after="156" w:afterLines="50" w:line="360" w:lineRule="auto"/>
              <w:jc w:val="left"/>
              <w:rPr>
                <w:rFonts w:hAnsi="宋体" w:cs="宋体"/>
                <w:szCs w:val="24"/>
                <w:highlight w:val="none"/>
              </w:rPr>
            </w:pPr>
            <w:r>
              <w:rPr>
                <w:rFonts w:hint="eastAsia" w:hAnsi="宋体" w:cs="宋体"/>
                <w:b/>
                <w:bCs/>
                <w:szCs w:val="24"/>
                <w:highlight w:val="none"/>
              </w:rPr>
              <w:t>评审方法：综合评分法（详见第三章）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46" w:hRule="atLeast"/>
          <w:jc w:val="center"/>
        </w:trPr>
        <w:tc>
          <w:tcPr>
            <w:tcW w:w="592" w:type="dxa"/>
            <w:vAlign w:val="center"/>
          </w:tcPr>
          <w:p>
            <w:pPr>
              <w:spacing w:after="156" w:afterLines="50" w:line="360" w:lineRule="auto"/>
              <w:jc w:val="center"/>
              <w:rPr>
                <w:rFonts w:hint="eastAsia" w:hAnsi="宋体" w:eastAsia="宋体" w:cs="宋体"/>
                <w:szCs w:val="24"/>
                <w:highlight w:val="none"/>
                <w:lang w:val="en-US" w:eastAsia="zh-CN"/>
              </w:rPr>
            </w:pPr>
            <w:r>
              <w:rPr>
                <w:rFonts w:hint="eastAsia" w:hAnsi="宋体" w:cs="宋体"/>
                <w:szCs w:val="24"/>
                <w:highlight w:val="none"/>
              </w:rPr>
              <w:t>1</w:t>
            </w:r>
            <w:r>
              <w:rPr>
                <w:rFonts w:hint="eastAsia" w:hAnsi="宋体" w:cs="宋体"/>
                <w:szCs w:val="24"/>
                <w:highlight w:val="none"/>
                <w:lang w:val="en-US" w:eastAsia="zh-CN"/>
              </w:rPr>
              <w:t>2</w:t>
            </w:r>
          </w:p>
        </w:tc>
        <w:tc>
          <w:tcPr>
            <w:tcW w:w="951" w:type="dxa"/>
            <w:vAlign w:val="center"/>
          </w:tcPr>
          <w:p>
            <w:pPr>
              <w:spacing w:after="156" w:afterLines="50" w:line="360" w:lineRule="auto"/>
              <w:jc w:val="center"/>
              <w:rPr>
                <w:rFonts w:hAnsi="宋体" w:cs="宋体"/>
                <w:szCs w:val="24"/>
                <w:highlight w:val="none"/>
              </w:rPr>
            </w:pPr>
            <w:r>
              <w:rPr>
                <w:rFonts w:hint="eastAsia" w:hAnsi="宋体" w:cs="宋体"/>
                <w:szCs w:val="24"/>
                <w:highlight w:val="none"/>
              </w:rPr>
              <w:t>29</w:t>
            </w:r>
          </w:p>
        </w:tc>
        <w:tc>
          <w:tcPr>
            <w:tcW w:w="7542" w:type="dxa"/>
            <w:vAlign w:val="center"/>
          </w:tcPr>
          <w:p>
            <w:pPr>
              <w:spacing w:line="360" w:lineRule="auto"/>
              <w:rPr>
                <w:rFonts w:hint="eastAsia"/>
                <w:highlight w:val="none"/>
              </w:rPr>
            </w:pPr>
            <w:r>
              <w:rPr>
                <w:rFonts w:hint="eastAsia"/>
                <w:highlight w:val="none"/>
              </w:rPr>
              <w:t>代理服务费：</w:t>
            </w:r>
          </w:p>
          <w:p>
            <w:pPr>
              <w:spacing w:line="360" w:lineRule="auto"/>
              <w:rPr>
                <w:rFonts w:hint="eastAsia"/>
                <w:highlight w:val="none"/>
              </w:rPr>
            </w:pPr>
            <w:r>
              <w:rPr>
                <w:rFonts w:hint="eastAsia"/>
                <w:highlight w:val="none"/>
              </w:rPr>
              <w:t>29.1</w:t>
            </w:r>
            <w:bookmarkStart w:id="24" w:name="OLE_LINK9"/>
            <w:bookmarkStart w:id="25" w:name="OLE_LINK10"/>
            <w:r>
              <w:rPr>
                <w:rFonts w:hint="eastAsia"/>
                <w:highlight w:val="none"/>
              </w:rPr>
              <w:t xml:space="preserve"> 招标代理服务费的计算方法：以中标金额为基数，依据国家计委颁布《招标代理服务收费管理暂行办法》（计价格[2002]1980号）文件的有关规定执行。</w:t>
            </w:r>
            <w:bookmarkEnd w:id="24"/>
            <w:bookmarkEnd w:id="25"/>
          </w:p>
          <w:p>
            <w:pPr>
              <w:spacing w:line="360" w:lineRule="auto"/>
              <w:rPr>
                <w:rFonts w:hAnsi="宋体" w:cs="宋体"/>
                <w:szCs w:val="24"/>
                <w:highlight w:val="none"/>
              </w:rPr>
            </w:pPr>
            <w:r>
              <w:rPr>
                <w:rFonts w:hint="eastAsia"/>
                <w:highlight w:val="none"/>
              </w:rPr>
              <w:t xml:space="preserve">29.2 </w:t>
            </w:r>
            <w:r>
              <w:rPr>
                <w:rFonts w:hint="eastAsia"/>
                <w:highlight w:val="none"/>
                <w:lang w:eastAsia="zh-CN"/>
              </w:rPr>
              <w:t>本项目招标代理费由成交单位支付</w:t>
            </w:r>
            <w:r>
              <w:rPr>
                <w:rFonts w:hint="eastAsia"/>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pPr>
              <w:jc w:val="center"/>
              <w:rPr>
                <w:rFonts w:hint="default" w:hAnsi="宋体" w:eastAsia="宋体" w:cs="宋体"/>
                <w:b w:val="0"/>
                <w:bCs w:val="0"/>
                <w:szCs w:val="24"/>
                <w:highlight w:val="none"/>
                <w:lang w:val="en-US" w:eastAsia="zh-CN"/>
              </w:rPr>
            </w:pPr>
            <w:r>
              <w:rPr>
                <w:rFonts w:hint="eastAsia" w:hAnsi="宋体" w:cs="宋体"/>
                <w:b w:val="0"/>
                <w:bCs w:val="0"/>
                <w:szCs w:val="24"/>
                <w:highlight w:val="none"/>
                <w:lang w:val="en-US" w:eastAsia="zh-CN"/>
              </w:rPr>
              <w:t>13</w:t>
            </w:r>
          </w:p>
        </w:tc>
        <w:tc>
          <w:tcPr>
            <w:tcW w:w="951" w:type="dxa"/>
            <w:vAlign w:val="center"/>
          </w:tcPr>
          <w:p>
            <w:pPr>
              <w:jc w:val="center"/>
              <w:rPr>
                <w:rFonts w:hint="eastAsia" w:hAnsi="宋体" w:cs="宋体"/>
                <w:b w:val="0"/>
                <w:bCs w:val="0"/>
                <w:szCs w:val="24"/>
                <w:highlight w:val="none"/>
                <w:lang w:val="en-US" w:eastAsia="zh-CN"/>
              </w:rPr>
            </w:pPr>
            <w:r>
              <w:rPr>
                <w:rFonts w:hint="eastAsia" w:hAnsi="宋体" w:cs="宋体"/>
                <w:b w:val="0"/>
                <w:bCs w:val="0"/>
                <w:szCs w:val="24"/>
                <w:highlight w:val="none"/>
                <w:lang w:val="en-US" w:eastAsia="zh-CN"/>
              </w:rPr>
              <w:t>工期</w:t>
            </w:r>
          </w:p>
        </w:tc>
        <w:tc>
          <w:tcPr>
            <w:tcW w:w="7542" w:type="dxa"/>
            <w:vAlign w:val="center"/>
          </w:tcPr>
          <w:p>
            <w:pPr>
              <w:jc w:val="center"/>
              <w:rPr>
                <w:rFonts w:hint="default" w:hAnsi="宋体" w:cs="宋体"/>
                <w:b w:val="0"/>
                <w:bCs w:val="0"/>
                <w:szCs w:val="24"/>
                <w:highlight w:val="none"/>
                <w:lang w:val="en-US" w:eastAsia="zh-CN"/>
              </w:rPr>
            </w:pPr>
            <w:r>
              <w:rPr>
                <w:rFonts w:hint="eastAsia" w:hAnsi="宋体" w:cs="宋体"/>
                <w:b w:val="0"/>
                <w:bCs w:val="0"/>
                <w:szCs w:val="24"/>
                <w:highlight w:val="none"/>
                <w:lang w:val="en-US" w:eastAsia="zh-CN"/>
              </w:rPr>
              <w:t>4个月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6" w:hRule="atLeast"/>
          <w:jc w:val="center"/>
        </w:trPr>
        <w:tc>
          <w:tcPr>
            <w:tcW w:w="592" w:type="dxa"/>
            <w:vAlign w:val="center"/>
          </w:tcPr>
          <w:p>
            <w:pPr>
              <w:jc w:val="center"/>
              <w:rPr>
                <w:rFonts w:hint="default" w:hAnsi="宋体" w:cs="宋体"/>
                <w:b w:val="0"/>
                <w:bCs w:val="0"/>
                <w:szCs w:val="24"/>
                <w:highlight w:val="none"/>
                <w:lang w:val="en-US" w:eastAsia="zh-CN"/>
              </w:rPr>
            </w:pPr>
            <w:r>
              <w:rPr>
                <w:rFonts w:hint="eastAsia" w:hAnsi="宋体" w:cs="宋体"/>
                <w:b w:val="0"/>
                <w:bCs w:val="0"/>
                <w:szCs w:val="24"/>
                <w:highlight w:val="none"/>
                <w:lang w:val="en-US" w:eastAsia="zh-CN"/>
              </w:rPr>
              <w:t>14</w:t>
            </w:r>
          </w:p>
        </w:tc>
        <w:tc>
          <w:tcPr>
            <w:tcW w:w="951" w:type="dxa"/>
            <w:vAlign w:val="center"/>
          </w:tcPr>
          <w:p>
            <w:pPr>
              <w:jc w:val="center"/>
              <w:rPr>
                <w:rFonts w:hint="eastAsia" w:hAnsi="宋体" w:cs="宋体"/>
                <w:b w:val="0"/>
                <w:bCs w:val="0"/>
                <w:szCs w:val="24"/>
                <w:highlight w:val="none"/>
                <w:lang w:val="en-US" w:eastAsia="zh-CN"/>
              </w:rPr>
            </w:pPr>
            <w:r>
              <w:rPr>
                <w:rFonts w:hint="eastAsia" w:hAnsi="宋体" w:cs="宋体"/>
                <w:b w:val="0"/>
                <w:bCs w:val="0"/>
                <w:szCs w:val="24"/>
                <w:highlight w:val="none"/>
                <w:lang w:val="en-US" w:eastAsia="zh-CN"/>
              </w:rPr>
              <w:t>质量</w:t>
            </w:r>
          </w:p>
          <w:p>
            <w:pPr>
              <w:jc w:val="center"/>
              <w:rPr>
                <w:rFonts w:hint="default" w:hAnsi="宋体" w:cs="宋体"/>
                <w:b w:val="0"/>
                <w:bCs w:val="0"/>
                <w:szCs w:val="24"/>
                <w:highlight w:val="none"/>
                <w:lang w:val="en-US" w:eastAsia="zh-CN"/>
              </w:rPr>
            </w:pPr>
            <w:r>
              <w:rPr>
                <w:rFonts w:hint="eastAsia" w:hAnsi="宋体" w:cs="宋体"/>
                <w:b w:val="0"/>
                <w:bCs w:val="0"/>
                <w:szCs w:val="24"/>
                <w:highlight w:val="none"/>
                <w:lang w:val="en-US" w:eastAsia="zh-CN"/>
              </w:rPr>
              <w:t>标准</w:t>
            </w:r>
          </w:p>
        </w:tc>
        <w:tc>
          <w:tcPr>
            <w:tcW w:w="7542" w:type="dxa"/>
            <w:vAlign w:val="center"/>
          </w:tcPr>
          <w:p>
            <w:pPr>
              <w:jc w:val="center"/>
              <w:rPr>
                <w:rFonts w:hint="default" w:hAnsi="宋体" w:cs="宋体"/>
                <w:b w:val="0"/>
                <w:bCs w:val="0"/>
                <w:szCs w:val="24"/>
                <w:highlight w:val="none"/>
                <w:lang w:val="en-US" w:eastAsia="zh-CN"/>
              </w:rPr>
            </w:pPr>
            <w:r>
              <w:rPr>
                <w:rFonts w:hint="eastAsia" w:hAnsi="宋体" w:cs="宋体"/>
                <w:b w:val="0"/>
                <w:bCs w:val="0"/>
                <w:szCs w:val="24"/>
                <w:highlight w:val="none"/>
                <w:lang w:val="en-US" w:eastAsia="zh-CN"/>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pPr>
              <w:jc w:val="center"/>
              <w:rPr>
                <w:rFonts w:hint="default" w:hAnsi="宋体" w:cs="宋体"/>
                <w:b w:val="0"/>
                <w:bCs w:val="0"/>
                <w:szCs w:val="24"/>
                <w:highlight w:val="none"/>
                <w:lang w:val="en-US" w:eastAsia="zh-CN"/>
              </w:rPr>
            </w:pPr>
            <w:r>
              <w:rPr>
                <w:rFonts w:hint="eastAsia" w:hAnsi="宋体" w:cs="宋体"/>
                <w:b w:val="0"/>
                <w:bCs w:val="0"/>
                <w:szCs w:val="24"/>
                <w:highlight w:val="none"/>
                <w:lang w:val="en-US" w:eastAsia="zh-CN"/>
              </w:rPr>
              <w:t>15</w:t>
            </w:r>
          </w:p>
        </w:tc>
        <w:tc>
          <w:tcPr>
            <w:tcW w:w="951" w:type="dxa"/>
            <w:vAlign w:val="center"/>
          </w:tcPr>
          <w:p>
            <w:pPr>
              <w:jc w:val="center"/>
              <w:rPr>
                <w:rFonts w:hint="eastAsia" w:hAnsi="宋体" w:cs="宋体"/>
                <w:b w:val="0"/>
                <w:bCs w:val="0"/>
                <w:szCs w:val="24"/>
                <w:highlight w:val="none"/>
                <w:lang w:val="en-US" w:eastAsia="zh-CN"/>
              </w:rPr>
            </w:pPr>
            <w:r>
              <w:rPr>
                <w:rFonts w:hint="eastAsia" w:hAnsi="宋体" w:cs="宋体"/>
                <w:b w:val="0"/>
                <w:bCs w:val="0"/>
                <w:szCs w:val="24"/>
                <w:highlight w:val="none"/>
                <w:lang w:val="en-US" w:eastAsia="zh-CN"/>
              </w:rPr>
              <w:t>最高</w:t>
            </w:r>
          </w:p>
          <w:p>
            <w:pPr>
              <w:jc w:val="center"/>
              <w:rPr>
                <w:rFonts w:hint="default" w:hAnsi="宋体" w:cs="宋体"/>
                <w:b w:val="0"/>
                <w:bCs w:val="0"/>
                <w:szCs w:val="24"/>
                <w:highlight w:val="none"/>
                <w:lang w:val="en-US" w:eastAsia="zh-CN"/>
              </w:rPr>
            </w:pPr>
            <w:r>
              <w:rPr>
                <w:rFonts w:hint="eastAsia" w:hAnsi="宋体" w:cs="宋体"/>
                <w:b w:val="0"/>
                <w:bCs w:val="0"/>
                <w:szCs w:val="24"/>
                <w:highlight w:val="none"/>
                <w:lang w:val="en-US" w:eastAsia="zh-CN"/>
              </w:rPr>
              <w:t>限价</w:t>
            </w:r>
          </w:p>
        </w:tc>
        <w:tc>
          <w:tcPr>
            <w:tcW w:w="7542" w:type="dxa"/>
            <w:vAlign w:val="center"/>
          </w:tcPr>
          <w:p>
            <w:pPr>
              <w:jc w:val="center"/>
              <w:rPr>
                <w:rFonts w:hint="eastAsia" w:hAnsi="宋体" w:cs="宋体"/>
                <w:b w:val="0"/>
                <w:bCs w:val="0"/>
                <w:szCs w:val="24"/>
                <w:highlight w:val="none"/>
                <w:lang w:val="en-US" w:eastAsia="zh-CN"/>
              </w:rPr>
            </w:pPr>
            <w:r>
              <w:rPr>
                <w:rFonts w:hint="eastAsia" w:hAnsi="宋体" w:cs="宋体"/>
                <w:b w:val="0"/>
                <w:bCs w:val="0"/>
                <w:szCs w:val="24"/>
                <w:highlight w:val="none"/>
                <w:lang w:val="en-US" w:eastAsia="zh-CN"/>
              </w:rPr>
              <w:t>1,858,216.74元，</w:t>
            </w:r>
            <w:r>
              <w:rPr>
                <w:rFonts w:hint="eastAsia"/>
                <w:b w:val="0"/>
                <w:bCs w:val="0"/>
                <w:color w:val="auto"/>
                <w:sz w:val="24"/>
                <w:szCs w:val="24"/>
                <w:highlight w:val="none"/>
                <w:lang w:val="en-US" w:eastAsia="zh-CN"/>
              </w:rPr>
              <w:t>超过最高限价按废标处理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pPr>
              <w:jc w:val="center"/>
              <w:rPr>
                <w:rFonts w:hint="eastAsia" w:hAnsi="宋体" w:eastAsia="宋体" w:cs="宋体"/>
                <w:szCs w:val="24"/>
                <w:highlight w:val="none"/>
                <w:lang w:val="en-US" w:eastAsia="zh-CN"/>
              </w:rPr>
            </w:pPr>
            <w:r>
              <w:rPr>
                <w:rFonts w:hint="eastAsia" w:hAnsi="宋体" w:cs="宋体"/>
                <w:szCs w:val="24"/>
                <w:highlight w:val="none"/>
              </w:rPr>
              <w:t>1</w:t>
            </w:r>
            <w:r>
              <w:rPr>
                <w:rFonts w:hint="eastAsia" w:hAnsi="宋体" w:cs="宋体"/>
                <w:szCs w:val="24"/>
                <w:highlight w:val="none"/>
                <w:lang w:val="en-US" w:eastAsia="zh-CN"/>
              </w:rPr>
              <w:t>6</w:t>
            </w:r>
          </w:p>
        </w:tc>
        <w:tc>
          <w:tcPr>
            <w:tcW w:w="951" w:type="dxa"/>
            <w:vAlign w:val="center"/>
          </w:tcPr>
          <w:p>
            <w:pPr>
              <w:jc w:val="center"/>
              <w:rPr>
                <w:rFonts w:hAnsi="宋体" w:cs="宋体"/>
                <w:b/>
                <w:bCs/>
                <w:szCs w:val="24"/>
                <w:highlight w:val="none"/>
              </w:rPr>
            </w:pPr>
            <w:r>
              <w:rPr>
                <w:rFonts w:hint="eastAsia" w:hAnsi="宋体" w:cs="宋体"/>
                <w:b/>
                <w:bCs/>
                <w:szCs w:val="24"/>
                <w:highlight w:val="none"/>
              </w:rPr>
              <w:t>银行</w:t>
            </w:r>
          </w:p>
          <w:p>
            <w:pPr>
              <w:jc w:val="center"/>
              <w:rPr>
                <w:rFonts w:hAnsi="宋体" w:cs="宋体"/>
                <w:b/>
                <w:bCs/>
                <w:szCs w:val="24"/>
                <w:highlight w:val="none"/>
              </w:rPr>
            </w:pPr>
            <w:r>
              <w:rPr>
                <w:rFonts w:hint="eastAsia" w:hAnsi="宋体" w:cs="宋体"/>
                <w:b/>
                <w:bCs/>
                <w:szCs w:val="24"/>
                <w:highlight w:val="none"/>
              </w:rPr>
              <w:t>账户</w:t>
            </w:r>
          </w:p>
          <w:p>
            <w:pPr>
              <w:jc w:val="center"/>
              <w:rPr>
                <w:rFonts w:hint="eastAsia" w:hAnsi="宋体" w:cs="宋体"/>
                <w:b/>
                <w:bCs/>
                <w:szCs w:val="24"/>
                <w:highlight w:val="none"/>
                <w:lang w:val="en-US" w:eastAsia="zh-CN"/>
              </w:rPr>
            </w:pPr>
            <w:r>
              <w:rPr>
                <w:rFonts w:hint="eastAsia" w:hAnsi="宋体" w:cs="宋体"/>
                <w:b/>
                <w:bCs/>
                <w:szCs w:val="24"/>
                <w:highlight w:val="none"/>
              </w:rPr>
              <w:t>信息</w:t>
            </w:r>
          </w:p>
        </w:tc>
        <w:tc>
          <w:tcPr>
            <w:tcW w:w="7542" w:type="dxa"/>
            <w:vAlign w:val="center"/>
          </w:tcPr>
          <w:p>
            <w:pPr>
              <w:numPr>
                <w:ilvl w:val="0"/>
                <w:numId w:val="1"/>
              </w:numPr>
              <w:spacing w:line="520" w:lineRule="exact"/>
              <w:rPr>
                <w:rFonts w:hAnsi="宋体" w:cs="宋体"/>
                <w:b/>
                <w:bCs/>
                <w:szCs w:val="24"/>
                <w:highlight w:val="none"/>
              </w:rPr>
            </w:pPr>
            <w:r>
              <w:rPr>
                <w:rFonts w:hint="eastAsia" w:hAnsi="宋体" w:cs="宋体"/>
                <w:b/>
                <w:bCs/>
                <w:szCs w:val="24"/>
                <w:highlight w:val="none"/>
              </w:rPr>
              <w:t>代理服务费账户：</w:t>
            </w:r>
          </w:p>
          <w:p>
            <w:pPr>
              <w:spacing w:line="360" w:lineRule="auto"/>
              <w:ind w:firstLine="482" w:firstLineChars="200"/>
              <w:rPr>
                <w:rFonts w:hAnsi="宋体" w:cs="宋体"/>
                <w:b/>
                <w:bCs/>
                <w:szCs w:val="24"/>
                <w:highlight w:val="none"/>
              </w:rPr>
            </w:pPr>
            <w:r>
              <w:rPr>
                <w:rFonts w:hint="eastAsia" w:hAnsi="宋体" w:cs="宋体"/>
                <w:b/>
                <w:bCs/>
                <w:szCs w:val="24"/>
                <w:highlight w:val="none"/>
              </w:rPr>
              <w:t>采购代理机构开户名称</w:t>
            </w:r>
            <w:r>
              <w:rPr>
                <w:rFonts w:hint="eastAsia" w:hAnsi="宋体" w:cs="宋体"/>
                <w:b/>
                <w:bCs/>
                <w:szCs w:val="24"/>
                <w:highlight w:val="none"/>
                <w:lang w:eastAsia="zh-CN"/>
              </w:rPr>
              <w:t>：</w:t>
            </w:r>
            <w:r>
              <w:rPr>
                <w:rFonts w:hint="eastAsia" w:hAnsi="宋体" w:cs="宋体"/>
                <w:b/>
                <w:bCs/>
                <w:szCs w:val="24"/>
                <w:highlight w:val="none"/>
              </w:rPr>
              <w:t>陕西至诚招标咨询有限公司</w:t>
            </w:r>
          </w:p>
          <w:p>
            <w:pPr>
              <w:spacing w:line="360" w:lineRule="auto"/>
              <w:ind w:firstLine="482" w:firstLineChars="200"/>
              <w:rPr>
                <w:rFonts w:hAnsi="宋体" w:cs="宋体"/>
                <w:b/>
                <w:bCs/>
                <w:szCs w:val="24"/>
                <w:highlight w:val="none"/>
              </w:rPr>
            </w:pPr>
            <w:r>
              <w:rPr>
                <w:rFonts w:hint="eastAsia" w:hAnsi="宋体" w:cs="宋体"/>
                <w:b/>
                <w:bCs/>
                <w:szCs w:val="24"/>
                <w:highlight w:val="none"/>
              </w:rPr>
              <w:t>开户行名称：中国建设银行股份有限公司西安高新技术产业开发区支行</w:t>
            </w:r>
          </w:p>
          <w:p>
            <w:pPr>
              <w:pStyle w:val="2"/>
              <w:ind w:firstLine="482" w:firstLineChars="200"/>
              <w:rPr>
                <w:rFonts w:hint="eastAsia" w:hAnsi="宋体" w:cs="宋体"/>
                <w:b/>
                <w:bCs/>
                <w:szCs w:val="24"/>
                <w:highlight w:val="none"/>
                <w:lang w:val="en-US" w:eastAsia="zh-CN"/>
              </w:rPr>
            </w:pPr>
            <w:r>
              <w:rPr>
                <w:rFonts w:hint="eastAsia" w:ascii="宋体" w:hAnsi="宋体" w:cs="宋体"/>
                <w:b/>
                <w:bCs/>
                <w:sz w:val="24"/>
                <w:szCs w:val="24"/>
                <w:highlight w:val="none"/>
              </w:rPr>
              <w:t>账号：61050192090000002152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17</w:t>
            </w:r>
          </w:p>
        </w:tc>
        <w:tc>
          <w:tcPr>
            <w:tcW w:w="951" w:type="dxa"/>
            <w:vAlign w:val="center"/>
          </w:tcPr>
          <w:p>
            <w:pPr>
              <w:widowControl/>
              <w:spacing w:line="360" w:lineRule="auto"/>
              <w:jc w:val="center"/>
              <w:rPr>
                <w:rFonts w:hint="eastAsia" w:hAnsi="宋体"/>
                <w:szCs w:val="24"/>
                <w:highlight w:val="none"/>
              </w:rPr>
            </w:pPr>
            <w:r>
              <w:rPr>
                <w:rFonts w:hint="eastAsia" w:hAnsi="宋体"/>
                <w:szCs w:val="24"/>
                <w:highlight w:val="none"/>
              </w:rPr>
              <w:t>项目</w:t>
            </w:r>
          </w:p>
          <w:p>
            <w:pPr>
              <w:widowControl/>
              <w:spacing w:line="360" w:lineRule="auto"/>
              <w:jc w:val="center"/>
              <w:rPr>
                <w:rFonts w:hint="eastAsia" w:hAnsi="宋体" w:cs="宋体"/>
                <w:b/>
                <w:bCs/>
                <w:szCs w:val="24"/>
                <w:highlight w:val="none"/>
              </w:rPr>
            </w:pPr>
            <w:r>
              <w:rPr>
                <w:rFonts w:hint="eastAsia" w:hAnsi="宋体"/>
                <w:szCs w:val="24"/>
                <w:highlight w:val="none"/>
              </w:rPr>
              <w:t>性质</w:t>
            </w:r>
          </w:p>
        </w:tc>
        <w:tc>
          <w:tcPr>
            <w:tcW w:w="7542" w:type="dxa"/>
            <w:vAlign w:val="center"/>
          </w:tcPr>
          <w:p>
            <w:pPr>
              <w:widowControl/>
              <w:spacing w:line="360" w:lineRule="auto"/>
              <w:rPr>
                <w:rFonts w:hint="eastAsia" w:ascii="宋体" w:hAnsi="宋体" w:eastAsia="宋体" w:cs="宋体"/>
                <w:b/>
                <w:bCs/>
                <w:sz w:val="24"/>
                <w:szCs w:val="24"/>
                <w:highlight w:val="none"/>
                <w:lang w:eastAsia="zh-CN"/>
              </w:rPr>
            </w:pPr>
            <w:r>
              <w:rPr>
                <w:rFonts w:hint="eastAsia" w:hAnsi="宋体"/>
                <w:szCs w:val="24"/>
                <w:highlight w:val="none"/>
              </w:rPr>
              <w:t>本项目专门面向中小企业</w:t>
            </w:r>
            <w:r>
              <w:rPr>
                <w:rFonts w:hint="eastAsia" w:hAnsi="宋体"/>
                <w:szCs w:val="24"/>
                <w:highlight w:val="none"/>
                <w:lang w:eastAsia="zh-CN"/>
              </w:rPr>
              <w:t>（提供中小企业声明函）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pPr>
              <w:jc w:val="center"/>
              <w:rPr>
                <w:rFonts w:hint="default" w:hAnsi="宋体" w:cs="宋体"/>
                <w:szCs w:val="24"/>
                <w:highlight w:val="none"/>
                <w:lang w:val="en-US" w:eastAsia="zh-CN"/>
              </w:rPr>
            </w:pPr>
            <w:r>
              <w:rPr>
                <w:rFonts w:hint="eastAsia" w:hAnsi="宋体" w:cs="宋体"/>
                <w:szCs w:val="24"/>
                <w:highlight w:val="none"/>
                <w:lang w:val="en-US" w:eastAsia="zh-CN"/>
              </w:rPr>
              <w:t>18</w:t>
            </w:r>
          </w:p>
        </w:tc>
        <w:tc>
          <w:tcPr>
            <w:tcW w:w="951" w:type="dxa"/>
            <w:vAlign w:val="center"/>
          </w:tcPr>
          <w:p>
            <w:pPr>
              <w:widowControl/>
              <w:spacing w:line="360" w:lineRule="auto"/>
              <w:jc w:val="center"/>
              <w:rPr>
                <w:rFonts w:hint="eastAsia" w:hAnsi="宋体"/>
                <w:szCs w:val="24"/>
                <w:highlight w:val="none"/>
              </w:rPr>
            </w:pPr>
            <w:r>
              <w:rPr>
                <w:rFonts w:hint="eastAsia" w:hAnsi="宋体"/>
                <w:szCs w:val="24"/>
                <w:highlight w:val="none"/>
              </w:rPr>
              <w:t>采购文件所属行业</w:t>
            </w:r>
          </w:p>
        </w:tc>
        <w:tc>
          <w:tcPr>
            <w:tcW w:w="7542" w:type="dxa"/>
            <w:vAlign w:val="center"/>
          </w:tcPr>
          <w:p>
            <w:pPr>
              <w:widowControl/>
              <w:spacing w:line="360" w:lineRule="auto"/>
              <w:rPr>
                <w:rFonts w:hint="eastAsia" w:hAnsi="宋体" w:eastAsia="宋体"/>
                <w:szCs w:val="24"/>
                <w:highlight w:val="none"/>
                <w:lang w:eastAsia="zh-CN"/>
              </w:rPr>
            </w:pPr>
            <w:r>
              <w:rPr>
                <w:rFonts w:hint="eastAsia" w:hAnsi="宋体"/>
                <w:szCs w:val="24"/>
                <w:highlight w:val="none"/>
                <w:lang w:eastAsia="zh-CN"/>
              </w:rPr>
              <w:t>建筑业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pPr>
              <w:jc w:val="center"/>
              <w:rPr>
                <w:rFonts w:hint="default" w:hAnsi="宋体" w:cs="宋体"/>
                <w:szCs w:val="24"/>
                <w:highlight w:val="none"/>
                <w:lang w:val="en-US" w:eastAsia="zh-CN"/>
              </w:rPr>
            </w:pPr>
            <w:r>
              <w:rPr>
                <w:rFonts w:hint="eastAsia" w:hAnsi="宋体" w:cs="宋体"/>
                <w:szCs w:val="24"/>
                <w:highlight w:val="none"/>
                <w:lang w:val="en-US" w:eastAsia="zh-CN"/>
              </w:rPr>
              <w:t>19</w:t>
            </w:r>
          </w:p>
        </w:tc>
        <w:tc>
          <w:tcPr>
            <w:tcW w:w="951" w:type="dxa"/>
            <w:vAlign w:val="center"/>
          </w:tcPr>
          <w:p>
            <w:pPr>
              <w:widowControl/>
              <w:spacing w:line="360" w:lineRule="auto"/>
              <w:jc w:val="center"/>
              <w:rPr>
                <w:rFonts w:hint="eastAsia" w:hAnsi="宋体"/>
                <w:szCs w:val="24"/>
                <w:highlight w:val="none"/>
              </w:rPr>
            </w:pPr>
            <w:r>
              <w:rPr>
                <w:rFonts w:hint="eastAsia" w:hAnsi="宋体"/>
                <w:szCs w:val="24"/>
                <w:highlight w:val="none"/>
              </w:rPr>
              <w:t>政策性扣减</w:t>
            </w:r>
          </w:p>
        </w:tc>
        <w:tc>
          <w:tcPr>
            <w:tcW w:w="7542" w:type="dxa"/>
            <w:vAlign w:val="center"/>
          </w:tcPr>
          <w:p>
            <w:pPr>
              <w:widowControl/>
              <w:spacing w:line="360" w:lineRule="auto"/>
              <w:rPr>
                <w:rFonts w:hint="eastAsia" w:hAnsi="宋体"/>
                <w:szCs w:val="24"/>
                <w:highlight w:val="none"/>
                <w:lang w:eastAsia="zh-CN"/>
              </w:rPr>
            </w:pPr>
            <w:r>
              <w:rPr>
                <w:rFonts w:hint="eastAsia" w:hAnsi="宋体"/>
                <w:szCs w:val="24"/>
                <w:highlight w:val="none"/>
              </w:rPr>
              <w:t>对符合《政府采购促进中小企业发展管理办法》(财库(2020)46号)规定的小微企业(监狱企业视同小型、微型企业)的报价给予10%的扣除,用扣除后的价格参加评审。本项目为专门面向中小企业，不在进行价格分的扣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20</w:t>
            </w:r>
          </w:p>
        </w:tc>
        <w:tc>
          <w:tcPr>
            <w:tcW w:w="951" w:type="dxa"/>
            <w:vAlign w:val="center"/>
          </w:tcPr>
          <w:p>
            <w:pPr>
              <w:spacing w:line="360" w:lineRule="auto"/>
              <w:jc w:val="center"/>
              <w:rPr>
                <w:rFonts w:hAnsi="宋体" w:cs="宋体"/>
                <w:szCs w:val="24"/>
                <w:highlight w:val="none"/>
              </w:rPr>
            </w:pPr>
            <w:r>
              <w:rPr>
                <w:rFonts w:hint="eastAsia" w:hAnsi="宋体" w:cs="宋体"/>
                <w:szCs w:val="24"/>
                <w:highlight w:val="none"/>
              </w:rPr>
              <w:t>履约</w:t>
            </w:r>
          </w:p>
          <w:p>
            <w:pPr>
              <w:spacing w:line="360" w:lineRule="auto"/>
              <w:jc w:val="center"/>
              <w:rPr>
                <w:rFonts w:hAnsi="宋体" w:cs="宋体"/>
                <w:b/>
                <w:bCs/>
                <w:szCs w:val="24"/>
                <w:highlight w:val="none"/>
              </w:rPr>
            </w:pPr>
            <w:r>
              <w:rPr>
                <w:rFonts w:hint="eastAsia" w:hAnsi="宋体" w:cs="宋体"/>
                <w:szCs w:val="24"/>
                <w:highlight w:val="none"/>
              </w:rPr>
              <w:t>担保</w:t>
            </w:r>
          </w:p>
        </w:tc>
        <w:tc>
          <w:tcPr>
            <w:tcW w:w="7542" w:type="dxa"/>
            <w:vAlign w:val="center"/>
          </w:tcPr>
          <w:p>
            <w:pPr>
              <w:widowControl/>
              <w:spacing w:line="360" w:lineRule="auto"/>
              <w:jc w:val="left"/>
              <w:rPr>
                <w:rFonts w:hint="eastAsia" w:hAnsi="宋体" w:eastAsia="宋体" w:cs="宋体"/>
                <w:szCs w:val="24"/>
                <w:highlight w:val="none"/>
                <w:lang w:eastAsia="zh-CN"/>
              </w:rPr>
            </w:pPr>
            <w:r>
              <w:rPr>
                <w:rFonts w:hint="eastAsia" w:hAnsi="宋体" w:cs="宋体"/>
                <w:szCs w:val="24"/>
                <w:highlight w:val="none"/>
              </w:rPr>
              <w:t>履约担保的形式：</w:t>
            </w:r>
            <w:r>
              <w:rPr>
                <w:rFonts w:hint="eastAsia" w:hAnsi="宋体" w:cs="宋体"/>
                <w:szCs w:val="24"/>
                <w:highlight w:val="none"/>
                <w:lang w:val="en-US" w:eastAsia="zh-CN"/>
              </w:rPr>
              <w:t>/</w:t>
            </w:r>
          </w:p>
          <w:p>
            <w:pPr>
              <w:spacing w:line="360" w:lineRule="auto"/>
              <w:rPr>
                <w:rFonts w:hint="default" w:hAnsi="宋体" w:eastAsia="宋体" w:cs="宋体"/>
                <w:b/>
                <w:bCs/>
                <w:szCs w:val="24"/>
                <w:highlight w:val="none"/>
                <w:lang w:val="en-US" w:eastAsia="zh-CN"/>
              </w:rPr>
            </w:pPr>
            <w:r>
              <w:rPr>
                <w:rFonts w:hint="eastAsia" w:hAnsi="宋体" w:cs="宋体"/>
                <w:szCs w:val="24"/>
                <w:highlight w:val="none"/>
              </w:rPr>
              <w:t>履约担保的金额：</w:t>
            </w:r>
            <w:r>
              <w:rPr>
                <w:rFonts w:hint="eastAsia" w:hAnsi="宋体" w:cs="宋体"/>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32" w:hRule="atLeast"/>
          <w:jc w:val="center"/>
        </w:trPr>
        <w:tc>
          <w:tcPr>
            <w:tcW w:w="592" w:type="dxa"/>
            <w:vAlign w:val="center"/>
          </w:tcPr>
          <w:p>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21</w:t>
            </w:r>
          </w:p>
        </w:tc>
        <w:tc>
          <w:tcPr>
            <w:tcW w:w="951" w:type="dxa"/>
            <w:vAlign w:val="center"/>
          </w:tcPr>
          <w:p>
            <w:pPr>
              <w:spacing w:line="360" w:lineRule="auto"/>
              <w:jc w:val="center"/>
              <w:rPr>
                <w:rFonts w:hAnsi="宋体" w:cs="宋体"/>
                <w:bCs/>
                <w:szCs w:val="24"/>
                <w:highlight w:val="none"/>
              </w:rPr>
            </w:pPr>
            <w:r>
              <w:rPr>
                <w:rFonts w:hint="eastAsia" w:hAnsi="宋体" w:cs="宋体"/>
                <w:bCs/>
                <w:szCs w:val="24"/>
                <w:highlight w:val="none"/>
              </w:rPr>
              <w:t>现场</w:t>
            </w:r>
          </w:p>
          <w:p>
            <w:pPr>
              <w:spacing w:line="360" w:lineRule="auto"/>
              <w:jc w:val="center"/>
              <w:rPr>
                <w:rFonts w:hAnsi="宋体" w:cs="宋体"/>
                <w:szCs w:val="24"/>
                <w:highlight w:val="none"/>
              </w:rPr>
            </w:pPr>
            <w:r>
              <w:rPr>
                <w:rFonts w:hint="eastAsia" w:hAnsi="宋体" w:cs="宋体"/>
                <w:kern w:val="2"/>
                <w:szCs w:val="24"/>
                <w:highlight w:val="none"/>
              </w:rPr>
              <w:t>踏</w:t>
            </w:r>
            <w:r>
              <w:rPr>
                <w:rFonts w:hint="eastAsia" w:hAnsi="宋体" w:cs="宋体"/>
                <w:bCs/>
                <w:szCs w:val="24"/>
                <w:highlight w:val="none"/>
              </w:rPr>
              <w:t>勘</w:t>
            </w:r>
          </w:p>
        </w:tc>
        <w:tc>
          <w:tcPr>
            <w:tcW w:w="7542" w:type="dxa"/>
            <w:vAlign w:val="center"/>
          </w:tcPr>
          <w:p>
            <w:pPr>
              <w:spacing w:line="360" w:lineRule="auto"/>
              <w:rPr>
                <w:highlight w:val="none"/>
              </w:rPr>
            </w:pPr>
            <w:r>
              <w:rPr>
                <w:rFonts w:hint="eastAsia"/>
                <w:highlight w:val="none"/>
              </w:rPr>
              <w:t>1、不组织；</w:t>
            </w:r>
          </w:p>
          <w:p>
            <w:pPr>
              <w:spacing w:line="360" w:lineRule="auto"/>
              <w:rPr>
                <w:highlight w:val="none"/>
              </w:rPr>
            </w:pPr>
            <w:r>
              <w:rPr>
                <w:rFonts w:hint="eastAsia"/>
                <w:highlight w:val="none"/>
              </w:rPr>
              <w:t>2、供应商自行踏勘，并承担踏勘现场所发生的相关费用和自身安全责任；踏勘过程不得扰民。</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eastAsiaTheme="minorEastAsia"/>
                <w:highlight w:val="none"/>
                <w:lang w:eastAsia="zh-CN"/>
              </w:rPr>
            </w:pPr>
            <w:r>
              <w:rPr>
                <w:rFonts w:hint="eastAsia"/>
                <w:szCs w:val="22"/>
                <w:highlight w:val="none"/>
              </w:rPr>
              <w:t>3、</w:t>
            </w:r>
            <w:r>
              <w:rPr>
                <w:rFonts w:hint="eastAsia" w:ascii="宋体" w:hAnsi="Times New Roman" w:eastAsia="宋体" w:cs="Times New Roman"/>
                <w:sz w:val="24"/>
                <w:szCs w:val="20"/>
                <w:highlight w:val="none"/>
                <w:lang w:val="en-US" w:eastAsia="zh-CN" w:bidi="ar-SA"/>
              </w:rPr>
              <w:t>电话：0915-6914212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32" w:hRule="atLeast"/>
          <w:jc w:val="center"/>
        </w:trPr>
        <w:tc>
          <w:tcPr>
            <w:tcW w:w="592" w:type="dxa"/>
            <w:vAlign w:val="center"/>
          </w:tcPr>
          <w:p>
            <w:pPr>
              <w:jc w:val="center"/>
              <w:rPr>
                <w:rFonts w:hint="default" w:hAnsi="宋体" w:cs="宋体"/>
                <w:szCs w:val="24"/>
                <w:highlight w:val="none"/>
                <w:lang w:val="en-US" w:eastAsia="zh-CN"/>
              </w:rPr>
            </w:pPr>
            <w:r>
              <w:rPr>
                <w:rFonts w:hint="eastAsia" w:hAnsi="宋体" w:cs="宋体"/>
                <w:szCs w:val="24"/>
                <w:highlight w:val="none"/>
                <w:lang w:val="en-US" w:eastAsia="zh-CN"/>
              </w:rPr>
              <w:t>22</w:t>
            </w:r>
          </w:p>
        </w:tc>
        <w:tc>
          <w:tcPr>
            <w:tcW w:w="951" w:type="dxa"/>
            <w:vAlign w:val="center"/>
          </w:tcPr>
          <w:p>
            <w:pPr>
              <w:spacing w:line="360" w:lineRule="auto"/>
              <w:jc w:val="center"/>
              <w:rPr>
                <w:rFonts w:hint="eastAsia" w:hAnsi="宋体" w:cs="宋体"/>
                <w:kern w:val="2"/>
                <w:szCs w:val="24"/>
                <w:highlight w:val="none"/>
                <w:lang w:eastAsia="zh-CN"/>
              </w:rPr>
            </w:pPr>
            <w:r>
              <w:rPr>
                <w:rFonts w:hint="eastAsia" w:hAnsi="宋体" w:cs="宋体"/>
                <w:kern w:val="2"/>
                <w:szCs w:val="24"/>
                <w:highlight w:val="none"/>
                <w:lang w:eastAsia="zh-CN"/>
              </w:rPr>
              <w:t>以工</w:t>
            </w:r>
          </w:p>
          <w:p>
            <w:pPr>
              <w:spacing w:line="360" w:lineRule="auto"/>
              <w:jc w:val="center"/>
              <w:rPr>
                <w:rFonts w:hint="eastAsia" w:hAnsi="宋体" w:eastAsia="宋体" w:cs="宋体"/>
                <w:kern w:val="2"/>
                <w:szCs w:val="24"/>
                <w:highlight w:val="none"/>
                <w:lang w:eastAsia="zh-CN"/>
              </w:rPr>
            </w:pPr>
            <w:r>
              <w:rPr>
                <w:rFonts w:hint="eastAsia" w:hAnsi="宋体" w:cs="宋体"/>
                <w:kern w:val="2"/>
                <w:szCs w:val="24"/>
                <w:highlight w:val="none"/>
                <w:lang w:eastAsia="zh-CN"/>
              </w:rPr>
              <w:t>代赈</w:t>
            </w:r>
          </w:p>
        </w:tc>
        <w:tc>
          <w:tcPr>
            <w:tcW w:w="7542" w:type="dxa"/>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cs="Times New Roman"/>
                <w:szCs w:val="22"/>
                <w:highlight w:val="none"/>
                <w:lang w:eastAsia="zh-CN"/>
              </w:rPr>
            </w:pPr>
            <w:r>
              <w:rPr>
                <w:rFonts w:hint="eastAsia"/>
                <w:szCs w:val="22"/>
                <w:highlight w:val="none"/>
                <w:lang w:eastAsia="zh-CN"/>
              </w:rPr>
              <w:t>根据“宁发改农经〔2023〕57号”《宁陕县发展和改革局关于广货街镇漫沟民宿区基础配套项目(一期)实施方案的批复</w:t>
            </w:r>
            <w:r>
              <w:rPr>
                <w:rFonts w:hint="eastAsia" w:cs="Times New Roman"/>
                <w:szCs w:val="22"/>
                <w:highlight w:val="none"/>
                <w:lang w:eastAsia="zh-CN"/>
              </w:rPr>
              <w:t>》文件要求，广货街镇漫沟民宿区基础配套项目（一期）拟用推广以工代赈方式实施：</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cs="Times New Roman"/>
                <w:szCs w:val="22"/>
                <w:highlight w:val="none"/>
                <w:lang w:eastAsia="zh-CN"/>
              </w:rPr>
            </w:pPr>
            <w:r>
              <w:rPr>
                <w:rFonts w:hint="eastAsia" w:cs="Times New Roman"/>
                <w:szCs w:val="22"/>
                <w:highlight w:val="none"/>
                <w:lang w:eastAsia="zh-CN"/>
              </w:rPr>
              <w:t>1.成交单位应吸纳广货街镇为主的群众参与工程项目建设，</w:t>
            </w:r>
            <w:r>
              <w:rPr>
                <w:rFonts w:hint="eastAsia" w:cs="Times New Roman"/>
                <w:szCs w:val="22"/>
                <w:highlight w:val="none"/>
                <w:lang w:val="en-US" w:eastAsia="zh-CN"/>
              </w:rPr>
              <w:t>带动当地群众务工人数不少于10人，发放劳务报酬不低于15.9万元。</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szCs w:val="22"/>
                <w:highlight w:val="none"/>
                <w:lang w:eastAsia="zh-CN"/>
              </w:rPr>
            </w:pPr>
            <w:r>
              <w:rPr>
                <w:rFonts w:hint="eastAsia" w:cs="Times New Roman"/>
                <w:szCs w:val="22"/>
                <w:highlight w:val="none"/>
                <w:lang w:eastAsia="zh-CN"/>
              </w:rPr>
              <w:t>2.若成交单位未履行或履行合同义务不符合</w:t>
            </w:r>
            <w:r>
              <w:rPr>
                <w:rFonts w:hint="eastAsia" w:cs="Times New Roman"/>
                <w:szCs w:val="22"/>
                <w:highlight w:val="none"/>
                <w:lang w:val="en-US" w:eastAsia="zh-CN"/>
              </w:rPr>
              <w:t>吸纳广货街镇为主的群众参与本工程项目建设，带动当地群众务工人数不少于10人，发放劳务报酬不低于15.9万元约定的，应承担违约责任，违约责任包括继续履行、采取补救措施或者赔偿损失等。</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default" w:eastAsia="宋体"/>
                <w:szCs w:val="22"/>
                <w:highlight w:val="none"/>
                <w:lang w:val="en-US" w:eastAsia="zh-CN"/>
              </w:rPr>
            </w:pPr>
            <w:r>
              <w:rPr>
                <w:rFonts w:hint="eastAsia"/>
                <w:b/>
                <w:bCs/>
                <w:szCs w:val="22"/>
                <w:highlight w:val="none"/>
                <w:lang w:eastAsia="zh-CN"/>
              </w:rPr>
              <w:t>供应商须对以上要求做出书面承诺，承诺书格式自拟。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pPr>
              <w:widowControl/>
              <w:spacing w:line="360" w:lineRule="auto"/>
              <w:jc w:val="center"/>
              <w:rPr>
                <w:rFonts w:hint="default" w:hAnsi="宋体" w:eastAsia="宋体" w:cs="宋体"/>
                <w:b/>
                <w:bCs/>
                <w:szCs w:val="24"/>
                <w:highlight w:val="none"/>
                <w:lang w:val="en-US" w:eastAsia="zh-CN"/>
              </w:rPr>
            </w:pPr>
            <w:r>
              <w:rPr>
                <w:rFonts w:hint="eastAsia" w:hAnsi="宋体" w:cs="宋体"/>
                <w:b/>
                <w:bCs/>
                <w:szCs w:val="24"/>
                <w:highlight w:val="none"/>
                <w:lang w:val="en-US" w:eastAsia="zh-CN"/>
              </w:rPr>
              <w:t>23</w:t>
            </w:r>
          </w:p>
        </w:tc>
        <w:tc>
          <w:tcPr>
            <w:tcW w:w="951" w:type="dxa"/>
            <w:vAlign w:val="center"/>
          </w:tcPr>
          <w:p>
            <w:pPr>
              <w:widowControl/>
              <w:spacing w:line="360" w:lineRule="auto"/>
              <w:jc w:val="center"/>
              <w:rPr>
                <w:rFonts w:hAnsi="宋体" w:cs="宋体"/>
                <w:b/>
                <w:bCs/>
                <w:szCs w:val="24"/>
                <w:highlight w:val="none"/>
              </w:rPr>
            </w:pPr>
            <w:r>
              <w:rPr>
                <w:rFonts w:hint="eastAsia" w:hAnsi="宋体" w:cs="宋体"/>
                <w:b/>
                <w:bCs/>
                <w:szCs w:val="24"/>
                <w:highlight w:val="none"/>
              </w:rPr>
              <w:t>备注</w:t>
            </w:r>
          </w:p>
        </w:tc>
        <w:tc>
          <w:tcPr>
            <w:tcW w:w="7542" w:type="dxa"/>
            <w:vAlign w:val="center"/>
          </w:tcPr>
          <w:p>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pPr>
              <w:spacing w:line="500" w:lineRule="exact"/>
              <w:ind w:firstLine="482" w:firstLineChars="200"/>
              <w:rPr>
                <w:rFonts w:hAnsi="宋体" w:cs="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bookmarkEnd w:id="9"/>
      <w:bookmarkEnd w:id="10"/>
      <w:bookmarkEnd w:id="11"/>
    </w:tbl>
    <w:p>
      <w:pPr>
        <w:spacing w:before="156" w:beforeLines="50" w:after="156" w:afterLines="50"/>
        <w:jc w:val="center"/>
        <w:rPr>
          <w:rFonts w:hAnsi="宋体" w:cs="宋体"/>
          <w:sz w:val="32"/>
          <w:szCs w:val="32"/>
          <w:highlight w:val="none"/>
        </w:rPr>
      </w:pPr>
      <w:bookmarkStart w:id="26" w:name="_Toc403077639"/>
      <w:bookmarkStart w:id="27" w:name="_Toc363473972"/>
      <w:bookmarkStart w:id="28" w:name="_Toc363474017"/>
      <w:r>
        <w:rPr>
          <w:rFonts w:hint="eastAsia" w:hAnsi="宋体" w:cs="宋体"/>
          <w:b/>
          <w:sz w:val="32"/>
          <w:szCs w:val="32"/>
          <w:highlight w:val="none"/>
        </w:rPr>
        <w:br w:type="page"/>
      </w:r>
      <w:r>
        <w:rPr>
          <w:rFonts w:hint="eastAsia" w:hAnsi="宋体" w:cs="宋体"/>
          <w:b/>
          <w:sz w:val="32"/>
          <w:szCs w:val="32"/>
          <w:highlight w:val="none"/>
        </w:rPr>
        <w:t>一.总  则</w:t>
      </w:r>
      <w:bookmarkEnd w:id="26"/>
      <w:bookmarkEnd w:id="27"/>
      <w:bookmarkEnd w:id="28"/>
    </w:p>
    <w:p>
      <w:pPr>
        <w:spacing w:line="360" w:lineRule="auto"/>
        <w:rPr>
          <w:rFonts w:hAnsi="宋体" w:cs="宋体"/>
          <w:b/>
          <w:szCs w:val="24"/>
          <w:highlight w:val="none"/>
        </w:rPr>
      </w:pPr>
      <w:r>
        <w:rPr>
          <w:rFonts w:hint="eastAsia" w:hAnsi="宋体" w:cs="宋体"/>
          <w:b/>
          <w:szCs w:val="24"/>
          <w:highlight w:val="none"/>
        </w:rPr>
        <w:t>1.资金来源</w:t>
      </w:r>
    </w:p>
    <w:p>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1.1本次竞争性磋商所签合同使用财政</w:t>
      </w:r>
      <w:r>
        <w:rPr>
          <w:rFonts w:hint="eastAsia" w:hAnsi="宋体" w:cs="宋体"/>
          <w:szCs w:val="24"/>
          <w:highlight w:val="none"/>
          <w:lang w:eastAsia="zh-CN"/>
        </w:rPr>
        <w:t>拨款</w:t>
      </w:r>
      <w:r>
        <w:rPr>
          <w:rFonts w:hint="eastAsia" w:hAnsi="宋体" w:cs="宋体"/>
          <w:szCs w:val="24"/>
          <w:highlight w:val="none"/>
        </w:rPr>
        <w:t>支付，资金已落实到位。</w:t>
      </w:r>
    </w:p>
    <w:p>
      <w:pPr>
        <w:numPr>
          <w:ilvl w:val="0"/>
          <w:numId w:val="2"/>
        </w:numPr>
        <w:spacing w:line="500" w:lineRule="exact"/>
        <w:rPr>
          <w:rFonts w:hAnsi="宋体" w:cs="宋体"/>
          <w:b/>
          <w:szCs w:val="24"/>
          <w:highlight w:val="none"/>
        </w:rPr>
      </w:pPr>
      <w:bookmarkStart w:id="29" w:name="_Toc403077640"/>
      <w:bookmarkStart w:id="30" w:name="_Toc363474018"/>
      <w:bookmarkStart w:id="31" w:name="_Toc363473973"/>
      <w:r>
        <w:rPr>
          <w:rFonts w:hint="eastAsia" w:hAnsi="宋体" w:cs="宋体"/>
          <w:b/>
          <w:szCs w:val="24"/>
          <w:highlight w:val="none"/>
        </w:rPr>
        <w:t>名词解释</w:t>
      </w:r>
    </w:p>
    <w:p>
      <w:pPr>
        <w:tabs>
          <w:tab w:val="left" w:pos="7665"/>
        </w:tabs>
        <w:spacing w:line="360" w:lineRule="auto"/>
        <w:ind w:firstLine="480" w:firstLineChars="200"/>
        <w:rPr>
          <w:rFonts w:hint="eastAsia" w:hAnsi="宋体" w:cs="宋体"/>
          <w:szCs w:val="22"/>
          <w:highlight w:val="none"/>
          <w:lang w:eastAsia="zh-CN"/>
        </w:rPr>
      </w:pPr>
      <w:r>
        <w:rPr>
          <w:rFonts w:hint="eastAsia" w:hAnsi="宋体" w:cs="宋体"/>
          <w:szCs w:val="22"/>
          <w:highlight w:val="none"/>
        </w:rPr>
        <w:t>2.1采购人：</w:t>
      </w:r>
      <w:r>
        <w:rPr>
          <w:rFonts w:hint="eastAsia" w:hAnsi="宋体" w:cs="宋体"/>
          <w:szCs w:val="22"/>
          <w:highlight w:val="none"/>
          <w:lang w:eastAsia="zh-CN"/>
        </w:rPr>
        <w:t>宁陕县广货街镇人民政府</w:t>
      </w:r>
    </w:p>
    <w:p>
      <w:pPr>
        <w:tabs>
          <w:tab w:val="left" w:pos="7665"/>
        </w:tabs>
        <w:spacing w:line="360" w:lineRule="auto"/>
        <w:ind w:firstLine="480" w:firstLineChars="200"/>
        <w:rPr>
          <w:rFonts w:hAnsi="宋体" w:cs="宋体"/>
          <w:szCs w:val="22"/>
          <w:highlight w:val="none"/>
        </w:rPr>
      </w:pPr>
      <w:r>
        <w:rPr>
          <w:rFonts w:hint="eastAsia" w:hAnsi="宋体" w:cs="宋体"/>
          <w:szCs w:val="22"/>
          <w:highlight w:val="none"/>
        </w:rPr>
        <w:t>2.2监督机构：同级人民政府财政部门</w:t>
      </w:r>
    </w:p>
    <w:p>
      <w:pPr>
        <w:tabs>
          <w:tab w:val="left" w:pos="7665"/>
        </w:tabs>
        <w:spacing w:line="360" w:lineRule="auto"/>
        <w:ind w:firstLine="480" w:firstLineChars="200"/>
        <w:rPr>
          <w:rFonts w:hAnsi="宋体" w:cs="宋体"/>
          <w:highlight w:val="none"/>
        </w:rPr>
      </w:pPr>
      <w:r>
        <w:rPr>
          <w:rFonts w:hint="eastAsia" w:hAnsi="宋体" w:cs="宋体"/>
          <w:szCs w:val="22"/>
          <w:highlight w:val="none"/>
        </w:rPr>
        <w:t>2.3采购代理机构：陕西至诚招标咨询有限公司</w:t>
      </w:r>
    </w:p>
    <w:p>
      <w:pPr>
        <w:tabs>
          <w:tab w:val="left" w:pos="7665"/>
        </w:tabs>
        <w:spacing w:line="360" w:lineRule="auto"/>
        <w:ind w:firstLine="480" w:firstLineChars="200"/>
        <w:rPr>
          <w:rFonts w:hAnsi="宋体" w:cs="宋体"/>
          <w:highlight w:val="none"/>
        </w:rPr>
      </w:pPr>
      <w:r>
        <w:rPr>
          <w:rFonts w:hint="eastAsia" w:hAnsi="宋体" w:cs="宋体"/>
          <w:highlight w:val="none"/>
        </w:rPr>
        <w:t>2.4供应商：是指响应和符合竞争性磋商文件规定资格条件且参与竞争性磋商的法人、其他组织或者自然人。</w:t>
      </w:r>
    </w:p>
    <w:p>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pPr>
        <w:spacing w:line="500" w:lineRule="exact"/>
        <w:rPr>
          <w:rFonts w:hAnsi="宋体" w:cs="宋体"/>
          <w:b/>
          <w:szCs w:val="24"/>
          <w:highlight w:val="none"/>
        </w:rPr>
      </w:pPr>
      <w:r>
        <w:rPr>
          <w:rFonts w:hint="eastAsia" w:hAnsi="宋体" w:cs="宋体"/>
          <w:b/>
          <w:szCs w:val="24"/>
          <w:highlight w:val="none"/>
        </w:rPr>
        <w:t>3.合格的供应商</w:t>
      </w:r>
    </w:p>
    <w:p>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3.1《政府采购法》第二十二条第一款规定的供应商基本资格条件:</w:t>
      </w:r>
    </w:p>
    <w:p>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pPr>
        <w:spacing w:line="500" w:lineRule="exact"/>
        <w:ind w:firstLine="480" w:firstLineChars="200"/>
        <w:rPr>
          <w:rFonts w:hAnsi="宋体" w:cs="宋体"/>
          <w:szCs w:val="24"/>
          <w:highlight w:val="none"/>
        </w:rPr>
      </w:pPr>
      <w:r>
        <w:rPr>
          <w:rFonts w:hint="eastAsia" w:hAnsi="宋体" w:cs="宋体"/>
          <w:szCs w:val="24"/>
          <w:highlight w:val="none"/>
        </w:rPr>
        <w:t>3.4供应商必须在陕西至诚招标咨询有限公司购买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pPr>
        <w:spacing w:line="360" w:lineRule="auto"/>
        <w:rPr>
          <w:rFonts w:hAnsi="宋体" w:cs="宋体"/>
          <w:b/>
          <w:szCs w:val="24"/>
          <w:highlight w:val="none"/>
        </w:rPr>
      </w:pPr>
      <w:r>
        <w:rPr>
          <w:rFonts w:hint="eastAsia" w:hAnsi="宋体" w:cs="宋体"/>
          <w:b/>
          <w:szCs w:val="24"/>
          <w:highlight w:val="none"/>
        </w:rPr>
        <w:t>5.竞争性磋商响应文件内容的真实性</w:t>
      </w:r>
    </w:p>
    <w:p>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pPr>
        <w:keepNext/>
        <w:keepLines/>
        <w:spacing w:before="312" w:beforeLines="100" w:after="156" w:afterLines="50" w:line="360" w:lineRule="auto"/>
        <w:jc w:val="center"/>
        <w:rPr>
          <w:rFonts w:hAnsi="宋体" w:cs="宋体"/>
          <w:b/>
          <w:sz w:val="32"/>
          <w:szCs w:val="32"/>
          <w:highlight w:val="none"/>
        </w:rPr>
      </w:pPr>
      <w:r>
        <w:rPr>
          <w:rFonts w:hint="eastAsia" w:hAnsi="宋体" w:cs="宋体"/>
          <w:b/>
          <w:sz w:val="32"/>
          <w:szCs w:val="32"/>
          <w:highlight w:val="none"/>
        </w:rPr>
        <w:t>二.竞争性磋商文件</w:t>
      </w:r>
      <w:bookmarkEnd w:id="29"/>
      <w:bookmarkEnd w:id="30"/>
      <w:bookmarkEnd w:id="31"/>
    </w:p>
    <w:p>
      <w:pPr>
        <w:spacing w:line="360" w:lineRule="auto"/>
        <w:rPr>
          <w:rFonts w:hAnsi="宋体" w:cs="宋体"/>
          <w:b/>
          <w:szCs w:val="24"/>
          <w:highlight w:val="none"/>
        </w:rPr>
      </w:pPr>
      <w:r>
        <w:rPr>
          <w:rFonts w:hint="eastAsia" w:hAnsi="宋体" w:cs="宋体"/>
          <w:b/>
          <w:szCs w:val="24"/>
          <w:highlight w:val="none"/>
        </w:rPr>
        <w:t>6.竞争性磋商文件构成</w:t>
      </w:r>
    </w:p>
    <w:p>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pPr>
        <w:spacing w:line="360" w:lineRule="auto"/>
        <w:ind w:firstLine="480" w:firstLineChars="200"/>
        <w:rPr>
          <w:rFonts w:hAnsi="宋体" w:cs="宋体"/>
          <w:szCs w:val="24"/>
          <w:highlight w:val="none"/>
        </w:rPr>
      </w:pPr>
      <w:r>
        <w:rPr>
          <w:rFonts w:hint="eastAsia" w:hAnsi="宋体" w:cs="宋体"/>
          <w:szCs w:val="24"/>
          <w:highlight w:val="none"/>
        </w:rPr>
        <w:t xml:space="preserve">第三章 评审方法    </w:t>
      </w:r>
    </w:p>
    <w:p>
      <w:pPr>
        <w:spacing w:line="360" w:lineRule="auto"/>
        <w:ind w:firstLine="480" w:firstLineChars="200"/>
        <w:rPr>
          <w:rFonts w:hint="eastAsia" w:hAnsi="宋体" w:cs="宋体"/>
          <w:szCs w:val="24"/>
          <w:highlight w:val="none"/>
          <w:lang w:val="en-US" w:eastAsia="zh-CN"/>
        </w:rPr>
      </w:pPr>
      <w:r>
        <w:rPr>
          <w:rFonts w:hint="eastAsia" w:hAnsi="宋体" w:cs="宋体"/>
          <w:szCs w:val="24"/>
          <w:highlight w:val="none"/>
        </w:rPr>
        <w:t xml:space="preserve">第四章 </w:t>
      </w:r>
      <w:r>
        <w:rPr>
          <w:rFonts w:hint="eastAsia" w:hAnsi="宋体" w:cs="宋体"/>
          <w:szCs w:val="24"/>
          <w:highlight w:val="none"/>
          <w:lang w:val="en-US" w:eastAsia="zh-CN"/>
        </w:rPr>
        <w:t>合同文本及主要条款</w:t>
      </w:r>
    </w:p>
    <w:p>
      <w:pPr>
        <w:spacing w:line="360" w:lineRule="auto"/>
        <w:ind w:firstLine="480" w:firstLineChars="200"/>
        <w:rPr>
          <w:rFonts w:hAnsi="宋体" w:cs="宋体"/>
          <w:szCs w:val="24"/>
          <w:highlight w:val="none"/>
        </w:rPr>
      </w:pPr>
      <w:r>
        <w:rPr>
          <w:rFonts w:hint="eastAsia" w:hAnsi="宋体" w:cs="宋体"/>
          <w:szCs w:val="24"/>
          <w:highlight w:val="none"/>
        </w:rPr>
        <w:t>第五章 磋商内容及技术要求</w:t>
      </w:r>
    </w:p>
    <w:p>
      <w:pPr>
        <w:spacing w:line="360" w:lineRule="auto"/>
        <w:ind w:firstLine="480" w:firstLineChars="200"/>
        <w:rPr>
          <w:rFonts w:hAnsi="宋体" w:cs="宋体"/>
          <w:szCs w:val="24"/>
          <w:highlight w:val="none"/>
        </w:rPr>
      </w:pPr>
      <w:r>
        <w:rPr>
          <w:rFonts w:hint="eastAsia" w:hAnsi="宋体" w:cs="宋体"/>
          <w:szCs w:val="24"/>
          <w:highlight w:val="none"/>
        </w:rPr>
        <w:t xml:space="preserve">第六章 竞争性磋商响应文件构成及格式  </w:t>
      </w:r>
    </w:p>
    <w:p>
      <w:pPr>
        <w:spacing w:line="360" w:lineRule="auto"/>
        <w:ind w:firstLine="480" w:firstLineChars="200"/>
        <w:rPr>
          <w:rFonts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pPr>
        <w:spacing w:line="500" w:lineRule="exact"/>
        <w:ind w:firstLine="480" w:firstLineChars="200"/>
        <w:rPr>
          <w:rFonts w:hAnsi="宋体" w:cs="宋体"/>
          <w:szCs w:val="24"/>
          <w:highlight w:val="none"/>
        </w:rPr>
      </w:pPr>
      <w:r>
        <w:rPr>
          <w:rFonts w:hint="eastAsia" w:hAnsi="宋体" w:cs="宋体"/>
          <w:szCs w:val="24"/>
          <w:highlight w:val="none"/>
        </w:rPr>
        <w:t>6.3本竞争性磋商文件的解释权归陕西至诚招标咨询有限公司，如发现竞争性磋商响应文件内容与现行法律法规不相符的情况，以现行法律法规为准。</w:t>
      </w:r>
    </w:p>
    <w:p>
      <w:pPr>
        <w:spacing w:line="360" w:lineRule="auto"/>
        <w:rPr>
          <w:rFonts w:hAnsi="宋体" w:cs="宋体"/>
          <w:b/>
          <w:szCs w:val="24"/>
          <w:highlight w:val="none"/>
        </w:rPr>
      </w:pPr>
      <w:r>
        <w:rPr>
          <w:rFonts w:hint="eastAsia" w:hAnsi="宋体" w:cs="宋体"/>
          <w:b/>
          <w:szCs w:val="24"/>
          <w:highlight w:val="none"/>
        </w:rPr>
        <w:t>7.竞争性磋商文件的修改和澄清</w:t>
      </w:r>
    </w:p>
    <w:p>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pPr>
        <w:keepNext/>
        <w:keepLines/>
        <w:spacing w:before="312" w:beforeLines="100" w:after="156" w:afterLines="50" w:line="360" w:lineRule="auto"/>
        <w:jc w:val="center"/>
        <w:rPr>
          <w:rFonts w:hAnsi="宋体" w:cs="宋体"/>
          <w:b/>
          <w:sz w:val="32"/>
          <w:szCs w:val="32"/>
          <w:highlight w:val="none"/>
        </w:rPr>
      </w:pPr>
      <w:bookmarkStart w:id="32" w:name="_Toc363474019"/>
      <w:bookmarkStart w:id="33" w:name="_Toc363473974"/>
      <w:bookmarkStart w:id="34" w:name="_Toc403077641"/>
      <w:r>
        <w:rPr>
          <w:rFonts w:hint="eastAsia" w:hAnsi="宋体" w:cs="宋体"/>
          <w:b/>
          <w:sz w:val="32"/>
          <w:szCs w:val="32"/>
          <w:highlight w:val="none"/>
        </w:rPr>
        <w:t>三.磋商响应文件的编制</w:t>
      </w:r>
      <w:bookmarkEnd w:id="32"/>
      <w:bookmarkEnd w:id="33"/>
      <w:bookmarkEnd w:id="34"/>
    </w:p>
    <w:p>
      <w:pPr>
        <w:spacing w:line="360" w:lineRule="auto"/>
        <w:rPr>
          <w:rFonts w:hAnsi="宋体" w:cs="宋体"/>
          <w:b/>
          <w:szCs w:val="24"/>
          <w:highlight w:val="none"/>
        </w:rPr>
      </w:pPr>
      <w:r>
        <w:rPr>
          <w:rFonts w:hint="eastAsia" w:hAnsi="宋体" w:cs="宋体"/>
          <w:b/>
          <w:szCs w:val="24"/>
          <w:highlight w:val="none"/>
        </w:rPr>
        <w:t>8. 磋商语言和磋商货币</w:t>
      </w:r>
    </w:p>
    <w:p>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pPr>
        <w:spacing w:line="360" w:lineRule="auto"/>
        <w:rPr>
          <w:rFonts w:hAnsi="宋体" w:cs="宋体"/>
          <w:b/>
          <w:szCs w:val="24"/>
          <w:highlight w:val="none"/>
        </w:rPr>
      </w:pPr>
      <w:r>
        <w:rPr>
          <w:rFonts w:hint="eastAsia" w:hAnsi="宋体" w:cs="宋体"/>
          <w:b/>
          <w:szCs w:val="24"/>
          <w:highlight w:val="none"/>
        </w:rPr>
        <w:t>9.竞争性磋商响应文件的构成</w:t>
      </w:r>
    </w:p>
    <w:p>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pPr>
        <w:spacing w:line="360" w:lineRule="auto"/>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pPr>
        <w:spacing w:line="360" w:lineRule="auto"/>
        <w:ind w:firstLine="480" w:firstLineChars="200"/>
        <w:rPr>
          <w:rFonts w:hAnsi="宋体" w:cs="宋体"/>
          <w:szCs w:val="24"/>
          <w:highlight w:val="none"/>
        </w:rPr>
      </w:pPr>
      <w:r>
        <w:rPr>
          <w:rFonts w:hint="eastAsia" w:hAnsi="宋体" w:cs="宋体"/>
          <w:szCs w:val="24"/>
          <w:highlight w:val="none"/>
        </w:rPr>
        <w:t>（5）竞争磋商文件中要求的其他证明文件。</w:t>
      </w:r>
    </w:p>
    <w:p>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w:t>
      </w:r>
      <w:r>
        <w:rPr>
          <w:rFonts w:hint="eastAsia" w:hAnsi="宋体" w:cs="宋体"/>
          <w:szCs w:val="24"/>
          <w:highlight w:val="none"/>
          <w:lang w:eastAsia="zh-CN"/>
        </w:rPr>
        <w:t>项目</w:t>
      </w:r>
      <w:r>
        <w:rPr>
          <w:rFonts w:hint="eastAsia" w:hAnsi="宋体" w:cs="宋体"/>
          <w:szCs w:val="24"/>
          <w:highlight w:val="none"/>
        </w:rPr>
        <w:t>”，供应商可根据自身的资质情况和经营范围对本次项目进行磋商，不得将其子目再行分解或只对本次项目中的品目进行不完全磋商，任何不完全的响应将会被拒绝。</w:t>
      </w:r>
    </w:p>
    <w:p>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pPr>
        <w:spacing w:line="360" w:lineRule="auto"/>
        <w:rPr>
          <w:rFonts w:hAnsi="宋体" w:cs="宋体"/>
          <w:b/>
          <w:szCs w:val="24"/>
          <w:highlight w:val="none"/>
        </w:rPr>
      </w:pPr>
      <w:r>
        <w:rPr>
          <w:rFonts w:hint="eastAsia" w:hAnsi="宋体" w:cs="宋体"/>
          <w:b/>
          <w:szCs w:val="24"/>
          <w:highlight w:val="none"/>
        </w:rPr>
        <w:t>11.磋商报价</w:t>
      </w:r>
    </w:p>
    <w:p>
      <w:pPr>
        <w:spacing w:line="360" w:lineRule="auto"/>
        <w:ind w:firstLine="480"/>
        <w:rPr>
          <w:rFonts w:hint="default"/>
          <w:highlight w:val="none"/>
          <w:lang w:val="en-US"/>
        </w:rPr>
      </w:pPr>
      <w:r>
        <w:rPr>
          <w:rFonts w:hint="eastAsia" w:hAnsi="宋体" w:cs="宋体"/>
          <w:highlight w:val="none"/>
        </w:rPr>
        <w:t>11.1</w:t>
      </w:r>
      <w:r>
        <w:rPr>
          <w:rFonts w:hint="eastAsia" w:hAnsi="宋体" w:cs="宋体"/>
          <w:szCs w:val="24"/>
          <w:highlight w:val="none"/>
        </w:rPr>
        <w:t>磋商</w:t>
      </w:r>
      <w:r>
        <w:rPr>
          <w:rFonts w:hint="eastAsia" w:hAnsi="宋体" w:cs="宋体"/>
          <w:highlight w:val="none"/>
        </w:rPr>
        <w:t>报价：</w:t>
      </w:r>
      <w:r>
        <w:rPr>
          <w:rFonts w:hint="eastAsia" w:hAnsi="宋体" w:cs="宋体"/>
          <w:szCs w:val="24"/>
          <w:highlight w:val="none"/>
          <w:lang w:val="en-US" w:eastAsia="zh-CN"/>
        </w:rPr>
        <w:t>磋商报价为供应商在响应文件中提出的各项支付金额的总和，供应商磋商报价包括但不限于材料费、施工设备使用费、劳务费、管理费、利润、规费、税金、安全和文明施工措施、技术措施费、风险费、政策文件规定的各项费用和支出等。</w:t>
      </w:r>
    </w:p>
    <w:p>
      <w:pPr>
        <w:spacing w:line="360" w:lineRule="auto"/>
        <w:ind w:firstLine="480" w:firstLineChars="20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w:t>
      </w:r>
    </w:p>
    <w:p>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pPr>
        <w:spacing w:line="360" w:lineRule="auto"/>
        <w:rPr>
          <w:rFonts w:hAnsi="宋体" w:cs="宋体"/>
          <w:b/>
          <w:szCs w:val="24"/>
          <w:highlight w:val="none"/>
        </w:rPr>
      </w:pPr>
      <w:r>
        <w:rPr>
          <w:rFonts w:hint="eastAsia" w:hAnsi="宋体" w:cs="宋体"/>
          <w:b/>
          <w:szCs w:val="24"/>
          <w:highlight w:val="none"/>
        </w:rPr>
        <w:t>12.证明供应商合格的资格证明文件</w:t>
      </w:r>
    </w:p>
    <w:p>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pPr>
        <w:spacing w:line="360" w:lineRule="auto"/>
        <w:rPr>
          <w:rFonts w:hAnsi="宋体" w:cs="宋体"/>
          <w:b/>
          <w:szCs w:val="24"/>
          <w:highlight w:val="none"/>
        </w:rPr>
      </w:pPr>
      <w:r>
        <w:rPr>
          <w:rFonts w:hint="eastAsia" w:hAnsi="宋体" w:cs="宋体"/>
          <w:b/>
          <w:szCs w:val="24"/>
          <w:highlight w:val="none"/>
        </w:rPr>
        <w:t>13.</w:t>
      </w:r>
      <w:r>
        <w:rPr>
          <w:rFonts w:hAnsi="宋体"/>
          <w:b/>
          <w:szCs w:val="24"/>
          <w:highlight w:val="none"/>
        </w:rPr>
        <w:t>证明的合格性和符合</w:t>
      </w:r>
      <w:r>
        <w:rPr>
          <w:rFonts w:hint="eastAsia" w:hAnsi="宋体"/>
          <w:b/>
          <w:szCs w:val="24"/>
          <w:highlight w:val="none"/>
        </w:rPr>
        <w:t>竞争性磋商</w:t>
      </w:r>
      <w:r>
        <w:rPr>
          <w:rFonts w:hAnsi="宋体"/>
          <w:b/>
          <w:szCs w:val="24"/>
          <w:highlight w:val="none"/>
        </w:rPr>
        <w:t>文件规定的文件</w:t>
      </w:r>
    </w:p>
    <w:p>
      <w:pPr>
        <w:spacing w:line="360" w:lineRule="auto"/>
        <w:ind w:firstLine="480" w:firstLineChars="200"/>
        <w:rPr>
          <w:rFonts w:hAnsi="宋体"/>
          <w:szCs w:val="24"/>
          <w:highlight w:val="none"/>
        </w:rPr>
      </w:pPr>
      <w:r>
        <w:rPr>
          <w:rFonts w:hAnsi="宋体"/>
          <w:szCs w:val="24"/>
          <w:highlight w:val="none"/>
        </w:rPr>
        <w:t>13.1</w:t>
      </w:r>
      <w:r>
        <w:rPr>
          <w:rFonts w:hint="eastAsia" w:hAnsi="宋体"/>
          <w:szCs w:val="24"/>
          <w:highlight w:val="none"/>
        </w:rPr>
        <w:t>供应商</w:t>
      </w:r>
      <w:r>
        <w:rPr>
          <w:rFonts w:hAnsi="宋体"/>
          <w:szCs w:val="24"/>
          <w:highlight w:val="none"/>
        </w:rPr>
        <w:t>应在</w:t>
      </w:r>
      <w:r>
        <w:rPr>
          <w:rFonts w:hint="eastAsia" w:hAnsi="宋体"/>
          <w:szCs w:val="24"/>
          <w:highlight w:val="none"/>
        </w:rPr>
        <w:t>竞争性磋商响应文件</w:t>
      </w:r>
      <w:r>
        <w:rPr>
          <w:rFonts w:hAnsi="宋体"/>
          <w:szCs w:val="24"/>
          <w:highlight w:val="none"/>
        </w:rPr>
        <w:t>中提交服务满足</w:t>
      </w:r>
      <w:r>
        <w:rPr>
          <w:rFonts w:hint="eastAsia" w:hAnsi="宋体"/>
          <w:szCs w:val="24"/>
          <w:highlight w:val="none"/>
        </w:rPr>
        <w:t>竞争性磋商</w:t>
      </w:r>
      <w:r>
        <w:rPr>
          <w:rFonts w:hAnsi="宋体"/>
          <w:szCs w:val="24"/>
          <w:highlight w:val="none"/>
        </w:rPr>
        <w:t>文件要求并符合国家法律法规、行业管理部门要求的其他强制性标准的证明文件。缺少证明文件或证明文件不合格的</w:t>
      </w:r>
      <w:r>
        <w:rPr>
          <w:rFonts w:hint="eastAsia" w:hAnsi="宋体"/>
          <w:szCs w:val="24"/>
          <w:highlight w:val="none"/>
        </w:rPr>
        <w:t>磋商响应文件</w:t>
      </w:r>
      <w:r>
        <w:rPr>
          <w:rFonts w:hAnsi="宋体"/>
          <w:szCs w:val="24"/>
          <w:highlight w:val="none"/>
        </w:rPr>
        <w:t>，与</w:t>
      </w:r>
      <w:r>
        <w:rPr>
          <w:rFonts w:hint="eastAsia" w:hAnsi="宋体"/>
          <w:szCs w:val="24"/>
          <w:highlight w:val="none"/>
        </w:rPr>
        <w:t>竞争性磋商</w:t>
      </w:r>
      <w:r>
        <w:rPr>
          <w:rFonts w:hAnsi="宋体"/>
          <w:szCs w:val="24"/>
          <w:highlight w:val="none"/>
        </w:rPr>
        <w:t>文件要求有重大偏离的</w:t>
      </w:r>
      <w:r>
        <w:rPr>
          <w:rFonts w:hint="eastAsia" w:hAnsi="宋体"/>
          <w:szCs w:val="24"/>
          <w:highlight w:val="none"/>
        </w:rPr>
        <w:t>磋商响应文件</w:t>
      </w:r>
      <w:r>
        <w:rPr>
          <w:rFonts w:hAnsi="宋体"/>
          <w:szCs w:val="24"/>
          <w:highlight w:val="none"/>
        </w:rPr>
        <w:t>，不符合国家法律法规、行业管理部门要求的其他强制性标准的</w:t>
      </w:r>
      <w:r>
        <w:rPr>
          <w:rFonts w:hint="eastAsia" w:hAnsi="宋体"/>
          <w:szCs w:val="24"/>
          <w:highlight w:val="none"/>
        </w:rPr>
        <w:t>磋商响应文件</w:t>
      </w:r>
      <w:r>
        <w:rPr>
          <w:rFonts w:hAnsi="宋体"/>
          <w:szCs w:val="24"/>
          <w:highlight w:val="none"/>
        </w:rPr>
        <w:t>将</w:t>
      </w:r>
      <w:r>
        <w:rPr>
          <w:rFonts w:hint="eastAsia" w:hAnsi="宋体"/>
          <w:szCs w:val="24"/>
          <w:highlight w:val="none"/>
        </w:rPr>
        <w:t>按无效磋商处理</w:t>
      </w:r>
      <w:r>
        <w:rPr>
          <w:rFonts w:hAnsi="宋体"/>
          <w:szCs w:val="24"/>
          <w:highlight w:val="none"/>
        </w:rPr>
        <w:t>。</w:t>
      </w:r>
    </w:p>
    <w:p>
      <w:pPr>
        <w:spacing w:line="360" w:lineRule="auto"/>
        <w:ind w:firstLine="480" w:firstLineChars="200"/>
        <w:rPr>
          <w:rFonts w:hAnsi="宋体"/>
          <w:szCs w:val="24"/>
          <w:highlight w:val="none"/>
        </w:rPr>
      </w:pPr>
      <w:r>
        <w:rPr>
          <w:rFonts w:hAnsi="宋体"/>
          <w:szCs w:val="24"/>
          <w:highlight w:val="none"/>
        </w:rPr>
        <w:t>13.2上述证明文件可以是文字资料、图纸、图片</w:t>
      </w:r>
      <w:r>
        <w:rPr>
          <w:rFonts w:hint="eastAsia" w:hAnsi="宋体"/>
          <w:szCs w:val="24"/>
          <w:highlight w:val="none"/>
        </w:rPr>
        <w:t>、</w:t>
      </w:r>
      <w:r>
        <w:rPr>
          <w:rFonts w:hAnsi="宋体"/>
          <w:szCs w:val="24"/>
          <w:highlight w:val="none"/>
        </w:rPr>
        <w:t>数据</w:t>
      </w:r>
      <w:r>
        <w:rPr>
          <w:rFonts w:hint="eastAsia" w:hAnsi="宋体"/>
          <w:szCs w:val="24"/>
          <w:highlight w:val="none"/>
        </w:rPr>
        <w:t>、</w:t>
      </w:r>
      <w:r>
        <w:rPr>
          <w:rFonts w:hAnsi="宋体"/>
          <w:szCs w:val="24"/>
          <w:highlight w:val="none"/>
        </w:rPr>
        <w:t>宣传彩页等，所有证明文件表达意思必须统一。</w:t>
      </w:r>
    </w:p>
    <w:p>
      <w:pPr>
        <w:spacing w:line="360" w:lineRule="auto"/>
        <w:rPr>
          <w:rFonts w:hAnsi="宋体" w:cs="宋体"/>
          <w:b/>
          <w:szCs w:val="24"/>
          <w:highlight w:val="none"/>
        </w:rPr>
      </w:pPr>
      <w:r>
        <w:rPr>
          <w:rFonts w:hint="eastAsia" w:hAnsi="宋体" w:cs="宋体"/>
          <w:b/>
          <w:szCs w:val="24"/>
          <w:highlight w:val="none"/>
        </w:rPr>
        <w:t>14.磋商保证金</w:t>
      </w:r>
    </w:p>
    <w:p>
      <w:pPr>
        <w:spacing w:line="360" w:lineRule="auto"/>
        <w:ind w:firstLine="482" w:firstLineChars="200"/>
        <w:rPr>
          <w:rFonts w:hint="eastAsia" w:hAnsi="宋体" w:eastAsia="宋体" w:cs="宋体"/>
          <w:b/>
          <w:szCs w:val="24"/>
          <w:highlight w:val="none"/>
          <w:lang w:eastAsia="zh-CN"/>
        </w:rPr>
      </w:pPr>
      <w:r>
        <w:rPr>
          <w:rFonts w:hint="eastAsia" w:hAnsi="宋体" w:cs="宋体"/>
          <w:b/>
          <w:szCs w:val="24"/>
          <w:highlight w:val="none"/>
          <w:lang w:eastAsia="zh-CN"/>
        </w:rPr>
        <w:t>本项目不提交磋商保证金</w:t>
      </w:r>
    </w:p>
    <w:p>
      <w:pPr>
        <w:spacing w:line="360" w:lineRule="auto"/>
        <w:rPr>
          <w:rFonts w:hAnsi="宋体" w:cs="宋体"/>
          <w:b/>
          <w:szCs w:val="24"/>
          <w:highlight w:val="none"/>
        </w:rPr>
      </w:pPr>
      <w:r>
        <w:rPr>
          <w:rFonts w:hint="eastAsia" w:hAnsi="宋体" w:cs="宋体"/>
          <w:b/>
          <w:szCs w:val="24"/>
          <w:highlight w:val="none"/>
        </w:rPr>
        <w:t>15.磋商有效期</w:t>
      </w:r>
    </w:p>
    <w:p>
      <w:pPr>
        <w:spacing w:line="360" w:lineRule="auto"/>
        <w:ind w:firstLine="480" w:firstLineChars="200"/>
        <w:rPr>
          <w:rFonts w:hAnsi="宋体" w:cs="宋体"/>
          <w:szCs w:val="24"/>
          <w:highlight w:val="none"/>
        </w:rPr>
      </w:pPr>
      <w:bookmarkStart w:id="35"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35"/>
    </w:p>
    <w:p>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pPr>
        <w:spacing w:line="360" w:lineRule="auto"/>
        <w:rPr>
          <w:rFonts w:hAnsi="宋体" w:cs="宋体"/>
          <w:b/>
          <w:szCs w:val="24"/>
          <w:highlight w:val="none"/>
        </w:rPr>
      </w:pPr>
      <w:r>
        <w:rPr>
          <w:rFonts w:hint="eastAsia" w:hAnsi="宋体" w:cs="宋体"/>
          <w:b/>
          <w:szCs w:val="24"/>
          <w:highlight w:val="none"/>
        </w:rPr>
        <w:t>16.竞争性磋商响应文件的式样和签署</w:t>
      </w:r>
    </w:p>
    <w:p>
      <w:pPr>
        <w:spacing w:line="500" w:lineRule="exact"/>
        <w:ind w:firstLine="480" w:firstLineChars="200"/>
        <w:rPr>
          <w:rFonts w:hint="eastAsia" w:hAnsi="宋体" w:cs="宋体"/>
          <w:szCs w:val="24"/>
          <w:highlight w:val="none"/>
        </w:rPr>
      </w:pPr>
      <w:r>
        <w:rPr>
          <w:rFonts w:hint="eastAsia" w:hAnsi="宋体" w:cs="宋体"/>
          <w:szCs w:val="24"/>
          <w:highlight w:val="none"/>
        </w:rPr>
        <w:t>为确保采购项目顺利开展，本项目采用电子投标文件的方式进行。供应商在投标时须提供电子投标文件（*.SXSTF））。编制电子投标文件时，应使用最新发布的电子招标文件及专用制作工具进行编制。并使用数字认证证书（CA）对电子投标文件进行签署、加密、递交及开标时解密等相关操作。</w:t>
      </w:r>
    </w:p>
    <w:p>
      <w:pPr>
        <w:spacing w:line="500" w:lineRule="exact"/>
        <w:ind w:firstLine="480" w:firstLineChars="200"/>
        <w:rPr>
          <w:rFonts w:hint="eastAsia" w:hAnsi="宋体" w:cs="宋体"/>
          <w:szCs w:val="24"/>
          <w:highlight w:val="none"/>
        </w:rPr>
      </w:pPr>
      <w:r>
        <w:rPr>
          <w:rFonts w:hint="eastAsia" w:hAnsi="宋体" w:cs="宋体"/>
          <w:szCs w:val="24"/>
          <w:highlight w:val="none"/>
        </w:rPr>
        <w:t>（1）电子招标文件下载</w:t>
      </w:r>
    </w:p>
    <w:p>
      <w:pPr>
        <w:spacing w:line="500" w:lineRule="exact"/>
        <w:ind w:firstLine="480" w:firstLineChars="200"/>
        <w:rPr>
          <w:rFonts w:hint="eastAsia" w:hAnsi="宋体" w:cs="宋体"/>
          <w:szCs w:val="24"/>
          <w:highlight w:val="none"/>
        </w:rPr>
      </w:pPr>
      <w:r>
        <w:rPr>
          <w:rFonts w:hint="eastAsia" w:hAnsi="宋体" w:cs="宋体"/>
          <w:szCs w:val="24"/>
          <w:highlight w:val="none"/>
        </w:rPr>
        <w:t>供应商登录全国公共资源交易平台（陕西省）网站[电子交易平台-企业端]后，在[我的项目]中点击“项目流程-交易文件下载”下载电子招标文件（*.SXSZF）；投标供应商须在投标文件发售截止日期前登录电子交易平台下载招标文件，否则责任自负；</w:t>
      </w:r>
    </w:p>
    <w:p>
      <w:pPr>
        <w:spacing w:line="500" w:lineRule="exact"/>
        <w:ind w:firstLine="480" w:firstLineChars="200"/>
        <w:rPr>
          <w:rFonts w:hint="eastAsia" w:hAnsi="宋体" w:cs="宋体"/>
          <w:szCs w:val="24"/>
          <w:highlight w:val="none"/>
        </w:rPr>
      </w:pPr>
      <w:r>
        <w:rPr>
          <w:rFonts w:hint="eastAsia" w:hAnsi="宋体" w:cs="宋体"/>
          <w:szCs w:val="24"/>
          <w:highlight w:val="none"/>
        </w:rPr>
        <w:t>特别注意：</w:t>
      </w:r>
    </w:p>
    <w:p>
      <w:pPr>
        <w:spacing w:line="500" w:lineRule="exact"/>
        <w:ind w:firstLine="480" w:firstLineChars="200"/>
        <w:rPr>
          <w:rFonts w:hint="eastAsia" w:hAnsi="宋体" w:cs="宋体"/>
          <w:szCs w:val="24"/>
          <w:highlight w:val="none"/>
        </w:rPr>
      </w:pPr>
      <w:r>
        <w:rPr>
          <w:rFonts w:hint="eastAsia" w:hAnsi="宋体" w:cs="宋体"/>
          <w:szCs w:val="24"/>
          <w:highlight w:val="none"/>
        </w:rPr>
        <w:t>该项目如有变更文件，则应点击“项目流程&gt;答疑文件下载”下载更新后的电子招标文件（*.SXSCF），使用旧版电子招标文件制作的电子投标文件，系统将拒绝接收。</w:t>
      </w:r>
    </w:p>
    <w:p>
      <w:pPr>
        <w:spacing w:line="500" w:lineRule="exact"/>
        <w:ind w:firstLine="480" w:firstLineChars="200"/>
        <w:rPr>
          <w:rFonts w:hint="eastAsia" w:hAnsi="宋体" w:cs="宋体"/>
          <w:szCs w:val="24"/>
          <w:highlight w:val="none"/>
        </w:rPr>
      </w:pPr>
      <w:r>
        <w:rPr>
          <w:rFonts w:hint="eastAsia" w:hAnsi="宋体" w:cs="宋体"/>
          <w:szCs w:val="24"/>
          <w:highlight w:val="none"/>
        </w:rPr>
        <w:t>（2）电子招标文件需要使用专用软件打开、浏览</w:t>
      </w:r>
    </w:p>
    <w:p>
      <w:pPr>
        <w:spacing w:line="500" w:lineRule="exact"/>
        <w:ind w:firstLine="480" w:firstLineChars="200"/>
        <w:rPr>
          <w:rFonts w:hint="eastAsia" w:hAnsi="宋体" w:cs="宋体"/>
          <w:szCs w:val="24"/>
          <w:highlight w:val="none"/>
        </w:rPr>
      </w:pPr>
      <w:r>
        <w:rPr>
          <w:rFonts w:hint="eastAsia" w:hAnsi="宋体" w:cs="宋体"/>
          <w:szCs w:val="24"/>
          <w:highlight w:val="none"/>
        </w:rPr>
        <w:t>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w:t>
      </w:r>
    </w:p>
    <w:p>
      <w:pPr>
        <w:spacing w:line="500" w:lineRule="exact"/>
        <w:ind w:firstLine="480" w:firstLineChars="200"/>
        <w:rPr>
          <w:rFonts w:hint="eastAsia" w:hAnsi="宋体" w:cs="宋体"/>
          <w:szCs w:val="24"/>
          <w:highlight w:val="none"/>
        </w:rPr>
      </w:pPr>
      <w:r>
        <w:rPr>
          <w:rFonts w:hint="eastAsia" w:hAnsi="宋体" w:cs="宋体"/>
          <w:szCs w:val="24"/>
          <w:highlight w:val="none"/>
        </w:rPr>
        <w:t>（3）制作电子投标文件</w:t>
      </w:r>
    </w:p>
    <w:p>
      <w:pPr>
        <w:spacing w:line="500" w:lineRule="exact"/>
        <w:ind w:firstLine="480" w:firstLineChars="200"/>
        <w:rPr>
          <w:rFonts w:hint="eastAsia" w:ascii="宋体" w:hAnsi="宋体" w:eastAsia="宋体" w:cs="宋体"/>
          <w:b/>
          <w:bCs/>
          <w:color w:val="auto"/>
          <w:highlight w:val="none"/>
        </w:rPr>
      </w:pPr>
      <w:r>
        <w:rPr>
          <w:rFonts w:hint="eastAsia" w:hAnsi="宋体" w:cs="宋体"/>
          <w:szCs w:val="24"/>
          <w:highlight w:val="none"/>
        </w:rPr>
        <w:t>电子投标文件同样需要使用上述软件进行编制。在编制过程中，如有技术性问题，请先翻阅操作手册或致电软件开发商，技术支持热线：4009280095、4009980000。</w:t>
      </w:r>
    </w:p>
    <w:p>
      <w:pPr>
        <w:keepNext/>
        <w:keepLines/>
        <w:spacing w:before="312" w:beforeLines="100" w:after="156" w:afterLines="50" w:line="360" w:lineRule="auto"/>
        <w:jc w:val="center"/>
        <w:rPr>
          <w:rFonts w:hAnsi="宋体" w:cs="宋体"/>
          <w:b/>
          <w:sz w:val="32"/>
          <w:szCs w:val="32"/>
          <w:highlight w:val="none"/>
        </w:rPr>
      </w:pPr>
      <w:r>
        <w:rPr>
          <w:rFonts w:hint="eastAsia" w:hAnsi="宋体" w:cs="宋体"/>
          <w:b/>
          <w:sz w:val="32"/>
          <w:szCs w:val="32"/>
          <w:highlight w:val="none"/>
        </w:rPr>
        <w:t>四.竞争性磋商响应文件的递交</w:t>
      </w:r>
    </w:p>
    <w:p>
      <w:pPr>
        <w:spacing w:line="360" w:lineRule="auto"/>
        <w:rPr>
          <w:rFonts w:hAnsi="宋体" w:cs="宋体"/>
          <w:b/>
          <w:szCs w:val="24"/>
          <w:highlight w:val="none"/>
        </w:rPr>
      </w:pPr>
      <w:r>
        <w:rPr>
          <w:rFonts w:hint="eastAsia" w:hAnsi="宋体" w:cs="宋体"/>
          <w:b/>
          <w:szCs w:val="24"/>
          <w:highlight w:val="none"/>
        </w:rPr>
        <w:t>17.竞争性磋商响应文件的递交</w:t>
      </w:r>
    </w:p>
    <w:p>
      <w:pPr>
        <w:spacing w:line="360" w:lineRule="auto"/>
        <w:ind w:firstLine="480" w:firstLineChars="200"/>
        <w:rPr>
          <w:rFonts w:hint="eastAsia" w:ascii="宋体" w:hAnsi="宋体" w:eastAsia="宋体" w:cs="宋体"/>
          <w:color w:val="auto"/>
          <w:szCs w:val="24"/>
          <w:highlight w:val="none"/>
        </w:rPr>
      </w:pPr>
      <w:r>
        <w:rPr>
          <w:rFonts w:hint="eastAsia" w:hAnsi="宋体" w:cs="宋体"/>
          <w:szCs w:val="24"/>
          <w:highlight w:val="none"/>
        </w:rPr>
        <w:t>供应商应按照竞争性磋商公告中规定的时间、地点，在规定的竞争性磋商响应文件递交截止时间前将全部竞争性磋商响应文件和磋商资料递交</w:t>
      </w:r>
      <w:r>
        <w:rPr>
          <w:rFonts w:hint="eastAsia" w:ascii="宋体" w:hAnsi="宋体" w:eastAsia="宋体" w:cs="宋体"/>
          <w:color w:val="auto"/>
          <w:szCs w:val="24"/>
          <w:highlight w:val="none"/>
        </w:rPr>
        <w:t>。</w:t>
      </w:r>
    </w:p>
    <w:p>
      <w:pPr>
        <w:spacing w:line="360" w:lineRule="auto"/>
        <w:rPr>
          <w:rFonts w:hAnsi="宋体" w:cs="宋体"/>
          <w:szCs w:val="24"/>
          <w:highlight w:val="none"/>
        </w:rPr>
      </w:pPr>
      <w:r>
        <w:rPr>
          <w:rFonts w:hint="eastAsia" w:hAnsi="宋体" w:cs="宋体"/>
          <w:b/>
          <w:szCs w:val="24"/>
          <w:highlight w:val="none"/>
        </w:rPr>
        <w:t>18．</w:t>
      </w:r>
      <w:r>
        <w:rPr>
          <w:rFonts w:hint="eastAsia" w:hAnsi="宋体" w:cs="宋体"/>
          <w:szCs w:val="24"/>
          <w:highlight w:val="none"/>
        </w:rPr>
        <w:t>无论供应商成交与否，其竞争性磋商响应文件恕不退还。</w:t>
      </w:r>
    </w:p>
    <w:p>
      <w:pPr>
        <w:spacing w:line="360" w:lineRule="auto"/>
        <w:rPr>
          <w:rFonts w:hAnsi="宋体" w:cs="宋体"/>
          <w:b/>
          <w:szCs w:val="24"/>
          <w:highlight w:val="none"/>
        </w:rPr>
      </w:pPr>
      <w:r>
        <w:rPr>
          <w:rFonts w:hint="eastAsia" w:hAnsi="宋体" w:cs="宋体"/>
          <w:b/>
          <w:szCs w:val="24"/>
          <w:highlight w:val="none"/>
        </w:rPr>
        <w:t>19．递交的竞争性磋商响应文件</w:t>
      </w:r>
    </w:p>
    <w:p>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pPr>
        <w:spacing w:line="360" w:lineRule="auto"/>
        <w:rPr>
          <w:rFonts w:hAnsi="宋体" w:cs="宋体"/>
          <w:b/>
          <w:szCs w:val="24"/>
          <w:highlight w:val="none"/>
        </w:rPr>
      </w:pPr>
      <w:r>
        <w:rPr>
          <w:rFonts w:hint="eastAsia" w:hAnsi="宋体" w:cs="宋体"/>
          <w:b/>
          <w:szCs w:val="24"/>
          <w:highlight w:val="none"/>
        </w:rPr>
        <w:t>20．磋商的修改与撤回</w:t>
      </w:r>
    </w:p>
    <w:p>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pPr>
        <w:spacing w:line="360" w:lineRule="auto"/>
        <w:ind w:firstLine="480" w:firstLineChars="200"/>
        <w:rPr>
          <w:rFonts w:hAnsi="宋体" w:cs="宋体"/>
          <w:szCs w:val="24"/>
          <w:highlight w:val="none"/>
        </w:rPr>
      </w:pPr>
      <w:r>
        <w:rPr>
          <w:rFonts w:hint="eastAsia" w:hAnsi="宋体" w:cs="宋体"/>
          <w:szCs w:val="24"/>
          <w:highlight w:val="none"/>
        </w:rPr>
        <w:t>20.</w:t>
      </w:r>
      <w:r>
        <w:rPr>
          <w:rFonts w:hint="eastAsia" w:hAnsi="宋体" w:cs="宋体"/>
          <w:szCs w:val="24"/>
          <w:highlight w:val="none"/>
          <w:lang w:val="en-US" w:eastAsia="zh-CN"/>
        </w:rPr>
        <w:t>2</w:t>
      </w:r>
      <w:r>
        <w:rPr>
          <w:rFonts w:hint="eastAsia" w:hAnsi="宋体" w:cs="宋体"/>
          <w:szCs w:val="24"/>
          <w:highlight w:val="none"/>
        </w:rPr>
        <w:t>在磋商截止时间之后，供应商不得对其磋商响应文件做任何修改或撤回。</w:t>
      </w:r>
    </w:p>
    <w:p>
      <w:pPr>
        <w:keepNext/>
        <w:keepLines/>
        <w:spacing w:before="312" w:beforeLines="100" w:after="156" w:afterLines="50" w:line="360" w:lineRule="auto"/>
        <w:jc w:val="center"/>
        <w:rPr>
          <w:rFonts w:hAnsi="宋体" w:cs="宋体"/>
          <w:b/>
          <w:sz w:val="32"/>
          <w:szCs w:val="32"/>
          <w:highlight w:val="none"/>
        </w:rPr>
      </w:pPr>
      <w:bookmarkStart w:id="36" w:name="_Toc403077643"/>
      <w:bookmarkStart w:id="37" w:name="_Toc363473976"/>
      <w:bookmarkStart w:id="38" w:name="_Toc363474021"/>
      <w:r>
        <w:rPr>
          <w:rFonts w:hint="eastAsia" w:hAnsi="宋体" w:cs="宋体"/>
          <w:b/>
          <w:sz w:val="32"/>
          <w:szCs w:val="32"/>
          <w:highlight w:val="none"/>
        </w:rPr>
        <w:t>五.磋商与评标</w:t>
      </w:r>
      <w:bookmarkEnd w:id="36"/>
      <w:bookmarkEnd w:id="37"/>
      <w:bookmarkEnd w:id="38"/>
    </w:p>
    <w:p>
      <w:pPr>
        <w:spacing w:line="360" w:lineRule="auto"/>
        <w:rPr>
          <w:rFonts w:hAnsi="宋体" w:cs="宋体"/>
          <w:b/>
          <w:szCs w:val="24"/>
          <w:highlight w:val="none"/>
        </w:rPr>
      </w:pPr>
      <w:r>
        <w:rPr>
          <w:rFonts w:hint="eastAsia" w:hAnsi="宋体" w:cs="宋体"/>
          <w:b/>
          <w:szCs w:val="24"/>
          <w:highlight w:val="none"/>
        </w:rPr>
        <w:t>21.磋商大会</w:t>
      </w:r>
    </w:p>
    <w:p>
      <w:pPr>
        <w:spacing w:line="360" w:lineRule="auto"/>
        <w:ind w:firstLine="480" w:firstLineChars="200"/>
        <w:rPr>
          <w:rFonts w:hAnsi="宋体" w:cs="宋体"/>
          <w:szCs w:val="24"/>
          <w:highlight w:val="none"/>
        </w:rPr>
      </w:pPr>
      <w:r>
        <w:rPr>
          <w:rFonts w:hint="eastAsia" w:hAnsi="宋体" w:cs="宋体"/>
          <w:szCs w:val="24"/>
          <w:highlight w:val="none"/>
        </w:rPr>
        <w:t>21.1 采购代理机构在规定的时间和地点组织竞争性磋商。</w:t>
      </w:r>
    </w:p>
    <w:p>
      <w:pPr>
        <w:spacing w:line="360" w:lineRule="auto"/>
        <w:ind w:firstLine="480" w:firstLineChars="200"/>
        <w:rPr>
          <w:rFonts w:hAnsi="宋体" w:cs="宋体"/>
          <w:b/>
          <w:szCs w:val="24"/>
          <w:highlight w:val="none"/>
        </w:rPr>
      </w:pPr>
      <w:r>
        <w:rPr>
          <w:rFonts w:hint="eastAsia" w:hAnsi="宋体" w:cs="宋体"/>
          <w:szCs w:val="24"/>
          <w:highlight w:val="none"/>
        </w:rPr>
        <w:t>21.2采购代理机构将做磋商记录，存档备查。</w:t>
      </w:r>
    </w:p>
    <w:p>
      <w:pPr>
        <w:spacing w:line="360" w:lineRule="auto"/>
        <w:rPr>
          <w:rFonts w:hAnsi="宋体" w:cs="宋体"/>
          <w:b/>
          <w:szCs w:val="24"/>
          <w:highlight w:val="none"/>
        </w:rPr>
      </w:pPr>
      <w:r>
        <w:rPr>
          <w:rFonts w:hint="eastAsia" w:hAnsi="宋体" w:cs="宋体"/>
          <w:b/>
          <w:szCs w:val="24"/>
          <w:highlight w:val="none"/>
        </w:rPr>
        <w:t>22．评审程序</w:t>
      </w:r>
    </w:p>
    <w:p>
      <w:pPr>
        <w:spacing w:line="480" w:lineRule="exact"/>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w:t>
      </w:r>
      <w:r>
        <w:rPr>
          <w:rFonts w:hint="eastAsia" w:hAnsi="宋体" w:cs="宋体"/>
          <w:szCs w:val="24"/>
          <w:highlight w:val="none"/>
          <w:lang w:eastAsia="zh-CN"/>
        </w:rPr>
        <w:t>（</w:t>
      </w:r>
      <w:r>
        <w:rPr>
          <w:rFonts w:hint="eastAsia" w:hAnsi="宋体" w:cs="宋体"/>
          <w:szCs w:val="24"/>
          <w:highlight w:val="none"/>
        </w:rPr>
        <w:t>供应商在开标现场用数字认证证书（CA</w:t>
      </w:r>
      <w:r>
        <w:rPr>
          <w:rFonts w:hint="eastAsia" w:hAnsi="宋体" w:cs="宋体"/>
          <w:szCs w:val="24"/>
          <w:highlight w:val="none"/>
          <w:lang w:eastAsia="zh-CN"/>
        </w:rPr>
        <w:t>主</w:t>
      </w:r>
      <w:r>
        <w:rPr>
          <w:rFonts w:hint="eastAsia" w:hAnsi="宋体" w:cs="宋体"/>
          <w:szCs w:val="24"/>
          <w:highlight w:val="none"/>
        </w:rPr>
        <w:t>锁）登陆系统进行二次报价</w:t>
      </w:r>
      <w:r>
        <w:rPr>
          <w:rFonts w:hint="eastAsia" w:hAnsi="宋体" w:cs="宋体"/>
          <w:szCs w:val="24"/>
          <w:highlight w:val="none"/>
          <w:lang w:eastAsia="zh-CN"/>
        </w:rPr>
        <w:t>）</w:t>
      </w:r>
      <w:r>
        <w:rPr>
          <w:rFonts w:hint="eastAsia" w:hAnsi="宋体" w:cs="宋体"/>
          <w:szCs w:val="24"/>
          <w:highlight w:val="none"/>
        </w:rPr>
        <w:t>、比较与评审、推荐成交候选人名单的工作程序进行评审。在上一步评审中被认定为无效磋商者，不进入下一步的评审。</w:t>
      </w:r>
    </w:p>
    <w:p>
      <w:pPr>
        <w:spacing w:line="360" w:lineRule="auto"/>
        <w:rPr>
          <w:rFonts w:hAnsi="宋体" w:cs="宋体"/>
          <w:b/>
          <w:szCs w:val="24"/>
          <w:highlight w:val="none"/>
        </w:rPr>
      </w:pPr>
      <w:r>
        <w:rPr>
          <w:rFonts w:hint="eastAsia" w:hAnsi="宋体" w:cs="宋体"/>
          <w:b/>
          <w:szCs w:val="24"/>
          <w:highlight w:val="none"/>
        </w:rPr>
        <w:t>23．评审组织及评审原则</w:t>
      </w:r>
    </w:p>
    <w:p>
      <w:pPr>
        <w:spacing w:line="360" w:lineRule="auto"/>
        <w:ind w:firstLine="480" w:firstLineChars="200"/>
        <w:rPr>
          <w:rFonts w:hint="eastAsia"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w:t>
      </w:r>
      <w:r>
        <w:rPr>
          <w:rFonts w:hint="eastAsia" w:hAnsi="宋体" w:cs="宋体"/>
          <w:szCs w:val="24"/>
          <w:highlight w:val="none"/>
          <w:lang w:val="en-US" w:eastAsia="zh-CN"/>
        </w:rPr>
        <w:t>5</w:t>
      </w:r>
      <w:r>
        <w:rPr>
          <w:rFonts w:hint="eastAsia" w:hAnsi="宋体" w:cs="宋体"/>
          <w:szCs w:val="24"/>
          <w:highlight w:val="none"/>
        </w:rPr>
        <w:t>人以上单数，其中采购人代表须持有授权书。磋商小组按照竞争性磋商文件规定的评审方法独立进行评审工作。</w:t>
      </w:r>
    </w:p>
    <w:p>
      <w:pPr>
        <w:spacing w:line="360" w:lineRule="auto"/>
        <w:ind w:firstLine="480" w:firstLineChars="200"/>
        <w:rPr>
          <w:rFonts w:hint="eastAsia"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pPr>
        <w:spacing w:line="360" w:lineRule="auto"/>
        <w:ind w:firstLine="480" w:firstLineChars="200"/>
        <w:rPr>
          <w:rFonts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pPr>
        <w:spacing w:line="360" w:lineRule="auto"/>
        <w:ind w:firstLine="480" w:firstLineChars="200"/>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pPr>
        <w:spacing w:line="360" w:lineRule="auto"/>
        <w:ind w:firstLine="480" w:firstLineChars="200"/>
        <w:rPr>
          <w:rFonts w:hAnsi="宋体" w:cs="宋体"/>
          <w:szCs w:val="24"/>
          <w:highlight w:val="none"/>
        </w:rPr>
      </w:pPr>
      <w:r>
        <w:rPr>
          <w:rFonts w:hint="eastAsia" w:hAnsi="宋体" w:cs="宋体"/>
          <w:szCs w:val="24"/>
          <w:highlight w:val="none"/>
        </w:rPr>
        <w:t>23.5磋商过程中的实质性变动：</w:t>
      </w:r>
    </w:p>
    <w:p>
      <w:pPr>
        <w:spacing w:line="360" w:lineRule="auto"/>
        <w:ind w:firstLine="480" w:firstLineChars="200"/>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pPr>
        <w:spacing w:line="360" w:lineRule="auto"/>
        <w:ind w:firstLine="480" w:firstLineChars="200"/>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pPr>
        <w:spacing w:line="360" w:lineRule="auto"/>
        <w:ind w:firstLine="480" w:firstLineChars="200"/>
        <w:rPr>
          <w:rFonts w:hAnsi="宋体" w:cs="宋体"/>
          <w:szCs w:val="24"/>
          <w:highlight w:val="none"/>
        </w:rPr>
      </w:pPr>
      <w:r>
        <w:rPr>
          <w:rFonts w:hint="eastAsia" w:hAnsi="宋体" w:cs="宋体"/>
          <w:szCs w:val="24"/>
          <w:highlight w:val="none"/>
        </w:rPr>
        <w:t>23.6竞争性磋商响应文件的初审（含资格性检查和符合性检查）</w:t>
      </w:r>
    </w:p>
    <w:p>
      <w:pPr>
        <w:spacing w:line="360" w:lineRule="auto"/>
        <w:ind w:firstLine="480" w:firstLineChars="200"/>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pPr>
        <w:spacing w:line="500" w:lineRule="exact"/>
        <w:ind w:firstLine="482" w:firstLineChars="200"/>
        <w:rPr>
          <w:rFonts w:hAnsi="宋体" w:cs="宋体"/>
          <w:szCs w:val="24"/>
          <w:highlight w:val="none"/>
        </w:rPr>
      </w:pPr>
      <w:r>
        <w:rPr>
          <w:rFonts w:hint="eastAsia" w:hAnsi="宋体" w:cs="宋体"/>
          <w:b/>
          <w:bCs/>
          <w:szCs w:val="24"/>
          <w:highlight w:val="none"/>
        </w:rPr>
        <w:t>23.6.2计算错误将按以下方法更正：</w:t>
      </w:r>
    </w:p>
    <w:p>
      <w:pPr>
        <w:numPr>
          <w:ilvl w:val="0"/>
          <w:numId w:val="3"/>
        </w:numPr>
        <w:spacing w:line="500" w:lineRule="exact"/>
        <w:ind w:firstLine="480" w:firstLineChars="200"/>
        <w:rPr>
          <w:rFonts w:hint="eastAsia" w:hAnsi="宋体" w:cs="宋体"/>
          <w:szCs w:val="24"/>
          <w:highlight w:val="none"/>
        </w:rPr>
      </w:pPr>
      <w:r>
        <w:rPr>
          <w:rFonts w:hint="eastAsia" w:hAnsi="宋体" w:cs="宋体"/>
          <w:szCs w:val="24"/>
          <w:highlight w:val="none"/>
        </w:rPr>
        <w:t>磋商响应文件中报价一览表(报价表)内容与磋商响应文件中相应内容不一致的，以报价一览表(报价表)为准；</w:t>
      </w:r>
    </w:p>
    <w:p>
      <w:pPr>
        <w:numPr>
          <w:ilvl w:val="0"/>
          <w:numId w:val="0"/>
        </w:numPr>
        <w:spacing w:line="500" w:lineRule="exact"/>
        <w:rPr>
          <w:rFonts w:hAnsi="宋体" w:cs="宋体"/>
          <w:szCs w:val="24"/>
          <w:highlight w:val="none"/>
        </w:rPr>
      </w:pPr>
      <w:r>
        <w:rPr>
          <w:rFonts w:hint="eastAsia" w:hAnsi="宋体" w:cs="宋体"/>
          <w:szCs w:val="24"/>
          <w:highlight w:val="none"/>
        </w:rPr>
        <w:t>（2）磋商响应文件的大写金额和小写金额不一致的，以大写金额为准；</w:t>
      </w:r>
    </w:p>
    <w:p>
      <w:pPr>
        <w:spacing w:line="500" w:lineRule="exact"/>
        <w:ind w:firstLine="480" w:firstLineChars="200"/>
        <w:rPr>
          <w:rFonts w:hAnsi="宋体" w:cs="宋体"/>
          <w:szCs w:val="24"/>
          <w:highlight w:val="none"/>
        </w:rPr>
      </w:pPr>
      <w:r>
        <w:rPr>
          <w:rFonts w:hint="eastAsia" w:hAnsi="宋体" w:cs="宋体"/>
          <w:szCs w:val="24"/>
          <w:highlight w:val="none"/>
        </w:rPr>
        <w:t>（3）单价金额小数点或者百分比有明显错位的，以报价一览表的总价为准，并修改单价；</w:t>
      </w:r>
    </w:p>
    <w:p>
      <w:pPr>
        <w:spacing w:line="500" w:lineRule="exact"/>
        <w:ind w:firstLine="480" w:firstLineChars="200"/>
        <w:rPr>
          <w:rFonts w:hAnsi="宋体" w:cs="宋体"/>
          <w:szCs w:val="24"/>
          <w:highlight w:val="none"/>
        </w:rPr>
      </w:pPr>
      <w:r>
        <w:rPr>
          <w:rFonts w:hint="eastAsia" w:hAnsi="宋体" w:cs="宋体"/>
          <w:szCs w:val="24"/>
          <w:highlight w:val="none"/>
        </w:rPr>
        <w:t>（4）总价金额与按单价汇总金额不一致的，以单价金额计算结果为准。</w:t>
      </w:r>
    </w:p>
    <w:p>
      <w:pPr>
        <w:spacing w:line="500" w:lineRule="exact"/>
        <w:ind w:firstLine="480" w:firstLineChars="200"/>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pPr>
        <w:spacing w:line="360" w:lineRule="auto"/>
        <w:ind w:firstLine="480" w:firstLineChars="200"/>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pPr>
        <w:spacing w:line="360" w:lineRule="auto"/>
        <w:ind w:firstLine="480" w:firstLineChars="200"/>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pPr>
        <w:spacing w:line="360" w:lineRule="auto"/>
        <w:ind w:firstLine="480" w:firstLineChars="200"/>
        <w:rPr>
          <w:rFonts w:hAnsi="宋体" w:cs="宋体"/>
          <w:szCs w:val="24"/>
          <w:highlight w:val="none"/>
        </w:rPr>
      </w:pPr>
      <w:r>
        <w:rPr>
          <w:rFonts w:hint="eastAsia" w:hAnsi="宋体" w:cs="宋体"/>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szCs w:val="24"/>
          <w:highlight w:val="none"/>
        </w:rPr>
        <w:t>如发现下列情况之一的，其磋商将构成非实质性响应，按无效磋商处理：</w:t>
      </w:r>
    </w:p>
    <w:p>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2</w:t>
      </w:r>
      <w:r>
        <w:rPr>
          <w:rFonts w:hint="eastAsia" w:hAnsi="宋体" w:cs="宋体"/>
          <w:b/>
          <w:bCs/>
          <w:szCs w:val="24"/>
          <w:highlight w:val="none"/>
        </w:rPr>
        <w:t>）供应商未提交有效的磋商保证金或金额不足的、磋商保证金形式不符合竞争性磋商文件要求的；</w:t>
      </w:r>
    </w:p>
    <w:p>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3</w:t>
      </w:r>
      <w:r>
        <w:rPr>
          <w:rFonts w:hint="eastAsia" w:hAnsi="宋体" w:cs="宋体"/>
          <w:b/>
          <w:bCs/>
          <w:szCs w:val="24"/>
          <w:highlight w:val="none"/>
        </w:rPr>
        <w:t>）资格证明文件不全的或无效的，或不符合国家规定的；</w:t>
      </w:r>
    </w:p>
    <w:p>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4</w:t>
      </w:r>
      <w:r>
        <w:rPr>
          <w:rFonts w:hint="eastAsia" w:hAnsi="宋体" w:cs="宋体"/>
          <w:b/>
          <w:bCs/>
          <w:szCs w:val="24"/>
          <w:highlight w:val="none"/>
        </w:rPr>
        <w:t>）竞争性磋商响应文件无供应商公章、无法定代表人签字或签字人无法定代表人有效委托书的；</w:t>
      </w:r>
    </w:p>
    <w:p>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5</w:t>
      </w:r>
      <w:r>
        <w:rPr>
          <w:rFonts w:hint="eastAsia" w:hAnsi="宋体" w:cs="宋体"/>
          <w:b/>
          <w:bCs/>
          <w:szCs w:val="24"/>
          <w:highlight w:val="none"/>
        </w:rPr>
        <w:t>）</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6</w:t>
      </w:r>
      <w:r>
        <w:rPr>
          <w:rFonts w:hint="eastAsia" w:hAnsi="宋体" w:cs="宋体"/>
          <w:b/>
          <w:bCs/>
          <w:szCs w:val="24"/>
          <w:highlight w:val="none"/>
        </w:rPr>
        <w:t>）供应商在同一份竞争性磋商响应文件中，有两个或多个报价的；</w:t>
      </w:r>
    </w:p>
    <w:p>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7</w:t>
      </w:r>
      <w:r>
        <w:rPr>
          <w:rFonts w:hint="eastAsia" w:hAnsi="宋体" w:cs="宋体"/>
          <w:b/>
          <w:bCs/>
          <w:szCs w:val="24"/>
          <w:highlight w:val="none"/>
        </w:rPr>
        <w:t>）存在有重大缺漏项和重大偏离的；</w:t>
      </w:r>
    </w:p>
    <w:p>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8</w:t>
      </w:r>
      <w:r>
        <w:rPr>
          <w:rFonts w:hint="eastAsia" w:hAnsi="宋体" w:cs="宋体"/>
          <w:b/>
          <w:bCs/>
          <w:szCs w:val="24"/>
          <w:highlight w:val="none"/>
        </w:rPr>
        <w:t>）供应商有串通磋商、以他人名义磋商、行贿、提供虚假证明（包括第三方提供的虚假证明），开具虚假资质，出现虚假应答的，除按无效文件处理外，还将按照政府采购的有关规定进行处罚；</w:t>
      </w:r>
    </w:p>
    <w:p>
      <w:pPr>
        <w:tabs>
          <w:tab w:val="left" w:pos="1260"/>
        </w:tabs>
        <w:spacing w:line="360" w:lineRule="auto"/>
        <w:ind w:firstLine="482" w:firstLineChars="200"/>
        <w:rPr>
          <w:rFonts w:hint="eastAsia" w:hAnsi="宋体" w:cs="宋体"/>
          <w:b/>
          <w:bCs/>
          <w:szCs w:val="24"/>
          <w:highlight w:val="none"/>
        </w:rPr>
      </w:pPr>
      <w:r>
        <w:rPr>
          <w:rFonts w:hint="eastAsia" w:hAnsi="宋体" w:cs="宋体"/>
          <w:b/>
          <w:bCs/>
          <w:szCs w:val="24"/>
          <w:highlight w:val="none"/>
          <w:lang w:val="en-US" w:eastAsia="zh-CN"/>
        </w:rPr>
        <w:t>9</w:t>
      </w:r>
      <w:r>
        <w:rPr>
          <w:rFonts w:hint="eastAsia" w:hAnsi="宋体" w:cs="宋体"/>
          <w:b/>
          <w:bCs/>
          <w:szCs w:val="24"/>
          <w:highlight w:val="none"/>
        </w:rPr>
        <w:t>）磋商总报价低于成本或者高于竞争性磋商文件公布的采购预算的。</w:t>
      </w:r>
    </w:p>
    <w:p>
      <w:pPr>
        <w:tabs>
          <w:tab w:val="left" w:pos="1260"/>
        </w:tabs>
        <w:spacing w:line="360" w:lineRule="auto"/>
        <w:ind w:firstLine="482" w:firstLineChars="200"/>
        <w:rPr>
          <w:rFonts w:hint="eastAsia" w:hAnsi="宋体" w:cs="宋体"/>
          <w:b/>
          <w:bCs/>
          <w:szCs w:val="24"/>
          <w:highlight w:val="none"/>
        </w:rPr>
      </w:pPr>
      <w:r>
        <w:rPr>
          <w:rFonts w:hint="eastAsia" w:hAnsi="宋体" w:cs="宋体"/>
          <w:b/>
          <w:bCs/>
          <w:szCs w:val="24"/>
          <w:highlight w:val="none"/>
          <w:lang w:val="en-US" w:eastAsia="zh-CN"/>
        </w:rPr>
        <w:t>10</w:t>
      </w:r>
      <w:r>
        <w:rPr>
          <w:rFonts w:hint="eastAsia" w:hAnsi="宋体" w:cs="宋体"/>
          <w:b/>
          <w:bCs/>
          <w:szCs w:val="24"/>
          <w:highlight w:val="none"/>
        </w:rPr>
        <w:t>）竞争性磋商响应文件含有采购人不能接受的附加条件的；</w:t>
      </w:r>
    </w:p>
    <w:p>
      <w:pPr>
        <w:tabs>
          <w:tab w:val="left" w:pos="1260"/>
        </w:tabs>
        <w:spacing w:line="360" w:lineRule="auto"/>
        <w:ind w:firstLine="482" w:firstLineChars="200"/>
        <w:rPr>
          <w:rFonts w:hint="eastAsia" w:hAnsi="宋体" w:cs="宋体"/>
          <w:b/>
          <w:bCs/>
          <w:szCs w:val="24"/>
          <w:highlight w:val="none"/>
        </w:rPr>
      </w:pPr>
      <w:r>
        <w:rPr>
          <w:rFonts w:hint="eastAsia" w:hAnsi="宋体" w:cs="宋体"/>
          <w:b/>
          <w:bCs/>
          <w:szCs w:val="24"/>
          <w:highlight w:val="none"/>
          <w:lang w:val="en-US" w:eastAsia="zh-CN"/>
        </w:rPr>
        <w:t>11</w:t>
      </w:r>
      <w:r>
        <w:rPr>
          <w:rFonts w:hint="eastAsia" w:hAnsi="宋体" w:cs="宋体"/>
          <w:b/>
          <w:bCs/>
          <w:szCs w:val="24"/>
          <w:highlight w:val="none"/>
        </w:rPr>
        <w:t>）竞争性磋商响应文件不符合法律法规要求的；</w:t>
      </w:r>
    </w:p>
    <w:p>
      <w:pPr>
        <w:tabs>
          <w:tab w:val="left" w:pos="1260"/>
        </w:tabs>
        <w:spacing w:line="360" w:lineRule="auto"/>
        <w:ind w:firstLine="482" w:firstLineChars="200"/>
        <w:rPr>
          <w:rFonts w:hint="eastAsia" w:hAnsi="宋体" w:cs="宋体"/>
          <w:b/>
          <w:bCs/>
          <w:szCs w:val="24"/>
          <w:highlight w:val="none"/>
        </w:rPr>
      </w:pPr>
      <w:r>
        <w:rPr>
          <w:rFonts w:hint="eastAsia" w:hAnsi="宋体" w:cs="宋体"/>
          <w:b/>
          <w:bCs/>
          <w:szCs w:val="24"/>
          <w:highlight w:val="none"/>
          <w:lang w:val="en-US" w:eastAsia="zh-CN"/>
        </w:rPr>
        <w:t>12</w:t>
      </w:r>
      <w:r>
        <w:rPr>
          <w:rFonts w:hint="eastAsia" w:hAnsi="宋体" w:cs="宋体"/>
          <w:b/>
          <w:bCs/>
          <w:szCs w:val="24"/>
          <w:highlight w:val="none"/>
        </w:rPr>
        <w:t>）供应商被列入失信被执行人、重大税收违法案件当事人名单、政府采购严重违法失信行为记录名单及其他不符合《中华人民共和国政府采购法》第二十二条规定条件。</w:t>
      </w:r>
    </w:p>
    <w:p>
      <w:pPr>
        <w:tabs>
          <w:tab w:val="left" w:pos="1260"/>
        </w:tabs>
        <w:spacing w:line="360" w:lineRule="auto"/>
        <w:ind w:firstLine="482" w:firstLineChars="200"/>
        <w:rPr>
          <w:rFonts w:hint="eastAsia" w:hAnsi="宋体" w:cs="宋体"/>
          <w:b/>
          <w:bCs/>
          <w:szCs w:val="24"/>
          <w:highlight w:val="none"/>
          <w:lang w:val="en-US" w:eastAsia="zh-CN"/>
        </w:rPr>
      </w:pPr>
      <w:r>
        <w:rPr>
          <w:rFonts w:hint="eastAsia" w:hAnsi="宋体" w:cs="宋体"/>
          <w:b/>
          <w:bCs/>
          <w:szCs w:val="24"/>
          <w:highlight w:val="none"/>
          <w:lang w:val="en-US" w:eastAsia="zh-CN"/>
        </w:rPr>
        <w:t>13）供应商拒绝对电子投标文件进行解密的；</w:t>
      </w:r>
    </w:p>
    <w:p>
      <w:pPr>
        <w:tabs>
          <w:tab w:val="left" w:pos="1260"/>
        </w:tabs>
        <w:spacing w:line="360" w:lineRule="auto"/>
        <w:ind w:firstLine="482" w:firstLineChars="200"/>
        <w:rPr>
          <w:rFonts w:hint="eastAsia" w:hAnsi="宋体" w:cs="宋体"/>
          <w:b/>
          <w:bCs/>
          <w:szCs w:val="24"/>
          <w:highlight w:val="none"/>
          <w:lang w:val="en-US" w:eastAsia="zh-CN"/>
        </w:rPr>
      </w:pPr>
      <w:r>
        <w:rPr>
          <w:rFonts w:hint="eastAsia" w:hAnsi="宋体" w:cs="宋体"/>
          <w:b/>
          <w:bCs/>
          <w:szCs w:val="24"/>
          <w:highlight w:val="none"/>
          <w:lang w:val="en-US" w:eastAsia="zh-CN"/>
        </w:rPr>
        <w:t>14）因供应商自身原因（如未带CA锁、或所带CA锁与制作电子投标文件使用的CA锁不一致），导致在规定时间内无法解密投标文件的；</w:t>
      </w:r>
    </w:p>
    <w:p>
      <w:pPr>
        <w:tabs>
          <w:tab w:val="left" w:pos="1260"/>
        </w:tabs>
        <w:spacing w:line="360" w:lineRule="auto"/>
        <w:ind w:firstLine="482" w:firstLineChars="200"/>
        <w:rPr>
          <w:rFonts w:hint="eastAsia" w:hAnsi="宋体" w:cs="宋体"/>
          <w:b/>
          <w:bCs/>
          <w:szCs w:val="24"/>
          <w:highlight w:val="none"/>
          <w:lang w:val="en-US" w:eastAsia="zh-CN"/>
        </w:rPr>
      </w:pPr>
      <w:r>
        <w:rPr>
          <w:rFonts w:hint="eastAsia" w:hAnsi="宋体" w:cs="宋体"/>
          <w:b/>
          <w:bCs/>
          <w:szCs w:val="24"/>
          <w:highlight w:val="none"/>
          <w:lang w:val="en-US" w:eastAsia="zh-CN"/>
        </w:rPr>
        <w:t>15）上传的电子投标文件无法打开的；</w:t>
      </w:r>
    </w:p>
    <w:p>
      <w:pPr>
        <w:tabs>
          <w:tab w:val="left" w:pos="1260"/>
        </w:tabs>
        <w:spacing w:line="360" w:lineRule="auto"/>
        <w:ind w:firstLine="482" w:firstLineChars="200"/>
        <w:rPr>
          <w:rFonts w:hint="eastAsia" w:hAnsi="宋体" w:cs="宋体"/>
          <w:b/>
          <w:bCs/>
          <w:szCs w:val="24"/>
          <w:highlight w:val="none"/>
        </w:rPr>
      </w:pPr>
      <w:r>
        <w:rPr>
          <w:rFonts w:hint="eastAsia" w:hAnsi="宋体" w:cs="宋体"/>
          <w:b/>
          <w:bCs/>
          <w:szCs w:val="24"/>
          <w:highlight w:val="none"/>
          <w:lang w:val="en-US" w:eastAsia="zh-CN"/>
        </w:rPr>
        <w:t>16）政府采购法律法规规定的其他无效情形。</w:t>
      </w:r>
    </w:p>
    <w:p>
      <w:pPr>
        <w:spacing w:line="360" w:lineRule="auto"/>
        <w:ind w:firstLine="480" w:firstLineChars="200"/>
        <w:rPr>
          <w:rFonts w:hint="eastAsia" w:hAnsi="宋体" w:cs="宋体"/>
          <w:szCs w:val="24"/>
          <w:highlight w:val="none"/>
        </w:rPr>
      </w:pPr>
    </w:p>
    <w:p>
      <w:pPr>
        <w:spacing w:line="360" w:lineRule="auto"/>
        <w:ind w:firstLine="480" w:firstLineChars="200"/>
        <w:rPr>
          <w:rFonts w:hAnsi="宋体" w:cs="宋体"/>
          <w:szCs w:val="24"/>
          <w:highlight w:val="none"/>
        </w:rPr>
      </w:pPr>
      <w:r>
        <w:rPr>
          <w:rFonts w:hint="eastAsia" w:hAnsi="宋体" w:cs="宋体"/>
          <w:szCs w:val="24"/>
          <w:highlight w:val="none"/>
        </w:rPr>
        <w:t>23.7竞争性磋商响应文件的详细评审</w:t>
      </w:r>
    </w:p>
    <w:p>
      <w:pPr>
        <w:spacing w:line="360" w:lineRule="auto"/>
        <w:ind w:firstLine="480" w:firstLineChars="200"/>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pPr>
        <w:spacing w:line="360" w:lineRule="auto"/>
        <w:ind w:firstLine="480" w:firstLineChars="200"/>
        <w:rPr>
          <w:rFonts w:hAnsi="宋体" w:cs="宋体"/>
          <w:szCs w:val="24"/>
          <w:highlight w:val="none"/>
        </w:rPr>
      </w:pPr>
      <w:r>
        <w:rPr>
          <w:rFonts w:hint="eastAsia" w:hAnsi="宋体" w:cs="宋体"/>
          <w:szCs w:val="24"/>
          <w:highlight w:val="none"/>
        </w:rPr>
        <w:t>23.7.2详细评审按照“供应商须知前附表”的评审方法进行。</w:t>
      </w:r>
    </w:p>
    <w:p>
      <w:pPr>
        <w:spacing w:line="360" w:lineRule="auto"/>
        <w:ind w:firstLine="480" w:firstLineChars="200"/>
        <w:rPr>
          <w:rFonts w:hAnsi="宋体" w:cs="宋体"/>
          <w:szCs w:val="24"/>
          <w:highlight w:val="none"/>
        </w:rPr>
      </w:pPr>
      <w:r>
        <w:rPr>
          <w:rFonts w:hint="eastAsia" w:hAnsi="宋体" w:cs="宋体"/>
          <w:szCs w:val="24"/>
          <w:highlight w:val="none"/>
        </w:rPr>
        <w:t>23.8成交候选人的确定</w:t>
      </w:r>
    </w:p>
    <w:p>
      <w:pPr>
        <w:spacing w:line="360" w:lineRule="auto"/>
        <w:ind w:firstLine="480" w:firstLineChars="200"/>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pPr>
        <w:spacing w:line="360" w:lineRule="auto"/>
        <w:rPr>
          <w:rFonts w:hAnsi="宋体" w:cs="宋体"/>
          <w:b/>
          <w:szCs w:val="24"/>
          <w:highlight w:val="none"/>
        </w:rPr>
      </w:pPr>
      <w:r>
        <w:rPr>
          <w:rFonts w:hint="eastAsia" w:hAnsi="宋体" w:cs="宋体"/>
          <w:b/>
          <w:szCs w:val="24"/>
          <w:highlight w:val="none"/>
        </w:rPr>
        <w:t>24．评审过程的保密</w:t>
      </w:r>
    </w:p>
    <w:p>
      <w:pPr>
        <w:spacing w:line="360" w:lineRule="auto"/>
        <w:ind w:firstLine="480" w:firstLineChars="200"/>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r>
        <w:rPr>
          <w:rFonts w:hint="eastAsia" w:hAnsi="宋体" w:cs="宋体"/>
          <w:szCs w:val="24"/>
          <w:highlight w:val="none"/>
          <w:lang w:eastAsia="zh-CN"/>
        </w:rPr>
        <w:t>，</w:t>
      </w:r>
      <w:r>
        <w:rPr>
          <w:rFonts w:hint="eastAsia" w:hAnsi="宋体" w:cs="宋体"/>
          <w:szCs w:val="24"/>
          <w:highlight w:val="none"/>
          <w:lang w:val="en-US" w:eastAsia="zh-CN"/>
        </w:rPr>
        <w:t>具体内容详见第三章评标办法</w:t>
      </w:r>
      <w:r>
        <w:rPr>
          <w:rFonts w:hint="eastAsia" w:hAnsi="宋体" w:cs="宋体"/>
          <w:szCs w:val="24"/>
          <w:highlight w:val="none"/>
        </w:rPr>
        <w:t>。</w:t>
      </w:r>
    </w:p>
    <w:p>
      <w:pPr>
        <w:jc w:val="left"/>
        <w:rPr>
          <w:rFonts w:hAnsi="宋体" w:cs="宋体"/>
          <w:b/>
          <w:szCs w:val="24"/>
          <w:highlight w:val="none"/>
        </w:rPr>
      </w:pPr>
      <w:r>
        <w:rPr>
          <w:rFonts w:hint="eastAsia" w:hAnsi="宋体" w:cs="宋体"/>
          <w:b/>
          <w:szCs w:val="24"/>
          <w:highlight w:val="none"/>
        </w:rPr>
        <w:t>25．评审方法</w:t>
      </w:r>
    </w:p>
    <w:p>
      <w:pPr>
        <w:spacing w:line="360" w:lineRule="auto"/>
        <w:ind w:firstLine="480" w:firstLineChars="200"/>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存1-3名成交候选人。</w:t>
      </w:r>
    </w:p>
    <w:p>
      <w:pPr>
        <w:keepNext/>
        <w:keepLines/>
        <w:spacing w:before="312" w:beforeLines="100" w:after="156" w:afterLines="50" w:line="360" w:lineRule="auto"/>
        <w:jc w:val="center"/>
        <w:rPr>
          <w:rFonts w:hAnsi="宋体" w:cs="宋体"/>
          <w:b/>
          <w:sz w:val="32"/>
          <w:szCs w:val="32"/>
          <w:highlight w:val="none"/>
        </w:rPr>
      </w:pPr>
      <w:r>
        <w:rPr>
          <w:rFonts w:hint="eastAsia" w:hAnsi="宋体" w:cs="宋体"/>
          <w:b/>
          <w:sz w:val="32"/>
          <w:szCs w:val="32"/>
          <w:highlight w:val="none"/>
        </w:rPr>
        <w:t>六.成交、通知与签约</w:t>
      </w:r>
    </w:p>
    <w:p>
      <w:pPr>
        <w:spacing w:line="360" w:lineRule="auto"/>
        <w:rPr>
          <w:rFonts w:hAnsi="宋体" w:cs="宋体"/>
          <w:b/>
          <w:szCs w:val="24"/>
          <w:highlight w:val="none"/>
        </w:rPr>
      </w:pPr>
      <w:r>
        <w:rPr>
          <w:rFonts w:hint="eastAsia" w:hAnsi="宋体" w:cs="宋体"/>
          <w:b/>
          <w:szCs w:val="24"/>
          <w:highlight w:val="none"/>
        </w:rPr>
        <w:t>26．成交程序</w:t>
      </w:r>
    </w:p>
    <w:p>
      <w:pPr>
        <w:spacing w:line="360" w:lineRule="auto"/>
        <w:ind w:firstLine="480" w:firstLineChars="200"/>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pPr>
        <w:spacing w:line="360" w:lineRule="auto"/>
        <w:ind w:firstLine="480" w:firstLineChars="200"/>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pPr>
        <w:spacing w:line="360" w:lineRule="auto"/>
        <w:ind w:firstLine="480" w:firstLineChars="200"/>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pPr>
        <w:spacing w:line="360" w:lineRule="auto"/>
        <w:ind w:firstLine="480" w:firstLineChars="200"/>
        <w:rPr>
          <w:rFonts w:hAnsi="宋体" w:cs="宋体"/>
          <w:szCs w:val="24"/>
          <w:highlight w:val="none"/>
        </w:rPr>
      </w:pPr>
      <w:r>
        <w:rPr>
          <w:rFonts w:hint="eastAsia" w:hAnsi="宋体" w:cs="宋体"/>
          <w:szCs w:val="24"/>
          <w:highlight w:val="none"/>
        </w:rPr>
        <w:t>26.4采购人也可以授权磋商小组评审后直接确定成交供应商。</w:t>
      </w:r>
    </w:p>
    <w:p>
      <w:pPr>
        <w:spacing w:line="360" w:lineRule="auto"/>
        <w:ind w:firstLine="480" w:firstLineChars="200"/>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pPr>
        <w:spacing w:line="360" w:lineRule="auto"/>
        <w:rPr>
          <w:rFonts w:hAnsi="宋体" w:cs="宋体"/>
          <w:b/>
          <w:szCs w:val="24"/>
          <w:highlight w:val="none"/>
        </w:rPr>
      </w:pPr>
      <w:r>
        <w:rPr>
          <w:rFonts w:hint="eastAsia" w:hAnsi="宋体" w:cs="宋体"/>
          <w:b/>
          <w:szCs w:val="24"/>
          <w:highlight w:val="none"/>
        </w:rPr>
        <w:t>27．成交通知</w:t>
      </w:r>
    </w:p>
    <w:p>
      <w:pPr>
        <w:spacing w:line="360" w:lineRule="auto"/>
        <w:ind w:firstLine="480" w:firstLineChars="200"/>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pPr>
        <w:spacing w:line="360" w:lineRule="auto"/>
        <w:ind w:firstLine="480" w:firstLineChars="200"/>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pPr>
        <w:spacing w:line="360" w:lineRule="auto"/>
        <w:rPr>
          <w:rFonts w:hAnsi="宋体" w:cs="宋体"/>
          <w:b/>
          <w:szCs w:val="24"/>
          <w:highlight w:val="none"/>
        </w:rPr>
      </w:pPr>
      <w:r>
        <w:rPr>
          <w:rFonts w:hint="eastAsia" w:hAnsi="宋体" w:cs="宋体"/>
          <w:b/>
          <w:szCs w:val="24"/>
          <w:highlight w:val="none"/>
        </w:rPr>
        <w:t>28. 采购合同的签订</w:t>
      </w:r>
    </w:p>
    <w:p>
      <w:pPr>
        <w:spacing w:line="360" w:lineRule="auto"/>
        <w:ind w:firstLine="480" w:firstLineChars="200"/>
        <w:rPr>
          <w:rFonts w:hAnsi="宋体" w:cs="宋体"/>
          <w:szCs w:val="24"/>
          <w:highlight w:val="none"/>
        </w:rPr>
      </w:pPr>
      <w:r>
        <w:rPr>
          <w:rFonts w:hint="eastAsia" w:hAnsi="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pPr>
        <w:spacing w:line="360" w:lineRule="auto"/>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pPr>
        <w:spacing w:line="360" w:lineRule="auto"/>
        <w:rPr>
          <w:rFonts w:hAnsi="宋体" w:cs="宋体"/>
          <w:b/>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pPr>
        <w:spacing w:line="360" w:lineRule="auto"/>
        <w:ind w:firstLine="480" w:firstLineChars="200"/>
        <w:rPr>
          <w:rFonts w:hAnsi="宋体" w:cs="宋体"/>
          <w:szCs w:val="24"/>
          <w:highlight w:val="none"/>
        </w:rPr>
      </w:pPr>
      <w:r>
        <w:rPr>
          <w:rFonts w:hint="eastAsia" w:hAnsi="宋体" w:cs="宋体"/>
          <w:szCs w:val="24"/>
          <w:highlight w:val="none"/>
        </w:rPr>
        <w:t>29.1招标代理服务费：以中标金额为基数，依据国家计委颁布《招标代理服务收费管理暂行办法》（计价格[2002]1980号）文件的有关规定执行。</w:t>
      </w:r>
    </w:p>
    <w:p>
      <w:pPr>
        <w:spacing w:line="360" w:lineRule="auto"/>
        <w:ind w:firstLine="480" w:firstLineChars="200"/>
        <w:rPr>
          <w:rFonts w:hint="eastAsia" w:hAnsi="宋体" w:eastAsia="宋体" w:cs="宋体"/>
          <w:szCs w:val="24"/>
          <w:highlight w:val="none"/>
          <w:lang w:val="en-US" w:eastAsia="zh-CN"/>
        </w:rPr>
      </w:pPr>
      <w:r>
        <w:rPr>
          <w:rFonts w:hint="eastAsia" w:hAnsi="宋体" w:cs="宋体"/>
          <w:szCs w:val="24"/>
          <w:highlight w:val="none"/>
        </w:rPr>
        <w:t>29.2本项目招标代理费由</w:t>
      </w:r>
      <w:r>
        <w:rPr>
          <w:rFonts w:hint="eastAsia" w:hAnsi="宋体" w:cs="宋体"/>
          <w:szCs w:val="24"/>
          <w:highlight w:val="none"/>
          <w:lang w:eastAsia="zh-CN"/>
        </w:rPr>
        <w:t>成交单位</w:t>
      </w:r>
      <w:r>
        <w:rPr>
          <w:rFonts w:hint="eastAsia" w:hAnsi="宋体" w:cs="宋体"/>
          <w:szCs w:val="24"/>
          <w:highlight w:val="none"/>
        </w:rPr>
        <w:t>支付</w:t>
      </w:r>
      <w:r>
        <w:rPr>
          <w:rFonts w:hint="eastAsia" w:hAnsi="宋体" w:cs="宋体"/>
          <w:szCs w:val="24"/>
          <w:highlight w:val="none"/>
          <w:lang w:eastAsia="zh-CN"/>
        </w:rPr>
        <w:t>。</w:t>
      </w:r>
    </w:p>
    <w:p>
      <w:pPr>
        <w:spacing w:line="360" w:lineRule="auto"/>
        <w:ind w:firstLine="482" w:firstLineChars="200"/>
        <w:rPr>
          <w:rFonts w:hAnsi="宋体" w:cs="宋体"/>
          <w:b/>
          <w:bCs/>
          <w:szCs w:val="24"/>
          <w:highlight w:val="none"/>
        </w:rPr>
      </w:pPr>
      <w:r>
        <w:rPr>
          <w:rFonts w:hint="eastAsia" w:hAnsi="宋体" w:cs="宋体"/>
          <w:b/>
          <w:bCs/>
          <w:szCs w:val="24"/>
          <w:highlight w:val="none"/>
        </w:rPr>
        <w:t>代理服务费转账账户：</w:t>
      </w:r>
    </w:p>
    <w:p>
      <w:pPr>
        <w:spacing w:line="360" w:lineRule="auto"/>
        <w:ind w:firstLine="482" w:firstLineChars="200"/>
        <w:rPr>
          <w:rFonts w:hAnsi="宋体" w:cs="宋体"/>
          <w:b/>
          <w:bCs/>
          <w:szCs w:val="24"/>
          <w:highlight w:val="none"/>
        </w:rPr>
      </w:pPr>
      <w:r>
        <w:rPr>
          <w:rFonts w:hint="eastAsia" w:hAnsi="宋体" w:cs="宋体"/>
          <w:b/>
          <w:bCs/>
          <w:szCs w:val="24"/>
          <w:highlight w:val="none"/>
        </w:rPr>
        <w:t>1、采购代理机构开户名称: 陕西至诚招标咨询有限公司</w:t>
      </w:r>
    </w:p>
    <w:p>
      <w:pPr>
        <w:spacing w:line="360" w:lineRule="auto"/>
        <w:ind w:firstLine="482" w:firstLineChars="200"/>
        <w:rPr>
          <w:rFonts w:hAnsi="宋体" w:cs="宋体"/>
          <w:b/>
          <w:bCs/>
          <w:szCs w:val="24"/>
          <w:highlight w:val="none"/>
        </w:rPr>
      </w:pPr>
      <w:r>
        <w:rPr>
          <w:rFonts w:hint="eastAsia" w:hAnsi="宋体" w:cs="宋体"/>
          <w:b/>
          <w:bCs/>
          <w:szCs w:val="24"/>
          <w:highlight w:val="none"/>
        </w:rPr>
        <w:t>2、开户行名称：中国建设银行股份有限公司西安高新技术产业开发区支行</w:t>
      </w:r>
    </w:p>
    <w:p>
      <w:pPr>
        <w:pStyle w:val="2"/>
        <w:ind w:firstLine="482" w:firstLineChars="200"/>
        <w:rPr>
          <w:rFonts w:ascii="宋体" w:hAnsi="宋体" w:cs="宋体"/>
          <w:sz w:val="24"/>
          <w:szCs w:val="24"/>
          <w:highlight w:val="none"/>
        </w:rPr>
      </w:pPr>
      <w:r>
        <w:rPr>
          <w:rFonts w:hint="eastAsia" w:ascii="宋体" w:hAnsi="宋体" w:cs="宋体"/>
          <w:b/>
          <w:bCs/>
          <w:sz w:val="24"/>
          <w:szCs w:val="24"/>
          <w:highlight w:val="none"/>
        </w:rPr>
        <w:t>3、账号：61050192090000002152。</w:t>
      </w:r>
    </w:p>
    <w:p>
      <w:pPr>
        <w:numPr>
          <w:ilvl w:val="0"/>
          <w:numId w:val="4"/>
        </w:numPr>
        <w:spacing w:line="600" w:lineRule="exact"/>
        <w:rPr>
          <w:rFonts w:hAnsi="宋体" w:cs="宋体"/>
          <w:b/>
          <w:bCs/>
          <w:szCs w:val="24"/>
          <w:highlight w:val="none"/>
        </w:rPr>
      </w:pPr>
      <w:r>
        <w:rPr>
          <w:rFonts w:hint="eastAsia" w:hAnsi="宋体" w:cs="宋体"/>
          <w:b/>
          <w:bCs/>
          <w:szCs w:val="24"/>
          <w:highlight w:val="none"/>
        </w:rPr>
        <w:t>质疑</w:t>
      </w:r>
    </w:p>
    <w:p>
      <w:pPr>
        <w:spacing w:line="500" w:lineRule="exact"/>
        <w:ind w:right="12" w:firstLine="480"/>
        <w:rPr>
          <w:rFonts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pPr>
        <w:spacing w:line="500" w:lineRule="exact"/>
        <w:ind w:right="12" w:firstLine="480"/>
        <w:rPr>
          <w:rStyle w:val="24"/>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pPr>
        <w:spacing w:line="500" w:lineRule="exact"/>
        <w:ind w:left="3" w:firstLine="518" w:firstLineChars="216"/>
        <w:rPr>
          <w:rStyle w:val="24"/>
          <w:rFonts w:hAnsi="宋体" w:cs="宋体"/>
          <w:b w:val="0"/>
          <w:szCs w:val="24"/>
          <w:highlight w:val="none"/>
          <w:shd w:val="clear" w:color="auto" w:fill="FFFFFF"/>
        </w:rPr>
      </w:pPr>
      <w:r>
        <w:rPr>
          <w:rStyle w:val="24"/>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500" w:lineRule="exact"/>
        <w:ind w:left="3" w:firstLine="518" w:firstLineChars="216"/>
        <w:rPr>
          <w:rStyle w:val="24"/>
          <w:rFonts w:hAnsi="宋体" w:cs="宋体"/>
          <w:b w:val="0"/>
          <w:szCs w:val="24"/>
          <w:highlight w:val="none"/>
          <w:shd w:val="clear" w:color="auto" w:fill="FFFFFF"/>
        </w:rPr>
      </w:pPr>
      <w:r>
        <w:rPr>
          <w:rStyle w:val="24"/>
          <w:rFonts w:hint="eastAsia" w:hAnsi="宋体" w:cs="宋体"/>
          <w:b w:val="0"/>
          <w:szCs w:val="24"/>
          <w:highlight w:val="none"/>
          <w:shd w:val="clear" w:color="auto" w:fill="FFFFFF"/>
        </w:rPr>
        <w:t>30.4以联合体形式参加政府采购活动的，其质疑应当由组成联合体的所有供应商共同提出。</w:t>
      </w:r>
    </w:p>
    <w:p>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pPr>
        <w:spacing w:line="500" w:lineRule="exact"/>
        <w:ind w:right="12" w:firstLine="480" w:firstLineChars="200"/>
        <w:rPr>
          <w:rStyle w:val="24"/>
          <w:rFonts w:hAnsi="宋体" w:cs="宋体"/>
          <w:b w:val="0"/>
          <w:szCs w:val="24"/>
          <w:highlight w:val="none"/>
          <w:shd w:val="clear" w:color="auto" w:fill="FFFFFF"/>
        </w:rPr>
      </w:pPr>
      <w:r>
        <w:rPr>
          <w:rFonts w:hint="eastAsia" w:hAnsi="宋体" w:cs="宋体"/>
          <w:szCs w:val="24"/>
          <w:highlight w:val="none"/>
        </w:rPr>
        <w:t>30.5.6提出质疑的日期。</w:t>
      </w:r>
    </w:p>
    <w:p>
      <w:pPr>
        <w:widowControl/>
        <w:spacing w:line="360" w:lineRule="auto"/>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pPr>
        <w:widowControl/>
        <w:spacing w:line="360" w:lineRule="auto"/>
        <w:ind w:firstLine="480" w:firstLineChars="200"/>
        <w:rPr>
          <w:rFonts w:hAnsi="宋体" w:cs="宋体"/>
          <w:highlight w:val="none"/>
        </w:rPr>
      </w:pPr>
      <w:r>
        <w:rPr>
          <w:rFonts w:hint="eastAsia" w:hAnsi="宋体" w:cs="宋体"/>
          <w:highlight w:val="none"/>
        </w:rPr>
        <w:t>30.6.1质疑供应商不是参与本次政府采购项目的供应商；</w:t>
      </w:r>
    </w:p>
    <w:p>
      <w:pPr>
        <w:widowControl/>
        <w:spacing w:line="360" w:lineRule="auto"/>
        <w:ind w:firstLine="480" w:firstLineChars="200"/>
        <w:rPr>
          <w:rFonts w:hAnsi="宋体" w:cs="宋体"/>
          <w:highlight w:val="none"/>
        </w:rPr>
      </w:pPr>
      <w:r>
        <w:rPr>
          <w:rFonts w:hint="eastAsia" w:hAnsi="宋体" w:cs="宋体"/>
          <w:highlight w:val="none"/>
        </w:rPr>
        <w:t>30.6.2质疑供应商与质疑事项不存在利害关系的；</w:t>
      </w:r>
    </w:p>
    <w:p>
      <w:pPr>
        <w:widowControl/>
        <w:spacing w:line="360" w:lineRule="auto"/>
        <w:ind w:firstLine="480" w:firstLineChars="200"/>
        <w:rPr>
          <w:rFonts w:hAnsi="宋体" w:cs="宋体"/>
          <w:highlight w:val="none"/>
        </w:rPr>
      </w:pPr>
      <w:r>
        <w:rPr>
          <w:rFonts w:hint="eastAsia" w:hAnsi="宋体" w:cs="宋体"/>
          <w:highlight w:val="none"/>
        </w:rPr>
        <w:t>30.6.3未在法定期限内提出质疑的；</w:t>
      </w:r>
    </w:p>
    <w:p>
      <w:pPr>
        <w:widowControl/>
        <w:spacing w:line="360" w:lineRule="auto"/>
        <w:ind w:firstLine="480" w:firstLineChars="200"/>
        <w:rPr>
          <w:rFonts w:hAnsi="宋体" w:cs="宋体"/>
          <w:highlight w:val="none"/>
        </w:rPr>
      </w:pPr>
      <w:r>
        <w:rPr>
          <w:rFonts w:hint="eastAsia" w:hAnsi="宋体" w:cs="宋体"/>
          <w:highlight w:val="none"/>
        </w:rPr>
        <w:t>30.6.4质疑未以书面形式提出，或质疑函主要内容构成不完整的；</w:t>
      </w:r>
    </w:p>
    <w:p>
      <w:pPr>
        <w:widowControl/>
        <w:spacing w:line="360" w:lineRule="auto"/>
        <w:ind w:firstLine="480" w:firstLineChars="200"/>
        <w:rPr>
          <w:rFonts w:hAnsi="宋体" w:cs="宋体"/>
          <w:highlight w:val="none"/>
        </w:rPr>
      </w:pPr>
      <w:r>
        <w:rPr>
          <w:rFonts w:hint="eastAsia" w:hAnsi="宋体" w:cs="宋体"/>
          <w:highlight w:val="none"/>
        </w:rPr>
        <w:t>30.6.5应当提交授权书而未提交的；</w:t>
      </w:r>
    </w:p>
    <w:p>
      <w:pPr>
        <w:widowControl/>
        <w:spacing w:line="360" w:lineRule="auto"/>
        <w:ind w:firstLine="480" w:firstLineChars="200"/>
        <w:rPr>
          <w:rFonts w:hAnsi="宋体" w:cs="宋体"/>
          <w:highlight w:val="none"/>
        </w:rPr>
      </w:pPr>
      <w:r>
        <w:rPr>
          <w:rFonts w:hint="eastAsia" w:hAnsi="宋体" w:cs="宋体"/>
          <w:highlight w:val="none"/>
        </w:rPr>
        <w:t>30.6.6以非法手段取得证据、材料的；</w:t>
      </w:r>
    </w:p>
    <w:p>
      <w:pPr>
        <w:widowControl/>
        <w:spacing w:line="360" w:lineRule="auto"/>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pPr>
        <w:widowControl/>
        <w:spacing w:line="360" w:lineRule="auto"/>
        <w:ind w:firstLine="480" w:firstLineChars="200"/>
        <w:rPr>
          <w:rStyle w:val="24"/>
          <w:rFonts w:hAnsi="宋体" w:cs="宋体"/>
          <w:b w:val="0"/>
          <w:szCs w:val="24"/>
          <w:highlight w:val="none"/>
          <w:shd w:val="clear" w:color="auto" w:fill="FFFFFF"/>
        </w:rPr>
      </w:pPr>
      <w:r>
        <w:rPr>
          <w:rFonts w:hint="eastAsia" w:hAnsi="宋体" w:cs="宋体"/>
          <w:highlight w:val="none"/>
        </w:rPr>
        <w:t>30.6.8不符合法律、法规、规章和政府采购监管机构规定的其他条件的。</w:t>
      </w:r>
    </w:p>
    <w:p>
      <w:pPr>
        <w:spacing w:line="500" w:lineRule="exact"/>
        <w:ind w:right="12"/>
        <w:rPr>
          <w:rFonts w:hAnsi="宋体" w:cs="宋体"/>
          <w:szCs w:val="24"/>
          <w:highlight w:val="none"/>
        </w:rPr>
      </w:pPr>
      <w:r>
        <w:rPr>
          <w:rFonts w:hint="eastAsia" w:hAnsi="宋体" w:cs="宋体"/>
          <w:szCs w:val="24"/>
          <w:highlight w:val="none"/>
        </w:rPr>
        <w:t xml:space="preserve">    30.7质疑答复</w:t>
      </w:r>
    </w:p>
    <w:p>
      <w:pPr>
        <w:pStyle w:val="32"/>
        <w:spacing w:line="500" w:lineRule="exact"/>
        <w:ind w:firstLine="480"/>
        <w:jc w:val="left"/>
        <w:rPr>
          <w:rFonts w:hAnsi="宋体" w:cs="宋体"/>
          <w:szCs w:val="24"/>
          <w:highlight w:val="none"/>
        </w:rPr>
      </w:pPr>
      <w:r>
        <w:rPr>
          <w:rFonts w:hint="eastAsia" w:hAnsi="宋体" w:cs="宋体"/>
          <w:szCs w:val="24"/>
          <w:highlight w:val="none"/>
        </w:rPr>
        <w:t>30.7.1采购人或采购代理机构在收到质疑函后7个工作日内作出答复，并以书面形式通知质疑供应商和其他有关供应商。</w:t>
      </w:r>
    </w:p>
    <w:p>
      <w:pPr>
        <w:spacing w:line="360" w:lineRule="auto"/>
        <w:rPr>
          <w:rFonts w:hAnsi="宋体" w:cs="宋体"/>
          <w:b/>
          <w:szCs w:val="24"/>
          <w:highlight w:val="none"/>
        </w:rPr>
      </w:pPr>
      <w:r>
        <w:rPr>
          <w:rFonts w:hint="eastAsia" w:hAnsi="宋体" w:cs="宋体"/>
          <w:b/>
          <w:szCs w:val="24"/>
          <w:highlight w:val="none"/>
        </w:rPr>
        <w:t>31.其他</w:t>
      </w:r>
    </w:p>
    <w:p>
      <w:pPr>
        <w:spacing w:line="360" w:lineRule="auto"/>
        <w:ind w:firstLine="480" w:firstLineChars="200"/>
        <w:rPr>
          <w:rFonts w:hAnsi="宋体" w:cs="宋体"/>
          <w:szCs w:val="24"/>
          <w:highlight w:val="none"/>
        </w:rPr>
      </w:pPr>
      <w:r>
        <w:rPr>
          <w:rFonts w:hint="eastAsia" w:hAnsi="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pPr>
        <w:spacing w:line="360" w:lineRule="auto"/>
        <w:ind w:firstLine="480" w:firstLineChars="200"/>
        <w:rPr>
          <w:rFonts w:hAnsi="宋体" w:cs="宋体"/>
          <w:szCs w:val="24"/>
          <w:highlight w:val="none"/>
        </w:rPr>
      </w:pPr>
      <w:r>
        <w:rPr>
          <w:rFonts w:hint="eastAsia" w:hAnsi="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pPr>
        <w:spacing w:line="360" w:lineRule="auto"/>
        <w:ind w:firstLine="480" w:firstLineChars="200"/>
        <w:jc w:val="left"/>
        <w:rPr>
          <w:rFonts w:hAnsi="宋体" w:cs="宋体"/>
          <w:szCs w:val="24"/>
          <w:highlight w:val="none"/>
        </w:rPr>
      </w:pPr>
      <w:r>
        <w:rPr>
          <w:rFonts w:hint="eastAsia" w:hAnsi="宋体" w:cs="宋体"/>
          <w:szCs w:val="24"/>
          <w:highlight w:val="none"/>
        </w:rPr>
        <w:t>31.3采用竞争性磋商采购方式采购的政府购买服务项目（含政府和社会资本合作项目），</w:t>
      </w:r>
      <w:r>
        <w:rPr>
          <w:rFonts w:hint="eastAsia" w:hAnsi="宋体" w:cs="宋体"/>
          <w:highlight w:val="none"/>
        </w:rPr>
        <w:t>采购过程中符合要求的供应商</w:t>
      </w:r>
      <w:r>
        <w:rPr>
          <w:rFonts w:hint="eastAsia" w:hAnsi="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spacing w:line="360" w:lineRule="auto"/>
        <w:ind w:firstLine="480" w:firstLineChars="200"/>
        <w:rPr>
          <w:rFonts w:hint="eastAsia" w:hAnsi="宋体" w:cs="宋体"/>
          <w:szCs w:val="24"/>
          <w:highlight w:val="none"/>
        </w:rPr>
      </w:pPr>
      <w:r>
        <w:rPr>
          <w:rFonts w:hint="eastAsia" w:hAnsi="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39" w:name="_Toc363474023"/>
    </w:p>
    <w:p>
      <w:pPr>
        <w:spacing w:line="500" w:lineRule="exact"/>
        <w:rPr>
          <w:rFonts w:hint="eastAsia" w:hAnsi="宋体" w:cs="宋体"/>
          <w:b/>
          <w:bCs/>
          <w:szCs w:val="24"/>
          <w:highlight w:val="none"/>
        </w:rPr>
      </w:pPr>
      <w:r>
        <w:rPr>
          <w:rFonts w:hint="eastAsia" w:hAnsi="宋体" w:cs="宋体"/>
          <w:b/>
          <w:bCs/>
          <w:szCs w:val="24"/>
          <w:highlight w:val="none"/>
        </w:rPr>
        <w:t>32.电子投标注意事项</w:t>
      </w:r>
    </w:p>
    <w:p>
      <w:pPr>
        <w:spacing w:line="360" w:lineRule="auto"/>
        <w:ind w:firstLine="480" w:firstLineChars="200"/>
        <w:jc w:val="left"/>
        <w:rPr>
          <w:rFonts w:hAnsi="宋体" w:cs="宋体"/>
          <w:szCs w:val="24"/>
          <w:highlight w:val="none"/>
        </w:rPr>
      </w:pPr>
      <w:r>
        <w:rPr>
          <w:rFonts w:hAnsi="宋体" w:cs="宋体"/>
          <w:szCs w:val="24"/>
          <w:highlight w:val="none"/>
        </w:rPr>
        <w:t>1、本项目采用电子化投标</w:t>
      </w:r>
      <w:r>
        <w:rPr>
          <w:rFonts w:hint="eastAsia" w:hAnsi="宋体" w:cs="宋体"/>
          <w:b/>
          <w:color w:val="000000"/>
          <w:highlight w:val="none"/>
        </w:rPr>
        <w:t>（不见面开标方式）</w:t>
      </w:r>
      <w:r>
        <w:rPr>
          <w:rFonts w:hAnsi="宋体" w:cs="宋体"/>
          <w:szCs w:val="24"/>
          <w:highlight w:val="none"/>
        </w:rPr>
        <w:t>的方式投标，投标人须使用数字认证证书（CA锁）对电子投标文件进行签章、加密、递交及开标时解密等相关招投标事宜。开标时投标人须携带数字认证证书（CA锁），如因投标人自身原因未携带数字认证证书（CA锁）造成无法解密投标文件，按无效投标对待。</w:t>
      </w:r>
    </w:p>
    <w:p>
      <w:pPr>
        <w:spacing w:line="360" w:lineRule="auto"/>
        <w:ind w:firstLine="480" w:firstLineChars="200"/>
        <w:jc w:val="left"/>
        <w:rPr>
          <w:rFonts w:hAnsi="宋体" w:cs="宋体"/>
          <w:szCs w:val="24"/>
          <w:highlight w:val="none"/>
        </w:rPr>
      </w:pPr>
      <w:r>
        <w:rPr>
          <w:rFonts w:hint="eastAsia" w:hAnsi="宋体" w:cs="宋体"/>
          <w:szCs w:val="24"/>
          <w:highlight w:val="none"/>
        </w:rPr>
        <w:t>2</w:t>
      </w:r>
      <w:r>
        <w:rPr>
          <w:rFonts w:hAnsi="宋体" w:cs="宋体"/>
          <w:szCs w:val="24"/>
          <w:highlight w:val="none"/>
        </w:rPr>
        <w:t>、制作电子投标文件</w:t>
      </w:r>
    </w:p>
    <w:p>
      <w:pPr>
        <w:spacing w:line="360" w:lineRule="auto"/>
        <w:ind w:firstLine="480" w:firstLineChars="200"/>
        <w:jc w:val="left"/>
        <w:rPr>
          <w:rFonts w:hAnsi="宋体" w:cs="宋体"/>
          <w:szCs w:val="24"/>
          <w:highlight w:val="none"/>
        </w:rPr>
      </w:pPr>
      <w:r>
        <w:rPr>
          <w:rFonts w:hAnsi="宋体" w:cs="宋体"/>
          <w:szCs w:val="24"/>
          <w:highlight w:val="none"/>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pPr>
        <w:spacing w:line="360" w:lineRule="auto"/>
        <w:ind w:firstLine="480" w:firstLineChars="200"/>
        <w:jc w:val="left"/>
        <w:rPr>
          <w:rFonts w:hAnsi="宋体" w:cs="宋体"/>
          <w:szCs w:val="24"/>
          <w:highlight w:val="none"/>
        </w:rPr>
      </w:pPr>
      <w:r>
        <w:rPr>
          <w:rFonts w:hint="eastAsia" w:hAnsi="宋体" w:cs="宋体"/>
          <w:szCs w:val="24"/>
          <w:highlight w:val="none"/>
        </w:rPr>
        <w:t>3</w:t>
      </w:r>
      <w:r>
        <w:rPr>
          <w:rFonts w:hAnsi="宋体" w:cs="宋体"/>
          <w:szCs w:val="24"/>
          <w:highlight w:val="none"/>
        </w:rPr>
        <w:t>、递交电子投标文件</w:t>
      </w:r>
    </w:p>
    <w:p>
      <w:pPr>
        <w:spacing w:line="360" w:lineRule="auto"/>
        <w:ind w:firstLine="480" w:firstLineChars="200"/>
        <w:jc w:val="left"/>
        <w:rPr>
          <w:rFonts w:hAnsi="宋体" w:cs="宋体"/>
          <w:szCs w:val="24"/>
          <w:highlight w:val="none"/>
        </w:rPr>
      </w:pPr>
      <w:r>
        <w:rPr>
          <w:rFonts w:hAnsi="宋体" w:cs="宋体"/>
          <w:szCs w:val="24"/>
          <w:highlight w:val="none"/>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pPr>
        <w:spacing w:line="360" w:lineRule="auto"/>
        <w:ind w:firstLine="480" w:firstLineChars="200"/>
        <w:jc w:val="left"/>
        <w:rPr>
          <w:rFonts w:hint="eastAsia" w:hAnsi="宋体" w:cs="宋体"/>
          <w:szCs w:val="24"/>
          <w:highlight w:val="none"/>
        </w:rPr>
      </w:pPr>
      <w:r>
        <w:rPr>
          <w:rFonts w:hint="eastAsia" w:hAnsi="宋体" w:cs="宋体"/>
          <w:szCs w:val="24"/>
          <w:highlight w:val="none"/>
        </w:rPr>
        <w:t>4、纸质投标文件</w:t>
      </w:r>
    </w:p>
    <w:p>
      <w:pPr>
        <w:spacing w:line="360" w:lineRule="auto"/>
        <w:ind w:firstLine="480" w:firstLineChars="200"/>
        <w:jc w:val="left"/>
        <w:rPr>
          <w:rFonts w:hint="eastAsia" w:hAnsi="宋体" w:cs="宋体"/>
          <w:szCs w:val="24"/>
          <w:highlight w:val="none"/>
        </w:rPr>
      </w:pPr>
      <w:r>
        <w:rPr>
          <w:rFonts w:hint="eastAsia" w:hAnsi="宋体" w:cs="宋体"/>
          <w:szCs w:val="24"/>
          <w:highlight w:val="none"/>
        </w:rPr>
        <w:t>本项目不提供纸质投标文件。</w:t>
      </w:r>
    </w:p>
    <w:p>
      <w:pPr>
        <w:spacing w:line="360" w:lineRule="auto"/>
        <w:ind w:firstLine="480" w:firstLineChars="200"/>
        <w:rPr>
          <w:rFonts w:hint="eastAsia" w:cs="宋体"/>
          <w:bCs/>
          <w:szCs w:val="36"/>
          <w:highlight w:val="none"/>
        </w:rPr>
      </w:pPr>
      <w:r>
        <w:rPr>
          <w:rFonts w:hint="eastAsia" w:cs="宋体"/>
          <w:bCs/>
          <w:szCs w:val="36"/>
          <w:highlight w:val="none"/>
        </w:rPr>
        <w:t>5、二次报价网上操作流程：</w:t>
      </w:r>
    </w:p>
    <w:p>
      <w:pPr>
        <w:spacing w:line="360" w:lineRule="auto"/>
        <w:ind w:firstLine="480" w:firstLineChars="200"/>
        <w:rPr>
          <w:rFonts w:hint="eastAsia" w:cs="宋体"/>
          <w:bCs/>
          <w:szCs w:val="36"/>
          <w:highlight w:val="none"/>
        </w:rPr>
      </w:pPr>
      <w:r>
        <w:rPr>
          <w:rFonts w:hint="eastAsia" w:cs="宋体"/>
          <w:bCs/>
          <w:szCs w:val="36"/>
          <w:highlight w:val="none"/>
        </w:rPr>
        <w:t>（1）插入CA主锁，登录陕西省公共资源交易平台网站（http://www.sxggzyjy.cn/）；</w:t>
      </w:r>
    </w:p>
    <w:p>
      <w:pPr>
        <w:spacing w:line="360" w:lineRule="auto"/>
        <w:ind w:firstLine="480" w:firstLineChars="200"/>
        <w:rPr>
          <w:rFonts w:hint="eastAsia" w:cs="宋体"/>
          <w:bCs/>
          <w:szCs w:val="36"/>
          <w:highlight w:val="none"/>
        </w:rPr>
      </w:pPr>
      <w:r>
        <w:rPr>
          <w:rFonts w:hint="eastAsia" w:cs="宋体"/>
          <w:bCs/>
          <w:szCs w:val="36"/>
          <w:highlight w:val="none"/>
        </w:rPr>
        <w:t>（2）点击右上角我的项目，选择本次开标项目，点击项目流程；</w:t>
      </w:r>
    </w:p>
    <w:p>
      <w:pPr>
        <w:spacing w:line="360" w:lineRule="auto"/>
        <w:ind w:firstLine="480" w:firstLineChars="200"/>
        <w:rPr>
          <w:rFonts w:hint="eastAsia" w:cs="宋体"/>
          <w:bCs/>
          <w:szCs w:val="36"/>
          <w:highlight w:val="none"/>
        </w:rPr>
      </w:pPr>
      <w:r>
        <w:rPr>
          <w:rFonts w:hint="eastAsia" w:cs="宋体"/>
          <w:bCs/>
          <w:szCs w:val="36"/>
          <w:highlight w:val="none"/>
        </w:rPr>
        <w:t>（3）点击网上报价；</w:t>
      </w:r>
    </w:p>
    <w:p>
      <w:pPr>
        <w:spacing w:line="360" w:lineRule="auto"/>
        <w:ind w:firstLine="480" w:firstLineChars="200"/>
        <w:rPr>
          <w:rFonts w:hint="eastAsia" w:cs="宋体"/>
          <w:bCs/>
          <w:szCs w:val="36"/>
          <w:highlight w:val="none"/>
        </w:rPr>
      </w:pPr>
      <w:r>
        <w:rPr>
          <w:rFonts w:hint="eastAsia" w:cs="宋体"/>
          <w:bCs/>
          <w:szCs w:val="36"/>
          <w:highlight w:val="none"/>
        </w:rPr>
        <w:t>（4）报价：点击</w:t>
      </w:r>
      <w:r>
        <w:rPr>
          <w:szCs w:val="24"/>
          <w:highlight w:val="none"/>
        </w:rPr>
        <w:drawing>
          <wp:inline distT="0" distB="0" distL="114300" distR="114300">
            <wp:extent cx="220980" cy="220980"/>
            <wp:effectExtent l="0" t="0" r="7620" b="762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3"/>
                    <a:stretch>
                      <a:fillRect/>
                    </a:stretch>
                  </pic:blipFill>
                  <pic:spPr>
                    <a:xfrm>
                      <a:off x="0" y="0"/>
                      <a:ext cx="220980" cy="220980"/>
                    </a:xfrm>
                    <a:prstGeom prst="rect">
                      <a:avLst/>
                    </a:prstGeom>
                    <a:noFill/>
                    <a:ln>
                      <a:noFill/>
                    </a:ln>
                  </pic:spPr>
                </pic:pic>
              </a:graphicData>
            </a:graphic>
          </wp:inline>
        </w:drawing>
      </w:r>
      <w:r>
        <w:rPr>
          <w:rFonts w:hint="eastAsia" w:cs="宋体"/>
          <w:bCs/>
          <w:szCs w:val="36"/>
          <w:highlight w:val="none"/>
        </w:rPr>
        <w:t>报价，输入金额（注意大小写一致）；</w:t>
      </w:r>
    </w:p>
    <w:p>
      <w:pPr>
        <w:spacing w:line="360" w:lineRule="auto"/>
        <w:ind w:firstLine="480" w:firstLineChars="200"/>
        <w:rPr>
          <w:rFonts w:hint="eastAsia" w:cs="宋体"/>
          <w:bCs/>
          <w:szCs w:val="36"/>
          <w:highlight w:val="none"/>
        </w:rPr>
      </w:pPr>
      <w:r>
        <w:rPr>
          <w:rFonts w:hint="eastAsia" w:cs="宋体"/>
          <w:bCs/>
          <w:szCs w:val="36"/>
          <w:highlight w:val="none"/>
        </w:rPr>
        <w:t>（5）签章查看：点击</w:t>
      </w:r>
      <w:r>
        <w:rPr>
          <w:szCs w:val="24"/>
          <w:highlight w:val="none"/>
        </w:rPr>
        <w:drawing>
          <wp:inline distT="0" distB="0" distL="114300" distR="114300">
            <wp:extent cx="269875" cy="281940"/>
            <wp:effectExtent l="0" t="0" r="15875" b="3810"/>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14"/>
                    <a:srcRect l="10774" t="18208" r="24734" b="15326"/>
                    <a:stretch>
                      <a:fillRect/>
                    </a:stretch>
                  </pic:blipFill>
                  <pic:spPr>
                    <a:xfrm>
                      <a:off x="0" y="0"/>
                      <a:ext cx="269875" cy="281940"/>
                    </a:xfrm>
                    <a:prstGeom prst="rect">
                      <a:avLst/>
                    </a:prstGeom>
                    <a:noFill/>
                    <a:ln>
                      <a:noFill/>
                    </a:ln>
                  </pic:spPr>
                </pic:pic>
              </a:graphicData>
            </a:graphic>
          </wp:inline>
        </w:drawing>
      </w:r>
      <w:r>
        <w:rPr>
          <w:rFonts w:hint="eastAsia" w:cs="宋体"/>
          <w:bCs/>
          <w:szCs w:val="36"/>
          <w:highlight w:val="none"/>
        </w:rPr>
        <w:t>，选择单页签章，点击报价表右下角签章；</w:t>
      </w:r>
    </w:p>
    <w:p>
      <w:pPr>
        <w:spacing w:line="360" w:lineRule="auto"/>
        <w:ind w:firstLine="480" w:firstLineChars="200"/>
        <w:rPr>
          <w:rFonts w:hint="eastAsia" w:cs="宋体"/>
          <w:bCs/>
          <w:szCs w:val="36"/>
          <w:highlight w:val="none"/>
        </w:rPr>
      </w:pPr>
      <w:r>
        <w:rPr>
          <w:rFonts w:hint="eastAsia" w:cs="宋体"/>
          <w:bCs/>
          <w:szCs w:val="36"/>
          <w:highlight w:val="none"/>
        </w:rPr>
        <w:t>（6）确认无误如图：</w:t>
      </w:r>
      <w:r>
        <w:rPr>
          <w:szCs w:val="24"/>
          <w:highlight w:val="none"/>
        </w:rPr>
        <w:drawing>
          <wp:inline distT="0" distB="0" distL="114300" distR="114300">
            <wp:extent cx="4067175" cy="685800"/>
            <wp:effectExtent l="0" t="0" r="9525" b="0"/>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15"/>
                    <a:stretch>
                      <a:fillRect/>
                    </a:stretch>
                  </pic:blipFill>
                  <pic:spPr>
                    <a:xfrm>
                      <a:off x="0" y="0"/>
                      <a:ext cx="4067175" cy="685800"/>
                    </a:xfrm>
                    <a:prstGeom prst="rect">
                      <a:avLst/>
                    </a:prstGeom>
                    <a:noFill/>
                    <a:ln>
                      <a:noFill/>
                    </a:ln>
                  </pic:spPr>
                </pic:pic>
              </a:graphicData>
            </a:graphic>
          </wp:inline>
        </w:drawing>
      </w:r>
    </w:p>
    <w:p>
      <w:pPr>
        <w:spacing w:line="360" w:lineRule="auto"/>
        <w:ind w:firstLine="480" w:firstLineChars="200"/>
        <w:rPr>
          <w:rFonts w:hint="eastAsia" w:cs="宋体"/>
          <w:bCs/>
          <w:szCs w:val="36"/>
          <w:highlight w:val="none"/>
        </w:rPr>
      </w:pPr>
      <w:r>
        <w:rPr>
          <w:rFonts w:hint="eastAsia" w:cs="宋体"/>
          <w:bCs/>
          <w:szCs w:val="36"/>
          <w:highlight w:val="none"/>
        </w:rPr>
        <w:t>（7）提交。</w:t>
      </w:r>
    </w:p>
    <w:p>
      <w:pPr>
        <w:rPr>
          <w:rFonts w:hint="eastAsia" w:ascii="宋体" w:eastAsia="宋体" w:cs="宋体"/>
          <w:bCs/>
          <w:szCs w:val="36"/>
          <w:highlight w:val="none"/>
        </w:rPr>
      </w:pPr>
      <w:bookmarkStart w:id="40" w:name="_Toc423973074"/>
      <w:bookmarkStart w:id="41" w:name="_Toc403077645"/>
      <w:bookmarkStart w:id="42" w:name="_Toc25783"/>
      <w:r>
        <w:rPr>
          <w:rFonts w:hint="eastAsia" w:ascii="宋体" w:eastAsia="宋体" w:cs="宋体"/>
          <w:bCs/>
          <w:szCs w:val="36"/>
          <w:highlight w:val="none"/>
        </w:rPr>
        <w:br w:type="page"/>
      </w:r>
    </w:p>
    <w:p>
      <w:pPr>
        <w:pStyle w:val="3"/>
        <w:jc w:val="center"/>
        <w:rPr>
          <w:rFonts w:ascii="宋体" w:eastAsia="宋体" w:cs="宋体"/>
          <w:bCs/>
          <w:szCs w:val="24"/>
          <w:highlight w:val="none"/>
        </w:rPr>
      </w:pPr>
      <w:bookmarkStart w:id="43" w:name="_Toc32262"/>
      <w:r>
        <w:rPr>
          <w:rFonts w:hint="eastAsia" w:ascii="宋体" w:eastAsia="宋体" w:cs="宋体"/>
          <w:bCs/>
          <w:szCs w:val="36"/>
          <w:highlight w:val="none"/>
        </w:rPr>
        <w:t xml:space="preserve">第三章  </w:t>
      </w:r>
      <w:r>
        <w:rPr>
          <w:rFonts w:hint="eastAsia" w:ascii="宋体" w:eastAsia="宋体" w:cs="宋体"/>
          <w:bCs/>
          <w:szCs w:val="32"/>
          <w:highlight w:val="none"/>
        </w:rPr>
        <w:t>评审</w:t>
      </w:r>
      <w:r>
        <w:rPr>
          <w:rFonts w:hint="eastAsia" w:ascii="宋体" w:eastAsia="宋体" w:cs="宋体"/>
          <w:bCs/>
          <w:szCs w:val="36"/>
          <w:highlight w:val="none"/>
        </w:rPr>
        <w:t>方法</w:t>
      </w:r>
      <w:bookmarkEnd w:id="43"/>
    </w:p>
    <w:p>
      <w:pPr>
        <w:spacing w:line="360" w:lineRule="auto"/>
        <w:rPr>
          <w:rFonts w:hAnsi="宋体" w:cs="宋体"/>
          <w:b/>
          <w:szCs w:val="24"/>
          <w:highlight w:val="none"/>
        </w:rPr>
      </w:pPr>
      <w:r>
        <w:rPr>
          <w:rFonts w:hint="eastAsia" w:hAnsi="宋体" w:cs="宋体"/>
          <w:b/>
          <w:szCs w:val="24"/>
          <w:highlight w:val="none"/>
        </w:rPr>
        <w:t>一．评审方法：</w:t>
      </w:r>
    </w:p>
    <w:p>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pPr>
        <w:spacing w:line="500" w:lineRule="exact"/>
        <w:rPr>
          <w:rFonts w:hAnsi="宋体" w:cs="宋体"/>
          <w:b/>
          <w:spacing w:val="4"/>
          <w:szCs w:val="24"/>
          <w:highlight w:val="none"/>
        </w:rPr>
      </w:pPr>
      <w:r>
        <w:rPr>
          <w:rFonts w:hint="eastAsia" w:hAnsi="宋体" w:cs="宋体"/>
          <w:b/>
          <w:spacing w:val="4"/>
          <w:szCs w:val="24"/>
          <w:highlight w:val="none"/>
        </w:rPr>
        <w:t>二、评审程序：</w:t>
      </w:r>
    </w:p>
    <w:p>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pPr>
        <w:numPr>
          <w:ilvl w:val="0"/>
          <w:numId w:val="5"/>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1.1资格性审查。</w:t>
      </w:r>
      <w:r>
        <w:rPr>
          <w:rFonts w:hint="eastAsia" w:hAnsi="宋体" w:cs="宋体"/>
          <w:highlight w:val="none"/>
        </w:rPr>
        <w:t>磋商小组将依据磋商响应文件，按照磋商文件第二章供应商须知前附表12.1条所述资格要求进行资格性审查，如果供应商不满足磋商文件所规定的资格要求或提供资格证明文件不全,将被视为未实质性响应磋商文件。</w:t>
      </w:r>
    </w:p>
    <w:p>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pPr>
        <w:spacing w:line="500" w:lineRule="exact"/>
        <w:ind w:firstLine="480" w:firstLineChars="200"/>
        <w:rPr>
          <w:rFonts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pPr>
        <w:spacing w:after="156" w:afterLines="50" w:line="500" w:lineRule="exact"/>
        <w:ind w:firstLine="482" w:firstLineChars="200"/>
        <w:rPr>
          <w:rFonts w:hAnsi="宋体" w:cs="宋体"/>
          <w:b/>
          <w:highlight w:val="none"/>
        </w:rPr>
      </w:pPr>
      <w:r>
        <w:rPr>
          <w:rFonts w:hint="eastAsia" w:hAnsi="宋体" w:cs="宋体"/>
          <w:b/>
          <w:highlight w:val="none"/>
        </w:rPr>
        <w:t>2、磋商响应文件的澄清</w:t>
      </w:r>
    </w:p>
    <w:p>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pPr>
        <w:pStyle w:val="2"/>
        <w:spacing w:line="500" w:lineRule="exact"/>
        <w:ind w:firstLine="482" w:firstLineChars="200"/>
        <w:rPr>
          <w:rFonts w:ascii="宋体" w:hAnsi="宋体" w:cs="宋体"/>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pPr>
        <w:spacing w:line="500" w:lineRule="exact"/>
        <w:jc w:val="left"/>
        <w:rPr>
          <w:rFonts w:hAnsi="宋体" w:cs="宋体"/>
          <w:b/>
          <w:szCs w:val="24"/>
          <w:highlight w:val="none"/>
        </w:rPr>
      </w:pPr>
      <w:r>
        <w:rPr>
          <w:rFonts w:hint="eastAsia" w:hAnsi="宋体" w:cs="宋体"/>
          <w:b/>
          <w:szCs w:val="24"/>
          <w:highlight w:val="none"/>
        </w:rPr>
        <w:t>三、政策性扣减</w:t>
      </w:r>
    </w:p>
    <w:p>
      <w:pPr>
        <w:spacing w:line="500" w:lineRule="exact"/>
        <w:ind w:firstLine="482" w:firstLineChars="200"/>
        <w:jc w:val="left"/>
        <w:rPr>
          <w:rFonts w:hAnsi="宋体" w:cs="宋体"/>
          <w:b/>
          <w:bCs/>
          <w:szCs w:val="24"/>
          <w:highlight w:val="none"/>
        </w:rPr>
      </w:pPr>
      <w:r>
        <w:rPr>
          <w:rFonts w:hint="eastAsia" w:hAnsi="宋体" w:cs="宋体"/>
          <w:b/>
          <w:bCs/>
          <w:szCs w:val="24"/>
          <w:highlight w:val="none"/>
        </w:rPr>
        <w:t>1政策性扣减范围</w:t>
      </w:r>
    </w:p>
    <w:p>
      <w:pPr>
        <w:spacing w:line="500" w:lineRule="exact"/>
        <w:ind w:firstLine="480" w:firstLineChars="200"/>
        <w:jc w:val="left"/>
        <w:rPr>
          <w:rFonts w:hAnsi="宋体" w:cs="宋体"/>
          <w:szCs w:val="24"/>
          <w:highlight w:val="none"/>
        </w:rPr>
      </w:pPr>
      <w:r>
        <w:rPr>
          <w:rFonts w:hint="eastAsia" w:hAnsi="宋体" w:cs="宋体"/>
          <w:szCs w:val="24"/>
          <w:highlight w:val="none"/>
        </w:rPr>
        <w:t>1.1供应商符合小型、微型企业或监狱企业、残疾人福利性单位条件的，其磋商报价价格评审时将按相应比例进行扣减。</w:t>
      </w:r>
    </w:p>
    <w:p>
      <w:pPr>
        <w:spacing w:line="500" w:lineRule="exact"/>
        <w:ind w:firstLine="480" w:firstLineChars="200"/>
        <w:jc w:val="left"/>
        <w:rPr>
          <w:rFonts w:hAnsi="宋体" w:cs="宋体"/>
          <w:szCs w:val="24"/>
          <w:highlight w:val="none"/>
        </w:rPr>
      </w:pPr>
      <w:r>
        <w:rPr>
          <w:rFonts w:hint="eastAsia" w:hAnsi="宋体" w:cs="宋体"/>
          <w:szCs w:val="24"/>
          <w:highlight w:val="none"/>
        </w:rPr>
        <w:t>1.2依照&lt;关于印发《政府采购促进中小企业发展暂行办法》的通知&gt;（财库(2011〕181号）的规定，小型、微型企业应当同时符合以下条件：</w:t>
      </w:r>
    </w:p>
    <w:p>
      <w:pPr>
        <w:spacing w:line="500" w:lineRule="exact"/>
        <w:ind w:firstLine="480" w:firstLineChars="200"/>
        <w:jc w:val="left"/>
        <w:rPr>
          <w:rFonts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pPr>
        <w:spacing w:line="500" w:lineRule="exact"/>
        <w:ind w:firstLine="480" w:firstLineChars="200"/>
        <w:jc w:val="left"/>
        <w:rPr>
          <w:rFonts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pPr>
        <w:spacing w:line="500" w:lineRule="exact"/>
        <w:ind w:firstLine="480" w:firstLineChars="200"/>
        <w:jc w:val="left"/>
        <w:rPr>
          <w:rFonts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pPr>
        <w:spacing w:line="500" w:lineRule="exact"/>
        <w:ind w:firstLine="480" w:firstLineChars="200"/>
        <w:jc w:val="left"/>
        <w:rPr>
          <w:rFonts w:hAnsi="宋体" w:cs="宋体"/>
          <w:szCs w:val="24"/>
          <w:highlight w:val="none"/>
        </w:rPr>
      </w:pPr>
      <w:r>
        <w:rPr>
          <w:rFonts w:hint="eastAsia" w:hAnsi="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pPr>
        <w:spacing w:line="500" w:lineRule="exact"/>
        <w:ind w:firstLine="480" w:firstLineChars="200"/>
        <w:jc w:val="left"/>
        <w:rPr>
          <w:rFonts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pPr>
        <w:spacing w:line="500" w:lineRule="exact"/>
        <w:ind w:firstLine="480" w:firstLineChars="200"/>
        <w:jc w:val="left"/>
        <w:rPr>
          <w:rFonts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pPr>
        <w:spacing w:line="500" w:lineRule="exact"/>
        <w:ind w:firstLine="480" w:firstLineChars="200"/>
        <w:jc w:val="left"/>
        <w:rPr>
          <w:rFonts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pPr>
        <w:spacing w:line="500" w:lineRule="exact"/>
        <w:ind w:firstLine="600" w:firstLineChars="250"/>
        <w:rPr>
          <w:rFonts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spacing w:line="500" w:lineRule="exact"/>
        <w:ind w:firstLine="482" w:firstLineChars="200"/>
        <w:jc w:val="left"/>
        <w:rPr>
          <w:rFonts w:hAnsi="宋体" w:cs="宋体"/>
          <w:b/>
          <w:bCs/>
          <w:szCs w:val="24"/>
          <w:highlight w:val="none"/>
        </w:rPr>
      </w:pPr>
      <w:r>
        <w:rPr>
          <w:rFonts w:hint="eastAsia" w:hAnsi="宋体" w:cs="宋体"/>
          <w:b/>
          <w:bCs/>
          <w:szCs w:val="24"/>
          <w:highlight w:val="none"/>
        </w:rPr>
        <w:t>2、政策性扣减方式：</w:t>
      </w:r>
    </w:p>
    <w:p>
      <w:pPr>
        <w:spacing w:line="500" w:lineRule="exact"/>
        <w:ind w:firstLine="480" w:firstLineChars="200"/>
        <w:jc w:val="left"/>
        <w:rPr>
          <w:rFonts w:hAnsi="宋体" w:cs="宋体"/>
          <w:szCs w:val="24"/>
          <w:highlight w:val="none"/>
        </w:rPr>
      </w:pPr>
      <w:r>
        <w:rPr>
          <w:rFonts w:hint="eastAsia" w:hAnsi="宋体" w:cs="宋体"/>
          <w:szCs w:val="24"/>
          <w:highlight w:val="none"/>
        </w:rPr>
        <w:t>2.1供应商为非联合体参与磋商的情况：</w:t>
      </w:r>
    </w:p>
    <w:p>
      <w:pPr>
        <w:spacing w:line="500" w:lineRule="exact"/>
        <w:ind w:firstLine="480" w:firstLineChars="200"/>
        <w:jc w:val="left"/>
        <w:rPr>
          <w:rFonts w:hAnsi="宋体" w:cs="宋体"/>
          <w:szCs w:val="24"/>
          <w:highlight w:val="none"/>
        </w:rPr>
      </w:pPr>
      <w:r>
        <w:rPr>
          <w:rFonts w:hint="eastAsia" w:hAnsi="宋体" w:cs="宋体"/>
          <w:szCs w:val="24"/>
          <w:highlight w:val="none"/>
        </w:rPr>
        <w:t>2.1.1在磋商最终报价的基础上，小型企业或达到小型企业划分标准的监狱企业（或残疾人福利性单位），按“磋商最终报价×6%”进行扣减；</w:t>
      </w:r>
    </w:p>
    <w:p>
      <w:pPr>
        <w:spacing w:line="500" w:lineRule="exact"/>
        <w:ind w:firstLine="480" w:firstLineChars="200"/>
        <w:jc w:val="left"/>
        <w:rPr>
          <w:rFonts w:hAnsi="宋体" w:cs="宋体"/>
          <w:szCs w:val="24"/>
          <w:highlight w:val="none"/>
        </w:rPr>
      </w:pPr>
      <w:r>
        <w:rPr>
          <w:rFonts w:hint="eastAsia" w:hAnsi="宋体" w:cs="宋体"/>
          <w:szCs w:val="24"/>
          <w:highlight w:val="none"/>
        </w:rPr>
        <w:t>2.1.2在磋商最终报价的基础上，注册资金在十五万元以上的微型企业或注册资金在十五万元以上达到微型企业划分标准的监狱企业（或残疾人福利性单位），按“磋商最终报价×8%”进行扣减；</w:t>
      </w:r>
    </w:p>
    <w:p>
      <w:pPr>
        <w:spacing w:line="500" w:lineRule="exact"/>
        <w:ind w:firstLine="480" w:firstLineChars="200"/>
        <w:jc w:val="left"/>
        <w:rPr>
          <w:rFonts w:hAnsi="宋体" w:cs="宋体"/>
          <w:szCs w:val="24"/>
          <w:highlight w:val="none"/>
        </w:rPr>
      </w:pPr>
      <w:r>
        <w:rPr>
          <w:rFonts w:hint="eastAsia" w:hAnsi="宋体" w:cs="宋体"/>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pPr>
        <w:spacing w:line="500" w:lineRule="exact"/>
        <w:ind w:firstLine="480" w:firstLineChars="200"/>
        <w:jc w:val="left"/>
        <w:rPr>
          <w:rFonts w:hAnsi="宋体" w:cs="宋体"/>
          <w:szCs w:val="24"/>
          <w:highlight w:val="none"/>
        </w:rPr>
      </w:pPr>
      <w:r>
        <w:rPr>
          <w:rFonts w:hint="eastAsia" w:hAnsi="宋体" w:cs="宋体"/>
          <w:szCs w:val="24"/>
          <w:highlight w:val="none"/>
        </w:rPr>
        <w:t>2.2供应商为联合体参与磋商且联合协议中约定小型或微型企业的协议合同金额占到联合体协议合同总金额30％以上的情况：</w:t>
      </w:r>
    </w:p>
    <w:p>
      <w:pPr>
        <w:spacing w:line="500" w:lineRule="exact"/>
        <w:ind w:firstLine="480" w:firstLineChars="200"/>
        <w:jc w:val="left"/>
        <w:rPr>
          <w:rFonts w:hAnsi="宋体" w:cs="宋体"/>
          <w:szCs w:val="24"/>
          <w:highlight w:val="none"/>
        </w:rPr>
      </w:pPr>
      <w:r>
        <w:rPr>
          <w:rFonts w:hint="eastAsia" w:hAnsi="宋体" w:cs="宋体"/>
          <w:szCs w:val="24"/>
          <w:highlight w:val="none"/>
        </w:rPr>
        <w:t>2.2.1在磋商最终报价的基础上，与小型企业或达到小型企业划分标准的监狱企业（或残疾人福利性单位）联合的，按“磋商最终报价×2%”进行扣减；</w:t>
      </w:r>
    </w:p>
    <w:p>
      <w:pPr>
        <w:spacing w:line="500" w:lineRule="exact"/>
        <w:ind w:firstLine="480" w:firstLineChars="200"/>
        <w:jc w:val="left"/>
        <w:rPr>
          <w:rFonts w:hAnsi="宋体" w:cs="宋体"/>
          <w:szCs w:val="24"/>
          <w:highlight w:val="none"/>
        </w:rPr>
      </w:pPr>
      <w:r>
        <w:rPr>
          <w:rFonts w:hint="eastAsia" w:hAnsi="宋体" w:cs="宋体"/>
          <w:szCs w:val="24"/>
          <w:highlight w:val="none"/>
        </w:rPr>
        <w:t>2.2.2在磋商最终报价的基础上，与微型企业或达到微型企业划分标准的监狱企业（或残疾人福利性单位）联合的，按“磋商最终报价×3%”进行扣减。</w:t>
      </w:r>
    </w:p>
    <w:p>
      <w:pPr>
        <w:spacing w:line="500" w:lineRule="exact"/>
        <w:ind w:firstLine="480" w:firstLineChars="200"/>
        <w:jc w:val="left"/>
        <w:rPr>
          <w:rFonts w:hAnsi="宋体" w:cs="宋体"/>
          <w:szCs w:val="24"/>
          <w:highlight w:val="none"/>
        </w:rPr>
      </w:pPr>
      <w:r>
        <w:rPr>
          <w:rFonts w:hint="eastAsia" w:hAnsi="宋体" w:cs="宋体"/>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pPr>
        <w:spacing w:line="500" w:lineRule="exact"/>
        <w:ind w:firstLine="480" w:firstLineChars="200"/>
        <w:jc w:val="left"/>
        <w:rPr>
          <w:rFonts w:hAnsi="宋体" w:cs="宋体"/>
          <w:szCs w:val="24"/>
          <w:highlight w:val="none"/>
        </w:rPr>
      </w:pPr>
      <w:r>
        <w:rPr>
          <w:rFonts w:hint="eastAsia" w:hAnsi="宋体" w:cs="宋体"/>
          <w:szCs w:val="24"/>
          <w:highlight w:val="none"/>
        </w:rPr>
        <w:t>2.3供应商享受支持中小型企业发展政策优惠的，可以同时享受节能、环境标志产品优先采购政策。</w:t>
      </w:r>
    </w:p>
    <w:p>
      <w:pPr>
        <w:spacing w:line="500" w:lineRule="exact"/>
        <w:ind w:firstLine="480" w:firstLineChars="200"/>
        <w:jc w:val="left"/>
        <w:rPr>
          <w:rFonts w:hAnsi="宋体" w:cs="宋体"/>
          <w:szCs w:val="24"/>
          <w:highlight w:val="none"/>
        </w:rPr>
      </w:pPr>
      <w:r>
        <w:rPr>
          <w:rFonts w:hint="eastAsia" w:hAnsi="宋体" w:cs="宋体"/>
          <w:szCs w:val="24"/>
          <w:highlight w:val="none"/>
        </w:rPr>
        <w:t>2.3.1单个合同项为单一产品的，所投产品为节能、环境标志产品的在磋商最终报价的基础上，按“磋商最终报价×6%”进行扣减；</w:t>
      </w:r>
    </w:p>
    <w:p>
      <w:pPr>
        <w:spacing w:line="500" w:lineRule="exact"/>
        <w:ind w:firstLine="480" w:firstLineChars="200"/>
        <w:jc w:val="left"/>
        <w:rPr>
          <w:rFonts w:hAnsi="宋体" w:cs="宋体"/>
          <w:szCs w:val="24"/>
          <w:highlight w:val="none"/>
        </w:rPr>
      </w:pPr>
      <w:r>
        <w:rPr>
          <w:rFonts w:hint="eastAsia" w:hAnsi="宋体" w:cs="宋体"/>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pPr>
        <w:spacing w:line="500" w:lineRule="exact"/>
        <w:ind w:firstLine="480" w:firstLineChars="200"/>
        <w:jc w:val="left"/>
        <w:rPr>
          <w:rFonts w:hAnsi="宋体" w:cs="宋体"/>
          <w:szCs w:val="24"/>
          <w:highlight w:val="none"/>
        </w:rPr>
      </w:pPr>
      <w:r>
        <w:rPr>
          <w:rFonts w:hint="eastAsia" w:hAnsi="宋体" w:cs="宋体"/>
          <w:szCs w:val="24"/>
          <w:highlight w:val="none"/>
        </w:rPr>
        <w:t>3、成交价格=成交供应商的有效磋商报价。</w:t>
      </w:r>
    </w:p>
    <w:p>
      <w:pPr>
        <w:pStyle w:val="2"/>
        <w:rPr>
          <w:rFonts w:ascii="宋体" w:hAnsi="宋体" w:cs="宋体"/>
          <w:highlight w:val="none"/>
        </w:rPr>
      </w:pPr>
    </w:p>
    <w:p>
      <w:pPr>
        <w:spacing w:line="360" w:lineRule="auto"/>
        <w:ind w:firstLine="498" w:firstLineChars="200"/>
        <w:jc w:val="center"/>
        <w:rPr>
          <w:rFonts w:hAnsi="宋体" w:cs="宋体"/>
          <w:b/>
          <w:szCs w:val="24"/>
          <w:highlight w:val="none"/>
        </w:rPr>
      </w:pPr>
      <w:r>
        <w:rPr>
          <w:rFonts w:hint="eastAsia" w:hAnsi="宋体" w:cs="宋体"/>
          <w:b/>
          <w:spacing w:val="4"/>
          <w:szCs w:val="24"/>
          <w:highlight w:val="none"/>
        </w:rPr>
        <w:br w:type="page"/>
      </w:r>
      <w:r>
        <w:rPr>
          <w:rFonts w:hint="eastAsia" w:hAnsi="宋体" w:cs="宋体"/>
          <w:b/>
          <w:spacing w:val="4"/>
          <w:szCs w:val="24"/>
          <w:highlight w:val="none"/>
        </w:rPr>
        <w:t>四、</w:t>
      </w:r>
      <w:r>
        <w:rPr>
          <w:rFonts w:hint="eastAsia" w:hAnsi="宋体" w:cs="宋体"/>
          <w:b/>
          <w:szCs w:val="24"/>
          <w:highlight w:val="none"/>
        </w:rPr>
        <w:t>评审要素和分值分解表</w:t>
      </w:r>
    </w:p>
    <w:p>
      <w:pPr>
        <w:spacing w:line="360" w:lineRule="auto"/>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评价和比较以磋商响应文件为依据，从“价格评审”、“</w:t>
      </w:r>
      <w:r>
        <w:rPr>
          <w:rFonts w:hint="eastAsia" w:hAnsi="宋体" w:cs="宋体"/>
          <w:color w:val="auto"/>
          <w:szCs w:val="24"/>
          <w:highlight w:val="none"/>
          <w:lang w:val="en-US" w:eastAsia="zh-CN"/>
        </w:rPr>
        <w:t>施工组织设计</w:t>
      </w:r>
      <w:r>
        <w:rPr>
          <w:rFonts w:hint="eastAsia" w:ascii="宋体" w:hAnsi="宋体" w:eastAsia="宋体" w:cs="宋体"/>
          <w:color w:val="auto"/>
          <w:szCs w:val="24"/>
          <w:highlight w:val="none"/>
        </w:rPr>
        <w:t>”、“</w:t>
      </w:r>
      <w:r>
        <w:rPr>
          <w:rFonts w:hint="eastAsia" w:hAnsi="宋体" w:cs="宋体"/>
          <w:color w:val="auto"/>
          <w:szCs w:val="24"/>
          <w:highlight w:val="none"/>
          <w:lang w:val="en-US" w:eastAsia="zh-CN"/>
        </w:rPr>
        <w:t>工程质量保障及承诺</w:t>
      </w:r>
      <w:r>
        <w:rPr>
          <w:rFonts w:hint="eastAsia" w:ascii="宋体" w:hAnsi="宋体" w:eastAsia="宋体" w:cs="宋体"/>
          <w:color w:val="auto"/>
          <w:szCs w:val="24"/>
          <w:highlight w:val="none"/>
        </w:rPr>
        <w:t>”等方面进行评审并按照百分制进行赋分。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宋体" w:hAnsi="宋体" w:eastAsia="宋体" w:cs="宋体"/>
          <w:b w:val="0"/>
          <w:bCs w:val="0"/>
          <w:i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caps w:val="0"/>
          <w:color w:val="auto"/>
          <w:spacing w:val="0"/>
          <w:sz w:val="24"/>
          <w:szCs w:val="24"/>
          <w:highlight w:val="none"/>
          <w:shd w:val="clear" w:color="auto" w:fill="FFFFFF"/>
          <w:lang w:val="en-US" w:eastAsia="zh-CN"/>
        </w:rPr>
        <w:t>资格审查标准</w:t>
      </w:r>
    </w:p>
    <w:tbl>
      <w:tblPr>
        <w:tblStyle w:val="21"/>
        <w:tblW w:w="9165"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590"/>
        <w:gridCol w:w="6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40" w:type="dxa"/>
            <w:vAlign w:val="center"/>
          </w:tcPr>
          <w:p>
            <w:pPr>
              <w:pStyle w:val="51"/>
              <w:keepNext w:val="0"/>
              <w:keepLines w:val="0"/>
              <w:pageBreakBefore w:val="0"/>
              <w:kinsoku/>
              <w:wordWrap/>
              <w:overflowPunct/>
              <w:topLinePunct w:val="0"/>
              <w:autoSpaceDE/>
              <w:autoSpaceDN/>
              <w:bidi w:val="0"/>
              <w:adjustRightInd/>
              <w:snapToGrid/>
              <w:spacing w:line="480" w:lineRule="exact"/>
              <w:ind w:left="135" w:right="129"/>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90" w:type="dxa"/>
            <w:vAlign w:val="center"/>
          </w:tcPr>
          <w:p>
            <w:pPr>
              <w:pStyle w:val="51"/>
              <w:keepNext w:val="0"/>
              <w:keepLines w:val="0"/>
              <w:pageBreakBefore w:val="0"/>
              <w:kinsoku/>
              <w:wordWrap/>
              <w:overflowPunct/>
              <w:topLinePunct w:val="0"/>
              <w:autoSpaceDE/>
              <w:autoSpaceDN/>
              <w:bidi w:val="0"/>
              <w:adjustRightInd/>
              <w:snapToGrid/>
              <w:spacing w:line="480" w:lineRule="exact"/>
              <w:ind w:left="118" w:right="107"/>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评审内容</w:t>
            </w:r>
            <w:r>
              <w:rPr>
                <w:rFonts w:hint="eastAsia" w:ascii="宋体" w:hAnsi="宋体" w:eastAsia="宋体" w:cs="宋体"/>
                <w:color w:val="auto"/>
                <w:sz w:val="24"/>
                <w:szCs w:val="24"/>
                <w:highlight w:val="none"/>
                <w:lang w:val="en-US" w:eastAsia="zh-CN"/>
              </w:rPr>
              <w:t xml:space="preserve"> </w:t>
            </w:r>
          </w:p>
        </w:tc>
        <w:tc>
          <w:tcPr>
            <w:tcW w:w="6735" w:type="dxa"/>
            <w:vAlign w:val="center"/>
          </w:tcPr>
          <w:p>
            <w:pPr>
              <w:pStyle w:val="51"/>
              <w:keepNext w:val="0"/>
              <w:keepLines w:val="0"/>
              <w:pageBreakBefore w:val="0"/>
              <w:kinsoku/>
              <w:wordWrap/>
              <w:overflowPunct/>
              <w:topLinePunct w:val="0"/>
              <w:autoSpaceDE/>
              <w:autoSpaceDN/>
              <w:bidi w:val="0"/>
              <w:adjustRightInd/>
              <w:snapToGrid/>
              <w:spacing w:line="480" w:lineRule="exact"/>
              <w:ind w:right="3259"/>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840" w:type="dxa"/>
            <w:vAlign w:val="center"/>
          </w:tcPr>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90" w:type="dxa"/>
            <w:vAlign w:val="center"/>
          </w:tcPr>
          <w:p>
            <w:pPr>
              <w:pStyle w:val="51"/>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6735" w:type="dxa"/>
            <w:vAlign w:val="center"/>
          </w:tcPr>
          <w:p>
            <w:pPr>
              <w:pStyle w:val="51"/>
              <w:keepNext w:val="0"/>
              <w:keepLines w:val="0"/>
              <w:pageBreakBefore w:val="0"/>
              <w:kinsoku/>
              <w:wordWrap/>
              <w:overflowPunct/>
              <w:topLinePunct w:val="0"/>
              <w:autoSpaceDE/>
              <w:autoSpaceDN/>
              <w:bidi w:val="0"/>
              <w:adjustRightInd/>
              <w:snapToGrid/>
              <w:spacing w:line="480" w:lineRule="exact"/>
              <w:ind w:left="108" w:right="21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提供合格有效的法人或者其他组织的营业执照等证明文件，自然人的身份证明；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840" w:type="dxa"/>
            <w:vAlign w:val="center"/>
          </w:tcPr>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90" w:type="dxa"/>
            <w:vAlign w:val="center"/>
          </w:tcPr>
          <w:p>
            <w:pPr>
              <w:pStyle w:val="51"/>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tc>
        <w:tc>
          <w:tcPr>
            <w:tcW w:w="6735" w:type="dxa"/>
            <w:vAlign w:val="center"/>
          </w:tcPr>
          <w:p>
            <w:pPr>
              <w:pStyle w:val="51"/>
              <w:keepNext w:val="0"/>
              <w:keepLines w:val="0"/>
              <w:pageBreakBefore w:val="0"/>
              <w:kinsoku/>
              <w:wordWrap/>
              <w:overflowPunct/>
              <w:topLinePunct w:val="0"/>
              <w:autoSpaceDE/>
              <w:autoSpaceDN/>
              <w:bidi w:val="0"/>
              <w:adjustRightInd/>
              <w:snapToGrid/>
              <w:spacing w:line="480" w:lineRule="exact"/>
              <w:ind w:left="108" w:right="21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提供法定代表人授权书（附法定代表人、被授权人身份证复印件）及被授权人身份证原件（法定代表人直接参加投标，须提供法定代表人身份证明及身份证原件）；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840" w:type="dxa"/>
            <w:vAlign w:val="center"/>
          </w:tcPr>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90" w:type="dxa"/>
            <w:vAlign w:val="center"/>
          </w:tcPr>
          <w:p>
            <w:pPr>
              <w:pStyle w:val="51"/>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财务状况</w:t>
            </w:r>
          </w:p>
        </w:tc>
        <w:tc>
          <w:tcPr>
            <w:tcW w:w="6735" w:type="dxa"/>
            <w:vAlign w:val="center"/>
          </w:tcPr>
          <w:p>
            <w:pPr>
              <w:pStyle w:val="51"/>
              <w:keepNext w:val="0"/>
              <w:keepLines w:val="0"/>
              <w:pageBreakBefore w:val="0"/>
              <w:kinsoku/>
              <w:wordWrap/>
              <w:overflowPunct/>
              <w:topLinePunct w:val="0"/>
              <w:autoSpaceDE/>
              <w:autoSpaceDN/>
              <w:bidi w:val="0"/>
              <w:adjustRightInd/>
              <w:snapToGrid/>
              <w:spacing w:line="480" w:lineRule="exact"/>
              <w:ind w:left="108"/>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提供2021或2022年度的财务审计报告（至少包括资产负债表和利润表，成立时间至提交磋商响应文件截止时间不足一年的可提供成立后任意时段的资产负债表），或开标时间前六个月内银行出具的资信证明；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840" w:type="dxa"/>
            <w:vAlign w:val="center"/>
          </w:tcPr>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90" w:type="dxa"/>
            <w:vAlign w:val="center"/>
          </w:tcPr>
          <w:p>
            <w:pPr>
              <w:pStyle w:val="51"/>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rPr>
              <w:t>税收缴纳证明</w:t>
            </w:r>
          </w:p>
        </w:tc>
        <w:tc>
          <w:tcPr>
            <w:tcW w:w="6735" w:type="dxa"/>
            <w:vAlign w:val="center"/>
          </w:tcPr>
          <w:p>
            <w:pPr>
              <w:pStyle w:val="51"/>
              <w:keepNext w:val="0"/>
              <w:keepLines w:val="0"/>
              <w:pageBreakBefore w:val="0"/>
              <w:kinsoku/>
              <w:wordWrap/>
              <w:overflowPunct/>
              <w:topLinePunct w:val="0"/>
              <w:autoSpaceDE/>
              <w:autoSpaceDN/>
              <w:bidi w:val="0"/>
              <w:adjustRightInd/>
              <w:snapToGrid/>
              <w:spacing w:line="480" w:lineRule="exact"/>
              <w:ind w:left="108" w:right="21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提供磋商截止日前近一年内任意一个月的纳税证明或完税证明（任意税种），依法免税的单位应提供相关证明材料；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9" w:hRule="atLeast"/>
        </w:trPr>
        <w:tc>
          <w:tcPr>
            <w:tcW w:w="840" w:type="dxa"/>
            <w:vAlign w:val="center"/>
          </w:tcPr>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590" w:type="dxa"/>
            <w:vAlign w:val="center"/>
          </w:tcPr>
          <w:p>
            <w:pPr>
              <w:pStyle w:val="51"/>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社会保障资金缴纳证明</w:t>
            </w:r>
          </w:p>
        </w:tc>
        <w:tc>
          <w:tcPr>
            <w:tcW w:w="6735" w:type="dxa"/>
            <w:vAlign w:val="center"/>
          </w:tcPr>
          <w:p>
            <w:pPr>
              <w:pStyle w:val="51"/>
              <w:keepNext w:val="0"/>
              <w:keepLines w:val="0"/>
              <w:pageBreakBefore w:val="0"/>
              <w:kinsoku/>
              <w:wordWrap/>
              <w:overflowPunct/>
              <w:topLinePunct w:val="0"/>
              <w:autoSpaceDE/>
              <w:autoSpaceDN/>
              <w:bidi w:val="0"/>
              <w:adjustRightInd/>
              <w:snapToGrid/>
              <w:spacing w:line="480" w:lineRule="exact"/>
              <w:ind w:left="108" w:right="-29"/>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提供磋商截止日前一年内已缴存的至少一个月的社会保障资金缴存单据或社保机构开具的社会保险参保缴费情况证明，依法不需要缴纳社会保障资金的单位应提供相关证明材料；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840" w:type="dxa"/>
            <w:vAlign w:val="center"/>
          </w:tcPr>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590" w:type="dxa"/>
            <w:vAlign w:val="center"/>
          </w:tcPr>
          <w:p>
            <w:pPr>
              <w:pStyle w:val="51"/>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信用中国</w:t>
            </w:r>
          </w:p>
        </w:tc>
        <w:tc>
          <w:tcPr>
            <w:tcW w:w="6735" w:type="dxa"/>
            <w:vAlign w:val="center"/>
          </w:tcPr>
          <w:p>
            <w:pPr>
              <w:pStyle w:val="51"/>
              <w:keepNext w:val="0"/>
              <w:keepLines w:val="0"/>
              <w:pageBreakBefore w:val="0"/>
              <w:kinsoku/>
              <w:wordWrap/>
              <w:overflowPunct/>
              <w:topLinePunct w:val="0"/>
              <w:autoSpaceDE/>
              <w:autoSpaceDN/>
              <w:bidi w:val="0"/>
              <w:adjustRightInd/>
              <w:snapToGrid/>
              <w:spacing w:line="480" w:lineRule="exact"/>
              <w:ind w:right="99"/>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供应商应通过“信用中国”网站(www.creditchina.gov.cn)、中国政府采购网(www.ccgp.gov.cn)查询相关主体信用记录；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840" w:type="dxa"/>
            <w:vAlign w:val="center"/>
          </w:tcPr>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590" w:type="dxa"/>
            <w:vAlign w:val="center"/>
          </w:tcPr>
          <w:p>
            <w:pPr>
              <w:pStyle w:val="51"/>
              <w:keepNext w:val="0"/>
              <w:keepLines w:val="0"/>
              <w:pageBreakBefore w:val="0"/>
              <w:kinsoku/>
              <w:wordWrap/>
              <w:overflowPunct/>
              <w:topLinePunct w:val="0"/>
              <w:autoSpaceDE/>
              <w:autoSpaceDN/>
              <w:bidi w:val="0"/>
              <w:adjustRightInd/>
              <w:snapToGrid/>
              <w:spacing w:line="480" w:lineRule="exact"/>
              <w:ind w:right="125"/>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资质证书</w:t>
            </w:r>
          </w:p>
        </w:tc>
        <w:tc>
          <w:tcPr>
            <w:tcW w:w="6735" w:type="dxa"/>
            <w:vAlign w:val="center"/>
          </w:tcPr>
          <w:p>
            <w:pPr>
              <w:pStyle w:val="51"/>
              <w:keepNext w:val="0"/>
              <w:keepLines w:val="0"/>
              <w:pageBreakBefore w:val="0"/>
              <w:kinsoku/>
              <w:wordWrap/>
              <w:overflowPunct/>
              <w:topLinePunct w:val="0"/>
              <w:autoSpaceDE/>
              <w:autoSpaceDN/>
              <w:bidi w:val="0"/>
              <w:adjustRightInd/>
              <w:snapToGrid/>
              <w:spacing w:line="480" w:lineRule="exact"/>
              <w:ind w:right="99"/>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供应商须具备具备公路工程施工总承包三级（含三级）或市政公用工程施工总承包三级（含三级）及以上资质；拟派项目经理具备公路工程二级或市政公用工程二级及以上注册建造师资格和安全生产考核合格B证，且无在建工程，提供无在建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trPr>
        <w:tc>
          <w:tcPr>
            <w:tcW w:w="840" w:type="dxa"/>
            <w:vAlign w:val="center"/>
          </w:tcPr>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590" w:type="dxa"/>
            <w:vAlign w:val="center"/>
          </w:tcPr>
          <w:p>
            <w:pPr>
              <w:pStyle w:val="51"/>
              <w:keepNext w:val="0"/>
              <w:keepLines w:val="0"/>
              <w:pageBreakBefore w:val="0"/>
              <w:kinsoku/>
              <w:wordWrap/>
              <w:overflowPunct/>
              <w:topLinePunct w:val="0"/>
              <w:autoSpaceDE/>
              <w:autoSpaceDN/>
              <w:bidi w:val="0"/>
              <w:adjustRightInd/>
              <w:snapToGrid/>
              <w:spacing w:line="480" w:lineRule="exact"/>
              <w:ind w:left="118" w:right="107"/>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rPr>
              <w:t>承诺书</w:t>
            </w:r>
          </w:p>
        </w:tc>
        <w:tc>
          <w:tcPr>
            <w:tcW w:w="6735" w:type="dxa"/>
            <w:vAlign w:val="center"/>
          </w:tcPr>
          <w:p>
            <w:pPr>
              <w:pStyle w:val="51"/>
              <w:keepNext w:val="0"/>
              <w:keepLines w:val="0"/>
              <w:pageBreakBefore w:val="0"/>
              <w:kinsoku/>
              <w:wordWrap/>
              <w:overflowPunct/>
              <w:topLinePunct w:val="0"/>
              <w:autoSpaceDE/>
              <w:autoSpaceDN/>
              <w:bidi w:val="0"/>
              <w:adjustRightInd/>
              <w:snapToGrid/>
              <w:spacing w:line="480" w:lineRule="exact"/>
              <w:ind w:left="108" w:right="58"/>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提供具有履行本合同所必需的设备和专业技术能力的说明及承诺书；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840" w:type="dxa"/>
            <w:vAlign w:val="center"/>
          </w:tcPr>
          <w:p>
            <w:pPr>
              <w:pStyle w:val="51"/>
              <w:keepNext w:val="0"/>
              <w:keepLines w:val="0"/>
              <w:pageBreakBefore w:val="0"/>
              <w:kinsoku/>
              <w:wordWrap/>
              <w:overflowPunct/>
              <w:topLinePunct w:val="0"/>
              <w:autoSpaceDE/>
              <w:autoSpaceDN/>
              <w:bidi w:val="0"/>
              <w:adjustRightInd/>
              <w:snapToGrid/>
              <w:spacing w:line="480" w:lineRule="exact"/>
              <w:ind w:right="128"/>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590" w:type="dxa"/>
            <w:vAlign w:val="center"/>
          </w:tcPr>
          <w:p>
            <w:pPr>
              <w:pStyle w:val="51"/>
              <w:keepNext w:val="0"/>
              <w:keepLines w:val="0"/>
              <w:pageBreakBefore w:val="0"/>
              <w:kinsoku/>
              <w:wordWrap/>
              <w:overflowPunct/>
              <w:topLinePunct w:val="0"/>
              <w:autoSpaceDE/>
              <w:autoSpaceDN/>
              <w:bidi w:val="0"/>
              <w:adjustRightInd/>
              <w:snapToGrid/>
              <w:spacing w:line="480" w:lineRule="exact"/>
              <w:ind w:right="125"/>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重大违法记录声明</w:t>
            </w:r>
          </w:p>
        </w:tc>
        <w:tc>
          <w:tcPr>
            <w:tcW w:w="6735" w:type="dxa"/>
            <w:vAlign w:val="center"/>
          </w:tcPr>
          <w:p>
            <w:pPr>
              <w:pStyle w:val="51"/>
              <w:keepNext w:val="0"/>
              <w:keepLines w:val="0"/>
              <w:pageBreakBefore w:val="0"/>
              <w:kinsoku/>
              <w:wordWrap/>
              <w:overflowPunct/>
              <w:topLinePunct w:val="0"/>
              <w:autoSpaceDE/>
              <w:autoSpaceDN/>
              <w:bidi w:val="0"/>
              <w:adjustRightInd/>
              <w:snapToGrid/>
              <w:spacing w:line="480" w:lineRule="exact"/>
              <w:ind w:left="108" w:right="214"/>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参加政府采购活动前3年内，在经营活动中没有重大违法记录的书面声明；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40" w:type="dxa"/>
            <w:vAlign w:val="center"/>
          </w:tcPr>
          <w:p>
            <w:pPr>
              <w:pStyle w:val="51"/>
              <w:keepNext w:val="0"/>
              <w:keepLines w:val="0"/>
              <w:pageBreakBefore w:val="0"/>
              <w:kinsoku/>
              <w:wordWrap/>
              <w:overflowPunct/>
              <w:topLinePunct w:val="0"/>
              <w:autoSpaceDE/>
              <w:autoSpaceDN/>
              <w:bidi w:val="0"/>
              <w:adjustRightInd/>
              <w:snapToGrid/>
              <w:spacing w:line="480" w:lineRule="exact"/>
              <w:ind w:right="128"/>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590" w:type="dxa"/>
            <w:vAlign w:val="center"/>
          </w:tcPr>
          <w:p>
            <w:pPr>
              <w:pStyle w:val="51"/>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非联合体说明</w:t>
            </w:r>
          </w:p>
        </w:tc>
        <w:tc>
          <w:tcPr>
            <w:tcW w:w="6735" w:type="dxa"/>
            <w:vAlign w:val="center"/>
          </w:tcPr>
          <w:p>
            <w:pPr>
              <w:pStyle w:val="51"/>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本项目不接受联合体</w:t>
            </w:r>
          </w:p>
        </w:tc>
      </w:tr>
    </w:tbl>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宋体" w:hAnsi="宋体" w:eastAsia="宋体" w:cs="宋体"/>
          <w:b w:val="0"/>
          <w:bCs w:val="0"/>
          <w:i w:val="0"/>
          <w:caps w:val="0"/>
          <w:color w:val="auto"/>
          <w:spacing w:val="0"/>
          <w:sz w:val="28"/>
          <w:szCs w:val="28"/>
          <w:highlight w:val="none"/>
          <w:shd w:val="clear" w:color="auto" w:fill="FFFFFF"/>
          <w:lang w:val="en-US" w:eastAsia="zh-CN"/>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宋体" w:hAnsi="宋体" w:eastAsia="宋体" w:cs="宋体"/>
          <w:b w:val="0"/>
          <w:bCs w:val="0"/>
          <w:i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caps w:val="0"/>
          <w:color w:val="auto"/>
          <w:spacing w:val="0"/>
          <w:sz w:val="24"/>
          <w:szCs w:val="24"/>
          <w:highlight w:val="none"/>
          <w:shd w:val="clear" w:color="auto" w:fill="FFFFFF"/>
          <w:lang w:val="en-US" w:eastAsia="zh-CN"/>
        </w:rPr>
        <w:t>符合性审查标准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宋体" w:hAnsi="宋体" w:eastAsia="宋体" w:cs="宋体"/>
          <w:b w:val="0"/>
          <w:bCs w:val="0"/>
          <w:i w:val="0"/>
          <w:caps w:val="0"/>
          <w:color w:val="auto"/>
          <w:spacing w:val="0"/>
          <w:sz w:val="28"/>
          <w:szCs w:val="28"/>
          <w:highlight w:val="none"/>
          <w:shd w:val="clear" w:color="auto" w:fill="FFFFFF"/>
          <w:lang w:val="en-US" w:eastAsia="zh-CN"/>
        </w:rPr>
      </w:pPr>
    </w:p>
    <w:tbl>
      <w:tblPr>
        <w:tblStyle w:val="21"/>
        <w:tblW w:w="9165"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590"/>
        <w:gridCol w:w="6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840" w:type="dxa"/>
            <w:vAlign w:val="center"/>
          </w:tcPr>
          <w:p>
            <w:pPr>
              <w:pStyle w:val="51"/>
              <w:keepNext w:val="0"/>
              <w:keepLines w:val="0"/>
              <w:pageBreakBefore w:val="0"/>
              <w:kinsoku/>
              <w:wordWrap/>
              <w:overflowPunct/>
              <w:topLinePunct w:val="0"/>
              <w:autoSpaceDE/>
              <w:autoSpaceDN/>
              <w:bidi w:val="0"/>
              <w:adjustRightInd/>
              <w:snapToGrid/>
              <w:spacing w:line="480" w:lineRule="exact"/>
              <w:ind w:left="135" w:right="129"/>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90" w:type="dxa"/>
            <w:vAlign w:val="center"/>
          </w:tcPr>
          <w:p>
            <w:pPr>
              <w:pStyle w:val="51"/>
              <w:keepNext w:val="0"/>
              <w:keepLines w:val="0"/>
              <w:pageBreakBefore w:val="0"/>
              <w:kinsoku/>
              <w:wordWrap/>
              <w:overflowPunct/>
              <w:topLinePunct w:val="0"/>
              <w:autoSpaceDE/>
              <w:autoSpaceDN/>
              <w:bidi w:val="0"/>
              <w:adjustRightInd/>
              <w:snapToGrid/>
              <w:spacing w:line="480" w:lineRule="exact"/>
              <w:ind w:left="118" w:right="107"/>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评审内容</w:t>
            </w:r>
            <w:r>
              <w:rPr>
                <w:rFonts w:hint="eastAsia" w:ascii="宋体" w:hAnsi="宋体" w:eastAsia="宋体" w:cs="宋体"/>
                <w:color w:val="auto"/>
                <w:sz w:val="24"/>
                <w:szCs w:val="24"/>
                <w:highlight w:val="none"/>
                <w:lang w:val="en-US" w:eastAsia="zh-CN"/>
              </w:rPr>
              <w:t xml:space="preserve"> </w:t>
            </w:r>
          </w:p>
        </w:tc>
        <w:tc>
          <w:tcPr>
            <w:tcW w:w="6735" w:type="dxa"/>
            <w:vAlign w:val="center"/>
          </w:tcPr>
          <w:p>
            <w:pPr>
              <w:pStyle w:val="51"/>
              <w:keepNext w:val="0"/>
              <w:keepLines w:val="0"/>
              <w:pageBreakBefore w:val="0"/>
              <w:kinsoku/>
              <w:wordWrap/>
              <w:overflowPunct/>
              <w:topLinePunct w:val="0"/>
              <w:autoSpaceDE/>
              <w:autoSpaceDN/>
              <w:bidi w:val="0"/>
              <w:adjustRightInd/>
              <w:snapToGrid/>
              <w:spacing w:line="480" w:lineRule="exact"/>
              <w:ind w:right="3259"/>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840" w:type="dxa"/>
            <w:vAlign w:val="center"/>
          </w:tcPr>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90" w:type="dxa"/>
            <w:vAlign w:val="center"/>
          </w:tcPr>
          <w:p>
            <w:pPr>
              <w:pStyle w:val="51"/>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p>
          <w:p>
            <w:pPr>
              <w:pStyle w:val="51"/>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w:t>
            </w:r>
          </w:p>
          <w:p>
            <w:pPr>
              <w:pStyle w:val="51"/>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完整性</w:t>
            </w:r>
          </w:p>
          <w:p>
            <w:pPr>
              <w:pStyle w:val="51"/>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highlight w:val="none"/>
              </w:rPr>
            </w:pPr>
          </w:p>
        </w:tc>
        <w:tc>
          <w:tcPr>
            <w:tcW w:w="6735" w:type="dxa"/>
            <w:vAlign w:val="center"/>
          </w:tcPr>
          <w:p>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竞争性磋商响应文件构成是否有重大缺项，是否按照竞争性磋商文件要求的格式编写竞争性磋商响应文件。</w:t>
            </w:r>
          </w:p>
          <w:p>
            <w:pPr>
              <w:pStyle w:val="51"/>
              <w:keepNext w:val="0"/>
              <w:keepLines w:val="0"/>
              <w:pageBreakBefore w:val="0"/>
              <w:kinsoku/>
              <w:wordWrap/>
              <w:overflowPunct/>
              <w:topLinePunct w:val="0"/>
              <w:autoSpaceDE/>
              <w:autoSpaceDN/>
              <w:bidi w:val="0"/>
              <w:adjustRightInd/>
              <w:snapToGrid/>
              <w:spacing w:line="480" w:lineRule="exact"/>
              <w:ind w:left="108" w:right="214"/>
              <w:jc w:val="both"/>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840" w:type="dxa"/>
            <w:vAlign w:val="center"/>
          </w:tcPr>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90" w:type="dxa"/>
            <w:vAlign w:val="center"/>
          </w:tcPr>
          <w:p>
            <w:pPr>
              <w:pStyle w:val="51"/>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highlight w:val="none"/>
              </w:rPr>
            </w:pPr>
            <w:r>
              <w:rPr>
                <w:rFonts w:hint="eastAsia" w:ascii="宋体" w:hAnsi="宋体" w:eastAsia="宋体" w:cs="宋体"/>
                <w:bCs/>
                <w:spacing w:val="4"/>
                <w:sz w:val="24"/>
                <w:szCs w:val="24"/>
                <w:highlight w:val="none"/>
              </w:rPr>
              <w:t>竞争性磋商响应文件的有效性</w:t>
            </w:r>
          </w:p>
        </w:tc>
        <w:tc>
          <w:tcPr>
            <w:tcW w:w="6735" w:type="dxa"/>
            <w:vAlign w:val="center"/>
          </w:tcPr>
          <w:p>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竞争性磋商响应文件的签署、加盖印章是否合格、有效；提供的各种证明文件、数据、资料是否真实、有效。</w:t>
            </w:r>
          </w:p>
          <w:p>
            <w:pPr>
              <w:pStyle w:val="51"/>
              <w:keepNext w:val="0"/>
              <w:keepLines w:val="0"/>
              <w:pageBreakBefore w:val="0"/>
              <w:kinsoku/>
              <w:wordWrap/>
              <w:overflowPunct/>
              <w:topLinePunct w:val="0"/>
              <w:autoSpaceDE/>
              <w:autoSpaceDN/>
              <w:bidi w:val="0"/>
              <w:adjustRightInd/>
              <w:snapToGrid/>
              <w:spacing w:line="480" w:lineRule="exact"/>
              <w:ind w:left="108" w:right="214"/>
              <w:jc w:val="both"/>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840" w:type="dxa"/>
            <w:vAlign w:val="center"/>
          </w:tcPr>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90" w:type="dxa"/>
            <w:vAlign w:val="center"/>
          </w:tcPr>
          <w:p>
            <w:pPr>
              <w:pStyle w:val="51"/>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sz w:val="24"/>
                <w:szCs w:val="24"/>
                <w:highlight w:val="none"/>
              </w:rPr>
            </w:pPr>
            <w:r>
              <w:rPr>
                <w:rFonts w:hint="eastAsia" w:ascii="宋体" w:hAnsi="宋体" w:eastAsia="宋体" w:cs="宋体"/>
                <w:bCs/>
                <w:spacing w:val="4"/>
                <w:sz w:val="24"/>
                <w:szCs w:val="24"/>
                <w:highlight w:val="none"/>
              </w:rPr>
              <w:t>竞争性磋商</w:t>
            </w:r>
            <w:r>
              <w:rPr>
                <w:rFonts w:hint="eastAsia" w:ascii="宋体" w:hAnsi="宋体" w:eastAsia="宋体" w:cs="宋体"/>
                <w:sz w:val="24"/>
                <w:szCs w:val="24"/>
                <w:highlight w:val="none"/>
              </w:rPr>
              <w:t>响应文件的</w:t>
            </w:r>
          </w:p>
          <w:p>
            <w:pPr>
              <w:pStyle w:val="51"/>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响应性</w:t>
            </w:r>
          </w:p>
        </w:tc>
        <w:tc>
          <w:tcPr>
            <w:tcW w:w="6735" w:type="dxa"/>
            <w:vAlign w:val="center"/>
          </w:tcPr>
          <w:p>
            <w:pPr>
              <w:spacing w:line="500" w:lineRule="exact"/>
              <w:ind w:firstLine="480" w:firstLineChars="200"/>
              <w:rPr>
                <w:rFonts w:hAnsi="宋体" w:cs="宋体"/>
                <w:szCs w:val="24"/>
                <w:highlight w:val="none"/>
              </w:rPr>
            </w:pPr>
            <w:r>
              <w:rPr>
                <w:rFonts w:hint="eastAsia" w:hAnsi="宋体" w:cs="宋体"/>
                <w:szCs w:val="24"/>
                <w:highlight w:val="none"/>
              </w:rPr>
              <w:t>磋商有效期是否符合竞争性磋商文件要求；是否满足本次磋商的特殊要求；磋商方案是否有重大缺漏项</w:t>
            </w:r>
            <w:r>
              <w:rPr>
                <w:rFonts w:hint="eastAsia" w:hAnsi="宋体" w:cs="宋体"/>
                <w:szCs w:val="24"/>
                <w:highlight w:val="none"/>
                <w:lang w:eastAsia="zh-CN"/>
              </w:rPr>
              <w:t>、</w:t>
            </w:r>
            <w:r>
              <w:rPr>
                <w:rFonts w:hint="eastAsia" w:hAnsi="宋体" w:cs="宋体"/>
                <w:szCs w:val="24"/>
                <w:highlight w:val="none"/>
              </w:rPr>
              <w:t>否有重大偏离；磋商商务响应条款是否有重大偏离；对合同中规定的双方的权利和义务是否做出了实质性修改。</w:t>
            </w:r>
          </w:p>
          <w:p>
            <w:pPr>
              <w:pStyle w:val="51"/>
              <w:keepNext w:val="0"/>
              <w:keepLines w:val="0"/>
              <w:pageBreakBefore w:val="0"/>
              <w:kinsoku/>
              <w:wordWrap/>
              <w:overflowPunct/>
              <w:topLinePunct w:val="0"/>
              <w:autoSpaceDE/>
              <w:autoSpaceDN/>
              <w:bidi w:val="0"/>
              <w:adjustRightInd/>
              <w:snapToGrid/>
              <w:spacing w:line="480" w:lineRule="exact"/>
              <w:ind w:left="108"/>
              <w:jc w:val="both"/>
              <w:textAlignment w:val="auto"/>
              <w:rPr>
                <w:rFonts w:hint="eastAsia" w:ascii="宋体" w:hAnsi="宋体" w:eastAsia="宋体" w:cs="宋体"/>
                <w:color w:val="auto"/>
                <w:sz w:val="24"/>
                <w:szCs w:val="24"/>
                <w:highlight w:val="none"/>
                <w:lang w:val="en-US" w:eastAsia="zh-CN"/>
              </w:rPr>
            </w:pPr>
          </w:p>
        </w:tc>
      </w:tr>
    </w:tbl>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rightChars="0" w:firstLine="280" w:firstLineChars="100"/>
        <w:jc w:val="left"/>
        <w:textAlignment w:val="auto"/>
        <w:rPr>
          <w:rFonts w:hint="eastAsia" w:ascii="仿宋" w:hAnsi="仿宋" w:eastAsia="仿宋" w:cs="仿宋"/>
          <w:b w:val="0"/>
          <w:bCs w:val="0"/>
          <w:i w:val="0"/>
          <w:caps w:val="0"/>
          <w:color w:val="auto"/>
          <w:spacing w:val="0"/>
          <w:sz w:val="28"/>
          <w:szCs w:val="28"/>
          <w:highlight w:val="none"/>
          <w:shd w:val="clear" w:color="auto" w:fill="FFFFFF"/>
          <w:lang w:val="en-US" w:eastAsia="zh-CN"/>
        </w:rPr>
      </w:pPr>
    </w:p>
    <w:p>
      <w:pPr>
        <w:rPr>
          <w:rFonts w:hint="eastAsia" w:ascii="仿宋" w:hAnsi="仿宋" w:eastAsia="仿宋" w:cs="仿宋"/>
          <w:b w:val="0"/>
          <w:bCs w:val="0"/>
          <w:i w:val="0"/>
          <w:caps w:val="0"/>
          <w:color w:val="auto"/>
          <w:spacing w:val="0"/>
          <w:sz w:val="28"/>
          <w:szCs w:val="28"/>
          <w:highlight w:val="none"/>
          <w:shd w:val="clear" w:color="auto" w:fill="FFFFFF"/>
          <w:lang w:val="en-US" w:eastAsia="zh-CN"/>
        </w:rPr>
      </w:pPr>
      <w:r>
        <w:rPr>
          <w:rFonts w:hint="eastAsia" w:ascii="仿宋" w:hAnsi="仿宋" w:eastAsia="仿宋" w:cs="仿宋"/>
          <w:b w:val="0"/>
          <w:bCs w:val="0"/>
          <w:i w:val="0"/>
          <w:caps w:val="0"/>
          <w:color w:val="auto"/>
          <w:spacing w:val="0"/>
          <w:sz w:val="28"/>
          <w:szCs w:val="28"/>
          <w:highlight w:val="none"/>
          <w:shd w:val="clear" w:color="auto" w:fill="FFFFFF"/>
          <w:lang w:val="en-US" w:eastAsia="zh-CN"/>
        </w:rPr>
        <w:br w:type="page"/>
      </w:r>
    </w:p>
    <w:p>
      <w:pPr>
        <w:pStyle w:val="20"/>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rightChars="0" w:firstLine="240" w:firstLineChars="100"/>
        <w:jc w:val="left"/>
        <w:textAlignment w:val="auto"/>
        <w:rPr>
          <w:rFonts w:hint="eastAsia" w:ascii="宋体" w:hAnsi="宋体" w:eastAsia="宋体" w:cs="宋体"/>
          <w:b w:val="0"/>
          <w:bCs w:val="0"/>
          <w:i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caps w:val="0"/>
          <w:color w:val="auto"/>
          <w:spacing w:val="0"/>
          <w:sz w:val="24"/>
          <w:szCs w:val="24"/>
          <w:highlight w:val="none"/>
          <w:shd w:val="clear" w:color="auto" w:fill="FFFFFF"/>
          <w:lang w:val="en-US" w:eastAsia="zh-CN"/>
        </w:rPr>
        <w:t>评分细则</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rightChars="0"/>
        <w:jc w:val="left"/>
        <w:textAlignment w:val="auto"/>
        <w:rPr>
          <w:rFonts w:hint="eastAsia" w:ascii="仿宋" w:hAnsi="仿宋" w:eastAsia="仿宋" w:cs="仿宋"/>
          <w:b w:val="0"/>
          <w:bCs w:val="0"/>
          <w:i w:val="0"/>
          <w:caps w:val="0"/>
          <w:color w:val="auto"/>
          <w:spacing w:val="0"/>
          <w:sz w:val="28"/>
          <w:szCs w:val="28"/>
          <w:highlight w:val="none"/>
          <w:shd w:val="clear" w:color="auto" w:fill="FFFFFF"/>
          <w:lang w:val="en-US" w:eastAsia="zh-CN"/>
        </w:rPr>
      </w:pPr>
    </w:p>
    <w:tbl>
      <w:tblPr>
        <w:tblStyle w:val="21"/>
        <w:tblW w:w="9174"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6"/>
        <w:gridCol w:w="933"/>
        <w:gridCol w:w="6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2" w:hRule="atLeast"/>
        </w:trPr>
        <w:tc>
          <w:tcPr>
            <w:tcW w:w="1496" w:type="dxa"/>
          </w:tcPr>
          <w:p>
            <w:pPr>
              <w:pStyle w:val="51"/>
              <w:keepNext w:val="0"/>
              <w:keepLines w:val="0"/>
              <w:pageBreakBefore w:val="0"/>
              <w:kinsoku/>
              <w:wordWrap/>
              <w:overflowPunct/>
              <w:topLinePunct w:val="0"/>
              <w:autoSpaceDE/>
              <w:autoSpaceDN/>
              <w:bidi w:val="0"/>
              <w:adjustRightInd/>
              <w:snapToGrid/>
              <w:spacing w:line="480" w:lineRule="exact"/>
              <w:ind w:left="131" w:right="124"/>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w:t>
            </w:r>
          </w:p>
        </w:tc>
        <w:tc>
          <w:tcPr>
            <w:tcW w:w="933" w:type="dxa"/>
          </w:tcPr>
          <w:p>
            <w:pPr>
              <w:pStyle w:val="51"/>
              <w:keepNext w:val="0"/>
              <w:keepLines w:val="0"/>
              <w:pageBreakBefore w:val="0"/>
              <w:kinsoku/>
              <w:wordWrap/>
              <w:overflowPunct/>
              <w:topLinePunct w:val="0"/>
              <w:autoSpaceDE/>
              <w:autoSpaceDN/>
              <w:bidi w:val="0"/>
              <w:adjustRightInd/>
              <w:snapToGrid/>
              <w:spacing w:line="480" w:lineRule="exact"/>
              <w:ind w:left="79" w:right="74"/>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745" w:type="dxa"/>
          </w:tcPr>
          <w:p>
            <w:pPr>
              <w:pStyle w:val="51"/>
              <w:keepNext w:val="0"/>
              <w:keepLines w:val="0"/>
              <w:pageBreakBefore w:val="0"/>
              <w:kinsoku/>
              <w:wordWrap/>
              <w:overflowPunct/>
              <w:topLinePunct w:val="0"/>
              <w:autoSpaceDE/>
              <w:autoSpaceDN/>
              <w:bidi w:val="0"/>
              <w:adjustRightInd/>
              <w:snapToGrid/>
              <w:spacing w:line="480" w:lineRule="exact"/>
              <w:ind w:right="3215"/>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1496" w:type="dxa"/>
            <w:vAlign w:val="center"/>
          </w:tcPr>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r>
              <w:rPr>
                <w:rFonts w:hint="eastAsia" w:ascii="宋体" w:hAnsi="宋体" w:eastAsia="宋体" w:cs="宋体"/>
                <w:color w:val="auto"/>
                <w:spacing w:val="-30"/>
                <w:sz w:val="24"/>
                <w:szCs w:val="24"/>
                <w:highlight w:val="none"/>
              </w:rPr>
              <w:t xml:space="preserve"> 分</w:t>
            </w:r>
            <w:r>
              <w:rPr>
                <w:rFonts w:hint="eastAsia" w:ascii="宋体" w:hAnsi="宋体" w:eastAsia="宋体" w:cs="宋体"/>
                <w:color w:val="auto"/>
                <w:sz w:val="24"/>
                <w:szCs w:val="24"/>
                <w:highlight w:val="none"/>
              </w:rPr>
              <w:t>）</w:t>
            </w:r>
          </w:p>
        </w:tc>
        <w:tc>
          <w:tcPr>
            <w:tcW w:w="933" w:type="dxa"/>
            <w:vAlign w:val="center"/>
          </w:tcPr>
          <w:p>
            <w:pPr>
              <w:pStyle w:val="51"/>
              <w:keepNext w:val="0"/>
              <w:keepLines w:val="0"/>
              <w:pageBreakBefore w:val="0"/>
              <w:kinsoku/>
              <w:wordWrap/>
              <w:overflowPunct/>
              <w:topLinePunct w:val="0"/>
              <w:autoSpaceDE/>
              <w:autoSpaceDN/>
              <w:bidi w:val="0"/>
              <w:adjustRightInd/>
              <w:snapToGrid/>
              <w:spacing w:line="480" w:lineRule="exact"/>
              <w:ind w:right="74"/>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6745" w:type="dxa"/>
          </w:tcPr>
          <w:p>
            <w:pPr>
              <w:pStyle w:val="51"/>
              <w:keepNext w:val="0"/>
              <w:keepLines w:val="0"/>
              <w:pageBreakBefore w:val="0"/>
              <w:kinsoku/>
              <w:wordWrap/>
              <w:overflowPunct/>
              <w:topLinePunct w:val="0"/>
              <w:autoSpaceDE/>
              <w:autoSpaceDN/>
              <w:bidi w:val="0"/>
              <w:adjustRightInd/>
              <w:snapToGrid/>
              <w:spacing w:line="480" w:lineRule="exact"/>
              <w:ind w:left="108" w:right="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以满足磋商文件要求且投标价格最低的最后报价为评标基准价,其价格分为满分 30 分,其他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的价格分按照下列公式计算:最后报价得分=(评标基准价/最后报价)×30。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1496" w:type="dxa"/>
            <w:vAlign w:val="center"/>
          </w:tcPr>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商务响应</w:t>
            </w:r>
          </w:p>
          <w:p>
            <w:pPr>
              <w:pStyle w:val="51"/>
              <w:keepNext w:val="0"/>
              <w:keepLines w:val="0"/>
              <w:pageBreakBefore w:val="0"/>
              <w:kinsoku/>
              <w:wordWrap/>
              <w:overflowPunct/>
              <w:topLinePunct w:val="0"/>
              <w:autoSpaceDE/>
              <w:autoSpaceDN/>
              <w:bidi w:val="0"/>
              <w:adjustRightInd/>
              <w:snapToGrid/>
              <w:spacing w:line="480" w:lineRule="exact"/>
              <w:ind w:left="422"/>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pacing w:val="-30"/>
                <w:sz w:val="24"/>
                <w:szCs w:val="24"/>
                <w:highlight w:val="none"/>
              </w:rPr>
              <w:t xml:space="preserve"> 分</w:t>
            </w:r>
            <w:r>
              <w:rPr>
                <w:rFonts w:hint="eastAsia" w:ascii="宋体" w:hAnsi="宋体" w:eastAsia="宋体" w:cs="宋体"/>
                <w:color w:val="auto"/>
                <w:sz w:val="24"/>
                <w:szCs w:val="24"/>
                <w:highlight w:val="none"/>
              </w:rPr>
              <w:t>）</w:t>
            </w:r>
          </w:p>
        </w:tc>
        <w:tc>
          <w:tcPr>
            <w:tcW w:w="933" w:type="dxa"/>
            <w:vAlign w:val="center"/>
          </w:tcPr>
          <w:p>
            <w:pPr>
              <w:pStyle w:val="51"/>
              <w:keepNext w:val="0"/>
              <w:keepLines w:val="0"/>
              <w:pageBreakBefore w:val="0"/>
              <w:kinsoku/>
              <w:wordWrap/>
              <w:overflowPunct/>
              <w:topLinePunct w:val="0"/>
              <w:autoSpaceDE/>
              <w:autoSpaceDN/>
              <w:bidi w:val="0"/>
              <w:adjustRightInd/>
              <w:snapToGrid/>
              <w:spacing w:line="480" w:lineRule="exact"/>
              <w:ind w:right="74"/>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6745" w:type="dxa"/>
          </w:tcPr>
          <w:p>
            <w:pPr>
              <w:pStyle w:val="51"/>
              <w:keepNext w:val="0"/>
              <w:keepLines w:val="0"/>
              <w:pageBreakBefore w:val="0"/>
              <w:kinsoku/>
              <w:wordWrap/>
              <w:overflowPunct/>
              <w:topLinePunct w:val="0"/>
              <w:autoSpaceDE/>
              <w:autoSpaceDN/>
              <w:bidi w:val="0"/>
              <w:adjustRightInd/>
              <w:snapToGrid/>
              <w:spacing w:line="480" w:lineRule="exact"/>
              <w:ind w:left="108" w:right="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经过有效性和符合性审核合格的单位，对响应文件的编制完全满足磋商文件并响应对工期、质量、验收、保修等方面进行响应，完全响应</w:t>
            </w:r>
            <w:r>
              <w:rPr>
                <w:rFonts w:hint="eastAsia" w:ascii="宋体" w:hAnsi="宋体" w:eastAsia="宋体" w:cs="宋体"/>
                <w:color w:val="auto"/>
                <w:spacing w:val="-6"/>
                <w:sz w:val="24"/>
                <w:szCs w:val="24"/>
                <w:highlight w:val="none"/>
              </w:rPr>
              <w:t xml:space="preserve">且逐项详细说明的计 </w:t>
            </w:r>
            <w:r>
              <w:rPr>
                <w:rFonts w:hint="eastAsia" w:ascii="宋体" w:hAnsi="宋体" w:eastAsia="宋体" w:cs="宋体"/>
                <w:color w:val="auto"/>
                <w:sz w:val="24"/>
                <w:szCs w:val="24"/>
                <w:highlight w:val="none"/>
              </w:rPr>
              <w:t>5</w:t>
            </w:r>
            <w:r>
              <w:rPr>
                <w:rFonts w:hint="eastAsia" w:ascii="宋体" w:hAnsi="宋体" w:eastAsia="宋体" w:cs="宋体"/>
                <w:color w:val="auto"/>
                <w:spacing w:val="-11"/>
                <w:sz w:val="24"/>
                <w:szCs w:val="24"/>
                <w:highlight w:val="none"/>
              </w:rPr>
              <w:t xml:space="preserve"> 分，未做详细响应的，按响应程度计 </w:t>
            </w:r>
            <w:r>
              <w:rPr>
                <w:rFonts w:hint="eastAsia" w:ascii="宋体" w:hAnsi="宋体" w:eastAsia="宋体" w:cs="宋体"/>
                <w:color w:val="auto"/>
                <w:sz w:val="24"/>
                <w:szCs w:val="24"/>
                <w:highlight w:val="none"/>
              </w:rPr>
              <w:t>0～4</w:t>
            </w:r>
            <w:r>
              <w:rPr>
                <w:rFonts w:hint="eastAsia" w:ascii="宋体" w:hAnsi="宋体" w:eastAsia="宋体" w:cs="宋体"/>
                <w:color w:val="auto"/>
                <w:spacing w:val="-26"/>
                <w:sz w:val="24"/>
                <w:szCs w:val="24"/>
                <w:highlight w:val="none"/>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4" w:hRule="atLeast"/>
        </w:trPr>
        <w:tc>
          <w:tcPr>
            <w:tcW w:w="1496" w:type="dxa"/>
          </w:tcPr>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p>
            <w:pPr>
              <w:pStyle w:val="51"/>
              <w:keepNext w:val="0"/>
              <w:keepLines w:val="0"/>
              <w:pageBreakBefore w:val="0"/>
              <w:kinsoku/>
              <w:wordWrap/>
              <w:overflowPunct/>
              <w:topLinePunct w:val="0"/>
              <w:autoSpaceDE/>
              <w:autoSpaceDN/>
              <w:bidi w:val="0"/>
              <w:adjustRightInd/>
              <w:snapToGrid/>
              <w:spacing w:line="480" w:lineRule="exact"/>
              <w:ind w:right="124"/>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施工组织设计</w:t>
            </w:r>
          </w:p>
          <w:p>
            <w:pPr>
              <w:pStyle w:val="51"/>
              <w:keepNext w:val="0"/>
              <w:keepLines w:val="0"/>
              <w:pageBreakBefore w:val="0"/>
              <w:kinsoku/>
              <w:wordWrap/>
              <w:overflowPunct/>
              <w:topLinePunct w:val="0"/>
              <w:autoSpaceDE/>
              <w:autoSpaceDN/>
              <w:bidi w:val="0"/>
              <w:adjustRightInd/>
              <w:snapToGrid/>
              <w:spacing w:line="480" w:lineRule="exact"/>
              <w:ind w:left="131" w:right="122"/>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933" w:type="dxa"/>
          </w:tcPr>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p>
            <w:pPr>
              <w:pStyle w:val="51"/>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p>
            <w:pPr>
              <w:pStyle w:val="51"/>
              <w:keepNext w:val="0"/>
              <w:keepLines w:val="0"/>
              <w:pageBreakBefore w:val="0"/>
              <w:kinsoku/>
              <w:wordWrap/>
              <w:overflowPunct/>
              <w:topLinePunct w:val="0"/>
              <w:autoSpaceDE/>
              <w:autoSpaceDN/>
              <w:bidi w:val="0"/>
              <w:adjustRightInd/>
              <w:snapToGrid/>
              <w:spacing w:line="480" w:lineRule="exact"/>
              <w:ind w:right="74"/>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6745" w:type="dxa"/>
          </w:tcPr>
          <w:p>
            <w:pPr>
              <w:pStyle w:val="51"/>
              <w:keepNext w:val="0"/>
              <w:keepLines w:val="0"/>
              <w:pageBreakBefore w:val="0"/>
              <w:widowControl w:val="0"/>
              <w:kinsoku/>
              <w:wordWrap/>
              <w:overflowPunct/>
              <w:topLinePunct w:val="0"/>
              <w:autoSpaceDE/>
              <w:autoSpaceDN/>
              <w:bidi w:val="0"/>
              <w:adjustRightInd/>
              <w:snapToGrid/>
              <w:spacing w:line="480" w:lineRule="exact"/>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按下列分项进行评标，缺项者该单项为 0 分。</w:t>
            </w:r>
          </w:p>
          <w:p>
            <w:pPr>
              <w:pStyle w:val="51"/>
              <w:keepNext w:val="0"/>
              <w:keepLines w:val="0"/>
              <w:pageBreakBefore w:val="0"/>
              <w:widowControl w:val="0"/>
              <w:tabs>
                <w:tab w:val="left" w:pos="4788"/>
              </w:tabs>
              <w:kinsoku/>
              <w:wordWrap/>
              <w:overflowPunct/>
              <w:topLinePunct w:val="0"/>
              <w:autoSpaceDE/>
              <w:autoSpaceDN/>
              <w:bidi w:val="0"/>
              <w:adjustRightInd/>
              <w:snapToGrid/>
              <w:spacing w:line="480" w:lineRule="exact"/>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项目经理部组成;</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pStyle w:val="51"/>
              <w:keepNext w:val="0"/>
              <w:keepLines w:val="0"/>
              <w:pageBreakBefore w:val="0"/>
              <w:widowControl w:val="0"/>
              <w:tabs>
                <w:tab w:val="left" w:pos="4788"/>
              </w:tabs>
              <w:kinsoku/>
              <w:wordWrap/>
              <w:overflowPunct/>
              <w:topLinePunct w:val="0"/>
              <w:autoSpaceDE/>
              <w:autoSpaceDN/>
              <w:bidi w:val="0"/>
              <w:adjustRightInd/>
              <w:snapToGrid/>
              <w:spacing w:line="480" w:lineRule="exact"/>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施工部署及总平面布置;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pStyle w:val="51"/>
              <w:keepNext w:val="0"/>
              <w:keepLines w:val="0"/>
              <w:pageBreakBefore w:val="0"/>
              <w:widowControl w:val="0"/>
              <w:tabs>
                <w:tab w:val="left" w:pos="4788"/>
              </w:tabs>
              <w:kinsoku/>
              <w:wordWrap/>
              <w:overflowPunct/>
              <w:topLinePunct w:val="0"/>
              <w:autoSpaceDE/>
              <w:autoSpaceDN/>
              <w:bidi w:val="0"/>
              <w:adjustRightInd/>
              <w:snapToGrid/>
              <w:spacing w:line="480" w:lineRule="exact"/>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施工进度计划及措施;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pStyle w:val="51"/>
              <w:keepNext w:val="0"/>
              <w:keepLines w:val="0"/>
              <w:pageBreakBefore w:val="0"/>
              <w:widowControl w:val="0"/>
              <w:tabs>
                <w:tab w:val="left" w:pos="4788"/>
              </w:tabs>
              <w:kinsoku/>
              <w:wordWrap/>
              <w:overflowPunct/>
              <w:topLinePunct w:val="0"/>
              <w:autoSpaceDE/>
              <w:autoSpaceDN/>
              <w:bidi w:val="0"/>
              <w:adjustRightInd/>
              <w:snapToGrid/>
              <w:spacing w:line="480" w:lineRule="exact"/>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施工方案和技术措施;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pStyle w:val="51"/>
              <w:keepNext w:val="0"/>
              <w:keepLines w:val="0"/>
              <w:pageBreakBefore w:val="0"/>
              <w:widowControl w:val="0"/>
              <w:tabs>
                <w:tab w:val="left" w:pos="4789"/>
              </w:tabs>
              <w:kinsoku/>
              <w:wordWrap/>
              <w:overflowPunct/>
              <w:topLinePunct w:val="0"/>
              <w:autoSpaceDE/>
              <w:autoSpaceDN/>
              <w:bidi w:val="0"/>
              <w:adjustRightInd/>
              <w:snapToGrid/>
              <w:spacing w:line="480" w:lineRule="exact"/>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质量安全保证措施和创优计划;</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pStyle w:val="51"/>
              <w:keepNext w:val="0"/>
              <w:keepLines w:val="0"/>
              <w:pageBreakBefore w:val="0"/>
              <w:widowControl w:val="0"/>
              <w:tabs>
                <w:tab w:val="left" w:pos="4789"/>
              </w:tabs>
              <w:kinsoku/>
              <w:wordWrap/>
              <w:overflowPunct/>
              <w:topLinePunct w:val="0"/>
              <w:autoSpaceDE/>
              <w:autoSpaceDN/>
              <w:bidi w:val="0"/>
              <w:adjustRightInd/>
              <w:snapToGrid/>
              <w:spacing w:line="480" w:lineRule="exact"/>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使用新材料、新工艺的可能性;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pStyle w:val="51"/>
              <w:keepNext w:val="0"/>
              <w:keepLines w:val="0"/>
              <w:pageBreakBefore w:val="0"/>
              <w:widowControl w:val="0"/>
              <w:tabs>
                <w:tab w:val="left" w:pos="4788"/>
              </w:tabs>
              <w:kinsoku/>
              <w:wordWrap/>
              <w:overflowPunct/>
              <w:topLinePunct w:val="0"/>
              <w:autoSpaceDE/>
              <w:autoSpaceDN/>
              <w:bidi w:val="0"/>
              <w:adjustRightInd/>
              <w:snapToGrid/>
              <w:spacing w:line="480" w:lineRule="exact"/>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主要材料、构配件计划;</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pStyle w:val="51"/>
              <w:keepNext w:val="0"/>
              <w:keepLines w:val="0"/>
              <w:pageBreakBefore w:val="0"/>
              <w:widowControl w:val="0"/>
              <w:tabs>
                <w:tab w:val="left" w:pos="4789"/>
              </w:tabs>
              <w:kinsoku/>
              <w:wordWrap/>
              <w:overflowPunct/>
              <w:topLinePunct w:val="0"/>
              <w:autoSpaceDE/>
              <w:autoSpaceDN/>
              <w:bidi w:val="0"/>
              <w:adjustRightInd/>
              <w:snapToGrid/>
              <w:spacing w:line="480" w:lineRule="exact"/>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主要机械设备供应计划及设备情况;</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pStyle w:val="51"/>
              <w:keepNext w:val="0"/>
              <w:keepLines w:val="0"/>
              <w:pageBreakBefore w:val="0"/>
              <w:widowControl w:val="0"/>
              <w:tabs>
                <w:tab w:val="left" w:pos="4788"/>
              </w:tabs>
              <w:kinsoku/>
              <w:wordWrap/>
              <w:overflowPunct/>
              <w:topLinePunct w:val="0"/>
              <w:autoSpaceDE/>
              <w:autoSpaceDN/>
              <w:bidi w:val="0"/>
              <w:adjustRightInd/>
              <w:snapToGrid/>
              <w:spacing w:line="480" w:lineRule="exact"/>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劳动力安排计划;</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pStyle w:val="51"/>
              <w:keepNext w:val="0"/>
              <w:keepLines w:val="0"/>
              <w:pageBreakBefore w:val="0"/>
              <w:widowControl w:val="0"/>
              <w:tabs>
                <w:tab w:val="left" w:pos="4789"/>
              </w:tabs>
              <w:kinsoku/>
              <w:wordWrap/>
              <w:overflowPunct/>
              <w:topLinePunct w:val="0"/>
              <w:autoSpaceDE/>
              <w:autoSpaceDN/>
              <w:bidi w:val="0"/>
              <w:adjustRightInd/>
              <w:snapToGrid/>
              <w:spacing w:line="480" w:lineRule="exact"/>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8" w:hRule="atLeast"/>
        </w:trPr>
        <w:tc>
          <w:tcPr>
            <w:tcW w:w="1496" w:type="dxa"/>
            <w:vAlign w:val="center"/>
          </w:tcPr>
          <w:p>
            <w:pPr>
              <w:pStyle w:val="51"/>
              <w:keepNext w:val="0"/>
              <w:keepLines w:val="0"/>
              <w:pageBreakBefore w:val="0"/>
              <w:kinsoku/>
              <w:wordWrap/>
              <w:overflowPunct/>
              <w:topLinePunct w:val="0"/>
              <w:autoSpaceDE/>
              <w:autoSpaceDN/>
              <w:bidi w:val="0"/>
              <w:adjustRightInd/>
              <w:snapToGrid/>
              <w:spacing w:line="480" w:lineRule="exact"/>
              <w:ind w:right="141"/>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工程质量的保障措施及承诺</w:t>
            </w:r>
          </w:p>
          <w:p>
            <w:pPr>
              <w:pStyle w:val="51"/>
              <w:keepNext w:val="0"/>
              <w:keepLines w:val="0"/>
              <w:pageBreakBefore w:val="0"/>
              <w:kinsoku/>
              <w:wordWrap/>
              <w:overflowPunct/>
              <w:topLinePunct w:val="0"/>
              <w:autoSpaceDE/>
              <w:autoSpaceDN/>
              <w:bidi w:val="0"/>
              <w:adjustRightInd/>
              <w:snapToGrid/>
              <w:spacing w:line="480" w:lineRule="exact"/>
              <w:ind w:left="131" w:right="122"/>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分）</w:t>
            </w:r>
          </w:p>
        </w:tc>
        <w:tc>
          <w:tcPr>
            <w:tcW w:w="933" w:type="dxa"/>
            <w:vAlign w:val="center"/>
          </w:tcPr>
          <w:p>
            <w:pPr>
              <w:pStyle w:val="51"/>
              <w:keepNext w:val="0"/>
              <w:keepLines w:val="0"/>
              <w:pageBreakBefore w:val="0"/>
              <w:kinsoku/>
              <w:wordWrap/>
              <w:overflowPunct/>
              <w:topLinePunct w:val="0"/>
              <w:autoSpaceDE/>
              <w:autoSpaceDN/>
              <w:bidi w:val="0"/>
              <w:adjustRightInd/>
              <w:snapToGrid/>
              <w:spacing w:line="480" w:lineRule="exact"/>
              <w:ind w:right="74"/>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6745" w:type="dxa"/>
            <w:vAlign w:val="center"/>
          </w:tcPr>
          <w:p>
            <w:pPr>
              <w:pStyle w:val="51"/>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提供的工程质量保障措施进行打分:</w:t>
            </w:r>
          </w:p>
          <w:p>
            <w:pPr>
              <w:pStyle w:val="51"/>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提供的工程质量保障措施具体、合理、可行、完善、质保期内</w:t>
            </w:r>
            <w:r>
              <w:rPr>
                <w:rFonts w:hint="eastAsia" w:ascii="宋体" w:hAnsi="宋体" w:eastAsia="宋体" w:cs="宋体"/>
                <w:color w:val="auto"/>
                <w:spacing w:val="-1"/>
                <w:sz w:val="24"/>
                <w:szCs w:val="24"/>
                <w:highlight w:val="none"/>
              </w:rPr>
              <w:t>维修人员配置是否齐全等,根据其提供的响应情况优者得</w:t>
            </w:r>
            <w:r>
              <w:rPr>
                <w:rFonts w:hint="eastAsia" w:ascii="宋体" w:hAnsi="宋体" w:eastAsia="宋体" w:cs="宋体"/>
                <w:color w:val="auto"/>
                <w:sz w:val="24"/>
                <w:szCs w:val="24"/>
                <w:highlight w:val="none"/>
              </w:rPr>
              <w:t>（6-10</w:t>
            </w:r>
            <w:r>
              <w:rPr>
                <w:rFonts w:hint="eastAsia" w:ascii="宋体" w:hAnsi="宋体" w:eastAsia="宋体" w:cs="宋体"/>
                <w:color w:val="auto"/>
                <w:spacing w:val="-30"/>
                <w:sz w:val="24"/>
                <w:szCs w:val="24"/>
                <w:highlight w:val="none"/>
              </w:rPr>
              <w:t xml:space="preserve"> 分</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z w:val="24"/>
                <w:szCs w:val="24"/>
                <w:highlight w:val="none"/>
              </w:rPr>
              <w:t>良者得（3-5</w:t>
            </w:r>
            <w:r>
              <w:rPr>
                <w:rFonts w:hint="eastAsia" w:ascii="宋体" w:hAnsi="宋体" w:eastAsia="宋体" w:cs="宋体"/>
                <w:color w:val="auto"/>
                <w:spacing w:val="-30"/>
                <w:sz w:val="24"/>
                <w:szCs w:val="24"/>
                <w:highlight w:val="none"/>
              </w:rPr>
              <w:t xml:space="preserve"> 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一般者得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-3</w:t>
            </w:r>
            <w:r>
              <w:rPr>
                <w:rFonts w:hint="eastAsia" w:ascii="宋体" w:hAnsi="宋体" w:eastAsia="宋体" w:cs="宋体"/>
                <w:color w:val="auto"/>
                <w:spacing w:val="-30"/>
                <w:sz w:val="24"/>
                <w:szCs w:val="24"/>
                <w:highlight w:val="none"/>
              </w:rPr>
              <w:t xml:space="preserve"> 分</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提供的工程质量保障措施不可行,根据其响应情况不得分；</w:t>
            </w:r>
          </w:p>
          <w:p>
            <w:pPr>
              <w:pStyle w:val="51"/>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注：此项资料由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书面提供格式自拟。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1496" w:type="dxa"/>
            <w:vAlign w:val="center"/>
          </w:tcPr>
          <w:p>
            <w:pPr>
              <w:pStyle w:val="51"/>
              <w:keepNext w:val="0"/>
              <w:keepLines w:val="0"/>
              <w:pageBreakBefore w:val="0"/>
              <w:kinsoku/>
              <w:wordWrap/>
              <w:overflowPunct/>
              <w:topLinePunct w:val="0"/>
              <w:autoSpaceDE/>
              <w:autoSpaceDN/>
              <w:bidi w:val="0"/>
              <w:adjustRightInd/>
              <w:snapToGrid/>
              <w:spacing w:line="480" w:lineRule="exact"/>
              <w:ind w:left="391"/>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p>
            <w:pPr>
              <w:pStyle w:val="51"/>
              <w:keepNext w:val="0"/>
              <w:keepLines w:val="0"/>
              <w:pageBreakBefore w:val="0"/>
              <w:kinsoku/>
              <w:wordWrap/>
              <w:overflowPunct/>
              <w:topLinePunct w:val="0"/>
              <w:autoSpaceDE/>
              <w:autoSpaceDN/>
              <w:bidi w:val="0"/>
              <w:adjustRightInd/>
              <w:snapToGrid/>
              <w:spacing w:line="480" w:lineRule="exact"/>
              <w:ind w:left="362"/>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pacing w:val="-30"/>
                <w:sz w:val="24"/>
                <w:szCs w:val="24"/>
                <w:highlight w:val="none"/>
              </w:rPr>
              <w:t>分</w:t>
            </w:r>
            <w:r>
              <w:rPr>
                <w:rFonts w:hint="eastAsia" w:ascii="宋体" w:hAnsi="宋体" w:eastAsia="宋体" w:cs="宋体"/>
                <w:color w:val="auto"/>
                <w:sz w:val="24"/>
                <w:szCs w:val="24"/>
                <w:highlight w:val="none"/>
              </w:rPr>
              <w:t>）</w:t>
            </w:r>
          </w:p>
        </w:tc>
        <w:tc>
          <w:tcPr>
            <w:tcW w:w="933" w:type="dxa"/>
            <w:vAlign w:val="center"/>
          </w:tcPr>
          <w:p>
            <w:pPr>
              <w:pStyle w:val="51"/>
              <w:keepNext w:val="0"/>
              <w:keepLines w:val="0"/>
              <w:pageBreakBefore w:val="0"/>
              <w:kinsoku/>
              <w:wordWrap/>
              <w:overflowPunct/>
              <w:topLinePunct w:val="0"/>
              <w:autoSpaceDE/>
              <w:autoSpaceDN/>
              <w:bidi w:val="0"/>
              <w:adjustRightInd/>
              <w:snapToGrid/>
              <w:spacing w:line="480" w:lineRule="exact"/>
              <w:ind w:left="82" w:right="74"/>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745" w:type="dxa"/>
          </w:tcPr>
          <w:p>
            <w:pPr>
              <w:pStyle w:val="51"/>
              <w:keepNext w:val="0"/>
              <w:keepLines w:val="0"/>
              <w:pageBreakBefore w:val="0"/>
              <w:kinsoku/>
              <w:wordWrap/>
              <w:overflowPunct/>
              <w:topLinePunct w:val="0"/>
              <w:autoSpaceDE/>
              <w:autoSpaceDN/>
              <w:bidi w:val="0"/>
              <w:adjustRightInd/>
              <w:snapToGrid/>
              <w:spacing w:line="480" w:lineRule="exact"/>
              <w:ind w:left="1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企业每提供一个</w:t>
            </w:r>
            <w:r>
              <w:rPr>
                <w:rFonts w:hint="eastAsia" w:ascii="宋体" w:hAnsi="宋体" w:eastAsia="宋体" w:cs="宋体"/>
                <w:color w:val="auto"/>
                <w:sz w:val="24"/>
                <w:szCs w:val="24"/>
                <w:highlight w:val="none"/>
                <w:lang w:val="en-US" w:eastAsia="zh-CN"/>
              </w:rPr>
              <w:t>2020年以后</w:t>
            </w:r>
            <w:r>
              <w:rPr>
                <w:rFonts w:hint="eastAsia" w:ascii="宋体" w:hAnsi="宋体" w:eastAsia="宋体" w:cs="宋体"/>
                <w:color w:val="auto"/>
                <w:sz w:val="24"/>
                <w:szCs w:val="24"/>
                <w:highlight w:val="none"/>
              </w:rPr>
              <w:t>类似</w:t>
            </w:r>
            <w:r>
              <w:rPr>
                <w:rFonts w:hint="eastAsia" w:ascii="宋体" w:hAnsi="宋体" w:eastAsia="宋体" w:cs="宋体"/>
                <w:color w:val="auto"/>
                <w:sz w:val="24"/>
                <w:szCs w:val="24"/>
                <w:highlight w:val="none"/>
                <w:lang w:val="en-US" w:eastAsia="zh-CN"/>
              </w:rPr>
              <w:t>的工程业绩</w:t>
            </w:r>
            <w:r>
              <w:rPr>
                <w:rFonts w:hint="eastAsia" w:ascii="宋体" w:hAnsi="宋体" w:eastAsia="宋体" w:cs="宋体"/>
                <w:color w:val="auto"/>
                <w:sz w:val="24"/>
                <w:szCs w:val="24"/>
                <w:highlight w:val="none"/>
              </w:rPr>
              <w:t xml:space="preserve">项目得 </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 xml:space="preserve"> 分,最高不超过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分；</w:t>
            </w:r>
          </w:p>
          <w:p>
            <w:pPr>
              <w:pStyle w:val="51"/>
              <w:keepNext w:val="0"/>
              <w:keepLines w:val="0"/>
              <w:pageBreakBefore w:val="0"/>
              <w:kinsoku/>
              <w:wordWrap/>
              <w:overflowPunct/>
              <w:topLinePunct w:val="0"/>
              <w:autoSpaceDE/>
              <w:autoSpaceDN/>
              <w:bidi w:val="0"/>
              <w:adjustRightInd/>
              <w:snapToGrid/>
              <w:spacing w:line="480" w:lineRule="exact"/>
              <w:ind w:left="108" w:right="13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（注：具有类似的工程业绩，</w:t>
            </w:r>
            <w:r>
              <w:rPr>
                <w:rFonts w:hint="eastAsia" w:ascii="宋体" w:hAnsi="宋体" w:eastAsia="宋体" w:cs="宋体"/>
                <w:color w:val="auto"/>
                <w:sz w:val="24"/>
                <w:szCs w:val="24"/>
                <w:highlight w:val="none"/>
                <w:lang w:val="en-US" w:eastAsia="zh-CN"/>
              </w:rPr>
              <w:t>以提供的</w:t>
            </w:r>
            <w:r>
              <w:rPr>
                <w:rFonts w:hint="eastAsia" w:ascii="宋体" w:hAnsi="宋体" w:eastAsia="宋体" w:cs="宋体"/>
                <w:color w:val="auto"/>
                <w:sz w:val="24"/>
                <w:szCs w:val="24"/>
                <w:highlight w:val="none"/>
              </w:rPr>
              <w:t>施工合同</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中标通知书</w:t>
            </w:r>
            <w:r>
              <w:rPr>
                <w:rFonts w:hint="eastAsia" w:ascii="宋体" w:hAnsi="宋体" w:eastAsia="宋体" w:cs="宋体"/>
                <w:color w:val="auto"/>
                <w:sz w:val="24"/>
                <w:szCs w:val="24"/>
                <w:highlight w:val="none"/>
                <w:lang w:val="en-US" w:eastAsia="zh-CN"/>
              </w:rPr>
              <w:t>为准</w:t>
            </w:r>
            <w:r>
              <w:rPr>
                <w:rFonts w:hint="eastAsia" w:ascii="宋体" w:hAnsi="宋体" w:eastAsia="宋体" w:cs="宋体"/>
                <w:color w:val="auto"/>
                <w:sz w:val="24"/>
                <w:szCs w:val="24"/>
                <w:highlight w:val="none"/>
              </w:rPr>
              <w:t>）</w:t>
            </w:r>
          </w:p>
        </w:tc>
      </w:tr>
    </w:tbl>
    <w:p>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pPr>
        <w:spacing w:line="460" w:lineRule="exact"/>
        <w:ind w:firstLine="496" w:firstLineChars="200"/>
        <w:rPr>
          <w:rFonts w:hAnsi="宋体" w:cs="宋体"/>
          <w:bCs/>
          <w:sz w:val="36"/>
          <w:szCs w:val="36"/>
          <w:highlight w:val="none"/>
        </w:rPr>
      </w:pPr>
      <w:r>
        <w:rPr>
          <w:rFonts w:hint="eastAsia" w:hAnsi="宋体" w:cs="宋体"/>
          <w:spacing w:val="4"/>
          <w:szCs w:val="24"/>
          <w:highlight w:val="none"/>
        </w:rPr>
        <w:t>2、采购人根据评标报告中推荐的成交候选人排列顺序确定供应商，以复函通知招标代理机构。</w:t>
      </w:r>
    </w:p>
    <w:p>
      <w:pPr>
        <w:pStyle w:val="18"/>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pPr>
        <w:pStyle w:val="3"/>
        <w:jc w:val="center"/>
        <w:rPr>
          <w:rFonts w:hint="default" w:eastAsia="宋体"/>
          <w:highlight w:val="none"/>
          <w:lang w:val="en-US" w:eastAsia="zh-CN"/>
        </w:rPr>
      </w:pPr>
      <w:bookmarkStart w:id="44" w:name="_Toc12500"/>
      <w:r>
        <w:rPr>
          <w:rFonts w:hint="eastAsia" w:ascii="宋体" w:eastAsia="宋体" w:cs="宋体"/>
          <w:bCs/>
          <w:sz w:val="36"/>
          <w:szCs w:val="36"/>
          <w:highlight w:val="none"/>
        </w:rPr>
        <w:t xml:space="preserve">第四章  </w:t>
      </w:r>
      <w:bookmarkEnd w:id="40"/>
      <w:bookmarkEnd w:id="41"/>
      <w:bookmarkEnd w:id="42"/>
      <w:bookmarkStart w:id="45" w:name="_Toc29888"/>
      <w:bookmarkStart w:id="46" w:name="_Toc26595"/>
      <w:bookmarkStart w:id="47" w:name="_Toc423973075"/>
      <w:bookmarkStart w:id="48" w:name="_Toc8333"/>
      <w:bookmarkStart w:id="49" w:name="_Toc19246"/>
      <w:bookmarkStart w:id="50" w:name="_Toc389582037"/>
      <w:bookmarkStart w:id="51" w:name="_Toc31520"/>
      <w:bookmarkStart w:id="52" w:name="_Toc4679"/>
      <w:bookmarkStart w:id="53" w:name="_Toc19199"/>
      <w:r>
        <w:rPr>
          <w:rFonts w:hint="eastAsia" w:ascii="宋体" w:eastAsia="宋体" w:cs="宋体"/>
          <w:bCs/>
          <w:sz w:val="36"/>
          <w:szCs w:val="36"/>
          <w:highlight w:val="none"/>
          <w:lang w:val="en-US" w:eastAsia="zh-CN"/>
        </w:rPr>
        <w:t>合同文本及主要条款</w:t>
      </w:r>
      <w:bookmarkEnd w:id="44"/>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合同主要条款</w:t>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采购人（全称）：</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（以下简称甲方）</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成交人（全称）：</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（以下简称乙方）</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依照《中华人民共和国</w:t>
      </w:r>
      <w:r>
        <w:rPr>
          <w:rFonts w:hint="eastAsia" w:ascii="宋体" w:hAnsi="宋体" w:eastAsia="宋体" w:cs="宋体"/>
          <w:sz w:val="24"/>
          <w:szCs w:val="24"/>
          <w:highlight w:val="none"/>
          <w:lang w:eastAsia="zh-CN"/>
        </w:rPr>
        <w:t>民法典</w:t>
      </w:r>
      <w:r>
        <w:rPr>
          <w:rFonts w:hint="eastAsia" w:ascii="宋体" w:hAnsi="宋体" w:eastAsia="宋体" w:cs="宋体"/>
          <w:sz w:val="24"/>
          <w:szCs w:val="24"/>
          <w:highlight w:val="none"/>
        </w:rPr>
        <w:t>》、《中华人民共和国建筑法》及其他有关法律、行政法律、行政法规，遵循平等、自愿、公平和诚实信用的原则，双方就</w:t>
      </w:r>
      <w:r>
        <w:rPr>
          <w:rFonts w:hint="eastAsia" w:ascii="宋体" w:hAnsi="宋体" w:eastAsia="宋体" w:cs="宋体"/>
          <w:sz w:val="24"/>
          <w:szCs w:val="24"/>
          <w:highlight w:val="none"/>
          <w:lang w:eastAsia="zh-CN"/>
        </w:rPr>
        <w:t>本项目各项</w:t>
      </w:r>
      <w:r>
        <w:rPr>
          <w:rFonts w:hint="eastAsia" w:ascii="宋体" w:hAnsi="宋体" w:eastAsia="宋体" w:cs="宋体"/>
          <w:sz w:val="24"/>
          <w:szCs w:val="24"/>
          <w:highlight w:val="none"/>
        </w:rPr>
        <w:t>事</w:t>
      </w:r>
      <w:r>
        <w:rPr>
          <w:rFonts w:hint="eastAsia" w:ascii="宋体" w:hAnsi="宋体" w:eastAsia="宋体" w:cs="宋体"/>
          <w:sz w:val="24"/>
          <w:szCs w:val="24"/>
          <w:highlight w:val="none"/>
          <w:lang w:eastAsia="zh-CN"/>
        </w:rPr>
        <w:t>宜</w:t>
      </w:r>
      <w:r>
        <w:rPr>
          <w:rFonts w:hint="eastAsia" w:ascii="宋体" w:hAnsi="宋体" w:eastAsia="宋体" w:cs="宋体"/>
          <w:sz w:val="24"/>
          <w:szCs w:val="24"/>
          <w:highlight w:val="none"/>
        </w:rPr>
        <w:t>协商一致，订立本合同。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一、项目概况</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 xml:space="preserve">项目名称：广货街镇漫沟民宿区基础配套项目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建设地址：</w:t>
      </w:r>
      <w:r>
        <w:rPr>
          <w:rFonts w:hint="eastAsia" w:hAnsi="宋体" w:cs="宋体"/>
          <w:b w:val="0"/>
          <w:bCs w:val="0"/>
          <w:sz w:val="24"/>
          <w:szCs w:val="24"/>
          <w:highlight w:val="none"/>
          <w:lang w:eastAsia="zh-CN"/>
        </w:rPr>
        <w:t>广货街镇沙沟村</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承包方式、</w:t>
      </w:r>
      <w:r>
        <w:rPr>
          <w:rFonts w:hint="eastAsia" w:ascii="宋体" w:hAnsi="宋体" w:eastAsia="宋体" w:cs="宋体"/>
          <w:b/>
          <w:bCs/>
          <w:sz w:val="24"/>
          <w:szCs w:val="24"/>
          <w:highlight w:val="none"/>
        </w:rPr>
        <w:t>承包范围</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承包方式：</w:t>
      </w:r>
      <w:r>
        <w:rPr>
          <w:rFonts w:hint="eastAsia" w:hAnsi="宋体" w:cs="宋体"/>
          <w:b w:val="0"/>
          <w:bCs w:val="0"/>
          <w:sz w:val="24"/>
          <w:szCs w:val="24"/>
          <w:highlight w:val="none"/>
          <w:lang w:eastAsia="zh-CN"/>
        </w:rPr>
        <w:t>包工包料、</w:t>
      </w:r>
      <w:r>
        <w:rPr>
          <w:rFonts w:hint="eastAsia" w:ascii="宋体" w:hAnsi="宋体" w:eastAsia="宋体" w:cs="宋体"/>
          <w:b w:val="0"/>
          <w:bCs w:val="0"/>
          <w:sz w:val="24"/>
          <w:szCs w:val="24"/>
          <w:highlight w:val="none"/>
          <w:lang w:eastAsia="zh-CN"/>
        </w:rPr>
        <w:t>综合单价合同</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2、承包范围：</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、工期：</w:t>
      </w:r>
      <w:r>
        <w:rPr>
          <w:rFonts w:hint="eastAsia" w:hAnsi="宋体" w:cs="宋体"/>
          <w:b/>
          <w:bCs/>
          <w:sz w:val="24"/>
          <w:szCs w:val="24"/>
          <w:highlight w:val="none"/>
          <w:lang w:val="en-US" w:eastAsia="zh-CN"/>
        </w:rPr>
        <w:t>4个月</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四</w:t>
      </w:r>
      <w:r>
        <w:rPr>
          <w:rFonts w:hint="eastAsia" w:ascii="宋体" w:hAnsi="宋体" w:eastAsia="宋体" w:cs="宋体"/>
          <w:b/>
          <w:bCs/>
          <w:sz w:val="24"/>
          <w:szCs w:val="24"/>
          <w:highlight w:val="none"/>
        </w:rPr>
        <w:t>、工程质量</w:t>
      </w:r>
      <w:r>
        <w:rPr>
          <w:rFonts w:hint="eastAsia" w:ascii="宋体" w:hAnsi="宋体" w:eastAsia="宋体" w:cs="宋体"/>
          <w:b/>
          <w:bCs/>
          <w:sz w:val="24"/>
          <w:szCs w:val="24"/>
          <w:highlight w:val="none"/>
          <w:lang w:eastAsia="zh-CN"/>
        </w:rPr>
        <w:t>标准</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五、</w:t>
      </w:r>
      <w:r>
        <w:rPr>
          <w:rFonts w:hint="eastAsia" w:ascii="宋体" w:hAnsi="宋体" w:eastAsia="宋体" w:cs="宋体"/>
          <w:sz w:val="24"/>
          <w:szCs w:val="24"/>
          <w:highlight w:val="none"/>
        </w:rPr>
        <w:t>本工程严禁转包。</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六、适用法律和法规：</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《中华人民共和国建筑法》、《中华人民共和国</w:t>
      </w:r>
      <w:r>
        <w:rPr>
          <w:rFonts w:hint="eastAsia" w:ascii="宋体" w:hAnsi="宋体" w:eastAsia="宋体" w:cs="宋体"/>
          <w:sz w:val="24"/>
          <w:szCs w:val="24"/>
          <w:highlight w:val="none"/>
          <w:lang w:eastAsia="zh-CN"/>
        </w:rPr>
        <w:t>民法典</w:t>
      </w:r>
      <w:r>
        <w:rPr>
          <w:rFonts w:hint="eastAsia" w:ascii="宋体" w:hAnsi="宋体" w:eastAsia="宋体" w:cs="宋体"/>
          <w:sz w:val="24"/>
          <w:szCs w:val="24"/>
          <w:highlight w:val="none"/>
        </w:rPr>
        <w:t>》、《中华人民共和国招标投标法》、国务院《建设工程质量管理条例》、国务院《建设工程安全生产管理条例》等国家、地方部门有关法律法规。</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七、</w:t>
      </w:r>
      <w:r>
        <w:rPr>
          <w:rFonts w:hint="eastAsia" w:ascii="宋体" w:hAnsi="宋体" w:eastAsia="宋体" w:cs="宋体"/>
          <w:sz w:val="24"/>
          <w:szCs w:val="24"/>
          <w:highlight w:val="none"/>
        </w:rPr>
        <w:t>项目经理要保证常驻现场，非发包人要求中途不得更换项目经理及主要技术管理人员。</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八、</w:t>
      </w:r>
      <w:r>
        <w:rPr>
          <w:rFonts w:hint="eastAsia" w:ascii="宋体" w:hAnsi="宋体" w:eastAsia="宋体" w:cs="宋体"/>
          <w:sz w:val="24"/>
          <w:szCs w:val="24"/>
          <w:highlight w:val="none"/>
        </w:rPr>
        <w:t>发包人派驻的现场代表职权：</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1、本合同及与本包工程相关的所有合同的履行权；</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2、对工程规模、设计标准、规划设计、生产工艺设计和设计使用功能要求的认定权；</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3、对工程设计变更的审批权；</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4、工程变更及签证的确认权；主要材料、设备的认质权；</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5、工程价款的支付权；</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6、积极协调外部环境、组织工程竣工验收；</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7、行使发包人应有的其他权利和义务。</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九、承包人应做好以下工作：</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供计划、报表的名称及完成时间：承包人应在本合同签订后五日内向发包人提交经承包人的项目总工（公司总工）审批的施工组织设计（或施工方案）、总进度计划、总资金使用计划及工程进度计划、资金使用计划。</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承担施工安全保卫工作及非夜间施工照明的责任，提供和维修非夜间施工使用的照明、围栏设施，负责施工区域内的安全保卫，制定相应的施工安全措施，承担由于自身安全防护措施不力造成的经济损失和责任；</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3、遵守发包人及相关部门对施工场地交通、施工噪音、环境保护和安全生产等的管理规定，按规定办理有关手续，并承担由此发生的费用以及因此造成的罚款；</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4、做好已完工程成品保护，预防二次污染，并承担成品保护的费用；</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5、按照文明工地要求组织施工，保证施工现场清洁整齐，符合环境卫生管理的有关规定，交工之前清理完与现场无关的任何多余物品及垃圾等，做到工完场清；承担因违反有关规定 造成的损失和罚款；</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承包人应认真遵守国务院颁布的《建设工程安全生产管理条例》及部门、地方制定的有关安全生产法律、法规的规定，根据本工程特点制定切实可行的安全管理制度和安全施工措施，认真履行安全施工与检查职责， 做好施工中的安全防护工作外，确保本工程施工安全，依法承担本工程施工的安全责任。</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7、承包人未能履行相关义务，导致工期延误、或给发包人造成损失的， 承包人赔偿发包人有关损失，由此产生的工期延误而导致承包人不能按本合同约定的竣工时间向发包人交付工程的，工期每推迟一天按</w:t>
      </w:r>
      <w:r>
        <w:rPr>
          <w:rFonts w:hint="eastAsia" w:ascii="宋体" w:hAnsi="宋体" w:eastAsia="宋体" w:cs="宋体"/>
          <w:sz w:val="24"/>
          <w:szCs w:val="24"/>
          <w:highlight w:val="none"/>
          <w:u w:val="single"/>
        </w:rPr>
        <w:t xml:space="preserve"> 300 </w:t>
      </w:r>
      <w:r>
        <w:rPr>
          <w:rFonts w:hint="eastAsia" w:ascii="宋体" w:hAnsi="宋体" w:eastAsia="宋体" w:cs="宋体"/>
          <w:sz w:val="24"/>
          <w:szCs w:val="24"/>
          <w:highlight w:val="none"/>
        </w:rPr>
        <w:t>元/天处罚，限额为合同总造价的百分之二。</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承包人要服从项目所在地党委、政府属地管理，处理好与周边民众的关系及保护好周边建筑不受损坏；承包人要主动向项目所在地镇、村及周边民众详细了解装修建筑的设备和管线，未经允许不得擅自拆除、移动、破坏，若不慎损坏则做相应赔偿。</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hAnsi="宋体" w:cs="宋体"/>
          <w:sz w:val="24"/>
          <w:szCs w:val="24"/>
          <w:highlight w:val="none"/>
          <w:lang w:val="en-US" w:eastAsia="zh-CN"/>
        </w:rPr>
        <w:t>承包人</w:t>
      </w:r>
      <w:r>
        <w:rPr>
          <w:rFonts w:hint="eastAsia" w:ascii="宋体" w:hAnsi="宋体" w:eastAsia="宋体" w:cs="宋体"/>
          <w:sz w:val="24"/>
          <w:szCs w:val="24"/>
          <w:highlight w:val="none"/>
          <w:lang w:val="en-US" w:eastAsia="zh-CN"/>
        </w:rPr>
        <w:t>应吸纳广货街镇为主的群众参与工程项目建设。</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10、承包人</w:t>
      </w:r>
      <w:r>
        <w:rPr>
          <w:rFonts w:hint="eastAsia" w:ascii="宋体" w:hAnsi="宋体" w:eastAsia="宋体" w:cs="宋体"/>
          <w:sz w:val="24"/>
          <w:szCs w:val="24"/>
          <w:highlight w:val="none"/>
          <w:lang w:val="en-US" w:eastAsia="zh-CN"/>
        </w:rPr>
        <w:t>向广货街镇为主的群众发放劳务报酬不低于15</w:t>
      </w:r>
      <w:r>
        <w:rPr>
          <w:rFonts w:hint="eastAsia" w:hAnsi="宋体" w:cs="宋体"/>
          <w:sz w:val="24"/>
          <w:szCs w:val="24"/>
          <w:highlight w:val="none"/>
          <w:lang w:val="en-US" w:eastAsia="zh-CN"/>
        </w:rPr>
        <w:t>.9</w:t>
      </w:r>
      <w:r>
        <w:rPr>
          <w:rFonts w:hint="eastAsia" w:ascii="宋体" w:hAnsi="宋体" w:eastAsia="宋体" w:cs="宋体"/>
          <w:sz w:val="24"/>
          <w:szCs w:val="24"/>
          <w:highlight w:val="none"/>
          <w:lang w:val="en-US" w:eastAsia="zh-CN"/>
        </w:rPr>
        <w:t>万元</w:t>
      </w:r>
      <w:r>
        <w:rPr>
          <w:rFonts w:hint="eastAsia" w:hAnsi="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十、合同价款、支付、调整及竣工结算</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1、本工程合同价款为:</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(大写)：人民币</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宋体" w:hAnsi="宋体" w:eastAsia="宋体" w:cs="宋体"/>
          <w:sz w:val="24"/>
          <w:szCs w:val="24"/>
          <w:highlight w:val="none"/>
          <w:u w:val="single"/>
          <w:lang w:val="en-US"/>
        </w:rPr>
      </w:pPr>
      <w:r>
        <w:rPr>
          <w:rFonts w:hint="eastAsia" w:ascii="宋体" w:hAnsi="宋体" w:eastAsia="宋体" w:cs="宋体"/>
          <w:sz w:val="24"/>
          <w:szCs w:val="24"/>
          <w:highlight w:val="none"/>
        </w:rPr>
        <w:t>2、工程款的支付</w:t>
      </w:r>
      <w:r>
        <w:rPr>
          <w:rFonts w:hint="eastAsia" w:ascii="宋体" w:hAnsi="宋体" w:eastAsia="宋体" w:cs="宋体"/>
          <w:sz w:val="24"/>
          <w:szCs w:val="24"/>
          <w:highlight w:val="none"/>
          <w:lang w:eastAsia="zh-CN"/>
        </w:rPr>
        <w:t>：</w:t>
      </w:r>
      <w:r>
        <w:rPr>
          <w:rFonts w:hint="eastAsia" w:hAnsi="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3、合同价款的调整</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 承包人在报价时已考虑了施工期间可能出现的政策、施工环境和市场的变化可能影响工程造价的因素，除发生下述情况按实调整外，承包人不得再以其他任何原因提出调整工程造价。</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3.1.1 发包人工地代表确认的工程量增减；</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3.1.2 发包人工地代表确认的设计变更或工程洽商；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 合同价款调整计算办法：</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发包人指定或暂定单价的材料或设备，按发包人现场签署的认质认价单进行合同价款调整；但承包人投标时根据市场行情自主报价的材料和设备的实际采购价格与原报价有差异的不予调整。</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4、竣工结算</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 工程通过竣工验收并交付使用后</w:t>
      </w:r>
      <w:r>
        <w:rPr>
          <w:rFonts w:hint="eastAsia" w:ascii="宋体" w:hAnsi="宋体" w:eastAsia="宋体" w:cs="宋体"/>
          <w:sz w:val="24"/>
          <w:szCs w:val="24"/>
          <w:highlight w:val="none"/>
          <w:u w:val="single"/>
        </w:rPr>
        <w:t xml:space="preserve"> 28 </w:t>
      </w:r>
      <w:r>
        <w:rPr>
          <w:rFonts w:hint="eastAsia" w:ascii="宋体" w:hAnsi="宋体" w:eastAsia="宋体" w:cs="宋体"/>
          <w:sz w:val="24"/>
          <w:szCs w:val="24"/>
          <w:highlight w:val="none"/>
        </w:rPr>
        <w:t>天内承包人向发包人递交竣工结算报告及完整的结算资料，发包人收到承包人递交的竣工结算报告及完整的结算资料后进行初审，并提出修改意见。</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 审计或造价咨询机构对工程竣工结算价款的最终审定应在双方对初审结论达成共识后完成。</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十一、</w:t>
      </w:r>
      <w:r>
        <w:rPr>
          <w:rFonts w:hint="eastAsia" w:ascii="宋体" w:hAnsi="宋体" w:eastAsia="宋体" w:cs="宋体"/>
          <w:sz w:val="24"/>
          <w:szCs w:val="24"/>
          <w:highlight w:val="none"/>
        </w:rPr>
        <w:t>承包人采购的材料、设备均应满足设计和规范要求的质量等级和环保要求，并应向发包人和监理机构提供产品合格证明和检验资料，因材料质量引起的工程质量、环境污染问题，由承包人承担所造成的一切损失。如发包人或监理机构对该部分材料的质量有异议，有权提出停止使用或再次见证取样复试的要求。如复试结果合格，由此发生的费用由发包人承担。</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主要材料、设备或发包方有特别要求的材料设备须事先向发包方及监理方提供产品资料及样品，经考察筛选确定后再采购，使用或安装之前仍需履行必要的检验、检测程序。</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承包人负责采购的所有材料、设备的采购、检验（试验）、使用、退换等执行国家、行业相应的技术标准。</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二、材料供应与验收</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1、承包方供应的材料应按合同规定按时、按质、按量供应，必须附有产品合格证或质量检验证书才能用于工程。</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2、因材料质量不合格所造成的损失（包括仓库保管费）由材料采购方负责。</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3、根据工程需要，经发包人代表签证，承包方可使用代用材料。因发包方原因使用时，由发包方承担增加的经济支出，因承包方原因使用时，由承包方承担增加的费用。</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4、因材料供应不及时造成停工待料时，其停、窝工损失由供货责任方承担。</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十三</w:t>
      </w:r>
      <w:r>
        <w:rPr>
          <w:rFonts w:hint="eastAsia" w:ascii="宋体" w:hAnsi="宋体" w:eastAsia="宋体" w:cs="宋体"/>
          <w:b/>
          <w:bCs/>
          <w:color w:val="auto"/>
          <w:sz w:val="24"/>
          <w:szCs w:val="24"/>
          <w:highlight w:val="none"/>
        </w:rPr>
        <w:t>、工程质量、技术要求</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1、本工程质量等级要求合格。</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2、承包方必须按照招标要求及国家现行有关施工验收规范组织施工， 建立健全质量保证体系，做到安全生产及文明施工，工程竣工验收质量达到采购人要求的合格标准。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3、本工程所需施工材料、设备均由承包方负责供应，必须满足设计要求和国家有关标准，并应具有合格证等质量证明资料，经发包方人员认定后方可使用。</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4、各工序应严格按施工组织设计进行质量控制，每道工序完工后， 应进行检查，相关专业工种之间应及时进行交接检验，并形成记录。未经检查验收不得进行下一道工序。</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5、工程完工后，承包方应在组织有关人员进行自行检验评定后，向发包人提交工程验收报告及相关施工资料。</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保修期依据国务院的《建设工程质量管理条例》第四十条规定，在保修范围和保修期限内发生质量问题的，施工单位应当履行保修义务，并对造成的损失承担赔偿责任；保修期过后，如出现质量问题，亦应积极协助解决。</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7、服务承诺：要求具有完善的保修服务体系，高效的工作作风，高水平的技术维修人员。</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十四、</w:t>
      </w:r>
      <w:r>
        <w:rPr>
          <w:rFonts w:hint="eastAsia" w:ascii="宋体" w:hAnsi="宋体" w:eastAsia="宋体" w:cs="宋体"/>
          <w:b/>
          <w:bCs/>
          <w:sz w:val="24"/>
          <w:szCs w:val="24"/>
          <w:highlight w:val="none"/>
        </w:rPr>
        <w:t>质保期</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本项目工程质保期为</w:t>
      </w:r>
      <w:r>
        <w:rPr>
          <w:rFonts w:hint="eastAsia" w:ascii="宋体" w:hAnsi="宋体" w:eastAsia="宋体" w:cs="宋体"/>
          <w:b w:val="0"/>
          <w:bCs w:val="0"/>
          <w:sz w:val="24"/>
          <w:szCs w:val="24"/>
          <w:highlight w:val="none"/>
          <w:u w:val="single"/>
        </w:rPr>
        <w:t xml:space="preserve"> </w:t>
      </w:r>
      <w:r>
        <w:rPr>
          <w:rFonts w:hint="eastAsia" w:hAnsi="宋体" w:cs="宋体"/>
          <w:b w:val="0"/>
          <w:bCs w:val="0"/>
          <w:sz w:val="24"/>
          <w:szCs w:val="24"/>
          <w:highlight w:val="none"/>
          <w:u w:val="single"/>
          <w:lang w:val="en-US" w:eastAsia="zh-CN"/>
        </w:rPr>
        <w:t>壹</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五</w:t>
      </w:r>
      <w:r>
        <w:rPr>
          <w:rFonts w:hint="eastAsia" w:ascii="宋体" w:hAnsi="宋体" w:eastAsia="宋体" w:cs="宋体"/>
          <w:b/>
          <w:bCs/>
          <w:sz w:val="24"/>
          <w:szCs w:val="24"/>
          <w:highlight w:val="none"/>
        </w:rPr>
        <w:t>、甲方的权利义务</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1、甲方有权对乙方的制作方案提出修改意见，所有方案及内容须经甲方签字后方可制作，导视进场经甲方验收确认后方可进行安装。</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2、甲方需协调处理施工场地建筑物、构筑物（包括文物保护建筑）的保护工作。</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3、甲方应按照本合同约定的时间和金额向乙方支付本项目款项。</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十六、</w:t>
      </w:r>
      <w:r>
        <w:rPr>
          <w:rFonts w:hint="eastAsia" w:ascii="宋体" w:hAnsi="宋体" w:eastAsia="宋体" w:cs="宋体"/>
          <w:b/>
          <w:bCs/>
          <w:sz w:val="24"/>
          <w:szCs w:val="24"/>
          <w:highlight w:val="none"/>
        </w:rPr>
        <w:t>乙方的权利义务</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1、乙方须严格按照本合同约定的工期完成本项目所有工程。</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2、乙方须严格按照甲方确认的材料及工艺进行制作安装，未经甲方同意，不得随意更换材料及工艺。</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乙方在安装时，应当严格执行安全操作规程、防火安全规定及环境保护规定。安装过程中如因操作不当造成人身及财产损害，由乙方自行承担责任，若因此造成甲方承担责任的，乙方应承担由此给甲方造成的损失。</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宋体" w:hAnsi="宋体" w:eastAsia="宋体" w:cs="宋体"/>
          <w:b w:val="0"/>
          <w:bCs w:val="0"/>
          <w:sz w:val="24"/>
          <w:szCs w:val="24"/>
          <w:highlight w:val="none"/>
          <w:lang w:val="en-US" w:eastAsia="zh-CN"/>
        </w:rPr>
      </w:pPr>
      <w:r>
        <w:rPr>
          <w:rFonts w:hint="eastAsia" w:hAnsi="宋体" w:cs="宋体"/>
          <w:b w:val="0"/>
          <w:bCs w:val="0"/>
          <w:sz w:val="24"/>
          <w:szCs w:val="24"/>
          <w:highlight w:val="none"/>
          <w:lang w:val="en-US" w:eastAsia="zh-CN"/>
        </w:rPr>
        <w:t>4、乙方应吸纳广货街镇为主的群众参与本工程项目建设，带动当地群众务工人数不少于10人，发放劳务报酬不低于15.9万元。</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十七、</w:t>
      </w:r>
      <w:r>
        <w:rPr>
          <w:rFonts w:hint="eastAsia" w:ascii="宋体" w:hAnsi="宋体" w:eastAsia="宋体" w:cs="宋体"/>
          <w:b/>
          <w:bCs/>
          <w:sz w:val="24"/>
          <w:szCs w:val="24"/>
          <w:highlight w:val="none"/>
        </w:rPr>
        <w:t>违约责任</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1、本合同签订后，甲乙双方均应严格遵守合同之约定，任何一方不得单方面解除或终止本合同，如出现任何一方违约，应由违约方承担合同总额的30%的违约金支付给受约方。</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2、甲方应按本合同约定时间及金额向乙方支付工程款，如逾期付款，每逾期一天，按照本项目工程承包款总额的1‰向乙方支付违约金；逾期超过30天，乙方有权终止合同，甲方须赔偿乙方的所有损失。</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乙方应按本合同约定时间竣工交付（除甲方责任及不可抗力因素外），如延迟完工，每延迟一天，乙方应按照本项目工程承包款总额的1‰向甲方支付违约金；逾期超过30天，甲方有权终止合同，乙方须赔偿甲方的所有损失。</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4、因甲方不能向乙方确认制作所需的文字内容、设计方案、材料、工艺等确认文件而导致乙方制作上的困难和制作周期的延长，乙方可根据甲方提供的确认文件的时间将工期向后相应顺延。</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5、若</w:t>
      </w:r>
      <w:r>
        <w:rPr>
          <w:rFonts w:hint="eastAsia" w:hAnsi="宋体" w:cs="宋体"/>
          <w:b w:val="0"/>
          <w:bCs w:val="0"/>
          <w:sz w:val="24"/>
          <w:szCs w:val="24"/>
          <w:highlight w:val="none"/>
          <w:lang w:val="en-US" w:eastAsia="zh-CN"/>
        </w:rPr>
        <w:t>乙方</w:t>
      </w:r>
      <w:r>
        <w:rPr>
          <w:rFonts w:hint="eastAsia" w:ascii="宋体" w:hAnsi="宋体" w:eastAsia="宋体" w:cs="宋体"/>
          <w:b w:val="0"/>
          <w:bCs w:val="0"/>
          <w:sz w:val="24"/>
          <w:szCs w:val="24"/>
          <w:highlight w:val="none"/>
          <w:lang w:val="en-US" w:eastAsia="zh-CN"/>
        </w:rPr>
        <w:t>未履行或履行合同义务不符合</w:t>
      </w:r>
      <w:r>
        <w:rPr>
          <w:rFonts w:hint="eastAsia" w:hAnsi="宋体" w:cs="宋体"/>
          <w:b w:val="0"/>
          <w:bCs w:val="0"/>
          <w:sz w:val="24"/>
          <w:szCs w:val="24"/>
          <w:highlight w:val="none"/>
          <w:lang w:val="en-US" w:eastAsia="zh-CN"/>
        </w:rPr>
        <w:t>应吸纳广货街镇为主的群众参与本工程项目建设，带动当地群众务工人数不少于10人，发放劳务报酬不低于15.9万元</w:t>
      </w:r>
      <w:r>
        <w:rPr>
          <w:rFonts w:hint="eastAsia" w:ascii="宋体" w:hAnsi="宋体" w:eastAsia="宋体" w:cs="宋体"/>
          <w:b w:val="0"/>
          <w:bCs w:val="0"/>
          <w:sz w:val="24"/>
          <w:szCs w:val="24"/>
          <w:highlight w:val="none"/>
          <w:lang w:val="en-US" w:eastAsia="zh-CN"/>
        </w:rPr>
        <w:t>约定的，应承担违约责任</w:t>
      </w:r>
      <w:r>
        <w:rPr>
          <w:rFonts w:hint="eastAsia" w:hAnsi="宋体" w:cs="宋体"/>
          <w:b w:val="0"/>
          <w:bCs w:val="0"/>
          <w:sz w:val="24"/>
          <w:szCs w:val="24"/>
          <w:highlight w:val="none"/>
          <w:lang w:val="en-US" w:eastAsia="zh-CN"/>
        </w:rPr>
        <w:t>，违约责任包括继续履行、采取补救措施或者赔偿损失等。</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十八、</w:t>
      </w:r>
      <w:r>
        <w:rPr>
          <w:rFonts w:hint="eastAsia" w:ascii="宋体" w:hAnsi="宋体" w:eastAsia="宋体" w:cs="宋体"/>
          <w:b/>
          <w:bCs/>
          <w:sz w:val="24"/>
          <w:szCs w:val="24"/>
          <w:highlight w:val="none"/>
        </w:rPr>
        <w:t>补充条款</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1、经双方考察认质认价的材料、设备，结算时不再优惠。</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2、对本工程材料、构配件、设备的、试件等的检测、试验的外委实验室由发、承包方共同考察确定，检测试验费用由发包人从承包人的工程款中扣除直接支付。</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3、承包人应在竣工验收通过后</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rPr>
        <w:t>日内清退出场。否则，发包人将按 200 元/日向承包人收取场地占用费，此笔费用从工程款中予以扣除。</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4、承包人在施工期间应严格按照国家有关政策处理好农民工工资问题， 若由此引起一切不良后果由承包人负责；发包人亦可暂停向承包人支付工程款，直至问题得到妥善解决。</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5、其他补充条款：</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 如工程达不到合格标准，承包人予以全额赔偿由此给发包人造成的全部损失。</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 本工程不得转包。一经发现承包人将本工程予以转包，发包人有权立即中止合同，承包人应在</w:t>
      </w:r>
      <w:r>
        <w:rPr>
          <w:rFonts w:hint="eastAsia" w:ascii="宋体" w:hAnsi="宋体" w:eastAsia="宋体" w:cs="宋体"/>
          <w:sz w:val="24"/>
          <w:szCs w:val="24"/>
          <w:highlight w:val="none"/>
          <w:u w:val="single"/>
        </w:rPr>
        <w:t xml:space="preserve"> 10 </w:t>
      </w:r>
      <w:r>
        <w:rPr>
          <w:rFonts w:hint="eastAsia" w:ascii="宋体" w:hAnsi="宋体" w:eastAsia="宋体" w:cs="宋体"/>
          <w:sz w:val="24"/>
          <w:szCs w:val="24"/>
          <w:highlight w:val="none"/>
        </w:rPr>
        <w:t>天内无条件清退出场。同时，承包人承担由此给发包人造成的一切损失。</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 因工程确需分包的项目必须经发包人同意。</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十九、争议处理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本合同执行期间若发生争议，双方应友好协商解决，协商不成的，双方均可向各自所在地人民法院诉讼解决。</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二十、不可抗力</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1、由于不可抗力事件的影响下（如战争、水灾、地震等自然灾害）而导致本合同不能继续履行的，履行合同的期限应予以延长，其延长的期限应相当于事件所影响的时间。</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乙方应在不可抗力事件发生后48小时内以电话、传真、邮件等方式通知对方，并于事件发生后7日内向甲方提供不可抗力的有关证明文件，不可抗力事件的影响持续120天以上，双方应友好协商达成进一步履行合同的协议或者协商解除合同。</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二十一、其他约定事项</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1、本合同签订后，任何一方不得单方面修改或者解除本合同，否则对方可以要求继续履行合同，因一方违约给对方造成经济损失的，违约方应负责赔偿。</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2、本合同及其附件、补充协议、变更单、往来函件等均为本合同的组成部分，与本合同具有同等法律效力。</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二十二、合同生效</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1、本合同一式</w:t>
      </w:r>
      <w:r>
        <w:rPr>
          <w:rFonts w:hint="eastAsia" w:ascii="宋体" w:hAnsi="宋体" w:eastAsia="宋体" w:cs="宋体"/>
          <w:sz w:val="24"/>
          <w:szCs w:val="24"/>
          <w:highlight w:val="none"/>
          <w:u w:val="single"/>
          <w:lang w:eastAsia="zh-CN"/>
        </w:rPr>
        <w:t xml:space="preserve"> </w:t>
      </w:r>
      <w:r>
        <w:rPr>
          <w:rFonts w:hint="eastAsia" w:hAnsi="宋体" w:cs="宋体"/>
          <w:sz w:val="24"/>
          <w:szCs w:val="24"/>
          <w:highlight w:val="none"/>
          <w:u w:val="single"/>
          <w:lang w:val="en-US" w:eastAsia="zh-CN"/>
        </w:rPr>
        <w:t xml:space="preserve"> 肆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份，甲方执</w:t>
      </w:r>
      <w:r>
        <w:rPr>
          <w:rFonts w:hint="eastAsia" w:ascii="宋体" w:hAnsi="宋体" w:eastAsia="宋体" w:cs="宋体"/>
          <w:sz w:val="24"/>
          <w:szCs w:val="24"/>
          <w:highlight w:val="none"/>
          <w:u w:val="single"/>
          <w:lang w:eastAsia="zh-CN"/>
        </w:rPr>
        <w:t xml:space="preserve"> </w:t>
      </w:r>
      <w:r>
        <w:rPr>
          <w:rFonts w:hint="eastAsia" w:hAnsi="宋体" w:cs="宋体"/>
          <w:sz w:val="24"/>
          <w:szCs w:val="24"/>
          <w:highlight w:val="none"/>
          <w:u w:val="single"/>
          <w:lang w:val="en-US" w:eastAsia="zh-CN"/>
        </w:rPr>
        <w:t xml:space="preserve"> 贰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份，乙方执</w:t>
      </w:r>
      <w:r>
        <w:rPr>
          <w:rFonts w:hint="eastAsia" w:ascii="宋体" w:hAnsi="宋体" w:eastAsia="宋体" w:cs="宋体"/>
          <w:sz w:val="24"/>
          <w:szCs w:val="24"/>
          <w:highlight w:val="none"/>
          <w:u w:val="single"/>
          <w:lang w:eastAsia="zh-CN"/>
        </w:rPr>
        <w:t xml:space="preserve"> </w:t>
      </w:r>
      <w:r>
        <w:rPr>
          <w:rFonts w:hint="eastAsia" w:hAnsi="宋体" w:cs="宋体"/>
          <w:sz w:val="24"/>
          <w:szCs w:val="24"/>
          <w:highlight w:val="none"/>
          <w:u w:val="single"/>
          <w:lang w:val="en-US" w:eastAsia="zh-CN"/>
        </w:rPr>
        <w:t xml:space="preserve"> 贰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份，自甲、乙双方授权代表签字或盖章后生效。</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2、本合同未尽事宜，双方应协商解决并签署补充协议。</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（以下无正文）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地址</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帐号：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     日</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乙方（成交人）：</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地址</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w:t>
      </w:r>
      <w:r>
        <w:rPr>
          <w:rFonts w:hint="eastAsia" w:ascii="宋体" w:hAnsi="宋体" w:eastAsia="宋体" w:cs="宋体"/>
          <w:sz w:val="24"/>
          <w:szCs w:val="24"/>
          <w:highlight w:val="none"/>
          <w:lang w:eastAsia="zh-CN"/>
        </w:rPr>
        <w:t>理</w:t>
      </w:r>
      <w:r>
        <w:rPr>
          <w:rFonts w:hint="eastAsia" w:ascii="宋体" w:hAnsi="宋体" w:eastAsia="宋体" w:cs="宋体"/>
          <w:sz w:val="24"/>
          <w:szCs w:val="24"/>
          <w:highlight w:val="none"/>
        </w:rPr>
        <w:t>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帐号：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月     日</w:t>
      </w:r>
    </w:p>
    <w:p>
      <w:pPr>
        <w:rPr>
          <w:highlight w:val="none"/>
        </w:rPr>
      </w:pPr>
    </w:p>
    <w:p>
      <w:pPr>
        <w:adjustRightInd w:val="0"/>
        <w:snapToGrid w:val="0"/>
        <w:spacing w:before="60" w:after="60" w:line="360" w:lineRule="auto"/>
        <w:jc w:val="center"/>
        <w:rPr>
          <w:rFonts w:hAnsi="宋体" w:cs="宋体"/>
          <w:b/>
          <w:bCs/>
          <w:spacing w:val="100"/>
          <w:kern w:val="16"/>
          <w:sz w:val="52"/>
          <w:szCs w:val="52"/>
          <w:highlight w:val="none"/>
        </w:rPr>
      </w:pPr>
    </w:p>
    <w:p>
      <w:pPr>
        <w:tabs>
          <w:tab w:val="left" w:pos="1175"/>
          <w:tab w:val="left" w:pos="2975"/>
          <w:tab w:val="left" w:pos="3455"/>
          <w:tab w:val="left" w:pos="3935"/>
          <w:tab w:val="left" w:pos="3995"/>
          <w:tab w:val="left" w:pos="4415"/>
          <w:tab w:val="left" w:pos="7475"/>
          <w:tab w:val="left" w:pos="7715"/>
        </w:tabs>
        <w:spacing w:line="360" w:lineRule="auto"/>
        <w:jc w:val="left"/>
        <w:rPr>
          <w:rFonts w:hAnsi="宋体" w:cs="宋体"/>
          <w:kern w:val="2"/>
          <w:szCs w:val="24"/>
          <w:highlight w:val="none"/>
        </w:rPr>
        <w:sectPr>
          <w:footerReference r:id="rId8" w:type="default"/>
          <w:pgSz w:w="11911" w:h="16838"/>
          <w:pgMar w:top="1304" w:right="1361" w:bottom="1304" w:left="1361" w:header="771" w:footer="771" w:gutter="0"/>
          <w:pgNumType w:fmt="decimal" w:start="1"/>
          <w:cols w:space="720" w:num="1"/>
          <w:docGrid w:linePitch="1" w:charSpace="0"/>
        </w:sectPr>
      </w:pPr>
    </w:p>
    <w:p>
      <w:pPr>
        <w:pStyle w:val="3"/>
        <w:jc w:val="center"/>
        <w:rPr>
          <w:rFonts w:eastAsia="宋体"/>
          <w:bCs/>
          <w:highlight w:val="none"/>
        </w:rPr>
      </w:pPr>
      <w:bookmarkStart w:id="54" w:name="_Toc21141"/>
      <w:bookmarkStart w:id="88" w:name="_GoBack"/>
      <w:bookmarkEnd w:id="88"/>
      <w:r>
        <w:rPr>
          <w:rFonts w:hint="eastAsia" w:ascii="宋体" w:eastAsia="宋体" w:cs="宋体"/>
          <w:kern w:val="0"/>
          <w:sz w:val="36"/>
          <w:szCs w:val="36"/>
          <w:highlight w:val="none"/>
        </w:rPr>
        <w:t xml:space="preserve">第五章 </w:t>
      </w:r>
      <w:bookmarkEnd w:id="45"/>
      <w:bookmarkEnd w:id="46"/>
      <w:bookmarkEnd w:id="47"/>
      <w:bookmarkEnd w:id="48"/>
      <w:bookmarkEnd w:id="49"/>
      <w:bookmarkEnd w:id="50"/>
      <w:bookmarkEnd w:id="51"/>
      <w:bookmarkEnd w:id="52"/>
      <w:bookmarkEnd w:id="53"/>
      <w:r>
        <w:rPr>
          <w:rFonts w:hint="eastAsia" w:ascii="宋体" w:eastAsia="宋体" w:cs="宋体"/>
          <w:kern w:val="0"/>
          <w:sz w:val="36"/>
          <w:szCs w:val="36"/>
          <w:highlight w:val="none"/>
        </w:rPr>
        <w:t xml:space="preserve"> 磋商内容及技术要求</w:t>
      </w:r>
      <w:bookmarkEnd w:id="54"/>
      <w:bookmarkStart w:id="55" w:name="_Toc389582038"/>
      <w:bookmarkStart w:id="56" w:name="_Toc20481"/>
      <w:bookmarkStart w:id="57" w:name="_Toc4053"/>
      <w:bookmarkStart w:id="58" w:name="_Toc23856"/>
      <w:bookmarkStart w:id="59" w:name="_Toc1025"/>
      <w:bookmarkStart w:id="60" w:name="_Toc11450"/>
      <w:bookmarkStart w:id="61" w:name="_Toc2711"/>
    </w:p>
    <w:bookmarkEnd w:id="39"/>
    <w:bookmarkEnd w:id="55"/>
    <w:bookmarkEnd w:id="56"/>
    <w:bookmarkEnd w:id="57"/>
    <w:bookmarkEnd w:id="58"/>
    <w:bookmarkEnd w:id="59"/>
    <w:bookmarkEnd w:id="60"/>
    <w:bookmarkEnd w:id="61"/>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1"/>
          <w:highlight w:val="none"/>
          <w:lang w:val="en-US" w:eastAsia="zh-CN"/>
        </w:rPr>
      </w:pPr>
      <w:bookmarkStart w:id="62" w:name="_Toc363474025"/>
      <w:bookmarkStart w:id="63" w:name="_Toc5084"/>
      <w:bookmarkStart w:id="64" w:name="_Toc403077646"/>
      <w:bookmarkStart w:id="65" w:name="_Toc423973079"/>
      <w:r>
        <w:rPr>
          <w:rFonts w:hint="eastAsia"/>
          <w:sz w:val="28"/>
          <w:szCs w:val="21"/>
          <w:highlight w:val="none"/>
          <w:lang w:val="en-US" w:eastAsia="zh-CN"/>
        </w:rPr>
        <w:t>最高限价（小写）：</w:t>
      </w:r>
      <w:r>
        <w:rPr>
          <w:rFonts w:hint="eastAsia" w:hAnsi="宋体" w:cs="宋体"/>
          <w:b w:val="0"/>
          <w:bCs w:val="0"/>
          <w:sz w:val="28"/>
          <w:szCs w:val="28"/>
          <w:highlight w:val="none"/>
          <w:lang w:val="en-US" w:eastAsia="zh-CN"/>
        </w:rPr>
        <w:t>1,858,216.74元</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textAlignment w:val="auto"/>
        <w:rPr>
          <w:rFonts w:hint="eastAsia"/>
          <w:sz w:val="28"/>
          <w:szCs w:val="21"/>
          <w:highlight w:val="none"/>
          <w:lang w:val="en-US" w:eastAsia="zh-CN"/>
        </w:rPr>
      </w:pPr>
      <w:r>
        <w:rPr>
          <w:rFonts w:hint="eastAsia"/>
          <w:sz w:val="28"/>
          <w:szCs w:val="21"/>
          <w:highlight w:val="none"/>
          <w:lang w:val="en-US" w:eastAsia="zh-CN"/>
        </w:rPr>
        <w:t>（大写）：壹佰捌拾伍万捌仟贰佰壹拾陆元柒角肆分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1"/>
          <w:highlight w:val="none"/>
          <w:lang w:val="en-US" w:eastAsia="zh-CN"/>
        </w:rPr>
      </w:pPr>
      <w:r>
        <w:rPr>
          <w:rFonts w:hint="eastAsia"/>
          <w:sz w:val="28"/>
          <w:szCs w:val="21"/>
          <w:highlight w:val="none"/>
          <w:lang w:val="en-US" w:eastAsia="zh-CN"/>
        </w:rPr>
        <w:t>一、工程概况：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1"/>
          <w:highlight w:val="none"/>
          <w:lang w:val="en-US" w:eastAsia="zh-CN"/>
        </w:rPr>
      </w:pPr>
      <w:r>
        <w:rPr>
          <w:rFonts w:hint="eastAsia"/>
          <w:sz w:val="28"/>
          <w:szCs w:val="21"/>
          <w:highlight w:val="none"/>
          <w:lang w:val="en-US" w:eastAsia="zh-CN"/>
        </w:rPr>
        <w:t>主要工程内容：</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560" w:firstLineChars="200"/>
        <w:textAlignment w:val="auto"/>
        <w:rPr>
          <w:rFonts w:hint="eastAsia" w:hAnsi="Times New Roman" w:cs="Times New Roman"/>
          <w:sz w:val="28"/>
          <w:szCs w:val="21"/>
          <w:highlight w:val="none"/>
          <w:lang w:val="en-US" w:eastAsia="zh-CN"/>
        </w:rPr>
      </w:pPr>
      <w:r>
        <w:rPr>
          <w:rFonts w:hint="eastAsia" w:hAnsi="Times New Roman" w:cs="Times New Roman"/>
          <w:sz w:val="28"/>
          <w:szCs w:val="21"/>
          <w:highlight w:val="none"/>
          <w:lang w:val="en-US" w:eastAsia="zh-CN"/>
        </w:rPr>
        <w:t>广货街镇漫沟民宿区基础配套项目（一期）：项目总投资100万元。建设内容为修建平板桥1座，长25米、宽4米；新建混凝土基础、浆砌石河堤防护挡墙，长100米、宽5米。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hAnsi="Times New Roman" w:cs="Times New Roman"/>
          <w:sz w:val="28"/>
          <w:szCs w:val="21"/>
          <w:highlight w:val="none"/>
          <w:lang w:val="en-US" w:eastAsia="zh-CN"/>
        </w:rPr>
      </w:pPr>
      <w:r>
        <w:rPr>
          <w:rFonts w:hint="eastAsia" w:hAnsi="Times New Roman" w:cs="Times New Roman"/>
          <w:sz w:val="28"/>
          <w:szCs w:val="21"/>
          <w:highlight w:val="none"/>
          <w:lang w:val="en-US" w:eastAsia="zh-CN"/>
        </w:rPr>
        <w:t>2、广货街镇漫沟民宿区基础配套项目（二期）：项目总投资100万元。建设内容为1.新建浆砌石内挡墙长度50米，高度3米；2.50立方米蓄水池1个，铺设管道200米；3.采用混凝土对公路河堤挡墙进行修复；4.场地平整；5.新建15立方米化粪池一座；6.新建浆砌石河堤防护挡墙长度150米，高度为5米，混凝土基础，浆砌石挡墙。</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eastAsia"/>
          <w:sz w:val="28"/>
          <w:szCs w:val="21"/>
          <w:highlight w:val="none"/>
          <w:lang w:val="en-US" w:eastAsia="zh-CN"/>
        </w:rPr>
      </w:pPr>
      <w:r>
        <w:rPr>
          <w:rFonts w:hint="eastAsia"/>
          <w:sz w:val="28"/>
          <w:szCs w:val="21"/>
          <w:highlight w:val="none"/>
          <w:lang w:val="en-US" w:eastAsia="zh-CN"/>
        </w:rPr>
        <w:t>二、工程量清单：</w:t>
      </w:r>
    </w:p>
    <w:tbl>
      <w:tblPr>
        <w:tblStyle w:val="21"/>
        <w:tblW w:w="85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3747"/>
        <w:gridCol w:w="9"/>
        <w:gridCol w:w="695"/>
        <w:gridCol w:w="10"/>
        <w:gridCol w:w="1046"/>
        <w:gridCol w:w="12"/>
        <w:gridCol w:w="1045"/>
        <w:gridCol w:w="13"/>
        <w:gridCol w:w="1044"/>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660" w:hRule="atLeast"/>
        </w:trPr>
        <w:tc>
          <w:tcPr>
            <w:tcW w:w="8503"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40" w:hRule="atLeast"/>
        </w:trPr>
        <w:tc>
          <w:tcPr>
            <w:tcW w:w="8503"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清单  第100章  总 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子目号</w:t>
            </w:r>
          </w:p>
        </w:tc>
        <w:tc>
          <w:tcPr>
            <w:tcW w:w="374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子目名称</w:t>
            </w:r>
          </w:p>
        </w:tc>
        <w:tc>
          <w:tcPr>
            <w:tcW w:w="70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单位</w:t>
            </w:r>
          </w:p>
        </w:tc>
        <w:tc>
          <w:tcPr>
            <w:tcW w:w="10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数量</w:t>
            </w:r>
          </w:p>
        </w:tc>
        <w:tc>
          <w:tcPr>
            <w:tcW w:w="10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单价</w:t>
            </w:r>
          </w:p>
        </w:tc>
        <w:tc>
          <w:tcPr>
            <w:tcW w:w="1057"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101</w:t>
            </w:r>
          </w:p>
        </w:tc>
        <w:tc>
          <w:tcPr>
            <w:tcW w:w="374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通则</w:t>
            </w:r>
          </w:p>
        </w:tc>
        <w:tc>
          <w:tcPr>
            <w:tcW w:w="704"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101-1</w:t>
            </w:r>
          </w:p>
        </w:tc>
        <w:tc>
          <w:tcPr>
            <w:tcW w:w="374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保险费</w:t>
            </w:r>
          </w:p>
        </w:tc>
        <w:tc>
          <w:tcPr>
            <w:tcW w:w="704"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w:t>
            </w:r>
          </w:p>
        </w:tc>
        <w:tc>
          <w:tcPr>
            <w:tcW w:w="374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按合同条款规定，提供建筑工程一切险</w:t>
            </w:r>
          </w:p>
        </w:tc>
        <w:tc>
          <w:tcPr>
            <w:tcW w:w="70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总额</w:t>
            </w:r>
          </w:p>
        </w:tc>
        <w:tc>
          <w:tcPr>
            <w:tcW w:w="10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-b</w:t>
            </w:r>
          </w:p>
        </w:tc>
        <w:tc>
          <w:tcPr>
            <w:tcW w:w="374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按合同条款规定，提供第三者责任险</w:t>
            </w:r>
          </w:p>
        </w:tc>
        <w:tc>
          <w:tcPr>
            <w:tcW w:w="70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总额</w:t>
            </w:r>
          </w:p>
        </w:tc>
        <w:tc>
          <w:tcPr>
            <w:tcW w:w="10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102</w:t>
            </w:r>
          </w:p>
        </w:tc>
        <w:tc>
          <w:tcPr>
            <w:tcW w:w="374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工程管理</w:t>
            </w:r>
          </w:p>
        </w:tc>
        <w:tc>
          <w:tcPr>
            <w:tcW w:w="704"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102-1</w:t>
            </w:r>
          </w:p>
        </w:tc>
        <w:tc>
          <w:tcPr>
            <w:tcW w:w="374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竣工文件</w:t>
            </w:r>
          </w:p>
        </w:tc>
        <w:tc>
          <w:tcPr>
            <w:tcW w:w="70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总额</w:t>
            </w:r>
          </w:p>
        </w:tc>
        <w:tc>
          <w:tcPr>
            <w:tcW w:w="10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102-2</w:t>
            </w:r>
          </w:p>
        </w:tc>
        <w:tc>
          <w:tcPr>
            <w:tcW w:w="374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施工环保费</w:t>
            </w:r>
          </w:p>
        </w:tc>
        <w:tc>
          <w:tcPr>
            <w:tcW w:w="70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总额</w:t>
            </w:r>
          </w:p>
        </w:tc>
        <w:tc>
          <w:tcPr>
            <w:tcW w:w="10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102-3</w:t>
            </w:r>
          </w:p>
        </w:tc>
        <w:tc>
          <w:tcPr>
            <w:tcW w:w="374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安全生产费</w:t>
            </w:r>
          </w:p>
        </w:tc>
        <w:tc>
          <w:tcPr>
            <w:tcW w:w="70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总额</w:t>
            </w:r>
          </w:p>
        </w:tc>
        <w:tc>
          <w:tcPr>
            <w:tcW w:w="10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104</w:t>
            </w:r>
          </w:p>
        </w:tc>
        <w:tc>
          <w:tcPr>
            <w:tcW w:w="374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承包人驻地建设</w:t>
            </w:r>
          </w:p>
        </w:tc>
        <w:tc>
          <w:tcPr>
            <w:tcW w:w="704"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104-1</w:t>
            </w:r>
          </w:p>
        </w:tc>
        <w:tc>
          <w:tcPr>
            <w:tcW w:w="374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承包人驻地建设</w:t>
            </w:r>
          </w:p>
        </w:tc>
        <w:tc>
          <w:tcPr>
            <w:tcW w:w="70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总额</w:t>
            </w:r>
          </w:p>
        </w:tc>
        <w:tc>
          <w:tcPr>
            <w:tcW w:w="10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105</w:t>
            </w:r>
          </w:p>
        </w:tc>
        <w:tc>
          <w:tcPr>
            <w:tcW w:w="374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施工标准化</w:t>
            </w:r>
          </w:p>
        </w:tc>
        <w:tc>
          <w:tcPr>
            <w:tcW w:w="704"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3747"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highlight w:val="none"/>
                <w:u w:val="none"/>
              </w:rPr>
            </w:pPr>
          </w:p>
        </w:tc>
        <w:tc>
          <w:tcPr>
            <w:tcW w:w="704"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00" w:hRule="atLeast"/>
        </w:trPr>
        <w:tc>
          <w:tcPr>
            <w:tcW w:w="8503"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清单  第100章  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518" w:type="dxa"/>
            <w:gridSpan w:val="11"/>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18" w:type="dxa"/>
            <w:gridSpan w:val="11"/>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清单  第200章  路 基（一期工程）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子目号</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子目名称</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单位</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单价</w:t>
            </w:r>
          </w:p>
        </w:tc>
        <w:tc>
          <w:tcPr>
            <w:tcW w:w="1059"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203</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挖方路基</w:t>
            </w:r>
          </w:p>
        </w:tc>
        <w:tc>
          <w:tcPr>
            <w:tcW w:w="705"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203-1</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路基挖方</w:t>
            </w:r>
          </w:p>
        </w:tc>
        <w:tc>
          <w:tcPr>
            <w:tcW w:w="705"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挖土方</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105</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204</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填方路基</w:t>
            </w:r>
          </w:p>
        </w:tc>
        <w:tc>
          <w:tcPr>
            <w:tcW w:w="705"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204-1</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路基填筑（包括填前压实）</w:t>
            </w:r>
          </w:p>
        </w:tc>
        <w:tc>
          <w:tcPr>
            <w:tcW w:w="705"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借土填方</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887</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-b</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桥涵台背回填</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回填石渣</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139.56</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-b</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挖土方</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139.56</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-c</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挖台阶</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8.27</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207</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坡面排水</w:t>
            </w:r>
          </w:p>
        </w:tc>
        <w:tc>
          <w:tcPr>
            <w:tcW w:w="705"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207-1</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边沟</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10.8</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209</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路基防护与加固工程</w:t>
            </w:r>
          </w:p>
        </w:tc>
        <w:tc>
          <w:tcPr>
            <w:tcW w:w="705"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209-5</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一般边坡防护与加固</w:t>
            </w:r>
          </w:p>
        </w:tc>
        <w:tc>
          <w:tcPr>
            <w:tcW w:w="705"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路肩墙（C15片石混凝土+M7.5 浆砌片石）</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506</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3756"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highlight w:val="none"/>
                <w:u w:val="none"/>
              </w:rPr>
            </w:pPr>
          </w:p>
        </w:tc>
        <w:tc>
          <w:tcPr>
            <w:tcW w:w="705"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18" w:type="dxa"/>
            <w:gridSpan w:val="11"/>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清单  第200章  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518" w:type="dxa"/>
            <w:gridSpan w:val="11"/>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28"/>
                <w:szCs w:val="28"/>
                <w:highlight w:val="none"/>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18" w:type="dxa"/>
            <w:gridSpan w:val="11"/>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清单  第200章  路 基（二期工程）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子目号</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子目名称</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单位</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单价</w:t>
            </w:r>
          </w:p>
        </w:tc>
        <w:tc>
          <w:tcPr>
            <w:tcW w:w="1059"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209</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路基防护与加固工程</w:t>
            </w:r>
          </w:p>
        </w:tc>
        <w:tc>
          <w:tcPr>
            <w:tcW w:w="705"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209-5</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一般边坡防护与加固</w:t>
            </w:r>
          </w:p>
        </w:tc>
        <w:tc>
          <w:tcPr>
            <w:tcW w:w="705"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C15片石混凝土挡墙</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30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-b</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路肩墙（C15片石混凝土+M7.5 浆砌片石）</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1126.5</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-c</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M7.5浆砌片石挡墙</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230.65</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3756"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highlight w:val="none"/>
                <w:u w:val="none"/>
              </w:rPr>
            </w:pPr>
          </w:p>
        </w:tc>
        <w:tc>
          <w:tcPr>
            <w:tcW w:w="705"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18" w:type="dxa"/>
            <w:gridSpan w:val="11"/>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清单  第200章  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518" w:type="dxa"/>
            <w:gridSpan w:val="11"/>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18" w:type="dxa"/>
            <w:gridSpan w:val="11"/>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清单  第300章  路 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子目号</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子目名称</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单位</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单价</w:t>
            </w:r>
          </w:p>
        </w:tc>
        <w:tc>
          <w:tcPr>
            <w:tcW w:w="1059"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303</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石灰稳定土底基层、基层</w:t>
            </w:r>
          </w:p>
        </w:tc>
        <w:tc>
          <w:tcPr>
            <w:tcW w:w="705"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303-1</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石灰稳定土底基层</w:t>
            </w:r>
          </w:p>
        </w:tc>
        <w:tc>
          <w:tcPr>
            <w:tcW w:w="705"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16cm石灰土稳定砂砾基层</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m2</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611</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312</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水泥混凝土面板</w:t>
            </w:r>
          </w:p>
        </w:tc>
        <w:tc>
          <w:tcPr>
            <w:tcW w:w="705"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312-1</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水泥混凝土面板</w:t>
            </w:r>
          </w:p>
        </w:tc>
        <w:tc>
          <w:tcPr>
            <w:tcW w:w="705"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18cm水泥混凝土面层</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m2</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413</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312-2</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钢筋</w:t>
            </w:r>
          </w:p>
        </w:tc>
        <w:tc>
          <w:tcPr>
            <w:tcW w:w="705"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钢筋</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t</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0.7889</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313</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路肩培土、中央分隔带回填土、土路肩加固及路缘石</w:t>
            </w:r>
          </w:p>
        </w:tc>
        <w:tc>
          <w:tcPr>
            <w:tcW w:w="705"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313-3</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C20混凝土路边石</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25.536</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3756"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highlight w:val="none"/>
                <w:u w:val="none"/>
              </w:rPr>
            </w:pPr>
          </w:p>
        </w:tc>
        <w:tc>
          <w:tcPr>
            <w:tcW w:w="705"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18" w:type="dxa"/>
            <w:gridSpan w:val="11"/>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清单  第300章  合计   人民币           元</w:t>
            </w:r>
          </w:p>
        </w:tc>
      </w:tr>
    </w:tbl>
    <w:p>
      <w:pPr>
        <w:rPr>
          <w:rFonts w:hint="eastAsia" w:cs="Times New Roman"/>
          <w:sz w:val="28"/>
          <w:szCs w:val="21"/>
          <w:highlight w:val="none"/>
          <w:lang w:val="en-US" w:eastAsia="zh-CN"/>
        </w:rPr>
      </w:pPr>
      <w:r>
        <w:rPr>
          <w:rFonts w:hint="eastAsia" w:cs="Times New Roman"/>
          <w:sz w:val="28"/>
          <w:szCs w:val="21"/>
          <w:highlight w:val="none"/>
          <w:lang w:val="en-US" w:eastAsia="zh-CN"/>
        </w:rPr>
        <w:br w:type="page"/>
      </w:r>
    </w:p>
    <w:p>
      <w:pPr>
        <w:pStyle w:val="2"/>
        <w:rPr>
          <w:rFonts w:hint="eastAsia"/>
          <w:highlight w:val="none"/>
          <w:lang w:val="en-US" w:eastAsia="zh-CN"/>
        </w:rPr>
      </w:pPr>
    </w:p>
    <w:tbl>
      <w:tblPr>
        <w:tblStyle w:val="21"/>
        <w:tblW w:w="85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3749"/>
        <w:gridCol w:w="7"/>
        <w:gridCol w:w="697"/>
        <w:gridCol w:w="8"/>
        <w:gridCol w:w="1049"/>
        <w:gridCol w:w="9"/>
        <w:gridCol w:w="1047"/>
        <w:gridCol w:w="11"/>
        <w:gridCol w:w="1046"/>
        <w:gridCol w:w="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660" w:hRule="atLeast"/>
        </w:trPr>
        <w:tc>
          <w:tcPr>
            <w:tcW w:w="8505"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40" w:hRule="atLeast"/>
        </w:trPr>
        <w:tc>
          <w:tcPr>
            <w:tcW w:w="8505"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清单  第400章  桥梁、涵洞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子目名称</w:t>
            </w:r>
          </w:p>
        </w:tc>
        <w:tc>
          <w:tcPr>
            <w:tcW w:w="70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单位</w:t>
            </w:r>
          </w:p>
        </w:tc>
        <w:tc>
          <w:tcPr>
            <w:tcW w:w="10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数量</w:t>
            </w:r>
          </w:p>
        </w:tc>
        <w:tc>
          <w:tcPr>
            <w:tcW w:w="10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单价</w:t>
            </w:r>
          </w:p>
        </w:tc>
        <w:tc>
          <w:tcPr>
            <w:tcW w:w="1057"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K0+015.0 漫沟小桥（2×10m钢筋混凝土现浇板）</w:t>
            </w:r>
          </w:p>
        </w:tc>
        <w:tc>
          <w:tcPr>
            <w:tcW w:w="704"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highlight w:val="none"/>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扩大基础</w:t>
            </w:r>
          </w:p>
        </w:tc>
        <w:tc>
          <w:tcPr>
            <w:tcW w:w="70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104.27</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桥台</w:t>
            </w:r>
          </w:p>
        </w:tc>
        <w:tc>
          <w:tcPr>
            <w:tcW w:w="70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67.48</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-c</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桥墩</w:t>
            </w:r>
          </w:p>
        </w:tc>
        <w:tc>
          <w:tcPr>
            <w:tcW w:w="70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29.86</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-d</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上部构造</w:t>
            </w:r>
          </w:p>
        </w:tc>
        <w:tc>
          <w:tcPr>
            <w:tcW w:w="70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45.92</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-e</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水泥混凝土桥面铺装</w:t>
            </w:r>
          </w:p>
        </w:tc>
        <w:tc>
          <w:tcPr>
            <w:tcW w:w="70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11.2</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-f</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板式橡胶支座</w:t>
            </w:r>
          </w:p>
        </w:tc>
        <w:tc>
          <w:tcPr>
            <w:tcW w:w="70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个</w:t>
            </w:r>
          </w:p>
        </w:tc>
        <w:tc>
          <w:tcPr>
            <w:tcW w:w="10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16</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-g</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GQF-C40伸缩缝</w:t>
            </w:r>
          </w:p>
        </w:tc>
        <w:tc>
          <w:tcPr>
            <w:tcW w:w="70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w:t>
            </w:r>
          </w:p>
        </w:tc>
        <w:tc>
          <w:tcPr>
            <w:tcW w:w="10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9</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-h</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防撞护栏</w:t>
            </w:r>
          </w:p>
        </w:tc>
        <w:tc>
          <w:tcPr>
            <w:tcW w:w="70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w:t>
            </w:r>
          </w:p>
        </w:tc>
        <w:tc>
          <w:tcPr>
            <w:tcW w:w="10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40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-i</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支座垫石</w:t>
            </w:r>
          </w:p>
        </w:tc>
        <w:tc>
          <w:tcPr>
            <w:tcW w:w="70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0.32</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-j</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桥台防护</w:t>
            </w:r>
          </w:p>
        </w:tc>
        <w:tc>
          <w:tcPr>
            <w:tcW w:w="70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102.06</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-l</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道口标注</w:t>
            </w:r>
          </w:p>
        </w:tc>
        <w:tc>
          <w:tcPr>
            <w:tcW w:w="704"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根</w:t>
            </w:r>
          </w:p>
        </w:tc>
        <w:tc>
          <w:tcPr>
            <w:tcW w:w="10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4</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45"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3749"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highlight w:val="none"/>
                <w:u w:val="none"/>
              </w:rPr>
            </w:pPr>
          </w:p>
        </w:tc>
        <w:tc>
          <w:tcPr>
            <w:tcW w:w="704"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7"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300" w:hRule="atLeast"/>
        </w:trPr>
        <w:tc>
          <w:tcPr>
            <w:tcW w:w="8505"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清单  第400章  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18" w:type="dxa"/>
            <w:gridSpan w:val="11"/>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8" w:type="dxa"/>
            <w:gridSpan w:val="11"/>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其他工程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子目号</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子目名称</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单位</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单价</w:t>
            </w:r>
          </w:p>
        </w:tc>
        <w:tc>
          <w:tcPr>
            <w:tcW w:w="1059"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蓄水池(50立方米、 参照图集05S804第10-12页)</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项</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-b</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化粪池</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项</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-c</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场地平整</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700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-d</w:t>
            </w:r>
          </w:p>
        </w:tc>
        <w:tc>
          <w:tcPr>
            <w:tcW w:w="37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7.5mmX6.8mm（12.5公斤压）管道</w:t>
            </w:r>
          </w:p>
        </w:tc>
        <w:tc>
          <w:tcPr>
            <w:tcW w:w="70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200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5"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3756"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highlight w:val="none"/>
                <w:u w:val="none"/>
              </w:rPr>
            </w:pPr>
          </w:p>
        </w:tc>
        <w:tc>
          <w:tcPr>
            <w:tcW w:w="705"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1059"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18" w:type="dxa"/>
            <w:gridSpan w:val="11"/>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  合计   人民币           元</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sz w:val="28"/>
          <w:szCs w:val="21"/>
          <w:highlight w:val="none"/>
          <w:lang w:val="en-US" w:eastAsia="zh-CN"/>
        </w:rPr>
      </w:pPr>
      <w:r>
        <w:rPr>
          <w:rFonts w:hint="eastAsia" w:cs="Times New Roman"/>
          <w:sz w:val="28"/>
          <w:szCs w:val="21"/>
          <w:highlight w:val="none"/>
          <w:lang w:val="en-US" w:eastAsia="zh-CN"/>
        </w:rPr>
        <w:t>注：暂列金额（不含计日工总额）：100000.00元，为不可竞争费用。</w:t>
      </w:r>
    </w:p>
    <w:p>
      <w:pPr>
        <w:rPr>
          <w:rFonts w:hint="eastAsia" w:cs="Times New Roman"/>
          <w:sz w:val="28"/>
          <w:szCs w:val="21"/>
          <w:highlight w:val="none"/>
          <w:lang w:val="en-US" w:eastAsia="zh-CN"/>
        </w:rPr>
      </w:pPr>
      <w:r>
        <w:rPr>
          <w:rFonts w:hint="eastAsia" w:cs="Times New Roman"/>
          <w:sz w:val="28"/>
          <w:szCs w:val="21"/>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Times New Roman" w:cs="Times New Roman"/>
          <w:sz w:val="28"/>
          <w:szCs w:val="21"/>
          <w:highlight w:val="none"/>
          <w:lang w:val="en-US" w:eastAsia="zh-CN"/>
        </w:rPr>
      </w:pPr>
      <w:r>
        <w:rPr>
          <w:rFonts w:hint="eastAsia" w:cs="Times New Roman"/>
          <w:sz w:val="28"/>
          <w:szCs w:val="21"/>
          <w:highlight w:val="none"/>
          <w:lang w:val="en-US" w:eastAsia="zh-CN"/>
        </w:rPr>
        <w:t>三</w:t>
      </w:r>
      <w:r>
        <w:rPr>
          <w:rFonts w:hint="eastAsia" w:hAnsi="Times New Roman" w:cs="Times New Roman"/>
          <w:sz w:val="28"/>
          <w:szCs w:val="21"/>
          <w:highlight w:val="none"/>
          <w:lang w:val="en-US" w:eastAsia="zh-CN"/>
        </w:rPr>
        <w:t>、商务要求：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hAnsi="Times New Roman" w:cs="Times New Roman"/>
          <w:sz w:val="28"/>
          <w:szCs w:val="21"/>
          <w:highlight w:val="none"/>
          <w:lang w:val="en-US" w:eastAsia="zh-CN"/>
        </w:rPr>
      </w:pPr>
      <w:r>
        <w:rPr>
          <w:rFonts w:hint="eastAsia" w:cs="Times New Roman"/>
          <w:sz w:val="28"/>
          <w:szCs w:val="21"/>
          <w:highlight w:val="none"/>
          <w:lang w:val="en-US" w:eastAsia="zh-CN"/>
        </w:rPr>
        <w:t>根据“宁发改农经〔2023〕57号”《宁陕县发展和改革局关于广货街镇漫沟民宿区基础配套项目(一期)实施方案的批复》文件要求，广货街镇漫沟民宿区基础配套项目（一期）拟用推广以工代赈方式实施：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hAnsi="Times New Roman" w:cs="Times New Roman"/>
          <w:sz w:val="28"/>
          <w:szCs w:val="21"/>
          <w:highlight w:val="none"/>
          <w:lang w:val="en-US" w:eastAsia="zh-CN"/>
        </w:rPr>
      </w:pPr>
      <w:r>
        <w:rPr>
          <w:rFonts w:hint="eastAsia" w:hAnsi="Times New Roman" w:cs="Times New Roman"/>
          <w:sz w:val="28"/>
          <w:szCs w:val="21"/>
          <w:highlight w:val="none"/>
          <w:lang w:val="en-US" w:eastAsia="zh-CN"/>
        </w:rPr>
        <w:t>1.成交单位应吸纳广货街镇为主的群众参与工程项目建设，带动当地群众务工人数不少于10人，发放劳务报酬不低于15.9万元。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hAnsi="Times New Roman" w:cs="Times New Roman"/>
          <w:sz w:val="28"/>
          <w:szCs w:val="21"/>
          <w:highlight w:val="none"/>
          <w:lang w:val="en-US" w:eastAsia="zh-CN"/>
        </w:rPr>
      </w:pPr>
      <w:r>
        <w:rPr>
          <w:rFonts w:hint="eastAsia" w:hAnsi="Times New Roman" w:cs="Times New Roman"/>
          <w:sz w:val="28"/>
          <w:szCs w:val="21"/>
          <w:highlight w:val="none"/>
          <w:lang w:val="en-US" w:eastAsia="zh-CN"/>
        </w:rPr>
        <w:t>2.若成交单位未履行或履行合同义务不符合吸纳广货街镇为主的群众参与本工程项目建设，带动当地群众务工人数不少于10人，发放劳务报酬不低于15.9万元约定的，应承担违约责任，违约责任包括继续履行、采取补救措施或者赔偿损失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hAnsi="Times New Roman" w:cs="Times New Roman"/>
          <w:sz w:val="28"/>
          <w:szCs w:val="21"/>
          <w:highlight w:val="none"/>
          <w:lang w:val="en-US" w:eastAsia="zh-CN"/>
        </w:rPr>
      </w:pPr>
    </w:p>
    <w:p>
      <w:pPr>
        <w:jc w:val="center"/>
        <w:rPr>
          <w:rFonts w:hint="eastAsia" w:ascii="宋体" w:eastAsia="宋体" w:cs="宋体"/>
          <w:b/>
          <w:bCs/>
          <w:kern w:val="0"/>
          <w:sz w:val="28"/>
          <w:szCs w:val="28"/>
          <w:highlight w:val="none"/>
          <w:lang w:val="en-US" w:eastAsia="zh-CN"/>
        </w:rPr>
      </w:pPr>
      <w:r>
        <w:rPr>
          <w:rFonts w:hint="eastAsia" w:cs="宋体"/>
          <w:b/>
          <w:bCs/>
          <w:kern w:val="0"/>
          <w:sz w:val="28"/>
          <w:szCs w:val="28"/>
          <w:highlight w:val="none"/>
          <w:lang w:val="en-US" w:eastAsia="zh-CN"/>
        </w:rPr>
        <w:t>供应商须对以上商务要求做出书面承诺</w:t>
      </w:r>
    </w:p>
    <w:p>
      <w:pPr>
        <w:rPr>
          <w:rFonts w:hint="eastAsia" w:ascii="宋体" w:eastAsia="宋体" w:cs="宋体"/>
          <w:kern w:val="0"/>
          <w:sz w:val="36"/>
          <w:szCs w:val="36"/>
          <w:highlight w:val="none"/>
          <w:lang w:val="en-US" w:eastAsia="zh-CN"/>
        </w:rPr>
      </w:pPr>
      <w:r>
        <w:rPr>
          <w:rFonts w:hint="eastAsia" w:ascii="宋体" w:eastAsia="宋体" w:cs="宋体"/>
          <w:kern w:val="0"/>
          <w:sz w:val="36"/>
          <w:szCs w:val="36"/>
          <w:highlight w:val="none"/>
          <w:lang w:val="en-US" w:eastAsia="zh-CN"/>
        </w:rPr>
        <w:br w:type="page"/>
      </w:r>
    </w:p>
    <w:p>
      <w:pPr>
        <w:pStyle w:val="3"/>
        <w:jc w:val="center"/>
        <w:rPr>
          <w:rFonts w:hint="eastAsia" w:ascii="宋体" w:eastAsia="宋体" w:cs="宋体"/>
          <w:kern w:val="0"/>
          <w:sz w:val="36"/>
          <w:szCs w:val="36"/>
          <w:highlight w:val="none"/>
        </w:rPr>
      </w:pPr>
      <w:bookmarkStart w:id="66" w:name="_Toc3587"/>
      <w:r>
        <w:rPr>
          <w:rFonts w:hint="eastAsia" w:ascii="宋体" w:eastAsia="宋体" w:cs="宋体"/>
          <w:kern w:val="0"/>
          <w:sz w:val="36"/>
          <w:szCs w:val="36"/>
          <w:highlight w:val="none"/>
          <w:lang w:val="en-US" w:eastAsia="zh-CN"/>
        </w:rPr>
        <w:t>第六章  竞争性磋商响应文件格式</w:t>
      </w:r>
      <w:bookmarkEnd w:id="62"/>
      <w:bookmarkEnd w:id="63"/>
      <w:bookmarkEnd w:id="64"/>
      <w:bookmarkEnd w:id="65"/>
      <w:bookmarkEnd w:id="66"/>
    </w:p>
    <w:p>
      <w:pPr>
        <w:rPr>
          <w:rFonts w:hAnsi="宋体" w:cs="宋体"/>
          <w:highlight w:val="none"/>
        </w:rPr>
      </w:pPr>
    </w:p>
    <w:p>
      <w:pPr>
        <w:rPr>
          <w:rFonts w:hAnsi="宋体" w:cs="宋体"/>
          <w:highlight w:val="none"/>
        </w:rPr>
      </w:pPr>
    </w:p>
    <w:p>
      <w:pPr>
        <w:framePr w:w="5311" w:hSpace="180" w:wrap="around" w:vAnchor="text" w:hAnchor="page" w:x="1473" w:y="19"/>
        <w:rPr>
          <w:rFonts w:hint="eastAsia" w:hAnsi="宋体" w:eastAsia="宋体" w:cs="宋体"/>
          <w:b/>
          <w:bCs/>
          <w:sz w:val="32"/>
          <w:szCs w:val="32"/>
          <w:highlight w:val="none"/>
          <w:lang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SXZCZB2023-ZCCS-0312</w:t>
      </w:r>
    </w:p>
    <w:p>
      <w:pPr>
        <w:jc w:val="right"/>
        <w:rPr>
          <w:rFonts w:hAnsi="宋体" w:cs="宋体"/>
          <w:b/>
          <w:sz w:val="32"/>
          <w:szCs w:val="32"/>
          <w:highlight w:val="none"/>
        </w:rPr>
      </w:pPr>
      <w:r>
        <w:rPr>
          <w:rFonts w:hint="eastAsia" w:hAnsi="宋体" w:cs="宋体"/>
          <w:b/>
          <w:sz w:val="32"/>
          <w:szCs w:val="32"/>
          <w:highlight w:val="none"/>
        </w:rPr>
        <w:t>（正本或副本）</w:t>
      </w:r>
    </w:p>
    <w:p>
      <w:pPr>
        <w:jc w:val="both"/>
        <w:rPr>
          <w:rFonts w:hAnsi="宋体" w:cs="宋体"/>
          <w:b/>
          <w:sz w:val="56"/>
          <w:szCs w:val="56"/>
          <w:highlight w:val="none"/>
        </w:rPr>
      </w:pPr>
    </w:p>
    <w:p>
      <w:pPr>
        <w:jc w:val="center"/>
        <w:rPr>
          <w:rFonts w:hAnsi="宋体" w:cs="宋体"/>
          <w:b/>
          <w:sz w:val="56"/>
          <w:szCs w:val="56"/>
          <w:highlight w:val="none"/>
        </w:rPr>
      </w:pPr>
    </w:p>
    <w:p>
      <w:pPr>
        <w:jc w:val="center"/>
        <w:rPr>
          <w:highlight w:val="none"/>
        </w:rPr>
      </w:pPr>
      <w:r>
        <w:rPr>
          <w:rFonts w:hint="eastAsia" w:hAnsi="宋体" w:cs="宋体"/>
          <w:b/>
          <w:color w:val="auto"/>
          <w:sz w:val="72"/>
          <w:szCs w:val="72"/>
          <w:highlight w:val="none"/>
          <w:lang w:eastAsia="zh-CN"/>
        </w:rPr>
        <w:t>宁陕县广货街镇漫沟民宿区基础配套项目</w:t>
      </w:r>
    </w:p>
    <w:p>
      <w:pPr>
        <w:jc w:val="center"/>
        <w:rPr>
          <w:rFonts w:hAnsi="宋体" w:cs="宋体"/>
          <w:b/>
          <w:sz w:val="62"/>
          <w:szCs w:val="72"/>
          <w:highlight w:val="none"/>
        </w:rPr>
      </w:pPr>
    </w:p>
    <w:p>
      <w:pPr>
        <w:jc w:val="center"/>
        <w:rPr>
          <w:rFonts w:hint="eastAsia" w:hAnsi="宋体" w:cs="宋体"/>
          <w:b/>
          <w:sz w:val="56"/>
          <w:szCs w:val="56"/>
          <w:highlight w:val="none"/>
        </w:rPr>
      </w:pPr>
    </w:p>
    <w:p>
      <w:pPr>
        <w:jc w:val="center"/>
        <w:rPr>
          <w:rFonts w:hint="eastAsia" w:hAnsi="宋体" w:cs="宋体"/>
          <w:b/>
          <w:sz w:val="56"/>
          <w:szCs w:val="56"/>
          <w:highlight w:val="none"/>
        </w:rPr>
      </w:pPr>
    </w:p>
    <w:p>
      <w:pPr>
        <w:jc w:val="center"/>
        <w:rPr>
          <w:rFonts w:hAnsi="宋体" w:cs="宋体"/>
          <w:b/>
          <w:sz w:val="56"/>
          <w:szCs w:val="56"/>
          <w:highlight w:val="none"/>
        </w:rPr>
      </w:pPr>
      <w:r>
        <w:rPr>
          <w:rFonts w:hint="eastAsia" w:hAnsi="宋体" w:cs="宋体"/>
          <w:b/>
          <w:sz w:val="56"/>
          <w:szCs w:val="56"/>
          <w:highlight w:val="none"/>
        </w:rPr>
        <w:t>竞争性磋商响应文件</w:t>
      </w:r>
    </w:p>
    <w:p>
      <w:pPr>
        <w:jc w:val="center"/>
        <w:rPr>
          <w:rFonts w:hAnsi="宋体" w:cs="宋体"/>
          <w:b/>
          <w:sz w:val="36"/>
          <w:szCs w:val="36"/>
          <w:highlight w:val="none"/>
        </w:rPr>
      </w:pPr>
    </w:p>
    <w:p>
      <w:pPr>
        <w:rPr>
          <w:rFonts w:hAnsi="宋体" w:cs="宋体"/>
          <w:b/>
          <w:sz w:val="36"/>
          <w:szCs w:val="36"/>
          <w:highlight w:val="none"/>
        </w:rPr>
      </w:pPr>
    </w:p>
    <w:p>
      <w:pPr>
        <w:rPr>
          <w:rFonts w:hAnsi="宋体" w:cs="宋体"/>
          <w:b/>
          <w:sz w:val="36"/>
          <w:szCs w:val="36"/>
          <w:highlight w:val="none"/>
        </w:rPr>
      </w:pPr>
    </w:p>
    <w:p>
      <w:pPr>
        <w:tabs>
          <w:tab w:val="center" w:pos="5346"/>
        </w:tabs>
        <w:spacing w:line="480" w:lineRule="auto"/>
        <w:jc w:val="center"/>
        <w:rPr>
          <w:rFonts w:hint="eastAsia" w:hAnsi="宋体" w:cs="宋体"/>
          <w:b/>
          <w:sz w:val="32"/>
          <w:szCs w:val="32"/>
          <w:highlight w:val="none"/>
        </w:rPr>
      </w:pPr>
    </w:p>
    <w:p>
      <w:pPr>
        <w:tabs>
          <w:tab w:val="center" w:pos="5346"/>
        </w:tabs>
        <w:spacing w:line="480" w:lineRule="auto"/>
        <w:jc w:val="center"/>
        <w:rPr>
          <w:rFonts w:hint="eastAsia" w:hAnsi="宋体" w:cs="宋体"/>
          <w:b/>
          <w:sz w:val="32"/>
          <w:szCs w:val="32"/>
          <w:highlight w:val="none"/>
        </w:rPr>
      </w:pPr>
    </w:p>
    <w:p>
      <w:pPr>
        <w:tabs>
          <w:tab w:val="center" w:pos="5346"/>
        </w:tabs>
        <w:spacing w:line="480" w:lineRule="auto"/>
        <w:jc w:val="center"/>
        <w:rPr>
          <w:rFonts w:hAnsi="宋体" w:cs="宋体"/>
          <w:b/>
          <w:sz w:val="32"/>
          <w:szCs w:val="32"/>
          <w:highlight w:val="none"/>
        </w:rPr>
      </w:pPr>
      <w:r>
        <w:rPr>
          <w:rFonts w:hint="eastAsia" w:hAnsi="宋体" w:cs="宋体"/>
          <w:b/>
          <w:sz w:val="32"/>
          <w:szCs w:val="32"/>
          <w:highlight w:val="none"/>
        </w:rPr>
        <w:t>供应商名称（公章）</w:t>
      </w:r>
    </w:p>
    <w:p>
      <w:pPr>
        <w:jc w:val="center"/>
        <w:rPr>
          <w:rFonts w:hint="eastAsia" w:hAnsi="宋体" w:cs="宋体"/>
          <w:b/>
          <w:sz w:val="32"/>
          <w:szCs w:val="32"/>
          <w:highlight w:val="none"/>
        </w:rPr>
      </w:pPr>
      <w:r>
        <w:rPr>
          <w:rFonts w:hint="eastAsia" w:hAnsi="宋体" w:cs="宋体"/>
          <w:b/>
          <w:sz w:val="32"/>
          <w:szCs w:val="32"/>
          <w:highlight w:val="none"/>
        </w:rPr>
        <w:t xml:space="preserve"> 年   月</w:t>
      </w:r>
    </w:p>
    <w:p>
      <w:pPr>
        <w:jc w:val="center"/>
        <w:rPr>
          <w:rFonts w:hAnsi="宋体" w:cs="宋体"/>
          <w:b/>
          <w:sz w:val="44"/>
          <w:highlight w:val="none"/>
        </w:rPr>
      </w:pPr>
      <w:r>
        <w:rPr>
          <w:rFonts w:hint="eastAsia" w:hAnsi="宋体" w:cs="宋体"/>
          <w:b/>
          <w:sz w:val="36"/>
          <w:szCs w:val="36"/>
          <w:highlight w:val="none"/>
        </w:rPr>
        <w:br w:type="page"/>
      </w:r>
      <w:bookmarkStart w:id="67" w:name="_Toc344572156"/>
    </w:p>
    <w:p>
      <w:pPr>
        <w:jc w:val="center"/>
        <w:rPr>
          <w:rFonts w:hAnsi="宋体" w:cs="宋体"/>
          <w:b/>
          <w:sz w:val="44"/>
          <w:highlight w:val="none"/>
        </w:rPr>
      </w:pPr>
      <w:r>
        <w:rPr>
          <w:rFonts w:hint="eastAsia" w:hAnsi="宋体" w:cs="宋体"/>
          <w:b/>
          <w:sz w:val="44"/>
          <w:highlight w:val="none"/>
        </w:rPr>
        <w:t>目  录</w:t>
      </w:r>
    </w:p>
    <w:p>
      <w:pPr>
        <w:pStyle w:val="2"/>
        <w:rPr>
          <w:rFonts w:ascii="宋体" w:hAnsi="宋体" w:cs="宋体"/>
          <w:highlight w:val="none"/>
        </w:rPr>
      </w:pPr>
    </w:p>
    <w:p>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一、磋商响应函</w:t>
      </w:r>
    </w:p>
    <w:p>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二、磋商报价表</w:t>
      </w:r>
    </w:p>
    <w:p>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三、磋商方案说明书</w:t>
      </w:r>
    </w:p>
    <w:p>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四、商务条款偏离表</w:t>
      </w:r>
    </w:p>
    <w:p>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五、陕西省政府采购供应商拒绝政府采购领域商业贿赂承诺书</w:t>
      </w:r>
    </w:p>
    <w:p>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六、特定资格证明文件</w:t>
      </w:r>
    </w:p>
    <w:p>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七、其他</w:t>
      </w:r>
    </w:p>
    <w:p>
      <w:pPr>
        <w:pStyle w:val="8"/>
        <w:spacing w:line="360" w:lineRule="auto"/>
        <w:rPr>
          <w:rFonts w:ascii="宋体" w:hAnsi="宋体" w:cs="宋体"/>
          <w:highlight w:val="none"/>
        </w:rPr>
      </w:pPr>
    </w:p>
    <w:p>
      <w:pPr>
        <w:pStyle w:val="8"/>
        <w:spacing w:line="360" w:lineRule="auto"/>
        <w:rPr>
          <w:rFonts w:ascii="宋体" w:hAnsi="宋体" w:cs="宋体"/>
          <w:highlight w:val="none"/>
        </w:rPr>
      </w:pPr>
    </w:p>
    <w:p>
      <w:pPr>
        <w:keepNext/>
        <w:keepLines/>
        <w:widowControl/>
        <w:tabs>
          <w:tab w:val="left" w:pos="3705"/>
        </w:tabs>
        <w:spacing w:line="360" w:lineRule="auto"/>
        <w:ind w:left="3708"/>
        <w:rPr>
          <w:rFonts w:hAnsi="宋体" w:cs="宋体"/>
          <w:bCs/>
          <w:sz w:val="44"/>
          <w:highlight w:val="none"/>
        </w:rPr>
      </w:pPr>
    </w:p>
    <w:p>
      <w:pPr>
        <w:pStyle w:val="8"/>
        <w:ind w:firstLine="880"/>
        <w:rPr>
          <w:rFonts w:ascii="宋体" w:hAnsi="宋体" w:cs="宋体"/>
          <w:bCs/>
          <w:sz w:val="44"/>
          <w:highlight w:val="none"/>
        </w:rPr>
      </w:pPr>
    </w:p>
    <w:p>
      <w:pPr>
        <w:pStyle w:val="8"/>
        <w:ind w:firstLine="880"/>
        <w:rPr>
          <w:rFonts w:ascii="宋体" w:hAnsi="宋体" w:cs="宋体"/>
          <w:bCs/>
          <w:sz w:val="44"/>
          <w:highlight w:val="none"/>
        </w:rPr>
      </w:pPr>
    </w:p>
    <w:bookmarkEnd w:id="67"/>
    <w:p>
      <w:pPr>
        <w:pStyle w:val="2"/>
        <w:rPr>
          <w:rFonts w:ascii="宋体" w:hAnsi="宋体" w:cs="宋体"/>
          <w:b/>
          <w:sz w:val="32"/>
          <w:szCs w:val="32"/>
          <w:highlight w:val="none"/>
        </w:rPr>
      </w:pPr>
      <w:bookmarkStart w:id="68" w:name="_Toc363474027"/>
      <w:bookmarkStart w:id="69" w:name="_Toc403077648"/>
      <w:bookmarkStart w:id="70" w:name="_Toc204524343"/>
    </w:p>
    <w:p>
      <w:pPr>
        <w:pStyle w:val="2"/>
        <w:rPr>
          <w:rFonts w:ascii="宋体" w:hAnsi="宋体" w:cs="宋体"/>
          <w:b/>
          <w:sz w:val="32"/>
          <w:szCs w:val="32"/>
          <w:highlight w:val="none"/>
        </w:rPr>
      </w:pPr>
    </w:p>
    <w:p>
      <w:pPr>
        <w:pStyle w:val="2"/>
        <w:rPr>
          <w:rFonts w:ascii="宋体" w:hAnsi="宋体" w:cs="宋体"/>
          <w:b/>
          <w:sz w:val="32"/>
          <w:szCs w:val="32"/>
          <w:highlight w:val="none"/>
        </w:rPr>
      </w:pPr>
    </w:p>
    <w:p>
      <w:pPr>
        <w:spacing w:line="520" w:lineRule="exact"/>
        <w:jc w:val="center"/>
        <w:outlineLvl w:val="2"/>
        <w:rPr>
          <w:rFonts w:hAnsi="宋体" w:cs="宋体"/>
          <w:b/>
          <w:sz w:val="32"/>
          <w:szCs w:val="32"/>
          <w:highlight w:val="none"/>
        </w:rPr>
      </w:pPr>
      <w:r>
        <w:rPr>
          <w:rFonts w:hint="eastAsia" w:hAnsi="宋体" w:cs="宋体"/>
          <w:b/>
          <w:sz w:val="32"/>
          <w:szCs w:val="32"/>
          <w:highlight w:val="none"/>
        </w:rPr>
        <w:br w:type="page"/>
      </w:r>
      <w:r>
        <w:rPr>
          <w:rFonts w:hint="eastAsia" w:hAnsi="宋体" w:cs="宋体"/>
          <w:b/>
          <w:sz w:val="32"/>
          <w:szCs w:val="32"/>
          <w:highlight w:val="none"/>
        </w:rPr>
        <w:t>一、磋商</w:t>
      </w:r>
      <w:bookmarkEnd w:id="68"/>
      <w:bookmarkEnd w:id="69"/>
      <w:r>
        <w:rPr>
          <w:rFonts w:hint="eastAsia" w:hAnsi="宋体" w:cs="宋体"/>
          <w:b/>
          <w:sz w:val="32"/>
          <w:szCs w:val="32"/>
          <w:highlight w:val="none"/>
        </w:rPr>
        <w:t>响应函</w:t>
      </w:r>
    </w:p>
    <w:p>
      <w:pPr>
        <w:spacing w:line="360" w:lineRule="auto"/>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陕西至诚招标咨询有限公司</w:t>
      </w:r>
    </w:p>
    <w:p>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提交竞争性磋商响应文件电子版</w:t>
      </w:r>
      <w:r>
        <w:rPr>
          <w:rFonts w:hint="eastAsia" w:hAnsi="宋体" w:cs="宋体"/>
          <w:spacing w:val="4"/>
          <w:szCs w:val="24"/>
          <w:highlight w:val="none"/>
          <w:u w:val="single"/>
        </w:rPr>
        <w:t xml:space="preserve">  </w:t>
      </w:r>
      <w:r>
        <w:rPr>
          <w:rFonts w:hint="eastAsia" w:hAnsi="宋体" w:cs="宋体"/>
          <w:spacing w:val="4"/>
          <w:szCs w:val="24"/>
          <w:highlight w:val="none"/>
          <w:u w:val="single"/>
          <w:lang w:val="en-US" w:eastAsia="zh-CN"/>
        </w:rPr>
        <w:t>1</w:t>
      </w:r>
      <w:r>
        <w:rPr>
          <w:rFonts w:hint="eastAsia" w:hAnsi="宋体" w:cs="宋体"/>
          <w:spacing w:val="4"/>
          <w:szCs w:val="24"/>
          <w:highlight w:val="none"/>
          <w:u w:val="single"/>
        </w:rPr>
        <w:t xml:space="preserve">  </w:t>
      </w:r>
      <w:r>
        <w:rPr>
          <w:rFonts w:hint="eastAsia" w:hAnsi="宋体" w:cs="宋体"/>
          <w:spacing w:val="4"/>
          <w:szCs w:val="24"/>
          <w:highlight w:val="none"/>
        </w:rPr>
        <w:t>份。</w:t>
      </w:r>
    </w:p>
    <w:p>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pPr>
        <w:numPr>
          <w:ilvl w:val="0"/>
          <w:numId w:val="8"/>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磋商报价</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pPr>
        <w:numPr>
          <w:ilvl w:val="0"/>
          <w:numId w:val="8"/>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 xml:space="preserve">自磋商之日起 </w:t>
      </w:r>
      <w:r>
        <w:rPr>
          <w:rFonts w:hint="eastAsia" w:hAnsi="宋体" w:cs="宋体"/>
          <w:spacing w:val="4"/>
          <w:szCs w:val="24"/>
          <w:highlight w:val="none"/>
          <w:u w:val="single"/>
          <w:lang w:val="en-US" w:eastAsia="zh-CN"/>
        </w:rPr>
        <w:t>90</w:t>
      </w:r>
      <w:r>
        <w:rPr>
          <w:rFonts w:hint="eastAsia" w:hAnsi="宋体" w:cs="宋体"/>
          <w:spacing w:val="4"/>
          <w:szCs w:val="24"/>
          <w:highlight w:val="none"/>
          <w:u w:val="single"/>
        </w:rPr>
        <w:t xml:space="preserve"> 天</w:t>
      </w:r>
      <w:r>
        <w:rPr>
          <w:rFonts w:hint="eastAsia" w:hAnsi="宋体" w:cs="宋体"/>
          <w:spacing w:val="4"/>
          <w:szCs w:val="24"/>
          <w:highlight w:val="none"/>
        </w:rPr>
        <w:t>），本磋商响应函对我方具有约束力。</w:t>
      </w:r>
    </w:p>
    <w:p>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5</w:t>
      </w:r>
      <w:r>
        <w:rPr>
          <w:rFonts w:hint="eastAsia" w:hAnsi="宋体" w:cs="宋体"/>
          <w:spacing w:val="4"/>
          <w:szCs w:val="24"/>
          <w:highlight w:val="none"/>
        </w:rPr>
        <w:t xml:space="preserve">）同意提供贵方可能另外要求的与本磋商有关的任何证据和资料。 </w:t>
      </w:r>
    </w:p>
    <w:p>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6</w:t>
      </w:r>
      <w:r>
        <w:rPr>
          <w:rFonts w:hint="eastAsia" w:hAnsi="宋体" w:cs="宋体"/>
          <w:spacing w:val="4"/>
          <w:szCs w:val="24"/>
          <w:highlight w:val="none"/>
        </w:rPr>
        <w:t>）我们同意，如果成交，向陕西至诚招标咨询有限公司交纳招标代理服务费。</w:t>
      </w:r>
    </w:p>
    <w:p>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7</w:t>
      </w:r>
      <w:r>
        <w:rPr>
          <w:rFonts w:hint="eastAsia" w:hAnsi="宋体" w:cs="宋体"/>
          <w:spacing w:val="4"/>
          <w:szCs w:val="24"/>
          <w:highlight w:val="none"/>
        </w:rPr>
        <w:t>）与本磋商有关的一切正式往来通讯为：</w:t>
      </w:r>
    </w:p>
    <w:p>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供应商法定代表人</w:t>
      </w:r>
      <w:r>
        <w:rPr>
          <w:rFonts w:hint="eastAsia" w:hAnsi="宋体" w:cs="宋体"/>
          <w:spacing w:val="4"/>
          <w:highlight w:val="none"/>
        </w:rPr>
        <w:t>/被授权人</w:t>
      </w:r>
      <w:r>
        <w:rPr>
          <w:rFonts w:hint="eastAsia" w:hAnsi="宋体" w:cs="宋体"/>
          <w:spacing w:val="4"/>
          <w:szCs w:val="24"/>
          <w:highlight w:val="none"/>
        </w:rPr>
        <w:t>签字</w:t>
      </w:r>
      <w:r>
        <w:rPr>
          <w:rFonts w:hint="eastAsia" w:hAnsi="宋体" w:cs="宋体"/>
          <w:spacing w:val="4"/>
          <w:highlight w:val="none"/>
        </w:rPr>
        <w:t>或盖章</w:t>
      </w:r>
      <w:r>
        <w:rPr>
          <w:rFonts w:hint="eastAsia" w:hAnsi="宋体" w:cs="宋体"/>
          <w:szCs w:val="24"/>
          <w:highlight w:val="none"/>
        </w:rPr>
        <w:t>：</w:t>
      </w:r>
    </w:p>
    <w:p>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pPr>
        <w:pStyle w:val="5"/>
        <w:spacing w:before="312" w:beforeLines="100" w:line="360" w:lineRule="auto"/>
        <w:rPr>
          <w:rFonts w:ascii="宋体" w:hAnsi="宋体" w:cs="宋体"/>
          <w:sz w:val="32"/>
          <w:szCs w:val="32"/>
          <w:highlight w:val="none"/>
        </w:rPr>
      </w:pPr>
      <w:r>
        <w:rPr>
          <w:rFonts w:hint="eastAsia" w:ascii="宋体" w:hAnsi="宋体" w:cs="宋体"/>
          <w:highlight w:val="none"/>
        </w:rPr>
        <w:br w:type="page"/>
      </w:r>
      <w:bookmarkStart w:id="71" w:name="_Toc363474030"/>
      <w:bookmarkStart w:id="72" w:name="_Toc403077651"/>
      <w:r>
        <w:rPr>
          <w:rFonts w:hint="eastAsia" w:ascii="宋体" w:hAnsi="宋体" w:cs="宋体"/>
          <w:sz w:val="32"/>
          <w:szCs w:val="32"/>
          <w:highlight w:val="none"/>
        </w:rPr>
        <w:t>二、磋商报价表</w:t>
      </w:r>
      <w:bookmarkEnd w:id="71"/>
      <w:bookmarkEnd w:id="72"/>
    </w:p>
    <w:p>
      <w:pPr>
        <w:spacing w:line="360" w:lineRule="auto"/>
        <w:jc w:val="center"/>
        <w:rPr>
          <w:rFonts w:hAnsi="宋体" w:cs="宋体"/>
          <w:szCs w:val="24"/>
          <w:highlight w:val="none"/>
        </w:rPr>
      </w:pPr>
      <w:r>
        <w:rPr>
          <w:rFonts w:hint="eastAsia" w:hAnsi="宋体" w:cs="宋体"/>
          <w:szCs w:val="24"/>
          <w:highlight w:val="none"/>
        </w:rPr>
        <w:t>2.1报价一览表</w:t>
      </w:r>
    </w:p>
    <w:p>
      <w:pPr>
        <w:spacing w:line="360" w:lineRule="auto"/>
        <w:jc w:val="center"/>
        <w:rPr>
          <w:rFonts w:hAnsi="宋体" w:cs="宋体"/>
          <w:szCs w:val="24"/>
          <w:highlight w:val="none"/>
        </w:rPr>
      </w:pPr>
    </w:p>
    <w:p>
      <w:pPr>
        <w:jc w:val="left"/>
        <w:rPr>
          <w:rFonts w:hAnsi="宋体" w:cs="宋体"/>
          <w:highlight w:val="none"/>
        </w:rPr>
      </w:pPr>
      <w:r>
        <w:rPr>
          <w:rFonts w:hint="eastAsia" w:hAnsi="宋体" w:cs="宋体"/>
          <w:highlight w:val="none"/>
        </w:rPr>
        <w:t xml:space="preserve">项目名称：                                                 </w:t>
      </w:r>
    </w:p>
    <w:p>
      <w:pPr>
        <w:jc w:val="left"/>
        <w:rPr>
          <w:rFonts w:hAnsi="宋体" w:cs="宋体"/>
          <w:highlight w:val="none"/>
        </w:rPr>
      </w:pPr>
      <w:r>
        <w:rPr>
          <w:rFonts w:hint="eastAsia" w:hAnsi="宋体" w:cs="宋体"/>
          <w:highlight w:val="none"/>
        </w:rPr>
        <w:t xml:space="preserve">项目编号：                                               </w:t>
      </w:r>
    </w:p>
    <w:tbl>
      <w:tblPr>
        <w:tblStyle w:val="21"/>
        <w:tblpPr w:leftFromText="180" w:rightFromText="180" w:vertAnchor="page" w:horzAnchor="margin" w:tblpXSpec="center" w:tblpY="4786"/>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656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680" w:hRule="atLeast"/>
        </w:trPr>
        <w:tc>
          <w:tcPr>
            <w:tcW w:w="2817" w:type="dxa"/>
            <w:vMerge w:val="restart"/>
            <w:vAlign w:val="center"/>
          </w:tcPr>
          <w:p>
            <w:pPr>
              <w:jc w:val="center"/>
              <w:rPr>
                <w:rFonts w:hAnsi="宋体"/>
                <w:highlight w:val="none"/>
              </w:rPr>
            </w:pPr>
            <w:r>
              <w:rPr>
                <w:rFonts w:hint="eastAsia" w:hAnsi="宋体"/>
                <w:highlight w:val="none"/>
              </w:rPr>
              <w:t>磋商总报价（元）</w:t>
            </w:r>
          </w:p>
        </w:tc>
        <w:tc>
          <w:tcPr>
            <w:tcW w:w="6569" w:type="dxa"/>
            <w:vAlign w:val="center"/>
          </w:tcPr>
          <w:p>
            <w:pPr>
              <w:rPr>
                <w:rFonts w:hAnsi="宋体"/>
                <w:highlight w:val="none"/>
              </w:rPr>
            </w:pPr>
            <w:r>
              <w:rPr>
                <w:rFonts w:hint="eastAsia" w:hAnsi="宋体"/>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680" w:hRule="atLeast"/>
        </w:trPr>
        <w:tc>
          <w:tcPr>
            <w:tcW w:w="2817" w:type="dxa"/>
            <w:vMerge w:val="continue"/>
            <w:vAlign w:val="center"/>
          </w:tcPr>
          <w:p>
            <w:pPr>
              <w:jc w:val="center"/>
              <w:rPr>
                <w:rFonts w:hAnsi="宋体"/>
                <w:highlight w:val="none"/>
              </w:rPr>
            </w:pPr>
          </w:p>
        </w:tc>
        <w:tc>
          <w:tcPr>
            <w:tcW w:w="6569" w:type="dxa"/>
            <w:vAlign w:val="center"/>
          </w:tcPr>
          <w:p>
            <w:pPr>
              <w:rPr>
                <w:rFonts w:hAnsi="宋体"/>
                <w:highlight w:val="none"/>
              </w:rPr>
            </w:pPr>
            <w:r>
              <w:rPr>
                <w:rFonts w:hint="eastAsia" w:hAnsi="宋体"/>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817" w:type="dxa"/>
            <w:vAlign w:val="center"/>
          </w:tcPr>
          <w:p>
            <w:pPr>
              <w:jc w:val="center"/>
              <w:rPr>
                <w:rFonts w:hAnsi="宋体"/>
                <w:highlight w:val="none"/>
              </w:rPr>
            </w:pPr>
            <w:r>
              <w:rPr>
                <w:rFonts w:hint="eastAsia" w:hAnsi="宋体"/>
                <w:highlight w:val="none"/>
              </w:rPr>
              <w:t>项目经理</w:t>
            </w:r>
          </w:p>
        </w:tc>
        <w:tc>
          <w:tcPr>
            <w:tcW w:w="6575" w:type="dxa"/>
            <w:gridSpan w:val="2"/>
            <w:vAlign w:val="center"/>
          </w:tcPr>
          <w:p>
            <w:pP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817" w:type="dxa"/>
            <w:vAlign w:val="center"/>
          </w:tcPr>
          <w:p>
            <w:pPr>
              <w:jc w:val="center"/>
              <w:rPr>
                <w:rFonts w:hAnsi="宋体"/>
                <w:highlight w:val="none"/>
              </w:rPr>
            </w:pPr>
            <w:r>
              <w:rPr>
                <w:rFonts w:hint="eastAsia" w:hAnsi="宋体"/>
                <w:highlight w:val="none"/>
              </w:rPr>
              <w:t>质量标准</w:t>
            </w:r>
          </w:p>
        </w:tc>
        <w:tc>
          <w:tcPr>
            <w:tcW w:w="6575" w:type="dxa"/>
            <w:gridSpan w:val="2"/>
            <w:vAlign w:val="center"/>
          </w:tcPr>
          <w:p>
            <w:pP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817" w:type="dxa"/>
            <w:vAlign w:val="center"/>
          </w:tcPr>
          <w:p>
            <w:pPr>
              <w:jc w:val="center"/>
              <w:rPr>
                <w:rFonts w:hAnsi="宋体"/>
                <w:highlight w:val="none"/>
              </w:rPr>
            </w:pPr>
            <w:r>
              <w:rPr>
                <w:rFonts w:hint="eastAsia" w:hAnsi="宋体"/>
                <w:highlight w:val="none"/>
              </w:rPr>
              <w:t>工期（日历天）</w:t>
            </w:r>
          </w:p>
        </w:tc>
        <w:tc>
          <w:tcPr>
            <w:tcW w:w="6575" w:type="dxa"/>
            <w:gridSpan w:val="2"/>
            <w:vAlign w:val="center"/>
          </w:tcPr>
          <w:p>
            <w:pP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817" w:type="dxa"/>
            <w:vAlign w:val="center"/>
          </w:tcPr>
          <w:p>
            <w:pPr>
              <w:jc w:val="center"/>
              <w:rPr>
                <w:rFonts w:hAnsi="宋体"/>
                <w:highlight w:val="none"/>
              </w:rPr>
            </w:pPr>
            <w:r>
              <w:rPr>
                <w:rFonts w:hint="eastAsia" w:hAnsi="宋体"/>
                <w:highlight w:val="none"/>
              </w:rPr>
              <w:t>备注</w:t>
            </w:r>
          </w:p>
        </w:tc>
        <w:tc>
          <w:tcPr>
            <w:tcW w:w="6575" w:type="dxa"/>
            <w:gridSpan w:val="2"/>
            <w:vAlign w:val="center"/>
          </w:tcPr>
          <w:p>
            <w:pPr>
              <w:rPr>
                <w:rFonts w:hAnsi="宋体"/>
                <w:highlight w:val="none"/>
              </w:rPr>
            </w:pPr>
          </w:p>
        </w:tc>
      </w:tr>
    </w:tbl>
    <w:p>
      <w:pPr>
        <w:rPr>
          <w:highlight w:val="none"/>
        </w:rPr>
      </w:pPr>
    </w:p>
    <w:p>
      <w:pPr>
        <w:rPr>
          <w:rFonts w:hAnsi="宋体" w:cs="宋体"/>
          <w:szCs w:val="24"/>
          <w:highlight w:val="none"/>
        </w:rPr>
      </w:pPr>
    </w:p>
    <w:p>
      <w:pPr>
        <w:spacing w:line="280" w:lineRule="exact"/>
        <w:ind w:right="617" w:rightChars="257"/>
        <w:jc w:val="left"/>
        <w:rPr>
          <w:rFonts w:hAnsi="宋体" w:cs="宋体"/>
          <w:szCs w:val="24"/>
          <w:highlight w:val="none"/>
        </w:rPr>
      </w:pPr>
    </w:p>
    <w:p>
      <w:pPr>
        <w:spacing w:line="280" w:lineRule="exact"/>
        <w:ind w:right="617" w:rightChars="257"/>
        <w:jc w:val="left"/>
        <w:rPr>
          <w:rFonts w:hint="eastAsia" w:hAnsi="宋体" w:cs="宋体"/>
          <w:szCs w:val="24"/>
          <w:highlight w:val="none"/>
        </w:rPr>
      </w:pPr>
    </w:p>
    <w:p>
      <w:pPr>
        <w:spacing w:line="280" w:lineRule="exact"/>
        <w:ind w:right="617" w:rightChars="257"/>
        <w:jc w:val="left"/>
        <w:rPr>
          <w:rFonts w:hint="eastAsia" w:hAnsi="宋体" w:cs="宋体"/>
          <w:szCs w:val="24"/>
          <w:highlight w:val="none"/>
        </w:rPr>
      </w:pPr>
    </w:p>
    <w:p>
      <w:pPr>
        <w:spacing w:line="280" w:lineRule="exact"/>
        <w:ind w:right="617" w:rightChars="257"/>
        <w:jc w:val="left"/>
        <w:rPr>
          <w:rFonts w:hint="eastAsia" w:hAnsi="宋体" w:cs="宋体"/>
          <w:szCs w:val="24"/>
          <w:highlight w:val="none"/>
        </w:rPr>
      </w:pPr>
    </w:p>
    <w:p>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pPr>
        <w:spacing w:line="280" w:lineRule="exact"/>
        <w:ind w:right="617" w:rightChars="257"/>
        <w:jc w:val="left"/>
        <w:rPr>
          <w:rFonts w:hAnsi="宋体" w:cs="宋体"/>
          <w:szCs w:val="24"/>
          <w:highlight w:val="none"/>
        </w:rPr>
      </w:pPr>
    </w:p>
    <w:p>
      <w:pPr>
        <w:spacing w:line="280" w:lineRule="exact"/>
        <w:ind w:right="617" w:rightChars="257"/>
        <w:jc w:val="left"/>
        <w:rPr>
          <w:rFonts w:hint="eastAsia" w:hAnsi="宋体" w:cs="宋体"/>
          <w:szCs w:val="24"/>
          <w:highlight w:val="none"/>
        </w:rPr>
      </w:pPr>
    </w:p>
    <w:p>
      <w:pPr>
        <w:spacing w:line="280" w:lineRule="exact"/>
        <w:ind w:right="617" w:rightChars="257"/>
        <w:jc w:val="left"/>
        <w:rPr>
          <w:rFonts w:hint="eastAsia" w:hAnsi="宋体" w:cs="宋体"/>
          <w:szCs w:val="24"/>
          <w:highlight w:val="none"/>
        </w:rPr>
      </w:pPr>
    </w:p>
    <w:p>
      <w:pPr>
        <w:spacing w:line="280" w:lineRule="exact"/>
        <w:ind w:right="617" w:rightChars="257"/>
        <w:jc w:val="left"/>
        <w:rPr>
          <w:rFonts w:hAnsi="宋体" w:cs="宋体"/>
          <w:szCs w:val="24"/>
          <w:highlight w:val="none"/>
        </w:rPr>
      </w:pPr>
      <w:r>
        <w:rPr>
          <w:rFonts w:hint="eastAsia" w:hAnsi="宋体" w:cs="宋体"/>
          <w:szCs w:val="24"/>
          <w:highlight w:val="none"/>
        </w:rPr>
        <w:t>法定代表人/授权代表签字</w:t>
      </w:r>
      <w:r>
        <w:rPr>
          <w:rFonts w:hint="eastAsia" w:hAnsi="宋体" w:cs="宋体"/>
          <w:spacing w:val="4"/>
          <w:highlight w:val="none"/>
        </w:rPr>
        <w:t>或盖章</w:t>
      </w:r>
      <w:r>
        <w:rPr>
          <w:rFonts w:hint="eastAsia" w:hAnsi="宋体" w:cs="宋体"/>
          <w:szCs w:val="24"/>
          <w:highlight w:val="none"/>
        </w:rPr>
        <w:t>：</w:t>
      </w:r>
    </w:p>
    <w:p>
      <w:pPr>
        <w:spacing w:line="280" w:lineRule="exact"/>
        <w:ind w:right="617" w:rightChars="257"/>
        <w:jc w:val="left"/>
        <w:rPr>
          <w:rFonts w:hAnsi="宋体" w:cs="宋体"/>
          <w:szCs w:val="24"/>
          <w:highlight w:val="none"/>
        </w:rPr>
      </w:pPr>
    </w:p>
    <w:p>
      <w:pPr>
        <w:spacing w:line="280" w:lineRule="exact"/>
        <w:ind w:right="617" w:rightChars="257"/>
        <w:rPr>
          <w:rFonts w:hint="eastAsia" w:hAnsi="宋体" w:cs="宋体"/>
          <w:szCs w:val="24"/>
          <w:highlight w:val="none"/>
        </w:rPr>
      </w:pPr>
    </w:p>
    <w:p>
      <w:pPr>
        <w:spacing w:line="280" w:lineRule="exact"/>
        <w:ind w:right="617" w:rightChars="257"/>
        <w:rPr>
          <w:rFonts w:hint="eastAsia" w:hAnsi="宋体" w:cs="宋体"/>
          <w:szCs w:val="24"/>
          <w:highlight w:val="none"/>
        </w:rPr>
      </w:pPr>
    </w:p>
    <w:p>
      <w:pPr>
        <w:spacing w:line="280" w:lineRule="exact"/>
        <w:ind w:right="617" w:rightChars="257"/>
        <w:rPr>
          <w:rFonts w:hAnsi="宋体" w:cs="宋体"/>
          <w:szCs w:val="24"/>
          <w:highlight w:val="none"/>
        </w:rPr>
      </w:pPr>
      <w:r>
        <w:rPr>
          <w:rFonts w:hint="eastAsia" w:hAnsi="宋体" w:cs="宋体"/>
          <w:szCs w:val="24"/>
          <w:highlight w:val="none"/>
        </w:rPr>
        <w:t>日    期：</w:t>
      </w:r>
    </w:p>
    <w:p>
      <w:pPr>
        <w:jc w:val="center"/>
        <w:rPr>
          <w:rFonts w:hAnsi="宋体" w:cs="宋体"/>
          <w:szCs w:val="24"/>
          <w:highlight w:val="none"/>
        </w:rPr>
      </w:pPr>
    </w:p>
    <w:p>
      <w:pPr>
        <w:pStyle w:val="32"/>
        <w:spacing w:line="500" w:lineRule="exact"/>
        <w:ind w:left="0" w:leftChars="0" w:firstLine="0" w:firstLineChars="0"/>
        <w:jc w:val="center"/>
        <w:rPr>
          <w:rFonts w:hint="eastAsia" w:hAnsi="宋体" w:cs="宋体"/>
          <w:b/>
          <w:sz w:val="30"/>
          <w:szCs w:val="30"/>
          <w:highlight w:val="none"/>
          <w:lang w:val="en-US" w:eastAsia="zh-CN"/>
        </w:rPr>
      </w:pPr>
      <w:r>
        <w:rPr>
          <w:rFonts w:hint="eastAsia" w:hAnsi="宋体" w:cs="宋体"/>
          <w:b/>
          <w:sz w:val="30"/>
          <w:szCs w:val="30"/>
          <w:highlight w:val="none"/>
        </w:rPr>
        <w:br w:type="page"/>
      </w:r>
      <w:r>
        <w:rPr>
          <w:rFonts w:hint="eastAsia" w:hAnsi="宋体" w:cs="宋体"/>
          <w:b/>
          <w:sz w:val="30"/>
          <w:szCs w:val="30"/>
          <w:highlight w:val="none"/>
        </w:rPr>
        <w:t>2.2</w:t>
      </w:r>
      <w:r>
        <w:rPr>
          <w:rFonts w:hint="eastAsia" w:hAnsi="宋体" w:cs="宋体"/>
          <w:b/>
          <w:sz w:val="30"/>
          <w:szCs w:val="30"/>
          <w:highlight w:val="none"/>
          <w:lang w:val="en-US" w:eastAsia="zh-CN"/>
        </w:rPr>
        <w:t>分项报价</w:t>
      </w:r>
    </w:p>
    <w:p>
      <w:pPr>
        <w:pStyle w:val="32"/>
        <w:spacing w:line="500" w:lineRule="exact"/>
        <w:ind w:left="0" w:leftChars="0" w:firstLine="0" w:firstLineChars="0"/>
        <w:jc w:val="center"/>
        <w:rPr>
          <w:rFonts w:hint="default" w:ascii="仿宋" w:hAnsi="仿宋" w:eastAsia="宋体" w:cs="仿宋"/>
          <w:sz w:val="28"/>
          <w:szCs w:val="28"/>
          <w:highlight w:val="none"/>
          <w:lang w:val="en-US" w:eastAsia="zh-CN"/>
        </w:rPr>
      </w:pPr>
      <w:r>
        <w:rPr>
          <w:rFonts w:hint="eastAsia" w:hAnsi="宋体" w:cs="宋体"/>
          <w:b/>
          <w:sz w:val="30"/>
          <w:szCs w:val="30"/>
          <w:highlight w:val="none"/>
          <w:lang w:val="en-US" w:eastAsia="zh-CN"/>
        </w:rPr>
        <w:t>（已标价的工程量清单）</w:t>
      </w:r>
    </w:p>
    <w:bookmarkEnd w:id="70"/>
    <w:p>
      <w:pPr>
        <w:rPr>
          <w:rFonts w:hint="eastAsia" w:hAnsi="宋体" w:cs="宋体"/>
          <w:b/>
          <w:bCs/>
          <w:sz w:val="32"/>
          <w:szCs w:val="32"/>
          <w:highlight w:val="none"/>
        </w:rPr>
      </w:pPr>
      <w:bookmarkStart w:id="73" w:name="_Toc344572163"/>
      <w:r>
        <w:rPr>
          <w:rFonts w:hint="eastAsia" w:hAnsi="宋体" w:cs="宋体"/>
          <w:b/>
          <w:bCs/>
          <w:sz w:val="32"/>
          <w:szCs w:val="32"/>
          <w:highlight w:val="none"/>
        </w:rPr>
        <w:br w:type="page"/>
      </w:r>
    </w:p>
    <w:p>
      <w:pPr>
        <w:jc w:val="center"/>
        <w:outlineLvl w:val="2"/>
        <w:rPr>
          <w:rFonts w:hAnsi="宋体" w:cs="宋体"/>
          <w:sz w:val="32"/>
          <w:szCs w:val="32"/>
          <w:highlight w:val="none"/>
        </w:rPr>
      </w:pPr>
      <w:r>
        <w:rPr>
          <w:rFonts w:hint="eastAsia" w:hAnsi="宋体" w:cs="宋体"/>
          <w:b/>
          <w:bCs/>
          <w:sz w:val="32"/>
          <w:szCs w:val="32"/>
          <w:highlight w:val="none"/>
        </w:rPr>
        <w:t>三、磋商方案说明书</w:t>
      </w:r>
    </w:p>
    <w:p>
      <w:pPr>
        <w:spacing w:line="580" w:lineRule="exact"/>
        <w:jc w:val="center"/>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按照磋商文件的要求编制的响应说明书，包括但不限于以下内容：</w:t>
      </w:r>
    </w:p>
    <w:p>
      <w:pPr>
        <w:pStyle w:val="51"/>
        <w:keepNext w:val="0"/>
        <w:keepLines w:val="0"/>
        <w:pageBreakBefore w:val="0"/>
        <w:kinsoku/>
        <w:wordWrap/>
        <w:overflowPunct/>
        <w:topLinePunct w:val="0"/>
        <w:autoSpaceDE/>
        <w:autoSpaceDN/>
        <w:bidi w:val="0"/>
        <w:adjustRightInd/>
        <w:snapToGrid/>
        <w:spacing w:line="360" w:lineRule="auto"/>
        <w:ind w:right="124"/>
        <w:jc w:val="left"/>
        <w:textAlignment w:val="auto"/>
        <w:rPr>
          <w:rFonts w:hint="eastAsia" w:ascii="宋体" w:hAnsi="宋体" w:eastAsia="宋体" w:cs="宋体"/>
          <w:color w:val="auto"/>
          <w:sz w:val="24"/>
          <w:szCs w:val="24"/>
          <w:highlight w:val="none"/>
          <w:lang w:val="en-US" w:eastAsia="zh-CN"/>
        </w:rPr>
      </w:pPr>
    </w:p>
    <w:p>
      <w:pPr>
        <w:pStyle w:val="51"/>
        <w:keepNext w:val="0"/>
        <w:keepLines w:val="0"/>
        <w:pageBreakBefore w:val="0"/>
        <w:kinsoku/>
        <w:wordWrap/>
        <w:overflowPunct/>
        <w:topLinePunct w:val="0"/>
        <w:autoSpaceDE/>
        <w:autoSpaceDN/>
        <w:bidi w:val="0"/>
        <w:adjustRightInd/>
        <w:snapToGrid/>
        <w:spacing w:line="360" w:lineRule="auto"/>
        <w:ind w:right="12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施工组织设计</w:t>
      </w:r>
    </w:p>
    <w:p>
      <w:pPr>
        <w:pStyle w:val="51"/>
        <w:keepNext w:val="0"/>
        <w:keepLines w:val="0"/>
        <w:pageBreakBefore w:val="0"/>
        <w:widowControl w:val="0"/>
        <w:tabs>
          <w:tab w:val="left" w:pos="4788"/>
        </w:tabs>
        <w:kinsoku/>
        <w:wordWrap/>
        <w:overflowPunct/>
        <w:topLinePunct w:val="0"/>
        <w:autoSpaceDE/>
        <w:autoSpaceDN/>
        <w:bidi w:val="0"/>
        <w:adjustRightInd/>
        <w:snapToGrid/>
        <w:spacing w:line="360" w:lineRule="auto"/>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项目经理部组成;</w:t>
      </w:r>
    </w:p>
    <w:p>
      <w:pPr>
        <w:pStyle w:val="51"/>
        <w:keepNext w:val="0"/>
        <w:keepLines w:val="0"/>
        <w:pageBreakBefore w:val="0"/>
        <w:widowControl w:val="0"/>
        <w:tabs>
          <w:tab w:val="left" w:pos="4788"/>
        </w:tabs>
        <w:kinsoku/>
        <w:wordWrap/>
        <w:overflowPunct/>
        <w:topLinePunct w:val="0"/>
        <w:autoSpaceDE/>
        <w:autoSpaceDN/>
        <w:bidi w:val="0"/>
        <w:adjustRightInd/>
        <w:snapToGrid/>
        <w:spacing w:line="360" w:lineRule="auto"/>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施工部署及总平面布置;</w:t>
      </w:r>
    </w:p>
    <w:p>
      <w:pPr>
        <w:pStyle w:val="51"/>
        <w:keepNext w:val="0"/>
        <w:keepLines w:val="0"/>
        <w:pageBreakBefore w:val="0"/>
        <w:widowControl w:val="0"/>
        <w:tabs>
          <w:tab w:val="left" w:pos="4788"/>
        </w:tabs>
        <w:kinsoku/>
        <w:wordWrap/>
        <w:overflowPunct/>
        <w:topLinePunct w:val="0"/>
        <w:autoSpaceDE/>
        <w:autoSpaceDN/>
        <w:bidi w:val="0"/>
        <w:adjustRightInd/>
        <w:snapToGrid/>
        <w:spacing w:line="360" w:lineRule="auto"/>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施工进度计划及措施;</w:t>
      </w:r>
    </w:p>
    <w:p>
      <w:pPr>
        <w:pStyle w:val="51"/>
        <w:keepNext w:val="0"/>
        <w:keepLines w:val="0"/>
        <w:pageBreakBefore w:val="0"/>
        <w:widowControl w:val="0"/>
        <w:tabs>
          <w:tab w:val="left" w:pos="4788"/>
        </w:tabs>
        <w:kinsoku/>
        <w:wordWrap/>
        <w:overflowPunct/>
        <w:topLinePunct w:val="0"/>
        <w:autoSpaceDE/>
        <w:autoSpaceDN/>
        <w:bidi w:val="0"/>
        <w:adjustRightInd/>
        <w:snapToGrid/>
        <w:spacing w:line="360" w:lineRule="auto"/>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施工方案和技术措施;</w:t>
      </w:r>
    </w:p>
    <w:p>
      <w:pPr>
        <w:pStyle w:val="51"/>
        <w:keepNext w:val="0"/>
        <w:keepLines w:val="0"/>
        <w:pageBreakBefore w:val="0"/>
        <w:widowControl w:val="0"/>
        <w:tabs>
          <w:tab w:val="left" w:pos="4789"/>
        </w:tabs>
        <w:kinsoku/>
        <w:wordWrap/>
        <w:overflowPunct/>
        <w:topLinePunct w:val="0"/>
        <w:autoSpaceDE/>
        <w:autoSpaceDN/>
        <w:bidi w:val="0"/>
        <w:adjustRightInd/>
        <w:snapToGrid/>
        <w:spacing w:line="360" w:lineRule="auto"/>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质量安全保证措施和创优计划;</w:t>
      </w:r>
    </w:p>
    <w:p>
      <w:pPr>
        <w:pStyle w:val="51"/>
        <w:keepNext w:val="0"/>
        <w:keepLines w:val="0"/>
        <w:pageBreakBefore w:val="0"/>
        <w:widowControl w:val="0"/>
        <w:tabs>
          <w:tab w:val="left" w:pos="4789"/>
        </w:tabs>
        <w:kinsoku/>
        <w:wordWrap/>
        <w:overflowPunct/>
        <w:topLinePunct w:val="0"/>
        <w:autoSpaceDE/>
        <w:autoSpaceDN/>
        <w:bidi w:val="0"/>
        <w:adjustRightInd/>
        <w:snapToGrid/>
        <w:spacing w:line="360" w:lineRule="auto"/>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使用新材料、新工艺的可能性;</w:t>
      </w:r>
    </w:p>
    <w:p>
      <w:pPr>
        <w:pStyle w:val="51"/>
        <w:keepNext w:val="0"/>
        <w:keepLines w:val="0"/>
        <w:pageBreakBefore w:val="0"/>
        <w:widowControl w:val="0"/>
        <w:tabs>
          <w:tab w:val="left" w:pos="4788"/>
        </w:tabs>
        <w:kinsoku/>
        <w:wordWrap/>
        <w:overflowPunct/>
        <w:topLinePunct w:val="0"/>
        <w:autoSpaceDE/>
        <w:autoSpaceDN/>
        <w:bidi w:val="0"/>
        <w:adjustRightInd/>
        <w:snapToGrid/>
        <w:spacing w:line="360" w:lineRule="auto"/>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主要材料、构配件计划;</w:t>
      </w:r>
    </w:p>
    <w:p>
      <w:pPr>
        <w:pStyle w:val="51"/>
        <w:keepNext w:val="0"/>
        <w:keepLines w:val="0"/>
        <w:pageBreakBefore w:val="0"/>
        <w:widowControl w:val="0"/>
        <w:tabs>
          <w:tab w:val="left" w:pos="4789"/>
        </w:tabs>
        <w:kinsoku/>
        <w:wordWrap/>
        <w:overflowPunct/>
        <w:topLinePunct w:val="0"/>
        <w:autoSpaceDE/>
        <w:autoSpaceDN/>
        <w:bidi w:val="0"/>
        <w:adjustRightInd/>
        <w:snapToGrid/>
        <w:spacing w:line="360" w:lineRule="auto"/>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主要机械设备供应计划及设备情况;</w:t>
      </w:r>
    </w:p>
    <w:p>
      <w:pPr>
        <w:pStyle w:val="51"/>
        <w:keepNext w:val="0"/>
        <w:keepLines w:val="0"/>
        <w:pageBreakBefore w:val="0"/>
        <w:widowControl w:val="0"/>
        <w:tabs>
          <w:tab w:val="left" w:pos="4788"/>
        </w:tabs>
        <w:kinsoku/>
        <w:wordWrap/>
        <w:overflowPunct/>
        <w:topLinePunct w:val="0"/>
        <w:autoSpaceDE/>
        <w:autoSpaceDN/>
        <w:bidi w:val="0"/>
        <w:adjustRightInd/>
        <w:snapToGrid/>
        <w:spacing w:line="360" w:lineRule="auto"/>
        <w:ind w:left="10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劳动力安排计划;</w:t>
      </w:r>
    </w:p>
    <w:p>
      <w:pPr>
        <w:pStyle w:val="51"/>
        <w:keepNext w:val="0"/>
        <w:keepLines w:val="0"/>
        <w:pageBreakBefore w:val="0"/>
        <w:widowControl w:val="0"/>
        <w:tabs>
          <w:tab w:val="left" w:pos="4788"/>
        </w:tabs>
        <w:kinsoku/>
        <w:wordWrap/>
        <w:overflowPunct/>
        <w:topLinePunct w:val="0"/>
        <w:autoSpaceDE/>
        <w:autoSpaceDN/>
        <w:bidi w:val="0"/>
        <w:adjustRightInd/>
        <w:snapToGrid/>
        <w:spacing w:line="360" w:lineRule="auto"/>
        <w:ind w:left="108"/>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w:t>
      </w:r>
      <w:r>
        <w:rPr>
          <w:rFonts w:hint="eastAsia" w:ascii="宋体" w:hAnsi="宋体" w:eastAsia="宋体" w:cs="宋体"/>
          <w:color w:val="auto"/>
          <w:sz w:val="24"/>
          <w:szCs w:val="24"/>
          <w:highlight w:val="none"/>
        </w:rPr>
        <w:t>安全文明施工措施;</w:t>
      </w:r>
    </w:p>
    <w:p>
      <w:pPr>
        <w:pStyle w:val="2"/>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工程质量的保障措施及承诺</w:t>
      </w:r>
    </w:p>
    <w:p>
      <w:pPr>
        <w:numPr>
          <w:ilvl w:val="0"/>
          <w:numId w:val="0"/>
        </w:num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企业业绩</w:t>
      </w:r>
    </w:p>
    <w:p>
      <w:pPr>
        <w:spacing w:line="440" w:lineRule="exact"/>
        <w:rPr>
          <w:rFonts w:hAnsi="宋体" w:cs="宋体"/>
          <w:sz w:val="24"/>
          <w:szCs w:val="24"/>
          <w:highlight w:val="none"/>
        </w:rPr>
      </w:pPr>
    </w:p>
    <w:p>
      <w:pPr>
        <w:spacing w:line="440" w:lineRule="exact"/>
        <w:ind w:left="3725" w:leftChars="1552"/>
        <w:rPr>
          <w:rFonts w:hAnsi="宋体" w:cs="宋体"/>
          <w:sz w:val="24"/>
          <w:szCs w:val="24"/>
          <w:highlight w:val="none"/>
        </w:rPr>
      </w:pPr>
    </w:p>
    <w:p>
      <w:pPr>
        <w:spacing w:line="440" w:lineRule="exact"/>
        <w:ind w:left="3725" w:leftChars="15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被授权人签字或盖章：</w:t>
      </w:r>
    </w:p>
    <w:p>
      <w:pPr>
        <w:spacing w:line="440" w:lineRule="exact"/>
        <w:ind w:left="3725" w:leftChars="1552"/>
        <w:rPr>
          <w:rFonts w:hint="eastAsia" w:ascii="宋体" w:hAnsi="宋体" w:eastAsia="宋体" w:cs="宋体"/>
          <w:color w:val="auto"/>
          <w:kern w:val="2"/>
          <w:sz w:val="24"/>
          <w:szCs w:val="24"/>
          <w:highlight w:val="none"/>
          <w:lang w:val="en-US" w:eastAsia="zh-CN" w:bidi="ar-SA"/>
        </w:rPr>
      </w:pPr>
    </w:p>
    <w:p>
      <w:pPr>
        <w:spacing w:line="440" w:lineRule="exact"/>
        <w:ind w:left="3725" w:leftChars="15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公      章：</w:t>
      </w:r>
    </w:p>
    <w:p>
      <w:pPr>
        <w:spacing w:line="440" w:lineRule="exact"/>
        <w:ind w:firstLine="3734" w:firstLineChars="1556"/>
        <w:rPr>
          <w:rFonts w:hint="eastAsia" w:ascii="宋体" w:hAnsi="宋体" w:eastAsia="宋体" w:cs="宋体"/>
          <w:color w:val="auto"/>
          <w:kern w:val="2"/>
          <w:sz w:val="24"/>
          <w:szCs w:val="24"/>
          <w:highlight w:val="none"/>
          <w:lang w:val="en-US" w:eastAsia="zh-CN" w:bidi="ar-SA"/>
        </w:rPr>
      </w:pPr>
    </w:p>
    <w:p>
      <w:pPr>
        <w:spacing w:line="440" w:lineRule="exact"/>
        <w:ind w:firstLine="3840" w:firstLineChars="16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      期：</w:t>
      </w:r>
    </w:p>
    <w:p>
      <w:pPr>
        <w:rPr>
          <w:sz w:val="24"/>
          <w:szCs w:val="24"/>
          <w:highlight w:val="none"/>
        </w:rPr>
      </w:pPr>
      <w:r>
        <w:rPr>
          <w:rFonts w:hint="eastAsia"/>
          <w:sz w:val="24"/>
          <w:szCs w:val="24"/>
          <w:highlight w:val="none"/>
        </w:rPr>
        <w:t xml:space="preserve"> </w:t>
      </w:r>
    </w:p>
    <w:p>
      <w:pPr>
        <w:rPr>
          <w:rFonts w:hAnsi="宋体" w:cs="宋体"/>
          <w:szCs w:val="24"/>
          <w:highlight w:val="none"/>
        </w:rPr>
      </w:pPr>
      <w:r>
        <w:rPr>
          <w:rFonts w:hint="eastAsia"/>
          <w:highlight w:val="none"/>
        </w:rPr>
        <w:t xml:space="preserve"> </w:t>
      </w:r>
    </w:p>
    <w:p>
      <w:pPr>
        <w:rPr>
          <w:rFonts w:hint="eastAsia" w:hAnsi="宋体" w:cs="宋体"/>
          <w:b/>
          <w:bCs/>
          <w:sz w:val="32"/>
          <w:szCs w:val="32"/>
          <w:highlight w:val="none"/>
        </w:rPr>
      </w:pPr>
      <w:bookmarkStart w:id="74" w:name="_Toc2621"/>
      <w:bookmarkStart w:id="75" w:name="_Toc9218"/>
      <w:bookmarkStart w:id="76" w:name="_Toc1379"/>
      <w:bookmarkStart w:id="77" w:name="_Toc23455"/>
      <w:bookmarkStart w:id="78" w:name="_Toc21284"/>
      <w:r>
        <w:rPr>
          <w:rFonts w:hint="eastAsia" w:hAnsi="宋体" w:cs="宋体"/>
          <w:b/>
          <w:bCs/>
          <w:sz w:val="32"/>
          <w:szCs w:val="32"/>
          <w:highlight w:val="none"/>
        </w:rPr>
        <w:br w:type="page"/>
      </w:r>
    </w:p>
    <w:p>
      <w:pPr>
        <w:spacing w:line="440" w:lineRule="exact"/>
        <w:jc w:val="center"/>
        <w:outlineLvl w:val="2"/>
        <w:rPr>
          <w:rFonts w:hAnsi="宋体" w:cs="宋体"/>
          <w:sz w:val="32"/>
          <w:szCs w:val="32"/>
          <w:highlight w:val="none"/>
        </w:rPr>
      </w:pPr>
      <w:r>
        <w:rPr>
          <w:rFonts w:hint="eastAsia" w:hAnsi="宋体" w:cs="宋体"/>
          <w:b/>
          <w:bCs/>
          <w:sz w:val="32"/>
          <w:szCs w:val="32"/>
          <w:highlight w:val="none"/>
        </w:rPr>
        <w:t>四、</w:t>
      </w:r>
      <w:bookmarkEnd w:id="74"/>
      <w:bookmarkEnd w:id="75"/>
      <w:bookmarkEnd w:id="76"/>
      <w:bookmarkEnd w:id="77"/>
      <w:bookmarkEnd w:id="78"/>
      <w:r>
        <w:rPr>
          <w:rFonts w:hint="eastAsia" w:hAnsi="宋体" w:cs="宋体"/>
          <w:b/>
          <w:bCs/>
          <w:sz w:val="32"/>
          <w:szCs w:val="32"/>
          <w:highlight w:val="none"/>
        </w:rPr>
        <w:t>商务条款偏离表</w:t>
      </w:r>
    </w:p>
    <w:p>
      <w:pPr>
        <w:pStyle w:val="20"/>
        <w:widowControl w:val="0"/>
        <w:spacing w:before="0" w:beforeAutospacing="0" w:after="0" w:afterAutospacing="0"/>
        <w:jc w:val="both"/>
        <w:rPr>
          <w:rFonts w:cs="宋体"/>
          <w:highlight w:val="none"/>
        </w:rPr>
      </w:pPr>
    </w:p>
    <w:p>
      <w:pPr>
        <w:pStyle w:val="20"/>
        <w:widowControl w:val="0"/>
        <w:spacing w:before="156" w:beforeLines="50" w:beforeAutospacing="0" w:after="156" w:afterLines="50" w:afterAutospacing="0"/>
        <w:rPr>
          <w:rFonts w:cs="宋体"/>
          <w:highlight w:val="none"/>
        </w:rPr>
      </w:pPr>
      <w:r>
        <w:rPr>
          <w:rFonts w:hint="eastAsia" w:cs="宋体"/>
          <w:highlight w:val="none"/>
        </w:rPr>
        <w:t>项目名称：</w:t>
      </w:r>
    </w:p>
    <w:p>
      <w:pPr>
        <w:pStyle w:val="20"/>
        <w:widowControl w:val="0"/>
        <w:spacing w:before="156" w:beforeLines="50" w:beforeAutospacing="0" w:after="156" w:afterLines="50" w:afterAutospacing="0"/>
        <w:rPr>
          <w:rFonts w:cs="宋体"/>
          <w:highlight w:val="none"/>
          <w:u w:val="single"/>
        </w:rPr>
      </w:pPr>
      <w:r>
        <w:rPr>
          <w:rFonts w:hint="eastAsia" w:cs="宋体"/>
          <w:highlight w:val="none"/>
        </w:rPr>
        <w:t>项目编号：</w:t>
      </w:r>
    </w:p>
    <w:p>
      <w:pPr>
        <w:pStyle w:val="20"/>
        <w:widowControl w:val="0"/>
        <w:spacing w:before="0" w:beforeAutospacing="0" w:after="0" w:afterAutospacing="0"/>
        <w:ind w:firstLine="480" w:firstLineChars="200"/>
        <w:jc w:val="center"/>
        <w:rPr>
          <w:rFonts w:cs="宋体"/>
          <w:highlight w:val="none"/>
        </w:rPr>
      </w:pPr>
    </w:p>
    <w:tbl>
      <w:tblPr>
        <w:tblStyle w:val="2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3013"/>
        <w:gridCol w:w="1428"/>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jc w:val="center"/>
              <w:rPr>
                <w:rFonts w:cs="宋体"/>
                <w:highlight w:val="none"/>
              </w:rPr>
            </w:pPr>
            <w:r>
              <w:rPr>
                <w:rFonts w:hint="eastAsia" w:cs="宋体"/>
                <w:highlight w:val="none"/>
              </w:rPr>
              <w:t>磋商文件的商务条款</w:t>
            </w:r>
          </w:p>
        </w:tc>
        <w:tc>
          <w:tcPr>
            <w:tcW w:w="3013"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428"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jc w:val="center"/>
              <w:rPr>
                <w:rFonts w:cs="宋体"/>
                <w:highlight w:val="none"/>
              </w:rPr>
            </w:pPr>
            <w:r>
              <w:rPr>
                <w:rFonts w:hint="eastAsia" w:cs="宋体"/>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ind w:firstLine="480" w:firstLineChars="200"/>
              <w:jc w:val="center"/>
              <w:rPr>
                <w:rFonts w:cs="宋体"/>
                <w:highlight w:val="none"/>
              </w:rPr>
            </w:pPr>
          </w:p>
        </w:tc>
      </w:tr>
    </w:tbl>
    <w:p>
      <w:pPr>
        <w:pStyle w:val="20"/>
        <w:widowControl w:val="0"/>
        <w:spacing w:before="0" w:beforeAutospacing="0" w:after="0" w:afterAutospacing="0"/>
        <w:rPr>
          <w:rFonts w:cs="宋体"/>
          <w:highlight w:val="none"/>
        </w:rPr>
      </w:pPr>
      <w:r>
        <w:rPr>
          <w:rFonts w:hint="eastAsia" w:cs="宋体"/>
          <w:highlight w:val="none"/>
        </w:rPr>
        <w:t>说明：</w:t>
      </w:r>
    </w:p>
    <w:p>
      <w:pPr>
        <w:pStyle w:val="20"/>
        <w:widowControl w:val="0"/>
        <w:spacing w:before="0" w:beforeAutospacing="0" w:after="0" w:afterAutospacing="0"/>
        <w:ind w:firstLine="480" w:firstLineChars="200"/>
        <w:jc w:val="both"/>
        <w:rPr>
          <w:rFonts w:cs="宋体"/>
          <w:highlight w:val="none"/>
        </w:rPr>
      </w:pPr>
      <w:r>
        <w:rPr>
          <w:rFonts w:hint="eastAsia" w:cs="宋体"/>
          <w:highlight w:val="none"/>
        </w:rPr>
        <w:t>1.参照第四章合同条款要求内容进行响应。</w:t>
      </w:r>
    </w:p>
    <w:p>
      <w:pPr>
        <w:pStyle w:val="20"/>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pPr>
        <w:pStyle w:val="20"/>
        <w:widowControl w:val="0"/>
        <w:spacing w:before="0" w:beforeAutospacing="0" w:after="0" w:afterAutospacing="0"/>
        <w:ind w:firstLine="480" w:firstLineChars="200"/>
        <w:rPr>
          <w:rFonts w:cs="宋体"/>
          <w:highlight w:val="none"/>
        </w:rPr>
      </w:pPr>
      <w:r>
        <w:rPr>
          <w:rFonts w:hint="eastAsia" w:cs="宋体"/>
          <w:highlight w:val="none"/>
        </w:rPr>
        <w:t>2.供应商必须据实填写，不得虚假响应，否则将取消其磋商或成交资格，并按有关规定进处罚。</w:t>
      </w:r>
    </w:p>
    <w:p>
      <w:pPr>
        <w:pStyle w:val="20"/>
        <w:widowControl w:val="0"/>
        <w:spacing w:before="0" w:beforeAutospacing="0" w:after="0" w:afterAutospacing="0"/>
        <w:ind w:firstLine="480" w:firstLineChars="200"/>
        <w:jc w:val="center"/>
        <w:rPr>
          <w:rFonts w:cs="宋体"/>
          <w:highlight w:val="none"/>
        </w:rPr>
      </w:pPr>
    </w:p>
    <w:p>
      <w:pPr>
        <w:pStyle w:val="20"/>
        <w:widowControl w:val="0"/>
        <w:spacing w:before="0" w:beforeAutospacing="0" w:after="0" w:afterAutospacing="0"/>
        <w:ind w:firstLine="480" w:firstLineChars="200"/>
        <w:rPr>
          <w:rFonts w:cs="宋体"/>
          <w:highlight w:val="none"/>
        </w:rPr>
      </w:pPr>
      <w:r>
        <w:rPr>
          <w:rFonts w:hint="eastAsia" w:cs="宋体"/>
          <w:highlight w:val="none"/>
        </w:rPr>
        <w:t>供应商名称：                       （单位公章）</w:t>
      </w:r>
    </w:p>
    <w:p>
      <w:pPr>
        <w:pStyle w:val="20"/>
        <w:widowControl w:val="0"/>
        <w:spacing w:before="0" w:beforeAutospacing="0" w:after="0" w:afterAutospacing="0"/>
        <w:ind w:firstLine="480" w:firstLineChars="200"/>
        <w:jc w:val="center"/>
        <w:rPr>
          <w:rFonts w:cs="宋体"/>
          <w:highlight w:val="none"/>
        </w:rPr>
      </w:pPr>
    </w:p>
    <w:p>
      <w:pPr>
        <w:spacing w:line="400" w:lineRule="exact"/>
        <w:ind w:firstLine="480" w:firstLineChars="200"/>
        <w:rPr>
          <w:rFonts w:hAnsi="宋体" w:cs="宋体"/>
          <w:szCs w:val="24"/>
          <w:highlight w:val="none"/>
        </w:rPr>
      </w:pPr>
      <w:r>
        <w:rPr>
          <w:rFonts w:hint="eastAsia" w:hAnsi="宋体" w:cs="宋体"/>
          <w:highlight w:val="none"/>
        </w:rPr>
        <w:t xml:space="preserve">法定代表人或委托代理人：              （签字） </w:t>
      </w:r>
    </w:p>
    <w:p>
      <w:pPr>
        <w:spacing w:line="360" w:lineRule="auto"/>
        <w:ind w:left="600" w:leftChars="250"/>
        <w:rPr>
          <w:rFonts w:hAnsi="宋体" w:cs="宋体"/>
          <w:b/>
          <w:bCs/>
          <w:sz w:val="28"/>
          <w:szCs w:val="28"/>
          <w:highlight w:val="none"/>
        </w:rPr>
      </w:pPr>
    </w:p>
    <w:p>
      <w:pPr>
        <w:spacing w:line="440" w:lineRule="exact"/>
        <w:ind w:left="3725" w:leftChars="1552"/>
        <w:rPr>
          <w:rFonts w:hAnsi="宋体" w:cs="宋体"/>
          <w:szCs w:val="24"/>
          <w:highlight w:val="none"/>
        </w:rPr>
      </w:pPr>
    </w:p>
    <w:p>
      <w:pPr>
        <w:spacing w:line="440" w:lineRule="exact"/>
        <w:ind w:left="3725" w:leftChars="1552"/>
        <w:rPr>
          <w:rFonts w:hAnsi="宋体" w:cs="宋体"/>
          <w:szCs w:val="24"/>
          <w:highlight w:val="none"/>
        </w:rPr>
      </w:pPr>
    </w:p>
    <w:p>
      <w:pPr>
        <w:spacing w:line="440" w:lineRule="exact"/>
        <w:ind w:left="3725" w:leftChars="1552"/>
        <w:rPr>
          <w:rFonts w:hAnsi="宋体" w:cs="宋体"/>
          <w:szCs w:val="24"/>
          <w:highlight w:val="none"/>
        </w:rPr>
      </w:pPr>
    </w:p>
    <w:bookmarkEnd w:id="73"/>
    <w:p>
      <w:pPr>
        <w:rPr>
          <w:rFonts w:hint="eastAsia" w:hAnsi="宋体" w:cs="宋体"/>
          <w:b/>
          <w:bCs/>
          <w:sz w:val="30"/>
          <w:szCs w:val="30"/>
          <w:highlight w:val="none"/>
        </w:rPr>
      </w:pPr>
      <w:bookmarkStart w:id="79" w:name="_Toc403077656"/>
      <w:bookmarkStart w:id="80" w:name="_Toc363474033"/>
      <w:r>
        <w:rPr>
          <w:rFonts w:hint="eastAsia" w:hAnsi="宋体" w:cs="宋体"/>
          <w:b/>
          <w:bCs/>
          <w:sz w:val="30"/>
          <w:szCs w:val="30"/>
          <w:highlight w:val="none"/>
        </w:rPr>
        <w:br w:type="page"/>
      </w:r>
    </w:p>
    <w:p>
      <w:pPr>
        <w:spacing w:line="360" w:lineRule="auto"/>
        <w:jc w:val="center"/>
        <w:outlineLvl w:val="2"/>
        <w:rPr>
          <w:rFonts w:hAnsi="宋体" w:cs="宋体"/>
          <w:b/>
          <w:bCs/>
          <w:sz w:val="30"/>
          <w:szCs w:val="30"/>
          <w:highlight w:val="none"/>
        </w:rPr>
      </w:pPr>
      <w:r>
        <w:rPr>
          <w:rFonts w:hint="eastAsia" w:hAnsi="宋体" w:cs="宋体"/>
          <w:b/>
          <w:bCs/>
          <w:sz w:val="30"/>
          <w:szCs w:val="30"/>
          <w:highlight w:val="none"/>
        </w:rPr>
        <w:t>五、陕西省政府采购供应商拒绝政府采购领域商业贿赂承诺书</w:t>
      </w:r>
      <w:bookmarkEnd w:id="79"/>
      <w:bookmarkEnd w:id="80"/>
    </w:p>
    <w:p>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4、不采取“围标、陪标”等商业欺诈手段获得政府采购定单。</w:t>
      </w:r>
    </w:p>
    <w:p>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7、不与采购人、采购代理机构政府采购评审专家或其它供应商恶意串通，进行质疑和投诉，维护政府采购市场秩序。</w:t>
      </w:r>
    </w:p>
    <w:p>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p>
    <w:p>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pPr>
        <w:jc w:val="center"/>
        <w:outlineLvl w:val="2"/>
        <w:rPr>
          <w:rFonts w:hAnsi="宋体" w:cs="宋体"/>
          <w:b/>
          <w:bCs/>
          <w:sz w:val="30"/>
          <w:szCs w:val="30"/>
          <w:highlight w:val="none"/>
        </w:rPr>
      </w:pPr>
      <w:bookmarkStart w:id="81" w:name="_Toc403077657"/>
      <w:bookmarkStart w:id="82" w:name="_Toc363474034"/>
      <w:r>
        <w:rPr>
          <w:rFonts w:hint="eastAsia" w:hAnsi="宋体" w:cs="宋体"/>
          <w:b/>
          <w:bCs/>
          <w:sz w:val="30"/>
          <w:szCs w:val="30"/>
          <w:highlight w:val="none"/>
        </w:rPr>
        <w:br w:type="page"/>
      </w:r>
      <w:r>
        <w:rPr>
          <w:rFonts w:hint="eastAsia" w:hAnsi="宋体" w:cs="宋体"/>
          <w:b/>
          <w:bCs/>
          <w:sz w:val="30"/>
          <w:szCs w:val="30"/>
          <w:highlight w:val="none"/>
        </w:rPr>
        <w:t>六、特定资格证明文件</w:t>
      </w:r>
      <w:bookmarkEnd w:id="81"/>
      <w:bookmarkEnd w:id="82"/>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1、提供合格有效的法人或者其他组织的营业执照等证明文件，自然人的身份证明；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2、提供法定代表人授权书（附法定代表人、被授权人身份证复印件）及被授权人身份证原件（法定代表人直接参加投标，须提供法定代表人身份证明及身份证原件）；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财务状况：提供2021或2022年度的财务审计报告（至少包括资产负债表和利润表，成立时间至提交磋商响应文件截止时间不足一年的可提供成立后任意时段的资产负债表），或开标时间前六个月内银行出具的资信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4、税收缴纳证明：提供磋商截止日前近一年内任意一个月的纳税证明或完税证明（任意税种），依法免税的单位应提供相关证明材料；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6、供应商应通过“信用中国”网站(www.creditchina.gov.cn)、中国政府采购网(www.ccgp.gov.cn)查询相关主体信用记录；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供应商须具备具备公路工程施工总承包三级（含三级）或市政公用工程施工总承包三级（含三级）及以上资质；拟派项目经理具备公路工程二级或市政公用工程二级及以上注册建造师资格和安全生产考核合格B证，且无在建工程，提供无在建承诺书；</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8、提供具有履行本合同所必需的设备和专业技术能力的说明及承诺书；</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9、参加政府采购活动前3年内，在经营活动中没有重大违法记录的书面声明；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10、本项目不接受联合体磋商。</w:t>
      </w:r>
    </w:p>
    <w:p>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pPr>
        <w:jc w:val="center"/>
        <w:outlineLvl w:val="2"/>
        <w:rPr>
          <w:rFonts w:hAnsi="宋体" w:cs="宋体"/>
          <w:b/>
          <w:bCs/>
          <w:sz w:val="30"/>
          <w:szCs w:val="30"/>
          <w:highlight w:val="none"/>
        </w:rPr>
      </w:pPr>
      <w:r>
        <w:rPr>
          <w:rFonts w:hint="eastAsia" w:hAnsi="宋体" w:cs="宋体"/>
          <w:szCs w:val="24"/>
          <w:highlight w:val="none"/>
        </w:rPr>
        <w:br w:type="page"/>
      </w:r>
      <w:r>
        <w:rPr>
          <w:rFonts w:hint="eastAsia" w:hAnsi="宋体" w:cs="宋体"/>
          <w:b/>
          <w:bCs/>
          <w:sz w:val="30"/>
          <w:szCs w:val="30"/>
          <w:highlight w:val="none"/>
        </w:rPr>
        <w:t>七、其它</w:t>
      </w:r>
    </w:p>
    <w:p>
      <w:pPr>
        <w:pStyle w:val="2"/>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pPr>
        <w:pStyle w:val="2"/>
        <w:rPr>
          <w:rFonts w:hint="eastAsia" w:eastAsia="宋体"/>
          <w:highlight w:val="none"/>
          <w:lang w:val="en-US" w:eastAsia="zh-CN"/>
        </w:rPr>
      </w:pPr>
      <w:r>
        <w:rPr>
          <w:rFonts w:hint="eastAsia" w:ascii="宋体" w:hAnsi="宋体" w:cs="宋体"/>
          <w:sz w:val="24"/>
          <w:szCs w:val="24"/>
          <w:highlight w:val="none"/>
        </w:rPr>
        <w:t>2、其他可以证明供应商实力的文件。</w:t>
      </w:r>
    </w:p>
    <w:p>
      <w:pPr>
        <w:spacing w:before="156" w:beforeLines="50" w:after="156" w:afterLines="50" w:line="500" w:lineRule="exact"/>
        <w:rPr>
          <w:rFonts w:hAnsi="宋体" w:cs="宋体"/>
          <w:b/>
          <w:sz w:val="28"/>
          <w:szCs w:val="28"/>
          <w:highlight w:val="none"/>
        </w:rPr>
      </w:pPr>
      <w:r>
        <w:rPr>
          <w:rFonts w:hint="eastAsia" w:hAnsi="宋体" w:cs="宋体"/>
          <w:szCs w:val="24"/>
          <w:highlight w:val="none"/>
        </w:rPr>
        <w:br w:type="page"/>
      </w:r>
      <w:r>
        <w:rPr>
          <w:rFonts w:hint="eastAsia" w:hAnsi="宋体" w:cs="宋体"/>
          <w:b/>
          <w:sz w:val="28"/>
          <w:szCs w:val="28"/>
          <w:highlight w:val="none"/>
        </w:rPr>
        <w:t>附件1：</w:t>
      </w:r>
    </w:p>
    <w:p>
      <w:pPr>
        <w:keepNext/>
        <w:spacing w:before="312" w:beforeLines="100" w:line="360" w:lineRule="auto"/>
        <w:rPr>
          <w:rFonts w:hAnsi="宋体" w:cs="宋体"/>
          <w:sz w:val="32"/>
          <w:szCs w:val="32"/>
          <w:highlight w:val="none"/>
        </w:rPr>
      </w:pPr>
      <w:bookmarkStart w:id="83" w:name="_Toc403077649"/>
      <w:bookmarkStart w:id="84" w:name="_Toc363474028"/>
      <w:r>
        <w:rPr>
          <w:rFonts w:hint="eastAsia" w:hAnsi="宋体" w:cs="宋体"/>
          <w:sz w:val="32"/>
          <w:szCs w:val="32"/>
          <w:highlight w:val="none"/>
        </w:rPr>
        <w:t>法定代表人身份证明/法定代表人授权书</w:t>
      </w:r>
      <w:bookmarkEnd w:id="83"/>
      <w:bookmarkEnd w:id="84"/>
    </w:p>
    <w:p>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pPr>
        <w:pStyle w:val="2"/>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性别：</w:t>
      </w:r>
      <w:r>
        <w:rPr>
          <w:rFonts w:hint="eastAsia" w:hAnsi="宋体" w:cs="宋体"/>
          <w:highlight w:val="none"/>
          <w:u w:val="single"/>
        </w:rPr>
        <w:t xml:space="preserve">   </w:t>
      </w:r>
      <w:r>
        <w:rPr>
          <w:rFonts w:hint="eastAsia" w:hAnsi="宋体" w:cs="宋体"/>
          <w:highlight w:val="none"/>
        </w:rPr>
        <w:t>年龄：</w:t>
      </w:r>
      <w:r>
        <w:rPr>
          <w:rFonts w:hint="eastAsia" w:hAnsi="宋体" w:cs="宋体"/>
          <w:highlight w:val="none"/>
          <w:u w:val="single"/>
        </w:rPr>
        <w:t xml:space="preserve">   </w:t>
      </w:r>
      <w:r>
        <w:rPr>
          <w:rFonts w:hint="eastAsia" w:hAnsi="宋体" w:cs="宋体"/>
          <w:highlight w:val="none"/>
        </w:rPr>
        <w:t>系</w:t>
      </w:r>
      <w:r>
        <w:rPr>
          <w:rFonts w:hint="eastAsia" w:hAnsi="宋体" w:cs="宋体"/>
          <w:highlight w:val="none"/>
          <w:u w:val="single"/>
        </w:rPr>
        <w:t xml:space="preserve">            </w:t>
      </w:r>
      <w:r>
        <w:rPr>
          <w:rFonts w:hint="eastAsia" w:hAnsi="宋体" w:cs="宋体"/>
          <w:highlight w:val="none"/>
        </w:rPr>
        <w:t>（供应商名称）的法定代表人。</w:t>
      </w:r>
    </w:p>
    <w:p>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1"/>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pPr>
              <w:snapToGrid w:val="0"/>
              <w:spacing w:line="480" w:lineRule="auto"/>
              <w:jc w:val="center"/>
              <w:rPr>
                <w:rFonts w:hAnsi="宋体" w:cs="宋体"/>
                <w:szCs w:val="21"/>
                <w:highlight w:val="none"/>
              </w:rPr>
            </w:pPr>
          </w:p>
          <w:p>
            <w:pPr>
              <w:snapToGrid w:val="0"/>
              <w:spacing w:line="480" w:lineRule="auto"/>
              <w:jc w:val="center"/>
              <w:rPr>
                <w:rFonts w:hAnsi="宋体" w:cs="宋体"/>
                <w:szCs w:val="21"/>
                <w:highlight w:val="none"/>
              </w:rPr>
            </w:pPr>
          </w:p>
          <w:p>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pPr>
              <w:pStyle w:val="2"/>
              <w:jc w:val="center"/>
              <w:rPr>
                <w:rFonts w:ascii="宋体" w:hAnsi="宋体" w:cs="宋体"/>
                <w:highlight w:val="none"/>
              </w:rPr>
            </w:pPr>
            <w:r>
              <w:rPr>
                <w:rFonts w:hint="eastAsia" w:ascii="宋体" w:hAnsi="宋体" w:cs="宋体"/>
                <w:szCs w:val="21"/>
                <w:highlight w:val="none"/>
              </w:rPr>
              <w:t>（正反面）</w:t>
            </w:r>
          </w:p>
          <w:p>
            <w:pPr>
              <w:snapToGrid w:val="0"/>
              <w:spacing w:line="480" w:lineRule="auto"/>
              <w:jc w:val="center"/>
              <w:rPr>
                <w:rFonts w:hAnsi="宋体" w:cs="宋体"/>
                <w:szCs w:val="21"/>
                <w:highlight w:val="none"/>
              </w:rPr>
            </w:pPr>
          </w:p>
          <w:p>
            <w:pPr>
              <w:snapToGrid w:val="0"/>
              <w:spacing w:line="480" w:lineRule="auto"/>
              <w:jc w:val="center"/>
              <w:rPr>
                <w:rFonts w:hAnsi="宋体" w:cs="宋体"/>
                <w:szCs w:val="21"/>
                <w:highlight w:val="none"/>
              </w:rPr>
            </w:pPr>
          </w:p>
        </w:tc>
      </w:tr>
    </w:tbl>
    <w:p>
      <w:pPr>
        <w:snapToGrid w:val="0"/>
        <w:spacing w:line="480" w:lineRule="auto"/>
        <w:rPr>
          <w:rFonts w:hAnsi="宋体" w:cs="宋体"/>
          <w:szCs w:val="21"/>
          <w:highlight w:val="none"/>
        </w:rPr>
      </w:pPr>
    </w:p>
    <w:p>
      <w:pPr>
        <w:snapToGrid w:val="0"/>
        <w:rPr>
          <w:rFonts w:hAnsi="宋体" w:cs="宋体"/>
          <w:szCs w:val="21"/>
          <w:highlight w:val="none"/>
        </w:rPr>
      </w:pPr>
    </w:p>
    <w:p>
      <w:pPr>
        <w:snapToGrid w:val="0"/>
        <w:rPr>
          <w:rFonts w:hAnsi="宋体" w:cs="宋体"/>
          <w:szCs w:val="21"/>
          <w:highlight w:val="none"/>
        </w:rPr>
      </w:pPr>
    </w:p>
    <w:p>
      <w:pPr>
        <w:snapToGrid w:val="0"/>
        <w:rPr>
          <w:rFonts w:hAnsi="宋体" w:cs="宋体"/>
          <w:szCs w:val="21"/>
          <w:highlight w:val="none"/>
        </w:rPr>
      </w:pPr>
    </w:p>
    <w:p>
      <w:pPr>
        <w:snapToGrid w:val="0"/>
        <w:rPr>
          <w:rFonts w:hAnsi="宋体" w:cs="宋体"/>
          <w:szCs w:val="21"/>
          <w:highlight w:val="none"/>
        </w:rPr>
      </w:pPr>
    </w:p>
    <w:p>
      <w:pPr>
        <w:adjustRightInd w:val="0"/>
        <w:snapToGrid w:val="0"/>
        <w:spacing w:line="360" w:lineRule="auto"/>
        <w:rPr>
          <w:rFonts w:hAnsi="宋体" w:cs="宋体"/>
          <w:highlight w:val="none"/>
        </w:rPr>
      </w:pPr>
    </w:p>
    <w:p>
      <w:pPr>
        <w:adjustRightInd w:val="0"/>
        <w:snapToGrid w:val="0"/>
        <w:spacing w:line="360" w:lineRule="auto"/>
        <w:ind w:right="420"/>
        <w:rPr>
          <w:rFonts w:hAnsi="宋体" w:cs="宋体"/>
          <w:highlight w:val="none"/>
        </w:rPr>
      </w:pPr>
    </w:p>
    <w:p>
      <w:pPr>
        <w:adjustRightInd w:val="0"/>
        <w:snapToGrid w:val="0"/>
        <w:spacing w:line="360" w:lineRule="auto"/>
        <w:ind w:right="420"/>
        <w:rPr>
          <w:rFonts w:hAnsi="宋体" w:cs="宋体"/>
          <w:highlight w:val="none"/>
        </w:rPr>
      </w:pPr>
    </w:p>
    <w:p>
      <w:pPr>
        <w:adjustRightInd w:val="0"/>
        <w:snapToGrid w:val="0"/>
        <w:spacing w:line="360" w:lineRule="auto"/>
        <w:ind w:right="420"/>
        <w:rPr>
          <w:rFonts w:hAnsi="宋体" w:cs="宋体"/>
          <w:highlight w:val="none"/>
        </w:rPr>
      </w:pPr>
    </w:p>
    <w:p>
      <w:pPr>
        <w:adjustRightInd w:val="0"/>
        <w:snapToGrid w:val="0"/>
        <w:spacing w:line="360" w:lineRule="auto"/>
        <w:ind w:right="420"/>
        <w:rPr>
          <w:rFonts w:hAnsi="宋体" w:cs="宋体"/>
          <w:highlight w:val="none"/>
        </w:rPr>
      </w:pPr>
    </w:p>
    <w:p>
      <w:pPr>
        <w:adjustRightInd w:val="0"/>
        <w:snapToGrid w:val="0"/>
        <w:spacing w:line="360" w:lineRule="auto"/>
        <w:ind w:right="420"/>
        <w:rPr>
          <w:rFonts w:hAnsi="宋体" w:cs="宋体"/>
          <w:highlight w:val="none"/>
        </w:rPr>
      </w:pPr>
      <w:r>
        <w:rPr>
          <w:rFonts w:hint="eastAsia" w:hAnsi="宋体" w:cs="宋体"/>
          <w:highlight w:val="none"/>
        </w:rPr>
        <w:t>供应商名称（公章）：</w:t>
      </w:r>
    </w:p>
    <w:p>
      <w:pPr>
        <w:adjustRightInd w:val="0"/>
        <w:snapToGrid w:val="0"/>
        <w:spacing w:line="360" w:lineRule="auto"/>
        <w:ind w:right="420"/>
        <w:rPr>
          <w:rFonts w:hAnsi="宋体" w:cs="宋体"/>
          <w:highlight w:val="none"/>
        </w:rPr>
      </w:pPr>
      <w:r>
        <w:rPr>
          <w:rFonts w:hint="eastAsia" w:hAnsi="宋体" w:cs="宋体"/>
          <w:highlight w:val="none"/>
        </w:rPr>
        <w:t>日期：    年  月  日</w:t>
      </w:r>
    </w:p>
    <w:p>
      <w:pPr>
        <w:pStyle w:val="2"/>
        <w:rPr>
          <w:rFonts w:ascii="宋体" w:hAnsi="宋体" w:cs="宋体"/>
          <w:highlight w:val="none"/>
        </w:rPr>
      </w:pPr>
    </w:p>
    <w:p>
      <w:pPr>
        <w:spacing w:line="360" w:lineRule="auto"/>
        <w:jc w:val="left"/>
        <w:rPr>
          <w:rFonts w:hAnsi="宋体" w:cs="宋体"/>
          <w:spacing w:val="4"/>
          <w:szCs w:val="24"/>
          <w:highlight w:val="none"/>
        </w:rPr>
      </w:pPr>
    </w:p>
    <w:p>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pPr>
        <w:spacing w:line="500" w:lineRule="exact"/>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 xml:space="preserve">陕西至诚招标咨询有限公司 </w:t>
      </w:r>
    </w:p>
    <w:p>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    ）</w:t>
      </w:r>
      <w:r>
        <w:rPr>
          <w:rFonts w:hint="eastAsia" w:hAnsi="宋体" w:cs="宋体"/>
          <w:spacing w:val="4"/>
          <w:szCs w:val="24"/>
          <w:highlight w:val="none"/>
        </w:rPr>
        <w:t>项目的磋商、签约等具体工作，并签署全部有关的文件、协议及合同。</w:t>
      </w:r>
    </w:p>
    <w:p>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pPr>
        <w:spacing w:line="360" w:lineRule="auto"/>
        <w:ind w:firstLine="496" w:firstLineChars="200"/>
        <w:jc w:val="left"/>
        <w:rPr>
          <w:rFonts w:hAnsi="宋体" w:cs="宋体"/>
          <w:spacing w:val="4"/>
          <w:szCs w:val="24"/>
          <w:highlight w:val="none"/>
        </w:rPr>
      </w:pPr>
    </w:p>
    <w:tbl>
      <w:tblPr>
        <w:tblStyle w:val="21"/>
        <w:tblW w:w="8190" w:type="dxa"/>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tcPr>
          <w:p>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pPr>
              <w:spacing w:line="360" w:lineRule="auto"/>
              <w:jc w:val="left"/>
              <w:rPr>
                <w:rFonts w:hAnsi="宋体" w:cs="宋体"/>
                <w:spacing w:val="4"/>
                <w:szCs w:val="24"/>
                <w:highlight w:val="none"/>
              </w:rPr>
            </w:pPr>
            <w:r>
              <w:rPr>
                <w:rFonts w:hint="eastAsia" w:hAnsi="宋体" w:cs="宋体"/>
                <w:spacing w:val="4"/>
                <w:szCs w:val="24"/>
                <w:highlight w:val="none"/>
              </w:rPr>
              <w:t>法定代表人签字或盖章：</w:t>
            </w:r>
          </w:p>
        </w:tc>
      </w:tr>
      <w:tr>
        <w:tblPrEx>
          <w:tblCellMar>
            <w:top w:w="0" w:type="dxa"/>
            <w:left w:w="108" w:type="dxa"/>
            <w:bottom w:w="0" w:type="dxa"/>
            <w:right w:w="108" w:type="dxa"/>
          </w:tblCellMar>
        </w:tblPrEx>
        <w:trPr>
          <w:trHeight w:val="600" w:hRule="atLeast"/>
        </w:trPr>
        <w:tc>
          <w:tcPr>
            <w:tcW w:w="4200" w:type="dxa"/>
          </w:tcPr>
          <w:p>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tblPrEx>
          <w:tblCellMar>
            <w:top w:w="0" w:type="dxa"/>
            <w:left w:w="108" w:type="dxa"/>
            <w:bottom w:w="0" w:type="dxa"/>
            <w:right w:w="108" w:type="dxa"/>
          </w:tblCellMar>
        </w:tblPrEx>
        <w:trPr>
          <w:trHeight w:val="600" w:hRule="atLeast"/>
        </w:trPr>
        <w:tc>
          <w:tcPr>
            <w:tcW w:w="4200" w:type="dxa"/>
          </w:tcPr>
          <w:p>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tblPrEx>
          <w:tblCellMar>
            <w:top w:w="0" w:type="dxa"/>
            <w:left w:w="108" w:type="dxa"/>
            <w:bottom w:w="0" w:type="dxa"/>
            <w:right w:w="108" w:type="dxa"/>
          </w:tblCellMar>
        </w:tblPrEx>
        <w:trPr>
          <w:trHeight w:val="600" w:hRule="atLeast"/>
        </w:trPr>
        <w:tc>
          <w:tcPr>
            <w:tcW w:w="4200" w:type="dxa"/>
          </w:tcPr>
          <w:p>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pPr>
              <w:spacing w:line="360" w:lineRule="auto"/>
              <w:jc w:val="left"/>
              <w:rPr>
                <w:rFonts w:hAnsi="宋体" w:cs="宋体"/>
                <w:spacing w:val="4"/>
                <w:szCs w:val="24"/>
                <w:highlight w:val="none"/>
              </w:rPr>
            </w:pPr>
          </w:p>
        </w:tc>
      </w:tr>
    </w:tbl>
    <w:p>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附：法定代表人、被授权人身份证复印件</w:t>
      </w:r>
    </w:p>
    <w:p>
      <w:pPr>
        <w:spacing w:line="360" w:lineRule="auto"/>
        <w:rPr>
          <w:rFonts w:hAnsi="宋体" w:cs="宋体"/>
          <w:spacing w:val="4"/>
          <w:szCs w:val="24"/>
          <w:highlight w:val="none"/>
        </w:rPr>
      </w:pPr>
    </w:p>
    <w:tbl>
      <w:tblPr>
        <w:tblStyle w:val="21"/>
        <w:tblW w:w="8357" w:type="dxa"/>
        <w:tblInd w:w="540" w:type="dxa"/>
        <w:tblLayout w:type="fixed"/>
        <w:tblCellMar>
          <w:top w:w="0" w:type="dxa"/>
          <w:left w:w="108" w:type="dxa"/>
          <w:bottom w:w="0" w:type="dxa"/>
          <w:right w:w="108" w:type="dxa"/>
        </w:tblCellMar>
      </w:tblPr>
      <w:tblGrid>
        <w:gridCol w:w="4246"/>
        <w:gridCol w:w="4111"/>
      </w:tblGrid>
      <w:tr>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pPr>
              <w:spacing w:line="360" w:lineRule="auto"/>
              <w:jc w:val="center"/>
              <w:rPr>
                <w:rFonts w:hAnsi="宋体" w:cs="宋体"/>
                <w:highlight w:val="none"/>
                <w:u w:val="single"/>
              </w:rPr>
            </w:pPr>
            <w:r>
              <w:rPr>
                <w:rFonts w:hint="eastAsia" w:hAnsi="宋体" w:cs="宋体"/>
                <w:szCs w:val="21"/>
                <w:highlight w:val="none"/>
                <w:lang w:val="zh-CN"/>
              </w:rPr>
              <w:t>（正反面）</w:t>
            </w:r>
          </w:p>
        </w:tc>
      </w:tr>
    </w:tbl>
    <w:p>
      <w:pPr>
        <w:spacing w:line="360" w:lineRule="auto"/>
        <w:ind w:firstLine="510"/>
        <w:rPr>
          <w:rFonts w:hAnsi="宋体" w:cs="宋体"/>
          <w:spacing w:val="4"/>
          <w:szCs w:val="24"/>
          <w:highlight w:val="none"/>
        </w:rPr>
      </w:pPr>
    </w:p>
    <w:p>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pPr>
        <w:spacing w:before="156" w:beforeLines="50" w:after="156" w:afterLines="50" w:line="360" w:lineRule="auto"/>
        <w:rPr>
          <w:rFonts w:hAnsi="宋体" w:cs="宋体"/>
          <w:highlight w:val="none"/>
        </w:rPr>
      </w:pPr>
      <w:r>
        <w:rPr>
          <w:rFonts w:hint="eastAsia" w:hAnsi="宋体" w:cs="宋体"/>
          <w:spacing w:val="4"/>
          <w:szCs w:val="24"/>
          <w:highlight w:val="none"/>
        </w:rPr>
        <w:t>日期：</w:t>
      </w:r>
    </w:p>
    <w:p>
      <w:pPr>
        <w:spacing w:before="156" w:beforeLines="50" w:after="156" w:afterLines="50"/>
        <w:rPr>
          <w:rFonts w:hAnsi="宋体" w:cs="宋体"/>
          <w:highlight w:val="none"/>
        </w:rPr>
      </w:pPr>
      <w:r>
        <w:rPr>
          <w:rFonts w:hint="eastAsia" w:hAnsi="宋体" w:cs="宋体"/>
          <w:sz w:val="28"/>
          <w:szCs w:val="28"/>
          <w:highlight w:val="none"/>
          <w:u w:val="single"/>
        </w:rPr>
        <w:br w:type="page"/>
      </w:r>
      <w:r>
        <w:rPr>
          <w:rFonts w:hint="eastAsia" w:hAnsi="宋体" w:cs="宋体"/>
          <w:b/>
          <w:bCs/>
          <w:sz w:val="28"/>
          <w:szCs w:val="28"/>
          <w:highlight w:val="none"/>
        </w:rPr>
        <w:t>附件2：</w:t>
      </w:r>
    </w:p>
    <w:p>
      <w:pPr>
        <w:spacing w:before="240" w:beforeLines="100" w:after="240" w:afterLines="100"/>
        <w:jc w:val="center"/>
        <w:rPr>
          <w:rFonts w:hint="eastAsia" w:ascii="宋体" w:hAnsi="宋体"/>
          <w:b/>
          <w:color w:val="auto"/>
          <w:sz w:val="24"/>
          <w:szCs w:val="24"/>
          <w:highlight w:val="none"/>
          <w:lang w:eastAsia="zh-CN"/>
        </w:rPr>
      </w:pPr>
    </w:p>
    <w:p>
      <w:pPr>
        <w:spacing w:before="240" w:beforeLines="100" w:after="240" w:afterLines="100"/>
        <w:jc w:val="center"/>
        <w:rPr>
          <w:rFonts w:hint="eastAsia" w:ascii="宋体" w:hAnsi="宋体"/>
          <w:b/>
          <w:color w:val="auto"/>
          <w:sz w:val="24"/>
          <w:szCs w:val="24"/>
          <w:highlight w:val="none"/>
          <w:lang w:eastAsia="zh-CN"/>
        </w:rPr>
      </w:pPr>
    </w:p>
    <w:p>
      <w:pPr>
        <w:spacing w:before="240" w:beforeLines="100" w:after="240" w:afterLines="100"/>
        <w:jc w:val="center"/>
        <w:rPr>
          <w:rFonts w:ascii="宋体" w:hAnsi="宋体"/>
          <w:b/>
          <w:color w:val="auto"/>
          <w:sz w:val="24"/>
          <w:szCs w:val="24"/>
          <w:highlight w:val="none"/>
        </w:rPr>
      </w:pPr>
      <w:r>
        <w:rPr>
          <w:rFonts w:hint="eastAsia" w:ascii="宋体" w:hAnsi="宋体"/>
          <w:b/>
          <w:color w:val="auto"/>
          <w:sz w:val="24"/>
          <w:szCs w:val="24"/>
          <w:highlight w:val="none"/>
          <w:lang w:eastAsia="zh-CN"/>
        </w:rPr>
        <w:t>项目经理无在建</w:t>
      </w:r>
      <w:r>
        <w:rPr>
          <w:rFonts w:hint="eastAsia" w:ascii="宋体" w:hAnsi="宋体"/>
          <w:b/>
          <w:color w:val="auto"/>
          <w:sz w:val="24"/>
          <w:szCs w:val="24"/>
          <w:highlight w:val="none"/>
        </w:rPr>
        <w:t>承诺书</w:t>
      </w:r>
    </w:p>
    <w:p>
      <w:pPr>
        <w:spacing w:after="240" w:afterLines="100" w:line="440" w:lineRule="exact"/>
        <w:rPr>
          <w:rFonts w:hint="eastAsia" w:ascii="宋体" w:hAnsi="宋体"/>
          <w:color w:val="auto"/>
          <w:sz w:val="24"/>
          <w:szCs w:val="24"/>
          <w:highlight w:val="none"/>
          <w:u w:val="single"/>
        </w:rPr>
      </w:pPr>
    </w:p>
    <w:p>
      <w:pPr>
        <w:spacing w:after="240" w:afterLines="100" w:line="440" w:lineRule="exac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hAnsi="宋体"/>
          <w:color w:val="auto"/>
          <w:sz w:val="24"/>
          <w:szCs w:val="24"/>
          <w:highlight w:val="none"/>
          <w:lang w:val="en-US" w:eastAsia="zh-CN"/>
        </w:rPr>
        <w:t>采购</w:t>
      </w:r>
      <w:r>
        <w:rPr>
          <w:rFonts w:hint="eastAsia" w:ascii="宋体" w:hAnsi="宋体"/>
          <w:color w:val="auto"/>
          <w:sz w:val="24"/>
          <w:szCs w:val="24"/>
          <w:highlight w:val="none"/>
        </w:rPr>
        <w:t>人名称）：</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我方在此声明，我方拟派往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（项目名称）（以下简称“本工程”）的项目经理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（项目经理姓名）现阶段没有担任任何在施建设工程项目的项目经理。</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我方保证上述信息的真实和准确，并愿意承担因我方就此弄虚作假所引起的一切法律后果。</w:t>
      </w:r>
    </w:p>
    <w:p>
      <w:pPr>
        <w:spacing w:line="440" w:lineRule="exact"/>
        <w:ind w:firstLine="480" w:firstLineChars="200"/>
        <w:rPr>
          <w:rFonts w:ascii="宋体" w:hAnsi="宋体"/>
          <w:color w:val="auto"/>
          <w:sz w:val="24"/>
          <w:szCs w:val="24"/>
          <w:highlight w:val="none"/>
        </w:rPr>
      </w:pPr>
    </w:p>
    <w:p>
      <w:pPr>
        <w:spacing w:line="440" w:lineRule="exact"/>
        <w:ind w:firstLine="480" w:firstLineChars="200"/>
        <w:rPr>
          <w:rFonts w:ascii="宋体" w:hAnsi="宋体"/>
          <w:color w:val="auto"/>
          <w:sz w:val="24"/>
          <w:szCs w:val="24"/>
          <w:highlight w:val="none"/>
        </w:rPr>
      </w:pP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pPr>
        <w:spacing w:line="440" w:lineRule="exact"/>
        <w:ind w:firstLine="480" w:firstLineChars="200"/>
        <w:rPr>
          <w:rFonts w:ascii="宋体" w:hAnsi="宋体"/>
          <w:color w:val="auto"/>
          <w:sz w:val="24"/>
          <w:szCs w:val="24"/>
          <w:highlight w:val="none"/>
        </w:rPr>
      </w:pPr>
    </w:p>
    <w:p>
      <w:pPr>
        <w:spacing w:line="440" w:lineRule="exact"/>
        <w:ind w:firstLine="480" w:firstLineChars="200"/>
        <w:rPr>
          <w:rFonts w:ascii="宋体" w:hAnsi="宋体"/>
          <w:color w:val="auto"/>
          <w:sz w:val="24"/>
          <w:szCs w:val="24"/>
          <w:highlight w:val="none"/>
        </w:rPr>
      </w:pPr>
    </w:p>
    <w:p>
      <w:pPr>
        <w:spacing w:line="440" w:lineRule="exact"/>
        <w:ind w:firstLine="480" w:firstLineChars="200"/>
        <w:rPr>
          <w:rFonts w:ascii="宋体" w:hAnsi="宋体"/>
          <w:color w:val="auto"/>
          <w:sz w:val="24"/>
          <w:szCs w:val="24"/>
          <w:highlight w:val="none"/>
        </w:rPr>
      </w:pPr>
    </w:p>
    <w:p>
      <w:pPr>
        <w:spacing w:line="440" w:lineRule="exact"/>
        <w:ind w:firstLine="480" w:firstLineChars="200"/>
        <w:rPr>
          <w:rFonts w:ascii="宋体" w:hAnsi="宋体"/>
          <w:color w:val="auto"/>
          <w:sz w:val="24"/>
          <w:szCs w:val="24"/>
          <w:highlight w:val="none"/>
        </w:rPr>
      </w:pPr>
    </w:p>
    <w:p>
      <w:pPr>
        <w:spacing w:line="440" w:lineRule="exact"/>
        <w:ind w:firstLine="480" w:firstLineChars="200"/>
        <w:rPr>
          <w:rFonts w:ascii="宋体" w:hAnsi="宋体"/>
          <w:color w:val="auto"/>
          <w:sz w:val="24"/>
          <w:szCs w:val="24"/>
          <w:highlight w:val="none"/>
        </w:rPr>
      </w:pPr>
    </w:p>
    <w:p>
      <w:pPr>
        <w:spacing w:line="440" w:lineRule="exact"/>
        <w:ind w:firstLine="480" w:firstLineChars="200"/>
        <w:rPr>
          <w:rFonts w:ascii="宋体" w:hAnsi="宋体"/>
          <w:color w:val="auto"/>
          <w:sz w:val="24"/>
          <w:szCs w:val="24"/>
          <w:highlight w:val="none"/>
        </w:rPr>
      </w:pPr>
    </w:p>
    <w:p>
      <w:pPr>
        <w:spacing w:line="440" w:lineRule="exact"/>
        <w:jc w:val="right"/>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pPr>
        <w:spacing w:line="440" w:lineRule="exact"/>
        <w:jc w:val="right"/>
        <w:rPr>
          <w:rFonts w:ascii="宋体" w:hAnsi="宋体"/>
          <w:color w:val="auto"/>
          <w:sz w:val="24"/>
          <w:szCs w:val="24"/>
          <w:highlight w:val="none"/>
        </w:rPr>
      </w:pPr>
      <w:r>
        <w:rPr>
          <w:rFonts w:hint="eastAsia" w:ascii="宋体" w:hAnsi="宋体"/>
          <w:color w:val="auto"/>
          <w:sz w:val="24"/>
          <w:szCs w:val="24"/>
          <w:highlight w:val="none"/>
        </w:rPr>
        <w:t>法定代表人或其委托代理人：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w:t>
      </w:r>
    </w:p>
    <w:p>
      <w:pPr>
        <w:spacing w:line="440" w:lineRule="exact"/>
        <w:jc w:val="right"/>
        <w:rPr>
          <w:rFonts w:ascii="宋体" w:hAnsi="宋体"/>
          <w:color w:val="auto"/>
          <w:sz w:val="24"/>
          <w:szCs w:val="24"/>
          <w:highlight w:val="none"/>
        </w:rPr>
      </w:pPr>
    </w:p>
    <w:p>
      <w:pPr>
        <w:jc w:val="right"/>
        <w:rPr>
          <w:rFonts w:hint="eastAsia" w:hAnsi="宋体" w:cs="宋体"/>
          <w:sz w:val="28"/>
          <w:szCs w:val="28"/>
          <w:highlight w:val="none"/>
          <w:u w:val="singl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rPr>
          <w:rFonts w:hint="eastAsia" w:hAnsi="宋体" w:cs="宋体"/>
          <w:b/>
          <w:bCs/>
          <w:sz w:val="28"/>
          <w:szCs w:val="28"/>
          <w:highlight w:val="none"/>
        </w:rPr>
      </w:pPr>
      <w:r>
        <w:rPr>
          <w:rFonts w:hint="eastAsia" w:hAnsi="宋体" w:cs="宋体"/>
          <w:b/>
          <w:bCs/>
          <w:sz w:val="28"/>
          <w:szCs w:val="28"/>
          <w:highlight w:val="none"/>
        </w:rPr>
        <w:br w:type="page"/>
      </w:r>
    </w:p>
    <w:p>
      <w:pPr>
        <w:spacing w:before="156" w:beforeLines="50" w:after="156" w:afterLines="50"/>
        <w:rPr>
          <w:rFonts w:hAnsi="宋体" w:cs="宋体"/>
          <w:highlight w:val="none"/>
        </w:rPr>
      </w:pPr>
      <w:r>
        <w:rPr>
          <w:rFonts w:hint="eastAsia" w:hAnsi="宋体" w:cs="宋体"/>
          <w:b/>
          <w:bCs/>
          <w:sz w:val="28"/>
          <w:szCs w:val="28"/>
          <w:highlight w:val="none"/>
        </w:rPr>
        <w:t>附件</w:t>
      </w:r>
      <w:r>
        <w:rPr>
          <w:rFonts w:hint="eastAsia" w:hAnsi="宋体" w:cs="宋体"/>
          <w:b/>
          <w:bCs/>
          <w:sz w:val="28"/>
          <w:szCs w:val="28"/>
          <w:highlight w:val="none"/>
          <w:lang w:val="en-US" w:eastAsia="zh-CN"/>
        </w:rPr>
        <w:t>3</w:t>
      </w:r>
      <w:r>
        <w:rPr>
          <w:rFonts w:hint="eastAsia" w:hAnsi="宋体" w:cs="宋体"/>
          <w:b/>
          <w:bCs/>
          <w:sz w:val="28"/>
          <w:szCs w:val="28"/>
          <w:highlight w:val="none"/>
        </w:rPr>
        <w:t>：</w:t>
      </w:r>
    </w:p>
    <w:p>
      <w:pPr>
        <w:spacing w:before="156" w:beforeLines="50" w:after="156" w:afterLines="50" w:line="360" w:lineRule="auto"/>
        <w:jc w:val="center"/>
        <w:rPr>
          <w:rFonts w:hint="eastAsia" w:hAnsi="宋体" w:cs="宋体"/>
          <w:szCs w:val="24"/>
          <w:highlight w:val="none"/>
        </w:rPr>
      </w:pPr>
      <w:bookmarkStart w:id="85" w:name="_Toc13836"/>
      <w:r>
        <w:rPr>
          <w:rFonts w:hint="eastAsia" w:hAnsi="宋体" w:cs="宋体"/>
          <w:b/>
          <w:sz w:val="28"/>
          <w:szCs w:val="28"/>
          <w:highlight w:val="none"/>
        </w:rPr>
        <w:t>中小企业声明函</w:t>
      </w:r>
    </w:p>
    <w:p>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pPr>
        <w:tabs>
          <w:tab w:val="left" w:pos="1620"/>
          <w:tab w:val="left" w:pos="1800"/>
        </w:tabs>
        <w:spacing w:line="500" w:lineRule="exact"/>
        <w:rPr>
          <w:rFonts w:hint="eastAsia" w:hAnsi="宋体" w:cs="宋体"/>
          <w:szCs w:val="24"/>
          <w:highlight w:val="none"/>
        </w:rPr>
      </w:pPr>
      <w:r>
        <w:rPr>
          <w:rFonts w:hint="eastAsia" w:hAnsi="宋体" w:cs="宋体"/>
          <w:szCs w:val="24"/>
          <w:highlight w:val="none"/>
        </w:rPr>
        <w:t>……</w:t>
      </w:r>
    </w:p>
    <w:p>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pPr>
        <w:tabs>
          <w:tab w:val="left" w:pos="1620"/>
          <w:tab w:val="left" w:pos="1800"/>
        </w:tabs>
        <w:spacing w:line="500" w:lineRule="exact"/>
        <w:rPr>
          <w:rFonts w:hint="eastAsia" w:hAnsi="宋体" w:cs="宋体"/>
          <w:szCs w:val="24"/>
          <w:highlight w:val="none"/>
        </w:rPr>
      </w:pPr>
    </w:p>
    <w:p>
      <w:pPr>
        <w:tabs>
          <w:tab w:val="left" w:pos="1620"/>
          <w:tab w:val="left" w:pos="1800"/>
        </w:tabs>
        <w:spacing w:line="500" w:lineRule="exact"/>
        <w:rPr>
          <w:rFonts w:hint="eastAsia" w:hAnsi="宋体" w:cs="宋体"/>
          <w:szCs w:val="24"/>
          <w:highlight w:val="none"/>
        </w:rPr>
      </w:pPr>
    </w:p>
    <w:p>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企业名称（盖章）：</w:t>
      </w:r>
    </w:p>
    <w:p>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日期：</w:t>
      </w:r>
    </w:p>
    <w:p>
      <w:pPr>
        <w:tabs>
          <w:tab w:val="left" w:pos="1620"/>
          <w:tab w:val="left" w:pos="1800"/>
        </w:tabs>
        <w:spacing w:line="500" w:lineRule="exact"/>
        <w:rPr>
          <w:rFonts w:hAnsi="宋体" w:cs="宋体"/>
          <w:b/>
          <w:sz w:val="28"/>
          <w:szCs w:val="28"/>
          <w:highlight w:val="none"/>
        </w:rPr>
      </w:pPr>
      <w:r>
        <w:rPr>
          <w:rFonts w:hint="eastAsia" w:hAnsi="宋体" w:cs="宋体"/>
          <w:b/>
          <w:sz w:val="28"/>
          <w:szCs w:val="28"/>
          <w:highlight w:val="none"/>
        </w:rPr>
        <w:br w:type="page"/>
      </w:r>
      <w:r>
        <w:rPr>
          <w:rFonts w:hint="eastAsia" w:hAnsi="宋体" w:cs="宋体"/>
          <w:b/>
          <w:sz w:val="28"/>
          <w:szCs w:val="28"/>
          <w:highlight w:val="none"/>
        </w:rPr>
        <w:t>附件</w:t>
      </w:r>
      <w:r>
        <w:rPr>
          <w:rFonts w:hint="eastAsia" w:hAnsi="宋体" w:cs="宋体"/>
          <w:b/>
          <w:sz w:val="28"/>
          <w:szCs w:val="28"/>
          <w:highlight w:val="none"/>
          <w:lang w:val="en-US" w:eastAsia="zh-CN"/>
        </w:rPr>
        <w:t>4</w:t>
      </w:r>
      <w:r>
        <w:rPr>
          <w:rFonts w:hint="eastAsia" w:hAnsi="宋体" w:cs="宋体"/>
          <w:b/>
          <w:sz w:val="28"/>
          <w:szCs w:val="28"/>
          <w:highlight w:val="none"/>
        </w:rPr>
        <w:t>（如有）：</w:t>
      </w:r>
    </w:p>
    <w:p>
      <w:pPr>
        <w:spacing w:before="312" w:beforeLines="100" w:after="156" w:afterLines="50"/>
        <w:jc w:val="center"/>
        <w:rPr>
          <w:rFonts w:hAnsi="宋体" w:cs="宋体"/>
          <w:b/>
          <w:sz w:val="28"/>
          <w:szCs w:val="28"/>
          <w:highlight w:val="none"/>
        </w:rPr>
      </w:pPr>
      <w:r>
        <w:rPr>
          <w:rFonts w:hint="eastAsia" w:hAnsi="宋体" w:cs="宋体"/>
          <w:b/>
          <w:sz w:val="28"/>
          <w:szCs w:val="28"/>
          <w:highlight w:val="none"/>
        </w:rPr>
        <w:t>磋商产品属节能、环境标志产品列表</w:t>
      </w:r>
      <w:bookmarkEnd w:id="85"/>
    </w:p>
    <w:p>
      <w:pPr>
        <w:spacing w:line="360" w:lineRule="auto"/>
        <w:rPr>
          <w:rFonts w:hAnsi="宋体" w:cs="宋体"/>
          <w:bCs/>
          <w:szCs w:val="24"/>
          <w:highlight w:val="none"/>
        </w:rPr>
      </w:pPr>
      <w:r>
        <w:rPr>
          <w:rFonts w:hint="eastAsia" w:hAnsi="宋体" w:cs="宋体"/>
          <w:bCs/>
          <w:szCs w:val="24"/>
          <w:highlight w:val="none"/>
        </w:rPr>
        <w:t>项目名称：</w:t>
      </w:r>
    </w:p>
    <w:p>
      <w:pPr>
        <w:spacing w:line="360" w:lineRule="auto"/>
        <w:rPr>
          <w:rFonts w:hAnsi="宋体" w:cs="宋体"/>
          <w:bCs/>
          <w:szCs w:val="24"/>
          <w:highlight w:val="none"/>
        </w:rPr>
      </w:pPr>
      <w:r>
        <w:rPr>
          <w:rFonts w:hint="eastAsia" w:hAnsi="宋体" w:cs="宋体"/>
          <w:bCs/>
          <w:szCs w:val="24"/>
          <w:highlight w:val="none"/>
        </w:rPr>
        <w:t>项目编号：</w:t>
      </w:r>
    </w:p>
    <w:tbl>
      <w:tblPr>
        <w:tblStyle w:val="21"/>
        <w:tblW w:w="8930" w:type="dxa"/>
        <w:tblInd w:w="0" w:type="dxa"/>
        <w:tblLayout w:type="fixed"/>
        <w:tblCellMar>
          <w:top w:w="0" w:type="dxa"/>
          <w:left w:w="28" w:type="dxa"/>
          <w:bottom w:w="0" w:type="dxa"/>
          <w:right w:w="28" w:type="dxa"/>
        </w:tblCellMar>
      </w:tblPr>
      <w:tblGrid>
        <w:gridCol w:w="886"/>
        <w:gridCol w:w="1863"/>
        <w:gridCol w:w="2250"/>
        <w:gridCol w:w="1311"/>
        <w:gridCol w:w="1307"/>
        <w:gridCol w:w="1313"/>
      </w:tblGrid>
      <w:tr>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pPr>
              <w:spacing w:after="120"/>
              <w:jc w:val="center"/>
              <w:rPr>
                <w:rFonts w:hAnsi="宋体" w:cs="宋体"/>
                <w:highlight w:val="none"/>
              </w:rPr>
            </w:pPr>
            <w:r>
              <w:rPr>
                <w:rFonts w:hint="eastAsia" w:hAnsi="宋体" w:cs="宋体"/>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Ansi="宋体" w:cs="宋体"/>
                <w:highlight w:val="none"/>
              </w:rPr>
            </w:pPr>
            <w:r>
              <w:rPr>
                <w:rFonts w:hint="eastAsia" w:hAnsi="宋体" w:cs="宋体"/>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pPr>
              <w:spacing w:before="156" w:beforeLines="50" w:after="120"/>
              <w:jc w:val="center"/>
              <w:rPr>
                <w:rFonts w:hAnsi="宋体" w:cs="宋体"/>
                <w:highlight w:val="none"/>
              </w:rPr>
            </w:pPr>
            <w:r>
              <w:rPr>
                <w:rFonts w:hint="eastAsia" w:hAnsi="宋体" w:cs="宋体"/>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Ansi="宋体" w:cs="宋体"/>
                <w:highlight w:val="none"/>
              </w:rPr>
            </w:pPr>
            <w:r>
              <w:rPr>
                <w:rFonts w:hint="eastAsia" w:hAnsi="宋体" w:cs="宋体"/>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Ansi="宋体" w:cs="宋体"/>
                <w:highlight w:val="none"/>
              </w:rPr>
            </w:pPr>
            <w:r>
              <w:rPr>
                <w:rFonts w:hint="eastAsia" w:hAnsi="宋体" w:cs="宋体"/>
                <w:highlight w:val="none"/>
              </w:rPr>
              <w:t>单价</w:t>
            </w:r>
          </w:p>
          <w:p>
            <w:pPr>
              <w:spacing w:after="120"/>
              <w:jc w:val="center"/>
              <w:rPr>
                <w:rFonts w:hAnsi="宋体" w:cs="宋体"/>
                <w:bCs/>
                <w:highlight w:val="none"/>
              </w:rPr>
            </w:pPr>
            <w:r>
              <w:rPr>
                <w:rFonts w:hint="eastAsia" w:hAnsi="宋体" w:cs="宋体"/>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Ansi="宋体" w:cs="宋体"/>
                <w:bCs/>
                <w:highlight w:val="none"/>
              </w:rPr>
            </w:pPr>
            <w:r>
              <w:rPr>
                <w:rFonts w:hint="eastAsia" w:hAnsi="宋体" w:cs="宋体"/>
                <w:bCs/>
                <w:highlight w:val="none"/>
              </w:rPr>
              <w:t>总价</w:t>
            </w:r>
          </w:p>
          <w:p>
            <w:pPr>
              <w:spacing w:after="120"/>
              <w:jc w:val="center"/>
              <w:rPr>
                <w:rFonts w:hAnsi="宋体" w:cs="宋体"/>
                <w:bCs/>
                <w:highlight w:val="none"/>
              </w:rPr>
            </w:pPr>
            <w:r>
              <w:rPr>
                <w:rFonts w:hint="eastAsia" w:hAnsi="宋体" w:cs="宋体"/>
                <w:bCs/>
                <w:highlight w:val="none"/>
              </w:rPr>
              <w:t>（元）</w:t>
            </w:r>
          </w:p>
        </w:tc>
      </w:tr>
      <w:tr>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pPr>
              <w:spacing w:before="312" w:beforeLines="100"/>
              <w:jc w:val="center"/>
              <w:rPr>
                <w:rFonts w:hAnsi="宋体" w:cs="宋体"/>
                <w:highlight w:val="none"/>
              </w:rPr>
            </w:pPr>
            <w:r>
              <w:rPr>
                <w:rFonts w:hint="eastAsia" w:hAnsi="宋体" w:cs="宋体"/>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hAnsi="宋体" w:cs="宋体"/>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hAnsi="宋体" w:cs="宋体"/>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hAnsi="宋体" w:cs="宋体"/>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hAnsi="宋体" w:cs="宋体"/>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hAnsi="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hAnsi="宋体" w:cs="宋体"/>
                <w:highlight w:val="none"/>
              </w:rPr>
            </w:pPr>
            <w:r>
              <w:rPr>
                <w:rFonts w:hint="eastAsia" w:hAnsi="宋体" w:cs="宋体"/>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312" w:beforeLines="10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hAnsi="宋体" w:cs="宋体"/>
                <w:highlight w:val="none"/>
              </w:rPr>
            </w:pPr>
            <w:r>
              <w:rPr>
                <w:rFonts w:hint="eastAsia" w:hAnsi="宋体" w:cs="宋体"/>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312" w:beforeLines="10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hAnsi="宋体" w:cs="宋体"/>
                <w:highlight w:val="none"/>
              </w:rPr>
            </w:pPr>
            <w:r>
              <w:rPr>
                <w:rFonts w:hint="eastAsia" w:hAnsi="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hAnsi="宋体" w:cs="宋体"/>
                <w:b/>
                <w:highlight w:val="none"/>
              </w:rPr>
            </w:pPr>
            <w:r>
              <w:rPr>
                <w:rFonts w:hint="eastAsia" w:hAnsi="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pPr>
              <w:jc w:val="center"/>
              <w:rPr>
                <w:rFonts w:hAnsi="宋体" w:cs="宋体"/>
                <w:highlight w:val="none"/>
              </w:rPr>
            </w:pPr>
            <w:r>
              <w:rPr>
                <w:rFonts w:hint="eastAsia" w:hAnsi="宋体" w:cs="宋体"/>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pPr>
              <w:spacing w:before="156" w:beforeLines="50"/>
              <w:jc w:val="left"/>
              <w:rPr>
                <w:rFonts w:hAnsi="宋体" w:cs="宋体"/>
                <w:highlight w:val="none"/>
              </w:rPr>
            </w:pPr>
            <w:r>
              <w:rPr>
                <w:rFonts w:hint="eastAsia" w:hAnsi="宋体" w:cs="宋体"/>
                <w:highlight w:val="none"/>
              </w:rPr>
              <w:t>大写：                                小写：</w:t>
            </w: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pPr>
              <w:jc w:val="center"/>
              <w:rPr>
                <w:rFonts w:hAnsi="宋体" w:cs="宋体"/>
                <w:highlight w:val="none"/>
              </w:rPr>
            </w:pPr>
            <w:r>
              <w:rPr>
                <w:rFonts w:hint="eastAsia" w:hAnsi="宋体" w:cs="宋体"/>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r>
              <w:rPr>
                <w:rFonts w:hint="eastAsia" w:hAnsi="宋体" w:cs="宋体"/>
                <w:spacing w:val="-6"/>
                <w:highlight w:val="none"/>
              </w:rPr>
              <w:t>保留小数点后两位。</w:t>
            </w:r>
          </w:p>
        </w:tc>
      </w:tr>
    </w:tbl>
    <w:p>
      <w:pPr>
        <w:adjustRightInd w:val="0"/>
        <w:snapToGrid w:val="0"/>
        <w:spacing w:line="360" w:lineRule="auto"/>
        <w:rPr>
          <w:rFonts w:hAnsi="宋体" w:cs="宋体"/>
          <w:szCs w:val="21"/>
          <w:highlight w:val="none"/>
        </w:rPr>
      </w:pPr>
    </w:p>
    <w:p>
      <w:pPr>
        <w:adjustRightInd w:val="0"/>
        <w:snapToGrid w:val="0"/>
        <w:spacing w:line="360" w:lineRule="auto"/>
        <w:rPr>
          <w:rFonts w:hAnsi="宋体" w:cs="宋体"/>
          <w:bCs/>
          <w:szCs w:val="21"/>
          <w:highlight w:val="none"/>
        </w:rPr>
      </w:pPr>
      <w:r>
        <w:rPr>
          <w:rFonts w:hint="eastAsia" w:hAnsi="宋体" w:cs="宋体"/>
          <w:szCs w:val="21"/>
          <w:highlight w:val="none"/>
        </w:rPr>
        <w:t>说明：</w:t>
      </w:r>
      <w:r>
        <w:rPr>
          <w:rFonts w:hint="eastAsia" w:hAnsi="宋体" w:cs="宋体"/>
          <w:bCs/>
          <w:szCs w:val="21"/>
          <w:highlight w:val="none"/>
        </w:rPr>
        <w:t>1、</w:t>
      </w:r>
      <w:r>
        <w:rPr>
          <w:rFonts w:hint="eastAsia" w:hAnsi="宋体" w:cs="宋体"/>
          <w:szCs w:val="21"/>
          <w:highlight w:val="none"/>
        </w:rPr>
        <w:t>供应商提供的属于节能、环境标志产品品目清单中优先采购的产品，须按磋商文件要求提供相关证明材料。</w:t>
      </w:r>
    </w:p>
    <w:p>
      <w:pPr>
        <w:pStyle w:val="34"/>
        <w:spacing w:line="400" w:lineRule="exact"/>
        <w:ind w:left="480" w:leftChars="200" w:firstLine="240" w:firstLineChars="100"/>
        <w:rPr>
          <w:rFonts w:hAnsi="宋体" w:cs="宋体"/>
          <w:sz w:val="28"/>
          <w:szCs w:val="28"/>
          <w:highlight w:val="none"/>
        </w:rPr>
      </w:pPr>
      <w:r>
        <w:rPr>
          <w:rFonts w:hint="eastAsia" w:hAnsi="宋体" w:cs="宋体"/>
          <w:bCs/>
          <w:highlight w:val="none"/>
        </w:rPr>
        <w:t>2、未按上述要求提供、</w:t>
      </w:r>
      <w:r>
        <w:rPr>
          <w:rFonts w:hint="eastAsia" w:hAnsi="宋体" w:cs="宋体"/>
          <w:highlight w:val="none"/>
        </w:rPr>
        <w:t>填写</w:t>
      </w:r>
      <w:r>
        <w:rPr>
          <w:rFonts w:hint="eastAsia" w:hAnsi="宋体" w:cs="宋体"/>
          <w:bCs/>
          <w:highlight w:val="none"/>
        </w:rPr>
        <w:t>的，评审时不予以考虑。</w:t>
      </w:r>
    </w:p>
    <w:p>
      <w:pPr>
        <w:spacing w:before="100" w:beforeAutospacing="1" w:after="156" w:afterLines="50" w:line="360" w:lineRule="auto"/>
        <w:rPr>
          <w:rFonts w:hAnsi="宋体" w:cs="宋体"/>
          <w:b/>
          <w:bCs/>
          <w:spacing w:val="6"/>
          <w:sz w:val="30"/>
          <w:szCs w:val="30"/>
          <w:highlight w:val="none"/>
        </w:rPr>
      </w:pPr>
      <w:r>
        <w:rPr>
          <w:rFonts w:hint="eastAsia" w:hAnsi="宋体" w:cs="宋体"/>
          <w:szCs w:val="24"/>
          <w:highlight w:val="none"/>
        </w:rPr>
        <w:br w:type="page"/>
      </w:r>
      <w:r>
        <w:rPr>
          <w:rFonts w:hint="eastAsia" w:hAnsi="宋体" w:cs="宋体"/>
          <w:b/>
          <w:bCs/>
          <w:spacing w:val="6"/>
          <w:sz w:val="30"/>
          <w:szCs w:val="30"/>
          <w:highlight w:val="none"/>
        </w:rPr>
        <w:t>附件</w:t>
      </w:r>
      <w:r>
        <w:rPr>
          <w:rFonts w:hint="eastAsia" w:hAnsi="宋体" w:cs="宋体"/>
          <w:b/>
          <w:bCs/>
          <w:spacing w:val="6"/>
          <w:sz w:val="30"/>
          <w:szCs w:val="30"/>
          <w:highlight w:val="none"/>
          <w:lang w:val="en-US" w:eastAsia="zh-CN"/>
        </w:rPr>
        <w:t>5</w:t>
      </w:r>
      <w:r>
        <w:rPr>
          <w:rFonts w:hint="eastAsia" w:hAnsi="宋体" w:cs="宋体"/>
          <w:b/>
          <w:bCs/>
          <w:spacing w:val="6"/>
          <w:sz w:val="30"/>
          <w:szCs w:val="30"/>
          <w:highlight w:val="none"/>
        </w:rPr>
        <w:t>（如有）：</w:t>
      </w:r>
    </w:p>
    <w:p>
      <w:pPr>
        <w:spacing w:line="588" w:lineRule="exact"/>
        <w:jc w:val="center"/>
        <w:rPr>
          <w:rFonts w:hAnsi="宋体" w:cs="宋体"/>
          <w:b/>
          <w:spacing w:val="6"/>
          <w:sz w:val="32"/>
          <w:szCs w:val="32"/>
          <w:highlight w:val="none"/>
        </w:rPr>
      </w:pPr>
      <w:bookmarkStart w:id="86" w:name="OLE_LINK14"/>
      <w:bookmarkStart w:id="87" w:name="OLE_LINK13"/>
      <w:r>
        <w:rPr>
          <w:rFonts w:hint="eastAsia" w:hAnsi="宋体" w:cs="宋体"/>
          <w:b/>
          <w:spacing w:val="6"/>
          <w:sz w:val="32"/>
          <w:szCs w:val="32"/>
          <w:highlight w:val="none"/>
        </w:rPr>
        <w:t>残疾人福利性单位声明函</w:t>
      </w:r>
    </w:p>
    <w:bookmarkEnd w:id="86"/>
    <w:bookmarkEnd w:id="87"/>
    <w:p>
      <w:pPr>
        <w:spacing w:line="588" w:lineRule="exact"/>
        <w:rPr>
          <w:rFonts w:hAnsi="宋体" w:cs="宋体"/>
          <w:b/>
          <w:spacing w:val="6"/>
          <w:sz w:val="30"/>
          <w:szCs w:val="30"/>
          <w:highlight w:val="none"/>
        </w:rPr>
      </w:pPr>
    </w:p>
    <w:p>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pPr>
        <w:spacing w:line="588" w:lineRule="exact"/>
        <w:ind w:firstLine="504" w:firstLineChars="200"/>
        <w:rPr>
          <w:rFonts w:hAnsi="宋体" w:cs="宋体"/>
          <w:spacing w:val="6"/>
          <w:szCs w:val="24"/>
          <w:highlight w:val="none"/>
        </w:rPr>
      </w:pPr>
    </w:p>
    <w:p>
      <w:pPr>
        <w:spacing w:line="588" w:lineRule="exact"/>
        <w:ind w:firstLine="504" w:firstLineChars="200"/>
        <w:rPr>
          <w:rFonts w:hAnsi="宋体" w:cs="宋体"/>
          <w:spacing w:val="6"/>
          <w:szCs w:val="24"/>
          <w:highlight w:val="none"/>
        </w:rPr>
      </w:pPr>
    </w:p>
    <w:p>
      <w:pPr>
        <w:spacing w:line="588" w:lineRule="exact"/>
        <w:ind w:firstLine="504" w:firstLineChars="200"/>
        <w:rPr>
          <w:rFonts w:hAnsi="宋体" w:cs="宋体"/>
          <w:spacing w:val="6"/>
          <w:szCs w:val="24"/>
          <w:highlight w:val="none"/>
        </w:rPr>
      </w:pPr>
    </w:p>
    <w:p>
      <w:pPr>
        <w:spacing w:line="588" w:lineRule="exact"/>
        <w:ind w:firstLine="504" w:firstLineChars="200"/>
        <w:rPr>
          <w:rFonts w:hAnsi="宋体" w:cs="宋体"/>
          <w:spacing w:val="6"/>
          <w:szCs w:val="24"/>
          <w:highlight w:val="none"/>
        </w:rPr>
      </w:pPr>
    </w:p>
    <w:p>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pPr>
        <w:tabs>
          <w:tab w:val="left" w:pos="2488"/>
        </w:tabs>
        <w:jc w:val="left"/>
        <w:rPr>
          <w:rFonts w:hAnsi="宋体" w:cs="宋体"/>
          <w:b/>
          <w:sz w:val="28"/>
          <w:szCs w:val="28"/>
          <w:highlight w:val="none"/>
        </w:rPr>
      </w:pPr>
      <w:r>
        <w:rPr>
          <w:rFonts w:hint="eastAsia" w:hAnsi="宋体" w:cs="宋体"/>
          <w:highlight w:val="none"/>
        </w:rPr>
        <w:br w:type="page"/>
      </w:r>
      <w:r>
        <w:rPr>
          <w:rFonts w:hint="eastAsia" w:hAnsi="宋体" w:cs="宋体"/>
          <w:b/>
          <w:sz w:val="28"/>
          <w:szCs w:val="28"/>
          <w:highlight w:val="none"/>
        </w:rPr>
        <w:t>附件</w:t>
      </w:r>
      <w:r>
        <w:rPr>
          <w:rFonts w:hint="eastAsia" w:hAnsi="宋体" w:cs="宋体"/>
          <w:b/>
          <w:sz w:val="28"/>
          <w:szCs w:val="28"/>
          <w:highlight w:val="none"/>
          <w:lang w:val="en-US" w:eastAsia="zh-CN"/>
        </w:rPr>
        <w:t>6</w:t>
      </w:r>
      <w:r>
        <w:rPr>
          <w:rFonts w:hint="eastAsia" w:hAnsi="宋体" w:cs="宋体"/>
          <w:b/>
          <w:sz w:val="28"/>
          <w:szCs w:val="28"/>
          <w:highlight w:val="none"/>
        </w:rPr>
        <w:t>：（参考格式）</w:t>
      </w:r>
    </w:p>
    <w:p>
      <w:pPr>
        <w:spacing w:line="550" w:lineRule="exact"/>
        <w:jc w:val="center"/>
        <w:rPr>
          <w:rFonts w:hAnsi="宋体" w:cs="宋体"/>
          <w:b/>
          <w:bCs/>
          <w:sz w:val="32"/>
          <w:szCs w:val="32"/>
          <w:highlight w:val="none"/>
        </w:rPr>
      </w:pPr>
      <w:r>
        <w:rPr>
          <w:rFonts w:hint="eastAsia" w:hAnsi="宋体" w:cs="宋体"/>
          <w:b/>
          <w:bCs/>
          <w:sz w:val="32"/>
          <w:szCs w:val="32"/>
          <w:highlight w:val="none"/>
        </w:rPr>
        <w:t>磋商担保函</w:t>
      </w:r>
    </w:p>
    <w:p>
      <w:pPr>
        <w:rPr>
          <w:rFonts w:hAnsi="宋体" w:cs="宋体"/>
          <w:szCs w:val="32"/>
          <w:highlight w:val="none"/>
        </w:rPr>
      </w:pPr>
      <w:r>
        <w:rPr>
          <w:rFonts w:hint="eastAsia" w:hAnsi="宋体" w:cs="宋体"/>
          <w:szCs w:val="32"/>
          <w:highlight w:val="none"/>
        </w:rPr>
        <w:t xml:space="preserve">                                         </w:t>
      </w:r>
    </w:p>
    <w:p>
      <w:pPr>
        <w:jc w:val="center"/>
        <w:rPr>
          <w:rFonts w:hAnsi="宋体" w:cs="宋体"/>
          <w:szCs w:val="32"/>
          <w:highlight w:val="none"/>
        </w:rPr>
      </w:pPr>
      <w:r>
        <w:rPr>
          <w:rFonts w:hint="eastAsia" w:hAnsi="宋体" w:cs="宋体"/>
          <w:szCs w:val="32"/>
          <w:highlight w:val="none"/>
        </w:rPr>
        <w:t xml:space="preserve">                     </w:t>
      </w:r>
      <w:r>
        <w:rPr>
          <w:rFonts w:hint="eastAsia" w:hAnsi="宋体" w:cs="宋体"/>
          <w:szCs w:val="24"/>
          <w:highlight w:val="none"/>
        </w:rPr>
        <w:t xml:space="preserve">         编号： </w:t>
      </w:r>
    </w:p>
    <w:p>
      <w:pPr>
        <w:rPr>
          <w:rFonts w:hAnsi="宋体" w:cs="宋体"/>
          <w:szCs w:val="32"/>
          <w:highlight w:val="none"/>
          <w:u w:val="single"/>
        </w:rPr>
      </w:pPr>
    </w:p>
    <w:p>
      <w:pPr>
        <w:spacing w:line="360" w:lineRule="auto"/>
        <w:rPr>
          <w:rFonts w:hAnsi="宋体" w:cs="宋体"/>
          <w:szCs w:val="24"/>
          <w:highlight w:val="none"/>
        </w:rPr>
      </w:pPr>
      <w:r>
        <w:rPr>
          <w:rFonts w:hint="eastAsia" w:hAnsi="宋体" w:cs="宋体"/>
          <w:szCs w:val="24"/>
          <w:highlight w:val="none"/>
        </w:rPr>
        <w:t xml:space="preserve">___________________（采购人或采购代理机构）： </w:t>
      </w:r>
    </w:p>
    <w:p>
      <w:pPr>
        <w:spacing w:line="360" w:lineRule="auto"/>
        <w:ind w:firstLine="480" w:firstLineChars="200"/>
        <w:rPr>
          <w:rFonts w:hAnsi="宋体" w:cs="宋体"/>
          <w:szCs w:val="24"/>
          <w:highlight w:val="none"/>
        </w:rPr>
      </w:pPr>
      <w:r>
        <w:rPr>
          <w:rFonts w:hint="eastAsia" w:hAnsi="宋体" w:cs="宋体"/>
          <w:szCs w:val="24"/>
          <w:highlight w:val="none"/>
        </w:rPr>
        <w:t xml:space="preserve">鉴于_______________（以下简称“供应商”）拟参加编号为___________的________________________项目（以下简称“本项目”）磋商，根据本项目竞争性磋商文件，供应商参加磋商时应向你方交纳磋商保证金，且可以磋商担保函的形式交纳磋商保证金。应供应商的申请，我方以保证的方式向你方提供如下磋商保证金担保： </w:t>
      </w:r>
    </w:p>
    <w:p>
      <w:pPr>
        <w:spacing w:line="360" w:lineRule="auto"/>
        <w:rPr>
          <w:rFonts w:hAnsi="宋体" w:cs="宋体"/>
          <w:b/>
          <w:szCs w:val="24"/>
          <w:highlight w:val="none"/>
        </w:rPr>
      </w:pPr>
      <w:r>
        <w:rPr>
          <w:rFonts w:hint="eastAsia" w:hAnsi="宋体" w:cs="宋体"/>
          <w:szCs w:val="24"/>
          <w:highlight w:val="none"/>
        </w:rPr>
        <w:t xml:space="preserve">   </w:t>
      </w:r>
      <w:r>
        <w:rPr>
          <w:rFonts w:hint="eastAsia" w:hAnsi="宋体" w:cs="宋体"/>
          <w:b/>
          <w:szCs w:val="24"/>
          <w:highlight w:val="none"/>
        </w:rPr>
        <w:t xml:space="preserve"> 一、保证责任的情形及保证金额 </w:t>
      </w:r>
    </w:p>
    <w:p>
      <w:pPr>
        <w:spacing w:line="360" w:lineRule="auto"/>
        <w:rPr>
          <w:rFonts w:hAnsi="宋体" w:cs="宋体"/>
          <w:szCs w:val="24"/>
          <w:highlight w:val="none"/>
        </w:rPr>
      </w:pPr>
      <w:r>
        <w:rPr>
          <w:rFonts w:hint="eastAsia" w:hAnsi="宋体" w:cs="宋体"/>
          <w:szCs w:val="24"/>
          <w:highlight w:val="none"/>
        </w:rPr>
        <w:t xml:space="preserve">   （一）在供应商出现下列情形之一时，我方承担保证责任： </w:t>
      </w:r>
    </w:p>
    <w:p>
      <w:pPr>
        <w:spacing w:line="360" w:lineRule="auto"/>
        <w:rPr>
          <w:rFonts w:hAnsi="宋体" w:cs="宋体"/>
          <w:szCs w:val="24"/>
          <w:highlight w:val="none"/>
        </w:rPr>
      </w:pPr>
      <w:r>
        <w:rPr>
          <w:rFonts w:hint="eastAsia" w:hAnsi="宋体" w:cs="宋体"/>
          <w:szCs w:val="24"/>
          <w:highlight w:val="none"/>
        </w:rPr>
        <w:t xml:space="preserve">    1．成交后供应商无正当理由不与采购人或者采购代理机构签订《政府采购合同》； </w:t>
      </w:r>
    </w:p>
    <w:p>
      <w:pPr>
        <w:spacing w:line="360" w:lineRule="auto"/>
        <w:rPr>
          <w:rFonts w:hAnsi="宋体" w:cs="宋体"/>
          <w:szCs w:val="24"/>
          <w:highlight w:val="none"/>
        </w:rPr>
      </w:pPr>
      <w:r>
        <w:rPr>
          <w:rFonts w:hint="eastAsia" w:hAnsi="宋体" w:cs="宋体"/>
          <w:szCs w:val="24"/>
          <w:highlight w:val="none"/>
        </w:rPr>
        <w:t xml:space="preserve">    2．竞争性磋商文件规定的供应商应当缴纳保证金的其他情形。 </w:t>
      </w:r>
    </w:p>
    <w:p>
      <w:pPr>
        <w:spacing w:line="360" w:lineRule="auto"/>
        <w:ind w:firstLine="480" w:firstLineChars="200"/>
        <w:jc w:val="left"/>
        <w:rPr>
          <w:rFonts w:hAnsi="宋体" w:cs="宋体"/>
          <w:szCs w:val="24"/>
          <w:highlight w:val="none"/>
        </w:rPr>
      </w:pPr>
      <w:r>
        <w:rPr>
          <w:rFonts w:hint="eastAsia" w:hAnsi="宋体" w:cs="宋体"/>
          <w:szCs w:val="24"/>
          <w:highlight w:val="none"/>
        </w:rPr>
        <w:t xml:space="preserve">  （二）我方承担保证责任的最高金额为人民币______元（大写_____________），即本项目的磋商保证金金额。 </w:t>
      </w:r>
    </w:p>
    <w:p>
      <w:pPr>
        <w:spacing w:line="360" w:lineRule="auto"/>
        <w:rPr>
          <w:rFonts w:hAnsi="宋体" w:cs="宋体"/>
          <w:b/>
          <w:szCs w:val="24"/>
          <w:highlight w:val="none"/>
        </w:rPr>
      </w:pPr>
      <w:r>
        <w:rPr>
          <w:rFonts w:hint="eastAsia" w:hAnsi="宋体" w:cs="宋体"/>
          <w:szCs w:val="24"/>
          <w:highlight w:val="none"/>
        </w:rPr>
        <w:t xml:space="preserve">   </w:t>
      </w:r>
      <w:r>
        <w:rPr>
          <w:rFonts w:hint="eastAsia" w:hAnsi="宋体" w:cs="宋体"/>
          <w:b/>
          <w:szCs w:val="24"/>
          <w:highlight w:val="none"/>
        </w:rPr>
        <w:t xml:space="preserve"> 二、保证的方式及保证期间 </w:t>
      </w:r>
    </w:p>
    <w:p>
      <w:pPr>
        <w:spacing w:line="360" w:lineRule="auto"/>
        <w:rPr>
          <w:rFonts w:hAnsi="宋体" w:cs="宋体"/>
          <w:szCs w:val="24"/>
          <w:highlight w:val="none"/>
        </w:rPr>
      </w:pPr>
      <w:r>
        <w:rPr>
          <w:rFonts w:hint="eastAsia" w:hAnsi="宋体" w:cs="宋体"/>
          <w:szCs w:val="24"/>
          <w:highlight w:val="none"/>
        </w:rPr>
        <w:t xml:space="preserve">    我方保证的方式为：连带责任保证。 </w:t>
      </w:r>
    </w:p>
    <w:p>
      <w:pPr>
        <w:spacing w:line="360" w:lineRule="auto"/>
        <w:rPr>
          <w:rFonts w:hAnsi="宋体" w:cs="宋体"/>
          <w:szCs w:val="24"/>
          <w:highlight w:val="none"/>
        </w:rPr>
      </w:pPr>
      <w:r>
        <w:rPr>
          <w:rFonts w:hint="eastAsia" w:hAnsi="宋体" w:cs="宋体"/>
          <w:szCs w:val="24"/>
          <w:highlight w:val="none"/>
        </w:rPr>
        <w:t xml:space="preserve">    我方的保证期间为：自本保函生效之日起______个月止。 </w:t>
      </w:r>
    </w:p>
    <w:p>
      <w:pPr>
        <w:spacing w:line="360" w:lineRule="auto"/>
        <w:rPr>
          <w:rFonts w:hAnsi="宋体" w:cs="宋体"/>
          <w:b/>
          <w:szCs w:val="24"/>
          <w:highlight w:val="none"/>
        </w:rPr>
      </w:pPr>
      <w:r>
        <w:rPr>
          <w:rFonts w:hint="eastAsia" w:hAnsi="宋体" w:cs="宋体"/>
          <w:szCs w:val="24"/>
          <w:highlight w:val="none"/>
        </w:rPr>
        <w:t xml:space="preserve">   </w:t>
      </w:r>
      <w:r>
        <w:rPr>
          <w:rFonts w:hint="eastAsia" w:hAnsi="宋体" w:cs="宋体"/>
          <w:b/>
          <w:szCs w:val="24"/>
          <w:highlight w:val="none"/>
        </w:rPr>
        <w:t xml:space="preserve"> 三、承担保证责任的程序 </w:t>
      </w:r>
    </w:p>
    <w:p>
      <w:pPr>
        <w:spacing w:line="360" w:lineRule="auto"/>
        <w:rPr>
          <w:rFonts w:hAnsi="宋体" w:cs="宋体"/>
          <w:szCs w:val="24"/>
          <w:highlight w:val="none"/>
        </w:rPr>
      </w:pPr>
      <w:r>
        <w:rPr>
          <w:rFonts w:hint="eastAsia" w:hAnsi="宋体" w:cs="宋体"/>
          <w:szCs w:val="24"/>
          <w:highlight w:val="none"/>
        </w:rPr>
        <w:t xml:space="preserve">    1．你方要求我方承担保证责任的，应在本保函保证期间内向我方发出书面索赔通知。索赔通知应写明要求索赔的金额，支付款项应到达的账号，并附有证明供应商发生我方应承担保证责任情形的事实材料。 </w:t>
      </w:r>
    </w:p>
    <w:p>
      <w:pPr>
        <w:spacing w:line="360" w:lineRule="auto"/>
        <w:rPr>
          <w:rFonts w:hAnsi="宋体" w:cs="宋体"/>
          <w:szCs w:val="24"/>
          <w:highlight w:val="none"/>
        </w:rPr>
      </w:pPr>
      <w:r>
        <w:rPr>
          <w:rFonts w:hint="eastAsia" w:hAnsi="宋体" w:cs="宋体"/>
          <w:szCs w:val="24"/>
          <w:highlight w:val="none"/>
        </w:rPr>
        <w:t xml:space="preserve">    2．我方在收到索赔通知及相关证明材料后，在_____个工作日内进行审查，符合应承担保证责任情形的，我方应按照你方的要求代供应商向你方支付磋商保证金。 </w:t>
      </w:r>
    </w:p>
    <w:p>
      <w:pPr>
        <w:spacing w:line="360" w:lineRule="auto"/>
        <w:rPr>
          <w:rFonts w:hAnsi="宋体" w:cs="宋体"/>
          <w:b/>
          <w:szCs w:val="24"/>
          <w:highlight w:val="none"/>
        </w:rPr>
      </w:pPr>
      <w:r>
        <w:rPr>
          <w:rFonts w:hint="eastAsia" w:hAnsi="宋体" w:cs="宋体"/>
          <w:b/>
          <w:szCs w:val="24"/>
          <w:highlight w:val="none"/>
        </w:rPr>
        <w:t xml:space="preserve">    四、保证责任的终止 </w:t>
      </w:r>
    </w:p>
    <w:p>
      <w:pPr>
        <w:spacing w:line="360" w:lineRule="auto"/>
        <w:rPr>
          <w:rFonts w:hAnsi="宋体" w:cs="宋体"/>
          <w:szCs w:val="24"/>
          <w:highlight w:val="none"/>
        </w:rPr>
      </w:pPr>
      <w:r>
        <w:rPr>
          <w:rFonts w:hint="eastAsia" w:hAnsi="宋体" w:cs="宋体"/>
          <w:szCs w:val="24"/>
          <w:highlight w:val="none"/>
        </w:rPr>
        <w:t xml:space="preserve">    1．保证期间届满你方未向我方书面主张保证责任的，自保证期间届满次日起，我方保证责任自动终止。 </w:t>
      </w:r>
    </w:p>
    <w:p>
      <w:pPr>
        <w:spacing w:line="360" w:lineRule="auto"/>
        <w:rPr>
          <w:rFonts w:hAnsi="宋体" w:cs="宋体"/>
          <w:szCs w:val="24"/>
          <w:highlight w:val="none"/>
        </w:rPr>
      </w:pPr>
      <w:r>
        <w:rPr>
          <w:rFonts w:hint="eastAsia" w:hAnsi="宋体" w:cs="宋体"/>
          <w:szCs w:val="24"/>
          <w:highlight w:val="none"/>
        </w:rPr>
        <w:t xml:space="preserve">    2．我方按照本保函向你方履行了保证责任后，自我方向你方支付款项（支付款项从我方账户划出）之日起，保证责任终止。 </w:t>
      </w:r>
    </w:p>
    <w:p>
      <w:pPr>
        <w:spacing w:line="360" w:lineRule="auto"/>
        <w:rPr>
          <w:rFonts w:hAnsi="宋体" w:cs="宋体"/>
          <w:szCs w:val="24"/>
          <w:highlight w:val="none"/>
        </w:rPr>
      </w:pPr>
      <w:r>
        <w:rPr>
          <w:rFonts w:hint="eastAsia" w:hAnsi="宋体" w:cs="宋体"/>
          <w:szCs w:val="24"/>
          <w:highlight w:val="none"/>
        </w:rPr>
        <w:t xml:space="preserve">    3．按照法律法规的规定或出现我方保证责任终止的其它情形的，我方在本保函项下的保证责任亦终止。 </w:t>
      </w:r>
    </w:p>
    <w:p>
      <w:pPr>
        <w:spacing w:line="360" w:lineRule="auto"/>
        <w:rPr>
          <w:rFonts w:hAnsi="宋体" w:cs="宋体"/>
          <w:b/>
          <w:szCs w:val="24"/>
          <w:highlight w:val="none"/>
        </w:rPr>
      </w:pPr>
      <w:r>
        <w:rPr>
          <w:rFonts w:hint="eastAsia" w:hAnsi="宋体" w:cs="宋体"/>
          <w:b/>
          <w:szCs w:val="24"/>
          <w:highlight w:val="none"/>
        </w:rPr>
        <w:t xml:space="preserve">    五、免责条款 </w:t>
      </w:r>
    </w:p>
    <w:p>
      <w:pPr>
        <w:spacing w:line="360" w:lineRule="auto"/>
        <w:rPr>
          <w:rFonts w:hAnsi="宋体" w:cs="宋体"/>
          <w:szCs w:val="24"/>
          <w:highlight w:val="none"/>
        </w:rPr>
      </w:pPr>
      <w:r>
        <w:rPr>
          <w:rFonts w:hint="eastAsia" w:hAnsi="宋体" w:cs="宋体"/>
          <w:szCs w:val="24"/>
          <w:highlight w:val="none"/>
        </w:rPr>
        <w:t xml:space="preserve">    1．依照法律规定或你方与供应商的另行约定，全部或者部分免除供应商磋商保证金义务时，我方亦免除相应的保证责任。 </w:t>
      </w:r>
    </w:p>
    <w:p>
      <w:pPr>
        <w:spacing w:line="360" w:lineRule="auto"/>
        <w:rPr>
          <w:rFonts w:hAnsi="宋体" w:cs="宋体"/>
          <w:szCs w:val="24"/>
          <w:highlight w:val="none"/>
        </w:rPr>
      </w:pPr>
      <w:r>
        <w:rPr>
          <w:rFonts w:hint="eastAsia" w:hAnsi="宋体" w:cs="宋体"/>
          <w:szCs w:val="24"/>
          <w:highlight w:val="none"/>
        </w:rPr>
        <w:t xml:space="preserve">    2．因你方原因致使供应商发生本保函第一条第（一）款约定情形的，我方不承担保证责任。 </w:t>
      </w:r>
    </w:p>
    <w:p>
      <w:pPr>
        <w:spacing w:line="360" w:lineRule="auto"/>
        <w:rPr>
          <w:rFonts w:hAnsi="宋体" w:cs="宋体"/>
          <w:szCs w:val="24"/>
          <w:highlight w:val="none"/>
        </w:rPr>
      </w:pPr>
      <w:r>
        <w:rPr>
          <w:rFonts w:hint="eastAsia" w:hAnsi="宋体" w:cs="宋体"/>
          <w:szCs w:val="24"/>
          <w:highlight w:val="none"/>
        </w:rPr>
        <w:t xml:space="preserve">    3．因不可抗力造成供应商发生本保函第一条约定情形的，我方不承担保证责任。 </w:t>
      </w:r>
    </w:p>
    <w:p>
      <w:pPr>
        <w:spacing w:line="360" w:lineRule="auto"/>
        <w:rPr>
          <w:rFonts w:hAnsi="宋体" w:cs="宋体"/>
          <w:szCs w:val="24"/>
          <w:highlight w:val="none"/>
        </w:rPr>
      </w:pPr>
      <w:r>
        <w:rPr>
          <w:rFonts w:hint="eastAsia" w:hAnsi="宋体" w:cs="宋体"/>
          <w:szCs w:val="24"/>
          <w:highlight w:val="none"/>
        </w:rPr>
        <w:t xml:space="preserve">    4．你方或其他有权机关对竞争性磋商文件进行任何澄清或修改，加重我方保证责任的，我方对加重部分不承担保证责任，但该澄清或修改经我方事先书面同意的除外。 </w:t>
      </w:r>
    </w:p>
    <w:p>
      <w:pPr>
        <w:spacing w:line="360" w:lineRule="auto"/>
        <w:rPr>
          <w:rFonts w:hAnsi="宋体" w:cs="宋体"/>
          <w:b/>
          <w:szCs w:val="24"/>
          <w:highlight w:val="none"/>
        </w:rPr>
      </w:pPr>
      <w:r>
        <w:rPr>
          <w:rFonts w:hint="eastAsia" w:hAnsi="宋体" w:cs="宋体"/>
          <w:szCs w:val="24"/>
          <w:highlight w:val="none"/>
        </w:rPr>
        <w:t xml:space="preserve">   </w:t>
      </w:r>
      <w:r>
        <w:rPr>
          <w:rFonts w:hint="eastAsia" w:hAnsi="宋体" w:cs="宋体"/>
          <w:b/>
          <w:szCs w:val="24"/>
          <w:highlight w:val="none"/>
        </w:rPr>
        <w:t xml:space="preserve"> 六、争议的解决 </w:t>
      </w:r>
    </w:p>
    <w:p>
      <w:pPr>
        <w:spacing w:line="360" w:lineRule="auto"/>
        <w:rPr>
          <w:rFonts w:hAnsi="宋体" w:cs="宋体"/>
          <w:szCs w:val="24"/>
          <w:highlight w:val="none"/>
        </w:rPr>
      </w:pPr>
      <w:r>
        <w:rPr>
          <w:rFonts w:hint="eastAsia" w:hAnsi="宋体" w:cs="宋体"/>
          <w:szCs w:val="24"/>
          <w:highlight w:val="none"/>
        </w:rPr>
        <w:t xml:space="preserve">    因本保函发生的纠纷，由你我双方协商解决，协商不成的，通过诉讼程序解决，诉讼管辖地法院为________________法院。 </w:t>
      </w:r>
    </w:p>
    <w:p>
      <w:pPr>
        <w:spacing w:line="360" w:lineRule="auto"/>
        <w:rPr>
          <w:rFonts w:hAnsi="宋体" w:cs="宋体"/>
          <w:b/>
          <w:szCs w:val="24"/>
          <w:highlight w:val="none"/>
        </w:rPr>
      </w:pPr>
      <w:r>
        <w:rPr>
          <w:rFonts w:hint="eastAsia" w:hAnsi="宋体" w:cs="宋体"/>
          <w:b/>
          <w:szCs w:val="24"/>
          <w:highlight w:val="none"/>
        </w:rPr>
        <w:t xml:space="preserve">    七、保函的生效 </w:t>
      </w:r>
    </w:p>
    <w:p>
      <w:pPr>
        <w:spacing w:line="360" w:lineRule="auto"/>
        <w:rPr>
          <w:rFonts w:hAnsi="宋体" w:cs="宋体"/>
          <w:szCs w:val="24"/>
          <w:highlight w:val="none"/>
        </w:rPr>
      </w:pPr>
      <w:r>
        <w:rPr>
          <w:rFonts w:hint="eastAsia" w:hAnsi="宋体" w:cs="宋体"/>
          <w:szCs w:val="24"/>
          <w:highlight w:val="none"/>
        </w:rPr>
        <w:t xml:space="preserve">    本保函自我方加盖公章之日起生效。 </w:t>
      </w:r>
    </w:p>
    <w:p>
      <w:pPr>
        <w:spacing w:line="360" w:lineRule="auto"/>
        <w:rPr>
          <w:rFonts w:hAnsi="宋体" w:cs="宋体"/>
          <w:szCs w:val="24"/>
          <w:highlight w:val="none"/>
        </w:rPr>
      </w:pPr>
      <w:r>
        <w:rPr>
          <w:rFonts w:hint="eastAsia" w:hAnsi="宋体" w:cs="宋体"/>
          <w:szCs w:val="24"/>
          <w:highlight w:val="none"/>
        </w:rPr>
        <w:t xml:space="preserve"> </w:t>
      </w:r>
    </w:p>
    <w:p>
      <w:pPr>
        <w:spacing w:line="360" w:lineRule="auto"/>
        <w:rPr>
          <w:rFonts w:hAnsi="宋体" w:cs="宋体"/>
          <w:szCs w:val="24"/>
          <w:highlight w:val="none"/>
        </w:rPr>
      </w:pPr>
    </w:p>
    <w:p>
      <w:pPr>
        <w:spacing w:line="360" w:lineRule="auto"/>
        <w:ind w:right="640" w:firstLine="3840" w:firstLineChars="1600"/>
        <w:rPr>
          <w:rFonts w:hAnsi="宋体" w:cs="宋体"/>
          <w:szCs w:val="24"/>
          <w:highlight w:val="none"/>
        </w:rPr>
      </w:pPr>
      <w:r>
        <w:rPr>
          <w:rFonts w:hint="eastAsia" w:hAnsi="宋体" w:cs="宋体"/>
          <w:szCs w:val="24"/>
          <w:highlight w:val="none"/>
        </w:rPr>
        <w:t>保证人：（公章）</w:t>
      </w:r>
    </w:p>
    <w:p>
      <w:pPr>
        <w:spacing w:line="360" w:lineRule="auto"/>
        <w:ind w:right="640"/>
        <w:rPr>
          <w:rFonts w:hAnsi="宋体" w:cs="宋体"/>
          <w:szCs w:val="24"/>
          <w:highlight w:val="none"/>
        </w:rPr>
      </w:pPr>
      <w:r>
        <w:rPr>
          <w:rFonts w:hint="eastAsia" w:hAnsi="宋体" w:cs="宋体"/>
          <w:szCs w:val="24"/>
          <w:highlight w:val="none"/>
        </w:rPr>
        <w:t xml:space="preserve">                              年     月      日</w:t>
      </w:r>
    </w:p>
    <w:p>
      <w:pPr>
        <w:spacing w:line="360" w:lineRule="auto"/>
        <w:rPr>
          <w:rFonts w:hAnsi="宋体" w:cs="宋体"/>
          <w:szCs w:val="24"/>
          <w:highlight w:val="none"/>
        </w:rPr>
      </w:pPr>
    </w:p>
    <w:p>
      <w:pPr>
        <w:spacing w:line="360" w:lineRule="auto"/>
        <w:rPr>
          <w:rFonts w:hAnsi="宋体" w:cs="宋体"/>
          <w:szCs w:val="24"/>
          <w:highlight w:val="none"/>
        </w:rPr>
      </w:pPr>
    </w:p>
    <w:p>
      <w:pPr>
        <w:spacing w:line="360" w:lineRule="auto"/>
        <w:rPr>
          <w:rFonts w:hAnsi="宋体" w:cs="宋体"/>
          <w:szCs w:val="24"/>
          <w:highlight w:val="none"/>
        </w:rPr>
      </w:pPr>
    </w:p>
    <w:p>
      <w:pPr>
        <w:spacing w:line="360" w:lineRule="auto"/>
        <w:rPr>
          <w:rFonts w:hAnsi="宋体" w:cs="宋体"/>
          <w:szCs w:val="24"/>
          <w:highlight w:val="none"/>
        </w:rPr>
      </w:pPr>
    </w:p>
    <w:p>
      <w:pPr>
        <w:spacing w:line="360" w:lineRule="auto"/>
        <w:rPr>
          <w:rFonts w:hAnsi="宋体" w:cs="宋体"/>
          <w:szCs w:val="24"/>
          <w:highlight w:val="none"/>
        </w:rPr>
      </w:pPr>
    </w:p>
    <w:p>
      <w:pPr>
        <w:spacing w:line="360" w:lineRule="auto"/>
        <w:rPr>
          <w:rFonts w:hAnsi="宋体" w:cs="宋体"/>
          <w:szCs w:val="24"/>
          <w:highlight w:val="none"/>
        </w:rPr>
      </w:pPr>
    </w:p>
    <w:p>
      <w:pPr>
        <w:spacing w:line="360" w:lineRule="auto"/>
        <w:rPr>
          <w:rFonts w:hAnsi="宋体" w:cs="宋体"/>
          <w:szCs w:val="24"/>
          <w:highlight w:val="none"/>
        </w:rPr>
      </w:pPr>
    </w:p>
    <w:p>
      <w:pPr>
        <w:spacing w:line="360" w:lineRule="auto"/>
        <w:rPr>
          <w:rFonts w:hAnsi="宋体" w:cs="宋体"/>
          <w:szCs w:val="24"/>
          <w:highlight w:val="none"/>
        </w:rPr>
      </w:pPr>
    </w:p>
    <w:p>
      <w:pPr>
        <w:spacing w:line="360" w:lineRule="auto"/>
        <w:rPr>
          <w:rFonts w:hAnsi="宋体" w:cs="宋体"/>
          <w:szCs w:val="24"/>
          <w:highlight w:val="none"/>
        </w:rPr>
      </w:pPr>
    </w:p>
    <w:p>
      <w:pPr>
        <w:spacing w:line="360" w:lineRule="auto"/>
        <w:rPr>
          <w:rFonts w:hAnsi="宋体" w:cs="宋体"/>
          <w:szCs w:val="24"/>
          <w:highlight w:val="none"/>
        </w:rPr>
      </w:pPr>
    </w:p>
    <w:p>
      <w:pPr>
        <w:spacing w:line="360" w:lineRule="auto"/>
        <w:rPr>
          <w:rFonts w:hAnsi="宋体" w:cs="宋体"/>
          <w:szCs w:val="24"/>
          <w:highlight w:val="none"/>
        </w:rPr>
      </w:pPr>
    </w:p>
    <w:p>
      <w:pPr>
        <w:spacing w:line="360" w:lineRule="auto"/>
        <w:rPr>
          <w:rFonts w:hAnsi="宋体" w:cs="宋体"/>
          <w:b/>
          <w:sz w:val="28"/>
          <w:szCs w:val="28"/>
          <w:highlight w:val="none"/>
        </w:rPr>
      </w:pPr>
      <w:r>
        <w:rPr>
          <w:rFonts w:hint="eastAsia" w:hAnsi="宋体" w:cs="宋体"/>
          <w:b/>
          <w:sz w:val="28"/>
          <w:szCs w:val="28"/>
          <w:highlight w:val="none"/>
        </w:rPr>
        <w:t>附件</w:t>
      </w:r>
      <w:r>
        <w:rPr>
          <w:rFonts w:hint="eastAsia" w:hAnsi="宋体" w:cs="宋体"/>
          <w:b/>
          <w:sz w:val="28"/>
          <w:szCs w:val="28"/>
          <w:highlight w:val="none"/>
          <w:lang w:val="en-US" w:eastAsia="zh-CN"/>
        </w:rPr>
        <w:t>7</w:t>
      </w:r>
      <w:r>
        <w:rPr>
          <w:rFonts w:hint="eastAsia" w:hAnsi="宋体" w:cs="宋体"/>
          <w:b/>
          <w:sz w:val="28"/>
          <w:szCs w:val="28"/>
          <w:highlight w:val="none"/>
        </w:rPr>
        <w:t>：</w:t>
      </w:r>
    </w:p>
    <w:p>
      <w:pPr>
        <w:jc w:val="center"/>
        <w:rPr>
          <w:rFonts w:hAnsi="宋体" w:cs="宋体"/>
          <w:b/>
          <w:bCs/>
          <w:sz w:val="44"/>
          <w:szCs w:val="44"/>
          <w:highlight w:val="none"/>
        </w:rPr>
      </w:pPr>
      <w:r>
        <w:rPr>
          <w:rFonts w:hint="eastAsia" w:hAnsi="宋体" w:cs="宋体"/>
          <w:b/>
          <w:bCs/>
          <w:sz w:val="44"/>
          <w:szCs w:val="44"/>
          <w:highlight w:val="none"/>
        </w:rPr>
        <w:t>质疑函范本</w:t>
      </w:r>
    </w:p>
    <w:p>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pPr>
        <w:adjustRightInd w:val="0"/>
        <w:snapToGrid w:val="0"/>
        <w:spacing w:line="360" w:lineRule="auto"/>
        <w:rPr>
          <w:rFonts w:hAnsi="宋体" w:cs="宋体"/>
          <w:szCs w:val="24"/>
          <w:highlight w:val="none"/>
        </w:rPr>
      </w:pPr>
      <w:r>
        <w:rPr>
          <w:rFonts w:hint="eastAsia" w:hAnsi="宋体" w:cs="宋体"/>
          <w:szCs w:val="24"/>
          <w:highlight w:val="none"/>
        </w:rPr>
        <w:t>……</w:t>
      </w:r>
    </w:p>
    <w:p>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pPr>
        <w:rPr>
          <w:rFonts w:hAnsi="宋体" w:cs="宋体"/>
          <w:szCs w:val="24"/>
          <w:highlight w:val="none"/>
        </w:rPr>
      </w:pPr>
      <w:r>
        <w:rPr>
          <w:rFonts w:hint="eastAsia" w:hAnsi="宋体" w:cs="宋体"/>
          <w:szCs w:val="24"/>
          <w:highlight w:val="none"/>
        </w:rPr>
        <w:t xml:space="preserve">签字(签章)：                   公章：                      </w:t>
      </w:r>
    </w:p>
    <w:p>
      <w:pPr>
        <w:rPr>
          <w:rFonts w:hAnsi="宋体" w:cs="宋体"/>
          <w:szCs w:val="24"/>
          <w:highlight w:val="none"/>
        </w:rPr>
      </w:pPr>
      <w:r>
        <w:rPr>
          <w:rFonts w:hint="eastAsia" w:hAnsi="宋体" w:cs="宋体"/>
          <w:szCs w:val="24"/>
          <w:highlight w:val="none"/>
        </w:rPr>
        <w:t xml:space="preserve">日期：    </w:t>
      </w:r>
    </w:p>
    <w:p>
      <w:pPr>
        <w:jc w:val="center"/>
        <w:rPr>
          <w:rFonts w:hAnsi="宋体" w:cs="宋体"/>
          <w:b/>
          <w:sz w:val="44"/>
          <w:szCs w:val="44"/>
          <w:highlight w:val="none"/>
        </w:rPr>
      </w:pPr>
    </w:p>
    <w:p>
      <w:pPr>
        <w:jc w:val="center"/>
        <w:rPr>
          <w:rFonts w:hAnsi="宋体" w:cs="宋体"/>
          <w:b/>
          <w:sz w:val="44"/>
          <w:szCs w:val="44"/>
          <w:highlight w:val="none"/>
        </w:rPr>
      </w:pPr>
    </w:p>
    <w:p>
      <w:pPr>
        <w:jc w:val="center"/>
        <w:rPr>
          <w:rFonts w:hAnsi="宋体" w:cs="宋体"/>
          <w:b/>
          <w:sz w:val="44"/>
          <w:szCs w:val="44"/>
          <w:highlight w:val="none"/>
        </w:rPr>
      </w:pPr>
      <w:r>
        <w:rPr>
          <w:rFonts w:hint="eastAsia" w:hAnsi="宋体" w:cs="宋体"/>
          <w:b/>
          <w:sz w:val="44"/>
          <w:szCs w:val="44"/>
          <w:highlight w:val="none"/>
        </w:rPr>
        <w:t>投诉书范本</w:t>
      </w:r>
    </w:p>
    <w:p>
      <w:pPr>
        <w:rPr>
          <w:rFonts w:hAnsi="宋体" w:cs="宋体"/>
          <w:szCs w:val="24"/>
          <w:highlight w:val="none"/>
        </w:rPr>
      </w:pPr>
      <w:r>
        <w:rPr>
          <w:rFonts w:hint="eastAsia" w:hAnsi="宋体" w:cs="宋体"/>
          <w:szCs w:val="24"/>
          <w:highlight w:val="none"/>
        </w:rPr>
        <w:t>一、投诉相关主体基本情况</w:t>
      </w:r>
    </w:p>
    <w:p>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rPr>
      </w:pPr>
      <w:r>
        <w:rPr>
          <w:rFonts w:hint="eastAsia" w:hAnsi="宋体" w:cs="宋体"/>
          <w:szCs w:val="24"/>
          <w:highlight w:val="none"/>
        </w:rPr>
        <w:t>被投诉人2</w:t>
      </w:r>
    </w:p>
    <w:p>
      <w:pPr>
        <w:rPr>
          <w:rFonts w:hAnsi="宋体" w:cs="宋体"/>
          <w:szCs w:val="24"/>
          <w:highlight w:val="none"/>
          <w:u w:val="dotted"/>
        </w:rPr>
      </w:pPr>
      <w:r>
        <w:rPr>
          <w:rFonts w:hint="eastAsia" w:hAnsi="宋体" w:cs="宋体"/>
          <w:szCs w:val="24"/>
          <w:highlight w:val="none"/>
        </w:rPr>
        <w:t>……</w:t>
      </w:r>
    </w:p>
    <w:p>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rPr>
      </w:pPr>
      <w:r>
        <w:rPr>
          <w:rFonts w:hint="eastAsia" w:hAnsi="宋体" w:cs="宋体"/>
          <w:szCs w:val="24"/>
          <w:highlight w:val="none"/>
        </w:rPr>
        <w:t>二、投诉项目基本情况</w:t>
      </w:r>
    </w:p>
    <w:p>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pPr>
        <w:rPr>
          <w:rFonts w:hAnsi="宋体" w:cs="宋体"/>
          <w:szCs w:val="24"/>
          <w:highlight w:val="none"/>
        </w:rPr>
      </w:pPr>
      <w:r>
        <w:rPr>
          <w:rFonts w:hint="eastAsia" w:hAnsi="宋体" w:cs="宋体"/>
          <w:szCs w:val="24"/>
          <w:highlight w:val="none"/>
        </w:rPr>
        <w:t>三、质疑基本情况</w:t>
      </w:r>
    </w:p>
    <w:p>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pPr>
        <w:rPr>
          <w:rFonts w:hAnsi="宋体" w:cs="宋体"/>
          <w:szCs w:val="24"/>
          <w:highlight w:val="none"/>
        </w:rPr>
      </w:pPr>
      <w:r>
        <w:rPr>
          <w:rFonts w:hint="eastAsia" w:hAnsi="宋体" w:cs="宋体"/>
          <w:szCs w:val="24"/>
          <w:highlight w:val="none"/>
        </w:rPr>
        <w:t>四、投诉事项具体内容</w:t>
      </w:r>
    </w:p>
    <w:p>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pPr>
        <w:rPr>
          <w:rFonts w:hAnsi="宋体" w:cs="宋体"/>
          <w:szCs w:val="24"/>
          <w:highlight w:val="none"/>
          <w:u w:val="dotted"/>
        </w:rPr>
      </w:pPr>
      <w:r>
        <w:rPr>
          <w:rFonts w:hint="eastAsia" w:hAnsi="宋体" w:cs="宋体"/>
          <w:szCs w:val="24"/>
          <w:highlight w:val="none"/>
          <w:u w:val="dotted"/>
        </w:rPr>
        <w:t xml:space="preserve">                                                      </w:t>
      </w:r>
    </w:p>
    <w:p>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pPr>
        <w:rPr>
          <w:rFonts w:hAnsi="宋体" w:cs="宋体"/>
          <w:szCs w:val="24"/>
          <w:highlight w:val="none"/>
          <w:u w:val="dotted"/>
        </w:rPr>
      </w:pPr>
      <w:r>
        <w:rPr>
          <w:rFonts w:hint="eastAsia" w:hAnsi="宋体" w:cs="宋体"/>
          <w:szCs w:val="24"/>
          <w:highlight w:val="none"/>
          <w:u w:val="dotted"/>
        </w:rPr>
        <w:t xml:space="preserve">                                                      </w:t>
      </w:r>
    </w:p>
    <w:p>
      <w:pPr>
        <w:rPr>
          <w:rFonts w:hAnsi="宋体" w:cs="宋体"/>
          <w:szCs w:val="24"/>
          <w:highlight w:val="none"/>
        </w:rPr>
      </w:pPr>
      <w:r>
        <w:rPr>
          <w:rFonts w:hint="eastAsia" w:hAnsi="宋体" w:cs="宋体"/>
          <w:szCs w:val="24"/>
          <w:highlight w:val="none"/>
        </w:rPr>
        <w:t>投诉事项2</w:t>
      </w:r>
    </w:p>
    <w:p>
      <w:pPr>
        <w:rPr>
          <w:rFonts w:hAnsi="宋体" w:cs="宋体"/>
          <w:szCs w:val="24"/>
          <w:highlight w:val="none"/>
          <w:u w:val="dotted"/>
        </w:rPr>
      </w:pPr>
      <w:r>
        <w:rPr>
          <w:rFonts w:hint="eastAsia" w:hAnsi="宋体" w:cs="宋体"/>
          <w:szCs w:val="24"/>
          <w:highlight w:val="none"/>
        </w:rPr>
        <w:t>……</w:t>
      </w:r>
    </w:p>
    <w:p>
      <w:pPr>
        <w:rPr>
          <w:rFonts w:hAnsi="宋体" w:cs="宋体"/>
          <w:szCs w:val="24"/>
          <w:highlight w:val="none"/>
        </w:rPr>
      </w:pPr>
      <w:r>
        <w:rPr>
          <w:rFonts w:hint="eastAsia" w:hAnsi="宋体" w:cs="宋体"/>
          <w:szCs w:val="24"/>
          <w:highlight w:val="none"/>
        </w:rPr>
        <w:t>五、与投诉事项相关的投诉请求</w:t>
      </w:r>
    </w:p>
    <w:p>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pPr>
        <w:rPr>
          <w:rFonts w:hAnsi="宋体" w:cs="宋体"/>
          <w:szCs w:val="24"/>
          <w:highlight w:val="none"/>
          <w:u w:val="single"/>
        </w:rPr>
      </w:pPr>
      <w:r>
        <w:rPr>
          <w:rFonts w:hint="eastAsia" w:hAnsi="宋体" w:cs="宋体"/>
          <w:szCs w:val="24"/>
          <w:highlight w:val="none"/>
        </w:rPr>
        <w:t xml:space="preserve">                                                                                                    </w:t>
      </w:r>
    </w:p>
    <w:p>
      <w:pPr>
        <w:rPr>
          <w:rFonts w:hAnsi="宋体" w:cs="宋体"/>
          <w:szCs w:val="24"/>
          <w:highlight w:val="none"/>
        </w:rPr>
      </w:pPr>
      <w:r>
        <w:rPr>
          <w:rFonts w:hint="eastAsia" w:hAnsi="宋体" w:cs="宋体"/>
          <w:szCs w:val="24"/>
          <w:highlight w:val="none"/>
        </w:rPr>
        <w:t xml:space="preserve">签字(签章)：                   公章：                      </w:t>
      </w:r>
    </w:p>
    <w:p>
      <w:pPr>
        <w:rPr>
          <w:rFonts w:hAnsi="宋体" w:cs="宋体"/>
          <w:szCs w:val="24"/>
          <w:highlight w:val="none"/>
        </w:rPr>
      </w:pPr>
      <w:r>
        <w:rPr>
          <w:rFonts w:hint="eastAsia" w:hAnsi="宋体" w:cs="宋体"/>
          <w:szCs w:val="24"/>
          <w:highlight w:val="none"/>
        </w:rPr>
        <w:t xml:space="preserve">日期：                      </w:t>
      </w:r>
      <w:r>
        <w:rPr>
          <w:rFonts w:hint="eastAsia" w:hAnsi="宋体" w:cs="宋体"/>
          <w:szCs w:val="24"/>
          <w:highlight w:val="none"/>
        </w:rPr>
        <w:tab/>
      </w:r>
    </w:p>
    <w:sectPr>
      <w:footerReference r:id="rId11" w:type="first"/>
      <w:headerReference r:id="rId9" w:type="default"/>
      <w:footerReference r:id="rId10" w:type="default"/>
      <w:pgSz w:w="11906" w:h="16838"/>
      <w:pgMar w:top="1304" w:right="1361" w:bottom="1304"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auto"/>
    <w:pitch w:val="default"/>
    <w:sig w:usb0="00000000"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 xml:space="preserve">陕西至诚招标咨询有限公司                         </w:t>
    </w:r>
    <w:r>
      <w:rPr>
        <w:rFonts w:hint="eastAsia"/>
      </w:rPr>
      <w:tab/>
    </w:r>
    <w:r>
      <w:rPr>
        <w:rFonts w:hint="eastAsia"/>
      </w:rPr>
      <w:t xml:space="preserve">         西安市西安市高新区高新路25号瑞欣大厦6楼A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55</w:t>
                    </w:r>
                    <w:r>
                      <w:fldChar w:fldCharType="end"/>
                    </w:r>
                  </w:p>
                </w:txbxContent>
              </v:textbox>
            </v:shape>
          </w:pict>
        </mc:Fallback>
      </mc:AlternateContent>
    </w:r>
  </w:p>
  <w:p>
    <w:pPr>
      <w:pStyle w:val="15"/>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left="1530" w:hanging="1530" w:hangingChars="850"/>
      <w:jc w:val="left"/>
      <w:rPr>
        <w:rFonts w:hAnsi="宋体"/>
        <w:bCs/>
        <w:sz w:val="18"/>
        <w:szCs w:val="18"/>
        <w:u w:val="single"/>
      </w:rPr>
    </w:pPr>
    <w:r>
      <w:rPr>
        <w:rFonts w:hint="eastAsia" w:hAnsi="宋体"/>
        <w:bCs/>
        <w:sz w:val="18"/>
        <w:szCs w:val="18"/>
        <w:u w:val="single"/>
        <w:lang w:eastAsia="zh-CN"/>
      </w:rPr>
      <w:t>宁陕县广货街镇漫沟民宿区基础配套项目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jc w:val="left"/>
      <w:rPr>
        <w:rFonts w:hAnsi="宋体"/>
        <w:bCs/>
        <w:u w:val="single"/>
      </w:rPr>
    </w:pPr>
    <w:r>
      <w:rPr>
        <w:rFonts w:hint="eastAsia" w:hAnsi="宋体"/>
        <w:bCs/>
        <w:sz w:val="18"/>
        <w:szCs w:val="18"/>
        <w:u w:val="single"/>
        <w:lang w:eastAsia="zh-CN"/>
      </w:rPr>
      <w:t>宁陕县广货街镇漫沟民宿区基础配套项目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hint="eastAsia" w:ascii="Times New Roman" w:hAnsi="Times New Roman" w:cs="宋体"/>
        <w:bCs/>
        <w:shd w:val="clear" w:color="auto" w:fill="FFFFFF"/>
      </w:rPr>
    </w:pPr>
  </w:p>
  <w:p>
    <w:pPr>
      <w:pStyle w:val="16"/>
      <w:jc w:val="left"/>
      <w:rPr>
        <w:rFonts w:ascii="宋体" w:hAnsi="宋体"/>
        <w:bCs/>
      </w:rPr>
    </w:pPr>
    <w:r>
      <w:rPr>
        <w:rFonts w:hint="eastAsia" w:cs="宋体"/>
        <w:bCs/>
        <w:shd w:val="clear" w:color="auto" w:fill="FFFFFF"/>
        <w:lang w:eastAsia="zh-CN"/>
      </w:rPr>
      <w:t>宁陕县广货街镇漫沟民宿区基础配套项目</w:t>
    </w:r>
    <w:r>
      <w:rPr>
        <w:rFonts w:hint="eastAsia" w:ascii="Times New Roman" w:hAnsi="Times New Roman" w:cs="宋体"/>
        <w:bCs/>
        <w:shd w:val="clear" w:color="auto" w:fill="FFFFFF"/>
      </w:rPr>
      <w:t xml:space="preserve">      </w:t>
    </w:r>
    <w:r>
      <w:rPr>
        <w:rFonts w:hint="eastAsia" w:cs="宋体"/>
        <w:bCs/>
        <w:shd w:val="clear" w:color="auto" w:fill="FFFFFF"/>
      </w:rPr>
      <w:t xml:space="preserve">                     </w:t>
    </w:r>
    <w:r>
      <w:rPr>
        <w:rFonts w:hint="eastAsia" w:cs="宋体"/>
        <w:bCs/>
        <w:shd w:val="clear" w:color="auto" w:fill="FFFFFF"/>
        <w:lang w:val="en-US" w:eastAsia="zh-CN"/>
      </w:rPr>
      <w:t xml:space="preserve">                         </w:t>
    </w:r>
    <w:r>
      <w:rPr>
        <w:rFonts w:hint="eastAsia" w:cs="宋体"/>
        <w:bCs/>
        <w:shd w:val="clear" w:color="auto" w:fill="FFFFFF"/>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54B84"/>
    <w:multiLevelType w:val="singleLevel"/>
    <w:tmpl w:val="8F854B84"/>
    <w:lvl w:ilvl="0" w:tentative="0">
      <w:start w:val="1"/>
      <w:numFmt w:val="decimal"/>
      <w:suff w:val="nothing"/>
      <w:lvlText w:val="（%1）"/>
      <w:lvlJc w:val="left"/>
    </w:lvl>
  </w:abstractNum>
  <w:abstractNum w:abstractNumId="1">
    <w:nsid w:val="22E4BE67"/>
    <w:multiLevelType w:val="singleLevel"/>
    <w:tmpl w:val="22E4BE67"/>
    <w:lvl w:ilvl="0" w:tentative="0">
      <w:start w:val="2"/>
      <w:numFmt w:val="decimal"/>
      <w:suff w:val="nothing"/>
      <w:lvlText w:val="%1）"/>
      <w:lvlJc w:val="left"/>
    </w:lvl>
  </w:abstractNum>
  <w:abstractNum w:abstractNumId="2">
    <w:nsid w:val="3345DCC0"/>
    <w:multiLevelType w:val="singleLevel"/>
    <w:tmpl w:val="3345DCC0"/>
    <w:lvl w:ilvl="0" w:tentative="0">
      <w:start w:val="1"/>
      <w:numFmt w:val="decimal"/>
      <w:suff w:val="nothing"/>
      <w:lvlText w:val="%1）"/>
      <w:lvlJc w:val="left"/>
    </w:lvl>
  </w:abstractNum>
  <w:abstractNum w:abstractNumId="3">
    <w:nsid w:val="4DC1C2EF"/>
    <w:multiLevelType w:val="singleLevel"/>
    <w:tmpl w:val="4DC1C2EF"/>
    <w:lvl w:ilvl="0" w:tentative="0">
      <w:start w:val="1"/>
      <w:numFmt w:val="decimal"/>
      <w:suff w:val="nothing"/>
      <w:lvlText w:val="%1、"/>
      <w:lvlJc w:val="left"/>
    </w:lvl>
  </w:abstractNum>
  <w:abstractNum w:abstractNumId="4">
    <w:nsid w:val="5354ECB6"/>
    <w:multiLevelType w:val="singleLevel"/>
    <w:tmpl w:val="5354ECB6"/>
    <w:lvl w:ilvl="0" w:tentative="0">
      <w:start w:val="1"/>
      <w:numFmt w:val="decimal"/>
      <w:suff w:val="nothing"/>
      <w:lvlText w:val="%1、"/>
      <w:lvlJc w:val="left"/>
    </w:lvl>
  </w:abstractNum>
  <w:abstractNum w:abstractNumId="5">
    <w:nsid w:val="590049E8"/>
    <w:multiLevelType w:val="singleLevel"/>
    <w:tmpl w:val="590049E8"/>
    <w:lvl w:ilvl="0" w:tentative="0">
      <w:start w:val="30"/>
      <w:numFmt w:val="decimal"/>
      <w:suff w:val="nothing"/>
      <w:lvlText w:val="%1."/>
      <w:lvlJc w:val="left"/>
    </w:lvl>
  </w:abstractNum>
  <w:abstractNum w:abstractNumId="6">
    <w:nsid w:val="59B2460E"/>
    <w:multiLevelType w:val="singleLevel"/>
    <w:tmpl w:val="59B2460E"/>
    <w:lvl w:ilvl="0" w:tentative="0">
      <w:start w:val="2"/>
      <w:numFmt w:val="decimal"/>
      <w:suff w:val="nothing"/>
      <w:lvlText w:val="%1."/>
      <w:lvlJc w:val="left"/>
    </w:lvl>
  </w:abstractNum>
  <w:abstractNum w:abstractNumId="7">
    <w:nsid w:val="59CF0981"/>
    <w:multiLevelType w:val="singleLevel"/>
    <w:tmpl w:val="59CF0981"/>
    <w:lvl w:ilvl="0" w:tentative="0">
      <w:start w:val="1"/>
      <w:numFmt w:val="decimal"/>
      <w:suff w:val="nothing"/>
      <w:lvlText w:val="%1、"/>
      <w:lvlJc w:val="left"/>
    </w:lvl>
  </w:abstractNum>
  <w:num w:numId="1">
    <w:abstractNumId w:val="4"/>
  </w:num>
  <w:num w:numId="2">
    <w:abstractNumId w:val="6"/>
  </w:num>
  <w:num w:numId="3">
    <w:abstractNumId w:val="0"/>
  </w:num>
  <w:num w:numId="4">
    <w:abstractNumId w:val="5"/>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Tk2MTQyODg0ZDk5MTI0YWY4MGUzOGFjOTBhYWIifQ=="/>
  </w:docVars>
  <w:rsids>
    <w:rsidRoot w:val="004139B6"/>
    <w:rsid w:val="001564DA"/>
    <w:rsid w:val="00266952"/>
    <w:rsid w:val="002C09D8"/>
    <w:rsid w:val="004139B6"/>
    <w:rsid w:val="00517D1D"/>
    <w:rsid w:val="00C8092C"/>
    <w:rsid w:val="00C8642A"/>
    <w:rsid w:val="00CB20FF"/>
    <w:rsid w:val="00E20FEB"/>
    <w:rsid w:val="01246A25"/>
    <w:rsid w:val="01555A9A"/>
    <w:rsid w:val="0193039D"/>
    <w:rsid w:val="02EB00EA"/>
    <w:rsid w:val="030407EA"/>
    <w:rsid w:val="030A201D"/>
    <w:rsid w:val="044B49A4"/>
    <w:rsid w:val="04564D84"/>
    <w:rsid w:val="0489799B"/>
    <w:rsid w:val="05D75CDB"/>
    <w:rsid w:val="06652463"/>
    <w:rsid w:val="0701504F"/>
    <w:rsid w:val="08123EB3"/>
    <w:rsid w:val="08D21FF8"/>
    <w:rsid w:val="094C5141"/>
    <w:rsid w:val="09BA1268"/>
    <w:rsid w:val="0B7B588D"/>
    <w:rsid w:val="0C080095"/>
    <w:rsid w:val="0C9B2AB7"/>
    <w:rsid w:val="0CFB690B"/>
    <w:rsid w:val="0D995D7A"/>
    <w:rsid w:val="0DCC26DD"/>
    <w:rsid w:val="0E5630D7"/>
    <w:rsid w:val="0ED9256A"/>
    <w:rsid w:val="0EF115EC"/>
    <w:rsid w:val="0EF4651C"/>
    <w:rsid w:val="0F4F1D25"/>
    <w:rsid w:val="0F997A1F"/>
    <w:rsid w:val="10043C73"/>
    <w:rsid w:val="1095499B"/>
    <w:rsid w:val="11254FFC"/>
    <w:rsid w:val="11D44776"/>
    <w:rsid w:val="12C617E6"/>
    <w:rsid w:val="130B35CF"/>
    <w:rsid w:val="13864C2A"/>
    <w:rsid w:val="145872ED"/>
    <w:rsid w:val="15AD7F29"/>
    <w:rsid w:val="15B95237"/>
    <w:rsid w:val="16474784"/>
    <w:rsid w:val="16A13147"/>
    <w:rsid w:val="16AB52D4"/>
    <w:rsid w:val="1832167D"/>
    <w:rsid w:val="18AD56E9"/>
    <w:rsid w:val="18BD7413"/>
    <w:rsid w:val="191114F7"/>
    <w:rsid w:val="19644CBB"/>
    <w:rsid w:val="19747503"/>
    <w:rsid w:val="19C807C5"/>
    <w:rsid w:val="1AD6795F"/>
    <w:rsid w:val="1B0974F8"/>
    <w:rsid w:val="1B0C07FF"/>
    <w:rsid w:val="1B2D4AF7"/>
    <w:rsid w:val="1BDE6CFA"/>
    <w:rsid w:val="1C8B4CF2"/>
    <w:rsid w:val="1D2D3D9F"/>
    <w:rsid w:val="1E2C4947"/>
    <w:rsid w:val="1EB560F1"/>
    <w:rsid w:val="1EED73BF"/>
    <w:rsid w:val="1F2A5713"/>
    <w:rsid w:val="1F3708D8"/>
    <w:rsid w:val="20E04C24"/>
    <w:rsid w:val="211076ED"/>
    <w:rsid w:val="22E17783"/>
    <w:rsid w:val="236C3A89"/>
    <w:rsid w:val="24AE6EB4"/>
    <w:rsid w:val="24DD1172"/>
    <w:rsid w:val="255D05C3"/>
    <w:rsid w:val="257D4CA5"/>
    <w:rsid w:val="25D53DF3"/>
    <w:rsid w:val="26012612"/>
    <w:rsid w:val="26077449"/>
    <w:rsid w:val="26597F9E"/>
    <w:rsid w:val="27132728"/>
    <w:rsid w:val="271A213C"/>
    <w:rsid w:val="277D689B"/>
    <w:rsid w:val="279049CB"/>
    <w:rsid w:val="27AB4857"/>
    <w:rsid w:val="28181A6C"/>
    <w:rsid w:val="28253854"/>
    <w:rsid w:val="284335A5"/>
    <w:rsid w:val="28857B41"/>
    <w:rsid w:val="28936D4C"/>
    <w:rsid w:val="28E4238E"/>
    <w:rsid w:val="28EF66C3"/>
    <w:rsid w:val="2979293C"/>
    <w:rsid w:val="299720D9"/>
    <w:rsid w:val="2A8B6E31"/>
    <w:rsid w:val="2C363381"/>
    <w:rsid w:val="2C45579E"/>
    <w:rsid w:val="2D84697F"/>
    <w:rsid w:val="2DB7733C"/>
    <w:rsid w:val="2DC2204F"/>
    <w:rsid w:val="2DDB66AC"/>
    <w:rsid w:val="2E167114"/>
    <w:rsid w:val="2E265AE2"/>
    <w:rsid w:val="2E746297"/>
    <w:rsid w:val="2EED1018"/>
    <w:rsid w:val="2F2533C6"/>
    <w:rsid w:val="2F2B2FEB"/>
    <w:rsid w:val="2FB74F68"/>
    <w:rsid w:val="2FE56079"/>
    <w:rsid w:val="306A6183"/>
    <w:rsid w:val="30B96A80"/>
    <w:rsid w:val="314D5E4A"/>
    <w:rsid w:val="327978AB"/>
    <w:rsid w:val="329F48CA"/>
    <w:rsid w:val="32F55B7E"/>
    <w:rsid w:val="33FA289F"/>
    <w:rsid w:val="34681F9A"/>
    <w:rsid w:val="357E60E6"/>
    <w:rsid w:val="35A63938"/>
    <w:rsid w:val="36454B9A"/>
    <w:rsid w:val="364A01F9"/>
    <w:rsid w:val="36C9283B"/>
    <w:rsid w:val="384369FD"/>
    <w:rsid w:val="396B0C3E"/>
    <w:rsid w:val="39E14908"/>
    <w:rsid w:val="3AB17101"/>
    <w:rsid w:val="3AC42054"/>
    <w:rsid w:val="3BFA15F2"/>
    <w:rsid w:val="3C1922C9"/>
    <w:rsid w:val="3C5D4A50"/>
    <w:rsid w:val="3C780BEE"/>
    <w:rsid w:val="3D014345"/>
    <w:rsid w:val="3E0C2050"/>
    <w:rsid w:val="3E1B2720"/>
    <w:rsid w:val="3E296943"/>
    <w:rsid w:val="3EC7539C"/>
    <w:rsid w:val="3EE13F16"/>
    <w:rsid w:val="3F76250C"/>
    <w:rsid w:val="3FD324F1"/>
    <w:rsid w:val="400D7F7B"/>
    <w:rsid w:val="40952D44"/>
    <w:rsid w:val="40B91AE2"/>
    <w:rsid w:val="40D047EA"/>
    <w:rsid w:val="40D81C4A"/>
    <w:rsid w:val="426E2B33"/>
    <w:rsid w:val="42EA3D57"/>
    <w:rsid w:val="437B0D1B"/>
    <w:rsid w:val="4440544D"/>
    <w:rsid w:val="4484399B"/>
    <w:rsid w:val="44A31D9A"/>
    <w:rsid w:val="44D4651B"/>
    <w:rsid w:val="450E5A3D"/>
    <w:rsid w:val="46573473"/>
    <w:rsid w:val="46A23069"/>
    <w:rsid w:val="46B10F69"/>
    <w:rsid w:val="46E92D5E"/>
    <w:rsid w:val="472F0930"/>
    <w:rsid w:val="4737503E"/>
    <w:rsid w:val="47557753"/>
    <w:rsid w:val="479A7299"/>
    <w:rsid w:val="486852FA"/>
    <w:rsid w:val="49045422"/>
    <w:rsid w:val="496A6B29"/>
    <w:rsid w:val="49FD779B"/>
    <w:rsid w:val="4A1B043B"/>
    <w:rsid w:val="4A8B776D"/>
    <w:rsid w:val="4A9D0B5A"/>
    <w:rsid w:val="4B101917"/>
    <w:rsid w:val="4B1E6540"/>
    <w:rsid w:val="4B53115E"/>
    <w:rsid w:val="4B8D0E2D"/>
    <w:rsid w:val="4BB46130"/>
    <w:rsid w:val="4C1854F7"/>
    <w:rsid w:val="4CB7264B"/>
    <w:rsid w:val="4D7D3A4A"/>
    <w:rsid w:val="4D850ADA"/>
    <w:rsid w:val="4E260199"/>
    <w:rsid w:val="4E930995"/>
    <w:rsid w:val="4FB93093"/>
    <w:rsid w:val="5046410C"/>
    <w:rsid w:val="50B4521F"/>
    <w:rsid w:val="51360454"/>
    <w:rsid w:val="52324971"/>
    <w:rsid w:val="523D1183"/>
    <w:rsid w:val="53033E94"/>
    <w:rsid w:val="54160EF8"/>
    <w:rsid w:val="5448127D"/>
    <w:rsid w:val="55303AEA"/>
    <w:rsid w:val="55657708"/>
    <w:rsid w:val="55A86319"/>
    <w:rsid w:val="55CC44AC"/>
    <w:rsid w:val="55ED5BC1"/>
    <w:rsid w:val="567B0C4F"/>
    <w:rsid w:val="57F42634"/>
    <w:rsid w:val="58620795"/>
    <w:rsid w:val="592D716D"/>
    <w:rsid w:val="5A691DBF"/>
    <w:rsid w:val="5C440565"/>
    <w:rsid w:val="5C8A7A34"/>
    <w:rsid w:val="5CC55987"/>
    <w:rsid w:val="5CDC1DB2"/>
    <w:rsid w:val="5D467A6D"/>
    <w:rsid w:val="5DA54D35"/>
    <w:rsid w:val="5E392465"/>
    <w:rsid w:val="5F970F25"/>
    <w:rsid w:val="5FA60862"/>
    <w:rsid w:val="600E3469"/>
    <w:rsid w:val="607F33AE"/>
    <w:rsid w:val="6090130A"/>
    <w:rsid w:val="60A0510E"/>
    <w:rsid w:val="610B7306"/>
    <w:rsid w:val="61182410"/>
    <w:rsid w:val="62027240"/>
    <w:rsid w:val="62C5728E"/>
    <w:rsid w:val="64993338"/>
    <w:rsid w:val="64F352EC"/>
    <w:rsid w:val="65D77AEA"/>
    <w:rsid w:val="66055487"/>
    <w:rsid w:val="66265A06"/>
    <w:rsid w:val="665969A9"/>
    <w:rsid w:val="66BF79A6"/>
    <w:rsid w:val="66C44D53"/>
    <w:rsid w:val="66CA4043"/>
    <w:rsid w:val="6750787A"/>
    <w:rsid w:val="67553EFC"/>
    <w:rsid w:val="687156D7"/>
    <w:rsid w:val="68F04190"/>
    <w:rsid w:val="6A0236F7"/>
    <w:rsid w:val="6A227E13"/>
    <w:rsid w:val="6A256AD2"/>
    <w:rsid w:val="6A617611"/>
    <w:rsid w:val="6A82638A"/>
    <w:rsid w:val="6AFE1987"/>
    <w:rsid w:val="6B643355"/>
    <w:rsid w:val="6BAC7F04"/>
    <w:rsid w:val="6C1D6C32"/>
    <w:rsid w:val="6C7F7D07"/>
    <w:rsid w:val="6D8124F7"/>
    <w:rsid w:val="6E0664E3"/>
    <w:rsid w:val="6E606344"/>
    <w:rsid w:val="6E734E1A"/>
    <w:rsid w:val="6E901F9E"/>
    <w:rsid w:val="6EF75DF9"/>
    <w:rsid w:val="6FAA0B95"/>
    <w:rsid w:val="6FDA32FF"/>
    <w:rsid w:val="706209E2"/>
    <w:rsid w:val="70E22485"/>
    <w:rsid w:val="713C6B66"/>
    <w:rsid w:val="71655048"/>
    <w:rsid w:val="718F1CE1"/>
    <w:rsid w:val="71E62861"/>
    <w:rsid w:val="71FA70A7"/>
    <w:rsid w:val="72007C89"/>
    <w:rsid w:val="723517B8"/>
    <w:rsid w:val="72DB3D94"/>
    <w:rsid w:val="72DD3063"/>
    <w:rsid w:val="74C11DBF"/>
    <w:rsid w:val="75050630"/>
    <w:rsid w:val="750D7D7F"/>
    <w:rsid w:val="753931B4"/>
    <w:rsid w:val="754C478E"/>
    <w:rsid w:val="755E3A14"/>
    <w:rsid w:val="764977C5"/>
    <w:rsid w:val="77351123"/>
    <w:rsid w:val="773B116D"/>
    <w:rsid w:val="78F1191C"/>
    <w:rsid w:val="79E86507"/>
    <w:rsid w:val="7AB73B80"/>
    <w:rsid w:val="7BE544EC"/>
    <w:rsid w:val="7CE87A7F"/>
    <w:rsid w:val="7CF2547A"/>
    <w:rsid w:val="7D9F6013"/>
    <w:rsid w:val="7DE95769"/>
    <w:rsid w:val="7DF20C2B"/>
    <w:rsid w:val="7E805F67"/>
    <w:rsid w:val="7EA86A60"/>
    <w:rsid w:val="7F6031E1"/>
    <w:rsid w:val="7F776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paragraph" w:styleId="4">
    <w:name w:val="heading 2"/>
    <w:basedOn w:val="1"/>
    <w:next w:val="1"/>
    <w:qFormat/>
    <w:uiPriority w:val="0"/>
    <w:pPr>
      <w:keepNext/>
      <w:keepLines/>
      <w:widowControl/>
      <w:spacing w:before="260" w:after="260"/>
      <w:ind w:left="284"/>
      <w:jc w:val="left"/>
      <w:outlineLvl w:val="1"/>
    </w:pPr>
    <w:rPr>
      <w:rFonts w:ascii="Arial" w:hAnsi="Arial"/>
      <w:b/>
      <w:bCs/>
      <w:sz w:val="28"/>
      <w:szCs w:val="32"/>
    </w:rPr>
  </w:style>
  <w:style w:type="paragraph" w:styleId="5">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paragraph" w:styleId="6">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paragraph" w:styleId="8">
    <w:name w:val="Normal Indent"/>
    <w:basedOn w:val="1"/>
    <w:qFormat/>
    <w:uiPriority w:val="0"/>
    <w:pPr>
      <w:spacing w:line="300" w:lineRule="auto"/>
      <w:ind w:firstLine="420" w:firstLineChars="200"/>
    </w:pPr>
    <w:rPr>
      <w:rFonts w:ascii="Times New Roman"/>
      <w:kern w:val="2"/>
      <w:sz w:val="21"/>
      <w:szCs w:val="24"/>
    </w:rPr>
  </w:style>
  <w:style w:type="paragraph" w:styleId="9">
    <w:name w:val="Body Text 3"/>
    <w:basedOn w:val="1"/>
    <w:qFormat/>
    <w:uiPriority w:val="0"/>
    <w:pPr>
      <w:jc w:val="center"/>
    </w:pPr>
    <w:rPr>
      <w:rFonts w:ascii="Times New Roman"/>
      <w:b/>
      <w:spacing w:val="-20"/>
      <w:w w:val="110"/>
      <w:kern w:val="2"/>
      <w:sz w:val="52"/>
    </w:rPr>
  </w:style>
  <w:style w:type="paragraph" w:styleId="10">
    <w:name w:val="Body Text Indent"/>
    <w:basedOn w:val="1"/>
    <w:next w:val="11"/>
    <w:qFormat/>
    <w:uiPriority w:val="0"/>
    <w:pPr>
      <w:ind w:left="1083" w:leftChars="30" w:hanging="1020" w:hangingChars="425"/>
    </w:pPr>
    <w:rPr>
      <w:rFonts w:ascii="宋体" w:hAnsi="宋体"/>
      <w:sz w:val="24"/>
    </w:rPr>
  </w:style>
  <w:style w:type="paragraph" w:styleId="11">
    <w:name w:val="Body Text First Indent 2"/>
    <w:basedOn w:val="10"/>
    <w:next w:val="12"/>
    <w:qFormat/>
    <w:uiPriority w:val="0"/>
    <w:pPr>
      <w:spacing w:after="120"/>
      <w:ind w:left="420" w:leftChars="200" w:firstLine="420"/>
    </w:pPr>
    <w:rPr>
      <w:sz w:val="21"/>
    </w:rPr>
  </w:style>
  <w:style w:type="paragraph" w:styleId="12">
    <w:name w:val="Body Text First Indent"/>
    <w:basedOn w:val="1"/>
    <w:next w:val="1"/>
    <w:qFormat/>
    <w:uiPriority w:val="0"/>
    <w:pPr>
      <w:adjustRightInd w:val="0"/>
      <w:ind w:firstLine="420"/>
      <w:jc w:val="left"/>
      <w:textAlignment w:val="baseline"/>
    </w:pPr>
    <w:rPr>
      <w:b/>
      <w:kern w:val="0"/>
      <w:sz w:val="21"/>
    </w:rPr>
  </w:style>
  <w:style w:type="paragraph" w:styleId="13">
    <w:name w:val="Plain Text"/>
    <w:basedOn w:val="1"/>
    <w:qFormat/>
    <w:uiPriority w:val="0"/>
    <w:rPr>
      <w:rFonts w:hAnsi="Courier New"/>
      <w:kern w:val="2"/>
      <w:sz w:val="21"/>
    </w:rPr>
  </w:style>
  <w:style w:type="paragraph" w:styleId="14">
    <w:name w:val="Date"/>
    <w:basedOn w:val="1"/>
    <w:next w:val="1"/>
    <w:qFormat/>
    <w:uiPriority w:val="0"/>
    <w:rPr>
      <w:rFonts w:ascii="Times New Roman"/>
      <w:kern w:val="2"/>
      <w:sz w:val="28"/>
    </w:rPr>
  </w:style>
  <w:style w:type="paragraph" w:styleId="15">
    <w:name w:val="footer"/>
    <w:basedOn w:val="1"/>
    <w:qFormat/>
    <w:uiPriority w:val="0"/>
    <w:pPr>
      <w:tabs>
        <w:tab w:val="center" w:pos="4153"/>
        <w:tab w:val="right" w:pos="8306"/>
      </w:tabs>
      <w:snapToGrid w:val="0"/>
      <w:jc w:val="left"/>
    </w:pPr>
    <w:rPr>
      <w:rFonts w:ascii="Times New Roman"/>
      <w:kern w:val="2"/>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7">
    <w:name w:val="toc 1"/>
    <w:basedOn w:val="1"/>
    <w:next w:val="1"/>
    <w:unhideWhenUsed/>
    <w:qFormat/>
    <w:uiPriority w:val="0"/>
  </w:style>
  <w:style w:type="paragraph" w:styleId="18">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9">
    <w:name w:val="toc 2"/>
    <w:basedOn w:val="1"/>
    <w:next w:val="1"/>
    <w:unhideWhenUsed/>
    <w:qFormat/>
    <w:uiPriority w:val="0"/>
    <w:pPr>
      <w:ind w:left="420" w:leftChars="200"/>
    </w:pPr>
  </w:style>
  <w:style w:type="paragraph" w:styleId="20">
    <w:name w:val="Normal (Web)"/>
    <w:basedOn w:val="1"/>
    <w:qFormat/>
    <w:uiPriority w:val="0"/>
    <w:pPr>
      <w:widowControl/>
      <w:spacing w:before="100" w:beforeAutospacing="1" w:after="100" w:afterAutospacing="1"/>
      <w:jc w:val="left"/>
    </w:pPr>
    <w:rPr>
      <w:rFonts w:hAnsi="宋体"/>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none"/>
    </w:rPr>
  </w:style>
  <w:style w:type="character" w:styleId="27">
    <w:name w:val="Emphasis"/>
    <w:basedOn w:val="23"/>
    <w:qFormat/>
    <w:uiPriority w:val="0"/>
  </w:style>
  <w:style w:type="character" w:styleId="28">
    <w:name w:val="Hyperlink"/>
    <w:qFormat/>
    <w:uiPriority w:val="0"/>
    <w:rPr>
      <w:color w:val="333333"/>
      <w:u w:val="single"/>
    </w:rPr>
  </w:style>
  <w:style w:type="paragraph" w:customStyle="1" w:styleId="29">
    <w:name w:val="font5"/>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3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首行缩进)"/>
    <w:qFormat/>
    <w:uiPriority w:val="0"/>
    <w:pPr>
      <w:spacing w:line="420" w:lineRule="atLeast"/>
      <w:ind w:firstLine="200" w:firstLineChars="200"/>
      <w:jc w:val="both"/>
    </w:pPr>
    <w:rPr>
      <w:rFonts w:ascii="Times New Roman" w:hAnsi="Times New Roman" w:eastAsia="仿宋_GB2312" w:cs="Times New Roman"/>
      <w:spacing w:val="2"/>
      <w:kern w:val="24"/>
      <w:sz w:val="24"/>
      <w:szCs w:val="22"/>
      <w:lang w:val="en-US" w:eastAsia="zh-CN" w:bidi="ar-SA"/>
    </w:rPr>
  </w:style>
  <w:style w:type="paragraph" w:customStyle="1" w:styleId="32">
    <w:name w:val="列出段落1"/>
    <w:basedOn w:val="1"/>
    <w:qFormat/>
    <w:uiPriority w:val="34"/>
    <w:pPr>
      <w:ind w:firstLine="420" w:firstLineChars="200"/>
    </w:pPr>
  </w:style>
  <w:style w:type="paragraph" w:customStyle="1" w:styleId="33">
    <w:name w:val="_Style 17"/>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4">
    <w:name w:val="Char1"/>
    <w:basedOn w:val="1"/>
    <w:qFormat/>
    <w:uiPriority w:val="0"/>
    <w:pPr>
      <w:tabs>
        <w:tab w:val="left" w:pos="360"/>
      </w:tabs>
      <w:ind w:left="360" w:hanging="360" w:hangingChars="200"/>
    </w:pPr>
    <w:rPr>
      <w:szCs w:val="24"/>
    </w:rPr>
  </w:style>
  <w:style w:type="paragraph" w:customStyle="1" w:styleId="35">
    <w:name w:val="List Paragraph"/>
    <w:basedOn w:val="1"/>
    <w:qFormat/>
    <w:uiPriority w:val="34"/>
    <w:pPr>
      <w:ind w:firstLine="420" w:firstLineChars="200"/>
    </w:pPr>
  </w:style>
  <w:style w:type="paragraph" w:customStyle="1" w:styleId="36">
    <w:name w:val="彩色列表1"/>
    <w:basedOn w:val="1"/>
    <w:qFormat/>
    <w:uiPriority w:val="34"/>
    <w:pPr>
      <w:ind w:firstLine="420" w:firstLineChars="200"/>
    </w:pPr>
    <w:rPr>
      <w:rFonts w:ascii="Calibri" w:hAnsi="Calibri" w:eastAsia="宋体" w:cs="Times New Roman"/>
      <w:szCs w:val="22"/>
    </w:rPr>
  </w:style>
  <w:style w:type="character" w:customStyle="1" w:styleId="37">
    <w:name w:val="input-direction"/>
    <w:basedOn w:val="23"/>
    <w:qFormat/>
    <w:uiPriority w:val="0"/>
    <w:rPr>
      <w:color w:val="FF6600"/>
    </w:rPr>
  </w:style>
  <w:style w:type="character" w:customStyle="1" w:styleId="38">
    <w:name w:val="proollist"/>
    <w:basedOn w:val="23"/>
    <w:qFormat/>
    <w:uiPriority w:val="0"/>
  </w:style>
  <w:style w:type="character" w:customStyle="1" w:styleId="39">
    <w:name w:val="stclosebtn"/>
    <w:basedOn w:val="23"/>
    <w:qFormat/>
    <w:uiPriority w:val="0"/>
  </w:style>
  <w:style w:type="character" w:customStyle="1" w:styleId="40">
    <w:name w:val="tmpztreemove_arrow"/>
    <w:basedOn w:val="23"/>
    <w:qFormat/>
    <w:uiPriority w:val="0"/>
  </w:style>
  <w:style w:type="character" w:customStyle="1" w:styleId="41">
    <w:name w:val="span-long"/>
    <w:basedOn w:val="23"/>
    <w:qFormat/>
    <w:uiPriority w:val="0"/>
  </w:style>
  <w:style w:type="character" w:customStyle="1" w:styleId="42">
    <w:name w:val="hilite"/>
    <w:basedOn w:val="23"/>
    <w:qFormat/>
    <w:uiPriority w:val="0"/>
    <w:rPr>
      <w:color w:val="FFFFFF"/>
      <w:shd w:val="clear" w:fill="666677"/>
    </w:rPr>
  </w:style>
  <w:style w:type="character" w:customStyle="1" w:styleId="43">
    <w:name w:val="beforeinfotext"/>
    <w:basedOn w:val="23"/>
    <w:qFormat/>
    <w:uiPriority w:val="0"/>
    <w:rPr>
      <w:color w:val="666666"/>
    </w:rPr>
  </w:style>
  <w:style w:type="character" w:customStyle="1" w:styleId="44">
    <w:name w:val="active"/>
    <w:basedOn w:val="23"/>
    <w:qFormat/>
    <w:uiPriority w:val="0"/>
    <w:rPr>
      <w:color w:val="00FF00"/>
      <w:shd w:val="clear" w:fill="000000"/>
    </w:rPr>
  </w:style>
  <w:style w:type="character" w:customStyle="1" w:styleId="45">
    <w:name w:val="button"/>
    <w:basedOn w:val="23"/>
    <w:qFormat/>
    <w:uiPriority w:val="0"/>
  </w:style>
  <w:style w:type="character" w:customStyle="1" w:styleId="46">
    <w:name w:val="number"/>
    <w:basedOn w:val="23"/>
    <w:qFormat/>
    <w:uiPriority w:val="0"/>
    <w:rPr>
      <w:color w:val="FF8833"/>
      <w:sz w:val="14"/>
      <w:szCs w:val="14"/>
    </w:rPr>
  </w:style>
  <w:style w:type="character" w:customStyle="1" w:styleId="47">
    <w:name w:val="phone"/>
    <w:basedOn w:val="23"/>
    <w:qFormat/>
    <w:uiPriority w:val="0"/>
    <w:rPr>
      <w:color w:val="FF8833"/>
      <w:sz w:val="14"/>
      <w:szCs w:val="14"/>
    </w:rPr>
  </w:style>
  <w:style w:type="character" w:customStyle="1" w:styleId="48">
    <w:name w:val="hilite6"/>
    <w:basedOn w:val="23"/>
    <w:qFormat/>
    <w:uiPriority w:val="0"/>
    <w:rPr>
      <w:color w:val="FFFFFF"/>
      <w:shd w:val="clear" w:fill="666677"/>
    </w:rPr>
  </w:style>
  <w:style w:type="character" w:customStyle="1" w:styleId="49">
    <w:name w:val="active4"/>
    <w:basedOn w:val="23"/>
    <w:qFormat/>
    <w:uiPriority w:val="0"/>
    <w:rPr>
      <w:color w:val="00FF00"/>
      <w:shd w:val="clear" w:fill="000000"/>
    </w:rPr>
  </w:style>
  <w:style w:type="character" w:customStyle="1" w:styleId="50">
    <w:name w:val="button2"/>
    <w:basedOn w:val="23"/>
    <w:qFormat/>
    <w:uiPriority w:val="0"/>
  </w:style>
  <w:style w:type="paragraph" w:customStyle="1" w:styleId="51">
    <w:name w:val="Table Paragraph"/>
    <w:basedOn w:val="1"/>
    <w:qFormat/>
    <w:uiPriority w:val="1"/>
    <w:rPr>
      <w:rFonts w:ascii="新宋体" w:hAnsi="新宋体" w:eastAsia="新宋体" w:cs="新宋体"/>
      <w:lang w:val="zh-CN" w:eastAsia="zh-CN" w:bidi="zh-CN"/>
    </w:rPr>
  </w:style>
  <w:style w:type="table" w:customStyle="1" w:styleId="5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30464</Words>
  <Characters>33136</Characters>
  <Lines>246</Lines>
  <Paragraphs>69</Paragraphs>
  <TotalTime>3</TotalTime>
  <ScaleCrop>false</ScaleCrop>
  <LinksUpToDate>false</LinksUpToDate>
  <CharactersWithSpaces>36845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2020-11-26T02:22:00Z</dcterms:created>
  <dc:creator>Administrator</dc:creator>
  <cp:lastModifiedBy>文档存本地丢失不负责</cp:lastModifiedBy>
  <dcterms:modified xsi:type="dcterms:W3CDTF">2023-03-14T11:46:31Z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A5760B650E014EE1A954F1342B46792A</vt:lpwstr>
  </property>
</Properties>
</file>