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auto"/>
          <w:sz w:val="36"/>
          <w:highlight w:val="none"/>
          <w:lang w:val="en-US" w:eastAsia="zh-CN"/>
        </w:rPr>
      </w:pPr>
      <w:r>
        <w:rPr>
          <w:rFonts w:hint="eastAsia" w:hAnsi="宋体" w:eastAsia="宋体" w:cs="宋体"/>
          <w:b/>
          <w:bCs/>
          <w:color w:val="auto"/>
          <w:sz w:val="32"/>
          <w:szCs w:val="32"/>
          <w:highlight w:val="none"/>
          <w:lang w:eastAsia="zh-CN"/>
        </w:rPr>
        <w:t>项目编号：</w:t>
      </w:r>
      <w:r>
        <w:rPr>
          <w:rFonts w:hint="eastAsia" w:hAnsi="宋体" w:cs="宋体"/>
          <w:b/>
          <w:bCs/>
          <w:color w:val="auto"/>
          <w:sz w:val="32"/>
          <w:szCs w:val="32"/>
          <w:highlight w:val="none"/>
          <w:lang w:eastAsia="zh-CN"/>
        </w:rPr>
        <w:t>SXZCZB2023-ZCCS-0416</w:t>
      </w:r>
    </w:p>
    <w:p>
      <w:pPr>
        <w:rPr>
          <w:rFonts w:hint="eastAsia" w:ascii="宋体" w:hAnsi="宋体" w:eastAsia="宋体" w:cs="宋体"/>
          <w:b/>
          <w:color w:val="auto"/>
          <w:sz w:val="36"/>
          <w:szCs w:val="20"/>
          <w:highlight w:val="none"/>
        </w:rPr>
      </w:pPr>
    </w:p>
    <w:p>
      <w:pPr>
        <w:pStyle w:val="8"/>
        <w:rPr>
          <w:rFonts w:hint="eastAsia"/>
          <w:color w:val="auto"/>
          <w:highlight w:val="none"/>
        </w:rPr>
      </w:pPr>
    </w:p>
    <w:p>
      <w:pPr>
        <w:pStyle w:val="8"/>
        <w:jc w:val="center"/>
        <w:rPr>
          <w:rFonts w:hint="eastAsia" w:ascii="黑体" w:hAnsi="黑体" w:eastAsia="黑体" w:cs="黑体"/>
          <w:b/>
          <w:color w:val="auto"/>
          <w:w w:val="90"/>
          <w:sz w:val="52"/>
          <w:szCs w:val="52"/>
          <w:highlight w:val="none"/>
          <w:lang w:eastAsia="zh-CN"/>
        </w:rPr>
      </w:pPr>
    </w:p>
    <w:p>
      <w:pPr>
        <w:pStyle w:val="8"/>
        <w:jc w:val="center"/>
        <w:rPr>
          <w:rFonts w:hint="eastAsia" w:ascii="宋体" w:hAnsi="宋体" w:eastAsia="宋体" w:cs="宋体"/>
          <w:color w:val="auto"/>
          <w:sz w:val="21"/>
          <w:szCs w:val="20"/>
          <w:highlight w:val="none"/>
        </w:rPr>
      </w:pPr>
      <w:r>
        <w:rPr>
          <w:rFonts w:hint="eastAsia" w:ascii="宋体" w:hAnsi="宋体" w:cs="宋体"/>
          <w:b/>
          <w:color w:val="auto"/>
          <w:w w:val="90"/>
          <w:sz w:val="56"/>
          <w:szCs w:val="56"/>
          <w:highlight w:val="none"/>
          <w:lang w:eastAsia="zh-CN"/>
        </w:rPr>
        <w:t>宁陕县县域城乡生活垃圾收运处置体系专项规划编制服务</w:t>
      </w:r>
    </w:p>
    <w:p>
      <w:pPr>
        <w:spacing w:line="780" w:lineRule="auto"/>
        <w:jc w:val="center"/>
        <w:rPr>
          <w:rFonts w:hint="eastAsia" w:ascii="宋体" w:hAnsi="宋体" w:eastAsia="宋体" w:cs="宋体"/>
          <w:b/>
          <w:color w:val="auto"/>
          <w:sz w:val="72"/>
          <w:szCs w:val="72"/>
          <w:highlight w:val="none"/>
        </w:rPr>
      </w:pPr>
    </w:p>
    <w:p>
      <w:pPr>
        <w:spacing w:line="7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竞争性磋商文件</w:t>
      </w:r>
    </w:p>
    <w:p>
      <w:pPr>
        <w:rPr>
          <w:rFonts w:hint="eastAsia" w:ascii="宋体" w:hAnsi="宋体" w:eastAsia="宋体" w:cs="宋体"/>
          <w:color w:val="auto"/>
          <w:highlight w:val="none"/>
        </w:rPr>
      </w:pPr>
      <w:bookmarkStart w:id="0" w:name="_Toc363463325"/>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jc w:val="center"/>
        <w:rPr>
          <w:rFonts w:hint="eastAsia" w:ascii="宋体" w:hAnsi="宋体" w:eastAsia="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采</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购</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人：宁陕县住房和城乡建设局</w:t>
      </w:r>
    </w:p>
    <w:p>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代理机构：陕西至诚招标咨询有限公司</w:t>
      </w:r>
    </w:p>
    <w:p>
      <w:pPr>
        <w:pStyle w:val="8"/>
        <w:keepNext w:val="0"/>
        <w:keepLines w:val="0"/>
        <w:pageBreakBefore w:val="0"/>
        <w:widowControl w:val="0"/>
        <w:kinsoku/>
        <w:wordWrap/>
        <w:overflowPunct/>
        <w:topLinePunct w:val="0"/>
        <w:autoSpaceDE/>
        <w:autoSpaceDN/>
        <w:bidi w:val="0"/>
        <w:adjustRightInd/>
        <w:snapToGrid/>
        <w:spacing w:after="0" w:line="600" w:lineRule="auto"/>
        <w:ind w:left="2160" w:leftChars="900"/>
        <w:jc w:val="both"/>
        <w:textAlignment w:val="auto"/>
        <w:rPr>
          <w:rFonts w:hint="eastAsia" w:ascii="宋体" w:hAnsi="宋体" w:eastAsia="宋体" w:cs="宋体"/>
          <w:b/>
          <w:kern w:val="0"/>
          <w:sz w:val="32"/>
          <w:szCs w:val="32"/>
          <w:highlight w:val="none"/>
          <w:lang w:val="en-US" w:eastAsia="zh-CN" w:bidi="ar-SA"/>
        </w:rPr>
      </w:pPr>
      <w:r>
        <w:rPr>
          <w:rFonts w:hint="eastAsia" w:ascii="宋体" w:hAnsi="宋体" w:eastAsia="宋体" w:cs="宋体"/>
          <w:b/>
          <w:kern w:val="0"/>
          <w:sz w:val="32"/>
          <w:szCs w:val="32"/>
          <w:highlight w:val="none"/>
          <w:lang w:val="en-US" w:eastAsia="zh-CN" w:bidi="ar-SA"/>
        </w:rPr>
        <w:t>日    期：二〇二</w:t>
      </w:r>
      <w:r>
        <w:rPr>
          <w:rFonts w:hint="eastAsia" w:ascii="宋体" w:hAnsi="宋体" w:cs="宋体"/>
          <w:b/>
          <w:kern w:val="0"/>
          <w:sz w:val="32"/>
          <w:szCs w:val="32"/>
          <w:highlight w:val="none"/>
          <w:lang w:val="en-US" w:eastAsia="zh-CN" w:bidi="ar-SA"/>
        </w:rPr>
        <w:t>三</w:t>
      </w:r>
      <w:r>
        <w:rPr>
          <w:rFonts w:hint="eastAsia" w:ascii="宋体" w:hAnsi="宋体" w:eastAsia="宋体" w:cs="宋体"/>
          <w:b/>
          <w:kern w:val="0"/>
          <w:sz w:val="32"/>
          <w:szCs w:val="32"/>
          <w:highlight w:val="none"/>
          <w:lang w:val="en-US" w:eastAsia="zh-CN" w:bidi="ar-SA"/>
        </w:rPr>
        <w:t>年</w:t>
      </w:r>
      <w:r>
        <w:rPr>
          <w:rFonts w:hint="eastAsia" w:ascii="宋体" w:hAnsi="宋体" w:cs="宋体"/>
          <w:b/>
          <w:kern w:val="0"/>
          <w:sz w:val="32"/>
          <w:szCs w:val="32"/>
          <w:highlight w:val="none"/>
          <w:lang w:val="en-US" w:eastAsia="zh-CN" w:bidi="ar-SA"/>
        </w:rPr>
        <w:t>四</w:t>
      </w:r>
      <w:r>
        <w:rPr>
          <w:rFonts w:hint="eastAsia" w:ascii="宋体" w:hAnsi="宋体" w:eastAsia="宋体" w:cs="宋体"/>
          <w:b/>
          <w:kern w:val="0"/>
          <w:sz w:val="32"/>
          <w:szCs w:val="32"/>
          <w:highlight w:val="none"/>
          <w:lang w:val="en-US" w:eastAsia="zh-CN" w:bidi="ar-SA"/>
        </w:rPr>
        <w:t>月</w:t>
      </w:r>
    </w:p>
    <w:p>
      <w:pPr>
        <w:pStyle w:val="8"/>
        <w:jc w:val="center"/>
        <w:rPr>
          <w:rFonts w:hint="eastAsia" w:ascii="宋体" w:hAnsi="宋体" w:eastAsia="宋体" w:cs="宋体"/>
          <w:b/>
          <w:bCs/>
          <w:color w:val="auto"/>
          <w:sz w:val="32"/>
          <w:szCs w:val="32"/>
          <w:highlight w:val="none"/>
        </w:rPr>
      </w:pPr>
    </w:p>
    <w:p>
      <w:pPr>
        <w:rPr>
          <w:rFonts w:hint="eastAsia"/>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32"/>
          <w:szCs w:val="32"/>
          <w:highlight w:val="none"/>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hAnsi="宋体" w:cs="宋体"/>
          <w:b/>
          <w:bCs/>
          <w:snapToGrid w:val="0"/>
          <w:color w:val="000000"/>
          <w:sz w:val="24"/>
          <w:highlight w:val="none"/>
          <w:lang w:val="en-US" w:eastAsia="zh-CN"/>
        </w:rPr>
        <w:t>1</w:t>
      </w:r>
      <w:r>
        <w:rPr>
          <w:rFonts w:hint="eastAsia" w:ascii="宋体" w:hAnsi="宋体" w:eastAsia="宋体" w:cs="宋体"/>
          <w:b/>
          <w:bCs/>
          <w:snapToGrid w:val="0"/>
          <w:color w:val="000000"/>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4、不见面开标</w:t>
      </w:r>
      <w:r>
        <w:rPr>
          <w:rFonts w:hint="eastAsia" w:ascii="宋体" w:hAnsi="宋体" w:eastAsia="宋体" w:cs="宋体"/>
          <w:b/>
          <w:bCs/>
          <w:snapToGrid w:val="0"/>
          <w:color w:val="000000"/>
          <w:sz w:val="24"/>
          <w:highlight w:val="none"/>
          <w:lang w:eastAsia="zh-CN"/>
        </w:rPr>
        <w:t>系统</w:t>
      </w:r>
      <w:r>
        <w:rPr>
          <w:rFonts w:hint="eastAsia" w:ascii="宋体" w:hAnsi="宋体" w:eastAsia="宋体" w:cs="宋体"/>
          <w:b/>
          <w:bCs/>
          <w:snapToGrid w:val="0"/>
          <w:color w:val="000000"/>
          <w:sz w:val="24"/>
          <w:highlight w:val="none"/>
        </w:rPr>
        <w:t>：打开登录页面网址选择点击右上角“登录”，在左侧选择“投标人”身份，登录地区选择“安康市不见面开标”插入CA锁登录，输入密码后，点击“登录”：（http://122.112.246.33/BidOpening/bidopeninghallaction/hall/login），</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投标人登录之后可以看到当前投标人今日开标项目；1、选择要开标的项目，点击进入，页面首先阅读开标流程，点击“我已阅读”进入开标大厅，点击“取消”返回项目列表页面。</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5、开标签到</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hAnsi="宋体" w:eastAsia="宋体" w:cs="宋体"/>
          <w:b/>
          <w:bCs/>
          <w:snapToGrid w:val="0"/>
          <w:color w:val="000000"/>
          <w:sz w:val="24"/>
          <w:highlight w:val="none"/>
          <w:lang w:val="en-US" w:eastAsia="zh-CN"/>
        </w:rPr>
      </w:pPr>
      <w:r>
        <w:rPr>
          <w:rFonts w:hint="eastAsia" w:hAnsi="宋体" w:cs="宋体"/>
          <w:b/>
          <w:bCs/>
          <w:snapToGrid w:val="0"/>
          <w:color w:val="000000"/>
          <w:sz w:val="24"/>
          <w:highlight w:val="none"/>
          <w:lang w:val="en-US" w:eastAsia="zh-CN"/>
        </w:rPr>
        <w:t>6、磋商环节：供应商进入不见面开标系统进行一对一磋商；</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hAnsi="宋体" w:cs="宋体"/>
          <w:b/>
          <w:bCs/>
          <w:snapToGrid w:val="0"/>
          <w:color w:val="000000"/>
          <w:sz w:val="24"/>
          <w:highlight w:val="none"/>
          <w:lang w:val="en-US" w:eastAsia="zh-CN"/>
        </w:rPr>
        <w:t>7</w:t>
      </w:r>
      <w:r>
        <w:rPr>
          <w:rFonts w:hint="eastAsia" w:ascii="宋体" w:hAnsi="宋体" w:eastAsia="宋体" w:cs="宋体"/>
          <w:b/>
          <w:bCs/>
          <w:snapToGrid w:val="0"/>
          <w:color w:val="000000"/>
          <w:sz w:val="24"/>
          <w:highlight w:val="none"/>
        </w:rPr>
        <w:t xml:space="preserve">、评审过程中，磋商小组要求供应商提交多轮（最后）磋商报价时，供应商须登录全国公共资源交易平台（陕西省）在交易系统中提交多轮（最后）报价，并用数字认证证书（CA锁）签章。 </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hAnsi="宋体" w:cs="宋体"/>
          <w:b/>
          <w:bCs/>
          <w:snapToGrid w:val="0"/>
          <w:color w:val="000000"/>
          <w:sz w:val="24"/>
          <w:highlight w:val="none"/>
          <w:lang w:val="en-US" w:eastAsia="zh-CN"/>
        </w:rPr>
        <w:t>8</w:t>
      </w:r>
      <w:r>
        <w:rPr>
          <w:rFonts w:hint="eastAsia" w:ascii="宋体" w:hAnsi="宋体" w:eastAsia="宋体" w:cs="宋体"/>
          <w:b/>
          <w:bCs/>
          <w:snapToGrid w:val="0"/>
          <w:color w:val="000000"/>
          <w:sz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1</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2</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、建议投标人在开标前半小时登录不见面开标大厅，并及时签到（开标前60分钟即可签到），遇到问题及时联系客服4009280095。</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3</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、投标人需注意CA锁一定要提前准备好，并确保CA锁为制作投标文件的CA锁。</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4</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、及时关注右侧公告及互动栏目信息。</w:t>
      </w: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14"/>
        <w:tabs>
          <w:tab w:val="right" w:leader="dot" w:pos="8787"/>
        </w:tabs>
        <w:rPr>
          <w:color w:val="auto"/>
          <w:sz w:val="28"/>
          <w:szCs w:val="28"/>
          <w:highlight w:val="none"/>
        </w:rPr>
      </w:pPr>
      <w:bookmarkStart w:id="1" w:name="_Toc20652"/>
      <w:bookmarkStart w:id="2" w:name="_Toc19886"/>
      <w:bookmarkStart w:id="3" w:name="_Toc389582033"/>
      <w:bookmarkStart w:id="4" w:name="_Toc20858"/>
      <w:bookmarkStart w:id="5" w:name="_Toc21518"/>
      <w:bookmarkStart w:id="6" w:name="_Toc16218"/>
      <w:bookmarkStart w:id="7" w:name="_Toc5293"/>
      <w:bookmarkStart w:id="8" w:name="_Toc27420"/>
      <w:bookmarkStart w:id="9" w:name="_Toc403077638"/>
      <w:bookmarkStart w:id="10" w:name="_Toc363474016"/>
      <w:bookmarkStart w:id="11" w:name="_Toc363473971"/>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TOC \o "1-4" \h \u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_Toc21888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_Toc21888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_Toc7526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_Toc7526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7"/>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_Toc11936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_Toc11936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_Toc4170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_Toc4170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_Toc30377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_Toc30377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7"/>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_Toc17801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合同前附表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_Toc17801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_Toc23075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_Toc23075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_Toc25319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_Toc25319 </w:instrText>
      </w:r>
      <w:r>
        <w:rPr>
          <w:color w:val="auto"/>
          <w:sz w:val="28"/>
          <w:szCs w:val="28"/>
          <w:highlight w:val="none"/>
        </w:rPr>
        <w:fldChar w:fldCharType="separate"/>
      </w:r>
      <w:r>
        <w:rPr>
          <w:color w:val="auto"/>
          <w:sz w:val="28"/>
          <w:szCs w:val="28"/>
          <w:highlight w:val="none"/>
        </w:rPr>
        <w:t>39</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pPr>
        <w:pStyle w:val="14"/>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28"/>
          <w:highlight w:val="none"/>
        </w:rPr>
        <w:fldChar w:fldCharType="end"/>
      </w:r>
    </w:p>
    <w:p>
      <w:pPr>
        <w:pStyle w:val="3"/>
        <w:spacing w:before="312"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304" w:right="1361" w:bottom="1304" w:left="136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outlineLvl w:val="0"/>
        <w:rPr>
          <w:rFonts w:hint="eastAsia" w:ascii="宋体" w:hAnsi="宋体" w:eastAsia="宋体" w:cs="宋体"/>
          <w:bCs/>
          <w:color w:val="auto"/>
          <w:sz w:val="36"/>
          <w:szCs w:val="36"/>
          <w:highlight w:val="none"/>
        </w:rPr>
      </w:pPr>
      <w:bookmarkStart w:id="12" w:name="_Toc21888"/>
      <w:bookmarkStart w:id="13" w:name="_Toc2705"/>
      <w:bookmarkStart w:id="14" w:name="_Toc423973071"/>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5" w:name="_Toc2929"/>
      <w:bookmarkStart w:id="16" w:name="_Toc389582035"/>
      <w:bookmarkStart w:id="17" w:name="_Toc423973072"/>
      <w:bookmarkStart w:id="18" w:name="_Toc29249"/>
      <w:r>
        <w:rPr>
          <w:rStyle w:val="25"/>
          <w:rFonts w:hint="eastAsia" w:ascii="宋体" w:hAnsi="宋体" w:eastAsia="宋体" w:cs="宋体"/>
          <w:b/>
          <w:bCs/>
          <w:i w:val="0"/>
          <w:iCs w:val="0"/>
          <w:caps w:val="0"/>
          <w:color w:val="auto"/>
          <w:spacing w:val="0"/>
          <w:sz w:val="24"/>
          <w:szCs w:val="24"/>
          <w:highlight w:val="none"/>
          <w:shd w:val="clear" w:fill="FFFFFF"/>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宁陕县县域城乡生活垃圾收运处置体系专项规划编制服务采购项目的潜在供应商应在全国公共资源交易平台（陕西省·安康市）获取采购文件，并于2023年04月25日 14时00分（北京时间）前提交响应文件。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项目编号：SXZCZB2023-ZCCS-0416</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项目名称：宁陕县县域城乡生活垃圾收运处置体系专项规划编制服务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预算金额：350,000.00元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合同包1(宁陕县县域城乡生活垃圾收运处置体系专项规划编制服务):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合同包预算金额：350,000.00元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
        <w:gridCol w:w="2085"/>
        <w:gridCol w:w="2573"/>
        <w:gridCol w:w="722"/>
        <w:gridCol w:w="1302"/>
        <w:gridCol w:w="1441"/>
        <w:gridCol w:w="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1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4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4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1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其他专业技术服务</w:t>
            </w:r>
          </w:p>
        </w:tc>
        <w:tc>
          <w:tcPr>
            <w:tcW w:w="1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县域城乡生活垃圾收运处置体系专项规划编制服务</w:t>
            </w:r>
          </w:p>
        </w:tc>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4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350,000.00</w:t>
            </w:r>
          </w:p>
        </w:tc>
        <w:tc>
          <w:tcPr>
            <w:tcW w:w="4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合同包1(宁陕县县域城乡生活垃圾收运处置体系专项规划编制服务)落实政府采购政策需满足的资格要求如下: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依据《中华人民共和国政府采购法》和《中华人民共和国政府采购实施条例》的有关规定，落实政府采购“优先购买节能环保产品、扶持小微企业、监狱企业、福利企业”等相关政策。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（4）《政府采购促进中小企业发展暂行办法》（财库【2020】46号）；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合同包1(宁陕县县域城乡生活垃圾收运处置体系专项规划编制服务)特定资格要求如下: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2、提供法定代表人授权书（附法定代表人、被授权人身份证复印件），（法定代表人直接参加磋商，须提供法定代表人身份证明）；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6、提供具有履行本合同所必需的设备和专业技术能力的说明及承诺书；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7、供应商应通过“信用中国”网站(www.creditchina.gov.cn)、中国政府采购网(www.ccgp.gov.cn)查询相关主体信用记录；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9、供应商应提供小微企业声明函\残疾人福利性单位声明函\监狱企业证明函；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时间：2023年04月13日至2023年04月19日，每天上午09:00:00至12:00:00，下午14:00:00至17:00:00（北京时间）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途径：全国公共资源交易平台（陕西省·安康市）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售价：0元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截止时间：2023年04月25日 14时00分00秒（北京时间）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地点：安康市公共资源交易中心307第五开标室（安康市汉滨区香溪路8号）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时间：2023年04月25日 14时00分00秒（北京时间）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地点：安康市公共资源交易中心307第五开标室（安康市汉滨区香溪路8号）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color w:val="auto"/>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1、购买磋商文件请携带单位介绍信原件，经办人身份证原件及加盖供应商公章的身份证复印件。 2、供应商于文件发售时间内登录全国公共资源交易平台（陕西省·安康市）系统（http://aq.sxggzyjy.cn/），选择本项目点击“我要投标”，参与投标活动；网上报名成功后，须至采购代理机构进行报名确认，同时提供报名回执单、有效的单位介绍信、被介绍人身份证原件及复印件（加盖供应商鲜章），否则无法完成后续流程； 3、供应商须在获取磋商文件时限内登录全国公共资源交易平台（陕西省·安康市）系统，直接下载磋商文件。逾期下载通道将关闭，未及时下载招标文件将会影响后续开评标活动；4.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5.电子投标文件技术支持：4009280095、4009980000；6.本项目专门面向小微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名称：宁陕县住房和城乡建设局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地址：宁陕县豪迈客运中心4楼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联系方式：13509153130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地址：陕西省西安市经济技术开发区未央路171-1号银池道拉斯财富中心21楼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陕西至诚招标咨询有限公司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2023年04月12日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348" w:lineRule="auto"/>
        <w:ind w:right="119"/>
        <w:jc w:val="center"/>
        <w:outlineLvl w:val="0"/>
        <w:rPr>
          <w:rFonts w:hint="eastAsia" w:ascii="宋体" w:hAnsi="宋体" w:eastAsia="宋体" w:cs="宋体"/>
          <w:bCs/>
          <w:color w:val="auto"/>
          <w:sz w:val="36"/>
          <w:szCs w:val="36"/>
          <w:highlight w:val="none"/>
        </w:rPr>
      </w:pPr>
      <w:bookmarkStart w:id="19" w:name="_Toc7526"/>
      <w:bookmarkStart w:id="20" w:name="_Toc3334"/>
      <w:r>
        <w:rPr>
          <w:rFonts w:hint="eastAsia" w:ascii="宋体" w:hAnsi="宋体" w:eastAsia="宋体" w:cs="宋体"/>
          <w:b/>
          <w:bCs/>
          <w:color w:val="auto"/>
          <w:kern w:val="2"/>
          <w:sz w:val="36"/>
          <w:szCs w:val="36"/>
          <w:highlight w:val="none"/>
        </w:rPr>
        <w:t xml:space="preserve">第二章  </w:t>
      </w:r>
      <w:bookmarkEnd w:id="15"/>
      <w:bookmarkEnd w:id="16"/>
      <w:bookmarkStart w:id="21" w:name="OLE_LINK3"/>
      <w:r>
        <w:rPr>
          <w:rFonts w:hint="eastAsia" w:ascii="宋体" w:hAnsi="宋体" w:eastAsia="宋体" w:cs="宋体"/>
          <w:b/>
          <w:bCs/>
          <w:color w:val="auto"/>
          <w:kern w:val="2"/>
          <w:sz w:val="36"/>
          <w:szCs w:val="36"/>
          <w:highlight w:val="none"/>
        </w:rPr>
        <w:t>供应商须知</w:t>
      </w:r>
      <w:bookmarkEnd w:id="17"/>
      <w:bookmarkEnd w:id="18"/>
      <w:bookmarkEnd w:id="19"/>
      <w:bookmarkEnd w:id="20"/>
      <w:bookmarkEnd w:id="21"/>
    </w:p>
    <w:p>
      <w:pPr>
        <w:spacing w:line="440" w:lineRule="exact"/>
        <w:jc w:val="center"/>
        <w:outlineLvl w:val="1"/>
        <w:rPr>
          <w:rFonts w:hint="eastAsia" w:ascii="宋体" w:hAnsi="宋体" w:eastAsia="宋体" w:cs="宋体"/>
          <w:b/>
          <w:bCs/>
          <w:color w:val="auto"/>
          <w:sz w:val="32"/>
          <w:szCs w:val="32"/>
          <w:highlight w:val="none"/>
        </w:rPr>
      </w:pPr>
      <w:bookmarkStart w:id="22" w:name="_Toc11936"/>
      <w:bookmarkStart w:id="23" w:name="_Toc8846"/>
      <w:bookmarkStart w:id="24" w:name="_Toc16830"/>
      <w:r>
        <w:rPr>
          <w:rFonts w:hint="eastAsia" w:ascii="宋体" w:hAnsi="宋体" w:eastAsia="宋体" w:cs="宋体"/>
          <w:b/>
          <w:bCs/>
          <w:color w:val="auto"/>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pPr>
              <w:spacing w:line="360" w:lineRule="auto"/>
              <w:rPr>
                <w:rFonts w:hint="eastAsia" w:hAnsi="宋体" w:cs="宋体"/>
                <w:color w:val="auto"/>
                <w:szCs w:val="24"/>
                <w:highlight w:val="none"/>
              </w:rPr>
            </w:pPr>
            <w:r>
              <w:rPr>
                <w:rFonts w:hint="eastAsia" w:hAnsi="宋体" w:cs="宋体"/>
                <w:color w:val="auto"/>
                <w:szCs w:val="24"/>
                <w:highlight w:val="none"/>
              </w:rPr>
              <w:t>采购代理机构：陕西至诚招标咨询有限公司</w:t>
            </w:r>
          </w:p>
          <w:p>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w:t>
            </w:r>
          </w:p>
          <w:p>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21</w:t>
            </w:r>
          </w:p>
          <w:p>
            <w:pPr>
              <w:spacing w:line="360" w:lineRule="auto"/>
              <w:rPr>
                <w:rFonts w:hint="eastAsia" w:hAnsi="宋体" w:cs="宋体"/>
                <w:color w:val="auto"/>
                <w:szCs w:val="24"/>
                <w:highlight w:val="none"/>
              </w:rPr>
            </w:pPr>
            <w:r>
              <w:rPr>
                <w:rFonts w:hint="eastAsia" w:hAnsi="宋体" w:cs="宋体"/>
                <w:color w:val="auto"/>
                <w:szCs w:val="24"/>
                <w:highlight w:val="none"/>
              </w:rPr>
              <w:t>电        话：029-88219779</w:t>
            </w:r>
          </w:p>
          <w:p>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pPr>
              <w:spacing w:line="360" w:lineRule="auto"/>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磋商报价：磋商报价是供应商为完成本项目要求的全部服务内容最终价格的体现，</w:t>
            </w:r>
            <w:r>
              <w:rPr>
                <w:rFonts w:hint="eastAsia" w:ascii="宋体" w:hAnsi="宋体" w:eastAsia="宋体" w:cs="宋体"/>
                <w:color w:val="auto"/>
                <w:highlight w:val="none"/>
              </w:rPr>
              <w:t>包括但不限于人工费、设备使用费、办公费、服务费、交通费、招标代理服务费、税金等其他一切相关费用</w:t>
            </w:r>
            <w:r>
              <w:rPr>
                <w:rFonts w:hint="eastAsia" w:hAnsi="宋体" w:eastAsia="宋体" w:cs="宋体"/>
                <w:color w:val="auto"/>
                <w:szCs w:val="24"/>
                <w:highlight w:val="none"/>
              </w:rPr>
              <w:t>。供应商所报的价格应考虑到可能发生的所有与完成本项目相关服务及履行合同义务有关的一切费用。</w:t>
            </w:r>
          </w:p>
          <w:p>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pPr>
              <w:spacing w:line="520" w:lineRule="exact"/>
              <w:rPr>
                <w:rFonts w:hint="eastAsia" w:hAnsi="宋体" w:cs="宋体"/>
                <w:b/>
                <w:bCs/>
                <w:color w:val="auto"/>
                <w:szCs w:val="24"/>
                <w:highlight w:val="none"/>
              </w:rPr>
            </w:pPr>
            <w:r>
              <w:rPr>
                <w:rFonts w:hint="eastAsia" w:hAnsi="宋体" w:cs="宋体"/>
                <w:b/>
                <w:bCs/>
                <w:color w:val="auto"/>
                <w:szCs w:val="24"/>
                <w:highlight w:val="none"/>
              </w:rPr>
              <w:t>供应商</w:t>
            </w:r>
            <w:r>
              <w:rPr>
                <w:rFonts w:hint="eastAsia" w:hAnsi="宋体" w:cs="宋体"/>
                <w:b/>
                <w:bCs/>
                <w:color w:val="auto"/>
                <w:szCs w:val="24"/>
                <w:highlight w:val="none"/>
                <w:lang w:eastAsia="zh-CN"/>
              </w:rPr>
              <w:t>特定</w:t>
            </w:r>
            <w:r>
              <w:rPr>
                <w:rFonts w:hint="eastAsia" w:hAnsi="宋体" w:cs="宋体"/>
                <w:b/>
                <w:bCs/>
                <w:color w:val="auto"/>
                <w:szCs w:val="24"/>
                <w:highlight w:val="none"/>
              </w:rPr>
              <w:t>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2、提供法定代表人授权书（附法定代表人、被授权人身份证复印件），（法定代表人直接参加磋商，须提供法定代表人身份证明）；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6、提供具有履行本合同所必需的设备和专业技术能力的说明及承诺书；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7、供应商应通过“信用中国”网站(www.creditchina.gov.cn)、中国政府采购网(www.ccgp.gov.cn)查询相关主体信用记录；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9、供应商应提供小微企业声明函\残疾人福利性单位声明函\监狱企业证明函；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fill="FFFFFF"/>
              </w:rPr>
              <w:t>10、本项目不接受联合体磋商。</w:t>
            </w:r>
          </w:p>
          <w:p>
            <w:pPr>
              <w:spacing w:line="360" w:lineRule="auto"/>
              <w:ind w:firstLine="482" w:firstLineChars="200"/>
              <w:rPr>
                <w:rFonts w:hint="eastAsia" w:ascii="宋体" w:hAnsi="宋体" w:cs="宋体"/>
                <w:b/>
                <w:color w:val="auto"/>
                <w:sz w:val="24"/>
                <w:highlight w:val="none"/>
                <w:lang w:val="en-US" w:eastAsia="zh-CN" w:bidi="ar-SA"/>
              </w:rPr>
            </w:pPr>
            <w:r>
              <w:rPr>
                <w:rFonts w:hint="eastAsia" w:hAnsi="宋体" w:cs="宋体"/>
                <w:b/>
                <w:color w:val="auto"/>
                <w:szCs w:val="24"/>
                <w:highlight w:val="none"/>
              </w:rPr>
              <w:t>以上1-</w:t>
            </w:r>
            <w:r>
              <w:rPr>
                <w:rFonts w:hint="eastAsia" w:hAnsi="宋体" w:cs="宋体"/>
                <w:b/>
                <w:color w:val="auto"/>
                <w:szCs w:val="24"/>
                <w:highlight w:val="none"/>
                <w:lang w:val="en-US" w:eastAsia="zh-CN"/>
              </w:rPr>
              <w:t>10</w:t>
            </w:r>
            <w:r>
              <w:rPr>
                <w:rFonts w:hint="eastAsia" w:hAnsi="宋体" w:cs="宋体"/>
                <w:b/>
                <w:color w:val="auto"/>
                <w:szCs w:val="24"/>
                <w:highlight w:val="none"/>
              </w:rPr>
              <w:t>项为必备资质，</w:t>
            </w:r>
            <w:r>
              <w:rPr>
                <w:rFonts w:hint="eastAsia" w:hAnsi="宋体" w:cs="宋体"/>
                <w:b/>
                <w:color w:val="auto"/>
                <w:highlight w:val="none"/>
              </w:rPr>
              <w:t>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center"/>
          </w:tcPr>
          <w:p>
            <w:pPr>
              <w:spacing w:line="360" w:lineRule="auto"/>
              <w:jc w:val="both"/>
              <w:rPr>
                <w:rFonts w:hint="eastAsia" w:ascii="宋体" w:hAnsi="宋体" w:eastAsia="宋体" w:cs="宋体"/>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磋商</w:t>
            </w:r>
            <w:r>
              <w:rPr>
                <w:rFonts w:hint="eastAsia" w:ascii="宋体" w:hAnsi="宋体" w:eastAsia="宋体" w:cs="宋体"/>
                <w:b/>
                <w:bCs/>
                <w:color w:val="auto"/>
                <w:sz w:val="24"/>
                <w:szCs w:val="24"/>
                <w:highlight w:val="none"/>
                <w:lang w:val="en-US" w:eastAsia="zh-CN" w:bidi="ar-SA"/>
              </w:rPr>
              <w:t>保证金：</w:t>
            </w:r>
            <w:r>
              <w:rPr>
                <w:rFonts w:hint="eastAsia" w:hAnsi="宋体" w:cs="宋体"/>
                <w:b/>
                <w:bCs/>
                <w:color w:val="auto"/>
                <w:sz w:val="24"/>
                <w:szCs w:val="24"/>
                <w:highlight w:val="none"/>
                <w:lang w:val="en-US" w:eastAsia="zh-CN" w:bidi="ar-SA"/>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pPr>
              <w:spacing w:line="360" w:lineRule="auto"/>
              <w:rPr>
                <w:rFonts w:hint="eastAsia" w:ascii="宋体" w:hAnsi="宋体" w:cs="宋体"/>
                <w:color w:val="auto"/>
                <w:sz w:val="24"/>
                <w:highlight w:val="none"/>
                <w:lang w:val="en-US" w:eastAsia="zh-CN" w:bidi="ar-SA"/>
              </w:rPr>
            </w:pPr>
            <w:r>
              <w:rPr>
                <w:rFonts w:hint="eastAsia" w:hAnsi="宋体" w:cs="宋体"/>
                <w:color w:val="auto"/>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156" w:afterLines="50"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9</w:t>
            </w:r>
          </w:p>
        </w:tc>
        <w:tc>
          <w:tcPr>
            <w:tcW w:w="951" w:type="dxa"/>
            <w:noWrap w:val="0"/>
            <w:vAlign w:val="center"/>
          </w:tcPr>
          <w:p>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18.1</w:t>
            </w:r>
          </w:p>
        </w:tc>
        <w:tc>
          <w:tcPr>
            <w:tcW w:w="7354" w:type="dxa"/>
            <w:noWrap w:val="0"/>
            <w:vAlign w:val="top"/>
          </w:tcPr>
          <w:p>
            <w:pPr>
              <w:spacing w:line="360" w:lineRule="auto"/>
              <w:rPr>
                <w:rFonts w:hint="eastAsia" w:hAnsi="宋体" w:cs="宋体"/>
                <w:color w:val="auto"/>
                <w:szCs w:val="24"/>
                <w:highlight w:val="none"/>
              </w:rPr>
            </w:pPr>
            <w:r>
              <w:rPr>
                <w:rFonts w:hint="eastAsia" w:hAnsi="宋体" w:cs="宋体"/>
                <w:color w:val="auto"/>
                <w:szCs w:val="24"/>
                <w:highlight w:val="none"/>
              </w:rPr>
              <w:t>磋商响应文件递交截止时间：</w:t>
            </w:r>
            <w:r>
              <w:rPr>
                <w:rFonts w:hint="eastAsia" w:hAnsi="宋体" w:cs="宋体"/>
                <w:color w:val="auto"/>
                <w:szCs w:val="24"/>
                <w:highlight w:val="none"/>
                <w:lang w:eastAsia="zh-CN"/>
              </w:rPr>
              <w:t>详见磋商公告</w:t>
            </w:r>
          </w:p>
          <w:p>
            <w:pPr>
              <w:spacing w:line="360" w:lineRule="auto"/>
              <w:jc w:val="left"/>
              <w:rPr>
                <w:rFonts w:hint="eastAsia" w:hAnsi="宋体" w:eastAsia="宋体" w:cs="宋体"/>
                <w:color w:val="auto"/>
                <w:szCs w:val="24"/>
                <w:highlight w:val="none"/>
                <w:lang w:eastAsia="zh-CN"/>
              </w:rPr>
            </w:pPr>
            <w:r>
              <w:rPr>
                <w:rFonts w:hint="eastAsia" w:hAnsi="宋体" w:cs="宋体"/>
                <w:color w:val="auto"/>
                <w:szCs w:val="24"/>
                <w:highlight w:val="none"/>
              </w:rPr>
              <w:t>磋商响应文件递交地址：</w:t>
            </w:r>
            <w:r>
              <w:rPr>
                <w:rFonts w:hint="eastAsia" w:hAnsi="宋体" w:cs="宋体"/>
                <w:color w:val="auto"/>
                <w:szCs w:val="24"/>
                <w:highlight w:val="none"/>
                <w:lang w:eastAsia="zh-CN"/>
              </w:rPr>
              <w:t>详见磋商公告</w:t>
            </w:r>
          </w:p>
          <w:p>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10</w:t>
            </w:r>
          </w:p>
        </w:tc>
        <w:tc>
          <w:tcPr>
            <w:tcW w:w="951" w:type="dxa"/>
            <w:noWrap w:val="0"/>
            <w:vAlign w:val="center"/>
          </w:tcPr>
          <w:p>
            <w:pPr>
              <w:spacing w:after="120" w:afterLines="50" w:line="360" w:lineRule="auto"/>
              <w:jc w:val="center"/>
              <w:rPr>
                <w:rFonts w:hint="eastAsia" w:ascii="宋体"/>
                <w:color w:val="auto"/>
                <w:sz w:val="24"/>
                <w:szCs w:val="24"/>
                <w:highlight w:val="none"/>
                <w:lang w:val="en-US" w:eastAsia="zh-CN" w:bidi="ar-SA"/>
              </w:rPr>
            </w:pPr>
            <w:r>
              <w:rPr>
                <w:color w:val="auto"/>
                <w:szCs w:val="24"/>
                <w:highlight w:val="none"/>
              </w:rPr>
              <w:t>21.1</w:t>
            </w:r>
          </w:p>
        </w:tc>
        <w:tc>
          <w:tcPr>
            <w:tcW w:w="7354" w:type="dxa"/>
            <w:noWrap w:val="0"/>
            <w:vAlign w:val="center"/>
          </w:tcPr>
          <w:p>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磋商时间：</w:t>
            </w:r>
            <w:r>
              <w:rPr>
                <w:rFonts w:hint="eastAsia" w:hAnsi="宋体" w:cs="宋体"/>
                <w:color w:val="auto"/>
                <w:szCs w:val="24"/>
                <w:highlight w:val="none"/>
                <w:lang w:eastAsia="zh-CN"/>
              </w:rPr>
              <w:t>详见磋商公告</w:t>
            </w:r>
          </w:p>
          <w:p>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磋商地点：</w:t>
            </w:r>
            <w:r>
              <w:rPr>
                <w:rFonts w:hint="eastAsia" w:hAnsi="宋体" w:cs="宋体"/>
                <w:color w:val="auto"/>
                <w:szCs w:val="24"/>
                <w:highlight w:val="none"/>
                <w:lang w:eastAsia="zh-CN"/>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11</w:t>
            </w:r>
          </w:p>
        </w:tc>
        <w:tc>
          <w:tcPr>
            <w:tcW w:w="951" w:type="dxa"/>
            <w:noWrap w:val="0"/>
            <w:vAlign w:val="center"/>
          </w:tcPr>
          <w:p>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24.1</w:t>
            </w:r>
          </w:p>
        </w:tc>
        <w:tc>
          <w:tcPr>
            <w:tcW w:w="7354" w:type="dxa"/>
            <w:noWrap w:val="0"/>
            <w:vAlign w:val="center"/>
          </w:tcPr>
          <w:p>
            <w:pPr>
              <w:spacing w:line="360" w:lineRule="auto"/>
              <w:jc w:val="left"/>
              <w:rPr>
                <w:rFonts w:hint="eastAsia" w:ascii="宋体" w:hAnsi="宋体" w:cs="宋体"/>
                <w:color w:val="auto"/>
                <w:sz w:val="24"/>
                <w:szCs w:val="24"/>
                <w:highlight w:val="none"/>
                <w:lang w:val="en-US" w:eastAsia="zh-CN" w:bidi="ar-SA"/>
              </w:rPr>
            </w:pPr>
            <w:r>
              <w:rPr>
                <w:rFonts w:hint="eastAsia" w:hAnsi="宋体" w:cs="宋体"/>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12</w:t>
            </w:r>
          </w:p>
        </w:tc>
        <w:tc>
          <w:tcPr>
            <w:tcW w:w="951" w:type="dxa"/>
            <w:noWrap w:val="0"/>
            <w:vAlign w:val="center"/>
          </w:tcPr>
          <w:p>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pPr>
              <w:spacing w:after="156" w:afterLines="5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磋商代理服务费： </w:t>
            </w:r>
          </w:p>
          <w:p>
            <w:pPr>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29.1按</w:t>
            </w:r>
            <w:bookmarkStart w:id="25" w:name="OLE_LINK10"/>
            <w:bookmarkStart w:id="26" w:name="OLE_LINK9"/>
            <w:r>
              <w:rPr>
                <w:rFonts w:hint="eastAsia" w:ascii="宋体" w:hAnsi="宋体" w:eastAsia="宋体" w:cs="宋体"/>
                <w:color w:val="auto"/>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r>
              <w:rPr>
                <w:rFonts w:hint="eastAsia" w:ascii="宋体" w:hAnsi="宋体" w:eastAsia="宋体" w:cs="宋体"/>
                <w:color w:val="auto"/>
                <w:szCs w:val="24"/>
                <w:highlight w:val="none"/>
              </w:rPr>
              <w:t>。</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13</w:t>
            </w:r>
          </w:p>
        </w:tc>
        <w:tc>
          <w:tcPr>
            <w:tcW w:w="951" w:type="dxa"/>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pPr>
              <w:numPr>
                <w:ilvl w:val="0"/>
                <w:numId w:val="0"/>
              </w:numPr>
              <w:spacing w:line="52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代理服务费账户：</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采购代理机构开户名称: 陕西至诚招标咨询有限公司</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开户行名称：中国建设银行股份有限公司西安高新技术产业开发区支行</w:t>
            </w:r>
          </w:p>
          <w:p>
            <w:pPr>
              <w:pStyle w:val="8"/>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账号：61050192090000002152</w:t>
            </w:r>
            <w:r>
              <w:rPr>
                <w:rFonts w:hint="eastAsia" w:ascii="宋体" w:hAnsi="宋体" w:eastAsia="宋体" w:cs="宋体"/>
                <w:color w:val="auto"/>
                <w:szCs w:val="24"/>
                <w:highlight w:val="none"/>
                <w:lang w:val="en-US" w:eastAsia="zh-CN"/>
              </w:rPr>
              <w:t>。</w:t>
            </w:r>
          </w:p>
          <w:p>
            <w:pPr>
              <w:spacing w:line="520" w:lineRule="exact"/>
              <w:ind w:firstLine="482" w:firstLineChars="200"/>
              <w:rPr>
                <w:rFonts w:hint="eastAsia" w:ascii="宋体" w:hAnsi="宋体" w:eastAsia="宋体" w:cs="宋体"/>
                <w:color w:val="auto"/>
                <w:szCs w:val="24"/>
                <w:highlight w:val="none"/>
              </w:rPr>
            </w:pPr>
            <w:r>
              <w:rPr>
                <w:rFonts w:hint="eastAsia" w:hAnsi="宋体" w:eastAsia="宋体" w:cs="宋体"/>
                <w:b/>
                <w:bCs/>
                <w:color w:val="auto"/>
                <w:szCs w:val="24"/>
                <w:highlight w:val="none"/>
                <w:lang w:eastAsia="zh-CN"/>
              </w:rPr>
              <w:t>注：</w:t>
            </w: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951" w:type="dxa"/>
            <w:noWrap w:val="0"/>
            <w:vAlign w:val="center"/>
          </w:tcPr>
          <w:p>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项目</w:t>
            </w:r>
          </w:p>
          <w:p>
            <w:pPr>
              <w:widowControl/>
              <w:spacing w:line="360" w:lineRule="auto"/>
              <w:jc w:val="center"/>
              <w:rPr>
                <w:rFonts w:hint="eastAsia" w:ascii="宋体" w:hAnsi="宋体" w:eastAsia="宋体" w:cs="宋体"/>
                <w:b/>
                <w:bCs/>
                <w:color w:val="auto"/>
                <w:szCs w:val="24"/>
                <w:highlight w:val="none"/>
              </w:rPr>
            </w:pPr>
            <w:r>
              <w:rPr>
                <w:rFonts w:hint="eastAsia" w:hAnsi="宋体"/>
                <w:b w:val="0"/>
                <w:bCs w:val="0"/>
                <w:color w:val="auto"/>
                <w:szCs w:val="24"/>
                <w:highlight w:val="none"/>
                <w:lang w:eastAsia="zh-CN"/>
              </w:rPr>
              <w:t>性质</w:t>
            </w:r>
          </w:p>
        </w:tc>
        <w:tc>
          <w:tcPr>
            <w:tcW w:w="7354" w:type="dxa"/>
            <w:noWrap w:val="0"/>
            <w:vAlign w:val="center"/>
          </w:tcPr>
          <w:p>
            <w:pPr>
              <w:widowControl/>
              <w:spacing w:line="360" w:lineRule="auto"/>
              <w:rPr>
                <w:rFonts w:hint="eastAsia" w:hAnsi="宋体" w:eastAsia="宋体" w:cs="宋体"/>
                <w:b/>
                <w:bCs/>
                <w:color w:val="auto"/>
                <w:szCs w:val="24"/>
                <w:highlight w:val="none"/>
                <w:lang w:eastAsia="zh-CN"/>
              </w:rPr>
            </w:pPr>
            <w:r>
              <w:rPr>
                <w:rFonts w:hint="eastAsia" w:hAnsi="宋体"/>
                <w:b w:val="0"/>
                <w:bCs w:val="0"/>
                <w:color w:val="auto"/>
                <w:szCs w:val="24"/>
                <w:highlight w:val="none"/>
                <w:lang w:val="en-US" w:eastAsia="zh-CN"/>
              </w:rPr>
              <w:t>本项目专门面向小微企业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采购文件所属行业</w:t>
            </w:r>
          </w:p>
        </w:tc>
        <w:tc>
          <w:tcPr>
            <w:tcW w:w="7354" w:type="dxa"/>
            <w:noWrap w:val="0"/>
            <w:vAlign w:val="center"/>
          </w:tcPr>
          <w:p>
            <w:pPr>
              <w:widowControl/>
              <w:spacing w:line="360" w:lineRule="auto"/>
              <w:rPr>
                <w:rFonts w:hint="eastAsia" w:hAnsi="宋体"/>
                <w:b w:val="0"/>
                <w:bCs w:val="0"/>
                <w:color w:val="auto"/>
                <w:szCs w:val="24"/>
                <w:highlight w:val="none"/>
                <w:lang w:val="en-US" w:eastAsia="zh-CN"/>
              </w:rPr>
            </w:pPr>
            <w:r>
              <w:rPr>
                <w:rFonts w:hint="eastAsia" w:hAnsi="宋体"/>
                <w:b w:val="0"/>
                <w:bCs w:val="0"/>
                <w:color w:val="auto"/>
                <w:szCs w:val="24"/>
                <w:highlight w:val="none"/>
                <w:lang w:val="en-US" w:eastAsia="zh-CN"/>
              </w:rPr>
              <w:t>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16</w:t>
            </w:r>
          </w:p>
        </w:tc>
        <w:tc>
          <w:tcPr>
            <w:tcW w:w="951" w:type="dxa"/>
            <w:noWrap w:val="0"/>
            <w:vAlign w:val="center"/>
          </w:tcPr>
          <w:p>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政策性扣减</w:t>
            </w:r>
          </w:p>
        </w:tc>
        <w:tc>
          <w:tcPr>
            <w:tcW w:w="7354" w:type="dxa"/>
            <w:noWrap w:val="0"/>
            <w:vAlign w:val="center"/>
          </w:tcPr>
          <w:p>
            <w:pPr>
              <w:widowControl/>
              <w:spacing w:line="360" w:lineRule="auto"/>
              <w:rPr>
                <w:rFonts w:hint="eastAsia" w:hAnsi="宋体"/>
                <w:b w:val="0"/>
                <w:bCs w:val="0"/>
                <w:color w:val="auto"/>
                <w:szCs w:val="24"/>
                <w:highlight w:val="none"/>
                <w:lang w:val="en-US" w:eastAsia="zh-CN"/>
              </w:rPr>
            </w:pPr>
            <w:r>
              <w:rPr>
                <w:rFonts w:hint="eastAsia" w:hAnsi="宋体"/>
                <w:b w:val="0"/>
                <w:bCs w:val="0"/>
                <w:color w:val="auto"/>
                <w:szCs w:val="24"/>
                <w:highlight w:val="none"/>
                <w:lang w:val="en-US" w:eastAsia="zh-CN"/>
              </w:rPr>
              <w:t>对符合《政府采购促进中小企业发展管理办法》(财库(2020)46号)规定的小微企业(监狱企业视同小型、微型企业)的报价给予10%的扣除,用扣除后的价格参加评审。本项目为专门面向小微企业采购，不在进行价格分的扣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17</w:t>
            </w:r>
          </w:p>
        </w:tc>
        <w:tc>
          <w:tcPr>
            <w:tcW w:w="951" w:type="dxa"/>
            <w:noWrap w:val="0"/>
            <w:vAlign w:val="center"/>
          </w:tcPr>
          <w:p>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hAnsi="宋体" w:cs="宋体"/>
                <w:b/>
                <w:bCs/>
                <w:color w:val="auto"/>
                <w:szCs w:val="24"/>
                <w:highlight w:val="none"/>
                <w:lang w:val="en-US" w:eastAsia="zh-CN"/>
              </w:rPr>
            </w:pPr>
            <w:bookmarkStart w:id="27" w:name="_Toc403077639"/>
            <w:bookmarkStart w:id="28" w:name="_Toc363474017"/>
            <w:bookmarkStart w:id="29" w:name="_Toc363473972"/>
            <w:r>
              <w:rPr>
                <w:rFonts w:hint="eastAsia" w:hAnsi="宋体" w:cs="宋体"/>
                <w:b/>
                <w:bCs/>
                <w:color w:val="auto"/>
                <w:szCs w:val="24"/>
                <w:highlight w:val="none"/>
                <w:lang w:val="en-US" w:eastAsia="zh-CN"/>
              </w:rPr>
              <w:t>18</w:t>
            </w:r>
          </w:p>
        </w:tc>
        <w:tc>
          <w:tcPr>
            <w:tcW w:w="951" w:type="dxa"/>
            <w:noWrap w:val="0"/>
            <w:vAlign w:val="center"/>
          </w:tcPr>
          <w:p>
            <w:pPr>
              <w:widowControl/>
              <w:spacing w:line="360" w:lineRule="auto"/>
              <w:jc w:val="center"/>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eastAsia="zh-CN"/>
              </w:rPr>
              <w:t>其他</w:t>
            </w:r>
          </w:p>
        </w:tc>
        <w:tc>
          <w:tcPr>
            <w:tcW w:w="7354" w:type="dxa"/>
            <w:noWrap w:val="0"/>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bookmarkEnd w:id="9"/>
      <w:bookmarkEnd w:id="10"/>
      <w:bookmarkEnd w:id="11"/>
    </w:tbl>
    <w:p>
      <w:pPr>
        <w:spacing w:before="156" w:beforeLines="50" w:after="156" w:afterLines="50"/>
        <w:jc w:val="center"/>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bookmarkStart w:id="30" w:name="_Toc27537"/>
      <w:bookmarkStart w:id="31" w:name="_Toc9312"/>
      <w:bookmarkStart w:id="32" w:name="_Toc3623"/>
      <w:r>
        <w:rPr>
          <w:rFonts w:hint="eastAsia" w:ascii="宋体" w:hAnsi="宋体" w:eastAsia="宋体" w:cs="宋体"/>
          <w:b/>
          <w:color w:val="auto"/>
          <w:sz w:val="32"/>
          <w:szCs w:val="32"/>
          <w:highlight w:val="none"/>
        </w:rPr>
        <w:t>一.总  则</w:t>
      </w:r>
      <w:bookmarkEnd w:id="27"/>
      <w:bookmarkEnd w:id="28"/>
      <w:bookmarkEnd w:id="29"/>
      <w:bookmarkEnd w:id="30"/>
      <w:bookmarkEnd w:id="31"/>
      <w:bookmarkEnd w:id="32"/>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1.1本次竞争性磋商所签合同使用财政资金支付，资金已落实到位。</w:t>
      </w:r>
    </w:p>
    <w:p>
      <w:pPr>
        <w:numPr>
          <w:ilvl w:val="0"/>
          <w:numId w:val="1"/>
        </w:numPr>
        <w:spacing w:line="500" w:lineRule="exact"/>
        <w:rPr>
          <w:rFonts w:hint="eastAsia" w:ascii="宋体" w:hAnsi="宋体" w:eastAsia="宋体" w:cs="宋体"/>
          <w:b/>
          <w:color w:val="auto"/>
          <w:szCs w:val="24"/>
          <w:highlight w:val="none"/>
        </w:rPr>
      </w:pPr>
      <w:bookmarkStart w:id="33" w:name="_Toc403077640"/>
      <w:bookmarkStart w:id="34" w:name="_Toc363474018"/>
      <w:bookmarkStart w:id="35" w:name="_Toc363473973"/>
      <w:r>
        <w:rPr>
          <w:rFonts w:hint="eastAsia" w:ascii="宋体" w:hAnsi="宋体" w:eastAsia="宋体" w:cs="宋体"/>
          <w:b/>
          <w:color w:val="auto"/>
          <w:szCs w:val="24"/>
          <w:highlight w:val="none"/>
        </w:rPr>
        <w:t>名词解释</w:t>
      </w:r>
    </w:p>
    <w:p>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w:t>
      </w:r>
      <w:r>
        <w:rPr>
          <w:rFonts w:hint="eastAsia" w:hAnsi="宋体" w:cs="宋体"/>
          <w:color w:val="auto"/>
          <w:szCs w:val="22"/>
          <w:highlight w:val="none"/>
          <w:lang w:eastAsia="zh-CN"/>
        </w:rPr>
        <w:t>宁陕县住房和城乡建设局</w:t>
      </w:r>
    </w:p>
    <w:p>
      <w:pPr>
        <w:tabs>
          <w:tab w:val="left" w:pos="7665"/>
        </w:tabs>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2.2监督机构：</w:t>
      </w:r>
      <w:r>
        <w:rPr>
          <w:rFonts w:hint="eastAsia" w:hAnsi="宋体" w:cs="宋体"/>
          <w:color w:val="auto"/>
          <w:szCs w:val="22"/>
          <w:highlight w:val="none"/>
          <w:lang w:eastAsia="zh-CN"/>
        </w:rPr>
        <w:t>同级人民财政部门</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3.4供应商必须在陕西至诚招标咨询有限公司购买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bookmarkEnd w:id="33"/>
    <w:bookmarkEnd w:id="34"/>
    <w:bookmarkEnd w:id="35"/>
    <w:p>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36" w:name="_Toc23109"/>
      <w:bookmarkStart w:id="37" w:name="_Toc31742"/>
      <w:bookmarkStart w:id="38" w:name="_Toc27903"/>
      <w:bookmarkStart w:id="39" w:name="_Toc363474019"/>
      <w:bookmarkStart w:id="40" w:name="_Toc363473974"/>
      <w:bookmarkStart w:id="41" w:name="_Toc403077641"/>
      <w:bookmarkStart w:id="42" w:name="_Toc28227"/>
      <w:bookmarkStart w:id="43" w:name="_Toc26653"/>
      <w:r>
        <w:rPr>
          <w:rFonts w:hint="eastAsia" w:ascii="宋体" w:hAnsi="宋体" w:eastAsia="宋体" w:cs="宋体"/>
          <w:b/>
          <w:color w:val="auto"/>
          <w:sz w:val="32"/>
          <w:szCs w:val="32"/>
          <w:highlight w:val="none"/>
        </w:rPr>
        <w:t>二.竞争性磋商文件</w:t>
      </w:r>
      <w:bookmarkEnd w:id="36"/>
      <w:bookmarkEnd w:id="37"/>
      <w:bookmarkEnd w:id="38"/>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4" w:name="_Toc30934"/>
      <w:r>
        <w:rPr>
          <w:rFonts w:hint="eastAsia" w:ascii="宋体" w:hAnsi="宋体" w:eastAsia="宋体" w:cs="宋体"/>
          <w:b/>
          <w:color w:val="auto"/>
          <w:sz w:val="32"/>
          <w:szCs w:val="32"/>
          <w:highlight w:val="none"/>
        </w:rPr>
        <w:t>三.磋商响应文件的编制</w:t>
      </w:r>
      <w:bookmarkEnd w:id="39"/>
      <w:bookmarkEnd w:id="40"/>
      <w:bookmarkEnd w:id="41"/>
      <w:bookmarkEnd w:id="42"/>
      <w:bookmarkEnd w:id="43"/>
      <w:bookmarkEnd w:id="44"/>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r>
        <w:rPr>
          <w:rFonts w:hint="eastAsia" w:ascii="宋体" w:hAnsi="宋体" w:eastAsia="宋体" w:cs="宋体"/>
          <w:color w:val="auto"/>
          <w:highlight w:val="none"/>
        </w:rPr>
        <w:t>包括但不限于人工费、设备使用费、办公费、服务费、交通费、招标代理服务费、税金等其他一切相关费用</w:t>
      </w:r>
      <w:r>
        <w:rPr>
          <w:rFonts w:hint="eastAsia" w:ascii="宋体" w:hAnsi="宋体" w:eastAsia="宋体" w:cs="宋体"/>
          <w:color w:val="auto"/>
          <w:szCs w:val="24"/>
          <w:highlight w:val="none"/>
        </w:rPr>
        <w:t>。</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14.磋商保证金</w:t>
      </w:r>
    </w:p>
    <w:p>
      <w:pPr>
        <w:spacing w:line="360" w:lineRule="auto"/>
        <w:ind w:firstLine="482" w:firstLineChars="200"/>
        <w:rPr>
          <w:rFonts w:hint="eastAsia"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无</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pPr>
        <w:spacing w:line="360" w:lineRule="auto"/>
        <w:ind w:firstLine="480" w:firstLineChars="200"/>
        <w:rPr>
          <w:rFonts w:hint="eastAsia" w:ascii="宋体" w:hAnsi="宋体" w:eastAsia="宋体" w:cs="宋体"/>
          <w:color w:val="auto"/>
          <w:szCs w:val="24"/>
          <w:highlight w:val="none"/>
        </w:rPr>
      </w:pPr>
      <w:bookmarkStart w:id="45"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特别注意：</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该项目如有变更文件，则应点击“项目流程&gt;答疑文件下载”下载更新后的电子招标文件（*.SXSCF），使用旧版电子招标文件制作的电子投标文件，系统将拒绝接收。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电子投标文件同样需要使用上述软件进行编制。在编制过程中，如有技术性问题，请先翻阅操作手册或致电软件开发商，技术支持热线：4009280095、4009980000。</w:t>
      </w:r>
    </w:p>
    <w:p>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6" w:name="_Toc20799"/>
      <w:bookmarkStart w:id="47" w:name="_Toc2902"/>
      <w:bookmarkStart w:id="48" w:name="_Toc18686"/>
      <w:r>
        <w:rPr>
          <w:rFonts w:hint="eastAsia" w:ascii="宋体" w:hAnsi="宋体" w:eastAsia="宋体" w:cs="宋体"/>
          <w:b/>
          <w:color w:val="auto"/>
          <w:sz w:val="32"/>
          <w:szCs w:val="32"/>
          <w:highlight w:val="none"/>
        </w:rPr>
        <w:t>四.竞争性磋商响应文件的递交</w:t>
      </w:r>
      <w:bookmarkEnd w:id="46"/>
      <w:bookmarkEnd w:id="47"/>
      <w:bookmarkEnd w:id="48"/>
    </w:p>
    <w:p>
      <w:pPr>
        <w:spacing w:line="360" w:lineRule="auto"/>
        <w:rPr>
          <w:rFonts w:hAnsi="宋体" w:cs="宋体"/>
          <w:b w:val="0"/>
          <w:bCs w:val="0"/>
          <w:color w:val="auto"/>
          <w:szCs w:val="24"/>
          <w:highlight w:val="none"/>
        </w:rPr>
      </w:pPr>
      <w:r>
        <w:rPr>
          <w:rFonts w:hAnsi="宋体"/>
          <w:b w:val="0"/>
          <w:bCs w:val="0"/>
          <w:color w:val="auto"/>
          <w:szCs w:val="24"/>
          <w:highlight w:val="none"/>
        </w:rPr>
        <w:t>17.</w:t>
      </w:r>
      <w:r>
        <w:rPr>
          <w:rFonts w:hint="eastAsia" w:hAnsi="宋体" w:cs="宋体"/>
          <w:b w:val="0"/>
          <w:bCs w:val="0"/>
          <w:color w:val="auto"/>
          <w:szCs w:val="24"/>
          <w:highlight w:val="none"/>
        </w:rPr>
        <w:t>竞争性磋商响应文件的递交</w:t>
      </w:r>
    </w:p>
    <w:p>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rPr>
        <w:t>供应商应按照竞争性磋商公告中规定的时间、地点，在规定的竞争性磋商响应文件递交截止时间前将全部竞争性磋商响应文件和磋商资料递交</w:t>
      </w:r>
      <w:r>
        <w:rPr>
          <w:rFonts w:hint="eastAsia" w:ascii="宋体" w:hAnsi="宋体" w:eastAsia="宋体" w:cs="宋体"/>
          <w:b w:val="0"/>
          <w:bCs w:val="0"/>
          <w:color w:val="auto"/>
          <w:szCs w:val="24"/>
          <w:highlight w:val="none"/>
        </w:rPr>
        <w:t>。</w:t>
      </w:r>
    </w:p>
    <w:p>
      <w:pPr>
        <w:spacing w:line="360" w:lineRule="auto"/>
        <w:rPr>
          <w:rFonts w:hAnsi="宋体"/>
          <w:b w:val="0"/>
          <w:bCs w:val="0"/>
          <w:color w:val="auto"/>
          <w:szCs w:val="24"/>
          <w:highlight w:val="none"/>
        </w:rPr>
      </w:pPr>
      <w:r>
        <w:rPr>
          <w:rFonts w:hint="eastAsia" w:hAnsi="宋体"/>
          <w:b w:val="0"/>
          <w:bCs w:val="0"/>
          <w:color w:val="auto"/>
          <w:szCs w:val="24"/>
          <w:highlight w:val="none"/>
        </w:rPr>
        <w:t>1</w:t>
      </w:r>
      <w:r>
        <w:rPr>
          <w:rFonts w:hAnsi="宋体"/>
          <w:b w:val="0"/>
          <w:bCs w:val="0"/>
          <w:color w:val="auto"/>
          <w:szCs w:val="24"/>
          <w:highlight w:val="none"/>
        </w:rPr>
        <w:t>8．</w:t>
      </w:r>
      <w:r>
        <w:rPr>
          <w:rFonts w:hint="eastAsia" w:hAnsi="宋体"/>
          <w:b w:val="0"/>
          <w:bCs w:val="0"/>
          <w:color w:val="auto"/>
          <w:szCs w:val="24"/>
          <w:highlight w:val="none"/>
        </w:rPr>
        <w:t>无论供应商成交与否，其竞争性磋商响应文件恕不退还。</w:t>
      </w:r>
    </w:p>
    <w:p>
      <w:pPr>
        <w:spacing w:line="360" w:lineRule="auto"/>
        <w:rPr>
          <w:rFonts w:hAnsi="宋体"/>
          <w:b w:val="0"/>
          <w:bCs w:val="0"/>
          <w:color w:val="auto"/>
          <w:szCs w:val="24"/>
          <w:highlight w:val="none"/>
        </w:rPr>
      </w:pPr>
      <w:r>
        <w:rPr>
          <w:rFonts w:hAnsi="宋体"/>
          <w:b w:val="0"/>
          <w:bCs w:val="0"/>
          <w:color w:val="auto"/>
          <w:szCs w:val="24"/>
          <w:highlight w:val="none"/>
        </w:rPr>
        <w:t>19．</w:t>
      </w:r>
      <w:r>
        <w:rPr>
          <w:rFonts w:hint="eastAsia" w:hAnsi="宋体"/>
          <w:b w:val="0"/>
          <w:bCs w:val="0"/>
          <w:color w:val="auto"/>
          <w:szCs w:val="24"/>
          <w:highlight w:val="none"/>
        </w:rPr>
        <w:t>递交</w:t>
      </w:r>
      <w:r>
        <w:rPr>
          <w:rFonts w:hAnsi="宋体"/>
          <w:b w:val="0"/>
          <w:bCs w:val="0"/>
          <w:color w:val="auto"/>
          <w:szCs w:val="24"/>
          <w:highlight w:val="none"/>
        </w:rPr>
        <w:t>的</w:t>
      </w:r>
      <w:r>
        <w:rPr>
          <w:rFonts w:hint="eastAsia" w:hAnsi="宋体"/>
          <w:b w:val="0"/>
          <w:bCs w:val="0"/>
          <w:color w:val="auto"/>
          <w:szCs w:val="24"/>
          <w:highlight w:val="none"/>
        </w:rPr>
        <w:t>竞争性磋商响应文件</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19.1按照</w:t>
      </w:r>
      <w:r>
        <w:rPr>
          <w:rFonts w:hint="eastAsia" w:hAnsi="宋体"/>
          <w:b w:val="0"/>
          <w:bCs w:val="0"/>
          <w:color w:val="auto"/>
          <w:szCs w:val="24"/>
          <w:highlight w:val="none"/>
        </w:rPr>
        <w:t>供应商</w:t>
      </w:r>
      <w:r>
        <w:rPr>
          <w:rFonts w:hAnsi="宋体"/>
          <w:b w:val="0"/>
          <w:bCs w:val="0"/>
          <w:color w:val="auto"/>
          <w:szCs w:val="24"/>
          <w:highlight w:val="none"/>
        </w:rPr>
        <w:t>须知的规定，采购代理机构将拒绝接受在规定的</w:t>
      </w:r>
      <w:r>
        <w:rPr>
          <w:rFonts w:hint="eastAsia" w:hAnsi="宋体"/>
          <w:b w:val="0"/>
          <w:bCs w:val="0"/>
          <w:color w:val="auto"/>
          <w:szCs w:val="24"/>
          <w:highlight w:val="none"/>
        </w:rPr>
        <w:t>磋商</w:t>
      </w:r>
      <w:r>
        <w:rPr>
          <w:rFonts w:hAnsi="宋体"/>
          <w:b w:val="0"/>
          <w:bCs w:val="0"/>
          <w:color w:val="auto"/>
          <w:szCs w:val="24"/>
          <w:highlight w:val="none"/>
        </w:rPr>
        <w:t>截止时间后</w:t>
      </w:r>
      <w:r>
        <w:rPr>
          <w:rFonts w:hint="eastAsia" w:hAnsi="宋体"/>
          <w:b w:val="0"/>
          <w:bCs w:val="0"/>
          <w:color w:val="auto"/>
          <w:szCs w:val="24"/>
          <w:highlight w:val="none"/>
        </w:rPr>
        <w:t>递交</w:t>
      </w:r>
      <w:r>
        <w:rPr>
          <w:rFonts w:hAnsi="宋体"/>
          <w:b w:val="0"/>
          <w:bCs w:val="0"/>
          <w:color w:val="auto"/>
          <w:szCs w:val="24"/>
          <w:highlight w:val="none"/>
        </w:rPr>
        <w:t>的任何</w:t>
      </w:r>
      <w:r>
        <w:rPr>
          <w:rFonts w:hint="eastAsia" w:hAnsi="宋体"/>
          <w:b w:val="0"/>
          <w:bCs w:val="0"/>
          <w:color w:val="auto"/>
          <w:szCs w:val="24"/>
          <w:highlight w:val="none"/>
        </w:rPr>
        <w:t>竞争性磋商响应文件</w:t>
      </w:r>
      <w:r>
        <w:rPr>
          <w:rFonts w:hAnsi="宋体"/>
          <w:b w:val="0"/>
          <w:bCs w:val="0"/>
          <w:color w:val="auto"/>
          <w:szCs w:val="24"/>
          <w:highlight w:val="none"/>
        </w:rPr>
        <w:t>。</w:t>
      </w:r>
    </w:p>
    <w:p>
      <w:pPr>
        <w:spacing w:line="360" w:lineRule="auto"/>
        <w:rPr>
          <w:rFonts w:hAnsi="宋体"/>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rPr>
        <w:t>磋商</w:t>
      </w:r>
      <w:r>
        <w:rPr>
          <w:rFonts w:hAnsi="宋体"/>
          <w:b w:val="0"/>
          <w:bCs w:val="0"/>
          <w:color w:val="auto"/>
          <w:szCs w:val="24"/>
          <w:highlight w:val="none"/>
        </w:rPr>
        <w:t>的修改与撤回</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 xml:space="preserve">20.1 </w:t>
      </w:r>
      <w:r>
        <w:rPr>
          <w:rFonts w:hint="eastAsia" w:hAnsi="宋体"/>
          <w:b w:val="0"/>
          <w:bCs w:val="0"/>
          <w:color w:val="auto"/>
          <w:szCs w:val="24"/>
          <w:highlight w:val="none"/>
        </w:rPr>
        <w:t>供应商</w:t>
      </w:r>
      <w:r>
        <w:rPr>
          <w:rFonts w:hAnsi="宋体"/>
          <w:b w:val="0"/>
          <w:bCs w:val="0"/>
          <w:color w:val="auto"/>
          <w:szCs w:val="24"/>
          <w:highlight w:val="none"/>
        </w:rPr>
        <w:t>在递交</w:t>
      </w:r>
      <w:r>
        <w:rPr>
          <w:rFonts w:hint="eastAsia" w:hAnsi="宋体"/>
          <w:b w:val="0"/>
          <w:bCs w:val="0"/>
          <w:color w:val="auto"/>
          <w:szCs w:val="24"/>
          <w:highlight w:val="none"/>
        </w:rPr>
        <w:t>竞争性磋商响应文件</w:t>
      </w:r>
      <w:r>
        <w:rPr>
          <w:rFonts w:hAnsi="宋体"/>
          <w:b w:val="0"/>
          <w:bCs w:val="0"/>
          <w:color w:val="auto"/>
          <w:szCs w:val="24"/>
          <w:highlight w:val="none"/>
        </w:rPr>
        <w:t>后，可以修改或撤回其</w:t>
      </w:r>
      <w:r>
        <w:rPr>
          <w:rFonts w:hint="eastAsia" w:hAnsi="宋体"/>
          <w:b w:val="0"/>
          <w:bCs w:val="0"/>
          <w:color w:val="auto"/>
          <w:szCs w:val="24"/>
          <w:highlight w:val="none"/>
        </w:rPr>
        <w:t>竞争性磋商响应文件</w:t>
      </w:r>
      <w:r>
        <w:rPr>
          <w:rFonts w:hAnsi="宋体"/>
          <w:b w:val="0"/>
          <w:bCs w:val="0"/>
          <w:color w:val="auto"/>
          <w:szCs w:val="24"/>
          <w:highlight w:val="none"/>
        </w:rPr>
        <w:t>，也可以提出价格变动声明，但</w:t>
      </w:r>
      <w:r>
        <w:rPr>
          <w:rFonts w:hint="eastAsia" w:hAnsi="宋体"/>
          <w:b w:val="0"/>
          <w:bCs w:val="0"/>
          <w:color w:val="auto"/>
          <w:szCs w:val="24"/>
          <w:highlight w:val="none"/>
        </w:rPr>
        <w:t>供应商</w:t>
      </w:r>
      <w:r>
        <w:rPr>
          <w:rFonts w:hAnsi="宋体"/>
          <w:b w:val="0"/>
          <w:bCs w:val="0"/>
          <w:color w:val="auto"/>
          <w:szCs w:val="24"/>
          <w:highlight w:val="none"/>
        </w:rPr>
        <w:t>必须在规定的</w:t>
      </w:r>
      <w:r>
        <w:rPr>
          <w:rFonts w:hint="eastAsia" w:hAnsi="宋体"/>
          <w:b w:val="0"/>
          <w:bCs w:val="0"/>
          <w:color w:val="auto"/>
          <w:szCs w:val="24"/>
          <w:highlight w:val="none"/>
        </w:rPr>
        <w:t>磋商</w:t>
      </w:r>
      <w:r>
        <w:rPr>
          <w:rFonts w:hAnsi="宋体"/>
          <w:b w:val="0"/>
          <w:bCs w:val="0"/>
          <w:color w:val="auto"/>
          <w:szCs w:val="24"/>
          <w:highlight w:val="none"/>
        </w:rPr>
        <w:t>截止时间之前将修改或撤回或变动价格的书面通知文件递交到采购代理机构。</w:t>
      </w:r>
    </w:p>
    <w:p>
      <w:pPr>
        <w:spacing w:line="360" w:lineRule="auto"/>
        <w:ind w:firstLine="480" w:firstLineChars="200"/>
        <w:rPr>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lang w:val="en-US" w:eastAsia="zh-CN"/>
        </w:rPr>
        <w:t>2</w:t>
      </w:r>
      <w:r>
        <w:rPr>
          <w:rFonts w:hAnsi="宋体"/>
          <w:b w:val="0"/>
          <w:bCs w:val="0"/>
          <w:color w:val="auto"/>
          <w:szCs w:val="24"/>
          <w:highlight w:val="none"/>
        </w:rPr>
        <w:t xml:space="preserve"> 在</w:t>
      </w:r>
      <w:r>
        <w:rPr>
          <w:rFonts w:hint="eastAsia" w:hAnsi="宋体"/>
          <w:b w:val="0"/>
          <w:bCs w:val="0"/>
          <w:color w:val="auto"/>
          <w:szCs w:val="24"/>
          <w:highlight w:val="none"/>
        </w:rPr>
        <w:t>磋商</w:t>
      </w:r>
      <w:r>
        <w:rPr>
          <w:rFonts w:hAnsi="宋体"/>
          <w:b w:val="0"/>
          <w:bCs w:val="0"/>
          <w:color w:val="auto"/>
          <w:szCs w:val="24"/>
          <w:highlight w:val="none"/>
        </w:rPr>
        <w:t>截止时间之后，</w:t>
      </w:r>
      <w:r>
        <w:rPr>
          <w:rFonts w:hint="eastAsia" w:hAnsi="宋体"/>
          <w:b w:val="0"/>
          <w:bCs w:val="0"/>
          <w:color w:val="auto"/>
          <w:szCs w:val="24"/>
          <w:highlight w:val="none"/>
        </w:rPr>
        <w:t>供应商</w:t>
      </w:r>
      <w:r>
        <w:rPr>
          <w:rFonts w:hAnsi="宋体"/>
          <w:b w:val="0"/>
          <w:bCs w:val="0"/>
          <w:color w:val="auto"/>
          <w:szCs w:val="24"/>
          <w:highlight w:val="none"/>
        </w:rPr>
        <w:t>不得对其</w:t>
      </w:r>
      <w:r>
        <w:rPr>
          <w:rFonts w:hint="eastAsia" w:hAnsi="宋体"/>
          <w:b w:val="0"/>
          <w:bCs w:val="0"/>
          <w:color w:val="auto"/>
          <w:szCs w:val="24"/>
          <w:highlight w:val="none"/>
        </w:rPr>
        <w:t>磋商响应文件</w:t>
      </w:r>
      <w:r>
        <w:rPr>
          <w:rFonts w:hAnsi="宋体"/>
          <w:b w:val="0"/>
          <w:bCs w:val="0"/>
          <w:color w:val="auto"/>
          <w:szCs w:val="24"/>
          <w:highlight w:val="none"/>
        </w:rPr>
        <w:t>做任何修改或撤回。</w:t>
      </w:r>
    </w:p>
    <w:p>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9" w:name="_Toc363473976"/>
      <w:bookmarkStart w:id="50" w:name="_Toc15436"/>
      <w:bookmarkStart w:id="51" w:name="_Toc363474021"/>
      <w:bookmarkStart w:id="52" w:name="_Toc403077643"/>
      <w:bookmarkStart w:id="53" w:name="_Toc13669"/>
      <w:bookmarkStart w:id="54" w:name="_Toc15469"/>
      <w:r>
        <w:rPr>
          <w:rFonts w:hint="eastAsia" w:ascii="宋体" w:hAnsi="宋体" w:eastAsia="宋体" w:cs="宋体"/>
          <w:b/>
          <w:color w:val="auto"/>
          <w:sz w:val="32"/>
          <w:szCs w:val="32"/>
          <w:highlight w:val="none"/>
        </w:rPr>
        <w:t>五.磋商与评标</w:t>
      </w:r>
      <w:bookmarkEnd w:id="49"/>
      <w:bookmarkEnd w:id="50"/>
      <w:bookmarkEnd w:id="51"/>
      <w:bookmarkEnd w:id="52"/>
      <w:bookmarkEnd w:id="53"/>
      <w:bookmarkEnd w:id="54"/>
    </w:p>
    <w:p>
      <w:pPr>
        <w:spacing w:line="360" w:lineRule="auto"/>
        <w:rPr>
          <w:rFonts w:hAnsi="宋体"/>
          <w:b w:val="0"/>
          <w:bCs w:val="0"/>
          <w:color w:val="auto"/>
          <w:szCs w:val="24"/>
          <w:highlight w:val="none"/>
        </w:rPr>
      </w:pPr>
      <w:r>
        <w:rPr>
          <w:rFonts w:hAnsi="宋体"/>
          <w:b w:val="0"/>
          <w:bCs w:val="0"/>
          <w:color w:val="auto"/>
          <w:szCs w:val="24"/>
          <w:highlight w:val="none"/>
        </w:rPr>
        <w:t>21.</w:t>
      </w:r>
      <w:r>
        <w:rPr>
          <w:rFonts w:hint="eastAsia" w:hAnsi="宋体"/>
          <w:b w:val="0"/>
          <w:bCs w:val="0"/>
          <w:color w:val="auto"/>
          <w:szCs w:val="24"/>
          <w:highlight w:val="none"/>
        </w:rPr>
        <w:t>磋商大会</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21.1 采购代理机构在规定的时间和地点组织</w:t>
      </w:r>
      <w:r>
        <w:rPr>
          <w:rFonts w:hint="eastAsia" w:hAnsi="宋体"/>
          <w:b w:val="0"/>
          <w:bCs w:val="0"/>
          <w:color w:val="auto"/>
          <w:szCs w:val="24"/>
          <w:highlight w:val="none"/>
        </w:rPr>
        <w:t>竞争性磋商</w:t>
      </w:r>
      <w:r>
        <w:rPr>
          <w:rFonts w:hAnsi="宋体"/>
          <w:b w:val="0"/>
          <w:bCs w:val="0"/>
          <w:color w:val="auto"/>
          <w:szCs w:val="24"/>
          <w:highlight w:val="none"/>
        </w:rPr>
        <w:t>。</w:t>
      </w:r>
      <w:r>
        <w:rPr>
          <w:rFonts w:hint="eastAsia" w:hAnsi="宋体"/>
          <w:b w:val="0"/>
          <w:bCs w:val="0"/>
          <w:color w:val="auto"/>
          <w:szCs w:val="24"/>
          <w:highlight w:val="none"/>
        </w:rPr>
        <w:t>磋商</w:t>
      </w:r>
      <w:r>
        <w:rPr>
          <w:rFonts w:hAnsi="宋体"/>
          <w:b w:val="0"/>
          <w:bCs w:val="0"/>
          <w:color w:val="auto"/>
          <w:szCs w:val="24"/>
          <w:highlight w:val="none"/>
        </w:rPr>
        <w:t>时所有</w:t>
      </w:r>
      <w:r>
        <w:rPr>
          <w:rFonts w:hint="eastAsia" w:hAnsi="宋体"/>
          <w:b w:val="0"/>
          <w:bCs w:val="0"/>
          <w:color w:val="auto"/>
          <w:szCs w:val="24"/>
          <w:highlight w:val="none"/>
        </w:rPr>
        <w:t>供应商</w:t>
      </w:r>
      <w:r>
        <w:rPr>
          <w:rFonts w:hAnsi="宋体"/>
          <w:b w:val="0"/>
          <w:bCs w:val="0"/>
          <w:color w:val="auto"/>
          <w:szCs w:val="24"/>
          <w:highlight w:val="none"/>
        </w:rPr>
        <w:t>代表自愿参加，参加</w:t>
      </w:r>
      <w:r>
        <w:rPr>
          <w:rFonts w:hint="eastAsia" w:hAnsi="宋体"/>
          <w:b w:val="0"/>
          <w:bCs w:val="0"/>
          <w:color w:val="auto"/>
          <w:szCs w:val="24"/>
          <w:highlight w:val="none"/>
        </w:rPr>
        <w:t>磋商</w:t>
      </w:r>
      <w:r>
        <w:rPr>
          <w:rFonts w:hAnsi="宋体"/>
          <w:b w:val="0"/>
          <w:bCs w:val="0"/>
          <w:color w:val="auto"/>
          <w:szCs w:val="24"/>
          <w:highlight w:val="none"/>
        </w:rPr>
        <w:t>的代表应签名报到以证明其出席。</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21.2</w:t>
      </w:r>
      <w:r>
        <w:rPr>
          <w:rFonts w:hAnsi="宋体"/>
          <w:b w:val="0"/>
          <w:bCs w:val="0"/>
          <w:color w:val="auto"/>
          <w:szCs w:val="24"/>
          <w:highlight w:val="none"/>
        </w:rPr>
        <w:t>采购代理机构将做</w:t>
      </w:r>
      <w:r>
        <w:rPr>
          <w:rFonts w:hint="eastAsia" w:hAnsi="宋体"/>
          <w:b w:val="0"/>
          <w:bCs w:val="0"/>
          <w:color w:val="auto"/>
          <w:szCs w:val="24"/>
          <w:highlight w:val="none"/>
        </w:rPr>
        <w:t>磋商</w:t>
      </w:r>
      <w:r>
        <w:rPr>
          <w:rFonts w:hAnsi="宋体"/>
          <w:b w:val="0"/>
          <w:bCs w:val="0"/>
          <w:color w:val="auto"/>
          <w:szCs w:val="24"/>
          <w:highlight w:val="none"/>
        </w:rPr>
        <w:t>记录，存档备查。</w:t>
      </w:r>
    </w:p>
    <w:p>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2</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程序</w:t>
      </w:r>
    </w:p>
    <w:p>
      <w:pPr>
        <w:spacing w:line="48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按照竞争性磋商响应文件初审、澄清有关问题、分别磋商、二次报价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供应商在开标现场用数字认证证书（CA</w:t>
      </w:r>
      <w:r>
        <w:rPr>
          <w:rFonts w:hint="eastAsia" w:hAnsi="宋体" w:cs="宋体"/>
          <w:b w:val="0"/>
          <w:bCs w:val="0"/>
          <w:color w:val="auto"/>
          <w:szCs w:val="24"/>
          <w:highlight w:val="none"/>
          <w:lang w:eastAsia="zh-CN"/>
        </w:rPr>
        <w:t>主</w:t>
      </w:r>
      <w:r>
        <w:rPr>
          <w:rFonts w:hint="eastAsia" w:hAnsi="宋体" w:cs="宋体"/>
          <w:b w:val="0"/>
          <w:bCs w:val="0"/>
          <w:color w:val="auto"/>
          <w:szCs w:val="24"/>
          <w:highlight w:val="none"/>
        </w:rPr>
        <w:t>锁）登陆系统进行二次报价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、比较与评审、推荐成交候选人名单的工作程序进行评审。在上一步评审中被认定为无效磋商者，不进入下一步的评审。</w:t>
      </w:r>
    </w:p>
    <w:p>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组织及</w:t>
      </w:r>
      <w:r>
        <w:rPr>
          <w:rFonts w:hint="eastAsia" w:hAnsi="宋体"/>
          <w:b w:val="0"/>
          <w:bCs w:val="0"/>
          <w:color w:val="auto"/>
          <w:szCs w:val="24"/>
          <w:highlight w:val="none"/>
        </w:rPr>
        <w:t>评审</w:t>
      </w:r>
      <w:r>
        <w:rPr>
          <w:rFonts w:hAnsi="宋体"/>
          <w:b w:val="0"/>
          <w:bCs w:val="0"/>
          <w:color w:val="auto"/>
          <w:szCs w:val="24"/>
          <w:highlight w:val="none"/>
        </w:rPr>
        <w:t>原则</w:t>
      </w:r>
    </w:p>
    <w:p>
      <w:pPr>
        <w:spacing w:line="500" w:lineRule="exact"/>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.1按照《中华人民共和国政府采购法》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w:t>
      </w:r>
      <w:r>
        <w:rPr>
          <w:rFonts w:hAnsi="宋体"/>
          <w:b w:val="0"/>
          <w:bCs w:val="0"/>
          <w:color w:val="auto"/>
          <w:szCs w:val="24"/>
          <w:highlight w:val="none"/>
        </w:rPr>
        <w:t>，依法组建</w:t>
      </w:r>
      <w:r>
        <w:rPr>
          <w:rFonts w:hint="eastAsia" w:hAnsi="宋体"/>
          <w:b w:val="0"/>
          <w:bCs w:val="0"/>
          <w:color w:val="auto"/>
          <w:szCs w:val="24"/>
          <w:highlight w:val="none"/>
        </w:rPr>
        <w:t>磋商小组</w:t>
      </w:r>
      <w:r>
        <w:rPr>
          <w:rFonts w:hAnsi="宋体"/>
          <w:b w:val="0"/>
          <w:bCs w:val="0"/>
          <w:color w:val="auto"/>
          <w:szCs w:val="24"/>
          <w:highlight w:val="none"/>
        </w:rPr>
        <w:t>。</w:t>
      </w:r>
      <w:r>
        <w:rPr>
          <w:rFonts w:hint="eastAsia" w:hAnsi="宋体"/>
          <w:b w:val="0"/>
          <w:bCs w:val="0"/>
          <w:color w:val="auto"/>
          <w:szCs w:val="24"/>
          <w:highlight w:val="none"/>
        </w:rPr>
        <w:t>磋商小组由采购人代表和评审专家组成，成员人数应当为</w:t>
      </w:r>
      <w:r>
        <w:rPr>
          <w:rFonts w:hint="eastAsia" w:hAnsi="宋体"/>
          <w:b w:val="0"/>
          <w:bCs w:val="0"/>
          <w:color w:val="auto"/>
          <w:szCs w:val="24"/>
          <w:highlight w:val="none"/>
          <w:lang w:val="en-US" w:eastAsia="zh-CN"/>
        </w:rPr>
        <w:t>3</w:t>
      </w:r>
      <w:r>
        <w:rPr>
          <w:rFonts w:hint="eastAsia" w:hAnsi="宋体"/>
          <w:b w:val="0"/>
          <w:bCs w:val="0"/>
          <w:color w:val="auto"/>
          <w:szCs w:val="24"/>
          <w:highlight w:val="none"/>
        </w:rPr>
        <w:t>人以上单数，其中采购人代表须持有授权书。磋商小组</w:t>
      </w:r>
      <w:r>
        <w:rPr>
          <w:rFonts w:hAnsi="宋体"/>
          <w:b w:val="0"/>
          <w:bCs w:val="0"/>
          <w:color w:val="auto"/>
          <w:szCs w:val="24"/>
          <w:highlight w:val="none"/>
        </w:rPr>
        <w:t>按照</w:t>
      </w:r>
      <w:r>
        <w:rPr>
          <w:rFonts w:hint="eastAsia" w:hAnsi="宋体"/>
          <w:b w:val="0"/>
          <w:bCs w:val="0"/>
          <w:color w:val="auto"/>
          <w:szCs w:val="24"/>
          <w:highlight w:val="none"/>
        </w:rPr>
        <w:t>竞争性磋商</w:t>
      </w:r>
      <w:r>
        <w:rPr>
          <w:rFonts w:hAnsi="宋体"/>
          <w:b w:val="0"/>
          <w:bCs w:val="0"/>
          <w:color w:val="auto"/>
          <w:szCs w:val="24"/>
          <w:highlight w:val="none"/>
        </w:rPr>
        <w:t>文件规定的</w:t>
      </w:r>
      <w:r>
        <w:rPr>
          <w:rFonts w:hint="eastAsia" w:hAnsi="宋体"/>
          <w:b w:val="0"/>
          <w:bCs w:val="0"/>
          <w:color w:val="auto"/>
          <w:szCs w:val="24"/>
          <w:highlight w:val="none"/>
        </w:rPr>
        <w:t>评审</w:t>
      </w:r>
      <w:r>
        <w:rPr>
          <w:rFonts w:hAnsi="宋体"/>
          <w:b w:val="0"/>
          <w:bCs w:val="0"/>
          <w:color w:val="auto"/>
          <w:szCs w:val="24"/>
          <w:highlight w:val="none"/>
        </w:rPr>
        <w:t>方法独立进行</w:t>
      </w:r>
      <w:r>
        <w:rPr>
          <w:rFonts w:hint="eastAsia" w:hAnsi="宋体"/>
          <w:b w:val="0"/>
          <w:bCs w:val="0"/>
          <w:color w:val="auto"/>
          <w:szCs w:val="24"/>
          <w:highlight w:val="none"/>
        </w:rPr>
        <w:t>评审</w:t>
      </w:r>
      <w:r>
        <w:rPr>
          <w:rFonts w:hAnsi="宋体"/>
          <w:b w:val="0"/>
          <w:bCs w:val="0"/>
          <w:color w:val="auto"/>
          <w:szCs w:val="24"/>
          <w:highlight w:val="none"/>
        </w:rPr>
        <w:t>工作。</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.2</w:t>
      </w:r>
      <w:r>
        <w:rPr>
          <w:rFonts w:hint="eastAsia" w:hAnsi="宋体"/>
          <w:b w:val="0"/>
          <w:bCs w:val="0"/>
          <w:color w:val="auto"/>
          <w:szCs w:val="24"/>
          <w:highlight w:val="none"/>
        </w:rPr>
        <w:t>竞争性磋商</w:t>
      </w:r>
      <w:r>
        <w:rPr>
          <w:rFonts w:hAnsi="宋体"/>
          <w:b w:val="0"/>
          <w:bCs w:val="0"/>
          <w:color w:val="auto"/>
          <w:szCs w:val="24"/>
          <w:highlight w:val="none"/>
        </w:rPr>
        <w:t>文件和</w:t>
      </w:r>
      <w:r>
        <w:rPr>
          <w:rFonts w:hint="eastAsia" w:hAnsi="宋体"/>
          <w:b w:val="0"/>
          <w:bCs w:val="0"/>
          <w:color w:val="auto"/>
          <w:szCs w:val="24"/>
          <w:highlight w:val="none"/>
        </w:rPr>
        <w:t>竞争性磋商响应文件</w:t>
      </w:r>
      <w:r>
        <w:rPr>
          <w:rFonts w:hAnsi="宋体"/>
          <w:b w:val="0"/>
          <w:bCs w:val="0"/>
          <w:color w:val="auto"/>
          <w:szCs w:val="24"/>
          <w:highlight w:val="none"/>
        </w:rPr>
        <w:t>是</w:t>
      </w:r>
      <w:r>
        <w:rPr>
          <w:rFonts w:hint="eastAsia" w:hAnsi="宋体"/>
          <w:b w:val="0"/>
          <w:bCs w:val="0"/>
          <w:color w:val="auto"/>
          <w:szCs w:val="24"/>
          <w:highlight w:val="none"/>
        </w:rPr>
        <w:t>评审</w:t>
      </w:r>
      <w:r>
        <w:rPr>
          <w:rFonts w:hAnsi="宋体"/>
          <w:b w:val="0"/>
          <w:bCs w:val="0"/>
          <w:color w:val="auto"/>
          <w:szCs w:val="24"/>
          <w:highlight w:val="none"/>
        </w:rPr>
        <w:t>的依据。在</w:t>
      </w:r>
      <w:r>
        <w:rPr>
          <w:rFonts w:hint="eastAsia" w:hAnsi="宋体"/>
          <w:b w:val="0"/>
          <w:bCs w:val="0"/>
          <w:color w:val="auto"/>
          <w:szCs w:val="24"/>
          <w:highlight w:val="none"/>
        </w:rPr>
        <w:t>评审</w:t>
      </w:r>
      <w:r>
        <w:rPr>
          <w:rFonts w:hAnsi="宋体"/>
          <w:b w:val="0"/>
          <w:bCs w:val="0"/>
          <w:color w:val="auto"/>
          <w:szCs w:val="24"/>
          <w:highlight w:val="none"/>
        </w:rPr>
        <w:t>中，不得改变</w:t>
      </w:r>
      <w:r>
        <w:rPr>
          <w:rFonts w:hint="eastAsia" w:hAnsi="宋体"/>
          <w:b w:val="0"/>
          <w:bCs w:val="0"/>
          <w:color w:val="auto"/>
          <w:szCs w:val="24"/>
          <w:highlight w:val="none"/>
        </w:rPr>
        <w:t>竞争性磋商</w:t>
      </w:r>
      <w:r>
        <w:rPr>
          <w:rFonts w:hAnsi="宋体"/>
          <w:b w:val="0"/>
          <w:bCs w:val="0"/>
          <w:color w:val="auto"/>
          <w:szCs w:val="24"/>
          <w:highlight w:val="none"/>
        </w:rPr>
        <w:t>文件中规定的</w:t>
      </w:r>
      <w:r>
        <w:rPr>
          <w:rFonts w:hint="eastAsia" w:hAnsi="宋体"/>
          <w:b w:val="0"/>
          <w:bCs w:val="0"/>
          <w:color w:val="auto"/>
          <w:szCs w:val="24"/>
          <w:highlight w:val="none"/>
        </w:rPr>
        <w:t>评审</w:t>
      </w:r>
      <w:r>
        <w:rPr>
          <w:rFonts w:hAnsi="宋体"/>
          <w:b w:val="0"/>
          <w:bCs w:val="0"/>
          <w:color w:val="auto"/>
          <w:szCs w:val="24"/>
          <w:highlight w:val="none"/>
        </w:rPr>
        <w:t>标准、方法和</w:t>
      </w:r>
      <w:r>
        <w:rPr>
          <w:rFonts w:hint="eastAsia" w:hAnsi="宋体"/>
          <w:b w:val="0"/>
          <w:bCs w:val="0"/>
          <w:color w:val="auto"/>
          <w:szCs w:val="24"/>
          <w:highlight w:val="none"/>
        </w:rPr>
        <w:t>成交</w:t>
      </w:r>
      <w:r>
        <w:rPr>
          <w:rFonts w:hAnsi="宋体"/>
          <w:b w:val="0"/>
          <w:bCs w:val="0"/>
          <w:color w:val="auto"/>
          <w:szCs w:val="24"/>
          <w:highlight w:val="none"/>
        </w:rPr>
        <w:t>条件。</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.3在</w:t>
      </w:r>
      <w:r>
        <w:rPr>
          <w:rFonts w:hint="eastAsia" w:hAnsi="宋体"/>
          <w:b w:val="0"/>
          <w:bCs w:val="0"/>
          <w:color w:val="auto"/>
          <w:szCs w:val="24"/>
          <w:highlight w:val="none"/>
        </w:rPr>
        <w:t>评审</w:t>
      </w:r>
      <w:r>
        <w:rPr>
          <w:rFonts w:hAnsi="宋体"/>
          <w:b w:val="0"/>
          <w:bCs w:val="0"/>
          <w:color w:val="auto"/>
          <w:szCs w:val="24"/>
          <w:highlight w:val="none"/>
        </w:rPr>
        <w:t>期间，对</w:t>
      </w:r>
      <w:r>
        <w:rPr>
          <w:rFonts w:hint="eastAsia" w:hAnsi="宋体"/>
          <w:b w:val="0"/>
          <w:bCs w:val="0"/>
          <w:color w:val="auto"/>
          <w:szCs w:val="24"/>
          <w:highlight w:val="none"/>
        </w:rPr>
        <w:t>竞争性磋商响应文件</w:t>
      </w:r>
      <w:r>
        <w:rPr>
          <w:rFonts w:hAnsi="宋体"/>
          <w:b w:val="0"/>
          <w:bCs w:val="0"/>
          <w:color w:val="auto"/>
          <w:szCs w:val="24"/>
          <w:highlight w:val="none"/>
        </w:rPr>
        <w:t>中含义不明确、同类问题表述不一致或者有明显文字和计算错误的内容，</w:t>
      </w:r>
      <w:r>
        <w:rPr>
          <w:rFonts w:hint="eastAsia" w:hAnsi="宋体"/>
          <w:b w:val="0"/>
          <w:bCs w:val="0"/>
          <w:color w:val="auto"/>
          <w:szCs w:val="24"/>
          <w:highlight w:val="none"/>
        </w:rPr>
        <w:t>磋商小组</w:t>
      </w:r>
      <w:r>
        <w:rPr>
          <w:rFonts w:hAnsi="宋体"/>
          <w:b w:val="0"/>
          <w:bCs w:val="0"/>
          <w:color w:val="auto"/>
          <w:szCs w:val="24"/>
          <w:highlight w:val="none"/>
        </w:rPr>
        <w:t>可以书面形式（由</w:t>
      </w:r>
      <w:r>
        <w:rPr>
          <w:rFonts w:hint="eastAsia" w:hAnsi="宋体"/>
          <w:b w:val="0"/>
          <w:bCs w:val="0"/>
          <w:color w:val="auto"/>
          <w:szCs w:val="24"/>
          <w:highlight w:val="none"/>
        </w:rPr>
        <w:t>磋商小组</w:t>
      </w:r>
      <w:r>
        <w:rPr>
          <w:rFonts w:hAnsi="宋体"/>
          <w:b w:val="0"/>
          <w:bCs w:val="0"/>
          <w:color w:val="auto"/>
          <w:szCs w:val="24"/>
          <w:highlight w:val="none"/>
        </w:rPr>
        <w:t>专家签字）要求</w:t>
      </w:r>
      <w:r>
        <w:rPr>
          <w:rFonts w:hint="eastAsia" w:hAnsi="宋体"/>
          <w:b w:val="0"/>
          <w:bCs w:val="0"/>
          <w:color w:val="auto"/>
          <w:szCs w:val="24"/>
          <w:highlight w:val="none"/>
        </w:rPr>
        <w:t>供应商</w:t>
      </w:r>
      <w:r>
        <w:rPr>
          <w:rFonts w:hAnsi="宋体"/>
          <w:b w:val="0"/>
          <w:bCs w:val="0"/>
          <w:color w:val="auto"/>
          <w:szCs w:val="24"/>
          <w:highlight w:val="none"/>
        </w:rPr>
        <w:t>作出必要的澄清、说明或者纠正。</w:t>
      </w:r>
      <w:r>
        <w:rPr>
          <w:rFonts w:hint="eastAsia" w:hAnsi="宋体"/>
          <w:b w:val="0"/>
          <w:bCs w:val="0"/>
          <w:color w:val="auto"/>
          <w:szCs w:val="24"/>
          <w:highlight w:val="none"/>
        </w:rPr>
        <w:t>供应商</w:t>
      </w:r>
      <w:r>
        <w:rPr>
          <w:rFonts w:hAnsi="宋体"/>
          <w:b w:val="0"/>
          <w:bCs w:val="0"/>
          <w:color w:val="auto"/>
          <w:szCs w:val="24"/>
          <w:highlight w:val="none"/>
        </w:rPr>
        <w:t>的澄清、说明或者补正应当采用书面形式，由其授权的代表签字，并不得超出</w:t>
      </w:r>
      <w:r>
        <w:rPr>
          <w:rFonts w:hint="eastAsia" w:hAnsi="宋体"/>
          <w:b w:val="0"/>
          <w:bCs w:val="0"/>
          <w:color w:val="auto"/>
          <w:szCs w:val="24"/>
          <w:highlight w:val="none"/>
        </w:rPr>
        <w:t>竞争性磋商响应文件</w:t>
      </w:r>
      <w:r>
        <w:rPr>
          <w:rFonts w:hAnsi="宋体"/>
          <w:b w:val="0"/>
          <w:bCs w:val="0"/>
          <w:color w:val="auto"/>
          <w:szCs w:val="24"/>
          <w:highlight w:val="none"/>
        </w:rPr>
        <w:t>的范围或者改变</w:t>
      </w:r>
      <w:r>
        <w:rPr>
          <w:rFonts w:hint="eastAsia" w:hAnsi="宋体"/>
          <w:b w:val="0"/>
          <w:bCs w:val="0"/>
          <w:color w:val="auto"/>
          <w:szCs w:val="24"/>
          <w:highlight w:val="none"/>
        </w:rPr>
        <w:t>竞争性磋商响应文件</w:t>
      </w:r>
      <w:r>
        <w:rPr>
          <w:rFonts w:hAnsi="宋体"/>
          <w:b w:val="0"/>
          <w:bCs w:val="0"/>
          <w:color w:val="auto"/>
          <w:szCs w:val="24"/>
          <w:highlight w:val="none"/>
        </w:rPr>
        <w:t>的实质性内容。</w:t>
      </w:r>
    </w:p>
    <w:p>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.4如果</w:t>
      </w:r>
      <w:r>
        <w:rPr>
          <w:rFonts w:hint="eastAsia" w:hAnsi="宋体"/>
          <w:b w:val="0"/>
          <w:bCs w:val="0"/>
          <w:color w:val="auto"/>
          <w:szCs w:val="24"/>
          <w:highlight w:val="none"/>
        </w:rPr>
        <w:t>供应商</w:t>
      </w:r>
      <w:r>
        <w:rPr>
          <w:rFonts w:hAnsi="宋体"/>
          <w:b w:val="0"/>
          <w:bCs w:val="0"/>
          <w:color w:val="auto"/>
          <w:szCs w:val="24"/>
          <w:highlight w:val="none"/>
        </w:rPr>
        <w:t>在澄清规定期限内，未能答复或拒绝答复</w:t>
      </w:r>
      <w:r>
        <w:rPr>
          <w:rFonts w:hint="eastAsia" w:hAnsi="宋体"/>
          <w:b w:val="0"/>
          <w:bCs w:val="0"/>
          <w:color w:val="auto"/>
          <w:szCs w:val="24"/>
          <w:highlight w:val="none"/>
        </w:rPr>
        <w:t>磋商小组</w:t>
      </w:r>
      <w:r>
        <w:rPr>
          <w:rFonts w:hAnsi="宋体"/>
          <w:b w:val="0"/>
          <w:bCs w:val="0"/>
          <w:color w:val="auto"/>
          <w:szCs w:val="24"/>
          <w:highlight w:val="none"/>
        </w:rPr>
        <w:t>提出的澄清要求，将由</w:t>
      </w:r>
      <w:r>
        <w:rPr>
          <w:rFonts w:hint="eastAsia" w:hAnsi="宋体"/>
          <w:b w:val="0"/>
          <w:bCs w:val="0"/>
          <w:color w:val="auto"/>
          <w:szCs w:val="24"/>
          <w:highlight w:val="none"/>
        </w:rPr>
        <w:t>磋商小组</w:t>
      </w:r>
      <w:r>
        <w:rPr>
          <w:rFonts w:hAnsi="宋体"/>
          <w:b w:val="0"/>
          <w:bCs w:val="0"/>
          <w:color w:val="auto"/>
          <w:szCs w:val="24"/>
          <w:highlight w:val="none"/>
        </w:rPr>
        <w:t>根据其</w:t>
      </w:r>
      <w:r>
        <w:rPr>
          <w:rFonts w:hint="eastAsia" w:hAnsi="宋体"/>
          <w:b w:val="0"/>
          <w:bCs w:val="0"/>
          <w:color w:val="auto"/>
          <w:szCs w:val="24"/>
          <w:highlight w:val="none"/>
        </w:rPr>
        <w:t>竞争性磋商响应文件</w:t>
      </w:r>
      <w:r>
        <w:rPr>
          <w:rFonts w:hAnsi="宋体"/>
          <w:b w:val="0"/>
          <w:bCs w:val="0"/>
          <w:color w:val="auto"/>
          <w:szCs w:val="24"/>
          <w:highlight w:val="none"/>
        </w:rPr>
        <w:t>按最大风险进行</w:t>
      </w:r>
      <w:r>
        <w:rPr>
          <w:rFonts w:hint="eastAsia" w:hAnsi="宋体"/>
          <w:b w:val="0"/>
          <w:bCs w:val="0"/>
          <w:color w:val="auto"/>
          <w:szCs w:val="24"/>
          <w:highlight w:val="none"/>
        </w:rPr>
        <w:t>评审</w:t>
      </w:r>
      <w:r>
        <w:rPr>
          <w:rFonts w:hAnsi="宋体"/>
          <w:b w:val="0"/>
          <w:bCs w:val="0"/>
          <w:color w:val="auto"/>
          <w:szCs w:val="24"/>
          <w:highlight w:val="none"/>
        </w:rPr>
        <w:t>。</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23.5磋商过程中的实质性变动：</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23.6竞争性磋商响应文件的初审（含资格性检查和符合性检查）</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23.6.1磋商小组将审查竞争性磋商响应文件是否完整、资格证明文件是否齐全，磋商保证金是否合格、有无计算上的错误等。</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23.6.2计算错误将按以下方法更正：</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（2）磋商响应文件的大写金额和小写金额不一致的，以大写金额为准；</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（3）单价金额小数点或者百分比有明显错位的，以单独密封的报价一览表的总价为准，并修改单价；</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（4）总价金额与按单价汇总金额不一致的，以单价金额计算结果为准。</w:t>
      </w:r>
    </w:p>
    <w:p>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23.6.5实质上没有响应竞争性磋商文件要求的磋商将被拒绝。供应商不得通过修正或撤销不合要求的偏离从而使其磋商成为实质性响应的磋商。如发现下列情况之一的，其磋商将构成非实质性响应，按无效磋商处理：</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1）没有按照竞争性磋商文件要求提供的竞争性磋商响应文件或竞争性磋商响应文件构成有重大缺项；</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2</w:t>
      </w:r>
      <w:r>
        <w:rPr>
          <w:rFonts w:hint="eastAsia" w:hAnsi="宋体" w:cs="宋体"/>
          <w:b w:val="0"/>
          <w:bCs w:val="0"/>
          <w:color w:val="auto"/>
          <w:szCs w:val="24"/>
          <w:highlight w:val="none"/>
        </w:rPr>
        <w:t>）供应商未提交有效的磋商保证金或金额不足的、磋商保证金形式不符合竞争性磋商文件要求的；</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3</w:t>
      </w:r>
      <w:r>
        <w:rPr>
          <w:rFonts w:hint="eastAsia" w:hAnsi="宋体" w:cs="宋体"/>
          <w:b w:val="0"/>
          <w:bCs w:val="0"/>
          <w:color w:val="auto"/>
          <w:szCs w:val="24"/>
          <w:highlight w:val="none"/>
        </w:rPr>
        <w:t>）资格证明文件不全的或无效的，或不符合国家规定的；</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4</w:t>
      </w:r>
      <w:r>
        <w:rPr>
          <w:rFonts w:hint="eastAsia" w:hAnsi="宋体" w:cs="宋体"/>
          <w:b w:val="0"/>
          <w:bCs w:val="0"/>
          <w:color w:val="auto"/>
          <w:szCs w:val="24"/>
          <w:highlight w:val="none"/>
        </w:rPr>
        <w:t>）竞争性磋商响应文件无供应商公章、无法定代表人签字或签字人无法定代表人有效委托书的；</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5</w:t>
      </w:r>
      <w:r>
        <w:rPr>
          <w:rFonts w:hint="eastAsia" w:hAnsi="宋体" w:cs="宋体"/>
          <w:b w:val="0"/>
          <w:bCs w:val="0"/>
          <w:color w:val="auto"/>
          <w:szCs w:val="24"/>
          <w:highlight w:val="none"/>
        </w:rPr>
        <w:t>）</w:t>
      </w:r>
      <w:r>
        <w:rPr>
          <w:rFonts w:hint="eastAsia" w:hAnsi="宋体" w:cs="宋体"/>
          <w:b w:val="0"/>
          <w:bCs w:val="0"/>
          <w:color w:val="auto"/>
          <w:spacing w:val="-6"/>
          <w:szCs w:val="24"/>
          <w:highlight w:val="none"/>
        </w:rPr>
        <w:t>无磋商有效期或有效期达不到竞争性磋商文件要求的</w:t>
      </w:r>
      <w:r>
        <w:rPr>
          <w:rFonts w:hint="eastAsia" w:hAnsi="宋体" w:cs="宋体"/>
          <w:b w:val="0"/>
          <w:bCs w:val="0"/>
          <w:color w:val="auto"/>
          <w:szCs w:val="24"/>
          <w:highlight w:val="none"/>
        </w:rPr>
        <w:t>；</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6</w:t>
      </w:r>
      <w:r>
        <w:rPr>
          <w:rFonts w:hint="eastAsia" w:hAnsi="宋体" w:cs="宋体"/>
          <w:b w:val="0"/>
          <w:bCs w:val="0"/>
          <w:color w:val="auto"/>
          <w:szCs w:val="24"/>
          <w:highlight w:val="none"/>
        </w:rPr>
        <w:t>）供应商在同一份竞争性磋商响应文件中，有两个或多个报价的；</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7</w:t>
      </w:r>
      <w:r>
        <w:rPr>
          <w:rFonts w:hint="eastAsia" w:hAnsi="宋体" w:cs="宋体"/>
          <w:b w:val="0"/>
          <w:bCs w:val="0"/>
          <w:color w:val="auto"/>
          <w:szCs w:val="24"/>
          <w:highlight w:val="none"/>
        </w:rPr>
        <w:t>）存在有重大缺漏项和重大偏离的；</w:t>
      </w:r>
    </w:p>
    <w:p>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8</w:t>
      </w:r>
      <w:r>
        <w:rPr>
          <w:rFonts w:hint="eastAsia" w:hAnsi="宋体" w:cs="宋体"/>
          <w:b w:val="0"/>
          <w:bCs w:val="0"/>
          <w:color w:val="auto"/>
          <w:szCs w:val="24"/>
          <w:highlight w:val="none"/>
        </w:rPr>
        <w:t>）供应商有串通磋商、以他人名义磋商、行贿、提供虚假证明（包括第三方提供的虚假证明），开具虚假资质，出现虚假应答的，除按无效文件处理外，还将按照政府采购的有关规定进行处罚；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9</w:t>
      </w:r>
      <w:r>
        <w:rPr>
          <w:rFonts w:hint="eastAsia" w:hAnsi="宋体" w:cs="宋体"/>
          <w:b w:val="0"/>
          <w:bCs w:val="0"/>
          <w:color w:val="auto"/>
          <w:szCs w:val="24"/>
          <w:highlight w:val="none"/>
        </w:rPr>
        <w:t>）磋商总报价低于成本或者高于竞争性磋商文件公布的采购预算的。</w:t>
      </w:r>
    </w:p>
    <w:p>
      <w:pPr>
        <w:spacing w:line="360" w:lineRule="auto"/>
        <w:ind w:firstLine="480" w:firstLineChars="200"/>
        <w:rPr>
          <w:rFonts w:cs="宋体"/>
          <w:b w:val="0"/>
          <w:bCs w:val="0"/>
          <w:color w:val="auto"/>
          <w:highlight w:val="none"/>
        </w:rPr>
      </w:pPr>
      <w:r>
        <w:rPr>
          <w:rFonts w:hint="eastAsia" w:cs="宋体"/>
          <w:b w:val="0"/>
          <w:bCs w:val="0"/>
          <w:color w:val="auto"/>
          <w:highlight w:val="none"/>
          <w:lang w:val="en-US" w:eastAsia="zh-CN"/>
        </w:rPr>
        <w:t>10</w:t>
      </w:r>
      <w:r>
        <w:rPr>
          <w:rFonts w:hint="eastAsia" w:cs="宋体"/>
          <w:b w:val="0"/>
          <w:bCs w:val="0"/>
          <w:color w:val="auto"/>
          <w:highlight w:val="none"/>
        </w:rPr>
        <w:t>）竞争性磋商响应文件含有采购人不能接受的附加条件的；</w:t>
      </w:r>
    </w:p>
    <w:p>
      <w:pPr>
        <w:spacing w:line="50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11</w:t>
      </w:r>
      <w:r>
        <w:rPr>
          <w:rFonts w:hint="eastAsia" w:hAnsi="宋体" w:cs="宋体"/>
          <w:b w:val="0"/>
          <w:bCs w:val="0"/>
          <w:color w:val="auto"/>
          <w:szCs w:val="24"/>
          <w:highlight w:val="none"/>
        </w:rPr>
        <w:t>）竞争性磋商响应文件不符合法律法规要求的；</w:t>
      </w:r>
    </w:p>
    <w:p>
      <w:pPr>
        <w:pStyle w:val="19"/>
        <w:spacing w:before="0" w:beforeAutospacing="0" w:after="0" w:afterAutospacing="0" w:line="500" w:lineRule="exact"/>
        <w:ind w:firstLine="480" w:firstLineChars="200"/>
        <w:jc w:val="both"/>
        <w:rPr>
          <w:rFonts w:hint="eastAsia" w:cs="宋体"/>
          <w:b w:val="0"/>
          <w:bCs w:val="0"/>
          <w:color w:val="auto"/>
          <w:highlight w:val="none"/>
        </w:rPr>
      </w:pPr>
      <w:r>
        <w:rPr>
          <w:rFonts w:hint="eastAsia" w:cs="宋体"/>
          <w:b w:val="0"/>
          <w:bCs w:val="0"/>
          <w:color w:val="auto"/>
          <w:highlight w:val="none"/>
          <w:lang w:val="en-US" w:eastAsia="zh-CN"/>
        </w:rPr>
        <w:t>12</w:t>
      </w:r>
      <w:r>
        <w:rPr>
          <w:rFonts w:hint="eastAsia" w:cs="宋体"/>
          <w:b w:val="0"/>
          <w:bCs w:val="0"/>
          <w:color w:val="auto"/>
          <w:highlight w:val="none"/>
        </w:rPr>
        <w:t>）供应商被列入失信被执行人、重大税收违法案件当事人名单、政府采购严重违法失信行为记录名单及其他不符合《中华人民共和国政府采购法》第二十二条规定条件。</w:t>
      </w:r>
    </w:p>
    <w:p>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13）供应商拒绝对电子投标文件进行解密的；</w:t>
      </w:r>
    </w:p>
    <w:p>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14）因供应商自身原因（如未带CA锁、或所带CA锁与制作电子投标文件使用的CA锁不一致），导致在规定时间内无法解密投标文件的；</w:t>
      </w:r>
    </w:p>
    <w:p>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15）上传的电子投标文件无法打开的；</w:t>
      </w:r>
    </w:p>
    <w:p>
      <w:pPr>
        <w:spacing w:line="480" w:lineRule="exact"/>
        <w:ind w:firstLine="480" w:firstLineChars="200"/>
        <w:rPr>
          <w:rFonts w:hint="eastAsia" w:cs="宋体"/>
          <w:b w:val="0"/>
          <w:bCs w:val="0"/>
          <w:color w:val="auto"/>
          <w:highlight w:val="none"/>
        </w:rPr>
      </w:pPr>
      <w:r>
        <w:rPr>
          <w:rFonts w:hint="eastAsia" w:ascii="宋体" w:hAnsi="宋体" w:eastAsia="宋体" w:cs="宋体"/>
          <w:b w:val="0"/>
          <w:bCs w:val="0"/>
          <w:color w:val="auto"/>
          <w:sz w:val="24"/>
          <w:szCs w:val="24"/>
          <w:highlight w:val="none"/>
          <w:lang w:val="en-US" w:eastAsia="zh-CN" w:bidi="ar-SA"/>
        </w:rPr>
        <w:t>16）政府采购法律法规规定的其他无效情形。</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23.7竞争性磋商响应文件的详细评审</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23.7.1磋商小组将按照本须知第23.6.5条规定，只对确定为实质性响应竞争性磋商文件要求的磋商响应文件进行详细评审。</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23.7.2详细评审按照“供应商须知前附表”的评审方法进行。</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23.8成交候选人的确定</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磋商小组完成评审后，向采购人提出书面评审，并推荐1-3名成交候选人，标明排列顺序。</w:t>
      </w:r>
    </w:p>
    <w:p>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4</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过程的保密</w:t>
      </w:r>
    </w:p>
    <w:p>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磋商小组成员和与评审活动有关的工作人员不得泄露有关竞争性磋商响应文件的评审和比较、成交候选人的推荐以及与评审有关的其他情况。</w:t>
      </w:r>
    </w:p>
    <w:p>
      <w:pPr>
        <w:jc w:val="left"/>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5</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方法</w:t>
      </w:r>
    </w:p>
    <w:p>
      <w:pPr>
        <w:spacing w:line="360" w:lineRule="auto"/>
        <w:ind w:firstLine="480" w:firstLineChars="200"/>
        <w:rPr>
          <w:rFonts w:hint="eastAsia" w:ascii="宋体" w:hAnsi="宋体" w:eastAsia="宋体" w:cs="宋体"/>
          <w:color w:val="auto"/>
          <w:szCs w:val="24"/>
          <w:highlight w:val="none"/>
        </w:rPr>
      </w:pPr>
      <w:r>
        <w:rPr>
          <w:rFonts w:hint="eastAsia" w:hAnsi="宋体"/>
          <w:b w:val="0"/>
          <w:bCs w:val="0"/>
          <w:color w:val="auto"/>
          <w:szCs w:val="24"/>
          <w:highlight w:val="none"/>
        </w:rPr>
        <w:t>24.1按照</w:t>
      </w:r>
      <w:r>
        <w:rPr>
          <w:rFonts w:hAnsi="宋体"/>
          <w:b w:val="0"/>
          <w:bCs w:val="0"/>
          <w:color w:val="auto"/>
          <w:szCs w:val="24"/>
          <w:highlight w:val="none"/>
        </w:rPr>
        <w:t>《中华人民共和国政府采购法》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55" w:name="_Toc29146"/>
      <w:bookmarkStart w:id="56" w:name="_Toc5589"/>
      <w:bookmarkStart w:id="57" w:name="_Toc15100"/>
      <w:r>
        <w:rPr>
          <w:rFonts w:hint="eastAsia" w:ascii="宋体" w:hAnsi="宋体" w:eastAsia="宋体" w:cs="宋体"/>
          <w:b/>
          <w:color w:val="auto"/>
          <w:sz w:val="32"/>
          <w:szCs w:val="32"/>
          <w:highlight w:val="none"/>
        </w:rPr>
        <w:t>六.成交、通知与签约</w:t>
      </w:r>
      <w:bookmarkEnd w:id="55"/>
      <w:bookmarkEnd w:id="56"/>
      <w:bookmarkEnd w:id="57"/>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pPr>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w:t>
      </w:r>
      <w:r>
        <w:rPr>
          <w:rFonts w:hint="eastAsia" w:hAnsi="宋体"/>
          <w:b w:val="0"/>
          <w:bCs w:val="0"/>
          <w:color w:val="auto"/>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pPr>
        <w:pStyle w:val="8"/>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3、账号：61050192090000002152。</w:t>
      </w:r>
    </w:p>
    <w:p>
      <w:pPr>
        <w:numPr>
          <w:ilvl w:val="0"/>
          <w:numId w:val="2"/>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5"/>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pPr>
        <w:spacing w:line="500" w:lineRule="exact"/>
        <w:ind w:left="3" w:firstLine="518" w:firstLineChars="216"/>
        <w:rPr>
          <w:rStyle w:val="25"/>
          <w:rFonts w:hint="eastAsia" w:ascii="宋体" w:hAnsi="宋体" w:eastAsia="宋体" w:cs="宋体"/>
          <w:b w:val="0"/>
          <w:color w:val="auto"/>
          <w:szCs w:val="24"/>
          <w:highlight w:val="none"/>
          <w:shd w:val="clear" w:color="auto" w:fill="FFFFFF"/>
        </w:rPr>
      </w:pPr>
      <w:r>
        <w:rPr>
          <w:rStyle w:val="25"/>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5"/>
          <w:rFonts w:hint="eastAsia" w:ascii="宋体" w:hAnsi="宋体" w:eastAsia="宋体" w:cs="宋体"/>
          <w:b w:val="0"/>
          <w:color w:val="auto"/>
          <w:szCs w:val="24"/>
          <w:highlight w:val="none"/>
          <w:shd w:val="clear" w:color="auto" w:fill="FFFFFF"/>
        </w:rPr>
      </w:pPr>
      <w:r>
        <w:rPr>
          <w:rStyle w:val="25"/>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pPr>
        <w:spacing w:line="500" w:lineRule="exact"/>
        <w:ind w:right="12" w:firstLine="480" w:firstLineChars="200"/>
        <w:rPr>
          <w:rStyle w:val="25"/>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pPr>
        <w:widowControl/>
        <w:spacing w:line="360" w:lineRule="auto"/>
        <w:ind w:firstLine="480" w:firstLineChars="200"/>
        <w:rPr>
          <w:rStyle w:val="25"/>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30.6.8不符合法律、法规、规章和政府采购监管机构规定的其他条件的。</w:t>
      </w:r>
    </w:p>
    <w:p>
      <w:pP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pPr>
        <w:pStyle w:val="27"/>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依法承担相应法律责任。</w:t>
      </w:r>
      <w:bookmarkStart w:id="58" w:name="_Toc363474023"/>
    </w:p>
    <w:p>
      <w:pPr>
        <w:spacing w:line="500" w:lineRule="exact"/>
        <w:outlineLvl w:val="9"/>
        <w:rPr>
          <w:rFonts w:hint="eastAsia" w:hAnsi="宋体" w:cs="宋体"/>
          <w:b/>
          <w:bCs/>
          <w:color w:val="auto"/>
          <w:szCs w:val="24"/>
          <w:highlight w:val="none"/>
          <w:lang w:val="en-US" w:eastAsia="zh-CN"/>
        </w:rPr>
      </w:pPr>
      <w:bookmarkStart w:id="59" w:name="_Toc423973074"/>
      <w:bookmarkStart w:id="60" w:name="_Toc403077645"/>
      <w:bookmarkStart w:id="61" w:name="_Toc25783"/>
      <w:r>
        <w:rPr>
          <w:rFonts w:hint="eastAsia" w:hAnsi="宋体" w:cs="宋体"/>
          <w:b/>
          <w:bCs/>
          <w:color w:val="auto"/>
          <w:szCs w:val="24"/>
          <w:highlight w:val="none"/>
          <w:lang w:val="en-US" w:eastAsia="zh-CN"/>
        </w:rPr>
        <w:t>32.电子投标注意事项</w:t>
      </w:r>
    </w:p>
    <w:p>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1、本项目采用电子化投标</w:t>
      </w:r>
      <w:r>
        <w:rPr>
          <w:rFonts w:hint="eastAsia" w:ascii="宋体" w:hAnsi="宋体" w:eastAsia="宋体" w:cs="宋体"/>
          <w:b/>
          <w:bCs w:val="0"/>
          <w:color w:val="000000"/>
          <w:sz w:val="24"/>
          <w:highlight w:val="none"/>
          <w:lang w:eastAsia="zh-CN"/>
        </w:rPr>
        <w:t>（不见面开标方式）</w:t>
      </w:r>
      <w:r>
        <w:rPr>
          <w:rFonts w:hint="default" w:ascii="宋体" w:hAnsi="宋体" w:eastAsia="宋体" w:cs="宋体"/>
          <w:color w:val="auto"/>
          <w:szCs w:val="24"/>
          <w:highlight w:val="none"/>
          <w:lang w:val="en-US" w:eastAsia="zh-CN"/>
        </w:rPr>
        <w:t>的方式投标，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w:t>
      </w:r>
      <w:r>
        <w:rPr>
          <w:rFonts w:hint="default" w:ascii="宋体" w:hAnsi="宋体" w:eastAsia="宋体" w:cs="宋体"/>
          <w:color w:val="auto"/>
          <w:szCs w:val="24"/>
          <w:highlight w:val="none"/>
          <w:lang w:val="en-US" w:eastAsia="zh-CN"/>
        </w:rPr>
        <w:t>、制作电子投标文件</w:t>
      </w:r>
    </w:p>
    <w:p>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3</w:t>
      </w:r>
      <w:r>
        <w:rPr>
          <w:rFonts w:hint="default" w:ascii="宋体" w:hAnsi="宋体" w:eastAsia="宋体" w:cs="宋体"/>
          <w:color w:val="auto"/>
          <w:szCs w:val="24"/>
          <w:highlight w:val="none"/>
          <w:lang w:val="en-US" w:eastAsia="zh-CN"/>
        </w:rPr>
        <w:t>、递交电子投标文件</w:t>
      </w:r>
    </w:p>
    <w:p>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、纸质投标文件</w:t>
      </w:r>
    </w:p>
    <w:p>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本项目不提供纸质投标文件。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5、二次报价网上操作流程：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（1）插入CA主锁，登录陕西省公共资源交易平台网站（http://www.sxggzyjy.cn/）；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（2）点击右上角我的项目，选择本次开标项目，点击项目流程；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（3）点击网上报价；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（4）报价：点击</w:t>
      </w:r>
      <w:r>
        <w:rPr>
          <w:sz w:val="24"/>
          <w:szCs w:val="24"/>
          <w:highlight w:val="none"/>
        </w:rPr>
        <w:drawing>
          <wp:inline distT="0" distB="0" distL="114300" distR="114300">
            <wp:extent cx="220980" cy="220980"/>
            <wp:effectExtent l="0" t="0" r="762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220980" cy="220980"/>
                    </a:xfrm>
                    <a:prstGeom prst="rect">
                      <a:avLst/>
                    </a:prstGeom>
                    <a:noFill/>
                    <a:ln>
                      <a:noFill/>
                    </a:ln>
                  </pic:spPr>
                </pic:pic>
              </a:graphicData>
            </a:graphic>
          </wp:inline>
        </w:drawing>
      </w:r>
      <w:r>
        <w:rPr>
          <w:rFonts w:hint="eastAsia" w:cs="宋体"/>
          <w:bCs/>
          <w:szCs w:val="36"/>
          <w:highlight w:val="none"/>
          <w:lang w:val="en-US" w:eastAsia="zh-CN"/>
        </w:rPr>
        <w:t>报价，输入金额（注意大小写一致）；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（5）签章查看：点击</w:t>
      </w:r>
      <w:r>
        <w:rPr>
          <w:sz w:val="24"/>
          <w:szCs w:val="24"/>
          <w:highlight w:val="none"/>
        </w:rPr>
        <w:drawing>
          <wp:inline distT="0" distB="0" distL="114300" distR="114300">
            <wp:extent cx="269875" cy="281940"/>
            <wp:effectExtent l="0" t="0" r="1587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cs="宋体"/>
          <w:bCs/>
          <w:szCs w:val="36"/>
          <w:highlight w:val="none"/>
          <w:lang w:val="en-US" w:eastAsia="zh-CN"/>
        </w:rPr>
        <w:t>，选择单页签章，点击报价表右下角签章；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szCs w:val="36"/>
          <w:highlight w:val="none"/>
          <w:lang w:val="en-US" w:eastAsia="zh-CN"/>
        </w:rPr>
      </w:pPr>
      <w:r>
        <w:rPr>
          <w:rFonts w:hint="eastAsia" w:cs="宋体"/>
          <w:bCs/>
          <w:szCs w:val="36"/>
          <w:highlight w:val="none"/>
          <w:lang w:val="en-US" w:eastAsia="zh-CN"/>
        </w:rPr>
        <w:t>（6）确认无误如图：</w:t>
      </w:r>
      <w:r>
        <w:rPr>
          <w:sz w:val="24"/>
          <w:szCs w:val="24"/>
          <w:highlight w:val="none"/>
        </w:rPr>
        <w:drawing>
          <wp:inline distT="0" distB="0" distL="114300" distR="114300">
            <wp:extent cx="4067175" cy="68580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4067175" cy="685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bCs/>
          <w:szCs w:val="36"/>
          <w:highlight w:val="none"/>
          <w:lang w:val="en-US" w:eastAsia="zh-CN"/>
        </w:rPr>
      </w:pPr>
      <w:r>
        <w:rPr>
          <w:rFonts w:hint="eastAsia" w:cs="宋体"/>
          <w:bCs/>
          <w:szCs w:val="36"/>
          <w:highlight w:val="none"/>
          <w:lang w:val="en-US" w:eastAsia="zh-CN"/>
        </w:rPr>
        <w:t>（7）提交。</w:t>
      </w:r>
    </w:p>
    <w:p>
      <w:pPr>
        <w:numPr>
          <w:ilvl w:val="0"/>
          <w:numId w:val="0"/>
        </w:numPr>
        <w:bidi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Start w:id="62" w:name="_Toc22973"/>
    </w:p>
    <w:p>
      <w:pPr>
        <w:spacing w:line="348" w:lineRule="auto"/>
        <w:ind w:right="119"/>
        <w:jc w:val="center"/>
        <w:outlineLvl w:val="0"/>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lang w:eastAsia="zh-CN"/>
        </w:rPr>
        <w:t>第三章</w:t>
      </w:r>
      <w:r>
        <w:rPr>
          <w:rFonts w:hint="eastAsia" w:ascii="宋体" w:hAnsi="宋体" w:eastAsia="宋体" w:cs="宋体"/>
          <w:b/>
          <w:bCs/>
          <w:color w:val="auto"/>
          <w:kern w:val="2"/>
          <w:sz w:val="36"/>
          <w:szCs w:val="36"/>
          <w:highlight w:val="none"/>
          <w:lang w:val="en-US" w:eastAsia="zh-CN"/>
        </w:rPr>
        <w:t xml:space="preserve"> </w:t>
      </w:r>
      <w:bookmarkStart w:id="63" w:name="_Toc4170"/>
      <w:r>
        <w:rPr>
          <w:rFonts w:hint="eastAsia" w:ascii="宋体" w:hAnsi="宋体" w:eastAsia="宋体" w:cs="宋体"/>
          <w:b/>
          <w:bCs/>
          <w:color w:val="auto"/>
          <w:kern w:val="2"/>
          <w:sz w:val="36"/>
          <w:szCs w:val="36"/>
          <w:highlight w:val="none"/>
        </w:rPr>
        <w:t>评审方法</w:t>
      </w:r>
      <w:bookmarkEnd w:id="62"/>
      <w:bookmarkEnd w:id="63"/>
    </w:p>
    <w:p>
      <w:pPr>
        <w:numPr>
          <w:ilvl w:val="0"/>
          <w:numId w:val="0"/>
        </w:numPr>
        <w:rPr>
          <w:rFonts w:hint="eastAsia" w:ascii="宋体" w:hAnsi="宋体" w:eastAsia="宋体" w:cs="宋体"/>
          <w:color w:val="auto"/>
          <w:highlight w:val="none"/>
        </w:rPr>
      </w:pPr>
    </w:p>
    <w:p>
      <w:pPr>
        <w:spacing w:line="360" w:lineRule="auto"/>
        <w:outlineLvl w:val="1"/>
        <w:rPr>
          <w:rFonts w:hint="eastAsia" w:ascii="宋体" w:hAnsi="宋体" w:eastAsia="宋体" w:cs="宋体"/>
          <w:b/>
          <w:color w:val="auto"/>
          <w:szCs w:val="24"/>
          <w:highlight w:val="none"/>
        </w:rPr>
      </w:pPr>
      <w:bookmarkStart w:id="64" w:name="_Toc28665"/>
      <w:bookmarkStart w:id="65" w:name="_Toc32051"/>
      <w:bookmarkStart w:id="66" w:name="_Toc26320"/>
      <w:bookmarkStart w:id="67" w:name="_Toc26649"/>
      <w:r>
        <w:rPr>
          <w:rFonts w:hint="eastAsia" w:ascii="宋体" w:hAnsi="宋体" w:eastAsia="宋体" w:cs="宋体"/>
          <w:b/>
          <w:color w:val="auto"/>
          <w:szCs w:val="24"/>
          <w:highlight w:val="none"/>
        </w:rPr>
        <w:t>一．评审方法</w:t>
      </w:r>
      <w:bookmarkEnd w:id="64"/>
      <w:bookmarkEnd w:id="65"/>
      <w:bookmarkEnd w:id="66"/>
      <w:bookmarkEnd w:id="67"/>
    </w:p>
    <w:p>
      <w:pPr>
        <w:spacing w:line="500" w:lineRule="exact"/>
        <w:ind w:firstLine="520" w:firstLineChars="217"/>
        <w:rPr>
          <w:rFonts w:hint="eastAsia" w:ascii="宋体" w:hAnsi="宋体" w:eastAsia="宋体" w:cs="宋体"/>
          <w:color w:val="auto"/>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color w:val="auto"/>
          <w:spacing w:val="4"/>
          <w:szCs w:val="24"/>
          <w:highlight w:val="none"/>
        </w:rPr>
      </w:pPr>
      <w:bookmarkStart w:id="68" w:name="_Toc2374"/>
      <w:bookmarkStart w:id="69" w:name="_Toc17339"/>
      <w:bookmarkStart w:id="70" w:name="_Toc20625"/>
      <w:bookmarkStart w:id="71" w:name="_Toc27615"/>
      <w:r>
        <w:rPr>
          <w:rFonts w:hint="eastAsia" w:ascii="宋体" w:hAnsi="宋体" w:eastAsia="宋体" w:cs="宋体"/>
          <w:b/>
          <w:color w:val="auto"/>
          <w:spacing w:val="4"/>
          <w:szCs w:val="24"/>
          <w:highlight w:val="none"/>
        </w:rPr>
        <w:t>二、评审程序</w:t>
      </w:r>
      <w:bookmarkEnd w:id="68"/>
      <w:bookmarkEnd w:id="69"/>
      <w:bookmarkEnd w:id="70"/>
      <w:bookmarkEnd w:id="71"/>
    </w:p>
    <w:p>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3"/>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ascii="宋体" w:hAnsi="宋体" w:eastAsia="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color w:val="auto"/>
          <w:szCs w:val="24"/>
          <w:highlight w:val="none"/>
        </w:rPr>
      </w:pPr>
      <w:r>
        <w:rPr>
          <w:rFonts w:hint="eastAsia" w:ascii="宋体" w:hAnsi="宋体" w:eastAsia="宋体" w:cs="宋体"/>
          <w:bCs/>
          <w:color w:val="auto"/>
          <w:spacing w:val="4"/>
          <w:szCs w:val="24"/>
          <w:highlight w:val="none"/>
        </w:rPr>
        <w:t>1.2.3竞争性磋商</w:t>
      </w:r>
      <w:r>
        <w:rPr>
          <w:rFonts w:hint="eastAsia" w:ascii="宋体" w:hAnsi="宋体" w:eastAsia="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1.2.4报价是否超过采购预算。</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outlineLvl w:val="1"/>
        <w:rPr>
          <w:rFonts w:hint="eastAsia" w:ascii="宋体" w:hAnsi="宋体" w:eastAsia="宋体" w:cs="宋体"/>
          <w:b/>
          <w:color w:val="auto"/>
          <w:szCs w:val="24"/>
          <w:highlight w:val="none"/>
        </w:rPr>
      </w:pPr>
      <w:bookmarkStart w:id="72" w:name="_Toc13558"/>
      <w:bookmarkStart w:id="73" w:name="_Toc19221"/>
      <w:bookmarkStart w:id="74" w:name="_Toc4428"/>
      <w:bookmarkStart w:id="75" w:name="_Toc24776"/>
      <w:r>
        <w:rPr>
          <w:rFonts w:hint="eastAsia" w:ascii="宋体" w:hAnsi="宋体" w:eastAsia="宋体" w:cs="宋体"/>
          <w:b/>
          <w:color w:val="auto"/>
          <w:szCs w:val="24"/>
          <w:highlight w:val="none"/>
        </w:rPr>
        <w:t>三、政策性扣减</w:t>
      </w:r>
      <w:bookmarkEnd w:id="72"/>
      <w:bookmarkEnd w:id="73"/>
      <w:bookmarkEnd w:id="74"/>
      <w:bookmarkEnd w:id="75"/>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1政策性扣减范围</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1.2依照《政府采购促进中小企业发展管理办法》（财库﹝2020﹞46 号）的规定，小型、微型企业应当同时符合以下条件：</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2、政策性扣减方式：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3、成交价格=成交供应商的有效磋商报价。</w:t>
      </w:r>
    </w:p>
    <w:p>
      <w:pPr>
        <w:pStyle w:val="8"/>
        <w:rPr>
          <w:rFonts w:hint="eastAsia" w:ascii="宋体" w:hAnsi="宋体" w:eastAsia="宋体" w:cs="宋体"/>
          <w:color w:val="auto"/>
          <w:highlight w:val="none"/>
        </w:rPr>
      </w:pPr>
    </w:p>
    <w:p>
      <w:pPr>
        <w:spacing w:line="360" w:lineRule="auto"/>
        <w:ind w:firstLine="498" w:firstLineChars="200"/>
        <w:jc w:val="center"/>
        <w:outlineLvl w:val="1"/>
        <w:rPr>
          <w:rFonts w:hint="eastAsia" w:ascii="宋体" w:hAnsi="宋体" w:eastAsia="宋体" w:cs="宋体"/>
          <w:b/>
          <w:color w:val="auto"/>
          <w:szCs w:val="24"/>
          <w:highlight w:val="none"/>
        </w:rPr>
      </w:pPr>
      <w:r>
        <w:rPr>
          <w:rFonts w:hint="eastAsia" w:ascii="宋体" w:hAnsi="宋体" w:eastAsia="宋体" w:cs="宋体"/>
          <w:b/>
          <w:color w:val="auto"/>
          <w:spacing w:val="4"/>
          <w:szCs w:val="24"/>
          <w:highlight w:val="none"/>
        </w:rPr>
        <w:br w:type="page"/>
      </w:r>
      <w:bookmarkStart w:id="76" w:name="_Toc28532"/>
      <w:bookmarkStart w:id="77" w:name="_Toc13330"/>
      <w:bookmarkStart w:id="78" w:name="_Toc4223"/>
      <w:bookmarkStart w:id="79" w:name="_Toc3327"/>
      <w:r>
        <w:rPr>
          <w:rFonts w:hint="eastAsia" w:ascii="宋体" w:hAnsi="宋体" w:eastAsia="宋体" w:cs="宋体"/>
          <w:b/>
          <w:color w:val="auto"/>
          <w:spacing w:val="4"/>
          <w:szCs w:val="24"/>
          <w:highlight w:val="none"/>
        </w:rPr>
        <w:t>四、</w:t>
      </w:r>
      <w:r>
        <w:rPr>
          <w:rFonts w:hint="eastAsia" w:ascii="宋体" w:hAnsi="宋体" w:eastAsia="宋体" w:cs="宋体"/>
          <w:b/>
          <w:color w:val="auto"/>
          <w:szCs w:val="24"/>
          <w:highlight w:val="none"/>
        </w:rPr>
        <w:t>评审要素和分值分解表</w:t>
      </w:r>
      <w:bookmarkEnd w:id="76"/>
      <w:bookmarkEnd w:id="77"/>
      <w:bookmarkEnd w:id="78"/>
      <w:bookmarkEnd w:id="79"/>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评价和比较以磋商响应文件为依据，从“价格评审”、“</w:t>
      </w:r>
      <w:r>
        <w:rPr>
          <w:rFonts w:hint="eastAsia" w:hAnsi="宋体" w:eastAsia="宋体" w:cs="宋体"/>
          <w:color w:val="auto"/>
          <w:szCs w:val="24"/>
          <w:highlight w:val="none"/>
          <w:lang w:val="en-US" w:eastAsia="zh-CN"/>
        </w:rPr>
        <w:t>实施方案</w:t>
      </w:r>
      <w:r>
        <w:rPr>
          <w:rFonts w:hint="eastAsia" w:ascii="宋体" w:hAnsi="宋体" w:eastAsia="宋体" w:cs="宋体"/>
          <w:color w:val="auto"/>
          <w:szCs w:val="24"/>
          <w:highlight w:val="none"/>
        </w:rPr>
        <w:t>”、“履约能力”等方面进行评审并按照百分制进行赋分。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pPr>
              <w:ind w:firstLine="480" w:firstLineChars="200"/>
              <w:rPr>
                <w:rFonts w:hint="eastAsia" w:hAnsi="宋体" w:cs="宋体"/>
                <w:color w:val="auto"/>
                <w:szCs w:val="24"/>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20</w:t>
            </w:r>
            <w:r>
              <w:rPr>
                <w:rFonts w:hint="eastAsia" w:hAnsi="宋体" w:cs="宋体"/>
                <w:color w:val="auto"/>
                <w:szCs w:val="22"/>
                <w:highlight w:val="none"/>
              </w:rPr>
              <w:t>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26" w:type="dxa"/>
            <w:noWrap w:val="0"/>
            <w:vAlign w:val="center"/>
          </w:tcPr>
          <w:p>
            <w:pPr>
              <w:spacing w:line="360" w:lineRule="auto"/>
              <w:jc w:val="both"/>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091" w:type="dxa"/>
            <w:vMerge w:val="restart"/>
            <w:noWrap w:val="0"/>
            <w:vAlign w:val="center"/>
          </w:tcPr>
          <w:p>
            <w:pPr>
              <w:spacing w:line="360" w:lineRule="auto"/>
              <w:jc w:val="center"/>
              <w:rPr>
                <w:rFonts w:hint="eastAsia"/>
                <w:highlight w:val="none"/>
                <w:lang w:val="en-US" w:eastAsia="zh-CN"/>
              </w:rPr>
            </w:pPr>
            <w:r>
              <w:rPr>
                <w:rFonts w:hint="eastAsia"/>
                <w:highlight w:val="none"/>
                <w:lang w:val="en-US" w:eastAsia="zh-CN"/>
              </w:rPr>
              <w:t>技术</w:t>
            </w:r>
          </w:p>
          <w:p>
            <w:pPr>
              <w:spacing w:line="360" w:lineRule="auto"/>
              <w:jc w:val="center"/>
              <w:rPr>
                <w:rFonts w:hint="eastAsia"/>
                <w:highlight w:val="none"/>
                <w:lang w:val="en-US" w:eastAsia="zh-CN"/>
              </w:rPr>
            </w:pPr>
            <w:r>
              <w:rPr>
                <w:rFonts w:hint="eastAsia"/>
                <w:highlight w:val="none"/>
                <w:lang w:val="en-US" w:eastAsia="zh-CN"/>
              </w:rPr>
              <w:t>方案</w:t>
            </w:r>
          </w:p>
          <w:p>
            <w:pPr>
              <w:pStyle w:val="8"/>
              <w:rPr>
                <w:rFonts w:hint="eastAsia"/>
                <w:highlight w:val="none"/>
                <w:lang w:val="en-US" w:eastAsia="zh-CN"/>
              </w:rPr>
            </w:pPr>
            <w:r>
              <w:rPr>
                <w:rFonts w:hint="eastAsia" w:ascii="宋体" w:hAnsi="Times New Roman" w:eastAsia="宋体" w:cs="Times New Roman"/>
                <w:kern w:val="0"/>
                <w:sz w:val="24"/>
                <w:szCs w:val="22"/>
                <w:highlight w:val="none"/>
                <w:lang w:val="en-US" w:eastAsia="zh-CN" w:bidi="ar-SA"/>
              </w:rPr>
              <w:t>（</w:t>
            </w:r>
            <w:r>
              <w:rPr>
                <w:rFonts w:hint="eastAsia" w:ascii="宋体" w:cs="Times New Roman"/>
                <w:kern w:val="0"/>
                <w:sz w:val="24"/>
                <w:szCs w:val="22"/>
                <w:highlight w:val="none"/>
                <w:lang w:val="en-US" w:eastAsia="zh-CN" w:bidi="ar-SA"/>
              </w:rPr>
              <w:t>50</w:t>
            </w:r>
            <w:r>
              <w:rPr>
                <w:rFonts w:hint="eastAsia" w:ascii="宋体" w:hAnsi="Times New Roman" w:eastAsia="宋体" w:cs="Times New Roman"/>
                <w:kern w:val="0"/>
                <w:sz w:val="24"/>
                <w:szCs w:val="22"/>
                <w:highlight w:val="none"/>
                <w:lang w:val="en-US" w:eastAsia="zh-CN" w:bidi="ar-SA"/>
              </w:rPr>
              <w:t>分）</w:t>
            </w:r>
          </w:p>
        </w:tc>
        <w:tc>
          <w:tcPr>
            <w:tcW w:w="966" w:type="dxa"/>
            <w:noWrap w:val="0"/>
            <w:vAlign w:val="center"/>
          </w:tcPr>
          <w:p>
            <w:pPr>
              <w:pStyle w:val="3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工作</w:t>
            </w:r>
          </w:p>
          <w:p>
            <w:pPr>
              <w:pStyle w:val="34"/>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思路</w:t>
            </w:r>
          </w:p>
        </w:tc>
        <w:tc>
          <w:tcPr>
            <w:tcW w:w="6570" w:type="dxa"/>
            <w:noWrap w:val="0"/>
            <w:vAlign w:val="center"/>
          </w:tcPr>
          <w:p>
            <w:pPr>
              <w:pStyle w:val="34"/>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工作重点突出，思路清晰，组织合理，表达清楚，明晰规划工作总体思路和预期目标。</w:t>
            </w:r>
            <w:r>
              <w:rPr>
                <w:rFonts w:hint="eastAsia"/>
                <w:color w:val="auto"/>
                <w:szCs w:val="22"/>
                <w:highlight w:val="none"/>
              </w:rPr>
              <w:t>（内容全面、针对性强的得7-10分，内容较全面、针对性较强的得5-7分，内容含糊、针对性不强的得</w:t>
            </w:r>
            <w:r>
              <w:rPr>
                <w:rFonts w:hint="eastAsia"/>
                <w:color w:val="auto"/>
                <w:szCs w:val="22"/>
                <w:highlight w:val="none"/>
                <w:lang w:val="en-US" w:eastAsia="zh-CN"/>
              </w:rPr>
              <w:t>1</w:t>
            </w:r>
            <w:r>
              <w:rPr>
                <w:rFonts w:hint="eastAsia"/>
                <w:color w:val="auto"/>
                <w:szCs w:val="22"/>
                <w:highlight w:val="none"/>
              </w:rPr>
              <w:t>-5分。）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实施</w:t>
            </w:r>
          </w:p>
          <w:p>
            <w:pPr>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方案</w:t>
            </w:r>
          </w:p>
        </w:tc>
        <w:tc>
          <w:tcPr>
            <w:tcW w:w="6570" w:type="dxa"/>
            <w:noWrap w:val="0"/>
            <w:vAlign w:val="center"/>
          </w:tcPr>
          <w:p>
            <w:pPr>
              <w:jc w:val="left"/>
              <w:rPr>
                <w:color w:val="auto"/>
                <w:highlight w:val="none"/>
              </w:rPr>
            </w:pPr>
            <w:r>
              <w:rPr>
                <w:rFonts w:hint="eastAsia"/>
                <w:color w:val="auto"/>
                <w:highlight w:val="none"/>
              </w:rPr>
              <w:t>包括但不限于总体概述、</w:t>
            </w:r>
            <w:r>
              <w:rPr>
                <w:rFonts w:hint="eastAsia"/>
                <w:color w:val="auto"/>
                <w:highlight w:val="none"/>
                <w:lang w:eastAsia="zh-CN"/>
              </w:rPr>
              <w:t>制定工作方案、编制成果、汇交成果、成果运用等</w:t>
            </w:r>
            <w:r>
              <w:rPr>
                <w:rFonts w:hint="eastAsia"/>
                <w:color w:val="auto"/>
                <w:highlight w:val="none"/>
              </w:rPr>
              <w:t>；准确把握项目定位，对规划内容、操作、实施和管理有全面周到的考虑和安排，符合采购人的需求。（内容全面合理有可操作性的得10-15分；内容合理的得5-10；一般可行的得1-5分。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5</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编制</w:t>
            </w:r>
          </w:p>
          <w:p>
            <w:pPr>
              <w:jc w:val="center"/>
              <w:rPr>
                <w:rFonts w:hint="eastAsia" w:hAnsi="宋体" w:cs="宋体"/>
                <w:color w:val="auto"/>
                <w:szCs w:val="24"/>
                <w:highlight w:val="none"/>
                <w:lang w:eastAsia="zh-CN"/>
              </w:rPr>
            </w:pPr>
            <w:r>
              <w:rPr>
                <w:rFonts w:hint="eastAsia" w:ascii="宋体" w:hAnsi="宋体" w:eastAsia="宋体" w:cs="宋体"/>
                <w:color w:val="auto"/>
                <w:sz w:val="24"/>
                <w:szCs w:val="24"/>
                <w:highlight w:val="none"/>
                <w:lang w:val="en-US" w:eastAsia="zh-CN"/>
              </w:rPr>
              <w:t>进度</w:t>
            </w:r>
          </w:p>
        </w:tc>
        <w:tc>
          <w:tcPr>
            <w:tcW w:w="6570" w:type="dxa"/>
            <w:noWrap w:val="0"/>
            <w:vAlign w:val="center"/>
          </w:tcPr>
          <w:p>
            <w:pPr>
              <w:jc w:val="left"/>
              <w:rPr>
                <w:rFonts w:hint="eastAsia"/>
                <w:color w:val="auto"/>
                <w:highlight w:val="none"/>
              </w:rPr>
            </w:pPr>
            <w:r>
              <w:rPr>
                <w:rFonts w:hint="eastAsia" w:hAnsi="Times New Roman" w:cs="Times New Roman"/>
                <w:color w:val="auto"/>
                <w:highlight w:val="none"/>
                <w:lang w:val="en-US" w:eastAsia="zh-CN"/>
              </w:rPr>
              <w:t>有详细、完整的编制进度计划，编制进度计划详细、完整、合理、高效的得7-10分；编制进度计划较详细、完整、合理的得3-6分；进度计划不详细、完整、合理的得1-3分。</w:t>
            </w:r>
          </w:p>
        </w:tc>
        <w:tc>
          <w:tcPr>
            <w:tcW w:w="826" w:type="dxa"/>
            <w:noWrap w:val="0"/>
            <w:vAlign w:val="center"/>
          </w:tcPr>
          <w:p>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组织</w:t>
            </w:r>
          </w:p>
          <w:p>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协调</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供应商针对本项目的资料收集、数据分析、对策研究、规划编制等各环节的组织协调、质量保障措施系统全面，得8-10 分。</w:t>
            </w:r>
          </w:p>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供应商针对本项目的资料收集、数据分析、对策研究、规划编制等各环节的组织协调、质量保障措施较为全面，得4-7 分。</w:t>
            </w:r>
          </w:p>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供应商仅针对本项目部分环节的组织协调、质量保障提供了相应措施，得0-3分。</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质量</w:t>
            </w:r>
          </w:p>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保障</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对项目的质量保障进行承诺，并对分期实施和政策保障等内容提出可行的，有利于本项目顺利开展的建议；（技术服务意识强、项目质量保障措施及建议具体合理的得3-5分，技术服务意识较强、内容欠缺、质量保障措施及建议较合理的得1-3分。）</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91" w:type="dxa"/>
            <w:vMerge w:val="restart"/>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履约</w:t>
            </w:r>
          </w:p>
          <w:p>
            <w:pPr>
              <w:spacing w:line="360" w:lineRule="auto"/>
              <w:jc w:val="center"/>
              <w:rPr>
                <w:rFonts w:hint="eastAsia" w:hAnsi="宋体" w:cs="宋体"/>
                <w:color w:val="auto"/>
                <w:szCs w:val="24"/>
                <w:highlight w:val="none"/>
              </w:rPr>
            </w:pPr>
            <w:r>
              <w:rPr>
                <w:rFonts w:hint="eastAsia" w:hAnsi="宋体" w:cs="宋体"/>
                <w:color w:val="auto"/>
                <w:szCs w:val="24"/>
                <w:highlight w:val="none"/>
              </w:rPr>
              <w:t>能力</w:t>
            </w:r>
          </w:p>
          <w:p>
            <w:pPr>
              <w:spacing w:line="360" w:lineRule="auto"/>
              <w:jc w:val="center"/>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30</w:t>
            </w:r>
            <w:r>
              <w:rPr>
                <w:rFonts w:hint="eastAsia" w:hAnsi="宋体" w:cs="宋体"/>
                <w:color w:val="auto"/>
                <w:szCs w:val="24"/>
                <w:highlight w:val="none"/>
              </w:rPr>
              <w:t>分）</w:t>
            </w:r>
          </w:p>
        </w:tc>
        <w:tc>
          <w:tcPr>
            <w:tcW w:w="966" w:type="dxa"/>
            <w:noWrap w:val="0"/>
            <w:vAlign w:val="center"/>
          </w:tcPr>
          <w:p>
            <w:pPr>
              <w:pStyle w:val="34"/>
              <w:jc w:val="center"/>
              <w:rPr>
                <w:rFonts w:hint="eastAsia" w:hAnsi="宋体" w:eastAsia="宋体" w:cs="宋体"/>
                <w:color w:val="auto"/>
                <w:highlight w:val="none"/>
              </w:rPr>
            </w:pPr>
            <w:r>
              <w:rPr>
                <w:rFonts w:hint="eastAsia" w:hAnsi="宋体" w:eastAsia="宋体" w:cs="宋体"/>
                <w:color w:val="auto"/>
                <w:highlight w:val="none"/>
              </w:rPr>
              <w:t>人员</w:t>
            </w:r>
          </w:p>
          <w:p>
            <w:pPr>
              <w:pStyle w:val="34"/>
              <w:jc w:val="center"/>
              <w:rPr>
                <w:rFonts w:hint="eastAsia" w:ascii="宋体" w:hAnsi="宋体" w:eastAsia="宋体" w:cs="宋体"/>
                <w:color w:val="auto"/>
                <w:highlight w:val="none"/>
              </w:rPr>
            </w:pPr>
            <w:r>
              <w:rPr>
                <w:rFonts w:hint="eastAsia" w:hAnsi="宋体" w:eastAsia="宋体" w:cs="宋体"/>
                <w:color w:val="auto"/>
                <w:highlight w:val="none"/>
              </w:rPr>
              <w:t>配置</w:t>
            </w:r>
          </w:p>
        </w:tc>
        <w:tc>
          <w:tcPr>
            <w:tcW w:w="6570" w:type="dxa"/>
            <w:noWrap w:val="0"/>
            <w:vAlign w:val="center"/>
          </w:tcPr>
          <w:p>
            <w:pPr>
              <w:jc w:val="left"/>
              <w:rPr>
                <w:rFonts w:hint="eastAsia" w:ascii="宋体" w:hAnsi="宋体" w:eastAsia="宋体" w:cs="宋体"/>
                <w:color w:val="auto"/>
                <w:highlight w:val="none"/>
              </w:rPr>
            </w:pPr>
            <w:r>
              <w:rPr>
                <w:rFonts w:hint="eastAsia" w:hAnsi="Times New Roman" w:cs="Times New Roman"/>
                <w:color w:val="auto"/>
                <w:highlight w:val="none"/>
                <w:lang w:val="en-US" w:eastAsia="zh-CN"/>
              </w:rPr>
              <w:t>项目组成员专业结构合理（须提供人员身份证、职称证书等相关证明材料复印件），每提供一人得</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分，满分为</w:t>
            </w:r>
            <w:r>
              <w:rPr>
                <w:rFonts w:hint="eastAsia" w:cs="Times New Roman"/>
                <w:color w:val="auto"/>
                <w:highlight w:val="none"/>
                <w:lang w:val="en-US" w:eastAsia="zh-CN"/>
              </w:rPr>
              <w:t>15</w:t>
            </w:r>
            <w:r>
              <w:rPr>
                <w:rFonts w:hint="eastAsia" w:hAnsi="Times New Roman" w:cs="Times New Roman"/>
                <w:color w:val="auto"/>
                <w:highlight w:val="none"/>
                <w:lang w:val="en-US" w:eastAsia="zh-CN"/>
              </w:rPr>
              <w:t>分，不提供不得分。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5</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91" w:type="dxa"/>
            <w:vMerge w:val="continue"/>
            <w:noWrap w:val="0"/>
            <w:vAlign w:val="center"/>
          </w:tcPr>
          <w:p>
            <w:pPr>
              <w:spacing w:line="360" w:lineRule="auto"/>
              <w:rPr>
                <w:rFonts w:hint="eastAsia" w:hAnsi="宋体" w:cs="宋体"/>
                <w:color w:val="auto"/>
                <w:szCs w:val="24"/>
                <w:highlight w:val="none"/>
              </w:rPr>
            </w:pPr>
          </w:p>
        </w:tc>
        <w:tc>
          <w:tcPr>
            <w:tcW w:w="966" w:type="dxa"/>
            <w:noWrap w:val="0"/>
            <w:vAlign w:val="center"/>
          </w:tcPr>
          <w:p>
            <w:pPr>
              <w:pStyle w:val="34"/>
              <w:jc w:val="center"/>
              <w:rPr>
                <w:rFonts w:hint="eastAsia" w:hAnsi="宋体" w:eastAsia="宋体" w:cs="宋体"/>
                <w:color w:val="auto"/>
                <w:highlight w:val="none"/>
              </w:rPr>
            </w:pPr>
            <w:r>
              <w:rPr>
                <w:rFonts w:hint="eastAsia" w:hAnsi="宋体" w:eastAsia="宋体" w:cs="宋体"/>
                <w:color w:val="auto"/>
                <w:highlight w:val="none"/>
                <w:lang w:val="en-US" w:eastAsia="zh-CN"/>
              </w:rPr>
              <w:t>售后服务承诺</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针对本采购项目及采购人实际需求提供详细具体可行的售后服务措施承诺及详尽可行的售后服务实施计划，并阐明可提供的咨询或后续服务内容计3-5分；提供的内容较为详尽，描述欠合理的计1-3分。</w:t>
            </w:r>
          </w:p>
        </w:tc>
        <w:tc>
          <w:tcPr>
            <w:tcW w:w="826" w:type="dxa"/>
            <w:noWrap w:val="0"/>
            <w:vAlign w:val="center"/>
          </w:tcPr>
          <w:p>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570" w:type="dxa"/>
            <w:noWrap w:val="0"/>
            <w:vAlign w:val="center"/>
          </w:tcPr>
          <w:p>
            <w:pPr>
              <w:pStyle w:val="34"/>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2020年以后</w:t>
            </w:r>
            <w:r>
              <w:rPr>
                <w:rFonts w:hint="eastAsia" w:ascii="宋体" w:hAnsi="宋体"/>
                <w:color w:val="auto"/>
                <w:szCs w:val="22"/>
                <w:highlight w:val="none"/>
                <w:lang w:eastAsia="zh-CN"/>
              </w:rPr>
              <w:t>类似</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2</w:t>
            </w:r>
            <w:r>
              <w:rPr>
                <w:rFonts w:hint="eastAsia" w:ascii="宋体" w:hAnsi="宋体"/>
                <w:color w:val="auto"/>
                <w:szCs w:val="22"/>
                <w:highlight w:val="none"/>
              </w:rPr>
              <w:t>分，满分</w:t>
            </w:r>
            <w:r>
              <w:rPr>
                <w:rFonts w:hint="eastAsia" w:ascii="宋体" w:hAnsi="宋体"/>
                <w:color w:val="auto"/>
                <w:szCs w:val="22"/>
                <w:highlight w:val="none"/>
                <w:lang w:val="en-US" w:eastAsia="zh-CN"/>
              </w:rPr>
              <w:t>10</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bl>
    <w:p>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cs="宋体"/>
          <w:color w:val="auto"/>
          <w:szCs w:val="24"/>
          <w:highlight w:val="none"/>
          <w:lang w:val="en-US"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2、采购人根据评标报告中推荐的中标候选人排列顺序确定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pPr>
        <w:rPr>
          <w:rFonts w:hint="eastAsia" w:ascii="宋体" w:hAnsi="宋体" w:eastAsia="宋体" w:cs="宋体"/>
          <w:color w:val="auto"/>
          <w:highlight w:val="none"/>
        </w:rPr>
      </w:pPr>
    </w:p>
    <w:p>
      <w:pPr>
        <w:pStyle w:val="15"/>
        <w:spacing w:line="360" w:lineRule="auto"/>
        <w:ind w:left="0" w:leftChars="0" w:firstLine="0" w:firstLineChars="0"/>
        <w:rPr>
          <w:rFonts w:hint="eastAsia" w:ascii="宋体" w:hAnsi="宋体" w:eastAsia="宋体" w:cs="宋体"/>
          <w:b/>
          <w:color w:val="auto"/>
          <w:sz w:val="24"/>
          <w:szCs w:val="24"/>
          <w:highlight w:val="none"/>
        </w:rPr>
      </w:pPr>
    </w:p>
    <w:p>
      <w:pPr>
        <w:pStyle w:val="3"/>
        <w:jc w:val="center"/>
        <w:outlineLvl w:val="0"/>
        <w:rPr>
          <w:rFonts w:hint="eastAsia" w:ascii="宋体" w:hAnsi="宋体" w:eastAsia="宋体" w:cs="宋体"/>
          <w:bCs/>
          <w:color w:val="auto"/>
          <w:sz w:val="36"/>
          <w:szCs w:val="36"/>
          <w:highlight w:val="none"/>
        </w:rPr>
      </w:pPr>
      <w:bookmarkStart w:id="80" w:name="_Toc10029"/>
      <w:r>
        <w:rPr>
          <w:rFonts w:hint="eastAsia" w:ascii="宋体" w:hAnsi="宋体" w:eastAsia="宋体" w:cs="宋体"/>
          <w:bCs/>
          <w:color w:val="auto"/>
          <w:sz w:val="36"/>
          <w:szCs w:val="36"/>
          <w:highlight w:val="none"/>
        </w:rPr>
        <w:br w:type="page"/>
      </w:r>
      <w:bookmarkStart w:id="81" w:name="_Toc30377"/>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59"/>
      <w:bookmarkEnd w:id="60"/>
      <w:bookmarkEnd w:id="61"/>
      <w:bookmarkEnd w:id="80"/>
      <w:bookmarkEnd w:id="81"/>
    </w:p>
    <w:p>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2" w:name="_Toc23705"/>
      <w:bookmarkStart w:id="83" w:name="_Toc32476"/>
      <w:bookmarkStart w:id="84" w:name="_Toc3424"/>
      <w:bookmarkStart w:id="85" w:name="_Toc17801"/>
      <w:r>
        <w:rPr>
          <w:rFonts w:hint="eastAsia" w:ascii="宋体" w:hAnsi="宋体" w:eastAsia="宋体" w:cs="宋体"/>
          <w:b/>
          <w:bCs/>
          <w:color w:val="auto"/>
          <w:sz w:val="32"/>
          <w:szCs w:val="32"/>
          <w:highlight w:val="none"/>
        </w:rPr>
        <w:t>合同前附表</w:t>
      </w:r>
      <w:bookmarkEnd w:id="82"/>
      <w:bookmarkEnd w:id="83"/>
      <w:bookmarkEnd w:id="84"/>
      <w:bookmarkEnd w:id="85"/>
    </w:p>
    <w:p>
      <w:pPr>
        <w:rPr>
          <w:rFonts w:hint="eastAsia" w:ascii="宋体" w:hAnsi="宋体" w:eastAsia="宋体" w:cs="宋体"/>
          <w:color w:val="auto"/>
          <w:highlight w:val="none"/>
        </w:rPr>
      </w:pP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5"/>
        <w:gridCol w:w="7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7712"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712" w:type="dxa"/>
            <w:noWrap w:val="0"/>
            <w:vAlign w:val="center"/>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cs="宋体"/>
                <w:color w:val="auto"/>
                <w:szCs w:val="24"/>
                <w:highlight w:val="none"/>
                <w:lang w:eastAsia="zh-CN"/>
              </w:rPr>
              <w:t>宁陕县住房和城乡建设局</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cs="宋体"/>
                <w:color w:val="auto"/>
                <w:szCs w:val="24"/>
                <w:highlight w:val="none"/>
                <w:lang w:eastAsia="zh-CN"/>
              </w:rPr>
              <w:t>宁陕县豪迈客运站4楼</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r>
              <w:rPr>
                <w:rFonts w:hint="eastAsia" w:hAnsi="宋体" w:cs="宋体"/>
                <w:color w:val="auto"/>
                <w:szCs w:val="24"/>
                <w:highlight w:val="none"/>
                <w:lang w:eastAsia="zh-CN"/>
              </w:rPr>
              <w:t>宁陕县县域城乡生活垃圾收运处置体系专项规划编制服务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712" w:type="dxa"/>
            <w:noWrap w:val="0"/>
            <w:vAlign w:val="center"/>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项目实施地点：</w:t>
            </w:r>
            <w:r>
              <w:rPr>
                <w:rFonts w:hint="eastAsia" w:hAnsi="宋体" w:eastAsia="宋体" w:cs="宋体"/>
                <w:color w:val="auto"/>
                <w:szCs w:val="24"/>
                <w:highlight w:val="none"/>
                <w:lang w:eastAsia="zh-CN"/>
              </w:rPr>
              <w:t>宁陕县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exact"/>
        </w:trPr>
        <w:tc>
          <w:tcPr>
            <w:tcW w:w="1105" w:type="dxa"/>
            <w:vMerge w:val="restart"/>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7712" w:type="dxa"/>
            <w:noWrap w:val="0"/>
            <w:vAlign w:val="center"/>
          </w:tcPr>
          <w:p>
            <w:pPr>
              <w:spacing w:line="360" w:lineRule="auto"/>
              <w:rPr>
                <w:rFonts w:hint="default"/>
                <w:color w:val="auto"/>
                <w:highlight w:val="none"/>
                <w:lang w:val="en-US" w:eastAsia="zh-CN"/>
              </w:rPr>
            </w:pPr>
            <w:r>
              <w:rPr>
                <w:rFonts w:hint="eastAsia"/>
                <w:color w:val="auto"/>
                <w:highlight w:val="none"/>
                <w:lang w:eastAsia="zh-CN"/>
              </w:rPr>
              <w:t>成果交付期</w:t>
            </w:r>
            <w:r>
              <w:rPr>
                <w:rFonts w:hint="eastAsia" w:ascii="宋体" w:hAnsi="宋体" w:eastAsia="宋体" w:cs="宋体"/>
                <w:color w:val="auto"/>
                <w:szCs w:val="24"/>
                <w:highlight w:val="none"/>
                <w:lang w:eastAsia="zh-CN"/>
              </w:rPr>
              <w:t>：自合同签订之日起</w:t>
            </w:r>
            <w:r>
              <w:rPr>
                <w:rFonts w:hint="eastAsia" w:hAnsi="宋体" w:cs="宋体"/>
                <w:color w:val="auto"/>
                <w:szCs w:val="24"/>
                <w:highlight w:val="none"/>
                <w:lang w:val="en-US" w:eastAsia="zh-CN"/>
              </w:rPr>
              <w:t>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105" w:type="dxa"/>
            <w:vMerge w:val="continue"/>
            <w:noWrap w:val="0"/>
            <w:vAlign w:val="center"/>
          </w:tcPr>
          <w:p>
            <w:pPr>
              <w:spacing w:line="360" w:lineRule="auto"/>
              <w:jc w:val="center"/>
              <w:rPr>
                <w:rFonts w:hint="eastAsia" w:ascii="宋体" w:hAnsi="宋体" w:eastAsia="宋体" w:cs="宋体"/>
                <w:color w:val="auto"/>
                <w:szCs w:val="24"/>
                <w:highlight w:val="none"/>
              </w:rPr>
            </w:pPr>
          </w:p>
        </w:tc>
        <w:tc>
          <w:tcPr>
            <w:tcW w:w="7712" w:type="dxa"/>
            <w:noWrap w:val="0"/>
            <w:vAlign w:val="center"/>
          </w:tcPr>
          <w:p>
            <w:pPr>
              <w:spacing w:line="360" w:lineRule="auto"/>
              <w:rPr>
                <w:rFonts w:hint="eastAsia"/>
                <w:color w:val="auto"/>
                <w:highlight w:val="none"/>
              </w:rPr>
            </w:pPr>
            <w:r>
              <w:rPr>
                <w:rFonts w:hint="eastAsia" w:ascii="宋体" w:hAnsi="宋体" w:eastAsia="宋体" w:cs="宋体"/>
                <w:color w:val="auto"/>
                <w:szCs w:val="24"/>
                <w:highlight w:val="none"/>
                <w:lang w:eastAsia="zh-CN"/>
              </w:rPr>
              <w:t>质量标准：达到国家及行业</w:t>
            </w:r>
            <w:r>
              <w:rPr>
                <w:rFonts w:hint="eastAsia" w:hAnsi="宋体" w:cs="宋体"/>
                <w:color w:val="auto"/>
                <w:szCs w:val="24"/>
                <w:highlight w:val="none"/>
                <w:lang w:eastAsia="zh-CN"/>
              </w:rPr>
              <w:t>现行</w:t>
            </w:r>
            <w:r>
              <w:rPr>
                <w:rFonts w:hint="eastAsia" w:ascii="宋体" w:hAnsi="宋体" w:eastAsia="宋体" w:cs="宋体"/>
                <w:color w:val="auto"/>
                <w:szCs w:val="24"/>
                <w:highlight w:val="none"/>
                <w:lang w:eastAsia="zh-CN"/>
              </w:rPr>
              <w:t>验收合格标准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7712" w:type="dxa"/>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1.合同总价即成交价，不受市场价变化或实际工作量变化的影响。供应商应在磋商报价表中标明完成本次磋商所要求的全部服务的所有费用，</w:t>
            </w:r>
            <w:r>
              <w:rPr>
                <w:rFonts w:hint="eastAsia" w:hAnsi="宋体" w:eastAsia="宋体" w:cs="宋体"/>
                <w:color w:val="auto"/>
                <w:sz w:val="24"/>
                <w:szCs w:val="24"/>
                <w:highlight w:val="none"/>
                <w:lang w:eastAsia="zh-CN"/>
              </w:rPr>
              <w:t>包括但不限于人工费、设备使用费、办公费、服务费、交通费、招标代理服务费、税金等其他一切相关费用。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2.1由采购人负责结算，在付款前，供应商必须开具全额发票给采购人。</w:t>
            </w:r>
          </w:p>
          <w:p>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2.2付款方式：</w:t>
            </w:r>
            <w:r>
              <w:rPr>
                <w:rFonts w:hint="eastAsia" w:hAnsi="宋体" w:eastAsia="宋体" w:cs="宋体"/>
                <w:b/>
                <w:bCs/>
                <w:color w:val="auto"/>
                <w:sz w:val="24"/>
                <w:szCs w:val="24"/>
                <w:highlight w:val="none"/>
                <w:lang w:eastAsia="zh-CN"/>
              </w:rPr>
              <w:t>以签订合同为准</w:t>
            </w:r>
            <w:r>
              <w:rPr>
                <w:rFonts w:hint="eastAsia" w:hAnsi="宋体" w:cs="宋体"/>
                <w:b/>
                <w:bCs/>
                <w:color w:val="auto"/>
                <w:sz w:val="24"/>
                <w:szCs w:val="24"/>
                <w:highlight w:val="none"/>
                <w:lang w:eastAsia="zh-CN"/>
              </w:rPr>
              <w:t>；</w:t>
            </w:r>
          </w:p>
          <w:p>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 w:val="24"/>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7712"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服务支持：</w:t>
            </w:r>
          </w:p>
          <w:p>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Cs w:val="21"/>
                <w:highlight w:val="none"/>
                <w:lang w:eastAsia="zh-CN"/>
              </w:rPr>
              <w:t>服务</w:t>
            </w:r>
            <w:r>
              <w:rPr>
                <w:rFonts w:hint="eastAsia" w:ascii="宋体" w:hAnsi="宋体" w:eastAsia="宋体" w:cs="宋体"/>
                <w:bCs/>
                <w:color w:val="auto"/>
                <w:szCs w:val="21"/>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bCs/>
                <w:color w:val="auto"/>
                <w:szCs w:val="21"/>
                <w:highlight w:val="none"/>
              </w:rPr>
              <w:t>2.供应商在项目实施过程中，质量保障人员、资源不足或者执行不力，给项目质量带来的风险超出采购人认定的允许范围时，采购人可终止本项目的合作并进行索赔。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6</w:t>
            </w:r>
          </w:p>
        </w:tc>
        <w:tc>
          <w:tcPr>
            <w:tcW w:w="7712" w:type="dxa"/>
            <w:noWrap w:val="0"/>
            <w:vAlign w:val="center"/>
          </w:tcPr>
          <w:p>
            <w:pPr>
              <w:pStyle w:val="11"/>
              <w:tabs>
                <w:tab w:val="left" w:pos="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验收：</w:t>
            </w:r>
          </w:p>
          <w:p>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1、乙方应对提交的服务成果作出全面检查和整理并出具情况报告，附检测记录表，作为甲方验收和使用的技术条件依据，评估记录表应随提交的服务成果交给甲方。</w:t>
            </w:r>
          </w:p>
          <w:p>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2、甲方组织专家对乙方提交的服务成果进行评审验收，在验收过程中，需对服务成果进行修改完善的，乙方应无条件予以配合，直至达到甲方满意。</w:t>
            </w:r>
          </w:p>
          <w:p>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对复杂的服务，甲方可请国家认可的专业机构参与验收，并由其出具验收报告，相关费用由甲方承担。</w:t>
            </w:r>
          </w:p>
          <w:p>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 w:val="24"/>
                <w:szCs w:val="24"/>
                <w:highlight w:val="none"/>
                <w:lang w:val="en-US" w:eastAsia="zh-CN" w:bidi="ar-SA"/>
              </w:rPr>
              <w:t>5、如政府出具新的政策，则按照最新政策进行执行。并对服务合同进行相应修正。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7712"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pPr>
              <w:tabs>
                <w:tab w:val="left" w:pos="498"/>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供应商应对所提供的文稿及图像、影像材料</w:t>
            </w:r>
            <w:r>
              <w:rPr>
                <w:rFonts w:hint="eastAsia" w:hAnsi="宋体" w:eastAsia="宋体" w:cs="宋体"/>
                <w:color w:val="auto"/>
                <w:szCs w:val="24"/>
                <w:highlight w:val="none"/>
                <w:lang w:eastAsia="zh-CN"/>
              </w:rPr>
              <w:t>、设备</w:t>
            </w:r>
            <w:r>
              <w:rPr>
                <w:rFonts w:hint="eastAsia" w:ascii="宋体" w:hAnsi="宋体" w:eastAsia="宋体" w:cs="宋体"/>
                <w:color w:val="auto"/>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default"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8</w:t>
            </w:r>
          </w:p>
        </w:tc>
        <w:tc>
          <w:tcPr>
            <w:tcW w:w="7712" w:type="dxa"/>
            <w:noWrap w:val="0"/>
            <w:vAlign w:val="center"/>
          </w:tcPr>
          <w:p>
            <w:pPr>
              <w:tabs>
                <w:tab w:val="left" w:pos="498"/>
              </w:tabs>
              <w:spacing w:line="360" w:lineRule="auto"/>
              <w:rPr>
                <w:rFonts w:hint="eastAsia" w:ascii="宋体" w:hAnsi="宋体" w:eastAsia="宋体" w:cs="宋体"/>
                <w:color w:val="auto"/>
                <w:szCs w:val="24"/>
                <w:highlight w:val="none"/>
                <w:lang w:eastAsia="zh-CN"/>
              </w:rPr>
            </w:pPr>
            <w:r>
              <w:rPr>
                <w:rFonts w:hint="eastAsia" w:ascii="宋体" w:hAnsi="宋体" w:eastAsia="宋体" w:cs="宋体"/>
                <w:b/>
                <w:color w:val="auto"/>
                <w:szCs w:val="24"/>
                <w:highlight w:val="none"/>
                <w:lang w:eastAsia="zh-CN"/>
              </w:rPr>
              <w:t>保密：</w:t>
            </w:r>
            <w:r>
              <w:rPr>
                <w:rFonts w:hint="eastAsia" w:ascii="宋体" w:hAnsi="宋体" w:eastAsia="宋体" w:cs="宋体"/>
                <w:color w:val="auto"/>
                <w:szCs w:val="24"/>
                <w:highlight w:val="none"/>
                <w:lang w:eastAsia="zh-CN"/>
              </w:rPr>
              <w:t>乙方对服务过程中</w:t>
            </w:r>
            <w:r>
              <w:rPr>
                <w:rFonts w:hint="eastAsia" w:hAnsi="宋体" w:eastAsia="宋体" w:cs="宋体"/>
                <w:color w:val="auto"/>
                <w:szCs w:val="24"/>
                <w:highlight w:val="none"/>
                <w:lang w:eastAsia="zh-CN"/>
              </w:rPr>
              <w:t>所</w:t>
            </w:r>
            <w:r>
              <w:rPr>
                <w:rFonts w:hint="eastAsia" w:ascii="宋体" w:hAnsi="宋体" w:eastAsia="宋体" w:cs="宋体"/>
                <w:color w:val="auto"/>
                <w:szCs w:val="24"/>
                <w:highlight w:val="none"/>
                <w:lang w:eastAsia="zh-CN"/>
              </w:rPr>
              <w:t>涉及到的的</w:t>
            </w:r>
            <w:r>
              <w:rPr>
                <w:rFonts w:hint="eastAsia" w:hAnsi="宋体" w:eastAsia="宋体" w:cs="宋体"/>
                <w:color w:val="auto"/>
                <w:szCs w:val="24"/>
                <w:highlight w:val="none"/>
                <w:lang w:eastAsia="zh-CN"/>
              </w:rPr>
              <w:t>信息、</w:t>
            </w:r>
            <w:r>
              <w:rPr>
                <w:rFonts w:hint="eastAsia" w:ascii="宋体" w:hAnsi="宋体" w:eastAsia="宋体" w:cs="宋体"/>
                <w:color w:val="auto"/>
                <w:szCs w:val="24"/>
                <w:highlight w:val="none"/>
                <w:lang w:eastAsia="zh-CN"/>
              </w:rPr>
              <w:t>资料，需进行有效的</w:t>
            </w:r>
            <w:r>
              <w:rPr>
                <w:rFonts w:hint="eastAsia" w:hAnsi="宋体" w:eastAsia="宋体" w:cs="宋体"/>
                <w:color w:val="auto"/>
                <w:szCs w:val="24"/>
                <w:highlight w:val="none"/>
                <w:lang w:eastAsia="zh-CN"/>
              </w:rPr>
              <w:t>管理及</w:t>
            </w:r>
            <w:r>
              <w:rPr>
                <w:rFonts w:hint="eastAsia" w:ascii="宋体" w:hAnsi="宋体" w:eastAsia="宋体" w:cs="宋体"/>
                <w:color w:val="auto"/>
                <w:szCs w:val="24"/>
                <w:highlight w:val="none"/>
                <w:lang w:eastAsia="zh-CN"/>
              </w:rPr>
              <w:t>保密，防止</w:t>
            </w:r>
            <w:r>
              <w:rPr>
                <w:rFonts w:hint="eastAsia" w:hAnsi="宋体" w:eastAsia="宋体" w:cs="宋体"/>
                <w:color w:val="auto"/>
                <w:szCs w:val="24"/>
                <w:highlight w:val="none"/>
                <w:lang w:eastAsia="zh-CN"/>
              </w:rPr>
              <w:t>损坏、遗失及</w:t>
            </w:r>
            <w:r>
              <w:rPr>
                <w:rFonts w:hint="eastAsia" w:ascii="宋体" w:hAnsi="宋体" w:eastAsia="宋体" w:cs="宋体"/>
                <w:color w:val="auto"/>
                <w:szCs w:val="24"/>
                <w:highlight w:val="none"/>
                <w:lang w:eastAsia="zh-CN"/>
              </w:rPr>
              <w:t>泄露</w:t>
            </w:r>
            <w:r>
              <w:rPr>
                <w:rFonts w:hint="eastAsia" w:hAnsi="宋体" w:eastAsia="宋体" w:cs="宋体"/>
                <w:color w:val="auto"/>
                <w:szCs w:val="24"/>
                <w:highlight w:val="none"/>
                <w:lang w:eastAsia="zh-CN"/>
              </w:rPr>
              <w:t>。</w:t>
            </w:r>
            <w:r>
              <w:rPr>
                <w:rFonts w:hint="eastAsia" w:ascii="宋体" w:hAnsi="宋体" w:eastAsia="宋体" w:cs="宋体"/>
                <w:color w:val="auto"/>
                <w:szCs w:val="24"/>
                <w:highlight w:val="none"/>
                <w:lang w:eastAsia="zh-CN"/>
              </w:rPr>
              <w:t>如因乙方原因导致资料损坏</w:t>
            </w:r>
            <w:r>
              <w:rPr>
                <w:rFonts w:hint="eastAsia" w:hAnsi="宋体" w:eastAsia="宋体" w:cs="宋体"/>
                <w:color w:val="auto"/>
                <w:szCs w:val="24"/>
                <w:highlight w:val="none"/>
                <w:lang w:eastAsia="zh-CN"/>
              </w:rPr>
              <w:t>、遗失</w:t>
            </w:r>
            <w:r>
              <w:rPr>
                <w:rFonts w:hint="eastAsia" w:ascii="宋体" w:hAnsi="宋体" w:eastAsia="宋体" w:cs="宋体"/>
                <w:color w:val="auto"/>
                <w:szCs w:val="24"/>
                <w:highlight w:val="none"/>
                <w:lang w:eastAsia="zh-CN"/>
              </w:rPr>
              <w:t>或信息泄露等情况，</w:t>
            </w:r>
            <w:r>
              <w:rPr>
                <w:rFonts w:hint="eastAsia" w:hAnsi="宋体" w:eastAsia="宋体" w:cs="宋体"/>
                <w:color w:val="auto"/>
                <w:szCs w:val="24"/>
                <w:highlight w:val="none"/>
                <w:lang w:eastAsia="zh-CN"/>
              </w:rPr>
              <w:t>甲方</w:t>
            </w:r>
            <w:r>
              <w:rPr>
                <w:rFonts w:hint="eastAsia" w:ascii="宋体" w:hAnsi="宋体" w:eastAsia="宋体" w:cs="宋体"/>
                <w:color w:val="auto"/>
                <w:szCs w:val="24"/>
                <w:highlight w:val="none"/>
                <w:lang w:eastAsia="zh-CN"/>
              </w:rPr>
              <w:t>有权进行追究相关经济及法律责任。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9</w:t>
            </w:r>
          </w:p>
        </w:tc>
        <w:tc>
          <w:tcPr>
            <w:tcW w:w="7712"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5"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10</w:t>
            </w:r>
          </w:p>
        </w:tc>
        <w:tc>
          <w:tcPr>
            <w:tcW w:w="7712" w:type="dxa"/>
            <w:noWrap w:val="0"/>
            <w:vAlign w:val="center"/>
          </w:tcPr>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1"/>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color w:val="auto"/>
          <w:sz w:val="32"/>
          <w:highlight w:val="none"/>
        </w:rPr>
      </w:pPr>
      <w:bookmarkStart w:id="86" w:name="_Toc389582037"/>
      <w:bookmarkStart w:id="87" w:name="_Toc29888"/>
      <w:bookmarkStart w:id="88" w:name="_Toc31520"/>
      <w:bookmarkStart w:id="89" w:name="_Toc423973075"/>
      <w:bookmarkStart w:id="90" w:name="_Toc4679"/>
      <w:bookmarkStart w:id="91" w:name="_Toc26595"/>
      <w:bookmarkStart w:id="92" w:name="_Toc19199"/>
      <w:bookmarkStart w:id="93" w:name="_Toc19246"/>
      <w:bookmarkStart w:id="94" w:name="_Toc8333"/>
      <w:r>
        <w:rPr>
          <w:rFonts w:hint="eastAsia" w:ascii="宋体" w:hAnsi="宋体" w:eastAsia="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pPr>
        <w:outlineLvl w:val="1"/>
        <w:rPr>
          <w:rFonts w:hint="eastAsia" w:ascii="宋体" w:hAnsi="宋体" w:eastAsia="宋体" w:cs="宋体"/>
          <w:b/>
          <w:color w:val="auto"/>
          <w:sz w:val="32"/>
          <w:szCs w:val="32"/>
          <w:highlight w:val="none"/>
        </w:rPr>
      </w:pPr>
      <w:bookmarkStart w:id="95" w:name="_Toc5216"/>
      <w:bookmarkStart w:id="96" w:name="_Toc20930"/>
      <w:bookmarkStart w:id="97" w:name="_Toc1362"/>
      <w:bookmarkStart w:id="98" w:name="_Toc7874"/>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仅供参考）</w:t>
      </w:r>
      <w:bookmarkEnd w:id="95"/>
      <w:bookmarkEnd w:id="96"/>
      <w:bookmarkEnd w:id="97"/>
      <w:bookmarkEnd w:id="98"/>
      <w:r>
        <w:rPr>
          <w:rFonts w:hint="eastAsia" w:ascii="宋体" w:hAnsi="宋体" w:eastAsia="宋体" w:cs="宋体"/>
          <w:b/>
          <w:color w:val="auto"/>
          <w:sz w:val="32"/>
          <w:szCs w:val="32"/>
          <w:highlight w:val="none"/>
        </w:rPr>
        <w:t xml:space="preserve">                  </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jc w:val="center"/>
        <w:rPr>
          <w:rFonts w:hint="eastAsia" w:ascii="宋体" w:hAnsi="宋体" w:eastAsia="宋体" w:cs="宋体"/>
          <w:color w:val="auto"/>
          <w:sz w:val="52"/>
          <w:szCs w:val="52"/>
          <w:highlight w:val="none"/>
        </w:rPr>
      </w:pPr>
    </w:p>
    <w:p>
      <w:pPr>
        <w:jc w:val="center"/>
        <w:rPr>
          <w:rFonts w:hint="eastAsia" w:ascii="宋体" w:hAnsi="宋体" w:eastAsia="宋体" w:cs="宋体"/>
          <w:color w:val="auto"/>
          <w:sz w:val="52"/>
          <w:szCs w:val="52"/>
          <w:highlight w:val="none"/>
        </w:rPr>
      </w:pPr>
    </w:p>
    <w:p>
      <w:pPr>
        <w:jc w:val="center"/>
        <w:outlineLvl w:val="9"/>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pPr>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服 务 合 同</w:t>
      </w:r>
    </w:p>
    <w:p>
      <w:pPr>
        <w:jc w:val="center"/>
        <w:outlineLvl w:val="9"/>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p>
    <w:p>
      <w:pPr>
        <w:ind w:firstLine="2080" w:firstLineChars="65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pPr>
        <w:tabs>
          <w:tab w:val="left" w:pos="480"/>
        </w:tabs>
        <w:ind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pPr>
        <w:jc w:val="center"/>
        <w:rPr>
          <w:rFonts w:hint="eastAsia" w:ascii="宋体" w:hAnsi="宋体" w:eastAsia="宋体" w:cs="宋体"/>
          <w:color w:val="auto"/>
          <w:sz w:val="30"/>
          <w:szCs w:val="30"/>
          <w:highlight w:val="none"/>
        </w:rPr>
      </w:pPr>
    </w:p>
    <w:p>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pPr>
        <w:jc w:val="center"/>
        <w:rPr>
          <w:rFonts w:hint="eastAsia" w:ascii="宋体" w:hAnsi="宋体" w:eastAsia="宋体" w:cs="宋体"/>
          <w:color w:val="auto"/>
          <w:sz w:val="32"/>
          <w:szCs w:val="32"/>
          <w:highlight w:val="none"/>
        </w:rPr>
      </w:pPr>
    </w:p>
    <w:p>
      <w:pPr>
        <w:spacing w:line="590" w:lineRule="exact"/>
        <w:rPr>
          <w:rFonts w:hint="eastAsia" w:ascii="宋体" w:hAnsi="宋体" w:eastAsia="宋体" w:cs="宋体"/>
          <w:b/>
          <w:color w:val="auto"/>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color w:val="auto"/>
          <w:szCs w:val="21"/>
          <w:highlight w:val="none"/>
        </w:rPr>
        <w:br w:type="page"/>
      </w:r>
      <w:bookmarkStart w:id="99" w:name="_Toc28398"/>
      <w:bookmarkStart w:id="100" w:name="_Toc11575"/>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9"/>
      <w:bookmarkEnd w:id="100"/>
    </w:p>
    <w:p>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宁陕县县域城乡生活垃圾收运处置体系专项规划编制服务</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宁陕县县域城乡生活垃圾收运处置体系专项规划编制服务</w:t>
      </w:r>
      <w:r>
        <w:rPr>
          <w:rFonts w:hint="eastAsia" w:hAnsi="宋体" w:cs="宋体"/>
          <w:color w:val="auto"/>
          <w:szCs w:val="21"/>
          <w:highlight w:val="none"/>
        </w:rPr>
        <w:t>协商达成一致，确立本合同。</w:t>
      </w:r>
    </w:p>
    <w:p>
      <w:pPr>
        <w:tabs>
          <w:tab w:val="left" w:pos="480"/>
        </w:tabs>
        <w:spacing w:line="360" w:lineRule="auto"/>
        <w:outlineLvl w:val="1"/>
        <w:rPr>
          <w:rFonts w:hint="eastAsia" w:hAnsi="宋体" w:cs="宋体"/>
          <w:b/>
          <w:color w:val="auto"/>
          <w:szCs w:val="21"/>
          <w:highlight w:val="none"/>
        </w:rPr>
      </w:pPr>
      <w:bookmarkStart w:id="101" w:name="_Toc30883"/>
      <w:bookmarkStart w:id="102" w:name="_Toc8841"/>
      <w:bookmarkStart w:id="103" w:name="_Toc6762"/>
      <w:bookmarkStart w:id="104" w:name="_Toc4137"/>
      <w:bookmarkStart w:id="105" w:name="_Toc3926"/>
      <w:r>
        <w:rPr>
          <w:rFonts w:hint="eastAsia" w:hAnsi="宋体" w:cs="宋体"/>
          <w:b/>
          <w:color w:val="auto"/>
          <w:szCs w:val="21"/>
          <w:highlight w:val="none"/>
        </w:rPr>
        <w:t>一、</w:t>
      </w:r>
      <w:r>
        <w:rPr>
          <w:rFonts w:hint="eastAsia" w:hAnsi="宋体" w:cs="宋体"/>
          <w:b/>
          <w:color w:val="auto"/>
          <w:szCs w:val="21"/>
          <w:highlight w:val="none"/>
          <w:lang w:eastAsia="zh-CN"/>
        </w:rPr>
        <w:t>服务</w:t>
      </w:r>
      <w:r>
        <w:rPr>
          <w:rFonts w:hint="eastAsia" w:hAnsi="宋体" w:cs="宋体"/>
          <w:b/>
          <w:color w:val="auto"/>
          <w:szCs w:val="21"/>
          <w:highlight w:val="none"/>
        </w:rPr>
        <w:t>内容、数量及单价</w:t>
      </w:r>
      <w:r>
        <w:rPr>
          <w:rFonts w:hint="eastAsia" w:hAnsi="宋体" w:cs="宋体"/>
          <w:color w:val="auto"/>
          <w:szCs w:val="21"/>
          <w:highlight w:val="none"/>
        </w:rPr>
        <w:t>（以竞争性磋商响应文件正本和澄清表〈函〉为准）</w:t>
      </w:r>
      <w:bookmarkEnd w:id="101"/>
      <w:bookmarkEnd w:id="102"/>
      <w:bookmarkEnd w:id="103"/>
    </w:p>
    <w:p>
      <w:pPr>
        <w:tabs>
          <w:tab w:val="left" w:pos="480"/>
        </w:tabs>
        <w:spacing w:line="360" w:lineRule="auto"/>
        <w:ind w:firstLine="480" w:firstLineChars="200"/>
        <w:rPr>
          <w:rFonts w:hint="eastAsia" w:hAnsi="宋体" w:cs="宋体"/>
          <w:color w:val="auto"/>
          <w:szCs w:val="21"/>
          <w:highlight w:val="none"/>
          <w:lang w:eastAsia="zh-CN"/>
        </w:rPr>
      </w:pPr>
      <w:r>
        <w:rPr>
          <w:rFonts w:hint="eastAsia" w:hAnsi="宋体" w:cs="宋体"/>
          <w:color w:val="auto"/>
          <w:szCs w:val="21"/>
          <w:highlight w:val="none"/>
          <w:lang w:eastAsia="zh-CN"/>
        </w:rPr>
        <w:t>详见采购需求</w:t>
      </w:r>
    </w:p>
    <w:p>
      <w:pPr>
        <w:tabs>
          <w:tab w:val="left" w:pos="480"/>
        </w:tabs>
        <w:spacing w:line="360" w:lineRule="auto"/>
        <w:outlineLvl w:val="1"/>
        <w:rPr>
          <w:rFonts w:hint="eastAsia" w:hAnsi="宋体" w:cs="宋体"/>
          <w:b/>
          <w:color w:val="auto"/>
          <w:szCs w:val="21"/>
          <w:highlight w:val="none"/>
        </w:rPr>
      </w:pPr>
      <w:bookmarkStart w:id="106" w:name="_Toc5195"/>
      <w:r>
        <w:rPr>
          <w:rFonts w:hint="eastAsia" w:hAnsi="宋体" w:cs="宋体"/>
          <w:b/>
          <w:color w:val="auto"/>
          <w:szCs w:val="21"/>
          <w:highlight w:val="none"/>
        </w:rPr>
        <w:t>二、合同价款</w:t>
      </w:r>
      <w:bookmarkEnd w:id="104"/>
      <w:bookmarkEnd w:id="105"/>
      <w:bookmarkEnd w:id="106"/>
    </w:p>
    <w:p>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r>
        <w:rPr>
          <w:rFonts w:hint="eastAsia" w:ascii="宋体" w:hAnsi="宋体" w:eastAsia="宋体" w:cs="宋体"/>
          <w:color w:val="auto"/>
          <w:highlight w:val="none"/>
        </w:rPr>
        <w:t>包括但不限于人工费、设备使用费、办公费、服务费、交通费、招标代理服务费、税金等其他一切相关费用</w:t>
      </w:r>
      <w:r>
        <w:rPr>
          <w:rFonts w:hint="eastAsia" w:hAnsi="宋体" w:eastAsia="宋体" w:cs="宋体"/>
          <w:color w:val="auto"/>
          <w:szCs w:val="24"/>
          <w:highlight w:val="none"/>
        </w:rPr>
        <w:t>。供应商所报的价格应考虑到可能发生的所有与完成本项目相关服务及履行合同义务有关的一切费用。</w:t>
      </w:r>
    </w:p>
    <w:p>
      <w:pPr>
        <w:tabs>
          <w:tab w:val="left" w:pos="480"/>
        </w:tabs>
        <w:spacing w:line="360" w:lineRule="auto"/>
        <w:outlineLvl w:val="1"/>
        <w:rPr>
          <w:rFonts w:hint="eastAsia" w:hAnsi="宋体" w:cs="宋体"/>
          <w:b/>
          <w:color w:val="auto"/>
          <w:szCs w:val="21"/>
          <w:highlight w:val="none"/>
        </w:rPr>
      </w:pPr>
      <w:bookmarkStart w:id="107" w:name="_Toc28664"/>
      <w:bookmarkStart w:id="108" w:name="_Toc25003"/>
      <w:bookmarkStart w:id="109" w:name="_Toc23247"/>
      <w:r>
        <w:rPr>
          <w:rFonts w:hint="eastAsia" w:hAnsi="宋体" w:cs="宋体"/>
          <w:b/>
          <w:color w:val="auto"/>
          <w:szCs w:val="21"/>
          <w:highlight w:val="none"/>
        </w:rPr>
        <w:t>三、款项结算</w:t>
      </w:r>
      <w:bookmarkEnd w:id="107"/>
      <w:bookmarkEnd w:id="108"/>
      <w:bookmarkEnd w:id="109"/>
    </w:p>
    <w:p>
      <w:pPr>
        <w:tabs>
          <w:tab w:val="left" w:pos="480"/>
        </w:tabs>
        <w:spacing w:line="360" w:lineRule="auto"/>
        <w:ind w:firstLine="480" w:firstLineChars="200"/>
        <w:rPr>
          <w:rFonts w:hint="eastAsia" w:hAnsi="宋体" w:eastAsia="宋体" w:cs="宋体"/>
          <w:color w:val="auto"/>
          <w:szCs w:val="21"/>
          <w:highlight w:val="none"/>
          <w:lang w:eastAsia="zh-CN"/>
        </w:rPr>
      </w:pPr>
    </w:p>
    <w:p>
      <w:pPr>
        <w:tabs>
          <w:tab w:val="left" w:pos="480"/>
        </w:tabs>
        <w:spacing w:line="360" w:lineRule="auto"/>
        <w:outlineLvl w:val="1"/>
        <w:rPr>
          <w:rFonts w:hint="eastAsia" w:hAnsi="宋体" w:cs="宋体"/>
          <w:color w:val="auto"/>
          <w:szCs w:val="21"/>
          <w:highlight w:val="none"/>
        </w:rPr>
      </w:pPr>
      <w:bookmarkStart w:id="110" w:name="_Toc21714"/>
      <w:bookmarkStart w:id="111" w:name="_Toc24406"/>
      <w:bookmarkStart w:id="112" w:name="_Toc2607"/>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服务团队</w:t>
      </w:r>
      <w:r>
        <w:rPr>
          <w:rFonts w:hint="eastAsia" w:hAnsi="宋体" w:cs="宋体"/>
          <w:b/>
          <w:color w:val="auto"/>
          <w:szCs w:val="21"/>
          <w:highlight w:val="none"/>
        </w:rPr>
        <w:t>：</w:t>
      </w:r>
      <w:bookmarkEnd w:id="110"/>
      <w:bookmarkEnd w:id="111"/>
      <w:bookmarkEnd w:id="112"/>
    </w:p>
    <w:p>
      <w:pPr>
        <w:tabs>
          <w:tab w:val="left" w:pos="480"/>
        </w:tabs>
        <w:spacing w:line="360" w:lineRule="auto"/>
        <w:ind w:firstLine="480" w:firstLineChars="200"/>
        <w:rPr>
          <w:rFonts w:hint="default" w:hAnsi="宋体" w:eastAsia="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eastAsia="zh-CN"/>
        </w:rPr>
        <w:t>项目负责人：</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none"/>
          <w:lang w:val="en-US" w:eastAsia="zh-CN"/>
        </w:rPr>
        <w:t xml:space="preserve"> 联系电话：</w:t>
      </w:r>
      <w:r>
        <w:rPr>
          <w:rFonts w:hint="eastAsia" w:hAnsi="宋体" w:cs="宋体"/>
          <w:color w:val="auto"/>
          <w:szCs w:val="21"/>
          <w:highlight w:val="none"/>
          <w:u w:val="single"/>
          <w:lang w:val="en-US" w:eastAsia="zh-CN"/>
        </w:rPr>
        <w:t xml:space="preserve">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（二）服务</w:t>
      </w:r>
      <w:r>
        <w:rPr>
          <w:rFonts w:hint="eastAsia" w:hAnsi="宋体" w:cs="宋体"/>
          <w:color w:val="auto"/>
          <w:szCs w:val="21"/>
          <w:highlight w:val="none"/>
        </w:rPr>
        <w:t>地点：甲方指定地点。</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eastAsia="zh-CN"/>
        </w:rPr>
        <w:t>三</w:t>
      </w:r>
      <w:r>
        <w:rPr>
          <w:rFonts w:hint="eastAsia" w:hAnsi="宋体" w:cs="宋体"/>
          <w:color w:val="auto"/>
          <w:szCs w:val="21"/>
          <w:highlight w:val="none"/>
        </w:rPr>
        <w:t>）</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：自合同签订之日起</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lang w:eastAsia="zh-CN"/>
        </w:rPr>
      </w:pPr>
      <w:r>
        <w:rPr>
          <w:rFonts w:hint="eastAsia" w:hAnsi="宋体" w:cs="宋体"/>
          <w:color w:val="auto"/>
          <w:szCs w:val="21"/>
          <w:highlight w:val="none"/>
          <w:lang w:eastAsia="zh-CN"/>
        </w:rPr>
        <w:t>（四）项目组成员要求：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685"/>
        <w:gridCol w:w="2195"/>
        <w:gridCol w:w="1584"/>
        <w:gridCol w:w="158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r>
              <w:rPr>
                <w:rFonts w:hint="eastAsia" w:hAnsi="宋体" w:cs="宋体"/>
                <w:color w:val="auto"/>
                <w:szCs w:val="21"/>
                <w:highlight w:val="none"/>
                <w:u w:val="none"/>
                <w:vertAlign w:val="baseline"/>
                <w:lang w:val="en-US" w:eastAsia="zh-CN"/>
              </w:rPr>
              <w:t>序号</w:t>
            </w:r>
          </w:p>
        </w:tc>
        <w:tc>
          <w:tcPr>
            <w:tcW w:w="16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r>
              <w:rPr>
                <w:rFonts w:hint="eastAsia" w:hAnsi="宋体" w:cs="宋体"/>
                <w:color w:val="auto"/>
                <w:szCs w:val="21"/>
                <w:highlight w:val="none"/>
                <w:u w:val="none"/>
                <w:lang w:val="en-US" w:eastAsia="zh-CN"/>
              </w:rPr>
              <w:t>姓名</w:t>
            </w:r>
          </w:p>
        </w:tc>
        <w:tc>
          <w:tcPr>
            <w:tcW w:w="219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r>
              <w:rPr>
                <w:rFonts w:hint="eastAsia" w:hAnsi="宋体" w:cs="宋体"/>
                <w:color w:val="auto"/>
                <w:szCs w:val="21"/>
                <w:highlight w:val="none"/>
                <w:u w:val="none"/>
                <w:lang w:val="en-US" w:eastAsia="zh-CN"/>
              </w:rPr>
              <w:t>身份证号</w:t>
            </w: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r>
              <w:rPr>
                <w:rFonts w:hint="eastAsia" w:hAnsi="宋体" w:cs="宋体"/>
                <w:color w:val="auto"/>
                <w:szCs w:val="21"/>
                <w:highlight w:val="none"/>
                <w:u w:val="none"/>
                <w:lang w:val="en-US" w:eastAsia="zh-CN"/>
              </w:rPr>
              <w:t>专业</w:t>
            </w: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lang w:val="en-US" w:eastAsia="zh-CN"/>
              </w:rPr>
            </w:pPr>
            <w:r>
              <w:rPr>
                <w:rFonts w:hint="eastAsia" w:hAnsi="宋体" w:cs="宋体"/>
                <w:color w:val="auto"/>
                <w:szCs w:val="21"/>
                <w:highlight w:val="none"/>
                <w:u w:val="none"/>
                <w:lang w:val="en-US" w:eastAsia="zh-CN"/>
              </w:rPr>
              <w:t>职务</w:t>
            </w:r>
          </w:p>
        </w:tc>
        <w:tc>
          <w:tcPr>
            <w:tcW w:w="15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lang w:val="en-US" w:eastAsia="zh-CN"/>
              </w:rPr>
            </w:pPr>
            <w:r>
              <w:rPr>
                <w:rFonts w:hint="eastAsia" w:hAnsi="宋体" w:cs="宋体"/>
                <w:color w:val="auto"/>
                <w:szCs w:val="21"/>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6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219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6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219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4"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c>
          <w:tcPr>
            <w:tcW w:w="1585" w:type="dxa"/>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u w:val="none"/>
                <w:vertAlign w:val="baseline"/>
                <w:lang w:val="en-US" w:eastAsia="zh-CN"/>
              </w:rPr>
            </w:pPr>
          </w:p>
        </w:tc>
      </w:tr>
    </w:tbl>
    <w:p>
      <w:pPr>
        <w:tabs>
          <w:tab w:val="left" w:pos="480"/>
        </w:tabs>
        <w:spacing w:line="360" w:lineRule="auto"/>
        <w:outlineLvl w:val="1"/>
        <w:rPr>
          <w:rFonts w:hint="eastAsia" w:hAnsi="宋体" w:eastAsia="宋体" w:cs="宋体"/>
          <w:b/>
          <w:color w:val="auto"/>
          <w:szCs w:val="21"/>
          <w:highlight w:val="none"/>
          <w:lang w:eastAsia="zh-CN"/>
        </w:rPr>
      </w:pPr>
      <w:bookmarkStart w:id="113" w:name="_Toc27382"/>
      <w:bookmarkStart w:id="114" w:name="_Toc7966"/>
      <w:bookmarkStart w:id="115" w:name="_Toc22957"/>
      <w:r>
        <w:rPr>
          <w:rFonts w:hint="eastAsia" w:hAnsi="宋体" w:cs="宋体"/>
          <w:b/>
          <w:color w:val="auto"/>
          <w:szCs w:val="21"/>
          <w:highlight w:val="none"/>
          <w:lang w:eastAsia="zh-CN"/>
        </w:rPr>
        <w:t>五</w:t>
      </w:r>
      <w:r>
        <w:rPr>
          <w:rFonts w:hint="eastAsia" w:hAnsi="宋体" w:cs="宋体"/>
          <w:b/>
          <w:color w:val="auto"/>
          <w:szCs w:val="21"/>
          <w:highlight w:val="none"/>
        </w:rPr>
        <w:t>、质量</w:t>
      </w:r>
      <w:bookmarkEnd w:id="113"/>
      <w:bookmarkEnd w:id="114"/>
      <w:r>
        <w:rPr>
          <w:rFonts w:hint="eastAsia" w:hAnsi="宋体" w:cs="宋体"/>
          <w:b/>
          <w:color w:val="auto"/>
          <w:szCs w:val="21"/>
          <w:highlight w:val="none"/>
          <w:lang w:eastAsia="zh-CN"/>
        </w:rPr>
        <w:t>要求</w:t>
      </w:r>
      <w:bookmarkEnd w:id="115"/>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所有服务需按照采购人要求执行。同时符合相关法律法规规定</w:t>
      </w:r>
      <w:r>
        <w:rPr>
          <w:rFonts w:hint="eastAsia" w:hAnsi="宋体" w:cs="宋体"/>
          <w:color w:val="auto"/>
          <w:szCs w:val="21"/>
          <w:highlight w:val="none"/>
        </w:rPr>
        <w:t>。</w:t>
      </w:r>
    </w:p>
    <w:p>
      <w:pPr>
        <w:tabs>
          <w:tab w:val="left" w:pos="480"/>
        </w:tabs>
        <w:spacing w:line="360" w:lineRule="auto"/>
        <w:outlineLvl w:val="1"/>
        <w:rPr>
          <w:rFonts w:hint="eastAsia" w:hAnsi="宋体" w:eastAsia="宋体" w:cs="宋体"/>
          <w:b/>
          <w:color w:val="auto"/>
          <w:szCs w:val="21"/>
          <w:highlight w:val="none"/>
          <w:lang w:eastAsia="zh-CN"/>
        </w:rPr>
      </w:pPr>
      <w:bookmarkStart w:id="116" w:name="_Toc21314"/>
      <w:bookmarkStart w:id="117" w:name="_Toc12558"/>
      <w:bookmarkStart w:id="118" w:name="_Toc24387"/>
      <w:r>
        <w:rPr>
          <w:rFonts w:hint="eastAsia" w:hAnsi="宋体" w:cs="宋体"/>
          <w:b/>
          <w:color w:val="auto"/>
          <w:szCs w:val="21"/>
          <w:highlight w:val="none"/>
          <w:lang w:eastAsia="zh-CN"/>
        </w:rPr>
        <w:t>六</w:t>
      </w:r>
      <w:r>
        <w:rPr>
          <w:rFonts w:hint="eastAsia" w:hAnsi="宋体" w:cs="宋体"/>
          <w:b/>
          <w:color w:val="auto"/>
          <w:szCs w:val="21"/>
          <w:highlight w:val="none"/>
        </w:rPr>
        <w:t>、</w:t>
      </w:r>
      <w:bookmarkEnd w:id="116"/>
      <w:bookmarkEnd w:id="117"/>
      <w:r>
        <w:rPr>
          <w:rFonts w:hint="eastAsia" w:hAnsi="宋体" w:cs="宋体"/>
          <w:b/>
          <w:color w:val="auto"/>
          <w:szCs w:val="21"/>
          <w:highlight w:val="none"/>
          <w:lang w:eastAsia="zh-CN"/>
        </w:rPr>
        <w:t>技术资料</w:t>
      </w:r>
      <w:bookmarkEnd w:id="118"/>
    </w:p>
    <w:p>
      <w:pPr>
        <w:tabs>
          <w:tab w:val="left" w:pos="480"/>
        </w:tabs>
        <w:spacing w:line="360" w:lineRule="auto"/>
        <w:ind w:firstLine="470" w:firstLineChars="196"/>
        <w:rPr>
          <w:rFonts w:hint="eastAsia" w:hAnsi="宋体" w:cs="宋体"/>
          <w:color w:val="auto"/>
          <w:szCs w:val="21"/>
          <w:highlight w:val="none"/>
          <w:lang w:eastAsia="zh-CN"/>
        </w:rPr>
      </w:pPr>
      <w:bookmarkStart w:id="119" w:name="_Toc9858"/>
      <w:bookmarkStart w:id="120" w:name="_Toc20026"/>
      <w:r>
        <w:rPr>
          <w:rFonts w:hint="eastAsia" w:hAnsi="宋体" w:cs="宋体"/>
          <w:color w:val="auto"/>
          <w:szCs w:val="21"/>
          <w:highlight w:val="none"/>
          <w:lang w:eastAsia="zh-CN"/>
        </w:rPr>
        <w:t>乙方服务期间所有的资料需要妥善保存，定期进行已完结事项的资料移交。如有缺失损毁，采购人有权追求相关法律及经济责任。</w:t>
      </w:r>
    </w:p>
    <w:p>
      <w:pPr>
        <w:tabs>
          <w:tab w:val="left" w:pos="480"/>
        </w:tabs>
        <w:spacing w:line="360" w:lineRule="auto"/>
        <w:outlineLvl w:val="1"/>
        <w:rPr>
          <w:rFonts w:hint="eastAsia" w:hAnsi="宋体" w:cs="宋体"/>
          <w:b/>
          <w:color w:val="auto"/>
          <w:szCs w:val="21"/>
          <w:highlight w:val="none"/>
        </w:rPr>
      </w:pPr>
      <w:bookmarkStart w:id="121" w:name="_Toc17597"/>
      <w:r>
        <w:rPr>
          <w:rFonts w:hint="eastAsia" w:hAnsi="宋体" w:cs="宋体"/>
          <w:b/>
          <w:color w:val="auto"/>
          <w:szCs w:val="21"/>
          <w:highlight w:val="none"/>
          <w:lang w:eastAsia="zh-CN"/>
        </w:rPr>
        <w:t>七</w:t>
      </w:r>
      <w:r>
        <w:rPr>
          <w:rFonts w:hint="eastAsia" w:hAnsi="宋体" w:cs="宋体"/>
          <w:b/>
          <w:color w:val="auto"/>
          <w:szCs w:val="21"/>
          <w:highlight w:val="none"/>
        </w:rPr>
        <w:t>、违约责任</w:t>
      </w:r>
      <w:bookmarkEnd w:id="119"/>
      <w:bookmarkEnd w:id="120"/>
      <w:bookmarkEnd w:id="121"/>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int="eastAsia" w:hAnsi="宋体" w:cs="宋体"/>
          <w:b/>
          <w:color w:val="auto"/>
          <w:szCs w:val="21"/>
          <w:highlight w:val="none"/>
        </w:rPr>
      </w:pPr>
      <w:bookmarkStart w:id="122" w:name="_Toc13662"/>
      <w:bookmarkStart w:id="123" w:name="_Toc31312"/>
      <w:bookmarkStart w:id="124" w:name="_Toc15856"/>
      <w:r>
        <w:rPr>
          <w:rFonts w:hint="eastAsia" w:hAnsi="宋体" w:cs="宋体"/>
          <w:b/>
          <w:color w:val="auto"/>
          <w:szCs w:val="21"/>
          <w:highlight w:val="none"/>
          <w:lang w:eastAsia="zh-CN"/>
        </w:rPr>
        <w:t>八</w:t>
      </w:r>
      <w:r>
        <w:rPr>
          <w:rFonts w:hint="eastAsia" w:hAnsi="宋体" w:cs="宋体"/>
          <w:b/>
          <w:color w:val="auto"/>
          <w:szCs w:val="21"/>
          <w:highlight w:val="none"/>
        </w:rPr>
        <w:t>、合同争议解决的方式</w:t>
      </w:r>
      <w:bookmarkEnd w:id="122"/>
      <w:bookmarkEnd w:id="123"/>
      <w:bookmarkEnd w:id="124"/>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仲裁委员会仲裁；</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pPr>
        <w:tabs>
          <w:tab w:val="left" w:pos="480"/>
        </w:tabs>
        <w:spacing w:line="360" w:lineRule="auto"/>
        <w:outlineLvl w:val="1"/>
        <w:rPr>
          <w:rFonts w:hint="eastAsia" w:hAnsi="宋体" w:cs="宋体"/>
          <w:b/>
          <w:color w:val="auto"/>
          <w:szCs w:val="21"/>
          <w:highlight w:val="none"/>
        </w:rPr>
      </w:pPr>
      <w:bookmarkStart w:id="125" w:name="_Toc3459"/>
      <w:bookmarkStart w:id="126" w:name="_Toc18389"/>
      <w:bookmarkStart w:id="127" w:name="_Toc7342"/>
      <w:r>
        <w:rPr>
          <w:rFonts w:hint="eastAsia" w:hAnsi="宋体" w:cs="宋体"/>
          <w:b/>
          <w:color w:val="auto"/>
          <w:szCs w:val="21"/>
          <w:highlight w:val="none"/>
          <w:lang w:eastAsia="zh-CN"/>
        </w:rPr>
        <w:t>九</w:t>
      </w:r>
      <w:r>
        <w:rPr>
          <w:rFonts w:hint="eastAsia" w:hAnsi="宋体" w:cs="宋体"/>
          <w:b/>
          <w:color w:val="auto"/>
          <w:szCs w:val="21"/>
          <w:highlight w:val="none"/>
        </w:rPr>
        <w:t>、合同生效</w:t>
      </w:r>
      <w:bookmarkEnd w:id="125"/>
      <w:bookmarkEnd w:id="126"/>
      <w:bookmarkEnd w:id="127"/>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pPr>
        <w:tabs>
          <w:tab w:val="left" w:pos="480"/>
        </w:tabs>
        <w:spacing w:line="360" w:lineRule="auto"/>
        <w:outlineLvl w:val="1"/>
        <w:rPr>
          <w:rFonts w:hint="eastAsia" w:hAnsi="宋体" w:cs="宋体"/>
          <w:b/>
          <w:color w:val="auto"/>
          <w:szCs w:val="21"/>
          <w:highlight w:val="none"/>
        </w:rPr>
      </w:pPr>
      <w:bookmarkStart w:id="128" w:name="_Toc823"/>
      <w:bookmarkStart w:id="129" w:name="_Toc18381"/>
      <w:bookmarkStart w:id="130" w:name="_Toc18001"/>
      <w:r>
        <w:rPr>
          <w:rFonts w:hint="eastAsia" w:hAnsi="宋体" w:cs="宋体"/>
          <w:b/>
          <w:color w:val="auto"/>
          <w:szCs w:val="21"/>
          <w:highlight w:val="none"/>
        </w:rPr>
        <w:t>十、其他事项</w:t>
      </w:r>
      <w:bookmarkEnd w:id="128"/>
      <w:bookmarkEnd w:id="129"/>
      <w:bookmarkEnd w:id="130"/>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pPr>
        <w:bidi w:val="0"/>
        <w:rPr>
          <w:rFonts w:hint="eastAsia"/>
          <w:color w:val="auto"/>
          <w:highlight w:val="none"/>
        </w:rPr>
      </w:pPr>
    </w:p>
    <w:p>
      <w:pPr>
        <w:pStyle w:val="3"/>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color w:val="auto"/>
          <w:szCs w:val="21"/>
          <w:highlight w:val="none"/>
        </w:rPr>
        <w:br w:type="page"/>
      </w:r>
      <w:bookmarkStart w:id="131" w:name="_Toc23075"/>
      <w:bookmarkStart w:id="132" w:name="_Toc4254"/>
      <w:r>
        <w:rPr>
          <w:rFonts w:hint="eastAsia" w:ascii="宋体" w:hAnsi="宋体" w:eastAsia="宋体" w:cs="宋体"/>
          <w:bCs/>
          <w:color w:val="auto"/>
          <w:sz w:val="36"/>
          <w:szCs w:val="36"/>
          <w:highlight w:val="none"/>
        </w:rPr>
        <w:t xml:space="preserve">第五章 </w:t>
      </w:r>
      <w:bookmarkEnd w:id="86"/>
      <w:bookmarkEnd w:id="87"/>
      <w:bookmarkEnd w:id="88"/>
      <w:bookmarkEnd w:id="89"/>
      <w:bookmarkEnd w:id="90"/>
      <w:bookmarkEnd w:id="91"/>
      <w:bookmarkEnd w:id="92"/>
      <w:bookmarkEnd w:id="93"/>
      <w:bookmarkEnd w:id="94"/>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131"/>
      <w:bookmarkEnd w:id="132"/>
    </w:p>
    <w:bookmarkEnd w:id="58"/>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highlight w:val="none"/>
          <w:u w:val="none"/>
          <w:lang w:val="en-US" w:eastAsia="zh-CN"/>
        </w:rPr>
      </w:pPr>
      <w:bookmarkStart w:id="133" w:name="_Toc363474025"/>
      <w:bookmarkStart w:id="134" w:name="_Toc5084"/>
      <w:bookmarkStart w:id="135" w:name="_Toc403077646"/>
      <w:bookmarkStart w:id="136" w:name="_Toc423973079"/>
      <w:r>
        <w:rPr>
          <w:rFonts w:hint="eastAsia" w:ascii="宋体" w:hAnsi="宋体" w:eastAsia="宋体" w:cs="宋体"/>
          <w:b/>
          <w:bCs/>
          <w:sz w:val="28"/>
          <w:szCs w:val="28"/>
          <w:highlight w:val="none"/>
          <w:u w:val="none"/>
          <w:lang w:val="en-US" w:eastAsia="zh-CN"/>
        </w:rPr>
        <w:t>主要目的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坚持以习近平生态文明思想为指导，紧紧围绕改善农村人居环境，实施乡村振兴战略，以建设美丽宜居乡村为导向，解决我省农村生活垃圾治理存在乱堆乱放、处理设施欠缺、资源化利用率低、管理水平与治理能力薄弱等突出问题，科学编制县域城乡生活垃圾收运处置体系规划。规划要紧扣解决目前存在问题和着眼于长远发展、规范处置成效和政策措施有效落地，全面提升我省农村生活垃圾收运处置全过程建设管理水平。</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宁陕县县域城乡生活垃圾收运处置体系专项规划</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摸清农村生活垃圾产生现状和发展趋势，研究农村生活垃圾治理的方式方法以及农村生活垃圾分类投放、收集、转运、处理、资源化利用，合理确定设施类型、数量和规模，统筹衔接城乡生活垃圾收运处置、再生资源回收利用、有害垃圾收运处置等体系的建设和运行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项目重难点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综合考虑宁陕县现状生活垃圾收运处置情况，分析各镇生活垃圾收集现状及存在的问题，结合人口增长、城镇化等情况，对垃圾产生量进行预测并提出城乡生活垃圾收运处置规划方案。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成果要求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按照陕西省住房和城乡建设厅发布的《关于做好编制县域城乡生活垃圾收运处置体系规划的通知》要求，</w:t>
      </w:r>
      <w:r>
        <w:rPr>
          <w:rFonts w:hint="default" w:ascii="宋体" w:hAnsi="宋体" w:eastAsia="宋体" w:cs="宋体"/>
          <w:sz w:val="24"/>
          <w:szCs w:val="24"/>
          <w:highlight w:val="none"/>
          <w:u w:val="none"/>
          <w:lang w:val="en-US" w:eastAsia="zh-CN"/>
        </w:rPr>
        <w:t>规划成果应包括：文本、图纸和说明书等三部分。</w:t>
      </w:r>
    </w:p>
    <w:p>
      <w:pPr>
        <w:bidi w:val="0"/>
        <w:rPr>
          <w:rFonts w:hint="eastAsia"/>
          <w:color w:val="auto"/>
          <w:highlight w:val="none"/>
        </w:rPr>
      </w:pPr>
      <w:r>
        <w:rPr>
          <w:rFonts w:hint="eastAsia"/>
          <w:color w:val="auto"/>
          <w:highlight w:val="none"/>
        </w:rPr>
        <w:br w:type="page"/>
      </w:r>
      <w:bookmarkStart w:id="137" w:name="_Toc25319"/>
    </w:p>
    <w:p>
      <w:pPr>
        <w:pStyle w:val="3"/>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第六章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竞争性磋商响应文件格式</w:t>
      </w:r>
      <w:bookmarkEnd w:id="133"/>
      <w:bookmarkEnd w:id="134"/>
      <w:bookmarkEnd w:id="135"/>
      <w:bookmarkEnd w:id="136"/>
      <w:bookmarkEnd w:id="137"/>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framePr w:hSpace="180" w:wrap="around" w:vAnchor="text" w:hAnchor="page" w:x="1488" w:y="3"/>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SXZCZB2023-ZCCS-0416</w:t>
      </w:r>
      <w:r>
        <w:rPr>
          <w:rFonts w:hint="eastAsia" w:hAnsi="宋体" w:eastAsia="宋体" w:cs="宋体"/>
          <w:b/>
          <w:bCs/>
          <w:color w:val="auto"/>
          <w:sz w:val="32"/>
          <w:szCs w:val="32"/>
          <w:highlight w:val="none"/>
          <w:lang w:eastAsia="zh-CN"/>
        </w:rPr>
        <w:t xml:space="preserve">  </w:t>
      </w:r>
    </w:p>
    <w:p>
      <w:pPr>
        <w:outlineLvl w:val="9"/>
        <w:rPr>
          <w:rFonts w:hint="eastAsia" w:ascii="宋体" w:hAnsi="宋体" w:eastAsia="宋体" w:cs="宋体"/>
          <w:b/>
          <w:color w:val="auto"/>
          <w:sz w:val="32"/>
          <w:szCs w:val="32"/>
          <w:highlight w:val="none"/>
        </w:rPr>
      </w:pPr>
    </w:p>
    <w:p>
      <w:pPr>
        <w:jc w:val="righ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pPr>
        <w:jc w:val="right"/>
        <w:rPr>
          <w:rFonts w:hint="eastAsia" w:ascii="宋体" w:hAnsi="宋体" w:eastAsia="宋体" w:cs="宋体"/>
          <w:b/>
          <w:color w:val="auto"/>
          <w:sz w:val="32"/>
          <w:szCs w:val="32"/>
          <w:highlight w:val="none"/>
        </w:rPr>
      </w:pPr>
    </w:p>
    <w:p>
      <w:pPr>
        <w:jc w:val="right"/>
        <w:rPr>
          <w:rFonts w:hint="eastAsia" w:ascii="宋体" w:hAnsi="宋体" w:eastAsia="宋体" w:cs="宋体"/>
          <w:b/>
          <w:color w:val="auto"/>
          <w:sz w:val="32"/>
          <w:szCs w:val="32"/>
          <w:highlight w:val="none"/>
        </w:rPr>
      </w:pPr>
    </w:p>
    <w:p>
      <w:pPr>
        <w:pStyle w:val="8"/>
        <w:rPr>
          <w:rFonts w:hint="eastAsia" w:ascii="宋体" w:hAnsi="宋体" w:eastAsia="宋体" w:cs="宋体"/>
          <w:color w:val="auto"/>
          <w:highlight w:val="none"/>
        </w:rPr>
      </w:pPr>
    </w:p>
    <w:p>
      <w:pPr>
        <w:pStyle w:val="8"/>
        <w:jc w:val="center"/>
        <w:rPr>
          <w:rFonts w:hint="eastAsia" w:ascii="宋体" w:hAnsi="宋体" w:eastAsia="宋体" w:cs="宋体"/>
          <w:color w:val="auto"/>
          <w:sz w:val="18"/>
          <w:szCs w:val="16"/>
          <w:highlight w:val="none"/>
        </w:rPr>
      </w:pPr>
      <w:r>
        <w:rPr>
          <w:rFonts w:hint="eastAsia" w:ascii="宋体" w:hAnsi="宋体" w:cs="宋体"/>
          <w:b/>
          <w:color w:val="auto"/>
          <w:sz w:val="56"/>
          <w:szCs w:val="56"/>
          <w:highlight w:val="none"/>
          <w:lang w:eastAsia="zh-CN"/>
        </w:rPr>
        <w:t>宁陕县县域城乡生活垃圾收运处置体系专项规划编制服务</w:t>
      </w:r>
    </w:p>
    <w:p>
      <w:pPr>
        <w:jc w:val="center"/>
        <w:outlineLvl w:val="9"/>
        <w:rPr>
          <w:rFonts w:hint="eastAsia" w:ascii="宋体" w:hAnsi="宋体" w:eastAsia="宋体" w:cs="宋体"/>
          <w:b/>
          <w:color w:val="auto"/>
          <w:sz w:val="56"/>
          <w:szCs w:val="56"/>
          <w:highlight w:val="none"/>
        </w:rPr>
      </w:pPr>
    </w:p>
    <w:p>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pPr>
        <w:jc w:val="cente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8"/>
        <w:rPr>
          <w:rFonts w:hint="eastAsia" w:ascii="宋体" w:hAnsi="宋体" w:eastAsia="宋体" w:cs="宋体"/>
          <w:color w:val="auto"/>
          <w:highlight w:val="none"/>
        </w:rPr>
      </w:pPr>
    </w:p>
    <w:p>
      <w:pPr>
        <w:rPr>
          <w:rFonts w:hint="eastAsia" w:ascii="宋体" w:hAnsi="宋体" w:eastAsia="宋体" w:cs="宋体"/>
          <w:b/>
          <w:color w:val="auto"/>
          <w:sz w:val="36"/>
          <w:szCs w:val="36"/>
          <w:highlight w:val="none"/>
        </w:rPr>
      </w:pPr>
    </w:p>
    <w:p>
      <w:pPr>
        <w:tabs>
          <w:tab w:val="center" w:pos="5346"/>
        </w:tabs>
        <w:spacing w:line="480" w:lineRule="auto"/>
        <w:jc w:val="center"/>
        <w:outlineLvl w:val="9"/>
        <w:rPr>
          <w:rFonts w:hint="eastAsia" w:ascii="宋体" w:hAnsi="宋体" w:eastAsia="宋体" w:cs="宋体"/>
          <w:b/>
          <w:color w:val="auto"/>
          <w:sz w:val="32"/>
          <w:szCs w:val="32"/>
          <w:highlight w:val="none"/>
        </w:rPr>
      </w:pPr>
    </w:p>
    <w:p>
      <w:pPr>
        <w:tabs>
          <w:tab w:val="center" w:pos="5346"/>
        </w:tabs>
        <w:spacing w:line="480" w:lineRule="auto"/>
        <w:jc w:val="center"/>
        <w:outlineLvl w:val="9"/>
        <w:rPr>
          <w:rFonts w:hint="eastAsia" w:ascii="宋体" w:hAnsi="宋体" w:eastAsia="宋体" w:cs="宋体"/>
          <w:b/>
          <w:color w:val="auto"/>
          <w:sz w:val="32"/>
          <w:szCs w:val="32"/>
          <w:highlight w:val="none"/>
        </w:rPr>
      </w:pPr>
    </w:p>
    <w:p>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hAnsi="宋体" w:eastAsia="宋体" w:cs="宋体"/>
          <w:b/>
          <w:color w:val="auto"/>
          <w:sz w:val="32"/>
          <w:szCs w:val="32"/>
          <w:highlight w:val="none"/>
          <w:lang w:val="en-US" w:eastAsia="zh-CN"/>
        </w:rPr>
        <w:t xml:space="preserve">  日</w:t>
      </w:r>
      <w:r>
        <w:rPr>
          <w:rFonts w:hint="eastAsia" w:ascii="宋体" w:hAnsi="宋体" w:eastAsia="宋体" w:cs="宋体"/>
          <w:b/>
          <w:color w:val="auto"/>
          <w:sz w:val="36"/>
          <w:szCs w:val="36"/>
          <w:highlight w:val="none"/>
        </w:rPr>
        <w:br w:type="page"/>
      </w:r>
      <w:bookmarkStart w:id="138" w:name="_Toc344572156"/>
    </w:p>
    <w:p>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pPr>
        <w:pStyle w:val="8"/>
        <w:rPr>
          <w:rFonts w:hint="eastAsia" w:ascii="宋体" w:hAnsi="宋体" w:eastAsia="宋体" w:cs="宋体"/>
          <w:color w:val="auto"/>
          <w:highlight w:val="none"/>
        </w:rPr>
      </w:pPr>
    </w:p>
    <w:p>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一、磋商响应函</w:t>
      </w:r>
    </w:p>
    <w:p>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二、磋商报价表</w:t>
      </w:r>
    </w:p>
    <w:p>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三、磋商方案说明书</w:t>
      </w:r>
    </w:p>
    <w:p>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四、商务</w:t>
      </w:r>
      <w:r>
        <w:rPr>
          <w:rFonts w:hint="eastAsia" w:hAnsi="宋体" w:eastAsia="宋体" w:cs="宋体"/>
          <w:color w:val="auto"/>
          <w:spacing w:val="4"/>
          <w:sz w:val="24"/>
          <w:szCs w:val="24"/>
          <w:highlight w:val="none"/>
          <w:lang w:eastAsia="zh-CN"/>
        </w:rPr>
        <w:t>条款偏离表</w:t>
      </w:r>
    </w:p>
    <w:p>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五、陕西省政府采购供应商拒绝政府采购领域商业贿赂承诺书</w:t>
      </w:r>
    </w:p>
    <w:p>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4"/>
          <w:sz w:val="24"/>
          <w:szCs w:val="24"/>
          <w:highlight w:val="none"/>
          <w:lang w:eastAsia="zh-CN"/>
        </w:rPr>
        <w:t>特定</w:t>
      </w:r>
      <w:r>
        <w:rPr>
          <w:rFonts w:hint="eastAsia" w:ascii="宋体" w:hAnsi="宋体" w:eastAsia="宋体" w:cs="宋体"/>
          <w:color w:val="auto"/>
          <w:spacing w:val="4"/>
          <w:sz w:val="24"/>
          <w:szCs w:val="24"/>
          <w:highlight w:val="none"/>
        </w:rPr>
        <w:t>资格证明文件</w:t>
      </w:r>
    </w:p>
    <w:p>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七、</w:t>
      </w:r>
      <w:r>
        <w:rPr>
          <w:rFonts w:hint="eastAsia" w:ascii="宋体" w:hAnsi="宋体" w:eastAsia="宋体" w:cs="宋体"/>
          <w:color w:val="auto"/>
          <w:spacing w:val="4"/>
          <w:sz w:val="24"/>
          <w:szCs w:val="24"/>
          <w:highlight w:val="none"/>
          <w:lang w:eastAsia="zh-CN"/>
        </w:rPr>
        <w:t>其他</w:t>
      </w:r>
    </w:p>
    <w:p>
      <w:pPr>
        <w:pStyle w:val="7"/>
        <w:spacing w:line="360" w:lineRule="auto"/>
        <w:rPr>
          <w:rFonts w:hint="eastAsia" w:ascii="宋体" w:hAnsi="宋体" w:eastAsia="宋体" w:cs="宋体"/>
          <w:color w:val="auto"/>
          <w:highlight w:val="none"/>
        </w:rPr>
      </w:pPr>
    </w:p>
    <w:p>
      <w:pPr>
        <w:pStyle w:val="7"/>
        <w:spacing w:line="360" w:lineRule="auto"/>
        <w:rPr>
          <w:rFonts w:hint="eastAsia" w:ascii="宋体" w:hAnsi="宋体" w:eastAsia="宋体" w:cs="宋体"/>
          <w:color w:val="auto"/>
          <w:highlight w:val="none"/>
        </w:rPr>
      </w:pPr>
    </w:p>
    <w:p>
      <w:pPr>
        <w:keepNext/>
        <w:keepLines/>
        <w:widowControl/>
        <w:tabs>
          <w:tab w:val="left" w:pos="3705"/>
        </w:tabs>
        <w:spacing w:line="360" w:lineRule="auto"/>
        <w:ind w:left="3708"/>
        <w:rPr>
          <w:rFonts w:hint="eastAsia" w:ascii="宋体" w:hAnsi="宋体" w:eastAsia="宋体" w:cs="宋体"/>
          <w:bCs/>
          <w:color w:val="auto"/>
          <w:sz w:val="44"/>
          <w:highlight w:val="none"/>
        </w:rPr>
      </w:pPr>
    </w:p>
    <w:p>
      <w:pPr>
        <w:pStyle w:val="7"/>
        <w:ind w:firstLine="880"/>
        <w:rPr>
          <w:rFonts w:hint="eastAsia" w:ascii="宋体" w:hAnsi="宋体" w:eastAsia="宋体" w:cs="宋体"/>
          <w:bCs/>
          <w:color w:val="auto"/>
          <w:sz w:val="44"/>
          <w:highlight w:val="none"/>
        </w:rPr>
      </w:pPr>
    </w:p>
    <w:p>
      <w:pPr>
        <w:pStyle w:val="7"/>
        <w:ind w:firstLine="880"/>
        <w:rPr>
          <w:rFonts w:hint="eastAsia" w:ascii="宋体" w:hAnsi="宋体" w:eastAsia="宋体" w:cs="宋体"/>
          <w:bCs/>
          <w:color w:val="auto"/>
          <w:sz w:val="44"/>
          <w:highlight w:val="none"/>
        </w:rPr>
      </w:pPr>
    </w:p>
    <w:bookmarkEnd w:id="138"/>
    <w:p>
      <w:pPr>
        <w:pStyle w:val="8"/>
        <w:rPr>
          <w:rFonts w:hint="eastAsia" w:ascii="宋体" w:hAnsi="宋体" w:eastAsia="宋体" w:cs="宋体"/>
          <w:b/>
          <w:color w:val="auto"/>
          <w:sz w:val="32"/>
          <w:szCs w:val="32"/>
          <w:highlight w:val="none"/>
        </w:rPr>
      </w:pPr>
      <w:bookmarkStart w:id="139" w:name="_Toc403077648"/>
      <w:bookmarkStart w:id="140" w:name="_Toc363474027"/>
      <w:bookmarkStart w:id="141" w:name="_Toc204524343"/>
    </w:p>
    <w:p>
      <w:pPr>
        <w:pStyle w:val="8"/>
        <w:rPr>
          <w:rFonts w:hint="eastAsia" w:ascii="宋体" w:hAnsi="宋体" w:eastAsia="宋体" w:cs="宋体"/>
          <w:b/>
          <w:color w:val="auto"/>
          <w:sz w:val="32"/>
          <w:szCs w:val="32"/>
          <w:highlight w:val="none"/>
        </w:rPr>
      </w:pPr>
    </w:p>
    <w:p>
      <w:pPr>
        <w:pStyle w:val="8"/>
        <w:rPr>
          <w:rFonts w:hint="eastAsia" w:ascii="宋体" w:hAnsi="宋体" w:eastAsia="宋体" w:cs="宋体"/>
          <w:b/>
          <w:color w:val="auto"/>
          <w:sz w:val="32"/>
          <w:szCs w:val="32"/>
          <w:highlight w:val="none"/>
        </w:rPr>
      </w:pPr>
    </w:p>
    <w:p>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42" w:name="_Toc15762"/>
      <w:bookmarkStart w:id="143" w:name="_Toc4367"/>
      <w:bookmarkStart w:id="144" w:name="_Toc10710"/>
      <w:bookmarkStart w:id="145" w:name="_Toc32002"/>
      <w:r>
        <w:rPr>
          <w:rFonts w:hint="eastAsia" w:ascii="宋体" w:hAnsi="宋体" w:eastAsia="宋体" w:cs="宋体"/>
          <w:b/>
          <w:color w:val="auto"/>
          <w:sz w:val="32"/>
          <w:szCs w:val="32"/>
          <w:highlight w:val="none"/>
        </w:rPr>
        <w:t>一、磋商</w:t>
      </w:r>
      <w:bookmarkEnd w:id="139"/>
      <w:bookmarkEnd w:id="140"/>
      <w:r>
        <w:rPr>
          <w:rFonts w:hint="eastAsia" w:ascii="宋体" w:hAnsi="宋体" w:eastAsia="宋体" w:cs="宋体"/>
          <w:b/>
          <w:color w:val="auto"/>
          <w:sz w:val="32"/>
          <w:szCs w:val="32"/>
          <w:highlight w:val="none"/>
        </w:rPr>
        <w:t>响应函</w:t>
      </w:r>
      <w:bookmarkEnd w:id="142"/>
      <w:bookmarkEnd w:id="143"/>
      <w:bookmarkEnd w:id="144"/>
      <w:bookmarkEnd w:id="145"/>
    </w:p>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ascii="宋体" w:hAnsi="宋体" w:eastAsia="宋体" w:cs="宋体"/>
          <w:color w:val="auto"/>
          <w:spacing w:val="4"/>
          <w:szCs w:val="24"/>
          <w:highlight w:val="none"/>
          <w:u w:val="single"/>
        </w:rPr>
        <w:t>陕西至诚招标咨询有限公司</w:t>
      </w:r>
    </w:p>
    <w:p>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w:t>
      </w:r>
      <w:r>
        <w:rPr>
          <w:rFonts w:hint="eastAsia" w:hAnsi="宋体" w:eastAsia="宋体" w:cs="宋体"/>
          <w:color w:val="auto"/>
          <w:spacing w:val="4"/>
          <w:szCs w:val="24"/>
          <w:highlight w:val="none"/>
          <w:u w:val="single"/>
          <w:lang w:eastAsia="zh-CN"/>
        </w:rPr>
        <w:t>项目编号：</w:t>
      </w:r>
      <w:r>
        <w:rPr>
          <w:rFonts w:hint="eastAsia"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pPr>
        <w:numPr>
          <w:ilvl w:val="0"/>
          <w:numId w:val="5"/>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w:t>
      </w:r>
      <w:r>
        <w:rPr>
          <w:rFonts w:hint="eastAsia" w:hAnsi="宋体" w:eastAsia="宋体" w:cs="宋体"/>
          <w:color w:val="auto"/>
          <w:spacing w:val="4"/>
          <w:highlight w:val="none"/>
          <w:lang w:eastAsia="zh-CN"/>
        </w:rPr>
        <w:t>：</w:t>
      </w:r>
      <w:r>
        <w:rPr>
          <w:rFonts w:hint="eastAsia" w:ascii="宋体" w:hAnsi="宋体" w:eastAsia="宋体" w:cs="宋体"/>
          <w:color w:val="auto"/>
          <w:spacing w:val="4"/>
          <w:highlight w:val="none"/>
        </w:rPr>
        <w:t>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pPr>
        <w:numPr>
          <w:ilvl w:val="0"/>
          <w:numId w:val="5"/>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pPr>
        <w:pStyle w:val="4"/>
        <w:spacing w:before="312"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46" w:name="_Toc28910"/>
      <w:bookmarkStart w:id="147" w:name="_Toc363474030"/>
      <w:bookmarkStart w:id="148" w:name="_Toc9730"/>
      <w:bookmarkStart w:id="149" w:name="_Toc12211"/>
      <w:bookmarkStart w:id="150" w:name="_Toc403077651"/>
      <w:bookmarkStart w:id="151" w:name="_Toc17800"/>
      <w:r>
        <w:rPr>
          <w:rFonts w:hint="eastAsia" w:ascii="宋体" w:hAnsi="宋体" w:eastAsia="宋体" w:cs="宋体"/>
          <w:b/>
          <w:bCs w:val="0"/>
          <w:color w:val="auto"/>
          <w:sz w:val="32"/>
          <w:szCs w:val="32"/>
          <w:highlight w:val="none"/>
        </w:rPr>
        <w:t>二、磋商报价表</w:t>
      </w:r>
      <w:bookmarkEnd w:id="146"/>
      <w:bookmarkEnd w:id="147"/>
      <w:bookmarkEnd w:id="148"/>
      <w:bookmarkEnd w:id="149"/>
      <w:bookmarkEnd w:id="150"/>
      <w:bookmarkEnd w:id="151"/>
    </w:p>
    <w:p>
      <w:pPr>
        <w:spacing w:line="360" w:lineRule="auto"/>
        <w:jc w:val="center"/>
        <w:outlineLvl w:val="1"/>
        <w:rPr>
          <w:rFonts w:hint="eastAsia" w:ascii="宋体" w:hAnsi="宋体" w:eastAsia="宋体" w:cs="宋体"/>
          <w:color w:val="auto"/>
          <w:szCs w:val="24"/>
          <w:highlight w:val="none"/>
        </w:rPr>
      </w:pPr>
      <w:bookmarkStart w:id="152" w:name="_Toc8467"/>
      <w:bookmarkStart w:id="153" w:name="_Toc12732"/>
      <w:bookmarkStart w:id="154" w:name="_Toc32277"/>
      <w:bookmarkStart w:id="155" w:name="_Toc7982"/>
      <w:r>
        <w:rPr>
          <w:rFonts w:hint="eastAsia" w:ascii="宋体" w:hAnsi="宋体" w:eastAsia="宋体" w:cs="宋体"/>
          <w:color w:val="auto"/>
          <w:szCs w:val="24"/>
          <w:highlight w:val="none"/>
        </w:rPr>
        <w:t>2.1报价一览表</w:t>
      </w:r>
      <w:bookmarkEnd w:id="152"/>
      <w:bookmarkEnd w:id="153"/>
      <w:bookmarkEnd w:id="154"/>
      <w:bookmarkEnd w:id="155"/>
    </w:p>
    <w:p>
      <w:pPr>
        <w:spacing w:line="360" w:lineRule="auto"/>
        <w:jc w:val="center"/>
        <w:rPr>
          <w:rFonts w:hint="eastAsia" w:ascii="宋体" w:hAnsi="宋体" w:eastAsia="宋体" w:cs="宋体"/>
          <w:color w:val="auto"/>
          <w:szCs w:val="24"/>
          <w:highlight w:val="none"/>
        </w:rPr>
      </w:pPr>
    </w:p>
    <w:p>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pPr>
        <w:jc w:val="left"/>
        <w:rPr>
          <w:rFonts w:hint="eastAsia" w:ascii="宋体" w:hAnsi="宋体" w:eastAsia="宋体" w:cs="宋体"/>
          <w:color w:val="auto"/>
          <w:highlight w:val="none"/>
        </w:rPr>
      </w:pPr>
      <w:r>
        <w:rPr>
          <w:rFonts w:hint="eastAsia" w:hAnsi="宋体" w:eastAsia="宋体" w:cs="宋体"/>
          <w:color w:val="auto"/>
          <w:highlight w:val="none"/>
          <w:lang w:eastAsia="zh-CN"/>
        </w:rPr>
        <w:t xml:space="preserve">项目编号：  </w:t>
      </w:r>
      <w:r>
        <w:rPr>
          <w:rFonts w:hint="eastAsia" w:ascii="宋体" w:hAnsi="宋体" w:eastAsia="宋体" w:cs="宋体"/>
          <w:color w:val="auto"/>
          <w:highlight w:val="none"/>
        </w:rPr>
        <w:t xml:space="preserve">                                              </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2917"/>
        <w:gridCol w:w="193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385" w:type="pct"/>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hAnsi="宋体" w:eastAsia="宋体" w:cs="宋体"/>
                <w:color w:val="auto"/>
                <w:szCs w:val="24"/>
                <w:highlight w:val="none"/>
                <w:lang w:eastAsia="zh-CN"/>
              </w:rPr>
              <w:t>总报价</w:t>
            </w:r>
          </w:p>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551" w:type="pct"/>
            <w:noWrap w:val="0"/>
            <w:vAlign w:val="center"/>
          </w:tcPr>
          <w:p>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成果交付期</w:t>
            </w:r>
          </w:p>
        </w:tc>
        <w:tc>
          <w:tcPr>
            <w:tcW w:w="1031" w:type="pct"/>
            <w:noWrap w:val="0"/>
            <w:vAlign w:val="center"/>
          </w:tcPr>
          <w:p>
            <w:pPr>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eastAsia="zh-CN"/>
              </w:rPr>
              <w:t>项目负责人</w:t>
            </w:r>
          </w:p>
        </w:tc>
        <w:tc>
          <w:tcPr>
            <w:tcW w:w="1031" w:type="pct"/>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385" w:type="pct"/>
            <w:noWrap w:val="0"/>
            <w:vAlign w:val="center"/>
          </w:tcPr>
          <w:p>
            <w:pPr>
              <w:jc w:val="both"/>
              <w:rPr>
                <w:rFonts w:hint="default" w:ascii="宋体" w:hAnsi="宋体" w:eastAsia="宋体" w:cs="宋体"/>
                <w:color w:val="auto"/>
                <w:szCs w:val="24"/>
                <w:highlight w:val="none"/>
                <w:lang w:val="en-US" w:eastAsia="zh-CN"/>
              </w:rPr>
            </w:pPr>
          </w:p>
        </w:tc>
        <w:tc>
          <w:tcPr>
            <w:tcW w:w="1551" w:type="pct"/>
            <w:noWrap w:val="0"/>
            <w:vAlign w:val="center"/>
          </w:tcPr>
          <w:p>
            <w:pPr>
              <w:jc w:val="center"/>
              <w:rPr>
                <w:rFonts w:hint="eastAsia" w:ascii="宋体" w:hAnsi="宋体" w:eastAsia="宋体" w:cs="宋体"/>
                <w:color w:val="auto"/>
                <w:szCs w:val="24"/>
                <w:highlight w:val="none"/>
              </w:rPr>
            </w:pPr>
          </w:p>
        </w:tc>
        <w:tc>
          <w:tcPr>
            <w:tcW w:w="1031" w:type="pct"/>
            <w:noWrap w:val="0"/>
            <w:vAlign w:val="center"/>
          </w:tcPr>
          <w:p>
            <w:pPr>
              <w:jc w:val="center"/>
              <w:rPr>
                <w:rFonts w:hint="eastAsia" w:ascii="宋体" w:hAnsi="宋体" w:eastAsia="宋体" w:cs="宋体"/>
                <w:color w:val="auto"/>
                <w:szCs w:val="24"/>
                <w:highlight w:val="none"/>
              </w:rPr>
            </w:pPr>
          </w:p>
        </w:tc>
        <w:tc>
          <w:tcPr>
            <w:tcW w:w="1031" w:type="pct"/>
            <w:noWrap w:val="0"/>
            <w:vAlign w:val="center"/>
          </w:tcPr>
          <w:p>
            <w:pPr>
              <w:jc w:val="center"/>
              <w:rPr>
                <w:rFonts w:hint="eastAsia" w:ascii="宋体" w:hAnsi="宋体" w:eastAsia="宋体" w:cs="宋体"/>
                <w:color w:val="auto"/>
                <w:szCs w:val="24"/>
                <w:highlight w:val="none"/>
              </w:rPr>
            </w:pPr>
          </w:p>
        </w:tc>
      </w:tr>
    </w:tbl>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pPr>
        <w:spacing w:line="280" w:lineRule="exact"/>
        <w:ind w:right="617" w:rightChars="257"/>
        <w:jc w:val="left"/>
        <w:rPr>
          <w:rFonts w:hint="eastAsia" w:ascii="宋体" w:hAnsi="宋体" w:eastAsia="宋体" w:cs="宋体"/>
          <w:color w:val="auto"/>
          <w:szCs w:val="24"/>
          <w:highlight w:val="none"/>
        </w:rPr>
      </w:pPr>
    </w:p>
    <w:p>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pPr>
        <w:spacing w:line="280" w:lineRule="exact"/>
        <w:ind w:right="617" w:rightChars="257"/>
        <w:jc w:val="left"/>
        <w:rPr>
          <w:rFonts w:hint="eastAsia" w:ascii="宋体" w:hAnsi="宋体" w:eastAsia="宋体" w:cs="宋体"/>
          <w:color w:val="auto"/>
          <w:szCs w:val="24"/>
          <w:highlight w:val="none"/>
        </w:rPr>
      </w:pPr>
    </w:p>
    <w:p>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pPr>
        <w:jc w:val="center"/>
        <w:rPr>
          <w:rFonts w:hint="eastAsia" w:ascii="宋体" w:hAnsi="宋体" w:eastAsia="宋体" w:cs="宋体"/>
          <w:color w:val="auto"/>
          <w:szCs w:val="24"/>
          <w:highlight w:val="none"/>
        </w:rPr>
      </w:pPr>
    </w:p>
    <w:p>
      <w:pPr>
        <w:spacing w:before="156" w:beforeLines="50" w:after="156" w:afterLines="50"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color w:val="auto"/>
          <w:sz w:val="30"/>
          <w:szCs w:val="30"/>
          <w:highlight w:val="none"/>
        </w:rPr>
      </w:pPr>
    </w:p>
    <w:p>
      <w:pPr>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56" w:name="_Toc9760"/>
      <w:bookmarkStart w:id="157" w:name="_Toc8017"/>
      <w:bookmarkStart w:id="158" w:name="_Toc19259"/>
      <w:bookmarkStart w:id="159" w:name="_Toc11197"/>
      <w:r>
        <w:rPr>
          <w:rFonts w:hint="eastAsia" w:ascii="宋体" w:hAnsi="宋体" w:eastAsia="宋体" w:cs="宋体"/>
          <w:b/>
          <w:color w:val="auto"/>
          <w:sz w:val="30"/>
          <w:szCs w:val="30"/>
          <w:highlight w:val="none"/>
        </w:rPr>
        <w:t>2.2分项报价表</w:t>
      </w:r>
      <w:bookmarkEnd w:id="156"/>
      <w:bookmarkEnd w:id="157"/>
      <w:bookmarkEnd w:id="158"/>
      <w:bookmarkEnd w:id="159"/>
    </w:p>
    <w:p>
      <w:pPr>
        <w:pStyle w:val="8"/>
        <w:jc w:val="center"/>
        <w:outlineLvl w:val="9"/>
        <w:rPr>
          <w:rFonts w:hint="eastAsia" w:ascii="宋体" w:hAnsi="宋体" w:eastAsia="宋体" w:cs="宋体"/>
          <w:bCs/>
          <w:color w:val="auto"/>
          <w:sz w:val="24"/>
          <w:szCs w:val="24"/>
          <w:highlight w:val="none"/>
        </w:rPr>
      </w:pPr>
    </w:p>
    <w:p>
      <w:pPr>
        <w:pStyle w:val="8"/>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格式自拟</w:t>
      </w:r>
    </w:p>
    <w:p>
      <w:pPr>
        <w:ind w:firstLine="420"/>
        <w:rPr>
          <w:rFonts w:hint="eastAsia" w:ascii="宋体" w:hAnsi="宋体" w:eastAsia="宋体" w:cs="宋体"/>
          <w:color w:val="auto"/>
          <w:highlight w:val="none"/>
        </w:rPr>
      </w:pPr>
    </w:p>
    <w:p>
      <w:pPr>
        <w:pStyle w:val="8"/>
        <w:spacing w:line="360" w:lineRule="auto"/>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bookmarkEnd w:id="141"/>
    <w:p>
      <w:pPr>
        <w:jc w:val="center"/>
        <w:outlineLvl w:val="1"/>
        <w:rPr>
          <w:rFonts w:hint="eastAsia" w:ascii="宋体" w:hAnsi="宋体" w:eastAsia="宋体" w:cs="宋体"/>
          <w:color w:val="auto"/>
          <w:sz w:val="32"/>
          <w:szCs w:val="32"/>
          <w:highlight w:val="none"/>
        </w:rPr>
      </w:pPr>
      <w:bookmarkStart w:id="160" w:name="_Toc344572163"/>
      <w:r>
        <w:rPr>
          <w:rFonts w:hint="eastAsia" w:ascii="宋体" w:hAnsi="宋体" w:eastAsia="宋体" w:cs="宋体"/>
          <w:color w:val="auto"/>
          <w:sz w:val="32"/>
          <w:szCs w:val="32"/>
          <w:highlight w:val="none"/>
        </w:rPr>
        <w:br w:type="page"/>
      </w:r>
      <w:bookmarkStart w:id="161" w:name="_Toc31835"/>
      <w:bookmarkStart w:id="162" w:name="_Toc5944"/>
      <w:bookmarkStart w:id="163" w:name="_Toc32126"/>
      <w:bookmarkStart w:id="164" w:name="_Toc3628"/>
      <w:r>
        <w:rPr>
          <w:rFonts w:hint="eastAsia" w:ascii="宋体" w:hAnsi="宋体" w:eastAsia="宋体" w:cs="宋体"/>
          <w:b/>
          <w:bCs/>
          <w:color w:val="auto"/>
          <w:sz w:val="32"/>
          <w:szCs w:val="32"/>
          <w:highlight w:val="none"/>
        </w:rPr>
        <w:t>三、磋商方案说明书</w:t>
      </w:r>
      <w:bookmarkEnd w:id="161"/>
      <w:bookmarkEnd w:id="162"/>
      <w:bookmarkEnd w:id="163"/>
      <w:bookmarkEnd w:id="164"/>
    </w:p>
    <w:p>
      <w:pPr>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rPr>
        <w:tab/>
      </w:r>
    </w:p>
    <w:p>
      <w:pPr>
        <w:spacing w:line="480" w:lineRule="auto"/>
        <w:ind w:firstLine="480" w:firstLineChars="200"/>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按照磋商文件的要求编制的技术响应说明书，</w:t>
      </w:r>
      <w:r>
        <w:rPr>
          <w:rFonts w:hint="eastAsia" w:ascii="宋体" w:hAnsi="宋体" w:eastAsia="宋体" w:cs="宋体"/>
          <w:b/>
          <w:bCs/>
          <w:color w:val="auto"/>
          <w:szCs w:val="24"/>
          <w:highlight w:val="none"/>
          <w:lang w:eastAsia="zh-CN"/>
        </w:rPr>
        <w:t>可参照第三章评审办法进行响应</w:t>
      </w:r>
      <w:r>
        <w:rPr>
          <w:rFonts w:hint="eastAsia" w:hAnsi="宋体" w:eastAsia="宋体" w:cs="宋体"/>
          <w:b/>
          <w:bCs/>
          <w:color w:val="auto"/>
          <w:szCs w:val="24"/>
          <w:highlight w:val="none"/>
          <w:lang w:eastAsia="zh-CN"/>
        </w:rPr>
        <w:t>（包括但不限于评审办法。）</w:t>
      </w:r>
    </w:p>
    <w:p>
      <w:pPr>
        <w:pStyle w:val="8"/>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eastAsia="zh-CN"/>
        </w:rPr>
        <w:t>或盖章</w:t>
      </w:r>
      <w:r>
        <w:rPr>
          <w:rFonts w:hint="eastAsia" w:ascii="宋体" w:hAnsi="宋体" w:eastAsia="宋体" w:cs="宋体"/>
          <w:color w:val="auto"/>
          <w:szCs w:val="24"/>
          <w:highlight w:val="none"/>
        </w:rPr>
        <w:t>：</w:t>
      </w:r>
    </w:p>
    <w:p>
      <w:pPr>
        <w:spacing w:line="480" w:lineRule="auto"/>
        <w:ind w:left="3725" w:leftChars="1552"/>
        <w:rPr>
          <w:rFonts w:hint="eastAsia" w:ascii="宋体" w:hAnsi="宋体" w:eastAsia="宋体" w:cs="宋体"/>
          <w:color w:val="auto"/>
          <w:szCs w:val="24"/>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pPr>
        <w:spacing w:line="480" w:lineRule="auto"/>
        <w:ind w:left="3725" w:leftChars="1552" w:firstLine="5668" w:firstLineChars="2362"/>
        <w:rPr>
          <w:rFonts w:hint="eastAsia" w:ascii="宋体" w:hAnsi="宋体" w:eastAsia="宋体" w:cs="宋体"/>
          <w:color w:val="auto"/>
          <w:szCs w:val="24"/>
          <w:highlight w:val="none"/>
        </w:rPr>
      </w:pPr>
    </w:p>
    <w:p>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pPr>
        <w:spacing w:before="156" w:beforeLines="50" w:after="156" w:afterLines="50" w:line="500" w:lineRule="exact"/>
        <w:jc w:val="both"/>
        <w:outlineLvl w:val="9"/>
        <w:rPr>
          <w:rFonts w:hint="eastAsia" w:ascii="宋体" w:hAnsi="宋体" w:eastAsia="宋体" w:cs="宋体"/>
          <w:b/>
          <w:color w:val="auto"/>
          <w:sz w:val="28"/>
          <w:szCs w:val="28"/>
          <w:highlight w:val="none"/>
          <w:lang w:eastAsia="zh-CN"/>
        </w:rPr>
      </w:pPr>
      <w:r>
        <w:rPr>
          <w:rFonts w:hint="eastAsia" w:ascii="宋体" w:hAnsi="宋体" w:eastAsia="宋体" w:cs="宋体"/>
          <w:color w:val="auto"/>
          <w:szCs w:val="24"/>
          <w:highlight w:val="none"/>
        </w:rPr>
        <w:br w:type="page"/>
      </w:r>
      <w:bookmarkStart w:id="165" w:name="_Toc23455"/>
      <w:bookmarkStart w:id="166" w:name="_Toc1379"/>
      <w:bookmarkStart w:id="167" w:name="_Toc21284"/>
      <w:bookmarkStart w:id="168" w:name="_Toc9218"/>
      <w:bookmarkStart w:id="169" w:name="_Toc2621"/>
      <w:bookmarkStart w:id="170" w:name="_Toc15265"/>
      <w:bookmarkStart w:id="171" w:name="_Toc8845"/>
      <w:bookmarkStart w:id="172" w:name="_Toc5662"/>
      <w:bookmarkStart w:id="173" w:name="_Toc6883"/>
    </w:p>
    <w:p>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项目负责人简历表</w:t>
      </w:r>
    </w:p>
    <w:tbl>
      <w:tblPr>
        <w:tblStyle w:val="22"/>
        <w:tblW w:w="0" w:type="auto"/>
        <w:jc w:val="center"/>
        <w:tblLayout w:type="fixed"/>
        <w:tblCellMar>
          <w:top w:w="0" w:type="dxa"/>
          <w:left w:w="108" w:type="dxa"/>
          <w:bottom w:w="0" w:type="dxa"/>
          <w:right w:w="108" w:type="dxa"/>
        </w:tblCellMar>
      </w:tblPr>
      <w:tblGrid>
        <w:gridCol w:w="1335"/>
        <w:gridCol w:w="1437"/>
        <w:gridCol w:w="1437"/>
        <w:gridCol w:w="1437"/>
        <w:gridCol w:w="1437"/>
        <w:gridCol w:w="1437"/>
        <w:gridCol w:w="1655"/>
      </w:tblGrid>
      <w:tr>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43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309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2"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tc>
        <w:tc>
          <w:tcPr>
            <w:tcW w:w="8840"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p>
        </w:tc>
      </w:tr>
    </w:tbl>
    <w:p>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hAnsi="宋体" w:cs="宋体"/>
          <w:b/>
          <w:bCs/>
          <w:color w:val="auto"/>
          <w:sz w:val="24"/>
          <w:szCs w:val="24"/>
          <w:highlight w:val="none"/>
          <w:lang w:val="en-US" w:eastAsia="zh-CN"/>
        </w:rPr>
        <w:t>项目负责人</w:t>
      </w:r>
      <w:r>
        <w:rPr>
          <w:rFonts w:hint="eastAsia" w:ascii="宋体" w:hAnsi="宋体" w:eastAsia="宋体" w:cs="宋体"/>
          <w:b/>
          <w:bCs/>
          <w:color w:val="auto"/>
          <w:sz w:val="24"/>
          <w:szCs w:val="24"/>
          <w:highlight w:val="none"/>
          <w:lang w:val="zh-CN"/>
        </w:rPr>
        <w:t>附资格证书复印件（加盖公章）。</w:t>
      </w:r>
    </w:p>
    <w:p>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项目主要人员和技术人员概况表</w:t>
      </w:r>
    </w:p>
    <w:p>
      <w:pPr>
        <w:ind w:firstLine="211"/>
        <w:jc w:val="center"/>
        <w:rPr>
          <w:rFonts w:ascii="宋体" w:hAnsi="宋体"/>
          <w:b/>
          <w:bCs/>
          <w:color w:val="auto"/>
          <w:sz w:val="18"/>
          <w:szCs w:val="18"/>
          <w:highlight w:val="none"/>
        </w:rPr>
      </w:pPr>
    </w:p>
    <w:tbl>
      <w:tblPr>
        <w:tblStyle w:val="22"/>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rPr>
            </w:pPr>
          </w:p>
        </w:tc>
      </w:tr>
    </w:tbl>
    <w:p>
      <w:pPr>
        <w:autoSpaceDE w:val="0"/>
        <w:autoSpaceDN w:val="0"/>
        <w:adjustRightInd w:val="0"/>
        <w:jc w:val="center"/>
        <w:rPr>
          <w:rFonts w:hint="eastAsia" w:ascii="宋体" w:hAnsi="宋体" w:eastAsia="宋体" w:cs="宋体"/>
          <w:color w:val="auto"/>
          <w:sz w:val="24"/>
          <w:szCs w:val="24"/>
          <w:highlight w:val="none"/>
          <w:lang w:val="zh-CN"/>
        </w:rPr>
      </w:pPr>
    </w:p>
    <w:p>
      <w:pPr>
        <w:autoSpaceDE w:val="0"/>
        <w:autoSpaceDN w:val="0"/>
        <w:adjustRightInd w:val="0"/>
        <w:jc w:val="center"/>
        <w:rPr>
          <w:rFonts w:hint="eastAsia" w:ascii="宋体" w:hAnsi="宋体" w:eastAsia="宋体" w:cs="宋体"/>
          <w:color w:val="auto"/>
          <w:sz w:val="24"/>
          <w:szCs w:val="24"/>
          <w:highlight w:val="none"/>
          <w:lang w:val="zh-CN"/>
        </w:rPr>
      </w:pPr>
    </w:p>
    <w:p>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注：技术人员附资格证书复印件（加盖公章）。</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四、</w:t>
      </w:r>
      <w:bookmarkEnd w:id="165"/>
      <w:bookmarkEnd w:id="166"/>
      <w:bookmarkEnd w:id="167"/>
      <w:bookmarkEnd w:id="168"/>
      <w:bookmarkEnd w:id="169"/>
      <w:r>
        <w:rPr>
          <w:rFonts w:hint="eastAsia" w:ascii="宋体" w:hAnsi="宋体" w:eastAsia="宋体" w:cs="宋体"/>
          <w:b/>
          <w:bCs/>
          <w:color w:val="auto"/>
          <w:sz w:val="32"/>
          <w:szCs w:val="32"/>
          <w:highlight w:val="none"/>
        </w:rPr>
        <w:t>商务条款偏离表</w:t>
      </w:r>
      <w:bookmarkEnd w:id="170"/>
      <w:bookmarkEnd w:id="171"/>
      <w:bookmarkEnd w:id="172"/>
      <w:bookmarkEnd w:id="173"/>
    </w:p>
    <w:p>
      <w:pPr>
        <w:pStyle w:val="19"/>
        <w:widowControl w:val="0"/>
        <w:spacing w:before="0" w:beforeAutospacing="0" w:after="0" w:afterAutospacing="0"/>
        <w:jc w:val="both"/>
        <w:rPr>
          <w:rFonts w:hint="eastAsia" w:ascii="宋体" w:hAnsi="宋体" w:eastAsia="宋体" w:cs="宋体"/>
          <w:color w:val="auto"/>
          <w:highlight w:val="none"/>
        </w:rPr>
      </w:pPr>
    </w:p>
    <w:p>
      <w:pPr>
        <w:pStyle w:val="19"/>
        <w:widowControl w:val="0"/>
        <w:spacing w:before="156" w:beforeLines="50" w:beforeAutospacing="0" w:after="156" w:afterLines="50" w:afterAutospacing="0"/>
        <w:rPr>
          <w:rFonts w:hint="eastAsia" w:ascii="宋体" w:hAnsi="宋体" w:eastAsia="宋体" w:cs="宋体"/>
          <w:color w:val="auto"/>
          <w:highlight w:val="none"/>
        </w:rPr>
      </w:pPr>
      <w:r>
        <w:rPr>
          <w:rFonts w:hint="eastAsia" w:ascii="宋体" w:hAnsi="宋体" w:eastAsia="宋体" w:cs="宋体"/>
          <w:color w:val="auto"/>
          <w:highlight w:val="none"/>
        </w:rPr>
        <w:t>项目编号：</w:t>
      </w:r>
    </w:p>
    <w:p>
      <w:pPr>
        <w:pStyle w:val="19"/>
        <w:widowControl w:val="0"/>
        <w:spacing w:before="156" w:beforeLines="50" w:beforeAutospacing="0" w:after="156"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pPr>
        <w:pStyle w:val="19"/>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19"/>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1.参照第三章合同条款要求内容进行响应。</w:t>
      </w:r>
    </w:p>
    <w:p>
      <w:pPr>
        <w:pStyle w:val="19"/>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pPr>
        <w:pStyle w:val="19"/>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2.供应商必须据实填写，不得虚假响应，否则将取消其磋商或成交资格，并按有关规定进处罚。</w:t>
      </w:r>
    </w:p>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p>
      <w:pPr>
        <w:pStyle w:val="19"/>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供应商名称：                       （单位公章）</w:t>
      </w:r>
    </w:p>
    <w:p>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p>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法定代表人或委托代理人：              （签字） </w:t>
      </w:r>
    </w:p>
    <w:p>
      <w:pPr>
        <w:spacing w:line="360" w:lineRule="auto"/>
        <w:ind w:left="600" w:leftChars="250"/>
        <w:rPr>
          <w:rFonts w:hint="eastAsia" w:ascii="宋体" w:hAnsi="宋体" w:eastAsia="宋体" w:cs="宋体"/>
          <w:b/>
          <w:bCs/>
          <w:color w:val="auto"/>
          <w:sz w:val="28"/>
          <w:szCs w:val="28"/>
          <w:highlight w:val="none"/>
        </w:rPr>
      </w:pPr>
    </w:p>
    <w:p>
      <w:pPr>
        <w:spacing w:line="440" w:lineRule="exact"/>
        <w:ind w:left="3725" w:leftChars="1552"/>
        <w:rPr>
          <w:rFonts w:hint="eastAsia" w:ascii="宋体" w:hAnsi="宋体" w:eastAsia="宋体" w:cs="宋体"/>
          <w:color w:val="auto"/>
          <w:szCs w:val="24"/>
          <w:highlight w:val="none"/>
        </w:rPr>
      </w:pPr>
    </w:p>
    <w:p>
      <w:pPr>
        <w:spacing w:line="440" w:lineRule="exact"/>
        <w:ind w:left="3725" w:leftChars="1552"/>
        <w:rPr>
          <w:rFonts w:hint="eastAsia" w:ascii="宋体" w:hAnsi="宋体" w:eastAsia="宋体" w:cs="宋体"/>
          <w:color w:val="auto"/>
          <w:szCs w:val="24"/>
          <w:highlight w:val="none"/>
        </w:rPr>
      </w:pPr>
    </w:p>
    <w:p>
      <w:pPr>
        <w:spacing w:line="440" w:lineRule="exact"/>
        <w:ind w:left="3725" w:leftChars="1552"/>
        <w:rPr>
          <w:rFonts w:hint="eastAsia" w:ascii="宋体" w:hAnsi="宋体" w:eastAsia="宋体" w:cs="宋体"/>
          <w:color w:val="auto"/>
          <w:szCs w:val="24"/>
          <w:highlight w:val="none"/>
        </w:rPr>
      </w:pPr>
    </w:p>
    <w:bookmarkEnd w:id="160"/>
    <w:p>
      <w:pPr>
        <w:spacing w:line="360" w:lineRule="auto"/>
        <w:jc w:val="center"/>
        <w:outlineLvl w:val="1"/>
        <w:rPr>
          <w:rFonts w:hint="eastAsia" w:ascii="宋体" w:hAnsi="宋体" w:eastAsia="宋体" w:cs="宋体"/>
          <w:b/>
          <w:bCs/>
          <w:color w:val="auto"/>
          <w:sz w:val="30"/>
          <w:szCs w:val="30"/>
          <w:highlight w:val="none"/>
        </w:rPr>
      </w:pPr>
      <w:bookmarkStart w:id="174" w:name="_Toc403077656"/>
      <w:bookmarkStart w:id="175" w:name="_Toc363474033"/>
      <w:r>
        <w:rPr>
          <w:rFonts w:hint="eastAsia" w:ascii="宋体" w:hAnsi="宋体" w:eastAsia="宋体" w:cs="宋体"/>
          <w:b/>
          <w:bCs/>
          <w:color w:val="auto"/>
          <w:sz w:val="30"/>
          <w:szCs w:val="30"/>
          <w:highlight w:val="none"/>
        </w:rPr>
        <w:br w:type="page"/>
      </w:r>
      <w:bookmarkStart w:id="176" w:name="_Toc3386"/>
      <w:bookmarkStart w:id="177" w:name="_Toc1542"/>
      <w:bookmarkStart w:id="178" w:name="_Toc27470"/>
      <w:bookmarkStart w:id="179" w:name="_Toc10118"/>
      <w:r>
        <w:rPr>
          <w:rFonts w:hint="eastAsia" w:ascii="宋体" w:hAnsi="宋体" w:eastAsia="宋体" w:cs="宋体"/>
          <w:b/>
          <w:bCs/>
          <w:color w:val="auto"/>
          <w:sz w:val="30"/>
          <w:szCs w:val="30"/>
          <w:highlight w:val="none"/>
        </w:rPr>
        <w:t>五、陕西省政府采购供应商拒绝政府采购领域商业贿赂承诺书</w:t>
      </w:r>
      <w:bookmarkEnd w:id="174"/>
      <w:bookmarkEnd w:id="175"/>
      <w:bookmarkEnd w:id="176"/>
      <w:bookmarkEnd w:id="177"/>
      <w:bookmarkEnd w:id="178"/>
      <w:bookmarkEnd w:id="179"/>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pPr>
        <w:jc w:val="center"/>
        <w:outlineLvl w:val="1"/>
        <w:rPr>
          <w:rFonts w:hint="eastAsia" w:ascii="宋体" w:hAnsi="宋体" w:eastAsia="宋体" w:cs="宋体"/>
          <w:color w:val="auto"/>
          <w:highlight w:val="none"/>
          <w:shd w:val="clear" w:color="auto" w:fill="FFFFFF"/>
        </w:rPr>
      </w:pPr>
      <w:bookmarkStart w:id="180" w:name="_Toc403077657"/>
      <w:bookmarkStart w:id="181" w:name="_Toc363474034"/>
      <w:r>
        <w:rPr>
          <w:rFonts w:hint="eastAsia" w:ascii="宋体" w:hAnsi="宋体" w:eastAsia="宋体" w:cs="宋体"/>
          <w:b/>
          <w:bCs/>
          <w:color w:val="auto"/>
          <w:sz w:val="30"/>
          <w:szCs w:val="30"/>
          <w:highlight w:val="none"/>
        </w:rPr>
        <w:br w:type="page"/>
      </w:r>
      <w:bookmarkStart w:id="182" w:name="_Toc29285"/>
      <w:bookmarkStart w:id="183" w:name="_Toc32016"/>
      <w:bookmarkStart w:id="184" w:name="_Toc7842"/>
      <w:bookmarkStart w:id="185" w:name="_Toc3866"/>
      <w:r>
        <w:rPr>
          <w:rFonts w:hint="eastAsia" w:ascii="宋体" w:hAnsi="宋体" w:eastAsia="宋体" w:cs="宋体"/>
          <w:b/>
          <w:bCs/>
          <w:color w:val="auto"/>
          <w:sz w:val="30"/>
          <w:szCs w:val="30"/>
          <w:highlight w:val="none"/>
        </w:rPr>
        <w:t>六、特定资格证明文件</w:t>
      </w:r>
      <w:bookmarkEnd w:id="180"/>
      <w:bookmarkEnd w:id="181"/>
      <w:bookmarkEnd w:id="182"/>
      <w:bookmarkEnd w:id="183"/>
      <w:bookmarkEnd w:id="184"/>
      <w:bookmarkEnd w:id="185"/>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bookmarkStart w:id="186" w:name="_Toc7510"/>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2、提供法定代表人授权书（附法定代表人、被授权人身份证复印件），（法定代表人直接参加磋商，须提供法定代表人身份证明）；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6、提供具有履行本合同所必需的设备和专业技术能力的说明及承诺书；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7、供应商应通过“信用中国”网站(www.creditchina.gov.cn)、中国政府采购网(www.ccgp.gov.cn)查询相关主体信用记录；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9、供应商应提供小微企业声明函\残疾人福利性单位声明函\监狱企业证明函；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Cs w:val="24"/>
          <w:highlight w:val="none"/>
        </w:rPr>
      </w:pPr>
      <w:r>
        <w:rPr>
          <w:rFonts w:hint="eastAsia" w:ascii="宋体" w:hAnsi="宋体" w:eastAsia="宋体" w:cs="宋体"/>
          <w:i w:val="0"/>
          <w:iCs w:val="0"/>
          <w:caps w:val="0"/>
          <w:color w:val="auto"/>
          <w:spacing w:val="0"/>
          <w:sz w:val="24"/>
          <w:szCs w:val="24"/>
          <w:highlight w:val="none"/>
          <w:shd w:val="clear" w:fill="FFFFFF"/>
        </w:rPr>
        <w:t>10、本项目不接受联合体磋商。</w:t>
      </w:r>
    </w:p>
    <w:p>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pPr>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End w:id="186"/>
      <w:bookmarkStart w:id="187" w:name="_Toc6853"/>
      <w:bookmarkStart w:id="188" w:name="_Toc12717"/>
      <w:bookmarkStart w:id="189" w:name="_Toc19114"/>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1"/>
        <w:rPr>
          <w:rFonts w:hint="eastAsia" w:ascii="宋体" w:hAnsi="宋体" w:eastAsia="宋体" w:cs="宋体"/>
          <w:b/>
          <w:bCs/>
          <w:color w:val="auto"/>
          <w:sz w:val="30"/>
          <w:szCs w:val="30"/>
          <w:highlight w:val="none"/>
        </w:rPr>
      </w:pPr>
      <w:bookmarkStart w:id="190" w:name="_Toc7012"/>
      <w:r>
        <w:rPr>
          <w:rFonts w:hint="eastAsia" w:ascii="宋体" w:hAnsi="宋体" w:eastAsia="宋体" w:cs="宋体"/>
          <w:b/>
          <w:bCs/>
          <w:color w:val="auto"/>
          <w:sz w:val="30"/>
          <w:szCs w:val="30"/>
          <w:highlight w:val="none"/>
        </w:rPr>
        <w:t>七、其它</w:t>
      </w:r>
      <w:bookmarkEnd w:id="187"/>
      <w:bookmarkEnd w:id="188"/>
      <w:bookmarkEnd w:id="189"/>
      <w:bookmarkEnd w:id="190"/>
    </w:p>
    <w:p>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pPr>
        <w:spacing w:before="156" w:beforeLines="50" w:after="156" w:afterLines="50" w:line="500" w:lineRule="exact"/>
        <w:outlineLvl w:val="9"/>
        <w:rPr>
          <w:rFonts w:hint="eastAsia" w:ascii="宋体" w:hAnsi="宋体" w:eastAsia="宋体" w:cs="宋体"/>
          <w:b/>
          <w:color w:val="auto"/>
          <w:sz w:val="28"/>
          <w:szCs w:val="28"/>
          <w:highlight w:val="none"/>
        </w:rPr>
      </w:pPr>
      <w:r>
        <w:rPr>
          <w:rFonts w:hint="eastAsia" w:ascii="宋体" w:hAnsi="宋体" w:eastAsia="宋体" w:cs="宋体"/>
          <w:color w:val="auto"/>
          <w:szCs w:val="24"/>
          <w:highlight w:val="none"/>
        </w:rPr>
        <w:br w:type="page"/>
      </w:r>
      <w:bookmarkStart w:id="191" w:name="_Toc6055"/>
      <w:bookmarkStart w:id="192" w:name="_Toc32742"/>
      <w:bookmarkStart w:id="193" w:name="_Toc17513"/>
      <w:r>
        <w:rPr>
          <w:rFonts w:hint="eastAsia" w:ascii="宋体" w:hAnsi="宋体" w:eastAsia="宋体" w:cs="宋体"/>
          <w:b/>
          <w:color w:val="auto"/>
          <w:sz w:val="28"/>
          <w:szCs w:val="28"/>
          <w:highlight w:val="none"/>
        </w:rPr>
        <w:t>附件1：</w:t>
      </w:r>
      <w:bookmarkEnd w:id="191"/>
      <w:bookmarkEnd w:id="192"/>
      <w:bookmarkEnd w:id="193"/>
    </w:p>
    <w:p>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pPr>
        <w:pStyle w:val="8"/>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pPr>
              <w:pStyle w:val="8"/>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pStyle w:val="8"/>
        <w:rPr>
          <w:rFonts w:hint="eastAsia" w:ascii="宋体" w:hAnsi="宋体" w:eastAsia="宋体" w:cs="宋体"/>
          <w:color w:val="auto"/>
          <w:highlight w:val="none"/>
        </w:rPr>
      </w:pPr>
    </w:p>
    <w:p>
      <w:pPr>
        <w:spacing w:line="360" w:lineRule="auto"/>
        <w:jc w:val="left"/>
        <w:rPr>
          <w:rFonts w:hint="eastAsia" w:ascii="宋体" w:hAnsi="宋体" w:eastAsia="宋体" w:cs="宋体"/>
          <w:color w:val="auto"/>
          <w:spacing w:val="4"/>
          <w:szCs w:val="24"/>
          <w:highlight w:val="none"/>
        </w:rPr>
      </w:pPr>
    </w:p>
    <w:p>
      <w:pPr>
        <w:keepNext/>
        <w:spacing w:before="312"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ascii="宋体" w:hAnsi="宋体" w:eastAsia="宋体" w:cs="宋体"/>
          <w:color w:val="auto"/>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（项目编号</w:t>
      </w:r>
      <w:r>
        <w:rPr>
          <w:rFonts w:hint="eastAsia"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pPr>
        <w:spacing w:line="360" w:lineRule="auto"/>
        <w:ind w:firstLine="496" w:firstLineChars="200"/>
        <w:jc w:val="left"/>
        <w:rPr>
          <w:rFonts w:hint="eastAsia" w:ascii="宋体" w:hAnsi="宋体" w:eastAsia="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color w:val="auto"/>
                <w:spacing w:val="4"/>
                <w:szCs w:val="24"/>
                <w:highlight w:val="none"/>
              </w:rPr>
            </w:pPr>
          </w:p>
        </w:tc>
      </w:tr>
    </w:tbl>
    <w:p>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pPr>
        <w:spacing w:line="360" w:lineRule="auto"/>
        <w:rPr>
          <w:rFonts w:hint="eastAsia" w:ascii="宋体" w:hAnsi="宋体" w:eastAsia="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pPr>
        <w:spacing w:line="360" w:lineRule="auto"/>
        <w:ind w:firstLine="510"/>
        <w:rPr>
          <w:rFonts w:hint="eastAsia" w:ascii="宋体" w:hAnsi="宋体" w:eastAsia="宋体" w:cs="宋体"/>
          <w:color w:val="auto"/>
          <w:spacing w:val="4"/>
          <w:szCs w:val="24"/>
          <w:highlight w:val="none"/>
        </w:rPr>
      </w:pPr>
    </w:p>
    <w:p>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pPr>
        <w:autoSpaceDE w:val="0"/>
        <w:autoSpaceDN w:val="0"/>
        <w:adjustRightInd w:val="0"/>
        <w:spacing w:line="480" w:lineRule="auto"/>
        <w:jc w:val="left"/>
        <w:rPr>
          <w:rFonts w:hint="eastAsia" w:ascii="宋体" w:hAnsi="宋体" w:cs="仿宋_GB2312"/>
          <w:color w:val="auto"/>
          <w:sz w:val="24"/>
          <w:szCs w:val="24"/>
          <w:highlight w:val="none"/>
          <w:lang w:val="zh-CN"/>
        </w:rPr>
      </w:pPr>
      <w:bookmarkStart w:id="194" w:name="_Toc27533"/>
      <w:r>
        <w:rPr>
          <w:rFonts w:hint="eastAsia" w:ascii="宋体" w:hAnsi="宋体" w:eastAsia="宋体" w:cs="宋体"/>
          <w:b/>
          <w:color w:val="auto"/>
          <w:sz w:val="28"/>
          <w:szCs w:val="28"/>
          <w:highlight w:val="none"/>
          <w:lang w:val="en-US" w:eastAsia="zh-CN"/>
        </w:rPr>
        <w:br w:type="page"/>
      </w:r>
      <w:bookmarkEnd w:id="194"/>
      <w:bookmarkStart w:id="195" w:name="_Toc11767"/>
      <w:bookmarkStart w:id="196" w:name="_Toc17295"/>
    </w:p>
    <w:p>
      <w:pPr>
        <w:spacing w:before="100" w:beforeAutospacing="1" w:after="156" w:afterLines="50" w:line="360" w:lineRule="auto"/>
        <w:jc w:val="left"/>
        <w:outlineLvl w:val="9"/>
        <w:rPr>
          <w:rFonts w:hint="eastAsia" w:ascii="宋体" w:hAnsi="宋体" w:eastAsia="宋体" w:cs="宋体"/>
          <w:b/>
          <w:color w:val="auto"/>
          <w:sz w:val="28"/>
          <w:szCs w:val="28"/>
          <w:highlight w:val="none"/>
          <w:lang w:val="en-US" w:eastAsia="zh-CN"/>
        </w:rPr>
      </w:pPr>
      <w:bookmarkStart w:id="197" w:name="_Toc32130"/>
      <w:r>
        <w:rPr>
          <w:rFonts w:hint="eastAsia" w:ascii="宋体" w:hAnsi="宋体" w:eastAsia="宋体" w:cs="宋体"/>
          <w:b/>
          <w:color w:val="auto"/>
          <w:sz w:val="28"/>
          <w:szCs w:val="28"/>
          <w:highlight w:val="none"/>
          <w:lang w:val="en-US" w:eastAsia="zh-CN"/>
        </w:rPr>
        <w:t>附件</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195"/>
      <w:bookmarkEnd w:id="196"/>
      <w:bookmarkEnd w:id="197"/>
    </w:p>
    <w:p>
      <w:pPr>
        <w:pStyle w:val="8"/>
        <w:rPr>
          <w:rFonts w:hint="eastAsia"/>
          <w:highlight w:val="none"/>
        </w:rPr>
      </w:pPr>
      <w:bookmarkStart w:id="198" w:name="_Toc13836"/>
    </w:p>
    <w:p>
      <w:pPr>
        <w:widowControl/>
        <w:spacing w:line="360" w:lineRule="auto"/>
        <w:ind w:left="1" w:firstLine="241" w:firstLineChars="100"/>
        <w:jc w:val="center"/>
        <w:rPr>
          <w:rFonts w:hint="eastAsia" w:ascii="宋体" w:hAnsi="宋体" w:eastAsia="宋体" w:cs="宋体"/>
          <w:b/>
          <w:kern w:val="0"/>
          <w:sz w:val="24"/>
          <w:szCs w:val="24"/>
          <w:highlight w:val="none"/>
          <w:lang w:eastAsia="zh-CN"/>
        </w:rPr>
      </w:pPr>
    </w:p>
    <w:p>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pStyle w:val="19"/>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（采购人）           ：</w:t>
      </w:r>
    </w:p>
    <w:p>
      <w:pPr>
        <w:pStyle w:val="19"/>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（项目编号：</w:t>
      </w:r>
      <w:r>
        <w:rPr>
          <w:rFonts w:hint="eastAsia" w:ascii="宋体" w:hAnsi="宋体" w:cs="宋体"/>
          <w:i/>
          <w:iCs/>
          <w:highlight w:val="none"/>
          <w:u w:val="single"/>
          <w:shd w:val="clear" w:color="auto" w:fill="FFFFFF"/>
        </w:rPr>
        <w:t xml:space="preserve">          </w:t>
      </w:r>
      <w:r>
        <w:rPr>
          <w:rFonts w:hint="eastAsia" w:ascii="宋体" w:hAnsi="宋体" w:cs="宋体"/>
          <w:highlight w:val="none"/>
          <w:shd w:val="clear" w:color="auto" w:fill="FFFFFF"/>
        </w:rPr>
        <w:t xml:space="preserve">）的供应商，在此郑重声明：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 xml:space="preserve">如有不实，我方将无条件地退出本项目的采购活动，并遵照《政府采购法》有关“提供虚假材料的规定”接受处罚。 </w:t>
      </w:r>
    </w:p>
    <w:p>
      <w:pPr>
        <w:pStyle w:val="19"/>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pPr>
        <w:pStyle w:val="19"/>
        <w:wordWrap w:val="0"/>
        <w:spacing w:line="560" w:lineRule="exact"/>
        <w:ind w:firstLine="420"/>
        <w:rPr>
          <w:rFonts w:ascii="宋体" w:hAnsi="宋体" w:cs="宋体"/>
          <w:highlight w:val="none"/>
          <w:shd w:val="clear" w:color="auto" w:fill="FFFFFF"/>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3"/>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hint="eastAsia" w:ascii="宋体" w:hAnsi="宋体" w:cs="宋体"/>
          <w:b/>
          <w:sz w:val="28"/>
          <w:szCs w:val="28"/>
          <w:highlight w:val="none"/>
        </w:rPr>
      </w:pPr>
    </w:p>
    <w:p>
      <w:pPr>
        <w:adjustRightInd w:val="0"/>
        <w:snapToGrid w:val="0"/>
        <w:spacing w:line="360" w:lineRule="auto"/>
        <w:jc w:val="center"/>
        <w:rPr>
          <w:rFonts w:hint="eastAsia" w:ascii="宋体" w:hAnsi="宋体" w:cs="宋体"/>
          <w:b/>
          <w:sz w:val="28"/>
          <w:szCs w:val="28"/>
          <w:highlight w:val="none"/>
        </w:rPr>
      </w:pPr>
    </w:p>
    <w:p>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rPr>
          <w:highlight w:val="none"/>
        </w:rPr>
      </w:pPr>
    </w:p>
    <w:p>
      <w:pPr>
        <w:pStyle w:val="11"/>
        <w:adjustRightInd w:val="0"/>
        <w:snapToGrid w:val="0"/>
        <w:spacing w:line="720" w:lineRule="exact"/>
        <w:jc w:val="center"/>
        <w:rPr>
          <w:rFonts w:hAnsi="宋体"/>
          <w:b/>
          <w:sz w:val="28"/>
          <w:szCs w:val="28"/>
          <w:highlight w:val="none"/>
        </w:rPr>
      </w:pPr>
    </w:p>
    <w:p>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pPr>
        <w:pStyle w:val="11"/>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pPr>
        <w:pStyle w:val="11"/>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pPr>
        <w:pStyle w:val="11"/>
        <w:adjustRightInd w:val="0"/>
        <w:snapToGrid w:val="0"/>
        <w:spacing w:line="720" w:lineRule="exact"/>
        <w:rPr>
          <w:rFonts w:hAnsi="宋体"/>
          <w:spacing w:val="4"/>
          <w:sz w:val="24"/>
          <w:szCs w:val="24"/>
          <w:highlight w:val="none"/>
        </w:rPr>
      </w:pPr>
    </w:p>
    <w:p>
      <w:pPr>
        <w:pStyle w:val="11"/>
        <w:adjustRightInd w:val="0"/>
        <w:snapToGrid w:val="0"/>
        <w:spacing w:line="720" w:lineRule="exact"/>
        <w:rPr>
          <w:rFonts w:hAnsi="宋体"/>
          <w:spacing w:val="4"/>
          <w:sz w:val="24"/>
          <w:szCs w:val="24"/>
          <w:highlight w:val="none"/>
        </w:rPr>
      </w:pPr>
    </w:p>
    <w:p>
      <w:pPr>
        <w:pStyle w:val="11"/>
        <w:adjustRightInd w:val="0"/>
        <w:snapToGrid w:val="0"/>
        <w:spacing w:line="720" w:lineRule="exact"/>
        <w:rPr>
          <w:rFonts w:hAnsi="宋体"/>
          <w:spacing w:val="4"/>
          <w:sz w:val="24"/>
          <w:szCs w:val="24"/>
          <w:highlight w:val="none"/>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3"/>
        <w:spacing w:before="156" w:beforeLines="50"/>
        <w:ind w:firstLine="3360" w:firstLineChars="14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hint="eastAsia" w:ascii="宋体" w:hAnsi="宋体" w:eastAsia="宋体" w:cs="宋体"/>
          <w:b/>
          <w:color w:val="auto"/>
          <w:sz w:val="28"/>
          <w:szCs w:val="28"/>
          <w:highlight w:val="none"/>
        </w:rPr>
      </w:pPr>
    </w:p>
    <w:p>
      <w:pPr>
        <w:spacing w:before="156" w:beforeLines="50" w:after="156" w:afterLines="50"/>
        <w:rPr>
          <w:rFonts w:hAnsi="宋体" w:cs="宋体"/>
          <w:highlight w:val="none"/>
        </w:rPr>
      </w:pPr>
      <w:bookmarkStart w:id="199" w:name="_Toc13530"/>
      <w:bookmarkStart w:id="200" w:name="_Toc10139"/>
      <w:bookmarkStart w:id="201" w:name="_Toc12704"/>
      <w:r>
        <w:rPr>
          <w:rFonts w:hint="eastAsia" w:ascii="宋体" w:hAnsi="宋体" w:eastAsia="宋体" w:cs="宋体"/>
          <w:b/>
          <w:color w:val="auto"/>
          <w:sz w:val="28"/>
          <w:szCs w:val="28"/>
          <w:highlight w:val="none"/>
        </w:rPr>
        <w:br w:type="page"/>
      </w:r>
      <w:r>
        <w:rPr>
          <w:rFonts w:hint="eastAsia" w:hAnsi="宋体" w:cs="宋体"/>
          <w:b/>
          <w:bCs/>
          <w:sz w:val="28"/>
          <w:szCs w:val="28"/>
          <w:highlight w:val="none"/>
        </w:rPr>
        <w:t>附件</w:t>
      </w:r>
      <w:r>
        <w:rPr>
          <w:rFonts w:hint="eastAsia" w:hAnsi="宋体" w:cs="宋体"/>
          <w:b/>
          <w:bCs/>
          <w:sz w:val="28"/>
          <w:szCs w:val="28"/>
          <w:highlight w:val="none"/>
          <w:lang w:val="en-US" w:eastAsia="zh-CN"/>
        </w:rPr>
        <w:t>3</w:t>
      </w:r>
      <w:r>
        <w:rPr>
          <w:rFonts w:hint="eastAsia" w:hAnsi="宋体" w:cs="宋体"/>
          <w:b/>
          <w:bCs/>
          <w:sz w:val="28"/>
          <w:szCs w:val="28"/>
          <w:highlight w:val="none"/>
        </w:rPr>
        <w:t>：</w:t>
      </w:r>
    </w:p>
    <w:p>
      <w:pPr>
        <w:spacing w:before="156" w:beforeLines="50" w:after="156" w:afterLines="50" w:line="360" w:lineRule="auto"/>
        <w:jc w:val="center"/>
        <w:rPr>
          <w:rFonts w:hint="eastAsia" w:hAnsi="宋体" w:cs="宋体"/>
          <w:b/>
          <w:sz w:val="28"/>
          <w:szCs w:val="28"/>
          <w:highlight w:val="none"/>
        </w:rPr>
      </w:pPr>
    </w:p>
    <w:p>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before="312" w:beforeLines="100" w:after="156" w:afterLines="5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件</w:t>
      </w:r>
      <w:r>
        <w:rPr>
          <w:rFonts w:hint="eastAsia" w:hAnsi="宋体" w:cs="宋体"/>
          <w:b/>
          <w:color w:val="auto"/>
          <w:sz w:val="28"/>
          <w:szCs w:val="28"/>
          <w:highlight w:val="none"/>
          <w:lang w:val="en-US" w:eastAsia="zh-CN"/>
        </w:rPr>
        <w:t>4（如有）</w:t>
      </w:r>
      <w:r>
        <w:rPr>
          <w:rFonts w:hint="eastAsia" w:ascii="宋体" w:hAnsi="宋体" w:eastAsia="宋体" w:cs="宋体"/>
          <w:b/>
          <w:color w:val="auto"/>
          <w:sz w:val="28"/>
          <w:szCs w:val="28"/>
          <w:highlight w:val="none"/>
        </w:rPr>
        <w:t>：</w:t>
      </w:r>
      <w:bookmarkEnd w:id="199"/>
      <w:bookmarkEnd w:id="200"/>
      <w:bookmarkEnd w:id="201"/>
    </w:p>
    <w:p>
      <w:pPr>
        <w:spacing w:before="312" w:beforeLines="100" w:after="156" w:afterLines="50"/>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磋商产品属节能、环境标志产品列表</w:t>
      </w:r>
      <w:bookmarkEnd w:id="198"/>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供应商提供的属于节能、环境标志产品品目清单中优先采购的产品，须按磋商文件要求提供相关证明材料。</w:t>
      </w:r>
    </w:p>
    <w:p>
      <w:pPr>
        <w:pStyle w:val="28"/>
        <w:spacing w:line="400" w:lineRule="exact"/>
        <w:ind w:left="480" w:leftChars="200" w:firstLine="240" w:firstLineChars="100"/>
        <w:outlineLvl w:val="9"/>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pPr>
        <w:spacing w:before="100" w:beforeAutospacing="1" w:after="156" w:afterLines="50" w:line="360" w:lineRule="auto"/>
        <w:outlineLvl w:val="9"/>
        <w:rPr>
          <w:rFonts w:hint="eastAsia" w:ascii="宋体" w:hAnsi="宋体" w:eastAsia="宋体" w:cs="宋体"/>
          <w:b/>
          <w:bCs/>
          <w:color w:val="auto"/>
          <w:spacing w:val="6"/>
          <w:sz w:val="30"/>
          <w:szCs w:val="30"/>
          <w:highlight w:val="none"/>
          <w:lang w:eastAsia="zh-CN"/>
        </w:rPr>
      </w:pPr>
      <w:r>
        <w:rPr>
          <w:rFonts w:hint="eastAsia" w:ascii="宋体" w:hAnsi="宋体" w:eastAsia="宋体" w:cs="宋体"/>
          <w:color w:val="auto"/>
          <w:szCs w:val="24"/>
          <w:highlight w:val="none"/>
        </w:rPr>
        <w:br w:type="page"/>
      </w:r>
      <w:bookmarkStart w:id="202" w:name="_Toc11235"/>
      <w:bookmarkStart w:id="203" w:name="_Toc11605"/>
      <w:bookmarkStart w:id="204" w:name="_Toc22425"/>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w:t>
      </w:r>
      <w:bookmarkEnd w:id="202"/>
      <w:bookmarkEnd w:id="203"/>
      <w:bookmarkEnd w:id="204"/>
    </w:p>
    <w:p>
      <w:pPr>
        <w:spacing w:line="588" w:lineRule="exact"/>
        <w:jc w:val="center"/>
        <w:outlineLvl w:val="9"/>
        <w:rPr>
          <w:rFonts w:hint="eastAsia" w:ascii="宋体" w:hAnsi="宋体" w:eastAsia="宋体" w:cs="宋体"/>
          <w:b/>
          <w:color w:val="auto"/>
          <w:spacing w:val="6"/>
          <w:sz w:val="32"/>
          <w:szCs w:val="32"/>
          <w:highlight w:val="none"/>
          <w:lang w:eastAsia="zh-CN"/>
        </w:rPr>
      </w:pPr>
      <w:bookmarkStart w:id="205" w:name="OLE_LINK13"/>
      <w:bookmarkStart w:id="206" w:name="OLE_LINK14"/>
      <w:r>
        <w:rPr>
          <w:rFonts w:hint="eastAsia" w:ascii="宋体" w:hAnsi="宋体" w:eastAsia="宋体" w:cs="宋体"/>
          <w:b/>
          <w:color w:val="auto"/>
          <w:spacing w:val="6"/>
          <w:sz w:val="32"/>
          <w:szCs w:val="32"/>
          <w:highlight w:val="none"/>
        </w:rPr>
        <w:t>残疾人福利性单位声明函</w:t>
      </w:r>
      <w:r>
        <w:rPr>
          <w:rFonts w:hint="eastAsia" w:hAnsi="宋体" w:cs="宋体"/>
          <w:b/>
          <w:color w:val="auto"/>
          <w:spacing w:val="6"/>
          <w:sz w:val="32"/>
          <w:szCs w:val="32"/>
          <w:highlight w:val="none"/>
          <w:lang w:eastAsia="zh-CN"/>
        </w:rPr>
        <w:t>（如是）</w:t>
      </w:r>
    </w:p>
    <w:bookmarkEnd w:id="205"/>
    <w:bookmarkEnd w:id="206"/>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pPr>
        <w:tabs>
          <w:tab w:val="left" w:pos="2488"/>
        </w:tabs>
        <w:jc w:val="left"/>
        <w:outlineLvl w:val="9"/>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07" w:name="_Toc15616"/>
      <w:bookmarkStart w:id="208" w:name="_Toc25666"/>
      <w:bookmarkStart w:id="209" w:name="_Toc10296"/>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bookmarkEnd w:id="207"/>
      <w:bookmarkEnd w:id="208"/>
      <w:bookmarkEnd w:id="209"/>
    </w:p>
    <w:p>
      <w:pPr>
        <w:spacing w:line="550" w:lineRule="exact"/>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磋商担保函</w:t>
      </w:r>
      <w:r>
        <w:rPr>
          <w:rFonts w:hint="eastAsia" w:ascii="宋体" w:hAnsi="宋体" w:eastAsia="宋体" w:cs="宋体"/>
          <w:b/>
          <w:color w:val="auto"/>
          <w:sz w:val="28"/>
          <w:szCs w:val="28"/>
          <w:highlight w:val="none"/>
        </w:rPr>
        <w:t>（参考格式）</w:t>
      </w:r>
    </w:p>
    <w:p>
      <w:pP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p>
    <w:p>
      <w:pPr>
        <w:jc w:val="center"/>
        <w:outlineLvl w:val="9"/>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24"/>
          <w:highlight w:val="none"/>
        </w:rPr>
        <w:t xml:space="preserve">         编号： </w:t>
      </w:r>
    </w:p>
    <w:p>
      <w:pPr>
        <w:rPr>
          <w:rFonts w:hint="eastAsia" w:ascii="宋体" w:hAnsi="宋体" w:eastAsia="宋体" w:cs="宋体"/>
          <w:color w:val="auto"/>
          <w:szCs w:val="32"/>
          <w:highlight w:val="none"/>
          <w:u w:val="single"/>
        </w:rPr>
      </w:pPr>
    </w:p>
    <w:p>
      <w:pPr>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___________________（采购人或采购代理机构）：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一、保证责任的情形及保证金额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（一）在供应商出现下列情形之一时，我方承担保证责任： </w:t>
      </w:r>
    </w:p>
    <w:p>
      <w:pPr>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1．成交后供应商无正当理由不与采购人或者采购代理机构签订《政府采购合同》； </w:t>
      </w:r>
    </w:p>
    <w:p>
      <w:pPr>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（二）我方承担保证责任的最高金额为人民币______元（大写_____________），即本项目的磋商保证金金额。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二、保证的方式及保证期间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我方保证的方式为：连带责任保证。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我方的保证期间为：自本保函生效之日起______个月止。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三、承担保证责任的程序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四、保证责任的终止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3．按照法律法规的规定或出现我方保证责任终止的其它情形的，我方在本保函项下的保证责任亦终止。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五、免责条款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六、争议的解决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七、保函的生效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本保函自我方加盖公章之日起生效。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rPr>
      </w:pPr>
    </w:p>
    <w:p>
      <w:pPr>
        <w:spacing w:line="360" w:lineRule="auto"/>
        <w:ind w:right="640" w:firstLine="3840" w:firstLineChars="1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保证人：（公章）</w:t>
      </w:r>
    </w:p>
    <w:p>
      <w:pPr>
        <w:spacing w:line="360" w:lineRule="auto"/>
        <w:ind w:right="64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     月      日</w:t>
      </w: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p>
    <w:p>
      <w:pPr>
        <w:spacing w:line="360" w:lineRule="auto"/>
        <w:outlineLvl w:val="9"/>
        <w:rPr>
          <w:rFonts w:hint="eastAsia" w:ascii="宋体" w:hAnsi="宋体" w:eastAsia="宋体" w:cs="宋体"/>
          <w:b/>
          <w:color w:val="auto"/>
          <w:sz w:val="28"/>
          <w:szCs w:val="28"/>
          <w:highlight w:val="none"/>
        </w:rPr>
      </w:pPr>
      <w:bookmarkStart w:id="210" w:name="_Toc2139"/>
      <w:bookmarkStart w:id="211" w:name="_Toc10908"/>
      <w:bookmarkStart w:id="212" w:name="_Toc211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bookmarkEnd w:id="210"/>
      <w:bookmarkEnd w:id="211"/>
      <w:bookmarkEnd w:id="212"/>
    </w:p>
    <w:p>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pPr>
        <w:adjustRightInd w:val="0"/>
        <w:snapToGrid w:val="0"/>
        <w:spacing w:before="312"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w:t>
      </w:r>
      <w:r>
        <w:rPr>
          <w:rFonts w:hint="eastAsia"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bookmarkStart w:id="213" w:name="_GoBack"/>
      <w:bookmarkEnd w:id="213"/>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tabs>
          <w:tab w:val="left" w:pos="7839"/>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p>
    <w:sectPr>
      <w:footerReference r:id="rId11" w:type="first"/>
      <w:footerReference r:id="rId10" w:type="default"/>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uONdUAAAAFAQAADwAAAAAAAAABACAAAAAiAAAA&#10;ZHJzL2Rvd25yZXYueG1sUEsBAhQAFAAAAAgAh07iQF4lRnTRAQAAowMAAA4AAAAAAAAAAQAgAAAA&#10;JAEAAGRycy9lMm9Eb2MueG1sUEsFBgAAAAAGAAYAWQEAAGcFAAAAAA==&#10;">
              <v:fill on="f" focussize="0,0"/>
              <v:stroke on="f" weight="1.25pt"/>
              <v:imagedata o:title=""/>
              <o:lock v:ext="edit" aspectratio="f"/>
              <v:textbox inset="0mm,0mm,0mm,0mm" style="mso-fit-shape-to-text:t;">
                <w:txbxContent>
                  <w:p>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 xml:space="preserve">宁陕县县域城乡生活垃圾收运处置体系专项规划编制服务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6FF30"/>
    <w:multiLevelType w:val="singleLevel"/>
    <w:tmpl w:val="D216FF30"/>
    <w:lvl w:ilvl="0" w:tentative="0">
      <w:start w:val="1"/>
      <w:numFmt w:val="chineseCounting"/>
      <w:suff w:val="nothing"/>
      <w:lvlText w:val="%1、"/>
      <w:lvlJc w:val="left"/>
      <w:rPr>
        <w:rFonts w:hint="eastAsia"/>
      </w:r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0AD303C"/>
    <w:rsid w:val="080154E1"/>
    <w:rsid w:val="0B9C7D1B"/>
    <w:rsid w:val="0D322B22"/>
    <w:rsid w:val="0D900A0D"/>
    <w:rsid w:val="0F2C1C93"/>
    <w:rsid w:val="13784AD1"/>
    <w:rsid w:val="143978DF"/>
    <w:rsid w:val="179B7A92"/>
    <w:rsid w:val="18CA3B19"/>
    <w:rsid w:val="1FE958AF"/>
    <w:rsid w:val="26B47F00"/>
    <w:rsid w:val="2872449F"/>
    <w:rsid w:val="28750C70"/>
    <w:rsid w:val="29CE6B92"/>
    <w:rsid w:val="2DD92C6B"/>
    <w:rsid w:val="2FED2083"/>
    <w:rsid w:val="337220F8"/>
    <w:rsid w:val="361707D4"/>
    <w:rsid w:val="39DB091B"/>
    <w:rsid w:val="39E719F5"/>
    <w:rsid w:val="3C3B3E94"/>
    <w:rsid w:val="3DC32298"/>
    <w:rsid w:val="3FD854DB"/>
    <w:rsid w:val="43F65ECD"/>
    <w:rsid w:val="46841339"/>
    <w:rsid w:val="495A1B71"/>
    <w:rsid w:val="4C787EC2"/>
    <w:rsid w:val="4C88712F"/>
    <w:rsid w:val="51603C62"/>
    <w:rsid w:val="52B64958"/>
    <w:rsid w:val="53E93ADE"/>
    <w:rsid w:val="543C24C2"/>
    <w:rsid w:val="54D63692"/>
    <w:rsid w:val="56E85B49"/>
    <w:rsid w:val="5755403F"/>
    <w:rsid w:val="59F91A4E"/>
    <w:rsid w:val="5D266025"/>
    <w:rsid w:val="5F320205"/>
    <w:rsid w:val="5FB5490A"/>
    <w:rsid w:val="60B225F4"/>
    <w:rsid w:val="633E290B"/>
    <w:rsid w:val="64FA66E7"/>
    <w:rsid w:val="65B03F55"/>
    <w:rsid w:val="6CEA1674"/>
    <w:rsid w:val="6E913F2E"/>
    <w:rsid w:val="6EED436C"/>
    <w:rsid w:val="75343457"/>
    <w:rsid w:val="7936442A"/>
    <w:rsid w:val="7B7604F3"/>
    <w:rsid w:val="7E07040C"/>
    <w:rsid w:val="7FA9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w:basedOn w:val="1"/>
    <w:next w:val="1"/>
    <w:qFormat/>
    <w:uiPriority w:val="0"/>
    <w:pPr>
      <w:spacing w:after="120" w:afterLines="0"/>
    </w:pPr>
    <w:rPr>
      <w:rFonts w:ascii="Calibri"/>
      <w:kern w:val="2"/>
      <w:sz w:val="21"/>
    </w:rPr>
  </w:style>
  <w:style w:type="paragraph" w:styleId="9">
    <w:name w:val="Body Text Indent"/>
    <w:basedOn w:val="1"/>
    <w:next w:val="10"/>
    <w:qFormat/>
    <w:uiPriority w:val="0"/>
    <w:pPr>
      <w:ind w:left="1083" w:leftChars="30" w:hanging="1020" w:hangingChars="425"/>
    </w:pPr>
    <w:rPr>
      <w:rFonts w:ascii="宋体" w:hAnsi="宋体"/>
      <w:sz w:val="24"/>
    </w:rPr>
  </w:style>
  <w:style w:type="paragraph" w:customStyle="1" w:styleId="10">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1">
    <w:name w:val="Plain Text"/>
    <w:basedOn w:val="1"/>
    <w:qFormat/>
    <w:uiPriority w:val="0"/>
    <w:rPr>
      <w:rFonts w:hAnsi="Courier New"/>
      <w:kern w:val="2"/>
      <w:sz w:val="21"/>
    </w:rPr>
  </w:style>
  <w:style w:type="paragraph" w:styleId="12">
    <w:name w:val="footer"/>
    <w:basedOn w:val="1"/>
    <w:qFormat/>
    <w:uiPriority w:val="99"/>
    <w:pPr>
      <w:tabs>
        <w:tab w:val="center" w:pos="4153"/>
        <w:tab w:val="right" w:pos="8306"/>
      </w:tabs>
      <w:snapToGrid w:val="0"/>
      <w:jc w:val="left"/>
    </w:pPr>
    <w:rPr>
      <w:rFonts w:ascii="Calibri"/>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unhideWhenUsed/>
    <w:qFormat/>
    <w:uiPriority w:val="39"/>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index 7"/>
    <w:basedOn w:val="1"/>
    <w:next w:val="1"/>
    <w:qFormat/>
    <w:uiPriority w:val="0"/>
    <w:pPr>
      <w:spacing w:line="580" w:lineRule="exact"/>
      <w:ind w:firstLine="640" w:firstLineChars="200"/>
    </w:pPr>
    <w:rPr>
      <w:rFonts w:ascii="仿宋_GB2312" w:eastAsia="仿宋_GB2312"/>
      <w:sz w:val="32"/>
      <w:szCs w:val="32"/>
    </w:rPr>
  </w:style>
  <w:style w:type="paragraph" w:styleId="17">
    <w:name w:val="toc 2"/>
    <w:basedOn w:val="1"/>
    <w:next w:val="1"/>
    <w:unhideWhenUsed/>
    <w:qFormat/>
    <w:uiPriority w:val="39"/>
    <w:pPr>
      <w:ind w:left="420" w:leftChars="200"/>
    </w:pPr>
  </w:style>
  <w:style w:type="paragraph" w:styleId="18">
    <w:name w:val="Body Text 2"/>
    <w:basedOn w:val="1"/>
    <w:qFormat/>
    <w:uiPriority w:val="99"/>
    <w:pPr>
      <w:spacing w:after="120" w:line="480" w:lineRule="auto"/>
      <w:ind w:firstLine="200" w:firstLineChars="200"/>
    </w:pPr>
    <w:rPr>
      <w:sz w:val="28"/>
      <w:szCs w:val="28"/>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20">
    <w:name w:val="Body Text First Indent"/>
    <w:basedOn w:val="1"/>
    <w:next w:val="1"/>
    <w:qFormat/>
    <w:uiPriority w:val="0"/>
    <w:pPr>
      <w:adjustRightInd w:val="0"/>
      <w:ind w:firstLine="420"/>
      <w:jc w:val="left"/>
      <w:textAlignment w:val="baseline"/>
    </w:pPr>
    <w:rPr>
      <w:b/>
      <w:kern w:val="0"/>
      <w:sz w:val="21"/>
    </w:rPr>
  </w:style>
  <w:style w:type="paragraph" w:styleId="21">
    <w:name w:val="Body Text First Indent 2"/>
    <w:basedOn w:val="9"/>
    <w:next w:val="20"/>
    <w:qFormat/>
    <w:uiPriority w:val="0"/>
    <w:pPr>
      <w:spacing w:after="120"/>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qFormat/>
    <w:uiPriority w:val="99"/>
    <w:rPr>
      <w:color w:val="333333"/>
      <w:u w:val="single"/>
    </w:rPr>
  </w:style>
  <w:style w:type="paragraph" w:customStyle="1" w:styleId="27">
    <w:name w:val="List Paragraph"/>
    <w:basedOn w:val="1"/>
    <w:qFormat/>
    <w:uiPriority w:val="34"/>
    <w:pPr>
      <w:ind w:firstLine="420" w:firstLineChars="200"/>
    </w:pPr>
  </w:style>
  <w:style w:type="paragraph" w:customStyle="1" w:styleId="28">
    <w:name w:val="Char1"/>
    <w:basedOn w:val="1"/>
    <w:qFormat/>
    <w:uiPriority w:val="0"/>
    <w:pPr>
      <w:tabs>
        <w:tab w:val="left" w:pos="360"/>
      </w:tabs>
      <w:ind w:left="360" w:hanging="360" w:hangingChars="200"/>
    </w:pPr>
    <w:rPr>
      <w:sz w:val="24"/>
      <w:szCs w:val="24"/>
    </w:rPr>
  </w:style>
  <w:style w:type="paragraph" w:customStyle="1" w:styleId="29">
    <w:name w:val="msolistparagraph"/>
    <w:next w:val="16"/>
    <w:qFormat/>
    <w:uiPriority w:val="0"/>
    <w:pPr>
      <w:widowControl w:val="0"/>
      <w:ind w:firstLine="200" w:firstLineChars="200"/>
      <w:jc w:val="both"/>
    </w:pPr>
    <w:rPr>
      <w:rFonts w:ascii="Calibri" w:hAnsi="Calibri" w:eastAsia="宋体" w:cs="Times New Roman"/>
      <w:kern w:val="2"/>
      <w:sz w:val="21"/>
      <w:lang w:val="en-US" w:eastAsia="zh-CN" w:bidi="ar-SA"/>
    </w:rPr>
  </w:style>
  <w:style w:type="paragraph" w:customStyle="1" w:styleId="30">
    <w:name w:val="标题3"/>
    <w:basedOn w:val="1"/>
    <w:qFormat/>
    <w:uiPriority w:val="99"/>
    <w:pPr>
      <w:outlineLvl w:val="2"/>
    </w:pPr>
    <w:rPr>
      <w:rFonts w:ascii="Calibri" w:hAnsi="Calibri" w:cs="Calibri"/>
      <w:b/>
      <w:bCs/>
    </w:rPr>
  </w:style>
  <w:style w:type="paragraph" w:customStyle="1" w:styleId="31">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2">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customStyle="1" w:styleId="33">
    <w:name w:val="列出段落11"/>
    <w:basedOn w:val="1"/>
    <w:qFormat/>
    <w:uiPriority w:val="34"/>
    <w:pPr>
      <w:ind w:firstLine="420" w:firstLineChars="200"/>
    </w:pPr>
    <w:rPr>
      <w:rFonts w:ascii="Calibri" w:hAnsi="Calibri"/>
    </w:rPr>
  </w:style>
  <w:style w:type="paragraph" w:customStyle="1" w:styleId="34">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27524</Words>
  <Characters>29709</Characters>
  <Lines>0</Lines>
  <Paragraphs>0</Paragraphs>
  <TotalTime>22</TotalTime>
  <ScaleCrop>false</ScaleCrop>
  <LinksUpToDate>false</LinksUpToDate>
  <CharactersWithSpaces>33581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91356</dc:creator>
  <cp:lastModifiedBy>文档存本地丢失不负责</cp:lastModifiedBy>
  <dcterms:modified xsi:type="dcterms:W3CDTF">2023-04-17T10:26:39Z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0FD0B5DA55C94257A27464A1B93CD7E8</vt:lpwstr>
  </property>
</Properties>
</file>