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after="156" w:afterLines="50" w:line="360" w:lineRule="auto"/>
        <w:rPr>
          <w:rFonts w:hint="eastAsia" w:ascii="宋体" w:hAnsi="宋体" w:eastAsia="宋体" w:cs="宋体"/>
          <w:b/>
          <w:color w:val="000000"/>
          <w:sz w:val="40"/>
          <w:szCs w:val="40"/>
          <w:highlight w:val="none"/>
          <w:lang w:eastAsia="zh-CN"/>
        </w:rPr>
      </w:pPr>
      <w:bookmarkStart w:id="0" w:name="_Toc495913679"/>
      <w:bookmarkStart w:id="1" w:name="_Toc6464"/>
      <w:r>
        <w:rPr>
          <w:rFonts w:hint="eastAsia" w:ascii="宋体" w:hAnsi="宋体" w:eastAsia="宋体" w:cs="宋体"/>
          <w:b/>
          <w:color w:val="000000"/>
          <w:sz w:val="40"/>
          <w:szCs w:val="40"/>
          <w:highlight w:val="none"/>
          <w:lang w:eastAsia="zh-CN"/>
        </w:rPr>
        <w:t>洛南县体育运动中心建设项目设计采购（二次）</w:t>
      </w:r>
    </w:p>
    <w:p>
      <w:pPr>
        <w:pStyle w:val="7"/>
        <w:spacing w:after="156" w:afterLines="50" w:line="360" w:lineRule="auto"/>
        <w:rPr>
          <w:rFonts w:hint="eastAsia" w:ascii="宋体" w:hAnsi="宋体" w:eastAsia="宋体" w:cs="宋体"/>
          <w:color w:val="000000"/>
          <w:szCs w:val="28"/>
          <w:highlight w:val="none"/>
        </w:rPr>
      </w:pPr>
      <w:r>
        <w:rPr>
          <w:rFonts w:hint="eastAsia" w:ascii="宋体" w:hAnsi="宋体" w:eastAsia="宋体" w:cs="宋体"/>
          <w:b/>
          <w:color w:val="000000"/>
          <w:sz w:val="44"/>
          <w:szCs w:val="44"/>
          <w:highlight w:val="none"/>
        </w:rPr>
        <w:t>公开招标公告</w:t>
      </w:r>
      <w:bookmarkEnd w:id="0"/>
      <w:bookmarkEnd w:id="1"/>
      <w:bookmarkStart w:id="2" w:name="_Toc30089"/>
      <w:bookmarkEnd w:id="2"/>
      <w:bookmarkStart w:id="3" w:name="_Toc438048787"/>
      <w:bookmarkEnd w:id="3"/>
      <w:bookmarkStart w:id="4" w:name="_Toc35393621"/>
      <w:bookmarkStart w:id="5" w:name="_Toc35393790"/>
      <w:bookmarkStart w:id="6" w:name="_Toc28359002"/>
      <w:bookmarkStart w:id="7" w:name="_Hlk24379207"/>
      <w:bookmarkStart w:id="8" w:name="_Toc28359079"/>
    </w:p>
    <w:bookmarkEnd w:id="4"/>
    <w:bookmarkEnd w:id="5"/>
    <w:bookmarkEnd w:id="6"/>
    <w:bookmarkEnd w:id="7"/>
    <w:bookmarkEnd w:id="8"/>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jc w:val="left"/>
        <w:textAlignment w:val="baseline"/>
        <w:rPr>
          <w:rFonts w:ascii="微软雅黑" w:hAnsi="微软雅黑" w:eastAsia="微软雅黑" w:cs="微软雅黑"/>
          <w:b w:val="0"/>
          <w:bCs w:val="0"/>
          <w:i w:val="0"/>
          <w:iCs w:val="0"/>
          <w:caps w:val="0"/>
          <w:color w:val="333333"/>
          <w:spacing w:val="0"/>
          <w:sz w:val="21"/>
          <w:szCs w:val="21"/>
        </w:rPr>
      </w:pPr>
      <w:bookmarkStart w:id="9" w:name="_Toc6698"/>
      <w:r>
        <w:rPr>
          <w:rStyle w:val="15"/>
          <w:rFonts w:hint="eastAsia" w:ascii="微软雅黑" w:hAnsi="微软雅黑" w:eastAsia="微软雅黑" w:cs="微软雅黑"/>
          <w:b/>
          <w:bCs/>
          <w:i w:val="0"/>
          <w:iCs w:val="0"/>
          <w:caps w:val="0"/>
          <w:color w:val="333333"/>
          <w:spacing w:val="0"/>
          <w:sz w:val="21"/>
          <w:szCs w:val="21"/>
          <w:shd w:val="clear" w:color="auto" w:fill="FFFFFF"/>
          <w:vertAlign w:val="baseline"/>
        </w:rPr>
        <w:t>项目概况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bCs/>
          <w:color w:val="000000"/>
          <w:sz w:val="24"/>
          <w:szCs w:val="24"/>
          <w:highlight w:val="none"/>
          <w:lang w:val="en-US" w:eastAsia="zh-CN"/>
        </w:rPr>
      </w:pPr>
      <w:r>
        <w:rPr>
          <w:rFonts w:hint="eastAsia" w:cs="宋体"/>
          <w:bCs/>
          <w:color w:val="000000"/>
          <w:sz w:val="24"/>
          <w:szCs w:val="24"/>
          <w:highlight w:val="none"/>
          <w:lang w:val="en-US" w:eastAsia="zh-CN"/>
        </w:rPr>
        <w:t>洛南县体育运动中心建设项目设计采购（二次）</w:t>
      </w:r>
      <w:r>
        <w:rPr>
          <w:rFonts w:hint="eastAsia" w:ascii="宋体" w:hAnsi="宋体" w:eastAsia="宋体" w:cs="宋体"/>
          <w:bCs/>
          <w:color w:val="000000"/>
          <w:sz w:val="24"/>
          <w:szCs w:val="24"/>
          <w:highlight w:val="none"/>
          <w:lang w:val="en-US" w:eastAsia="zh-CN"/>
        </w:rPr>
        <w:t>采购项目的潜在供应商应在陕西省西安市高新区唐延南路逸翠尚府北区1号楼7单元1501室获取采购文件，并于2023年03月2</w:t>
      </w:r>
      <w:r>
        <w:rPr>
          <w:rFonts w:hint="eastAsia" w:cs="宋体"/>
          <w:bCs/>
          <w:color w:val="000000"/>
          <w:sz w:val="24"/>
          <w:szCs w:val="24"/>
          <w:highlight w:val="none"/>
          <w:lang w:val="en-US" w:eastAsia="zh-CN"/>
        </w:rPr>
        <w:t>3</w:t>
      </w:r>
      <w:r>
        <w:rPr>
          <w:rFonts w:hint="eastAsia" w:ascii="宋体" w:hAnsi="宋体" w:eastAsia="宋体" w:cs="宋体"/>
          <w:bCs/>
          <w:color w:val="000000"/>
          <w:sz w:val="24"/>
          <w:szCs w:val="24"/>
          <w:highlight w:val="none"/>
          <w:lang w:val="en-US" w:eastAsia="zh-CN"/>
        </w:rPr>
        <w:t>日14时30分（北京时间）前提交投标文件。</w:t>
      </w:r>
    </w:p>
    <w:p>
      <w:pPr>
        <w:pStyle w:val="8"/>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一、项目基本情况</w:t>
      </w:r>
      <w:bookmarkEnd w:id="9"/>
      <w:bookmarkStart w:id="36" w:name="_GoBack"/>
      <w:bookmarkEnd w:id="36"/>
    </w:p>
    <w:p>
      <w:pPr>
        <w:keepLines w:val="0"/>
        <w:pageBreakBefore w:val="0"/>
        <w:kinsoku/>
        <w:wordWrap/>
        <w:overflowPunct/>
        <w:topLinePunct w:val="0"/>
        <w:autoSpaceDE/>
        <w:autoSpaceDN/>
        <w:bidi w:val="0"/>
        <w:adjustRightIn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1、项目编号：</w:t>
      </w:r>
      <w:r>
        <w:rPr>
          <w:rFonts w:hint="eastAsia" w:ascii="宋体" w:hAnsi="宋体" w:eastAsia="宋体" w:cs="宋体"/>
          <w:color w:val="000000"/>
          <w:sz w:val="24"/>
          <w:szCs w:val="24"/>
          <w:highlight w:val="none"/>
          <w:lang w:eastAsia="zh-CN"/>
        </w:rPr>
        <w:t>FYZB-ZC-2023-007</w:t>
      </w:r>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s="宋体"/>
          <w:bCs/>
          <w:color w:val="000000"/>
          <w:sz w:val="24"/>
          <w:szCs w:val="24"/>
          <w:highlight w:val="none"/>
          <w:lang w:eastAsia="zh-CN"/>
        </w:rPr>
      </w:pPr>
      <w:r>
        <w:rPr>
          <w:rFonts w:hint="eastAsia" w:ascii="宋体" w:hAnsi="宋体" w:cs="宋体"/>
          <w:color w:val="000000"/>
          <w:sz w:val="24"/>
          <w:szCs w:val="24"/>
          <w:highlight w:val="none"/>
        </w:rPr>
        <w:t>2、项目名称：</w:t>
      </w:r>
      <w:r>
        <w:rPr>
          <w:rFonts w:hint="eastAsia" w:ascii="宋体" w:hAnsi="宋体" w:cs="宋体"/>
          <w:bCs/>
          <w:color w:val="000000"/>
          <w:sz w:val="24"/>
          <w:szCs w:val="24"/>
          <w:highlight w:val="none"/>
          <w:lang w:eastAsia="zh-CN"/>
        </w:rPr>
        <w:t>洛南县体育运动中心建设项目设计采购（二次）</w:t>
      </w:r>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s="宋体"/>
          <w:bCs/>
          <w:color w:val="000000"/>
          <w:sz w:val="24"/>
          <w:szCs w:val="24"/>
          <w:highlight w:val="none"/>
        </w:rPr>
      </w:pPr>
      <w:r>
        <w:rPr>
          <w:rFonts w:hint="eastAsia" w:ascii="宋体" w:hAnsi="宋体" w:cs="宋体"/>
          <w:color w:val="000000"/>
          <w:sz w:val="24"/>
          <w:szCs w:val="24"/>
          <w:highlight w:val="none"/>
        </w:rPr>
        <w:t>3、</w:t>
      </w:r>
      <w:r>
        <w:rPr>
          <w:rFonts w:hint="eastAsia" w:ascii="宋体" w:hAnsi="宋体" w:cs="宋体"/>
          <w:color w:val="000000"/>
          <w:sz w:val="24"/>
          <w:szCs w:val="24"/>
          <w:highlight w:val="none"/>
          <w:lang w:eastAsia="zh-CN"/>
        </w:rPr>
        <w:t>采购方式：公开招标</w:t>
      </w:r>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eastAsia="zh-CN"/>
        </w:rPr>
        <w:t>预算金额</w:t>
      </w:r>
      <w:r>
        <w:rPr>
          <w:rFonts w:hint="eastAsia" w:ascii="宋体" w:hAnsi="宋体" w:eastAsia="宋体" w:cs="宋体"/>
          <w:color w:val="000000"/>
          <w:sz w:val="24"/>
          <w:szCs w:val="24"/>
          <w:highlight w:val="none"/>
        </w:rPr>
        <w:t>：</w:t>
      </w:r>
      <w:bookmarkStart w:id="10" w:name="_Toc35393622"/>
      <w:bookmarkStart w:id="11" w:name="_Toc35393791"/>
      <w:bookmarkStart w:id="12" w:name="_Toc28359003"/>
      <w:bookmarkStart w:id="13" w:name="_Toc28359080"/>
      <w:bookmarkStart w:id="14" w:name="_Toc28377"/>
      <w:r>
        <w:rPr>
          <w:rFonts w:hint="eastAsia" w:ascii="宋体" w:hAnsi="宋体" w:cs="宋体"/>
          <w:color w:val="000000"/>
          <w:sz w:val="24"/>
          <w:szCs w:val="24"/>
          <w:highlight w:val="none"/>
          <w:lang w:eastAsia="zh-CN"/>
        </w:rPr>
        <w:t>3</w:t>
      </w:r>
      <w:r>
        <w:rPr>
          <w:rFonts w:hint="eastAsia" w:ascii="宋体" w:hAnsi="宋体" w:cs="宋体"/>
          <w:color w:val="000000"/>
          <w:sz w:val="24"/>
          <w:szCs w:val="24"/>
          <w:highlight w:val="none"/>
          <w:lang w:val="en-US" w:eastAsia="zh-CN"/>
        </w:rPr>
        <w:t>600000.00</w:t>
      </w:r>
      <w:r>
        <w:rPr>
          <w:rFonts w:hint="eastAsia" w:ascii="宋体" w:hAnsi="宋体" w:eastAsia="宋体" w:cs="宋体"/>
          <w:color w:val="000000"/>
          <w:sz w:val="24"/>
          <w:szCs w:val="24"/>
          <w:highlight w:val="none"/>
          <w:lang w:val="en-US" w:eastAsia="zh-CN"/>
        </w:rPr>
        <w:t>元</w:t>
      </w:r>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5、采购需求：</w:t>
      </w:r>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合同包1（</w:t>
      </w:r>
      <w:r>
        <w:rPr>
          <w:rFonts w:hint="eastAsia" w:ascii="宋体" w:hAnsi="宋体" w:cs="宋体"/>
          <w:bCs/>
          <w:color w:val="000000"/>
          <w:sz w:val="24"/>
          <w:szCs w:val="24"/>
          <w:highlight w:val="none"/>
          <w:lang w:eastAsia="zh-CN"/>
        </w:rPr>
        <w:t>洛南县体育运动中心建设项目设计采购（二次）</w:t>
      </w:r>
      <w:r>
        <w:rPr>
          <w:rFonts w:hint="eastAsia" w:ascii="宋体" w:hAnsi="宋体" w:eastAsia="宋体" w:cs="宋体"/>
          <w:color w:val="000000"/>
          <w:sz w:val="24"/>
          <w:szCs w:val="24"/>
          <w:highlight w:val="none"/>
          <w:lang w:val="en-US" w:eastAsia="zh-CN"/>
        </w:rPr>
        <w:t>）:</w:t>
      </w:r>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合同包预算金额：</w:t>
      </w:r>
      <w:r>
        <w:rPr>
          <w:rFonts w:hint="eastAsia" w:ascii="宋体" w:hAnsi="宋体" w:cs="宋体"/>
          <w:color w:val="000000"/>
          <w:sz w:val="24"/>
          <w:szCs w:val="24"/>
          <w:highlight w:val="none"/>
          <w:lang w:eastAsia="zh-CN"/>
        </w:rPr>
        <w:t>3</w:t>
      </w:r>
      <w:r>
        <w:rPr>
          <w:rFonts w:hint="eastAsia" w:ascii="宋体" w:hAnsi="宋体" w:cs="宋体"/>
          <w:color w:val="000000"/>
          <w:sz w:val="24"/>
          <w:szCs w:val="24"/>
          <w:highlight w:val="none"/>
          <w:lang w:val="en-US" w:eastAsia="zh-CN"/>
        </w:rPr>
        <w:t>600000.00</w:t>
      </w:r>
      <w:r>
        <w:rPr>
          <w:rFonts w:hint="eastAsia" w:ascii="宋体" w:hAnsi="宋体" w:eastAsia="宋体" w:cs="宋体"/>
          <w:color w:val="000000"/>
          <w:sz w:val="24"/>
          <w:szCs w:val="24"/>
          <w:highlight w:val="none"/>
          <w:lang w:val="en-US" w:eastAsia="zh-CN"/>
        </w:rPr>
        <w:t>元</w:t>
      </w:r>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合同包最高限价：</w:t>
      </w:r>
      <w:r>
        <w:rPr>
          <w:rFonts w:hint="eastAsia" w:ascii="宋体" w:hAnsi="宋体" w:cs="宋体"/>
          <w:color w:val="000000"/>
          <w:sz w:val="24"/>
          <w:szCs w:val="24"/>
          <w:highlight w:val="none"/>
          <w:lang w:eastAsia="zh-CN"/>
        </w:rPr>
        <w:t>3</w:t>
      </w:r>
      <w:r>
        <w:rPr>
          <w:rFonts w:hint="eastAsia" w:ascii="宋体" w:hAnsi="宋体" w:cs="宋体"/>
          <w:color w:val="000000"/>
          <w:sz w:val="24"/>
          <w:szCs w:val="24"/>
          <w:highlight w:val="none"/>
          <w:lang w:val="en-US" w:eastAsia="zh-CN"/>
        </w:rPr>
        <w:t>600000.00</w:t>
      </w:r>
      <w:r>
        <w:rPr>
          <w:rFonts w:hint="eastAsia" w:ascii="宋体" w:hAnsi="宋体" w:eastAsia="宋体" w:cs="宋体"/>
          <w:color w:val="000000"/>
          <w:sz w:val="24"/>
          <w:szCs w:val="24"/>
          <w:highlight w:val="none"/>
          <w:lang w:val="en-US" w:eastAsia="zh-CN"/>
        </w:rPr>
        <w:t>元</w:t>
      </w:r>
    </w:p>
    <w:tbl>
      <w:tblPr>
        <w:tblStyle w:val="13"/>
        <w:tblW w:w="99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6"/>
        <w:gridCol w:w="1395"/>
        <w:gridCol w:w="2505"/>
        <w:gridCol w:w="990"/>
        <w:gridCol w:w="1485"/>
        <w:gridCol w:w="1551"/>
        <w:gridCol w:w="1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2" w:hRule="atLeast"/>
          <w:tblHeader/>
        </w:trPr>
        <w:tc>
          <w:tcPr>
            <w:tcW w:w="5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highlight w:val="none"/>
                <w:lang w:val="en-US" w:eastAsia="zh-CN"/>
              </w:rPr>
            </w:pPr>
            <w:r>
              <w:rPr>
                <w:rFonts w:hint="eastAsia"/>
                <w:sz w:val="24"/>
                <w:szCs w:val="24"/>
                <w:highlight w:val="none"/>
                <w:lang w:val="en-US" w:eastAsia="zh-CN"/>
              </w:rPr>
              <w:t>品目号</w:t>
            </w:r>
          </w:p>
        </w:tc>
        <w:tc>
          <w:tcPr>
            <w:tcW w:w="13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highlight w:val="none"/>
                <w:lang w:val="en-US" w:eastAsia="zh-CN"/>
              </w:rPr>
            </w:pPr>
            <w:r>
              <w:rPr>
                <w:rFonts w:hint="eastAsia"/>
                <w:sz w:val="24"/>
                <w:szCs w:val="24"/>
                <w:highlight w:val="none"/>
                <w:lang w:val="en-US" w:eastAsia="zh-CN"/>
              </w:rPr>
              <w:t>品目名称</w:t>
            </w:r>
          </w:p>
        </w:tc>
        <w:tc>
          <w:tcPr>
            <w:tcW w:w="25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highlight w:val="none"/>
                <w:lang w:val="en-US" w:eastAsia="zh-CN"/>
              </w:rPr>
            </w:pPr>
            <w:r>
              <w:rPr>
                <w:rFonts w:hint="eastAsia"/>
                <w:sz w:val="24"/>
                <w:szCs w:val="24"/>
                <w:highlight w:val="none"/>
                <w:lang w:val="en-US" w:eastAsia="zh-CN"/>
              </w:rPr>
              <w:t>采购标的</w:t>
            </w:r>
          </w:p>
        </w:tc>
        <w:tc>
          <w:tcPr>
            <w:tcW w:w="99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highlight w:val="none"/>
                <w:lang w:val="en-US" w:eastAsia="zh-CN"/>
              </w:rPr>
            </w:pPr>
            <w:r>
              <w:rPr>
                <w:rFonts w:hint="eastAsia"/>
                <w:sz w:val="24"/>
                <w:szCs w:val="24"/>
                <w:highlight w:val="none"/>
                <w:lang w:val="en-US" w:eastAsia="zh-CN"/>
              </w:rPr>
              <w:t>数量（单位）</w:t>
            </w:r>
          </w:p>
        </w:tc>
        <w:tc>
          <w:tcPr>
            <w:tcW w:w="14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highlight w:val="none"/>
                <w:lang w:val="en-US" w:eastAsia="zh-CN"/>
              </w:rPr>
            </w:pPr>
            <w:r>
              <w:rPr>
                <w:rFonts w:hint="eastAsia"/>
                <w:sz w:val="24"/>
                <w:szCs w:val="24"/>
                <w:highlight w:val="none"/>
                <w:lang w:val="en-US" w:eastAsia="zh-CN"/>
              </w:rPr>
              <w:t>技术规格、参数及要求</w:t>
            </w:r>
          </w:p>
        </w:tc>
        <w:tc>
          <w:tcPr>
            <w:tcW w:w="155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highlight w:val="none"/>
                <w:lang w:val="en-US" w:eastAsia="zh-CN"/>
              </w:rPr>
            </w:pPr>
            <w:r>
              <w:rPr>
                <w:rFonts w:hint="eastAsia"/>
                <w:sz w:val="24"/>
                <w:szCs w:val="24"/>
                <w:highlight w:val="none"/>
                <w:lang w:val="en-US" w:eastAsia="zh-CN"/>
              </w:rPr>
              <w:t>品目预算(元)</w:t>
            </w:r>
          </w:p>
        </w:tc>
        <w:tc>
          <w:tcPr>
            <w:tcW w:w="14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highlight w:val="none"/>
                <w:lang w:val="en-US" w:eastAsia="zh-CN"/>
              </w:rPr>
            </w:pPr>
            <w:r>
              <w:rPr>
                <w:rFonts w:hint="eastAsia"/>
                <w:sz w:val="24"/>
                <w:szCs w:val="24"/>
                <w:highlight w:val="none"/>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8" w:hRule="atLeast"/>
        </w:trPr>
        <w:tc>
          <w:tcPr>
            <w:tcW w:w="5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highlight w:val="none"/>
                <w:lang w:val="en-US" w:eastAsia="zh-CN"/>
              </w:rPr>
            </w:pPr>
            <w:r>
              <w:rPr>
                <w:rFonts w:hint="eastAsia"/>
                <w:sz w:val="24"/>
                <w:szCs w:val="24"/>
                <w:highlight w:val="none"/>
                <w:lang w:val="en-US" w:eastAsia="zh-CN"/>
              </w:rPr>
              <w:t>1-1</w:t>
            </w:r>
          </w:p>
        </w:tc>
        <w:tc>
          <w:tcPr>
            <w:tcW w:w="13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highlight w:val="none"/>
                <w:lang w:val="en-US" w:eastAsia="zh-CN"/>
              </w:rPr>
            </w:pPr>
            <w:r>
              <w:rPr>
                <w:rFonts w:hint="eastAsia"/>
                <w:sz w:val="24"/>
                <w:szCs w:val="24"/>
                <w:highlight w:val="none"/>
                <w:lang w:val="en-US" w:eastAsia="zh-CN"/>
              </w:rPr>
              <w:t>工程设计服务</w:t>
            </w:r>
          </w:p>
        </w:tc>
        <w:tc>
          <w:tcPr>
            <w:tcW w:w="25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highlight w:val="none"/>
                <w:lang w:val="en-US" w:eastAsia="zh-CN"/>
              </w:rPr>
            </w:pPr>
            <w:r>
              <w:rPr>
                <w:rFonts w:hint="eastAsia" w:ascii="宋体" w:hAnsi="宋体" w:cs="宋体"/>
                <w:bCs/>
                <w:color w:val="000000"/>
                <w:sz w:val="24"/>
                <w:szCs w:val="24"/>
                <w:highlight w:val="none"/>
                <w:lang w:eastAsia="zh-CN"/>
              </w:rPr>
              <w:t>洛南县体育运动中心建设项目设计</w:t>
            </w:r>
          </w:p>
        </w:tc>
        <w:tc>
          <w:tcPr>
            <w:tcW w:w="99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highlight w:val="none"/>
                <w:lang w:val="en-US" w:eastAsia="zh-CN"/>
              </w:rPr>
            </w:pPr>
            <w:r>
              <w:rPr>
                <w:rFonts w:hint="eastAsia"/>
                <w:sz w:val="24"/>
                <w:szCs w:val="24"/>
                <w:highlight w:val="none"/>
                <w:lang w:val="en-US" w:eastAsia="zh-CN"/>
              </w:rPr>
              <w:t>1项</w:t>
            </w:r>
          </w:p>
        </w:tc>
        <w:tc>
          <w:tcPr>
            <w:tcW w:w="14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highlight w:val="none"/>
                <w:lang w:val="en-US" w:eastAsia="zh-CN"/>
              </w:rPr>
            </w:pPr>
            <w:r>
              <w:rPr>
                <w:rFonts w:hint="eastAsia"/>
                <w:sz w:val="24"/>
                <w:szCs w:val="24"/>
                <w:highlight w:val="none"/>
                <w:lang w:val="en-US" w:eastAsia="zh-CN"/>
              </w:rPr>
              <w:t>详见采购文件</w:t>
            </w:r>
          </w:p>
        </w:tc>
        <w:tc>
          <w:tcPr>
            <w:tcW w:w="155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highlight w:val="none"/>
                <w:lang w:val="en-US" w:eastAsia="zh-CN"/>
              </w:rPr>
            </w:pPr>
            <w:r>
              <w:rPr>
                <w:rFonts w:hint="eastAsia" w:ascii="宋体" w:hAnsi="宋体" w:cs="宋体"/>
                <w:color w:val="000000"/>
                <w:sz w:val="24"/>
                <w:szCs w:val="24"/>
                <w:highlight w:val="none"/>
                <w:lang w:eastAsia="zh-CN"/>
              </w:rPr>
              <w:t>3</w:t>
            </w:r>
            <w:r>
              <w:rPr>
                <w:rFonts w:hint="eastAsia" w:ascii="宋体" w:hAnsi="宋体" w:cs="宋体"/>
                <w:color w:val="000000"/>
                <w:sz w:val="24"/>
                <w:szCs w:val="24"/>
                <w:highlight w:val="none"/>
                <w:lang w:val="en-US" w:eastAsia="zh-CN"/>
              </w:rPr>
              <w:t>600000.00</w:t>
            </w:r>
          </w:p>
        </w:tc>
        <w:tc>
          <w:tcPr>
            <w:tcW w:w="14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highlight w:val="none"/>
                <w:lang w:val="en-US" w:eastAsia="zh-CN"/>
              </w:rPr>
            </w:pPr>
            <w:r>
              <w:rPr>
                <w:rFonts w:hint="eastAsia" w:ascii="宋体" w:hAnsi="宋体" w:cs="宋体"/>
                <w:color w:val="000000"/>
                <w:sz w:val="24"/>
                <w:szCs w:val="24"/>
                <w:highlight w:val="none"/>
                <w:lang w:eastAsia="zh-CN"/>
              </w:rPr>
              <w:t>3</w:t>
            </w:r>
            <w:r>
              <w:rPr>
                <w:rFonts w:hint="eastAsia" w:ascii="宋体" w:hAnsi="宋体" w:cs="宋体"/>
                <w:color w:val="000000"/>
                <w:sz w:val="24"/>
                <w:szCs w:val="24"/>
                <w:highlight w:val="none"/>
                <w:lang w:val="en-US" w:eastAsia="zh-CN"/>
              </w:rPr>
              <w:t>600000.00</w:t>
            </w:r>
          </w:p>
        </w:tc>
      </w:tr>
    </w:tbl>
    <w:p>
      <w:pPr>
        <w:pStyle w:val="8"/>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本合同包不接受联合体投标</w:t>
      </w:r>
    </w:p>
    <w:p>
      <w:pPr>
        <w:pStyle w:val="8"/>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的资格要求</w:t>
      </w:r>
      <w:bookmarkEnd w:id="10"/>
      <w:bookmarkEnd w:id="11"/>
      <w:bookmarkEnd w:id="12"/>
      <w:bookmarkEnd w:id="13"/>
      <w:bookmarkEnd w:id="14"/>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满足《中华人民共和国政府采购法》第二十二条规定；</w:t>
      </w:r>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lang w:eastAsia="zh-CN"/>
        </w:rPr>
      </w:pPr>
      <w:bookmarkStart w:id="15" w:name="_Toc28359081"/>
      <w:bookmarkStart w:id="16" w:name="_Toc28359004"/>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落实政府采购政策需满足的资格要求：</w:t>
      </w:r>
      <w:r>
        <w:rPr>
          <w:rFonts w:hint="eastAsia" w:ascii="宋体" w:hAnsi="宋体" w:cs="宋体"/>
          <w:color w:val="auto"/>
          <w:sz w:val="24"/>
          <w:szCs w:val="24"/>
          <w:highlight w:val="none"/>
          <w:lang w:eastAsia="zh-CN"/>
        </w:rPr>
        <w:t>无</w:t>
      </w:r>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本项目的特定资格要求：</w:t>
      </w:r>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供应商具有独立承担民事责任能力的法人、其他组织或自然人。企业法人出具合法有效的营业执照、组织机构代码证、税务登记证（或统一社会信用代码的营业执照）或事业单</w:t>
      </w:r>
      <w:r>
        <w:rPr>
          <w:rFonts w:hint="eastAsia" w:ascii="宋体" w:hAnsi="宋体" w:eastAsia="宋体" w:cs="宋体"/>
          <w:bCs/>
          <w:color w:val="auto"/>
          <w:sz w:val="24"/>
          <w:szCs w:val="24"/>
          <w:highlight w:val="none"/>
          <w:lang w:eastAsia="zh-CN"/>
        </w:rPr>
        <w:t>位法人证书等国家规定的相关证明，自然人参与的提供其身份证明。</w:t>
      </w:r>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供应商应授权合法的授权代表参加投标全过程，提供企业法定代表人授权委托书原件（附法定代表人、被授权委托人身份证复印件）及被授权人身份证原件（法定代表人参加投标只须提供法定代表人身份证原件并与营业执照信息一致）。</w:t>
      </w:r>
    </w:p>
    <w:p>
      <w:pPr>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w:t>
      </w:r>
      <w:r>
        <w:rPr>
          <w:rFonts w:hint="eastAsia" w:ascii="宋体" w:hAnsi="宋体" w:eastAsia="宋体" w:cs="宋体"/>
          <w:bCs/>
          <w:color w:val="auto"/>
          <w:sz w:val="24"/>
          <w:szCs w:val="24"/>
          <w:highlight w:val="none"/>
          <w:lang w:eastAsia="zh-CN"/>
        </w:rPr>
        <w:t>供应商具备【</w:t>
      </w:r>
      <w:r>
        <w:rPr>
          <w:rFonts w:hint="eastAsia" w:ascii="宋体" w:hAnsi="宋体" w:eastAsia="宋体" w:cs="宋体"/>
          <w:bCs/>
          <w:color w:val="auto"/>
          <w:sz w:val="24"/>
          <w:szCs w:val="24"/>
          <w:highlight w:val="none"/>
          <w:lang w:val="en-US" w:eastAsia="zh-CN"/>
        </w:rPr>
        <w:t>工程设计综合甲级</w:t>
      </w:r>
      <w:r>
        <w:rPr>
          <w:rFonts w:hint="eastAsia" w:ascii="宋体" w:hAnsi="宋体" w:eastAsia="宋体" w:cs="宋体"/>
          <w:bCs/>
          <w:color w:val="auto"/>
          <w:sz w:val="24"/>
          <w:szCs w:val="24"/>
          <w:highlight w:val="none"/>
          <w:lang w:eastAsia="zh-CN"/>
        </w:rPr>
        <w:t>】或【</w:t>
      </w:r>
      <w:r>
        <w:rPr>
          <w:rFonts w:hint="eastAsia" w:ascii="宋体" w:hAnsi="宋体" w:eastAsia="宋体" w:cs="宋体"/>
          <w:bCs/>
          <w:color w:val="auto"/>
          <w:sz w:val="24"/>
          <w:szCs w:val="24"/>
          <w:highlight w:val="none"/>
          <w:lang w:val="en-US" w:eastAsia="zh-CN"/>
        </w:rPr>
        <w:t>建筑行业工程设计乙级</w:t>
      </w:r>
      <w:r>
        <w:rPr>
          <w:rFonts w:hint="eastAsia" w:ascii="宋体" w:hAnsi="宋体" w:eastAsia="宋体" w:cs="宋体"/>
          <w:bCs/>
          <w:color w:val="auto"/>
          <w:sz w:val="24"/>
          <w:szCs w:val="24"/>
          <w:highlight w:val="none"/>
          <w:lang w:eastAsia="zh-CN"/>
        </w:rPr>
        <w:t>】及以上或【</w:t>
      </w:r>
      <w:r>
        <w:rPr>
          <w:rFonts w:hint="eastAsia" w:ascii="宋体" w:hAnsi="宋体" w:eastAsia="宋体" w:cs="宋体"/>
          <w:bCs/>
          <w:color w:val="auto"/>
          <w:sz w:val="24"/>
          <w:szCs w:val="24"/>
          <w:highlight w:val="none"/>
          <w:lang w:val="en-US" w:eastAsia="zh-CN"/>
        </w:rPr>
        <w:t>建筑行业（建筑工程）乙级</w:t>
      </w:r>
      <w:r>
        <w:rPr>
          <w:rFonts w:hint="eastAsia" w:ascii="宋体" w:hAnsi="宋体" w:eastAsia="宋体" w:cs="宋体"/>
          <w:bCs/>
          <w:color w:val="auto"/>
          <w:sz w:val="24"/>
          <w:szCs w:val="24"/>
          <w:highlight w:val="none"/>
          <w:lang w:eastAsia="zh-CN"/>
        </w:rPr>
        <w:t>】及以上资质</w:t>
      </w:r>
      <w:r>
        <w:rPr>
          <w:rFonts w:hint="eastAsia" w:ascii="宋体" w:hAnsi="宋体" w:eastAsia="宋体" w:cs="宋体"/>
          <w:bCs/>
          <w:color w:val="auto"/>
          <w:sz w:val="24"/>
          <w:szCs w:val="24"/>
          <w:highlight w:val="none"/>
          <w:lang w:val="en-US" w:eastAsia="zh-CN"/>
        </w:rPr>
        <w:t>；</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（4）拟派项目负责人具有一级注册建筑师执业资格且注册在本单位。</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cs="宋体"/>
          <w:i w:val="0"/>
          <w:caps w:val="0"/>
          <w:color w:val="auto"/>
          <w:spacing w:val="0"/>
          <w:sz w:val="24"/>
          <w:szCs w:val="24"/>
          <w:highlight w:val="none"/>
          <w:shd w:val="clear" w:color="auto" w:fill="FFFFFF"/>
          <w:lang w:val="en-US" w:eastAsia="zh-CN"/>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财务状况报告</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提供2021年度经审计的财务报告（包括审计报告、资产负债表、现金流量表、利润表（损益表）和附注等资料），若成立时间至开标时间不足一年的可提供成立后任意时段的资产负债表或开标前六个月内其基本账户银行出具的资信证明并附开户许可证或基本账户信息。</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税收缴纳证明：</w:t>
      </w:r>
      <w:r>
        <w:rPr>
          <w:rFonts w:hint="eastAsia" w:ascii="宋体" w:hAnsi="宋体" w:eastAsia="宋体" w:cs="宋体"/>
          <w:bCs/>
          <w:color w:val="auto"/>
          <w:sz w:val="24"/>
          <w:szCs w:val="24"/>
          <w:highlight w:val="none"/>
        </w:rPr>
        <w:t>提供</w:t>
      </w:r>
      <w:r>
        <w:rPr>
          <w:rFonts w:hint="eastAsia" w:ascii="宋体" w:hAnsi="宋体" w:eastAsia="宋体" w:cs="宋体"/>
          <w:bCs/>
          <w:color w:val="auto"/>
          <w:sz w:val="24"/>
          <w:szCs w:val="24"/>
          <w:highlight w:val="none"/>
          <w:lang w:eastAsia="zh-CN"/>
        </w:rPr>
        <w:t>截止</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lang w:eastAsia="zh-CN"/>
        </w:rPr>
        <w:t>开标</w:t>
      </w:r>
      <w:r>
        <w:rPr>
          <w:rFonts w:hint="eastAsia" w:ascii="宋体" w:hAnsi="宋体" w:eastAsia="宋体" w:cs="宋体"/>
          <w:bCs/>
          <w:color w:val="auto"/>
          <w:sz w:val="24"/>
          <w:szCs w:val="24"/>
          <w:highlight w:val="none"/>
        </w:rPr>
        <w:t>时间前</w:t>
      </w:r>
      <w:r>
        <w:rPr>
          <w:rFonts w:hint="eastAsia" w:ascii="宋体" w:hAnsi="宋体" w:eastAsia="宋体" w:cs="宋体"/>
          <w:bCs/>
          <w:color w:val="auto"/>
          <w:sz w:val="24"/>
          <w:szCs w:val="24"/>
          <w:highlight w:val="none"/>
          <w:lang w:val="en-US" w:eastAsia="zh-CN"/>
        </w:rPr>
        <w:t>12个月内</w:t>
      </w:r>
      <w:r>
        <w:rPr>
          <w:rFonts w:hint="eastAsia" w:ascii="宋体" w:hAnsi="宋体" w:eastAsia="宋体" w:cs="宋体"/>
          <w:bCs/>
          <w:color w:val="auto"/>
          <w:sz w:val="24"/>
          <w:szCs w:val="24"/>
          <w:highlight w:val="none"/>
          <w:lang w:eastAsia="zh-CN"/>
        </w:rPr>
        <w:t>任意</w:t>
      </w:r>
      <w:r>
        <w:rPr>
          <w:rFonts w:hint="eastAsia" w:ascii="宋体" w:hAnsi="宋体" w:eastAsia="宋体" w:cs="宋体"/>
          <w:bCs/>
          <w:color w:val="auto"/>
          <w:sz w:val="24"/>
          <w:szCs w:val="24"/>
          <w:highlight w:val="none"/>
          <w:lang w:val="en-US" w:eastAsia="zh-CN"/>
        </w:rPr>
        <w:t>一</w:t>
      </w:r>
      <w:r>
        <w:rPr>
          <w:rFonts w:hint="eastAsia" w:ascii="宋体" w:hAnsi="宋体" w:eastAsia="宋体" w:cs="宋体"/>
          <w:bCs/>
          <w:color w:val="auto"/>
          <w:sz w:val="24"/>
          <w:szCs w:val="24"/>
          <w:highlight w:val="none"/>
          <w:lang w:eastAsia="zh-CN"/>
        </w:rPr>
        <w:t>个月</w:t>
      </w:r>
      <w:r>
        <w:rPr>
          <w:rFonts w:hint="eastAsia" w:ascii="宋体" w:hAnsi="宋体" w:eastAsia="宋体" w:cs="宋体"/>
          <w:bCs/>
          <w:color w:val="auto"/>
          <w:sz w:val="24"/>
          <w:szCs w:val="24"/>
          <w:highlight w:val="none"/>
          <w:lang w:val="en-US" w:eastAsia="zh-CN"/>
        </w:rPr>
        <w:t>任意税种</w:t>
      </w:r>
      <w:r>
        <w:rPr>
          <w:rFonts w:hint="eastAsia" w:ascii="宋体" w:hAnsi="宋体" w:eastAsia="宋体" w:cs="宋体"/>
          <w:bCs/>
          <w:color w:val="auto"/>
          <w:sz w:val="24"/>
          <w:szCs w:val="24"/>
          <w:highlight w:val="none"/>
        </w:rPr>
        <w:t>的缴费凭据或提供税务部门出具的纳税证明，依法免税的单位应提供相关证明材料。</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社会保障资金缴纳证明：提供</w:t>
      </w:r>
      <w:r>
        <w:rPr>
          <w:rFonts w:hint="eastAsia" w:ascii="宋体" w:hAnsi="宋体" w:eastAsia="宋体" w:cs="宋体"/>
          <w:bCs/>
          <w:color w:val="auto"/>
          <w:sz w:val="24"/>
          <w:szCs w:val="24"/>
          <w:highlight w:val="none"/>
          <w:lang w:eastAsia="zh-CN"/>
        </w:rPr>
        <w:t>截止</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lang w:eastAsia="zh-CN"/>
        </w:rPr>
        <w:t>开标</w:t>
      </w:r>
      <w:r>
        <w:rPr>
          <w:rFonts w:hint="eastAsia" w:ascii="宋体" w:hAnsi="宋体" w:eastAsia="宋体" w:cs="宋体"/>
          <w:bCs/>
          <w:color w:val="auto"/>
          <w:sz w:val="24"/>
          <w:szCs w:val="24"/>
          <w:highlight w:val="none"/>
        </w:rPr>
        <w:t>时间前</w:t>
      </w:r>
      <w:r>
        <w:rPr>
          <w:rFonts w:hint="eastAsia" w:ascii="宋体" w:hAnsi="宋体" w:eastAsia="宋体" w:cs="宋体"/>
          <w:bCs/>
          <w:color w:val="auto"/>
          <w:sz w:val="24"/>
          <w:szCs w:val="24"/>
          <w:highlight w:val="none"/>
          <w:lang w:val="en-US" w:eastAsia="zh-CN"/>
        </w:rPr>
        <w:t>12个月内</w:t>
      </w:r>
      <w:r>
        <w:rPr>
          <w:rFonts w:hint="eastAsia" w:ascii="宋体" w:hAnsi="宋体" w:eastAsia="宋体" w:cs="宋体"/>
          <w:bCs/>
          <w:color w:val="auto"/>
          <w:sz w:val="24"/>
          <w:szCs w:val="24"/>
          <w:highlight w:val="none"/>
          <w:lang w:eastAsia="zh-CN"/>
        </w:rPr>
        <w:t>任意</w:t>
      </w:r>
      <w:r>
        <w:rPr>
          <w:rFonts w:hint="eastAsia" w:ascii="宋体" w:hAnsi="宋体" w:eastAsia="宋体" w:cs="宋体"/>
          <w:bCs/>
          <w:color w:val="auto"/>
          <w:sz w:val="24"/>
          <w:szCs w:val="24"/>
          <w:highlight w:val="none"/>
          <w:lang w:val="en-US" w:eastAsia="zh-CN"/>
        </w:rPr>
        <w:t>一</w:t>
      </w:r>
      <w:r>
        <w:rPr>
          <w:rFonts w:hint="eastAsia" w:ascii="宋体" w:hAnsi="宋体" w:eastAsia="宋体" w:cs="宋体"/>
          <w:bCs/>
          <w:color w:val="auto"/>
          <w:sz w:val="24"/>
          <w:szCs w:val="24"/>
          <w:highlight w:val="none"/>
          <w:lang w:eastAsia="zh-CN"/>
        </w:rPr>
        <w:t>个月</w:t>
      </w:r>
      <w:r>
        <w:rPr>
          <w:rFonts w:hint="eastAsia" w:ascii="宋体" w:hAnsi="宋体" w:eastAsia="宋体" w:cs="宋体"/>
          <w:bCs/>
          <w:color w:val="auto"/>
          <w:sz w:val="24"/>
          <w:szCs w:val="24"/>
          <w:highlight w:val="none"/>
        </w:rPr>
        <w:t>的社会保障资金缴存单据或社保机构开具的社会保险参保缴费情况证明；依法不需要缴纳社会保障资金的应提供相关文件证明。</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参加本次政府采购活动前三年内在经营活动中没有重大违法记录的书面声明。</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lang w:eastAsia="zh-CN"/>
        </w:rPr>
        <w:t>）提供具有履行合同所必需的设备和专业技术能力的书面声明</w:t>
      </w:r>
      <w:r>
        <w:rPr>
          <w:rFonts w:hint="eastAsia" w:ascii="宋体" w:hAnsi="宋体" w:eastAsia="宋体" w:cs="宋体"/>
          <w:bCs/>
          <w:color w:val="auto"/>
          <w:sz w:val="24"/>
          <w:szCs w:val="24"/>
          <w:highlight w:val="none"/>
        </w:rPr>
        <w:t>。</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投标保证金交纳凭证或陕西省财政厅指定的担保机构出具的保函</w:t>
      </w:r>
      <w:r>
        <w:rPr>
          <w:rFonts w:hint="eastAsia" w:ascii="宋体" w:hAnsi="宋体" w:eastAsia="宋体" w:cs="宋体"/>
          <w:bCs/>
          <w:color w:val="auto"/>
          <w:sz w:val="24"/>
          <w:szCs w:val="24"/>
          <w:highlight w:val="none"/>
          <w:lang w:eastAsia="zh-CN"/>
        </w:rPr>
        <w:t>。</w:t>
      </w:r>
    </w:p>
    <w:p>
      <w:pPr>
        <w:pStyle w:val="8"/>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bCs/>
          <w:color w:val="000000"/>
          <w:sz w:val="24"/>
          <w:szCs w:val="24"/>
          <w:highlight w:val="none"/>
        </w:rPr>
      </w:pPr>
      <w:bookmarkStart w:id="17" w:name="_Toc35393623"/>
      <w:bookmarkStart w:id="18" w:name="_Toc35393792"/>
      <w:bookmarkStart w:id="19" w:name="_Toc7173"/>
      <w:r>
        <w:rPr>
          <w:rFonts w:hint="eastAsia" w:ascii="宋体" w:hAnsi="宋体" w:eastAsia="宋体" w:cs="宋体"/>
          <w:b/>
          <w:bCs/>
          <w:color w:val="000000"/>
          <w:sz w:val="24"/>
          <w:szCs w:val="24"/>
          <w:highlight w:val="none"/>
        </w:rPr>
        <w:t>三、招标文件</w:t>
      </w:r>
      <w:bookmarkEnd w:id="15"/>
      <w:bookmarkEnd w:id="16"/>
      <w:bookmarkEnd w:id="17"/>
      <w:bookmarkEnd w:id="18"/>
      <w:r>
        <w:rPr>
          <w:rFonts w:hint="eastAsia" w:ascii="宋体" w:hAnsi="宋体" w:eastAsia="宋体" w:cs="宋体"/>
          <w:b/>
          <w:bCs/>
          <w:color w:val="000000"/>
          <w:sz w:val="24"/>
          <w:szCs w:val="24"/>
          <w:highlight w:val="none"/>
        </w:rPr>
        <w:t>的获取方式</w:t>
      </w:r>
      <w:bookmarkEnd w:id="19"/>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时间：2</w:t>
      </w:r>
      <w:r>
        <w:rPr>
          <w:rFonts w:hint="eastAsia" w:ascii="宋体" w:hAnsi="宋体" w:eastAsia="宋体" w:cs="宋体"/>
          <w:bCs/>
          <w:color w:val="000000"/>
          <w:sz w:val="24"/>
          <w:szCs w:val="24"/>
          <w:highlight w:val="none"/>
          <w:lang w:val="en-US" w:eastAsia="zh-CN"/>
        </w:rPr>
        <w:t>023年03</w:t>
      </w:r>
      <w:r>
        <w:rPr>
          <w:rFonts w:hint="eastAsia" w:ascii="宋体" w:hAnsi="宋体" w:eastAsia="宋体" w:cs="宋体"/>
          <w:bCs/>
          <w:color w:val="000000"/>
          <w:sz w:val="24"/>
          <w:szCs w:val="24"/>
          <w:highlight w:val="none"/>
          <w:lang w:eastAsia="zh-CN"/>
        </w:rPr>
        <w:t>月</w:t>
      </w:r>
      <w:r>
        <w:rPr>
          <w:rFonts w:hint="eastAsia" w:ascii="宋体" w:hAnsi="宋体" w:eastAsia="宋体" w:cs="宋体"/>
          <w:bCs/>
          <w:color w:val="000000"/>
          <w:sz w:val="24"/>
          <w:szCs w:val="24"/>
          <w:highlight w:val="none"/>
          <w:lang w:val="en-US" w:eastAsia="zh-CN"/>
        </w:rPr>
        <w:t>02日</w:t>
      </w:r>
      <w:r>
        <w:rPr>
          <w:rFonts w:hint="eastAsia" w:ascii="宋体" w:hAnsi="宋体" w:eastAsia="宋体" w:cs="宋体"/>
          <w:bCs/>
          <w:color w:val="000000"/>
          <w:sz w:val="24"/>
          <w:szCs w:val="24"/>
          <w:highlight w:val="none"/>
          <w:lang w:eastAsia="zh-CN"/>
        </w:rPr>
        <w:t>至2</w:t>
      </w:r>
      <w:r>
        <w:rPr>
          <w:rFonts w:hint="eastAsia" w:ascii="宋体" w:hAnsi="宋体" w:eastAsia="宋体" w:cs="宋体"/>
          <w:bCs/>
          <w:color w:val="000000"/>
          <w:sz w:val="24"/>
          <w:szCs w:val="24"/>
          <w:highlight w:val="none"/>
          <w:lang w:val="en-US" w:eastAsia="zh-CN"/>
        </w:rPr>
        <w:t>023</w:t>
      </w:r>
      <w:r>
        <w:rPr>
          <w:rFonts w:hint="eastAsia" w:ascii="宋体" w:hAnsi="宋体" w:eastAsia="宋体" w:cs="宋体"/>
          <w:bCs/>
          <w:color w:val="000000"/>
          <w:sz w:val="24"/>
          <w:szCs w:val="24"/>
          <w:highlight w:val="none"/>
          <w:lang w:eastAsia="zh-CN"/>
        </w:rPr>
        <w:t>年</w:t>
      </w:r>
      <w:r>
        <w:rPr>
          <w:rFonts w:hint="eastAsia" w:ascii="宋体" w:hAnsi="宋体" w:eastAsia="宋体" w:cs="宋体"/>
          <w:bCs/>
          <w:color w:val="000000"/>
          <w:sz w:val="24"/>
          <w:szCs w:val="24"/>
          <w:highlight w:val="none"/>
          <w:lang w:val="en-US" w:eastAsia="zh-CN"/>
        </w:rPr>
        <w:t>03</w:t>
      </w:r>
      <w:r>
        <w:rPr>
          <w:rFonts w:hint="eastAsia" w:ascii="宋体" w:hAnsi="宋体" w:eastAsia="宋体" w:cs="宋体"/>
          <w:bCs/>
          <w:color w:val="000000"/>
          <w:sz w:val="24"/>
          <w:szCs w:val="24"/>
          <w:highlight w:val="none"/>
          <w:lang w:eastAsia="zh-CN"/>
        </w:rPr>
        <w:t>月</w:t>
      </w:r>
      <w:r>
        <w:rPr>
          <w:rFonts w:hint="eastAsia" w:ascii="宋体" w:hAnsi="宋体" w:eastAsia="宋体" w:cs="宋体"/>
          <w:bCs/>
          <w:color w:val="000000"/>
          <w:sz w:val="24"/>
          <w:szCs w:val="24"/>
          <w:highlight w:val="none"/>
          <w:lang w:val="en-US" w:eastAsia="zh-CN"/>
        </w:rPr>
        <w:t>09日</w:t>
      </w:r>
      <w:r>
        <w:rPr>
          <w:rFonts w:hint="eastAsia" w:ascii="宋体" w:hAnsi="宋体" w:eastAsia="宋体" w:cs="宋体"/>
          <w:bCs/>
          <w:color w:val="000000"/>
          <w:sz w:val="24"/>
          <w:szCs w:val="24"/>
          <w:highlight w:val="none"/>
          <w:lang w:eastAsia="zh-CN"/>
        </w:rPr>
        <w:t xml:space="preserve"> </w:t>
      </w:r>
      <w:r>
        <w:rPr>
          <w:rFonts w:hint="eastAsia" w:ascii="宋体" w:hAnsi="宋体" w:eastAsia="宋体" w:cs="宋体"/>
          <w:bCs/>
          <w:color w:val="000000"/>
          <w:sz w:val="24"/>
          <w:szCs w:val="24"/>
          <w:highlight w:val="none"/>
          <w:lang w:val="en-US" w:eastAsia="zh-CN"/>
        </w:rPr>
        <w:t>(</w:t>
      </w:r>
      <w:r>
        <w:rPr>
          <w:rFonts w:hint="eastAsia" w:ascii="宋体" w:hAnsi="宋体" w:eastAsia="宋体" w:cs="宋体"/>
          <w:bCs/>
          <w:color w:val="000000"/>
          <w:sz w:val="24"/>
          <w:szCs w:val="24"/>
          <w:highlight w:val="none"/>
          <w:lang w:eastAsia="zh-CN"/>
        </w:rPr>
        <w:t>每天上午0</w:t>
      </w:r>
      <w:r>
        <w:rPr>
          <w:rFonts w:hint="eastAsia" w:ascii="宋体" w:hAnsi="宋体" w:eastAsia="宋体" w:cs="宋体"/>
          <w:bCs/>
          <w:color w:val="000000"/>
          <w:sz w:val="24"/>
          <w:szCs w:val="24"/>
          <w:highlight w:val="none"/>
          <w:lang w:val="en-US" w:eastAsia="zh-CN"/>
        </w:rPr>
        <w:t>9</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0</w:t>
      </w:r>
      <w:r>
        <w:rPr>
          <w:rFonts w:hint="eastAsia" w:ascii="宋体" w:hAnsi="宋体" w:eastAsia="宋体" w:cs="宋体"/>
          <w:bCs/>
          <w:color w:val="000000"/>
          <w:sz w:val="24"/>
          <w:szCs w:val="24"/>
          <w:highlight w:val="none"/>
          <w:lang w:eastAsia="zh-CN"/>
        </w:rPr>
        <w:t>0:00至12:00:00，下午 14:00:00至1</w:t>
      </w:r>
      <w:r>
        <w:rPr>
          <w:rFonts w:hint="eastAsia" w:ascii="宋体" w:hAnsi="宋体" w:eastAsia="宋体" w:cs="宋体"/>
          <w:bCs/>
          <w:color w:val="000000"/>
          <w:sz w:val="24"/>
          <w:szCs w:val="24"/>
          <w:highlight w:val="none"/>
          <w:lang w:val="en-US" w:eastAsia="zh-CN"/>
        </w:rPr>
        <w:t>7</w:t>
      </w:r>
      <w:r>
        <w:rPr>
          <w:rFonts w:hint="eastAsia" w:ascii="宋体" w:hAnsi="宋体" w:eastAsia="宋体" w:cs="宋体"/>
          <w:bCs/>
          <w:color w:val="000000"/>
          <w:sz w:val="24"/>
          <w:szCs w:val="24"/>
          <w:highlight w:val="none"/>
          <w:lang w:eastAsia="zh-CN"/>
        </w:rPr>
        <w:t>:00:00（北京时间,法定节假日除外）</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000000"/>
          <w:sz w:val="24"/>
          <w:szCs w:val="24"/>
          <w:highlight w:val="none"/>
          <w:lang w:eastAsia="zh-CN"/>
        </w:rPr>
      </w:pPr>
      <w:bookmarkStart w:id="20" w:name="_Toc35393624"/>
      <w:bookmarkStart w:id="21" w:name="_Toc28359005"/>
      <w:bookmarkStart w:id="22" w:name="_Toc28359082"/>
      <w:bookmarkStart w:id="23" w:name="_Toc35393793"/>
      <w:bookmarkStart w:id="24" w:name="_Toc14023"/>
      <w:r>
        <w:rPr>
          <w:rFonts w:hint="eastAsia" w:ascii="宋体" w:hAnsi="宋体" w:eastAsia="宋体" w:cs="宋体"/>
          <w:bCs/>
          <w:color w:val="000000"/>
          <w:sz w:val="24"/>
          <w:szCs w:val="24"/>
          <w:highlight w:val="none"/>
          <w:lang w:eastAsia="zh-CN"/>
        </w:rPr>
        <w:t>地点：</w:t>
      </w:r>
      <w:r>
        <w:rPr>
          <w:rFonts w:hint="eastAsia" w:ascii="宋体" w:hAnsi="宋体" w:eastAsia="宋体" w:cs="宋体"/>
          <w:bCs/>
          <w:color w:val="000000"/>
          <w:sz w:val="24"/>
          <w:szCs w:val="24"/>
          <w:highlight w:val="none"/>
          <w:lang w:val="en-US" w:eastAsia="zh-CN"/>
        </w:rPr>
        <w:t>陕西省西安市高新区唐延南路逸翠尚府北区1号楼7单元1501室</w:t>
      </w:r>
    </w:p>
    <w:p>
      <w:pPr>
        <w:keepNext w:val="0"/>
        <w:keepLines w:val="0"/>
        <w:pageBreakBefore w:val="0"/>
        <w:widowControl/>
        <w:kinsoku/>
        <w:wordWrap/>
        <w:overflowPunct/>
        <w:topLinePunct w:val="0"/>
        <w:autoSpaceDE/>
        <w:autoSpaceDN/>
        <w:bidi w:val="0"/>
        <w:adjustRightInd/>
        <w:snapToGrid w:val="0"/>
        <w:spacing w:line="500" w:lineRule="exact"/>
        <w:ind w:right="0" w:rightChars="0" w:firstLine="480" w:firstLineChars="200"/>
        <w:jc w:val="left"/>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方式：现场</w:t>
      </w:r>
      <w:r>
        <w:rPr>
          <w:rFonts w:hint="eastAsia" w:ascii="宋体" w:hAnsi="宋体" w:eastAsia="宋体" w:cs="宋体"/>
          <w:kern w:val="0"/>
          <w:sz w:val="24"/>
          <w:szCs w:val="24"/>
          <w:highlight w:val="none"/>
          <w:lang w:eastAsia="zh-CN"/>
        </w:rPr>
        <w:t>获取</w:t>
      </w:r>
    </w:p>
    <w:p>
      <w:pPr>
        <w:keepNext w:val="0"/>
        <w:keepLines w:val="0"/>
        <w:pageBreakBefore w:val="0"/>
        <w:widowControl/>
        <w:kinsoku/>
        <w:wordWrap/>
        <w:overflowPunct/>
        <w:topLinePunct w:val="0"/>
        <w:autoSpaceDE/>
        <w:autoSpaceDN/>
        <w:bidi w:val="0"/>
        <w:adjustRightInd/>
        <w:snapToGrid w:val="0"/>
        <w:spacing w:line="500" w:lineRule="exact"/>
        <w:ind w:right="0" w:rightChars="0" w:firstLine="480" w:firstLineChars="200"/>
        <w:jc w:val="left"/>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售价：</w:t>
      </w:r>
      <w:r>
        <w:rPr>
          <w:rFonts w:hint="eastAsia" w:ascii="宋体" w:hAnsi="宋体" w:eastAsia="宋体" w:cs="宋体"/>
          <w:kern w:val="0"/>
          <w:sz w:val="24"/>
          <w:szCs w:val="24"/>
          <w:highlight w:val="none"/>
          <w:lang w:eastAsia="zh-CN"/>
        </w:rPr>
        <w:t>每套</w:t>
      </w:r>
      <w:r>
        <w:rPr>
          <w:rFonts w:hint="eastAsia" w:ascii="宋体" w:hAnsi="宋体" w:eastAsia="宋体" w:cs="宋体"/>
          <w:kern w:val="0"/>
          <w:sz w:val="24"/>
          <w:szCs w:val="24"/>
          <w:highlight w:val="none"/>
          <w:lang w:val="en-US" w:eastAsia="zh-CN"/>
        </w:rPr>
        <w:t>500元。</w:t>
      </w:r>
    </w:p>
    <w:bookmarkEnd w:id="20"/>
    <w:bookmarkEnd w:id="21"/>
    <w:bookmarkEnd w:id="22"/>
    <w:bookmarkEnd w:id="23"/>
    <w:bookmarkEnd w:id="24"/>
    <w:p>
      <w:pPr>
        <w:pStyle w:val="8"/>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bCs/>
          <w:color w:val="000000"/>
          <w:sz w:val="24"/>
          <w:szCs w:val="24"/>
          <w:highlight w:val="none"/>
        </w:rPr>
      </w:pPr>
      <w:bookmarkStart w:id="25" w:name="_Toc35393625"/>
      <w:bookmarkStart w:id="26" w:name="_Toc35393794"/>
      <w:bookmarkStart w:id="27" w:name="_Toc28359007"/>
      <w:bookmarkStart w:id="28" w:name="_Toc28359084"/>
      <w:bookmarkStart w:id="29" w:name="_Toc3868"/>
      <w:r>
        <w:rPr>
          <w:rFonts w:hint="eastAsia" w:ascii="宋体" w:hAnsi="宋体" w:eastAsia="宋体" w:cs="宋体"/>
          <w:b/>
          <w:bCs/>
          <w:color w:val="000000"/>
          <w:sz w:val="24"/>
          <w:szCs w:val="24"/>
          <w:highlight w:val="none"/>
        </w:rPr>
        <w:t>四、提交投标文件截止时间、开标时间和地点</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时间：202</w:t>
      </w: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lang w:eastAsia="zh-CN"/>
        </w:rPr>
        <w:t>年</w:t>
      </w:r>
      <w:r>
        <w:rPr>
          <w:rFonts w:hint="eastAsia" w:ascii="宋体" w:hAnsi="宋体" w:eastAsia="宋体" w:cs="宋体"/>
          <w:bCs/>
          <w:color w:val="000000"/>
          <w:sz w:val="24"/>
          <w:szCs w:val="24"/>
          <w:highlight w:val="none"/>
          <w:lang w:val="en-US" w:eastAsia="zh-CN"/>
        </w:rPr>
        <w:t>03</w:t>
      </w:r>
      <w:r>
        <w:rPr>
          <w:rFonts w:hint="eastAsia" w:ascii="宋体" w:hAnsi="宋体" w:eastAsia="宋体" w:cs="宋体"/>
          <w:bCs/>
          <w:color w:val="000000"/>
          <w:sz w:val="24"/>
          <w:szCs w:val="24"/>
          <w:highlight w:val="none"/>
          <w:lang w:eastAsia="zh-CN"/>
        </w:rPr>
        <w:t>月</w:t>
      </w:r>
      <w:r>
        <w:rPr>
          <w:rFonts w:hint="eastAsia" w:ascii="宋体" w:hAnsi="宋体" w:eastAsia="宋体" w:cs="宋体"/>
          <w:bCs/>
          <w:color w:val="000000"/>
          <w:sz w:val="24"/>
          <w:szCs w:val="24"/>
          <w:highlight w:val="none"/>
          <w:lang w:val="en-US" w:eastAsia="zh-CN"/>
        </w:rPr>
        <w:t>23</w:t>
      </w:r>
      <w:r>
        <w:rPr>
          <w:rFonts w:hint="eastAsia" w:ascii="宋体" w:hAnsi="宋体" w:eastAsia="宋体" w:cs="宋体"/>
          <w:bCs/>
          <w:color w:val="000000"/>
          <w:sz w:val="24"/>
          <w:szCs w:val="24"/>
          <w:highlight w:val="none"/>
          <w:lang w:eastAsia="zh-CN"/>
        </w:rPr>
        <w:t>日</w:t>
      </w:r>
      <w:r>
        <w:rPr>
          <w:rFonts w:hint="eastAsia" w:ascii="宋体" w:hAnsi="宋体" w:eastAsia="宋体" w:cs="宋体"/>
          <w:bCs/>
          <w:color w:val="000000"/>
          <w:sz w:val="24"/>
          <w:szCs w:val="24"/>
          <w:highlight w:val="none"/>
          <w:lang w:val="en-US" w:eastAsia="zh-CN"/>
        </w:rPr>
        <w:t>14</w:t>
      </w:r>
      <w:r>
        <w:rPr>
          <w:rFonts w:hint="eastAsia" w:ascii="宋体" w:hAnsi="宋体" w:eastAsia="宋体" w:cs="宋体"/>
          <w:bCs/>
          <w:color w:val="000000"/>
          <w:sz w:val="24"/>
          <w:szCs w:val="24"/>
          <w:highlight w:val="none"/>
          <w:lang w:eastAsia="zh-CN"/>
        </w:rPr>
        <w:t>时30分00秒（北京时间）</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地点：</w:t>
      </w:r>
      <w:r>
        <w:rPr>
          <w:rFonts w:hint="eastAsia" w:ascii="宋体" w:hAnsi="宋体" w:eastAsia="宋体" w:cs="宋体"/>
          <w:bCs/>
          <w:color w:val="000000"/>
          <w:sz w:val="24"/>
          <w:szCs w:val="24"/>
          <w:highlight w:val="none"/>
          <w:lang w:val="en-US" w:eastAsia="zh-CN"/>
        </w:rPr>
        <w:t>陕西省</w:t>
      </w:r>
      <w:r>
        <w:rPr>
          <w:rFonts w:hint="eastAsia" w:ascii="宋体" w:hAnsi="宋体" w:eastAsia="宋体" w:cs="宋体"/>
          <w:bCs/>
          <w:color w:val="000000"/>
          <w:sz w:val="24"/>
          <w:szCs w:val="24"/>
          <w:highlight w:val="none"/>
          <w:lang w:eastAsia="zh-CN"/>
        </w:rPr>
        <w:t>西安市高新区唐延南路逸翠尚府北区1号楼7单元1501室</w:t>
      </w:r>
    </w:p>
    <w:p>
      <w:pPr>
        <w:pStyle w:val="8"/>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五、公告期限</w:t>
      </w:r>
      <w:bookmarkEnd w:id="25"/>
      <w:bookmarkEnd w:id="26"/>
      <w:bookmarkEnd w:id="27"/>
      <w:bookmarkEnd w:id="28"/>
      <w:bookmarkEnd w:id="29"/>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自本公告发布之日起5个工作日。</w:t>
      </w:r>
    </w:p>
    <w:p>
      <w:pPr>
        <w:pStyle w:val="8"/>
        <w:keepLines w:val="0"/>
        <w:pageBreakBefore w:val="0"/>
        <w:numPr>
          <w:ilvl w:val="0"/>
          <w:numId w:val="1"/>
        </w:numPr>
        <w:kinsoku/>
        <w:wordWrap/>
        <w:overflowPunct/>
        <w:topLinePunct w:val="0"/>
        <w:autoSpaceDE/>
        <w:autoSpaceDN/>
        <w:bidi w:val="0"/>
        <w:adjustRightInd/>
        <w:spacing w:line="500" w:lineRule="exact"/>
        <w:textAlignment w:val="auto"/>
        <w:rPr>
          <w:rFonts w:hint="eastAsia" w:ascii="宋体" w:hAnsi="宋体" w:eastAsia="宋体" w:cs="宋体"/>
          <w:b/>
          <w:bCs/>
          <w:color w:val="000000"/>
          <w:sz w:val="24"/>
          <w:szCs w:val="24"/>
          <w:highlight w:val="none"/>
        </w:rPr>
      </w:pPr>
      <w:bookmarkStart w:id="30" w:name="_Toc7704"/>
      <w:r>
        <w:rPr>
          <w:rFonts w:hint="eastAsia" w:ascii="宋体" w:hAnsi="宋体" w:eastAsia="宋体" w:cs="宋体"/>
          <w:b/>
          <w:bCs/>
          <w:color w:val="000000"/>
          <w:sz w:val="24"/>
          <w:szCs w:val="24"/>
          <w:highlight w:val="none"/>
        </w:rPr>
        <w:t>其它补充事宜</w:t>
      </w:r>
      <w:bookmarkEnd w:id="30"/>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eastAsia="宋体" w:cs="Times New Roman"/>
          <w:sz w:val="24"/>
          <w:szCs w:val="24"/>
          <w:lang w:val="en-US" w:eastAsia="zh-CN"/>
        </w:rPr>
      </w:pPr>
      <w:bookmarkStart w:id="31" w:name="_Toc5992"/>
      <w:bookmarkStart w:id="32" w:name="_Toc35393627"/>
      <w:bookmarkStart w:id="33" w:name="_Toc35393796"/>
      <w:bookmarkStart w:id="34" w:name="_Toc28359008"/>
      <w:bookmarkStart w:id="35" w:name="_Toc28359085"/>
      <w:r>
        <w:rPr>
          <w:rFonts w:hint="eastAsia" w:ascii="Times New Roman" w:hAnsi="Times New Roman" w:eastAsia="宋体" w:cs="Times New Roman"/>
          <w:sz w:val="24"/>
          <w:szCs w:val="24"/>
          <w:lang w:val="en-US" w:eastAsia="zh-CN"/>
        </w:rPr>
        <w:t>1、获取文件时请提供单位介绍信和经办人身份证原件及加盖公章的复印件。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信用要求：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信用要求查询以采购人或采购代理机构于发售文件至投标截止日网站查询结果为准。）</w:t>
      </w:r>
      <w:r>
        <w:rPr>
          <w:rFonts w:hint="eastAsia" w:ascii="Times New Roman" w:hAnsi="Times New Roman" w:eastAsia="宋体" w:cs="Times New Roman"/>
          <w:sz w:val="24"/>
          <w:szCs w:val="24"/>
          <w:lang w:val="en-US" w:eastAsia="zh-CN"/>
        </w:rPr>
        <w:br w:type="textWrapping"/>
      </w:r>
      <w:r>
        <w:rPr>
          <w:rFonts w:hint="eastAsia" w:ascii="Times New Roman" w:hAnsi="Times New Roman" w:eastAsia="宋体" w:cs="Times New Roman"/>
          <w:sz w:val="24"/>
          <w:szCs w:val="24"/>
          <w:lang w:val="en-US" w:eastAsia="zh-CN"/>
        </w:rPr>
        <w:t xml:space="preserve">   3、本项目不接受联合体投标。单位负责人为同一人或者存在控股、管理关系的不同单位不得同时参加。</w:t>
      </w:r>
      <w:r>
        <w:rPr>
          <w:rFonts w:hint="eastAsia" w:ascii="Times New Roman" w:hAnsi="Times New Roman" w:eastAsia="宋体" w:cs="Times New Roman"/>
          <w:sz w:val="24"/>
          <w:szCs w:val="24"/>
          <w:lang w:val="en-US" w:eastAsia="zh-CN"/>
        </w:rPr>
        <w:br w:type="textWrapping"/>
      </w:r>
      <w:r>
        <w:rPr>
          <w:rFonts w:hint="eastAsia" w:ascii="Times New Roman" w:hAnsi="Times New Roman" w:eastAsia="宋体" w:cs="Times New Roman"/>
          <w:sz w:val="24"/>
          <w:szCs w:val="24"/>
          <w:lang w:val="en-US" w:eastAsia="zh-CN"/>
        </w:rPr>
        <w:t xml:space="preserve">   4、请供应商按照陕西省财政厅关于政府采购供应商注册登记有关事项的通知中的要求，通过陕西省政府采购网注册登记加入陕西省政府采购供应商库。</w:t>
      </w:r>
      <w:r>
        <w:rPr>
          <w:rFonts w:hint="eastAsia" w:ascii="Times New Roman" w:hAnsi="Times New Roman" w:eastAsia="宋体" w:cs="Times New Roman"/>
          <w:sz w:val="24"/>
          <w:szCs w:val="24"/>
          <w:lang w:val="en-US" w:eastAsia="zh-CN"/>
        </w:rPr>
        <w:br w:type="textWrapping"/>
      </w:r>
      <w:r>
        <w:rPr>
          <w:rFonts w:hint="eastAsia" w:ascii="Times New Roman" w:hAnsi="Times New Roman" w:eastAsia="宋体" w:cs="Times New Roman"/>
          <w:sz w:val="24"/>
          <w:szCs w:val="24"/>
          <w:lang w:val="en-US" w:eastAsia="zh-CN"/>
        </w:rPr>
        <w:t>    5、落实政府采购政策</w:t>
      </w:r>
      <w:r>
        <w:rPr>
          <w:rFonts w:hint="eastAsia" w:ascii="Times New Roman" w:hAnsi="Times New Roman" w:eastAsia="宋体" w:cs="Times New Roman"/>
          <w:sz w:val="24"/>
          <w:szCs w:val="24"/>
          <w:lang w:val="en-US" w:eastAsia="zh-CN"/>
        </w:rPr>
        <w:br w:type="textWrapping"/>
      </w:r>
      <w:r>
        <w:rPr>
          <w:rFonts w:hint="eastAsia" w:ascii="Times New Roman" w:hAnsi="Times New Roman" w:eastAsia="宋体" w:cs="Times New Roman"/>
          <w:sz w:val="24"/>
          <w:szCs w:val="24"/>
          <w:lang w:val="en-US" w:eastAsia="zh-CN"/>
        </w:rPr>
        <w:t>      （1）《政府采购促进中小企业发展暂行办法》（财库〔2020〕46号）；</w:t>
      </w:r>
      <w:r>
        <w:rPr>
          <w:rFonts w:hint="eastAsia" w:ascii="Times New Roman" w:hAnsi="Times New Roman" w:eastAsia="宋体" w:cs="Times New Roman"/>
          <w:sz w:val="24"/>
          <w:szCs w:val="24"/>
          <w:lang w:val="en-US" w:eastAsia="zh-CN"/>
        </w:rPr>
        <w:br w:type="textWrapping"/>
      </w:r>
      <w:r>
        <w:rPr>
          <w:rFonts w:hint="eastAsia" w:ascii="Times New Roman" w:hAnsi="Times New Roman" w:eastAsia="宋体" w:cs="Times New Roman"/>
          <w:sz w:val="24"/>
          <w:szCs w:val="24"/>
          <w:lang w:val="en-US" w:eastAsia="zh-CN"/>
        </w:rPr>
        <w:t>      （2）《财政部司法部关于政府采购支持监狱企业发展有关问题的通知》（财库〔2014〕68号）； </w:t>
      </w:r>
      <w:r>
        <w:rPr>
          <w:rFonts w:hint="eastAsia" w:ascii="Times New Roman" w:hAnsi="Times New Roman" w:eastAsia="宋体" w:cs="Times New Roman"/>
          <w:sz w:val="24"/>
          <w:szCs w:val="24"/>
          <w:lang w:val="en-US" w:eastAsia="zh-CN"/>
        </w:rPr>
        <w:br w:type="textWrapping"/>
      </w:r>
      <w:r>
        <w:rPr>
          <w:rFonts w:hint="eastAsia" w:ascii="Times New Roman" w:hAnsi="Times New Roman" w:eastAsia="宋体" w:cs="Times New Roman"/>
          <w:sz w:val="24"/>
          <w:szCs w:val="24"/>
          <w:lang w:val="en-US" w:eastAsia="zh-CN"/>
        </w:rPr>
        <w:t>      （3）《国务院办公厅关于建立政府强制采购节能产品制度的通知》（国办发〔2007〕51号）；</w:t>
      </w:r>
      <w:r>
        <w:rPr>
          <w:rFonts w:hint="eastAsia" w:ascii="Times New Roman" w:hAnsi="Times New Roman" w:eastAsia="宋体" w:cs="Times New Roman"/>
          <w:sz w:val="24"/>
          <w:szCs w:val="24"/>
          <w:lang w:val="en-US" w:eastAsia="zh-CN"/>
        </w:rPr>
        <w:br w:type="textWrapping"/>
      </w:r>
      <w:r>
        <w:rPr>
          <w:rFonts w:hint="eastAsia" w:ascii="Times New Roman" w:hAnsi="Times New Roman" w:eastAsia="宋体" w:cs="Times New Roman"/>
          <w:sz w:val="24"/>
          <w:szCs w:val="24"/>
          <w:lang w:val="en-US" w:eastAsia="zh-CN"/>
        </w:rPr>
        <w:t>      （4）《节能产品政府采购实施意见》（财库[2004]185号）；</w:t>
      </w:r>
      <w:r>
        <w:rPr>
          <w:rFonts w:hint="eastAsia" w:ascii="Times New Roman" w:hAnsi="Times New Roman" w:eastAsia="宋体" w:cs="Times New Roman"/>
          <w:sz w:val="24"/>
          <w:szCs w:val="24"/>
          <w:lang w:val="en-US" w:eastAsia="zh-CN"/>
        </w:rPr>
        <w:br w:type="textWrapping"/>
      </w:r>
      <w:r>
        <w:rPr>
          <w:rFonts w:hint="eastAsia" w:ascii="Times New Roman" w:hAnsi="Times New Roman" w:eastAsia="宋体" w:cs="Times New Roman"/>
          <w:sz w:val="24"/>
          <w:szCs w:val="24"/>
          <w:lang w:val="en-US" w:eastAsia="zh-CN"/>
        </w:rPr>
        <w:t>      （5）《环境标志产品政府采购实施的意见》（财库[2006]90号）；</w:t>
      </w:r>
      <w:r>
        <w:rPr>
          <w:rFonts w:hint="eastAsia" w:ascii="Times New Roman" w:hAnsi="Times New Roman" w:eastAsia="宋体" w:cs="Times New Roman"/>
          <w:sz w:val="24"/>
          <w:szCs w:val="24"/>
          <w:lang w:val="en-US" w:eastAsia="zh-CN"/>
        </w:rPr>
        <w:br w:type="textWrapping"/>
      </w:r>
      <w:r>
        <w:rPr>
          <w:rFonts w:hint="eastAsia" w:ascii="Times New Roman" w:hAnsi="Times New Roman" w:eastAsia="宋体" w:cs="Times New Roman"/>
          <w:sz w:val="24"/>
          <w:szCs w:val="24"/>
          <w:lang w:val="en-US" w:eastAsia="zh-CN"/>
        </w:rPr>
        <w:t>      （6）《三部门联合发布关于促进残疾人就业政府采购政策的通知》（财库〔2017〕141号）；</w:t>
      </w:r>
      <w:r>
        <w:rPr>
          <w:rFonts w:hint="eastAsia" w:ascii="Times New Roman" w:hAnsi="Times New Roman" w:eastAsia="宋体" w:cs="Times New Roman"/>
          <w:sz w:val="24"/>
          <w:szCs w:val="24"/>
          <w:lang w:val="en-US" w:eastAsia="zh-CN"/>
        </w:rPr>
        <w:br w:type="textWrapping"/>
      </w:r>
      <w:r>
        <w:rPr>
          <w:rFonts w:hint="eastAsia" w:ascii="Times New Roman" w:hAnsi="Times New Roman" w:eastAsia="宋体" w:cs="Times New Roman"/>
          <w:sz w:val="24"/>
          <w:szCs w:val="24"/>
          <w:lang w:val="en-US" w:eastAsia="zh-CN"/>
        </w:rPr>
        <w:t>      （7）《关于运用政府采购政策支持脱贫攻坚的通知》（财库〔2019〕27号）；</w:t>
      </w:r>
      <w:r>
        <w:rPr>
          <w:rFonts w:hint="eastAsia" w:ascii="Times New Roman" w:hAnsi="Times New Roman" w:eastAsia="宋体" w:cs="Times New Roman"/>
          <w:sz w:val="24"/>
          <w:szCs w:val="24"/>
          <w:lang w:val="en-US" w:eastAsia="zh-CN"/>
        </w:rPr>
        <w:br w:type="textWrapping"/>
      </w:r>
      <w:r>
        <w:rPr>
          <w:rFonts w:hint="eastAsia" w:ascii="Times New Roman" w:hAnsi="Times New Roman" w:eastAsia="宋体" w:cs="Times New Roman"/>
          <w:sz w:val="24"/>
          <w:szCs w:val="24"/>
          <w:lang w:val="en-US" w:eastAsia="zh-CN"/>
        </w:rPr>
        <w:t>      （8）《关于调整优化节能产品、环境标志产品政府采购执行机制的通知》（财库〔2019〕9号）。</w:t>
      </w:r>
      <w:r>
        <w:rPr>
          <w:rFonts w:hint="eastAsia" w:ascii="Times New Roman" w:hAnsi="Times New Roman" w:eastAsia="宋体" w:cs="Times New Roman"/>
          <w:sz w:val="24"/>
          <w:szCs w:val="24"/>
          <w:lang w:val="en-US" w:eastAsia="zh-CN"/>
        </w:rPr>
        <w:br w:type="textWrapping"/>
      </w:r>
      <w:r>
        <w:rPr>
          <w:rFonts w:hint="eastAsia" w:ascii="Times New Roman" w:hAnsi="Times New Roman" w:eastAsia="宋体" w:cs="Times New Roman"/>
          <w:sz w:val="24"/>
          <w:szCs w:val="24"/>
          <w:lang w:val="en-US" w:eastAsia="zh-CN"/>
        </w:rPr>
        <w:t>      （9）陕西省财政厅关于印发《陕西省中小企业政府采购信用融资办法》（陕财办采〔2018〕23号）。</w:t>
      </w:r>
    </w:p>
    <w:p>
      <w:pPr>
        <w:pStyle w:val="8"/>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七、对本次招标提出询问，请按以下方式联系。</w:t>
      </w:r>
      <w:bookmarkEnd w:id="31"/>
      <w:bookmarkEnd w:id="32"/>
      <w:bookmarkEnd w:id="33"/>
      <w:bookmarkEnd w:id="34"/>
      <w:bookmarkEnd w:id="35"/>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1.采购人信息</w:t>
      </w:r>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名称：洛南县科技和教育体育局</w:t>
      </w:r>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地址：洛南县城关街道办环城北路</w:t>
      </w:r>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联系方式：陶现文/13991490522</w:t>
      </w:r>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2.采购代理机构信息</w:t>
      </w:r>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名称：陕西峰源工程项目管理有限公司</w:t>
      </w:r>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地址：陕西省西安市高新区唐延南路逸翠尚府北区1号楼7单元1501室</w:t>
      </w:r>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联系方式：029-89565176</w:t>
      </w:r>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3.项目联系方式</w:t>
      </w:r>
    </w:p>
    <w:p>
      <w:pPr>
        <w:keepLines w:val="0"/>
        <w:pageBreakBefore w:val="0"/>
        <w:kinsoku/>
        <w:wordWrap/>
        <w:overflowPunct/>
        <w:topLinePunct w:val="0"/>
        <w:autoSpaceDE/>
        <w:autoSpaceDN/>
        <w:bidi w:val="0"/>
        <w:adjustRightInd/>
        <w:spacing w:line="500" w:lineRule="exact"/>
        <w:ind w:firstLine="480" w:firstLineChars="200"/>
        <w:textAlignment w:val="auto"/>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项目联系人：杨工</w:t>
      </w:r>
    </w:p>
    <w:p>
      <w:pPr>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电话：029-89565176</w:t>
      </w:r>
    </w:p>
    <w:p>
      <w:pPr>
        <w:spacing w:line="360" w:lineRule="auto"/>
        <w:ind w:firstLine="480" w:firstLineChars="200"/>
        <w:jc w:val="right"/>
        <w:rPr>
          <w:rFonts w:hint="eastAsia" w:ascii="宋体" w:hAnsi="宋体" w:eastAsia="宋体" w:cs="宋体"/>
          <w:bCs/>
          <w:color w:val="000000"/>
          <w:sz w:val="24"/>
          <w:szCs w:val="24"/>
          <w:highlight w:val="none"/>
        </w:rPr>
      </w:pPr>
    </w:p>
    <w:p>
      <w:pPr>
        <w:spacing w:line="360" w:lineRule="auto"/>
        <w:ind w:firstLine="480" w:firstLineChars="200"/>
        <w:jc w:val="right"/>
        <w:rPr>
          <w:rFonts w:hint="eastAsia" w:ascii="宋体" w:hAnsi="宋体" w:eastAsia="宋体" w:cs="宋体"/>
          <w:bCs/>
          <w:color w:val="000000"/>
          <w:sz w:val="24"/>
          <w:szCs w:val="24"/>
          <w:highlight w:val="none"/>
        </w:rPr>
      </w:pPr>
    </w:p>
    <w:p>
      <w:pPr>
        <w:spacing w:line="360" w:lineRule="auto"/>
        <w:ind w:firstLine="482" w:firstLineChars="200"/>
        <w:jc w:val="right"/>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陕西峰源工程项目管理有限公司</w:t>
      </w:r>
    </w:p>
    <w:p>
      <w:pPr>
        <w:spacing w:line="360" w:lineRule="auto"/>
        <w:ind w:firstLine="482" w:firstLineChars="20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0000FF"/>
          <w:sz w:val="24"/>
          <w:szCs w:val="24"/>
          <w:highlight w:val="none"/>
          <w:lang w:val="en-US" w:eastAsia="zh-CN"/>
        </w:rPr>
        <w:t xml:space="preserve">                                               </w:t>
      </w:r>
      <w:r>
        <w:rPr>
          <w:rFonts w:hint="eastAsia" w:ascii="宋体" w:hAnsi="宋体" w:eastAsia="宋体" w:cs="宋体"/>
          <w:b/>
          <w:bCs w:val="0"/>
          <w:color w:val="auto"/>
          <w:sz w:val="24"/>
          <w:szCs w:val="24"/>
          <w:highlight w:val="none"/>
        </w:rPr>
        <w:t>20</w:t>
      </w:r>
      <w:r>
        <w:rPr>
          <w:rFonts w:hint="eastAsia" w:ascii="宋体" w:hAnsi="宋体" w:eastAsia="宋体" w:cs="宋体"/>
          <w:b/>
          <w:bCs w:val="0"/>
          <w:color w:val="auto"/>
          <w:sz w:val="24"/>
          <w:szCs w:val="24"/>
          <w:highlight w:val="none"/>
          <w:lang w:val="en-US" w:eastAsia="zh-CN"/>
        </w:rPr>
        <w:t>23</w:t>
      </w:r>
      <w:r>
        <w:rPr>
          <w:rFonts w:hint="eastAsia" w:ascii="宋体" w:hAnsi="宋体" w:eastAsia="宋体" w:cs="宋体"/>
          <w:b/>
          <w:bCs w:val="0"/>
          <w:color w:val="auto"/>
          <w:sz w:val="24"/>
          <w:szCs w:val="24"/>
          <w:highlight w:val="none"/>
        </w:rPr>
        <w:t>年</w:t>
      </w:r>
      <w:r>
        <w:rPr>
          <w:rFonts w:hint="eastAsia" w:ascii="宋体" w:hAnsi="宋体" w:eastAsia="宋体" w:cs="宋体"/>
          <w:b/>
          <w:bCs w:val="0"/>
          <w:color w:val="auto"/>
          <w:sz w:val="24"/>
          <w:szCs w:val="24"/>
          <w:highlight w:val="none"/>
          <w:lang w:val="en-US" w:eastAsia="zh-CN"/>
        </w:rPr>
        <w:t>03</w:t>
      </w:r>
      <w:r>
        <w:rPr>
          <w:rFonts w:hint="eastAsia" w:ascii="宋体" w:hAnsi="宋体" w:eastAsia="宋体" w:cs="宋体"/>
          <w:b/>
          <w:bCs w:val="0"/>
          <w:color w:val="auto"/>
          <w:sz w:val="24"/>
          <w:szCs w:val="24"/>
          <w:highlight w:val="none"/>
        </w:rPr>
        <w:t>月</w:t>
      </w:r>
      <w:r>
        <w:rPr>
          <w:rFonts w:hint="eastAsia" w:ascii="宋体" w:hAnsi="宋体" w:eastAsia="宋体" w:cs="宋体"/>
          <w:b/>
          <w:bCs w:val="0"/>
          <w:color w:val="auto"/>
          <w:sz w:val="24"/>
          <w:szCs w:val="24"/>
          <w:highlight w:val="none"/>
          <w:lang w:val="en-US" w:eastAsia="zh-CN"/>
        </w:rPr>
        <w:t>02</w:t>
      </w:r>
      <w:r>
        <w:rPr>
          <w:rFonts w:hint="eastAsia" w:ascii="宋体" w:hAnsi="宋体" w:eastAsia="宋体" w:cs="宋体"/>
          <w:b/>
          <w:bCs w:val="0"/>
          <w:color w:val="auto"/>
          <w:sz w:val="24"/>
          <w:szCs w:val="24"/>
          <w:highlight w:val="none"/>
        </w:rPr>
        <w:t>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26774"/>
    <w:multiLevelType w:val="singleLevel"/>
    <w:tmpl w:val="AAE2677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jNGEyY2FmYzE0ZDFhNjA3ODIxMzQ4NDA1YTA5YTEifQ=="/>
  </w:docVars>
  <w:rsids>
    <w:rsidRoot w:val="46C437D7"/>
    <w:rsid w:val="21F549F3"/>
    <w:rsid w:val="234A6177"/>
    <w:rsid w:val="38665A09"/>
    <w:rsid w:val="46C43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1"/>
    <w:basedOn w:val="1"/>
    <w:next w:val="1"/>
    <w:qFormat/>
    <w:uiPriority w:val="0"/>
    <w:pPr>
      <w:keepNext/>
      <w:jc w:val="center"/>
      <w:outlineLvl w:val="0"/>
    </w:pPr>
    <w:rPr>
      <w:rFonts w:ascii="黑体" w:hAnsi="Times New Roman" w:eastAsia="黑体" w:cs="Times New Roman"/>
      <w:sz w:val="28"/>
    </w:rPr>
  </w:style>
  <w:style w:type="paragraph" w:styleId="8">
    <w:name w:val="heading 2"/>
    <w:basedOn w:val="1"/>
    <w:next w:val="1"/>
    <w:qFormat/>
    <w:uiPriority w:val="0"/>
    <w:pPr>
      <w:keepNext/>
      <w:spacing w:line="720" w:lineRule="exact"/>
      <w:outlineLvl w:val="1"/>
    </w:pPr>
    <w:rPr>
      <w:rFonts w:ascii="黑体" w:hAnsi="Copperplate Gothic Bold" w:eastAsia="楷体_GB2312" w:cs="Times New Roman"/>
      <w:sz w:val="28"/>
    </w:rPr>
  </w:style>
  <w:style w:type="paragraph" w:styleId="9">
    <w:name w:val="heading 6"/>
    <w:basedOn w:val="1"/>
    <w:next w:val="1"/>
    <w:qFormat/>
    <w:uiPriority w:val="0"/>
    <w:pPr>
      <w:keepNext/>
      <w:keepLines/>
      <w:spacing w:before="240" w:after="64" w:line="320" w:lineRule="atLeast"/>
      <w:outlineLvl w:val="5"/>
    </w:pPr>
    <w:rPr>
      <w:rFonts w:ascii="黑体" w:hAnsi="黑体" w:eastAsia="黑体" w:cs="Times New Roman"/>
      <w:b/>
      <w:spacing w:val="26"/>
      <w:kern w:val="1"/>
      <w:sz w:val="20"/>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rFonts w:ascii="Times New Roman" w:hAnsi="Times New Roman" w:eastAsia="仿宋_GB2312" w:cs="Times New Roman"/>
      <w:sz w:val="28"/>
    </w:rPr>
  </w:style>
  <w:style w:type="paragraph" w:styleId="3">
    <w:name w:val="Body Text"/>
    <w:basedOn w:val="1"/>
    <w:next w:val="1"/>
    <w:qFormat/>
    <w:uiPriority w:val="0"/>
    <w:pPr>
      <w:jc w:val="left"/>
    </w:pPr>
    <w:rPr>
      <w:rFonts w:ascii="Copperplate Gothic Bold" w:hAnsi="Copperplate Gothic Bold" w:eastAsia="宋体" w:cs="Times New Roman"/>
      <w:sz w:val="28"/>
    </w:rPr>
  </w:style>
  <w:style w:type="paragraph" w:styleId="4">
    <w:name w:val="Body Text First Indent 2"/>
    <w:basedOn w:val="5"/>
    <w:next w:val="1"/>
    <w:qFormat/>
    <w:uiPriority w:val="0"/>
    <w:pPr>
      <w:ind w:firstLine="420" w:firstLineChars="200"/>
    </w:pPr>
  </w:style>
  <w:style w:type="paragraph" w:styleId="5">
    <w:name w:val="Body Text Indent"/>
    <w:basedOn w:val="1"/>
    <w:next w:val="6"/>
    <w:qFormat/>
    <w:uiPriority w:val="0"/>
    <w:pPr>
      <w:spacing w:line="640" w:lineRule="exact"/>
      <w:ind w:firstLine="585"/>
    </w:pPr>
    <w:rPr>
      <w:rFonts w:ascii="楷体_GB2312" w:hAnsi="Times New Roman" w:eastAsia="楷体_GB2312" w:cs="Times New Roman"/>
      <w:sz w:val="32"/>
    </w:rPr>
  </w:style>
  <w:style w:type="paragraph" w:styleId="6">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10">
    <w:name w:val="Normal Indent"/>
    <w:basedOn w:val="1"/>
    <w:next w:val="1"/>
    <w:qFormat/>
    <w:uiPriority w:val="0"/>
    <w:pPr>
      <w:ind w:firstLine="420"/>
    </w:pPr>
    <w:rPr>
      <w:rFonts w:ascii="Times New Roman" w:hAnsi="Times New Roman" w:eastAsia="宋体" w:cs="Times New Roman"/>
    </w:rPr>
  </w:style>
  <w:style w:type="paragraph" w:styleId="11">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character" w:styleId="15">
    <w:name w:val="Strong"/>
    <w:qFormat/>
    <w:uiPriority w:val="0"/>
    <w:rPr>
      <w:rFonts w:ascii="Times New Roman" w:hAnsi="Times New Roman" w:eastAsia="宋体"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2051</Words>
  <Characters>2305</Characters>
  <Lines>0</Lines>
  <Paragraphs>0</Paragraphs>
  <TotalTime>9</TotalTime>
  <ScaleCrop>false</ScaleCrop>
  <LinksUpToDate>false</LinksUpToDate>
  <CharactersWithSpaces>2419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2023-02-24T01:53:00Z</dcterms:created>
  <dc:creator>梦飞扬</dc:creator>
  <cp:lastModifiedBy>梦飞扬</cp:lastModifiedBy>
  <dcterms:modified xsi:type="dcterms:W3CDTF">2023-03-02T01:52:19Z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6B825259B96F4AB0A789105A95A252C7</vt:lpwstr>
  </property>
</Properties>
</file>