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spacing w:after="156" w:afterLines="50" w:line="360" w:lineRule="auto"/>
        <w:rPr>
          <w:rFonts w:hint="eastAsia" w:ascii="宋体" w:hAnsi="宋体" w:eastAsia="宋体" w:cs="宋体"/>
          <w:color w:val="auto"/>
          <w:szCs w:val="28"/>
          <w:highlight w:val="none"/>
        </w:rPr>
      </w:pPr>
      <w:r>
        <w:rPr>
          <w:rFonts w:hint="eastAsia" w:ascii="宋体" w:hAnsi="宋体" w:eastAsia="宋体" w:cs="宋体"/>
          <w:b/>
          <w:color w:val="auto"/>
          <w:sz w:val="44"/>
          <w:szCs w:val="44"/>
          <w:highlight w:val="none"/>
        </w:rPr>
        <w:t>公开招标公告</w:t>
      </w:r>
      <w:bookmarkStart w:id="0" w:name="_Toc30089"/>
      <w:bookmarkEnd w:id="0"/>
      <w:bookmarkStart w:id="1" w:name="_Toc438048787"/>
      <w:bookmarkEnd w:id="1"/>
      <w:bookmarkStart w:id="2" w:name="_Toc35393790"/>
      <w:bookmarkStart w:id="3" w:name="_Toc28359079"/>
      <w:bookmarkStart w:id="4" w:name="_Toc28359002"/>
      <w:bookmarkStart w:id="5" w:name="_Toc35393621"/>
      <w:bookmarkStart w:id="6" w:name="_Hlk24379207"/>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line="30" w:lineRule="atLeast"/>
        <w:ind w:left="0" w:right="0" w:firstLine="0"/>
        <w:jc w:val="left"/>
        <w:textAlignment w:val="baseline"/>
        <w:rPr>
          <w:rFonts w:ascii="微软雅黑" w:hAnsi="微软雅黑" w:eastAsia="微软雅黑" w:cs="微软雅黑"/>
          <w:b w:val="0"/>
          <w:bCs w:val="0"/>
          <w:i w:val="0"/>
          <w:iCs w:val="0"/>
          <w:caps w:val="0"/>
          <w:color w:val="auto"/>
          <w:spacing w:val="0"/>
          <w:sz w:val="21"/>
          <w:szCs w:val="21"/>
          <w:highlight w:val="none"/>
        </w:rPr>
      </w:pPr>
      <w:bookmarkStart w:id="7" w:name="_Toc6698"/>
      <w:r>
        <w:rPr>
          <w:rStyle w:val="9"/>
          <w:rFonts w:hint="eastAsia" w:ascii="微软雅黑" w:hAnsi="微软雅黑" w:eastAsia="微软雅黑" w:cs="微软雅黑"/>
          <w:b/>
          <w:bCs/>
          <w:i w:val="0"/>
          <w:iCs w:val="0"/>
          <w:caps w:val="0"/>
          <w:color w:val="auto"/>
          <w:spacing w:val="0"/>
          <w:sz w:val="21"/>
          <w:szCs w:val="21"/>
          <w:highlight w:val="none"/>
          <w:shd w:val="clear" w:color="auto" w:fill="FFFFFF"/>
          <w:vertAlign w:val="baseline"/>
        </w:rPr>
        <w:t>项目概况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line="480" w:lineRule="atLeast"/>
        <w:ind w:left="0" w:right="0" w:firstLine="480"/>
        <w:jc w:val="both"/>
        <w:textAlignment w:val="baseline"/>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洛南县体育运动中心建设项目监理服务采购项目的潜在供应商应在陕西省西安市高新区唐延南路逸翠尚府北区1号楼7单元1501室获取采购文件，并于</w:t>
      </w:r>
      <w:r>
        <w:rPr>
          <w:rFonts w:hint="eastAsia" w:ascii="宋体" w:hAnsi="宋体" w:eastAsia="宋体" w:cs="宋体"/>
          <w:bCs/>
          <w:color w:val="auto"/>
          <w:sz w:val="24"/>
          <w:szCs w:val="24"/>
          <w:highlight w:val="none"/>
          <w:lang w:val="en-US" w:eastAsia="zh-CN"/>
        </w:rPr>
        <w:t>2023年05月30日14时30</w:t>
      </w:r>
      <w:r>
        <w:rPr>
          <w:rFonts w:hint="eastAsia" w:ascii="宋体" w:hAnsi="宋体" w:eastAsia="宋体" w:cs="宋体"/>
          <w:bCs/>
          <w:color w:val="auto"/>
          <w:sz w:val="24"/>
          <w:szCs w:val="24"/>
          <w:highlight w:val="none"/>
          <w:lang w:val="en-US" w:eastAsia="zh-CN"/>
        </w:rPr>
        <w:t>分（北京时间）前提交投标文件。</w:t>
      </w:r>
    </w:p>
    <w:p>
      <w:pPr>
        <w:pStyle w:val="4"/>
        <w:keepLines w:val="0"/>
        <w:pageBreakBefore w:val="0"/>
        <w:shd w:val="clear"/>
        <w:kinsoku/>
        <w:wordWrap/>
        <w:overflowPunct/>
        <w:topLinePunct w:val="0"/>
        <w:autoSpaceDE/>
        <w:autoSpaceDN/>
        <w:bidi w:val="0"/>
        <w:adjustRightInd/>
        <w:spacing w:line="50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一、项目基本情况</w:t>
      </w:r>
      <w:bookmarkEnd w:id="2"/>
      <w:bookmarkEnd w:id="3"/>
      <w:bookmarkEnd w:id="4"/>
      <w:bookmarkEnd w:id="5"/>
      <w:bookmarkEnd w:id="7"/>
    </w:p>
    <w:p>
      <w:pPr>
        <w:keepLines w:val="0"/>
        <w:pageBreakBefore w:val="0"/>
        <w:shd w:val="clear"/>
        <w:kinsoku/>
        <w:wordWrap/>
        <w:overflowPunct/>
        <w:topLinePunct w:val="0"/>
        <w:autoSpaceDE/>
        <w:autoSpaceDN/>
        <w:bidi w:val="0"/>
        <w:adjustRightInd/>
        <w:spacing w:line="50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1、项目编号：</w:t>
      </w:r>
      <w:r>
        <w:rPr>
          <w:rFonts w:hint="eastAsia" w:ascii="宋体" w:hAnsi="宋体" w:eastAsia="宋体" w:cs="宋体"/>
          <w:color w:val="auto"/>
          <w:sz w:val="24"/>
          <w:szCs w:val="24"/>
          <w:highlight w:val="none"/>
          <w:lang w:eastAsia="zh-CN"/>
        </w:rPr>
        <w:t>FYZB-ZC-2023-030</w:t>
      </w:r>
    </w:p>
    <w:p>
      <w:pPr>
        <w:keepLines w:val="0"/>
        <w:pageBreakBefore w:val="0"/>
        <w:shd w:val="clear"/>
        <w:kinsoku/>
        <w:wordWrap/>
        <w:overflowPunct/>
        <w:topLinePunct w:val="0"/>
        <w:autoSpaceDE/>
        <w:autoSpaceDN/>
        <w:bidi w:val="0"/>
        <w:adjustRightInd/>
        <w:spacing w:line="500" w:lineRule="exact"/>
        <w:ind w:firstLine="480" w:firstLineChars="200"/>
        <w:textAlignment w:val="auto"/>
        <w:rPr>
          <w:rFonts w:hint="eastAsia" w:ascii="宋体" w:hAnsi="宋体" w:cs="宋体"/>
          <w:bCs/>
          <w:color w:val="auto"/>
          <w:sz w:val="24"/>
          <w:szCs w:val="24"/>
          <w:highlight w:val="none"/>
          <w:lang w:eastAsia="zh-CN"/>
        </w:rPr>
      </w:pPr>
      <w:r>
        <w:rPr>
          <w:rFonts w:hint="eastAsia" w:ascii="宋体" w:hAnsi="宋体" w:cs="宋体"/>
          <w:color w:val="auto"/>
          <w:sz w:val="24"/>
          <w:szCs w:val="24"/>
          <w:highlight w:val="none"/>
        </w:rPr>
        <w:t>2、项目名称：</w:t>
      </w:r>
      <w:bookmarkEnd w:id="6"/>
      <w:r>
        <w:rPr>
          <w:rFonts w:hint="eastAsia" w:ascii="宋体" w:hAnsi="宋体" w:cs="宋体"/>
          <w:bCs/>
          <w:color w:val="auto"/>
          <w:sz w:val="24"/>
          <w:szCs w:val="24"/>
          <w:highlight w:val="none"/>
          <w:lang w:eastAsia="zh-CN"/>
        </w:rPr>
        <w:t>洛南县体育运动中心建设项目监理服务采购项目</w:t>
      </w:r>
    </w:p>
    <w:p>
      <w:pPr>
        <w:keepLines w:val="0"/>
        <w:pageBreakBefore w:val="0"/>
        <w:shd w:val="clear"/>
        <w:kinsoku/>
        <w:wordWrap/>
        <w:overflowPunct/>
        <w:topLinePunct w:val="0"/>
        <w:autoSpaceDE/>
        <w:autoSpaceDN/>
        <w:bidi w:val="0"/>
        <w:adjustRightInd/>
        <w:spacing w:line="500" w:lineRule="exact"/>
        <w:ind w:firstLine="480" w:firstLineChars="200"/>
        <w:textAlignment w:val="auto"/>
        <w:rPr>
          <w:rFonts w:hint="eastAsia" w:ascii="宋体" w:hAnsi="宋体" w:cs="宋体"/>
          <w:bCs/>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eastAsia="zh-CN"/>
        </w:rPr>
        <w:t>采购方式：公开招标</w:t>
      </w:r>
    </w:p>
    <w:p>
      <w:pPr>
        <w:keepLines w:val="0"/>
        <w:pageBreakBefore w:val="0"/>
        <w:shd w:val="clear"/>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预算金额</w:t>
      </w:r>
      <w:r>
        <w:rPr>
          <w:rFonts w:hint="eastAsia" w:ascii="宋体" w:hAnsi="宋体" w:eastAsia="宋体" w:cs="宋体"/>
          <w:color w:val="auto"/>
          <w:sz w:val="24"/>
          <w:szCs w:val="24"/>
          <w:highlight w:val="none"/>
        </w:rPr>
        <w:t>：</w:t>
      </w:r>
      <w:bookmarkStart w:id="8" w:name="_Toc35393622"/>
      <w:bookmarkStart w:id="9" w:name="_Toc28359003"/>
      <w:bookmarkStart w:id="10" w:name="_Toc28359080"/>
      <w:bookmarkStart w:id="11" w:name="_Toc35393791"/>
      <w:bookmarkStart w:id="12" w:name="_Toc28377"/>
      <w:r>
        <w:rPr>
          <w:rFonts w:hint="eastAsia" w:ascii="宋体" w:hAnsi="宋体" w:cs="宋体"/>
          <w:color w:val="auto"/>
          <w:sz w:val="24"/>
          <w:szCs w:val="24"/>
          <w:highlight w:val="none"/>
          <w:lang w:val="en-US" w:eastAsia="zh-CN"/>
        </w:rPr>
        <w:t>1800000.00</w:t>
      </w:r>
      <w:r>
        <w:rPr>
          <w:rFonts w:hint="eastAsia" w:ascii="宋体" w:hAnsi="宋体" w:eastAsia="宋体" w:cs="宋体"/>
          <w:color w:val="auto"/>
          <w:sz w:val="24"/>
          <w:szCs w:val="24"/>
          <w:highlight w:val="none"/>
          <w:lang w:val="en-US" w:eastAsia="zh-CN"/>
        </w:rPr>
        <w:t>元</w:t>
      </w:r>
    </w:p>
    <w:p>
      <w:pPr>
        <w:keepLines w:val="0"/>
        <w:pageBreakBefore w:val="0"/>
        <w:shd w:val="clear"/>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5、采购需求：</w:t>
      </w:r>
    </w:p>
    <w:p>
      <w:pPr>
        <w:keepLines w:val="0"/>
        <w:pageBreakBefore w:val="0"/>
        <w:shd w:val="clear"/>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合同包1（</w:t>
      </w:r>
      <w:r>
        <w:rPr>
          <w:rFonts w:hint="eastAsia" w:ascii="宋体" w:hAnsi="宋体" w:cs="宋体"/>
          <w:bCs/>
          <w:color w:val="auto"/>
          <w:sz w:val="24"/>
          <w:szCs w:val="24"/>
          <w:highlight w:val="none"/>
          <w:lang w:eastAsia="zh-CN"/>
        </w:rPr>
        <w:t>洛南县体育运动中心建设项目监理服务采购项目</w:t>
      </w:r>
      <w:r>
        <w:rPr>
          <w:rFonts w:hint="eastAsia" w:ascii="宋体" w:hAnsi="宋体" w:eastAsia="宋体" w:cs="宋体"/>
          <w:color w:val="auto"/>
          <w:sz w:val="24"/>
          <w:szCs w:val="24"/>
          <w:highlight w:val="none"/>
          <w:lang w:val="en-US" w:eastAsia="zh-CN"/>
        </w:rPr>
        <w:t>）:</w:t>
      </w:r>
    </w:p>
    <w:p>
      <w:pPr>
        <w:keepLines w:val="0"/>
        <w:pageBreakBefore w:val="0"/>
        <w:shd w:val="clear"/>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合同包预算金额：</w:t>
      </w:r>
      <w:r>
        <w:rPr>
          <w:rFonts w:hint="eastAsia" w:ascii="宋体" w:hAnsi="宋体" w:cs="宋体"/>
          <w:color w:val="auto"/>
          <w:sz w:val="24"/>
          <w:szCs w:val="24"/>
          <w:highlight w:val="none"/>
          <w:lang w:val="en-US" w:eastAsia="zh-CN"/>
        </w:rPr>
        <w:t>1800000.00</w:t>
      </w:r>
      <w:r>
        <w:rPr>
          <w:rFonts w:hint="eastAsia" w:ascii="宋体" w:hAnsi="宋体" w:eastAsia="宋体" w:cs="宋体"/>
          <w:color w:val="auto"/>
          <w:sz w:val="24"/>
          <w:szCs w:val="24"/>
          <w:highlight w:val="none"/>
          <w:lang w:val="en-US" w:eastAsia="zh-CN"/>
        </w:rPr>
        <w:t>元</w:t>
      </w:r>
    </w:p>
    <w:p>
      <w:pPr>
        <w:keepLines w:val="0"/>
        <w:pageBreakBefore w:val="0"/>
        <w:shd w:val="clear"/>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合同包最高限价：</w:t>
      </w:r>
      <w:r>
        <w:rPr>
          <w:rFonts w:hint="eastAsia" w:ascii="宋体" w:hAnsi="宋体" w:cs="宋体"/>
          <w:color w:val="auto"/>
          <w:sz w:val="24"/>
          <w:szCs w:val="24"/>
          <w:highlight w:val="none"/>
          <w:lang w:val="en-US" w:eastAsia="zh-CN"/>
        </w:rPr>
        <w:t>1800000.00</w:t>
      </w:r>
      <w:r>
        <w:rPr>
          <w:rFonts w:hint="eastAsia" w:ascii="宋体" w:hAnsi="宋体" w:eastAsia="宋体" w:cs="宋体"/>
          <w:color w:val="auto"/>
          <w:sz w:val="24"/>
          <w:szCs w:val="24"/>
          <w:highlight w:val="none"/>
          <w:lang w:val="en-US" w:eastAsia="zh-CN"/>
        </w:rPr>
        <w:t>元</w:t>
      </w:r>
    </w:p>
    <w:tbl>
      <w:tblPr>
        <w:tblStyle w:val="7"/>
        <w:tblW w:w="99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6"/>
        <w:gridCol w:w="1395"/>
        <w:gridCol w:w="2505"/>
        <w:gridCol w:w="990"/>
        <w:gridCol w:w="1485"/>
        <w:gridCol w:w="1551"/>
        <w:gridCol w:w="14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2" w:hRule="atLeast"/>
          <w:tblHeader/>
        </w:trPr>
        <w:tc>
          <w:tcPr>
            <w:tcW w:w="56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品目号</w:t>
            </w:r>
          </w:p>
        </w:tc>
        <w:tc>
          <w:tcPr>
            <w:tcW w:w="139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品目名称</w:t>
            </w:r>
          </w:p>
        </w:tc>
        <w:tc>
          <w:tcPr>
            <w:tcW w:w="250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采购标的</w:t>
            </w:r>
          </w:p>
        </w:tc>
        <w:tc>
          <w:tcPr>
            <w:tcW w:w="99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数量（单位）</w:t>
            </w:r>
          </w:p>
        </w:tc>
        <w:tc>
          <w:tcPr>
            <w:tcW w:w="14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技术规格、参数及要求</w:t>
            </w:r>
          </w:p>
        </w:tc>
        <w:tc>
          <w:tcPr>
            <w:tcW w:w="155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品目预算(元)</w:t>
            </w:r>
          </w:p>
        </w:tc>
        <w:tc>
          <w:tcPr>
            <w:tcW w:w="144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8" w:hRule="atLeast"/>
        </w:trPr>
        <w:tc>
          <w:tcPr>
            <w:tcW w:w="56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default"/>
                <w:color w:val="auto"/>
                <w:sz w:val="24"/>
                <w:szCs w:val="24"/>
                <w:highlight w:val="none"/>
                <w:lang w:val="en-US" w:eastAsia="zh-CN"/>
              </w:rPr>
            </w:pPr>
            <w:r>
              <w:rPr>
                <w:rFonts w:hint="eastAsia"/>
                <w:color w:val="auto"/>
                <w:sz w:val="24"/>
                <w:szCs w:val="24"/>
                <w:highlight w:val="none"/>
                <w:lang w:val="en-US" w:eastAsia="zh-CN"/>
              </w:rPr>
              <w:t>1-1</w:t>
            </w:r>
          </w:p>
        </w:tc>
        <w:tc>
          <w:tcPr>
            <w:tcW w:w="139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工程监理服务</w:t>
            </w:r>
          </w:p>
        </w:tc>
        <w:tc>
          <w:tcPr>
            <w:tcW w:w="250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color w:val="auto"/>
                <w:sz w:val="24"/>
                <w:szCs w:val="24"/>
                <w:highlight w:val="none"/>
                <w:lang w:val="en-US" w:eastAsia="zh-CN"/>
              </w:rPr>
            </w:pPr>
            <w:r>
              <w:rPr>
                <w:rFonts w:hint="eastAsia" w:ascii="宋体" w:hAnsi="宋体" w:cs="宋体"/>
                <w:bCs/>
                <w:color w:val="auto"/>
                <w:sz w:val="24"/>
                <w:szCs w:val="24"/>
                <w:highlight w:val="none"/>
                <w:lang w:eastAsia="zh-CN"/>
              </w:rPr>
              <w:t>洛南县体育运动中心建设项目监理服务采购项目</w:t>
            </w:r>
          </w:p>
        </w:tc>
        <w:tc>
          <w:tcPr>
            <w:tcW w:w="99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default"/>
                <w:color w:val="auto"/>
                <w:sz w:val="24"/>
                <w:szCs w:val="24"/>
                <w:highlight w:val="none"/>
                <w:lang w:val="en-US" w:eastAsia="zh-CN"/>
              </w:rPr>
            </w:pPr>
            <w:r>
              <w:rPr>
                <w:rFonts w:hint="eastAsia"/>
                <w:color w:val="auto"/>
                <w:sz w:val="24"/>
                <w:szCs w:val="24"/>
                <w:highlight w:val="none"/>
                <w:lang w:val="en-US" w:eastAsia="zh-CN"/>
              </w:rPr>
              <w:t>1项</w:t>
            </w:r>
          </w:p>
        </w:tc>
        <w:tc>
          <w:tcPr>
            <w:tcW w:w="14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详见采购文件</w:t>
            </w:r>
          </w:p>
        </w:tc>
        <w:tc>
          <w:tcPr>
            <w:tcW w:w="155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color w:val="auto"/>
                <w:sz w:val="24"/>
                <w:szCs w:val="24"/>
                <w:highlight w:val="none"/>
                <w:lang w:val="en-US" w:eastAsia="zh-CN"/>
              </w:rPr>
            </w:pPr>
            <w:r>
              <w:rPr>
                <w:rFonts w:hint="eastAsia" w:ascii="宋体" w:hAnsi="宋体" w:cs="宋体"/>
                <w:color w:val="auto"/>
                <w:sz w:val="24"/>
                <w:szCs w:val="24"/>
                <w:highlight w:val="none"/>
                <w:lang w:val="en-US" w:eastAsia="zh-CN"/>
              </w:rPr>
              <w:t>1800000.00</w:t>
            </w:r>
          </w:p>
        </w:tc>
        <w:tc>
          <w:tcPr>
            <w:tcW w:w="144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color w:val="auto"/>
                <w:sz w:val="24"/>
                <w:szCs w:val="24"/>
                <w:highlight w:val="none"/>
                <w:lang w:val="en-US" w:eastAsia="zh-CN"/>
              </w:rPr>
            </w:pPr>
            <w:r>
              <w:rPr>
                <w:rFonts w:hint="eastAsia" w:ascii="宋体" w:hAnsi="宋体" w:cs="宋体"/>
                <w:color w:val="auto"/>
                <w:sz w:val="24"/>
                <w:szCs w:val="24"/>
                <w:highlight w:val="none"/>
                <w:lang w:val="en-US" w:eastAsia="zh-CN"/>
              </w:rPr>
              <w:t>1800000.00</w:t>
            </w:r>
          </w:p>
        </w:tc>
      </w:tr>
    </w:tbl>
    <w:p>
      <w:pPr>
        <w:pStyle w:val="4"/>
        <w:keepLines w:val="0"/>
        <w:pageBreakBefore w:val="0"/>
        <w:shd w:val="clear"/>
        <w:kinsoku/>
        <w:wordWrap/>
        <w:overflowPunct/>
        <w:topLinePunct w:val="0"/>
        <w:autoSpaceDE/>
        <w:autoSpaceDN/>
        <w:bidi w:val="0"/>
        <w:adjustRightInd/>
        <w:spacing w:line="500" w:lineRule="exac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本合同包不接受联合体投标</w:t>
      </w:r>
    </w:p>
    <w:p>
      <w:pPr>
        <w:pStyle w:val="4"/>
        <w:keepLines w:val="0"/>
        <w:pageBreakBefore w:val="0"/>
        <w:shd w:val="clear"/>
        <w:kinsoku/>
        <w:wordWrap/>
        <w:overflowPunct/>
        <w:topLinePunct w:val="0"/>
        <w:autoSpaceDE/>
        <w:autoSpaceDN/>
        <w:bidi w:val="0"/>
        <w:adjustRightInd/>
        <w:spacing w:line="50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w:t>
      </w: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的资格要求</w:t>
      </w:r>
      <w:bookmarkEnd w:id="8"/>
      <w:bookmarkEnd w:id="9"/>
      <w:bookmarkEnd w:id="10"/>
      <w:bookmarkEnd w:id="11"/>
      <w:bookmarkEnd w:id="12"/>
    </w:p>
    <w:p>
      <w:pPr>
        <w:keepLines w:val="0"/>
        <w:pageBreakBefore w:val="0"/>
        <w:shd w:val="clear"/>
        <w:kinsoku/>
        <w:wordWrap/>
        <w:overflowPunct/>
        <w:topLinePunct w:val="0"/>
        <w:autoSpaceDE/>
        <w:autoSpaceDN/>
        <w:bidi w:val="0"/>
        <w:adjustRightInd/>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满足《中华人民共和国政府采购法》第二十二条规定；</w:t>
      </w:r>
    </w:p>
    <w:p>
      <w:pPr>
        <w:keepLines w:val="0"/>
        <w:pageBreakBefore w:val="0"/>
        <w:shd w:val="clear"/>
        <w:kinsoku/>
        <w:wordWrap/>
        <w:overflowPunct/>
        <w:topLinePunct w:val="0"/>
        <w:autoSpaceDE/>
        <w:autoSpaceDN/>
        <w:bidi w:val="0"/>
        <w:adjustRightInd/>
        <w:spacing w:line="500" w:lineRule="exact"/>
        <w:ind w:firstLine="480" w:firstLineChars="200"/>
        <w:textAlignment w:val="auto"/>
        <w:rPr>
          <w:rFonts w:hint="eastAsia" w:ascii="宋体" w:hAnsi="宋体" w:cs="宋体"/>
          <w:color w:val="auto"/>
          <w:sz w:val="24"/>
          <w:szCs w:val="24"/>
          <w:highlight w:val="none"/>
        </w:rPr>
      </w:pPr>
      <w:bookmarkStart w:id="13" w:name="_Toc28359081"/>
      <w:bookmarkStart w:id="14" w:name="_Toc28359004"/>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落实政府采购政策需满足的资格要求：</w:t>
      </w:r>
    </w:p>
    <w:p>
      <w:pPr>
        <w:keepLines w:val="0"/>
        <w:pageBreakBefore w:val="0"/>
        <w:shd w:val="clear"/>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合同包1(一标段)落实政府采购政策需满足的资格要求如下:</w:t>
      </w:r>
    </w:p>
    <w:p>
      <w:pPr>
        <w:keepLines w:val="0"/>
        <w:pageBreakBefore w:val="0"/>
        <w:shd w:val="clear"/>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本项目为专门面向中小企业采购，供应商应为中型企业或小型、微型企业 或监狱企业或残疾人福利性单位。</w:t>
      </w:r>
    </w:p>
    <w:p>
      <w:pPr>
        <w:keepLines w:val="0"/>
        <w:pageBreakBefore w:val="0"/>
        <w:shd w:val="clear"/>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本项目的特定资格要求：</w:t>
      </w:r>
    </w:p>
    <w:p>
      <w:pPr>
        <w:keepLines w:val="0"/>
        <w:pageBreakBefore w:val="0"/>
        <w:shd w:val="clear"/>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供应商具有独立承担民事责任能力的法人、其他组织或自然人。企业法人出具合法有效的营业执照、组织机构代码证、税务登记证（或统一社会信用代码的营业执照）或事业单</w:t>
      </w:r>
      <w:r>
        <w:rPr>
          <w:rFonts w:hint="eastAsia" w:ascii="宋体" w:hAnsi="宋体" w:eastAsia="宋体" w:cs="宋体"/>
          <w:bCs/>
          <w:color w:val="auto"/>
          <w:sz w:val="24"/>
          <w:szCs w:val="24"/>
          <w:highlight w:val="none"/>
          <w:lang w:eastAsia="zh-CN"/>
        </w:rPr>
        <w:t>位法人证书等国家规定的相关证明，自然人参与的提供其身份证明。</w:t>
      </w:r>
    </w:p>
    <w:p>
      <w:pPr>
        <w:keepLines w:val="0"/>
        <w:pageBreakBefore w:val="0"/>
        <w:shd w:val="clear"/>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供应商应授权合法的授权代表参加投标全过程，提供企业法定代表人授权委托书原件（附法定代表人、被授权委托人身份证复印件）及被授权人身份证原件（法定代表人参加投标只须提供法定代表人身份证原件并与营业执照信息一致）。</w:t>
      </w:r>
    </w:p>
    <w:p>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color w:val="auto"/>
          <w:highlight w:val="non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供应商应</w:t>
      </w:r>
      <w:r>
        <w:rPr>
          <w:rFonts w:hint="eastAsia" w:ascii="宋体" w:hAnsi="宋体" w:eastAsia="宋体" w:cs="宋体"/>
          <w:bCs/>
          <w:color w:val="auto"/>
          <w:sz w:val="24"/>
          <w:szCs w:val="24"/>
          <w:highlight w:val="none"/>
          <w:lang w:val="en-US" w:eastAsia="zh-CN"/>
        </w:rPr>
        <w:t>具备</w:t>
      </w:r>
      <w:r>
        <w:rPr>
          <w:rFonts w:hint="eastAsia" w:ascii="宋体" w:hAnsi="宋体" w:eastAsia="宋体" w:cs="宋体"/>
          <w:bCs/>
          <w:color w:val="auto"/>
          <w:sz w:val="24"/>
          <w:szCs w:val="24"/>
          <w:highlight w:val="none"/>
        </w:rPr>
        <w:t>工程监理综合类资质或</w:t>
      </w:r>
      <w:r>
        <w:rPr>
          <w:rFonts w:hint="eastAsia" w:ascii="宋体" w:hAnsi="宋体" w:eastAsia="宋体" w:cs="宋体"/>
          <w:bCs/>
          <w:color w:val="auto"/>
          <w:sz w:val="24"/>
          <w:szCs w:val="24"/>
          <w:highlight w:val="none"/>
          <w:lang w:val="en-US" w:eastAsia="zh-CN"/>
        </w:rPr>
        <w:t>房屋建筑</w:t>
      </w:r>
      <w:r>
        <w:rPr>
          <w:rFonts w:hint="eastAsia" w:ascii="宋体" w:hAnsi="宋体" w:eastAsia="宋体" w:cs="宋体"/>
          <w:bCs/>
          <w:color w:val="auto"/>
          <w:sz w:val="24"/>
          <w:szCs w:val="24"/>
          <w:highlight w:val="none"/>
        </w:rPr>
        <w:t>工程监理</w:t>
      </w:r>
      <w:r>
        <w:rPr>
          <w:rFonts w:hint="eastAsia" w:ascii="宋体" w:hAnsi="宋体" w:eastAsia="宋体" w:cs="宋体"/>
          <w:bCs/>
          <w:color w:val="auto"/>
          <w:sz w:val="24"/>
          <w:szCs w:val="24"/>
          <w:highlight w:val="none"/>
          <w:lang w:eastAsia="zh-CN"/>
        </w:rPr>
        <w:t>乙</w:t>
      </w:r>
      <w:r>
        <w:rPr>
          <w:rFonts w:hint="eastAsia" w:ascii="宋体" w:hAnsi="宋体" w:eastAsia="宋体" w:cs="宋体"/>
          <w:bCs/>
          <w:color w:val="auto"/>
          <w:sz w:val="24"/>
          <w:szCs w:val="24"/>
          <w:highlight w:val="none"/>
        </w:rPr>
        <w:t>级及以上资质。</w:t>
      </w:r>
    </w:p>
    <w:p>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lang w:eastAsia="zh-CN"/>
        </w:rPr>
        <w:t>）拟派项目总监理工程师具备</w:t>
      </w:r>
      <w:r>
        <w:rPr>
          <w:rFonts w:hint="eastAsia" w:ascii="宋体" w:hAnsi="宋体" w:eastAsia="宋体" w:cs="宋体"/>
          <w:bCs/>
          <w:color w:val="auto"/>
          <w:sz w:val="24"/>
          <w:szCs w:val="24"/>
          <w:highlight w:val="none"/>
          <w:lang w:val="en-US" w:eastAsia="zh-CN"/>
        </w:rPr>
        <w:t>房屋建筑工程</w:t>
      </w:r>
      <w:r>
        <w:rPr>
          <w:rFonts w:hint="eastAsia" w:ascii="宋体" w:hAnsi="宋体" w:eastAsia="宋体" w:cs="宋体"/>
          <w:bCs/>
          <w:color w:val="auto"/>
          <w:sz w:val="24"/>
          <w:szCs w:val="24"/>
          <w:highlight w:val="none"/>
          <w:lang w:eastAsia="zh-CN"/>
        </w:rPr>
        <w:t>国家注册监理工程师资格，在本单位注册且未担任其他在建工程项目的总监理工程师。</w:t>
      </w:r>
    </w:p>
    <w:p>
      <w:pPr>
        <w:keepNext w:val="0"/>
        <w:keepLines w:val="0"/>
        <w:pageBreakBefore w:val="0"/>
        <w:shd w:val="clear"/>
        <w:kinsoku/>
        <w:wordWrap/>
        <w:overflowPunct/>
        <w:topLinePunct w:val="0"/>
        <w:autoSpaceDE/>
        <w:autoSpaceDN/>
        <w:bidi w:val="0"/>
        <w:adjustRightInd/>
        <w:spacing w:line="500" w:lineRule="exact"/>
        <w:ind w:firstLine="480" w:firstLineChars="200"/>
        <w:textAlignment w:val="auto"/>
        <w:rPr>
          <w:rFonts w:hint="eastAsia" w:cs="宋体"/>
          <w:i w:val="0"/>
          <w:caps w:val="0"/>
          <w:color w:val="auto"/>
          <w:spacing w:val="0"/>
          <w:sz w:val="24"/>
          <w:szCs w:val="24"/>
          <w:highlight w:val="none"/>
          <w:shd w:val="clear" w:color="auto" w:fill="FFFFFF"/>
          <w:lang w:val="en-US" w:eastAsia="zh-CN"/>
        </w:rPr>
      </w:pP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财务状况报告</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提供2021年度或2022年度经审计的财务报告（包括审计报告、资产负债表、现金流量表、利润表（损益表）和附注等资料），若成立时间至开标时间不足一年的可提供成立后任意时段的资产负债表或开标前六个月内其基本账户银行出具的资信证明并附开户许可证或基本账户信息。</w:t>
      </w:r>
    </w:p>
    <w:p>
      <w:pPr>
        <w:keepNext w:val="0"/>
        <w:keepLines w:val="0"/>
        <w:pageBreakBefore w:val="0"/>
        <w:shd w:val="clear"/>
        <w:kinsoku/>
        <w:wordWrap/>
        <w:overflowPunct/>
        <w:topLinePunct w:val="0"/>
        <w:autoSpaceDE/>
        <w:autoSpaceDN/>
        <w:bidi w:val="0"/>
        <w:adjustRightInd/>
        <w:spacing w:line="500" w:lineRule="exact"/>
        <w:ind w:firstLine="480" w:firstLineChars="2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6</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税收缴纳证明：</w:t>
      </w:r>
      <w:r>
        <w:rPr>
          <w:rFonts w:hint="eastAsia" w:ascii="宋体" w:hAnsi="宋体" w:eastAsia="宋体" w:cs="宋体"/>
          <w:bCs/>
          <w:color w:val="auto"/>
          <w:sz w:val="24"/>
          <w:szCs w:val="24"/>
          <w:highlight w:val="none"/>
        </w:rPr>
        <w:t>提供</w:t>
      </w:r>
      <w:r>
        <w:rPr>
          <w:rFonts w:hint="eastAsia" w:ascii="宋体" w:hAnsi="宋体" w:eastAsia="宋体" w:cs="宋体"/>
          <w:bCs/>
          <w:color w:val="auto"/>
          <w:sz w:val="24"/>
          <w:szCs w:val="24"/>
          <w:highlight w:val="none"/>
          <w:lang w:eastAsia="zh-CN"/>
        </w:rPr>
        <w:t>截止</w:t>
      </w:r>
      <w:r>
        <w:rPr>
          <w:rFonts w:hint="eastAsia" w:ascii="宋体" w:hAnsi="宋体" w:eastAsia="宋体" w:cs="宋体"/>
          <w:bCs/>
          <w:color w:val="auto"/>
          <w:sz w:val="24"/>
          <w:szCs w:val="24"/>
          <w:highlight w:val="none"/>
        </w:rPr>
        <w:t>至</w:t>
      </w:r>
      <w:r>
        <w:rPr>
          <w:rFonts w:hint="eastAsia" w:ascii="宋体" w:hAnsi="宋体" w:eastAsia="宋体" w:cs="宋体"/>
          <w:bCs/>
          <w:color w:val="auto"/>
          <w:sz w:val="24"/>
          <w:szCs w:val="24"/>
          <w:highlight w:val="none"/>
          <w:lang w:eastAsia="zh-CN"/>
        </w:rPr>
        <w:t>开标</w:t>
      </w:r>
      <w:r>
        <w:rPr>
          <w:rFonts w:hint="eastAsia" w:ascii="宋体" w:hAnsi="宋体" w:eastAsia="宋体" w:cs="宋体"/>
          <w:bCs/>
          <w:color w:val="auto"/>
          <w:sz w:val="24"/>
          <w:szCs w:val="24"/>
          <w:highlight w:val="none"/>
        </w:rPr>
        <w:t>时间前</w:t>
      </w:r>
      <w:r>
        <w:rPr>
          <w:rFonts w:hint="eastAsia" w:ascii="宋体" w:hAnsi="宋体" w:eastAsia="宋体" w:cs="宋体"/>
          <w:bCs/>
          <w:color w:val="auto"/>
          <w:sz w:val="24"/>
          <w:szCs w:val="24"/>
          <w:highlight w:val="none"/>
          <w:lang w:val="en-US" w:eastAsia="zh-CN"/>
        </w:rPr>
        <w:t>12个月内</w:t>
      </w:r>
      <w:r>
        <w:rPr>
          <w:rFonts w:hint="eastAsia" w:ascii="宋体" w:hAnsi="宋体" w:eastAsia="宋体" w:cs="宋体"/>
          <w:bCs/>
          <w:color w:val="auto"/>
          <w:sz w:val="24"/>
          <w:szCs w:val="24"/>
          <w:highlight w:val="none"/>
          <w:lang w:eastAsia="zh-CN"/>
        </w:rPr>
        <w:t>任意</w:t>
      </w:r>
      <w:r>
        <w:rPr>
          <w:rFonts w:hint="eastAsia" w:ascii="宋体" w:hAnsi="宋体" w:eastAsia="宋体" w:cs="宋体"/>
          <w:bCs/>
          <w:color w:val="auto"/>
          <w:sz w:val="24"/>
          <w:szCs w:val="24"/>
          <w:highlight w:val="none"/>
          <w:lang w:val="en-US" w:eastAsia="zh-CN"/>
        </w:rPr>
        <w:t>一</w:t>
      </w:r>
      <w:r>
        <w:rPr>
          <w:rFonts w:hint="eastAsia" w:ascii="宋体" w:hAnsi="宋体" w:eastAsia="宋体" w:cs="宋体"/>
          <w:bCs/>
          <w:color w:val="auto"/>
          <w:sz w:val="24"/>
          <w:szCs w:val="24"/>
          <w:highlight w:val="none"/>
          <w:lang w:eastAsia="zh-CN"/>
        </w:rPr>
        <w:t>个月</w:t>
      </w:r>
      <w:r>
        <w:rPr>
          <w:rFonts w:hint="eastAsia" w:ascii="宋体" w:hAnsi="宋体" w:eastAsia="宋体" w:cs="宋体"/>
          <w:bCs/>
          <w:color w:val="auto"/>
          <w:sz w:val="24"/>
          <w:szCs w:val="24"/>
          <w:highlight w:val="none"/>
          <w:lang w:val="en-US" w:eastAsia="zh-CN"/>
        </w:rPr>
        <w:t>任意税种</w:t>
      </w:r>
      <w:r>
        <w:rPr>
          <w:rFonts w:hint="eastAsia" w:ascii="宋体" w:hAnsi="宋体" w:eastAsia="宋体" w:cs="宋体"/>
          <w:bCs/>
          <w:color w:val="auto"/>
          <w:sz w:val="24"/>
          <w:szCs w:val="24"/>
          <w:highlight w:val="none"/>
        </w:rPr>
        <w:t>的缴费凭据或提供税务部门出具的纳税证明，依法免税的单位应提供相关证明材料。</w:t>
      </w:r>
    </w:p>
    <w:p>
      <w:pPr>
        <w:keepNext w:val="0"/>
        <w:keepLines w:val="0"/>
        <w:pageBreakBefore w:val="0"/>
        <w:shd w:val="clear"/>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社会保障资金缴纳证明：提供</w:t>
      </w:r>
      <w:r>
        <w:rPr>
          <w:rFonts w:hint="eastAsia" w:ascii="宋体" w:hAnsi="宋体" w:eastAsia="宋体" w:cs="宋体"/>
          <w:bCs/>
          <w:color w:val="auto"/>
          <w:sz w:val="24"/>
          <w:szCs w:val="24"/>
          <w:highlight w:val="none"/>
          <w:lang w:eastAsia="zh-CN"/>
        </w:rPr>
        <w:t>截止</w:t>
      </w:r>
      <w:r>
        <w:rPr>
          <w:rFonts w:hint="eastAsia" w:ascii="宋体" w:hAnsi="宋体" w:eastAsia="宋体" w:cs="宋体"/>
          <w:bCs/>
          <w:color w:val="auto"/>
          <w:sz w:val="24"/>
          <w:szCs w:val="24"/>
          <w:highlight w:val="none"/>
        </w:rPr>
        <w:t>至</w:t>
      </w:r>
      <w:r>
        <w:rPr>
          <w:rFonts w:hint="eastAsia" w:ascii="宋体" w:hAnsi="宋体" w:eastAsia="宋体" w:cs="宋体"/>
          <w:bCs/>
          <w:color w:val="auto"/>
          <w:sz w:val="24"/>
          <w:szCs w:val="24"/>
          <w:highlight w:val="none"/>
          <w:lang w:eastAsia="zh-CN"/>
        </w:rPr>
        <w:t>开标</w:t>
      </w:r>
      <w:r>
        <w:rPr>
          <w:rFonts w:hint="eastAsia" w:ascii="宋体" w:hAnsi="宋体" w:eastAsia="宋体" w:cs="宋体"/>
          <w:bCs/>
          <w:color w:val="auto"/>
          <w:sz w:val="24"/>
          <w:szCs w:val="24"/>
          <w:highlight w:val="none"/>
        </w:rPr>
        <w:t>时间前</w:t>
      </w:r>
      <w:r>
        <w:rPr>
          <w:rFonts w:hint="eastAsia" w:ascii="宋体" w:hAnsi="宋体" w:eastAsia="宋体" w:cs="宋体"/>
          <w:bCs/>
          <w:color w:val="auto"/>
          <w:sz w:val="24"/>
          <w:szCs w:val="24"/>
          <w:highlight w:val="none"/>
          <w:lang w:val="en-US" w:eastAsia="zh-CN"/>
        </w:rPr>
        <w:t>12个月内</w:t>
      </w:r>
      <w:r>
        <w:rPr>
          <w:rFonts w:hint="eastAsia" w:ascii="宋体" w:hAnsi="宋体" w:eastAsia="宋体" w:cs="宋体"/>
          <w:bCs/>
          <w:color w:val="auto"/>
          <w:sz w:val="24"/>
          <w:szCs w:val="24"/>
          <w:highlight w:val="none"/>
          <w:lang w:eastAsia="zh-CN"/>
        </w:rPr>
        <w:t>任意</w:t>
      </w:r>
      <w:r>
        <w:rPr>
          <w:rFonts w:hint="eastAsia" w:ascii="宋体" w:hAnsi="宋体" w:eastAsia="宋体" w:cs="宋体"/>
          <w:bCs/>
          <w:color w:val="auto"/>
          <w:sz w:val="24"/>
          <w:szCs w:val="24"/>
          <w:highlight w:val="none"/>
          <w:lang w:val="en-US" w:eastAsia="zh-CN"/>
        </w:rPr>
        <w:t>一</w:t>
      </w:r>
      <w:r>
        <w:rPr>
          <w:rFonts w:hint="eastAsia" w:ascii="宋体" w:hAnsi="宋体" w:eastAsia="宋体" w:cs="宋体"/>
          <w:bCs/>
          <w:color w:val="auto"/>
          <w:sz w:val="24"/>
          <w:szCs w:val="24"/>
          <w:highlight w:val="none"/>
          <w:lang w:eastAsia="zh-CN"/>
        </w:rPr>
        <w:t>个月</w:t>
      </w:r>
      <w:r>
        <w:rPr>
          <w:rFonts w:hint="eastAsia" w:ascii="宋体" w:hAnsi="宋体" w:eastAsia="宋体" w:cs="宋体"/>
          <w:bCs/>
          <w:color w:val="auto"/>
          <w:sz w:val="24"/>
          <w:szCs w:val="24"/>
          <w:highlight w:val="none"/>
        </w:rPr>
        <w:t>的社会保障资金缴存单据或社保机构开具的社会保险参保缴费情况证明；依法不需要缴纳社会保障资金的应提供相关文件证明。</w:t>
      </w:r>
    </w:p>
    <w:p>
      <w:pPr>
        <w:keepNext w:val="0"/>
        <w:keepLines w:val="0"/>
        <w:pageBreakBefore w:val="0"/>
        <w:shd w:val="clear"/>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参加本次政府采购活动前三年内在经营活动中没有重大违法记录的书面声明。</w:t>
      </w:r>
    </w:p>
    <w:p>
      <w:pPr>
        <w:keepNext w:val="0"/>
        <w:keepLines w:val="0"/>
        <w:pageBreakBefore w:val="0"/>
        <w:shd w:val="clear"/>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9</w:t>
      </w:r>
      <w:r>
        <w:rPr>
          <w:rFonts w:hint="eastAsia" w:ascii="宋体" w:hAnsi="宋体" w:eastAsia="宋体" w:cs="宋体"/>
          <w:bCs/>
          <w:color w:val="auto"/>
          <w:sz w:val="24"/>
          <w:szCs w:val="24"/>
          <w:highlight w:val="none"/>
          <w:lang w:eastAsia="zh-CN"/>
        </w:rPr>
        <w:t>）提供具有履行合同所必需的设备和专业技术能力的书面声明</w:t>
      </w:r>
      <w:r>
        <w:rPr>
          <w:rFonts w:hint="eastAsia" w:ascii="宋体" w:hAnsi="宋体" w:eastAsia="宋体" w:cs="宋体"/>
          <w:bCs/>
          <w:color w:val="auto"/>
          <w:sz w:val="24"/>
          <w:szCs w:val="24"/>
          <w:highlight w:val="none"/>
        </w:rPr>
        <w:t>。</w:t>
      </w:r>
    </w:p>
    <w:p>
      <w:pPr>
        <w:keepNext w:val="0"/>
        <w:keepLines w:val="0"/>
        <w:pageBreakBefore w:val="0"/>
        <w:shd w:val="clear"/>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投标保证金交纳凭证或陕西省财政厅指定的担保机构出具的保函</w:t>
      </w:r>
      <w:r>
        <w:rPr>
          <w:rFonts w:hint="eastAsia" w:ascii="宋体" w:hAnsi="宋体" w:eastAsia="宋体" w:cs="宋体"/>
          <w:bCs/>
          <w:color w:val="auto"/>
          <w:sz w:val="24"/>
          <w:szCs w:val="24"/>
          <w:highlight w:val="none"/>
          <w:lang w:eastAsia="zh-CN"/>
        </w:rPr>
        <w:t>。</w:t>
      </w:r>
    </w:p>
    <w:p>
      <w:pPr>
        <w:pStyle w:val="4"/>
        <w:keepLines w:val="0"/>
        <w:pageBreakBefore w:val="0"/>
        <w:shd w:val="clear"/>
        <w:kinsoku/>
        <w:wordWrap/>
        <w:overflowPunct/>
        <w:topLinePunct w:val="0"/>
        <w:autoSpaceDE/>
        <w:autoSpaceDN/>
        <w:bidi w:val="0"/>
        <w:adjustRightInd/>
        <w:spacing w:line="500" w:lineRule="exact"/>
        <w:textAlignment w:val="auto"/>
        <w:rPr>
          <w:rFonts w:hint="eastAsia" w:ascii="宋体" w:hAnsi="宋体" w:eastAsia="宋体" w:cs="宋体"/>
          <w:b/>
          <w:bCs/>
          <w:color w:val="auto"/>
          <w:sz w:val="24"/>
          <w:szCs w:val="24"/>
          <w:highlight w:val="none"/>
        </w:rPr>
      </w:pPr>
      <w:bookmarkStart w:id="15" w:name="_Toc35393792"/>
      <w:bookmarkStart w:id="16" w:name="_Toc35393623"/>
      <w:bookmarkStart w:id="17" w:name="_Toc7173"/>
      <w:r>
        <w:rPr>
          <w:rFonts w:hint="eastAsia" w:ascii="宋体" w:hAnsi="宋体" w:eastAsia="宋体" w:cs="宋体"/>
          <w:b/>
          <w:bCs/>
          <w:color w:val="auto"/>
          <w:sz w:val="24"/>
          <w:szCs w:val="24"/>
          <w:highlight w:val="none"/>
        </w:rPr>
        <w:t>三、招标文件</w:t>
      </w:r>
      <w:bookmarkEnd w:id="13"/>
      <w:bookmarkEnd w:id="14"/>
      <w:bookmarkEnd w:id="15"/>
      <w:bookmarkEnd w:id="16"/>
      <w:r>
        <w:rPr>
          <w:rFonts w:hint="eastAsia" w:ascii="宋体" w:hAnsi="宋体" w:eastAsia="宋体" w:cs="宋体"/>
          <w:b/>
          <w:bCs/>
          <w:color w:val="auto"/>
          <w:sz w:val="24"/>
          <w:szCs w:val="24"/>
          <w:highlight w:val="none"/>
        </w:rPr>
        <w:t>的获取方式</w:t>
      </w:r>
      <w:bookmarkEnd w:id="17"/>
    </w:p>
    <w:p>
      <w:pPr>
        <w:keepNext w:val="0"/>
        <w:keepLines w:val="0"/>
        <w:pageBreakBefore w:val="0"/>
        <w:shd w:val="clear"/>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时间：</w:t>
      </w:r>
      <w:r>
        <w:rPr>
          <w:rFonts w:hint="eastAsia" w:ascii="宋体" w:hAnsi="宋体" w:eastAsia="宋体" w:cs="宋体"/>
          <w:bCs/>
          <w:color w:val="auto"/>
          <w:sz w:val="24"/>
          <w:szCs w:val="24"/>
          <w:highlight w:val="none"/>
          <w:lang w:eastAsia="zh-CN"/>
        </w:rPr>
        <w:t>2</w:t>
      </w:r>
      <w:r>
        <w:rPr>
          <w:rFonts w:hint="eastAsia" w:ascii="宋体" w:hAnsi="宋体" w:eastAsia="宋体" w:cs="宋体"/>
          <w:bCs/>
          <w:color w:val="auto"/>
          <w:sz w:val="24"/>
          <w:szCs w:val="24"/>
          <w:highlight w:val="none"/>
          <w:lang w:val="en-US" w:eastAsia="zh-CN"/>
        </w:rPr>
        <w:t>023年05</w:t>
      </w:r>
      <w:r>
        <w:rPr>
          <w:rFonts w:hint="eastAsia" w:ascii="宋体" w:hAnsi="宋体" w:eastAsia="宋体" w:cs="宋体"/>
          <w:bCs/>
          <w:color w:val="auto"/>
          <w:sz w:val="24"/>
          <w:szCs w:val="24"/>
          <w:highlight w:val="none"/>
          <w:lang w:eastAsia="zh-CN"/>
        </w:rPr>
        <w:t>月</w:t>
      </w:r>
      <w:r>
        <w:rPr>
          <w:rFonts w:hint="eastAsia" w:ascii="宋体" w:hAnsi="宋体" w:eastAsia="宋体" w:cs="宋体"/>
          <w:bCs/>
          <w:color w:val="auto"/>
          <w:sz w:val="24"/>
          <w:szCs w:val="24"/>
          <w:highlight w:val="none"/>
          <w:lang w:val="en-US" w:eastAsia="zh-CN"/>
        </w:rPr>
        <w:t>08日</w:t>
      </w:r>
      <w:r>
        <w:rPr>
          <w:rFonts w:hint="eastAsia" w:ascii="宋体" w:hAnsi="宋体" w:eastAsia="宋体" w:cs="宋体"/>
          <w:bCs/>
          <w:color w:val="auto"/>
          <w:sz w:val="24"/>
          <w:szCs w:val="24"/>
          <w:highlight w:val="none"/>
          <w:lang w:eastAsia="zh-CN"/>
        </w:rPr>
        <w:t>至2</w:t>
      </w:r>
      <w:r>
        <w:rPr>
          <w:rFonts w:hint="eastAsia" w:ascii="宋体" w:hAnsi="宋体" w:eastAsia="宋体" w:cs="宋体"/>
          <w:bCs/>
          <w:color w:val="auto"/>
          <w:sz w:val="24"/>
          <w:szCs w:val="24"/>
          <w:highlight w:val="none"/>
          <w:lang w:val="en-US" w:eastAsia="zh-CN"/>
        </w:rPr>
        <w:t>023</w:t>
      </w:r>
      <w:r>
        <w:rPr>
          <w:rFonts w:hint="eastAsia" w:ascii="宋体" w:hAnsi="宋体" w:eastAsia="宋体" w:cs="宋体"/>
          <w:bCs/>
          <w:color w:val="auto"/>
          <w:sz w:val="24"/>
          <w:szCs w:val="24"/>
          <w:highlight w:val="none"/>
          <w:lang w:eastAsia="zh-CN"/>
        </w:rPr>
        <w:t>年</w:t>
      </w:r>
      <w:r>
        <w:rPr>
          <w:rFonts w:hint="eastAsia" w:ascii="宋体" w:hAnsi="宋体" w:eastAsia="宋体" w:cs="宋体"/>
          <w:bCs/>
          <w:color w:val="auto"/>
          <w:sz w:val="24"/>
          <w:szCs w:val="24"/>
          <w:highlight w:val="none"/>
          <w:lang w:val="en-US" w:eastAsia="zh-CN"/>
        </w:rPr>
        <w:t>05</w:t>
      </w:r>
      <w:r>
        <w:rPr>
          <w:rFonts w:hint="eastAsia" w:ascii="宋体" w:hAnsi="宋体" w:eastAsia="宋体" w:cs="宋体"/>
          <w:bCs/>
          <w:color w:val="auto"/>
          <w:sz w:val="24"/>
          <w:szCs w:val="24"/>
          <w:highlight w:val="none"/>
          <w:lang w:eastAsia="zh-CN"/>
        </w:rPr>
        <w:t>月</w:t>
      </w:r>
      <w:r>
        <w:rPr>
          <w:rFonts w:hint="eastAsia" w:ascii="宋体" w:hAnsi="宋体" w:eastAsia="宋体" w:cs="宋体"/>
          <w:bCs/>
          <w:color w:val="auto"/>
          <w:sz w:val="24"/>
          <w:szCs w:val="24"/>
          <w:highlight w:val="none"/>
          <w:lang w:val="en-US" w:eastAsia="zh-CN"/>
        </w:rPr>
        <w:t>15日</w:t>
      </w:r>
      <w:r>
        <w:rPr>
          <w:rFonts w:hint="eastAsia" w:ascii="宋体" w:hAnsi="宋体" w:eastAsia="宋体" w:cs="宋体"/>
          <w:bCs/>
          <w:color w:val="auto"/>
          <w:sz w:val="24"/>
          <w:szCs w:val="24"/>
          <w:highlight w:val="none"/>
          <w:lang w:eastAsia="zh-CN"/>
        </w:rPr>
        <w:t xml:space="preserve"> </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lang w:eastAsia="zh-CN"/>
        </w:rPr>
        <w:t>每天上午0</w:t>
      </w:r>
      <w:r>
        <w:rPr>
          <w:rFonts w:hint="eastAsia" w:ascii="宋体" w:hAnsi="宋体" w:eastAsia="宋体" w:cs="宋体"/>
          <w:bCs/>
          <w:color w:val="auto"/>
          <w:sz w:val="24"/>
          <w:szCs w:val="24"/>
          <w:highlight w:val="none"/>
          <w:lang w:val="en-US" w:eastAsia="zh-CN"/>
        </w:rPr>
        <w:t>9</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0</w:t>
      </w:r>
      <w:r>
        <w:rPr>
          <w:rFonts w:hint="eastAsia" w:ascii="宋体" w:hAnsi="宋体" w:eastAsia="宋体" w:cs="宋体"/>
          <w:bCs/>
          <w:color w:val="auto"/>
          <w:sz w:val="24"/>
          <w:szCs w:val="24"/>
          <w:highlight w:val="none"/>
          <w:lang w:eastAsia="zh-CN"/>
        </w:rPr>
        <w:t>0:00至12:00:00，下午 14:00:00至1</w:t>
      </w: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lang w:eastAsia="zh-CN"/>
        </w:rPr>
        <w:t>:00:00（北京时间,法定节假日除外）</w:t>
      </w:r>
    </w:p>
    <w:p>
      <w:pPr>
        <w:keepNext w:val="0"/>
        <w:keepLines w:val="0"/>
        <w:pageBreakBefore w:val="0"/>
        <w:shd w:val="clear"/>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bCs/>
          <w:color w:val="auto"/>
          <w:sz w:val="24"/>
          <w:szCs w:val="24"/>
          <w:highlight w:val="none"/>
          <w:lang w:eastAsia="zh-CN"/>
        </w:rPr>
      </w:pPr>
      <w:bookmarkStart w:id="18" w:name="_Toc14023"/>
      <w:bookmarkStart w:id="19" w:name="_Toc28359005"/>
      <w:bookmarkStart w:id="20" w:name="_Toc28359082"/>
      <w:bookmarkStart w:id="21" w:name="_Toc35393793"/>
      <w:bookmarkStart w:id="22" w:name="_Toc35393624"/>
      <w:r>
        <w:rPr>
          <w:rFonts w:hint="eastAsia" w:ascii="宋体" w:hAnsi="宋体" w:eastAsia="宋体" w:cs="宋体"/>
          <w:bCs/>
          <w:color w:val="auto"/>
          <w:sz w:val="24"/>
          <w:szCs w:val="24"/>
          <w:highlight w:val="none"/>
          <w:lang w:eastAsia="zh-CN"/>
        </w:rPr>
        <w:t>地点：</w:t>
      </w:r>
      <w:r>
        <w:rPr>
          <w:rFonts w:hint="eastAsia" w:ascii="宋体" w:hAnsi="宋体" w:eastAsia="宋体" w:cs="宋体"/>
          <w:bCs/>
          <w:color w:val="auto"/>
          <w:sz w:val="24"/>
          <w:szCs w:val="24"/>
          <w:highlight w:val="none"/>
          <w:lang w:val="en-US" w:eastAsia="zh-CN"/>
        </w:rPr>
        <w:t>陕西省西安市高新区唐延南路逸翠尚府北区1号楼7单元1501室</w:t>
      </w:r>
    </w:p>
    <w:p>
      <w:pPr>
        <w:keepNext w:val="0"/>
        <w:keepLines w:val="0"/>
        <w:pageBreakBefore w:val="0"/>
        <w:widowControl/>
        <w:shd w:val="clear"/>
        <w:kinsoku/>
        <w:wordWrap/>
        <w:overflowPunct/>
        <w:topLinePunct w:val="0"/>
        <w:autoSpaceDE/>
        <w:autoSpaceDN/>
        <w:bidi w:val="0"/>
        <w:adjustRightInd/>
        <w:snapToGrid w:val="0"/>
        <w:spacing w:line="500" w:lineRule="exact"/>
        <w:ind w:right="0" w:rightChars="0" w:firstLine="480" w:firstLineChars="20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方式：现场</w:t>
      </w:r>
      <w:r>
        <w:rPr>
          <w:rFonts w:hint="eastAsia" w:ascii="宋体" w:hAnsi="宋体" w:eastAsia="宋体" w:cs="宋体"/>
          <w:color w:val="auto"/>
          <w:kern w:val="0"/>
          <w:sz w:val="24"/>
          <w:szCs w:val="24"/>
          <w:highlight w:val="none"/>
          <w:lang w:eastAsia="zh-CN"/>
        </w:rPr>
        <w:t>获取</w:t>
      </w:r>
    </w:p>
    <w:p>
      <w:pPr>
        <w:keepNext w:val="0"/>
        <w:keepLines w:val="0"/>
        <w:pageBreakBefore w:val="0"/>
        <w:widowControl/>
        <w:shd w:val="clear"/>
        <w:kinsoku/>
        <w:wordWrap/>
        <w:overflowPunct/>
        <w:topLinePunct w:val="0"/>
        <w:autoSpaceDE/>
        <w:autoSpaceDN/>
        <w:bidi w:val="0"/>
        <w:adjustRightInd/>
        <w:snapToGrid w:val="0"/>
        <w:spacing w:line="500" w:lineRule="exact"/>
        <w:ind w:right="0" w:rightChars="0" w:firstLine="480" w:firstLineChars="200"/>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售价：</w:t>
      </w:r>
      <w:r>
        <w:rPr>
          <w:rFonts w:hint="eastAsia" w:ascii="宋体" w:hAnsi="宋体" w:eastAsia="宋体" w:cs="宋体"/>
          <w:color w:val="auto"/>
          <w:kern w:val="0"/>
          <w:sz w:val="24"/>
          <w:szCs w:val="24"/>
          <w:highlight w:val="none"/>
          <w:lang w:eastAsia="zh-CN"/>
        </w:rPr>
        <w:t>每套</w:t>
      </w:r>
      <w:r>
        <w:rPr>
          <w:rFonts w:hint="eastAsia" w:ascii="宋体" w:hAnsi="宋体" w:eastAsia="宋体" w:cs="宋体"/>
          <w:color w:val="auto"/>
          <w:kern w:val="0"/>
          <w:sz w:val="24"/>
          <w:szCs w:val="24"/>
          <w:highlight w:val="none"/>
          <w:lang w:val="en-US" w:eastAsia="zh-CN"/>
        </w:rPr>
        <w:t>500元。</w:t>
      </w:r>
    </w:p>
    <w:bookmarkEnd w:id="18"/>
    <w:bookmarkEnd w:id="19"/>
    <w:bookmarkEnd w:id="20"/>
    <w:bookmarkEnd w:id="21"/>
    <w:bookmarkEnd w:id="22"/>
    <w:p>
      <w:pPr>
        <w:pStyle w:val="4"/>
        <w:keepLines w:val="0"/>
        <w:pageBreakBefore w:val="0"/>
        <w:shd w:val="clear"/>
        <w:kinsoku/>
        <w:wordWrap/>
        <w:overflowPunct/>
        <w:topLinePunct w:val="0"/>
        <w:autoSpaceDE/>
        <w:autoSpaceDN/>
        <w:bidi w:val="0"/>
        <w:adjustRightInd/>
        <w:spacing w:line="500" w:lineRule="exact"/>
        <w:textAlignment w:val="auto"/>
        <w:rPr>
          <w:rFonts w:hint="eastAsia" w:ascii="宋体" w:hAnsi="宋体" w:eastAsia="宋体" w:cs="宋体"/>
          <w:b/>
          <w:bCs/>
          <w:color w:val="auto"/>
          <w:sz w:val="24"/>
          <w:szCs w:val="24"/>
          <w:highlight w:val="none"/>
        </w:rPr>
      </w:pPr>
      <w:bookmarkStart w:id="23" w:name="_Toc35393625"/>
      <w:bookmarkStart w:id="24" w:name="_Toc28359007"/>
      <w:bookmarkStart w:id="25" w:name="_Toc28359084"/>
      <w:bookmarkStart w:id="26" w:name="_Toc35393794"/>
      <w:bookmarkStart w:id="27" w:name="_Toc3868"/>
      <w:r>
        <w:rPr>
          <w:rFonts w:hint="eastAsia" w:ascii="宋体" w:hAnsi="宋体" w:eastAsia="宋体" w:cs="宋体"/>
          <w:b/>
          <w:bCs/>
          <w:color w:val="auto"/>
          <w:sz w:val="24"/>
          <w:szCs w:val="24"/>
          <w:highlight w:val="none"/>
        </w:rPr>
        <w:t>四、提交投标文件截止时间、开标时间和地点</w:t>
      </w:r>
    </w:p>
    <w:p>
      <w:pPr>
        <w:keepNext w:val="0"/>
        <w:keepLines w:val="0"/>
        <w:pageBreakBefore w:val="0"/>
        <w:shd w:val="clear"/>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时间：</w:t>
      </w:r>
      <w:r>
        <w:rPr>
          <w:rFonts w:hint="eastAsia" w:ascii="宋体" w:hAnsi="宋体" w:eastAsia="宋体" w:cs="宋体"/>
          <w:bCs/>
          <w:color w:val="auto"/>
          <w:sz w:val="24"/>
          <w:szCs w:val="24"/>
          <w:highlight w:val="none"/>
          <w:lang w:eastAsia="zh-CN"/>
        </w:rPr>
        <w:t>202</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年</w:t>
      </w:r>
      <w:r>
        <w:rPr>
          <w:rFonts w:hint="eastAsia" w:ascii="宋体" w:hAnsi="宋体" w:eastAsia="宋体" w:cs="宋体"/>
          <w:bCs/>
          <w:color w:val="auto"/>
          <w:sz w:val="24"/>
          <w:szCs w:val="24"/>
          <w:highlight w:val="none"/>
          <w:lang w:val="en-US" w:eastAsia="zh-CN"/>
        </w:rPr>
        <w:t>05</w:t>
      </w:r>
      <w:r>
        <w:rPr>
          <w:rFonts w:hint="eastAsia" w:ascii="宋体" w:hAnsi="宋体" w:eastAsia="宋体" w:cs="宋体"/>
          <w:bCs/>
          <w:color w:val="auto"/>
          <w:sz w:val="24"/>
          <w:szCs w:val="24"/>
          <w:highlight w:val="none"/>
          <w:lang w:eastAsia="zh-CN"/>
        </w:rPr>
        <w:t>月</w:t>
      </w:r>
      <w:r>
        <w:rPr>
          <w:rFonts w:hint="eastAsia" w:ascii="宋体" w:hAnsi="宋体" w:eastAsia="宋体" w:cs="宋体"/>
          <w:bCs/>
          <w:color w:val="auto"/>
          <w:sz w:val="24"/>
          <w:szCs w:val="24"/>
          <w:highlight w:val="none"/>
          <w:lang w:val="en-US" w:eastAsia="zh-CN"/>
        </w:rPr>
        <w:t>30</w:t>
      </w:r>
      <w:r>
        <w:rPr>
          <w:rFonts w:hint="eastAsia" w:ascii="宋体" w:hAnsi="宋体" w:eastAsia="宋体" w:cs="宋体"/>
          <w:bCs/>
          <w:color w:val="auto"/>
          <w:sz w:val="24"/>
          <w:szCs w:val="24"/>
          <w:highlight w:val="none"/>
          <w:lang w:eastAsia="zh-CN"/>
        </w:rPr>
        <w:t>日</w:t>
      </w:r>
      <w:r>
        <w:rPr>
          <w:rFonts w:hint="eastAsia" w:ascii="宋体" w:hAnsi="宋体" w:eastAsia="宋体" w:cs="宋体"/>
          <w:bCs/>
          <w:color w:val="auto"/>
          <w:sz w:val="24"/>
          <w:szCs w:val="24"/>
          <w:highlight w:val="none"/>
          <w:lang w:val="en-US" w:eastAsia="zh-CN"/>
        </w:rPr>
        <w:t>14</w:t>
      </w:r>
      <w:r>
        <w:rPr>
          <w:rFonts w:hint="eastAsia" w:ascii="宋体" w:hAnsi="宋体" w:eastAsia="宋体" w:cs="宋体"/>
          <w:bCs/>
          <w:color w:val="auto"/>
          <w:sz w:val="24"/>
          <w:szCs w:val="24"/>
          <w:highlight w:val="none"/>
          <w:lang w:eastAsia="zh-CN"/>
        </w:rPr>
        <w:t>时30分00秒</w:t>
      </w:r>
      <w:r>
        <w:rPr>
          <w:rFonts w:hint="eastAsia" w:ascii="宋体" w:hAnsi="宋体" w:eastAsia="宋体" w:cs="宋体"/>
          <w:bCs/>
          <w:color w:val="auto"/>
          <w:sz w:val="24"/>
          <w:szCs w:val="24"/>
          <w:highlight w:val="none"/>
          <w:lang w:eastAsia="zh-CN"/>
        </w:rPr>
        <w:t>（北京时间）</w:t>
      </w:r>
    </w:p>
    <w:p>
      <w:pPr>
        <w:keepNext w:val="0"/>
        <w:keepLines w:val="0"/>
        <w:pageBreakBefore w:val="0"/>
        <w:shd w:val="clear"/>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地点：西安市高新区唐延南路逸翠尚府北区1号楼7单元1501室</w:t>
      </w:r>
    </w:p>
    <w:p>
      <w:pPr>
        <w:pStyle w:val="4"/>
        <w:keepLines w:val="0"/>
        <w:pageBreakBefore w:val="0"/>
        <w:shd w:val="clear"/>
        <w:kinsoku/>
        <w:wordWrap/>
        <w:overflowPunct/>
        <w:topLinePunct w:val="0"/>
        <w:autoSpaceDE/>
        <w:autoSpaceDN/>
        <w:bidi w:val="0"/>
        <w:adjustRightInd/>
        <w:spacing w:line="50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五、公告期限</w:t>
      </w:r>
      <w:bookmarkEnd w:id="23"/>
      <w:bookmarkEnd w:id="24"/>
      <w:bookmarkEnd w:id="25"/>
      <w:bookmarkEnd w:id="26"/>
      <w:bookmarkEnd w:id="27"/>
    </w:p>
    <w:p>
      <w:pPr>
        <w:keepLines w:val="0"/>
        <w:pageBreakBefore w:val="0"/>
        <w:shd w:val="clear"/>
        <w:kinsoku/>
        <w:wordWrap/>
        <w:overflowPunct/>
        <w:topLinePunct w:val="0"/>
        <w:autoSpaceDE/>
        <w:autoSpaceDN/>
        <w:bidi w:val="0"/>
        <w:adjustRightInd/>
        <w:spacing w:line="500" w:lineRule="exact"/>
        <w:ind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自本公告发布之日起5个工作日。</w:t>
      </w:r>
    </w:p>
    <w:p>
      <w:pPr>
        <w:pStyle w:val="4"/>
        <w:keepLines w:val="0"/>
        <w:pageBreakBefore w:val="0"/>
        <w:numPr>
          <w:ilvl w:val="0"/>
          <w:numId w:val="1"/>
        </w:numPr>
        <w:shd w:val="clear"/>
        <w:kinsoku/>
        <w:wordWrap/>
        <w:overflowPunct/>
        <w:topLinePunct w:val="0"/>
        <w:autoSpaceDE/>
        <w:autoSpaceDN/>
        <w:bidi w:val="0"/>
        <w:adjustRightInd/>
        <w:spacing w:line="500" w:lineRule="exact"/>
        <w:textAlignment w:val="auto"/>
        <w:rPr>
          <w:rFonts w:hint="eastAsia" w:ascii="宋体" w:hAnsi="宋体" w:eastAsia="宋体" w:cs="宋体"/>
          <w:b/>
          <w:bCs/>
          <w:color w:val="auto"/>
          <w:sz w:val="24"/>
          <w:szCs w:val="24"/>
          <w:highlight w:val="none"/>
        </w:rPr>
      </w:pPr>
      <w:bookmarkStart w:id="28" w:name="_Toc7704"/>
      <w:r>
        <w:rPr>
          <w:rFonts w:hint="eastAsia" w:ascii="宋体" w:hAnsi="宋体" w:eastAsia="宋体" w:cs="宋体"/>
          <w:b/>
          <w:bCs/>
          <w:color w:val="auto"/>
          <w:sz w:val="24"/>
          <w:szCs w:val="24"/>
          <w:highlight w:val="none"/>
        </w:rPr>
        <w:t>其它补充事宜</w:t>
      </w:r>
      <w:bookmarkEnd w:id="28"/>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imes New Roman" w:hAnsi="Times New Roman" w:eastAsia="宋体" w:cs="Times New Roman"/>
          <w:color w:val="auto"/>
          <w:sz w:val="24"/>
          <w:szCs w:val="24"/>
          <w:highlight w:val="none"/>
          <w:lang w:val="en-US" w:eastAsia="zh-CN"/>
        </w:rPr>
      </w:pPr>
      <w:bookmarkStart w:id="29" w:name="_Toc35393627"/>
      <w:bookmarkStart w:id="30" w:name="_Toc28359008"/>
      <w:bookmarkStart w:id="31" w:name="_Toc5992"/>
      <w:bookmarkStart w:id="32" w:name="_Toc35393796"/>
      <w:bookmarkStart w:id="33" w:name="_Toc28359085"/>
      <w:r>
        <w:rPr>
          <w:rFonts w:hint="eastAsia" w:ascii="Times New Roman" w:hAnsi="Times New Roman" w:eastAsia="宋体" w:cs="Times New Roman"/>
          <w:color w:val="auto"/>
          <w:sz w:val="24"/>
          <w:szCs w:val="24"/>
          <w:highlight w:val="none"/>
          <w:lang w:val="en-US" w:eastAsia="zh-CN"/>
        </w:rPr>
        <w:t>1、获取文件时请提供单位介绍信和经办人身份证原件及加盖公章的复印件。</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信用要求：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信用要求查询以采购人或采购代理机构于发售文件至投标截止日网站查询结果为准。）</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Times New Roman" w:hAnsi="Times New Roman" w:eastAsia="宋体" w:cs="Times New Roman"/>
          <w:color w:val="auto"/>
          <w:sz w:val="24"/>
          <w:szCs w:val="24"/>
          <w:highlight w:val="none"/>
          <w:lang w:val="en-US" w:eastAsia="zh-CN"/>
        </w:rPr>
        <w:t xml:space="preserve">   3、</w:t>
      </w:r>
      <w:r>
        <w:rPr>
          <w:rFonts w:hint="eastAsia" w:ascii="宋体" w:hAnsi="宋体" w:eastAsia="宋体" w:cs="宋体"/>
          <w:color w:val="auto"/>
          <w:kern w:val="0"/>
          <w:sz w:val="24"/>
          <w:szCs w:val="24"/>
          <w:highlight w:val="none"/>
        </w:rPr>
        <w:t>单位负责人为同一人或者存在直接控股、管理关系的不同供应商，不得参加本次采购活动；</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 xml:space="preserve">   4、请供应商按照陕西省财政厅关于政府采购供应商注册登记有关事项的通知中的要求，通过陕西省政府采购网注册登记加入陕西省政府采购供应商库。</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    5、落实政府采购政策</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      （1）《政府采购促进中小企业发展暂行办法》（财库〔2020〕46号）；</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      （2）《财政部司法部关于政府采购支持监狱企业发展有关问题的通知》（财库〔2014〕68号）； </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      （3）《国务院办公厅关于建立政府强制采购节能产品制度的通知》（国办发〔2007〕51号）；</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      （4）《节能产品政府采购实施意见》（财库[2004]185号）；</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      （5）《环境标志产品政府采购实施的意见》（财库[2006]90号）；</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      （6）《三部门联合发布关于促进残疾人就业政府采购政策的通知》（财库〔2017〕141号）；</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      （7）《关于运用政府采购政策支持脱贫攻坚的通知》（财库〔2019〕27号）；</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      （8）《关于调整优化节能产品、环境标志产品政府采购执行机制的通知》（财库〔2019〕9号）。</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      （9）陕西省财政厅关于印发《陕西省中小企业政府采购信用融资办法》（陕财办采〔2018〕23号）。</w:t>
      </w:r>
      <w:bookmarkStart w:id="34" w:name="_GoBack"/>
      <w:bookmarkEnd w:id="34"/>
    </w:p>
    <w:p>
      <w:pPr>
        <w:pStyle w:val="4"/>
        <w:keepLines w:val="0"/>
        <w:pageBreakBefore w:val="0"/>
        <w:shd w:val="clear"/>
        <w:kinsoku/>
        <w:wordWrap/>
        <w:overflowPunct/>
        <w:topLinePunct w:val="0"/>
        <w:autoSpaceDE/>
        <w:autoSpaceDN/>
        <w:bidi w:val="0"/>
        <w:adjustRightIn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七、对本次招标提出询问，请按以下方式联系。</w:t>
      </w:r>
      <w:bookmarkEnd w:id="29"/>
      <w:bookmarkEnd w:id="30"/>
      <w:bookmarkEnd w:id="31"/>
      <w:bookmarkEnd w:id="32"/>
      <w:bookmarkEnd w:id="33"/>
    </w:p>
    <w:p>
      <w:pPr>
        <w:keepLines w:val="0"/>
        <w:pageBreakBefore w:val="0"/>
        <w:shd w:val="clear"/>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1.采购人信息</w:t>
      </w:r>
    </w:p>
    <w:p>
      <w:pPr>
        <w:keepLines w:val="0"/>
        <w:pageBreakBefore w:val="0"/>
        <w:shd w:val="clear"/>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名称：洛南县科技和教育体育局</w:t>
      </w:r>
    </w:p>
    <w:p>
      <w:pPr>
        <w:keepLines w:val="0"/>
        <w:pageBreakBefore w:val="0"/>
        <w:shd w:val="clear"/>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地址：洛南县城关街道办环城北路</w:t>
      </w:r>
    </w:p>
    <w:p>
      <w:pPr>
        <w:keepLines w:val="0"/>
        <w:pageBreakBefore w:val="0"/>
        <w:shd w:val="clear"/>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联系方式：陶现文/13991490522</w:t>
      </w:r>
    </w:p>
    <w:p>
      <w:pPr>
        <w:keepLines w:val="0"/>
        <w:pageBreakBefore w:val="0"/>
        <w:shd w:val="clear"/>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2.采购代理机构信息</w:t>
      </w:r>
    </w:p>
    <w:p>
      <w:pPr>
        <w:keepLines w:val="0"/>
        <w:pageBreakBefore w:val="0"/>
        <w:shd w:val="clear"/>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名称：陕西峰源工程项目管理有限公司</w:t>
      </w:r>
    </w:p>
    <w:p>
      <w:pPr>
        <w:keepLines w:val="0"/>
        <w:pageBreakBefore w:val="0"/>
        <w:shd w:val="clear"/>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地址：陕西省西安市高新区唐延南路逸翠尚府北区1号楼7单元1501室</w:t>
      </w:r>
    </w:p>
    <w:p>
      <w:pPr>
        <w:keepLines w:val="0"/>
        <w:pageBreakBefore w:val="0"/>
        <w:shd w:val="clear"/>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联系方式：029-89565176</w:t>
      </w:r>
    </w:p>
    <w:p>
      <w:pPr>
        <w:keepLines w:val="0"/>
        <w:pageBreakBefore w:val="0"/>
        <w:shd w:val="clear"/>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3.项目联系方式</w:t>
      </w:r>
    </w:p>
    <w:p>
      <w:pPr>
        <w:keepLines w:val="0"/>
        <w:pageBreakBefore w:val="0"/>
        <w:shd w:val="clear"/>
        <w:kinsoku/>
        <w:wordWrap/>
        <w:overflowPunct/>
        <w:topLinePunct w:val="0"/>
        <w:autoSpaceDE/>
        <w:autoSpaceDN/>
        <w:bidi w:val="0"/>
        <w:adjustRightInd/>
        <w:spacing w:line="500" w:lineRule="exact"/>
        <w:ind w:firstLine="480" w:firstLineChars="200"/>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项目联系人：杨工/颜工</w:t>
      </w:r>
    </w:p>
    <w:p>
      <w:pPr>
        <w:keepLines w:val="0"/>
        <w:pageBreakBefore w:val="0"/>
        <w:shd w:val="clear"/>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电话：029-89565176</w:t>
      </w:r>
    </w:p>
    <w:p>
      <w:pPr>
        <w:shd w:val="clear"/>
        <w:spacing w:line="360" w:lineRule="auto"/>
        <w:ind w:firstLine="480" w:firstLineChars="200"/>
        <w:jc w:val="right"/>
        <w:rPr>
          <w:rFonts w:hint="eastAsia" w:ascii="宋体" w:hAnsi="宋体" w:eastAsia="宋体" w:cs="宋体"/>
          <w:bCs/>
          <w:color w:val="auto"/>
          <w:sz w:val="24"/>
          <w:szCs w:val="24"/>
          <w:highlight w:val="none"/>
        </w:rPr>
      </w:pPr>
    </w:p>
    <w:p>
      <w:pPr>
        <w:shd w:val="clear"/>
        <w:spacing w:line="360" w:lineRule="auto"/>
        <w:ind w:firstLine="480" w:firstLineChars="200"/>
        <w:jc w:val="right"/>
        <w:rPr>
          <w:rFonts w:hint="eastAsia" w:ascii="宋体" w:hAnsi="宋体" w:eastAsia="宋体" w:cs="宋体"/>
          <w:bCs/>
          <w:color w:val="auto"/>
          <w:sz w:val="24"/>
          <w:szCs w:val="24"/>
          <w:highlight w:val="none"/>
        </w:rPr>
      </w:pPr>
    </w:p>
    <w:p>
      <w:pPr>
        <w:shd w:val="clear"/>
        <w:spacing w:line="360" w:lineRule="auto"/>
        <w:ind w:firstLine="482" w:firstLineChars="200"/>
        <w:jc w:val="right"/>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陕西峰源工程项目管理有限公司</w:t>
      </w:r>
    </w:p>
    <w:p>
      <w:pPr>
        <w:shd w:val="clear"/>
        <w:rPr>
          <w:color w:val="auto"/>
          <w:highlight w:val="none"/>
        </w:rPr>
      </w:pPr>
      <w:r>
        <w:rPr>
          <w:rFonts w:hint="eastAsia" w:ascii="宋体" w:hAnsi="宋体" w:eastAsia="宋体" w:cs="宋体"/>
          <w:b/>
          <w:bCs w:val="0"/>
          <w:color w:val="auto"/>
          <w:sz w:val="24"/>
          <w:szCs w:val="24"/>
          <w:highlight w:val="none"/>
          <w:lang w:val="en-US" w:eastAsia="zh-CN"/>
        </w:rPr>
        <w:t xml:space="preserve">                                               </w:t>
      </w:r>
      <w:r>
        <w:rPr>
          <w:rFonts w:hint="eastAsia" w:ascii="宋体" w:hAnsi="宋体" w:eastAsia="宋体" w:cs="宋体"/>
          <w:b/>
          <w:bCs w:val="0"/>
          <w:color w:val="auto"/>
          <w:sz w:val="24"/>
          <w:szCs w:val="24"/>
          <w:highlight w:val="none"/>
        </w:rPr>
        <w:t>20</w:t>
      </w:r>
      <w:r>
        <w:rPr>
          <w:rFonts w:hint="eastAsia" w:ascii="宋体" w:hAnsi="宋体" w:eastAsia="宋体" w:cs="宋体"/>
          <w:b/>
          <w:bCs w:val="0"/>
          <w:color w:val="auto"/>
          <w:sz w:val="24"/>
          <w:szCs w:val="24"/>
          <w:highlight w:val="none"/>
          <w:lang w:val="en-US" w:eastAsia="zh-CN"/>
        </w:rPr>
        <w:t>23</w:t>
      </w:r>
      <w:r>
        <w:rPr>
          <w:rFonts w:hint="eastAsia" w:ascii="宋体" w:hAnsi="宋体" w:eastAsia="宋体" w:cs="宋体"/>
          <w:b/>
          <w:bCs w:val="0"/>
          <w:color w:val="auto"/>
          <w:sz w:val="24"/>
          <w:szCs w:val="24"/>
          <w:highlight w:val="none"/>
        </w:rPr>
        <w:t>年</w:t>
      </w:r>
      <w:r>
        <w:rPr>
          <w:rFonts w:hint="eastAsia" w:ascii="宋体" w:hAnsi="宋体" w:eastAsia="宋体" w:cs="宋体"/>
          <w:b/>
          <w:bCs w:val="0"/>
          <w:color w:val="auto"/>
          <w:sz w:val="24"/>
          <w:szCs w:val="24"/>
          <w:highlight w:val="none"/>
          <w:lang w:val="en-US" w:eastAsia="zh-CN"/>
        </w:rPr>
        <w:t>5</w:t>
      </w:r>
      <w:r>
        <w:rPr>
          <w:rFonts w:hint="eastAsia" w:ascii="宋体" w:hAnsi="宋体" w:eastAsia="宋体" w:cs="宋体"/>
          <w:b/>
          <w:bCs w:val="0"/>
          <w:color w:val="auto"/>
          <w:sz w:val="24"/>
          <w:szCs w:val="24"/>
          <w:highlight w:val="none"/>
        </w:rPr>
        <w:t>月</w:t>
      </w:r>
      <w:r>
        <w:rPr>
          <w:rFonts w:hint="eastAsia" w:ascii="宋体" w:hAnsi="宋体" w:eastAsia="宋体" w:cs="宋体"/>
          <w:b/>
          <w:bCs w:val="0"/>
          <w:color w:val="auto"/>
          <w:sz w:val="24"/>
          <w:szCs w:val="24"/>
          <w:highlight w:val="none"/>
          <w:lang w:val="en-US" w:eastAsia="zh-CN"/>
        </w:rPr>
        <w:t>8</w:t>
      </w:r>
      <w:r>
        <w:rPr>
          <w:rFonts w:hint="eastAsia" w:ascii="宋体" w:hAnsi="宋体" w:eastAsia="宋体" w:cs="宋体"/>
          <w:b/>
          <w:bCs w:val="0"/>
          <w:color w:val="auto"/>
          <w:sz w:val="24"/>
          <w:szCs w:val="24"/>
          <w:highlight w:val="none"/>
        </w:rPr>
        <w:t>日</w:t>
      </w:r>
    </w:p>
    <w:sectPr>
      <w:pgSz w:w="12132" w:h="17064"/>
      <w:pgMar w:top="1440" w:right="1474" w:bottom="1440" w:left="1474" w:header="851" w:footer="992" w:gutter="0"/>
      <w:pgNumType w:fmt="decimal" w:start="15"/>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opperplate Gothic Bold">
    <w:panose1 w:val="020E0705020206020404"/>
    <w:charset w:val="00"/>
    <w:family w:val="swiss"/>
    <w:pitch w:val="default"/>
    <w:sig w:usb0="00000003" w:usb1="00000000" w:usb2="00000000" w:usb3="00000000" w:csb0="20000001" w:csb1="00000000"/>
  </w:font>
  <w:font w:name="楷体_GB2312">
    <w:altName w:val="楷体"/>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E26774"/>
    <w:multiLevelType w:val="singleLevel"/>
    <w:tmpl w:val="AAE26774"/>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2YTUzNzhiMWY4MDMzMWNhNzFkNjdhNTY5ZGRmZGYifQ=="/>
  </w:docVars>
  <w:rsids>
    <w:rsidRoot w:val="364057E4"/>
    <w:rsid w:val="364057E4"/>
    <w:rsid w:val="4A8B7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jc w:val="center"/>
      <w:outlineLvl w:val="0"/>
    </w:pPr>
    <w:rPr>
      <w:rFonts w:ascii="黑体" w:hAnsi="Times New Roman" w:eastAsia="黑体" w:cs="Times New Roman"/>
      <w:sz w:val="28"/>
    </w:rPr>
  </w:style>
  <w:style w:type="paragraph" w:styleId="4">
    <w:name w:val="heading 2"/>
    <w:basedOn w:val="1"/>
    <w:next w:val="1"/>
    <w:uiPriority w:val="0"/>
    <w:pPr>
      <w:keepNext/>
      <w:spacing w:line="720" w:lineRule="exact"/>
      <w:outlineLvl w:val="1"/>
    </w:pPr>
    <w:rPr>
      <w:rFonts w:ascii="黑体" w:hAnsi="Copperplate Gothic Bold" w:eastAsia="楷体_GB2312" w:cs="Times New Roman"/>
      <w:sz w:val="28"/>
    </w:rPr>
  </w:style>
  <w:style w:type="paragraph" w:styleId="5">
    <w:name w:val="heading 6"/>
    <w:basedOn w:val="1"/>
    <w:next w:val="1"/>
    <w:qFormat/>
    <w:uiPriority w:val="0"/>
    <w:pPr>
      <w:keepNext/>
      <w:keepLines/>
      <w:spacing w:before="240" w:after="64" w:line="320" w:lineRule="atLeast"/>
      <w:outlineLvl w:val="5"/>
    </w:pPr>
    <w:rPr>
      <w:rFonts w:ascii="黑体" w:hAnsi="黑体" w:eastAsia="黑体" w:cs="Times New Roman"/>
      <w:b/>
      <w:spacing w:val="26"/>
      <w:kern w:val="1"/>
      <w:sz w:val="2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uiPriority w:val="0"/>
    <w:pPr>
      <w:jc w:val="left"/>
    </w:pPr>
    <w:rPr>
      <w:rFonts w:ascii="Copperplate Gothic Bold" w:hAnsi="Copperplate Gothic Bold" w:eastAsia="宋体" w:cs="Times New Roman"/>
      <w:sz w:val="28"/>
    </w:rPr>
  </w:style>
  <w:style w:type="paragraph" w:styleId="6">
    <w:name w:val="Normal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character" w:styleId="9">
    <w:name w:val="Strong"/>
    <w:uiPriority w:val="0"/>
    <w:rPr>
      <w:rFonts w:ascii="Times New Roman" w:hAnsi="Times New Roman" w:eastAsia="宋体"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2137</Words>
  <Characters>2393</Characters>
  <Lines>0</Lines>
  <Paragraphs>0</Paragraphs>
  <TotalTime>0</TotalTime>
  <ScaleCrop>false</ScaleCrop>
  <LinksUpToDate>false</LinksUpToDate>
  <CharactersWithSpaces>2508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2023-05-08T06:18:00Z</dcterms:created>
  <dc:creator>梦飞扬</dc:creator>
  <cp:lastModifiedBy>梦飞扬</cp:lastModifiedBy>
  <dcterms:modified xsi:type="dcterms:W3CDTF">2023-05-08T06:18:57Z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2C1AA53DDB3845B1AAA0BCB49525A2DC_11</vt:lpwstr>
  </property>
</Properties>
</file>