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32"/>
          <w:szCs w:val="32"/>
        </w:rPr>
      </w:pPr>
      <w:bookmarkStart w:id="0" w:name="_GoBack"/>
      <w:r>
        <w:rPr>
          <w:rFonts w:hint="eastAsia" w:ascii="宋体" w:hAnsi="宋体" w:eastAsia="宋体" w:cs="宋体"/>
          <w:b/>
          <w:bCs/>
          <w:color w:val="auto"/>
          <w:kern w:val="0"/>
          <w:sz w:val="32"/>
          <w:szCs w:val="32"/>
          <w:bdr w:val="none" w:color="auto" w:sz="0" w:space="0"/>
          <w:lang w:val="en-US" w:eastAsia="zh-CN" w:bidi="ar"/>
        </w:rPr>
        <w:t>山阳县义务教育优质均衡发展和学前普及普惠县创建部室设备采购2：二标同步课堂类(二次)</w:t>
      </w:r>
      <w:bookmarkEnd w:id="0"/>
      <w:r>
        <w:rPr>
          <w:rFonts w:hint="eastAsia" w:ascii="宋体" w:hAnsi="宋体" w:eastAsia="宋体" w:cs="宋体"/>
          <w:b/>
          <w:bCs/>
          <w:color w:val="auto"/>
          <w:kern w:val="0"/>
          <w:sz w:val="32"/>
          <w:szCs w:val="32"/>
          <w:bdr w:val="none" w:color="auto" w:sz="0" w:space="0"/>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山阳县义务教育优质均衡发展和学前普及普惠县创建部室设备采购2：二标同步课堂类(二次)招标项目的潜在投标人应</w:t>
      </w:r>
      <w:r>
        <w:rPr>
          <w:rFonts w:hint="eastAsia" w:ascii="宋体" w:hAnsi="宋体" w:eastAsia="宋体" w:cs="宋体"/>
          <w:i w:val="0"/>
          <w:iCs w:val="0"/>
          <w:caps w:val="0"/>
          <w:color w:val="auto"/>
          <w:spacing w:val="0"/>
          <w:sz w:val="24"/>
          <w:szCs w:val="24"/>
          <w:bdr w:val="none" w:color="auto" w:sz="0" w:space="0"/>
          <w:shd w:val="clear" w:fill="FFFFFF"/>
        </w:rPr>
        <w:t>在商洛市商州区通江西路中段全兴紫苑13-5商铺获取招标文件，并于2024年01月04日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项目编号：SXJB-SY-2023093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项目名称：山阳县义务教育优质均衡发展和学前普及普惠县创建部室设备采购2：二标同步课堂类(二次)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预算金额：4,321,600.00元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合同包1(山阳县义务教育优质均衡发展和学前普及普惠县创建部室设备采购2：二标同步课堂类):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合同包预算金额：4,321,600.00元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合同包最高限价：4,321,600.00元</w:t>
      </w:r>
    </w:p>
    <w:tbl>
      <w:tblPr>
        <w:tblW w:w="10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94"/>
        <w:gridCol w:w="1145"/>
        <w:gridCol w:w="2501"/>
        <w:gridCol w:w="1265"/>
        <w:gridCol w:w="1500"/>
        <w:gridCol w:w="1501"/>
        <w:gridCol w:w="15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5" w:hRule="atLeast"/>
          <w:tblHeader/>
        </w:trPr>
        <w:tc>
          <w:tcPr>
            <w:tcW w:w="7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1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2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12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rPr>
        <w:tc>
          <w:tcPr>
            <w:tcW w:w="7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1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其他终端设备</w:t>
            </w:r>
          </w:p>
        </w:tc>
        <w:tc>
          <w:tcPr>
            <w:tcW w:w="2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二标同步课堂类。采购同步课堂设备148套。</w:t>
            </w:r>
          </w:p>
        </w:tc>
        <w:tc>
          <w:tcPr>
            <w:tcW w:w="12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148(套)</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4,321,600.00</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4,321,600.00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合同履行期限：自合同签定之日起30日历天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合同包1(山阳县义务教育优质均衡发展和学前普及普惠县创建部室设备采购2：二标同步课堂类)落实政府采购政策需满足的资格要求如下: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合同包1(山阳县义务教育优质均衡发展和学前普及普惠县创建部室设备采购2：二标同步课堂类)特定资格要求如下: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供应商应具有独立承担民事责任能力的企业法人、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提供2022年度经审计的财务报告或开标前六个月内其基本账户银行出具的资信证明或财政部门认可的政府采购专业担保机构出具的担保函（成立时间至提交磋商响应文件截止时间不足一年的可提供成立后任意时段的资产负债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（3）提供具有履行合同所必需的设备和专业技术能力的承诺；</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（4）提供2022年11月以来任意3个月依法缴纳税收和社会保保障资金证明的相关证明材料，依法免税或不需要缴纳社会保障资金的供应商提供相关部门出具的证明文件；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（5）提供参加政府采购活动前3年内在经营活动中没有重大违法记录的书面声明；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投标供应商法定代表人授权代表参加投标的须出示法定代表人授权委托书（附法定代表人及委托人身份证复印件）及被授权委托人身份证原件，法定代表人参加投标的需提供法定代表人身份证明及身份证原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投标供应商的信用记录须符合财库[2016]125号文《财政部关于在政府采购活动中查询及使用信用记录有关问题的通知》的规定。供应商被“信用中国”网站列入失信被执行人和重大税收违法失信主体名单的,被“中国政府采购网”网站列入政府采购严重违法失信名单的，不得参加本项目的投标；</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（8）本项目不接受联合体投标，不允许分包，</w:t>
      </w:r>
      <w:r>
        <w:rPr>
          <w:rFonts w:hint="eastAsia" w:ascii="宋体" w:hAnsi="宋体" w:eastAsia="宋体" w:cs="宋体"/>
          <w:i w:val="0"/>
          <w:iCs w:val="0"/>
          <w:caps w:val="0"/>
          <w:color w:val="auto"/>
          <w:spacing w:val="0"/>
          <w:sz w:val="24"/>
          <w:szCs w:val="24"/>
          <w:bdr w:val="none" w:color="auto" w:sz="0" w:space="0"/>
          <w:shd w:val="clear" w:fill="FFFFFF"/>
          <w:lang w:val="en-US" w:eastAsia="zh-CN"/>
        </w:rPr>
        <w:t>投标</w:t>
      </w:r>
      <w:r>
        <w:rPr>
          <w:rFonts w:hint="eastAsia" w:ascii="宋体" w:hAnsi="宋体" w:eastAsia="宋体" w:cs="宋体"/>
          <w:i w:val="0"/>
          <w:iCs w:val="0"/>
          <w:caps w:val="0"/>
          <w:color w:val="auto"/>
          <w:spacing w:val="0"/>
          <w:sz w:val="24"/>
          <w:szCs w:val="24"/>
          <w:bdr w:val="none" w:color="auto" w:sz="0" w:space="0"/>
          <w:shd w:val="clear" w:fill="FFFFFF"/>
        </w:rPr>
        <w:t>供应商须提供《非联合体不分包投标声明》，视为独立投标，不分包。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时间：2023年12月15日至2023年12月21日，每天上午09:00:00至12:00:00 ，下午14:00:00至18:00:00（北京时间）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时间：2024年01月04日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提交投标文件地点：商洛市商州区通江西路中段全兴紫苑13-5商铺1楼会议室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开标地点：商洛市商州区通江西路中段全兴紫苑13-5商铺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5个</w:t>
      </w:r>
      <w:r>
        <w:rPr>
          <w:rFonts w:hint="eastAsia" w:ascii="宋体" w:hAnsi="宋体" w:eastAsia="宋体" w:cs="宋体"/>
          <w:i w:val="0"/>
          <w:iCs w:val="0"/>
          <w:caps w:val="0"/>
          <w:color w:val="333333"/>
          <w:spacing w:val="0"/>
          <w:sz w:val="24"/>
          <w:szCs w:val="24"/>
          <w:bdr w:val="none" w:color="auto" w:sz="0" w:space="0"/>
          <w:shd w:val="clear" w:fill="FFFFFF"/>
        </w:rPr>
        <w:t>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采购文件的获取方式：凡有意向的投标供应商，请携带单位介绍信、法定代表人授权委托书（附法人及被委托人身份证复印件），营业执照复印件、被委托人身份证原件及近三个月（任意一月）本单位为其缴纳的社会保障资金证明，以上资料加盖单位鲜红公章的原件1套至陕西省九标项目管理有限责任公司领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2.各供应商按照陕西省财政厅关于政府采购投标人注册登记有关事项的通知中的要求，通过陕西省政府采购网（http://www.ccgp-shaanxi.gov.cn/）注册登记加入陕西省政府采购供应商人库。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3.与购人存在利害关系可能影响采购公正性的供应商，不得参加投标，单位负责人为同一人或存在控股、管理关系的不同单位，不得同时参加本项目的投标，否则，相关投标均无效。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名称：山阳县教育局（本级）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地址：山阳县北大街206号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联系方式：15929652895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联系方式：0914-2335089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陕西省九标项目管理有限责任公司</w:t>
      </w:r>
    </w:p>
    <w:p>
      <w:pPr>
        <w:keepNext w:val="0"/>
        <w:keepLines w:val="0"/>
        <w:widowControl/>
        <w:suppressLineNumbers w:val="0"/>
        <w:wordWrap w:val="0"/>
        <w:spacing w:line="480" w:lineRule="atLeast"/>
        <w:jc w:val="both"/>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DljYmE2ZTZmYWEyOWNkNDBhOGZiOGRiYjFhOTAifQ=="/>
  </w:docVars>
  <w:rsids>
    <w:rsidRoot w:val="00000000"/>
    <w:rsid w:val="0DA603C7"/>
    <w:rsid w:val="7CD9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2023-12-14T03:26:19Z</dcterms:created>
  <dc:creator>Administrator</dc:creator>
  <cp:lastModifiedBy>Administrator</cp:lastModifiedBy>
  <dcterms:modified xsi:type="dcterms:W3CDTF">2023-12-14T03:34:53Z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2A9F7F5FFD32429B9A9338804C581302_12</vt:lpwstr>
  </property>
</Properties>
</file>