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kern w:val="0"/>
          <w:sz w:val="44"/>
          <w:szCs w:val="44"/>
          <w:highlight w:val="none"/>
        </w:rPr>
      </w:pPr>
    </w:p>
    <w:p>
      <w:pPr>
        <w:jc w:val="center"/>
        <w:rPr>
          <w:rFonts w:ascii="宋体" w:hAnsi="宋体"/>
          <w:b/>
          <w:kern w:val="0"/>
          <w:sz w:val="52"/>
          <w:szCs w:val="52"/>
          <w:highlight w:val="none"/>
        </w:rPr>
      </w:pPr>
    </w:p>
    <w:p>
      <w:pPr>
        <w:jc w:val="center"/>
        <w:rPr>
          <w:rFonts w:ascii="宋体" w:hAnsi="宋体"/>
          <w:b/>
          <w:kern w:val="0"/>
          <w:sz w:val="44"/>
          <w:szCs w:val="44"/>
          <w:highlight w:val="none"/>
        </w:rPr>
      </w:pPr>
      <w:r>
        <w:rPr>
          <w:rFonts w:hint="eastAsia" w:ascii="宋体" w:hAnsi="宋体"/>
          <w:b/>
          <w:kern w:val="0"/>
          <w:sz w:val="44"/>
          <w:szCs w:val="44"/>
          <w:highlight w:val="none"/>
        </w:rPr>
        <w:t>山阳县户家塬镇桃园村抗旱应急水源工程</w:t>
      </w:r>
    </w:p>
    <w:p>
      <w:pPr>
        <w:pStyle w:val="58"/>
        <w:rPr>
          <w:highlight w:val="none"/>
        </w:rPr>
      </w:pPr>
    </w:p>
    <w:p>
      <w:pPr>
        <w:jc w:val="center"/>
        <w:rPr>
          <w:rFonts w:ascii="宋体" w:hAnsi="宋体"/>
          <w:b/>
          <w:kern w:val="0"/>
          <w:sz w:val="84"/>
          <w:szCs w:val="84"/>
          <w:highlight w:val="none"/>
        </w:rPr>
      </w:pPr>
      <w:r>
        <w:rPr>
          <w:rFonts w:hint="eastAsia" w:ascii="宋体" w:hAnsi="宋体"/>
          <w:b/>
          <w:kern w:val="0"/>
          <w:sz w:val="84"/>
          <w:szCs w:val="84"/>
          <w:highlight w:val="none"/>
        </w:rPr>
        <w:t>竞争性磋商文件</w:t>
      </w:r>
    </w:p>
    <w:p>
      <w:pPr>
        <w:jc w:val="center"/>
        <w:rPr>
          <w:rFonts w:ascii="方正大标宋简体" w:eastAsia="方正大标宋简体"/>
          <w:b/>
          <w:kern w:val="0"/>
          <w:sz w:val="36"/>
          <w:szCs w:val="36"/>
          <w:highlight w:val="none"/>
        </w:rPr>
      </w:pPr>
    </w:p>
    <w:p>
      <w:pPr>
        <w:jc w:val="center"/>
        <w:rPr>
          <w:rFonts w:ascii="方正大标宋简体" w:eastAsia="方正大标宋简体"/>
          <w:b/>
          <w:kern w:val="0"/>
          <w:sz w:val="36"/>
          <w:szCs w:val="36"/>
          <w:highlight w:val="none"/>
        </w:rPr>
      </w:pPr>
      <w:r>
        <w:rPr>
          <w:b/>
          <w:bCs/>
          <w:sz w:val="32"/>
          <w:szCs w:val="32"/>
          <w:highlight w:val="none"/>
        </w:rPr>
        <w:drawing>
          <wp:inline distT="0" distB="0" distL="114300" distR="114300">
            <wp:extent cx="3201670" cy="3428365"/>
            <wp:effectExtent l="0" t="0" r="17780" b="635"/>
            <wp:docPr id="2" name="图片 1" descr="b48684c5fb179266bb5e9ec565c6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b48684c5fb179266bb5e9ec565c6202"/>
                    <pic:cNvPicPr>
                      <a:picLocks noChangeAspect="1"/>
                    </pic:cNvPicPr>
                  </pic:nvPicPr>
                  <pic:blipFill>
                    <a:blip r:embed="rId7"/>
                    <a:stretch>
                      <a:fillRect/>
                    </a:stretch>
                  </pic:blipFill>
                  <pic:spPr>
                    <a:xfrm>
                      <a:off x="0" y="0"/>
                      <a:ext cx="3201670" cy="3428365"/>
                    </a:xfrm>
                    <a:prstGeom prst="rect">
                      <a:avLst/>
                    </a:prstGeom>
                    <a:noFill/>
                    <a:ln>
                      <a:noFill/>
                    </a:ln>
                  </pic:spPr>
                </pic:pic>
              </a:graphicData>
            </a:graphic>
          </wp:inline>
        </w:drawing>
      </w:r>
    </w:p>
    <w:p>
      <w:pPr>
        <w:rPr>
          <w:rFonts w:ascii="方正大标宋简体" w:eastAsia="方正大标宋简体"/>
          <w:b/>
          <w:kern w:val="0"/>
          <w:sz w:val="36"/>
          <w:szCs w:val="36"/>
          <w:highlight w:val="none"/>
        </w:rPr>
      </w:pPr>
    </w:p>
    <w:p>
      <w:pPr>
        <w:rPr>
          <w:rFonts w:ascii="幼圆" w:eastAsia="幼圆"/>
          <w:b/>
          <w:bCs/>
          <w:kern w:val="0"/>
          <w:sz w:val="36"/>
          <w:highlight w:val="none"/>
        </w:rPr>
      </w:pPr>
    </w:p>
    <w:p>
      <w:pPr>
        <w:jc w:val="center"/>
        <w:rPr>
          <w:rFonts w:ascii="宋体" w:hAnsi="宋体"/>
          <w:b/>
          <w:bCs/>
          <w:kern w:val="0"/>
          <w:sz w:val="28"/>
          <w:szCs w:val="28"/>
          <w:highlight w:val="none"/>
        </w:rPr>
      </w:pPr>
    </w:p>
    <w:p>
      <w:pPr>
        <w:jc w:val="center"/>
        <w:rPr>
          <w:rFonts w:ascii="宋体" w:hAnsi="宋体"/>
          <w:b/>
          <w:bCs/>
          <w:kern w:val="0"/>
          <w:sz w:val="28"/>
          <w:szCs w:val="28"/>
          <w:highlight w:val="none"/>
        </w:rPr>
      </w:pPr>
      <w:r>
        <w:rPr>
          <w:rFonts w:hint="eastAsia" w:ascii="宋体" w:hAnsi="宋体"/>
          <w:b/>
          <w:bCs/>
          <w:kern w:val="0"/>
          <w:sz w:val="28"/>
          <w:szCs w:val="28"/>
          <w:highlight w:val="none"/>
        </w:rPr>
        <w:t>陕西恒瑞项目管理有限公司</w:t>
      </w:r>
    </w:p>
    <w:p>
      <w:pPr>
        <w:jc w:val="center"/>
        <w:rPr>
          <w:rFonts w:ascii="宋体" w:hAnsi="宋体"/>
          <w:b/>
          <w:bCs/>
          <w:kern w:val="0"/>
          <w:sz w:val="28"/>
          <w:szCs w:val="28"/>
          <w:highlight w:val="none"/>
        </w:rPr>
      </w:pPr>
    </w:p>
    <w:p>
      <w:pPr>
        <w:jc w:val="center"/>
        <w:rPr>
          <w:rFonts w:ascii="宋体" w:hAnsi="宋体"/>
          <w:b/>
          <w:bCs/>
          <w:kern w:val="0"/>
          <w:sz w:val="28"/>
          <w:szCs w:val="28"/>
          <w:highlight w:val="none"/>
        </w:rPr>
      </w:pPr>
      <w:r>
        <w:rPr>
          <w:rFonts w:hint="eastAsia" w:ascii="宋体" w:hAnsi="宋体"/>
          <w:b/>
          <w:bCs/>
          <w:kern w:val="0"/>
          <w:sz w:val="28"/>
          <w:szCs w:val="28"/>
          <w:highlight w:val="none"/>
        </w:rPr>
        <w:t>二〇二三年三月</w:t>
      </w:r>
    </w:p>
    <w:p>
      <w:pPr>
        <w:rPr>
          <w:rFonts w:ascii="宋体" w:hAnsi="宋体"/>
          <w:kern w:val="0"/>
          <w:sz w:val="44"/>
          <w:szCs w:val="44"/>
          <w:highlight w:val="none"/>
          <w:shd w:val="pct10" w:color="auto" w:fill="FFFFFF"/>
        </w:rPr>
      </w:pPr>
    </w:p>
    <w:p>
      <w:pPr>
        <w:widowControl/>
        <w:jc w:val="left"/>
        <w:rPr>
          <w:rFonts w:ascii="宋体" w:hAnsi="宋体"/>
          <w:kern w:val="0"/>
          <w:highlight w:val="none"/>
        </w:rPr>
        <w:sectPr>
          <w:headerReference r:id="rId3" w:type="default"/>
          <w:footerReference r:id="rId4" w:type="default"/>
          <w:pgSz w:w="11905" w:h="16838"/>
          <w:pgMar w:top="1559" w:right="1757" w:bottom="1984" w:left="1757" w:header="850" w:footer="992" w:gutter="0"/>
          <w:pgNumType w:start="0"/>
          <w:cols w:space="0" w:num="1"/>
          <w:docGrid w:linePitch="312" w:charSpace="0"/>
        </w:sectPr>
      </w:pPr>
    </w:p>
    <w:p>
      <w:pPr>
        <w:widowControl/>
        <w:jc w:val="left"/>
        <w:rPr>
          <w:rFonts w:ascii="宋体" w:hAnsi="宋体"/>
          <w:kern w:val="0"/>
          <w:highlight w:val="none"/>
        </w:rPr>
      </w:pPr>
    </w:p>
    <w:p>
      <w:pPr>
        <w:rPr>
          <w:rFonts w:ascii="宋体" w:hAnsi="宋体"/>
          <w:kern w:val="0"/>
          <w:highlight w:val="none"/>
        </w:rPr>
      </w:pPr>
    </w:p>
    <w:p>
      <w:pPr>
        <w:jc w:val="center"/>
        <w:rPr>
          <w:rFonts w:ascii="宋体" w:hAnsi="宋体"/>
          <w:b/>
          <w:kern w:val="0"/>
          <w:sz w:val="32"/>
          <w:szCs w:val="32"/>
          <w:highlight w:val="none"/>
        </w:rPr>
      </w:pPr>
      <w:r>
        <w:rPr>
          <w:rFonts w:hint="eastAsia" w:ascii="宋体" w:hAnsi="宋体"/>
          <w:b/>
          <w:kern w:val="0"/>
          <w:sz w:val="32"/>
          <w:szCs w:val="32"/>
          <w:highlight w:val="none"/>
        </w:rPr>
        <w:t>目    录</w:t>
      </w:r>
    </w:p>
    <w:p>
      <w:pPr>
        <w:pStyle w:val="31"/>
        <w:rPr>
          <w:color w:val="auto"/>
          <w:kern w:val="0"/>
          <w:highlight w:val="none"/>
        </w:rPr>
      </w:pPr>
    </w:p>
    <w:p>
      <w:pPr>
        <w:pStyle w:val="31"/>
        <w:tabs>
          <w:tab w:val="right" w:leader="dot" w:pos="8391"/>
          <w:tab w:val="clear" w:pos="9060"/>
        </w:tabs>
        <w:rPr>
          <w:color w:val="auto"/>
          <w:highlight w:val="none"/>
        </w:rPr>
      </w:pPr>
      <w:r>
        <w:rPr>
          <w:b/>
          <w:color w:val="auto"/>
          <w:kern w:val="0"/>
          <w:highlight w:val="none"/>
        </w:rPr>
        <w:fldChar w:fldCharType="begin"/>
      </w:r>
      <w:r>
        <w:rPr>
          <w:b/>
          <w:color w:val="auto"/>
          <w:kern w:val="0"/>
          <w:highlight w:val="none"/>
        </w:rPr>
        <w:instrText xml:space="preserve"> TOC \o "1-1" \h \z \u </w:instrText>
      </w:r>
      <w:r>
        <w:rPr>
          <w:b/>
          <w:color w:val="auto"/>
          <w:kern w:val="0"/>
          <w:highlight w:val="none"/>
        </w:rPr>
        <w:fldChar w:fldCharType="separate"/>
      </w:r>
      <w:r>
        <w:rPr>
          <w:highlight w:val="none"/>
        </w:rPr>
        <w:fldChar w:fldCharType="begin"/>
      </w:r>
      <w:r>
        <w:rPr>
          <w:highlight w:val="none"/>
        </w:rPr>
        <w:instrText xml:space="preserve"> HYPERLINK \l "_Toc17857" </w:instrText>
      </w:r>
      <w:r>
        <w:rPr>
          <w:highlight w:val="none"/>
        </w:rPr>
        <w:fldChar w:fldCharType="separate"/>
      </w:r>
      <w:r>
        <w:rPr>
          <w:rFonts w:hint="eastAsia"/>
          <w:color w:val="auto"/>
          <w:kern w:val="0"/>
          <w:szCs w:val="32"/>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_Toc17857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31"/>
        <w:tabs>
          <w:tab w:val="right" w:leader="dot" w:pos="8391"/>
          <w:tab w:val="clear" w:pos="9060"/>
        </w:tabs>
        <w:rPr>
          <w:color w:val="auto"/>
          <w:highlight w:val="none"/>
        </w:rPr>
      </w:pPr>
      <w:r>
        <w:rPr>
          <w:highlight w:val="none"/>
        </w:rPr>
        <w:fldChar w:fldCharType="begin"/>
      </w:r>
      <w:r>
        <w:rPr>
          <w:highlight w:val="none"/>
        </w:rPr>
        <w:instrText xml:space="preserve"> HYPERLINK \l "_Toc25095" </w:instrText>
      </w:r>
      <w:r>
        <w:rPr>
          <w:highlight w:val="none"/>
        </w:rPr>
        <w:fldChar w:fldCharType="separate"/>
      </w:r>
      <w:r>
        <w:rPr>
          <w:rFonts w:hint="eastAsia"/>
          <w:color w:val="auto"/>
          <w:kern w:val="0"/>
          <w:szCs w:val="32"/>
          <w:highlight w:val="none"/>
        </w:rPr>
        <w:t>第二章  磋商须知及前附表</w:t>
      </w:r>
      <w:r>
        <w:rPr>
          <w:color w:val="auto"/>
          <w:highlight w:val="none"/>
        </w:rPr>
        <w:tab/>
      </w:r>
      <w:r>
        <w:rPr>
          <w:color w:val="auto"/>
          <w:highlight w:val="none"/>
        </w:rPr>
        <w:fldChar w:fldCharType="begin"/>
      </w:r>
      <w:r>
        <w:rPr>
          <w:color w:val="auto"/>
          <w:highlight w:val="none"/>
        </w:rPr>
        <w:instrText xml:space="preserve"> PAGEREF _Toc25095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31"/>
        <w:tabs>
          <w:tab w:val="right" w:leader="dot" w:pos="8391"/>
          <w:tab w:val="clear" w:pos="9060"/>
        </w:tabs>
        <w:rPr>
          <w:color w:val="auto"/>
          <w:highlight w:val="none"/>
        </w:rPr>
      </w:pPr>
      <w:r>
        <w:rPr>
          <w:highlight w:val="none"/>
        </w:rPr>
        <w:fldChar w:fldCharType="begin"/>
      </w:r>
      <w:r>
        <w:rPr>
          <w:highlight w:val="none"/>
        </w:rPr>
        <w:instrText xml:space="preserve"> HYPERLINK \l "_Toc16436" </w:instrText>
      </w:r>
      <w:r>
        <w:rPr>
          <w:highlight w:val="none"/>
        </w:rPr>
        <w:fldChar w:fldCharType="separate"/>
      </w:r>
      <w:r>
        <w:rPr>
          <w:rFonts w:hint="eastAsia"/>
          <w:color w:val="auto"/>
          <w:kern w:val="0"/>
          <w:szCs w:val="32"/>
          <w:highlight w:val="none"/>
        </w:rPr>
        <w:t xml:space="preserve">第三章  </w:t>
      </w:r>
      <w:r>
        <w:rPr>
          <w:color w:val="auto"/>
          <w:kern w:val="0"/>
          <w:szCs w:val="32"/>
          <w:highlight w:val="none"/>
        </w:rPr>
        <w:t>合同条款</w:t>
      </w:r>
      <w:r>
        <w:rPr>
          <w:color w:val="auto"/>
          <w:highlight w:val="none"/>
        </w:rPr>
        <w:tab/>
      </w:r>
      <w:r>
        <w:rPr>
          <w:color w:val="auto"/>
          <w:highlight w:val="none"/>
        </w:rPr>
        <w:fldChar w:fldCharType="begin"/>
      </w:r>
      <w:r>
        <w:rPr>
          <w:color w:val="auto"/>
          <w:highlight w:val="none"/>
        </w:rPr>
        <w:instrText xml:space="preserve"> PAGEREF _Toc16436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31"/>
        <w:tabs>
          <w:tab w:val="right" w:leader="dot" w:pos="8391"/>
          <w:tab w:val="clear" w:pos="9060"/>
        </w:tabs>
        <w:rPr>
          <w:color w:val="auto"/>
          <w:highlight w:val="none"/>
        </w:rPr>
      </w:pPr>
      <w:r>
        <w:rPr>
          <w:highlight w:val="none"/>
        </w:rPr>
        <w:fldChar w:fldCharType="begin"/>
      </w:r>
      <w:r>
        <w:rPr>
          <w:highlight w:val="none"/>
        </w:rPr>
        <w:instrText xml:space="preserve"> HYPERLINK \l "_Toc29283" </w:instrText>
      </w:r>
      <w:r>
        <w:rPr>
          <w:highlight w:val="none"/>
        </w:rPr>
        <w:fldChar w:fldCharType="separate"/>
      </w:r>
      <w:r>
        <w:rPr>
          <w:rFonts w:hint="eastAsia"/>
          <w:color w:val="auto"/>
          <w:kern w:val="0"/>
          <w:szCs w:val="32"/>
          <w:highlight w:val="none"/>
        </w:rPr>
        <w:t>第四章  磋商响应文件格式</w:t>
      </w:r>
      <w:r>
        <w:rPr>
          <w:color w:val="auto"/>
          <w:highlight w:val="none"/>
        </w:rPr>
        <w:tab/>
      </w:r>
      <w:r>
        <w:rPr>
          <w:color w:val="auto"/>
          <w:highlight w:val="none"/>
        </w:rPr>
        <w:fldChar w:fldCharType="begin"/>
      </w:r>
      <w:r>
        <w:rPr>
          <w:color w:val="auto"/>
          <w:highlight w:val="none"/>
        </w:rPr>
        <w:instrText xml:space="preserve"> PAGEREF _Toc29283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pPr>
        <w:pStyle w:val="31"/>
        <w:tabs>
          <w:tab w:val="right" w:leader="dot" w:pos="8391"/>
          <w:tab w:val="clear" w:pos="9060"/>
        </w:tabs>
        <w:rPr>
          <w:color w:val="auto"/>
          <w:highlight w:val="none"/>
        </w:rPr>
      </w:pPr>
      <w:r>
        <w:rPr>
          <w:highlight w:val="none"/>
        </w:rPr>
        <w:fldChar w:fldCharType="begin"/>
      </w:r>
      <w:r>
        <w:rPr>
          <w:highlight w:val="none"/>
        </w:rPr>
        <w:instrText xml:space="preserve"> HYPERLINK \l "_Toc1186" </w:instrText>
      </w:r>
      <w:r>
        <w:rPr>
          <w:highlight w:val="none"/>
        </w:rPr>
        <w:fldChar w:fldCharType="separate"/>
      </w:r>
      <w:r>
        <w:rPr>
          <w:rFonts w:hint="eastAsia"/>
          <w:color w:val="auto"/>
          <w:kern w:val="0"/>
          <w:szCs w:val="32"/>
          <w:highlight w:val="none"/>
        </w:rPr>
        <w:t>第五章  采购内容及技术规范</w:t>
      </w:r>
      <w:r>
        <w:rPr>
          <w:color w:val="auto"/>
          <w:highlight w:val="none"/>
        </w:rPr>
        <w:tab/>
      </w:r>
      <w:r>
        <w:rPr>
          <w:color w:val="auto"/>
          <w:highlight w:val="none"/>
        </w:rPr>
        <w:fldChar w:fldCharType="begin"/>
      </w:r>
      <w:r>
        <w:rPr>
          <w:color w:val="auto"/>
          <w:highlight w:val="none"/>
        </w:rPr>
        <w:instrText xml:space="preserve"> PAGEREF _Toc1186 </w:instrText>
      </w:r>
      <w:r>
        <w:rPr>
          <w:color w:val="auto"/>
          <w:highlight w:val="none"/>
        </w:rPr>
        <w:fldChar w:fldCharType="separate"/>
      </w:r>
      <w:r>
        <w:rPr>
          <w:color w:val="auto"/>
          <w:highlight w:val="none"/>
        </w:rPr>
        <w:t>115</w:t>
      </w:r>
      <w:r>
        <w:rPr>
          <w:color w:val="auto"/>
          <w:highlight w:val="none"/>
        </w:rPr>
        <w:fldChar w:fldCharType="end"/>
      </w:r>
      <w:r>
        <w:rPr>
          <w:color w:val="auto"/>
          <w:highlight w:val="none"/>
        </w:rPr>
        <w:fldChar w:fldCharType="end"/>
      </w:r>
    </w:p>
    <w:p>
      <w:pPr>
        <w:pStyle w:val="31"/>
        <w:tabs>
          <w:tab w:val="right" w:leader="dot" w:pos="8391"/>
          <w:tab w:val="clear" w:pos="9060"/>
        </w:tabs>
        <w:rPr>
          <w:color w:val="auto"/>
          <w:highlight w:val="none"/>
        </w:rPr>
      </w:pPr>
      <w:r>
        <w:rPr>
          <w:highlight w:val="none"/>
        </w:rPr>
        <w:fldChar w:fldCharType="begin"/>
      </w:r>
      <w:r>
        <w:rPr>
          <w:highlight w:val="none"/>
        </w:rPr>
        <w:instrText xml:space="preserve"> HYPERLINK \l "_Toc26292" </w:instrText>
      </w:r>
      <w:r>
        <w:rPr>
          <w:highlight w:val="none"/>
        </w:rPr>
        <w:fldChar w:fldCharType="separate"/>
      </w:r>
      <w:r>
        <w:rPr>
          <w:rFonts w:hint="eastAsia"/>
          <w:color w:val="auto"/>
          <w:kern w:val="0"/>
          <w:szCs w:val="32"/>
          <w:highlight w:val="none"/>
        </w:rPr>
        <w:t>第六章  评审方法</w:t>
      </w:r>
      <w:r>
        <w:rPr>
          <w:color w:val="auto"/>
          <w:highlight w:val="none"/>
        </w:rPr>
        <w:tab/>
      </w:r>
      <w:r>
        <w:rPr>
          <w:color w:val="auto"/>
          <w:highlight w:val="none"/>
        </w:rPr>
        <w:fldChar w:fldCharType="begin"/>
      </w:r>
      <w:r>
        <w:rPr>
          <w:color w:val="auto"/>
          <w:highlight w:val="none"/>
        </w:rPr>
        <w:instrText xml:space="preserve"> PAGEREF _Toc26292 </w:instrText>
      </w:r>
      <w:r>
        <w:rPr>
          <w:color w:val="auto"/>
          <w:highlight w:val="none"/>
        </w:rPr>
        <w:fldChar w:fldCharType="separate"/>
      </w:r>
      <w:r>
        <w:rPr>
          <w:color w:val="auto"/>
          <w:highlight w:val="none"/>
        </w:rPr>
        <w:t>116</w:t>
      </w:r>
      <w:r>
        <w:rPr>
          <w:color w:val="auto"/>
          <w:highlight w:val="none"/>
        </w:rPr>
        <w:fldChar w:fldCharType="end"/>
      </w:r>
      <w:r>
        <w:rPr>
          <w:color w:val="auto"/>
          <w:highlight w:val="none"/>
        </w:rPr>
        <w:fldChar w:fldCharType="end"/>
      </w:r>
    </w:p>
    <w:p>
      <w:pPr>
        <w:spacing w:line="480" w:lineRule="auto"/>
        <w:rPr>
          <w:rFonts w:ascii="宋体" w:hAnsi="宋体"/>
          <w:kern w:val="0"/>
          <w:sz w:val="24"/>
          <w:highlight w:val="none"/>
        </w:rPr>
        <w:sectPr>
          <w:pgSz w:w="11905" w:h="16838"/>
          <w:pgMar w:top="1559" w:right="1757" w:bottom="1984" w:left="1757" w:header="850" w:footer="992" w:gutter="0"/>
          <w:pgNumType w:start="1"/>
          <w:cols w:space="0" w:num="1"/>
          <w:docGrid w:linePitch="312" w:charSpace="0"/>
        </w:sectPr>
      </w:pPr>
      <w:r>
        <w:rPr>
          <w:rFonts w:ascii="宋体" w:hAnsi="宋体"/>
          <w:kern w:val="0"/>
          <w:highlight w:val="none"/>
        </w:rPr>
        <w:fldChar w:fldCharType="end"/>
      </w:r>
    </w:p>
    <w:p>
      <w:pPr>
        <w:pStyle w:val="3"/>
        <w:spacing w:before="120" w:after="120" w:line="400" w:lineRule="exact"/>
        <w:jc w:val="center"/>
        <w:rPr>
          <w:rFonts w:ascii="华文中宋" w:hAnsi="华文中宋" w:eastAsia="华文中宋"/>
          <w:sz w:val="32"/>
          <w:szCs w:val="32"/>
          <w:highlight w:val="none"/>
        </w:rPr>
      </w:pPr>
      <w:bookmarkStart w:id="0" w:name="_Toc290389694"/>
      <w:bookmarkStart w:id="1" w:name="_Toc324521804"/>
      <w:bookmarkStart w:id="2" w:name="_Toc321812007"/>
      <w:bookmarkStart w:id="3" w:name="_Toc405295830"/>
      <w:bookmarkStart w:id="4" w:name="_Toc283035147"/>
      <w:bookmarkStart w:id="5" w:name="_Toc283035007"/>
      <w:bookmarkStart w:id="6" w:name="_Toc283035490"/>
      <w:bookmarkStart w:id="7" w:name="_Toc283304084"/>
      <w:bookmarkStart w:id="8" w:name="_Toc17857"/>
      <w:r>
        <w:rPr>
          <w:rFonts w:hint="eastAsia" w:ascii="宋体" w:hAnsi="宋体"/>
          <w:kern w:val="0"/>
          <w:sz w:val="32"/>
          <w:szCs w:val="32"/>
          <w:highlight w:val="none"/>
        </w:rPr>
        <w:t xml:space="preserve">第一章  </w:t>
      </w:r>
      <w:bookmarkEnd w:id="0"/>
      <w:bookmarkEnd w:id="1"/>
      <w:bookmarkEnd w:id="2"/>
      <w:bookmarkEnd w:id="3"/>
      <w:bookmarkEnd w:id="4"/>
      <w:bookmarkEnd w:id="5"/>
      <w:bookmarkEnd w:id="6"/>
      <w:bookmarkEnd w:id="7"/>
      <w:bookmarkStart w:id="9" w:name="_Toc35393797"/>
      <w:bookmarkStart w:id="10" w:name="_Toc28359011"/>
      <w:r>
        <w:rPr>
          <w:rFonts w:hint="eastAsia" w:ascii="宋体" w:hAnsi="宋体"/>
          <w:kern w:val="0"/>
          <w:sz w:val="32"/>
          <w:szCs w:val="32"/>
          <w:highlight w:val="none"/>
        </w:rPr>
        <w:t>竞争性磋商公告</w:t>
      </w:r>
      <w:bookmarkEnd w:id="8"/>
      <w:bookmarkEnd w:id="9"/>
      <w:bookmarkEnd w:id="10"/>
    </w:p>
    <w:p>
      <w:pPr>
        <w:rPr>
          <w:highlight w:val="none"/>
        </w:rPr>
      </w:pPr>
    </w:p>
    <w:p>
      <w:pPr>
        <w:widowControl/>
        <w:spacing w:line="480" w:lineRule="atLeast"/>
        <w:jc w:val="center"/>
        <w:rPr>
          <w:rFonts w:ascii="微软雅黑" w:hAnsi="微软雅黑" w:eastAsia="微软雅黑" w:cs="微软雅黑"/>
          <w:b/>
          <w:bCs/>
          <w:kern w:val="0"/>
          <w:sz w:val="32"/>
          <w:szCs w:val="32"/>
          <w:highlight w:val="none"/>
          <w:shd w:val="clear" w:color="auto" w:fill="FFFFFF"/>
          <w:lang w:bidi="ar"/>
        </w:rPr>
      </w:pPr>
      <w:bookmarkStart w:id="11" w:name="_Toc283035008"/>
      <w:bookmarkStart w:id="12" w:name="_Toc283304085"/>
      <w:bookmarkStart w:id="13" w:name="_Toc405295831"/>
      <w:bookmarkStart w:id="14" w:name="_Toc283035491"/>
      <w:bookmarkStart w:id="15" w:name="_Toc290389695"/>
      <w:bookmarkStart w:id="16" w:name="_Toc321812008"/>
      <w:bookmarkStart w:id="17" w:name="_Toc324521805"/>
      <w:bookmarkStart w:id="18" w:name="_Toc283035148"/>
      <w:bookmarkStart w:id="19" w:name="_Toc25095"/>
      <w:r>
        <w:rPr>
          <w:rFonts w:hint="eastAsia" w:ascii="微软雅黑" w:hAnsi="微软雅黑" w:eastAsia="微软雅黑" w:cs="微软雅黑"/>
          <w:b/>
          <w:bCs/>
          <w:kern w:val="0"/>
          <w:sz w:val="32"/>
          <w:szCs w:val="32"/>
          <w:highlight w:val="none"/>
          <w:shd w:val="clear" w:color="auto" w:fill="FFFFFF"/>
          <w:lang w:bidi="ar"/>
        </w:rPr>
        <w:t>山阳县户家塬镇桃园村抗旱应急水源工程</w:t>
      </w:r>
    </w:p>
    <w:p>
      <w:pPr>
        <w:widowControl/>
        <w:spacing w:line="480" w:lineRule="atLeast"/>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kern w:val="0"/>
          <w:sz w:val="32"/>
          <w:szCs w:val="32"/>
          <w:highlight w:val="none"/>
          <w:shd w:val="clear" w:color="auto" w:fill="FFFFFF"/>
          <w:lang w:bidi="ar"/>
        </w:rPr>
        <w:t>竞争性磋商公告</w:t>
      </w:r>
    </w:p>
    <w:p>
      <w:pPr>
        <w:pStyle w:val="7"/>
        <w:keepNext w:val="0"/>
        <w:keepLines w:val="0"/>
        <w:widowControl/>
        <w:wordWrap w:val="0"/>
        <w:adjustRightInd w:val="0"/>
        <w:snapToGrid w:val="0"/>
        <w:spacing w:before="0" w:after="0" w:line="360" w:lineRule="auto"/>
        <w:jc w:val="left"/>
        <w:rPr>
          <w:rFonts w:asciiTheme="minorEastAsia" w:hAnsiTheme="minorEastAsia" w:eastAsiaTheme="minorEastAsia" w:cstheme="minorEastAsia"/>
          <w:b w:val="0"/>
          <w:bCs w:val="0"/>
          <w:sz w:val="21"/>
          <w:szCs w:val="21"/>
          <w:highlight w:val="none"/>
        </w:rPr>
      </w:pPr>
      <w:r>
        <w:rPr>
          <w:rStyle w:val="48"/>
          <w:rFonts w:hint="eastAsia" w:asciiTheme="minorEastAsia" w:hAnsiTheme="minorEastAsia" w:eastAsiaTheme="minorEastAsia" w:cstheme="minorEastAsia"/>
          <w:b/>
          <w:bCs/>
          <w:sz w:val="21"/>
          <w:szCs w:val="21"/>
          <w:highlight w:val="none"/>
          <w:shd w:val="clear" w:color="auto" w:fill="FFFFFF"/>
        </w:rPr>
        <w:t>项目概况</w:t>
      </w:r>
    </w:p>
    <w:p>
      <w:pPr>
        <w:pStyle w:val="40"/>
        <w:wordWrap w:val="0"/>
        <w:adjustRightInd w:val="0"/>
        <w:snapToGrid w:val="0"/>
        <w:spacing w:before="0" w:beforeAutospacing="0" w:after="0" w:afterAutospacing="0" w:line="360" w:lineRule="auto"/>
        <w:ind w:firstLine="480"/>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山阳县户家塬镇桃园村抗旱应急水源工程采购项目的潜在供应商应在陕西省商洛市商丹园区高新管委会A202室获取采购文件，并于 2023年04月03日 10时00分 （北京时间）前提交响应文件。</w:t>
      </w:r>
    </w:p>
    <w:p>
      <w:pPr>
        <w:pStyle w:val="5"/>
        <w:keepNext w:val="0"/>
        <w:keepLines w:val="0"/>
        <w:widowControl/>
        <w:wordWrap w:val="0"/>
        <w:adjustRightInd w:val="0"/>
        <w:snapToGrid w:val="0"/>
        <w:spacing w:before="0" w:after="0" w:line="360" w:lineRule="auto"/>
        <w:jc w:val="left"/>
        <w:rPr>
          <w:rFonts w:asciiTheme="minorEastAsia" w:hAnsiTheme="minorEastAsia" w:eastAsiaTheme="minorEastAsia" w:cstheme="minorEastAsia"/>
          <w:b w:val="0"/>
          <w:bCs w:val="0"/>
          <w:sz w:val="21"/>
          <w:szCs w:val="21"/>
          <w:highlight w:val="none"/>
        </w:rPr>
      </w:pPr>
      <w:r>
        <w:rPr>
          <w:rStyle w:val="48"/>
          <w:rFonts w:hint="eastAsia" w:asciiTheme="minorEastAsia" w:hAnsiTheme="minorEastAsia" w:eastAsiaTheme="minorEastAsia" w:cstheme="minorEastAsia"/>
          <w:b/>
          <w:bCs/>
          <w:sz w:val="21"/>
          <w:szCs w:val="21"/>
          <w:highlight w:val="none"/>
          <w:shd w:val="clear" w:color="auto" w:fill="FFFFFF"/>
        </w:rPr>
        <w:t>一、项目基本情况</w:t>
      </w:r>
    </w:p>
    <w:p>
      <w:pPr>
        <w:pStyle w:val="40"/>
        <w:wordWrap w:val="0"/>
        <w:adjustRightInd w:val="0"/>
        <w:snapToGrid w:val="0"/>
        <w:spacing w:before="0" w:beforeAutospacing="0" w:after="0" w:afterAutospacing="0" w:line="360" w:lineRule="auto"/>
        <w:ind w:firstLine="480"/>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项目编号：SXHR-SL-CGZB-2023009</w:t>
      </w:r>
    </w:p>
    <w:p>
      <w:pPr>
        <w:pStyle w:val="40"/>
        <w:wordWrap w:val="0"/>
        <w:adjustRightInd w:val="0"/>
        <w:snapToGrid w:val="0"/>
        <w:spacing w:before="0" w:beforeAutospacing="0" w:after="0" w:afterAutospacing="0" w:line="360" w:lineRule="auto"/>
        <w:ind w:firstLine="480"/>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项目名称：山阳县户家塬镇桃园村抗旱应急水源工程</w:t>
      </w:r>
    </w:p>
    <w:p>
      <w:pPr>
        <w:pStyle w:val="40"/>
        <w:wordWrap w:val="0"/>
        <w:adjustRightInd w:val="0"/>
        <w:snapToGrid w:val="0"/>
        <w:spacing w:before="0" w:beforeAutospacing="0" w:after="0" w:afterAutospacing="0" w:line="360" w:lineRule="auto"/>
        <w:ind w:firstLine="480"/>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采购方式：竞争性磋商</w:t>
      </w:r>
    </w:p>
    <w:p>
      <w:pPr>
        <w:pStyle w:val="40"/>
        <w:wordWrap w:val="0"/>
        <w:adjustRightInd w:val="0"/>
        <w:snapToGrid w:val="0"/>
        <w:spacing w:before="0" w:beforeAutospacing="0" w:after="0" w:afterAutospacing="0" w:line="360" w:lineRule="auto"/>
        <w:ind w:firstLine="480"/>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预算金额：759,492.85元</w:t>
      </w:r>
    </w:p>
    <w:p>
      <w:pPr>
        <w:pStyle w:val="40"/>
        <w:wordWrap w:val="0"/>
        <w:adjustRightInd w:val="0"/>
        <w:snapToGrid w:val="0"/>
        <w:spacing w:before="0" w:beforeAutospacing="0" w:after="0" w:afterAutospacing="0" w:line="360" w:lineRule="auto"/>
        <w:ind w:firstLine="480"/>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采购需求：</w:t>
      </w:r>
    </w:p>
    <w:p>
      <w:pPr>
        <w:pStyle w:val="40"/>
        <w:wordWrap w:val="0"/>
        <w:adjustRightInd w:val="0"/>
        <w:snapToGrid w:val="0"/>
        <w:spacing w:before="0" w:beforeAutospacing="0" w:after="0" w:afterAutospacing="0" w:line="360" w:lineRule="auto"/>
        <w:ind w:firstLine="480"/>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合同包1(山阳县户家塬镇桃园村抗旱应急水源工程):</w:t>
      </w:r>
    </w:p>
    <w:p>
      <w:pPr>
        <w:pStyle w:val="40"/>
        <w:wordWrap w:val="0"/>
        <w:adjustRightInd w:val="0"/>
        <w:snapToGrid w:val="0"/>
        <w:spacing w:before="0" w:beforeAutospacing="0" w:after="0" w:afterAutospacing="0" w:line="360" w:lineRule="auto"/>
        <w:ind w:firstLine="630"/>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合同包预算金额：759,492.85元</w:t>
      </w:r>
    </w:p>
    <w:p>
      <w:pPr>
        <w:pStyle w:val="40"/>
        <w:wordWrap w:val="0"/>
        <w:adjustRightInd w:val="0"/>
        <w:snapToGrid w:val="0"/>
        <w:spacing w:before="0" w:beforeAutospacing="0" w:after="0" w:afterAutospacing="0" w:line="360" w:lineRule="auto"/>
        <w:ind w:firstLine="630"/>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合同包最高限价：759,492.85元</w:t>
      </w:r>
    </w:p>
    <w:tbl>
      <w:tblPr>
        <w:tblStyle w:val="45"/>
        <w:tblW w:w="937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471"/>
        <w:gridCol w:w="744"/>
        <w:gridCol w:w="4069"/>
        <w:gridCol w:w="683"/>
        <w:gridCol w:w="829"/>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04" w:hRule="atLeast"/>
          <w:tblHeader/>
        </w:trPr>
        <w:tc>
          <w:tcPr>
            <w:tcW w:w="4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adjustRightInd w:val="0"/>
              <w:snapToGrid w:val="0"/>
              <w:spacing w:line="360" w:lineRule="auto"/>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kern w:val="0"/>
                <w:szCs w:val="21"/>
                <w:highlight w:val="none"/>
                <w:lang w:bidi="ar"/>
              </w:rPr>
              <w:t>品目号</w:t>
            </w:r>
          </w:p>
        </w:tc>
        <w:tc>
          <w:tcPr>
            <w:tcW w:w="12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adjustRightInd w:val="0"/>
              <w:snapToGrid w:val="0"/>
              <w:spacing w:line="360" w:lineRule="auto"/>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kern w:val="0"/>
                <w:szCs w:val="21"/>
                <w:highlight w:val="none"/>
                <w:lang w:bidi="ar"/>
              </w:rPr>
              <w:t>品目名称</w:t>
            </w:r>
          </w:p>
        </w:tc>
        <w:tc>
          <w:tcPr>
            <w:tcW w:w="46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adjustRightInd w:val="0"/>
              <w:snapToGrid w:val="0"/>
              <w:spacing w:line="360" w:lineRule="auto"/>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kern w:val="0"/>
                <w:szCs w:val="21"/>
                <w:highlight w:val="none"/>
                <w:lang w:bidi="ar"/>
              </w:rPr>
              <w:t>采购标的</w:t>
            </w:r>
          </w:p>
        </w:tc>
        <w:tc>
          <w:tcPr>
            <w:tcW w:w="54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adjustRightInd w:val="0"/>
              <w:snapToGrid w:val="0"/>
              <w:spacing w:line="360" w:lineRule="auto"/>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kern w:val="0"/>
                <w:szCs w:val="21"/>
                <w:highlight w:val="none"/>
                <w:lang w:bidi="ar"/>
              </w:rPr>
              <w:t>数量（单位）</w:t>
            </w:r>
          </w:p>
        </w:tc>
        <w:tc>
          <w:tcPr>
            <w:tcW w:w="9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adjustRightInd w:val="0"/>
              <w:snapToGrid w:val="0"/>
              <w:spacing w:line="360" w:lineRule="auto"/>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kern w:val="0"/>
                <w:szCs w:val="21"/>
                <w:highlight w:val="none"/>
                <w:lang w:bidi="ar"/>
              </w:rPr>
              <w:t>技术规格、参数及要求</w:t>
            </w:r>
          </w:p>
        </w:tc>
        <w:tc>
          <w:tcPr>
            <w:tcW w:w="7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adjustRightInd w:val="0"/>
              <w:snapToGrid w:val="0"/>
              <w:spacing w:line="360" w:lineRule="auto"/>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kern w:val="0"/>
                <w:szCs w:val="21"/>
                <w:highlight w:val="none"/>
                <w:lang w:bidi="ar"/>
              </w:rPr>
              <w:t>品目预算(元)</w:t>
            </w:r>
          </w:p>
        </w:tc>
        <w:tc>
          <w:tcPr>
            <w:tcW w:w="7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adjustRightInd w:val="0"/>
              <w:snapToGrid w:val="0"/>
              <w:spacing w:line="360" w:lineRule="auto"/>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kern w:val="0"/>
                <w:szCs w:val="21"/>
                <w:highlight w:val="none"/>
                <w:lang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19"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adjustRightInd w:val="0"/>
              <w:snapToGrid w:val="0"/>
              <w:spacing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lang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adjustRightInd w:val="0"/>
              <w:snapToGrid w:val="0"/>
              <w:spacing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lang w:bidi="ar"/>
              </w:rPr>
              <w:t>其他水利工程施工</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adjustRightInd w:val="0"/>
              <w:snapToGrid w:val="0"/>
              <w:spacing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lang w:bidi="ar"/>
              </w:rPr>
              <w:t>①后槽组：后槽组的油房湾打一眼机井，井深 20m，新建 100m³高位池 1 座，新建泵房一座，铺设 1.6MPaφ 90PE 输水管道 1200m。 ②麻地湾组、柳家咀组：麻地湾组的左家沟口打一眼机</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adjustRightInd w:val="0"/>
              <w:snapToGrid w:val="0"/>
              <w:spacing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lang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adjustRightInd w:val="0"/>
              <w:snapToGrid w:val="0"/>
              <w:spacing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lang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adjustRightInd w:val="0"/>
              <w:snapToGrid w:val="0"/>
              <w:spacing w:line="360" w:lineRule="auto"/>
              <w:jc w:val="righ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lang w:bidi="ar"/>
              </w:rPr>
              <w:t>759,492.85</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adjustRightInd w:val="0"/>
              <w:snapToGrid w:val="0"/>
              <w:spacing w:line="360" w:lineRule="auto"/>
              <w:jc w:val="righ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lang w:bidi="ar"/>
              </w:rPr>
              <w:t>759,492.85</w:t>
            </w:r>
          </w:p>
        </w:tc>
      </w:tr>
    </w:tbl>
    <w:p>
      <w:pPr>
        <w:pStyle w:val="40"/>
        <w:wordWrap w:val="0"/>
        <w:adjustRightInd w:val="0"/>
        <w:snapToGrid w:val="0"/>
        <w:spacing w:before="0" w:beforeAutospacing="0" w:after="0" w:afterAutospacing="0" w:line="360" w:lineRule="auto"/>
        <w:ind w:firstLine="630"/>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本合同包不接受联合体投标</w:t>
      </w:r>
    </w:p>
    <w:p>
      <w:pPr>
        <w:pStyle w:val="40"/>
        <w:wordWrap w:val="0"/>
        <w:adjustRightInd w:val="0"/>
        <w:snapToGrid w:val="0"/>
        <w:spacing w:before="0" w:beforeAutospacing="0" w:after="0" w:afterAutospacing="0" w:line="360" w:lineRule="auto"/>
        <w:ind w:firstLine="630"/>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合同履行期限：90日历天</w:t>
      </w:r>
    </w:p>
    <w:p>
      <w:pPr>
        <w:pStyle w:val="5"/>
        <w:keepNext w:val="0"/>
        <w:keepLines w:val="0"/>
        <w:widowControl/>
        <w:wordWrap w:val="0"/>
        <w:adjustRightInd w:val="0"/>
        <w:snapToGrid w:val="0"/>
        <w:spacing w:before="0" w:after="0" w:line="360" w:lineRule="auto"/>
        <w:jc w:val="left"/>
        <w:rPr>
          <w:rFonts w:asciiTheme="minorEastAsia" w:hAnsiTheme="minorEastAsia" w:eastAsiaTheme="minorEastAsia" w:cstheme="minorEastAsia"/>
          <w:b w:val="0"/>
          <w:bCs w:val="0"/>
          <w:sz w:val="21"/>
          <w:szCs w:val="21"/>
          <w:highlight w:val="none"/>
        </w:rPr>
      </w:pPr>
      <w:r>
        <w:rPr>
          <w:rStyle w:val="48"/>
          <w:rFonts w:hint="eastAsia" w:asciiTheme="minorEastAsia" w:hAnsiTheme="minorEastAsia" w:eastAsiaTheme="minorEastAsia" w:cstheme="minorEastAsia"/>
          <w:b/>
          <w:bCs/>
          <w:sz w:val="21"/>
          <w:szCs w:val="21"/>
          <w:highlight w:val="none"/>
          <w:shd w:val="clear" w:color="auto" w:fill="FFFFFF"/>
        </w:rPr>
        <w:t>二、申请人的资格要求：</w:t>
      </w:r>
    </w:p>
    <w:p>
      <w:pPr>
        <w:pStyle w:val="40"/>
        <w:wordWrap w:val="0"/>
        <w:adjustRightInd w:val="0"/>
        <w:snapToGrid w:val="0"/>
        <w:spacing w:before="0" w:beforeAutospacing="0" w:after="0" w:afterAutospacing="0" w:line="360" w:lineRule="auto"/>
        <w:ind w:firstLine="480"/>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1.满足《中华人民共和国政府采购法》第二十二条规定;</w:t>
      </w:r>
    </w:p>
    <w:p>
      <w:pPr>
        <w:pStyle w:val="40"/>
        <w:wordWrap w:val="0"/>
        <w:adjustRightInd w:val="0"/>
        <w:snapToGrid w:val="0"/>
        <w:spacing w:before="0" w:beforeAutospacing="0" w:after="0" w:afterAutospacing="0" w:line="360" w:lineRule="auto"/>
        <w:ind w:firstLine="480"/>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2.落实政府采购政策需满足的资格要求：</w:t>
      </w:r>
    </w:p>
    <w:p>
      <w:pPr>
        <w:pStyle w:val="40"/>
        <w:wordWrap w:val="0"/>
        <w:adjustRightInd w:val="0"/>
        <w:snapToGrid w:val="0"/>
        <w:spacing w:before="0" w:beforeAutospacing="0" w:after="0" w:afterAutospacing="0" w:line="360" w:lineRule="auto"/>
        <w:ind w:firstLine="480"/>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合同包1(山阳县户家塬镇桃园村抗旱应急水源工程)落实政府采购政策需满足的资格要求如下:</w:t>
      </w:r>
    </w:p>
    <w:p>
      <w:pPr>
        <w:pStyle w:val="40"/>
        <w:wordWrap w:val="0"/>
        <w:adjustRightInd w:val="0"/>
        <w:snapToGrid w:val="0"/>
        <w:spacing w:before="0" w:beforeAutospacing="0" w:after="0" w:afterAutospacing="0" w:line="360" w:lineRule="auto"/>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（1）《政府采购促进中小企业发展管理办法》的通知--财库[2020]46号 （2）财政部司法部关于政府采购支持监狱企业发展有关问题的通知--财库〔2014〕68号 （3）《国务院办公厅关于建立政府强制采购节能产品制度的通知》--国办发〔2007〕51号 （4）《财政部发展改革委生态环境部市场监督总局关于调整优化节能产品、环境标志产品政府采购执行机制的通知》--（财库[2019]9号） （5）《关于印发环境标志产品政府采购品目清单的通知》--（财库〔2019〕18号） （6）《关于印发节能产品政府采购品目清单的通知》--（财库〔2019〕19号）（7）《市场监督总局关于发布参与实施政府采购节能产品、环境标志产品认证机构名录的公告》—2019年第16号 （8）《财政部民政部中国残疾人联合会关于促进残疾人就业政府采购政策的通知》--（财库〔2017〕141号）（9）《关于运用政府采购政策支持乡村产业振兴的通知》（财库〔2021〕19号）（10）陕西省财政厅关于印发《陕西省中小企业政府采购信用融资办法》（陕财办采〔2018〕23号） （11）《陕西省财政厅关于加快推进我省中小企业政府采购信用融资工作的通知》（陕财办采〔2020〕15号）（12）《关于进一步加强政府绿色采购有关问题的通知》（陕财办采〔2021〕29号）（13）财库[2022]19号 财政部关于进一步加大政府采购支持中小企业力度的通知（14）其他需要落实的政府采购政策。</w:t>
      </w:r>
    </w:p>
    <w:p>
      <w:pPr>
        <w:pStyle w:val="40"/>
        <w:wordWrap w:val="0"/>
        <w:adjustRightInd w:val="0"/>
        <w:snapToGrid w:val="0"/>
        <w:spacing w:before="0" w:beforeAutospacing="0" w:after="0" w:afterAutospacing="0" w:line="360" w:lineRule="auto"/>
        <w:ind w:firstLine="480"/>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3.本项目的特定资格要求：</w:t>
      </w:r>
    </w:p>
    <w:p>
      <w:pPr>
        <w:pStyle w:val="40"/>
        <w:wordWrap w:val="0"/>
        <w:adjustRightInd w:val="0"/>
        <w:snapToGrid w:val="0"/>
        <w:spacing w:before="0" w:beforeAutospacing="0" w:after="0" w:afterAutospacing="0" w:line="360" w:lineRule="auto"/>
        <w:ind w:firstLine="480"/>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合同包1(山阳县户家塬镇桃园村抗旱应急水源工程)特定资格要求如下:</w:t>
      </w:r>
    </w:p>
    <w:p>
      <w:pPr>
        <w:pStyle w:val="40"/>
        <w:wordWrap w:val="0"/>
        <w:adjustRightInd w:val="0"/>
        <w:snapToGrid w:val="0"/>
        <w:spacing w:before="0" w:beforeAutospacing="0" w:after="0" w:afterAutospacing="0" w:line="360" w:lineRule="auto"/>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1)具有独立承担民事责任能力的法人、其他组织或自然人，并出具合法有效的营业执照或事业单位法人证书等国家规定的相关证明，自然人参与的提供其身份证明；</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2)法定代表人或负责人授权书（附法定代表人或负责人身份证复印件）及被授权人身份证；（法定代表人或负责人直接参加投标只须提供法定代表人或负责人身份证）；</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3)具有建设行政主管部门颁发的水利水电工程施工总承包三级及以上资质；同时具备安全生产许可证并在人员、设备、资金等方面具有相应的施工能力；</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4)拟派项目经理须具备水利水电工程二级及以上建造师资格证及安全生产考核合格证，并提供无在建工程承诺书；</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5)提供2021年或2022年度的财务审计报告（至少包括资产负债表和利润表，成立时间至提交投标文件截止时间不足一年的可提供成立后任意时段的资产负债表），或其基本存款账户开户银行出具的资信证明及基本存款账户开户许可证；</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6)提供投标截止日前近一年内任意一个月的纳税证明或完税证明（任意税种），依法免税的单位应提供相关证明材料；</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7)提供投标截止日前近一年内任意一个月的社会保障资金缴存单据或社保机构开具的社会保险参保缴费情况证明，依法不需要缴纳社会保障资金的单位应提供相关证明材料；</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8)提供具有履行合同所必需的设备和专业技术能力的承诺函；</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9)投标保证金缴纳凭证或担保机构出具的保函；</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10)单位负责人为同一人或者存在直接控股、管理关系的不同供应商，不得参加同一合同项下的政府采购活动；</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11)参加本次政府采购活动前三年内在经营活动中没有重大违纪的书面声明；</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12)不得为“信用中国”网站(http://www.creditchina.gov.cn)列入“失信被执行人或重大税收违法案件当事人名单或政府采购严重违法失信行为记录名单”的供应商；</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13)投标人须在陕西省政府采购（http://www.ccgp-shaanxi.gov.cn/）注册登记加入陕西省政府采购供应商库；</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14)投标人2020年1月1日至今完成一项类似合同业绩，需提供加盖公章的合同复印件；</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15)本项目不接受联合体投标；</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16)本项目专门面向小微企业采购，供应商应为小型、微型企业或监狱企业或残疾人福利性单位，投标时提供：《中小企业声明函》（格式见竞争性磋商文件）。</w:t>
      </w:r>
    </w:p>
    <w:p>
      <w:pPr>
        <w:pStyle w:val="5"/>
        <w:keepNext w:val="0"/>
        <w:keepLines w:val="0"/>
        <w:widowControl/>
        <w:wordWrap w:val="0"/>
        <w:adjustRightInd w:val="0"/>
        <w:snapToGrid w:val="0"/>
        <w:spacing w:before="0" w:after="0" w:line="360" w:lineRule="auto"/>
        <w:jc w:val="left"/>
        <w:rPr>
          <w:rFonts w:asciiTheme="minorEastAsia" w:hAnsiTheme="minorEastAsia" w:eastAsiaTheme="minorEastAsia" w:cstheme="minorEastAsia"/>
          <w:b w:val="0"/>
          <w:bCs w:val="0"/>
          <w:sz w:val="21"/>
          <w:szCs w:val="21"/>
          <w:highlight w:val="none"/>
        </w:rPr>
      </w:pPr>
      <w:r>
        <w:rPr>
          <w:rStyle w:val="48"/>
          <w:rFonts w:hint="eastAsia" w:asciiTheme="minorEastAsia" w:hAnsiTheme="minorEastAsia" w:eastAsiaTheme="minorEastAsia" w:cstheme="minorEastAsia"/>
          <w:b/>
          <w:bCs/>
          <w:sz w:val="21"/>
          <w:szCs w:val="21"/>
          <w:highlight w:val="none"/>
          <w:shd w:val="clear" w:color="auto" w:fill="FFFFFF"/>
        </w:rPr>
        <w:t>三、获取采购文件</w:t>
      </w:r>
    </w:p>
    <w:p>
      <w:pPr>
        <w:pStyle w:val="40"/>
        <w:wordWrap w:val="0"/>
        <w:adjustRightInd w:val="0"/>
        <w:snapToGrid w:val="0"/>
        <w:spacing w:before="0" w:beforeAutospacing="0" w:after="0" w:afterAutospacing="0" w:line="360" w:lineRule="auto"/>
        <w:ind w:firstLine="480"/>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时间： 2023年03月23日 至 2023年03月29日 ，每天上午 09:00:00 至 12:00:00 ，下午 14:00:00 至 17:00:00 （北京时间）</w:t>
      </w:r>
    </w:p>
    <w:p>
      <w:pPr>
        <w:pStyle w:val="40"/>
        <w:wordWrap w:val="0"/>
        <w:adjustRightInd w:val="0"/>
        <w:snapToGrid w:val="0"/>
        <w:spacing w:before="0" w:beforeAutospacing="0" w:after="0" w:afterAutospacing="0" w:line="360" w:lineRule="auto"/>
        <w:ind w:firstLine="480"/>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途径：陕西省商洛市商丹园区高新管委会A202室</w:t>
      </w:r>
    </w:p>
    <w:p>
      <w:pPr>
        <w:pStyle w:val="40"/>
        <w:wordWrap w:val="0"/>
        <w:adjustRightInd w:val="0"/>
        <w:snapToGrid w:val="0"/>
        <w:spacing w:before="0" w:beforeAutospacing="0" w:after="0" w:afterAutospacing="0" w:line="360" w:lineRule="auto"/>
        <w:ind w:firstLine="480"/>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方式：现场获取</w:t>
      </w:r>
    </w:p>
    <w:p>
      <w:pPr>
        <w:pStyle w:val="40"/>
        <w:wordWrap w:val="0"/>
        <w:adjustRightInd w:val="0"/>
        <w:snapToGrid w:val="0"/>
        <w:spacing w:before="0" w:beforeAutospacing="0" w:after="0" w:afterAutospacing="0" w:line="360" w:lineRule="auto"/>
        <w:ind w:firstLine="480"/>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售价： 500元</w:t>
      </w:r>
    </w:p>
    <w:p>
      <w:pPr>
        <w:pStyle w:val="5"/>
        <w:keepNext w:val="0"/>
        <w:keepLines w:val="0"/>
        <w:widowControl/>
        <w:wordWrap w:val="0"/>
        <w:adjustRightInd w:val="0"/>
        <w:snapToGrid w:val="0"/>
        <w:spacing w:before="0" w:after="0" w:line="360" w:lineRule="auto"/>
        <w:jc w:val="left"/>
        <w:rPr>
          <w:rFonts w:asciiTheme="minorEastAsia" w:hAnsiTheme="minorEastAsia" w:eastAsiaTheme="minorEastAsia" w:cstheme="minorEastAsia"/>
          <w:b w:val="0"/>
          <w:bCs w:val="0"/>
          <w:sz w:val="21"/>
          <w:szCs w:val="21"/>
          <w:highlight w:val="none"/>
        </w:rPr>
      </w:pPr>
      <w:r>
        <w:rPr>
          <w:rStyle w:val="48"/>
          <w:rFonts w:hint="eastAsia" w:asciiTheme="minorEastAsia" w:hAnsiTheme="minorEastAsia" w:eastAsiaTheme="minorEastAsia" w:cstheme="minorEastAsia"/>
          <w:b/>
          <w:bCs/>
          <w:sz w:val="21"/>
          <w:szCs w:val="21"/>
          <w:highlight w:val="none"/>
          <w:shd w:val="clear" w:color="auto" w:fill="FFFFFF"/>
        </w:rPr>
        <w:t>四、响应文件提交</w:t>
      </w:r>
    </w:p>
    <w:p>
      <w:pPr>
        <w:pStyle w:val="40"/>
        <w:wordWrap w:val="0"/>
        <w:adjustRightInd w:val="0"/>
        <w:snapToGrid w:val="0"/>
        <w:spacing w:before="0" w:beforeAutospacing="0" w:after="0" w:afterAutospacing="0" w:line="360" w:lineRule="auto"/>
        <w:ind w:firstLine="480"/>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截止时间： 2023年04月03日 10时00分00秒 （北京时间）</w:t>
      </w:r>
    </w:p>
    <w:p>
      <w:pPr>
        <w:pStyle w:val="40"/>
        <w:wordWrap w:val="0"/>
        <w:adjustRightInd w:val="0"/>
        <w:snapToGrid w:val="0"/>
        <w:spacing w:before="0" w:beforeAutospacing="0" w:after="0" w:afterAutospacing="0" w:line="360" w:lineRule="auto"/>
        <w:ind w:firstLine="480"/>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地点：陕西省商洛市商丹园区高新管委会A202室</w:t>
      </w:r>
    </w:p>
    <w:p>
      <w:pPr>
        <w:pStyle w:val="5"/>
        <w:keepNext w:val="0"/>
        <w:keepLines w:val="0"/>
        <w:widowControl/>
        <w:wordWrap w:val="0"/>
        <w:adjustRightInd w:val="0"/>
        <w:snapToGrid w:val="0"/>
        <w:spacing w:before="0" w:after="0" w:line="360" w:lineRule="auto"/>
        <w:jc w:val="left"/>
        <w:rPr>
          <w:rFonts w:asciiTheme="minorEastAsia" w:hAnsiTheme="minorEastAsia" w:eastAsiaTheme="minorEastAsia" w:cstheme="minorEastAsia"/>
          <w:b w:val="0"/>
          <w:bCs w:val="0"/>
          <w:sz w:val="21"/>
          <w:szCs w:val="21"/>
          <w:highlight w:val="none"/>
        </w:rPr>
      </w:pPr>
      <w:r>
        <w:rPr>
          <w:rStyle w:val="48"/>
          <w:rFonts w:hint="eastAsia" w:asciiTheme="minorEastAsia" w:hAnsiTheme="minorEastAsia" w:eastAsiaTheme="minorEastAsia" w:cstheme="minorEastAsia"/>
          <w:b/>
          <w:bCs/>
          <w:sz w:val="21"/>
          <w:szCs w:val="21"/>
          <w:highlight w:val="none"/>
          <w:shd w:val="clear" w:color="auto" w:fill="FFFFFF"/>
        </w:rPr>
        <w:t>五、开启</w:t>
      </w:r>
    </w:p>
    <w:p>
      <w:pPr>
        <w:pStyle w:val="40"/>
        <w:wordWrap w:val="0"/>
        <w:adjustRightInd w:val="0"/>
        <w:snapToGrid w:val="0"/>
        <w:spacing w:before="0" w:beforeAutospacing="0" w:after="0" w:afterAutospacing="0" w:line="360" w:lineRule="auto"/>
        <w:ind w:firstLine="480"/>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时间： 2023年04月03日 10时00分00秒 （北京时间）</w:t>
      </w:r>
    </w:p>
    <w:p>
      <w:pPr>
        <w:pStyle w:val="40"/>
        <w:wordWrap w:val="0"/>
        <w:adjustRightInd w:val="0"/>
        <w:snapToGrid w:val="0"/>
        <w:spacing w:before="0" w:beforeAutospacing="0" w:after="0" w:afterAutospacing="0" w:line="360" w:lineRule="auto"/>
        <w:ind w:firstLine="480"/>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地点：陕西省商洛市商丹园区高新管委会A202室</w:t>
      </w:r>
    </w:p>
    <w:p>
      <w:pPr>
        <w:pStyle w:val="5"/>
        <w:keepNext w:val="0"/>
        <w:keepLines w:val="0"/>
        <w:widowControl/>
        <w:wordWrap w:val="0"/>
        <w:adjustRightInd w:val="0"/>
        <w:snapToGrid w:val="0"/>
        <w:spacing w:before="0" w:after="0" w:line="360" w:lineRule="auto"/>
        <w:jc w:val="left"/>
        <w:rPr>
          <w:rFonts w:asciiTheme="minorEastAsia" w:hAnsiTheme="minorEastAsia" w:eastAsiaTheme="minorEastAsia" w:cstheme="minorEastAsia"/>
          <w:b w:val="0"/>
          <w:bCs w:val="0"/>
          <w:sz w:val="21"/>
          <w:szCs w:val="21"/>
          <w:highlight w:val="none"/>
        </w:rPr>
      </w:pPr>
      <w:r>
        <w:rPr>
          <w:rStyle w:val="48"/>
          <w:rFonts w:hint="eastAsia" w:asciiTheme="minorEastAsia" w:hAnsiTheme="minorEastAsia" w:eastAsiaTheme="minorEastAsia" w:cstheme="minorEastAsia"/>
          <w:b/>
          <w:bCs/>
          <w:sz w:val="21"/>
          <w:szCs w:val="21"/>
          <w:highlight w:val="none"/>
          <w:shd w:val="clear" w:color="auto" w:fill="FFFFFF"/>
        </w:rPr>
        <w:t>六、公告期限</w:t>
      </w:r>
    </w:p>
    <w:p>
      <w:pPr>
        <w:pStyle w:val="40"/>
        <w:wordWrap w:val="0"/>
        <w:adjustRightInd w:val="0"/>
        <w:snapToGrid w:val="0"/>
        <w:spacing w:before="0" w:beforeAutospacing="0" w:after="0" w:afterAutospacing="0" w:line="360" w:lineRule="auto"/>
        <w:ind w:firstLine="480"/>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自本公告发布之日起3个工作日。</w:t>
      </w:r>
    </w:p>
    <w:p>
      <w:pPr>
        <w:pStyle w:val="5"/>
        <w:keepNext w:val="0"/>
        <w:keepLines w:val="0"/>
        <w:widowControl/>
        <w:wordWrap w:val="0"/>
        <w:adjustRightInd w:val="0"/>
        <w:snapToGrid w:val="0"/>
        <w:spacing w:before="0" w:after="0" w:line="360" w:lineRule="auto"/>
        <w:jc w:val="left"/>
        <w:rPr>
          <w:rFonts w:asciiTheme="minorEastAsia" w:hAnsiTheme="minorEastAsia" w:eastAsiaTheme="minorEastAsia" w:cstheme="minorEastAsia"/>
          <w:b w:val="0"/>
          <w:bCs w:val="0"/>
          <w:sz w:val="21"/>
          <w:szCs w:val="21"/>
          <w:highlight w:val="none"/>
        </w:rPr>
      </w:pPr>
      <w:r>
        <w:rPr>
          <w:rStyle w:val="48"/>
          <w:rFonts w:hint="eastAsia" w:asciiTheme="minorEastAsia" w:hAnsiTheme="minorEastAsia" w:eastAsiaTheme="minorEastAsia" w:cstheme="minorEastAsia"/>
          <w:b/>
          <w:bCs/>
          <w:sz w:val="21"/>
          <w:szCs w:val="21"/>
          <w:highlight w:val="none"/>
          <w:shd w:val="clear" w:color="auto" w:fill="FFFFFF"/>
        </w:rPr>
        <w:t>七、其他补充事宜</w:t>
      </w:r>
    </w:p>
    <w:p>
      <w:pPr>
        <w:pStyle w:val="40"/>
        <w:wordWrap w:val="0"/>
        <w:adjustRightInd w:val="0"/>
        <w:snapToGrid w:val="0"/>
        <w:spacing w:before="0" w:beforeAutospacing="0" w:after="0" w:afterAutospacing="0" w:line="360" w:lineRule="auto"/>
        <w:ind w:firstLine="480"/>
        <w:jc w:val="both"/>
        <w:rPr>
          <w:rFonts w:asciiTheme="minorEastAsia" w:hAnsiTheme="minorEastAsia" w:eastAsiaTheme="minorEastAsia" w:cstheme="minorEastAsia"/>
          <w:sz w:val="21"/>
          <w:szCs w:val="21"/>
          <w:highlight w:val="none"/>
        </w:rPr>
      </w:pPr>
      <w:r>
        <w:rPr>
          <w:rStyle w:val="48"/>
          <w:rFonts w:hint="eastAsia" w:asciiTheme="minorEastAsia" w:hAnsiTheme="minorEastAsia" w:eastAsiaTheme="minorEastAsia" w:cstheme="minorEastAsia"/>
          <w:sz w:val="21"/>
          <w:szCs w:val="21"/>
          <w:highlight w:val="none"/>
          <w:shd w:val="clear" w:color="auto" w:fill="FFFFFF"/>
          <w:lang w:bidi="ar"/>
        </w:rPr>
        <w:t>购买竞争性磋商文件请携带单位介绍信原件、法人授权委托书原件、经办人身份证原件及加盖供应商公章的复印件（节假日除外）。请供应商通过陕西省政府采购网（http://www.ccgp-shaanxi.gov.cn/）注册登记加入陕西省政府采购供应商库。</w:t>
      </w:r>
    </w:p>
    <w:p>
      <w:pPr>
        <w:pStyle w:val="5"/>
        <w:keepNext w:val="0"/>
        <w:keepLines w:val="0"/>
        <w:widowControl/>
        <w:wordWrap w:val="0"/>
        <w:adjustRightInd w:val="0"/>
        <w:snapToGrid w:val="0"/>
        <w:spacing w:before="0" w:after="0" w:line="360" w:lineRule="auto"/>
        <w:jc w:val="left"/>
        <w:rPr>
          <w:rFonts w:asciiTheme="minorEastAsia" w:hAnsiTheme="minorEastAsia" w:eastAsiaTheme="minorEastAsia" w:cstheme="minorEastAsia"/>
          <w:b w:val="0"/>
          <w:bCs w:val="0"/>
          <w:sz w:val="21"/>
          <w:szCs w:val="21"/>
          <w:highlight w:val="none"/>
        </w:rPr>
      </w:pPr>
      <w:r>
        <w:rPr>
          <w:rStyle w:val="48"/>
          <w:rFonts w:hint="eastAsia" w:asciiTheme="minorEastAsia" w:hAnsiTheme="minorEastAsia" w:eastAsiaTheme="minorEastAsia" w:cstheme="minorEastAsia"/>
          <w:b/>
          <w:bCs/>
          <w:sz w:val="21"/>
          <w:szCs w:val="21"/>
          <w:highlight w:val="none"/>
          <w:shd w:val="clear" w:color="auto" w:fill="FFFFFF"/>
        </w:rPr>
        <w:t>八、对本次招标提出询问，请按以下方式联系。</w:t>
      </w:r>
    </w:p>
    <w:p>
      <w:pPr>
        <w:pStyle w:val="7"/>
        <w:keepNext w:val="0"/>
        <w:keepLines w:val="0"/>
        <w:widowControl/>
        <w:wordWrap w:val="0"/>
        <w:adjustRightInd w:val="0"/>
        <w:snapToGrid w:val="0"/>
        <w:spacing w:before="0" w:after="0" w:line="360" w:lineRule="auto"/>
        <w:jc w:val="left"/>
        <w:rPr>
          <w:rFonts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shd w:val="clear" w:color="auto" w:fill="FFFFFF"/>
        </w:rPr>
        <w:t>1.采购人信息</w:t>
      </w:r>
    </w:p>
    <w:p>
      <w:pPr>
        <w:pStyle w:val="40"/>
        <w:wordWrap w:val="0"/>
        <w:adjustRightInd w:val="0"/>
        <w:snapToGrid w:val="0"/>
        <w:spacing w:before="0" w:beforeAutospacing="0" w:after="0" w:afterAutospacing="0" w:line="360" w:lineRule="auto"/>
        <w:ind w:firstLine="480"/>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名称：山阳县水利局（本级）</w:t>
      </w:r>
    </w:p>
    <w:p>
      <w:pPr>
        <w:pStyle w:val="40"/>
        <w:wordWrap w:val="0"/>
        <w:adjustRightInd w:val="0"/>
        <w:snapToGrid w:val="0"/>
        <w:spacing w:before="0" w:beforeAutospacing="0" w:after="0" w:afterAutospacing="0" w:line="360" w:lineRule="auto"/>
        <w:ind w:firstLine="480"/>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地址：陕西省商洛市山阳县北新街</w:t>
      </w:r>
    </w:p>
    <w:p>
      <w:pPr>
        <w:pStyle w:val="40"/>
        <w:wordWrap w:val="0"/>
        <w:adjustRightInd w:val="0"/>
        <w:snapToGrid w:val="0"/>
        <w:spacing w:before="0" w:beforeAutospacing="0" w:after="0" w:afterAutospacing="0" w:line="360" w:lineRule="auto"/>
        <w:ind w:firstLine="480"/>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联系方式：18991476923</w:t>
      </w:r>
    </w:p>
    <w:p>
      <w:pPr>
        <w:pStyle w:val="7"/>
        <w:keepNext w:val="0"/>
        <w:keepLines w:val="0"/>
        <w:widowControl/>
        <w:wordWrap w:val="0"/>
        <w:adjustRightInd w:val="0"/>
        <w:snapToGrid w:val="0"/>
        <w:spacing w:before="0" w:after="0" w:line="360" w:lineRule="auto"/>
        <w:jc w:val="left"/>
        <w:rPr>
          <w:rFonts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shd w:val="clear" w:color="auto" w:fill="FFFFFF"/>
        </w:rPr>
        <w:t>2.采购代理机构信息</w:t>
      </w:r>
    </w:p>
    <w:p>
      <w:pPr>
        <w:pStyle w:val="40"/>
        <w:wordWrap w:val="0"/>
        <w:adjustRightInd w:val="0"/>
        <w:snapToGrid w:val="0"/>
        <w:spacing w:before="0" w:beforeAutospacing="0" w:after="0" w:afterAutospacing="0" w:line="360" w:lineRule="auto"/>
        <w:ind w:firstLine="480"/>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名称：陕西恒瑞项目管理有限公司</w:t>
      </w:r>
    </w:p>
    <w:p>
      <w:pPr>
        <w:pStyle w:val="40"/>
        <w:wordWrap w:val="0"/>
        <w:adjustRightInd w:val="0"/>
        <w:snapToGrid w:val="0"/>
        <w:spacing w:before="0" w:beforeAutospacing="0" w:after="0" w:afterAutospacing="0" w:line="360" w:lineRule="auto"/>
        <w:ind w:firstLine="480"/>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地址：陕西省商洛市商丹园区高新管委会A202室</w:t>
      </w:r>
    </w:p>
    <w:p>
      <w:pPr>
        <w:pStyle w:val="40"/>
        <w:wordWrap w:val="0"/>
        <w:adjustRightInd w:val="0"/>
        <w:snapToGrid w:val="0"/>
        <w:spacing w:before="0" w:beforeAutospacing="0" w:after="0" w:afterAutospacing="0" w:line="360" w:lineRule="auto"/>
        <w:ind w:firstLine="480"/>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联系方式：0914-2337550</w:t>
      </w:r>
    </w:p>
    <w:p>
      <w:pPr>
        <w:pStyle w:val="7"/>
        <w:keepNext w:val="0"/>
        <w:keepLines w:val="0"/>
        <w:widowControl/>
        <w:wordWrap w:val="0"/>
        <w:adjustRightInd w:val="0"/>
        <w:snapToGrid w:val="0"/>
        <w:spacing w:before="0" w:after="0" w:line="360" w:lineRule="auto"/>
        <w:jc w:val="left"/>
        <w:rPr>
          <w:rFonts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shd w:val="clear" w:color="auto" w:fill="FFFFFF"/>
        </w:rPr>
        <w:t>3.项目联系方式</w:t>
      </w:r>
    </w:p>
    <w:p>
      <w:pPr>
        <w:pStyle w:val="40"/>
        <w:wordWrap w:val="0"/>
        <w:adjustRightInd w:val="0"/>
        <w:snapToGrid w:val="0"/>
        <w:spacing w:before="0" w:beforeAutospacing="0" w:after="0" w:afterAutospacing="0" w:line="360" w:lineRule="auto"/>
        <w:ind w:firstLine="480"/>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项目联系人：杨工</w:t>
      </w:r>
    </w:p>
    <w:p>
      <w:pPr>
        <w:pStyle w:val="40"/>
        <w:wordWrap w:val="0"/>
        <w:adjustRightInd w:val="0"/>
        <w:snapToGrid w:val="0"/>
        <w:spacing w:before="0" w:beforeAutospacing="0" w:after="0" w:afterAutospacing="0" w:line="360" w:lineRule="auto"/>
        <w:ind w:firstLine="480"/>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电话：0914-2337550</w:t>
      </w:r>
    </w:p>
    <w:p>
      <w:pPr>
        <w:pStyle w:val="40"/>
        <w:wordWrap w:val="0"/>
        <w:adjustRightInd w:val="0"/>
        <w:snapToGrid w:val="0"/>
        <w:spacing w:before="0" w:beforeAutospacing="0" w:after="0" w:afterAutospacing="0" w:line="360" w:lineRule="auto"/>
        <w:ind w:firstLine="480"/>
        <w:jc w:val="righ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陕西恒瑞项目管理有限公司</w:t>
      </w:r>
    </w:p>
    <w:p>
      <w:pPr>
        <w:pStyle w:val="40"/>
        <w:wordWrap w:val="0"/>
        <w:spacing w:before="0" w:beforeAutospacing="0" w:after="0" w:afterAutospacing="0" w:line="384" w:lineRule="atLeast"/>
        <w:ind w:firstLine="384"/>
        <w:jc w:val="right"/>
        <w:rPr>
          <w:sz w:val="16"/>
          <w:szCs w:val="16"/>
          <w:highlight w:val="none"/>
        </w:rPr>
      </w:pPr>
    </w:p>
    <w:p>
      <w:pPr>
        <w:adjustRightInd w:val="0"/>
        <w:snapToGrid w:val="0"/>
        <w:spacing w:line="360" w:lineRule="auto"/>
        <w:rPr>
          <w:highlight w:val="none"/>
        </w:rPr>
      </w:pPr>
    </w:p>
    <w:p>
      <w:pPr>
        <w:pStyle w:val="3"/>
        <w:spacing w:before="120" w:after="120" w:line="400" w:lineRule="exact"/>
        <w:jc w:val="center"/>
        <w:rPr>
          <w:rFonts w:ascii="宋体" w:hAnsi="宋体"/>
          <w:kern w:val="0"/>
          <w:sz w:val="32"/>
          <w:szCs w:val="32"/>
          <w:highlight w:val="none"/>
        </w:rPr>
        <w:sectPr>
          <w:pgSz w:w="11905" w:h="16838"/>
          <w:pgMar w:top="1559" w:right="1757" w:bottom="1984" w:left="1757" w:header="850" w:footer="992" w:gutter="0"/>
          <w:cols w:space="0" w:num="1"/>
          <w:docGrid w:linePitch="312" w:charSpace="0"/>
        </w:sectPr>
      </w:pPr>
    </w:p>
    <w:p>
      <w:pPr>
        <w:pStyle w:val="3"/>
        <w:spacing w:before="120" w:after="120" w:line="400" w:lineRule="exact"/>
        <w:jc w:val="center"/>
        <w:rPr>
          <w:rFonts w:ascii="宋体" w:hAnsi="宋体"/>
          <w:kern w:val="0"/>
          <w:sz w:val="32"/>
          <w:szCs w:val="32"/>
          <w:highlight w:val="none"/>
        </w:rPr>
      </w:pPr>
      <w:r>
        <w:rPr>
          <w:rFonts w:hint="eastAsia" w:ascii="宋体" w:hAnsi="宋体"/>
          <w:kern w:val="0"/>
          <w:sz w:val="32"/>
          <w:szCs w:val="32"/>
          <w:highlight w:val="none"/>
        </w:rPr>
        <w:t>第二章  磋商须知</w:t>
      </w:r>
      <w:bookmarkEnd w:id="11"/>
      <w:bookmarkEnd w:id="12"/>
      <w:bookmarkEnd w:id="13"/>
      <w:bookmarkEnd w:id="14"/>
      <w:bookmarkEnd w:id="15"/>
      <w:bookmarkEnd w:id="16"/>
      <w:bookmarkEnd w:id="17"/>
      <w:bookmarkEnd w:id="18"/>
      <w:r>
        <w:rPr>
          <w:rFonts w:hint="eastAsia" w:ascii="宋体" w:hAnsi="宋体"/>
          <w:kern w:val="0"/>
          <w:sz w:val="32"/>
          <w:szCs w:val="32"/>
          <w:highlight w:val="none"/>
        </w:rPr>
        <w:t>及前附表</w:t>
      </w:r>
      <w:bookmarkEnd w:id="19"/>
    </w:p>
    <w:p>
      <w:pPr>
        <w:spacing w:before="240" w:beforeLines="100"/>
        <w:jc w:val="center"/>
        <w:outlineLvl w:val="1"/>
        <w:rPr>
          <w:rFonts w:ascii="宋体" w:hAnsi="宋体"/>
          <w:b/>
          <w:kern w:val="0"/>
          <w:sz w:val="24"/>
          <w:highlight w:val="none"/>
        </w:rPr>
      </w:pPr>
      <w:bookmarkStart w:id="20" w:name="_Toc324521806"/>
      <w:bookmarkStart w:id="21" w:name="_Toc290389696"/>
      <w:bookmarkStart w:id="22" w:name="_Toc321812009"/>
      <w:bookmarkStart w:id="23" w:name="_Toc283035009"/>
      <w:bookmarkStart w:id="24" w:name="_Toc283304086"/>
      <w:bookmarkStart w:id="25" w:name="_Toc283035149"/>
      <w:bookmarkStart w:id="26" w:name="_Toc283035492"/>
      <w:r>
        <w:rPr>
          <w:rFonts w:hint="eastAsia" w:ascii="宋体" w:hAnsi="宋体"/>
          <w:b/>
          <w:kern w:val="0"/>
          <w:sz w:val="24"/>
          <w:highlight w:val="none"/>
        </w:rPr>
        <w:t>磋商须知前附表</w:t>
      </w:r>
      <w:bookmarkEnd w:id="20"/>
      <w:bookmarkEnd w:id="21"/>
      <w:bookmarkEnd w:id="22"/>
      <w:bookmarkEnd w:id="23"/>
      <w:bookmarkEnd w:id="24"/>
      <w:bookmarkEnd w:id="25"/>
      <w:bookmarkEnd w:id="26"/>
    </w:p>
    <w:p>
      <w:pPr>
        <w:rPr>
          <w:b/>
          <w:kern w:val="0"/>
          <w:szCs w:val="21"/>
          <w:highlight w:val="none"/>
        </w:rPr>
      </w:pPr>
      <w:r>
        <w:rPr>
          <w:rFonts w:hint="eastAsia"/>
          <w:b/>
          <w:kern w:val="0"/>
          <w:szCs w:val="21"/>
          <w:highlight w:val="none"/>
        </w:rPr>
        <w:t>（本表是对磋商须知的提示、补充和修改，如有矛盾，应以本表为准。）</w:t>
      </w:r>
    </w:p>
    <w:tbl>
      <w:tblPr>
        <w:tblStyle w:val="45"/>
        <w:tblW w:w="900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2067"/>
        <w:gridCol w:w="59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6" w:hRule="atLeast"/>
          <w:tblHeader/>
          <w:jc w:val="center"/>
        </w:trPr>
        <w:tc>
          <w:tcPr>
            <w:tcW w:w="993" w:type="dxa"/>
          </w:tcPr>
          <w:p>
            <w:pPr>
              <w:spacing w:before="120" w:beforeLines="50" w:after="120" w:afterLines="50" w:line="360" w:lineRule="exact"/>
              <w:jc w:val="center"/>
              <w:rPr>
                <w:rFonts w:ascii="宋体" w:hAnsi="宋体"/>
                <w:b/>
                <w:kern w:val="0"/>
                <w:szCs w:val="21"/>
                <w:highlight w:val="none"/>
              </w:rPr>
            </w:pPr>
            <w:r>
              <w:rPr>
                <w:rFonts w:hint="eastAsia" w:ascii="宋体" w:hAnsi="宋体"/>
                <w:b/>
                <w:kern w:val="0"/>
                <w:szCs w:val="21"/>
                <w:highlight w:val="none"/>
              </w:rPr>
              <w:t>条款号</w:t>
            </w:r>
          </w:p>
        </w:tc>
        <w:tc>
          <w:tcPr>
            <w:tcW w:w="2067" w:type="dxa"/>
          </w:tcPr>
          <w:p>
            <w:pPr>
              <w:spacing w:before="120" w:beforeLines="50" w:after="120" w:afterLines="50" w:line="360" w:lineRule="exact"/>
              <w:jc w:val="center"/>
              <w:rPr>
                <w:rFonts w:ascii="宋体" w:hAnsi="宋体"/>
                <w:b/>
                <w:kern w:val="0"/>
                <w:szCs w:val="21"/>
                <w:highlight w:val="none"/>
              </w:rPr>
            </w:pPr>
            <w:r>
              <w:rPr>
                <w:rFonts w:hint="eastAsia" w:ascii="宋体" w:hAnsi="宋体"/>
                <w:b/>
                <w:kern w:val="0"/>
                <w:szCs w:val="21"/>
                <w:highlight w:val="none"/>
              </w:rPr>
              <w:t>条款内容提示</w:t>
            </w:r>
          </w:p>
        </w:tc>
        <w:tc>
          <w:tcPr>
            <w:tcW w:w="5940" w:type="dxa"/>
          </w:tcPr>
          <w:p>
            <w:pPr>
              <w:spacing w:before="120" w:beforeLines="50" w:after="120" w:afterLines="50" w:line="360" w:lineRule="exact"/>
              <w:jc w:val="center"/>
              <w:rPr>
                <w:rFonts w:ascii="宋体" w:hAnsi="宋体"/>
                <w:b/>
                <w:kern w:val="0"/>
                <w:szCs w:val="21"/>
                <w:highlight w:val="none"/>
              </w:rPr>
            </w:pPr>
            <w:r>
              <w:rPr>
                <w:rFonts w:hint="eastAsia" w:ascii="宋体" w:hAnsi="宋体"/>
                <w:b/>
                <w:kern w:val="0"/>
                <w:szCs w:val="21"/>
                <w:highlight w:val="none"/>
              </w:rPr>
              <w:t>编列内容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3" w:hRule="atLeast"/>
          <w:jc w:val="center"/>
        </w:trPr>
        <w:tc>
          <w:tcPr>
            <w:tcW w:w="993" w:type="dxa"/>
            <w:vAlign w:val="center"/>
          </w:tcPr>
          <w:p>
            <w:pPr>
              <w:spacing w:line="360" w:lineRule="exact"/>
              <w:jc w:val="center"/>
              <w:rPr>
                <w:rFonts w:ascii="宋体" w:hAnsi="宋体"/>
                <w:kern w:val="0"/>
                <w:szCs w:val="21"/>
                <w:highlight w:val="none"/>
              </w:rPr>
            </w:pPr>
            <w:r>
              <w:rPr>
                <w:rFonts w:hint="eastAsia" w:ascii="宋体" w:hAnsi="宋体"/>
                <w:kern w:val="0"/>
                <w:szCs w:val="21"/>
                <w:highlight w:val="none"/>
              </w:rPr>
              <w:t>1.1</w:t>
            </w:r>
          </w:p>
        </w:tc>
        <w:tc>
          <w:tcPr>
            <w:tcW w:w="2067" w:type="dxa"/>
            <w:vAlign w:val="center"/>
          </w:tcPr>
          <w:p>
            <w:pPr>
              <w:spacing w:line="360" w:lineRule="exact"/>
              <w:rPr>
                <w:rFonts w:ascii="宋体" w:hAnsi="宋体"/>
                <w:kern w:val="0"/>
                <w:szCs w:val="21"/>
                <w:highlight w:val="none"/>
              </w:rPr>
            </w:pPr>
            <w:r>
              <w:rPr>
                <w:rFonts w:hint="eastAsia" w:ascii="宋体" w:hAnsi="宋体"/>
                <w:kern w:val="0"/>
                <w:szCs w:val="21"/>
                <w:highlight w:val="none"/>
              </w:rPr>
              <w:t>采购人</w:t>
            </w:r>
          </w:p>
        </w:tc>
        <w:tc>
          <w:tcPr>
            <w:tcW w:w="5940" w:type="dxa"/>
            <w:vAlign w:val="center"/>
          </w:tcPr>
          <w:p>
            <w:pPr>
              <w:rPr>
                <w:rFonts w:ascii="宋体" w:hAnsi="宋体"/>
                <w:color w:val="000000"/>
                <w:szCs w:val="21"/>
                <w:highlight w:val="none"/>
              </w:rPr>
            </w:pPr>
            <w:r>
              <w:rPr>
                <w:rFonts w:hint="eastAsia" w:ascii="宋体" w:hAnsi="宋体"/>
                <w:color w:val="000000"/>
                <w:szCs w:val="21"/>
                <w:highlight w:val="none"/>
              </w:rPr>
              <w:t>名称：山阳县水利局</w:t>
            </w:r>
          </w:p>
          <w:p>
            <w:pPr>
              <w:spacing w:line="360" w:lineRule="exact"/>
              <w:rPr>
                <w:rFonts w:ascii="宋体" w:hAnsi="宋体"/>
                <w:kern w:val="0"/>
                <w:szCs w:val="21"/>
                <w:highlight w:val="none"/>
              </w:rPr>
            </w:pPr>
            <w:r>
              <w:rPr>
                <w:rFonts w:hint="eastAsia" w:ascii="宋体" w:hAnsi="宋体"/>
                <w:color w:val="000000"/>
                <w:szCs w:val="21"/>
                <w:highlight w:val="none"/>
              </w:rPr>
              <w:t>地址：陕西省商洛市山阳县北新街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59" w:hRule="atLeast"/>
          <w:jc w:val="center"/>
        </w:trPr>
        <w:tc>
          <w:tcPr>
            <w:tcW w:w="993" w:type="dxa"/>
            <w:vAlign w:val="center"/>
          </w:tcPr>
          <w:p>
            <w:pPr>
              <w:spacing w:line="360" w:lineRule="exact"/>
              <w:jc w:val="center"/>
              <w:rPr>
                <w:rFonts w:ascii="宋体" w:hAnsi="宋体"/>
                <w:kern w:val="0"/>
                <w:szCs w:val="21"/>
                <w:highlight w:val="none"/>
              </w:rPr>
            </w:pPr>
            <w:r>
              <w:rPr>
                <w:rFonts w:hint="eastAsia" w:ascii="宋体" w:hAnsi="宋体"/>
                <w:kern w:val="0"/>
                <w:szCs w:val="21"/>
                <w:highlight w:val="none"/>
              </w:rPr>
              <w:t>2.1</w:t>
            </w:r>
          </w:p>
        </w:tc>
        <w:tc>
          <w:tcPr>
            <w:tcW w:w="2067" w:type="dxa"/>
            <w:vAlign w:val="center"/>
          </w:tcPr>
          <w:p>
            <w:pPr>
              <w:spacing w:line="360" w:lineRule="exact"/>
              <w:rPr>
                <w:rFonts w:ascii="宋体" w:hAnsi="宋体"/>
                <w:kern w:val="0"/>
                <w:szCs w:val="21"/>
                <w:highlight w:val="none"/>
              </w:rPr>
            </w:pPr>
            <w:r>
              <w:rPr>
                <w:rFonts w:hint="eastAsia" w:ascii="宋体" w:hAnsi="宋体"/>
                <w:kern w:val="0"/>
                <w:szCs w:val="21"/>
                <w:highlight w:val="none"/>
              </w:rPr>
              <w:t>采购代理机构</w:t>
            </w:r>
          </w:p>
        </w:tc>
        <w:tc>
          <w:tcPr>
            <w:tcW w:w="5940" w:type="dxa"/>
            <w:vAlign w:val="center"/>
          </w:tcPr>
          <w:p>
            <w:pPr>
              <w:spacing w:line="360" w:lineRule="exact"/>
              <w:rPr>
                <w:rFonts w:ascii="宋体" w:hAnsi="宋体"/>
                <w:kern w:val="0"/>
                <w:szCs w:val="21"/>
                <w:highlight w:val="none"/>
              </w:rPr>
            </w:pPr>
            <w:r>
              <w:rPr>
                <w:rFonts w:hint="eastAsia" w:ascii="宋体" w:hAnsi="宋体"/>
                <w:kern w:val="0"/>
                <w:szCs w:val="21"/>
                <w:highlight w:val="none"/>
              </w:rPr>
              <w:t>名称：陕西恒瑞项目管理有限公司</w:t>
            </w:r>
          </w:p>
          <w:p>
            <w:pPr>
              <w:spacing w:line="360" w:lineRule="exact"/>
              <w:rPr>
                <w:rFonts w:ascii="宋体" w:hAnsi="宋体"/>
                <w:kern w:val="0"/>
                <w:szCs w:val="21"/>
                <w:highlight w:val="none"/>
              </w:rPr>
            </w:pPr>
            <w:r>
              <w:rPr>
                <w:rFonts w:hint="eastAsia" w:ascii="宋体" w:hAnsi="宋体"/>
                <w:kern w:val="0"/>
                <w:szCs w:val="21"/>
                <w:highlight w:val="none"/>
              </w:rPr>
              <w:t>地址：陕西省商洛市商州区商丹园区高新管委会A202</w:t>
            </w:r>
          </w:p>
          <w:p>
            <w:pPr>
              <w:spacing w:line="360" w:lineRule="exact"/>
              <w:rPr>
                <w:rFonts w:ascii="宋体" w:hAnsi="宋体"/>
                <w:kern w:val="0"/>
                <w:szCs w:val="21"/>
                <w:highlight w:val="none"/>
              </w:rPr>
            </w:pPr>
            <w:r>
              <w:rPr>
                <w:rFonts w:hint="eastAsia" w:ascii="宋体" w:hAnsi="宋体"/>
                <w:kern w:val="0"/>
                <w:szCs w:val="21"/>
                <w:highlight w:val="none"/>
              </w:rPr>
              <w:t>邮编：726000</w:t>
            </w:r>
          </w:p>
          <w:p>
            <w:pPr>
              <w:spacing w:line="360" w:lineRule="exact"/>
              <w:rPr>
                <w:rFonts w:ascii="宋体" w:hAnsi="宋体"/>
                <w:kern w:val="0"/>
                <w:szCs w:val="21"/>
                <w:highlight w:val="none"/>
              </w:rPr>
            </w:pPr>
            <w:r>
              <w:rPr>
                <w:rFonts w:hint="eastAsia" w:ascii="宋体" w:hAnsi="宋体"/>
                <w:kern w:val="0"/>
                <w:szCs w:val="21"/>
                <w:highlight w:val="none"/>
              </w:rPr>
              <w:t>联系人：杨工</w:t>
            </w:r>
          </w:p>
          <w:p>
            <w:pPr>
              <w:spacing w:line="360" w:lineRule="exact"/>
              <w:rPr>
                <w:rFonts w:ascii="宋体" w:hAnsi="宋体"/>
                <w:kern w:val="0"/>
                <w:szCs w:val="21"/>
                <w:highlight w:val="none"/>
              </w:rPr>
            </w:pPr>
            <w:r>
              <w:rPr>
                <w:rFonts w:hint="eastAsia" w:ascii="宋体" w:hAnsi="宋体"/>
                <w:kern w:val="0"/>
                <w:szCs w:val="21"/>
                <w:highlight w:val="none"/>
              </w:rPr>
              <w:t>联系方式（电话）：0914-2337550</w:t>
            </w:r>
          </w:p>
          <w:p>
            <w:pPr>
              <w:spacing w:line="360" w:lineRule="exact"/>
              <w:rPr>
                <w:rFonts w:ascii="宋体" w:hAnsi="宋体"/>
                <w:kern w:val="0"/>
                <w:szCs w:val="21"/>
                <w:highlight w:val="none"/>
              </w:rPr>
            </w:pPr>
            <w:r>
              <w:rPr>
                <w:rFonts w:hint="eastAsia" w:ascii="宋体" w:hAnsi="宋体"/>
                <w:kern w:val="0"/>
                <w:szCs w:val="21"/>
                <w:highlight w:val="none"/>
              </w:rPr>
              <w:t>邮箱：584073307@qq.com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39" w:hRule="atLeast"/>
          <w:jc w:val="center"/>
        </w:trPr>
        <w:tc>
          <w:tcPr>
            <w:tcW w:w="993" w:type="dxa"/>
            <w:vMerge w:val="restart"/>
            <w:vAlign w:val="center"/>
          </w:tcPr>
          <w:p>
            <w:pPr>
              <w:spacing w:line="360" w:lineRule="exact"/>
              <w:jc w:val="center"/>
              <w:rPr>
                <w:rFonts w:ascii="宋体" w:hAnsi="宋体"/>
                <w:kern w:val="0"/>
                <w:szCs w:val="21"/>
                <w:highlight w:val="none"/>
              </w:rPr>
            </w:pPr>
            <w:r>
              <w:rPr>
                <w:rFonts w:hint="eastAsia" w:ascii="宋体" w:hAnsi="宋体"/>
                <w:kern w:val="0"/>
                <w:szCs w:val="21"/>
                <w:highlight w:val="none"/>
              </w:rPr>
              <w:t>2.2.1</w:t>
            </w:r>
          </w:p>
        </w:tc>
        <w:tc>
          <w:tcPr>
            <w:tcW w:w="2067" w:type="dxa"/>
            <w:tcBorders>
              <w:bottom w:val="single" w:color="auto" w:sz="4" w:space="0"/>
            </w:tcBorders>
            <w:vAlign w:val="center"/>
          </w:tcPr>
          <w:p>
            <w:pPr>
              <w:spacing w:line="360" w:lineRule="exact"/>
              <w:jc w:val="left"/>
              <w:rPr>
                <w:rFonts w:ascii="宋体" w:hAnsi="宋体"/>
                <w:kern w:val="0"/>
                <w:szCs w:val="21"/>
                <w:highlight w:val="none"/>
              </w:rPr>
            </w:pPr>
            <w:r>
              <w:rPr>
                <w:rFonts w:ascii="宋体" w:hAnsi="宋体"/>
                <w:kern w:val="0"/>
                <w:szCs w:val="21"/>
                <w:highlight w:val="none"/>
              </w:rPr>
              <w:t>中</w:t>
            </w:r>
            <w:r>
              <w:rPr>
                <w:rFonts w:ascii="宋体" w:hAnsi="宋体" w:cs="宋体"/>
                <w:kern w:val="0"/>
                <w:szCs w:val="21"/>
                <w:highlight w:val="none"/>
              </w:rPr>
              <w:t>华人民共和国法律、行政法规规定的其他条件</w:t>
            </w:r>
          </w:p>
        </w:tc>
        <w:tc>
          <w:tcPr>
            <w:tcW w:w="5940" w:type="dxa"/>
            <w:tcBorders>
              <w:bottom w:val="single" w:color="auto" w:sz="4" w:space="0"/>
            </w:tcBorders>
            <w:vAlign w:val="center"/>
          </w:tcPr>
          <w:p>
            <w:pPr>
              <w:numPr>
                <w:ilvl w:val="0"/>
                <w:numId w:val="1"/>
              </w:numPr>
              <w:spacing w:line="360" w:lineRule="exact"/>
              <w:jc w:val="left"/>
              <w:rPr>
                <w:rFonts w:ascii="宋体" w:hAnsi="宋体" w:cs="宋体"/>
                <w:kern w:val="0"/>
                <w:szCs w:val="21"/>
                <w:highlight w:val="none"/>
              </w:rPr>
            </w:pPr>
            <w:r>
              <w:rPr>
                <w:rFonts w:hint="eastAsia" w:ascii="宋体" w:hAnsi="宋体" w:cs="宋体"/>
                <w:kern w:val="0"/>
                <w:szCs w:val="21"/>
                <w:highlight w:val="none"/>
              </w:rPr>
              <w:t>满足《中华人民共和国政府采购法》第二十二条规定;</w:t>
            </w:r>
          </w:p>
          <w:p>
            <w:pPr>
              <w:spacing w:line="360" w:lineRule="exact"/>
              <w:jc w:val="left"/>
              <w:rPr>
                <w:rFonts w:ascii="宋体" w:hAnsi="宋体" w:cs="宋体"/>
                <w:kern w:val="0"/>
                <w:szCs w:val="21"/>
                <w:highlight w:val="none"/>
              </w:rPr>
            </w:pPr>
            <w:r>
              <w:rPr>
                <w:rFonts w:hint="eastAsia" w:ascii="宋体" w:hAnsi="宋体" w:cs="宋体"/>
                <w:kern w:val="0"/>
                <w:szCs w:val="21"/>
                <w:highlight w:val="none"/>
              </w:rPr>
              <w:t>2、本项目的特定资格要求：</w:t>
            </w:r>
          </w:p>
          <w:p>
            <w:pPr>
              <w:pStyle w:val="40"/>
              <w:wordWrap w:val="0"/>
              <w:adjustRightInd w:val="0"/>
              <w:snapToGrid w:val="0"/>
              <w:spacing w:before="0" w:beforeAutospacing="0" w:after="0" w:afterAutospacing="0" w:line="360" w:lineRule="auto"/>
              <w:jc w:val="both"/>
              <w:rPr>
                <w:szCs w:val="21"/>
                <w:highlight w:val="none"/>
              </w:rPr>
            </w:pPr>
            <w:r>
              <w:rPr>
                <w:rFonts w:hint="eastAsia" w:asciiTheme="minorEastAsia" w:hAnsiTheme="minorEastAsia" w:eastAsiaTheme="minorEastAsia" w:cstheme="minorEastAsia"/>
                <w:sz w:val="21"/>
                <w:szCs w:val="21"/>
                <w:highlight w:val="none"/>
                <w:shd w:val="clear" w:color="auto" w:fill="FFFFFF"/>
              </w:rPr>
              <w:t>1)具有独立承担民事责任能力的法人、其他组织或自然人，并出具合法有效的营业执照或事业单位法人证书等国家规定的相关证明，自然人参与的提供其身份证明；</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2)法定代表人或负责人授权书（附法定代表人或负责人身份证复印件）及被授权人身份证；（法定代表人或负责人直接参加投标只须提供法定代表人或负责人身份证）；</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3)具有建设行政主管部门颁发的水利水电工程施工总承包三级及以上资质；同时具备安全生产许可证并在人员、设备、资金等方面具有相应的施工能力；</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4)拟派项目经理须具备水利水电工程二级及以上建造师资格证及安全生产考核合格证，并提供无在建工程承诺书；</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5)提供2021年或2022年度的财务审计报告（至少包括资产负债表和利润表，成立时间至提交投标文件截止时间不足一年的可提供成立后任意时段的资产负债表），或其基本存款账户开户银行出具的资信证明及基本存款账户开户许可证；</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6)提供投标截止日前近一年内任意一个月的纳税证明或完税证明（任意税种），依法免税的单位应提供相关证明材料；</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7)提供投标截止日前近一年内任意一个月的社会保障资金缴存单据或社保机构开具的社会保险参保缴费情况证明，依法不需要缴纳社会保障资金的单位应提供相关证明材料；</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8)提供具有履行合同所必需的设备和专业技术能力的承诺函；</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9)投标保证金缴纳凭证或担保机构出具的保函；</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10)单位负责人为同一人或者存在直接控股、管理关系的不同供应商，不得参加同一合同项下的政府采购活动；</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11)参加本次政府采购活动前三年内在经营活动中没有重大违纪的书面声明；</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12)不得为“信用中国”网站(http://www.creditchina.gov.cn)列入“失信被执行人或重大税收违法案件当事人名单或政府采购严重违法失信行为记录名单”的供应商；</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13)投标人须在陕西省政府采购（http://www.ccgp-shaanxi.gov.cn/）注册登记加入陕西省政府采购供应商库；</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14)投标人2020年1月1日至今完成一项类似合同业绩，需提供加盖公章的合同复印件；</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15)本项目不接受联合体投标；</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16)本项目专门面向小微企业采购，供应商应为小型、微型企业或监狱企业或残疾人福利性单位，投标时提供：《中小企业声明函》（格式见竞争性磋商文件）。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3" w:hRule="atLeast"/>
          <w:jc w:val="center"/>
        </w:trPr>
        <w:tc>
          <w:tcPr>
            <w:tcW w:w="993" w:type="dxa"/>
            <w:vMerge w:val="continue"/>
            <w:vAlign w:val="center"/>
          </w:tcPr>
          <w:p>
            <w:pPr>
              <w:spacing w:line="360" w:lineRule="exact"/>
              <w:jc w:val="center"/>
              <w:rPr>
                <w:rFonts w:ascii="宋体" w:hAnsi="宋体"/>
                <w:kern w:val="0"/>
                <w:szCs w:val="21"/>
                <w:highlight w:val="none"/>
              </w:rPr>
            </w:pPr>
          </w:p>
        </w:tc>
        <w:tc>
          <w:tcPr>
            <w:tcW w:w="2067" w:type="dxa"/>
            <w:tcBorders>
              <w:top w:val="single" w:color="auto" w:sz="4" w:space="0"/>
            </w:tcBorders>
            <w:vAlign w:val="center"/>
          </w:tcPr>
          <w:p>
            <w:pPr>
              <w:spacing w:line="360" w:lineRule="exact"/>
              <w:jc w:val="left"/>
              <w:rPr>
                <w:rFonts w:ascii="宋体" w:hAnsi="宋体"/>
                <w:kern w:val="0"/>
                <w:szCs w:val="21"/>
                <w:highlight w:val="none"/>
              </w:rPr>
            </w:pPr>
            <w:r>
              <w:rPr>
                <w:rFonts w:hint="eastAsia" w:ascii="宋体" w:hAnsi="宋体"/>
                <w:kern w:val="0"/>
                <w:szCs w:val="21"/>
                <w:highlight w:val="none"/>
              </w:rPr>
              <w:t>合格供应商特殊条件</w:t>
            </w:r>
          </w:p>
        </w:tc>
        <w:tc>
          <w:tcPr>
            <w:tcW w:w="5940" w:type="dxa"/>
            <w:tcBorders>
              <w:top w:val="single" w:color="auto" w:sz="4" w:space="0"/>
            </w:tcBorders>
            <w:vAlign w:val="center"/>
          </w:tcPr>
          <w:p>
            <w:pPr>
              <w:spacing w:line="360" w:lineRule="exact"/>
              <w:jc w:val="left"/>
              <w:rPr>
                <w:rFonts w:ascii="宋体" w:hAnsi="宋体"/>
                <w:kern w:val="0"/>
                <w:szCs w:val="21"/>
                <w:highlight w:val="none"/>
              </w:rPr>
            </w:pPr>
            <w:r>
              <w:rPr>
                <w:rFonts w:hint="eastAsia" w:ascii="宋体" w:hAnsi="宋体"/>
                <w:kern w:val="0"/>
                <w:szCs w:val="21"/>
                <w:highlight w:val="none"/>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24" w:hRule="atLeast"/>
          <w:jc w:val="center"/>
        </w:trPr>
        <w:tc>
          <w:tcPr>
            <w:tcW w:w="993" w:type="dxa"/>
            <w:vAlign w:val="center"/>
          </w:tcPr>
          <w:p>
            <w:pPr>
              <w:spacing w:line="360" w:lineRule="exact"/>
              <w:jc w:val="center"/>
              <w:rPr>
                <w:rFonts w:ascii="宋体" w:hAnsi="宋体"/>
                <w:kern w:val="0"/>
                <w:szCs w:val="21"/>
                <w:highlight w:val="none"/>
              </w:rPr>
            </w:pPr>
            <w:r>
              <w:rPr>
                <w:rFonts w:hint="eastAsia" w:ascii="宋体" w:hAnsi="宋体"/>
                <w:kern w:val="0"/>
                <w:szCs w:val="21"/>
                <w:highlight w:val="none"/>
              </w:rPr>
              <w:t>2.2.8</w:t>
            </w:r>
          </w:p>
        </w:tc>
        <w:tc>
          <w:tcPr>
            <w:tcW w:w="2067" w:type="dxa"/>
            <w:vAlign w:val="center"/>
          </w:tcPr>
          <w:p>
            <w:pPr>
              <w:spacing w:line="360" w:lineRule="exact"/>
              <w:rPr>
                <w:rFonts w:ascii="宋体" w:hAnsi="宋体"/>
                <w:kern w:val="0"/>
                <w:szCs w:val="21"/>
                <w:highlight w:val="none"/>
              </w:rPr>
            </w:pPr>
            <w:r>
              <w:rPr>
                <w:rFonts w:hint="eastAsia" w:ascii="宋体" w:hAnsi="宋体" w:cs="宋体"/>
                <w:kern w:val="0"/>
                <w:szCs w:val="21"/>
                <w:highlight w:val="none"/>
              </w:rPr>
              <w:t>供应商</w:t>
            </w:r>
            <w:r>
              <w:rPr>
                <w:rFonts w:hint="eastAsia" w:ascii="宋体" w:hAnsi="宋体"/>
                <w:kern w:val="0"/>
                <w:szCs w:val="21"/>
                <w:highlight w:val="none"/>
              </w:rPr>
              <w:t>信用信息</w:t>
            </w:r>
          </w:p>
          <w:p>
            <w:pPr>
              <w:spacing w:line="360" w:lineRule="exact"/>
              <w:rPr>
                <w:rFonts w:ascii="宋体" w:hAnsi="宋体"/>
                <w:kern w:val="0"/>
                <w:szCs w:val="21"/>
                <w:highlight w:val="none"/>
              </w:rPr>
            </w:pPr>
            <w:r>
              <w:rPr>
                <w:rFonts w:hint="eastAsia" w:ascii="宋体" w:hAnsi="宋体"/>
                <w:kern w:val="0"/>
                <w:szCs w:val="21"/>
                <w:highlight w:val="none"/>
              </w:rPr>
              <w:t>查询</w:t>
            </w:r>
          </w:p>
        </w:tc>
        <w:tc>
          <w:tcPr>
            <w:tcW w:w="5940" w:type="dxa"/>
            <w:vAlign w:val="center"/>
          </w:tcPr>
          <w:p>
            <w:pPr>
              <w:spacing w:line="360" w:lineRule="exact"/>
              <w:rPr>
                <w:rFonts w:ascii="宋体" w:hAnsi="宋体"/>
                <w:kern w:val="0"/>
                <w:szCs w:val="21"/>
                <w:highlight w:val="none"/>
              </w:rPr>
            </w:pPr>
            <w:r>
              <w:rPr>
                <w:rFonts w:hint="eastAsia" w:ascii="宋体" w:hAnsi="宋体" w:cs="宋体"/>
                <w:kern w:val="0"/>
                <w:szCs w:val="21"/>
                <w:highlight w:val="none"/>
              </w:rPr>
              <w:t>“信用中国”网站（www.creditchina.gov.cn）和“中国政府采购网”（www.ccgp.gov.cn）对供应商信用信息进行查询，如果供应商被查实在磋商截止时间前已列入失信被执行人、重大税收违法案件当事人名单、政府采购严重违法失信行为记录名单，其磋商响应为无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993" w:type="dxa"/>
            <w:vAlign w:val="center"/>
          </w:tcPr>
          <w:p>
            <w:pPr>
              <w:spacing w:line="360" w:lineRule="exact"/>
              <w:jc w:val="center"/>
              <w:rPr>
                <w:rFonts w:ascii="宋体" w:hAnsi="宋体"/>
                <w:kern w:val="0"/>
                <w:szCs w:val="21"/>
                <w:highlight w:val="none"/>
              </w:rPr>
            </w:pPr>
            <w:r>
              <w:rPr>
                <w:rFonts w:hint="eastAsia" w:ascii="宋体" w:hAnsi="宋体"/>
                <w:kern w:val="0"/>
                <w:szCs w:val="21"/>
                <w:highlight w:val="none"/>
              </w:rPr>
              <w:t>7.2</w:t>
            </w:r>
          </w:p>
        </w:tc>
        <w:tc>
          <w:tcPr>
            <w:tcW w:w="2067" w:type="dxa"/>
            <w:vAlign w:val="center"/>
          </w:tcPr>
          <w:p>
            <w:pPr>
              <w:spacing w:line="360" w:lineRule="exact"/>
              <w:rPr>
                <w:rFonts w:ascii="宋体" w:hAnsi="宋体"/>
                <w:kern w:val="0"/>
                <w:szCs w:val="21"/>
                <w:highlight w:val="none"/>
              </w:rPr>
            </w:pPr>
            <w:r>
              <w:rPr>
                <w:rFonts w:hint="eastAsia" w:ascii="宋体" w:hAnsi="宋体"/>
                <w:kern w:val="0"/>
                <w:szCs w:val="21"/>
                <w:highlight w:val="none"/>
              </w:rPr>
              <w:t>供应商提出询问和质疑的时间</w:t>
            </w:r>
          </w:p>
        </w:tc>
        <w:tc>
          <w:tcPr>
            <w:tcW w:w="5940" w:type="dxa"/>
            <w:vAlign w:val="center"/>
          </w:tcPr>
          <w:p>
            <w:pPr>
              <w:spacing w:line="360" w:lineRule="exact"/>
              <w:rPr>
                <w:rFonts w:ascii="宋体" w:hAnsi="宋体"/>
                <w:kern w:val="0"/>
                <w:szCs w:val="21"/>
                <w:highlight w:val="none"/>
              </w:rPr>
            </w:pPr>
            <w:r>
              <w:rPr>
                <w:rFonts w:hint="eastAsia" w:ascii="宋体" w:hAnsi="宋体"/>
                <w:kern w:val="0"/>
                <w:szCs w:val="21"/>
                <w:highlight w:val="none"/>
              </w:rPr>
              <w:t>1、已经购买磋商文件的供应商对磋商文件有询问或者质疑的，可以在本项目磋商文件公告期限届满之日起七个工作日内，以书面形式向采购代理机构一次性提出，在此之后提出的询问和质疑均为无效，采购代理机构不予受理。</w:t>
            </w:r>
          </w:p>
          <w:p>
            <w:pPr>
              <w:spacing w:line="360" w:lineRule="exact"/>
              <w:rPr>
                <w:rFonts w:ascii="宋体" w:hAnsi="宋体"/>
                <w:kern w:val="0"/>
                <w:szCs w:val="21"/>
                <w:highlight w:val="none"/>
              </w:rPr>
            </w:pPr>
            <w:r>
              <w:rPr>
                <w:rFonts w:hint="eastAsia" w:ascii="宋体" w:hAnsi="宋体"/>
                <w:kern w:val="0"/>
                <w:szCs w:val="21"/>
                <w:highlight w:val="none"/>
              </w:rPr>
              <w:t>2、接收质疑函的方式：书面形式</w:t>
            </w:r>
          </w:p>
          <w:p>
            <w:pPr>
              <w:spacing w:line="360" w:lineRule="exact"/>
              <w:rPr>
                <w:rFonts w:ascii="宋体" w:hAnsi="宋体"/>
                <w:kern w:val="0"/>
                <w:szCs w:val="21"/>
                <w:highlight w:val="none"/>
              </w:rPr>
            </w:pPr>
            <w:r>
              <w:rPr>
                <w:rFonts w:hint="eastAsia" w:ascii="宋体" w:hAnsi="宋体"/>
                <w:kern w:val="0"/>
                <w:szCs w:val="21"/>
                <w:highlight w:val="none"/>
              </w:rPr>
              <w:t>格式：见“陕西省政府采购网（www.ccgp.gov.cn）下载专区”</w:t>
            </w:r>
          </w:p>
          <w:p>
            <w:pPr>
              <w:spacing w:line="360" w:lineRule="exact"/>
              <w:rPr>
                <w:rFonts w:ascii="宋体" w:hAnsi="宋体"/>
                <w:kern w:val="0"/>
                <w:szCs w:val="21"/>
                <w:highlight w:val="none"/>
              </w:rPr>
            </w:pPr>
            <w:r>
              <w:rPr>
                <w:rFonts w:hint="eastAsia" w:ascii="宋体" w:hAnsi="宋体"/>
                <w:kern w:val="0"/>
                <w:szCs w:val="21"/>
                <w:highlight w:val="none"/>
              </w:rPr>
              <w:t>3、联系部门：陕西恒瑞项目管理有限公司；</w:t>
            </w:r>
          </w:p>
          <w:p>
            <w:pPr>
              <w:spacing w:line="360" w:lineRule="exact"/>
              <w:rPr>
                <w:rFonts w:ascii="宋体" w:hAnsi="宋体"/>
                <w:kern w:val="0"/>
                <w:szCs w:val="21"/>
                <w:highlight w:val="none"/>
              </w:rPr>
            </w:pPr>
            <w:r>
              <w:rPr>
                <w:rFonts w:hint="eastAsia" w:ascii="宋体" w:hAnsi="宋体"/>
                <w:kern w:val="0"/>
                <w:szCs w:val="21"/>
                <w:highlight w:val="none"/>
              </w:rPr>
              <w:t>4、联系电话：0914-2337550</w:t>
            </w:r>
          </w:p>
          <w:p>
            <w:pPr>
              <w:spacing w:line="360" w:lineRule="exact"/>
              <w:rPr>
                <w:rFonts w:ascii="宋体" w:hAnsi="宋体"/>
                <w:kern w:val="0"/>
                <w:szCs w:val="21"/>
                <w:highlight w:val="none"/>
              </w:rPr>
            </w:pPr>
            <w:r>
              <w:rPr>
                <w:rFonts w:hint="eastAsia" w:ascii="宋体" w:hAnsi="宋体"/>
                <w:kern w:val="0"/>
                <w:szCs w:val="21"/>
                <w:highlight w:val="none"/>
              </w:rPr>
              <w:t>5、通讯地址：陕西省商洛市商州区商丹园区高新管委会A202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44" w:hRule="atLeast"/>
          <w:jc w:val="center"/>
        </w:trPr>
        <w:tc>
          <w:tcPr>
            <w:tcW w:w="993" w:type="dxa"/>
            <w:vAlign w:val="center"/>
          </w:tcPr>
          <w:p>
            <w:pPr>
              <w:spacing w:line="360" w:lineRule="exact"/>
              <w:jc w:val="center"/>
              <w:rPr>
                <w:rFonts w:ascii="宋体" w:hAnsi="宋体"/>
                <w:kern w:val="0"/>
                <w:szCs w:val="21"/>
                <w:highlight w:val="none"/>
              </w:rPr>
            </w:pPr>
            <w:r>
              <w:rPr>
                <w:rFonts w:hint="eastAsia" w:ascii="宋体" w:hAnsi="宋体"/>
                <w:kern w:val="0"/>
                <w:szCs w:val="21"/>
                <w:highlight w:val="none"/>
              </w:rPr>
              <w:t>7.3</w:t>
            </w:r>
          </w:p>
        </w:tc>
        <w:tc>
          <w:tcPr>
            <w:tcW w:w="2067" w:type="dxa"/>
            <w:vAlign w:val="center"/>
          </w:tcPr>
          <w:p>
            <w:pPr>
              <w:spacing w:line="360" w:lineRule="exact"/>
              <w:rPr>
                <w:rFonts w:ascii="宋体" w:hAnsi="宋体"/>
                <w:kern w:val="0"/>
                <w:szCs w:val="21"/>
                <w:highlight w:val="none"/>
              </w:rPr>
            </w:pPr>
            <w:r>
              <w:rPr>
                <w:rFonts w:hint="eastAsia" w:ascii="宋体" w:hAnsi="宋体"/>
                <w:kern w:val="0"/>
                <w:szCs w:val="21"/>
                <w:highlight w:val="none"/>
              </w:rPr>
              <w:t>采购代理机构答疑的时间</w:t>
            </w:r>
          </w:p>
        </w:tc>
        <w:tc>
          <w:tcPr>
            <w:tcW w:w="5940" w:type="dxa"/>
            <w:vAlign w:val="center"/>
          </w:tcPr>
          <w:p>
            <w:pPr>
              <w:spacing w:line="360" w:lineRule="exact"/>
              <w:rPr>
                <w:rFonts w:ascii="宋体" w:hAnsi="宋体"/>
                <w:kern w:val="0"/>
                <w:szCs w:val="21"/>
                <w:highlight w:val="none"/>
              </w:rPr>
            </w:pPr>
            <w:r>
              <w:rPr>
                <w:rFonts w:hint="eastAsia" w:ascii="宋体" w:hAnsi="宋体"/>
                <w:kern w:val="0"/>
                <w:szCs w:val="21"/>
                <w:highlight w:val="none"/>
              </w:rPr>
              <w:t>对于在规定时间内收到的供应商依法提出的询问或者质疑，</w:t>
            </w:r>
            <w:r>
              <w:rPr>
                <w:rFonts w:ascii="宋体" w:hAnsi="宋体"/>
                <w:kern w:val="0"/>
                <w:szCs w:val="21"/>
                <w:highlight w:val="none"/>
              </w:rPr>
              <w:t>采购代理机构将</w:t>
            </w:r>
            <w:r>
              <w:rPr>
                <w:rFonts w:hint="eastAsia" w:ascii="宋体" w:hAnsi="宋体"/>
                <w:kern w:val="0"/>
                <w:szCs w:val="21"/>
                <w:highlight w:val="none"/>
              </w:rPr>
              <w:t>按程序及时作出答复，若对磋商文件做出实质性变动，则按照相关规定延长磋商响应截止时间。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3" w:hRule="atLeast"/>
          <w:jc w:val="center"/>
        </w:trPr>
        <w:tc>
          <w:tcPr>
            <w:tcW w:w="993" w:type="dxa"/>
            <w:vAlign w:val="center"/>
          </w:tcPr>
          <w:p>
            <w:pPr>
              <w:spacing w:line="360" w:lineRule="exact"/>
              <w:jc w:val="center"/>
              <w:rPr>
                <w:rFonts w:ascii="宋体" w:hAnsi="宋体"/>
                <w:kern w:val="0"/>
                <w:szCs w:val="21"/>
                <w:highlight w:val="none"/>
              </w:rPr>
            </w:pPr>
            <w:r>
              <w:rPr>
                <w:rFonts w:hint="eastAsia" w:ascii="宋体" w:hAnsi="宋体"/>
                <w:kern w:val="0"/>
                <w:szCs w:val="21"/>
                <w:highlight w:val="none"/>
              </w:rPr>
              <w:t>7.4</w:t>
            </w:r>
          </w:p>
        </w:tc>
        <w:tc>
          <w:tcPr>
            <w:tcW w:w="2067" w:type="dxa"/>
            <w:vAlign w:val="center"/>
          </w:tcPr>
          <w:p>
            <w:pPr>
              <w:spacing w:line="360" w:lineRule="exact"/>
              <w:rPr>
                <w:rFonts w:ascii="宋体" w:hAnsi="宋体"/>
                <w:kern w:val="0"/>
                <w:szCs w:val="21"/>
                <w:highlight w:val="none"/>
              </w:rPr>
            </w:pPr>
            <w:r>
              <w:rPr>
                <w:rFonts w:hint="eastAsia" w:ascii="宋体" w:hAnsi="宋体"/>
                <w:kern w:val="0"/>
                <w:szCs w:val="21"/>
                <w:highlight w:val="none"/>
              </w:rPr>
              <w:t>质疑内容要求</w:t>
            </w:r>
          </w:p>
        </w:tc>
        <w:tc>
          <w:tcPr>
            <w:tcW w:w="5940" w:type="dxa"/>
            <w:vAlign w:val="center"/>
          </w:tcPr>
          <w:p>
            <w:pPr>
              <w:spacing w:line="360" w:lineRule="exact"/>
              <w:rPr>
                <w:rFonts w:ascii="宋体" w:hAnsi="宋体"/>
                <w:kern w:val="0"/>
                <w:szCs w:val="21"/>
                <w:highlight w:val="none"/>
              </w:rPr>
            </w:pPr>
            <w:r>
              <w:rPr>
                <w:rFonts w:hint="eastAsia" w:ascii="宋体" w:hAnsi="宋体"/>
                <w:kern w:val="0"/>
                <w:szCs w:val="21"/>
                <w:highlight w:val="none"/>
              </w:rPr>
              <w:t>供应商提出质疑应当提交质疑函和必要的证明材料原件，代理机构不接受传真、电子邮件、复印件等形式的质疑材料。</w:t>
            </w:r>
          </w:p>
          <w:p>
            <w:pPr>
              <w:spacing w:line="360" w:lineRule="exact"/>
              <w:rPr>
                <w:rFonts w:ascii="宋体" w:hAnsi="宋体"/>
                <w:kern w:val="0"/>
                <w:szCs w:val="21"/>
                <w:highlight w:val="none"/>
              </w:rPr>
            </w:pPr>
            <w:r>
              <w:rPr>
                <w:rFonts w:hint="eastAsia" w:ascii="宋体" w:hAnsi="宋体"/>
                <w:kern w:val="0"/>
                <w:szCs w:val="21"/>
                <w:highlight w:val="none"/>
              </w:rPr>
              <w:t>质疑函应当包括下列内容：</w:t>
            </w:r>
          </w:p>
          <w:p>
            <w:pPr>
              <w:spacing w:line="360" w:lineRule="exact"/>
              <w:rPr>
                <w:rFonts w:ascii="宋体" w:hAnsi="宋体"/>
                <w:kern w:val="0"/>
                <w:szCs w:val="21"/>
                <w:highlight w:val="none"/>
              </w:rPr>
            </w:pPr>
            <w:r>
              <w:rPr>
                <w:rFonts w:hint="eastAsia" w:ascii="宋体" w:hAnsi="宋体"/>
                <w:kern w:val="0"/>
                <w:szCs w:val="21"/>
                <w:highlight w:val="none"/>
              </w:rPr>
              <w:t>（一）供应商的姓名或者名称、地址、邮编、联系人及联系电话；</w:t>
            </w:r>
          </w:p>
          <w:p>
            <w:pPr>
              <w:spacing w:line="360" w:lineRule="exact"/>
              <w:rPr>
                <w:rFonts w:ascii="宋体" w:hAnsi="宋体"/>
                <w:kern w:val="0"/>
                <w:szCs w:val="21"/>
                <w:highlight w:val="none"/>
              </w:rPr>
            </w:pPr>
            <w:r>
              <w:rPr>
                <w:rFonts w:hint="eastAsia" w:ascii="宋体" w:hAnsi="宋体"/>
                <w:kern w:val="0"/>
                <w:szCs w:val="21"/>
                <w:highlight w:val="none"/>
              </w:rPr>
              <w:t>（二）质疑项目的名称、编号；</w:t>
            </w:r>
          </w:p>
          <w:p>
            <w:pPr>
              <w:spacing w:line="360" w:lineRule="exact"/>
              <w:rPr>
                <w:rFonts w:ascii="宋体" w:hAnsi="宋体"/>
                <w:kern w:val="0"/>
                <w:szCs w:val="21"/>
                <w:highlight w:val="none"/>
              </w:rPr>
            </w:pPr>
            <w:r>
              <w:rPr>
                <w:rFonts w:hint="eastAsia" w:ascii="宋体" w:hAnsi="宋体"/>
                <w:kern w:val="0"/>
                <w:szCs w:val="21"/>
                <w:highlight w:val="none"/>
              </w:rPr>
              <w:t>（三）具体、明确的质疑事项和与质疑事项相关的请求；</w:t>
            </w:r>
          </w:p>
          <w:p>
            <w:pPr>
              <w:spacing w:line="360" w:lineRule="exact"/>
              <w:rPr>
                <w:rFonts w:ascii="宋体" w:hAnsi="宋体"/>
                <w:kern w:val="0"/>
                <w:szCs w:val="21"/>
                <w:highlight w:val="none"/>
              </w:rPr>
            </w:pPr>
            <w:r>
              <w:rPr>
                <w:rFonts w:hint="eastAsia" w:ascii="宋体" w:hAnsi="宋体"/>
                <w:kern w:val="0"/>
                <w:szCs w:val="21"/>
                <w:highlight w:val="none"/>
              </w:rPr>
              <w:t>（四）事实依据；</w:t>
            </w:r>
          </w:p>
          <w:p>
            <w:pPr>
              <w:spacing w:line="360" w:lineRule="exact"/>
              <w:rPr>
                <w:rFonts w:ascii="宋体" w:hAnsi="宋体"/>
                <w:kern w:val="0"/>
                <w:szCs w:val="21"/>
                <w:highlight w:val="none"/>
              </w:rPr>
            </w:pPr>
            <w:r>
              <w:rPr>
                <w:rFonts w:hint="eastAsia" w:ascii="宋体" w:hAnsi="宋体"/>
                <w:kern w:val="0"/>
                <w:szCs w:val="21"/>
                <w:highlight w:val="none"/>
              </w:rPr>
              <w:t>（五）必要的法律依据；</w:t>
            </w:r>
          </w:p>
          <w:p>
            <w:pPr>
              <w:spacing w:line="360" w:lineRule="exact"/>
              <w:rPr>
                <w:rFonts w:ascii="宋体" w:hAnsi="宋体"/>
                <w:kern w:val="0"/>
                <w:szCs w:val="21"/>
                <w:highlight w:val="none"/>
              </w:rPr>
            </w:pPr>
            <w:r>
              <w:rPr>
                <w:rFonts w:hint="eastAsia" w:ascii="宋体" w:hAnsi="宋体"/>
                <w:kern w:val="0"/>
                <w:szCs w:val="21"/>
                <w:highlight w:val="none"/>
              </w:rPr>
              <w:t>（六）提出质疑的日期。</w:t>
            </w:r>
          </w:p>
          <w:p>
            <w:pPr>
              <w:spacing w:line="360" w:lineRule="exact"/>
              <w:rPr>
                <w:rFonts w:ascii="宋体" w:hAnsi="宋体"/>
                <w:kern w:val="0"/>
                <w:szCs w:val="21"/>
                <w:highlight w:val="none"/>
              </w:rPr>
            </w:pPr>
            <w:r>
              <w:rPr>
                <w:rFonts w:hint="eastAsia" w:ascii="宋体" w:hAnsi="宋体"/>
                <w:kern w:val="0"/>
                <w:szCs w:val="21"/>
                <w:highlight w:val="none"/>
              </w:rPr>
              <w:t>供应商为自然人的，应当由本人签字；供应商为法人或者其他组织的，应当由法定代表人、主要负责人，或者其授权代表（附法人代表授权书）签字或者盖章（鲜章），并加盖单位章（鲜章）。</w:t>
            </w:r>
          </w:p>
          <w:p>
            <w:pPr>
              <w:spacing w:line="360" w:lineRule="exact"/>
              <w:rPr>
                <w:rFonts w:ascii="宋体" w:hAnsi="宋体"/>
                <w:kern w:val="0"/>
                <w:szCs w:val="21"/>
                <w:highlight w:val="none"/>
              </w:rPr>
            </w:pPr>
            <w:r>
              <w:rPr>
                <w:rFonts w:hint="eastAsia" w:ascii="宋体" w:hAnsi="宋体"/>
                <w:kern w:val="0"/>
                <w:szCs w:val="21"/>
                <w:highlight w:val="none"/>
              </w:rPr>
              <w:t>质疑函格式应符合“政府采购供应商质疑函范本”要求，详见“中国政府采购网（www.ccgp.gov.cn）”下载专区。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7" w:hRule="atLeast"/>
          <w:jc w:val="center"/>
        </w:trPr>
        <w:tc>
          <w:tcPr>
            <w:tcW w:w="993" w:type="dxa"/>
            <w:vAlign w:val="center"/>
          </w:tcPr>
          <w:p>
            <w:pPr>
              <w:spacing w:line="360" w:lineRule="exact"/>
              <w:jc w:val="center"/>
              <w:rPr>
                <w:rFonts w:ascii="宋体" w:hAnsi="宋体"/>
                <w:kern w:val="0"/>
                <w:szCs w:val="21"/>
                <w:highlight w:val="none"/>
              </w:rPr>
            </w:pPr>
            <w:r>
              <w:rPr>
                <w:rFonts w:hint="eastAsia" w:ascii="宋体" w:hAnsi="宋体"/>
                <w:kern w:val="0"/>
                <w:szCs w:val="21"/>
                <w:highlight w:val="none"/>
              </w:rPr>
              <w:t>12.5</w:t>
            </w:r>
          </w:p>
        </w:tc>
        <w:tc>
          <w:tcPr>
            <w:tcW w:w="2067" w:type="dxa"/>
            <w:vAlign w:val="center"/>
          </w:tcPr>
          <w:p>
            <w:pPr>
              <w:spacing w:line="360" w:lineRule="exact"/>
              <w:rPr>
                <w:rFonts w:ascii="宋体" w:hAnsi="宋体"/>
                <w:szCs w:val="21"/>
                <w:highlight w:val="none"/>
              </w:rPr>
            </w:pPr>
            <w:r>
              <w:rPr>
                <w:rFonts w:hint="eastAsia" w:ascii="宋体" w:hAnsi="宋体"/>
                <w:szCs w:val="21"/>
                <w:highlight w:val="none"/>
              </w:rPr>
              <w:t>最高投标限价</w:t>
            </w:r>
          </w:p>
        </w:tc>
        <w:tc>
          <w:tcPr>
            <w:tcW w:w="5940" w:type="dxa"/>
            <w:vAlign w:val="center"/>
          </w:tcPr>
          <w:p>
            <w:pPr>
              <w:spacing w:line="360" w:lineRule="exact"/>
              <w:rPr>
                <w:rFonts w:ascii="宋体" w:hAnsi="宋体"/>
                <w:szCs w:val="21"/>
                <w:highlight w:val="none"/>
              </w:rPr>
            </w:pPr>
            <w:r>
              <w:rPr>
                <w:rFonts w:hint="eastAsia" w:ascii="宋体" w:hAnsi="宋体"/>
                <w:szCs w:val="21"/>
                <w:highlight w:val="none"/>
              </w:rPr>
              <w:t>759,492.85元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9" w:hRule="atLeast"/>
          <w:jc w:val="center"/>
        </w:trPr>
        <w:tc>
          <w:tcPr>
            <w:tcW w:w="993" w:type="dxa"/>
            <w:vAlign w:val="center"/>
          </w:tcPr>
          <w:p>
            <w:pPr>
              <w:spacing w:line="360" w:lineRule="exact"/>
              <w:jc w:val="center"/>
              <w:rPr>
                <w:rFonts w:ascii="宋体" w:hAnsi="宋体"/>
                <w:kern w:val="0"/>
                <w:szCs w:val="21"/>
                <w:highlight w:val="none"/>
              </w:rPr>
            </w:pPr>
            <w:r>
              <w:rPr>
                <w:rFonts w:hint="eastAsia" w:ascii="宋体" w:hAnsi="宋体"/>
                <w:kern w:val="0"/>
                <w:szCs w:val="21"/>
                <w:highlight w:val="none"/>
              </w:rPr>
              <w:t>12.6</w:t>
            </w:r>
          </w:p>
        </w:tc>
        <w:tc>
          <w:tcPr>
            <w:tcW w:w="2067" w:type="dxa"/>
            <w:vAlign w:val="center"/>
          </w:tcPr>
          <w:p>
            <w:pPr>
              <w:spacing w:line="360" w:lineRule="exact"/>
              <w:rPr>
                <w:rFonts w:ascii="宋体" w:hAnsi="宋体"/>
                <w:szCs w:val="21"/>
                <w:highlight w:val="none"/>
              </w:rPr>
            </w:pPr>
            <w:r>
              <w:rPr>
                <w:rFonts w:hint="eastAsia" w:ascii="宋体" w:hAnsi="宋体"/>
                <w:szCs w:val="21"/>
                <w:highlight w:val="none"/>
              </w:rPr>
              <w:t>暂列金额</w:t>
            </w:r>
          </w:p>
        </w:tc>
        <w:tc>
          <w:tcPr>
            <w:tcW w:w="5940" w:type="dxa"/>
            <w:shd w:val="clear" w:color="auto" w:fill="auto"/>
            <w:vAlign w:val="center"/>
          </w:tcPr>
          <w:p>
            <w:pPr>
              <w:spacing w:line="360" w:lineRule="exact"/>
              <w:rPr>
                <w:rFonts w:ascii="宋体" w:hAnsi="宋体"/>
                <w:szCs w:val="21"/>
                <w:highlight w:val="none"/>
              </w:rPr>
            </w:pPr>
            <w:r>
              <w:rPr>
                <w:rFonts w:hint="eastAsia" w:ascii="宋体" w:hAnsi="宋体"/>
                <w:szCs w:val="21"/>
                <w:highlight w:val="none"/>
              </w:rPr>
              <w:t>0.00元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53" w:hRule="atLeast"/>
          <w:jc w:val="center"/>
        </w:trPr>
        <w:tc>
          <w:tcPr>
            <w:tcW w:w="993" w:type="dxa"/>
            <w:vAlign w:val="center"/>
          </w:tcPr>
          <w:p>
            <w:pPr>
              <w:spacing w:line="360" w:lineRule="exact"/>
              <w:jc w:val="center"/>
              <w:rPr>
                <w:rFonts w:ascii="宋体" w:hAnsi="宋体"/>
                <w:kern w:val="0"/>
                <w:szCs w:val="21"/>
                <w:highlight w:val="none"/>
              </w:rPr>
            </w:pPr>
            <w:r>
              <w:rPr>
                <w:rFonts w:hint="eastAsia" w:ascii="宋体" w:hAnsi="宋体"/>
                <w:kern w:val="0"/>
                <w:szCs w:val="21"/>
                <w:highlight w:val="none"/>
              </w:rPr>
              <w:t>13.1</w:t>
            </w:r>
          </w:p>
        </w:tc>
        <w:tc>
          <w:tcPr>
            <w:tcW w:w="2067" w:type="dxa"/>
            <w:vAlign w:val="center"/>
          </w:tcPr>
          <w:p>
            <w:pPr>
              <w:spacing w:line="360" w:lineRule="exact"/>
              <w:rPr>
                <w:rFonts w:ascii="宋体" w:hAnsi="宋体"/>
                <w:kern w:val="0"/>
                <w:szCs w:val="21"/>
                <w:highlight w:val="none"/>
              </w:rPr>
            </w:pPr>
            <w:r>
              <w:rPr>
                <w:rFonts w:hint="eastAsia" w:ascii="宋体" w:hAnsi="宋体"/>
                <w:kern w:val="0"/>
                <w:szCs w:val="21"/>
                <w:highlight w:val="none"/>
              </w:rPr>
              <w:t>资格证明文件</w:t>
            </w:r>
          </w:p>
        </w:tc>
        <w:tc>
          <w:tcPr>
            <w:tcW w:w="5940" w:type="dxa"/>
            <w:vAlign w:val="center"/>
          </w:tcPr>
          <w:p>
            <w:pPr>
              <w:pStyle w:val="40"/>
              <w:wordWrap w:val="0"/>
              <w:adjustRightInd w:val="0"/>
              <w:snapToGrid w:val="0"/>
              <w:spacing w:before="0" w:beforeAutospacing="0" w:after="0" w:afterAutospacing="0" w:line="360" w:lineRule="auto"/>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1)具有独立承担民事责任能力的法人、其他组织或自然人，并出具合法有效的营业执照或事业单位法人证书等国家规定的相关证明，自然人参与的提供其身份证明；</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2)法定代表人或负责人授权书（附法定代表人或负责人身份证复印件）及被授权人身份证；（法定代表人或负责人直接参加投标只须提供法定代表人或负责人身份证）；</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3)具有建设行政主管部门颁发的水利水电工程施工总承包三级及以上资质；同时具备安全生产许可证并在人员、设备、资金等方面具有相应的施工能力；</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4)拟派项目经理须具备水利水电工程二级及以上建造师资格证及安全生产考核合格证，并提供无在建工程承诺书；</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5)提供2021年或2022年度的财务审计报告（至少包括资产负债表和利润表，成立时间至提交投标文件截止时间不足一年的可提供成立后任意时段的资产负债表），或其基本存款账户开户银行出具的资信证明及基本存款账户开户许可证；</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6)提供投标截止日前近一年内任意一个月的纳税证明或完税证明（任意税种），依法免税的单位应提供相关证明材料；</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7)提供投标截止日前近一年内任意一个月的社会保障资金缴存单据或社保机构开具的社会保险参保缴费情况证明，依法不需要缴纳社会保障资金的单位应提供相关证明材料；</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8)提供具有履行合同所必需的设备和专业技术能力的承诺函；</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9)投标保证金缴纳凭证或担保机构出具的保函；</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10)单位负责人为同一人或者存在直接控股、管理关系的不同供应商，不得参加同一合同项下的政府采购活动；</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11)参加本次政府采购活动前三年内在经营活动中没有重大违纪的书面声明；</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12)不得为“信用中国”网站(http://www.creditchina.gov.cn)列入“失信被执行人或重大税收违法案件当事人名单或政府采购严重违法失信行为记录名单”的供应商；</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13)投标人须在陕西省政府采购（http://www.ccgp-shaanxi.gov.cn/）注册登记加入陕西省政府采购供应商库；</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14)投标人2020年1月1日至今完成一项类似合同业绩，需提供加盖公章的合同复印件；</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15)本项目不接受联合体投标；</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16)本项目专门面向小微企业采购，供应商应为小型、微型企业或监狱企业或残疾人福利性单位，投标时提供：《中小企业声明函》（格式见竞争性磋商文件）。</w:t>
            </w:r>
          </w:p>
          <w:p>
            <w:pPr>
              <w:spacing w:line="360" w:lineRule="auto"/>
              <w:jc w:val="left"/>
              <w:rPr>
                <w:rFonts w:ascii="宋体" w:hAnsi="宋体"/>
                <w:kern w:val="0"/>
                <w:szCs w:val="21"/>
                <w:highlight w:val="none"/>
              </w:rPr>
            </w:pPr>
            <w:r>
              <w:rPr>
                <w:rFonts w:hint="eastAsia" w:ascii="宋体" w:hAnsi="宋体"/>
                <w:kern w:val="0"/>
                <w:szCs w:val="21"/>
                <w:highlight w:val="none"/>
              </w:rPr>
              <w:t>注:1、以上资格证明文件供应商必须完全提供，一项不合格即按照无效响应处理。</w:t>
            </w:r>
          </w:p>
          <w:p>
            <w:pPr>
              <w:numPr>
                <w:ilvl w:val="0"/>
                <w:numId w:val="1"/>
              </w:numPr>
              <w:spacing w:line="360" w:lineRule="auto"/>
              <w:jc w:val="left"/>
              <w:rPr>
                <w:rFonts w:ascii="宋体" w:hAnsi="宋体"/>
                <w:kern w:val="0"/>
                <w:szCs w:val="21"/>
                <w:highlight w:val="none"/>
              </w:rPr>
            </w:pPr>
            <w:r>
              <w:rPr>
                <w:rFonts w:hint="eastAsia" w:ascii="宋体" w:hAnsi="宋体"/>
                <w:kern w:val="0"/>
                <w:szCs w:val="21"/>
                <w:highlight w:val="none"/>
              </w:rPr>
              <w:t>除注明原件外，均为复印件并须加盖供应商盖单位章。</w:t>
            </w:r>
          </w:p>
          <w:p>
            <w:pPr>
              <w:spacing w:line="360" w:lineRule="auto"/>
              <w:jc w:val="left"/>
              <w:rPr>
                <w:rFonts w:ascii="宋体" w:hAnsi="宋体"/>
                <w:b/>
                <w:kern w:val="0"/>
                <w:szCs w:val="21"/>
                <w:highlight w:val="none"/>
              </w:rPr>
            </w:pPr>
            <w:r>
              <w:rPr>
                <w:rFonts w:hint="eastAsia" w:ascii="宋体" w:hAnsi="宋体" w:cs="宋体"/>
                <w:kern w:val="0"/>
                <w:szCs w:val="21"/>
                <w:highlight w:val="none"/>
              </w:rPr>
              <w:t>3、资格证明文件需单独密封，开标现场当场开封查验。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7" w:hRule="atLeast"/>
          <w:jc w:val="center"/>
        </w:trPr>
        <w:tc>
          <w:tcPr>
            <w:tcW w:w="993" w:type="dxa"/>
            <w:vAlign w:val="center"/>
          </w:tcPr>
          <w:p>
            <w:pPr>
              <w:spacing w:line="360" w:lineRule="exact"/>
              <w:jc w:val="center"/>
              <w:rPr>
                <w:rFonts w:ascii="宋体" w:hAnsi="宋体"/>
                <w:kern w:val="0"/>
                <w:szCs w:val="21"/>
                <w:highlight w:val="none"/>
              </w:rPr>
            </w:pPr>
            <w:r>
              <w:rPr>
                <w:rFonts w:hint="eastAsia" w:ascii="宋体" w:hAnsi="宋体"/>
                <w:kern w:val="0"/>
                <w:szCs w:val="21"/>
                <w:highlight w:val="none"/>
              </w:rPr>
              <w:t>13.2</w:t>
            </w:r>
          </w:p>
        </w:tc>
        <w:tc>
          <w:tcPr>
            <w:tcW w:w="2067" w:type="dxa"/>
            <w:vAlign w:val="center"/>
          </w:tcPr>
          <w:p>
            <w:pPr>
              <w:spacing w:line="360" w:lineRule="exact"/>
              <w:rPr>
                <w:rFonts w:ascii="宋体" w:hAnsi="宋体"/>
                <w:kern w:val="0"/>
                <w:szCs w:val="21"/>
                <w:highlight w:val="none"/>
              </w:rPr>
            </w:pPr>
            <w:r>
              <w:rPr>
                <w:rFonts w:hint="eastAsia" w:ascii="宋体" w:hAnsi="宋体"/>
                <w:kern w:val="0"/>
                <w:szCs w:val="21"/>
                <w:highlight w:val="none"/>
              </w:rPr>
              <w:t>要求单独提交的证明文件原件</w:t>
            </w:r>
          </w:p>
        </w:tc>
        <w:tc>
          <w:tcPr>
            <w:tcW w:w="5940" w:type="dxa"/>
            <w:vAlign w:val="center"/>
          </w:tcPr>
          <w:p>
            <w:pPr>
              <w:spacing w:line="360" w:lineRule="exact"/>
              <w:rPr>
                <w:rFonts w:ascii="宋体" w:hAnsi="宋体"/>
                <w:kern w:val="0"/>
                <w:szCs w:val="21"/>
                <w:highlight w:val="none"/>
              </w:rPr>
            </w:pPr>
            <w:r>
              <w:rPr>
                <w:rFonts w:hint="eastAsia" w:ascii="宋体" w:hAnsi="宋体"/>
                <w:kern w:val="0"/>
                <w:szCs w:val="21"/>
                <w:highlight w:val="none"/>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9" w:hRule="atLeast"/>
          <w:jc w:val="center"/>
        </w:trPr>
        <w:tc>
          <w:tcPr>
            <w:tcW w:w="993" w:type="dxa"/>
            <w:vAlign w:val="center"/>
          </w:tcPr>
          <w:p>
            <w:pPr>
              <w:spacing w:line="360" w:lineRule="exact"/>
              <w:jc w:val="center"/>
              <w:rPr>
                <w:rFonts w:ascii="宋体" w:hAnsi="宋体"/>
                <w:kern w:val="0"/>
                <w:szCs w:val="21"/>
                <w:highlight w:val="none"/>
              </w:rPr>
            </w:pPr>
            <w:r>
              <w:rPr>
                <w:rFonts w:hint="eastAsia" w:ascii="宋体" w:hAnsi="宋体"/>
                <w:kern w:val="0"/>
                <w:szCs w:val="21"/>
                <w:highlight w:val="none"/>
              </w:rPr>
              <w:t>14.2</w:t>
            </w:r>
          </w:p>
        </w:tc>
        <w:tc>
          <w:tcPr>
            <w:tcW w:w="2067" w:type="dxa"/>
            <w:vAlign w:val="center"/>
          </w:tcPr>
          <w:p>
            <w:pPr>
              <w:spacing w:line="360" w:lineRule="exact"/>
              <w:ind w:left="210" w:hanging="210" w:hangingChars="100"/>
              <w:rPr>
                <w:rFonts w:ascii="宋体" w:hAnsi="宋体"/>
                <w:kern w:val="0"/>
                <w:szCs w:val="21"/>
                <w:highlight w:val="none"/>
              </w:rPr>
            </w:pPr>
            <w:r>
              <w:rPr>
                <w:rFonts w:hint="eastAsia" w:ascii="宋体" w:hAnsi="宋体"/>
                <w:kern w:val="0"/>
                <w:szCs w:val="21"/>
                <w:highlight w:val="none"/>
              </w:rPr>
              <w:t>本次采购特别要求的合格性证明文件</w:t>
            </w:r>
          </w:p>
        </w:tc>
        <w:tc>
          <w:tcPr>
            <w:tcW w:w="5940" w:type="dxa"/>
            <w:vAlign w:val="center"/>
          </w:tcPr>
          <w:p>
            <w:pPr>
              <w:spacing w:line="360" w:lineRule="exact"/>
              <w:rPr>
                <w:rFonts w:ascii="宋体" w:hAnsi="宋体"/>
                <w:kern w:val="0"/>
                <w:szCs w:val="21"/>
                <w:highlight w:val="none"/>
              </w:rPr>
            </w:pPr>
            <w:r>
              <w:rPr>
                <w:rFonts w:hint="eastAsia" w:ascii="宋体" w:hAnsi="宋体"/>
                <w:kern w:val="0"/>
                <w:szCs w:val="21"/>
                <w:highlight w:val="none"/>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5" w:hRule="atLeast"/>
          <w:jc w:val="center"/>
        </w:trPr>
        <w:tc>
          <w:tcPr>
            <w:tcW w:w="993" w:type="dxa"/>
            <w:vAlign w:val="center"/>
          </w:tcPr>
          <w:p>
            <w:pPr>
              <w:spacing w:line="360" w:lineRule="exact"/>
              <w:jc w:val="center"/>
              <w:rPr>
                <w:rFonts w:ascii="宋体" w:hAnsi="宋体"/>
                <w:kern w:val="0"/>
                <w:szCs w:val="21"/>
                <w:highlight w:val="none"/>
              </w:rPr>
            </w:pPr>
            <w:r>
              <w:rPr>
                <w:rFonts w:hint="eastAsia" w:ascii="宋体" w:hAnsi="宋体"/>
                <w:kern w:val="0"/>
                <w:szCs w:val="21"/>
                <w:highlight w:val="none"/>
              </w:rPr>
              <w:t>15.1</w:t>
            </w:r>
          </w:p>
        </w:tc>
        <w:tc>
          <w:tcPr>
            <w:tcW w:w="2067" w:type="dxa"/>
            <w:vAlign w:val="center"/>
          </w:tcPr>
          <w:p>
            <w:pPr>
              <w:spacing w:line="360" w:lineRule="exact"/>
              <w:rPr>
                <w:rFonts w:ascii="宋体" w:hAnsi="宋体"/>
                <w:kern w:val="0"/>
                <w:szCs w:val="21"/>
                <w:highlight w:val="none"/>
              </w:rPr>
            </w:pPr>
            <w:r>
              <w:rPr>
                <w:rFonts w:hint="eastAsia" w:ascii="宋体" w:hAnsi="宋体"/>
                <w:kern w:val="0"/>
                <w:szCs w:val="21"/>
                <w:highlight w:val="none"/>
              </w:rPr>
              <w:t>磋商保证金</w:t>
            </w:r>
          </w:p>
        </w:tc>
        <w:tc>
          <w:tcPr>
            <w:tcW w:w="5940" w:type="dxa"/>
            <w:vAlign w:val="center"/>
          </w:tcPr>
          <w:p>
            <w:pPr>
              <w:spacing w:line="440" w:lineRule="exact"/>
              <w:jc w:val="left"/>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磋商保证金的金额：</w:t>
            </w:r>
          </w:p>
          <w:p>
            <w:pPr>
              <w:spacing w:line="440" w:lineRule="exact"/>
              <w:jc w:val="left"/>
              <w:rPr>
                <w:rFonts w:asciiTheme="minorEastAsia" w:hAnsiTheme="minorEastAsia" w:eastAsiaTheme="minorEastAsia" w:cstheme="minorEastAsia"/>
                <w:color w:val="000000"/>
                <w:szCs w:val="21"/>
                <w:highlight w:val="none"/>
                <w:u w:val="single"/>
              </w:rPr>
            </w:pPr>
            <w:r>
              <w:rPr>
                <w:rFonts w:hint="eastAsia" w:asciiTheme="minorEastAsia" w:hAnsiTheme="minorEastAsia" w:eastAsiaTheme="minorEastAsia" w:cstheme="minorEastAsia"/>
                <w:color w:val="000000"/>
                <w:szCs w:val="21"/>
                <w:highlight w:val="none"/>
              </w:rPr>
              <w:t>人民币</w:t>
            </w:r>
            <w:r>
              <w:rPr>
                <w:rFonts w:hint="eastAsia" w:asciiTheme="minorEastAsia" w:hAnsiTheme="minorEastAsia" w:eastAsiaTheme="minorEastAsia" w:cstheme="minorEastAsia"/>
                <w:color w:val="000000"/>
                <w:szCs w:val="21"/>
                <w:highlight w:val="none"/>
                <w:u w:val="single"/>
              </w:rPr>
              <w:t xml:space="preserve"> </w:t>
            </w:r>
            <w:r>
              <w:rPr>
                <w:rFonts w:hint="eastAsia" w:asciiTheme="minorEastAsia" w:hAnsiTheme="minorEastAsia" w:eastAsiaTheme="minorEastAsia" w:cstheme="minorEastAsia"/>
                <w:b/>
                <w:bCs/>
                <w:color w:val="000000"/>
                <w:szCs w:val="21"/>
                <w:highlight w:val="none"/>
                <w:u w:val="single"/>
              </w:rPr>
              <w:t>壹万</w:t>
            </w:r>
            <w:r>
              <w:rPr>
                <w:rFonts w:hint="eastAsia" w:asciiTheme="minorEastAsia" w:hAnsiTheme="minorEastAsia" w:eastAsiaTheme="minorEastAsia" w:cstheme="minorEastAsia"/>
                <w:color w:val="000000"/>
                <w:szCs w:val="21"/>
                <w:highlight w:val="none"/>
                <w:u w:val="single"/>
              </w:rPr>
              <w:t xml:space="preserve"> </w:t>
            </w:r>
            <w:r>
              <w:rPr>
                <w:rFonts w:hint="eastAsia" w:asciiTheme="minorEastAsia" w:hAnsiTheme="minorEastAsia" w:eastAsiaTheme="minorEastAsia" w:cstheme="minorEastAsia"/>
                <w:color w:val="000000"/>
                <w:szCs w:val="21"/>
                <w:highlight w:val="none"/>
              </w:rPr>
              <w:t>元整</w:t>
            </w:r>
          </w:p>
          <w:p>
            <w:pPr>
              <w:spacing w:line="440" w:lineRule="exact"/>
              <w:jc w:val="left"/>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磋商保证金的形式：银行保函、信用担保、转账支票、银行电汇的任何一种</w:t>
            </w:r>
          </w:p>
          <w:p>
            <w:pPr>
              <w:spacing w:line="440" w:lineRule="exact"/>
              <w:jc w:val="left"/>
              <w:rPr>
                <w:rFonts w:asciiTheme="minorEastAsia" w:hAnsiTheme="minorEastAsia" w:eastAsiaTheme="minorEastAsia" w:cstheme="minorEastAsia"/>
                <w:szCs w:val="21"/>
                <w:highlight w:val="none"/>
                <w:lang w:val="zh-CN"/>
              </w:rPr>
            </w:pPr>
            <w:r>
              <w:rPr>
                <w:rFonts w:hint="eastAsia" w:asciiTheme="minorEastAsia" w:hAnsiTheme="minorEastAsia" w:eastAsiaTheme="minorEastAsia" w:cstheme="minorEastAsia"/>
                <w:b/>
                <w:bCs/>
                <w:szCs w:val="21"/>
                <w:highlight w:val="none"/>
              </w:rPr>
              <w:t>磋商保证金的递交截止时间为：</w:t>
            </w:r>
            <w:r>
              <w:rPr>
                <w:rFonts w:hint="eastAsia" w:asciiTheme="minorEastAsia" w:hAnsiTheme="minorEastAsia" w:eastAsiaTheme="minorEastAsia" w:cstheme="minorEastAsia"/>
                <w:szCs w:val="21"/>
                <w:highlight w:val="none"/>
                <w:u w:val="single"/>
                <w:lang w:val="zh-CN"/>
              </w:rPr>
              <w:t>202</w:t>
            </w:r>
            <w:r>
              <w:rPr>
                <w:rFonts w:hint="eastAsia" w:asciiTheme="minorEastAsia" w:hAnsiTheme="minorEastAsia" w:eastAsiaTheme="minorEastAsia" w:cstheme="minorEastAsia"/>
                <w:szCs w:val="21"/>
                <w:highlight w:val="none"/>
                <w:u w:val="single"/>
              </w:rPr>
              <w:t>3</w:t>
            </w:r>
            <w:r>
              <w:rPr>
                <w:rFonts w:hint="eastAsia" w:asciiTheme="minorEastAsia" w:hAnsiTheme="minorEastAsia" w:eastAsiaTheme="minorEastAsia" w:cstheme="minorEastAsia"/>
                <w:szCs w:val="21"/>
                <w:highlight w:val="none"/>
                <w:u w:val="single"/>
                <w:lang w:val="zh-CN"/>
              </w:rPr>
              <w:t>年</w:t>
            </w:r>
            <w:r>
              <w:rPr>
                <w:rFonts w:hint="eastAsia" w:asciiTheme="minorEastAsia" w:hAnsiTheme="minorEastAsia" w:eastAsiaTheme="minorEastAsia" w:cstheme="minorEastAsia"/>
                <w:szCs w:val="21"/>
                <w:highlight w:val="none"/>
                <w:u w:val="single"/>
              </w:rPr>
              <w:t>04</w:t>
            </w:r>
            <w:r>
              <w:rPr>
                <w:rFonts w:hint="eastAsia" w:asciiTheme="minorEastAsia" w:hAnsiTheme="minorEastAsia" w:eastAsiaTheme="minorEastAsia" w:cstheme="minorEastAsia"/>
                <w:szCs w:val="21"/>
                <w:highlight w:val="none"/>
                <w:u w:val="single"/>
                <w:lang w:val="zh-CN"/>
              </w:rPr>
              <w:t>月</w:t>
            </w:r>
            <w:r>
              <w:rPr>
                <w:rFonts w:hint="eastAsia" w:asciiTheme="minorEastAsia" w:hAnsiTheme="minorEastAsia" w:eastAsiaTheme="minorEastAsia" w:cstheme="minorEastAsia"/>
                <w:szCs w:val="21"/>
                <w:highlight w:val="none"/>
                <w:u w:val="single"/>
              </w:rPr>
              <w:t>03</w:t>
            </w:r>
            <w:r>
              <w:rPr>
                <w:rFonts w:hint="eastAsia" w:asciiTheme="minorEastAsia" w:hAnsiTheme="minorEastAsia" w:eastAsiaTheme="minorEastAsia" w:cstheme="minorEastAsia"/>
                <w:szCs w:val="21"/>
                <w:highlight w:val="none"/>
                <w:u w:val="single"/>
                <w:lang w:val="zh-CN"/>
              </w:rPr>
              <w:t>日</w:t>
            </w:r>
            <w:r>
              <w:rPr>
                <w:rFonts w:hint="eastAsia" w:asciiTheme="minorEastAsia" w:hAnsiTheme="minorEastAsia" w:cstheme="minorEastAsia"/>
                <w:szCs w:val="21"/>
                <w:highlight w:val="none"/>
                <w:u w:val="single"/>
              </w:rPr>
              <w:t>10</w:t>
            </w:r>
            <w:r>
              <w:rPr>
                <w:rFonts w:hint="eastAsia" w:asciiTheme="minorEastAsia" w:hAnsiTheme="minorEastAsia" w:eastAsiaTheme="minorEastAsia" w:cstheme="minorEastAsia"/>
                <w:szCs w:val="21"/>
                <w:highlight w:val="none"/>
                <w:u w:val="single"/>
              </w:rPr>
              <w:t xml:space="preserve">：00 </w:t>
            </w:r>
            <w:r>
              <w:rPr>
                <w:rFonts w:hint="eastAsia" w:asciiTheme="minorEastAsia" w:hAnsiTheme="minorEastAsia" w:eastAsiaTheme="minorEastAsia" w:cstheme="minorEastAsia"/>
                <w:szCs w:val="21"/>
                <w:highlight w:val="none"/>
                <w:u w:val="single"/>
                <w:lang w:val="zh-CN"/>
              </w:rPr>
              <w:t>时前</w:t>
            </w:r>
            <w:r>
              <w:rPr>
                <w:rFonts w:hint="eastAsia" w:asciiTheme="minorEastAsia" w:hAnsiTheme="minorEastAsia" w:eastAsiaTheme="minorEastAsia" w:cstheme="minorEastAsia"/>
                <w:szCs w:val="21"/>
                <w:highlight w:val="none"/>
                <w:lang w:val="zh-CN"/>
              </w:rPr>
              <w:t>（以到账时间为准）</w:t>
            </w:r>
          </w:p>
          <w:p>
            <w:pPr>
              <w:spacing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
                <w:szCs w:val="21"/>
                <w:highlight w:val="none"/>
              </w:rPr>
              <w:t>户    名：</w:t>
            </w:r>
            <w:r>
              <w:rPr>
                <w:rFonts w:hint="eastAsia" w:asciiTheme="minorEastAsia" w:hAnsiTheme="minorEastAsia" w:eastAsiaTheme="minorEastAsia" w:cstheme="minorEastAsia"/>
                <w:szCs w:val="21"/>
                <w:highlight w:val="none"/>
              </w:rPr>
              <w:t>陕西恒瑞项目管理有限公司商洛分公司；</w:t>
            </w:r>
          </w:p>
          <w:p>
            <w:pPr>
              <w:spacing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
                <w:szCs w:val="21"/>
                <w:highlight w:val="none"/>
              </w:rPr>
              <w:t>开户银行：</w:t>
            </w:r>
            <w:r>
              <w:rPr>
                <w:rFonts w:hint="eastAsia" w:asciiTheme="minorEastAsia" w:hAnsiTheme="minorEastAsia" w:eastAsiaTheme="minorEastAsia" w:cstheme="minorEastAsia"/>
                <w:szCs w:val="21"/>
                <w:highlight w:val="none"/>
              </w:rPr>
              <w:t>中国邮政储蓄银行陕西省商洛市北新街支行</w:t>
            </w:r>
          </w:p>
          <w:p>
            <w:pPr>
              <w:spacing w:line="44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
                <w:szCs w:val="21"/>
                <w:highlight w:val="none"/>
              </w:rPr>
              <w:t>账    号：</w:t>
            </w:r>
            <w:r>
              <w:rPr>
                <w:rFonts w:hint="eastAsia" w:asciiTheme="minorEastAsia" w:hAnsiTheme="minorEastAsia" w:eastAsiaTheme="minorEastAsia" w:cstheme="minorEastAsia"/>
                <w:szCs w:val="21"/>
                <w:highlight w:val="none"/>
              </w:rPr>
              <w:t>961004010002361113</w:t>
            </w:r>
          </w:p>
          <w:p>
            <w:pPr>
              <w:spacing w:line="44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color w:val="000000"/>
                <w:szCs w:val="21"/>
                <w:highlight w:val="none"/>
              </w:rPr>
              <w:t>磋商保证金必须从投标人基本账户转出，并写明</w:t>
            </w:r>
            <w:r>
              <w:rPr>
                <w:rFonts w:hint="eastAsia" w:asciiTheme="minorEastAsia" w:hAnsiTheme="minorEastAsia" w:eastAsiaTheme="minorEastAsia" w:cstheme="minorEastAsia"/>
                <w:color w:val="000000"/>
                <w:szCs w:val="21"/>
                <w:highlight w:val="none"/>
                <w:u w:val="single"/>
              </w:rPr>
              <w:t xml:space="preserve"> </w:t>
            </w:r>
            <w:r>
              <w:rPr>
                <w:rFonts w:hint="eastAsia" w:asciiTheme="minorEastAsia" w:hAnsiTheme="minorEastAsia" w:eastAsiaTheme="minorEastAsia" w:cstheme="minorEastAsia"/>
                <w:b/>
                <w:bCs/>
                <w:color w:val="000000"/>
                <w:szCs w:val="21"/>
                <w:highlight w:val="none"/>
                <w:u w:val="single"/>
              </w:rPr>
              <w:t xml:space="preserve">所交纳磋商保证金的工程（项目标段）名称 </w:t>
            </w:r>
            <w:r>
              <w:rPr>
                <w:rFonts w:hint="eastAsia" w:asciiTheme="minorEastAsia" w:hAnsiTheme="minorEastAsia" w:eastAsiaTheme="minorEastAsia" w:cstheme="minorEastAsia"/>
                <w:color w:val="000000"/>
                <w:szCs w:val="21"/>
                <w:highlight w:val="none"/>
              </w:rPr>
              <w:t>磋商保证金。</w:t>
            </w:r>
            <w:r>
              <w:rPr>
                <w:rFonts w:hint="eastAsia" w:asciiTheme="minorEastAsia" w:hAnsiTheme="minorEastAsia" w:cstheme="minorEastAsia"/>
                <w:color w:val="000000"/>
                <w:szCs w:val="21"/>
                <w:highlight w:val="none"/>
              </w:rPr>
              <w:t>以转账形式交纳保证金的，将银行转账电子回单打印盖章附于投标文件内；</w:t>
            </w:r>
            <w:r>
              <w:rPr>
                <w:rFonts w:hint="eastAsia" w:asciiTheme="minorEastAsia" w:hAnsiTheme="minorEastAsia" w:eastAsiaTheme="minorEastAsia" w:cstheme="minorEastAsia"/>
                <w:color w:val="000000"/>
                <w:szCs w:val="21"/>
                <w:highlight w:val="none"/>
              </w:rPr>
              <w:t>以保函形式缴纳磋商保证金的，其保函须由银行或具有保函资格的单位出具。（从投标单位基本户转出，退还保证金时按原账户退回，开标结束，公示期满后未中标单位持单位委托书、保证金退还说明书；中标单位在合同签订后持单位委托书、合同原件、开户许可证、保证金退还说明书至招标代理公司办理保证金退还手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993" w:type="dxa"/>
            <w:vAlign w:val="center"/>
          </w:tcPr>
          <w:p>
            <w:pPr>
              <w:spacing w:line="360" w:lineRule="exact"/>
              <w:jc w:val="center"/>
              <w:rPr>
                <w:rFonts w:ascii="宋体" w:hAnsi="宋体"/>
                <w:kern w:val="0"/>
                <w:szCs w:val="21"/>
                <w:highlight w:val="none"/>
              </w:rPr>
            </w:pPr>
            <w:r>
              <w:rPr>
                <w:rFonts w:ascii="宋体" w:hAnsi="宋体"/>
                <w:kern w:val="0"/>
                <w:szCs w:val="21"/>
                <w:highlight w:val="none"/>
              </w:rPr>
              <w:t>1</w:t>
            </w:r>
            <w:r>
              <w:rPr>
                <w:rFonts w:hint="eastAsia" w:ascii="宋体" w:hAnsi="宋体"/>
                <w:kern w:val="0"/>
                <w:szCs w:val="21"/>
                <w:highlight w:val="none"/>
              </w:rPr>
              <w:t>6</w:t>
            </w:r>
            <w:r>
              <w:rPr>
                <w:rFonts w:ascii="宋体" w:hAnsi="宋体"/>
                <w:kern w:val="0"/>
                <w:szCs w:val="21"/>
                <w:highlight w:val="none"/>
              </w:rPr>
              <w:t>.1</w:t>
            </w:r>
          </w:p>
        </w:tc>
        <w:tc>
          <w:tcPr>
            <w:tcW w:w="2067" w:type="dxa"/>
            <w:vAlign w:val="center"/>
          </w:tcPr>
          <w:p>
            <w:pPr>
              <w:spacing w:line="360" w:lineRule="exact"/>
              <w:rPr>
                <w:rFonts w:ascii="宋体" w:hAnsi="宋体"/>
                <w:kern w:val="0"/>
                <w:szCs w:val="21"/>
                <w:highlight w:val="none"/>
              </w:rPr>
            </w:pPr>
            <w:r>
              <w:rPr>
                <w:rFonts w:hint="eastAsia" w:ascii="宋体" w:hAnsi="宋体"/>
                <w:kern w:val="0"/>
                <w:szCs w:val="21"/>
                <w:highlight w:val="none"/>
              </w:rPr>
              <w:t>磋商报价有效期</w:t>
            </w:r>
          </w:p>
        </w:tc>
        <w:tc>
          <w:tcPr>
            <w:tcW w:w="5940" w:type="dxa"/>
            <w:vAlign w:val="center"/>
          </w:tcPr>
          <w:p>
            <w:pPr>
              <w:spacing w:line="360" w:lineRule="exact"/>
              <w:rPr>
                <w:rFonts w:ascii="宋体" w:hAnsi="宋体"/>
                <w:kern w:val="0"/>
                <w:szCs w:val="21"/>
                <w:highlight w:val="none"/>
              </w:rPr>
            </w:pPr>
            <w:r>
              <w:rPr>
                <w:rFonts w:hint="eastAsia" w:ascii="宋体" w:hAnsi="宋体"/>
                <w:kern w:val="0"/>
                <w:szCs w:val="21"/>
                <w:highlight w:val="none"/>
              </w:rPr>
              <w:t>自磋商响应文件递交截止日期后90天。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993" w:type="dxa"/>
            <w:vAlign w:val="center"/>
          </w:tcPr>
          <w:p>
            <w:pPr>
              <w:spacing w:line="360" w:lineRule="exact"/>
              <w:jc w:val="center"/>
              <w:rPr>
                <w:rFonts w:ascii="宋体" w:hAnsi="宋体"/>
                <w:kern w:val="0"/>
                <w:szCs w:val="21"/>
                <w:highlight w:val="none"/>
              </w:rPr>
            </w:pPr>
            <w:r>
              <w:rPr>
                <w:rFonts w:ascii="宋体" w:hAnsi="宋体"/>
                <w:kern w:val="0"/>
                <w:szCs w:val="21"/>
                <w:highlight w:val="none"/>
              </w:rPr>
              <w:t>1</w:t>
            </w:r>
            <w:r>
              <w:rPr>
                <w:rFonts w:hint="eastAsia" w:ascii="宋体" w:hAnsi="宋体"/>
                <w:kern w:val="0"/>
                <w:szCs w:val="21"/>
                <w:highlight w:val="none"/>
              </w:rPr>
              <w:t>7</w:t>
            </w:r>
            <w:r>
              <w:rPr>
                <w:rFonts w:ascii="宋体" w:hAnsi="宋体"/>
                <w:kern w:val="0"/>
                <w:szCs w:val="21"/>
                <w:highlight w:val="none"/>
              </w:rPr>
              <w:t>.1</w:t>
            </w:r>
          </w:p>
        </w:tc>
        <w:tc>
          <w:tcPr>
            <w:tcW w:w="2067" w:type="dxa"/>
            <w:vAlign w:val="center"/>
          </w:tcPr>
          <w:p>
            <w:pPr>
              <w:spacing w:line="360" w:lineRule="exact"/>
              <w:rPr>
                <w:rFonts w:ascii="宋体" w:hAnsi="宋体"/>
                <w:kern w:val="0"/>
                <w:szCs w:val="21"/>
                <w:highlight w:val="none"/>
              </w:rPr>
            </w:pPr>
            <w:r>
              <w:rPr>
                <w:rFonts w:hint="eastAsia" w:ascii="宋体" w:hAnsi="宋体"/>
                <w:kern w:val="0"/>
                <w:szCs w:val="21"/>
                <w:highlight w:val="none"/>
              </w:rPr>
              <w:t>磋商响应文件份数</w:t>
            </w:r>
          </w:p>
        </w:tc>
        <w:tc>
          <w:tcPr>
            <w:tcW w:w="5940" w:type="dxa"/>
            <w:vAlign w:val="center"/>
          </w:tcPr>
          <w:p>
            <w:pPr>
              <w:spacing w:line="360" w:lineRule="exact"/>
              <w:rPr>
                <w:rFonts w:ascii="宋体" w:hAnsi="宋体"/>
                <w:kern w:val="0"/>
                <w:szCs w:val="21"/>
                <w:highlight w:val="none"/>
              </w:rPr>
            </w:pPr>
            <w:r>
              <w:rPr>
                <w:rFonts w:hint="eastAsia" w:ascii="宋体" w:hAnsi="宋体"/>
                <w:kern w:val="0"/>
                <w:szCs w:val="21"/>
                <w:highlight w:val="none"/>
              </w:rPr>
              <w:t>正本一份，副本三份。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3" w:hRule="atLeast"/>
          <w:jc w:val="center"/>
        </w:trPr>
        <w:tc>
          <w:tcPr>
            <w:tcW w:w="993" w:type="dxa"/>
            <w:vAlign w:val="center"/>
          </w:tcPr>
          <w:p>
            <w:pPr>
              <w:spacing w:line="360" w:lineRule="exact"/>
              <w:jc w:val="center"/>
              <w:rPr>
                <w:rFonts w:ascii="宋体" w:hAnsi="宋体"/>
                <w:kern w:val="0"/>
                <w:szCs w:val="21"/>
                <w:highlight w:val="none"/>
              </w:rPr>
            </w:pPr>
            <w:r>
              <w:rPr>
                <w:rFonts w:hint="eastAsia" w:ascii="宋体" w:hAnsi="宋体"/>
                <w:kern w:val="0"/>
                <w:szCs w:val="21"/>
                <w:highlight w:val="none"/>
              </w:rPr>
              <w:t>17.2</w:t>
            </w:r>
          </w:p>
        </w:tc>
        <w:tc>
          <w:tcPr>
            <w:tcW w:w="2067" w:type="dxa"/>
            <w:vAlign w:val="center"/>
          </w:tcPr>
          <w:p>
            <w:pPr>
              <w:spacing w:line="360" w:lineRule="exact"/>
              <w:rPr>
                <w:rFonts w:ascii="宋体" w:hAnsi="宋体"/>
                <w:kern w:val="0"/>
                <w:szCs w:val="21"/>
                <w:highlight w:val="none"/>
              </w:rPr>
            </w:pPr>
            <w:r>
              <w:rPr>
                <w:rFonts w:hint="eastAsia" w:ascii="宋体" w:hAnsi="宋体"/>
                <w:kern w:val="0"/>
                <w:szCs w:val="21"/>
                <w:highlight w:val="none"/>
              </w:rPr>
              <w:t>电子版文件要求</w:t>
            </w:r>
          </w:p>
        </w:tc>
        <w:tc>
          <w:tcPr>
            <w:tcW w:w="5940" w:type="dxa"/>
            <w:vAlign w:val="center"/>
          </w:tcPr>
          <w:p>
            <w:pPr>
              <w:spacing w:line="360" w:lineRule="exact"/>
              <w:rPr>
                <w:rFonts w:ascii="宋体" w:hAnsi="宋体"/>
                <w:kern w:val="0"/>
                <w:szCs w:val="21"/>
                <w:highlight w:val="none"/>
              </w:rPr>
            </w:pPr>
            <w:r>
              <w:rPr>
                <w:rFonts w:hint="eastAsia" w:ascii="宋体" w:hAnsi="宋体"/>
                <w:kern w:val="0"/>
                <w:szCs w:val="21"/>
                <w:highlight w:val="none"/>
              </w:rPr>
              <w:t>有。</w:t>
            </w:r>
          </w:p>
          <w:p>
            <w:pPr>
              <w:spacing w:line="360" w:lineRule="exact"/>
              <w:rPr>
                <w:rFonts w:ascii="宋体" w:hAnsi="宋体"/>
                <w:kern w:val="0"/>
                <w:szCs w:val="21"/>
                <w:highlight w:val="none"/>
              </w:rPr>
            </w:pPr>
            <w:r>
              <w:rPr>
                <w:rFonts w:hint="eastAsia" w:ascii="宋体" w:hAnsi="宋体"/>
                <w:kern w:val="0"/>
                <w:szCs w:val="21"/>
                <w:highlight w:val="none"/>
              </w:rPr>
              <w:t>格式和载体要求：提供1份U盘，内容为与纸质磋商响应文件正本一致的PDF格式，且盖章、签字处必须扫描并清晰可辨。</w:t>
            </w:r>
          </w:p>
          <w:p>
            <w:pPr>
              <w:spacing w:line="360" w:lineRule="exact"/>
              <w:rPr>
                <w:rFonts w:ascii="宋体" w:hAnsi="宋体"/>
                <w:kern w:val="0"/>
                <w:szCs w:val="21"/>
                <w:highlight w:val="none"/>
              </w:rPr>
            </w:pPr>
            <w:r>
              <w:rPr>
                <w:rFonts w:hint="eastAsia" w:ascii="宋体" w:hAnsi="宋体"/>
                <w:kern w:val="0"/>
                <w:szCs w:val="21"/>
                <w:highlight w:val="none"/>
              </w:rPr>
              <w:t>注：供应商须保证磋商响应文件的纸质文件与电子文档保持一致。U盘表面需标明项目编号、供应商名称等信息，并单独密封。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6" w:hRule="atLeast"/>
          <w:jc w:val="center"/>
        </w:trPr>
        <w:tc>
          <w:tcPr>
            <w:tcW w:w="993" w:type="dxa"/>
            <w:vAlign w:val="center"/>
          </w:tcPr>
          <w:p>
            <w:pPr>
              <w:spacing w:line="360" w:lineRule="exact"/>
              <w:jc w:val="center"/>
              <w:rPr>
                <w:rFonts w:ascii="宋体" w:hAnsi="宋体"/>
                <w:kern w:val="0"/>
                <w:szCs w:val="21"/>
                <w:highlight w:val="none"/>
              </w:rPr>
            </w:pPr>
            <w:r>
              <w:rPr>
                <w:rFonts w:hint="eastAsia" w:ascii="宋体" w:hAnsi="宋体"/>
                <w:kern w:val="0"/>
                <w:szCs w:val="21"/>
                <w:highlight w:val="none"/>
              </w:rPr>
              <w:t>17.3</w:t>
            </w:r>
          </w:p>
        </w:tc>
        <w:tc>
          <w:tcPr>
            <w:tcW w:w="2067" w:type="dxa"/>
            <w:vAlign w:val="center"/>
          </w:tcPr>
          <w:p>
            <w:pPr>
              <w:spacing w:line="360" w:lineRule="exact"/>
              <w:rPr>
                <w:rFonts w:ascii="宋体" w:hAnsi="宋体"/>
                <w:kern w:val="0"/>
                <w:szCs w:val="21"/>
                <w:highlight w:val="none"/>
              </w:rPr>
            </w:pPr>
            <w:r>
              <w:rPr>
                <w:rFonts w:hint="eastAsia" w:ascii="宋体" w:hAnsi="宋体"/>
                <w:kern w:val="0"/>
                <w:szCs w:val="21"/>
                <w:highlight w:val="none"/>
              </w:rPr>
              <w:t>法人代表签字要求</w:t>
            </w:r>
          </w:p>
        </w:tc>
        <w:tc>
          <w:tcPr>
            <w:tcW w:w="5940" w:type="dxa"/>
            <w:vAlign w:val="center"/>
          </w:tcPr>
          <w:p>
            <w:pPr>
              <w:spacing w:line="360" w:lineRule="exact"/>
              <w:ind w:left="1"/>
              <w:jc w:val="left"/>
              <w:rPr>
                <w:rFonts w:ascii="宋体" w:hAnsi="宋体"/>
                <w:kern w:val="0"/>
                <w:szCs w:val="21"/>
                <w:highlight w:val="none"/>
              </w:rPr>
            </w:pPr>
            <w:r>
              <w:rPr>
                <w:rFonts w:hint="eastAsia" w:ascii="宋体" w:hAnsi="宋体"/>
                <w:kern w:val="0"/>
                <w:szCs w:val="21"/>
                <w:highlight w:val="none"/>
              </w:rPr>
              <w:t>所有要求法人代表签字（名）处，均须由签字（名）者本人用不褪色的蓝(黑)色墨水(汁)书写全名，也可以加盖法人代表名章代替签名。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2" w:hRule="atLeast"/>
          <w:jc w:val="center"/>
        </w:trPr>
        <w:tc>
          <w:tcPr>
            <w:tcW w:w="993" w:type="dxa"/>
            <w:vAlign w:val="center"/>
          </w:tcPr>
          <w:p>
            <w:pPr>
              <w:spacing w:line="360" w:lineRule="exact"/>
              <w:jc w:val="center"/>
              <w:rPr>
                <w:rFonts w:ascii="宋体" w:hAnsi="宋体"/>
                <w:kern w:val="0"/>
                <w:szCs w:val="21"/>
                <w:highlight w:val="none"/>
              </w:rPr>
            </w:pPr>
            <w:r>
              <w:rPr>
                <w:rFonts w:hint="eastAsia" w:ascii="宋体" w:hAnsi="宋体"/>
                <w:kern w:val="0"/>
                <w:szCs w:val="21"/>
                <w:highlight w:val="none"/>
              </w:rPr>
              <w:t>18.1</w:t>
            </w:r>
          </w:p>
        </w:tc>
        <w:tc>
          <w:tcPr>
            <w:tcW w:w="2067" w:type="dxa"/>
            <w:vAlign w:val="center"/>
          </w:tcPr>
          <w:p>
            <w:pPr>
              <w:spacing w:line="360" w:lineRule="exact"/>
              <w:rPr>
                <w:rFonts w:ascii="宋体" w:hAnsi="宋体"/>
                <w:kern w:val="0"/>
                <w:szCs w:val="21"/>
                <w:highlight w:val="none"/>
              </w:rPr>
            </w:pPr>
            <w:r>
              <w:rPr>
                <w:rFonts w:hint="eastAsia" w:ascii="宋体" w:hAnsi="宋体"/>
                <w:kern w:val="0"/>
                <w:szCs w:val="21"/>
                <w:highlight w:val="none"/>
              </w:rPr>
              <w:t>磋商响应文件装订及包装密封要求</w:t>
            </w:r>
          </w:p>
        </w:tc>
        <w:tc>
          <w:tcPr>
            <w:tcW w:w="5940" w:type="dxa"/>
            <w:vAlign w:val="center"/>
          </w:tcPr>
          <w:p>
            <w:pPr>
              <w:spacing w:line="360" w:lineRule="exact"/>
              <w:ind w:left="1"/>
              <w:jc w:val="left"/>
              <w:rPr>
                <w:highlight w:val="none"/>
              </w:rPr>
            </w:pPr>
            <w:r>
              <w:rPr>
                <w:rFonts w:hint="eastAsia"/>
                <w:highlight w:val="none"/>
              </w:rPr>
              <w:t>1、磋商响应文件正、副本应分别装订成册，装订应牢固、不易拆散和换页，不得采用活页装订。</w:t>
            </w:r>
          </w:p>
          <w:p>
            <w:pPr>
              <w:spacing w:line="360" w:lineRule="exact"/>
              <w:ind w:left="1"/>
              <w:jc w:val="left"/>
              <w:rPr>
                <w:highlight w:val="none"/>
              </w:rPr>
            </w:pPr>
            <w:r>
              <w:rPr>
                <w:rFonts w:hint="eastAsia"/>
                <w:highlight w:val="none"/>
              </w:rPr>
              <w:t>2、密封包装方式：</w:t>
            </w:r>
          </w:p>
          <w:p>
            <w:pPr>
              <w:spacing w:line="360" w:lineRule="exact"/>
              <w:ind w:left="1"/>
              <w:jc w:val="left"/>
              <w:rPr>
                <w:highlight w:val="none"/>
              </w:rPr>
            </w:pPr>
            <w:r>
              <w:rPr>
                <w:rFonts w:hint="eastAsia"/>
                <w:highlight w:val="none"/>
              </w:rPr>
              <w:t>（1）磋商响应文件正本一包密封。</w:t>
            </w:r>
          </w:p>
          <w:p>
            <w:pPr>
              <w:spacing w:line="360" w:lineRule="exact"/>
              <w:ind w:left="1"/>
              <w:jc w:val="left"/>
              <w:rPr>
                <w:highlight w:val="none"/>
              </w:rPr>
            </w:pPr>
            <w:r>
              <w:rPr>
                <w:rFonts w:hint="eastAsia"/>
                <w:highlight w:val="none"/>
              </w:rPr>
              <w:t>（2）磋商响应文件正本一包密封。</w:t>
            </w:r>
          </w:p>
          <w:p>
            <w:pPr>
              <w:spacing w:line="360" w:lineRule="exact"/>
              <w:ind w:left="1"/>
              <w:jc w:val="left"/>
              <w:rPr>
                <w:highlight w:val="none"/>
              </w:rPr>
            </w:pPr>
            <w:r>
              <w:rPr>
                <w:rFonts w:hint="eastAsia"/>
                <w:highlight w:val="none"/>
              </w:rPr>
              <w:t>（3）磋商响应文件电子标书单独密封。</w:t>
            </w:r>
          </w:p>
          <w:p>
            <w:pPr>
              <w:spacing w:line="360" w:lineRule="exact"/>
              <w:ind w:left="1"/>
              <w:jc w:val="left"/>
              <w:rPr>
                <w:highlight w:val="none"/>
              </w:rPr>
            </w:pPr>
            <w:r>
              <w:rPr>
                <w:rFonts w:hint="eastAsia"/>
                <w:highlight w:val="none"/>
              </w:rPr>
              <w:t>（4）资格证明文件原件单独密封。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5" w:hRule="atLeast"/>
          <w:jc w:val="center"/>
        </w:trPr>
        <w:tc>
          <w:tcPr>
            <w:tcW w:w="993" w:type="dxa"/>
            <w:vAlign w:val="center"/>
          </w:tcPr>
          <w:p>
            <w:pPr>
              <w:spacing w:line="360" w:lineRule="exact"/>
              <w:jc w:val="center"/>
              <w:rPr>
                <w:rFonts w:ascii="宋体" w:hAnsi="宋体"/>
                <w:kern w:val="0"/>
                <w:szCs w:val="21"/>
                <w:highlight w:val="none"/>
              </w:rPr>
            </w:pPr>
            <w:r>
              <w:rPr>
                <w:rFonts w:hint="eastAsia" w:ascii="宋体" w:hAnsi="宋体"/>
                <w:kern w:val="0"/>
                <w:szCs w:val="21"/>
                <w:highlight w:val="none"/>
              </w:rPr>
              <w:t>18.3</w:t>
            </w:r>
          </w:p>
        </w:tc>
        <w:tc>
          <w:tcPr>
            <w:tcW w:w="2067" w:type="dxa"/>
            <w:vAlign w:val="center"/>
          </w:tcPr>
          <w:p>
            <w:pPr>
              <w:spacing w:line="360" w:lineRule="exact"/>
              <w:rPr>
                <w:rFonts w:ascii="宋体" w:hAnsi="宋体"/>
                <w:kern w:val="0"/>
                <w:szCs w:val="21"/>
                <w:highlight w:val="none"/>
              </w:rPr>
            </w:pPr>
            <w:r>
              <w:rPr>
                <w:rFonts w:hint="eastAsia" w:ascii="宋体" w:hAnsi="宋体"/>
                <w:kern w:val="0"/>
                <w:szCs w:val="21"/>
                <w:highlight w:val="none"/>
              </w:rPr>
              <w:t>是否需要单独密封递交</w:t>
            </w:r>
            <w:r>
              <w:rPr>
                <w:rFonts w:ascii="宋体" w:hAnsi="宋体"/>
                <w:kern w:val="0"/>
                <w:szCs w:val="21"/>
                <w:highlight w:val="none"/>
              </w:rPr>
              <w:t>《磋商报价表》</w:t>
            </w:r>
          </w:p>
        </w:tc>
        <w:tc>
          <w:tcPr>
            <w:tcW w:w="5940" w:type="dxa"/>
            <w:vAlign w:val="center"/>
          </w:tcPr>
          <w:p>
            <w:pPr>
              <w:spacing w:line="360" w:lineRule="exact"/>
              <w:rPr>
                <w:rFonts w:ascii="宋体" w:hAnsi="宋体"/>
                <w:kern w:val="0"/>
                <w:szCs w:val="21"/>
                <w:highlight w:val="none"/>
              </w:rPr>
            </w:pPr>
            <w:r>
              <w:rPr>
                <w:rFonts w:hint="eastAsia" w:ascii="宋体" w:hAnsi="宋体"/>
                <w:kern w:val="0"/>
                <w:szCs w:val="21"/>
                <w:highlight w:val="none"/>
              </w:rPr>
              <w:t>不需要。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33" w:hRule="atLeast"/>
          <w:jc w:val="center"/>
        </w:trPr>
        <w:tc>
          <w:tcPr>
            <w:tcW w:w="993" w:type="dxa"/>
            <w:vAlign w:val="center"/>
          </w:tcPr>
          <w:p>
            <w:pPr>
              <w:spacing w:line="360" w:lineRule="exact"/>
              <w:jc w:val="center"/>
              <w:rPr>
                <w:rFonts w:ascii="宋体" w:hAnsi="宋体"/>
                <w:kern w:val="0"/>
                <w:szCs w:val="21"/>
                <w:highlight w:val="none"/>
              </w:rPr>
            </w:pPr>
            <w:r>
              <w:rPr>
                <w:rFonts w:hint="eastAsia" w:ascii="宋体" w:hAnsi="宋体"/>
                <w:kern w:val="0"/>
                <w:szCs w:val="21"/>
                <w:highlight w:val="none"/>
              </w:rPr>
              <w:t>19.1</w:t>
            </w:r>
          </w:p>
        </w:tc>
        <w:tc>
          <w:tcPr>
            <w:tcW w:w="2067" w:type="dxa"/>
            <w:vAlign w:val="center"/>
          </w:tcPr>
          <w:p>
            <w:pPr>
              <w:spacing w:line="360" w:lineRule="exact"/>
              <w:rPr>
                <w:rFonts w:ascii="宋体" w:hAnsi="宋体"/>
                <w:kern w:val="0"/>
                <w:szCs w:val="21"/>
                <w:highlight w:val="none"/>
              </w:rPr>
            </w:pPr>
            <w:r>
              <w:rPr>
                <w:rFonts w:hint="eastAsia" w:ascii="宋体" w:hAnsi="宋体"/>
                <w:kern w:val="0"/>
                <w:szCs w:val="21"/>
                <w:highlight w:val="none"/>
              </w:rPr>
              <w:t>磋商响应文件递交的截止时间和磋商地点</w:t>
            </w:r>
          </w:p>
        </w:tc>
        <w:tc>
          <w:tcPr>
            <w:tcW w:w="5940" w:type="dxa"/>
            <w:vAlign w:val="center"/>
          </w:tcPr>
          <w:p>
            <w:pPr>
              <w:spacing w:line="360" w:lineRule="exact"/>
              <w:ind w:left="1"/>
              <w:jc w:val="left"/>
              <w:rPr>
                <w:rFonts w:ascii="宋体" w:hAnsi="宋体"/>
                <w:kern w:val="0"/>
                <w:szCs w:val="21"/>
                <w:highlight w:val="none"/>
              </w:rPr>
            </w:pPr>
            <w:r>
              <w:rPr>
                <w:rFonts w:hint="eastAsia" w:ascii="宋体" w:hAnsi="宋体"/>
                <w:kern w:val="0"/>
                <w:szCs w:val="21"/>
                <w:highlight w:val="none"/>
              </w:rPr>
              <w:t>响应文件递交地址</w:t>
            </w:r>
            <w:r>
              <w:rPr>
                <w:rFonts w:ascii="宋体" w:hAnsi="宋体"/>
                <w:kern w:val="0"/>
                <w:szCs w:val="21"/>
                <w:highlight w:val="none"/>
              </w:rPr>
              <w:t>:</w:t>
            </w:r>
            <w:r>
              <w:rPr>
                <w:rFonts w:hint="eastAsia" w:ascii="宋体" w:hAnsi="宋体"/>
                <w:kern w:val="0"/>
                <w:szCs w:val="21"/>
                <w:highlight w:val="none"/>
              </w:rPr>
              <w:t>陕西省商洛市商州区商丹园区高新管委会A202会议室</w:t>
            </w:r>
          </w:p>
          <w:p>
            <w:pPr>
              <w:spacing w:line="360" w:lineRule="exact"/>
              <w:ind w:left="1"/>
              <w:jc w:val="left"/>
              <w:rPr>
                <w:rFonts w:ascii="宋体" w:hAnsi="宋体"/>
                <w:kern w:val="0"/>
                <w:szCs w:val="21"/>
                <w:highlight w:val="none"/>
              </w:rPr>
            </w:pPr>
            <w:r>
              <w:rPr>
                <w:rFonts w:hint="eastAsia" w:ascii="宋体" w:hAnsi="宋体"/>
                <w:kern w:val="0"/>
                <w:szCs w:val="21"/>
                <w:highlight w:val="none"/>
              </w:rPr>
              <w:t>响应文件递交截止时间</w:t>
            </w:r>
            <w:r>
              <w:rPr>
                <w:rFonts w:ascii="宋体" w:hAnsi="宋体"/>
                <w:kern w:val="0"/>
                <w:szCs w:val="21"/>
                <w:highlight w:val="none"/>
              </w:rPr>
              <w:t>:</w:t>
            </w:r>
            <w:r>
              <w:rPr>
                <w:rFonts w:hint="eastAsia" w:ascii="宋体" w:hAnsi="宋体"/>
                <w:kern w:val="0"/>
                <w:szCs w:val="21"/>
                <w:highlight w:val="none"/>
                <w:u w:val="single"/>
              </w:rPr>
              <w:t xml:space="preserve"> </w:t>
            </w:r>
            <w:r>
              <w:rPr>
                <w:rFonts w:hint="eastAsia" w:asciiTheme="minorEastAsia" w:hAnsiTheme="minorEastAsia" w:eastAsiaTheme="minorEastAsia" w:cstheme="minorEastAsia"/>
                <w:bCs/>
                <w:szCs w:val="21"/>
                <w:highlight w:val="none"/>
                <w:u w:val="single"/>
              </w:rPr>
              <w:t>2023年04月03日10点00 分</w:t>
            </w:r>
          </w:p>
          <w:p>
            <w:pPr>
              <w:spacing w:line="360" w:lineRule="exact"/>
              <w:ind w:left="1"/>
              <w:jc w:val="left"/>
              <w:rPr>
                <w:rFonts w:ascii="宋体" w:hAnsi="宋体"/>
                <w:kern w:val="0"/>
                <w:szCs w:val="21"/>
                <w:highlight w:val="none"/>
              </w:rPr>
            </w:pPr>
            <w:r>
              <w:rPr>
                <w:rFonts w:hint="eastAsia" w:ascii="宋体" w:hAnsi="宋体"/>
                <w:kern w:val="0"/>
                <w:szCs w:val="21"/>
                <w:highlight w:val="none"/>
              </w:rPr>
              <w:t>响应文件接收人</w:t>
            </w:r>
            <w:r>
              <w:rPr>
                <w:rFonts w:ascii="宋体" w:hAnsi="宋体"/>
                <w:kern w:val="0"/>
                <w:szCs w:val="21"/>
                <w:highlight w:val="none"/>
              </w:rPr>
              <w:t>:</w:t>
            </w:r>
            <w:r>
              <w:rPr>
                <w:rFonts w:hint="eastAsia" w:ascii="宋体" w:hAnsi="宋体"/>
                <w:kern w:val="0"/>
                <w:szCs w:val="21"/>
                <w:highlight w:val="none"/>
              </w:rPr>
              <w:t>陕西恒瑞项目管理有限公司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4" w:hRule="atLeast"/>
          <w:jc w:val="center"/>
        </w:trPr>
        <w:tc>
          <w:tcPr>
            <w:tcW w:w="993" w:type="dxa"/>
            <w:vAlign w:val="center"/>
          </w:tcPr>
          <w:p>
            <w:pPr>
              <w:spacing w:line="360" w:lineRule="exact"/>
              <w:jc w:val="center"/>
              <w:rPr>
                <w:rFonts w:ascii="宋体" w:hAnsi="宋体"/>
                <w:kern w:val="0"/>
                <w:szCs w:val="21"/>
                <w:highlight w:val="none"/>
              </w:rPr>
            </w:pPr>
            <w:r>
              <w:rPr>
                <w:rFonts w:ascii="宋体" w:hAnsi="宋体"/>
                <w:kern w:val="0"/>
                <w:szCs w:val="21"/>
                <w:highlight w:val="none"/>
              </w:rPr>
              <w:t>2</w:t>
            </w:r>
            <w:r>
              <w:rPr>
                <w:rFonts w:hint="eastAsia" w:ascii="宋体" w:hAnsi="宋体"/>
                <w:kern w:val="0"/>
                <w:szCs w:val="21"/>
                <w:highlight w:val="none"/>
              </w:rPr>
              <w:t>2</w:t>
            </w:r>
            <w:r>
              <w:rPr>
                <w:rFonts w:ascii="宋体" w:hAnsi="宋体"/>
                <w:kern w:val="0"/>
                <w:szCs w:val="21"/>
                <w:highlight w:val="none"/>
              </w:rPr>
              <w:t>.1</w:t>
            </w:r>
          </w:p>
        </w:tc>
        <w:tc>
          <w:tcPr>
            <w:tcW w:w="2067" w:type="dxa"/>
            <w:vAlign w:val="center"/>
          </w:tcPr>
          <w:p>
            <w:pPr>
              <w:spacing w:line="360" w:lineRule="exact"/>
              <w:rPr>
                <w:rFonts w:ascii="宋体" w:hAnsi="宋体"/>
                <w:kern w:val="0"/>
                <w:szCs w:val="21"/>
                <w:highlight w:val="none"/>
              </w:rPr>
            </w:pPr>
            <w:r>
              <w:rPr>
                <w:rFonts w:hint="eastAsia" w:ascii="宋体" w:hAnsi="宋体"/>
                <w:kern w:val="0"/>
                <w:szCs w:val="21"/>
                <w:highlight w:val="none"/>
              </w:rPr>
              <w:t>磋商时间和地点</w:t>
            </w:r>
          </w:p>
        </w:tc>
        <w:tc>
          <w:tcPr>
            <w:tcW w:w="5940" w:type="dxa"/>
            <w:vAlign w:val="center"/>
          </w:tcPr>
          <w:p>
            <w:pPr>
              <w:spacing w:line="360" w:lineRule="exact"/>
              <w:ind w:left="1"/>
              <w:jc w:val="left"/>
              <w:rPr>
                <w:rFonts w:ascii="宋体" w:hAnsi="宋体"/>
                <w:kern w:val="0"/>
                <w:szCs w:val="21"/>
                <w:highlight w:val="none"/>
              </w:rPr>
            </w:pPr>
            <w:r>
              <w:rPr>
                <w:rFonts w:hint="eastAsia" w:ascii="宋体" w:hAnsi="宋体"/>
                <w:kern w:val="0"/>
                <w:szCs w:val="21"/>
                <w:highlight w:val="none"/>
              </w:rPr>
              <w:t>磋商开始时间</w:t>
            </w:r>
            <w:r>
              <w:rPr>
                <w:rFonts w:ascii="宋体" w:hAnsi="宋体"/>
                <w:kern w:val="0"/>
                <w:szCs w:val="21"/>
                <w:highlight w:val="none"/>
              </w:rPr>
              <w:t xml:space="preserve">: </w:t>
            </w:r>
            <w:r>
              <w:rPr>
                <w:rFonts w:hint="eastAsia" w:ascii="宋体" w:hAnsi="宋体"/>
                <w:kern w:val="0"/>
                <w:szCs w:val="21"/>
                <w:highlight w:val="none"/>
              </w:rPr>
              <w:t>同响应文件递交截止时间</w:t>
            </w:r>
          </w:p>
          <w:p>
            <w:pPr>
              <w:spacing w:line="360" w:lineRule="exact"/>
              <w:ind w:left="1"/>
              <w:jc w:val="left"/>
              <w:rPr>
                <w:rFonts w:ascii="宋体" w:hAnsi="宋体"/>
                <w:kern w:val="0"/>
                <w:szCs w:val="21"/>
                <w:highlight w:val="none"/>
              </w:rPr>
            </w:pPr>
            <w:r>
              <w:rPr>
                <w:rFonts w:hint="eastAsia" w:ascii="宋体" w:hAnsi="宋体"/>
                <w:kern w:val="0"/>
                <w:szCs w:val="21"/>
                <w:highlight w:val="none"/>
              </w:rPr>
              <w:t>磋商地点</w:t>
            </w:r>
            <w:r>
              <w:rPr>
                <w:rFonts w:ascii="宋体" w:hAnsi="宋体"/>
                <w:kern w:val="0"/>
                <w:szCs w:val="21"/>
                <w:highlight w:val="none"/>
              </w:rPr>
              <w:t xml:space="preserve">: </w:t>
            </w:r>
            <w:r>
              <w:rPr>
                <w:rFonts w:hint="eastAsia" w:ascii="宋体" w:hAnsi="宋体"/>
                <w:kern w:val="0"/>
                <w:szCs w:val="21"/>
                <w:highlight w:val="none"/>
              </w:rPr>
              <w:t>同响应文件递交截止地点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1" w:hRule="atLeast"/>
          <w:jc w:val="center"/>
        </w:trPr>
        <w:tc>
          <w:tcPr>
            <w:tcW w:w="993" w:type="dxa"/>
            <w:vAlign w:val="center"/>
          </w:tcPr>
          <w:p>
            <w:pPr>
              <w:spacing w:line="360" w:lineRule="exact"/>
              <w:jc w:val="center"/>
              <w:rPr>
                <w:rFonts w:ascii="宋体" w:hAnsi="宋体"/>
                <w:kern w:val="0"/>
                <w:szCs w:val="21"/>
                <w:highlight w:val="none"/>
              </w:rPr>
            </w:pPr>
            <w:r>
              <w:rPr>
                <w:rFonts w:hint="eastAsia" w:ascii="宋体" w:hAnsi="宋体"/>
                <w:kern w:val="0"/>
                <w:szCs w:val="21"/>
                <w:highlight w:val="none"/>
              </w:rPr>
              <w:t>22.2</w:t>
            </w:r>
          </w:p>
        </w:tc>
        <w:tc>
          <w:tcPr>
            <w:tcW w:w="2067" w:type="dxa"/>
            <w:vAlign w:val="center"/>
          </w:tcPr>
          <w:p>
            <w:pPr>
              <w:spacing w:line="360" w:lineRule="exact"/>
              <w:rPr>
                <w:rFonts w:ascii="宋体" w:hAnsi="宋体"/>
                <w:kern w:val="0"/>
                <w:szCs w:val="21"/>
                <w:highlight w:val="none"/>
              </w:rPr>
            </w:pPr>
            <w:r>
              <w:rPr>
                <w:rFonts w:hint="eastAsia" w:ascii="宋体" w:hAnsi="宋体"/>
                <w:kern w:val="0"/>
                <w:szCs w:val="21"/>
                <w:highlight w:val="none"/>
              </w:rPr>
              <w:t>磋商报价次数、磋商程序和最终报价的产生原则</w:t>
            </w:r>
          </w:p>
        </w:tc>
        <w:tc>
          <w:tcPr>
            <w:tcW w:w="5940" w:type="dxa"/>
            <w:vAlign w:val="center"/>
          </w:tcPr>
          <w:p>
            <w:pPr>
              <w:spacing w:line="360" w:lineRule="exact"/>
              <w:ind w:left="1"/>
              <w:jc w:val="left"/>
              <w:rPr>
                <w:rFonts w:ascii="宋体" w:hAnsi="宋体"/>
                <w:kern w:val="0"/>
                <w:szCs w:val="21"/>
                <w:highlight w:val="none"/>
              </w:rPr>
            </w:pPr>
            <w:r>
              <w:rPr>
                <w:rFonts w:hint="eastAsia" w:ascii="宋体" w:hAnsi="宋体"/>
                <w:kern w:val="0"/>
                <w:szCs w:val="21"/>
                <w:highlight w:val="none"/>
              </w:rPr>
              <w:t>本次磋商采用二次报价。</w:t>
            </w:r>
          </w:p>
          <w:p>
            <w:pPr>
              <w:spacing w:line="360" w:lineRule="exact"/>
              <w:ind w:left="1"/>
              <w:jc w:val="left"/>
              <w:rPr>
                <w:rFonts w:ascii="宋体" w:hAnsi="宋体"/>
                <w:kern w:val="0"/>
                <w:szCs w:val="21"/>
                <w:highlight w:val="none"/>
              </w:rPr>
            </w:pPr>
            <w:r>
              <w:rPr>
                <w:rFonts w:hint="eastAsia" w:ascii="宋体" w:hAnsi="宋体"/>
                <w:kern w:val="0"/>
                <w:szCs w:val="21"/>
                <w:highlight w:val="none"/>
              </w:rPr>
              <w:t>磋商程序为：</w:t>
            </w:r>
          </w:p>
          <w:p>
            <w:pPr>
              <w:numPr>
                <w:ilvl w:val="0"/>
                <w:numId w:val="2"/>
              </w:numPr>
              <w:spacing w:line="360" w:lineRule="exact"/>
              <w:jc w:val="left"/>
              <w:rPr>
                <w:rFonts w:ascii="宋体" w:hAnsi="宋体"/>
                <w:kern w:val="0"/>
                <w:szCs w:val="21"/>
                <w:highlight w:val="none"/>
              </w:rPr>
            </w:pPr>
            <w:r>
              <w:rPr>
                <w:rFonts w:hint="eastAsia" w:ascii="宋体" w:hAnsi="宋体"/>
                <w:kern w:val="0"/>
                <w:szCs w:val="21"/>
                <w:highlight w:val="none"/>
              </w:rPr>
              <w:t>磋商小组对所有提交的响应文件进行评审；</w:t>
            </w:r>
          </w:p>
          <w:p>
            <w:pPr>
              <w:numPr>
                <w:ilvl w:val="0"/>
                <w:numId w:val="2"/>
              </w:numPr>
              <w:spacing w:line="360" w:lineRule="exact"/>
              <w:jc w:val="left"/>
              <w:rPr>
                <w:rFonts w:ascii="宋体" w:hAnsi="宋体"/>
                <w:kern w:val="0"/>
                <w:szCs w:val="21"/>
                <w:highlight w:val="none"/>
              </w:rPr>
            </w:pPr>
            <w:r>
              <w:rPr>
                <w:rFonts w:hint="eastAsia" w:ascii="宋体" w:hAnsi="宋体"/>
                <w:kern w:val="0"/>
                <w:szCs w:val="21"/>
                <w:highlight w:val="none"/>
              </w:rPr>
              <w:t>磋商小组所有成员集中与单一供应商分别进行磋商；</w:t>
            </w:r>
          </w:p>
          <w:p>
            <w:pPr>
              <w:numPr>
                <w:ilvl w:val="0"/>
                <w:numId w:val="2"/>
              </w:numPr>
              <w:spacing w:line="360" w:lineRule="exact"/>
              <w:jc w:val="left"/>
              <w:rPr>
                <w:rFonts w:ascii="宋体" w:hAnsi="宋体"/>
                <w:kern w:val="0"/>
                <w:szCs w:val="21"/>
                <w:highlight w:val="none"/>
              </w:rPr>
            </w:pPr>
            <w:r>
              <w:rPr>
                <w:rFonts w:hint="eastAsia" w:ascii="宋体" w:hAnsi="宋体"/>
                <w:kern w:val="0"/>
                <w:szCs w:val="21"/>
                <w:highlight w:val="none"/>
              </w:rPr>
              <w:t>供应商按照要求密封提交二次报价；</w:t>
            </w:r>
          </w:p>
          <w:p>
            <w:pPr>
              <w:numPr>
                <w:ilvl w:val="0"/>
                <w:numId w:val="2"/>
              </w:numPr>
              <w:spacing w:line="360" w:lineRule="exact"/>
              <w:jc w:val="left"/>
              <w:rPr>
                <w:rFonts w:ascii="宋体" w:hAnsi="宋体"/>
                <w:kern w:val="0"/>
                <w:szCs w:val="21"/>
                <w:highlight w:val="none"/>
              </w:rPr>
            </w:pPr>
            <w:r>
              <w:rPr>
                <w:rFonts w:hint="eastAsia" w:ascii="宋体" w:hAnsi="宋体"/>
                <w:kern w:val="0"/>
                <w:szCs w:val="21"/>
                <w:highlight w:val="none"/>
              </w:rPr>
              <w:t>磋商小组评审、推荐成交候选人。</w:t>
            </w:r>
          </w:p>
          <w:p>
            <w:pPr>
              <w:spacing w:line="360" w:lineRule="exact"/>
              <w:ind w:firstLine="420" w:firstLineChars="200"/>
              <w:jc w:val="left"/>
              <w:rPr>
                <w:rFonts w:ascii="宋体" w:hAnsi="宋体"/>
                <w:kern w:val="0"/>
                <w:szCs w:val="21"/>
                <w:highlight w:val="none"/>
              </w:rPr>
            </w:pPr>
            <w:r>
              <w:rPr>
                <w:rFonts w:hint="eastAsia" w:ascii="宋体" w:hAnsi="宋体"/>
                <w:kern w:val="0"/>
                <w:szCs w:val="21"/>
                <w:highlight w:val="none"/>
              </w:rPr>
              <w:t>在磋商过程中，磋商小组可以根据磋商文件和磋商情况实质性变动采购需求中的技术、服务要求以及合同草案条款，二次报价为最终报价。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0" w:hRule="atLeast"/>
          <w:jc w:val="center"/>
        </w:trPr>
        <w:tc>
          <w:tcPr>
            <w:tcW w:w="993" w:type="dxa"/>
            <w:vAlign w:val="center"/>
          </w:tcPr>
          <w:p>
            <w:pPr>
              <w:spacing w:line="360" w:lineRule="exact"/>
              <w:jc w:val="center"/>
              <w:rPr>
                <w:rFonts w:ascii="宋体" w:hAnsi="宋体"/>
                <w:kern w:val="0"/>
                <w:szCs w:val="21"/>
                <w:highlight w:val="none"/>
              </w:rPr>
            </w:pPr>
            <w:r>
              <w:rPr>
                <w:rFonts w:hint="eastAsia" w:ascii="宋体" w:hAnsi="宋体"/>
                <w:kern w:val="0"/>
                <w:szCs w:val="21"/>
                <w:highlight w:val="none"/>
              </w:rPr>
              <w:t>24.1</w:t>
            </w:r>
          </w:p>
        </w:tc>
        <w:tc>
          <w:tcPr>
            <w:tcW w:w="2067" w:type="dxa"/>
            <w:vAlign w:val="center"/>
          </w:tcPr>
          <w:p>
            <w:pPr>
              <w:spacing w:line="360" w:lineRule="exact"/>
              <w:rPr>
                <w:rFonts w:ascii="宋体" w:hAnsi="宋体"/>
                <w:kern w:val="0"/>
                <w:szCs w:val="21"/>
                <w:highlight w:val="none"/>
              </w:rPr>
            </w:pPr>
            <w:r>
              <w:rPr>
                <w:rFonts w:hint="eastAsia" w:ascii="宋体" w:hAnsi="宋体"/>
                <w:kern w:val="0"/>
                <w:szCs w:val="21"/>
                <w:highlight w:val="none"/>
              </w:rPr>
              <w:t>推荐成交候选人数量</w:t>
            </w:r>
          </w:p>
        </w:tc>
        <w:tc>
          <w:tcPr>
            <w:tcW w:w="5940" w:type="dxa"/>
            <w:vAlign w:val="center"/>
          </w:tcPr>
          <w:p>
            <w:pPr>
              <w:spacing w:line="360" w:lineRule="exact"/>
              <w:rPr>
                <w:rFonts w:ascii="宋体" w:hAnsi="宋体"/>
                <w:kern w:val="0"/>
                <w:szCs w:val="21"/>
                <w:highlight w:val="none"/>
              </w:rPr>
            </w:pPr>
            <w:r>
              <w:rPr>
                <w:rFonts w:hint="eastAsia" w:ascii="宋体" w:hAnsi="宋体"/>
                <w:kern w:val="0"/>
                <w:szCs w:val="21"/>
                <w:highlight w:val="none"/>
              </w:rPr>
              <w:t>3名。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993" w:type="dxa"/>
            <w:vAlign w:val="center"/>
          </w:tcPr>
          <w:p>
            <w:pPr>
              <w:spacing w:line="360" w:lineRule="exact"/>
              <w:jc w:val="center"/>
              <w:rPr>
                <w:rFonts w:ascii="宋体" w:hAnsi="宋体"/>
                <w:kern w:val="0"/>
                <w:szCs w:val="21"/>
                <w:highlight w:val="none"/>
              </w:rPr>
            </w:pPr>
            <w:r>
              <w:rPr>
                <w:rFonts w:hint="eastAsia" w:ascii="宋体" w:hAnsi="宋体"/>
                <w:kern w:val="0"/>
                <w:szCs w:val="21"/>
                <w:highlight w:val="none"/>
              </w:rPr>
              <w:t>29</w:t>
            </w:r>
          </w:p>
        </w:tc>
        <w:tc>
          <w:tcPr>
            <w:tcW w:w="2067" w:type="dxa"/>
            <w:vAlign w:val="center"/>
          </w:tcPr>
          <w:p>
            <w:pPr>
              <w:spacing w:line="360" w:lineRule="exact"/>
              <w:rPr>
                <w:rFonts w:ascii="宋体" w:hAnsi="宋体"/>
                <w:kern w:val="0"/>
                <w:szCs w:val="21"/>
                <w:highlight w:val="none"/>
              </w:rPr>
            </w:pPr>
            <w:r>
              <w:rPr>
                <w:rFonts w:hint="eastAsia" w:ascii="宋体" w:hAnsi="宋体"/>
                <w:kern w:val="0"/>
                <w:szCs w:val="21"/>
                <w:highlight w:val="none"/>
              </w:rPr>
              <w:t>采购代理服务费</w:t>
            </w:r>
          </w:p>
        </w:tc>
        <w:tc>
          <w:tcPr>
            <w:tcW w:w="5940" w:type="dxa"/>
            <w:vAlign w:val="center"/>
          </w:tcPr>
          <w:p>
            <w:pPr>
              <w:spacing w:line="360" w:lineRule="exact"/>
              <w:rPr>
                <w:rFonts w:ascii="宋体" w:hAnsi="宋体"/>
                <w:kern w:val="0"/>
                <w:szCs w:val="21"/>
                <w:highlight w:val="none"/>
              </w:rPr>
            </w:pPr>
            <w:r>
              <w:rPr>
                <w:rFonts w:hint="eastAsia" w:ascii="宋体" w:hAnsi="宋体"/>
                <w:szCs w:val="21"/>
                <w:highlight w:val="none"/>
              </w:rPr>
              <w:t>确定成交人后3日内，由中标人向采购代理机构一次付清招标代理服务费，招标代理报酬的金额或收取比例：依据国家计委关于《招标代理服务收费管理暂行办法》（计价格[2002]1980号）、《关于招标代理服务收费有关问题的通知》（[2003]857号）规定标准收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3" w:hRule="atLeast"/>
          <w:jc w:val="center"/>
        </w:trPr>
        <w:tc>
          <w:tcPr>
            <w:tcW w:w="993" w:type="dxa"/>
            <w:vAlign w:val="center"/>
          </w:tcPr>
          <w:p>
            <w:pPr>
              <w:spacing w:line="360" w:lineRule="exact"/>
              <w:jc w:val="center"/>
              <w:rPr>
                <w:rFonts w:ascii="宋体" w:hAnsi="宋体"/>
                <w:kern w:val="0"/>
                <w:szCs w:val="21"/>
                <w:highlight w:val="none"/>
              </w:rPr>
            </w:pPr>
            <w:r>
              <w:rPr>
                <w:rFonts w:hint="eastAsia" w:ascii="宋体" w:hAnsi="宋体"/>
                <w:kern w:val="0"/>
                <w:szCs w:val="21"/>
                <w:highlight w:val="none"/>
              </w:rPr>
              <w:t>31.1</w:t>
            </w:r>
          </w:p>
        </w:tc>
        <w:tc>
          <w:tcPr>
            <w:tcW w:w="2067" w:type="dxa"/>
            <w:vAlign w:val="center"/>
          </w:tcPr>
          <w:p>
            <w:pPr>
              <w:spacing w:line="360" w:lineRule="exact"/>
              <w:rPr>
                <w:rFonts w:ascii="宋体" w:hAnsi="宋体"/>
                <w:kern w:val="0"/>
                <w:szCs w:val="21"/>
                <w:highlight w:val="none"/>
              </w:rPr>
            </w:pPr>
            <w:r>
              <w:rPr>
                <w:rFonts w:hint="eastAsia" w:ascii="宋体" w:hAnsi="宋体"/>
                <w:kern w:val="0"/>
                <w:szCs w:val="21"/>
                <w:highlight w:val="none"/>
              </w:rPr>
              <w:t>计划工期</w:t>
            </w:r>
          </w:p>
        </w:tc>
        <w:tc>
          <w:tcPr>
            <w:tcW w:w="5940" w:type="dxa"/>
            <w:vAlign w:val="center"/>
          </w:tcPr>
          <w:p>
            <w:pPr>
              <w:spacing w:line="360" w:lineRule="exact"/>
              <w:rPr>
                <w:rFonts w:ascii="宋体" w:hAnsi="宋体"/>
                <w:kern w:val="0"/>
                <w:szCs w:val="21"/>
                <w:highlight w:val="none"/>
              </w:rPr>
            </w:pPr>
            <w:r>
              <w:rPr>
                <w:rFonts w:hint="eastAsia" w:ascii="宋体" w:hAnsi="宋体"/>
                <w:szCs w:val="21"/>
                <w:highlight w:val="none"/>
              </w:rPr>
              <w:t>90日历天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5" w:hRule="atLeast"/>
          <w:jc w:val="center"/>
        </w:trPr>
        <w:tc>
          <w:tcPr>
            <w:tcW w:w="993" w:type="dxa"/>
            <w:vAlign w:val="center"/>
          </w:tcPr>
          <w:p>
            <w:pPr>
              <w:spacing w:line="360" w:lineRule="exact"/>
              <w:jc w:val="center"/>
              <w:rPr>
                <w:rFonts w:ascii="宋体" w:hAnsi="宋体"/>
                <w:kern w:val="0"/>
                <w:szCs w:val="21"/>
                <w:highlight w:val="none"/>
              </w:rPr>
            </w:pPr>
            <w:r>
              <w:rPr>
                <w:rFonts w:hint="eastAsia" w:ascii="宋体" w:hAnsi="宋体"/>
                <w:kern w:val="0"/>
                <w:szCs w:val="21"/>
                <w:highlight w:val="none"/>
              </w:rPr>
              <w:t>31.2</w:t>
            </w:r>
          </w:p>
        </w:tc>
        <w:tc>
          <w:tcPr>
            <w:tcW w:w="2067" w:type="dxa"/>
            <w:vAlign w:val="center"/>
          </w:tcPr>
          <w:p>
            <w:pPr>
              <w:spacing w:line="360" w:lineRule="exact"/>
              <w:rPr>
                <w:rFonts w:ascii="宋体" w:hAnsi="宋体"/>
                <w:kern w:val="0"/>
                <w:szCs w:val="21"/>
                <w:highlight w:val="none"/>
              </w:rPr>
            </w:pPr>
            <w:r>
              <w:rPr>
                <w:rFonts w:hint="eastAsia" w:ascii="宋体" w:hAnsi="宋体"/>
                <w:kern w:val="0"/>
                <w:szCs w:val="21"/>
                <w:highlight w:val="none"/>
              </w:rPr>
              <w:t>质量要求</w:t>
            </w:r>
          </w:p>
        </w:tc>
        <w:tc>
          <w:tcPr>
            <w:tcW w:w="5940" w:type="dxa"/>
            <w:vAlign w:val="center"/>
          </w:tcPr>
          <w:p>
            <w:pPr>
              <w:spacing w:line="360" w:lineRule="exact"/>
              <w:rPr>
                <w:rFonts w:ascii="宋体" w:hAnsi="宋体"/>
                <w:kern w:val="0"/>
                <w:szCs w:val="21"/>
                <w:highlight w:val="none"/>
              </w:rPr>
            </w:pPr>
            <w:r>
              <w:rPr>
                <w:rFonts w:ascii="宋体" w:hAnsi="宋体"/>
                <w:kern w:val="0"/>
                <w:highlight w:val="none"/>
              </w:rPr>
              <w:t>达到国家现行</w:t>
            </w:r>
            <w:r>
              <w:rPr>
                <w:rFonts w:hint="eastAsia" w:ascii="宋体" w:hAnsi="宋体"/>
                <w:kern w:val="0"/>
                <w:highlight w:val="none"/>
              </w:rPr>
              <w:t>行业施工</w:t>
            </w:r>
            <w:r>
              <w:rPr>
                <w:rFonts w:ascii="宋体" w:hAnsi="宋体"/>
                <w:kern w:val="0"/>
                <w:highlight w:val="none"/>
              </w:rPr>
              <w:t>验收规范“合格”标准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3" w:hRule="atLeast"/>
          <w:jc w:val="center"/>
        </w:trPr>
        <w:tc>
          <w:tcPr>
            <w:tcW w:w="993" w:type="dxa"/>
            <w:vAlign w:val="center"/>
          </w:tcPr>
          <w:p>
            <w:pPr>
              <w:spacing w:line="360" w:lineRule="exact"/>
              <w:jc w:val="center"/>
              <w:rPr>
                <w:rFonts w:ascii="宋体" w:hAnsi="宋体"/>
                <w:kern w:val="0"/>
                <w:szCs w:val="21"/>
                <w:highlight w:val="none"/>
              </w:rPr>
            </w:pPr>
            <w:r>
              <w:rPr>
                <w:rFonts w:hint="eastAsia" w:ascii="宋体" w:hAnsi="宋体"/>
                <w:kern w:val="0"/>
                <w:szCs w:val="21"/>
                <w:highlight w:val="none"/>
              </w:rPr>
              <w:t>31.3</w:t>
            </w:r>
          </w:p>
        </w:tc>
        <w:tc>
          <w:tcPr>
            <w:tcW w:w="2067" w:type="dxa"/>
            <w:vAlign w:val="center"/>
          </w:tcPr>
          <w:p>
            <w:pPr>
              <w:spacing w:line="360" w:lineRule="exact"/>
              <w:rPr>
                <w:rFonts w:ascii="宋体" w:hAnsi="宋体"/>
                <w:kern w:val="0"/>
                <w:szCs w:val="21"/>
                <w:highlight w:val="none"/>
              </w:rPr>
            </w:pPr>
            <w:r>
              <w:rPr>
                <w:rFonts w:hint="eastAsia" w:ascii="宋体" w:hAnsi="宋体"/>
                <w:kern w:val="0"/>
                <w:szCs w:val="21"/>
                <w:highlight w:val="none"/>
              </w:rPr>
              <w:t>采购人发包内容</w:t>
            </w:r>
          </w:p>
        </w:tc>
        <w:tc>
          <w:tcPr>
            <w:tcW w:w="5940" w:type="dxa"/>
            <w:vAlign w:val="center"/>
          </w:tcPr>
          <w:p>
            <w:pPr>
              <w:spacing w:line="360" w:lineRule="exact"/>
              <w:rPr>
                <w:rFonts w:ascii="宋体" w:hAnsi="宋体"/>
                <w:kern w:val="0"/>
                <w:highlight w:val="none"/>
              </w:rPr>
            </w:pPr>
            <w:r>
              <w:rPr>
                <w:rFonts w:hint="eastAsia" w:ascii="宋体" w:hAnsi="宋体"/>
                <w:kern w:val="0"/>
                <w:highlight w:val="none"/>
              </w:rPr>
              <w:t>采购人提供的工程量清单全部内容及施工图纸中所包含的部分工程内容。以工程量清单为准。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3" w:hRule="atLeast"/>
          <w:jc w:val="center"/>
        </w:trPr>
        <w:tc>
          <w:tcPr>
            <w:tcW w:w="993" w:type="dxa"/>
            <w:vAlign w:val="center"/>
          </w:tcPr>
          <w:p>
            <w:pPr>
              <w:spacing w:line="360" w:lineRule="exact"/>
              <w:jc w:val="center"/>
              <w:rPr>
                <w:rFonts w:ascii="宋体" w:hAnsi="宋体"/>
                <w:kern w:val="0"/>
                <w:szCs w:val="21"/>
                <w:highlight w:val="none"/>
              </w:rPr>
            </w:pPr>
            <w:r>
              <w:rPr>
                <w:rFonts w:hint="eastAsia" w:ascii="宋体" w:hAnsi="宋体"/>
                <w:kern w:val="0"/>
                <w:szCs w:val="21"/>
                <w:highlight w:val="none"/>
              </w:rPr>
              <w:t>31.4</w:t>
            </w:r>
          </w:p>
        </w:tc>
        <w:tc>
          <w:tcPr>
            <w:tcW w:w="2067" w:type="dxa"/>
            <w:vAlign w:val="center"/>
          </w:tcPr>
          <w:p>
            <w:pPr>
              <w:spacing w:line="360" w:lineRule="exact"/>
              <w:rPr>
                <w:rFonts w:ascii="宋体" w:hAnsi="宋体"/>
                <w:kern w:val="0"/>
                <w:szCs w:val="21"/>
                <w:highlight w:val="none"/>
              </w:rPr>
            </w:pPr>
            <w:r>
              <w:rPr>
                <w:rFonts w:hint="eastAsia" w:ascii="宋体" w:hAnsi="宋体"/>
                <w:kern w:val="0"/>
                <w:szCs w:val="21"/>
                <w:highlight w:val="none"/>
              </w:rPr>
              <w:t>踏勘现场及答疑会</w:t>
            </w:r>
          </w:p>
        </w:tc>
        <w:tc>
          <w:tcPr>
            <w:tcW w:w="5940" w:type="dxa"/>
            <w:vAlign w:val="center"/>
          </w:tcPr>
          <w:p>
            <w:pPr>
              <w:spacing w:line="360" w:lineRule="exact"/>
              <w:rPr>
                <w:rFonts w:ascii="宋体" w:hAnsi="宋体"/>
                <w:kern w:val="0"/>
                <w:szCs w:val="21"/>
                <w:highlight w:val="none"/>
              </w:rPr>
            </w:pPr>
            <w:r>
              <w:rPr>
                <w:rFonts w:ascii="宋体" w:hAnsi="宋体"/>
                <w:kern w:val="0"/>
                <w:szCs w:val="21"/>
                <w:highlight w:val="none"/>
              </w:rPr>
              <w:t>采购人不组织统一踏勘现场，由各</w:t>
            </w:r>
            <w:r>
              <w:rPr>
                <w:rFonts w:hint="eastAsia" w:ascii="宋体" w:hAnsi="宋体"/>
                <w:kern w:val="0"/>
                <w:szCs w:val="21"/>
                <w:highlight w:val="none"/>
              </w:rPr>
              <w:t>供应商</w:t>
            </w:r>
            <w:r>
              <w:rPr>
                <w:rFonts w:ascii="宋体" w:hAnsi="宋体"/>
                <w:kern w:val="0"/>
                <w:szCs w:val="21"/>
                <w:highlight w:val="none"/>
              </w:rPr>
              <w:t>自行踏勘</w:t>
            </w:r>
            <w:r>
              <w:rPr>
                <w:rFonts w:hint="eastAsia" w:ascii="宋体" w:hAnsi="宋体"/>
                <w:kern w:val="0"/>
                <w:szCs w:val="21"/>
                <w:highlight w:val="none"/>
              </w:rPr>
              <w:t>；不组织答疑会。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3" w:hRule="atLeast"/>
          <w:jc w:val="center"/>
        </w:trPr>
        <w:tc>
          <w:tcPr>
            <w:tcW w:w="993" w:type="dxa"/>
            <w:vAlign w:val="center"/>
          </w:tcPr>
          <w:p>
            <w:pPr>
              <w:spacing w:line="360" w:lineRule="exact"/>
              <w:jc w:val="center"/>
              <w:rPr>
                <w:rFonts w:ascii="宋体" w:hAnsi="宋体"/>
                <w:kern w:val="0"/>
                <w:szCs w:val="21"/>
                <w:highlight w:val="none"/>
              </w:rPr>
            </w:pPr>
            <w:r>
              <w:rPr>
                <w:rFonts w:hint="eastAsia" w:ascii="宋体" w:hAnsi="宋体"/>
                <w:kern w:val="0"/>
                <w:szCs w:val="21"/>
                <w:highlight w:val="none"/>
              </w:rPr>
              <w:t>31.5</w:t>
            </w:r>
          </w:p>
        </w:tc>
        <w:tc>
          <w:tcPr>
            <w:tcW w:w="2067" w:type="dxa"/>
            <w:vAlign w:val="center"/>
          </w:tcPr>
          <w:p>
            <w:pPr>
              <w:spacing w:line="360" w:lineRule="exact"/>
              <w:rPr>
                <w:rFonts w:ascii="宋体" w:hAnsi="宋体"/>
                <w:kern w:val="0"/>
                <w:szCs w:val="21"/>
                <w:highlight w:val="none"/>
              </w:rPr>
            </w:pPr>
            <w:r>
              <w:rPr>
                <w:rFonts w:hint="eastAsia" w:ascii="宋体" w:hAnsi="宋体"/>
                <w:kern w:val="0"/>
                <w:szCs w:val="21"/>
                <w:highlight w:val="none"/>
              </w:rPr>
              <w:t>是否允许备选方案</w:t>
            </w:r>
          </w:p>
        </w:tc>
        <w:tc>
          <w:tcPr>
            <w:tcW w:w="5940" w:type="dxa"/>
            <w:vAlign w:val="center"/>
          </w:tcPr>
          <w:p>
            <w:pPr>
              <w:spacing w:line="360" w:lineRule="exact"/>
              <w:rPr>
                <w:rFonts w:ascii="宋体" w:hAnsi="宋体"/>
                <w:kern w:val="0"/>
                <w:szCs w:val="21"/>
                <w:highlight w:val="none"/>
              </w:rPr>
            </w:pPr>
            <w:r>
              <w:rPr>
                <w:rFonts w:hint="eastAsia" w:ascii="宋体" w:hAnsi="宋体"/>
                <w:kern w:val="0"/>
                <w:szCs w:val="21"/>
                <w:highlight w:val="none"/>
              </w:rPr>
              <w:t>否。</w:t>
            </w:r>
          </w:p>
        </w:tc>
      </w:tr>
    </w:tbl>
    <w:p>
      <w:pPr>
        <w:rPr>
          <w:rFonts w:ascii="宋体" w:hAnsi="宋体"/>
          <w:kern w:val="0"/>
          <w:highlight w:val="none"/>
        </w:rPr>
        <w:sectPr>
          <w:pgSz w:w="11905" w:h="16838"/>
          <w:pgMar w:top="1559" w:right="1757" w:bottom="1984" w:left="1757" w:header="850" w:footer="992" w:gutter="0"/>
          <w:cols w:space="0" w:num="1"/>
          <w:docGrid w:linePitch="312" w:charSpace="0"/>
        </w:sectPr>
      </w:pPr>
    </w:p>
    <w:p>
      <w:pPr>
        <w:jc w:val="center"/>
        <w:rPr>
          <w:rFonts w:ascii="黑体" w:hAnsi="黑体" w:eastAsia="黑体"/>
          <w:b/>
          <w:kern w:val="0"/>
          <w:sz w:val="44"/>
          <w:szCs w:val="28"/>
          <w:highlight w:val="none"/>
        </w:rPr>
      </w:pPr>
      <w:r>
        <w:rPr>
          <w:rFonts w:hint="eastAsia" w:ascii="黑体" w:hAnsi="黑体" w:eastAsia="黑体"/>
          <w:b/>
          <w:kern w:val="0"/>
          <w:sz w:val="44"/>
          <w:szCs w:val="28"/>
          <w:highlight w:val="none"/>
        </w:rPr>
        <w:t>磋商须知</w:t>
      </w:r>
    </w:p>
    <w:p>
      <w:pPr>
        <w:jc w:val="center"/>
        <w:rPr>
          <w:rFonts w:ascii="黑体" w:hAnsi="黑体" w:eastAsia="黑体"/>
          <w:b/>
          <w:kern w:val="0"/>
          <w:szCs w:val="21"/>
          <w:highlight w:val="none"/>
        </w:rPr>
      </w:pPr>
    </w:p>
    <w:p>
      <w:pPr>
        <w:jc w:val="center"/>
        <w:rPr>
          <w:rFonts w:ascii="黑体" w:hAnsi="黑体" w:eastAsia="黑体"/>
          <w:b/>
          <w:kern w:val="0"/>
          <w:sz w:val="28"/>
          <w:szCs w:val="28"/>
          <w:highlight w:val="none"/>
        </w:rPr>
      </w:pPr>
      <w:r>
        <w:rPr>
          <w:rFonts w:hint="eastAsia" w:ascii="黑体" w:hAnsi="黑体" w:eastAsia="黑体"/>
          <w:b/>
          <w:kern w:val="0"/>
          <w:sz w:val="28"/>
          <w:szCs w:val="28"/>
          <w:highlight w:val="none"/>
        </w:rPr>
        <w:t>一.总  则</w:t>
      </w:r>
    </w:p>
    <w:p>
      <w:pPr>
        <w:spacing w:line="500" w:lineRule="exact"/>
        <w:rPr>
          <w:rFonts w:ascii="宋体" w:hAnsi="宋体"/>
          <w:b/>
          <w:kern w:val="0"/>
          <w:szCs w:val="21"/>
          <w:highlight w:val="none"/>
        </w:rPr>
      </w:pPr>
      <w:r>
        <w:rPr>
          <w:rFonts w:ascii="宋体" w:hAnsi="宋体"/>
          <w:b/>
          <w:kern w:val="0"/>
          <w:szCs w:val="21"/>
          <w:highlight w:val="none"/>
        </w:rPr>
        <w:t>1.</w:t>
      </w:r>
      <w:r>
        <w:rPr>
          <w:rFonts w:hint="eastAsia" w:ascii="宋体" w:hAnsi="宋体"/>
          <w:b/>
          <w:kern w:val="0"/>
          <w:szCs w:val="21"/>
          <w:highlight w:val="none"/>
        </w:rPr>
        <w:t>采购人和</w:t>
      </w:r>
      <w:r>
        <w:rPr>
          <w:rFonts w:ascii="宋体" w:hAnsi="宋体"/>
          <w:b/>
          <w:kern w:val="0"/>
          <w:szCs w:val="21"/>
          <w:highlight w:val="none"/>
        </w:rPr>
        <w:t>资金来源</w:t>
      </w:r>
    </w:p>
    <w:p>
      <w:pPr>
        <w:spacing w:line="500" w:lineRule="exact"/>
        <w:ind w:firstLine="420" w:firstLineChars="200"/>
        <w:rPr>
          <w:rFonts w:ascii="宋体" w:hAnsi="宋体"/>
          <w:kern w:val="0"/>
          <w:szCs w:val="21"/>
          <w:highlight w:val="none"/>
        </w:rPr>
      </w:pPr>
      <w:r>
        <w:rPr>
          <w:rFonts w:ascii="宋体" w:hAnsi="宋体"/>
          <w:kern w:val="0"/>
          <w:szCs w:val="21"/>
          <w:highlight w:val="none"/>
        </w:rPr>
        <w:t>1.1</w:t>
      </w:r>
      <w:r>
        <w:rPr>
          <w:rFonts w:hint="eastAsia" w:ascii="宋体" w:hAnsi="宋体"/>
          <w:kern w:val="0"/>
          <w:szCs w:val="21"/>
          <w:highlight w:val="none"/>
        </w:rPr>
        <w:t>采购人名称、地址见前附表。</w:t>
      </w:r>
    </w:p>
    <w:p>
      <w:pPr>
        <w:spacing w:line="500" w:lineRule="exact"/>
        <w:ind w:firstLine="420" w:firstLineChars="200"/>
        <w:rPr>
          <w:rFonts w:ascii="宋体" w:hAnsi="宋体"/>
          <w:kern w:val="0"/>
          <w:szCs w:val="21"/>
          <w:highlight w:val="none"/>
        </w:rPr>
      </w:pPr>
      <w:r>
        <w:rPr>
          <w:rFonts w:hint="eastAsia" w:ascii="宋体" w:hAnsi="宋体"/>
          <w:kern w:val="0"/>
          <w:szCs w:val="21"/>
          <w:highlight w:val="none"/>
        </w:rPr>
        <w:t>1.2</w:t>
      </w:r>
      <w:r>
        <w:rPr>
          <w:rFonts w:ascii="宋体" w:hAnsi="宋体"/>
          <w:kern w:val="0"/>
          <w:szCs w:val="21"/>
          <w:highlight w:val="none"/>
        </w:rPr>
        <w:t>本次</w:t>
      </w:r>
      <w:r>
        <w:rPr>
          <w:rFonts w:hint="eastAsia" w:ascii="宋体" w:hAnsi="宋体"/>
          <w:kern w:val="0"/>
          <w:szCs w:val="21"/>
          <w:highlight w:val="none"/>
        </w:rPr>
        <w:t>磋商</w:t>
      </w:r>
      <w:r>
        <w:rPr>
          <w:rFonts w:ascii="宋体" w:hAnsi="宋体"/>
          <w:kern w:val="0"/>
          <w:szCs w:val="21"/>
          <w:highlight w:val="none"/>
        </w:rPr>
        <w:t>采购所签</w:t>
      </w:r>
      <w:r>
        <w:rPr>
          <w:rFonts w:hint="eastAsia" w:ascii="宋体" w:hAnsi="宋体"/>
          <w:kern w:val="0"/>
          <w:szCs w:val="21"/>
          <w:highlight w:val="none"/>
        </w:rPr>
        <w:t>订</w:t>
      </w:r>
      <w:r>
        <w:rPr>
          <w:rFonts w:ascii="宋体" w:hAnsi="宋体"/>
          <w:kern w:val="0"/>
          <w:szCs w:val="21"/>
          <w:highlight w:val="none"/>
        </w:rPr>
        <w:t>合同</w:t>
      </w:r>
      <w:r>
        <w:rPr>
          <w:rFonts w:hint="eastAsia" w:ascii="宋体" w:hAnsi="宋体"/>
          <w:kern w:val="0"/>
          <w:szCs w:val="21"/>
          <w:highlight w:val="none"/>
        </w:rPr>
        <w:t>将</w:t>
      </w:r>
      <w:r>
        <w:rPr>
          <w:rFonts w:ascii="宋体" w:hAnsi="宋体"/>
          <w:kern w:val="0"/>
          <w:szCs w:val="21"/>
          <w:highlight w:val="none"/>
        </w:rPr>
        <w:t>使用</w:t>
      </w:r>
      <w:r>
        <w:rPr>
          <w:rFonts w:ascii="宋体" w:hAnsi="宋体"/>
          <w:kern w:val="0"/>
          <w:szCs w:val="21"/>
          <w:highlight w:val="none"/>
        </w:rPr>
        <w:t>财政性资金支付</w:t>
      </w:r>
      <w:r>
        <w:rPr>
          <w:rFonts w:ascii="宋体" w:hAnsi="宋体"/>
          <w:kern w:val="0"/>
          <w:szCs w:val="21"/>
          <w:highlight w:val="none"/>
        </w:rPr>
        <w:t>，资金已落实到位。</w:t>
      </w:r>
    </w:p>
    <w:p>
      <w:pPr>
        <w:spacing w:line="500" w:lineRule="exact"/>
        <w:rPr>
          <w:rFonts w:ascii="宋体" w:hAnsi="宋体"/>
          <w:b/>
          <w:kern w:val="0"/>
          <w:szCs w:val="21"/>
          <w:highlight w:val="none"/>
        </w:rPr>
      </w:pPr>
      <w:r>
        <w:rPr>
          <w:rFonts w:ascii="宋体" w:hAnsi="宋体"/>
          <w:b/>
          <w:kern w:val="0"/>
          <w:szCs w:val="21"/>
          <w:highlight w:val="none"/>
        </w:rPr>
        <w:t>2.采购代理机构及合格的</w:t>
      </w:r>
      <w:r>
        <w:rPr>
          <w:rFonts w:hint="eastAsia" w:ascii="宋体" w:hAnsi="宋体"/>
          <w:b/>
          <w:kern w:val="0"/>
          <w:szCs w:val="21"/>
          <w:highlight w:val="none"/>
        </w:rPr>
        <w:t>供应商</w:t>
      </w:r>
    </w:p>
    <w:p>
      <w:pPr>
        <w:spacing w:line="500" w:lineRule="exact"/>
        <w:ind w:firstLine="420" w:firstLineChars="200"/>
        <w:rPr>
          <w:rFonts w:ascii="宋体" w:hAnsi="宋体"/>
          <w:kern w:val="0"/>
          <w:szCs w:val="21"/>
          <w:highlight w:val="none"/>
        </w:rPr>
      </w:pPr>
      <w:r>
        <w:rPr>
          <w:rFonts w:ascii="宋体" w:hAnsi="宋体"/>
          <w:kern w:val="0"/>
          <w:szCs w:val="21"/>
          <w:highlight w:val="none"/>
        </w:rPr>
        <w:t>2.1 采购代理机构</w:t>
      </w:r>
    </w:p>
    <w:p>
      <w:pPr>
        <w:spacing w:line="500" w:lineRule="exact"/>
        <w:ind w:firstLine="420" w:firstLineChars="200"/>
        <w:rPr>
          <w:rFonts w:ascii="宋体" w:hAnsi="宋体"/>
          <w:kern w:val="0"/>
          <w:szCs w:val="21"/>
          <w:highlight w:val="none"/>
        </w:rPr>
      </w:pPr>
      <w:r>
        <w:rPr>
          <w:rFonts w:hint="eastAsia" w:ascii="宋体" w:hAnsi="宋体"/>
          <w:kern w:val="0"/>
          <w:szCs w:val="21"/>
          <w:highlight w:val="none"/>
        </w:rPr>
        <w:t>组织</w:t>
      </w:r>
      <w:r>
        <w:rPr>
          <w:rFonts w:ascii="宋体" w:hAnsi="宋体"/>
          <w:kern w:val="0"/>
          <w:szCs w:val="21"/>
          <w:highlight w:val="none"/>
        </w:rPr>
        <w:t>本次</w:t>
      </w:r>
      <w:r>
        <w:rPr>
          <w:rFonts w:hint="eastAsia" w:ascii="宋体" w:hAnsi="宋体"/>
          <w:kern w:val="0"/>
          <w:szCs w:val="21"/>
          <w:highlight w:val="none"/>
        </w:rPr>
        <w:t>磋商</w:t>
      </w:r>
      <w:r>
        <w:rPr>
          <w:rFonts w:ascii="宋体" w:hAnsi="宋体"/>
          <w:kern w:val="0"/>
          <w:szCs w:val="21"/>
          <w:highlight w:val="none"/>
        </w:rPr>
        <w:t>的采购代理机构为</w:t>
      </w:r>
      <w:r>
        <w:rPr>
          <w:rFonts w:hint="eastAsia" w:ascii="宋体" w:hAnsi="宋体"/>
          <w:kern w:val="0"/>
          <w:szCs w:val="21"/>
          <w:highlight w:val="none"/>
        </w:rPr>
        <w:t>陕西恒瑞项目管理有限公司</w:t>
      </w:r>
      <w:r>
        <w:rPr>
          <w:rFonts w:ascii="宋体" w:hAnsi="宋体"/>
          <w:kern w:val="0"/>
          <w:szCs w:val="21"/>
          <w:highlight w:val="none"/>
        </w:rPr>
        <w:t>。</w:t>
      </w:r>
    </w:p>
    <w:p>
      <w:pPr>
        <w:spacing w:line="500" w:lineRule="exact"/>
        <w:ind w:firstLine="420" w:firstLineChars="200"/>
        <w:rPr>
          <w:rFonts w:ascii="宋体" w:hAnsi="宋体"/>
          <w:kern w:val="0"/>
          <w:szCs w:val="21"/>
          <w:highlight w:val="none"/>
        </w:rPr>
      </w:pPr>
      <w:r>
        <w:rPr>
          <w:rFonts w:ascii="宋体" w:hAnsi="宋体"/>
          <w:kern w:val="0"/>
          <w:szCs w:val="21"/>
          <w:highlight w:val="none"/>
        </w:rPr>
        <w:t>2.2合格的</w:t>
      </w:r>
      <w:r>
        <w:rPr>
          <w:rFonts w:hint="eastAsia" w:ascii="宋体" w:hAnsi="宋体"/>
          <w:kern w:val="0"/>
          <w:szCs w:val="21"/>
          <w:highlight w:val="none"/>
        </w:rPr>
        <w:t>供应商</w:t>
      </w:r>
      <w:r>
        <w:rPr>
          <w:rFonts w:ascii="宋体" w:hAnsi="宋体"/>
          <w:kern w:val="0"/>
          <w:szCs w:val="21"/>
          <w:highlight w:val="none"/>
        </w:rPr>
        <w:t>：</w:t>
      </w:r>
    </w:p>
    <w:p>
      <w:pPr>
        <w:spacing w:line="500" w:lineRule="exact"/>
        <w:ind w:firstLine="420" w:firstLineChars="200"/>
        <w:rPr>
          <w:rFonts w:ascii="宋体" w:hAnsi="宋体"/>
          <w:kern w:val="0"/>
          <w:szCs w:val="21"/>
          <w:highlight w:val="none"/>
        </w:rPr>
      </w:pPr>
      <w:r>
        <w:rPr>
          <w:rFonts w:ascii="宋体" w:hAnsi="宋体"/>
          <w:kern w:val="0"/>
          <w:szCs w:val="21"/>
          <w:highlight w:val="none"/>
        </w:rPr>
        <w:t>2.2.1具备下列条件，方为合格的</w:t>
      </w:r>
      <w:r>
        <w:rPr>
          <w:rFonts w:hint="eastAsia" w:ascii="宋体" w:hAnsi="宋体"/>
          <w:kern w:val="0"/>
          <w:szCs w:val="21"/>
          <w:highlight w:val="none"/>
        </w:rPr>
        <w:t>供应商</w:t>
      </w:r>
    </w:p>
    <w:p>
      <w:pPr>
        <w:spacing w:line="500" w:lineRule="exact"/>
        <w:ind w:firstLine="420" w:firstLineChars="200"/>
        <w:rPr>
          <w:rFonts w:ascii="宋体" w:hAnsi="宋体"/>
          <w:kern w:val="0"/>
          <w:szCs w:val="21"/>
          <w:highlight w:val="none"/>
        </w:rPr>
      </w:pPr>
      <w:r>
        <w:rPr>
          <w:rFonts w:ascii="宋体" w:hAnsi="宋体"/>
          <w:kern w:val="0"/>
          <w:szCs w:val="21"/>
          <w:highlight w:val="none"/>
        </w:rPr>
        <w:t xml:space="preserve"> 1）具有独立承担民事责任的能力；</w:t>
      </w:r>
    </w:p>
    <w:p>
      <w:pPr>
        <w:spacing w:line="500" w:lineRule="exact"/>
        <w:ind w:firstLine="420" w:firstLineChars="200"/>
        <w:rPr>
          <w:rFonts w:ascii="宋体" w:hAnsi="宋体"/>
          <w:kern w:val="0"/>
          <w:szCs w:val="21"/>
          <w:highlight w:val="none"/>
        </w:rPr>
      </w:pPr>
      <w:r>
        <w:rPr>
          <w:rFonts w:ascii="宋体" w:hAnsi="宋体"/>
          <w:kern w:val="0"/>
          <w:szCs w:val="21"/>
          <w:highlight w:val="none"/>
        </w:rPr>
        <w:t xml:space="preserve"> 2）具有良好的商业信誉和健全的财务会计制度；</w:t>
      </w:r>
    </w:p>
    <w:p>
      <w:pPr>
        <w:spacing w:line="500" w:lineRule="exact"/>
        <w:ind w:firstLine="420" w:firstLineChars="200"/>
        <w:rPr>
          <w:rFonts w:ascii="宋体" w:hAnsi="宋体"/>
          <w:kern w:val="0"/>
          <w:szCs w:val="21"/>
          <w:highlight w:val="none"/>
        </w:rPr>
      </w:pPr>
      <w:r>
        <w:rPr>
          <w:rFonts w:ascii="宋体" w:hAnsi="宋体"/>
          <w:kern w:val="0"/>
          <w:szCs w:val="21"/>
          <w:highlight w:val="none"/>
        </w:rPr>
        <w:t xml:space="preserve"> 3）具有履行合同所必需的设备和专业技术能力；</w:t>
      </w:r>
    </w:p>
    <w:p>
      <w:pPr>
        <w:spacing w:line="500" w:lineRule="exact"/>
        <w:ind w:firstLine="420" w:firstLineChars="200"/>
        <w:rPr>
          <w:rFonts w:ascii="宋体" w:hAnsi="宋体"/>
          <w:kern w:val="0"/>
          <w:szCs w:val="21"/>
          <w:highlight w:val="none"/>
        </w:rPr>
      </w:pPr>
      <w:r>
        <w:rPr>
          <w:rFonts w:ascii="宋体" w:hAnsi="宋体"/>
          <w:kern w:val="0"/>
          <w:szCs w:val="21"/>
          <w:highlight w:val="none"/>
        </w:rPr>
        <w:t xml:space="preserve"> 4）有依法缴纳税收和社会保障资金的良好</w:t>
      </w:r>
      <w:r>
        <w:rPr>
          <w:rFonts w:hint="eastAsia" w:ascii="宋体" w:hAnsi="宋体"/>
          <w:kern w:val="0"/>
          <w:szCs w:val="21"/>
          <w:highlight w:val="none"/>
        </w:rPr>
        <w:t>记</w:t>
      </w:r>
      <w:r>
        <w:rPr>
          <w:rFonts w:ascii="宋体" w:hAnsi="宋体"/>
          <w:kern w:val="0"/>
          <w:szCs w:val="21"/>
          <w:highlight w:val="none"/>
        </w:rPr>
        <w:t>录；</w:t>
      </w:r>
    </w:p>
    <w:p>
      <w:pPr>
        <w:spacing w:line="500" w:lineRule="exact"/>
        <w:ind w:firstLine="420" w:firstLineChars="200"/>
        <w:rPr>
          <w:rFonts w:ascii="宋体" w:hAnsi="宋体"/>
          <w:kern w:val="0"/>
          <w:szCs w:val="21"/>
          <w:highlight w:val="none"/>
        </w:rPr>
      </w:pPr>
      <w:r>
        <w:rPr>
          <w:rFonts w:ascii="宋体" w:hAnsi="宋体"/>
          <w:kern w:val="0"/>
          <w:szCs w:val="21"/>
          <w:highlight w:val="none"/>
        </w:rPr>
        <w:t xml:space="preserve"> 5）参加政府采购活动前三年内，在经营活动中没有重大违法</w:t>
      </w:r>
      <w:r>
        <w:rPr>
          <w:rFonts w:hint="eastAsia" w:ascii="宋体" w:hAnsi="宋体"/>
          <w:kern w:val="0"/>
          <w:szCs w:val="21"/>
          <w:highlight w:val="none"/>
        </w:rPr>
        <w:t>记</w:t>
      </w:r>
      <w:r>
        <w:rPr>
          <w:rFonts w:ascii="宋体" w:hAnsi="宋体"/>
          <w:kern w:val="0"/>
          <w:szCs w:val="21"/>
          <w:highlight w:val="none"/>
        </w:rPr>
        <w:t>录；</w:t>
      </w:r>
    </w:p>
    <w:p>
      <w:pPr>
        <w:spacing w:line="500" w:lineRule="exact"/>
        <w:ind w:firstLine="420" w:firstLineChars="200"/>
        <w:rPr>
          <w:rFonts w:ascii="宋体" w:hAnsi="宋体"/>
          <w:kern w:val="0"/>
          <w:szCs w:val="21"/>
          <w:highlight w:val="none"/>
        </w:rPr>
      </w:pPr>
      <w:r>
        <w:rPr>
          <w:rFonts w:ascii="宋体" w:hAnsi="宋体"/>
          <w:kern w:val="0"/>
          <w:szCs w:val="21"/>
          <w:highlight w:val="none"/>
        </w:rPr>
        <w:t xml:space="preserve"> 6）中华人民共和国法律、行政法规规定的其他条件（见</w:t>
      </w:r>
      <w:r>
        <w:rPr>
          <w:rFonts w:hint="eastAsia" w:ascii="宋体" w:hAnsi="宋体"/>
          <w:kern w:val="0"/>
          <w:szCs w:val="21"/>
          <w:highlight w:val="none"/>
        </w:rPr>
        <w:t>磋商</w:t>
      </w:r>
      <w:r>
        <w:rPr>
          <w:rFonts w:ascii="宋体" w:hAnsi="宋体"/>
          <w:kern w:val="0"/>
          <w:szCs w:val="21"/>
          <w:highlight w:val="none"/>
        </w:rPr>
        <w:t>须知前附表）</w:t>
      </w:r>
      <w:r>
        <w:rPr>
          <w:rFonts w:hint="eastAsia" w:ascii="宋体" w:hAnsi="宋体"/>
          <w:kern w:val="0"/>
          <w:szCs w:val="21"/>
          <w:highlight w:val="none"/>
        </w:rPr>
        <w:t>；</w:t>
      </w:r>
    </w:p>
    <w:p>
      <w:pPr>
        <w:spacing w:line="500" w:lineRule="exact"/>
        <w:ind w:firstLine="420" w:firstLineChars="200"/>
        <w:rPr>
          <w:rFonts w:ascii="宋体" w:hAnsi="宋体"/>
          <w:kern w:val="0"/>
          <w:szCs w:val="21"/>
          <w:highlight w:val="none"/>
        </w:rPr>
      </w:pPr>
      <w:r>
        <w:rPr>
          <w:rFonts w:ascii="宋体" w:hAnsi="宋体"/>
          <w:kern w:val="0"/>
          <w:szCs w:val="21"/>
          <w:highlight w:val="none"/>
        </w:rPr>
        <w:t xml:space="preserve"> 7）根据本次采购项目的特殊要求，规定的供应商特殊条件（见</w:t>
      </w:r>
      <w:r>
        <w:rPr>
          <w:rFonts w:hint="eastAsia" w:ascii="宋体" w:hAnsi="宋体"/>
          <w:kern w:val="0"/>
          <w:szCs w:val="21"/>
          <w:highlight w:val="none"/>
        </w:rPr>
        <w:t>磋商</w:t>
      </w:r>
      <w:r>
        <w:rPr>
          <w:rFonts w:ascii="宋体" w:hAnsi="宋体"/>
          <w:kern w:val="0"/>
          <w:szCs w:val="21"/>
          <w:highlight w:val="none"/>
        </w:rPr>
        <w:t>须知前附表）。</w:t>
      </w:r>
    </w:p>
    <w:p>
      <w:pPr>
        <w:spacing w:line="500" w:lineRule="exact"/>
        <w:ind w:firstLine="420" w:firstLineChars="200"/>
        <w:rPr>
          <w:rFonts w:ascii="宋体" w:hAnsi="宋体"/>
          <w:kern w:val="0"/>
          <w:szCs w:val="21"/>
          <w:highlight w:val="none"/>
        </w:rPr>
      </w:pPr>
      <w:r>
        <w:rPr>
          <w:rFonts w:ascii="宋体" w:hAnsi="宋体"/>
          <w:kern w:val="0"/>
          <w:szCs w:val="21"/>
          <w:highlight w:val="none"/>
        </w:rPr>
        <w:t>2.2.2</w:t>
      </w:r>
      <w:r>
        <w:rPr>
          <w:rFonts w:hint="eastAsia" w:ascii="宋体" w:hAnsi="宋体"/>
          <w:kern w:val="0"/>
          <w:szCs w:val="21"/>
          <w:highlight w:val="none"/>
        </w:rPr>
        <w:t>参加本次磋商的供应商</w:t>
      </w:r>
      <w:r>
        <w:rPr>
          <w:rFonts w:ascii="宋体" w:hAnsi="宋体"/>
          <w:kern w:val="0"/>
          <w:szCs w:val="21"/>
          <w:highlight w:val="none"/>
        </w:rPr>
        <w:t>不得直接或间接地与采购单位（包括</w:t>
      </w:r>
      <w:r>
        <w:rPr>
          <w:rFonts w:hint="eastAsia" w:ascii="宋体" w:hAnsi="宋体"/>
          <w:kern w:val="0"/>
          <w:szCs w:val="21"/>
          <w:highlight w:val="none"/>
        </w:rPr>
        <w:t>采购代理机构</w:t>
      </w:r>
      <w:r>
        <w:rPr>
          <w:rFonts w:ascii="宋体" w:hAnsi="宋体"/>
          <w:kern w:val="0"/>
          <w:szCs w:val="21"/>
          <w:highlight w:val="none"/>
        </w:rPr>
        <w:t>、采购人）有任何关联，亦不得是采购单位的附属机构。如果</w:t>
      </w:r>
      <w:r>
        <w:rPr>
          <w:rFonts w:hint="eastAsia" w:ascii="宋体" w:hAnsi="宋体"/>
          <w:kern w:val="0"/>
          <w:szCs w:val="21"/>
          <w:highlight w:val="none"/>
        </w:rPr>
        <w:t>供应商</w:t>
      </w:r>
      <w:r>
        <w:rPr>
          <w:rFonts w:ascii="宋体" w:hAnsi="宋体"/>
          <w:kern w:val="0"/>
          <w:szCs w:val="21"/>
          <w:highlight w:val="none"/>
        </w:rPr>
        <w:t>在</w:t>
      </w:r>
      <w:r>
        <w:rPr>
          <w:rFonts w:hint="eastAsia" w:ascii="宋体" w:hAnsi="宋体"/>
          <w:kern w:val="0"/>
          <w:szCs w:val="21"/>
          <w:highlight w:val="none"/>
        </w:rPr>
        <w:t>磋商</w:t>
      </w:r>
      <w:r>
        <w:rPr>
          <w:rFonts w:ascii="宋体" w:hAnsi="宋体"/>
          <w:kern w:val="0"/>
          <w:szCs w:val="21"/>
          <w:highlight w:val="none"/>
        </w:rPr>
        <w:t>中隐瞒了上述关系，</w:t>
      </w:r>
      <w:r>
        <w:rPr>
          <w:rFonts w:hint="eastAsia" w:ascii="宋体" w:hAnsi="宋体"/>
          <w:kern w:val="0"/>
          <w:szCs w:val="21"/>
          <w:highlight w:val="none"/>
        </w:rPr>
        <w:t>其磋商响应文件按无效处理</w:t>
      </w:r>
      <w:r>
        <w:rPr>
          <w:rFonts w:ascii="宋体" w:hAnsi="宋体"/>
          <w:kern w:val="0"/>
          <w:szCs w:val="21"/>
          <w:highlight w:val="none"/>
        </w:rPr>
        <w:t>。</w:t>
      </w:r>
    </w:p>
    <w:p>
      <w:pPr>
        <w:spacing w:line="500" w:lineRule="exact"/>
        <w:ind w:firstLine="420" w:firstLineChars="200"/>
        <w:rPr>
          <w:rFonts w:ascii="宋体" w:hAnsi="宋体"/>
          <w:kern w:val="0"/>
          <w:szCs w:val="21"/>
          <w:highlight w:val="none"/>
        </w:rPr>
      </w:pPr>
      <w:r>
        <w:rPr>
          <w:rFonts w:hint="eastAsia" w:ascii="宋体" w:hAnsi="宋体"/>
          <w:kern w:val="0"/>
          <w:szCs w:val="21"/>
          <w:highlight w:val="none"/>
        </w:rPr>
        <w:t>2.2.3单位负责人为同一人或者存在直接控股、管理关系的不同供应商，不得参加本项目同一合同项下的磋商。</w:t>
      </w:r>
      <w:r>
        <w:rPr>
          <w:rFonts w:ascii="宋体" w:hAnsi="宋体"/>
          <w:kern w:val="0"/>
          <w:szCs w:val="21"/>
          <w:highlight w:val="none"/>
        </w:rPr>
        <w:t>如果</w:t>
      </w:r>
      <w:r>
        <w:rPr>
          <w:rFonts w:hint="eastAsia" w:ascii="宋体" w:hAnsi="宋体"/>
          <w:kern w:val="0"/>
          <w:szCs w:val="21"/>
          <w:highlight w:val="none"/>
        </w:rPr>
        <w:t>供应商</w:t>
      </w:r>
      <w:r>
        <w:rPr>
          <w:rFonts w:ascii="宋体" w:hAnsi="宋体"/>
          <w:kern w:val="0"/>
          <w:szCs w:val="21"/>
          <w:highlight w:val="none"/>
        </w:rPr>
        <w:t>在</w:t>
      </w:r>
      <w:r>
        <w:rPr>
          <w:rFonts w:hint="eastAsia" w:ascii="宋体" w:hAnsi="宋体"/>
          <w:kern w:val="0"/>
          <w:szCs w:val="21"/>
          <w:highlight w:val="none"/>
        </w:rPr>
        <w:t>磋商</w:t>
      </w:r>
      <w:r>
        <w:rPr>
          <w:rFonts w:ascii="宋体" w:hAnsi="宋体"/>
          <w:kern w:val="0"/>
          <w:szCs w:val="21"/>
          <w:highlight w:val="none"/>
        </w:rPr>
        <w:t>中隐瞒了上述关系，</w:t>
      </w:r>
      <w:r>
        <w:rPr>
          <w:rFonts w:hint="eastAsia" w:ascii="宋体" w:hAnsi="宋体"/>
          <w:kern w:val="0"/>
          <w:szCs w:val="21"/>
          <w:highlight w:val="none"/>
        </w:rPr>
        <w:t>其磋商响应文件按无效处理</w:t>
      </w:r>
      <w:r>
        <w:rPr>
          <w:rFonts w:ascii="宋体" w:hAnsi="宋体"/>
          <w:kern w:val="0"/>
          <w:szCs w:val="21"/>
          <w:highlight w:val="none"/>
        </w:rPr>
        <w:t>。</w:t>
      </w:r>
    </w:p>
    <w:p>
      <w:pPr>
        <w:spacing w:line="500" w:lineRule="exact"/>
        <w:ind w:firstLine="420" w:firstLineChars="200"/>
        <w:rPr>
          <w:rFonts w:ascii="宋体" w:hAnsi="宋体"/>
          <w:kern w:val="0"/>
          <w:szCs w:val="21"/>
          <w:highlight w:val="none"/>
        </w:rPr>
      </w:pPr>
      <w:r>
        <w:rPr>
          <w:rFonts w:hint="eastAsia" w:ascii="宋体" w:hAnsi="宋体"/>
          <w:kern w:val="0"/>
          <w:szCs w:val="21"/>
          <w:highlight w:val="none"/>
        </w:rPr>
        <w:t>2.2.4为本采购项目提供整体设计、规范编制或者项目管理、监理、检测等服务的供应商，不得再参加本采购项目的磋商报价</w:t>
      </w:r>
      <w:r>
        <w:rPr>
          <w:rFonts w:hint="eastAsia" w:ascii="仿宋_GB2312" w:hAnsi="宋体" w:eastAsia="仿宋_GB2312" w:cs="宋体"/>
          <w:kern w:val="0"/>
          <w:szCs w:val="21"/>
          <w:highlight w:val="none"/>
        </w:rPr>
        <w:t>。</w:t>
      </w:r>
      <w:r>
        <w:rPr>
          <w:rFonts w:ascii="宋体" w:hAnsi="宋体"/>
          <w:kern w:val="0"/>
          <w:szCs w:val="21"/>
          <w:highlight w:val="none"/>
        </w:rPr>
        <w:t>如果</w:t>
      </w:r>
      <w:r>
        <w:rPr>
          <w:rFonts w:hint="eastAsia" w:ascii="宋体" w:hAnsi="宋体"/>
          <w:kern w:val="0"/>
          <w:szCs w:val="21"/>
          <w:highlight w:val="none"/>
        </w:rPr>
        <w:t>供应商</w:t>
      </w:r>
      <w:r>
        <w:rPr>
          <w:rFonts w:ascii="宋体" w:hAnsi="宋体"/>
          <w:kern w:val="0"/>
          <w:szCs w:val="21"/>
          <w:highlight w:val="none"/>
        </w:rPr>
        <w:t>在</w:t>
      </w:r>
      <w:r>
        <w:rPr>
          <w:rFonts w:hint="eastAsia" w:ascii="宋体" w:hAnsi="宋体"/>
          <w:kern w:val="0"/>
          <w:szCs w:val="21"/>
          <w:highlight w:val="none"/>
        </w:rPr>
        <w:t>磋商</w:t>
      </w:r>
      <w:r>
        <w:rPr>
          <w:rFonts w:ascii="宋体" w:hAnsi="宋体"/>
          <w:kern w:val="0"/>
          <w:szCs w:val="21"/>
          <w:highlight w:val="none"/>
        </w:rPr>
        <w:t>中隐瞒了上述</w:t>
      </w:r>
      <w:r>
        <w:rPr>
          <w:rFonts w:hint="eastAsia" w:ascii="宋体" w:hAnsi="宋体"/>
          <w:kern w:val="0"/>
          <w:szCs w:val="21"/>
          <w:highlight w:val="none"/>
        </w:rPr>
        <w:t>事实</w:t>
      </w:r>
      <w:r>
        <w:rPr>
          <w:rFonts w:ascii="宋体" w:hAnsi="宋体"/>
          <w:kern w:val="0"/>
          <w:szCs w:val="21"/>
          <w:highlight w:val="none"/>
        </w:rPr>
        <w:t>，</w:t>
      </w:r>
      <w:r>
        <w:rPr>
          <w:rFonts w:hint="eastAsia" w:ascii="宋体" w:hAnsi="宋体"/>
          <w:kern w:val="0"/>
          <w:szCs w:val="21"/>
          <w:highlight w:val="none"/>
        </w:rPr>
        <w:t>其磋商响应文件按无效处理</w:t>
      </w:r>
      <w:r>
        <w:rPr>
          <w:rFonts w:ascii="宋体" w:hAnsi="宋体"/>
          <w:kern w:val="0"/>
          <w:szCs w:val="21"/>
          <w:highlight w:val="none"/>
        </w:rPr>
        <w:t>。</w:t>
      </w:r>
    </w:p>
    <w:p>
      <w:pPr>
        <w:spacing w:line="500" w:lineRule="exact"/>
        <w:ind w:firstLine="420" w:firstLineChars="200"/>
        <w:rPr>
          <w:rFonts w:ascii="宋体" w:hAnsi="宋体"/>
          <w:kern w:val="0"/>
          <w:szCs w:val="21"/>
          <w:highlight w:val="none"/>
        </w:rPr>
      </w:pPr>
      <w:r>
        <w:rPr>
          <w:rFonts w:ascii="宋体" w:hAnsi="宋体"/>
          <w:kern w:val="0"/>
          <w:szCs w:val="21"/>
          <w:highlight w:val="none"/>
        </w:rPr>
        <w:t>2.2.</w:t>
      </w:r>
      <w:r>
        <w:rPr>
          <w:rFonts w:hint="eastAsia" w:ascii="宋体" w:hAnsi="宋体"/>
          <w:kern w:val="0"/>
          <w:szCs w:val="21"/>
          <w:highlight w:val="none"/>
        </w:rPr>
        <w:t>5</w:t>
      </w:r>
      <w:r>
        <w:rPr>
          <w:rFonts w:ascii="宋体" w:hAnsi="宋体"/>
          <w:kern w:val="0"/>
          <w:szCs w:val="21"/>
          <w:highlight w:val="none"/>
        </w:rPr>
        <w:t>如果在</w:t>
      </w:r>
      <w:r>
        <w:rPr>
          <w:rFonts w:hint="eastAsia" w:ascii="宋体" w:hAnsi="宋体"/>
          <w:kern w:val="0"/>
          <w:szCs w:val="21"/>
          <w:highlight w:val="none"/>
        </w:rPr>
        <w:t>磋商</w:t>
      </w:r>
      <w:r>
        <w:rPr>
          <w:rFonts w:ascii="宋体" w:hAnsi="宋体"/>
          <w:kern w:val="0"/>
          <w:szCs w:val="21"/>
          <w:highlight w:val="none"/>
        </w:rPr>
        <w:t>文件中接受联合体</w:t>
      </w:r>
      <w:r>
        <w:rPr>
          <w:rFonts w:hint="eastAsia" w:ascii="宋体" w:hAnsi="宋体"/>
          <w:kern w:val="0"/>
          <w:szCs w:val="21"/>
          <w:highlight w:val="none"/>
        </w:rPr>
        <w:t>报价</w:t>
      </w:r>
      <w:r>
        <w:rPr>
          <w:rFonts w:ascii="宋体" w:hAnsi="宋体"/>
          <w:kern w:val="0"/>
          <w:szCs w:val="21"/>
          <w:highlight w:val="none"/>
        </w:rPr>
        <w:t>（见</w:t>
      </w:r>
      <w:r>
        <w:rPr>
          <w:rFonts w:hint="eastAsia" w:ascii="宋体" w:hAnsi="宋体"/>
          <w:kern w:val="0"/>
          <w:szCs w:val="21"/>
          <w:highlight w:val="none"/>
        </w:rPr>
        <w:t>磋商</w:t>
      </w:r>
      <w:r>
        <w:rPr>
          <w:rFonts w:ascii="宋体" w:hAnsi="宋体"/>
          <w:kern w:val="0"/>
          <w:szCs w:val="21"/>
          <w:highlight w:val="none"/>
        </w:rPr>
        <w:t>须知前附表），则两个以上供应商可以组成一个</w:t>
      </w:r>
      <w:r>
        <w:rPr>
          <w:rFonts w:hint="eastAsia" w:ascii="宋体" w:hAnsi="宋体"/>
          <w:kern w:val="0"/>
          <w:szCs w:val="21"/>
          <w:highlight w:val="none"/>
        </w:rPr>
        <w:t>磋商</w:t>
      </w:r>
      <w:r>
        <w:rPr>
          <w:rFonts w:ascii="宋体" w:hAnsi="宋体"/>
          <w:kern w:val="0"/>
          <w:szCs w:val="21"/>
          <w:highlight w:val="none"/>
        </w:rPr>
        <w:t>联合体，以一个供应商的身份磋商报价。以联合体形式参加磋商报价的，联合体各方均应当符合政府采购法第二十二条第一款规定的条件。采购人根据采购项目的特殊要求规定</w:t>
      </w:r>
      <w:r>
        <w:rPr>
          <w:rFonts w:hint="eastAsia" w:ascii="宋体" w:hAnsi="宋体"/>
          <w:kern w:val="0"/>
          <w:szCs w:val="21"/>
          <w:highlight w:val="none"/>
        </w:rPr>
        <w:t>供应商</w:t>
      </w:r>
      <w:r>
        <w:rPr>
          <w:rFonts w:ascii="宋体" w:hAnsi="宋体"/>
          <w:kern w:val="0"/>
          <w:szCs w:val="21"/>
          <w:highlight w:val="none"/>
        </w:rPr>
        <w:t>特定条件的，联合体各方中至少应当有一方符合采购人规定的特定条件。</w:t>
      </w:r>
    </w:p>
    <w:p>
      <w:pPr>
        <w:spacing w:line="500" w:lineRule="exact"/>
        <w:ind w:firstLine="420" w:firstLineChars="200"/>
        <w:rPr>
          <w:rFonts w:ascii="宋体" w:hAnsi="宋体"/>
          <w:kern w:val="0"/>
          <w:szCs w:val="21"/>
          <w:highlight w:val="none"/>
        </w:rPr>
      </w:pPr>
      <w:r>
        <w:rPr>
          <w:rFonts w:ascii="宋体" w:hAnsi="宋体"/>
          <w:kern w:val="0"/>
          <w:szCs w:val="21"/>
          <w:highlight w:val="none"/>
        </w:rPr>
        <w:t>联合体各方之间应当签订共同磋商报价协议，明确约定联合体各方承担的工作和相应的责任，并将共同磋商报价协议</w:t>
      </w:r>
      <w:r>
        <w:rPr>
          <w:rFonts w:hint="eastAsia" w:ascii="宋体" w:hAnsi="宋体"/>
          <w:kern w:val="0"/>
          <w:szCs w:val="21"/>
          <w:highlight w:val="none"/>
        </w:rPr>
        <w:t>附在</w:t>
      </w:r>
      <w:r>
        <w:rPr>
          <w:rFonts w:ascii="宋体" w:hAnsi="宋体"/>
          <w:kern w:val="0"/>
          <w:szCs w:val="21"/>
          <w:highlight w:val="none"/>
        </w:rPr>
        <w:t>磋商响应文件</w:t>
      </w:r>
      <w:r>
        <w:rPr>
          <w:rFonts w:hint="eastAsia" w:ascii="宋体" w:hAnsi="宋体"/>
          <w:kern w:val="0"/>
          <w:szCs w:val="21"/>
          <w:highlight w:val="none"/>
        </w:rPr>
        <w:t>中</w:t>
      </w:r>
      <w:r>
        <w:rPr>
          <w:rFonts w:ascii="宋体" w:hAnsi="宋体"/>
          <w:kern w:val="0"/>
          <w:szCs w:val="21"/>
          <w:highlight w:val="none"/>
        </w:rPr>
        <w:t>一并提交。联合体各方签订共同磋商报价协议后，不得再以自己名义单独在同一项目中</w:t>
      </w:r>
      <w:r>
        <w:rPr>
          <w:rFonts w:hint="eastAsia" w:ascii="宋体" w:hAnsi="宋体"/>
          <w:kern w:val="0"/>
          <w:szCs w:val="21"/>
          <w:highlight w:val="none"/>
        </w:rPr>
        <w:t>进行</w:t>
      </w:r>
      <w:r>
        <w:rPr>
          <w:rFonts w:ascii="宋体" w:hAnsi="宋体"/>
          <w:kern w:val="0"/>
          <w:szCs w:val="21"/>
          <w:highlight w:val="none"/>
        </w:rPr>
        <w:t>磋商报价，也不得组成新的联合体参加同一项目磋商报价。</w:t>
      </w:r>
    </w:p>
    <w:p>
      <w:pPr>
        <w:spacing w:line="500" w:lineRule="exact"/>
        <w:ind w:firstLine="420" w:firstLineChars="200"/>
        <w:rPr>
          <w:rFonts w:ascii="宋体" w:hAnsi="宋体"/>
          <w:kern w:val="0"/>
          <w:szCs w:val="21"/>
          <w:highlight w:val="none"/>
        </w:rPr>
      </w:pPr>
      <w:r>
        <w:rPr>
          <w:rFonts w:ascii="宋体" w:hAnsi="宋体"/>
          <w:kern w:val="0"/>
          <w:szCs w:val="21"/>
          <w:highlight w:val="none"/>
        </w:rPr>
        <w:t>2.2.</w:t>
      </w:r>
      <w:r>
        <w:rPr>
          <w:rFonts w:hint="eastAsia" w:ascii="宋体" w:hAnsi="宋体"/>
          <w:kern w:val="0"/>
          <w:szCs w:val="21"/>
          <w:highlight w:val="none"/>
        </w:rPr>
        <w:t>6</w:t>
      </w:r>
      <w:r>
        <w:rPr>
          <w:rFonts w:ascii="宋体" w:hAnsi="宋体"/>
          <w:kern w:val="0"/>
          <w:szCs w:val="21"/>
          <w:highlight w:val="none"/>
        </w:rPr>
        <w:t>供应商必须在</w:t>
      </w:r>
      <w:r>
        <w:rPr>
          <w:rFonts w:hint="eastAsia" w:ascii="宋体" w:hAnsi="宋体"/>
          <w:kern w:val="0"/>
          <w:szCs w:val="21"/>
          <w:highlight w:val="none"/>
        </w:rPr>
        <w:t>采购代理机构</w:t>
      </w:r>
      <w:r>
        <w:rPr>
          <w:rFonts w:ascii="宋体" w:hAnsi="宋体"/>
          <w:kern w:val="0"/>
          <w:szCs w:val="21"/>
          <w:highlight w:val="none"/>
        </w:rPr>
        <w:t>购买</w:t>
      </w:r>
      <w:r>
        <w:rPr>
          <w:rFonts w:hint="eastAsia" w:ascii="宋体" w:hAnsi="宋体"/>
          <w:kern w:val="0"/>
          <w:szCs w:val="21"/>
          <w:highlight w:val="none"/>
        </w:rPr>
        <w:t>磋商</w:t>
      </w:r>
      <w:r>
        <w:rPr>
          <w:rFonts w:ascii="宋体" w:hAnsi="宋体"/>
          <w:kern w:val="0"/>
          <w:szCs w:val="21"/>
          <w:highlight w:val="none"/>
        </w:rPr>
        <w:t>文件，方可参加磋商报价。</w:t>
      </w:r>
      <w:r>
        <w:rPr>
          <w:rFonts w:hint="eastAsia" w:ascii="宋体" w:hAnsi="宋体"/>
          <w:kern w:val="0"/>
          <w:szCs w:val="21"/>
          <w:highlight w:val="none"/>
        </w:rPr>
        <w:t>磋商</w:t>
      </w:r>
      <w:r>
        <w:rPr>
          <w:rFonts w:ascii="宋体" w:hAnsi="宋体"/>
          <w:kern w:val="0"/>
          <w:szCs w:val="21"/>
          <w:highlight w:val="none"/>
        </w:rPr>
        <w:t>文件售后不退。</w:t>
      </w:r>
    </w:p>
    <w:p>
      <w:pPr>
        <w:spacing w:line="500" w:lineRule="exact"/>
        <w:ind w:firstLine="420" w:firstLineChars="200"/>
        <w:rPr>
          <w:rFonts w:ascii="宋体" w:hAnsi="宋体"/>
          <w:kern w:val="0"/>
          <w:szCs w:val="21"/>
          <w:highlight w:val="none"/>
        </w:rPr>
      </w:pPr>
      <w:r>
        <w:rPr>
          <w:rFonts w:ascii="宋体" w:hAnsi="宋体"/>
          <w:kern w:val="0"/>
          <w:szCs w:val="21"/>
          <w:highlight w:val="none"/>
        </w:rPr>
        <w:t>2.2.</w:t>
      </w:r>
      <w:r>
        <w:rPr>
          <w:rFonts w:hint="eastAsia" w:ascii="宋体" w:hAnsi="宋体"/>
          <w:kern w:val="0"/>
          <w:szCs w:val="21"/>
          <w:highlight w:val="none"/>
        </w:rPr>
        <w:t>7</w:t>
      </w:r>
      <w:r>
        <w:rPr>
          <w:rFonts w:ascii="宋体" w:hAnsi="宋体"/>
          <w:kern w:val="0"/>
          <w:szCs w:val="21"/>
          <w:highlight w:val="none"/>
        </w:rPr>
        <w:t>磋商报价费用自理。不论磋商报价的结果如何，供应商均应自行承担所有与参加磋商报价有关的费用。</w:t>
      </w:r>
    </w:p>
    <w:p>
      <w:pPr>
        <w:spacing w:line="500" w:lineRule="exact"/>
        <w:rPr>
          <w:rFonts w:ascii="宋体" w:hAnsi="宋体"/>
          <w:b/>
          <w:bCs/>
          <w:kern w:val="0"/>
          <w:szCs w:val="21"/>
          <w:highlight w:val="none"/>
        </w:rPr>
      </w:pPr>
      <w:r>
        <w:rPr>
          <w:rFonts w:hint="eastAsia" w:ascii="宋体" w:hAnsi="宋体"/>
          <w:b/>
          <w:bCs/>
          <w:kern w:val="0"/>
          <w:szCs w:val="21"/>
          <w:highlight w:val="none"/>
        </w:rPr>
        <w:t>2.2.8供应商信用记录查询及使用</w:t>
      </w:r>
    </w:p>
    <w:p>
      <w:pPr>
        <w:spacing w:line="500" w:lineRule="exact"/>
        <w:ind w:firstLine="420"/>
        <w:rPr>
          <w:rFonts w:ascii="宋体" w:hAnsi="宋体"/>
          <w:bCs/>
          <w:kern w:val="0"/>
          <w:szCs w:val="21"/>
          <w:highlight w:val="none"/>
        </w:rPr>
      </w:pPr>
      <w:r>
        <w:rPr>
          <w:rFonts w:hint="eastAsia" w:ascii="宋体" w:hAnsi="宋体"/>
          <w:bCs/>
          <w:kern w:val="0"/>
          <w:szCs w:val="21"/>
          <w:highlight w:val="none"/>
        </w:rPr>
        <w:t>“信用中国”网站（www.creditchina.gov.cn）和“中国政府采购网”（ccgp.gov.cn）为供应商信用信息查询渠道，如果供应商被查实在磋商截止时间存在列入企业经营异常名录、失信被执行人、重大税收违法案件当事人名单、政府采购严重违法失信行为记录名单的情形，其响应为无效。采购代理机构将打印查询记录作为证据留存。</w:t>
      </w:r>
    </w:p>
    <w:p>
      <w:pPr>
        <w:spacing w:line="500" w:lineRule="exact"/>
        <w:rPr>
          <w:rFonts w:ascii="宋体" w:hAnsi="宋体"/>
          <w:b/>
          <w:kern w:val="0"/>
          <w:szCs w:val="21"/>
          <w:highlight w:val="none"/>
        </w:rPr>
      </w:pPr>
      <w:r>
        <w:rPr>
          <w:rFonts w:hint="eastAsia" w:ascii="宋体" w:hAnsi="宋体"/>
          <w:b/>
          <w:kern w:val="0"/>
          <w:szCs w:val="21"/>
          <w:highlight w:val="none"/>
        </w:rPr>
        <w:t>3.提供服务的合格性和合法性</w:t>
      </w:r>
    </w:p>
    <w:p>
      <w:pPr>
        <w:spacing w:line="500" w:lineRule="exact"/>
        <w:ind w:firstLine="411" w:firstLineChars="196"/>
        <w:rPr>
          <w:rFonts w:ascii="宋体" w:hAnsi="宋体"/>
          <w:kern w:val="0"/>
          <w:szCs w:val="21"/>
          <w:highlight w:val="none"/>
        </w:rPr>
      </w:pPr>
      <w:r>
        <w:rPr>
          <w:rFonts w:hint="eastAsia" w:ascii="宋体" w:hAnsi="宋体"/>
          <w:kern w:val="0"/>
          <w:szCs w:val="21"/>
          <w:highlight w:val="none"/>
        </w:rPr>
        <w:t>3.1供应商提供的服务应满足磋商文件的要求，并应符合国家法律法规、行业管理部门所要求的其他强制性标准。</w:t>
      </w:r>
    </w:p>
    <w:p>
      <w:pPr>
        <w:spacing w:line="500" w:lineRule="exact"/>
        <w:rPr>
          <w:rFonts w:ascii="宋体" w:hAnsi="宋体"/>
          <w:b/>
          <w:kern w:val="0"/>
          <w:szCs w:val="21"/>
          <w:highlight w:val="none"/>
        </w:rPr>
      </w:pPr>
      <w:r>
        <w:rPr>
          <w:rFonts w:hint="eastAsia" w:ascii="宋体" w:hAnsi="宋体"/>
          <w:b/>
          <w:kern w:val="0"/>
          <w:szCs w:val="21"/>
          <w:highlight w:val="none"/>
        </w:rPr>
        <w:t>4.磋商响应文件内容的真实性</w:t>
      </w:r>
    </w:p>
    <w:p>
      <w:pPr>
        <w:spacing w:line="500" w:lineRule="exact"/>
        <w:ind w:firstLine="411" w:firstLineChars="196"/>
        <w:rPr>
          <w:rFonts w:ascii="宋体" w:hAnsi="宋体"/>
          <w:kern w:val="0"/>
          <w:szCs w:val="21"/>
          <w:highlight w:val="none"/>
        </w:rPr>
      </w:pPr>
      <w:r>
        <w:rPr>
          <w:rFonts w:hint="eastAsia" w:ascii="宋体" w:hAnsi="宋体"/>
          <w:kern w:val="0"/>
          <w:szCs w:val="21"/>
          <w:highlight w:val="none"/>
        </w:rPr>
        <w:t>4.1供应商应保证其磋商响应文件中所提供的所有有关磋商报价的资料、信息是真实的，并且来源于合法的渠道。因磋商响应文件中所提供的有关磋商报价的资料、信息不真实，或者其来源不合法而导致的所有法律责任，由供应商自行承担。</w:t>
      </w:r>
    </w:p>
    <w:p>
      <w:pPr>
        <w:spacing w:line="500" w:lineRule="exact"/>
        <w:rPr>
          <w:rFonts w:ascii="宋体" w:hAnsi="宋体"/>
          <w:b/>
          <w:kern w:val="0"/>
          <w:szCs w:val="21"/>
          <w:highlight w:val="none"/>
        </w:rPr>
      </w:pPr>
      <w:r>
        <w:rPr>
          <w:rFonts w:hint="eastAsia" w:ascii="宋体" w:hAnsi="宋体"/>
          <w:b/>
          <w:kern w:val="0"/>
          <w:szCs w:val="21"/>
          <w:highlight w:val="none"/>
        </w:rPr>
        <w:t>5.磋商过程的监督和管理</w:t>
      </w:r>
    </w:p>
    <w:p>
      <w:pPr>
        <w:spacing w:line="500" w:lineRule="exact"/>
        <w:rPr>
          <w:rFonts w:ascii="宋体" w:hAnsi="宋体"/>
          <w:kern w:val="0"/>
          <w:szCs w:val="21"/>
          <w:highlight w:val="none"/>
        </w:rPr>
      </w:pPr>
      <w:r>
        <w:rPr>
          <w:rFonts w:hint="eastAsia" w:ascii="宋体" w:hAnsi="宋体"/>
          <w:kern w:val="0"/>
          <w:szCs w:val="21"/>
          <w:highlight w:val="none"/>
        </w:rPr>
        <w:t>5.1同级人民政府财政部门及有关部门依法履行对磋商过程的监督管理职责。</w:t>
      </w:r>
    </w:p>
    <w:p>
      <w:pPr>
        <w:jc w:val="center"/>
        <w:rPr>
          <w:rFonts w:ascii="黑体" w:hAnsi="黑体" w:eastAsia="黑体"/>
          <w:b/>
          <w:kern w:val="0"/>
          <w:sz w:val="28"/>
          <w:szCs w:val="28"/>
          <w:highlight w:val="none"/>
        </w:rPr>
      </w:pPr>
      <w:r>
        <w:rPr>
          <w:rFonts w:ascii="黑体" w:hAnsi="黑体" w:eastAsia="黑体"/>
          <w:b/>
          <w:kern w:val="0"/>
          <w:sz w:val="28"/>
          <w:szCs w:val="28"/>
          <w:highlight w:val="none"/>
        </w:rPr>
        <w:t>二.磋商文件</w:t>
      </w:r>
    </w:p>
    <w:p>
      <w:pPr>
        <w:spacing w:line="500" w:lineRule="exact"/>
        <w:rPr>
          <w:rFonts w:ascii="宋体" w:hAnsi="宋体"/>
          <w:b/>
          <w:kern w:val="0"/>
          <w:szCs w:val="21"/>
          <w:highlight w:val="none"/>
        </w:rPr>
      </w:pPr>
      <w:r>
        <w:rPr>
          <w:rFonts w:ascii="宋体" w:hAnsi="宋体"/>
          <w:b/>
          <w:kern w:val="0"/>
          <w:szCs w:val="21"/>
          <w:highlight w:val="none"/>
        </w:rPr>
        <w:t>6.磋商文件构成　　</w:t>
      </w:r>
    </w:p>
    <w:p>
      <w:pPr>
        <w:spacing w:line="500" w:lineRule="exact"/>
        <w:ind w:firstLine="420" w:firstLineChars="200"/>
        <w:rPr>
          <w:rFonts w:ascii="宋体" w:hAnsi="宋体"/>
          <w:kern w:val="0"/>
          <w:szCs w:val="21"/>
          <w:highlight w:val="none"/>
        </w:rPr>
      </w:pPr>
      <w:r>
        <w:rPr>
          <w:rFonts w:ascii="宋体" w:hAnsi="宋体"/>
          <w:kern w:val="0"/>
          <w:szCs w:val="21"/>
          <w:highlight w:val="none"/>
        </w:rPr>
        <w:t xml:space="preserve">6.1 </w:t>
      </w:r>
      <w:r>
        <w:rPr>
          <w:rFonts w:hint="eastAsia" w:ascii="宋体" w:hAnsi="宋体"/>
          <w:kern w:val="0"/>
          <w:szCs w:val="21"/>
          <w:highlight w:val="none"/>
        </w:rPr>
        <w:t>磋商文件规定了</w:t>
      </w:r>
      <w:r>
        <w:rPr>
          <w:rFonts w:ascii="宋体" w:hAnsi="宋体"/>
          <w:kern w:val="0"/>
          <w:szCs w:val="21"/>
          <w:highlight w:val="none"/>
        </w:rPr>
        <w:t>要求提供的</w:t>
      </w:r>
      <w:r>
        <w:rPr>
          <w:rFonts w:hint="eastAsia" w:ascii="宋体" w:hAnsi="宋体"/>
          <w:kern w:val="0"/>
          <w:szCs w:val="21"/>
          <w:highlight w:val="none"/>
        </w:rPr>
        <w:t>磋商响应内容。</w:t>
      </w:r>
      <w:r>
        <w:rPr>
          <w:rFonts w:ascii="宋体" w:hAnsi="宋体"/>
          <w:kern w:val="0"/>
          <w:szCs w:val="21"/>
          <w:highlight w:val="none"/>
        </w:rPr>
        <w:t>磋商程序和合同条件在磋商文件中均有说明。磋商文件共</w:t>
      </w:r>
      <w:r>
        <w:rPr>
          <w:rFonts w:hint="eastAsia" w:ascii="宋体" w:hAnsi="宋体"/>
          <w:kern w:val="0"/>
          <w:szCs w:val="21"/>
          <w:highlight w:val="none"/>
        </w:rPr>
        <w:t>六</w:t>
      </w:r>
      <w:r>
        <w:rPr>
          <w:rFonts w:ascii="宋体" w:hAnsi="宋体"/>
          <w:kern w:val="0"/>
          <w:szCs w:val="21"/>
          <w:highlight w:val="none"/>
        </w:rPr>
        <w:t>章</w:t>
      </w:r>
      <w:r>
        <w:rPr>
          <w:rFonts w:hint="eastAsia" w:ascii="宋体" w:hAnsi="宋体"/>
          <w:kern w:val="0"/>
          <w:szCs w:val="21"/>
          <w:highlight w:val="none"/>
        </w:rPr>
        <w:t>，</w:t>
      </w:r>
      <w:r>
        <w:rPr>
          <w:rFonts w:ascii="宋体" w:hAnsi="宋体"/>
          <w:kern w:val="0"/>
          <w:szCs w:val="21"/>
          <w:highlight w:val="none"/>
        </w:rPr>
        <w:t>内容如下：</w:t>
      </w:r>
    </w:p>
    <w:p>
      <w:pPr>
        <w:spacing w:line="500" w:lineRule="exact"/>
        <w:ind w:firstLine="420" w:firstLineChars="200"/>
        <w:rPr>
          <w:rFonts w:ascii="宋体" w:hAnsi="宋体"/>
          <w:kern w:val="0"/>
          <w:szCs w:val="21"/>
          <w:highlight w:val="none"/>
        </w:rPr>
      </w:pPr>
      <w:r>
        <w:rPr>
          <w:rFonts w:ascii="宋体" w:hAnsi="宋体"/>
          <w:kern w:val="0"/>
          <w:szCs w:val="21"/>
          <w:highlight w:val="none"/>
        </w:rPr>
        <w:t>第一章</w:t>
      </w:r>
      <w:r>
        <w:rPr>
          <w:rFonts w:hint="eastAsia" w:ascii="宋体" w:hAnsi="宋体"/>
          <w:kern w:val="0"/>
          <w:szCs w:val="21"/>
          <w:highlight w:val="none"/>
        </w:rPr>
        <w:t xml:space="preserve"> 竞争性磋商公告</w:t>
      </w:r>
    </w:p>
    <w:p>
      <w:pPr>
        <w:spacing w:line="500" w:lineRule="exact"/>
        <w:ind w:firstLine="420" w:firstLineChars="200"/>
        <w:rPr>
          <w:rFonts w:ascii="宋体" w:hAnsi="宋体"/>
          <w:kern w:val="0"/>
          <w:szCs w:val="21"/>
          <w:highlight w:val="none"/>
        </w:rPr>
      </w:pPr>
      <w:r>
        <w:rPr>
          <w:rFonts w:hint="eastAsia" w:ascii="宋体" w:hAnsi="宋体"/>
          <w:kern w:val="0"/>
          <w:szCs w:val="21"/>
          <w:highlight w:val="none"/>
        </w:rPr>
        <w:t xml:space="preserve">第二章 </w:t>
      </w:r>
      <w:r>
        <w:rPr>
          <w:rFonts w:ascii="宋体" w:hAnsi="宋体"/>
          <w:kern w:val="0"/>
          <w:szCs w:val="21"/>
          <w:highlight w:val="none"/>
        </w:rPr>
        <w:t>磋商须知</w:t>
      </w:r>
      <w:r>
        <w:rPr>
          <w:rFonts w:hint="eastAsia" w:ascii="宋体" w:hAnsi="宋体"/>
          <w:kern w:val="0"/>
          <w:szCs w:val="21"/>
          <w:highlight w:val="none"/>
        </w:rPr>
        <w:t>及前附表</w:t>
      </w:r>
    </w:p>
    <w:p>
      <w:pPr>
        <w:spacing w:line="500" w:lineRule="exact"/>
        <w:ind w:firstLine="420" w:firstLineChars="200"/>
        <w:rPr>
          <w:rFonts w:ascii="宋体" w:hAnsi="宋体"/>
          <w:kern w:val="0"/>
          <w:szCs w:val="21"/>
          <w:highlight w:val="none"/>
        </w:rPr>
      </w:pPr>
      <w:r>
        <w:rPr>
          <w:rFonts w:ascii="宋体" w:hAnsi="宋体"/>
          <w:kern w:val="0"/>
          <w:szCs w:val="21"/>
          <w:highlight w:val="none"/>
        </w:rPr>
        <w:t>第</w:t>
      </w:r>
      <w:r>
        <w:rPr>
          <w:rFonts w:hint="eastAsia" w:ascii="宋体" w:hAnsi="宋体"/>
          <w:kern w:val="0"/>
          <w:szCs w:val="21"/>
          <w:highlight w:val="none"/>
        </w:rPr>
        <w:t>三</w:t>
      </w:r>
      <w:r>
        <w:rPr>
          <w:rFonts w:ascii="宋体" w:hAnsi="宋体"/>
          <w:kern w:val="0"/>
          <w:szCs w:val="21"/>
          <w:highlight w:val="none"/>
        </w:rPr>
        <w:t>章</w:t>
      </w:r>
      <w:r>
        <w:rPr>
          <w:rFonts w:hint="eastAsia" w:ascii="宋体" w:hAnsi="宋体"/>
          <w:kern w:val="0"/>
          <w:szCs w:val="21"/>
          <w:highlight w:val="none"/>
        </w:rPr>
        <w:t xml:space="preserve"> </w:t>
      </w:r>
      <w:r>
        <w:rPr>
          <w:rFonts w:ascii="宋体" w:hAnsi="宋体"/>
          <w:kern w:val="0"/>
          <w:szCs w:val="21"/>
          <w:highlight w:val="none"/>
        </w:rPr>
        <w:t>合同条款</w:t>
      </w:r>
    </w:p>
    <w:p>
      <w:pPr>
        <w:spacing w:line="500" w:lineRule="exact"/>
        <w:ind w:firstLine="420" w:firstLineChars="200"/>
        <w:rPr>
          <w:rFonts w:ascii="宋体" w:hAnsi="宋体"/>
          <w:kern w:val="0"/>
          <w:szCs w:val="21"/>
          <w:highlight w:val="none"/>
        </w:rPr>
      </w:pPr>
      <w:r>
        <w:rPr>
          <w:rFonts w:ascii="宋体" w:hAnsi="宋体"/>
          <w:kern w:val="0"/>
          <w:szCs w:val="21"/>
          <w:highlight w:val="none"/>
        </w:rPr>
        <w:t>第</w:t>
      </w:r>
      <w:r>
        <w:rPr>
          <w:rFonts w:hint="eastAsia" w:ascii="宋体" w:hAnsi="宋体"/>
          <w:kern w:val="0"/>
          <w:szCs w:val="21"/>
          <w:highlight w:val="none"/>
        </w:rPr>
        <w:t>四</w:t>
      </w:r>
      <w:r>
        <w:rPr>
          <w:rFonts w:ascii="宋体" w:hAnsi="宋体"/>
          <w:kern w:val="0"/>
          <w:szCs w:val="21"/>
          <w:highlight w:val="none"/>
        </w:rPr>
        <w:t>章</w:t>
      </w:r>
      <w:r>
        <w:rPr>
          <w:rFonts w:hint="eastAsia" w:ascii="宋体" w:hAnsi="宋体"/>
          <w:kern w:val="0"/>
          <w:szCs w:val="21"/>
          <w:highlight w:val="none"/>
        </w:rPr>
        <w:t xml:space="preserve"> </w:t>
      </w:r>
      <w:r>
        <w:rPr>
          <w:rFonts w:ascii="宋体" w:hAnsi="宋体"/>
          <w:kern w:val="0"/>
          <w:szCs w:val="21"/>
          <w:highlight w:val="none"/>
        </w:rPr>
        <w:t>磋商响应文件格式</w:t>
      </w:r>
    </w:p>
    <w:p>
      <w:pPr>
        <w:spacing w:line="500" w:lineRule="exact"/>
        <w:ind w:firstLine="420" w:firstLineChars="200"/>
        <w:rPr>
          <w:rFonts w:ascii="宋体" w:hAnsi="宋体"/>
          <w:kern w:val="0"/>
          <w:szCs w:val="21"/>
          <w:highlight w:val="none"/>
        </w:rPr>
      </w:pPr>
      <w:r>
        <w:rPr>
          <w:rFonts w:ascii="宋体" w:hAnsi="宋体"/>
          <w:kern w:val="0"/>
          <w:szCs w:val="21"/>
          <w:highlight w:val="none"/>
        </w:rPr>
        <w:t>第五章</w:t>
      </w:r>
      <w:r>
        <w:rPr>
          <w:rFonts w:hint="eastAsia" w:ascii="宋体" w:hAnsi="宋体"/>
          <w:kern w:val="0"/>
          <w:szCs w:val="21"/>
          <w:highlight w:val="none"/>
        </w:rPr>
        <w:t xml:space="preserve"> 磋商内容及技术规范</w:t>
      </w:r>
    </w:p>
    <w:p>
      <w:pPr>
        <w:spacing w:line="500" w:lineRule="exact"/>
        <w:ind w:firstLine="420" w:firstLineChars="200"/>
        <w:rPr>
          <w:rFonts w:ascii="宋体" w:hAnsi="宋体"/>
          <w:kern w:val="0"/>
          <w:szCs w:val="21"/>
          <w:highlight w:val="none"/>
        </w:rPr>
      </w:pPr>
      <w:r>
        <w:rPr>
          <w:rFonts w:ascii="宋体" w:hAnsi="宋体"/>
          <w:kern w:val="0"/>
          <w:szCs w:val="21"/>
          <w:highlight w:val="none"/>
        </w:rPr>
        <w:t>第</w:t>
      </w:r>
      <w:r>
        <w:rPr>
          <w:rFonts w:hint="eastAsia" w:ascii="宋体" w:hAnsi="宋体"/>
          <w:kern w:val="0"/>
          <w:szCs w:val="21"/>
          <w:highlight w:val="none"/>
        </w:rPr>
        <w:t>六</w:t>
      </w:r>
      <w:r>
        <w:rPr>
          <w:rFonts w:ascii="宋体" w:hAnsi="宋体"/>
          <w:kern w:val="0"/>
          <w:szCs w:val="21"/>
          <w:highlight w:val="none"/>
        </w:rPr>
        <w:t>章</w:t>
      </w:r>
      <w:r>
        <w:rPr>
          <w:rFonts w:hint="eastAsia" w:ascii="宋体" w:hAnsi="宋体"/>
          <w:kern w:val="0"/>
          <w:szCs w:val="21"/>
          <w:highlight w:val="none"/>
        </w:rPr>
        <w:t xml:space="preserve"> 评审方法</w:t>
      </w:r>
    </w:p>
    <w:p>
      <w:pPr>
        <w:spacing w:line="500" w:lineRule="exact"/>
        <w:ind w:firstLine="420" w:firstLineChars="200"/>
        <w:rPr>
          <w:rFonts w:ascii="宋体" w:hAnsi="宋体"/>
          <w:kern w:val="0"/>
          <w:szCs w:val="21"/>
          <w:highlight w:val="none"/>
        </w:rPr>
      </w:pPr>
      <w:r>
        <w:rPr>
          <w:rFonts w:ascii="宋体" w:hAnsi="宋体"/>
          <w:kern w:val="0"/>
          <w:szCs w:val="21"/>
          <w:highlight w:val="none"/>
        </w:rPr>
        <w:t>6.2</w:t>
      </w:r>
      <w:r>
        <w:rPr>
          <w:rFonts w:hint="eastAsia" w:ascii="宋体" w:hAnsi="宋体"/>
          <w:kern w:val="0"/>
          <w:szCs w:val="21"/>
          <w:highlight w:val="none"/>
        </w:rPr>
        <w:t>供应商应认真阅读磋商文件中所有的事项、格式、条款和规范等要求。如果供应商没有按照磋商文件要求提交全部资料，或者磋商响应文件没有对磋商文件在各方面都做出实质性响应，由此带来的不利于供应商的评审结果，其风险由供应商自行承担。</w:t>
      </w:r>
    </w:p>
    <w:p>
      <w:pPr>
        <w:spacing w:line="500" w:lineRule="exact"/>
        <w:ind w:firstLine="420" w:firstLineChars="200"/>
        <w:rPr>
          <w:rFonts w:ascii="宋体" w:hAnsi="宋体"/>
          <w:kern w:val="0"/>
          <w:szCs w:val="21"/>
          <w:highlight w:val="none"/>
        </w:rPr>
      </w:pPr>
      <w:r>
        <w:rPr>
          <w:rFonts w:ascii="宋体" w:hAnsi="宋体"/>
          <w:kern w:val="0"/>
          <w:szCs w:val="21"/>
          <w:highlight w:val="none"/>
        </w:rPr>
        <w:t>6.3</w:t>
      </w:r>
      <w:r>
        <w:rPr>
          <w:rFonts w:hint="eastAsia" w:ascii="宋体" w:hAnsi="宋体"/>
          <w:kern w:val="0"/>
          <w:szCs w:val="21"/>
          <w:highlight w:val="none"/>
        </w:rPr>
        <w:t>本磋商文件的解释权归陕西恒瑞项目管理有限公司</w:t>
      </w:r>
      <w:r>
        <w:rPr>
          <w:rFonts w:ascii="宋体" w:hAnsi="宋体"/>
          <w:kern w:val="0"/>
          <w:szCs w:val="21"/>
          <w:highlight w:val="none"/>
        </w:rPr>
        <w:t>。</w:t>
      </w:r>
    </w:p>
    <w:p>
      <w:pPr>
        <w:spacing w:line="500" w:lineRule="exact"/>
        <w:rPr>
          <w:rFonts w:ascii="宋体" w:hAnsi="宋体"/>
          <w:b/>
          <w:kern w:val="0"/>
          <w:szCs w:val="21"/>
          <w:highlight w:val="none"/>
        </w:rPr>
      </w:pPr>
      <w:r>
        <w:rPr>
          <w:rFonts w:ascii="宋体" w:hAnsi="宋体"/>
          <w:b/>
          <w:kern w:val="0"/>
          <w:szCs w:val="21"/>
          <w:highlight w:val="none"/>
        </w:rPr>
        <w:t>7.磋商文件的</w:t>
      </w:r>
      <w:r>
        <w:rPr>
          <w:rFonts w:hint="eastAsia" w:ascii="宋体" w:hAnsi="宋体"/>
          <w:b/>
          <w:kern w:val="0"/>
          <w:szCs w:val="21"/>
          <w:highlight w:val="none"/>
        </w:rPr>
        <w:t>澄清</w:t>
      </w:r>
      <w:r>
        <w:rPr>
          <w:rFonts w:ascii="宋体" w:hAnsi="宋体"/>
          <w:b/>
          <w:kern w:val="0"/>
          <w:szCs w:val="21"/>
          <w:highlight w:val="none"/>
        </w:rPr>
        <w:t>修改和</w:t>
      </w:r>
      <w:r>
        <w:rPr>
          <w:rFonts w:hint="eastAsia" w:ascii="宋体" w:hAnsi="宋体"/>
          <w:b/>
          <w:kern w:val="0"/>
          <w:szCs w:val="21"/>
          <w:highlight w:val="none"/>
        </w:rPr>
        <w:t>质疑答复</w:t>
      </w:r>
    </w:p>
    <w:p>
      <w:pPr>
        <w:spacing w:line="500" w:lineRule="exact"/>
        <w:ind w:firstLine="420" w:firstLineChars="200"/>
        <w:rPr>
          <w:rFonts w:ascii="宋体" w:hAnsi="宋体"/>
          <w:kern w:val="0"/>
          <w:szCs w:val="21"/>
          <w:highlight w:val="none"/>
        </w:rPr>
      </w:pPr>
      <w:r>
        <w:rPr>
          <w:rFonts w:ascii="宋体" w:hAnsi="宋体"/>
          <w:kern w:val="0"/>
          <w:szCs w:val="21"/>
          <w:highlight w:val="none"/>
        </w:rPr>
        <w:t>7.</w:t>
      </w:r>
      <w:r>
        <w:rPr>
          <w:rFonts w:hint="eastAsia" w:ascii="宋体" w:hAnsi="宋体"/>
          <w:kern w:val="0"/>
          <w:szCs w:val="21"/>
          <w:highlight w:val="none"/>
        </w:rPr>
        <w:t>1</w:t>
      </w:r>
      <w:r>
        <w:rPr>
          <w:rFonts w:ascii="宋体" w:hAnsi="宋体"/>
          <w:kern w:val="0"/>
          <w:szCs w:val="21"/>
          <w:highlight w:val="none"/>
        </w:rPr>
        <w:t>磋商采购单位如果对已发出的磋商文件进行</w:t>
      </w:r>
      <w:r>
        <w:rPr>
          <w:rFonts w:hint="eastAsia" w:ascii="宋体" w:hAnsi="宋体"/>
          <w:kern w:val="0"/>
          <w:szCs w:val="21"/>
          <w:highlight w:val="none"/>
        </w:rPr>
        <w:t>必要的澄清或者</w:t>
      </w:r>
      <w:r>
        <w:rPr>
          <w:rFonts w:ascii="宋体" w:hAnsi="宋体"/>
          <w:kern w:val="0"/>
          <w:szCs w:val="21"/>
          <w:highlight w:val="none"/>
        </w:rPr>
        <w:t>修改，将在磋商文件要求提交</w:t>
      </w:r>
      <w:r>
        <w:rPr>
          <w:rFonts w:hint="eastAsia" w:ascii="宋体" w:hAnsi="宋体"/>
          <w:kern w:val="0"/>
          <w:szCs w:val="21"/>
          <w:highlight w:val="none"/>
        </w:rPr>
        <w:t>首次</w:t>
      </w:r>
      <w:r>
        <w:rPr>
          <w:rFonts w:ascii="宋体" w:hAnsi="宋体"/>
          <w:kern w:val="0"/>
          <w:szCs w:val="21"/>
          <w:highlight w:val="none"/>
        </w:rPr>
        <w:t>磋商响应文件截止时间</w:t>
      </w:r>
      <w:r>
        <w:rPr>
          <w:rFonts w:hint="eastAsia" w:ascii="宋体" w:hAnsi="宋体"/>
          <w:kern w:val="0"/>
          <w:szCs w:val="21"/>
          <w:highlight w:val="none"/>
        </w:rPr>
        <w:t>3个工作</w:t>
      </w:r>
      <w:r>
        <w:rPr>
          <w:rFonts w:ascii="宋体" w:hAnsi="宋体"/>
          <w:kern w:val="0"/>
          <w:szCs w:val="21"/>
          <w:highlight w:val="none"/>
        </w:rPr>
        <w:t>日前，以书面形式通知所有购买磋商文件的</w:t>
      </w:r>
      <w:r>
        <w:rPr>
          <w:rFonts w:hint="eastAsia" w:ascii="宋体" w:hAnsi="宋体"/>
          <w:kern w:val="0"/>
          <w:szCs w:val="21"/>
          <w:highlight w:val="none"/>
        </w:rPr>
        <w:t>供应商，不足3个工作日的，将顺延提交首次</w:t>
      </w:r>
      <w:r>
        <w:rPr>
          <w:rFonts w:ascii="宋体" w:hAnsi="宋体"/>
          <w:kern w:val="0"/>
          <w:szCs w:val="21"/>
          <w:highlight w:val="none"/>
        </w:rPr>
        <w:t>磋商响应文件截止时间</w:t>
      </w:r>
      <w:r>
        <w:rPr>
          <w:rFonts w:hint="eastAsia" w:ascii="宋体" w:hAnsi="宋体"/>
          <w:kern w:val="0"/>
          <w:szCs w:val="21"/>
          <w:highlight w:val="none"/>
        </w:rPr>
        <w:t>。该</w:t>
      </w:r>
      <w:r>
        <w:rPr>
          <w:rFonts w:ascii="宋体" w:hAnsi="宋体"/>
          <w:kern w:val="0"/>
          <w:szCs w:val="21"/>
          <w:highlight w:val="none"/>
        </w:rPr>
        <w:t>澄清或者修改的内容</w:t>
      </w:r>
      <w:r>
        <w:rPr>
          <w:rFonts w:hint="eastAsia" w:ascii="宋体" w:hAnsi="宋体"/>
          <w:kern w:val="0"/>
          <w:szCs w:val="21"/>
          <w:highlight w:val="none"/>
        </w:rPr>
        <w:t>作</w:t>
      </w:r>
      <w:r>
        <w:rPr>
          <w:rFonts w:ascii="宋体" w:hAnsi="宋体"/>
          <w:kern w:val="0"/>
          <w:szCs w:val="21"/>
          <w:highlight w:val="none"/>
        </w:rPr>
        <w:t>为磋商文件的组成部分。</w:t>
      </w:r>
    </w:p>
    <w:p>
      <w:pPr>
        <w:spacing w:line="500" w:lineRule="exact"/>
        <w:ind w:firstLine="420" w:firstLineChars="200"/>
        <w:rPr>
          <w:rFonts w:ascii="宋体" w:hAnsi="宋体"/>
          <w:kern w:val="0"/>
          <w:szCs w:val="21"/>
          <w:highlight w:val="none"/>
        </w:rPr>
      </w:pPr>
      <w:r>
        <w:rPr>
          <w:rFonts w:hint="eastAsia" w:ascii="宋体" w:hAnsi="宋体"/>
          <w:kern w:val="0"/>
          <w:szCs w:val="21"/>
          <w:highlight w:val="none"/>
        </w:rPr>
        <w:t>7.2 已经购买磋商文件的供应商对磋商文件有质疑的，应当在“磋商须知前附表”规定的时间内以书面形式向采购代理机构提出，在此之后提出的质疑为无效质疑，采购代理机构不予受理。</w:t>
      </w:r>
    </w:p>
    <w:p>
      <w:pPr>
        <w:spacing w:line="500" w:lineRule="exact"/>
        <w:ind w:firstLine="420" w:firstLineChars="200"/>
        <w:rPr>
          <w:rFonts w:ascii="宋体" w:hAnsi="宋体"/>
          <w:kern w:val="0"/>
          <w:szCs w:val="21"/>
          <w:highlight w:val="none"/>
        </w:rPr>
      </w:pPr>
      <w:r>
        <w:rPr>
          <w:rFonts w:hint="eastAsia" w:ascii="宋体" w:hAnsi="宋体"/>
          <w:kern w:val="0"/>
          <w:szCs w:val="21"/>
          <w:highlight w:val="none"/>
        </w:rPr>
        <w:t>7.3对于在规定时间内收到的供应商依法提出的询问或者质疑，采购代理机构将按质疑程序及时作出答复，若对磋商文件做出实质性变动，则按照相关规定延长磋商报价截止时间。</w:t>
      </w:r>
    </w:p>
    <w:p>
      <w:pPr>
        <w:spacing w:line="500" w:lineRule="exact"/>
        <w:ind w:firstLine="420" w:firstLineChars="200"/>
        <w:rPr>
          <w:rFonts w:ascii="宋体" w:hAnsi="宋体"/>
          <w:kern w:val="0"/>
          <w:szCs w:val="21"/>
          <w:highlight w:val="none"/>
        </w:rPr>
      </w:pPr>
      <w:r>
        <w:rPr>
          <w:rFonts w:hint="eastAsia" w:ascii="宋体" w:hAnsi="宋体"/>
          <w:kern w:val="0"/>
          <w:szCs w:val="21"/>
          <w:highlight w:val="none"/>
        </w:rPr>
        <w:t>7.4供应商提出质疑应当有明确的请求和必要的证明材料。</w:t>
      </w:r>
    </w:p>
    <w:p>
      <w:pPr>
        <w:spacing w:line="500" w:lineRule="exact"/>
        <w:rPr>
          <w:rFonts w:ascii="宋体" w:hAnsi="宋体"/>
          <w:b/>
          <w:kern w:val="0"/>
          <w:szCs w:val="21"/>
          <w:highlight w:val="none"/>
        </w:rPr>
      </w:pPr>
      <w:r>
        <w:rPr>
          <w:rFonts w:hint="eastAsia" w:ascii="宋体" w:hAnsi="宋体"/>
          <w:b/>
          <w:kern w:val="0"/>
          <w:szCs w:val="21"/>
          <w:highlight w:val="none"/>
        </w:rPr>
        <w:t>8.磋商响应截止时间和磋商时间的延长</w:t>
      </w:r>
    </w:p>
    <w:p>
      <w:pPr>
        <w:spacing w:line="500" w:lineRule="exact"/>
        <w:ind w:firstLine="420" w:firstLineChars="200"/>
        <w:rPr>
          <w:rFonts w:ascii="宋体" w:hAnsi="宋体"/>
          <w:kern w:val="0"/>
          <w:szCs w:val="21"/>
          <w:highlight w:val="none"/>
        </w:rPr>
      </w:pPr>
      <w:r>
        <w:rPr>
          <w:rFonts w:hint="eastAsia" w:ascii="宋体" w:hAnsi="宋体"/>
          <w:kern w:val="0"/>
          <w:szCs w:val="21"/>
          <w:highlight w:val="none"/>
        </w:rPr>
        <w:t>8.1</w:t>
      </w:r>
      <w:r>
        <w:rPr>
          <w:rFonts w:ascii="宋体" w:hAnsi="宋体"/>
          <w:kern w:val="0"/>
          <w:szCs w:val="21"/>
          <w:highlight w:val="none"/>
        </w:rPr>
        <w:t>在磋商</w:t>
      </w:r>
      <w:r>
        <w:rPr>
          <w:rFonts w:hint="eastAsia" w:ascii="宋体" w:hAnsi="宋体"/>
          <w:kern w:val="0"/>
          <w:szCs w:val="21"/>
          <w:highlight w:val="none"/>
        </w:rPr>
        <w:t>响应</w:t>
      </w:r>
      <w:r>
        <w:rPr>
          <w:rFonts w:ascii="宋体" w:hAnsi="宋体"/>
          <w:kern w:val="0"/>
          <w:szCs w:val="21"/>
          <w:highlight w:val="none"/>
        </w:rPr>
        <w:t>截止时间</w:t>
      </w:r>
      <w:r>
        <w:rPr>
          <w:rFonts w:hint="eastAsia" w:ascii="宋体" w:hAnsi="宋体"/>
          <w:kern w:val="0"/>
          <w:szCs w:val="21"/>
          <w:highlight w:val="none"/>
        </w:rPr>
        <w:t>2日</w:t>
      </w:r>
      <w:r>
        <w:rPr>
          <w:rFonts w:ascii="宋体" w:hAnsi="宋体"/>
          <w:kern w:val="0"/>
          <w:szCs w:val="21"/>
          <w:highlight w:val="none"/>
        </w:rPr>
        <w:t>前，采购代理机构可以视采购具体情况延长磋商截止时间和</w:t>
      </w:r>
      <w:r>
        <w:rPr>
          <w:rFonts w:hint="eastAsia" w:ascii="宋体" w:hAnsi="宋体"/>
          <w:kern w:val="0"/>
          <w:szCs w:val="21"/>
          <w:highlight w:val="none"/>
        </w:rPr>
        <w:t>磋商</w:t>
      </w:r>
      <w:r>
        <w:rPr>
          <w:rFonts w:ascii="宋体" w:hAnsi="宋体"/>
          <w:kern w:val="0"/>
          <w:szCs w:val="21"/>
          <w:highlight w:val="none"/>
        </w:rPr>
        <w:t>时间</w:t>
      </w:r>
      <w:r>
        <w:rPr>
          <w:rFonts w:hint="eastAsia" w:ascii="宋体" w:hAnsi="宋体"/>
          <w:kern w:val="0"/>
          <w:szCs w:val="21"/>
          <w:highlight w:val="none"/>
        </w:rPr>
        <w:t>，以</w:t>
      </w:r>
      <w:r>
        <w:rPr>
          <w:rFonts w:ascii="宋体" w:hAnsi="宋体"/>
          <w:kern w:val="0"/>
          <w:szCs w:val="21"/>
          <w:highlight w:val="none"/>
        </w:rPr>
        <w:t>书面</w:t>
      </w:r>
      <w:r>
        <w:rPr>
          <w:rFonts w:hint="eastAsia" w:ascii="宋体" w:hAnsi="宋体"/>
          <w:kern w:val="0"/>
          <w:szCs w:val="21"/>
          <w:highlight w:val="none"/>
        </w:rPr>
        <w:t>形式</w:t>
      </w:r>
      <w:r>
        <w:rPr>
          <w:rFonts w:ascii="宋体" w:hAnsi="宋体"/>
          <w:kern w:val="0"/>
          <w:szCs w:val="21"/>
          <w:highlight w:val="none"/>
        </w:rPr>
        <w:t>通知所有购买磋商文件的</w:t>
      </w:r>
      <w:r>
        <w:rPr>
          <w:rFonts w:hint="eastAsia" w:ascii="宋体" w:hAnsi="宋体"/>
          <w:kern w:val="0"/>
          <w:szCs w:val="21"/>
          <w:highlight w:val="none"/>
        </w:rPr>
        <w:t>供应商。</w:t>
      </w:r>
    </w:p>
    <w:p>
      <w:pPr>
        <w:spacing w:line="500" w:lineRule="exact"/>
        <w:jc w:val="center"/>
        <w:rPr>
          <w:rFonts w:ascii="宋体" w:hAnsi="宋体"/>
          <w:b/>
          <w:kern w:val="0"/>
          <w:szCs w:val="21"/>
          <w:highlight w:val="none"/>
        </w:rPr>
      </w:pPr>
    </w:p>
    <w:p>
      <w:pPr>
        <w:jc w:val="center"/>
        <w:rPr>
          <w:rFonts w:ascii="黑体" w:hAnsi="黑体" w:eastAsia="黑体"/>
          <w:b/>
          <w:kern w:val="0"/>
          <w:sz w:val="28"/>
          <w:szCs w:val="28"/>
          <w:highlight w:val="none"/>
        </w:rPr>
      </w:pPr>
      <w:r>
        <w:rPr>
          <w:rFonts w:ascii="黑体" w:hAnsi="黑体" w:eastAsia="黑体"/>
          <w:b/>
          <w:kern w:val="0"/>
          <w:sz w:val="28"/>
          <w:szCs w:val="28"/>
          <w:highlight w:val="none"/>
        </w:rPr>
        <w:t>三.磋商响应文件的编制</w:t>
      </w:r>
    </w:p>
    <w:p>
      <w:pPr>
        <w:spacing w:line="500" w:lineRule="exact"/>
        <w:rPr>
          <w:rFonts w:ascii="宋体" w:hAnsi="宋体"/>
          <w:b/>
          <w:kern w:val="0"/>
          <w:szCs w:val="21"/>
          <w:highlight w:val="none"/>
        </w:rPr>
      </w:pPr>
      <w:r>
        <w:rPr>
          <w:rFonts w:hint="eastAsia" w:ascii="宋体" w:hAnsi="宋体"/>
          <w:b/>
          <w:kern w:val="0"/>
          <w:szCs w:val="21"/>
          <w:highlight w:val="none"/>
        </w:rPr>
        <w:t>9</w:t>
      </w:r>
      <w:r>
        <w:rPr>
          <w:rFonts w:ascii="宋体" w:hAnsi="宋体"/>
          <w:b/>
          <w:kern w:val="0"/>
          <w:szCs w:val="21"/>
          <w:highlight w:val="none"/>
        </w:rPr>
        <w:t>.磋商报价语言和磋商报价货币</w:t>
      </w:r>
    </w:p>
    <w:p>
      <w:pPr>
        <w:spacing w:line="500" w:lineRule="exact"/>
        <w:ind w:firstLine="420" w:firstLineChars="200"/>
        <w:rPr>
          <w:rFonts w:ascii="宋体" w:hAnsi="宋体"/>
          <w:b/>
          <w:kern w:val="0"/>
          <w:szCs w:val="21"/>
          <w:highlight w:val="none"/>
        </w:rPr>
      </w:pPr>
      <w:r>
        <w:rPr>
          <w:rFonts w:hint="eastAsia" w:ascii="宋体" w:hAnsi="宋体"/>
          <w:kern w:val="0"/>
          <w:szCs w:val="21"/>
          <w:highlight w:val="none"/>
        </w:rPr>
        <w:t>9</w:t>
      </w:r>
      <w:r>
        <w:rPr>
          <w:rFonts w:ascii="宋体" w:hAnsi="宋体"/>
          <w:kern w:val="0"/>
          <w:szCs w:val="21"/>
          <w:highlight w:val="none"/>
        </w:rPr>
        <w:t>.1供应商提交的磋商响应文件以及供应商与采购代理机构就有关磋商的所有来往函电均应使用中文</w:t>
      </w:r>
      <w:r>
        <w:rPr>
          <w:rFonts w:hint="eastAsia" w:ascii="宋体" w:hAnsi="宋体"/>
          <w:kern w:val="0"/>
          <w:szCs w:val="21"/>
          <w:highlight w:val="none"/>
        </w:rPr>
        <w:t>。对不同文字文本磋商响应文件的解释发生异议的，以中文文本为准。</w:t>
      </w:r>
    </w:p>
    <w:p>
      <w:pPr>
        <w:spacing w:line="500" w:lineRule="exact"/>
        <w:ind w:firstLine="420" w:firstLineChars="200"/>
        <w:rPr>
          <w:rFonts w:ascii="宋体" w:hAnsi="宋体"/>
          <w:kern w:val="0"/>
          <w:szCs w:val="21"/>
          <w:highlight w:val="none"/>
        </w:rPr>
      </w:pPr>
      <w:r>
        <w:rPr>
          <w:rFonts w:hint="eastAsia" w:ascii="宋体" w:hAnsi="宋体"/>
          <w:kern w:val="0"/>
          <w:szCs w:val="21"/>
          <w:highlight w:val="none"/>
        </w:rPr>
        <w:t>9</w:t>
      </w:r>
      <w:r>
        <w:rPr>
          <w:rFonts w:ascii="宋体" w:hAnsi="宋体"/>
          <w:kern w:val="0"/>
          <w:szCs w:val="21"/>
          <w:highlight w:val="none"/>
        </w:rPr>
        <w:t>.2磋商报价应以人民币报价。任何包含非人民币报价的</w:t>
      </w:r>
      <w:r>
        <w:rPr>
          <w:rFonts w:hint="eastAsia" w:ascii="宋体" w:hAnsi="宋体"/>
          <w:kern w:val="0"/>
          <w:szCs w:val="21"/>
          <w:highlight w:val="none"/>
        </w:rPr>
        <w:t>磋商响应文件均按无效处理</w:t>
      </w:r>
      <w:r>
        <w:rPr>
          <w:rFonts w:ascii="宋体" w:hAnsi="宋体"/>
          <w:kern w:val="0"/>
          <w:szCs w:val="21"/>
          <w:highlight w:val="none"/>
        </w:rPr>
        <w:t>。</w:t>
      </w:r>
    </w:p>
    <w:p>
      <w:pPr>
        <w:spacing w:line="500" w:lineRule="exact"/>
        <w:rPr>
          <w:rFonts w:ascii="宋体" w:hAnsi="宋体"/>
          <w:b/>
          <w:kern w:val="0"/>
          <w:szCs w:val="21"/>
          <w:highlight w:val="none"/>
        </w:rPr>
      </w:pPr>
      <w:r>
        <w:rPr>
          <w:rFonts w:hint="eastAsia" w:ascii="宋体" w:hAnsi="宋体"/>
          <w:b/>
          <w:kern w:val="0"/>
          <w:szCs w:val="21"/>
          <w:highlight w:val="none"/>
        </w:rPr>
        <w:t>10</w:t>
      </w:r>
      <w:r>
        <w:rPr>
          <w:rFonts w:ascii="宋体" w:hAnsi="宋体"/>
          <w:b/>
          <w:kern w:val="0"/>
          <w:szCs w:val="21"/>
          <w:highlight w:val="none"/>
        </w:rPr>
        <w:t>.磋商响应文件的构成</w:t>
      </w:r>
    </w:p>
    <w:p>
      <w:pPr>
        <w:spacing w:line="500" w:lineRule="exact"/>
        <w:ind w:firstLine="420" w:firstLineChars="200"/>
        <w:rPr>
          <w:rFonts w:ascii="宋体" w:hAnsi="宋体"/>
          <w:kern w:val="0"/>
          <w:szCs w:val="21"/>
          <w:highlight w:val="none"/>
        </w:rPr>
      </w:pPr>
      <w:r>
        <w:rPr>
          <w:rFonts w:hint="eastAsia" w:ascii="宋体" w:hAnsi="宋体"/>
          <w:kern w:val="0"/>
          <w:szCs w:val="21"/>
          <w:highlight w:val="none"/>
        </w:rPr>
        <w:t>10</w:t>
      </w:r>
      <w:r>
        <w:rPr>
          <w:rFonts w:ascii="宋体" w:hAnsi="宋体"/>
          <w:kern w:val="0"/>
          <w:szCs w:val="21"/>
          <w:highlight w:val="none"/>
        </w:rPr>
        <w:t>.1 供应商提交的磋商响应文件应包括下列部分的内容：</w:t>
      </w:r>
    </w:p>
    <w:p>
      <w:pPr>
        <w:spacing w:line="500" w:lineRule="exact"/>
        <w:ind w:firstLine="420" w:firstLineChars="200"/>
        <w:rPr>
          <w:rFonts w:ascii="宋体" w:hAnsi="宋体"/>
          <w:kern w:val="0"/>
          <w:szCs w:val="21"/>
          <w:highlight w:val="none"/>
        </w:rPr>
      </w:pPr>
      <w:r>
        <w:rPr>
          <w:rFonts w:hint="eastAsia" w:ascii="宋体" w:hAnsi="宋体"/>
          <w:kern w:val="0"/>
          <w:szCs w:val="21"/>
          <w:highlight w:val="none"/>
        </w:rPr>
        <w:t>10.1.1</w:t>
      </w:r>
      <w:r>
        <w:rPr>
          <w:rFonts w:ascii="宋体" w:hAnsi="宋体"/>
          <w:kern w:val="0"/>
          <w:szCs w:val="21"/>
          <w:highlight w:val="none"/>
        </w:rPr>
        <w:t>按照磋商须知的要求和磋商响应文件规定格式填写的磋商报价书</w:t>
      </w:r>
      <w:r>
        <w:rPr>
          <w:rFonts w:hint="eastAsia" w:ascii="宋体" w:hAnsi="宋体"/>
          <w:kern w:val="0"/>
          <w:szCs w:val="21"/>
          <w:highlight w:val="none"/>
        </w:rPr>
        <w:t>，</w:t>
      </w:r>
      <w:r>
        <w:rPr>
          <w:rFonts w:ascii="宋体" w:hAnsi="宋体"/>
          <w:kern w:val="0"/>
          <w:szCs w:val="21"/>
          <w:highlight w:val="none"/>
        </w:rPr>
        <w:t>磋商报价表</w:t>
      </w:r>
      <w:r>
        <w:rPr>
          <w:rFonts w:hint="eastAsia" w:ascii="宋体" w:hAnsi="宋体"/>
          <w:kern w:val="0"/>
          <w:szCs w:val="21"/>
          <w:highlight w:val="none"/>
        </w:rPr>
        <w:t>，</w:t>
      </w:r>
      <w:r>
        <w:rPr>
          <w:rFonts w:ascii="宋体" w:hAnsi="宋体"/>
          <w:kern w:val="0"/>
          <w:szCs w:val="21"/>
          <w:highlight w:val="none"/>
        </w:rPr>
        <w:t>按要求格式出具的法人代表授权书。</w:t>
      </w:r>
    </w:p>
    <w:p>
      <w:pPr>
        <w:spacing w:line="500" w:lineRule="exact"/>
        <w:ind w:firstLine="420" w:firstLineChars="200"/>
        <w:rPr>
          <w:rFonts w:ascii="宋体" w:hAnsi="宋体"/>
          <w:kern w:val="0"/>
          <w:szCs w:val="21"/>
          <w:highlight w:val="none"/>
        </w:rPr>
      </w:pPr>
      <w:r>
        <w:rPr>
          <w:rFonts w:hint="eastAsia" w:ascii="宋体" w:hAnsi="宋体"/>
          <w:kern w:val="0"/>
          <w:szCs w:val="21"/>
          <w:highlight w:val="none"/>
        </w:rPr>
        <w:t>10.1.2</w:t>
      </w:r>
      <w:r>
        <w:rPr>
          <w:rFonts w:ascii="宋体" w:hAnsi="宋体"/>
          <w:kern w:val="0"/>
          <w:szCs w:val="21"/>
          <w:highlight w:val="none"/>
        </w:rPr>
        <w:t>按照</w:t>
      </w:r>
      <w:r>
        <w:rPr>
          <w:rFonts w:hint="eastAsia" w:ascii="宋体" w:hAnsi="宋体"/>
          <w:kern w:val="0"/>
          <w:szCs w:val="21"/>
          <w:highlight w:val="none"/>
        </w:rPr>
        <w:t>磋商</w:t>
      </w:r>
      <w:r>
        <w:rPr>
          <w:rFonts w:ascii="宋体" w:hAnsi="宋体"/>
          <w:kern w:val="0"/>
          <w:szCs w:val="21"/>
          <w:highlight w:val="none"/>
        </w:rPr>
        <w:t>文件的要求编制磋商</w:t>
      </w:r>
      <w:r>
        <w:rPr>
          <w:rFonts w:hint="eastAsia" w:ascii="宋体" w:hAnsi="宋体"/>
          <w:kern w:val="0"/>
          <w:szCs w:val="21"/>
          <w:highlight w:val="none"/>
        </w:rPr>
        <w:t>响应文件</w:t>
      </w:r>
      <w:r>
        <w:rPr>
          <w:rFonts w:ascii="宋体" w:hAnsi="宋体"/>
          <w:kern w:val="0"/>
          <w:szCs w:val="21"/>
          <w:highlight w:val="none"/>
        </w:rPr>
        <w:t>，内容应包括</w:t>
      </w:r>
      <w:r>
        <w:rPr>
          <w:rFonts w:hint="eastAsia" w:ascii="宋体" w:hAnsi="宋体"/>
          <w:kern w:val="0"/>
          <w:szCs w:val="21"/>
          <w:highlight w:val="none"/>
        </w:rPr>
        <w:t>磋商响应文件格式中的要求</w:t>
      </w:r>
      <w:r>
        <w:rPr>
          <w:rFonts w:ascii="宋体" w:hAnsi="宋体"/>
          <w:kern w:val="0"/>
          <w:szCs w:val="21"/>
          <w:highlight w:val="none"/>
        </w:rPr>
        <w:t>。</w:t>
      </w:r>
    </w:p>
    <w:p>
      <w:pPr>
        <w:spacing w:line="500" w:lineRule="exact"/>
        <w:ind w:firstLine="420" w:firstLineChars="200"/>
        <w:rPr>
          <w:rFonts w:ascii="宋体" w:hAnsi="宋体"/>
          <w:kern w:val="0"/>
          <w:szCs w:val="21"/>
          <w:highlight w:val="none"/>
        </w:rPr>
      </w:pPr>
      <w:r>
        <w:rPr>
          <w:rFonts w:hint="eastAsia" w:ascii="宋体" w:hAnsi="宋体"/>
          <w:kern w:val="0"/>
          <w:szCs w:val="21"/>
          <w:highlight w:val="none"/>
        </w:rPr>
        <w:t xml:space="preserve">10.1.3 </w:t>
      </w:r>
      <w:r>
        <w:rPr>
          <w:rFonts w:ascii="宋体" w:hAnsi="宋体"/>
          <w:kern w:val="0"/>
          <w:szCs w:val="21"/>
          <w:highlight w:val="none"/>
        </w:rPr>
        <w:t>按照磋商文件的要求提交的资</w:t>
      </w:r>
      <w:r>
        <w:rPr>
          <w:rFonts w:hint="eastAsia" w:ascii="宋体" w:hAnsi="宋体"/>
          <w:kern w:val="0"/>
          <w:szCs w:val="21"/>
          <w:highlight w:val="none"/>
        </w:rPr>
        <w:t>质</w:t>
      </w:r>
      <w:r>
        <w:rPr>
          <w:rFonts w:ascii="宋体" w:hAnsi="宋体"/>
          <w:kern w:val="0"/>
          <w:szCs w:val="21"/>
          <w:highlight w:val="none"/>
        </w:rPr>
        <w:t>证明文件</w:t>
      </w:r>
      <w:r>
        <w:rPr>
          <w:rFonts w:hint="eastAsia" w:ascii="宋体" w:hAnsi="宋体"/>
          <w:kern w:val="0"/>
          <w:szCs w:val="21"/>
          <w:highlight w:val="none"/>
        </w:rPr>
        <w:t>和其他证明文件。</w:t>
      </w:r>
    </w:p>
    <w:p>
      <w:pPr>
        <w:spacing w:line="500" w:lineRule="exact"/>
        <w:rPr>
          <w:rFonts w:ascii="宋体" w:hAnsi="宋体"/>
          <w:b/>
          <w:kern w:val="0"/>
          <w:szCs w:val="21"/>
          <w:highlight w:val="none"/>
        </w:rPr>
      </w:pPr>
      <w:r>
        <w:rPr>
          <w:rFonts w:hint="eastAsia" w:ascii="宋体" w:hAnsi="宋体"/>
          <w:b/>
          <w:kern w:val="0"/>
          <w:szCs w:val="21"/>
          <w:highlight w:val="none"/>
        </w:rPr>
        <w:t>11</w:t>
      </w:r>
      <w:r>
        <w:rPr>
          <w:rFonts w:ascii="宋体" w:hAnsi="宋体"/>
          <w:b/>
          <w:kern w:val="0"/>
          <w:szCs w:val="21"/>
          <w:highlight w:val="none"/>
        </w:rPr>
        <w:t>.磋商响应文件格式</w:t>
      </w:r>
    </w:p>
    <w:p>
      <w:pPr>
        <w:spacing w:line="500" w:lineRule="exact"/>
        <w:ind w:firstLine="420" w:firstLineChars="200"/>
        <w:rPr>
          <w:rFonts w:ascii="宋体" w:hAnsi="宋体"/>
          <w:kern w:val="0"/>
          <w:szCs w:val="21"/>
          <w:highlight w:val="none"/>
        </w:rPr>
      </w:pPr>
      <w:r>
        <w:rPr>
          <w:rFonts w:hint="eastAsia" w:ascii="宋体" w:hAnsi="宋体"/>
          <w:kern w:val="0"/>
          <w:szCs w:val="21"/>
          <w:highlight w:val="none"/>
        </w:rPr>
        <w:t>11</w:t>
      </w:r>
      <w:r>
        <w:rPr>
          <w:rFonts w:ascii="宋体" w:hAnsi="宋体"/>
          <w:kern w:val="0"/>
          <w:szCs w:val="21"/>
          <w:highlight w:val="none"/>
        </w:rPr>
        <w:t>.1 供应商应按照磋商文件中“磋商响应文件格式”所提供的格式和要求制作磋商响应文件，明确表达磋商</w:t>
      </w:r>
      <w:r>
        <w:rPr>
          <w:rFonts w:hint="eastAsia" w:ascii="宋体" w:hAnsi="宋体"/>
          <w:kern w:val="0"/>
          <w:szCs w:val="21"/>
          <w:highlight w:val="none"/>
        </w:rPr>
        <w:t>响应</w:t>
      </w:r>
      <w:r>
        <w:rPr>
          <w:rFonts w:ascii="宋体" w:hAnsi="宋体"/>
          <w:kern w:val="0"/>
          <w:szCs w:val="21"/>
          <w:highlight w:val="none"/>
        </w:rPr>
        <w:t>意愿，详细说明磋商</w:t>
      </w:r>
      <w:r>
        <w:rPr>
          <w:rFonts w:hint="eastAsia" w:ascii="宋体" w:hAnsi="宋体"/>
          <w:kern w:val="0"/>
          <w:szCs w:val="21"/>
          <w:highlight w:val="none"/>
        </w:rPr>
        <w:t>响应</w:t>
      </w:r>
      <w:r>
        <w:rPr>
          <w:rFonts w:ascii="宋体" w:hAnsi="宋体"/>
          <w:kern w:val="0"/>
          <w:szCs w:val="21"/>
          <w:highlight w:val="none"/>
        </w:rPr>
        <w:t>方案</w:t>
      </w:r>
      <w:r>
        <w:rPr>
          <w:rFonts w:hint="eastAsia" w:ascii="宋体" w:hAnsi="宋体"/>
          <w:kern w:val="0"/>
          <w:szCs w:val="21"/>
          <w:highlight w:val="none"/>
        </w:rPr>
        <w:t>和报价</w:t>
      </w:r>
      <w:r>
        <w:rPr>
          <w:rFonts w:ascii="宋体" w:hAnsi="宋体"/>
          <w:kern w:val="0"/>
          <w:szCs w:val="21"/>
          <w:highlight w:val="none"/>
        </w:rPr>
        <w:t>。</w:t>
      </w:r>
    </w:p>
    <w:p>
      <w:pPr>
        <w:spacing w:line="500" w:lineRule="exact"/>
        <w:ind w:firstLine="420" w:firstLineChars="200"/>
        <w:rPr>
          <w:rFonts w:ascii="宋体" w:hAnsi="宋体"/>
          <w:kern w:val="0"/>
          <w:szCs w:val="21"/>
          <w:highlight w:val="none"/>
        </w:rPr>
      </w:pPr>
      <w:r>
        <w:rPr>
          <w:rFonts w:hint="eastAsia" w:ascii="宋体" w:hAnsi="宋体"/>
          <w:kern w:val="0"/>
          <w:szCs w:val="21"/>
          <w:highlight w:val="none"/>
        </w:rPr>
        <w:t>11</w:t>
      </w:r>
      <w:r>
        <w:rPr>
          <w:rFonts w:ascii="宋体" w:hAnsi="宋体"/>
          <w:kern w:val="0"/>
          <w:szCs w:val="21"/>
          <w:highlight w:val="none"/>
        </w:rPr>
        <w:t>.2 供应商应完整地提供磋商文件要求的所有数据和资料。</w:t>
      </w:r>
    </w:p>
    <w:p>
      <w:pPr>
        <w:spacing w:line="500" w:lineRule="exact"/>
        <w:rPr>
          <w:rFonts w:ascii="宋体" w:hAnsi="宋体"/>
          <w:b/>
          <w:kern w:val="0"/>
          <w:szCs w:val="21"/>
          <w:highlight w:val="none"/>
        </w:rPr>
      </w:pPr>
      <w:r>
        <w:rPr>
          <w:rFonts w:ascii="宋体" w:hAnsi="宋体"/>
          <w:b/>
          <w:kern w:val="0"/>
          <w:szCs w:val="21"/>
          <w:highlight w:val="none"/>
        </w:rPr>
        <w:t>1</w:t>
      </w:r>
      <w:r>
        <w:rPr>
          <w:rFonts w:hint="eastAsia" w:ascii="宋体" w:hAnsi="宋体"/>
          <w:b/>
          <w:kern w:val="0"/>
          <w:szCs w:val="21"/>
          <w:highlight w:val="none"/>
        </w:rPr>
        <w:t>2</w:t>
      </w:r>
      <w:r>
        <w:rPr>
          <w:rFonts w:ascii="宋体" w:hAnsi="宋体"/>
          <w:b/>
          <w:kern w:val="0"/>
          <w:szCs w:val="21"/>
          <w:highlight w:val="none"/>
        </w:rPr>
        <w:t>.磋商报价</w:t>
      </w:r>
    </w:p>
    <w:p>
      <w:pPr>
        <w:spacing w:line="500" w:lineRule="exact"/>
        <w:ind w:firstLine="420" w:firstLineChars="200"/>
        <w:rPr>
          <w:rFonts w:ascii="宋体" w:hAnsi="宋体"/>
          <w:szCs w:val="21"/>
          <w:highlight w:val="none"/>
        </w:rPr>
      </w:pPr>
      <w:r>
        <w:rPr>
          <w:rFonts w:hint="eastAsia" w:ascii="宋体" w:hAnsi="宋体"/>
          <w:szCs w:val="21"/>
          <w:highlight w:val="none"/>
        </w:rPr>
        <w:t>12.1竞争性磋商文件提供的工程量清单是按照《水利工程工程量清单计价规范》（2007版）和相关计价文件进行编制。工程量清单中所标明的工程量是所有供应商报价的共同基础，供应商在磋商时，也应按照《水利工程工程量清单计价规范》（2007版）的规定去理解工程量清单中各子项所对应的工作内容和要求，以及工程量清单中各子目所对应的工程量计算规则进行自主报价。除非采购人对清单工程量主动修改或对供应商提出的疑问调整修改外，供应商在编制磋商报价时不得随意更改工程量清单中列出的分部分项工程项目。</w:t>
      </w:r>
    </w:p>
    <w:p>
      <w:pPr>
        <w:spacing w:line="500" w:lineRule="exact"/>
        <w:ind w:firstLine="420" w:firstLineChars="200"/>
        <w:rPr>
          <w:rFonts w:ascii="宋体" w:hAnsi="宋体"/>
          <w:szCs w:val="21"/>
          <w:highlight w:val="none"/>
        </w:rPr>
      </w:pPr>
      <w:r>
        <w:rPr>
          <w:rFonts w:hint="eastAsia" w:ascii="宋体" w:hAnsi="宋体"/>
          <w:szCs w:val="21"/>
          <w:highlight w:val="none"/>
        </w:rPr>
        <w:t>12.2供应商应充分考虑国家现行技术标准、规范和设计图纸要求，以及供应商企业自身情况，自主报价。报价应是采购范围内全部工作内容的价格体现。报价一经提交，则将被视为采购内容的全部费用已经包含在报价内，供应商没有填报的费用，采购人将不予支付，并认为此项费用已包括在报价的其他综合单价或合价中。供应商亦不得以任何理由在报价中重复计价。除合同另有约定外，对成交人提出的任何追加报价，采购人将不予考虑。</w:t>
      </w:r>
    </w:p>
    <w:p>
      <w:pPr>
        <w:spacing w:line="500" w:lineRule="exact"/>
        <w:ind w:firstLine="420" w:firstLineChars="200"/>
        <w:rPr>
          <w:rFonts w:ascii="宋体" w:hAnsi="宋体"/>
          <w:szCs w:val="21"/>
          <w:highlight w:val="none"/>
        </w:rPr>
      </w:pPr>
      <w:r>
        <w:rPr>
          <w:rFonts w:hint="eastAsia" w:ascii="宋体" w:hAnsi="宋体"/>
          <w:szCs w:val="21"/>
          <w:highlight w:val="none"/>
        </w:rPr>
        <w:t>12.3凡因供应商对竞争性磋商文件阅读疏忽或误解，或因对施工现场、施工环境、市场行情等了解不清而造成的后果和风险，由供应商负责；如供应商因此而提出索赔或工期延长，采购人将不予批准。供应商应结合现场实际情况，根据企业自身的管理水平和实力在保证不低于成本的基础上自主确定切合自身实力的竞争性报价。</w:t>
      </w:r>
    </w:p>
    <w:p>
      <w:pPr>
        <w:spacing w:line="500" w:lineRule="exact"/>
        <w:ind w:firstLine="420" w:firstLineChars="200"/>
        <w:rPr>
          <w:rFonts w:ascii="宋体" w:hAnsi="宋体"/>
          <w:szCs w:val="21"/>
          <w:highlight w:val="none"/>
        </w:rPr>
      </w:pPr>
      <w:r>
        <w:rPr>
          <w:rFonts w:hint="eastAsia" w:ascii="宋体" w:hAnsi="宋体"/>
          <w:szCs w:val="21"/>
          <w:highlight w:val="none"/>
        </w:rPr>
        <w:t>12.4当供应商承诺的工期少于要求的工期，或承诺的工程质量等级高于要求时，允许供应商将因此所增加的所有费用列入报价中，工程结算时，视同报价中已包含此项费用。竣工验收时必须达到所承诺的工期和质量标准，否则视同供应商违约。</w:t>
      </w:r>
    </w:p>
    <w:p>
      <w:pPr>
        <w:spacing w:line="500" w:lineRule="exact"/>
        <w:ind w:firstLine="420" w:firstLineChars="200"/>
        <w:rPr>
          <w:rFonts w:ascii="宋体" w:hAnsi="宋体"/>
          <w:kern w:val="0"/>
          <w:szCs w:val="21"/>
          <w:highlight w:val="none"/>
        </w:rPr>
      </w:pPr>
      <w:r>
        <w:rPr>
          <w:rFonts w:ascii="宋体" w:hAnsi="宋体"/>
          <w:kern w:val="0"/>
          <w:szCs w:val="21"/>
          <w:highlight w:val="none"/>
        </w:rPr>
        <w:t>1</w:t>
      </w:r>
      <w:r>
        <w:rPr>
          <w:rFonts w:hint="eastAsia" w:ascii="宋体" w:hAnsi="宋体"/>
          <w:kern w:val="0"/>
          <w:szCs w:val="21"/>
          <w:highlight w:val="none"/>
        </w:rPr>
        <w:t>2</w:t>
      </w:r>
      <w:r>
        <w:rPr>
          <w:rFonts w:ascii="宋体" w:hAnsi="宋体"/>
          <w:kern w:val="0"/>
          <w:szCs w:val="21"/>
          <w:highlight w:val="none"/>
        </w:rPr>
        <w:t>.</w:t>
      </w:r>
      <w:r>
        <w:rPr>
          <w:rFonts w:hint="eastAsia" w:ascii="宋体" w:hAnsi="宋体"/>
          <w:kern w:val="0"/>
          <w:szCs w:val="21"/>
          <w:highlight w:val="none"/>
        </w:rPr>
        <w:t>5供应商磋商报价两次均不得高于（＞）</w:t>
      </w:r>
      <w:r>
        <w:rPr>
          <w:rFonts w:hint="eastAsia" w:ascii="宋体" w:hAnsi="宋体"/>
          <w:szCs w:val="21"/>
          <w:highlight w:val="none"/>
        </w:rPr>
        <w:t>最高投标限价</w:t>
      </w:r>
      <w:r>
        <w:rPr>
          <w:rFonts w:hint="eastAsia" w:ascii="宋体" w:hAnsi="宋体"/>
          <w:kern w:val="0"/>
          <w:szCs w:val="21"/>
          <w:highlight w:val="none"/>
        </w:rPr>
        <w:t>，</w:t>
      </w:r>
      <w:r>
        <w:rPr>
          <w:rFonts w:hint="eastAsia" w:ascii="宋体" w:hAnsi="宋体"/>
          <w:szCs w:val="21"/>
          <w:highlight w:val="none"/>
        </w:rPr>
        <w:t>最高投标限价</w:t>
      </w:r>
      <w:r>
        <w:rPr>
          <w:rFonts w:hint="eastAsia" w:ascii="宋体" w:hAnsi="宋体"/>
          <w:kern w:val="0"/>
          <w:szCs w:val="21"/>
          <w:highlight w:val="none"/>
        </w:rPr>
        <w:t>详见磋商须知前附表。</w:t>
      </w:r>
    </w:p>
    <w:p>
      <w:pPr>
        <w:spacing w:line="500" w:lineRule="exact"/>
        <w:ind w:firstLine="420" w:firstLineChars="200"/>
        <w:rPr>
          <w:rFonts w:ascii="宋体" w:hAnsi="宋体"/>
          <w:kern w:val="0"/>
          <w:szCs w:val="21"/>
          <w:highlight w:val="none"/>
        </w:rPr>
      </w:pPr>
      <w:r>
        <w:rPr>
          <w:rFonts w:hint="eastAsia" w:ascii="宋体" w:hAnsi="宋体"/>
          <w:kern w:val="0"/>
          <w:szCs w:val="21"/>
          <w:highlight w:val="none"/>
        </w:rPr>
        <w:t>12.6暂列金额是指用于施工合同签订时尚未确定或者不可预见的所需材料、设备、服务的采购，施工中可能发生的工程变更、合同约定调整因素出现时的工程价款调整以及发生的索赔、现场签证确认等的费用。供应商应当计入磋商报价中，结算时根据采购人的变更、签证及认质认价按实结算。本项目暂列金额为0.00元。</w:t>
      </w:r>
    </w:p>
    <w:p>
      <w:pPr>
        <w:spacing w:line="500" w:lineRule="exact"/>
        <w:ind w:firstLine="420" w:firstLineChars="200"/>
        <w:rPr>
          <w:rFonts w:ascii="宋体" w:hAnsi="宋体"/>
          <w:kern w:val="0"/>
          <w:szCs w:val="21"/>
          <w:highlight w:val="none"/>
        </w:rPr>
      </w:pPr>
      <w:r>
        <w:rPr>
          <w:rFonts w:hint="eastAsia" w:ascii="宋体" w:hAnsi="宋体"/>
          <w:kern w:val="0"/>
          <w:szCs w:val="21"/>
          <w:highlight w:val="none"/>
        </w:rPr>
        <w:t>12.7供应商提供的二次磋商报价是供应商响应文件的有效组成部分，二次磋商报价的下浮部分在本工程款支付过程中同比下调。</w:t>
      </w:r>
    </w:p>
    <w:p>
      <w:pPr>
        <w:spacing w:line="500" w:lineRule="exact"/>
        <w:rPr>
          <w:rFonts w:ascii="宋体" w:hAnsi="宋体"/>
          <w:b/>
          <w:kern w:val="0"/>
          <w:szCs w:val="21"/>
          <w:highlight w:val="none"/>
        </w:rPr>
      </w:pPr>
      <w:r>
        <w:rPr>
          <w:rFonts w:ascii="宋体" w:hAnsi="宋体"/>
          <w:b/>
          <w:kern w:val="0"/>
          <w:szCs w:val="21"/>
          <w:highlight w:val="none"/>
        </w:rPr>
        <w:t>1</w:t>
      </w:r>
      <w:r>
        <w:rPr>
          <w:rFonts w:hint="eastAsia" w:ascii="宋体" w:hAnsi="宋体"/>
          <w:b/>
          <w:kern w:val="0"/>
          <w:szCs w:val="21"/>
          <w:highlight w:val="none"/>
        </w:rPr>
        <w:t>3</w:t>
      </w:r>
      <w:r>
        <w:rPr>
          <w:rFonts w:ascii="宋体" w:hAnsi="宋体"/>
          <w:b/>
          <w:kern w:val="0"/>
          <w:szCs w:val="21"/>
          <w:highlight w:val="none"/>
        </w:rPr>
        <w:t>.证明供应商</w:t>
      </w:r>
      <w:r>
        <w:rPr>
          <w:rFonts w:hint="eastAsia" w:ascii="宋体" w:hAnsi="宋体"/>
          <w:b/>
          <w:kern w:val="0"/>
          <w:szCs w:val="21"/>
          <w:highlight w:val="none"/>
        </w:rPr>
        <w:t>合格和资格的文件</w:t>
      </w:r>
    </w:p>
    <w:p>
      <w:pPr>
        <w:spacing w:line="500" w:lineRule="exact"/>
        <w:ind w:firstLine="420" w:firstLineChars="200"/>
        <w:rPr>
          <w:rFonts w:ascii="宋体" w:hAnsi="宋体"/>
          <w:kern w:val="0"/>
          <w:szCs w:val="21"/>
          <w:highlight w:val="none"/>
        </w:rPr>
      </w:pPr>
      <w:r>
        <w:rPr>
          <w:rFonts w:ascii="宋体" w:hAnsi="宋体"/>
          <w:kern w:val="0"/>
          <w:szCs w:val="21"/>
          <w:highlight w:val="none"/>
        </w:rPr>
        <w:t>1</w:t>
      </w:r>
      <w:r>
        <w:rPr>
          <w:rFonts w:hint="eastAsia" w:ascii="宋体" w:hAnsi="宋体"/>
          <w:kern w:val="0"/>
          <w:szCs w:val="21"/>
          <w:highlight w:val="none"/>
        </w:rPr>
        <w:t>3</w:t>
      </w:r>
      <w:r>
        <w:rPr>
          <w:rFonts w:ascii="宋体" w:hAnsi="宋体"/>
          <w:kern w:val="0"/>
          <w:szCs w:val="21"/>
          <w:highlight w:val="none"/>
        </w:rPr>
        <w:t>.1供应商应按照磋商文件</w:t>
      </w:r>
      <w:r>
        <w:rPr>
          <w:rFonts w:hint="eastAsia" w:ascii="宋体" w:hAnsi="宋体"/>
          <w:kern w:val="0"/>
          <w:szCs w:val="21"/>
          <w:highlight w:val="none"/>
        </w:rPr>
        <w:t>“</w:t>
      </w:r>
      <w:r>
        <w:rPr>
          <w:rFonts w:ascii="宋体" w:hAnsi="宋体"/>
          <w:kern w:val="0"/>
          <w:szCs w:val="21"/>
          <w:highlight w:val="none"/>
        </w:rPr>
        <w:t>磋商须知前附表</w:t>
      </w:r>
      <w:r>
        <w:rPr>
          <w:rFonts w:hint="eastAsia" w:ascii="宋体" w:hAnsi="宋体"/>
          <w:kern w:val="0"/>
          <w:szCs w:val="21"/>
          <w:highlight w:val="none"/>
        </w:rPr>
        <w:t>”</w:t>
      </w:r>
      <w:r>
        <w:rPr>
          <w:rFonts w:ascii="宋体" w:hAnsi="宋体"/>
          <w:kern w:val="0"/>
          <w:szCs w:val="21"/>
          <w:highlight w:val="none"/>
        </w:rPr>
        <w:t>的要求，在磋商响应文件中提交</w:t>
      </w:r>
      <w:r>
        <w:rPr>
          <w:rFonts w:hint="eastAsia" w:ascii="宋体" w:hAnsi="宋体"/>
          <w:kern w:val="0"/>
          <w:szCs w:val="21"/>
          <w:highlight w:val="none"/>
        </w:rPr>
        <w:t>证明其资格</w:t>
      </w:r>
      <w:r>
        <w:rPr>
          <w:rFonts w:ascii="宋体" w:hAnsi="宋体"/>
          <w:kern w:val="0"/>
          <w:szCs w:val="21"/>
          <w:highlight w:val="none"/>
        </w:rPr>
        <w:t>合格的文件。如果资</w:t>
      </w:r>
      <w:r>
        <w:rPr>
          <w:rFonts w:hint="eastAsia" w:ascii="宋体" w:hAnsi="宋体"/>
          <w:kern w:val="0"/>
          <w:szCs w:val="21"/>
          <w:highlight w:val="none"/>
        </w:rPr>
        <w:t>格</w:t>
      </w:r>
      <w:r>
        <w:rPr>
          <w:rFonts w:ascii="宋体" w:hAnsi="宋体"/>
          <w:kern w:val="0"/>
          <w:szCs w:val="21"/>
          <w:highlight w:val="none"/>
        </w:rPr>
        <w:t>证明文件不全或不合格的，</w:t>
      </w:r>
      <w:r>
        <w:rPr>
          <w:rFonts w:hint="eastAsia" w:ascii="宋体" w:hAnsi="宋体"/>
          <w:kern w:val="0"/>
          <w:szCs w:val="21"/>
          <w:highlight w:val="none"/>
        </w:rPr>
        <w:t>其磋商响应文件按无效处理</w:t>
      </w:r>
      <w:r>
        <w:rPr>
          <w:rFonts w:ascii="宋体" w:hAnsi="宋体"/>
          <w:kern w:val="0"/>
          <w:szCs w:val="21"/>
          <w:highlight w:val="none"/>
        </w:rPr>
        <w:t>。</w:t>
      </w:r>
    </w:p>
    <w:p>
      <w:pPr>
        <w:spacing w:line="500" w:lineRule="exact"/>
        <w:ind w:firstLine="420" w:firstLineChars="200"/>
        <w:rPr>
          <w:rFonts w:ascii="宋体" w:hAnsi="宋体"/>
          <w:kern w:val="0"/>
          <w:szCs w:val="21"/>
          <w:highlight w:val="none"/>
        </w:rPr>
      </w:pPr>
      <w:r>
        <w:rPr>
          <w:rFonts w:hint="eastAsia" w:ascii="宋体" w:hAnsi="宋体"/>
          <w:kern w:val="0"/>
          <w:szCs w:val="21"/>
          <w:highlight w:val="none"/>
        </w:rPr>
        <w:t>13.2如果“磋商须知前附表”有要求，供应商还应按照</w:t>
      </w:r>
      <w:r>
        <w:rPr>
          <w:rFonts w:ascii="宋体" w:hAnsi="宋体"/>
          <w:kern w:val="0"/>
          <w:szCs w:val="21"/>
          <w:highlight w:val="none"/>
        </w:rPr>
        <w:t>要求提</w:t>
      </w:r>
      <w:r>
        <w:rPr>
          <w:rFonts w:hint="eastAsia" w:ascii="宋体" w:hAnsi="宋体"/>
          <w:kern w:val="0"/>
          <w:szCs w:val="21"/>
          <w:highlight w:val="none"/>
        </w:rPr>
        <w:t>交证明文件的</w:t>
      </w:r>
      <w:r>
        <w:rPr>
          <w:rFonts w:ascii="宋体" w:hAnsi="宋体"/>
          <w:kern w:val="0"/>
          <w:szCs w:val="21"/>
          <w:highlight w:val="none"/>
        </w:rPr>
        <w:t>原件</w:t>
      </w:r>
      <w:r>
        <w:rPr>
          <w:rFonts w:hint="eastAsia" w:ascii="宋体" w:hAnsi="宋体"/>
          <w:kern w:val="0"/>
          <w:szCs w:val="21"/>
          <w:highlight w:val="none"/>
        </w:rPr>
        <w:t>。如果未能提供原件或者提供原件不全的，其磋商响应文件按无效处理</w:t>
      </w:r>
      <w:r>
        <w:rPr>
          <w:rFonts w:ascii="宋体" w:hAnsi="宋体"/>
          <w:kern w:val="0"/>
          <w:szCs w:val="21"/>
          <w:highlight w:val="none"/>
        </w:rPr>
        <w:t>。</w:t>
      </w:r>
    </w:p>
    <w:p>
      <w:pPr>
        <w:spacing w:line="500" w:lineRule="exact"/>
        <w:rPr>
          <w:rFonts w:ascii="宋体" w:hAnsi="宋体"/>
          <w:b/>
          <w:kern w:val="0"/>
          <w:szCs w:val="21"/>
          <w:highlight w:val="none"/>
        </w:rPr>
      </w:pPr>
      <w:r>
        <w:rPr>
          <w:rFonts w:hint="eastAsia" w:ascii="宋体" w:hAnsi="宋体"/>
          <w:b/>
          <w:kern w:val="0"/>
          <w:szCs w:val="21"/>
          <w:highlight w:val="none"/>
        </w:rPr>
        <w:t>14. 证明供应商的合格性和符合磋商文件要求的文件</w:t>
      </w:r>
    </w:p>
    <w:p>
      <w:pPr>
        <w:spacing w:line="500" w:lineRule="exact"/>
        <w:ind w:firstLine="420" w:firstLineChars="200"/>
        <w:rPr>
          <w:rFonts w:ascii="宋体" w:hAnsi="宋体"/>
          <w:kern w:val="0"/>
          <w:szCs w:val="21"/>
          <w:highlight w:val="none"/>
        </w:rPr>
      </w:pPr>
      <w:r>
        <w:rPr>
          <w:rFonts w:ascii="宋体" w:hAnsi="宋体"/>
          <w:kern w:val="0"/>
          <w:szCs w:val="21"/>
          <w:highlight w:val="none"/>
        </w:rPr>
        <w:t>1</w:t>
      </w:r>
      <w:r>
        <w:rPr>
          <w:rFonts w:hint="eastAsia" w:ascii="宋体" w:hAnsi="宋体"/>
          <w:kern w:val="0"/>
          <w:szCs w:val="21"/>
          <w:highlight w:val="none"/>
        </w:rPr>
        <w:t>4</w:t>
      </w:r>
      <w:r>
        <w:rPr>
          <w:rFonts w:ascii="宋体" w:hAnsi="宋体"/>
          <w:kern w:val="0"/>
          <w:szCs w:val="21"/>
          <w:highlight w:val="none"/>
        </w:rPr>
        <w:t>.</w:t>
      </w:r>
      <w:r>
        <w:rPr>
          <w:rFonts w:hint="eastAsia" w:ascii="宋体" w:hAnsi="宋体"/>
          <w:kern w:val="0"/>
          <w:szCs w:val="21"/>
          <w:highlight w:val="none"/>
        </w:rPr>
        <w:t>1</w:t>
      </w:r>
      <w:r>
        <w:rPr>
          <w:rFonts w:ascii="宋体" w:hAnsi="宋体"/>
          <w:kern w:val="0"/>
          <w:szCs w:val="21"/>
          <w:highlight w:val="none"/>
        </w:rPr>
        <w:t>供应商应在响应文件中提交</w:t>
      </w:r>
      <w:r>
        <w:rPr>
          <w:rFonts w:hint="eastAsia" w:ascii="宋体" w:hAnsi="宋体"/>
          <w:kern w:val="0"/>
          <w:szCs w:val="21"/>
          <w:highlight w:val="none"/>
        </w:rPr>
        <w:t>所提供</w:t>
      </w:r>
      <w:r>
        <w:rPr>
          <w:rFonts w:ascii="宋体" w:hAnsi="宋体"/>
          <w:kern w:val="0"/>
          <w:szCs w:val="21"/>
          <w:highlight w:val="none"/>
        </w:rPr>
        <w:t>满足磋商文件要求并符合国家法律法规、行业管理部门要求的其他强制性标准的证明文件。缺少证明文件或证明文件不合格的</w:t>
      </w:r>
      <w:r>
        <w:rPr>
          <w:rFonts w:hint="eastAsia" w:ascii="宋体" w:hAnsi="宋体"/>
          <w:kern w:val="0"/>
          <w:szCs w:val="21"/>
          <w:highlight w:val="none"/>
        </w:rPr>
        <w:t>响应文件</w:t>
      </w:r>
      <w:r>
        <w:rPr>
          <w:rFonts w:ascii="宋体" w:hAnsi="宋体"/>
          <w:kern w:val="0"/>
          <w:szCs w:val="21"/>
          <w:highlight w:val="none"/>
        </w:rPr>
        <w:t>，与磋商文件要求有重大偏离的</w:t>
      </w:r>
      <w:r>
        <w:rPr>
          <w:rFonts w:hint="eastAsia" w:ascii="宋体" w:hAnsi="宋体"/>
          <w:kern w:val="0"/>
          <w:szCs w:val="21"/>
          <w:highlight w:val="none"/>
        </w:rPr>
        <w:t>响应文件</w:t>
      </w:r>
      <w:r>
        <w:rPr>
          <w:rFonts w:ascii="宋体" w:hAnsi="宋体"/>
          <w:kern w:val="0"/>
          <w:szCs w:val="21"/>
          <w:highlight w:val="none"/>
        </w:rPr>
        <w:t>，不符合国家法律法规、行业管理部门要求的其他强制性标准的</w:t>
      </w:r>
      <w:r>
        <w:rPr>
          <w:rFonts w:hint="eastAsia" w:ascii="宋体" w:hAnsi="宋体"/>
          <w:kern w:val="0"/>
          <w:szCs w:val="21"/>
          <w:highlight w:val="none"/>
        </w:rPr>
        <w:t>响应文件</w:t>
      </w:r>
      <w:r>
        <w:rPr>
          <w:rFonts w:ascii="宋体" w:hAnsi="宋体"/>
          <w:kern w:val="0"/>
          <w:szCs w:val="21"/>
          <w:highlight w:val="none"/>
        </w:rPr>
        <w:t>将</w:t>
      </w:r>
      <w:r>
        <w:rPr>
          <w:rFonts w:hint="eastAsia" w:ascii="宋体" w:hAnsi="宋体"/>
          <w:kern w:val="0"/>
          <w:szCs w:val="21"/>
          <w:highlight w:val="none"/>
        </w:rPr>
        <w:t>按照无效处理</w:t>
      </w:r>
      <w:r>
        <w:rPr>
          <w:rFonts w:ascii="宋体" w:hAnsi="宋体"/>
          <w:kern w:val="0"/>
          <w:szCs w:val="21"/>
          <w:highlight w:val="none"/>
        </w:rPr>
        <w:t>。</w:t>
      </w:r>
    </w:p>
    <w:p>
      <w:pPr>
        <w:spacing w:line="500" w:lineRule="exact"/>
        <w:ind w:firstLine="420" w:firstLineChars="200"/>
        <w:rPr>
          <w:rFonts w:ascii="宋体" w:hAnsi="宋体"/>
          <w:kern w:val="0"/>
          <w:szCs w:val="21"/>
          <w:highlight w:val="none"/>
        </w:rPr>
      </w:pPr>
      <w:r>
        <w:rPr>
          <w:rFonts w:ascii="宋体" w:hAnsi="宋体"/>
          <w:kern w:val="0"/>
          <w:szCs w:val="21"/>
          <w:highlight w:val="none"/>
        </w:rPr>
        <w:t>1</w:t>
      </w:r>
      <w:r>
        <w:rPr>
          <w:rFonts w:hint="eastAsia" w:ascii="宋体" w:hAnsi="宋体"/>
          <w:kern w:val="0"/>
          <w:szCs w:val="21"/>
          <w:highlight w:val="none"/>
        </w:rPr>
        <w:t>4</w:t>
      </w:r>
      <w:r>
        <w:rPr>
          <w:rFonts w:ascii="宋体" w:hAnsi="宋体"/>
          <w:kern w:val="0"/>
          <w:szCs w:val="21"/>
          <w:highlight w:val="none"/>
        </w:rPr>
        <w:t>.</w:t>
      </w:r>
      <w:r>
        <w:rPr>
          <w:rFonts w:hint="eastAsia" w:ascii="宋体" w:hAnsi="宋体"/>
          <w:kern w:val="0"/>
          <w:szCs w:val="21"/>
          <w:highlight w:val="none"/>
        </w:rPr>
        <w:t>2</w:t>
      </w:r>
      <w:r>
        <w:rPr>
          <w:rFonts w:ascii="宋体" w:hAnsi="宋体"/>
          <w:kern w:val="0"/>
          <w:szCs w:val="21"/>
          <w:highlight w:val="none"/>
        </w:rPr>
        <w:t>上述证明文件可以是文字资料、图纸、图片和数据，它包括：</w:t>
      </w:r>
    </w:p>
    <w:p>
      <w:pPr>
        <w:spacing w:line="500" w:lineRule="exact"/>
        <w:ind w:firstLine="420" w:firstLineChars="200"/>
        <w:rPr>
          <w:rFonts w:ascii="宋体" w:hAnsi="宋体"/>
          <w:kern w:val="0"/>
          <w:szCs w:val="21"/>
          <w:highlight w:val="none"/>
        </w:rPr>
      </w:pPr>
      <w:r>
        <w:rPr>
          <w:rFonts w:ascii="宋体" w:hAnsi="宋体"/>
          <w:kern w:val="0"/>
          <w:szCs w:val="21"/>
          <w:highlight w:val="none"/>
        </w:rPr>
        <w:t xml:space="preserve">  1) </w:t>
      </w:r>
      <w:r>
        <w:rPr>
          <w:rFonts w:hint="eastAsia" w:ascii="宋体" w:hAnsi="宋体"/>
          <w:kern w:val="0"/>
          <w:szCs w:val="21"/>
          <w:highlight w:val="none"/>
        </w:rPr>
        <w:t>本次采购特别要求的合格性证明文件（见“磋商须知前附表 ”）；</w:t>
      </w:r>
    </w:p>
    <w:p>
      <w:pPr>
        <w:spacing w:line="500" w:lineRule="exact"/>
        <w:ind w:firstLine="420" w:firstLineChars="200"/>
        <w:rPr>
          <w:rFonts w:ascii="宋体" w:hAnsi="宋体"/>
          <w:kern w:val="0"/>
          <w:szCs w:val="21"/>
          <w:highlight w:val="none"/>
        </w:rPr>
      </w:pPr>
      <w:r>
        <w:rPr>
          <w:rFonts w:hint="eastAsia" w:ascii="宋体" w:hAnsi="宋体"/>
          <w:kern w:val="0"/>
          <w:szCs w:val="21"/>
          <w:highlight w:val="none"/>
        </w:rPr>
        <w:t xml:space="preserve">  2）</w:t>
      </w:r>
      <w:r>
        <w:rPr>
          <w:rFonts w:ascii="宋体" w:hAnsi="宋体"/>
          <w:kern w:val="0"/>
          <w:szCs w:val="21"/>
          <w:highlight w:val="none"/>
        </w:rPr>
        <w:t>逐条对</w:t>
      </w:r>
      <w:r>
        <w:rPr>
          <w:rFonts w:hint="eastAsia" w:ascii="宋体" w:hAnsi="宋体"/>
          <w:kern w:val="0"/>
          <w:szCs w:val="21"/>
          <w:highlight w:val="none"/>
        </w:rPr>
        <w:t>磋商</w:t>
      </w:r>
      <w:r>
        <w:rPr>
          <w:rFonts w:ascii="宋体" w:hAnsi="宋体"/>
          <w:kern w:val="0"/>
          <w:szCs w:val="21"/>
          <w:highlight w:val="none"/>
        </w:rPr>
        <w:t>文件提出的技术要求和商务要求进行应答，说明所提供的</w:t>
      </w:r>
      <w:r>
        <w:rPr>
          <w:rFonts w:hint="eastAsia" w:ascii="宋体" w:hAnsi="宋体"/>
          <w:kern w:val="0"/>
          <w:szCs w:val="21"/>
          <w:highlight w:val="none"/>
        </w:rPr>
        <w:t>工程</w:t>
      </w:r>
      <w:r>
        <w:rPr>
          <w:rFonts w:ascii="宋体" w:hAnsi="宋体"/>
          <w:kern w:val="0"/>
          <w:szCs w:val="21"/>
          <w:highlight w:val="none"/>
        </w:rPr>
        <w:t>对</w:t>
      </w:r>
      <w:r>
        <w:rPr>
          <w:rFonts w:hint="eastAsia" w:ascii="宋体" w:hAnsi="宋体"/>
          <w:kern w:val="0"/>
          <w:szCs w:val="21"/>
          <w:highlight w:val="none"/>
        </w:rPr>
        <w:t>磋商要求</w:t>
      </w:r>
      <w:r>
        <w:rPr>
          <w:rFonts w:ascii="宋体" w:hAnsi="宋体"/>
          <w:kern w:val="0"/>
          <w:szCs w:val="21"/>
          <w:highlight w:val="none"/>
        </w:rPr>
        <w:t>的技术和商务要求是否做出了实质性响应并提供支持文件</w:t>
      </w:r>
      <w:r>
        <w:rPr>
          <w:rFonts w:hint="eastAsia" w:ascii="宋体" w:hAnsi="宋体"/>
          <w:kern w:val="0"/>
          <w:szCs w:val="21"/>
          <w:highlight w:val="none"/>
        </w:rPr>
        <w:t>。</w:t>
      </w:r>
    </w:p>
    <w:p>
      <w:pPr>
        <w:spacing w:line="500" w:lineRule="exact"/>
        <w:rPr>
          <w:rFonts w:ascii="宋体" w:hAnsi="宋体"/>
          <w:b/>
          <w:kern w:val="0"/>
          <w:szCs w:val="21"/>
          <w:highlight w:val="none"/>
        </w:rPr>
      </w:pPr>
      <w:r>
        <w:rPr>
          <w:rFonts w:ascii="宋体" w:hAnsi="宋体"/>
          <w:b/>
          <w:kern w:val="0"/>
          <w:szCs w:val="21"/>
          <w:highlight w:val="none"/>
        </w:rPr>
        <w:t>1</w:t>
      </w:r>
      <w:r>
        <w:rPr>
          <w:rFonts w:hint="eastAsia" w:ascii="宋体" w:hAnsi="宋体"/>
          <w:b/>
          <w:kern w:val="0"/>
          <w:szCs w:val="21"/>
          <w:highlight w:val="none"/>
        </w:rPr>
        <w:t>5</w:t>
      </w:r>
      <w:r>
        <w:rPr>
          <w:rFonts w:ascii="宋体" w:hAnsi="宋体"/>
          <w:b/>
          <w:kern w:val="0"/>
          <w:szCs w:val="21"/>
          <w:highlight w:val="none"/>
        </w:rPr>
        <w:t>.磋商保证金</w:t>
      </w:r>
    </w:p>
    <w:p>
      <w:pPr>
        <w:spacing w:line="500" w:lineRule="exact"/>
        <w:ind w:firstLine="420" w:firstLineChars="200"/>
        <w:rPr>
          <w:rFonts w:ascii="宋体" w:hAnsi="宋体"/>
          <w:kern w:val="0"/>
          <w:szCs w:val="21"/>
          <w:highlight w:val="none"/>
        </w:rPr>
      </w:pPr>
      <w:r>
        <w:rPr>
          <w:rFonts w:ascii="宋体" w:hAnsi="宋体"/>
          <w:kern w:val="0"/>
          <w:szCs w:val="21"/>
          <w:highlight w:val="none"/>
        </w:rPr>
        <w:t>1</w:t>
      </w:r>
      <w:r>
        <w:rPr>
          <w:rFonts w:hint="eastAsia" w:ascii="宋体" w:hAnsi="宋体"/>
          <w:kern w:val="0"/>
          <w:szCs w:val="21"/>
          <w:highlight w:val="none"/>
        </w:rPr>
        <w:t>5</w:t>
      </w:r>
      <w:r>
        <w:rPr>
          <w:rFonts w:ascii="宋体" w:hAnsi="宋体"/>
          <w:kern w:val="0"/>
          <w:szCs w:val="21"/>
          <w:highlight w:val="none"/>
        </w:rPr>
        <w:t>.1</w:t>
      </w:r>
      <w:r>
        <w:rPr>
          <w:rFonts w:hint="eastAsia" w:ascii="宋体" w:hAnsi="宋体"/>
          <w:kern w:val="0"/>
          <w:szCs w:val="21"/>
          <w:highlight w:val="none"/>
        </w:rPr>
        <w:t>如果磋商文件有要求，</w:t>
      </w:r>
      <w:r>
        <w:rPr>
          <w:rFonts w:ascii="宋体" w:hAnsi="宋体"/>
          <w:kern w:val="0"/>
          <w:szCs w:val="21"/>
          <w:highlight w:val="none"/>
        </w:rPr>
        <w:t>供应商</w:t>
      </w:r>
      <w:r>
        <w:rPr>
          <w:rFonts w:hint="eastAsia" w:ascii="宋体" w:hAnsi="宋体"/>
          <w:kern w:val="0"/>
          <w:szCs w:val="21"/>
          <w:highlight w:val="none"/>
        </w:rPr>
        <w:t>应按照“磋商须知前附表”的要求，</w:t>
      </w:r>
      <w:r>
        <w:rPr>
          <w:rFonts w:ascii="宋体" w:hAnsi="宋体"/>
          <w:kern w:val="0"/>
          <w:szCs w:val="21"/>
          <w:highlight w:val="none"/>
        </w:rPr>
        <w:t>在</w:t>
      </w:r>
      <w:r>
        <w:rPr>
          <w:rFonts w:hint="eastAsia" w:ascii="宋体" w:hAnsi="宋体"/>
          <w:kern w:val="0"/>
          <w:szCs w:val="21"/>
          <w:highlight w:val="none"/>
        </w:rPr>
        <w:t>参加</w:t>
      </w:r>
      <w:r>
        <w:rPr>
          <w:rFonts w:ascii="宋体" w:hAnsi="宋体"/>
          <w:kern w:val="0"/>
          <w:szCs w:val="21"/>
          <w:highlight w:val="none"/>
        </w:rPr>
        <w:t>磋商时向</w:t>
      </w:r>
      <w:r>
        <w:rPr>
          <w:rFonts w:hint="eastAsia" w:ascii="宋体" w:hAnsi="宋体"/>
          <w:kern w:val="0"/>
          <w:szCs w:val="21"/>
          <w:highlight w:val="none"/>
        </w:rPr>
        <w:t>陕西恒瑞项目管理有限公司交纳</w:t>
      </w:r>
      <w:r>
        <w:rPr>
          <w:rFonts w:ascii="宋体" w:hAnsi="宋体"/>
          <w:kern w:val="0"/>
          <w:szCs w:val="21"/>
          <w:highlight w:val="none"/>
        </w:rPr>
        <w:t>磋商保证金,</w:t>
      </w:r>
      <w:r>
        <w:rPr>
          <w:rFonts w:hint="eastAsia" w:ascii="宋体" w:hAnsi="宋体"/>
          <w:kern w:val="0"/>
          <w:szCs w:val="21"/>
          <w:highlight w:val="none"/>
        </w:rPr>
        <w:t>其有效期与磋商报价有效期一致，</w:t>
      </w:r>
      <w:r>
        <w:rPr>
          <w:rFonts w:ascii="宋体" w:hAnsi="宋体"/>
          <w:kern w:val="0"/>
          <w:szCs w:val="21"/>
          <w:highlight w:val="none"/>
        </w:rPr>
        <w:t>并作为其磋商</w:t>
      </w:r>
      <w:r>
        <w:rPr>
          <w:rFonts w:hint="eastAsia" w:ascii="宋体" w:hAnsi="宋体"/>
          <w:kern w:val="0"/>
          <w:szCs w:val="21"/>
          <w:highlight w:val="none"/>
        </w:rPr>
        <w:t>响应</w:t>
      </w:r>
      <w:r>
        <w:rPr>
          <w:rFonts w:ascii="宋体" w:hAnsi="宋体"/>
          <w:kern w:val="0"/>
          <w:szCs w:val="21"/>
          <w:highlight w:val="none"/>
        </w:rPr>
        <w:t>的一部分。</w:t>
      </w:r>
    </w:p>
    <w:p>
      <w:pPr>
        <w:spacing w:line="500" w:lineRule="exact"/>
        <w:ind w:firstLine="420" w:firstLineChars="200"/>
        <w:rPr>
          <w:rFonts w:ascii="宋体" w:hAnsi="宋体"/>
          <w:kern w:val="0"/>
          <w:szCs w:val="21"/>
          <w:highlight w:val="none"/>
        </w:rPr>
      </w:pPr>
      <w:r>
        <w:rPr>
          <w:rFonts w:ascii="宋体" w:hAnsi="宋体"/>
          <w:kern w:val="0"/>
          <w:szCs w:val="21"/>
          <w:highlight w:val="none"/>
        </w:rPr>
        <w:t>1</w:t>
      </w:r>
      <w:r>
        <w:rPr>
          <w:rFonts w:hint="eastAsia" w:ascii="宋体" w:hAnsi="宋体"/>
          <w:kern w:val="0"/>
          <w:szCs w:val="21"/>
          <w:highlight w:val="none"/>
        </w:rPr>
        <w:t>5</w:t>
      </w:r>
      <w:r>
        <w:rPr>
          <w:rFonts w:ascii="宋体" w:hAnsi="宋体"/>
          <w:kern w:val="0"/>
          <w:szCs w:val="21"/>
          <w:highlight w:val="none"/>
        </w:rPr>
        <w:t>.</w:t>
      </w:r>
      <w:r>
        <w:rPr>
          <w:rFonts w:hint="eastAsia" w:ascii="宋体" w:hAnsi="宋体"/>
          <w:kern w:val="0"/>
          <w:szCs w:val="21"/>
          <w:highlight w:val="none"/>
        </w:rPr>
        <w:t>2</w:t>
      </w:r>
      <w:r>
        <w:rPr>
          <w:rFonts w:ascii="宋体" w:hAnsi="宋体"/>
          <w:kern w:val="0"/>
          <w:szCs w:val="21"/>
          <w:highlight w:val="none"/>
        </w:rPr>
        <w:t>磋商保证金</w:t>
      </w:r>
      <w:r>
        <w:rPr>
          <w:rFonts w:hint="eastAsia" w:ascii="宋体" w:hAnsi="宋体"/>
          <w:kern w:val="0"/>
          <w:szCs w:val="21"/>
          <w:highlight w:val="none"/>
        </w:rPr>
        <w:t>的数额、形式、交纳办法和交纳时间见“</w:t>
      </w:r>
      <w:r>
        <w:rPr>
          <w:rFonts w:ascii="宋体" w:hAnsi="宋体"/>
          <w:kern w:val="0"/>
          <w:szCs w:val="21"/>
          <w:highlight w:val="none"/>
        </w:rPr>
        <w:t>磋商须知前附表</w:t>
      </w:r>
      <w:r>
        <w:rPr>
          <w:rFonts w:hint="eastAsia" w:ascii="宋体" w:hAnsi="宋体"/>
          <w:kern w:val="0"/>
          <w:szCs w:val="21"/>
          <w:highlight w:val="none"/>
        </w:rPr>
        <w:t>”。</w:t>
      </w:r>
    </w:p>
    <w:p>
      <w:pPr>
        <w:spacing w:line="500" w:lineRule="exact"/>
        <w:ind w:firstLine="420" w:firstLineChars="200"/>
        <w:rPr>
          <w:rFonts w:ascii="宋体" w:hAnsi="宋体"/>
          <w:kern w:val="0"/>
          <w:szCs w:val="21"/>
          <w:highlight w:val="none"/>
        </w:rPr>
      </w:pPr>
      <w:r>
        <w:rPr>
          <w:rFonts w:ascii="宋体" w:hAnsi="宋体"/>
          <w:kern w:val="0"/>
          <w:szCs w:val="21"/>
          <w:highlight w:val="none"/>
        </w:rPr>
        <w:t>1</w:t>
      </w:r>
      <w:r>
        <w:rPr>
          <w:rFonts w:hint="eastAsia" w:ascii="宋体" w:hAnsi="宋体"/>
          <w:kern w:val="0"/>
          <w:szCs w:val="21"/>
          <w:highlight w:val="none"/>
        </w:rPr>
        <w:t>5</w:t>
      </w:r>
      <w:r>
        <w:rPr>
          <w:rFonts w:ascii="宋体" w:hAnsi="宋体"/>
          <w:kern w:val="0"/>
          <w:szCs w:val="21"/>
          <w:highlight w:val="none"/>
        </w:rPr>
        <w:t>.</w:t>
      </w:r>
      <w:r>
        <w:rPr>
          <w:rFonts w:hint="eastAsia" w:ascii="宋体" w:hAnsi="宋体"/>
          <w:kern w:val="0"/>
          <w:szCs w:val="21"/>
          <w:highlight w:val="none"/>
        </w:rPr>
        <w:t>3</w:t>
      </w:r>
      <w:r>
        <w:rPr>
          <w:rFonts w:ascii="宋体" w:hAnsi="宋体"/>
          <w:kern w:val="0"/>
          <w:szCs w:val="21"/>
          <w:highlight w:val="none"/>
        </w:rPr>
        <w:t>磋商后经审查，未</w:t>
      </w:r>
      <w:r>
        <w:rPr>
          <w:rFonts w:hint="eastAsia" w:ascii="宋体" w:hAnsi="宋体"/>
          <w:kern w:val="0"/>
          <w:szCs w:val="21"/>
          <w:highlight w:val="none"/>
        </w:rPr>
        <w:t>按照“</w:t>
      </w:r>
      <w:r>
        <w:rPr>
          <w:rFonts w:ascii="宋体" w:hAnsi="宋体"/>
          <w:kern w:val="0"/>
          <w:szCs w:val="21"/>
          <w:highlight w:val="none"/>
        </w:rPr>
        <w:t>磋商须知前附表</w:t>
      </w:r>
      <w:r>
        <w:rPr>
          <w:rFonts w:hint="eastAsia" w:ascii="宋体" w:hAnsi="宋体"/>
          <w:kern w:val="0"/>
          <w:szCs w:val="21"/>
          <w:highlight w:val="none"/>
        </w:rPr>
        <w:t>”的要求交纳</w:t>
      </w:r>
      <w:r>
        <w:rPr>
          <w:rFonts w:ascii="宋体" w:hAnsi="宋体"/>
          <w:kern w:val="0"/>
          <w:szCs w:val="21"/>
          <w:highlight w:val="none"/>
        </w:rPr>
        <w:t>磋商保证金</w:t>
      </w:r>
      <w:r>
        <w:rPr>
          <w:rFonts w:hint="eastAsia" w:ascii="宋体" w:hAnsi="宋体"/>
          <w:kern w:val="0"/>
          <w:szCs w:val="21"/>
          <w:highlight w:val="none"/>
        </w:rPr>
        <w:t>的、已交纳的</w:t>
      </w:r>
      <w:r>
        <w:rPr>
          <w:rFonts w:ascii="宋体" w:hAnsi="宋体"/>
          <w:kern w:val="0"/>
          <w:szCs w:val="21"/>
          <w:highlight w:val="none"/>
        </w:rPr>
        <w:t>磋商保证金金额不足的</w:t>
      </w:r>
      <w:r>
        <w:rPr>
          <w:rFonts w:hint="eastAsia" w:ascii="宋体" w:hAnsi="宋体"/>
          <w:kern w:val="0"/>
          <w:szCs w:val="21"/>
          <w:highlight w:val="none"/>
        </w:rPr>
        <w:t>或有效期不足的，其</w:t>
      </w:r>
      <w:r>
        <w:rPr>
          <w:rFonts w:ascii="宋体" w:hAnsi="宋体"/>
          <w:kern w:val="0"/>
          <w:szCs w:val="21"/>
          <w:highlight w:val="none"/>
        </w:rPr>
        <w:t>磋商</w:t>
      </w:r>
      <w:r>
        <w:rPr>
          <w:rFonts w:hint="eastAsia" w:ascii="宋体" w:hAnsi="宋体"/>
          <w:kern w:val="0"/>
          <w:szCs w:val="21"/>
          <w:highlight w:val="none"/>
        </w:rPr>
        <w:t>响应文件</w:t>
      </w:r>
      <w:r>
        <w:rPr>
          <w:rFonts w:ascii="宋体" w:hAnsi="宋体"/>
          <w:kern w:val="0"/>
          <w:szCs w:val="21"/>
          <w:highlight w:val="none"/>
        </w:rPr>
        <w:t>将</w:t>
      </w:r>
      <w:r>
        <w:rPr>
          <w:rFonts w:hint="eastAsia" w:ascii="宋体" w:hAnsi="宋体"/>
          <w:kern w:val="0"/>
          <w:szCs w:val="21"/>
          <w:highlight w:val="none"/>
        </w:rPr>
        <w:t>按照无效处理</w:t>
      </w:r>
      <w:r>
        <w:rPr>
          <w:rFonts w:ascii="宋体" w:hAnsi="宋体"/>
          <w:kern w:val="0"/>
          <w:szCs w:val="21"/>
          <w:highlight w:val="none"/>
        </w:rPr>
        <w:t>。</w:t>
      </w:r>
    </w:p>
    <w:p>
      <w:pPr>
        <w:spacing w:line="500" w:lineRule="exact"/>
        <w:ind w:firstLine="420" w:firstLineChars="200"/>
        <w:rPr>
          <w:rFonts w:ascii="宋体" w:hAnsi="宋体"/>
          <w:kern w:val="0"/>
          <w:szCs w:val="21"/>
          <w:highlight w:val="none"/>
        </w:rPr>
      </w:pPr>
      <w:r>
        <w:rPr>
          <w:rFonts w:ascii="宋体" w:hAnsi="宋体"/>
          <w:kern w:val="0"/>
          <w:szCs w:val="21"/>
          <w:highlight w:val="none"/>
        </w:rPr>
        <w:t>1</w:t>
      </w:r>
      <w:r>
        <w:rPr>
          <w:rFonts w:hint="eastAsia" w:ascii="宋体" w:hAnsi="宋体"/>
          <w:kern w:val="0"/>
          <w:szCs w:val="21"/>
          <w:highlight w:val="none"/>
        </w:rPr>
        <w:t>5</w:t>
      </w:r>
      <w:r>
        <w:rPr>
          <w:rFonts w:ascii="宋体" w:hAnsi="宋体"/>
          <w:kern w:val="0"/>
          <w:szCs w:val="21"/>
          <w:highlight w:val="none"/>
        </w:rPr>
        <w:t>.</w:t>
      </w:r>
      <w:r>
        <w:rPr>
          <w:rFonts w:hint="eastAsia" w:ascii="宋体" w:hAnsi="宋体"/>
          <w:kern w:val="0"/>
          <w:szCs w:val="21"/>
          <w:highlight w:val="none"/>
        </w:rPr>
        <w:t>4</w:t>
      </w:r>
      <w:r>
        <w:rPr>
          <w:rFonts w:ascii="宋体" w:hAnsi="宋体"/>
          <w:kern w:val="0"/>
          <w:szCs w:val="21"/>
          <w:highlight w:val="none"/>
        </w:rPr>
        <w:t>未</w:t>
      </w:r>
      <w:r>
        <w:rPr>
          <w:rFonts w:hint="eastAsia" w:ascii="宋体" w:hAnsi="宋体"/>
          <w:kern w:val="0"/>
          <w:szCs w:val="21"/>
          <w:highlight w:val="none"/>
        </w:rPr>
        <w:t>成交</w:t>
      </w:r>
      <w:r>
        <w:rPr>
          <w:rFonts w:ascii="宋体" w:hAnsi="宋体"/>
          <w:kern w:val="0"/>
          <w:szCs w:val="21"/>
          <w:highlight w:val="none"/>
        </w:rPr>
        <w:t>人的磋商保证金，在成交通知书发出后五个工作日内退还</w:t>
      </w:r>
      <w:r>
        <w:rPr>
          <w:rFonts w:hint="eastAsia" w:ascii="宋体" w:hAnsi="宋体"/>
          <w:kern w:val="0"/>
          <w:szCs w:val="21"/>
          <w:highlight w:val="none"/>
        </w:rPr>
        <w:t>；</w:t>
      </w:r>
      <w:r>
        <w:rPr>
          <w:rFonts w:ascii="宋体" w:hAnsi="宋体"/>
          <w:kern w:val="0"/>
          <w:szCs w:val="21"/>
          <w:highlight w:val="none"/>
        </w:rPr>
        <w:t>成交人的磋商保证金</w:t>
      </w:r>
      <w:r>
        <w:rPr>
          <w:rFonts w:hint="eastAsia" w:ascii="宋体" w:hAnsi="宋体"/>
          <w:kern w:val="0"/>
          <w:szCs w:val="21"/>
          <w:highlight w:val="none"/>
        </w:rPr>
        <w:t>，</w:t>
      </w:r>
      <w:r>
        <w:rPr>
          <w:rFonts w:ascii="宋体" w:hAnsi="宋体"/>
          <w:kern w:val="0"/>
          <w:szCs w:val="21"/>
          <w:highlight w:val="none"/>
        </w:rPr>
        <w:t>在采购合同签订并按规定交纳代理服务费后五个工作日内退还。</w:t>
      </w:r>
    </w:p>
    <w:p>
      <w:pPr>
        <w:spacing w:line="500" w:lineRule="exact"/>
        <w:ind w:firstLine="420" w:firstLineChars="200"/>
        <w:rPr>
          <w:rFonts w:ascii="宋体" w:hAnsi="宋体"/>
          <w:kern w:val="0"/>
          <w:szCs w:val="21"/>
          <w:highlight w:val="none"/>
        </w:rPr>
      </w:pPr>
      <w:r>
        <w:rPr>
          <w:rFonts w:ascii="宋体" w:hAnsi="宋体"/>
          <w:kern w:val="0"/>
          <w:szCs w:val="21"/>
          <w:highlight w:val="none"/>
        </w:rPr>
        <w:t>1</w:t>
      </w:r>
      <w:r>
        <w:rPr>
          <w:rFonts w:hint="eastAsia" w:ascii="宋体" w:hAnsi="宋体"/>
          <w:kern w:val="0"/>
          <w:szCs w:val="21"/>
          <w:highlight w:val="none"/>
        </w:rPr>
        <w:t>5</w:t>
      </w:r>
      <w:r>
        <w:rPr>
          <w:rFonts w:ascii="宋体" w:hAnsi="宋体"/>
          <w:kern w:val="0"/>
          <w:szCs w:val="21"/>
          <w:highlight w:val="none"/>
        </w:rPr>
        <w:t>.</w:t>
      </w:r>
      <w:r>
        <w:rPr>
          <w:rFonts w:hint="eastAsia" w:ascii="宋体" w:hAnsi="宋体"/>
          <w:kern w:val="0"/>
          <w:szCs w:val="21"/>
          <w:highlight w:val="none"/>
        </w:rPr>
        <w:t>5</w:t>
      </w:r>
      <w:r>
        <w:rPr>
          <w:rFonts w:ascii="宋体" w:hAnsi="宋体"/>
          <w:kern w:val="0"/>
          <w:szCs w:val="21"/>
          <w:highlight w:val="none"/>
        </w:rPr>
        <w:t xml:space="preserve">有下列情形之一的，保证金不予退还： </w:t>
      </w:r>
    </w:p>
    <w:p>
      <w:pPr>
        <w:spacing w:line="500" w:lineRule="exact"/>
        <w:ind w:firstLine="420" w:firstLineChars="200"/>
        <w:rPr>
          <w:rFonts w:ascii="宋体" w:hAnsi="宋体"/>
          <w:kern w:val="0"/>
          <w:szCs w:val="21"/>
          <w:highlight w:val="none"/>
        </w:rPr>
      </w:pPr>
      <w:r>
        <w:rPr>
          <w:rFonts w:hint="eastAsia" w:ascii="宋体" w:hAnsi="宋体"/>
          <w:kern w:val="0"/>
          <w:szCs w:val="21"/>
          <w:highlight w:val="none"/>
        </w:rPr>
        <w:t>15.5.1</w:t>
      </w:r>
      <w:r>
        <w:rPr>
          <w:rFonts w:ascii="宋体" w:hAnsi="宋体"/>
          <w:kern w:val="0"/>
          <w:szCs w:val="21"/>
          <w:highlight w:val="none"/>
        </w:rPr>
        <w:t>供应商在提交响应文件截止时间后撤回响应文件的；</w:t>
      </w:r>
    </w:p>
    <w:p>
      <w:pPr>
        <w:spacing w:line="500" w:lineRule="exact"/>
        <w:ind w:firstLine="420" w:firstLineChars="200"/>
        <w:rPr>
          <w:rFonts w:ascii="宋体" w:hAnsi="宋体"/>
          <w:kern w:val="0"/>
          <w:szCs w:val="21"/>
          <w:highlight w:val="none"/>
        </w:rPr>
      </w:pPr>
      <w:r>
        <w:rPr>
          <w:rFonts w:hint="eastAsia" w:ascii="宋体" w:hAnsi="宋体"/>
          <w:kern w:val="0"/>
          <w:szCs w:val="21"/>
          <w:highlight w:val="none"/>
        </w:rPr>
        <w:t>15.5.2</w:t>
      </w:r>
      <w:r>
        <w:rPr>
          <w:rFonts w:ascii="宋体" w:hAnsi="宋体"/>
          <w:kern w:val="0"/>
          <w:szCs w:val="21"/>
          <w:highlight w:val="none"/>
        </w:rPr>
        <w:t>供应商在响应文件中提供虚假材料的；</w:t>
      </w:r>
    </w:p>
    <w:p>
      <w:pPr>
        <w:spacing w:line="500" w:lineRule="exact"/>
        <w:ind w:firstLine="420" w:firstLineChars="200"/>
        <w:rPr>
          <w:rFonts w:ascii="宋体" w:hAnsi="宋体"/>
          <w:kern w:val="0"/>
          <w:szCs w:val="21"/>
          <w:highlight w:val="none"/>
        </w:rPr>
      </w:pPr>
      <w:r>
        <w:rPr>
          <w:rFonts w:hint="eastAsia" w:ascii="宋体" w:hAnsi="宋体"/>
          <w:kern w:val="0"/>
          <w:szCs w:val="21"/>
          <w:highlight w:val="none"/>
        </w:rPr>
        <w:t>15.5.3</w:t>
      </w:r>
      <w:r>
        <w:rPr>
          <w:rFonts w:ascii="宋体" w:hAnsi="宋体"/>
          <w:kern w:val="0"/>
          <w:szCs w:val="21"/>
          <w:highlight w:val="none"/>
        </w:rPr>
        <w:t>除因不可抗力或磋商文件认可的情形以外，成交供应商不与采购人签订合同的；</w:t>
      </w:r>
    </w:p>
    <w:p>
      <w:pPr>
        <w:spacing w:line="500" w:lineRule="exact"/>
        <w:ind w:firstLine="420" w:firstLineChars="200"/>
        <w:rPr>
          <w:rFonts w:ascii="宋体" w:hAnsi="宋体"/>
          <w:kern w:val="0"/>
          <w:szCs w:val="21"/>
          <w:highlight w:val="none"/>
        </w:rPr>
      </w:pPr>
      <w:r>
        <w:rPr>
          <w:rFonts w:hint="eastAsia" w:ascii="宋体" w:hAnsi="宋体"/>
          <w:kern w:val="0"/>
          <w:szCs w:val="21"/>
          <w:highlight w:val="none"/>
        </w:rPr>
        <w:t>15.5.4</w:t>
      </w:r>
      <w:r>
        <w:rPr>
          <w:rFonts w:ascii="宋体" w:hAnsi="宋体"/>
          <w:kern w:val="0"/>
          <w:szCs w:val="21"/>
          <w:highlight w:val="none"/>
        </w:rPr>
        <w:t>供应商与采购人、其他供应商或者采购代理机构恶意串通的；</w:t>
      </w:r>
    </w:p>
    <w:p>
      <w:pPr>
        <w:spacing w:line="500" w:lineRule="exact"/>
        <w:ind w:firstLine="420" w:firstLineChars="200"/>
        <w:rPr>
          <w:rFonts w:ascii="宋体" w:hAnsi="宋体"/>
          <w:kern w:val="0"/>
          <w:szCs w:val="21"/>
          <w:highlight w:val="none"/>
        </w:rPr>
      </w:pPr>
      <w:r>
        <w:rPr>
          <w:rFonts w:hint="eastAsia" w:ascii="宋体" w:hAnsi="宋体"/>
          <w:kern w:val="0"/>
          <w:szCs w:val="21"/>
          <w:highlight w:val="none"/>
        </w:rPr>
        <w:t>15.5.5供应商</w:t>
      </w:r>
      <w:r>
        <w:rPr>
          <w:rFonts w:ascii="宋体" w:hAnsi="宋体"/>
          <w:kern w:val="0"/>
          <w:szCs w:val="21"/>
          <w:highlight w:val="none"/>
        </w:rPr>
        <w:t>未能按规定交纳代理服务费</w:t>
      </w:r>
      <w:r>
        <w:rPr>
          <w:rFonts w:hint="eastAsia" w:ascii="宋体" w:hAnsi="宋体"/>
          <w:kern w:val="0"/>
          <w:szCs w:val="21"/>
          <w:highlight w:val="none"/>
        </w:rPr>
        <w:t>的</w:t>
      </w:r>
      <w:r>
        <w:rPr>
          <w:rFonts w:ascii="宋体" w:hAnsi="宋体"/>
          <w:kern w:val="0"/>
          <w:szCs w:val="21"/>
          <w:highlight w:val="none"/>
        </w:rPr>
        <w:t>。</w:t>
      </w:r>
    </w:p>
    <w:p>
      <w:pPr>
        <w:spacing w:line="500" w:lineRule="exact"/>
        <w:rPr>
          <w:rFonts w:ascii="宋体" w:hAnsi="宋体"/>
          <w:b/>
          <w:kern w:val="0"/>
          <w:szCs w:val="21"/>
          <w:highlight w:val="none"/>
        </w:rPr>
      </w:pPr>
      <w:r>
        <w:rPr>
          <w:rFonts w:ascii="宋体" w:hAnsi="宋体"/>
          <w:b/>
          <w:kern w:val="0"/>
          <w:szCs w:val="21"/>
          <w:highlight w:val="none"/>
        </w:rPr>
        <w:t>1</w:t>
      </w:r>
      <w:r>
        <w:rPr>
          <w:rFonts w:hint="eastAsia" w:ascii="宋体" w:hAnsi="宋体"/>
          <w:b/>
          <w:kern w:val="0"/>
          <w:szCs w:val="21"/>
          <w:highlight w:val="none"/>
        </w:rPr>
        <w:t>6</w:t>
      </w:r>
      <w:r>
        <w:rPr>
          <w:rFonts w:ascii="宋体" w:hAnsi="宋体"/>
          <w:b/>
          <w:kern w:val="0"/>
          <w:szCs w:val="21"/>
          <w:highlight w:val="none"/>
        </w:rPr>
        <w:t>.磋商报价有效期</w:t>
      </w:r>
    </w:p>
    <w:p>
      <w:pPr>
        <w:spacing w:line="500" w:lineRule="exact"/>
        <w:ind w:firstLine="420" w:firstLineChars="200"/>
        <w:rPr>
          <w:rFonts w:ascii="宋体" w:hAnsi="宋体"/>
          <w:kern w:val="0"/>
          <w:szCs w:val="21"/>
          <w:highlight w:val="none"/>
        </w:rPr>
      </w:pPr>
      <w:r>
        <w:rPr>
          <w:rFonts w:ascii="宋体" w:hAnsi="宋体"/>
          <w:kern w:val="0"/>
          <w:szCs w:val="21"/>
          <w:highlight w:val="none"/>
        </w:rPr>
        <w:t>1</w:t>
      </w:r>
      <w:r>
        <w:rPr>
          <w:rFonts w:hint="eastAsia" w:ascii="宋体" w:hAnsi="宋体"/>
          <w:kern w:val="0"/>
          <w:szCs w:val="21"/>
          <w:highlight w:val="none"/>
        </w:rPr>
        <w:t>6</w:t>
      </w:r>
      <w:r>
        <w:rPr>
          <w:rFonts w:ascii="宋体" w:hAnsi="宋体"/>
          <w:kern w:val="0"/>
          <w:szCs w:val="21"/>
          <w:highlight w:val="none"/>
        </w:rPr>
        <w:t>.1磋商报价应在 “磋商须知前附表”中规定的</w:t>
      </w:r>
      <w:r>
        <w:rPr>
          <w:rFonts w:hint="eastAsia" w:ascii="宋体" w:hAnsi="宋体"/>
          <w:kern w:val="0"/>
          <w:szCs w:val="21"/>
          <w:highlight w:val="none"/>
        </w:rPr>
        <w:t>磋商报价有效期内</w:t>
      </w:r>
      <w:r>
        <w:rPr>
          <w:rFonts w:ascii="宋体" w:hAnsi="宋体"/>
          <w:kern w:val="0"/>
          <w:szCs w:val="21"/>
          <w:highlight w:val="none"/>
        </w:rPr>
        <w:t>保持有效。磋商报价不满足规定有效期的</w:t>
      </w:r>
      <w:r>
        <w:rPr>
          <w:rFonts w:hint="eastAsia" w:ascii="宋体" w:hAnsi="宋体"/>
          <w:kern w:val="0"/>
          <w:szCs w:val="21"/>
          <w:highlight w:val="none"/>
        </w:rPr>
        <w:t>，其</w:t>
      </w:r>
      <w:r>
        <w:rPr>
          <w:rFonts w:ascii="宋体" w:hAnsi="宋体"/>
          <w:kern w:val="0"/>
          <w:szCs w:val="21"/>
          <w:highlight w:val="none"/>
        </w:rPr>
        <w:t>磋商</w:t>
      </w:r>
      <w:r>
        <w:rPr>
          <w:rFonts w:hint="eastAsia" w:ascii="宋体" w:hAnsi="宋体"/>
          <w:kern w:val="0"/>
          <w:szCs w:val="21"/>
          <w:highlight w:val="none"/>
        </w:rPr>
        <w:t>响应文件</w:t>
      </w:r>
      <w:r>
        <w:rPr>
          <w:rFonts w:ascii="宋体" w:hAnsi="宋体"/>
          <w:kern w:val="0"/>
          <w:szCs w:val="21"/>
          <w:highlight w:val="none"/>
        </w:rPr>
        <w:t>将</w:t>
      </w:r>
      <w:r>
        <w:rPr>
          <w:rFonts w:hint="eastAsia" w:ascii="宋体" w:hAnsi="宋体"/>
          <w:kern w:val="0"/>
          <w:szCs w:val="21"/>
          <w:highlight w:val="none"/>
        </w:rPr>
        <w:t>按照无效处理</w:t>
      </w:r>
      <w:r>
        <w:rPr>
          <w:rFonts w:ascii="宋体" w:hAnsi="宋体"/>
          <w:kern w:val="0"/>
          <w:szCs w:val="21"/>
          <w:highlight w:val="none"/>
        </w:rPr>
        <w:t>。</w:t>
      </w:r>
    </w:p>
    <w:p>
      <w:pPr>
        <w:spacing w:line="500" w:lineRule="exact"/>
        <w:rPr>
          <w:rFonts w:ascii="宋体" w:hAnsi="宋体"/>
          <w:b/>
          <w:kern w:val="0"/>
          <w:szCs w:val="21"/>
          <w:highlight w:val="none"/>
        </w:rPr>
      </w:pPr>
      <w:r>
        <w:rPr>
          <w:rFonts w:ascii="宋体" w:hAnsi="宋体"/>
          <w:b/>
          <w:kern w:val="0"/>
          <w:szCs w:val="21"/>
          <w:highlight w:val="none"/>
        </w:rPr>
        <w:t>1</w:t>
      </w:r>
      <w:r>
        <w:rPr>
          <w:rFonts w:hint="eastAsia" w:ascii="宋体" w:hAnsi="宋体"/>
          <w:b/>
          <w:kern w:val="0"/>
          <w:szCs w:val="21"/>
          <w:highlight w:val="none"/>
        </w:rPr>
        <w:t>7</w:t>
      </w:r>
      <w:r>
        <w:rPr>
          <w:rFonts w:ascii="宋体" w:hAnsi="宋体"/>
          <w:b/>
          <w:kern w:val="0"/>
          <w:szCs w:val="21"/>
          <w:highlight w:val="none"/>
        </w:rPr>
        <w:t>.磋商响应文件的式样和签署</w:t>
      </w:r>
    </w:p>
    <w:p>
      <w:pPr>
        <w:spacing w:line="500" w:lineRule="exact"/>
        <w:ind w:firstLine="420" w:firstLineChars="200"/>
        <w:rPr>
          <w:rFonts w:ascii="宋体" w:hAnsi="宋体"/>
          <w:kern w:val="0"/>
          <w:szCs w:val="21"/>
          <w:highlight w:val="none"/>
        </w:rPr>
      </w:pPr>
      <w:r>
        <w:rPr>
          <w:rFonts w:ascii="宋体" w:hAnsi="宋体"/>
          <w:kern w:val="0"/>
          <w:szCs w:val="21"/>
          <w:highlight w:val="none"/>
        </w:rPr>
        <w:t>1</w:t>
      </w:r>
      <w:r>
        <w:rPr>
          <w:rFonts w:hint="eastAsia" w:ascii="宋体" w:hAnsi="宋体"/>
          <w:kern w:val="0"/>
          <w:szCs w:val="21"/>
          <w:highlight w:val="none"/>
        </w:rPr>
        <w:t>7</w:t>
      </w:r>
      <w:r>
        <w:rPr>
          <w:rFonts w:ascii="宋体" w:hAnsi="宋体"/>
          <w:kern w:val="0"/>
          <w:szCs w:val="21"/>
          <w:highlight w:val="none"/>
        </w:rPr>
        <w:t>.1供应商应按照磋商须知的要求, 准备一份磋商响应文件正本和“磋商须知前附表”中规定数量的副本，</w:t>
      </w:r>
      <w:r>
        <w:rPr>
          <w:rFonts w:hint="eastAsia" w:ascii="宋体" w:hAnsi="宋体"/>
          <w:kern w:val="0"/>
          <w:szCs w:val="21"/>
          <w:highlight w:val="none"/>
        </w:rPr>
        <w:t>副本可以是正本的复印件。</w:t>
      </w:r>
      <w:r>
        <w:rPr>
          <w:rFonts w:ascii="宋体" w:hAnsi="宋体"/>
          <w:kern w:val="0"/>
          <w:szCs w:val="21"/>
          <w:highlight w:val="none"/>
        </w:rPr>
        <w:t>每套磋商响应文件须清楚地标明“正本”或“副本”。如果发生正本与副本不一致的情况，以正本为准。</w:t>
      </w:r>
    </w:p>
    <w:p>
      <w:pPr>
        <w:spacing w:line="500" w:lineRule="exact"/>
        <w:ind w:firstLine="420" w:firstLineChars="200"/>
        <w:rPr>
          <w:rFonts w:ascii="宋体" w:hAnsi="宋体"/>
          <w:kern w:val="0"/>
          <w:szCs w:val="21"/>
          <w:highlight w:val="none"/>
        </w:rPr>
      </w:pPr>
      <w:r>
        <w:rPr>
          <w:rFonts w:hint="eastAsia" w:ascii="宋体" w:hAnsi="宋体"/>
          <w:kern w:val="0"/>
          <w:szCs w:val="21"/>
          <w:highlight w:val="none"/>
        </w:rPr>
        <w:t>17.2如果磋商文件有要求，还应</w:t>
      </w:r>
      <w:r>
        <w:rPr>
          <w:rFonts w:ascii="宋体" w:hAnsi="宋体"/>
          <w:kern w:val="0"/>
          <w:szCs w:val="21"/>
          <w:highlight w:val="none"/>
        </w:rPr>
        <w:t>按照</w:t>
      </w:r>
      <w:r>
        <w:rPr>
          <w:rFonts w:hint="eastAsia" w:ascii="宋体" w:hAnsi="宋体"/>
          <w:kern w:val="0"/>
          <w:szCs w:val="21"/>
          <w:highlight w:val="none"/>
        </w:rPr>
        <w:t>“</w:t>
      </w:r>
      <w:r>
        <w:rPr>
          <w:rFonts w:ascii="宋体" w:hAnsi="宋体"/>
          <w:kern w:val="0"/>
          <w:szCs w:val="21"/>
          <w:highlight w:val="none"/>
        </w:rPr>
        <w:t>磋商须知</w:t>
      </w:r>
      <w:r>
        <w:rPr>
          <w:rFonts w:hint="eastAsia" w:ascii="宋体" w:hAnsi="宋体"/>
          <w:kern w:val="0"/>
          <w:szCs w:val="21"/>
          <w:highlight w:val="none"/>
        </w:rPr>
        <w:t>前附表”</w:t>
      </w:r>
      <w:r>
        <w:rPr>
          <w:rFonts w:ascii="宋体" w:hAnsi="宋体"/>
          <w:kern w:val="0"/>
          <w:szCs w:val="21"/>
          <w:highlight w:val="none"/>
        </w:rPr>
        <w:t>的要求</w:t>
      </w:r>
      <w:r>
        <w:rPr>
          <w:rFonts w:hint="eastAsia" w:ascii="宋体" w:hAnsi="宋体"/>
          <w:kern w:val="0"/>
          <w:szCs w:val="21"/>
          <w:highlight w:val="none"/>
        </w:rPr>
        <w:t>准备相应格式和载体的电子版文件。</w:t>
      </w:r>
    </w:p>
    <w:p>
      <w:pPr>
        <w:spacing w:line="500" w:lineRule="exact"/>
        <w:ind w:firstLine="420" w:firstLineChars="200"/>
        <w:rPr>
          <w:rFonts w:ascii="宋体" w:hAnsi="宋体"/>
          <w:kern w:val="0"/>
          <w:szCs w:val="21"/>
          <w:highlight w:val="none"/>
        </w:rPr>
      </w:pPr>
      <w:r>
        <w:rPr>
          <w:rFonts w:ascii="宋体" w:hAnsi="宋体"/>
          <w:kern w:val="0"/>
          <w:szCs w:val="21"/>
          <w:highlight w:val="none"/>
        </w:rPr>
        <w:t>1</w:t>
      </w:r>
      <w:r>
        <w:rPr>
          <w:rFonts w:hint="eastAsia" w:ascii="宋体" w:hAnsi="宋体"/>
          <w:kern w:val="0"/>
          <w:szCs w:val="21"/>
          <w:highlight w:val="none"/>
        </w:rPr>
        <w:t>7</w:t>
      </w:r>
      <w:r>
        <w:rPr>
          <w:rFonts w:ascii="宋体" w:hAnsi="宋体"/>
          <w:kern w:val="0"/>
          <w:szCs w:val="21"/>
          <w:highlight w:val="none"/>
        </w:rPr>
        <w:t>.</w:t>
      </w:r>
      <w:r>
        <w:rPr>
          <w:rFonts w:hint="eastAsia" w:ascii="宋体" w:hAnsi="宋体"/>
          <w:kern w:val="0"/>
          <w:szCs w:val="21"/>
          <w:highlight w:val="none"/>
        </w:rPr>
        <w:t>3</w:t>
      </w:r>
      <w:r>
        <w:rPr>
          <w:rFonts w:ascii="宋体" w:hAnsi="宋体"/>
          <w:kern w:val="0"/>
          <w:szCs w:val="21"/>
          <w:highlight w:val="none"/>
        </w:rPr>
        <w:t>磋商响应文件正本需打印或用不褪色的蓝(黑)色墨水(汁)书写,并由供应商法人代表或经法人代表正式授权的代表签字。授权代表须将按磋商文件规定的格式出具的“法人代表授权书”附在磋商响应文件中。</w:t>
      </w:r>
    </w:p>
    <w:p>
      <w:pPr>
        <w:spacing w:line="500" w:lineRule="exact"/>
        <w:ind w:firstLine="420" w:firstLineChars="200"/>
        <w:rPr>
          <w:rFonts w:ascii="宋体" w:hAnsi="宋体"/>
          <w:kern w:val="0"/>
          <w:szCs w:val="21"/>
          <w:highlight w:val="none"/>
        </w:rPr>
      </w:pPr>
      <w:r>
        <w:rPr>
          <w:rFonts w:ascii="宋体" w:hAnsi="宋体"/>
          <w:kern w:val="0"/>
          <w:szCs w:val="21"/>
          <w:highlight w:val="none"/>
        </w:rPr>
        <w:t>1</w:t>
      </w:r>
      <w:r>
        <w:rPr>
          <w:rFonts w:hint="eastAsia" w:ascii="宋体" w:hAnsi="宋体"/>
          <w:kern w:val="0"/>
          <w:szCs w:val="21"/>
          <w:highlight w:val="none"/>
        </w:rPr>
        <w:t>7</w:t>
      </w:r>
      <w:r>
        <w:rPr>
          <w:rFonts w:ascii="宋体" w:hAnsi="宋体"/>
          <w:kern w:val="0"/>
          <w:szCs w:val="21"/>
          <w:highlight w:val="none"/>
        </w:rPr>
        <w:t>.</w:t>
      </w:r>
      <w:r>
        <w:rPr>
          <w:rFonts w:hint="eastAsia" w:ascii="宋体" w:hAnsi="宋体"/>
          <w:kern w:val="0"/>
          <w:szCs w:val="21"/>
          <w:highlight w:val="none"/>
        </w:rPr>
        <w:t>4</w:t>
      </w:r>
      <w:r>
        <w:rPr>
          <w:rFonts w:ascii="宋体" w:hAnsi="宋体"/>
          <w:kern w:val="0"/>
          <w:szCs w:val="21"/>
          <w:highlight w:val="none"/>
        </w:rPr>
        <w:t>任何行间插字、涂改和增删，必须由磋商响应文件的签字人在旁边签字才有效。</w:t>
      </w:r>
    </w:p>
    <w:p>
      <w:pPr>
        <w:spacing w:line="500" w:lineRule="exact"/>
        <w:ind w:firstLine="420" w:firstLineChars="200"/>
        <w:rPr>
          <w:rFonts w:ascii="宋体" w:hAnsi="宋体"/>
          <w:kern w:val="0"/>
          <w:szCs w:val="21"/>
          <w:highlight w:val="none"/>
        </w:rPr>
      </w:pPr>
      <w:r>
        <w:rPr>
          <w:rFonts w:ascii="宋体" w:hAnsi="宋体"/>
          <w:kern w:val="0"/>
          <w:szCs w:val="21"/>
          <w:highlight w:val="none"/>
        </w:rPr>
        <w:t>1</w:t>
      </w:r>
      <w:r>
        <w:rPr>
          <w:rFonts w:hint="eastAsia" w:ascii="宋体" w:hAnsi="宋体"/>
          <w:kern w:val="0"/>
          <w:szCs w:val="21"/>
          <w:highlight w:val="none"/>
        </w:rPr>
        <w:t>7</w:t>
      </w:r>
      <w:r>
        <w:rPr>
          <w:rFonts w:ascii="宋体" w:hAnsi="宋体"/>
          <w:kern w:val="0"/>
          <w:szCs w:val="21"/>
          <w:highlight w:val="none"/>
        </w:rPr>
        <w:t>.</w:t>
      </w:r>
      <w:r>
        <w:rPr>
          <w:rFonts w:hint="eastAsia" w:ascii="宋体" w:hAnsi="宋体"/>
          <w:kern w:val="0"/>
          <w:szCs w:val="21"/>
          <w:highlight w:val="none"/>
        </w:rPr>
        <w:t>5</w:t>
      </w:r>
      <w:r>
        <w:rPr>
          <w:rFonts w:ascii="宋体" w:hAnsi="宋体"/>
          <w:kern w:val="0"/>
          <w:szCs w:val="21"/>
          <w:highlight w:val="none"/>
        </w:rPr>
        <w:t>因字迹潦草、表述不清或不按磋商文件格式编制的磋商响应文件，所引起的对供应商不利的后果，由供应商自行负责。</w:t>
      </w:r>
    </w:p>
    <w:p>
      <w:pPr>
        <w:spacing w:line="500" w:lineRule="exact"/>
        <w:ind w:firstLine="420" w:firstLineChars="200"/>
        <w:rPr>
          <w:rFonts w:ascii="宋体" w:hAnsi="宋体"/>
          <w:kern w:val="0"/>
          <w:szCs w:val="21"/>
          <w:highlight w:val="none"/>
        </w:rPr>
      </w:pPr>
    </w:p>
    <w:p>
      <w:pPr>
        <w:jc w:val="center"/>
        <w:rPr>
          <w:rFonts w:ascii="黑体" w:hAnsi="黑体" w:eastAsia="黑体"/>
          <w:b/>
          <w:kern w:val="0"/>
          <w:sz w:val="28"/>
          <w:szCs w:val="28"/>
          <w:highlight w:val="none"/>
        </w:rPr>
      </w:pPr>
      <w:r>
        <w:rPr>
          <w:rFonts w:ascii="黑体" w:hAnsi="黑体" w:eastAsia="黑体"/>
          <w:b/>
          <w:kern w:val="0"/>
          <w:sz w:val="28"/>
          <w:szCs w:val="28"/>
          <w:highlight w:val="none"/>
        </w:rPr>
        <w:t>四.磋商响应文件的递交</w:t>
      </w:r>
    </w:p>
    <w:p>
      <w:pPr>
        <w:spacing w:line="500" w:lineRule="exact"/>
        <w:rPr>
          <w:rFonts w:ascii="宋体" w:hAnsi="宋体"/>
          <w:b/>
          <w:kern w:val="0"/>
          <w:szCs w:val="21"/>
          <w:highlight w:val="none"/>
        </w:rPr>
      </w:pPr>
      <w:r>
        <w:rPr>
          <w:rFonts w:ascii="宋体" w:hAnsi="宋体"/>
          <w:b/>
          <w:kern w:val="0"/>
          <w:szCs w:val="21"/>
          <w:highlight w:val="none"/>
        </w:rPr>
        <w:t>1</w:t>
      </w:r>
      <w:r>
        <w:rPr>
          <w:rFonts w:hint="eastAsia" w:ascii="宋体" w:hAnsi="宋体"/>
          <w:b/>
          <w:kern w:val="0"/>
          <w:szCs w:val="21"/>
          <w:highlight w:val="none"/>
        </w:rPr>
        <w:t>8</w:t>
      </w:r>
      <w:r>
        <w:rPr>
          <w:rFonts w:ascii="宋体" w:hAnsi="宋体"/>
          <w:b/>
          <w:kern w:val="0"/>
          <w:szCs w:val="21"/>
          <w:highlight w:val="none"/>
        </w:rPr>
        <w:t>.磋商响应文件的</w:t>
      </w:r>
      <w:r>
        <w:rPr>
          <w:rFonts w:hint="eastAsia" w:ascii="宋体" w:hAnsi="宋体"/>
          <w:b/>
          <w:kern w:val="0"/>
          <w:szCs w:val="21"/>
          <w:highlight w:val="none"/>
        </w:rPr>
        <w:t>装订、</w:t>
      </w:r>
      <w:r>
        <w:rPr>
          <w:rFonts w:ascii="宋体" w:hAnsi="宋体"/>
          <w:b/>
          <w:kern w:val="0"/>
          <w:szCs w:val="21"/>
          <w:highlight w:val="none"/>
        </w:rPr>
        <w:t>密封和标记</w:t>
      </w:r>
    </w:p>
    <w:p>
      <w:pPr>
        <w:spacing w:line="500" w:lineRule="exact"/>
        <w:ind w:firstLine="420" w:firstLineChars="200"/>
        <w:rPr>
          <w:rFonts w:ascii="宋体" w:hAnsi="宋体"/>
          <w:kern w:val="0"/>
          <w:szCs w:val="21"/>
          <w:highlight w:val="none"/>
        </w:rPr>
      </w:pPr>
      <w:r>
        <w:rPr>
          <w:rFonts w:ascii="宋体" w:hAnsi="宋体"/>
          <w:kern w:val="0"/>
          <w:szCs w:val="21"/>
          <w:highlight w:val="none"/>
        </w:rPr>
        <w:t>1</w:t>
      </w:r>
      <w:r>
        <w:rPr>
          <w:rFonts w:hint="eastAsia" w:ascii="宋体" w:hAnsi="宋体"/>
          <w:kern w:val="0"/>
          <w:szCs w:val="21"/>
          <w:highlight w:val="none"/>
        </w:rPr>
        <w:t>8</w:t>
      </w:r>
      <w:r>
        <w:rPr>
          <w:rFonts w:ascii="宋体" w:hAnsi="宋体"/>
          <w:kern w:val="0"/>
          <w:szCs w:val="21"/>
          <w:highlight w:val="none"/>
        </w:rPr>
        <w:t>.1</w:t>
      </w:r>
      <w:r>
        <w:rPr>
          <w:rFonts w:hint="eastAsia" w:ascii="宋体" w:hAnsi="宋体"/>
          <w:kern w:val="0"/>
          <w:szCs w:val="21"/>
          <w:highlight w:val="none"/>
        </w:rPr>
        <w:t>磋商响应文件的正本与副本应分别装订成册，并编制目录，具体装订和包装密封要求见本须知“磋商须知前附表”规定。</w:t>
      </w:r>
    </w:p>
    <w:p>
      <w:pPr>
        <w:spacing w:line="500" w:lineRule="exact"/>
        <w:ind w:firstLine="420" w:firstLineChars="200"/>
        <w:rPr>
          <w:rFonts w:ascii="宋体" w:hAnsi="宋体"/>
          <w:kern w:val="0"/>
          <w:szCs w:val="21"/>
          <w:highlight w:val="none"/>
        </w:rPr>
      </w:pPr>
      <w:r>
        <w:rPr>
          <w:rFonts w:ascii="宋体" w:hAnsi="宋体"/>
          <w:kern w:val="0"/>
          <w:szCs w:val="21"/>
          <w:highlight w:val="none"/>
        </w:rPr>
        <w:t>1</w:t>
      </w:r>
      <w:r>
        <w:rPr>
          <w:rFonts w:hint="eastAsia" w:ascii="宋体" w:hAnsi="宋体"/>
          <w:kern w:val="0"/>
          <w:szCs w:val="21"/>
          <w:highlight w:val="none"/>
        </w:rPr>
        <w:t>8</w:t>
      </w:r>
      <w:r>
        <w:rPr>
          <w:rFonts w:ascii="宋体" w:hAnsi="宋体"/>
          <w:kern w:val="0"/>
          <w:szCs w:val="21"/>
          <w:highlight w:val="none"/>
        </w:rPr>
        <w:t>.2</w:t>
      </w:r>
      <w:r>
        <w:rPr>
          <w:rFonts w:hint="eastAsia" w:ascii="宋体" w:hAnsi="宋体"/>
          <w:kern w:val="0"/>
          <w:szCs w:val="21"/>
          <w:highlight w:val="none"/>
        </w:rPr>
        <w:t>响应文件的封套</w:t>
      </w:r>
      <w:r>
        <w:rPr>
          <w:rFonts w:ascii="宋体" w:hAnsi="宋体"/>
          <w:kern w:val="0"/>
          <w:szCs w:val="21"/>
          <w:highlight w:val="none"/>
        </w:rPr>
        <w:t>请按以下要求标记：</w:t>
      </w:r>
    </w:p>
    <w:p>
      <w:pPr>
        <w:spacing w:line="500" w:lineRule="exact"/>
        <w:ind w:firstLine="420" w:firstLineChars="200"/>
        <w:rPr>
          <w:rFonts w:ascii="宋体" w:hAnsi="宋体"/>
          <w:kern w:val="0"/>
          <w:szCs w:val="21"/>
          <w:highlight w:val="none"/>
        </w:rPr>
      </w:pPr>
      <w:r>
        <w:rPr>
          <w:rFonts w:ascii="宋体" w:hAnsi="宋体"/>
          <w:kern w:val="0"/>
          <w:szCs w:val="21"/>
          <w:highlight w:val="none"/>
        </w:rPr>
        <w:t xml:space="preserve">  1) 供应商的全称；</w:t>
      </w:r>
    </w:p>
    <w:p>
      <w:pPr>
        <w:spacing w:line="500" w:lineRule="exact"/>
        <w:ind w:firstLine="420" w:firstLineChars="200"/>
        <w:rPr>
          <w:rFonts w:ascii="宋体" w:hAnsi="宋体"/>
          <w:kern w:val="0"/>
          <w:szCs w:val="21"/>
          <w:highlight w:val="none"/>
        </w:rPr>
      </w:pPr>
      <w:r>
        <w:rPr>
          <w:rFonts w:ascii="宋体" w:hAnsi="宋体"/>
          <w:kern w:val="0"/>
          <w:szCs w:val="21"/>
          <w:highlight w:val="none"/>
        </w:rPr>
        <w:t xml:space="preserve">  2)项目名称、项目编号</w:t>
      </w:r>
      <w:r>
        <w:rPr>
          <w:rFonts w:hint="eastAsia" w:ascii="宋体" w:hAnsi="宋体"/>
          <w:kern w:val="0"/>
          <w:szCs w:val="21"/>
          <w:highlight w:val="none"/>
        </w:rPr>
        <w:t>；</w:t>
      </w:r>
    </w:p>
    <w:p>
      <w:pPr>
        <w:spacing w:line="500" w:lineRule="exact"/>
        <w:ind w:firstLine="420" w:firstLineChars="200"/>
        <w:rPr>
          <w:rFonts w:ascii="宋体" w:hAnsi="宋体"/>
          <w:kern w:val="0"/>
          <w:szCs w:val="21"/>
          <w:highlight w:val="none"/>
        </w:rPr>
      </w:pPr>
      <w:r>
        <w:rPr>
          <w:rFonts w:ascii="宋体" w:hAnsi="宋体"/>
          <w:kern w:val="0"/>
          <w:szCs w:val="21"/>
          <w:highlight w:val="none"/>
        </w:rPr>
        <w:t xml:space="preserve">  3）正本或副本及“请勿在＿＿＿＿＿(</w:t>
      </w:r>
      <w:r>
        <w:rPr>
          <w:rFonts w:hint="eastAsia" w:ascii="宋体" w:hAnsi="宋体"/>
          <w:kern w:val="0"/>
          <w:szCs w:val="21"/>
          <w:highlight w:val="none"/>
        </w:rPr>
        <w:t>磋商</w:t>
      </w:r>
      <w:r>
        <w:rPr>
          <w:rFonts w:ascii="宋体" w:hAnsi="宋体"/>
          <w:kern w:val="0"/>
          <w:szCs w:val="21"/>
          <w:highlight w:val="none"/>
        </w:rPr>
        <w:t>时间)之前启封”。</w:t>
      </w:r>
    </w:p>
    <w:p>
      <w:pPr>
        <w:spacing w:line="500" w:lineRule="exact"/>
        <w:ind w:firstLine="420" w:firstLineChars="200"/>
        <w:rPr>
          <w:rFonts w:ascii="宋体" w:hAnsi="宋体"/>
          <w:kern w:val="0"/>
          <w:szCs w:val="21"/>
          <w:highlight w:val="none"/>
        </w:rPr>
      </w:pPr>
      <w:r>
        <w:rPr>
          <w:rFonts w:ascii="宋体" w:hAnsi="宋体"/>
          <w:kern w:val="0"/>
          <w:szCs w:val="21"/>
          <w:highlight w:val="none"/>
        </w:rPr>
        <w:t>1</w:t>
      </w:r>
      <w:r>
        <w:rPr>
          <w:rFonts w:hint="eastAsia" w:ascii="宋体" w:hAnsi="宋体"/>
          <w:kern w:val="0"/>
          <w:szCs w:val="21"/>
          <w:highlight w:val="none"/>
        </w:rPr>
        <w:t>8</w:t>
      </w:r>
      <w:r>
        <w:rPr>
          <w:rFonts w:ascii="宋体" w:hAnsi="宋体"/>
          <w:kern w:val="0"/>
          <w:szCs w:val="21"/>
          <w:highlight w:val="none"/>
        </w:rPr>
        <w:t>.3</w:t>
      </w:r>
      <w:r>
        <w:rPr>
          <w:rFonts w:hint="eastAsia" w:ascii="宋体" w:hAnsi="宋体"/>
          <w:kern w:val="0"/>
          <w:szCs w:val="21"/>
          <w:highlight w:val="none"/>
        </w:rPr>
        <w:t>如果“磋商须知前附表”中有要求，</w:t>
      </w:r>
      <w:r>
        <w:rPr>
          <w:rFonts w:ascii="宋体" w:hAnsi="宋体"/>
          <w:kern w:val="0"/>
          <w:szCs w:val="21"/>
          <w:highlight w:val="none"/>
        </w:rPr>
        <w:t>为方便开标唱标，供应商应将《</w:t>
      </w:r>
      <w:r>
        <w:rPr>
          <w:rFonts w:hint="eastAsia" w:ascii="宋体" w:hAnsi="宋体"/>
          <w:kern w:val="0"/>
          <w:szCs w:val="21"/>
          <w:highlight w:val="none"/>
        </w:rPr>
        <w:t>磋商</w:t>
      </w:r>
      <w:r>
        <w:rPr>
          <w:rFonts w:ascii="宋体" w:hAnsi="宋体"/>
          <w:kern w:val="0"/>
          <w:szCs w:val="21"/>
          <w:highlight w:val="none"/>
        </w:rPr>
        <w:t>一览表》单独密封，并在信袋上标明“</w:t>
      </w:r>
      <w:r>
        <w:rPr>
          <w:rFonts w:hint="eastAsia" w:ascii="宋体" w:hAnsi="宋体"/>
          <w:kern w:val="0"/>
          <w:szCs w:val="21"/>
          <w:highlight w:val="none"/>
        </w:rPr>
        <w:t>磋商</w:t>
      </w:r>
      <w:r>
        <w:rPr>
          <w:rFonts w:ascii="宋体" w:hAnsi="宋体"/>
          <w:kern w:val="0"/>
          <w:szCs w:val="21"/>
          <w:highlight w:val="none"/>
        </w:rPr>
        <w:t>一览表”字样。</w:t>
      </w:r>
      <w:r>
        <w:rPr>
          <w:rFonts w:hint="eastAsia" w:ascii="宋体" w:hAnsi="宋体"/>
          <w:kern w:val="0"/>
          <w:szCs w:val="21"/>
          <w:highlight w:val="none"/>
        </w:rPr>
        <w:t>与磋商响应文件一起递交。</w:t>
      </w:r>
    </w:p>
    <w:p>
      <w:pPr>
        <w:spacing w:line="500" w:lineRule="exact"/>
        <w:ind w:firstLine="420" w:firstLineChars="200"/>
        <w:rPr>
          <w:rFonts w:ascii="宋体" w:hAnsi="宋体"/>
          <w:kern w:val="0"/>
          <w:szCs w:val="21"/>
          <w:highlight w:val="none"/>
        </w:rPr>
      </w:pPr>
      <w:r>
        <w:rPr>
          <w:rFonts w:ascii="宋体" w:hAnsi="宋体"/>
          <w:kern w:val="0"/>
          <w:szCs w:val="21"/>
          <w:highlight w:val="none"/>
        </w:rPr>
        <w:t>1</w:t>
      </w:r>
      <w:r>
        <w:rPr>
          <w:rFonts w:hint="eastAsia" w:ascii="宋体" w:hAnsi="宋体"/>
          <w:kern w:val="0"/>
          <w:szCs w:val="21"/>
          <w:highlight w:val="none"/>
        </w:rPr>
        <w:t>8</w:t>
      </w:r>
      <w:r>
        <w:rPr>
          <w:rFonts w:ascii="宋体" w:hAnsi="宋体"/>
          <w:kern w:val="0"/>
          <w:szCs w:val="21"/>
          <w:highlight w:val="none"/>
        </w:rPr>
        <w:t>.4如果在“磋商须知前附表”中要求提供</w:t>
      </w:r>
      <w:r>
        <w:rPr>
          <w:rFonts w:hint="eastAsia" w:ascii="宋体" w:hAnsi="宋体"/>
          <w:kern w:val="0"/>
          <w:szCs w:val="21"/>
          <w:highlight w:val="none"/>
        </w:rPr>
        <w:t>证明文件的</w:t>
      </w:r>
      <w:r>
        <w:rPr>
          <w:rFonts w:ascii="宋体" w:hAnsi="宋体"/>
          <w:kern w:val="0"/>
          <w:szCs w:val="21"/>
          <w:highlight w:val="none"/>
        </w:rPr>
        <w:t>原件，则</w:t>
      </w:r>
      <w:r>
        <w:rPr>
          <w:rFonts w:hint="eastAsia" w:ascii="宋体" w:hAnsi="宋体"/>
          <w:kern w:val="0"/>
          <w:szCs w:val="21"/>
          <w:highlight w:val="none"/>
        </w:rPr>
        <w:t>证明文件的</w:t>
      </w:r>
      <w:r>
        <w:rPr>
          <w:rFonts w:ascii="宋体" w:hAnsi="宋体"/>
          <w:kern w:val="0"/>
          <w:szCs w:val="21"/>
          <w:highlight w:val="none"/>
        </w:rPr>
        <w:t>原件必须单独封装并在</w:t>
      </w:r>
      <w:r>
        <w:rPr>
          <w:rFonts w:hint="eastAsia" w:ascii="宋体" w:hAnsi="宋体"/>
          <w:kern w:val="0"/>
          <w:szCs w:val="21"/>
          <w:highlight w:val="none"/>
        </w:rPr>
        <w:t>磋商响应</w:t>
      </w:r>
      <w:r>
        <w:rPr>
          <w:rFonts w:ascii="宋体" w:hAnsi="宋体"/>
          <w:kern w:val="0"/>
          <w:szCs w:val="21"/>
          <w:highlight w:val="none"/>
        </w:rPr>
        <w:t>截止时间之前随磋商响应文件一起递交和登记，以便评标时核验。</w:t>
      </w:r>
    </w:p>
    <w:p>
      <w:pPr>
        <w:spacing w:line="500" w:lineRule="exact"/>
        <w:ind w:firstLine="420" w:firstLineChars="200"/>
        <w:rPr>
          <w:rFonts w:ascii="宋体" w:hAnsi="宋体"/>
          <w:kern w:val="0"/>
          <w:szCs w:val="21"/>
          <w:highlight w:val="none"/>
        </w:rPr>
      </w:pPr>
      <w:r>
        <w:rPr>
          <w:rFonts w:ascii="宋体" w:hAnsi="宋体"/>
          <w:kern w:val="0"/>
          <w:szCs w:val="21"/>
          <w:highlight w:val="none"/>
        </w:rPr>
        <w:t>1</w:t>
      </w:r>
      <w:r>
        <w:rPr>
          <w:rFonts w:hint="eastAsia" w:ascii="宋体" w:hAnsi="宋体"/>
          <w:kern w:val="0"/>
          <w:szCs w:val="21"/>
          <w:highlight w:val="none"/>
        </w:rPr>
        <w:t>8</w:t>
      </w:r>
      <w:r>
        <w:rPr>
          <w:rFonts w:ascii="宋体" w:hAnsi="宋体"/>
          <w:kern w:val="0"/>
          <w:szCs w:val="21"/>
          <w:highlight w:val="none"/>
        </w:rPr>
        <w:t>.5如果供应商未对磋商响应文件按上述要求进行完好密封，所引起的对供应商不利的后果，由供应商自行承担。</w:t>
      </w:r>
    </w:p>
    <w:p>
      <w:pPr>
        <w:spacing w:line="500" w:lineRule="exact"/>
        <w:rPr>
          <w:rFonts w:ascii="宋体" w:hAnsi="宋体"/>
          <w:b/>
          <w:kern w:val="0"/>
          <w:szCs w:val="21"/>
          <w:highlight w:val="none"/>
        </w:rPr>
      </w:pPr>
      <w:r>
        <w:rPr>
          <w:rFonts w:ascii="宋体" w:hAnsi="宋体"/>
          <w:b/>
          <w:kern w:val="0"/>
          <w:szCs w:val="21"/>
          <w:highlight w:val="none"/>
        </w:rPr>
        <w:t>1</w:t>
      </w:r>
      <w:r>
        <w:rPr>
          <w:rFonts w:hint="eastAsia" w:ascii="宋体" w:hAnsi="宋体"/>
          <w:b/>
          <w:kern w:val="0"/>
          <w:szCs w:val="21"/>
          <w:highlight w:val="none"/>
        </w:rPr>
        <w:t>9</w:t>
      </w:r>
      <w:r>
        <w:rPr>
          <w:rFonts w:ascii="宋体" w:hAnsi="宋体"/>
          <w:b/>
          <w:kern w:val="0"/>
          <w:szCs w:val="21"/>
          <w:highlight w:val="none"/>
        </w:rPr>
        <w:t>．</w:t>
      </w:r>
      <w:r>
        <w:rPr>
          <w:rFonts w:hint="eastAsia" w:ascii="宋体" w:hAnsi="宋体"/>
          <w:b/>
          <w:kern w:val="0"/>
          <w:szCs w:val="21"/>
          <w:highlight w:val="none"/>
        </w:rPr>
        <w:t>磋商响应文件递交方式和</w:t>
      </w:r>
      <w:r>
        <w:rPr>
          <w:rFonts w:ascii="宋体" w:hAnsi="宋体"/>
          <w:b/>
          <w:kern w:val="0"/>
          <w:szCs w:val="21"/>
          <w:highlight w:val="none"/>
        </w:rPr>
        <w:t>磋商截止时间</w:t>
      </w:r>
    </w:p>
    <w:p>
      <w:pPr>
        <w:spacing w:line="500" w:lineRule="exact"/>
        <w:ind w:firstLine="420" w:firstLineChars="200"/>
        <w:rPr>
          <w:rFonts w:ascii="宋体" w:hAnsi="宋体"/>
          <w:kern w:val="0"/>
          <w:szCs w:val="21"/>
          <w:highlight w:val="none"/>
        </w:rPr>
      </w:pPr>
      <w:r>
        <w:rPr>
          <w:rFonts w:ascii="宋体" w:hAnsi="宋体"/>
          <w:kern w:val="0"/>
          <w:szCs w:val="21"/>
          <w:highlight w:val="none"/>
        </w:rPr>
        <w:t>1</w:t>
      </w:r>
      <w:r>
        <w:rPr>
          <w:rFonts w:hint="eastAsia" w:ascii="宋体" w:hAnsi="宋体"/>
          <w:kern w:val="0"/>
          <w:szCs w:val="21"/>
          <w:highlight w:val="none"/>
        </w:rPr>
        <w:t>9</w:t>
      </w:r>
      <w:r>
        <w:rPr>
          <w:rFonts w:ascii="宋体" w:hAnsi="宋体"/>
          <w:kern w:val="0"/>
          <w:szCs w:val="21"/>
          <w:highlight w:val="none"/>
        </w:rPr>
        <w:t>.1</w:t>
      </w:r>
      <w:r>
        <w:rPr>
          <w:rFonts w:hint="eastAsia" w:ascii="宋体" w:hAnsi="宋体"/>
          <w:kern w:val="0"/>
          <w:szCs w:val="21"/>
          <w:highlight w:val="none"/>
        </w:rPr>
        <w:t>供应商必须派出代表</w:t>
      </w:r>
      <w:r>
        <w:rPr>
          <w:rFonts w:hint="eastAsia" w:hAnsi="宋体"/>
          <w:kern w:val="0"/>
          <w:szCs w:val="21"/>
          <w:highlight w:val="none"/>
        </w:rPr>
        <w:t>（法定代表人或授权代表）</w:t>
      </w:r>
      <w:r>
        <w:rPr>
          <w:rFonts w:hAnsi="宋体"/>
          <w:kern w:val="0"/>
          <w:szCs w:val="21"/>
          <w:highlight w:val="none"/>
        </w:rPr>
        <w:t>按时参加</w:t>
      </w:r>
      <w:r>
        <w:rPr>
          <w:rFonts w:hint="eastAsia" w:hAnsi="宋体"/>
          <w:kern w:val="0"/>
          <w:szCs w:val="21"/>
          <w:highlight w:val="none"/>
        </w:rPr>
        <w:t>磋商</w:t>
      </w:r>
      <w:r>
        <w:rPr>
          <w:rFonts w:hAnsi="宋体"/>
          <w:kern w:val="0"/>
          <w:szCs w:val="21"/>
          <w:highlight w:val="none"/>
        </w:rPr>
        <w:t>会</w:t>
      </w:r>
      <w:r>
        <w:rPr>
          <w:rFonts w:hint="eastAsia" w:ascii="宋体" w:hAnsi="宋体"/>
          <w:kern w:val="0"/>
          <w:szCs w:val="21"/>
          <w:highlight w:val="none"/>
        </w:rPr>
        <w:t>，</w:t>
      </w:r>
      <w:r>
        <w:rPr>
          <w:rFonts w:ascii="宋体" w:hAnsi="宋体"/>
          <w:kern w:val="0"/>
          <w:szCs w:val="21"/>
          <w:highlight w:val="none"/>
        </w:rPr>
        <w:t>在“磋商须知前附表”</w:t>
      </w:r>
      <w:r>
        <w:rPr>
          <w:rFonts w:hint="eastAsia" w:ascii="宋体" w:hAnsi="宋体"/>
          <w:kern w:val="0"/>
          <w:szCs w:val="21"/>
          <w:highlight w:val="none"/>
        </w:rPr>
        <w:t>规定的磋商响应文件递交</w:t>
      </w:r>
      <w:r>
        <w:rPr>
          <w:rFonts w:ascii="宋体" w:hAnsi="宋体"/>
          <w:kern w:val="0"/>
          <w:szCs w:val="21"/>
          <w:highlight w:val="none"/>
        </w:rPr>
        <w:t>截止时间前，将全部磋商响应文件和磋商报价资料递交至磋商地点</w:t>
      </w:r>
      <w:r>
        <w:rPr>
          <w:rFonts w:hint="eastAsia" w:ascii="宋体" w:hAnsi="宋体"/>
          <w:kern w:val="0"/>
          <w:szCs w:val="21"/>
          <w:highlight w:val="none"/>
        </w:rPr>
        <w:t>并签字确认。磋商地点见</w:t>
      </w:r>
      <w:r>
        <w:rPr>
          <w:rFonts w:ascii="宋体" w:hAnsi="宋体"/>
          <w:kern w:val="0"/>
          <w:szCs w:val="21"/>
          <w:highlight w:val="none"/>
        </w:rPr>
        <w:t>“磋商须知前附表”</w:t>
      </w:r>
      <w:r>
        <w:rPr>
          <w:rFonts w:hint="eastAsia" w:ascii="宋体" w:hAnsi="宋体"/>
          <w:kern w:val="0"/>
          <w:szCs w:val="21"/>
          <w:highlight w:val="none"/>
        </w:rPr>
        <w:t>指明的地址或采购代理机构另行通知的地址。</w:t>
      </w:r>
    </w:p>
    <w:p>
      <w:pPr>
        <w:spacing w:line="500" w:lineRule="exact"/>
        <w:ind w:firstLine="420" w:firstLineChars="200"/>
        <w:rPr>
          <w:rFonts w:ascii="宋体" w:hAnsi="宋体"/>
          <w:kern w:val="0"/>
          <w:szCs w:val="21"/>
          <w:highlight w:val="none"/>
        </w:rPr>
      </w:pPr>
      <w:r>
        <w:rPr>
          <w:rFonts w:hint="eastAsia" w:ascii="宋体" w:hAnsi="宋体"/>
          <w:kern w:val="0"/>
          <w:szCs w:val="21"/>
          <w:highlight w:val="none"/>
        </w:rPr>
        <w:t>19.2 以邮寄方式递交磋商响应文件的，其</w:t>
      </w:r>
      <w:r>
        <w:rPr>
          <w:rFonts w:ascii="宋体" w:hAnsi="宋体"/>
          <w:kern w:val="0"/>
          <w:szCs w:val="21"/>
          <w:highlight w:val="none"/>
        </w:rPr>
        <w:t>磋商</w:t>
      </w:r>
      <w:r>
        <w:rPr>
          <w:rFonts w:hint="eastAsia" w:ascii="宋体" w:hAnsi="宋体"/>
          <w:kern w:val="0"/>
          <w:szCs w:val="21"/>
          <w:highlight w:val="none"/>
        </w:rPr>
        <w:t>响应文件</w:t>
      </w:r>
      <w:r>
        <w:rPr>
          <w:rFonts w:ascii="宋体" w:hAnsi="宋体"/>
          <w:kern w:val="0"/>
          <w:szCs w:val="21"/>
          <w:highlight w:val="none"/>
        </w:rPr>
        <w:t>将</w:t>
      </w:r>
      <w:r>
        <w:rPr>
          <w:rFonts w:hint="eastAsia" w:ascii="宋体" w:hAnsi="宋体"/>
          <w:kern w:val="0"/>
          <w:szCs w:val="21"/>
          <w:highlight w:val="none"/>
        </w:rPr>
        <w:t>按照无效处理。</w:t>
      </w:r>
    </w:p>
    <w:p>
      <w:pPr>
        <w:spacing w:line="500" w:lineRule="exact"/>
        <w:ind w:firstLine="420" w:firstLineChars="200"/>
        <w:rPr>
          <w:rFonts w:ascii="宋体" w:hAnsi="宋体"/>
          <w:kern w:val="0"/>
          <w:szCs w:val="21"/>
          <w:highlight w:val="none"/>
        </w:rPr>
      </w:pPr>
      <w:r>
        <w:rPr>
          <w:rFonts w:ascii="宋体" w:hAnsi="宋体"/>
          <w:kern w:val="0"/>
          <w:szCs w:val="21"/>
          <w:highlight w:val="none"/>
        </w:rPr>
        <w:t>19.</w:t>
      </w:r>
      <w:r>
        <w:rPr>
          <w:rFonts w:hint="eastAsia" w:ascii="宋体" w:hAnsi="宋体"/>
          <w:kern w:val="0"/>
          <w:szCs w:val="21"/>
          <w:highlight w:val="none"/>
        </w:rPr>
        <w:t>3</w:t>
      </w:r>
      <w:r>
        <w:rPr>
          <w:rFonts w:ascii="宋体" w:hAnsi="宋体"/>
          <w:kern w:val="0"/>
          <w:szCs w:val="21"/>
          <w:highlight w:val="none"/>
        </w:rPr>
        <w:t>采购代理机构拒绝接</w:t>
      </w:r>
      <w:r>
        <w:rPr>
          <w:rFonts w:hint="eastAsia" w:ascii="宋体" w:hAnsi="宋体"/>
          <w:kern w:val="0"/>
          <w:szCs w:val="21"/>
          <w:highlight w:val="none"/>
        </w:rPr>
        <w:t>收</w:t>
      </w:r>
      <w:r>
        <w:rPr>
          <w:rFonts w:ascii="宋体" w:hAnsi="宋体"/>
          <w:kern w:val="0"/>
          <w:szCs w:val="21"/>
          <w:highlight w:val="none"/>
        </w:rPr>
        <w:t>在规定的磋商</w:t>
      </w:r>
      <w:r>
        <w:rPr>
          <w:rFonts w:hint="eastAsia" w:ascii="宋体" w:hAnsi="宋体"/>
          <w:kern w:val="0"/>
          <w:szCs w:val="21"/>
          <w:highlight w:val="none"/>
        </w:rPr>
        <w:t>响应文件递交</w:t>
      </w:r>
      <w:r>
        <w:rPr>
          <w:rFonts w:ascii="宋体" w:hAnsi="宋体"/>
          <w:kern w:val="0"/>
          <w:szCs w:val="21"/>
          <w:highlight w:val="none"/>
        </w:rPr>
        <w:t>截止时间后</w:t>
      </w:r>
      <w:r>
        <w:rPr>
          <w:rFonts w:hint="eastAsia" w:ascii="宋体" w:hAnsi="宋体"/>
          <w:kern w:val="0"/>
          <w:szCs w:val="21"/>
          <w:highlight w:val="none"/>
        </w:rPr>
        <w:t>递交</w:t>
      </w:r>
      <w:r>
        <w:rPr>
          <w:rFonts w:ascii="宋体" w:hAnsi="宋体"/>
          <w:kern w:val="0"/>
          <w:szCs w:val="21"/>
          <w:highlight w:val="none"/>
        </w:rPr>
        <w:t>的磋商响应文件</w:t>
      </w:r>
      <w:r>
        <w:rPr>
          <w:rFonts w:hint="eastAsia" w:ascii="宋体" w:hAnsi="宋体"/>
          <w:kern w:val="0"/>
          <w:szCs w:val="21"/>
          <w:highlight w:val="none"/>
        </w:rPr>
        <w:t>和磋商报价资料</w:t>
      </w:r>
      <w:r>
        <w:rPr>
          <w:rFonts w:ascii="宋体" w:hAnsi="宋体"/>
          <w:kern w:val="0"/>
          <w:szCs w:val="21"/>
          <w:highlight w:val="none"/>
        </w:rPr>
        <w:t>。</w:t>
      </w:r>
    </w:p>
    <w:p>
      <w:pPr>
        <w:spacing w:line="500" w:lineRule="exact"/>
        <w:rPr>
          <w:rFonts w:ascii="宋体" w:hAnsi="宋体"/>
          <w:b/>
          <w:kern w:val="0"/>
          <w:szCs w:val="21"/>
          <w:highlight w:val="none"/>
        </w:rPr>
      </w:pPr>
      <w:r>
        <w:rPr>
          <w:rFonts w:ascii="宋体" w:hAnsi="宋体"/>
          <w:b/>
          <w:kern w:val="0"/>
          <w:szCs w:val="21"/>
          <w:highlight w:val="none"/>
        </w:rPr>
        <w:t>20．磋商报价的修改与撤回</w:t>
      </w:r>
    </w:p>
    <w:p>
      <w:pPr>
        <w:spacing w:line="500" w:lineRule="exact"/>
        <w:ind w:firstLine="420" w:firstLineChars="200"/>
        <w:rPr>
          <w:rFonts w:ascii="宋体" w:hAnsi="宋体"/>
          <w:kern w:val="0"/>
          <w:szCs w:val="21"/>
          <w:highlight w:val="none"/>
        </w:rPr>
      </w:pPr>
      <w:r>
        <w:rPr>
          <w:rFonts w:ascii="宋体" w:hAnsi="宋体"/>
          <w:kern w:val="0"/>
          <w:szCs w:val="21"/>
          <w:highlight w:val="none"/>
        </w:rPr>
        <w:t>20.</w:t>
      </w:r>
      <w:r>
        <w:rPr>
          <w:rFonts w:hint="eastAsia" w:ascii="宋体" w:hAnsi="宋体"/>
          <w:kern w:val="0"/>
          <w:szCs w:val="21"/>
          <w:highlight w:val="none"/>
        </w:rPr>
        <w:t>1</w:t>
      </w:r>
      <w:r>
        <w:rPr>
          <w:rFonts w:ascii="宋体" w:hAnsi="宋体"/>
          <w:kern w:val="0"/>
          <w:szCs w:val="21"/>
          <w:highlight w:val="none"/>
        </w:rPr>
        <w:t>供应商在递交磋商响应文件后，可以修改或撤回其磋商响应文件，也可以提出价格变动声明，但供应商必须在规定的磋商</w:t>
      </w:r>
      <w:r>
        <w:rPr>
          <w:rFonts w:hint="eastAsia" w:ascii="宋体" w:hAnsi="宋体"/>
          <w:kern w:val="0"/>
          <w:szCs w:val="21"/>
          <w:highlight w:val="none"/>
        </w:rPr>
        <w:t>响应文件递交</w:t>
      </w:r>
      <w:r>
        <w:rPr>
          <w:rFonts w:ascii="宋体" w:hAnsi="宋体"/>
          <w:kern w:val="0"/>
          <w:szCs w:val="21"/>
          <w:highlight w:val="none"/>
        </w:rPr>
        <w:t>截止</w:t>
      </w:r>
      <w:r>
        <w:rPr>
          <w:rFonts w:hint="eastAsia" w:ascii="宋体" w:hAnsi="宋体"/>
          <w:kern w:val="0"/>
          <w:szCs w:val="21"/>
          <w:highlight w:val="none"/>
        </w:rPr>
        <w:t>时间</w:t>
      </w:r>
      <w:r>
        <w:rPr>
          <w:rFonts w:ascii="宋体" w:hAnsi="宋体"/>
          <w:kern w:val="0"/>
          <w:szCs w:val="21"/>
          <w:highlight w:val="none"/>
        </w:rPr>
        <w:t>之前将修改或撤回或变动价格的书面通知文件递交到采购代理机构。</w:t>
      </w:r>
    </w:p>
    <w:p>
      <w:pPr>
        <w:spacing w:line="500" w:lineRule="exact"/>
        <w:ind w:firstLine="420" w:firstLineChars="200"/>
        <w:rPr>
          <w:rFonts w:ascii="宋体" w:hAnsi="宋体"/>
          <w:kern w:val="0"/>
          <w:szCs w:val="21"/>
          <w:highlight w:val="none"/>
        </w:rPr>
      </w:pPr>
      <w:r>
        <w:rPr>
          <w:rFonts w:ascii="宋体" w:hAnsi="宋体"/>
          <w:kern w:val="0"/>
          <w:szCs w:val="21"/>
          <w:highlight w:val="none"/>
        </w:rPr>
        <w:t>20.2 供应商的修改或撤回或变动价格的通知应按本须知第17条</w:t>
      </w:r>
      <w:r>
        <w:rPr>
          <w:rFonts w:hint="eastAsia" w:ascii="宋体" w:hAnsi="宋体"/>
          <w:kern w:val="0"/>
          <w:szCs w:val="21"/>
          <w:highlight w:val="none"/>
        </w:rPr>
        <w:t>和18条</w:t>
      </w:r>
      <w:r>
        <w:rPr>
          <w:rFonts w:ascii="宋体" w:hAnsi="宋体"/>
          <w:kern w:val="0"/>
          <w:szCs w:val="21"/>
          <w:highlight w:val="none"/>
        </w:rPr>
        <w:t>的规定编制、密封、标记和递交。</w:t>
      </w:r>
    </w:p>
    <w:p>
      <w:pPr>
        <w:spacing w:line="500" w:lineRule="exact"/>
        <w:ind w:firstLine="420" w:firstLineChars="200"/>
        <w:rPr>
          <w:rFonts w:ascii="宋体" w:hAnsi="宋体"/>
          <w:kern w:val="0"/>
          <w:szCs w:val="21"/>
          <w:highlight w:val="none"/>
        </w:rPr>
      </w:pPr>
      <w:r>
        <w:rPr>
          <w:rFonts w:ascii="宋体" w:hAnsi="宋体"/>
          <w:kern w:val="0"/>
          <w:szCs w:val="21"/>
          <w:highlight w:val="none"/>
        </w:rPr>
        <w:t>20.3 在磋商</w:t>
      </w:r>
      <w:r>
        <w:rPr>
          <w:rFonts w:hint="eastAsia" w:ascii="宋体" w:hAnsi="宋体"/>
          <w:kern w:val="0"/>
          <w:szCs w:val="21"/>
          <w:highlight w:val="none"/>
        </w:rPr>
        <w:t>响应文件递交</w:t>
      </w:r>
      <w:r>
        <w:rPr>
          <w:rFonts w:ascii="宋体" w:hAnsi="宋体"/>
          <w:kern w:val="0"/>
          <w:szCs w:val="21"/>
          <w:highlight w:val="none"/>
        </w:rPr>
        <w:t>截止时间之后，供应商不得对其磋商报价做任何修改或撤回。</w:t>
      </w:r>
    </w:p>
    <w:p>
      <w:pPr>
        <w:spacing w:line="500" w:lineRule="exact"/>
        <w:ind w:firstLine="420" w:firstLineChars="200"/>
        <w:rPr>
          <w:rFonts w:ascii="宋体" w:hAnsi="宋体"/>
          <w:kern w:val="0"/>
          <w:szCs w:val="21"/>
          <w:highlight w:val="none"/>
        </w:rPr>
      </w:pPr>
      <w:r>
        <w:rPr>
          <w:rFonts w:hint="eastAsia" w:ascii="宋体" w:hAnsi="宋体"/>
          <w:kern w:val="0"/>
          <w:szCs w:val="21"/>
          <w:highlight w:val="none"/>
        </w:rPr>
        <w:t>20.4在磋商结束之后，对于供应商正常经营活动必须的资质和证明文件原件（包括但不限于：营业执照、资质等级证书、成交通知书、经济合同等），经审查后予以退还。其他磋商响应文件和资料一律不予退还。</w:t>
      </w:r>
    </w:p>
    <w:p>
      <w:pPr>
        <w:spacing w:line="500" w:lineRule="exact"/>
        <w:ind w:firstLine="420" w:firstLineChars="200"/>
        <w:rPr>
          <w:rFonts w:ascii="宋体" w:hAnsi="宋体"/>
          <w:kern w:val="0"/>
          <w:szCs w:val="21"/>
          <w:highlight w:val="none"/>
        </w:rPr>
      </w:pPr>
    </w:p>
    <w:p>
      <w:pPr>
        <w:jc w:val="center"/>
        <w:rPr>
          <w:rFonts w:ascii="黑体" w:hAnsi="黑体" w:eastAsia="黑体"/>
          <w:b/>
          <w:kern w:val="0"/>
          <w:sz w:val="28"/>
          <w:szCs w:val="28"/>
          <w:highlight w:val="none"/>
        </w:rPr>
      </w:pPr>
      <w:r>
        <w:rPr>
          <w:rFonts w:ascii="黑体" w:hAnsi="黑体" w:eastAsia="黑体"/>
          <w:b/>
          <w:kern w:val="0"/>
          <w:sz w:val="28"/>
          <w:szCs w:val="28"/>
          <w:highlight w:val="none"/>
        </w:rPr>
        <w:t>五.磋商与评</w:t>
      </w:r>
      <w:r>
        <w:rPr>
          <w:rFonts w:hint="eastAsia" w:ascii="黑体" w:hAnsi="黑体" w:eastAsia="黑体"/>
          <w:b/>
          <w:kern w:val="0"/>
          <w:sz w:val="28"/>
          <w:szCs w:val="28"/>
          <w:highlight w:val="none"/>
        </w:rPr>
        <w:t>审</w:t>
      </w:r>
    </w:p>
    <w:p>
      <w:pPr>
        <w:spacing w:line="500" w:lineRule="exact"/>
        <w:rPr>
          <w:rFonts w:ascii="宋体" w:hAnsi="宋体"/>
          <w:b/>
          <w:kern w:val="0"/>
          <w:szCs w:val="21"/>
          <w:highlight w:val="none"/>
        </w:rPr>
      </w:pPr>
      <w:r>
        <w:rPr>
          <w:rFonts w:ascii="宋体" w:hAnsi="宋体"/>
          <w:b/>
          <w:kern w:val="0"/>
          <w:szCs w:val="21"/>
          <w:highlight w:val="none"/>
        </w:rPr>
        <w:t>21.</w:t>
      </w:r>
      <w:r>
        <w:rPr>
          <w:rFonts w:hint="eastAsia" w:ascii="宋体" w:hAnsi="宋体"/>
          <w:b/>
          <w:kern w:val="0"/>
          <w:szCs w:val="21"/>
          <w:highlight w:val="none"/>
        </w:rPr>
        <w:t>磋商小组和磋商评审原则</w:t>
      </w:r>
    </w:p>
    <w:p>
      <w:pPr>
        <w:spacing w:line="500" w:lineRule="exact"/>
        <w:ind w:firstLine="420" w:firstLineChars="200"/>
        <w:rPr>
          <w:rFonts w:ascii="宋体" w:hAnsi="宋体"/>
          <w:kern w:val="0"/>
          <w:szCs w:val="21"/>
          <w:highlight w:val="none"/>
        </w:rPr>
      </w:pPr>
      <w:r>
        <w:rPr>
          <w:rFonts w:hint="eastAsia" w:ascii="宋体" w:hAnsi="宋体"/>
          <w:kern w:val="0"/>
          <w:szCs w:val="21"/>
          <w:highlight w:val="none"/>
        </w:rPr>
        <w:t>21.1</w:t>
      </w:r>
      <w:r>
        <w:rPr>
          <w:rFonts w:ascii="宋体" w:hAnsi="宋体"/>
          <w:kern w:val="0"/>
          <w:szCs w:val="21"/>
          <w:highlight w:val="none"/>
        </w:rPr>
        <w:t>按照《中华人民共和国政府采购法》</w:t>
      </w:r>
      <w:r>
        <w:rPr>
          <w:rFonts w:hint="eastAsia" w:ascii="宋体" w:hAnsi="宋体"/>
          <w:kern w:val="0"/>
          <w:szCs w:val="21"/>
          <w:highlight w:val="none"/>
        </w:rPr>
        <w:t>、中华人民共和国2015年第658号国务院令--《中华人民共和国政府采购法实施条例》、</w:t>
      </w:r>
      <w:r>
        <w:rPr>
          <w:rFonts w:ascii="宋体" w:hAnsi="宋体"/>
          <w:kern w:val="0"/>
          <w:szCs w:val="21"/>
          <w:highlight w:val="none"/>
        </w:rPr>
        <w:t>财库〔2014〕214号</w:t>
      </w:r>
      <w:r>
        <w:rPr>
          <w:rFonts w:ascii="宋体" w:hAnsi="宋体"/>
          <w:bCs/>
          <w:kern w:val="0"/>
          <w:szCs w:val="21"/>
          <w:highlight w:val="none"/>
        </w:rPr>
        <w:t>《政府采购竞争性磋商采购方式管理暂行办法》、</w:t>
      </w:r>
      <w:r>
        <w:rPr>
          <w:rFonts w:hint="eastAsia" w:ascii="宋体" w:hAnsi="宋体"/>
          <w:bCs/>
          <w:kern w:val="0"/>
          <w:szCs w:val="21"/>
          <w:highlight w:val="none"/>
        </w:rPr>
        <w:t>财库〔2015〕124号财政部关于政府采购竞争性磋商采购方式管理暂行办法有关问题的补充通知</w:t>
      </w:r>
      <w:r>
        <w:rPr>
          <w:rFonts w:ascii="宋体" w:hAnsi="宋体"/>
          <w:bCs/>
          <w:kern w:val="0"/>
          <w:szCs w:val="21"/>
          <w:highlight w:val="none"/>
        </w:rPr>
        <w:t>的通知</w:t>
      </w:r>
      <w:r>
        <w:rPr>
          <w:rFonts w:ascii="宋体" w:hAnsi="宋体"/>
          <w:kern w:val="0"/>
          <w:szCs w:val="21"/>
          <w:highlight w:val="none"/>
        </w:rPr>
        <w:t>的规定，</w:t>
      </w:r>
      <w:r>
        <w:rPr>
          <w:rFonts w:hint="eastAsia" w:ascii="宋体" w:hAnsi="宋体"/>
          <w:kern w:val="0"/>
          <w:szCs w:val="21"/>
          <w:highlight w:val="none"/>
        </w:rPr>
        <w:t>采购机构将</w:t>
      </w:r>
      <w:r>
        <w:rPr>
          <w:rFonts w:ascii="宋体" w:hAnsi="宋体"/>
          <w:kern w:val="0"/>
          <w:szCs w:val="21"/>
          <w:highlight w:val="none"/>
        </w:rPr>
        <w:t>依法组建</w:t>
      </w:r>
      <w:r>
        <w:rPr>
          <w:rFonts w:hint="eastAsia" w:ascii="宋体" w:hAnsi="宋体"/>
          <w:kern w:val="0"/>
          <w:szCs w:val="21"/>
          <w:highlight w:val="none"/>
        </w:rPr>
        <w:t>磋商小组，依法进行磋商和评审工作。</w:t>
      </w:r>
    </w:p>
    <w:p>
      <w:pPr>
        <w:spacing w:line="500" w:lineRule="exact"/>
        <w:ind w:firstLine="420" w:firstLineChars="200"/>
        <w:rPr>
          <w:rFonts w:ascii="宋体" w:hAnsi="宋体"/>
          <w:kern w:val="0"/>
          <w:szCs w:val="21"/>
          <w:highlight w:val="none"/>
        </w:rPr>
      </w:pPr>
      <w:r>
        <w:rPr>
          <w:rFonts w:hint="eastAsia" w:ascii="宋体" w:hAnsi="宋体"/>
          <w:kern w:val="0"/>
          <w:szCs w:val="21"/>
          <w:highlight w:val="none"/>
        </w:rPr>
        <w:t>21.2</w:t>
      </w:r>
      <w:r>
        <w:rPr>
          <w:rFonts w:ascii="宋体" w:hAnsi="宋体"/>
          <w:kern w:val="0"/>
          <w:szCs w:val="21"/>
          <w:highlight w:val="none"/>
        </w:rPr>
        <w:t>磋商文件和</w:t>
      </w:r>
      <w:r>
        <w:rPr>
          <w:rFonts w:hint="eastAsia" w:ascii="宋体" w:hAnsi="宋体"/>
          <w:kern w:val="0"/>
          <w:szCs w:val="21"/>
          <w:highlight w:val="none"/>
        </w:rPr>
        <w:t>供应商的</w:t>
      </w:r>
      <w:r>
        <w:rPr>
          <w:rFonts w:ascii="宋体" w:hAnsi="宋体"/>
          <w:kern w:val="0"/>
          <w:szCs w:val="21"/>
          <w:highlight w:val="none"/>
        </w:rPr>
        <w:t>响应文件是评审的依据。</w:t>
      </w:r>
    </w:p>
    <w:p>
      <w:pPr>
        <w:spacing w:line="500" w:lineRule="exact"/>
        <w:rPr>
          <w:rFonts w:ascii="宋体" w:hAnsi="宋体"/>
          <w:b/>
          <w:kern w:val="0"/>
          <w:szCs w:val="21"/>
          <w:highlight w:val="none"/>
        </w:rPr>
      </w:pPr>
      <w:r>
        <w:rPr>
          <w:rFonts w:hint="eastAsia" w:ascii="宋体" w:hAnsi="宋体"/>
          <w:b/>
          <w:kern w:val="0"/>
          <w:szCs w:val="21"/>
          <w:highlight w:val="none"/>
        </w:rPr>
        <w:t>22.</w:t>
      </w:r>
      <w:r>
        <w:rPr>
          <w:rFonts w:ascii="宋体" w:hAnsi="宋体"/>
          <w:b/>
          <w:kern w:val="0"/>
          <w:szCs w:val="21"/>
          <w:highlight w:val="none"/>
        </w:rPr>
        <w:t>磋商</w:t>
      </w:r>
      <w:r>
        <w:rPr>
          <w:rFonts w:hint="eastAsia" w:ascii="宋体" w:hAnsi="宋体"/>
          <w:b/>
          <w:kern w:val="0"/>
          <w:szCs w:val="21"/>
          <w:highlight w:val="none"/>
        </w:rPr>
        <w:t>及评审程序</w:t>
      </w:r>
    </w:p>
    <w:p>
      <w:pPr>
        <w:spacing w:line="500" w:lineRule="exact"/>
        <w:ind w:firstLine="420" w:firstLineChars="200"/>
        <w:rPr>
          <w:rFonts w:hint="eastAsia" w:ascii="ˎ̥" w:hAnsi="ˎ̥" w:cs="宋体"/>
          <w:kern w:val="0"/>
          <w:szCs w:val="21"/>
          <w:highlight w:val="none"/>
        </w:rPr>
      </w:pPr>
      <w:r>
        <w:rPr>
          <w:rFonts w:ascii="ˎ̥" w:hAnsi="ˎ̥" w:cs="宋体"/>
          <w:kern w:val="0"/>
          <w:szCs w:val="21"/>
          <w:highlight w:val="none"/>
        </w:rPr>
        <w:t>2</w:t>
      </w:r>
      <w:r>
        <w:rPr>
          <w:rFonts w:hint="eastAsia" w:ascii="ˎ̥" w:hAnsi="ˎ̥" w:cs="宋体"/>
          <w:kern w:val="0"/>
          <w:szCs w:val="21"/>
          <w:highlight w:val="none"/>
        </w:rPr>
        <w:t>2</w:t>
      </w:r>
      <w:r>
        <w:rPr>
          <w:rFonts w:ascii="ˎ̥" w:hAnsi="ˎ̥" w:cs="宋体"/>
          <w:kern w:val="0"/>
          <w:szCs w:val="21"/>
          <w:highlight w:val="none"/>
        </w:rPr>
        <w:t>.1采购代理机构在规定的时间和地点组织磋商。</w:t>
      </w:r>
    </w:p>
    <w:p>
      <w:pPr>
        <w:spacing w:line="500" w:lineRule="exact"/>
        <w:ind w:firstLine="420" w:firstLineChars="200"/>
        <w:rPr>
          <w:rFonts w:hint="eastAsia" w:ascii="ˎ̥" w:hAnsi="ˎ̥" w:cs="宋体"/>
          <w:kern w:val="0"/>
          <w:szCs w:val="21"/>
          <w:highlight w:val="none"/>
        </w:rPr>
      </w:pPr>
      <w:r>
        <w:rPr>
          <w:rFonts w:hint="eastAsia" w:ascii="ˎ̥" w:hAnsi="ˎ̥" w:cs="宋体"/>
          <w:kern w:val="0"/>
          <w:szCs w:val="21"/>
          <w:highlight w:val="none"/>
        </w:rPr>
        <w:t>22.2本次磋商的报价次数、磋商程序和最终报价的产生原则见“磋商须知前附表”的规定。</w:t>
      </w:r>
    </w:p>
    <w:p>
      <w:pPr>
        <w:spacing w:line="500" w:lineRule="exact"/>
        <w:ind w:firstLine="420" w:firstLineChars="200"/>
        <w:rPr>
          <w:rFonts w:ascii="宋体" w:hAnsi="宋体"/>
          <w:kern w:val="0"/>
          <w:szCs w:val="21"/>
          <w:highlight w:val="none"/>
        </w:rPr>
      </w:pPr>
      <w:r>
        <w:rPr>
          <w:rFonts w:hint="eastAsia" w:ascii="ˎ̥" w:hAnsi="ˎ̥" w:cs="宋体"/>
          <w:kern w:val="0"/>
          <w:szCs w:val="21"/>
          <w:highlight w:val="none"/>
        </w:rPr>
        <w:t>22.3磋商开始后，磋商小组首先</w:t>
      </w:r>
      <w:r>
        <w:rPr>
          <w:rFonts w:ascii="ˎ̥" w:hAnsi="ˎ̥" w:cs="宋体"/>
          <w:kern w:val="0"/>
          <w:szCs w:val="21"/>
          <w:highlight w:val="none"/>
        </w:rPr>
        <w:t>对响应文件进行评审，并根据磋商文件规定的程序、评定成交的标准等事项与实质性响应磋商文件要求的</w:t>
      </w:r>
      <w:r>
        <w:rPr>
          <w:rFonts w:hint="eastAsia" w:ascii="ˎ̥" w:hAnsi="ˎ̥" w:cs="宋体"/>
          <w:kern w:val="0"/>
          <w:szCs w:val="21"/>
          <w:highlight w:val="none"/>
        </w:rPr>
        <w:t>供应商</w:t>
      </w:r>
      <w:r>
        <w:rPr>
          <w:rFonts w:ascii="ˎ̥" w:hAnsi="ˎ̥" w:cs="宋体"/>
          <w:kern w:val="0"/>
          <w:szCs w:val="21"/>
          <w:highlight w:val="none"/>
        </w:rPr>
        <w:t>进行磋商。未实质性响应磋商文件的响应文件按无效处理，</w:t>
      </w:r>
      <w:r>
        <w:rPr>
          <w:rFonts w:hint="eastAsia" w:ascii="ˎ̥" w:hAnsi="ˎ̥" w:cs="宋体"/>
          <w:kern w:val="0"/>
          <w:szCs w:val="21"/>
          <w:highlight w:val="none"/>
        </w:rPr>
        <w:t>磋商小组将</w:t>
      </w:r>
      <w:r>
        <w:rPr>
          <w:rFonts w:ascii="ˎ̥" w:hAnsi="ˎ̥" w:cs="宋体"/>
          <w:kern w:val="0"/>
          <w:szCs w:val="21"/>
          <w:highlight w:val="none"/>
        </w:rPr>
        <w:t>告知有关</w:t>
      </w:r>
      <w:r>
        <w:rPr>
          <w:rFonts w:hint="eastAsia" w:ascii="ˎ̥" w:hAnsi="ˎ̥" w:cs="宋体"/>
          <w:kern w:val="0"/>
          <w:szCs w:val="21"/>
          <w:highlight w:val="none"/>
        </w:rPr>
        <w:t>供应商</w:t>
      </w:r>
      <w:r>
        <w:rPr>
          <w:rFonts w:ascii="ˎ̥" w:hAnsi="ˎ̥" w:cs="宋体"/>
          <w:kern w:val="0"/>
          <w:szCs w:val="21"/>
          <w:highlight w:val="none"/>
        </w:rPr>
        <w:t>。</w:t>
      </w:r>
    </w:p>
    <w:p>
      <w:pPr>
        <w:spacing w:line="500" w:lineRule="exact"/>
        <w:ind w:firstLine="420" w:firstLineChars="200"/>
        <w:rPr>
          <w:rFonts w:hint="eastAsia" w:ascii="ˎ̥" w:hAnsi="ˎ̥" w:cs="宋体"/>
          <w:kern w:val="0"/>
          <w:szCs w:val="21"/>
          <w:highlight w:val="none"/>
        </w:rPr>
      </w:pPr>
      <w:r>
        <w:rPr>
          <w:rFonts w:hint="eastAsia" w:ascii="宋体" w:hAnsi="宋体"/>
          <w:kern w:val="0"/>
          <w:szCs w:val="21"/>
          <w:highlight w:val="none"/>
        </w:rPr>
        <w:t>22.4磋商小组</w:t>
      </w:r>
      <w:r>
        <w:rPr>
          <w:rFonts w:ascii="ˎ̥" w:hAnsi="ˎ̥" w:cs="宋体"/>
          <w:kern w:val="0"/>
          <w:szCs w:val="21"/>
          <w:highlight w:val="none"/>
        </w:rPr>
        <w:t>所有成员集中与单一</w:t>
      </w:r>
      <w:r>
        <w:rPr>
          <w:rFonts w:hint="eastAsia" w:ascii="ˎ̥" w:hAnsi="ˎ̥" w:cs="宋体"/>
          <w:kern w:val="0"/>
          <w:szCs w:val="21"/>
          <w:highlight w:val="none"/>
        </w:rPr>
        <w:t>供应商</w:t>
      </w:r>
      <w:r>
        <w:rPr>
          <w:rFonts w:ascii="ˎ̥" w:hAnsi="ˎ̥" w:cs="宋体"/>
          <w:kern w:val="0"/>
          <w:szCs w:val="21"/>
          <w:highlight w:val="none"/>
        </w:rPr>
        <w:t>分别进行磋商，并给予所有参加磋商的</w:t>
      </w:r>
      <w:r>
        <w:rPr>
          <w:rFonts w:hint="eastAsia" w:ascii="ˎ̥" w:hAnsi="ˎ̥" w:cs="宋体"/>
          <w:kern w:val="0"/>
          <w:szCs w:val="21"/>
          <w:highlight w:val="none"/>
        </w:rPr>
        <w:t>供应商</w:t>
      </w:r>
      <w:r>
        <w:rPr>
          <w:rFonts w:ascii="ˎ̥" w:hAnsi="ˎ̥" w:cs="宋体"/>
          <w:kern w:val="0"/>
          <w:szCs w:val="21"/>
          <w:highlight w:val="none"/>
        </w:rPr>
        <w:t>平等的磋商机会。</w:t>
      </w:r>
    </w:p>
    <w:p>
      <w:pPr>
        <w:spacing w:line="500" w:lineRule="exact"/>
        <w:ind w:firstLine="420" w:firstLineChars="200"/>
        <w:rPr>
          <w:rFonts w:ascii="宋体" w:hAnsi="宋体"/>
          <w:kern w:val="0"/>
          <w:szCs w:val="21"/>
          <w:highlight w:val="none"/>
        </w:rPr>
      </w:pPr>
      <w:r>
        <w:rPr>
          <w:rFonts w:hint="eastAsia" w:ascii="宋体" w:hAnsi="宋体"/>
          <w:kern w:val="0"/>
          <w:szCs w:val="21"/>
          <w:highlight w:val="none"/>
        </w:rPr>
        <w:t>22.5</w:t>
      </w:r>
      <w:r>
        <w:rPr>
          <w:rFonts w:ascii="宋体" w:hAnsi="宋体"/>
          <w:kern w:val="0"/>
          <w:szCs w:val="21"/>
          <w:highlight w:val="none"/>
        </w:rPr>
        <w:t>在磋商过程中，</w:t>
      </w:r>
      <w:r>
        <w:rPr>
          <w:rFonts w:hint="eastAsia" w:ascii="宋体" w:hAnsi="宋体"/>
          <w:kern w:val="0"/>
          <w:szCs w:val="21"/>
          <w:highlight w:val="none"/>
        </w:rPr>
        <w:t>磋商小组</w:t>
      </w:r>
      <w:r>
        <w:rPr>
          <w:rFonts w:ascii="宋体" w:hAnsi="宋体"/>
          <w:kern w:val="0"/>
          <w:szCs w:val="21"/>
          <w:highlight w:val="none"/>
        </w:rPr>
        <w:t>可以根据磋商文件和磋商情况实质性变动采购需求中的技术要求以及合同草案条款</w:t>
      </w:r>
      <w:r>
        <w:rPr>
          <w:rFonts w:hint="eastAsia" w:ascii="宋体" w:hAnsi="宋体"/>
          <w:kern w:val="0"/>
          <w:szCs w:val="21"/>
          <w:highlight w:val="none"/>
        </w:rPr>
        <w:t>。所有</w:t>
      </w:r>
      <w:r>
        <w:rPr>
          <w:rFonts w:ascii="宋体" w:hAnsi="宋体"/>
          <w:kern w:val="0"/>
          <w:szCs w:val="21"/>
          <w:highlight w:val="none"/>
        </w:rPr>
        <w:t>变动</w:t>
      </w:r>
      <w:r>
        <w:rPr>
          <w:rFonts w:hint="eastAsia" w:ascii="宋体" w:hAnsi="宋体"/>
          <w:kern w:val="0"/>
          <w:szCs w:val="21"/>
          <w:highlight w:val="none"/>
        </w:rPr>
        <w:t>内容均</w:t>
      </w:r>
      <w:r>
        <w:rPr>
          <w:rFonts w:ascii="宋体" w:hAnsi="宋体"/>
          <w:kern w:val="0"/>
          <w:szCs w:val="21"/>
          <w:highlight w:val="none"/>
        </w:rPr>
        <w:t>是磋商文件的有效组成部分，</w:t>
      </w:r>
      <w:r>
        <w:rPr>
          <w:rFonts w:hint="eastAsia" w:ascii="宋体" w:hAnsi="宋体"/>
          <w:kern w:val="0"/>
          <w:szCs w:val="21"/>
          <w:highlight w:val="none"/>
        </w:rPr>
        <w:t>磋商小组将</w:t>
      </w:r>
      <w:r>
        <w:rPr>
          <w:rFonts w:ascii="宋体" w:hAnsi="宋体"/>
          <w:kern w:val="0"/>
          <w:szCs w:val="21"/>
          <w:highlight w:val="none"/>
        </w:rPr>
        <w:t>以书面形式同时通知所有参加磋商的</w:t>
      </w:r>
      <w:r>
        <w:rPr>
          <w:rFonts w:hint="eastAsia" w:ascii="宋体" w:hAnsi="宋体"/>
          <w:kern w:val="0"/>
          <w:szCs w:val="21"/>
          <w:highlight w:val="none"/>
        </w:rPr>
        <w:t>供应商</w:t>
      </w:r>
      <w:r>
        <w:rPr>
          <w:rFonts w:ascii="宋体" w:hAnsi="宋体"/>
          <w:kern w:val="0"/>
          <w:szCs w:val="21"/>
          <w:highlight w:val="none"/>
        </w:rPr>
        <w:t>。</w:t>
      </w:r>
    </w:p>
    <w:p>
      <w:pPr>
        <w:spacing w:line="500" w:lineRule="exact"/>
        <w:ind w:firstLine="420" w:firstLineChars="200"/>
        <w:rPr>
          <w:rFonts w:ascii="宋体" w:hAnsi="宋体"/>
          <w:kern w:val="0"/>
          <w:szCs w:val="21"/>
          <w:highlight w:val="none"/>
        </w:rPr>
      </w:pPr>
      <w:r>
        <w:rPr>
          <w:rFonts w:hint="eastAsia" w:ascii="宋体" w:hAnsi="宋体"/>
          <w:kern w:val="0"/>
          <w:szCs w:val="21"/>
          <w:highlight w:val="none"/>
        </w:rPr>
        <w:t>22.6参加磋商的供应商</w:t>
      </w:r>
      <w:r>
        <w:rPr>
          <w:rFonts w:ascii="宋体" w:hAnsi="宋体"/>
          <w:kern w:val="0"/>
          <w:szCs w:val="21"/>
          <w:highlight w:val="none"/>
        </w:rPr>
        <w:t>应当按照磋商文件的变动情况和</w:t>
      </w:r>
      <w:r>
        <w:rPr>
          <w:rFonts w:hint="eastAsia" w:ascii="宋体" w:hAnsi="宋体"/>
          <w:kern w:val="0"/>
          <w:szCs w:val="21"/>
          <w:highlight w:val="none"/>
        </w:rPr>
        <w:t>磋商小组</w:t>
      </w:r>
      <w:r>
        <w:rPr>
          <w:rFonts w:ascii="宋体" w:hAnsi="宋体"/>
          <w:kern w:val="0"/>
          <w:szCs w:val="21"/>
          <w:highlight w:val="none"/>
        </w:rPr>
        <w:t>的要求重新提交响应文件，并由其法定代表人或授权代表签字或者加盖盖单位章。由授权代表签字的，应当附法定代表人授权书。</w:t>
      </w:r>
      <w:r>
        <w:rPr>
          <w:rFonts w:hint="eastAsia" w:ascii="宋体" w:hAnsi="宋体"/>
          <w:kern w:val="0"/>
          <w:szCs w:val="21"/>
          <w:highlight w:val="none"/>
        </w:rPr>
        <w:t>供应商</w:t>
      </w:r>
      <w:r>
        <w:rPr>
          <w:rFonts w:ascii="宋体" w:hAnsi="宋体"/>
          <w:kern w:val="0"/>
          <w:szCs w:val="21"/>
          <w:highlight w:val="none"/>
        </w:rPr>
        <w:t>为自然人的，应当由本人签字并附身份证明。</w:t>
      </w:r>
    </w:p>
    <w:p>
      <w:pPr>
        <w:spacing w:line="500" w:lineRule="exact"/>
        <w:ind w:firstLine="420" w:firstLineChars="200"/>
        <w:rPr>
          <w:rFonts w:ascii="宋体" w:hAnsi="宋体"/>
          <w:kern w:val="0"/>
          <w:szCs w:val="21"/>
          <w:highlight w:val="none"/>
        </w:rPr>
      </w:pPr>
      <w:r>
        <w:rPr>
          <w:rFonts w:hint="eastAsia" w:ascii="宋体" w:hAnsi="宋体"/>
          <w:kern w:val="0"/>
          <w:szCs w:val="21"/>
          <w:highlight w:val="none"/>
        </w:rPr>
        <w:t>22.7磋商结束后，磋商小组</w:t>
      </w:r>
      <w:r>
        <w:rPr>
          <w:rFonts w:ascii="宋体" w:hAnsi="宋体"/>
          <w:kern w:val="0"/>
          <w:szCs w:val="21"/>
          <w:highlight w:val="none"/>
        </w:rPr>
        <w:t>要求所有继续参加磋商的</w:t>
      </w:r>
      <w:r>
        <w:rPr>
          <w:rFonts w:hint="eastAsia" w:ascii="宋体" w:hAnsi="宋体"/>
          <w:kern w:val="0"/>
          <w:szCs w:val="21"/>
          <w:highlight w:val="none"/>
        </w:rPr>
        <w:t>供应商</w:t>
      </w:r>
      <w:r>
        <w:rPr>
          <w:rFonts w:ascii="宋体" w:hAnsi="宋体"/>
          <w:kern w:val="0"/>
          <w:szCs w:val="21"/>
          <w:highlight w:val="none"/>
        </w:rPr>
        <w:t>在规定时间内提交最后报价，最后报价是</w:t>
      </w:r>
      <w:r>
        <w:rPr>
          <w:rFonts w:hint="eastAsia" w:ascii="宋体" w:hAnsi="宋体"/>
          <w:kern w:val="0"/>
          <w:szCs w:val="21"/>
          <w:highlight w:val="none"/>
        </w:rPr>
        <w:t>供应商</w:t>
      </w:r>
      <w:r>
        <w:rPr>
          <w:rFonts w:ascii="宋体" w:hAnsi="宋体"/>
          <w:kern w:val="0"/>
          <w:szCs w:val="21"/>
          <w:highlight w:val="none"/>
        </w:rPr>
        <w:t>响应文件的有效组成部分。</w:t>
      </w:r>
    </w:p>
    <w:p>
      <w:pPr>
        <w:spacing w:line="500" w:lineRule="exact"/>
        <w:ind w:firstLine="420" w:firstLineChars="200"/>
        <w:rPr>
          <w:rFonts w:hint="eastAsia" w:ascii="ˎ̥" w:hAnsi="ˎ̥" w:cs="宋体"/>
          <w:kern w:val="0"/>
          <w:szCs w:val="21"/>
          <w:highlight w:val="none"/>
        </w:rPr>
      </w:pPr>
      <w:r>
        <w:rPr>
          <w:rFonts w:hint="eastAsia" w:ascii="宋体" w:hAnsi="宋体"/>
          <w:kern w:val="0"/>
          <w:szCs w:val="21"/>
          <w:highlight w:val="none"/>
        </w:rPr>
        <w:t>22.8</w:t>
      </w:r>
      <w:r>
        <w:rPr>
          <w:rFonts w:ascii="宋体" w:hAnsi="宋体"/>
          <w:kern w:val="0"/>
          <w:szCs w:val="21"/>
          <w:highlight w:val="none"/>
        </w:rPr>
        <w:t>已提交响应文件的</w:t>
      </w:r>
      <w:r>
        <w:rPr>
          <w:rFonts w:hint="eastAsia" w:ascii="宋体" w:hAnsi="宋体"/>
          <w:kern w:val="0"/>
          <w:szCs w:val="21"/>
          <w:highlight w:val="none"/>
        </w:rPr>
        <w:t>供应商</w:t>
      </w:r>
      <w:r>
        <w:rPr>
          <w:rFonts w:ascii="宋体" w:hAnsi="宋体"/>
          <w:kern w:val="0"/>
          <w:szCs w:val="21"/>
          <w:highlight w:val="none"/>
        </w:rPr>
        <w:t>，在提交最后报价之前，可以根据磋商情况退出磋商。采购机构</w:t>
      </w:r>
      <w:r>
        <w:rPr>
          <w:rFonts w:hint="eastAsia" w:ascii="宋体" w:hAnsi="宋体"/>
          <w:kern w:val="0"/>
          <w:szCs w:val="21"/>
          <w:highlight w:val="none"/>
        </w:rPr>
        <w:t>将</w:t>
      </w:r>
      <w:r>
        <w:rPr>
          <w:rFonts w:ascii="宋体" w:hAnsi="宋体"/>
          <w:kern w:val="0"/>
          <w:szCs w:val="21"/>
          <w:highlight w:val="none"/>
        </w:rPr>
        <w:t>退还退出磋商的</w:t>
      </w:r>
      <w:r>
        <w:rPr>
          <w:rFonts w:hint="eastAsia" w:ascii="宋体" w:hAnsi="宋体"/>
          <w:kern w:val="0"/>
          <w:szCs w:val="21"/>
          <w:highlight w:val="none"/>
        </w:rPr>
        <w:t>供应商</w:t>
      </w:r>
      <w:r>
        <w:rPr>
          <w:rFonts w:ascii="宋体" w:hAnsi="宋体"/>
          <w:kern w:val="0"/>
          <w:szCs w:val="21"/>
          <w:highlight w:val="none"/>
        </w:rPr>
        <w:t>的保证金。</w:t>
      </w:r>
    </w:p>
    <w:p>
      <w:pPr>
        <w:spacing w:line="360" w:lineRule="auto"/>
        <w:rPr>
          <w:rFonts w:ascii="宋体" w:hAnsi="宋体"/>
          <w:b/>
          <w:kern w:val="0"/>
          <w:szCs w:val="21"/>
          <w:highlight w:val="none"/>
        </w:rPr>
      </w:pPr>
      <w:r>
        <w:rPr>
          <w:rFonts w:ascii="宋体" w:hAnsi="宋体"/>
          <w:b/>
          <w:kern w:val="0"/>
          <w:szCs w:val="21"/>
          <w:highlight w:val="none"/>
        </w:rPr>
        <w:t>23．评审过程的保密</w:t>
      </w:r>
    </w:p>
    <w:p>
      <w:pPr>
        <w:spacing w:line="500" w:lineRule="exact"/>
        <w:ind w:firstLine="420" w:firstLineChars="200"/>
        <w:rPr>
          <w:rFonts w:ascii="宋体" w:hAnsi="宋体"/>
          <w:kern w:val="0"/>
          <w:szCs w:val="21"/>
          <w:highlight w:val="none"/>
        </w:rPr>
      </w:pPr>
      <w:r>
        <w:rPr>
          <w:rFonts w:ascii="宋体" w:hAnsi="宋体"/>
          <w:kern w:val="0"/>
          <w:szCs w:val="21"/>
          <w:highlight w:val="none"/>
        </w:rPr>
        <w:t>23.1</w:t>
      </w:r>
      <w:r>
        <w:rPr>
          <w:rFonts w:hint="eastAsia" w:ascii="宋体" w:hAnsi="宋体"/>
          <w:kern w:val="0"/>
          <w:szCs w:val="21"/>
          <w:highlight w:val="none"/>
        </w:rPr>
        <w:t>磋商小组</w:t>
      </w:r>
      <w:r>
        <w:rPr>
          <w:rFonts w:ascii="宋体" w:hAnsi="宋体"/>
          <w:kern w:val="0"/>
          <w:szCs w:val="21"/>
          <w:highlight w:val="none"/>
        </w:rPr>
        <w:t>成员和与评审活动有关的工作人员不得泄露有关磋商响应文件的评审和比较、成交候选人的推荐以及与评审有关的其他情况。</w:t>
      </w:r>
    </w:p>
    <w:p>
      <w:pPr>
        <w:spacing w:line="500" w:lineRule="exact"/>
        <w:ind w:firstLine="420" w:firstLineChars="200"/>
        <w:rPr>
          <w:rFonts w:ascii="宋体" w:hAnsi="宋体"/>
          <w:kern w:val="0"/>
          <w:szCs w:val="21"/>
          <w:highlight w:val="none"/>
        </w:rPr>
      </w:pPr>
      <w:r>
        <w:rPr>
          <w:rFonts w:ascii="宋体" w:hAnsi="宋体"/>
          <w:kern w:val="0"/>
          <w:szCs w:val="21"/>
          <w:highlight w:val="none"/>
        </w:rPr>
        <w:t>23.2在评审过程中，如果供应商试图在磋商响应文件的评审和比较、成交候选人的推荐以及与评审有关的其他方面，向磋商小组、采购人和采购代理机构施加任何影响，</w:t>
      </w:r>
      <w:r>
        <w:rPr>
          <w:rFonts w:hint="eastAsia" w:ascii="宋体" w:hAnsi="宋体"/>
          <w:kern w:val="0"/>
          <w:szCs w:val="21"/>
          <w:highlight w:val="none"/>
        </w:rPr>
        <w:t>其</w:t>
      </w:r>
      <w:r>
        <w:rPr>
          <w:rFonts w:ascii="宋体" w:hAnsi="宋体"/>
          <w:kern w:val="0"/>
          <w:szCs w:val="21"/>
          <w:highlight w:val="none"/>
        </w:rPr>
        <w:t>磋商</w:t>
      </w:r>
      <w:r>
        <w:rPr>
          <w:rFonts w:hint="eastAsia" w:ascii="宋体" w:hAnsi="宋体"/>
          <w:kern w:val="0"/>
          <w:szCs w:val="21"/>
          <w:highlight w:val="none"/>
        </w:rPr>
        <w:t>响应文件</w:t>
      </w:r>
      <w:r>
        <w:rPr>
          <w:rFonts w:ascii="宋体" w:hAnsi="宋体"/>
          <w:kern w:val="0"/>
          <w:szCs w:val="21"/>
          <w:highlight w:val="none"/>
        </w:rPr>
        <w:t>将</w:t>
      </w:r>
      <w:r>
        <w:rPr>
          <w:rFonts w:hint="eastAsia" w:ascii="宋体" w:hAnsi="宋体"/>
          <w:kern w:val="0"/>
          <w:szCs w:val="21"/>
          <w:highlight w:val="none"/>
        </w:rPr>
        <w:t>按照无效处理</w:t>
      </w:r>
      <w:r>
        <w:rPr>
          <w:rFonts w:ascii="宋体" w:hAnsi="宋体"/>
          <w:kern w:val="0"/>
          <w:szCs w:val="21"/>
          <w:highlight w:val="none"/>
        </w:rPr>
        <w:t>。</w:t>
      </w:r>
    </w:p>
    <w:p>
      <w:pPr>
        <w:spacing w:line="360" w:lineRule="auto"/>
        <w:rPr>
          <w:rFonts w:ascii="宋体" w:hAnsi="宋体"/>
          <w:b/>
          <w:kern w:val="0"/>
          <w:szCs w:val="21"/>
          <w:highlight w:val="none"/>
        </w:rPr>
      </w:pPr>
      <w:r>
        <w:rPr>
          <w:rFonts w:ascii="宋体" w:hAnsi="宋体"/>
          <w:b/>
          <w:kern w:val="0"/>
          <w:szCs w:val="21"/>
          <w:highlight w:val="none"/>
        </w:rPr>
        <w:t>24．评审方法</w:t>
      </w:r>
    </w:p>
    <w:p>
      <w:pPr>
        <w:spacing w:line="500" w:lineRule="exact"/>
        <w:ind w:firstLine="420" w:firstLineChars="200"/>
        <w:rPr>
          <w:rFonts w:ascii="宋体" w:hAnsi="宋体"/>
          <w:kern w:val="0"/>
          <w:szCs w:val="21"/>
          <w:highlight w:val="none"/>
        </w:rPr>
      </w:pPr>
      <w:r>
        <w:rPr>
          <w:rFonts w:ascii="宋体" w:hAnsi="宋体"/>
          <w:kern w:val="0"/>
          <w:szCs w:val="21"/>
          <w:highlight w:val="none"/>
        </w:rPr>
        <w:t>24.1</w:t>
      </w:r>
      <w:r>
        <w:rPr>
          <w:rFonts w:hint="eastAsia" w:ascii="宋体" w:hAnsi="宋体"/>
          <w:kern w:val="0"/>
          <w:szCs w:val="21"/>
          <w:highlight w:val="none"/>
        </w:rPr>
        <w:t>按照</w:t>
      </w:r>
      <w:r>
        <w:rPr>
          <w:rFonts w:ascii="宋体" w:hAnsi="宋体"/>
          <w:kern w:val="0"/>
          <w:szCs w:val="21"/>
          <w:highlight w:val="none"/>
        </w:rPr>
        <w:t>财库〔2014〕214号</w:t>
      </w:r>
      <w:r>
        <w:rPr>
          <w:rFonts w:ascii="宋体" w:hAnsi="宋体"/>
          <w:bCs/>
          <w:kern w:val="0"/>
          <w:szCs w:val="21"/>
          <w:highlight w:val="none"/>
        </w:rPr>
        <w:t>《政府采购竞争性磋商采购方式管理暂行办法》和</w:t>
      </w:r>
      <w:r>
        <w:rPr>
          <w:rFonts w:hint="eastAsia" w:ascii="宋体" w:hAnsi="宋体"/>
          <w:bCs/>
          <w:kern w:val="0"/>
          <w:szCs w:val="21"/>
          <w:highlight w:val="none"/>
        </w:rPr>
        <w:t>财库〔2015〕124号财政部关于政府采购竞争性磋商采购方式管理暂行办法有关问题的补充通知</w:t>
      </w:r>
      <w:r>
        <w:rPr>
          <w:rFonts w:ascii="宋体" w:hAnsi="宋体"/>
          <w:kern w:val="0"/>
          <w:szCs w:val="21"/>
          <w:highlight w:val="none"/>
        </w:rPr>
        <w:t>的规定</w:t>
      </w:r>
      <w:r>
        <w:rPr>
          <w:rFonts w:hint="eastAsia" w:ascii="宋体" w:hAnsi="宋体"/>
          <w:kern w:val="0"/>
          <w:szCs w:val="21"/>
          <w:highlight w:val="none"/>
        </w:rPr>
        <w:t>，提出3名成交候选人。</w:t>
      </w:r>
    </w:p>
    <w:p>
      <w:pPr>
        <w:spacing w:line="360" w:lineRule="auto"/>
        <w:ind w:firstLine="420" w:firstLineChars="200"/>
        <w:rPr>
          <w:rFonts w:ascii="宋体" w:hAnsi="宋体"/>
          <w:kern w:val="0"/>
          <w:szCs w:val="21"/>
          <w:highlight w:val="none"/>
        </w:rPr>
      </w:pPr>
    </w:p>
    <w:p>
      <w:pPr>
        <w:jc w:val="center"/>
        <w:rPr>
          <w:rFonts w:ascii="黑体" w:hAnsi="黑体" w:eastAsia="黑体"/>
          <w:b/>
          <w:kern w:val="0"/>
          <w:sz w:val="28"/>
          <w:szCs w:val="28"/>
          <w:highlight w:val="none"/>
        </w:rPr>
      </w:pPr>
      <w:r>
        <w:rPr>
          <w:rFonts w:ascii="黑体" w:hAnsi="黑体" w:eastAsia="黑体"/>
          <w:b/>
          <w:kern w:val="0"/>
          <w:sz w:val="28"/>
          <w:szCs w:val="28"/>
          <w:highlight w:val="none"/>
        </w:rPr>
        <w:t>六.</w:t>
      </w:r>
      <w:r>
        <w:rPr>
          <w:rFonts w:hint="eastAsia" w:ascii="黑体" w:hAnsi="黑体" w:eastAsia="黑体"/>
          <w:b/>
          <w:kern w:val="0"/>
          <w:sz w:val="28"/>
          <w:szCs w:val="28"/>
          <w:highlight w:val="none"/>
        </w:rPr>
        <w:t>确定成交人</w:t>
      </w:r>
      <w:r>
        <w:rPr>
          <w:rFonts w:ascii="黑体" w:hAnsi="黑体" w:eastAsia="黑体"/>
          <w:b/>
          <w:kern w:val="0"/>
          <w:sz w:val="28"/>
          <w:szCs w:val="28"/>
          <w:highlight w:val="none"/>
        </w:rPr>
        <w:t>、成交通知与签约</w:t>
      </w:r>
    </w:p>
    <w:p>
      <w:pPr>
        <w:spacing w:line="500" w:lineRule="exact"/>
        <w:rPr>
          <w:rFonts w:ascii="宋体" w:hAnsi="宋体"/>
          <w:b/>
          <w:kern w:val="0"/>
          <w:szCs w:val="21"/>
          <w:highlight w:val="none"/>
        </w:rPr>
      </w:pPr>
      <w:r>
        <w:rPr>
          <w:rFonts w:ascii="宋体" w:hAnsi="宋体"/>
          <w:b/>
          <w:kern w:val="0"/>
          <w:szCs w:val="21"/>
          <w:highlight w:val="none"/>
        </w:rPr>
        <w:t>2</w:t>
      </w:r>
      <w:r>
        <w:rPr>
          <w:rFonts w:hint="eastAsia" w:ascii="宋体" w:hAnsi="宋体"/>
          <w:b/>
          <w:kern w:val="0"/>
          <w:szCs w:val="21"/>
          <w:highlight w:val="none"/>
        </w:rPr>
        <w:t>5</w:t>
      </w:r>
      <w:r>
        <w:rPr>
          <w:rFonts w:ascii="宋体" w:hAnsi="宋体"/>
          <w:b/>
          <w:kern w:val="0"/>
          <w:szCs w:val="21"/>
          <w:highlight w:val="none"/>
        </w:rPr>
        <w:t>．</w:t>
      </w:r>
      <w:r>
        <w:rPr>
          <w:rFonts w:hint="eastAsia" w:ascii="宋体" w:hAnsi="宋体"/>
          <w:b/>
          <w:kern w:val="0"/>
          <w:szCs w:val="21"/>
          <w:highlight w:val="none"/>
        </w:rPr>
        <w:t>确定成交人</w:t>
      </w:r>
    </w:p>
    <w:p>
      <w:pPr>
        <w:spacing w:line="500" w:lineRule="exact"/>
        <w:ind w:firstLine="420" w:firstLineChars="200"/>
        <w:rPr>
          <w:rFonts w:ascii="宋体" w:hAnsi="宋体"/>
          <w:kern w:val="0"/>
          <w:szCs w:val="21"/>
          <w:highlight w:val="none"/>
        </w:rPr>
      </w:pPr>
      <w:r>
        <w:rPr>
          <w:rFonts w:ascii="宋体" w:hAnsi="宋体"/>
          <w:kern w:val="0"/>
          <w:szCs w:val="21"/>
          <w:highlight w:val="none"/>
        </w:rPr>
        <w:t>2</w:t>
      </w:r>
      <w:r>
        <w:rPr>
          <w:rFonts w:hint="eastAsia" w:ascii="宋体" w:hAnsi="宋体"/>
          <w:kern w:val="0"/>
          <w:szCs w:val="21"/>
          <w:highlight w:val="none"/>
        </w:rPr>
        <w:t>5</w:t>
      </w:r>
      <w:r>
        <w:rPr>
          <w:rFonts w:ascii="宋体" w:hAnsi="宋体"/>
          <w:kern w:val="0"/>
          <w:szCs w:val="21"/>
          <w:highlight w:val="none"/>
        </w:rPr>
        <w:t>.1</w:t>
      </w:r>
      <w:r>
        <w:rPr>
          <w:rFonts w:hint="eastAsia" w:ascii="宋体" w:hAnsi="宋体"/>
          <w:kern w:val="0"/>
          <w:szCs w:val="21"/>
          <w:highlight w:val="none"/>
        </w:rPr>
        <w:t>磋商小组</w:t>
      </w:r>
      <w:r>
        <w:rPr>
          <w:rFonts w:ascii="宋体" w:hAnsi="宋体"/>
          <w:kern w:val="0"/>
          <w:szCs w:val="21"/>
          <w:highlight w:val="none"/>
        </w:rPr>
        <w:t>根据评审方法的规定对供应商进行评审排序，推荐成交候选人，</w:t>
      </w:r>
      <w:r>
        <w:rPr>
          <w:rFonts w:hint="eastAsia" w:ascii="宋体" w:hAnsi="宋体"/>
          <w:kern w:val="0"/>
          <w:szCs w:val="21"/>
          <w:highlight w:val="none"/>
        </w:rPr>
        <w:t>形成评审报告</w:t>
      </w:r>
      <w:r>
        <w:rPr>
          <w:rFonts w:ascii="宋体" w:hAnsi="宋体"/>
          <w:kern w:val="0"/>
          <w:szCs w:val="21"/>
          <w:highlight w:val="none"/>
        </w:rPr>
        <w:t>。</w:t>
      </w:r>
      <w:r>
        <w:rPr>
          <w:rFonts w:hint="eastAsia" w:ascii="宋体" w:hAnsi="宋体"/>
          <w:kern w:val="0"/>
          <w:szCs w:val="21"/>
          <w:highlight w:val="none"/>
        </w:rPr>
        <w:t>评审报告</w:t>
      </w:r>
      <w:r>
        <w:rPr>
          <w:rFonts w:ascii="宋体" w:hAnsi="宋体"/>
          <w:kern w:val="0"/>
          <w:szCs w:val="21"/>
          <w:highlight w:val="none"/>
        </w:rPr>
        <w:t>由</w:t>
      </w:r>
      <w:r>
        <w:rPr>
          <w:rFonts w:hint="eastAsia" w:ascii="宋体" w:hAnsi="宋体"/>
          <w:kern w:val="0"/>
          <w:szCs w:val="21"/>
          <w:highlight w:val="none"/>
        </w:rPr>
        <w:t>磋商小组成员</w:t>
      </w:r>
      <w:r>
        <w:rPr>
          <w:rFonts w:ascii="宋体" w:hAnsi="宋体"/>
          <w:kern w:val="0"/>
          <w:szCs w:val="21"/>
          <w:highlight w:val="none"/>
        </w:rPr>
        <w:t>签字确认。</w:t>
      </w:r>
    </w:p>
    <w:p>
      <w:pPr>
        <w:spacing w:line="500" w:lineRule="exact"/>
        <w:ind w:firstLine="420" w:firstLineChars="200"/>
        <w:rPr>
          <w:rFonts w:ascii="宋体" w:hAnsi="宋体"/>
          <w:kern w:val="0"/>
          <w:szCs w:val="21"/>
          <w:highlight w:val="none"/>
        </w:rPr>
      </w:pPr>
      <w:r>
        <w:rPr>
          <w:rFonts w:ascii="宋体" w:hAnsi="宋体"/>
          <w:kern w:val="0"/>
          <w:szCs w:val="21"/>
          <w:highlight w:val="none"/>
        </w:rPr>
        <w:t>25.2采购人根据评</w:t>
      </w:r>
      <w:r>
        <w:rPr>
          <w:rFonts w:hint="eastAsia" w:ascii="宋体" w:hAnsi="宋体"/>
          <w:kern w:val="0"/>
          <w:szCs w:val="21"/>
          <w:highlight w:val="none"/>
        </w:rPr>
        <w:t>审</w:t>
      </w:r>
      <w:r>
        <w:rPr>
          <w:rFonts w:ascii="宋体" w:hAnsi="宋体"/>
          <w:kern w:val="0"/>
          <w:szCs w:val="21"/>
          <w:highlight w:val="none"/>
        </w:rPr>
        <w:t>报告中推荐的</w:t>
      </w:r>
      <w:r>
        <w:rPr>
          <w:rFonts w:hint="eastAsia" w:ascii="宋体" w:hAnsi="宋体"/>
          <w:kern w:val="0"/>
          <w:szCs w:val="21"/>
          <w:highlight w:val="none"/>
        </w:rPr>
        <w:t>成交</w:t>
      </w:r>
      <w:r>
        <w:rPr>
          <w:rFonts w:ascii="宋体" w:hAnsi="宋体"/>
          <w:kern w:val="0"/>
          <w:szCs w:val="21"/>
          <w:highlight w:val="none"/>
        </w:rPr>
        <w:t>候选人排列顺序，确定排名第一的为</w:t>
      </w:r>
      <w:r>
        <w:rPr>
          <w:rFonts w:hint="eastAsia" w:ascii="宋体" w:hAnsi="宋体"/>
          <w:kern w:val="0"/>
          <w:szCs w:val="21"/>
          <w:highlight w:val="none"/>
        </w:rPr>
        <w:t>成交供应商</w:t>
      </w:r>
      <w:r>
        <w:rPr>
          <w:rFonts w:ascii="宋体" w:hAnsi="宋体"/>
          <w:kern w:val="0"/>
          <w:szCs w:val="21"/>
          <w:highlight w:val="none"/>
        </w:rPr>
        <w:t>。</w:t>
      </w:r>
    </w:p>
    <w:p>
      <w:pPr>
        <w:spacing w:line="500" w:lineRule="exact"/>
        <w:ind w:firstLine="420" w:firstLineChars="200"/>
        <w:rPr>
          <w:rFonts w:ascii="宋体" w:hAnsi="宋体"/>
          <w:kern w:val="0"/>
          <w:szCs w:val="21"/>
          <w:highlight w:val="none"/>
        </w:rPr>
      </w:pPr>
      <w:r>
        <w:rPr>
          <w:rFonts w:ascii="宋体" w:hAnsi="宋体"/>
          <w:kern w:val="0"/>
          <w:szCs w:val="21"/>
          <w:highlight w:val="none"/>
        </w:rPr>
        <w:t>25.3采购人也可以</w:t>
      </w:r>
      <w:r>
        <w:rPr>
          <w:rFonts w:hint="eastAsia" w:ascii="宋体" w:hAnsi="宋体"/>
          <w:kern w:val="0"/>
          <w:szCs w:val="21"/>
          <w:highlight w:val="none"/>
        </w:rPr>
        <w:t>书面</w:t>
      </w:r>
      <w:r>
        <w:rPr>
          <w:rFonts w:ascii="宋体" w:hAnsi="宋体"/>
          <w:kern w:val="0"/>
          <w:szCs w:val="21"/>
          <w:highlight w:val="none"/>
        </w:rPr>
        <w:t>授权磋商小组直接确定成交供应商。</w:t>
      </w:r>
    </w:p>
    <w:p>
      <w:pPr>
        <w:spacing w:line="500" w:lineRule="exact"/>
        <w:ind w:firstLine="420" w:firstLineChars="200"/>
        <w:rPr>
          <w:rFonts w:ascii="宋体" w:hAnsi="宋体"/>
          <w:kern w:val="0"/>
          <w:szCs w:val="21"/>
          <w:highlight w:val="none"/>
        </w:rPr>
      </w:pPr>
      <w:r>
        <w:rPr>
          <w:rFonts w:ascii="宋体" w:hAnsi="宋体"/>
          <w:kern w:val="0"/>
          <w:szCs w:val="21"/>
          <w:highlight w:val="none"/>
        </w:rPr>
        <w:t>25.4成交供应商确定之后，成交结果将在财政部门指定的政府采购信息发布媒体上公告。</w:t>
      </w:r>
    </w:p>
    <w:p>
      <w:pPr>
        <w:spacing w:line="500" w:lineRule="exact"/>
        <w:ind w:firstLine="420" w:firstLineChars="200"/>
        <w:rPr>
          <w:rFonts w:ascii="宋体" w:hAnsi="宋体"/>
          <w:kern w:val="0"/>
          <w:szCs w:val="21"/>
          <w:highlight w:val="none"/>
        </w:rPr>
      </w:pPr>
      <w:r>
        <w:rPr>
          <w:rFonts w:ascii="宋体" w:hAnsi="宋体"/>
          <w:kern w:val="0"/>
          <w:szCs w:val="21"/>
          <w:highlight w:val="none"/>
        </w:rPr>
        <w:t>25.5供应商对成交公告有异议的，</w:t>
      </w:r>
      <w:r>
        <w:rPr>
          <w:rFonts w:hint="eastAsia" w:ascii="宋体" w:hAnsi="宋体"/>
          <w:kern w:val="0"/>
          <w:szCs w:val="21"/>
          <w:highlight w:val="none"/>
        </w:rPr>
        <w:t>按照《中华人民共和国政府采购法》第五十二条之有关规定执行。</w:t>
      </w:r>
      <w:r>
        <w:rPr>
          <w:rFonts w:ascii="宋体" w:hAnsi="宋体"/>
          <w:kern w:val="0"/>
          <w:szCs w:val="21"/>
          <w:highlight w:val="none"/>
        </w:rPr>
        <w:t>提出质疑的供应商</w:t>
      </w:r>
      <w:r>
        <w:rPr>
          <w:rFonts w:hint="eastAsia" w:ascii="宋体" w:hAnsi="宋体"/>
          <w:kern w:val="0"/>
          <w:szCs w:val="21"/>
          <w:highlight w:val="none"/>
        </w:rPr>
        <w:t>应当有明确的请求和必要的证明材料，</w:t>
      </w:r>
      <w:r>
        <w:rPr>
          <w:rFonts w:ascii="宋体" w:hAnsi="宋体"/>
          <w:kern w:val="0"/>
          <w:szCs w:val="21"/>
          <w:highlight w:val="none"/>
        </w:rPr>
        <w:t>应保证提出的质疑内容及相应证明材料的真实性及来源的合法性，并承担相应的法律责任。</w:t>
      </w:r>
    </w:p>
    <w:p>
      <w:pPr>
        <w:spacing w:line="500" w:lineRule="exact"/>
        <w:ind w:firstLine="420" w:firstLineChars="200"/>
        <w:rPr>
          <w:rFonts w:ascii="宋体" w:hAnsi="宋体"/>
          <w:kern w:val="0"/>
          <w:szCs w:val="21"/>
          <w:highlight w:val="none"/>
        </w:rPr>
      </w:pPr>
      <w:r>
        <w:rPr>
          <w:rFonts w:ascii="宋体" w:hAnsi="宋体"/>
          <w:kern w:val="0"/>
          <w:szCs w:val="21"/>
          <w:highlight w:val="none"/>
        </w:rPr>
        <w:t>25.6</w:t>
      </w:r>
      <w:r>
        <w:rPr>
          <w:rFonts w:hint="eastAsia" w:ascii="宋体" w:hAnsi="宋体"/>
          <w:kern w:val="0"/>
          <w:szCs w:val="21"/>
          <w:highlight w:val="none"/>
        </w:rPr>
        <w:t>成交供应商拒绝与采购人签订合同的，采购人可以按照评审报告推荐的成交人名单排序，确定下一候选人为成交供应商，也可以重新开展政府采购活动。</w:t>
      </w:r>
    </w:p>
    <w:p>
      <w:pPr>
        <w:spacing w:line="500" w:lineRule="exact"/>
        <w:rPr>
          <w:rFonts w:ascii="宋体" w:hAnsi="宋体"/>
          <w:b/>
          <w:kern w:val="0"/>
          <w:szCs w:val="21"/>
          <w:highlight w:val="none"/>
        </w:rPr>
      </w:pPr>
      <w:r>
        <w:rPr>
          <w:rFonts w:ascii="宋体" w:hAnsi="宋体"/>
          <w:b/>
          <w:kern w:val="0"/>
          <w:szCs w:val="21"/>
          <w:highlight w:val="none"/>
        </w:rPr>
        <w:t>2</w:t>
      </w:r>
      <w:r>
        <w:rPr>
          <w:rFonts w:hint="eastAsia" w:ascii="宋体" w:hAnsi="宋体"/>
          <w:b/>
          <w:kern w:val="0"/>
          <w:szCs w:val="21"/>
          <w:highlight w:val="none"/>
        </w:rPr>
        <w:t>6</w:t>
      </w:r>
      <w:r>
        <w:rPr>
          <w:rFonts w:ascii="宋体" w:hAnsi="宋体"/>
          <w:b/>
          <w:kern w:val="0"/>
          <w:szCs w:val="21"/>
          <w:highlight w:val="none"/>
        </w:rPr>
        <w:t>．成交通知</w:t>
      </w:r>
    </w:p>
    <w:p>
      <w:pPr>
        <w:spacing w:line="500" w:lineRule="exact"/>
        <w:ind w:firstLine="420" w:firstLineChars="200"/>
        <w:rPr>
          <w:rFonts w:ascii="宋体" w:hAnsi="宋体"/>
          <w:kern w:val="0"/>
          <w:szCs w:val="21"/>
          <w:highlight w:val="none"/>
        </w:rPr>
      </w:pPr>
      <w:r>
        <w:rPr>
          <w:rFonts w:ascii="宋体" w:hAnsi="宋体"/>
          <w:kern w:val="0"/>
          <w:szCs w:val="21"/>
          <w:highlight w:val="none"/>
        </w:rPr>
        <w:t>2</w:t>
      </w:r>
      <w:r>
        <w:rPr>
          <w:rFonts w:hint="eastAsia" w:ascii="宋体" w:hAnsi="宋体"/>
          <w:kern w:val="0"/>
          <w:szCs w:val="21"/>
          <w:highlight w:val="none"/>
        </w:rPr>
        <w:t>6</w:t>
      </w:r>
      <w:r>
        <w:rPr>
          <w:rFonts w:ascii="宋体" w:hAnsi="宋体"/>
          <w:kern w:val="0"/>
          <w:szCs w:val="21"/>
          <w:highlight w:val="none"/>
        </w:rPr>
        <w:t>.1</w:t>
      </w:r>
      <w:r>
        <w:rPr>
          <w:rFonts w:hint="eastAsia" w:ascii="宋体" w:hAnsi="宋体"/>
          <w:kern w:val="0"/>
          <w:szCs w:val="21"/>
          <w:highlight w:val="none"/>
        </w:rPr>
        <w:t xml:space="preserve"> 成交供应商确定之后，陕西恒瑞项目管理有限公司将</w:t>
      </w:r>
      <w:r>
        <w:rPr>
          <w:rFonts w:ascii="宋体" w:hAnsi="宋体"/>
          <w:kern w:val="0"/>
          <w:szCs w:val="21"/>
          <w:highlight w:val="none"/>
        </w:rPr>
        <w:t xml:space="preserve">发出《成交通知书》。 </w:t>
      </w:r>
    </w:p>
    <w:p>
      <w:pPr>
        <w:spacing w:line="500" w:lineRule="exact"/>
        <w:ind w:firstLine="420" w:firstLineChars="200"/>
        <w:rPr>
          <w:rFonts w:ascii="宋体" w:hAnsi="宋体"/>
          <w:kern w:val="0"/>
          <w:szCs w:val="21"/>
          <w:highlight w:val="none"/>
        </w:rPr>
      </w:pPr>
      <w:r>
        <w:rPr>
          <w:rFonts w:ascii="宋体" w:hAnsi="宋体"/>
          <w:kern w:val="0"/>
          <w:szCs w:val="21"/>
          <w:highlight w:val="none"/>
        </w:rPr>
        <w:t>2</w:t>
      </w:r>
      <w:r>
        <w:rPr>
          <w:rFonts w:hint="eastAsia" w:ascii="宋体" w:hAnsi="宋体"/>
          <w:kern w:val="0"/>
          <w:szCs w:val="21"/>
          <w:highlight w:val="none"/>
        </w:rPr>
        <w:t>6</w:t>
      </w:r>
      <w:r>
        <w:rPr>
          <w:rFonts w:ascii="宋体" w:hAnsi="宋体"/>
          <w:kern w:val="0"/>
          <w:szCs w:val="21"/>
          <w:highlight w:val="none"/>
        </w:rPr>
        <w:t>.2成交通知书对采购人和成交供应商具有同等法律效力。成交通知书发出之后，采购人改变成交结果，或者成交供应商放弃成交，应当承担相应的法律责任。</w:t>
      </w:r>
    </w:p>
    <w:p>
      <w:pPr>
        <w:spacing w:line="500" w:lineRule="exact"/>
        <w:ind w:firstLine="420" w:firstLineChars="200"/>
        <w:rPr>
          <w:rFonts w:ascii="宋体" w:hAnsi="宋体"/>
          <w:kern w:val="0"/>
          <w:szCs w:val="21"/>
          <w:highlight w:val="none"/>
        </w:rPr>
      </w:pPr>
      <w:r>
        <w:rPr>
          <w:rFonts w:ascii="宋体" w:hAnsi="宋体"/>
          <w:kern w:val="0"/>
          <w:szCs w:val="21"/>
          <w:highlight w:val="none"/>
        </w:rPr>
        <w:t>2</w:t>
      </w:r>
      <w:r>
        <w:rPr>
          <w:rFonts w:hint="eastAsia" w:ascii="宋体" w:hAnsi="宋体"/>
          <w:kern w:val="0"/>
          <w:szCs w:val="21"/>
          <w:highlight w:val="none"/>
        </w:rPr>
        <w:t>6</w:t>
      </w:r>
      <w:r>
        <w:rPr>
          <w:rFonts w:ascii="宋体" w:hAnsi="宋体"/>
          <w:kern w:val="0"/>
          <w:szCs w:val="21"/>
          <w:highlight w:val="none"/>
        </w:rPr>
        <w:t>.3 成交通知书发出后五个工作日内，</w:t>
      </w:r>
      <w:r>
        <w:rPr>
          <w:rFonts w:hint="eastAsia" w:ascii="宋体" w:hAnsi="宋体"/>
          <w:kern w:val="0"/>
          <w:szCs w:val="21"/>
          <w:highlight w:val="none"/>
        </w:rPr>
        <w:t>陕西恒瑞项目管理有限公司</w:t>
      </w:r>
      <w:r>
        <w:rPr>
          <w:rFonts w:ascii="宋体" w:hAnsi="宋体"/>
          <w:kern w:val="0"/>
          <w:szCs w:val="21"/>
          <w:highlight w:val="none"/>
        </w:rPr>
        <w:t>将通知未成交的供应商，</w:t>
      </w:r>
      <w:r>
        <w:rPr>
          <w:rFonts w:hint="eastAsia" w:ascii="宋体" w:hAnsi="宋体"/>
          <w:kern w:val="0"/>
          <w:szCs w:val="21"/>
          <w:highlight w:val="none"/>
        </w:rPr>
        <w:t>并</w:t>
      </w:r>
      <w:r>
        <w:rPr>
          <w:rFonts w:ascii="宋体" w:hAnsi="宋体"/>
          <w:kern w:val="0"/>
          <w:szCs w:val="21"/>
          <w:highlight w:val="none"/>
        </w:rPr>
        <w:t>退还</w:t>
      </w:r>
      <w:r>
        <w:rPr>
          <w:rFonts w:hint="eastAsia" w:ascii="宋体" w:hAnsi="宋体"/>
          <w:kern w:val="0"/>
          <w:szCs w:val="21"/>
          <w:highlight w:val="none"/>
        </w:rPr>
        <w:t>其</w:t>
      </w:r>
      <w:r>
        <w:rPr>
          <w:rFonts w:ascii="宋体" w:hAnsi="宋体"/>
          <w:kern w:val="0"/>
          <w:szCs w:val="21"/>
          <w:highlight w:val="none"/>
        </w:rPr>
        <w:t>磋商保证金。</w:t>
      </w:r>
    </w:p>
    <w:p>
      <w:pPr>
        <w:spacing w:line="500" w:lineRule="exact"/>
        <w:rPr>
          <w:rFonts w:ascii="宋体" w:hAnsi="宋体"/>
          <w:b/>
          <w:kern w:val="0"/>
          <w:szCs w:val="21"/>
          <w:highlight w:val="none"/>
        </w:rPr>
      </w:pPr>
      <w:r>
        <w:rPr>
          <w:rFonts w:ascii="宋体" w:hAnsi="宋体"/>
          <w:b/>
          <w:kern w:val="0"/>
          <w:szCs w:val="21"/>
          <w:highlight w:val="none"/>
        </w:rPr>
        <w:t>2</w:t>
      </w:r>
      <w:r>
        <w:rPr>
          <w:rFonts w:hint="eastAsia" w:ascii="宋体" w:hAnsi="宋体"/>
          <w:b/>
          <w:kern w:val="0"/>
          <w:szCs w:val="21"/>
          <w:highlight w:val="none"/>
        </w:rPr>
        <w:t>7</w:t>
      </w:r>
      <w:r>
        <w:rPr>
          <w:rFonts w:ascii="宋体" w:hAnsi="宋体"/>
          <w:b/>
          <w:kern w:val="0"/>
          <w:szCs w:val="21"/>
          <w:highlight w:val="none"/>
        </w:rPr>
        <w:t>. 成交合同的签订</w:t>
      </w:r>
    </w:p>
    <w:p>
      <w:pPr>
        <w:spacing w:line="500" w:lineRule="exact"/>
        <w:ind w:firstLine="420" w:firstLineChars="200"/>
        <w:rPr>
          <w:rFonts w:ascii="宋体" w:hAnsi="宋体"/>
          <w:kern w:val="0"/>
          <w:szCs w:val="21"/>
          <w:highlight w:val="none"/>
        </w:rPr>
      </w:pPr>
      <w:r>
        <w:rPr>
          <w:rFonts w:ascii="宋体" w:hAnsi="宋体"/>
          <w:kern w:val="0"/>
          <w:szCs w:val="21"/>
          <w:highlight w:val="none"/>
        </w:rPr>
        <w:t>2</w:t>
      </w:r>
      <w:r>
        <w:rPr>
          <w:rFonts w:hint="eastAsia" w:ascii="宋体" w:hAnsi="宋体"/>
          <w:kern w:val="0"/>
          <w:szCs w:val="21"/>
          <w:highlight w:val="none"/>
        </w:rPr>
        <w:t>7</w:t>
      </w:r>
      <w:r>
        <w:rPr>
          <w:rFonts w:ascii="宋体" w:hAnsi="宋体"/>
          <w:kern w:val="0"/>
          <w:szCs w:val="21"/>
          <w:highlight w:val="none"/>
        </w:rPr>
        <w:t>.1采购人应当自成交通知书发出之日起三十日内，按照磋商文件和成交供应商</w:t>
      </w:r>
      <w:r>
        <w:rPr>
          <w:rFonts w:hint="eastAsia" w:ascii="宋体" w:hAnsi="宋体"/>
          <w:kern w:val="0"/>
          <w:szCs w:val="21"/>
          <w:highlight w:val="none"/>
        </w:rPr>
        <w:t>的</w:t>
      </w:r>
      <w:r>
        <w:rPr>
          <w:rFonts w:ascii="宋体" w:hAnsi="宋体"/>
          <w:kern w:val="0"/>
          <w:szCs w:val="21"/>
          <w:highlight w:val="none"/>
        </w:rPr>
        <w:t>响应文件（包括</w:t>
      </w:r>
      <w:r>
        <w:rPr>
          <w:rFonts w:hint="eastAsia" w:ascii="宋体" w:hAnsi="宋体"/>
          <w:kern w:val="0"/>
          <w:szCs w:val="21"/>
          <w:highlight w:val="none"/>
        </w:rPr>
        <w:t>磋商</w:t>
      </w:r>
      <w:r>
        <w:rPr>
          <w:rFonts w:ascii="宋体" w:hAnsi="宋体"/>
          <w:kern w:val="0"/>
          <w:szCs w:val="21"/>
          <w:highlight w:val="none"/>
        </w:rPr>
        <w:t>评审中形成的</w:t>
      </w:r>
      <w:r>
        <w:rPr>
          <w:rFonts w:hint="eastAsia" w:ascii="宋体" w:hAnsi="宋体"/>
          <w:kern w:val="0"/>
          <w:szCs w:val="21"/>
          <w:highlight w:val="none"/>
        </w:rPr>
        <w:t>最后报价等补充</w:t>
      </w:r>
      <w:r>
        <w:rPr>
          <w:rFonts w:ascii="宋体" w:hAnsi="宋体"/>
          <w:kern w:val="0"/>
          <w:szCs w:val="21"/>
          <w:highlight w:val="none"/>
        </w:rPr>
        <w:t>文件），与成交供应商签订书面合同。</w:t>
      </w:r>
    </w:p>
    <w:p>
      <w:pPr>
        <w:spacing w:line="500" w:lineRule="exact"/>
        <w:ind w:firstLine="420" w:firstLineChars="200"/>
        <w:rPr>
          <w:rFonts w:ascii="宋体" w:hAnsi="宋体"/>
          <w:kern w:val="0"/>
          <w:szCs w:val="21"/>
          <w:highlight w:val="none"/>
        </w:rPr>
      </w:pPr>
      <w:r>
        <w:rPr>
          <w:rFonts w:ascii="宋体" w:hAnsi="宋体"/>
          <w:kern w:val="0"/>
          <w:szCs w:val="21"/>
          <w:highlight w:val="none"/>
        </w:rPr>
        <w:t>2</w:t>
      </w:r>
      <w:r>
        <w:rPr>
          <w:rFonts w:hint="eastAsia" w:ascii="宋体" w:hAnsi="宋体"/>
          <w:kern w:val="0"/>
          <w:szCs w:val="21"/>
          <w:highlight w:val="none"/>
        </w:rPr>
        <w:t>7</w:t>
      </w:r>
      <w:r>
        <w:rPr>
          <w:rFonts w:ascii="宋体" w:hAnsi="宋体"/>
          <w:kern w:val="0"/>
          <w:szCs w:val="21"/>
          <w:highlight w:val="none"/>
        </w:rPr>
        <w:t>.2</w:t>
      </w:r>
      <w:r>
        <w:rPr>
          <w:rFonts w:hint="eastAsia" w:ascii="宋体" w:hAnsi="宋体"/>
          <w:kern w:val="0"/>
          <w:szCs w:val="21"/>
          <w:highlight w:val="none"/>
        </w:rPr>
        <w:t>采购人自政府采购合同签订之日起2个工作日内，将政府采购合同在省级以上人民政府财政部门指定的媒体上公告，但政府采购合同中涉及国家秘密、商业秘密的内容除外。</w:t>
      </w:r>
    </w:p>
    <w:p>
      <w:pPr>
        <w:spacing w:line="500" w:lineRule="exact"/>
        <w:rPr>
          <w:rFonts w:ascii="宋体" w:hAnsi="宋体"/>
          <w:b/>
          <w:kern w:val="0"/>
          <w:szCs w:val="21"/>
          <w:highlight w:val="none"/>
        </w:rPr>
      </w:pPr>
      <w:r>
        <w:rPr>
          <w:rFonts w:ascii="宋体" w:hAnsi="宋体"/>
          <w:b/>
          <w:kern w:val="0"/>
          <w:szCs w:val="21"/>
          <w:highlight w:val="none"/>
        </w:rPr>
        <w:t>2</w:t>
      </w:r>
      <w:r>
        <w:rPr>
          <w:rFonts w:hint="eastAsia" w:ascii="宋体" w:hAnsi="宋体"/>
          <w:b/>
          <w:kern w:val="0"/>
          <w:szCs w:val="21"/>
          <w:highlight w:val="none"/>
        </w:rPr>
        <w:t>8</w:t>
      </w:r>
      <w:r>
        <w:rPr>
          <w:rFonts w:ascii="宋体" w:hAnsi="宋体"/>
          <w:b/>
          <w:kern w:val="0"/>
          <w:szCs w:val="21"/>
          <w:highlight w:val="none"/>
        </w:rPr>
        <w:t>．</w:t>
      </w:r>
      <w:r>
        <w:rPr>
          <w:rFonts w:hint="eastAsia" w:ascii="宋体" w:hAnsi="宋体"/>
          <w:b/>
          <w:kern w:val="0"/>
          <w:szCs w:val="21"/>
          <w:highlight w:val="none"/>
        </w:rPr>
        <w:t>成交合同的履约验收</w:t>
      </w:r>
    </w:p>
    <w:p>
      <w:pPr>
        <w:spacing w:line="500" w:lineRule="exact"/>
        <w:ind w:firstLine="420" w:firstLineChars="200"/>
        <w:rPr>
          <w:rFonts w:ascii="宋体" w:hAnsi="宋体"/>
          <w:kern w:val="0"/>
          <w:szCs w:val="21"/>
          <w:highlight w:val="none"/>
        </w:rPr>
      </w:pPr>
      <w:r>
        <w:rPr>
          <w:rFonts w:ascii="宋体" w:hAnsi="宋体"/>
          <w:kern w:val="0"/>
          <w:szCs w:val="21"/>
          <w:highlight w:val="none"/>
        </w:rPr>
        <w:t>2</w:t>
      </w:r>
      <w:r>
        <w:rPr>
          <w:rFonts w:hint="eastAsia" w:ascii="宋体" w:hAnsi="宋体"/>
          <w:kern w:val="0"/>
          <w:szCs w:val="21"/>
          <w:highlight w:val="none"/>
        </w:rPr>
        <w:t>8</w:t>
      </w:r>
      <w:r>
        <w:rPr>
          <w:rFonts w:ascii="宋体" w:hAnsi="宋体"/>
          <w:kern w:val="0"/>
          <w:szCs w:val="21"/>
          <w:highlight w:val="none"/>
        </w:rPr>
        <w:t>.1</w:t>
      </w:r>
      <w:r>
        <w:rPr>
          <w:rFonts w:hint="eastAsia" w:ascii="宋体" w:hAnsi="宋体"/>
          <w:kern w:val="0"/>
          <w:szCs w:val="21"/>
          <w:highlight w:val="none"/>
        </w:rPr>
        <w:t>采购人按照政府采购合同规定的技术、服务、安全标准组织对供应商履约情况进行验收，并出具验收书。验收书应当包括每一项技术、服务、安全标准的履约情况。</w:t>
      </w:r>
    </w:p>
    <w:p>
      <w:pPr>
        <w:spacing w:line="500" w:lineRule="exact"/>
        <w:rPr>
          <w:rFonts w:ascii="宋体" w:hAnsi="宋体"/>
          <w:b/>
          <w:kern w:val="0"/>
          <w:szCs w:val="21"/>
          <w:highlight w:val="none"/>
        </w:rPr>
      </w:pPr>
      <w:r>
        <w:rPr>
          <w:rFonts w:hint="eastAsia" w:ascii="宋体" w:hAnsi="宋体"/>
          <w:b/>
          <w:kern w:val="0"/>
          <w:szCs w:val="21"/>
          <w:highlight w:val="none"/>
        </w:rPr>
        <w:t>29．采购代理服务费</w:t>
      </w:r>
    </w:p>
    <w:p>
      <w:pPr>
        <w:spacing w:line="500" w:lineRule="exact"/>
        <w:ind w:firstLine="420" w:firstLineChars="200"/>
        <w:rPr>
          <w:rFonts w:ascii="宋体" w:hAnsi="宋体"/>
          <w:kern w:val="0"/>
          <w:szCs w:val="21"/>
          <w:highlight w:val="none"/>
        </w:rPr>
      </w:pPr>
      <w:r>
        <w:rPr>
          <w:rFonts w:hint="eastAsia" w:ascii="宋体" w:hAnsi="宋体"/>
          <w:kern w:val="0"/>
          <w:szCs w:val="21"/>
          <w:highlight w:val="none"/>
        </w:rPr>
        <w:t>29.1中标人应在收到成交通知书3日内，向陕西恒瑞项目管理有限公司一次性支付采购代理服务费。</w:t>
      </w:r>
    </w:p>
    <w:p>
      <w:pPr>
        <w:spacing w:line="500" w:lineRule="exact"/>
        <w:ind w:firstLine="420" w:firstLineChars="200"/>
        <w:rPr>
          <w:rFonts w:ascii="宋体" w:hAnsi="宋体"/>
          <w:kern w:val="0"/>
          <w:szCs w:val="21"/>
          <w:highlight w:val="none"/>
        </w:rPr>
      </w:pPr>
      <w:r>
        <w:rPr>
          <w:rFonts w:hint="eastAsia" w:ascii="宋体" w:hAnsi="宋体"/>
          <w:kern w:val="0"/>
          <w:szCs w:val="21"/>
          <w:highlight w:val="none"/>
        </w:rPr>
        <w:t>29.2采购代理服务费的金额见前附表。</w:t>
      </w:r>
    </w:p>
    <w:p>
      <w:pPr>
        <w:spacing w:line="500" w:lineRule="exact"/>
        <w:rPr>
          <w:rFonts w:ascii="宋体" w:hAnsi="宋体"/>
          <w:b/>
          <w:kern w:val="0"/>
          <w:szCs w:val="21"/>
          <w:highlight w:val="none"/>
        </w:rPr>
      </w:pPr>
      <w:r>
        <w:rPr>
          <w:rFonts w:hint="eastAsia" w:ascii="宋体" w:hAnsi="宋体"/>
          <w:b/>
          <w:kern w:val="0"/>
          <w:szCs w:val="21"/>
          <w:highlight w:val="none"/>
        </w:rPr>
        <w:t>30</w:t>
      </w:r>
      <w:r>
        <w:rPr>
          <w:rFonts w:ascii="宋体" w:hAnsi="宋体"/>
          <w:b/>
          <w:kern w:val="0"/>
          <w:szCs w:val="21"/>
          <w:highlight w:val="none"/>
        </w:rPr>
        <w:t>.其他</w:t>
      </w:r>
    </w:p>
    <w:p>
      <w:pPr>
        <w:spacing w:line="500" w:lineRule="exact"/>
        <w:ind w:firstLine="420" w:firstLineChars="200"/>
        <w:rPr>
          <w:rFonts w:ascii="宋体" w:hAnsi="宋体"/>
          <w:kern w:val="0"/>
          <w:szCs w:val="21"/>
          <w:highlight w:val="none"/>
        </w:rPr>
      </w:pPr>
      <w:r>
        <w:rPr>
          <w:rFonts w:hint="eastAsia" w:ascii="宋体" w:hAnsi="宋体"/>
          <w:kern w:val="0"/>
          <w:szCs w:val="21"/>
          <w:highlight w:val="none"/>
        </w:rPr>
        <w:t>30.1磋商开始后，出现下列情形之一的，采购代理机构将终止竞争性磋商采购活动，发布项目终止公告并说明原因，重新开展采购活动：</w:t>
      </w:r>
    </w:p>
    <w:p>
      <w:pPr>
        <w:spacing w:line="500" w:lineRule="exact"/>
        <w:ind w:firstLine="420" w:firstLineChars="200"/>
        <w:rPr>
          <w:rFonts w:ascii="宋体" w:hAnsi="宋体"/>
          <w:kern w:val="0"/>
          <w:szCs w:val="21"/>
          <w:highlight w:val="none"/>
        </w:rPr>
      </w:pPr>
      <w:r>
        <w:rPr>
          <w:rFonts w:hint="eastAsia" w:ascii="宋体" w:hAnsi="宋体"/>
          <w:kern w:val="0"/>
          <w:szCs w:val="21"/>
          <w:highlight w:val="none"/>
        </w:rPr>
        <w:t>（一）因情况变化，不再符合规定的竞争性磋商采购方式适用情形的；</w:t>
      </w:r>
    </w:p>
    <w:p>
      <w:pPr>
        <w:spacing w:line="500" w:lineRule="exact"/>
        <w:ind w:firstLine="420" w:firstLineChars="200"/>
        <w:rPr>
          <w:rFonts w:ascii="宋体" w:hAnsi="宋体"/>
          <w:kern w:val="0"/>
          <w:szCs w:val="21"/>
          <w:highlight w:val="none"/>
        </w:rPr>
      </w:pPr>
      <w:r>
        <w:rPr>
          <w:rFonts w:hint="eastAsia" w:ascii="宋体" w:hAnsi="宋体"/>
          <w:kern w:val="0"/>
          <w:szCs w:val="21"/>
          <w:highlight w:val="none"/>
        </w:rPr>
        <w:t>（二）出现影响采购公正的违法、违规行为的；</w:t>
      </w:r>
    </w:p>
    <w:p>
      <w:pPr>
        <w:spacing w:line="500" w:lineRule="exact"/>
        <w:ind w:firstLine="420" w:firstLineChars="200"/>
        <w:rPr>
          <w:rFonts w:ascii="宋体" w:hAnsi="宋体"/>
          <w:kern w:val="0"/>
          <w:szCs w:val="21"/>
          <w:highlight w:val="none"/>
        </w:rPr>
      </w:pPr>
      <w:r>
        <w:rPr>
          <w:rFonts w:hint="eastAsia" w:ascii="宋体" w:hAnsi="宋体"/>
          <w:kern w:val="0"/>
          <w:szCs w:val="21"/>
          <w:highlight w:val="none"/>
        </w:rPr>
        <w:t>（三）在采购过程中符合要求的供应商不足3家的 ；</w:t>
      </w:r>
    </w:p>
    <w:p>
      <w:pPr>
        <w:spacing w:line="500" w:lineRule="exact"/>
        <w:ind w:firstLine="420" w:firstLineChars="200"/>
        <w:rPr>
          <w:rFonts w:ascii="宋体" w:hAnsi="宋体"/>
          <w:kern w:val="0"/>
          <w:szCs w:val="21"/>
          <w:highlight w:val="none"/>
        </w:rPr>
      </w:pPr>
      <w:r>
        <w:rPr>
          <w:rFonts w:hint="eastAsia" w:ascii="宋体" w:hAnsi="宋体"/>
          <w:kern w:val="0"/>
          <w:szCs w:val="21"/>
          <w:highlight w:val="none"/>
        </w:rPr>
        <w:t>（四）报价未超过采购预算的供应商不足3家的。</w:t>
      </w:r>
    </w:p>
    <w:p>
      <w:pPr>
        <w:spacing w:line="500" w:lineRule="exact"/>
        <w:ind w:firstLine="420" w:firstLineChars="200"/>
        <w:rPr>
          <w:rFonts w:ascii="宋体" w:hAnsi="宋体"/>
          <w:kern w:val="0"/>
          <w:szCs w:val="21"/>
          <w:highlight w:val="none"/>
        </w:rPr>
      </w:pPr>
      <w:r>
        <w:rPr>
          <w:rFonts w:hint="eastAsia" w:ascii="宋体" w:hAnsi="宋体"/>
          <w:kern w:val="0"/>
          <w:szCs w:val="21"/>
          <w:highlight w:val="none"/>
        </w:rPr>
        <w:t>30.2 提交最后报价的供应商为2家时，可以继续进行磋商的情形：</w:t>
      </w:r>
    </w:p>
    <w:p>
      <w:pPr>
        <w:spacing w:line="500" w:lineRule="exact"/>
        <w:ind w:firstLine="420" w:firstLineChars="200"/>
        <w:rPr>
          <w:rFonts w:ascii="宋体" w:hAnsi="宋体"/>
          <w:kern w:val="0"/>
          <w:szCs w:val="21"/>
          <w:highlight w:val="none"/>
        </w:rPr>
      </w:pPr>
      <w:r>
        <w:rPr>
          <w:rFonts w:hint="eastAsia" w:ascii="宋体" w:hAnsi="宋体"/>
          <w:kern w:val="0"/>
          <w:szCs w:val="21"/>
          <w:highlight w:val="none"/>
        </w:rPr>
        <w:t>（一）市场竞争不充分的科研项目，以及需要扶持的科技成果转化项目；</w:t>
      </w:r>
    </w:p>
    <w:p>
      <w:pPr>
        <w:spacing w:line="500" w:lineRule="exact"/>
        <w:ind w:firstLine="420" w:firstLineChars="200"/>
        <w:rPr>
          <w:rFonts w:ascii="宋体" w:hAnsi="宋体"/>
          <w:kern w:val="0"/>
          <w:szCs w:val="21"/>
          <w:highlight w:val="none"/>
        </w:rPr>
      </w:pPr>
      <w:r>
        <w:rPr>
          <w:rFonts w:hint="eastAsia" w:ascii="宋体" w:hAnsi="宋体"/>
          <w:kern w:val="0"/>
          <w:szCs w:val="21"/>
          <w:highlight w:val="none"/>
        </w:rPr>
        <w:t>（二）根据陕西省财政厅陕财办采资（2016）53号文件第十八条，在采购过程中符合要求的供应商（社会资本）只有2家的。</w:t>
      </w:r>
    </w:p>
    <w:p>
      <w:pPr>
        <w:spacing w:line="500" w:lineRule="exact"/>
        <w:ind w:firstLine="420" w:firstLineChars="200"/>
        <w:rPr>
          <w:rFonts w:ascii="宋体" w:hAnsi="宋体"/>
          <w:color w:val="C00000"/>
          <w:sz w:val="24"/>
          <w:highlight w:val="none"/>
        </w:rPr>
      </w:pPr>
      <w:r>
        <w:rPr>
          <w:rFonts w:hint="eastAsia" w:ascii="宋体" w:hAnsi="宋体"/>
          <w:kern w:val="0"/>
          <w:szCs w:val="21"/>
          <w:highlight w:val="none"/>
        </w:rPr>
        <w:t>30.3磋采购产品“节能产品政府采购品目清单”的、进入“环境标志产品政府采购品目清单”的，提供证明文件，在评审方法中享受报价优惠折扣（详见评审方法）。采购产品符合财库〔2019〕9号文件精神，进入节能产品、环境标志产品政府采购清单（有效期内）的。采购产品或供应商属于《财政部 国务院扶贫办关于运用政府采购政策支持脱贫攻坚的通知》（财库〔2019〕27号）。供应商属于（财库[2011]181号）文件规定的小微企业的，提供中小企业声明函和相关证明文件，在评审方法中享受报价优惠折扣 （详见评审方法）。供应商属于（财库[2014]68号）文件规定的监狱企业的，提供由省级以上监狱管理局、戒毒管理局（含新疆生产建设兵团）出具的属于监狱企业的证明文件，视同小微企业，在评审方法中享受报价优惠折扣 （详见评审方法）。供应商属于（财库[2017]141号）文件规定的残疾人福利性单位的，提供《残疾人福利性单位声明函》，视同小微企业，在评审方法中享受报价优惠折扣 （详见评审方法）。供应商提供的《残疾人福利性单位声明函》与事实不符的，依照《政府采购法》第七十七条第一款的规定追究法律责任。</w:t>
      </w:r>
    </w:p>
    <w:p>
      <w:pPr>
        <w:spacing w:line="500" w:lineRule="exact"/>
        <w:rPr>
          <w:rFonts w:ascii="宋体" w:hAnsi="宋体"/>
          <w:b/>
          <w:kern w:val="0"/>
          <w:szCs w:val="21"/>
          <w:highlight w:val="none"/>
        </w:rPr>
      </w:pPr>
      <w:bookmarkStart w:id="27" w:name="_Toc184635080"/>
      <w:bookmarkStart w:id="28" w:name="_Toc321812019"/>
      <w:bookmarkStart w:id="29" w:name="_Toc324521816"/>
      <w:bookmarkStart w:id="30" w:name="_Toc290389707"/>
      <w:r>
        <w:rPr>
          <w:rFonts w:hint="eastAsia" w:ascii="宋体" w:hAnsi="宋体"/>
          <w:b/>
          <w:kern w:val="0"/>
          <w:szCs w:val="21"/>
          <w:highlight w:val="none"/>
        </w:rPr>
        <w:t>31. 需要补充的其他内容</w:t>
      </w:r>
      <w:bookmarkEnd w:id="27"/>
      <w:bookmarkEnd w:id="28"/>
      <w:bookmarkEnd w:id="29"/>
      <w:bookmarkEnd w:id="30"/>
    </w:p>
    <w:p>
      <w:pPr>
        <w:spacing w:line="500" w:lineRule="exact"/>
        <w:ind w:firstLine="420" w:firstLineChars="200"/>
        <w:rPr>
          <w:rFonts w:ascii="宋体" w:hAnsi="宋体"/>
          <w:kern w:val="0"/>
          <w:szCs w:val="21"/>
          <w:highlight w:val="none"/>
        </w:rPr>
      </w:pPr>
      <w:r>
        <w:rPr>
          <w:rFonts w:hint="eastAsia" w:ascii="宋体" w:hAnsi="宋体"/>
          <w:kern w:val="0"/>
          <w:szCs w:val="21"/>
          <w:highlight w:val="none"/>
        </w:rPr>
        <w:t>需要补充的其他内容：见磋商须知前附表。</w:t>
      </w:r>
    </w:p>
    <w:p>
      <w:pPr>
        <w:pStyle w:val="3"/>
        <w:numPr>
          <w:ilvl w:val="0"/>
          <w:numId w:val="3"/>
        </w:numPr>
        <w:spacing w:before="120" w:after="120" w:line="400" w:lineRule="exact"/>
        <w:jc w:val="center"/>
        <w:rPr>
          <w:rFonts w:ascii="宋体" w:hAnsi="宋体"/>
          <w:kern w:val="0"/>
          <w:sz w:val="32"/>
          <w:szCs w:val="32"/>
          <w:highlight w:val="none"/>
        </w:rPr>
      </w:pPr>
      <w:r>
        <w:rPr>
          <w:rFonts w:ascii="宋体" w:hAnsi="宋体"/>
          <w:kern w:val="0"/>
          <w:szCs w:val="21"/>
          <w:highlight w:val="none"/>
        </w:rPr>
        <w:br w:type="page"/>
      </w:r>
      <w:bookmarkStart w:id="31" w:name="_Toc16436"/>
      <w:r>
        <w:rPr>
          <w:rFonts w:hint="eastAsia" w:ascii="宋体" w:hAnsi="宋体"/>
          <w:kern w:val="0"/>
          <w:sz w:val="32"/>
          <w:szCs w:val="32"/>
          <w:highlight w:val="none"/>
        </w:rPr>
        <w:t xml:space="preserve"> </w:t>
      </w:r>
      <w:r>
        <w:rPr>
          <w:rFonts w:ascii="宋体" w:hAnsi="宋体"/>
          <w:kern w:val="0"/>
          <w:sz w:val="32"/>
          <w:szCs w:val="32"/>
          <w:highlight w:val="none"/>
        </w:rPr>
        <w:t>合同条款</w:t>
      </w:r>
      <w:bookmarkEnd w:id="31"/>
    </w:p>
    <w:p>
      <w:pPr>
        <w:ind w:firstLine="3360" w:firstLineChars="1600"/>
        <w:rPr>
          <w:highlight w:val="none"/>
        </w:rPr>
      </w:pPr>
      <w:bookmarkStart w:id="32" w:name="_Toc446841669"/>
      <w:bookmarkStart w:id="33" w:name="_Toc499566933"/>
      <w:bookmarkStart w:id="34" w:name="_Toc499566738"/>
      <w:bookmarkStart w:id="35" w:name="_Toc3708"/>
      <w:bookmarkStart w:id="36" w:name="_Toc17128"/>
      <w:bookmarkStart w:id="37" w:name="_Toc451935983"/>
      <w:bookmarkStart w:id="38" w:name="_Toc440118263"/>
      <w:bookmarkStart w:id="39" w:name="_Toc19659"/>
      <w:bookmarkStart w:id="40" w:name="_Toc283035185"/>
      <w:bookmarkStart w:id="41" w:name="_Toc283035098"/>
      <w:bookmarkStart w:id="42" w:name="_Toc283035581"/>
      <w:bookmarkStart w:id="43" w:name="_Toc290389757"/>
      <w:bookmarkStart w:id="44" w:name="_Toc283304121"/>
      <w:r>
        <w:rPr>
          <w:rFonts w:hint="eastAsia"/>
          <w:highlight w:val="none"/>
        </w:rPr>
        <w:t>第一部分 合同协议书</w:t>
      </w:r>
      <w:bookmarkEnd w:id="32"/>
      <w:bookmarkEnd w:id="33"/>
      <w:bookmarkEnd w:id="34"/>
      <w:bookmarkEnd w:id="35"/>
      <w:bookmarkEnd w:id="36"/>
      <w:bookmarkEnd w:id="37"/>
      <w:bookmarkEnd w:id="38"/>
      <w:bookmarkEnd w:id="39"/>
    </w:p>
    <w:p>
      <w:pPr>
        <w:spacing w:line="360" w:lineRule="auto"/>
        <w:ind w:firstLine="420"/>
        <w:rPr>
          <w:rFonts w:ascii="宋体" w:hAnsi="宋体" w:cs="仿宋_GB2312"/>
          <w:szCs w:val="21"/>
          <w:highlight w:val="none"/>
          <w:u w:val="single"/>
        </w:rPr>
      </w:pPr>
      <w:r>
        <w:rPr>
          <w:rFonts w:hint="eastAsia" w:ascii="宋体" w:hAnsi="宋体" w:cs="仿宋_GB2312"/>
          <w:szCs w:val="21"/>
          <w:highlight w:val="none"/>
        </w:rPr>
        <w:t>发包人（全称）：</w:t>
      </w:r>
      <w:r>
        <w:rPr>
          <w:rFonts w:hint="eastAsia" w:ascii="宋体" w:hAnsi="宋体" w:cs="仿宋_GB2312"/>
          <w:szCs w:val="21"/>
          <w:highlight w:val="none"/>
          <w:u w:val="single"/>
        </w:rPr>
        <w:t xml:space="preserve">山阳县水利局            </w:t>
      </w:r>
    </w:p>
    <w:p>
      <w:pPr>
        <w:spacing w:line="360" w:lineRule="auto"/>
        <w:ind w:firstLine="420"/>
        <w:rPr>
          <w:rFonts w:ascii="宋体" w:hAnsi="宋体" w:cs="仿宋_GB2312"/>
          <w:szCs w:val="21"/>
          <w:highlight w:val="none"/>
          <w:u w:val="single"/>
        </w:rPr>
      </w:pPr>
      <w:r>
        <w:rPr>
          <w:rFonts w:hint="eastAsia" w:ascii="宋体" w:hAnsi="宋体" w:cs="仿宋_GB2312"/>
          <w:szCs w:val="21"/>
          <w:highlight w:val="none"/>
        </w:rPr>
        <w:t>承包人（全称）：</w:t>
      </w:r>
      <w:r>
        <w:rPr>
          <w:rFonts w:hint="eastAsia" w:ascii="宋体" w:hAnsi="宋体" w:cs="仿宋_GB2312"/>
          <w:szCs w:val="21"/>
          <w:highlight w:val="none"/>
          <w:u w:val="single"/>
        </w:rPr>
        <w:t xml:space="preserve">                         </w:t>
      </w:r>
    </w:p>
    <w:p>
      <w:pPr>
        <w:spacing w:line="360" w:lineRule="auto"/>
        <w:ind w:firstLine="420"/>
        <w:rPr>
          <w:rFonts w:ascii="宋体" w:hAnsi="宋体" w:cs="仿宋_GB2312"/>
          <w:szCs w:val="21"/>
          <w:highlight w:val="none"/>
        </w:rPr>
      </w:pPr>
      <w:r>
        <w:rPr>
          <w:rFonts w:hint="eastAsia" w:ascii="宋体" w:hAnsi="宋体" w:cs="仿宋_GB2312"/>
          <w:szCs w:val="21"/>
          <w:highlight w:val="none"/>
        </w:rPr>
        <w:t>依照《中华人民共和国合同法》、《中华人民共和国建筑法》及其他有关法律、行政法规，遵循平等、自愿、公平和诚实信用的原则，双方就本建设工程施工协商一致，订立本合同。</w:t>
      </w:r>
    </w:p>
    <w:p>
      <w:pPr>
        <w:spacing w:line="360" w:lineRule="auto"/>
        <w:ind w:firstLine="420"/>
        <w:rPr>
          <w:rFonts w:ascii="宋体" w:hAnsi="宋体" w:cs="仿宋_GB2312"/>
          <w:szCs w:val="21"/>
          <w:highlight w:val="none"/>
        </w:rPr>
      </w:pPr>
      <w:r>
        <w:rPr>
          <w:rFonts w:hint="eastAsia" w:ascii="宋体" w:hAnsi="宋体" w:cs="仿宋_GB2312"/>
          <w:szCs w:val="21"/>
          <w:highlight w:val="none"/>
        </w:rPr>
        <w:t>一、工程概况</w:t>
      </w:r>
    </w:p>
    <w:p>
      <w:pPr>
        <w:spacing w:line="360" w:lineRule="auto"/>
        <w:ind w:firstLine="420"/>
        <w:rPr>
          <w:rFonts w:ascii="宋体" w:hAnsi="宋体" w:cs="仿宋_GB2312"/>
          <w:szCs w:val="21"/>
          <w:highlight w:val="none"/>
          <w:u w:val="single"/>
        </w:rPr>
      </w:pPr>
      <w:r>
        <w:rPr>
          <w:rFonts w:hint="eastAsia" w:ascii="宋体" w:hAnsi="宋体" w:cs="仿宋_GB2312"/>
          <w:szCs w:val="21"/>
          <w:highlight w:val="none"/>
        </w:rPr>
        <w:t>工程名称：</w:t>
      </w:r>
      <w:r>
        <w:rPr>
          <w:rFonts w:hint="eastAsia" w:ascii="宋体" w:hAnsi="宋体" w:cs="仿宋_GB2312"/>
          <w:szCs w:val="21"/>
          <w:highlight w:val="none"/>
          <w:u w:val="single"/>
        </w:rPr>
        <w:t xml:space="preserve"> 山阳县户家塬镇桃园村抗旱应急水源工程  </w:t>
      </w:r>
      <w:r>
        <w:rPr>
          <w:rFonts w:hint="eastAsia" w:ascii="宋体" w:hAnsi="宋体" w:cs="仿宋_GB2312"/>
          <w:szCs w:val="21"/>
          <w:highlight w:val="none"/>
        </w:rPr>
        <w:t xml:space="preserve">           </w:t>
      </w:r>
    </w:p>
    <w:p>
      <w:pPr>
        <w:spacing w:line="360" w:lineRule="auto"/>
        <w:ind w:firstLine="420"/>
        <w:rPr>
          <w:rFonts w:ascii="宋体" w:hAnsi="宋体" w:cs="仿宋_GB2312"/>
          <w:szCs w:val="21"/>
          <w:highlight w:val="none"/>
          <w:u w:val="single"/>
        </w:rPr>
      </w:pPr>
      <w:r>
        <w:rPr>
          <w:rFonts w:hint="eastAsia" w:ascii="宋体" w:hAnsi="宋体" w:cs="仿宋_GB2312"/>
          <w:szCs w:val="21"/>
          <w:highlight w:val="none"/>
        </w:rPr>
        <w:t>工程地点：</w:t>
      </w:r>
      <w:r>
        <w:rPr>
          <w:rFonts w:hint="eastAsia" w:ascii="宋体" w:hAnsi="宋体" w:cs="仿宋_GB2312"/>
          <w:szCs w:val="21"/>
          <w:highlight w:val="none"/>
          <w:u w:val="single"/>
        </w:rPr>
        <w:t xml:space="preserve">                    </w:t>
      </w:r>
    </w:p>
    <w:p>
      <w:pPr>
        <w:spacing w:line="360" w:lineRule="auto"/>
        <w:ind w:firstLine="420"/>
        <w:rPr>
          <w:rFonts w:ascii="宋体" w:hAnsi="宋体" w:cs="仿宋_GB2312"/>
          <w:szCs w:val="21"/>
          <w:highlight w:val="none"/>
        </w:rPr>
      </w:pPr>
      <w:r>
        <w:rPr>
          <w:rFonts w:hint="eastAsia" w:ascii="宋体" w:hAnsi="宋体" w:cs="仿宋_GB2312"/>
          <w:szCs w:val="21"/>
          <w:highlight w:val="none"/>
        </w:rPr>
        <w:t>建筑面积：</w:t>
      </w:r>
      <w:r>
        <w:rPr>
          <w:rFonts w:hint="eastAsia" w:ascii="宋体" w:hAnsi="宋体" w:cs="仿宋_GB2312"/>
          <w:szCs w:val="21"/>
          <w:highlight w:val="none"/>
          <w:u w:val="single"/>
        </w:rPr>
        <w:t xml:space="preserve">        /       </w:t>
      </w:r>
    </w:p>
    <w:p>
      <w:pPr>
        <w:spacing w:line="360" w:lineRule="auto"/>
        <w:ind w:firstLine="420"/>
        <w:rPr>
          <w:rFonts w:ascii="宋体" w:hAnsi="宋体" w:cs="仿宋_GB2312"/>
          <w:szCs w:val="21"/>
          <w:highlight w:val="none"/>
        </w:rPr>
      </w:pPr>
      <w:r>
        <w:rPr>
          <w:rFonts w:hint="eastAsia" w:ascii="宋体" w:hAnsi="宋体" w:cs="仿宋_GB2312"/>
          <w:szCs w:val="21"/>
          <w:highlight w:val="none"/>
        </w:rPr>
        <w:t>二、工程承包范围</w:t>
      </w:r>
    </w:p>
    <w:p>
      <w:pPr>
        <w:spacing w:line="360" w:lineRule="auto"/>
        <w:ind w:firstLine="420"/>
        <w:rPr>
          <w:rFonts w:ascii="宋体" w:hAnsi="宋体" w:cs="仿宋_GB2312"/>
          <w:szCs w:val="21"/>
          <w:highlight w:val="none"/>
          <w:u w:val="single"/>
        </w:rPr>
      </w:pPr>
      <w:r>
        <w:rPr>
          <w:rFonts w:hint="eastAsia" w:ascii="宋体" w:hAnsi="宋体" w:cs="仿宋_GB2312"/>
          <w:szCs w:val="21"/>
          <w:highlight w:val="none"/>
        </w:rPr>
        <w:t>承包范围：</w:t>
      </w:r>
      <w:r>
        <w:rPr>
          <w:rFonts w:hint="eastAsia" w:ascii="宋体" w:hAnsi="宋体" w:cs="仿宋_GB2312"/>
          <w:szCs w:val="21"/>
          <w:highlight w:val="none"/>
          <w:u w:val="single"/>
        </w:rPr>
        <w:t xml:space="preserve">                </w:t>
      </w:r>
      <w:r>
        <w:rPr>
          <w:rFonts w:hint="eastAsia" w:ascii="宋体" w:hAnsi="宋体" w:cs="仿宋_GB2312"/>
          <w:szCs w:val="21"/>
          <w:highlight w:val="none"/>
        </w:rPr>
        <w:t>不包括的工程范围：</w:t>
      </w:r>
      <w:r>
        <w:rPr>
          <w:rFonts w:hint="eastAsia" w:ascii="宋体" w:hAnsi="宋体" w:cs="仿宋_GB2312"/>
          <w:szCs w:val="21"/>
          <w:highlight w:val="none"/>
          <w:u w:val="single"/>
        </w:rPr>
        <w:t xml:space="preserve">   /      </w:t>
      </w:r>
    </w:p>
    <w:p>
      <w:pPr>
        <w:spacing w:line="360" w:lineRule="auto"/>
        <w:ind w:firstLine="420"/>
        <w:rPr>
          <w:rFonts w:ascii="宋体" w:hAnsi="宋体" w:cs="仿宋_GB2312"/>
          <w:szCs w:val="21"/>
          <w:highlight w:val="none"/>
        </w:rPr>
      </w:pPr>
      <w:r>
        <w:rPr>
          <w:rFonts w:hint="eastAsia" w:ascii="宋体" w:hAnsi="宋体" w:cs="仿宋_GB2312"/>
          <w:szCs w:val="21"/>
          <w:highlight w:val="none"/>
        </w:rPr>
        <w:t>三、合同工期：</w:t>
      </w:r>
    </w:p>
    <w:p>
      <w:pPr>
        <w:spacing w:line="360" w:lineRule="auto"/>
        <w:ind w:firstLine="420"/>
        <w:rPr>
          <w:rFonts w:ascii="宋体" w:hAnsi="宋体" w:cs="仿宋_GB2312"/>
          <w:szCs w:val="21"/>
          <w:highlight w:val="none"/>
          <w:u w:val="single"/>
        </w:rPr>
      </w:pPr>
      <w:r>
        <w:rPr>
          <w:rFonts w:hint="eastAsia" w:ascii="宋体" w:hAnsi="宋体" w:cs="仿宋_GB2312"/>
          <w:szCs w:val="21"/>
          <w:highlight w:val="none"/>
        </w:rPr>
        <w:t>总工期天数：</w:t>
      </w:r>
      <w:r>
        <w:rPr>
          <w:rFonts w:hint="eastAsia" w:ascii="宋体" w:hAnsi="宋体"/>
          <w:szCs w:val="21"/>
          <w:highlight w:val="none"/>
          <w:u w:val="single"/>
        </w:rPr>
        <w:t xml:space="preserve">      日历天</w:t>
      </w:r>
    </w:p>
    <w:p>
      <w:pPr>
        <w:spacing w:line="360" w:lineRule="auto"/>
        <w:ind w:firstLine="420"/>
        <w:rPr>
          <w:rFonts w:ascii="宋体" w:hAnsi="宋体" w:cs="仿宋_GB2312"/>
          <w:szCs w:val="21"/>
          <w:highlight w:val="none"/>
        </w:rPr>
      </w:pPr>
      <w:r>
        <w:rPr>
          <w:rFonts w:hint="eastAsia" w:ascii="宋体" w:hAnsi="宋体" w:cs="仿宋_GB2312"/>
          <w:szCs w:val="21"/>
          <w:highlight w:val="none"/>
        </w:rPr>
        <w:t>开工日期：</w:t>
      </w:r>
      <w:r>
        <w:rPr>
          <w:rFonts w:hint="eastAsia" w:ascii="宋体" w:hAnsi="宋体" w:cs="仿宋_GB2312"/>
          <w:szCs w:val="21"/>
          <w:highlight w:val="none"/>
          <w:u w:val="single"/>
        </w:rPr>
        <w:t xml:space="preserve"> 以开工令所载明的开工日期为准  </w:t>
      </w:r>
    </w:p>
    <w:p>
      <w:pPr>
        <w:spacing w:line="360" w:lineRule="auto"/>
        <w:ind w:firstLine="420"/>
        <w:rPr>
          <w:rFonts w:ascii="宋体" w:hAnsi="宋体" w:cs="仿宋_GB2312"/>
          <w:szCs w:val="21"/>
          <w:highlight w:val="none"/>
          <w:u w:val="single"/>
        </w:rPr>
      </w:pPr>
      <w:r>
        <w:rPr>
          <w:rFonts w:hint="eastAsia" w:ascii="宋体" w:hAnsi="宋体" w:cs="仿宋_GB2312"/>
          <w:szCs w:val="21"/>
          <w:highlight w:val="none"/>
        </w:rPr>
        <w:t>竣工日期：</w:t>
      </w:r>
      <w:r>
        <w:rPr>
          <w:rFonts w:hint="eastAsia" w:ascii="宋体" w:hAnsi="宋体" w:cs="仿宋_GB2312"/>
          <w:szCs w:val="21"/>
          <w:highlight w:val="none"/>
          <w:u w:val="single"/>
        </w:rPr>
        <w:t xml:space="preserve">   /                           </w:t>
      </w:r>
    </w:p>
    <w:p>
      <w:pPr>
        <w:spacing w:line="360" w:lineRule="auto"/>
        <w:ind w:firstLine="420"/>
        <w:rPr>
          <w:rFonts w:ascii="宋体" w:hAnsi="宋体" w:cs="仿宋_GB2312"/>
          <w:szCs w:val="21"/>
          <w:highlight w:val="none"/>
        </w:rPr>
      </w:pPr>
      <w:r>
        <w:rPr>
          <w:rFonts w:hint="eastAsia" w:ascii="宋体" w:hAnsi="宋体" w:cs="仿宋_GB2312"/>
          <w:szCs w:val="21"/>
          <w:highlight w:val="none"/>
        </w:rPr>
        <w:t>四、质量标准</w:t>
      </w:r>
    </w:p>
    <w:p>
      <w:pPr>
        <w:spacing w:line="360" w:lineRule="auto"/>
        <w:ind w:firstLine="420"/>
        <w:rPr>
          <w:rFonts w:ascii="宋体" w:hAnsi="宋体" w:cs="仿宋_GB2312"/>
          <w:szCs w:val="21"/>
          <w:highlight w:val="none"/>
        </w:rPr>
      </w:pPr>
      <w:r>
        <w:rPr>
          <w:rFonts w:hint="eastAsia" w:ascii="宋体" w:hAnsi="宋体" w:cs="仿宋_GB2312"/>
          <w:szCs w:val="21"/>
          <w:highlight w:val="none"/>
        </w:rPr>
        <w:t>工程质量标准：</w:t>
      </w:r>
      <w:r>
        <w:rPr>
          <w:rFonts w:hint="eastAsia" w:ascii="宋体" w:hAnsi="宋体" w:cs="仿宋_GB2312"/>
          <w:szCs w:val="21"/>
          <w:highlight w:val="none"/>
          <w:u w:val="single"/>
        </w:rPr>
        <w:t>必须达到国家规定的合格标准，并符合使用要求。</w:t>
      </w:r>
    </w:p>
    <w:p>
      <w:pPr>
        <w:spacing w:line="360" w:lineRule="auto"/>
        <w:ind w:firstLine="420"/>
        <w:rPr>
          <w:rFonts w:ascii="宋体" w:hAnsi="宋体" w:cs="仿宋_GB2312"/>
          <w:szCs w:val="21"/>
          <w:highlight w:val="none"/>
        </w:rPr>
      </w:pPr>
      <w:r>
        <w:rPr>
          <w:rFonts w:hint="eastAsia" w:ascii="宋体" w:hAnsi="宋体" w:cs="仿宋_GB2312"/>
          <w:szCs w:val="21"/>
          <w:highlight w:val="none"/>
        </w:rPr>
        <w:t>五、合同价款</w:t>
      </w:r>
    </w:p>
    <w:p>
      <w:pPr>
        <w:pStyle w:val="5"/>
        <w:adjustRightInd w:val="0"/>
        <w:snapToGrid w:val="0"/>
        <w:spacing w:before="0" w:after="0" w:line="360" w:lineRule="auto"/>
        <w:ind w:firstLine="420"/>
        <w:rPr>
          <w:rFonts w:ascii="宋体" w:hAnsi="宋体" w:cs="仿宋_GB2312"/>
          <w:b w:val="0"/>
          <w:bCs w:val="0"/>
          <w:szCs w:val="21"/>
          <w:highlight w:val="none"/>
        </w:rPr>
      </w:pPr>
      <w:r>
        <w:rPr>
          <w:rFonts w:hint="eastAsia" w:ascii="宋体" w:hAnsi="宋体" w:cs="仿宋_GB2312"/>
          <w:b w:val="0"/>
          <w:bCs w:val="0"/>
          <w:szCs w:val="21"/>
          <w:highlight w:val="none"/>
        </w:rPr>
        <w:t xml:space="preserve">  总价款：</w:t>
      </w:r>
      <w:r>
        <w:rPr>
          <w:rFonts w:hint="eastAsia" w:ascii="宋体" w:hAnsi="宋体" w:cs="仿宋_GB2312"/>
          <w:b w:val="0"/>
          <w:bCs w:val="0"/>
          <w:szCs w:val="21"/>
          <w:highlight w:val="none"/>
          <w:u w:val="single"/>
        </w:rPr>
        <w:t xml:space="preserve">         </w:t>
      </w:r>
      <w:r>
        <w:rPr>
          <w:rFonts w:hint="eastAsia" w:ascii="宋体" w:hAnsi="宋体" w:cs="仿宋_GB2312"/>
          <w:b w:val="0"/>
          <w:bCs w:val="0"/>
          <w:szCs w:val="21"/>
          <w:highlight w:val="none"/>
        </w:rPr>
        <w:t>元（大写：</w:t>
      </w:r>
      <w:r>
        <w:rPr>
          <w:rFonts w:hint="eastAsia" w:ascii="宋体" w:hAnsi="宋体" w:cs="仿宋_GB2312"/>
          <w:b w:val="0"/>
          <w:bCs w:val="0"/>
          <w:szCs w:val="21"/>
          <w:highlight w:val="none"/>
          <w:u w:val="single"/>
        </w:rPr>
        <w:t xml:space="preserve">          </w:t>
      </w:r>
      <w:r>
        <w:rPr>
          <w:rFonts w:hint="eastAsia" w:ascii="宋体" w:hAnsi="宋体" w:cs="仿宋_GB2312"/>
          <w:b w:val="0"/>
          <w:bCs w:val="0"/>
          <w:szCs w:val="21"/>
          <w:highlight w:val="none"/>
        </w:rPr>
        <w:t>）</w:t>
      </w:r>
    </w:p>
    <w:p>
      <w:pPr>
        <w:spacing w:line="360" w:lineRule="auto"/>
        <w:ind w:firstLine="420"/>
        <w:rPr>
          <w:rFonts w:ascii="宋体" w:hAnsi="宋体" w:cs="仿宋_GB2312"/>
          <w:szCs w:val="21"/>
          <w:highlight w:val="none"/>
        </w:rPr>
      </w:pPr>
      <w:r>
        <w:rPr>
          <w:rFonts w:hint="eastAsia" w:ascii="宋体" w:hAnsi="宋体" w:cs="仿宋_GB2312"/>
          <w:szCs w:val="21"/>
          <w:highlight w:val="none"/>
        </w:rPr>
        <w:t>六、组成合同的文件</w:t>
      </w:r>
    </w:p>
    <w:p>
      <w:pPr>
        <w:spacing w:line="360" w:lineRule="auto"/>
        <w:ind w:firstLine="420"/>
        <w:rPr>
          <w:rFonts w:ascii="宋体" w:hAnsi="宋体" w:cs="仿宋_GB2312"/>
          <w:szCs w:val="21"/>
          <w:highlight w:val="none"/>
        </w:rPr>
      </w:pPr>
      <w:r>
        <w:rPr>
          <w:rFonts w:hint="eastAsia" w:ascii="宋体" w:hAnsi="宋体" w:cs="仿宋_GB2312"/>
          <w:szCs w:val="21"/>
          <w:highlight w:val="none"/>
        </w:rPr>
        <w:t>组成本合同的文件包括：</w:t>
      </w:r>
    </w:p>
    <w:p>
      <w:pPr>
        <w:spacing w:line="360" w:lineRule="auto"/>
        <w:ind w:firstLine="420"/>
        <w:rPr>
          <w:rFonts w:ascii="宋体" w:hAnsi="宋体" w:cs="仿宋_GB2312"/>
          <w:szCs w:val="21"/>
          <w:highlight w:val="none"/>
        </w:rPr>
      </w:pPr>
      <w:r>
        <w:rPr>
          <w:rFonts w:hint="eastAsia" w:ascii="宋体" w:hAnsi="宋体" w:cs="仿宋_GB2312"/>
          <w:szCs w:val="21"/>
          <w:highlight w:val="none"/>
        </w:rPr>
        <w:t>1、本合同协议书</w:t>
      </w:r>
    </w:p>
    <w:p>
      <w:pPr>
        <w:spacing w:line="360" w:lineRule="auto"/>
        <w:ind w:firstLine="420"/>
        <w:rPr>
          <w:rFonts w:ascii="宋体" w:hAnsi="宋体" w:cs="仿宋_GB2312"/>
          <w:szCs w:val="21"/>
          <w:highlight w:val="none"/>
        </w:rPr>
      </w:pPr>
      <w:r>
        <w:rPr>
          <w:rFonts w:hint="eastAsia" w:ascii="宋体" w:hAnsi="宋体" w:cs="仿宋_GB2312"/>
          <w:szCs w:val="21"/>
          <w:highlight w:val="none"/>
        </w:rPr>
        <w:t>2、本合同专用条款</w:t>
      </w:r>
    </w:p>
    <w:p>
      <w:pPr>
        <w:spacing w:line="360" w:lineRule="auto"/>
        <w:ind w:firstLine="420"/>
        <w:rPr>
          <w:rFonts w:ascii="宋体" w:hAnsi="宋体" w:cs="仿宋_GB2312"/>
          <w:b/>
          <w:bCs/>
          <w:szCs w:val="21"/>
          <w:highlight w:val="none"/>
        </w:rPr>
      </w:pPr>
      <w:r>
        <w:rPr>
          <w:rFonts w:hint="eastAsia" w:ascii="宋体" w:hAnsi="宋体" w:cs="仿宋_GB2312"/>
          <w:szCs w:val="21"/>
          <w:highlight w:val="none"/>
        </w:rPr>
        <w:t>3、本合同通用条款</w:t>
      </w:r>
    </w:p>
    <w:p>
      <w:pPr>
        <w:spacing w:line="360" w:lineRule="auto"/>
        <w:ind w:firstLine="420"/>
        <w:rPr>
          <w:rFonts w:ascii="宋体" w:hAnsi="宋体" w:cs="仿宋_GB2312"/>
          <w:szCs w:val="21"/>
          <w:highlight w:val="none"/>
        </w:rPr>
      </w:pPr>
      <w:r>
        <w:rPr>
          <w:rFonts w:hint="eastAsia" w:ascii="宋体" w:hAnsi="宋体" w:cs="仿宋_GB2312"/>
          <w:szCs w:val="21"/>
          <w:highlight w:val="none"/>
        </w:rPr>
        <w:t>4、中标通知书</w:t>
      </w:r>
    </w:p>
    <w:p>
      <w:pPr>
        <w:spacing w:line="360" w:lineRule="auto"/>
        <w:ind w:firstLine="420"/>
        <w:rPr>
          <w:rFonts w:ascii="宋体" w:hAnsi="宋体" w:cs="仿宋_GB2312"/>
          <w:szCs w:val="21"/>
          <w:highlight w:val="none"/>
        </w:rPr>
      </w:pPr>
      <w:r>
        <w:rPr>
          <w:rFonts w:hint="eastAsia" w:ascii="宋体" w:hAnsi="宋体" w:cs="仿宋_GB2312"/>
          <w:szCs w:val="21"/>
          <w:highlight w:val="none"/>
        </w:rPr>
        <w:t>5、投标书、工程报价单或预算书及其附件</w:t>
      </w:r>
    </w:p>
    <w:p>
      <w:pPr>
        <w:spacing w:line="360" w:lineRule="auto"/>
        <w:ind w:firstLine="420"/>
        <w:rPr>
          <w:rFonts w:ascii="宋体" w:hAnsi="宋体" w:cs="仿宋_GB2312"/>
          <w:szCs w:val="21"/>
          <w:highlight w:val="none"/>
        </w:rPr>
      </w:pPr>
      <w:r>
        <w:rPr>
          <w:rFonts w:hint="eastAsia" w:ascii="宋体" w:hAnsi="宋体" w:cs="仿宋_GB2312"/>
          <w:szCs w:val="21"/>
          <w:highlight w:val="none"/>
        </w:rPr>
        <w:t>6、招标文件、答疑纪要及工程量清单</w:t>
      </w:r>
    </w:p>
    <w:p>
      <w:pPr>
        <w:spacing w:line="360" w:lineRule="auto"/>
        <w:ind w:firstLine="420"/>
        <w:rPr>
          <w:rFonts w:ascii="宋体" w:hAnsi="宋体" w:cs="仿宋_GB2312"/>
          <w:szCs w:val="21"/>
          <w:highlight w:val="none"/>
        </w:rPr>
      </w:pPr>
      <w:r>
        <w:rPr>
          <w:rFonts w:hint="eastAsia" w:ascii="宋体" w:hAnsi="宋体" w:cs="仿宋_GB2312"/>
          <w:szCs w:val="21"/>
          <w:highlight w:val="none"/>
        </w:rPr>
        <w:t>7、图纸</w:t>
      </w:r>
    </w:p>
    <w:p>
      <w:pPr>
        <w:spacing w:line="360" w:lineRule="auto"/>
        <w:ind w:firstLine="420"/>
        <w:rPr>
          <w:rFonts w:ascii="宋体" w:hAnsi="宋体" w:cs="仿宋_GB2312"/>
          <w:szCs w:val="21"/>
          <w:highlight w:val="none"/>
        </w:rPr>
      </w:pPr>
      <w:r>
        <w:rPr>
          <w:rFonts w:hint="eastAsia" w:ascii="宋体" w:hAnsi="宋体" w:cs="仿宋_GB2312"/>
          <w:szCs w:val="21"/>
          <w:highlight w:val="none"/>
        </w:rPr>
        <w:t>8、标准、规范及有关技术文件</w:t>
      </w:r>
    </w:p>
    <w:p>
      <w:pPr>
        <w:spacing w:line="360" w:lineRule="auto"/>
        <w:ind w:firstLine="420"/>
        <w:rPr>
          <w:rFonts w:ascii="宋体" w:hAnsi="宋体" w:cs="仿宋_GB2312"/>
          <w:szCs w:val="21"/>
          <w:highlight w:val="none"/>
        </w:rPr>
      </w:pPr>
      <w:r>
        <w:rPr>
          <w:rFonts w:hint="eastAsia" w:ascii="宋体" w:hAnsi="宋体" w:cs="仿宋_GB2312"/>
          <w:szCs w:val="21"/>
          <w:highlight w:val="none"/>
        </w:rPr>
        <w:t>9、双方为履行本合同的有关洽商、变更等书面协议、文件，视为本合同的组成部分。</w:t>
      </w:r>
    </w:p>
    <w:p>
      <w:pPr>
        <w:spacing w:line="360" w:lineRule="auto"/>
        <w:ind w:firstLine="420"/>
        <w:rPr>
          <w:rFonts w:ascii="宋体" w:hAnsi="宋体" w:cs="仿宋_GB2312"/>
          <w:szCs w:val="21"/>
          <w:highlight w:val="none"/>
        </w:rPr>
      </w:pPr>
      <w:r>
        <w:rPr>
          <w:rFonts w:hint="eastAsia" w:ascii="宋体" w:hAnsi="宋体" w:cs="仿宋_GB2312"/>
          <w:szCs w:val="21"/>
          <w:highlight w:val="none"/>
        </w:rPr>
        <w:t>七、本协议书中有关词语含义与本合同第二部分《通用条款》中赋予的定义相同。</w:t>
      </w:r>
    </w:p>
    <w:p>
      <w:pPr>
        <w:spacing w:line="360" w:lineRule="auto"/>
        <w:ind w:firstLine="420"/>
        <w:rPr>
          <w:rFonts w:ascii="宋体" w:hAnsi="宋体" w:cs="仿宋_GB2312"/>
          <w:szCs w:val="21"/>
          <w:highlight w:val="none"/>
        </w:rPr>
      </w:pPr>
      <w:r>
        <w:rPr>
          <w:rFonts w:hint="eastAsia" w:ascii="宋体" w:hAnsi="宋体" w:cs="仿宋_GB2312"/>
          <w:szCs w:val="21"/>
          <w:highlight w:val="none"/>
        </w:rPr>
        <w:t>八、承包人按照合同约定进行施工、竣工并在质量保修期内承担工程质量保修责任。</w:t>
      </w:r>
    </w:p>
    <w:p>
      <w:pPr>
        <w:spacing w:line="360" w:lineRule="auto"/>
        <w:ind w:firstLine="420"/>
        <w:rPr>
          <w:rFonts w:ascii="宋体" w:hAnsi="宋体" w:cs="仿宋_GB2312"/>
          <w:szCs w:val="21"/>
          <w:highlight w:val="none"/>
        </w:rPr>
      </w:pPr>
      <w:r>
        <w:rPr>
          <w:rFonts w:hint="eastAsia" w:ascii="宋体" w:hAnsi="宋体" w:cs="仿宋_GB2312"/>
          <w:szCs w:val="21"/>
          <w:highlight w:val="none"/>
        </w:rPr>
        <w:t>九、发包人按照合同约定的期限和方式支付合同价款及其他应当支付的款项。</w:t>
      </w:r>
    </w:p>
    <w:p>
      <w:pPr>
        <w:spacing w:line="360" w:lineRule="auto"/>
        <w:ind w:firstLine="420"/>
        <w:rPr>
          <w:rFonts w:ascii="宋体" w:hAnsi="宋体" w:cs="仿宋_GB2312"/>
          <w:szCs w:val="21"/>
          <w:highlight w:val="none"/>
        </w:rPr>
      </w:pPr>
      <w:r>
        <w:rPr>
          <w:rFonts w:hint="eastAsia" w:ascii="宋体" w:hAnsi="宋体" w:cs="仿宋_GB2312"/>
          <w:szCs w:val="21"/>
          <w:highlight w:val="none"/>
        </w:rPr>
        <w:t>十、合同生效</w:t>
      </w:r>
    </w:p>
    <w:p>
      <w:pPr>
        <w:spacing w:line="360" w:lineRule="auto"/>
        <w:ind w:firstLine="420"/>
        <w:rPr>
          <w:rFonts w:ascii="宋体" w:hAnsi="宋体" w:cs="仿宋_GB2312"/>
          <w:szCs w:val="21"/>
          <w:highlight w:val="none"/>
        </w:rPr>
      </w:pPr>
      <w:r>
        <w:rPr>
          <w:rFonts w:hint="eastAsia" w:ascii="宋体" w:hAnsi="宋体" w:cs="仿宋_GB2312"/>
          <w:szCs w:val="21"/>
          <w:highlight w:val="none"/>
        </w:rPr>
        <w:t>合同订立时间：______年________月________日</w:t>
      </w:r>
    </w:p>
    <w:p>
      <w:pPr>
        <w:spacing w:line="360" w:lineRule="auto"/>
        <w:ind w:firstLine="420"/>
        <w:rPr>
          <w:rFonts w:ascii="宋体" w:hAnsi="宋体" w:cs="仿宋_GB2312"/>
          <w:szCs w:val="21"/>
          <w:highlight w:val="none"/>
        </w:rPr>
      </w:pPr>
      <w:r>
        <w:rPr>
          <w:rFonts w:hint="eastAsia" w:ascii="宋体" w:hAnsi="宋体" w:cs="仿宋_GB2312"/>
          <w:szCs w:val="21"/>
          <w:highlight w:val="none"/>
        </w:rPr>
        <w:t>合同订立地点：</w:t>
      </w:r>
      <w:r>
        <w:rPr>
          <w:rFonts w:hint="eastAsia" w:ascii="宋体" w:hAnsi="宋体" w:cs="仿宋_GB2312"/>
          <w:b/>
          <w:szCs w:val="21"/>
          <w:highlight w:val="none"/>
          <w:u w:val="single"/>
        </w:rPr>
        <w:t>商洛市</w:t>
      </w:r>
    </w:p>
    <w:p>
      <w:pPr>
        <w:spacing w:line="360" w:lineRule="auto"/>
        <w:ind w:firstLine="420"/>
        <w:rPr>
          <w:rFonts w:ascii="宋体" w:hAnsi="宋体" w:cs="仿宋_GB2312"/>
          <w:szCs w:val="21"/>
          <w:highlight w:val="none"/>
        </w:rPr>
      </w:pPr>
      <w:r>
        <w:rPr>
          <w:rFonts w:hint="eastAsia" w:ascii="宋体" w:hAnsi="宋体" w:cs="仿宋_GB2312"/>
          <w:szCs w:val="21"/>
          <w:highlight w:val="none"/>
        </w:rPr>
        <w:t>本合同约定</w:t>
      </w:r>
      <w:r>
        <w:rPr>
          <w:rFonts w:hint="eastAsia" w:ascii="宋体" w:hAnsi="宋体" w:cs="仿宋_GB2312"/>
          <w:b/>
          <w:szCs w:val="21"/>
          <w:highlight w:val="none"/>
          <w:u w:val="single"/>
        </w:rPr>
        <w:t>各方签字盖章</w:t>
      </w:r>
      <w:r>
        <w:rPr>
          <w:rFonts w:hint="eastAsia" w:ascii="宋体" w:hAnsi="宋体" w:cs="仿宋_GB2312"/>
          <w:szCs w:val="21"/>
          <w:highlight w:val="none"/>
        </w:rPr>
        <w:t>后生效。</w:t>
      </w:r>
    </w:p>
    <w:p>
      <w:pPr>
        <w:spacing w:line="360" w:lineRule="auto"/>
        <w:ind w:firstLine="420"/>
        <w:rPr>
          <w:rFonts w:ascii="宋体" w:hAnsi="宋体" w:cs="仿宋_GB2312"/>
          <w:szCs w:val="21"/>
          <w:highlight w:val="none"/>
        </w:rPr>
      </w:pPr>
      <w:r>
        <w:rPr>
          <w:rFonts w:hint="eastAsia" w:ascii="宋体" w:hAnsi="宋体" w:cs="仿宋_GB2312"/>
          <w:szCs w:val="21"/>
          <w:highlight w:val="none"/>
        </w:rPr>
        <w:t>（以下无正文）</w:t>
      </w:r>
    </w:p>
    <w:p>
      <w:pPr>
        <w:spacing w:line="360" w:lineRule="auto"/>
        <w:ind w:firstLine="420"/>
        <w:rPr>
          <w:rFonts w:ascii="宋体" w:hAnsi="宋体" w:cs="仿宋_GB2312"/>
          <w:szCs w:val="21"/>
          <w:highlight w:val="none"/>
        </w:rPr>
      </w:pPr>
      <w:r>
        <w:rPr>
          <w:rFonts w:hint="eastAsia" w:ascii="宋体" w:hAnsi="宋体" w:cs="仿宋_GB2312"/>
          <w:szCs w:val="21"/>
          <w:highlight w:val="none"/>
        </w:rPr>
        <w:t xml:space="preserve">发包人：（公章）             承包人：（公章）          </w:t>
      </w:r>
    </w:p>
    <w:p>
      <w:pPr>
        <w:spacing w:line="360" w:lineRule="auto"/>
        <w:ind w:firstLine="420"/>
        <w:rPr>
          <w:rFonts w:ascii="宋体" w:hAnsi="宋体" w:cs="仿宋_GB2312"/>
          <w:szCs w:val="21"/>
          <w:highlight w:val="none"/>
        </w:rPr>
      </w:pPr>
      <w:r>
        <w:rPr>
          <w:rFonts w:hint="eastAsia" w:ascii="宋体" w:hAnsi="宋体" w:cs="仿宋_GB2312"/>
          <w:szCs w:val="21"/>
          <w:highlight w:val="none"/>
        </w:rPr>
        <w:t>地址：</w:t>
      </w:r>
      <w:r>
        <w:rPr>
          <w:rFonts w:hint="eastAsia" w:ascii="宋体" w:hAnsi="宋体" w:cs="仿宋_GB2312"/>
          <w:szCs w:val="21"/>
          <w:highlight w:val="none"/>
          <w:u w:val="single"/>
        </w:rPr>
        <w:t xml:space="preserve">              </w:t>
      </w:r>
      <w:r>
        <w:rPr>
          <w:rFonts w:hint="eastAsia" w:ascii="宋体" w:hAnsi="宋体" w:cs="仿宋_GB2312"/>
          <w:szCs w:val="21"/>
          <w:highlight w:val="none"/>
        </w:rPr>
        <w:t xml:space="preserve">         地址：     </w:t>
      </w:r>
      <w:r>
        <w:rPr>
          <w:rFonts w:hint="eastAsia" w:ascii="宋体" w:hAnsi="宋体" w:cs="仿宋_GB2312"/>
          <w:szCs w:val="21"/>
          <w:highlight w:val="none"/>
          <w:u w:val="single"/>
        </w:rPr>
        <w:t xml:space="preserve">              </w:t>
      </w:r>
    </w:p>
    <w:p>
      <w:pPr>
        <w:spacing w:line="360" w:lineRule="auto"/>
        <w:ind w:firstLine="420"/>
        <w:rPr>
          <w:rFonts w:ascii="宋体" w:hAnsi="宋体" w:cs="仿宋_GB2312"/>
          <w:szCs w:val="21"/>
          <w:highlight w:val="none"/>
        </w:rPr>
      </w:pPr>
      <w:r>
        <w:rPr>
          <w:rFonts w:hint="eastAsia" w:ascii="宋体" w:hAnsi="宋体" w:cs="仿宋_GB2312"/>
          <w:szCs w:val="21"/>
          <w:highlight w:val="none"/>
        </w:rPr>
        <w:t xml:space="preserve">邮政编码：__________         邮政编码：___________  </w:t>
      </w:r>
    </w:p>
    <w:p>
      <w:pPr>
        <w:spacing w:line="360" w:lineRule="auto"/>
        <w:ind w:firstLine="420"/>
        <w:rPr>
          <w:rFonts w:ascii="宋体" w:hAnsi="宋体" w:cs="仿宋_GB2312"/>
          <w:szCs w:val="21"/>
          <w:highlight w:val="none"/>
          <w:u w:val="single"/>
        </w:rPr>
      </w:pPr>
      <w:r>
        <w:rPr>
          <w:rFonts w:hint="eastAsia" w:ascii="宋体" w:hAnsi="宋体" w:cs="仿宋_GB2312"/>
          <w:szCs w:val="21"/>
          <w:highlight w:val="none"/>
        </w:rPr>
        <w:t xml:space="preserve">法定代表人：________         法定代表人：__________  </w:t>
      </w:r>
    </w:p>
    <w:p>
      <w:pPr>
        <w:spacing w:line="360" w:lineRule="auto"/>
        <w:ind w:firstLine="420"/>
        <w:rPr>
          <w:rFonts w:ascii="宋体" w:hAnsi="宋体" w:cs="仿宋_GB2312"/>
          <w:szCs w:val="21"/>
          <w:highlight w:val="none"/>
          <w:u w:val="single"/>
        </w:rPr>
      </w:pPr>
      <w:r>
        <w:rPr>
          <w:rFonts w:hint="eastAsia" w:ascii="宋体" w:hAnsi="宋体" w:cs="仿宋_GB2312"/>
          <w:szCs w:val="21"/>
          <w:highlight w:val="none"/>
        </w:rPr>
        <w:t xml:space="preserve">委托代理人：_________        委托代理人：___________ </w:t>
      </w:r>
    </w:p>
    <w:p>
      <w:pPr>
        <w:spacing w:line="360" w:lineRule="auto"/>
        <w:ind w:firstLine="420"/>
        <w:rPr>
          <w:rFonts w:ascii="宋体" w:hAnsi="宋体" w:cs="仿宋_GB2312"/>
          <w:szCs w:val="21"/>
          <w:highlight w:val="none"/>
          <w:u w:val="single"/>
        </w:rPr>
      </w:pPr>
      <w:r>
        <w:rPr>
          <w:rFonts w:hint="eastAsia" w:ascii="宋体" w:hAnsi="宋体" w:cs="仿宋_GB2312"/>
          <w:szCs w:val="21"/>
          <w:highlight w:val="none"/>
        </w:rPr>
        <w:t xml:space="preserve">电话：_____________          电话：________________   </w:t>
      </w:r>
    </w:p>
    <w:p>
      <w:pPr>
        <w:spacing w:line="360" w:lineRule="auto"/>
        <w:ind w:firstLine="420"/>
        <w:rPr>
          <w:rFonts w:ascii="宋体" w:hAnsi="宋体" w:cs="仿宋_GB2312"/>
          <w:szCs w:val="21"/>
          <w:highlight w:val="none"/>
          <w:u w:val="single"/>
        </w:rPr>
      </w:pPr>
      <w:r>
        <w:rPr>
          <w:rFonts w:hint="eastAsia" w:ascii="宋体" w:hAnsi="宋体" w:cs="仿宋_GB2312"/>
          <w:szCs w:val="21"/>
          <w:highlight w:val="none"/>
        </w:rPr>
        <w:t xml:space="preserve">传真：______________         传真：_________________ </w:t>
      </w:r>
    </w:p>
    <w:p>
      <w:pPr>
        <w:spacing w:line="360" w:lineRule="auto"/>
        <w:ind w:firstLine="420"/>
        <w:rPr>
          <w:rFonts w:ascii="宋体" w:hAnsi="宋体" w:cs="仿宋_GB2312"/>
          <w:szCs w:val="21"/>
          <w:highlight w:val="none"/>
        </w:rPr>
      </w:pPr>
      <w:r>
        <w:rPr>
          <w:rFonts w:hint="eastAsia" w:ascii="宋体" w:hAnsi="宋体" w:cs="仿宋_GB2312"/>
          <w:szCs w:val="21"/>
          <w:highlight w:val="none"/>
        </w:rPr>
        <w:t xml:space="preserve">开户银行：_________          开户银行：____________   </w:t>
      </w:r>
    </w:p>
    <w:p>
      <w:pPr>
        <w:spacing w:line="360" w:lineRule="auto"/>
        <w:ind w:firstLine="420"/>
        <w:rPr>
          <w:rFonts w:ascii="宋体" w:hAnsi="宋体" w:cs="仿宋_GB2312"/>
          <w:sz w:val="24"/>
          <w:highlight w:val="none"/>
        </w:rPr>
      </w:pPr>
      <w:r>
        <w:rPr>
          <w:rFonts w:hint="eastAsia" w:ascii="宋体" w:hAnsi="宋体" w:cs="仿宋_GB2312"/>
          <w:szCs w:val="21"/>
          <w:highlight w:val="none"/>
        </w:rPr>
        <w:t xml:space="preserve">帐号：______________         帐号：_________________  </w:t>
      </w:r>
      <w:r>
        <w:rPr>
          <w:rFonts w:hint="eastAsia" w:ascii="宋体" w:hAnsi="宋体" w:cs="仿宋_GB2312"/>
          <w:sz w:val="24"/>
          <w:highlight w:val="none"/>
        </w:rPr>
        <w:t xml:space="preserve"> </w:t>
      </w:r>
    </w:p>
    <w:p>
      <w:pPr>
        <w:spacing w:line="400" w:lineRule="exact"/>
        <w:ind w:firstLine="480"/>
        <w:jc w:val="center"/>
        <w:rPr>
          <w:rFonts w:ascii="宋体" w:hAnsi="宋体" w:cs="仿宋_GB2312"/>
          <w:b/>
          <w:bCs/>
          <w:sz w:val="24"/>
          <w:highlight w:val="none"/>
        </w:rPr>
      </w:pPr>
      <w:r>
        <w:rPr>
          <w:rFonts w:hint="eastAsia" w:ascii="宋体" w:hAnsi="宋体" w:cs="仿宋_GB2312"/>
          <w:sz w:val="24"/>
          <w:highlight w:val="none"/>
        </w:rPr>
        <w:br w:type="page"/>
      </w:r>
      <w:bookmarkStart w:id="45" w:name="_Toc31401"/>
      <w:bookmarkStart w:id="46" w:name="_Toc499566739"/>
      <w:bookmarkStart w:id="47" w:name="_Toc499566934"/>
      <w:bookmarkStart w:id="48" w:name="_Toc31527"/>
      <w:bookmarkStart w:id="49" w:name="_Toc440118380"/>
      <w:r>
        <w:rPr>
          <w:rStyle w:val="180"/>
          <w:rFonts w:hint="eastAsia" w:cs="仿宋"/>
          <w:sz w:val="24"/>
          <w:szCs w:val="24"/>
          <w:highlight w:val="none"/>
        </w:rPr>
        <w:t>第二部分 通用条款</w:t>
      </w:r>
      <w:bookmarkEnd w:id="45"/>
      <w:bookmarkEnd w:id="46"/>
      <w:bookmarkEnd w:id="47"/>
      <w:bookmarkEnd w:id="48"/>
    </w:p>
    <w:p>
      <w:pPr>
        <w:spacing w:line="400" w:lineRule="exact"/>
        <w:ind w:firstLine="480"/>
        <w:rPr>
          <w:rFonts w:ascii="宋体" w:hAnsi="宋体" w:cs="仿宋_GB2312"/>
          <w:sz w:val="24"/>
          <w:highlight w:val="none"/>
        </w:rPr>
      </w:pPr>
    </w:p>
    <w:p>
      <w:pPr>
        <w:pStyle w:val="5"/>
        <w:spacing w:before="120" w:after="120"/>
        <w:ind w:firstLine="420"/>
        <w:rPr>
          <w:rFonts w:ascii="宋体" w:hAnsi="宋体" w:cs="仿宋_GB2312"/>
          <w:bCs w:val="0"/>
          <w:szCs w:val="21"/>
          <w:highlight w:val="none"/>
        </w:rPr>
      </w:pPr>
      <w:bookmarkStart w:id="50" w:name="_Toc351203495"/>
      <w:r>
        <w:rPr>
          <w:rFonts w:ascii="宋体" w:hAnsi="宋体" w:cs="仿宋_GB2312"/>
          <w:bCs w:val="0"/>
          <w:szCs w:val="21"/>
          <w:highlight w:val="none"/>
        </w:rPr>
        <w:t>1.</w:t>
      </w:r>
      <w:bookmarkStart w:id="51" w:name="_Toc303538973"/>
      <w:bookmarkEnd w:id="51"/>
      <w:bookmarkStart w:id="52" w:name="_Toc303538975"/>
      <w:bookmarkEnd w:id="52"/>
      <w:bookmarkStart w:id="53" w:name="_Toc303538976"/>
      <w:bookmarkEnd w:id="53"/>
      <w:bookmarkStart w:id="54" w:name="_Toc303538972"/>
      <w:bookmarkEnd w:id="54"/>
      <w:bookmarkStart w:id="55" w:name="_Toc303538974"/>
      <w:bookmarkEnd w:id="55"/>
      <w:bookmarkStart w:id="56" w:name="_Toc296503027"/>
      <w:bookmarkStart w:id="57" w:name="_Toc296346528"/>
      <w:r>
        <w:rPr>
          <w:rFonts w:ascii="宋体" w:hAnsi="宋体" w:cs="仿宋_GB2312"/>
          <w:bCs w:val="0"/>
          <w:szCs w:val="21"/>
          <w:highlight w:val="none"/>
        </w:rPr>
        <w:t xml:space="preserve"> 一般约定</w:t>
      </w:r>
      <w:bookmarkEnd w:id="50"/>
      <w:bookmarkEnd w:id="56"/>
      <w:bookmarkEnd w:id="57"/>
    </w:p>
    <w:p>
      <w:pPr>
        <w:pStyle w:val="6"/>
        <w:spacing w:before="120" w:after="120" w:line="360" w:lineRule="auto"/>
        <w:ind w:firstLine="420" w:firstLineChars="200"/>
        <w:rPr>
          <w:rFonts w:ascii="宋体" w:hAnsi="宋体" w:cs="仿宋_GB2312"/>
          <w:b w:val="0"/>
          <w:bCs w:val="0"/>
          <w:sz w:val="21"/>
          <w:szCs w:val="21"/>
          <w:highlight w:val="none"/>
        </w:rPr>
      </w:pPr>
      <w:bookmarkStart w:id="58" w:name="_Toc296346529"/>
      <w:bookmarkStart w:id="59" w:name="_Toc337558728"/>
      <w:bookmarkStart w:id="60" w:name="_Toc296503028"/>
      <w:bookmarkStart w:id="61" w:name="_Toc351203496"/>
      <w:r>
        <w:rPr>
          <w:rFonts w:ascii="宋体" w:hAnsi="宋体" w:cs="仿宋_GB2312"/>
          <w:b w:val="0"/>
          <w:bCs w:val="0"/>
          <w:sz w:val="21"/>
          <w:szCs w:val="21"/>
          <w:highlight w:val="none"/>
        </w:rPr>
        <w:t>1.1词语定义</w:t>
      </w:r>
      <w:bookmarkEnd w:id="58"/>
      <w:bookmarkEnd w:id="59"/>
      <w:bookmarkEnd w:id="60"/>
      <w:r>
        <w:rPr>
          <w:rFonts w:ascii="宋体" w:hAnsi="宋体" w:cs="仿宋_GB2312"/>
          <w:b w:val="0"/>
          <w:bCs w:val="0"/>
          <w:sz w:val="21"/>
          <w:szCs w:val="21"/>
          <w:highlight w:val="none"/>
        </w:rPr>
        <w:t>与解释</w:t>
      </w:r>
      <w:bookmarkEnd w:id="61"/>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合同协议书、通用合同条款、专用合同条款中的下列词语具有本款所赋予的含义：</w:t>
      </w:r>
    </w:p>
    <w:p>
      <w:pPr>
        <w:autoSpaceDE w:val="0"/>
        <w:autoSpaceDN w:val="0"/>
        <w:adjustRightInd w:val="0"/>
        <w:rPr>
          <w:rFonts w:ascii="宋体" w:hAnsi="宋体" w:cs="仿宋_GB2312"/>
          <w:szCs w:val="21"/>
          <w:highlight w:val="none"/>
        </w:rPr>
      </w:pPr>
      <w:r>
        <w:rPr>
          <w:rFonts w:ascii="宋体" w:hAnsi="宋体" w:cs="仿宋_GB2312"/>
          <w:szCs w:val="21"/>
          <w:highlight w:val="none"/>
        </w:rPr>
        <w:t>1.1.1 合同</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1.1.1.2 合同协议书：是指构成合同的由发包人和承包人共同签署的称为“合同协议书”的书面文件</w:t>
      </w:r>
      <w:r>
        <w:rPr>
          <w:rFonts w:hint="eastAsia" w:ascii="宋体" w:hAnsi="宋体" w:cs="仿宋_GB2312"/>
          <w:szCs w:val="21"/>
          <w:highlight w:val="none"/>
        </w:rPr>
        <w:t>。</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1.1.1.3 中标通知书：是指构成合同的</w:t>
      </w:r>
      <w:r>
        <w:rPr>
          <w:rFonts w:hint="eastAsia" w:ascii="宋体" w:hAnsi="宋体" w:cs="仿宋_GB2312"/>
          <w:szCs w:val="21"/>
          <w:highlight w:val="none"/>
        </w:rPr>
        <w:t>由</w:t>
      </w:r>
      <w:r>
        <w:rPr>
          <w:rFonts w:ascii="宋体" w:hAnsi="宋体" w:cs="仿宋_GB2312"/>
          <w:szCs w:val="21"/>
          <w:highlight w:val="none"/>
        </w:rPr>
        <w:t>发包人通知承包人中标的书面文件。</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1.1.1.4 投标函：是指构成合同的由承包人填写并签署的用于投标的称为“投标函”的文件。</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1.1.1.5 投标函附录：是指构成合同的附在投标函后的称为“投标函附录”的文件。</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1.1.1.6 技术标准和要求：是指构成合同的施工应当遵守的或指导施工的国家、行业或地方的技术标准和要求，以及合同约定的技术标准和要求。</w:t>
      </w:r>
    </w:p>
    <w:p>
      <w:pPr>
        <w:ind w:firstLine="420"/>
        <w:rPr>
          <w:rFonts w:ascii="宋体" w:hAnsi="宋体" w:cs="仿宋_GB2312"/>
          <w:szCs w:val="21"/>
          <w:highlight w:val="none"/>
        </w:rPr>
      </w:pPr>
      <w:r>
        <w:rPr>
          <w:rFonts w:ascii="宋体" w:hAnsi="宋体" w:cs="仿宋_GB2312"/>
          <w:szCs w:val="21"/>
          <w:highlight w:val="none"/>
        </w:rPr>
        <w:t>1.1.1.7 图纸：是指构成合同的图纸，包括由发包人按照合同约定提供或经发包人批准的设计文件、</w:t>
      </w:r>
      <w:r>
        <w:rPr>
          <w:rFonts w:hint="eastAsia" w:ascii="宋体" w:hAnsi="宋体" w:cs="仿宋_GB2312"/>
          <w:szCs w:val="21"/>
          <w:highlight w:val="none"/>
        </w:rPr>
        <w:t>施工图、</w:t>
      </w:r>
      <w:r>
        <w:rPr>
          <w:rFonts w:ascii="宋体" w:hAnsi="宋体" w:cs="仿宋_GB2312"/>
          <w:szCs w:val="21"/>
          <w:highlight w:val="none"/>
        </w:rPr>
        <w:t>鸟瞰图及模型等，</w:t>
      </w:r>
      <w:r>
        <w:rPr>
          <w:rFonts w:hint="eastAsia" w:ascii="宋体" w:hAnsi="宋体" w:cs="仿宋_GB2312"/>
          <w:szCs w:val="21"/>
          <w:highlight w:val="none"/>
        </w:rPr>
        <w:t>以及在合同履行过程中形成的图纸文件。图纸</w:t>
      </w:r>
      <w:r>
        <w:rPr>
          <w:rFonts w:ascii="宋体" w:hAnsi="宋体" w:cs="仿宋_GB2312"/>
          <w:szCs w:val="21"/>
          <w:highlight w:val="none"/>
        </w:rPr>
        <w:t>应当按照法律规定审查合格。</w:t>
      </w:r>
    </w:p>
    <w:p>
      <w:pPr>
        <w:autoSpaceDE w:val="0"/>
        <w:autoSpaceDN w:val="0"/>
        <w:adjustRightInd w:val="0"/>
        <w:ind w:firstLine="409" w:firstLineChars="195"/>
        <w:rPr>
          <w:rFonts w:ascii="宋体" w:hAnsi="宋体" w:cs="仿宋_GB2312"/>
          <w:szCs w:val="21"/>
          <w:highlight w:val="none"/>
        </w:rPr>
      </w:pPr>
      <w:r>
        <w:rPr>
          <w:rFonts w:ascii="宋体" w:hAnsi="宋体" w:cs="仿宋_GB2312"/>
          <w:szCs w:val="21"/>
          <w:highlight w:val="none"/>
        </w:rPr>
        <w:t>1.1.1.8 已标价工程量清单：是指构成合同的由承包人按照规定的格式和要求填写并标明价格的工程量清单，包括说明和表格。</w:t>
      </w:r>
    </w:p>
    <w:p>
      <w:pPr>
        <w:autoSpaceDE w:val="0"/>
        <w:autoSpaceDN w:val="0"/>
        <w:adjustRightInd w:val="0"/>
        <w:ind w:firstLine="409" w:firstLineChars="195"/>
        <w:rPr>
          <w:rFonts w:ascii="宋体" w:hAnsi="宋体" w:cs="仿宋_GB2312"/>
          <w:szCs w:val="21"/>
          <w:highlight w:val="none"/>
        </w:rPr>
      </w:pPr>
      <w:r>
        <w:rPr>
          <w:rFonts w:ascii="宋体" w:hAnsi="宋体" w:cs="仿宋_GB2312"/>
          <w:szCs w:val="21"/>
          <w:highlight w:val="none"/>
        </w:rPr>
        <w:t>1.1.1.9 预算书：是指构成合同的由承包人按照发包人规定的格式和要求编制的工程预算文件。</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1.1.1.10 其他合同文件：是指经合同当事人约定的与工程施工有关的具有合同约束力的文件或书面协议。合同当事人可以在专用合同条款中进行约定。</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1.1.2 合同当事人及其他相关方</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1.1.2.1 合同当事人：是指发包人和（或）承包人。</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1.1.2.2 发包人：是指与承包人签订合同协议书的当事人及取得该当事人资格的合法继承人。</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1.1.2.3 承包人：是指与发包人签订合同协议书的，具有相应工程施工承包资质的当事人及取得该当事人资格的合法继承人。</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1.1.2.4 监理人：是指在专用合同条款中指明的，受发包人委托按照法律规定进行工程监督管理的法人或其他组织。</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1.1.2.5 设计人：是指在专用合同条款中指明的，受发包人委托负责工程设计并具备相应工程设计资质的法人或其他组织。</w:t>
      </w:r>
    </w:p>
    <w:p>
      <w:pPr>
        <w:ind w:firstLine="409" w:firstLineChars="195"/>
        <w:rPr>
          <w:rFonts w:ascii="宋体" w:hAnsi="宋体" w:cs="仿宋_GB2312"/>
          <w:szCs w:val="21"/>
          <w:highlight w:val="none"/>
        </w:rPr>
      </w:pPr>
      <w:r>
        <w:rPr>
          <w:rFonts w:ascii="宋体" w:hAnsi="宋体" w:cs="仿宋_GB2312"/>
          <w:szCs w:val="21"/>
          <w:highlight w:val="none"/>
        </w:rPr>
        <w:t>1.1.2.6 分包人：</w:t>
      </w:r>
      <w:bookmarkStart w:id="62" w:name="#go5"/>
      <w:bookmarkEnd w:id="62"/>
      <w:r>
        <w:rPr>
          <w:rFonts w:ascii="宋体" w:hAnsi="宋体" w:cs="仿宋_GB2312"/>
          <w:szCs w:val="21"/>
          <w:highlight w:val="none"/>
        </w:rPr>
        <w:t>是指</w:t>
      </w:r>
      <w:r>
        <w:rPr>
          <w:rFonts w:hint="eastAsia" w:ascii="宋体" w:hAnsi="宋体" w:cs="仿宋_GB2312"/>
          <w:szCs w:val="21"/>
          <w:highlight w:val="none"/>
        </w:rPr>
        <w:t>按照法律规定和</w:t>
      </w:r>
      <w:r>
        <w:rPr>
          <w:rFonts w:ascii="宋体" w:hAnsi="宋体" w:cs="仿宋_GB2312"/>
          <w:szCs w:val="21"/>
          <w:highlight w:val="none"/>
        </w:rPr>
        <w:t>合同约定，分包</w:t>
      </w:r>
      <w:r>
        <w:rPr>
          <w:rFonts w:hint="eastAsia" w:ascii="宋体" w:hAnsi="宋体" w:cs="仿宋_GB2312"/>
          <w:szCs w:val="21"/>
          <w:highlight w:val="none"/>
        </w:rPr>
        <w:t>部分</w:t>
      </w:r>
      <w:r>
        <w:rPr>
          <w:rFonts w:ascii="宋体" w:hAnsi="宋体" w:cs="仿宋_GB2312"/>
          <w:szCs w:val="21"/>
          <w:highlight w:val="none"/>
        </w:rPr>
        <w:t>工程</w:t>
      </w:r>
      <w:r>
        <w:rPr>
          <w:rFonts w:hint="eastAsia" w:ascii="宋体" w:hAnsi="宋体" w:cs="仿宋_GB2312"/>
          <w:szCs w:val="21"/>
          <w:highlight w:val="none"/>
        </w:rPr>
        <w:t>或工作</w:t>
      </w:r>
      <w:r>
        <w:rPr>
          <w:rFonts w:ascii="宋体" w:hAnsi="宋体" w:cs="仿宋_GB2312"/>
          <w:szCs w:val="21"/>
          <w:highlight w:val="none"/>
        </w:rPr>
        <w:t>，并与</w:t>
      </w:r>
      <w:r>
        <w:rPr>
          <w:rFonts w:hint="eastAsia" w:ascii="宋体" w:hAnsi="宋体" w:cs="仿宋_GB2312"/>
          <w:szCs w:val="21"/>
          <w:highlight w:val="none"/>
        </w:rPr>
        <w:t>承包人</w:t>
      </w:r>
      <w:r>
        <w:rPr>
          <w:rFonts w:ascii="宋体" w:hAnsi="宋体" w:cs="仿宋_GB2312"/>
          <w:szCs w:val="21"/>
          <w:highlight w:val="none"/>
        </w:rPr>
        <w:t>签订分包合同的具有相应资质的法人。</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1.1.2.7 发包人代表：是指由发包人任命并派驻施工现场在发包人授权范围内行使发包人权利的人。</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1.1.2.8 项目经理：是指由承包人任命并派驻施工现场，在承包人授权范围内负责合同履行，且按照法律规定具有相应资格的</w:t>
      </w:r>
      <w:r>
        <w:rPr>
          <w:rFonts w:hint="eastAsia" w:ascii="宋体" w:hAnsi="宋体" w:cs="仿宋_GB2312"/>
          <w:szCs w:val="21"/>
          <w:highlight w:val="none"/>
        </w:rPr>
        <w:t>项目负责</w:t>
      </w:r>
      <w:r>
        <w:rPr>
          <w:rFonts w:ascii="宋体" w:hAnsi="宋体" w:cs="仿宋_GB2312"/>
          <w:szCs w:val="21"/>
          <w:highlight w:val="none"/>
        </w:rPr>
        <w:t>人。</w:t>
      </w:r>
    </w:p>
    <w:p>
      <w:pPr>
        <w:ind w:firstLine="420"/>
        <w:rPr>
          <w:rFonts w:ascii="宋体" w:hAnsi="宋体" w:cs="仿宋_GB2312"/>
          <w:szCs w:val="21"/>
          <w:highlight w:val="none"/>
        </w:rPr>
      </w:pPr>
      <w:r>
        <w:rPr>
          <w:rFonts w:ascii="宋体" w:hAnsi="宋体" w:cs="仿宋_GB2312"/>
          <w:szCs w:val="21"/>
          <w:highlight w:val="none"/>
        </w:rPr>
        <w:t>1.1.2.9 总监理工程师：是指由监理人任命并派驻施工现场进行工程监理的总负责人。</w:t>
      </w:r>
    </w:p>
    <w:p>
      <w:pPr>
        <w:ind w:firstLine="420"/>
        <w:rPr>
          <w:rFonts w:ascii="宋体" w:hAnsi="宋体" w:cs="仿宋_GB2312"/>
          <w:szCs w:val="21"/>
          <w:highlight w:val="none"/>
        </w:rPr>
      </w:pPr>
      <w:r>
        <w:rPr>
          <w:rFonts w:ascii="宋体" w:hAnsi="宋体" w:cs="仿宋_GB2312"/>
          <w:szCs w:val="21"/>
          <w:highlight w:val="none"/>
        </w:rPr>
        <w:t>1.1.3 工程和设备</w:t>
      </w:r>
    </w:p>
    <w:p>
      <w:pPr>
        <w:ind w:firstLine="420"/>
        <w:rPr>
          <w:rFonts w:ascii="宋体" w:hAnsi="宋体" w:cs="仿宋_GB2312"/>
          <w:szCs w:val="21"/>
          <w:highlight w:val="none"/>
        </w:rPr>
      </w:pPr>
      <w:r>
        <w:rPr>
          <w:rFonts w:ascii="宋体" w:hAnsi="宋体" w:cs="仿宋_GB2312"/>
          <w:szCs w:val="21"/>
          <w:highlight w:val="none"/>
        </w:rPr>
        <w:t>1.1.3.1 工程：是指与合同协议书中工程承包范围对应的永久工程和（或）临时工程。</w:t>
      </w:r>
    </w:p>
    <w:p>
      <w:pPr>
        <w:ind w:firstLine="420"/>
        <w:rPr>
          <w:rFonts w:ascii="宋体" w:hAnsi="宋体" w:cs="仿宋_GB2312"/>
          <w:szCs w:val="21"/>
          <w:highlight w:val="none"/>
        </w:rPr>
      </w:pPr>
      <w:r>
        <w:rPr>
          <w:rFonts w:ascii="宋体" w:hAnsi="宋体" w:cs="仿宋_GB2312"/>
          <w:szCs w:val="21"/>
          <w:highlight w:val="none"/>
        </w:rPr>
        <w:t>1.1.3.2 永久工程：是指按合同约定建造并移交给发包人的工程，包括工程设备。</w:t>
      </w:r>
    </w:p>
    <w:p>
      <w:pPr>
        <w:ind w:firstLine="420"/>
        <w:rPr>
          <w:rFonts w:ascii="宋体" w:hAnsi="宋体" w:cs="仿宋_GB2312"/>
          <w:szCs w:val="21"/>
          <w:highlight w:val="none"/>
        </w:rPr>
      </w:pPr>
      <w:r>
        <w:rPr>
          <w:rFonts w:ascii="宋体" w:hAnsi="宋体" w:cs="仿宋_GB2312"/>
          <w:szCs w:val="21"/>
          <w:highlight w:val="none"/>
        </w:rPr>
        <w:t>1.1.3.3 临时工程：是指为完成合同约定的永久工程所修建的各类临时性工程，不包括施工设备。</w:t>
      </w:r>
    </w:p>
    <w:p>
      <w:pPr>
        <w:ind w:firstLine="420"/>
        <w:rPr>
          <w:rFonts w:ascii="宋体" w:hAnsi="宋体" w:cs="仿宋_GB2312"/>
          <w:szCs w:val="21"/>
          <w:highlight w:val="none"/>
        </w:rPr>
      </w:pPr>
      <w:r>
        <w:rPr>
          <w:rFonts w:ascii="宋体" w:hAnsi="宋体" w:cs="仿宋_GB2312"/>
          <w:szCs w:val="21"/>
          <w:highlight w:val="none"/>
        </w:rPr>
        <w:t>1.1.3.4 单位工程：是指在</w:t>
      </w:r>
      <w:r>
        <w:rPr>
          <w:rFonts w:hint="eastAsia" w:ascii="宋体" w:hAnsi="宋体" w:cs="仿宋_GB2312"/>
          <w:szCs w:val="21"/>
          <w:highlight w:val="none"/>
        </w:rPr>
        <w:t>合同协议书</w:t>
      </w:r>
      <w:r>
        <w:rPr>
          <w:rFonts w:ascii="宋体" w:hAnsi="宋体" w:cs="仿宋_GB2312"/>
          <w:szCs w:val="21"/>
          <w:highlight w:val="none"/>
        </w:rPr>
        <w:t>中指明的，具备独立施工条件并能形成独立使用功能的永久工程。</w:t>
      </w:r>
    </w:p>
    <w:p>
      <w:pPr>
        <w:ind w:firstLine="420"/>
        <w:rPr>
          <w:rFonts w:ascii="宋体" w:hAnsi="宋体" w:cs="仿宋_GB2312"/>
          <w:szCs w:val="21"/>
          <w:highlight w:val="none"/>
        </w:rPr>
      </w:pPr>
      <w:r>
        <w:rPr>
          <w:rFonts w:ascii="宋体" w:hAnsi="宋体" w:cs="仿宋_GB2312"/>
          <w:szCs w:val="21"/>
          <w:highlight w:val="none"/>
        </w:rPr>
        <w:t>1.1.3.5 工程设备：是指构成永久工程的机电设备、金属结构设备、仪器及其他类似的设备和装置。</w:t>
      </w:r>
    </w:p>
    <w:p>
      <w:pPr>
        <w:ind w:firstLine="420"/>
        <w:rPr>
          <w:rFonts w:ascii="宋体" w:hAnsi="宋体" w:cs="仿宋_GB2312"/>
          <w:szCs w:val="21"/>
          <w:highlight w:val="none"/>
        </w:rPr>
      </w:pPr>
      <w:r>
        <w:rPr>
          <w:rFonts w:ascii="宋体" w:hAnsi="宋体" w:cs="仿宋_GB2312"/>
          <w:szCs w:val="21"/>
          <w:highlight w:val="none"/>
        </w:rPr>
        <w:t>1.1.3.6 施工设备：是指为完成合同约定的各项工作所需的设备、器具和其他物品，但不包括工程设备、临时工程和材料。</w:t>
      </w:r>
    </w:p>
    <w:p>
      <w:pPr>
        <w:ind w:firstLine="420"/>
        <w:rPr>
          <w:rFonts w:ascii="宋体" w:hAnsi="宋体" w:cs="仿宋_GB2312"/>
          <w:szCs w:val="21"/>
          <w:highlight w:val="none"/>
        </w:rPr>
      </w:pPr>
      <w:r>
        <w:rPr>
          <w:rFonts w:ascii="宋体" w:hAnsi="宋体" w:cs="仿宋_GB2312"/>
          <w:szCs w:val="21"/>
          <w:highlight w:val="none"/>
        </w:rPr>
        <w:t>1.1.3.7 施工现场：是指用于工程施工的场所，以及在专用合同条款中</w:t>
      </w:r>
      <w:r>
        <w:rPr>
          <w:rFonts w:hint="eastAsia" w:ascii="宋体" w:hAnsi="宋体" w:cs="仿宋_GB2312"/>
          <w:szCs w:val="21"/>
          <w:highlight w:val="none"/>
        </w:rPr>
        <w:t>指</w:t>
      </w:r>
      <w:r>
        <w:rPr>
          <w:rFonts w:ascii="宋体" w:hAnsi="宋体" w:cs="仿宋_GB2312"/>
          <w:szCs w:val="21"/>
          <w:highlight w:val="none"/>
        </w:rPr>
        <w:t>明作为施工场所组成部分的其他场所，包括永久占地和临时占地。</w:t>
      </w:r>
    </w:p>
    <w:p>
      <w:pPr>
        <w:ind w:firstLine="420"/>
        <w:rPr>
          <w:rFonts w:ascii="宋体" w:hAnsi="宋体" w:cs="仿宋_GB2312"/>
          <w:szCs w:val="21"/>
          <w:highlight w:val="none"/>
        </w:rPr>
      </w:pPr>
      <w:r>
        <w:rPr>
          <w:rFonts w:ascii="宋体" w:hAnsi="宋体" w:cs="仿宋_GB2312"/>
          <w:szCs w:val="21"/>
          <w:highlight w:val="none"/>
        </w:rPr>
        <w:t>1.1.3.8临时设施：是指为完成合同约定的各项工作所服务的临时性生产和生活设施。</w:t>
      </w:r>
    </w:p>
    <w:p>
      <w:pPr>
        <w:ind w:firstLine="420"/>
        <w:rPr>
          <w:rFonts w:ascii="宋体" w:hAnsi="宋体" w:cs="仿宋_GB2312"/>
          <w:szCs w:val="21"/>
          <w:highlight w:val="none"/>
        </w:rPr>
      </w:pPr>
      <w:r>
        <w:rPr>
          <w:rFonts w:ascii="宋体" w:hAnsi="宋体" w:cs="仿宋_GB2312"/>
          <w:szCs w:val="21"/>
          <w:highlight w:val="none"/>
        </w:rPr>
        <w:t>1.1.3.9 永久占地：是指专用合同条款中指明为实施工程需永久占用的土地。</w:t>
      </w:r>
    </w:p>
    <w:p>
      <w:pPr>
        <w:ind w:firstLine="420"/>
        <w:rPr>
          <w:rFonts w:ascii="宋体" w:hAnsi="宋体" w:cs="仿宋_GB2312"/>
          <w:szCs w:val="21"/>
          <w:highlight w:val="none"/>
        </w:rPr>
      </w:pPr>
      <w:r>
        <w:rPr>
          <w:rFonts w:ascii="宋体" w:hAnsi="宋体" w:cs="仿宋_GB2312"/>
          <w:szCs w:val="21"/>
          <w:highlight w:val="none"/>
        </w:rPr>
        <w:t>1.1.3.10 临时占地：是指专用合同条款中指明为实施工程需要临时占用的土地。</w:t>
      </w:r>
    </w:p>
    <w:p>
      <w:pPr>
        <w:ind w:firstLine="420"/>
        <w:rPr>
          <w:rFonts w:ascii="宋体" w:hAnsi="宋体" w:cs="仿宋_GB2312"/>
          <w:szCs w:val="21"/>
          <w:highlight w:val="none"/>
        </w:rPr>
      </w:pPr>
      <w:r>
        <w:rPr>
          <w:rFonts w:ascii="宋体" w:hAnsi="宋体" w:cs="仿宋_GB2312"/>
          <w:szCs w:val="21"/>
          <w:highlight w:val="none"/>
        </w:rPr>
        <w:t>1.1.4 日期和期限</w:t>
      </w:r>
    </w:p>
    <w:p>
      <w:pPr>
        <w:ind w:firstLine="420"/>
        <w:rPr>
          <w:rFonts w:ascii="宋体" w:hAnsi="宋体" w:cs="仿宋_GB2312"/>
          <w:szCs w:val="21"/>
          <w:highlight w:val="none"/>
        </w:rPr>
      </w:pPr>
      <w:r>
        <w:rPr>
          <w:rFonts w:ascii="宋体" w:hAnsi="宋体" w:cs="仿宋_GB2312"/>
          <w:szCs w:val="21"/>
          <w:highlight w:val="none"/>
        </w:rPr>
        <w:t>1.1.4.1 开工日期：包括计划开工日期和实际开工日期。计划开工日期是指合同协议书约定的开工日期；实际开工日期是指监理人按照第7.3.2项</w:t>
      </w:r>
      <w:r>
        <w:rPr>
          <w:rFonts w:hint="eastAsia" w:ascii="宋体" w:hAnsi="宋体" w:cs="仿宋_GB2312"/>
          <w:szCs w:val="21"/>
          <w:highlight w:val="none"/>
        </w:rPr>
        <w:t>〔</w:t>
      </w:r>
      <w:r>
        <w:rPr>
          <w:rFonts w:ascii="宋体" w:hAnsi="宋体" w:cs="仿宋_GB2312"/>
          <w:szCs w:val="21"/>
          <w:highlight w:val="none"/>
        </w:rPr>
        <w:t>开工通知</w:t>
      </w:r>
      <w:r>
        <w:rPr>
          <w:rFonts w:hint="eastAsia" w:ascii="宋体" w:hAnsi="宋体" w:cs="仿宋_GB2312"/>
          <w:szCs w:val="21"/>
          <w:highlight w:val="none"/>
        </w:rPr>
        <w:t>〕</w:t>
      </w:r>
      <w:r>
        <w:rPr>
          <w:rFonts w:ascii="宋体" w:hAnsi="宋体" w:cs="仿宋_GB2312"/>
          <w:szCs w:val="21"/>
          <w:highlight w:val="none"/>
        </w:rPr>
        <w:t>约定发出的符合法律规定的开工通知中载明的开工日期。</w:t>
      </w:r>
    </w:p>
    <w:p>
      <w:pPr>
        <w:ind w:firstLine="420"/>
        <w:rPr>
          <w:rFonts w:ascii="宋体" w:hAnsi="宋体" w:cs="仿宋_GB2312"/>
          <w:szCs w:val="21"/>
          <w:highlight w:val="none"/>
        </w:rPr>
      </w:pPr>
      <w:r>
        <w:rPr>
          <w:rFonts w:ascii="宋体" w:hAnsi="宋体" w:cs="仿宋_GB2312"/>
          <w:szCs w:val="21"/>
          <w:highlight w:val="none"/>
        </w:rPr>
        <w:t>1.1.4.2 竣工日期：包括计划竣工日期和实际竣工日期。计划竣工日期是指合同协议书约定的竣工日期</w:t>
      </w:r>
      <w:r>
        <w:rPr>
          <w:rFonts w:hint="eastAsia" w:ascii="宋体" w:hAnsi="宋体" w:cs="仿宋_GB2312"/>
          <w:szCs w:val="21"/>
          <w:highlight w:val="none"/>
        </w:rPr>
        <w:t>；</w:t>
      </w:r>
      <w:r>
        <w:rPr>
          <w:rFonts w:ascii="宋体" w:hAnsi="宋体" w:cs="仿宋_GB2312"/>
          <w:szCs w:val="21"/>
          <w:highlight w:val="none"/>
        </w:rPr>
        <w:t>实际竣工日期按照第13.2.3项</w:t>
      </w:r>
      <w:r>
        <w:rPr>
          <w:rFonts w:hint="eastAsia" w:ascii="宋体" w:hAnsi="宋体" w:cs="仿宋_GB2312"/>
          <w:szCs w:val="21"/>
          <w:highlight w:val="none"/>
        </w:rPr>
        <w:t>〔</w:t>
      </w:r>
      <w:r>
        <w:rPr>
          <w:rFonts w:ascii="宋体" w:hAnsi="宋体" w:cs="仿宋_GB2312"/>
          <w:szCs w:val="21"/>
          <w:highlight w:val="none"/>
        </w:rPr>
        <w:t>竣工日期</w:t>
      </w:r>
      <w:r>
        <w:rPr>
          <w:rFonts w:hint="eastAsia" w:ascii="宋体" w:hAnsi="宋体" w:cs="仿宋_GB2312"/>
          <w:szCs w:val="21"/>
          <w:highlight w:val="none"/>
        </w:rPr>
        <w:t>〕</w:t>
      </w:r>
      <w:r>
        <w:rPr>
          <w:rFonts w:ascii="宋体" w:hAnsi="宋体" w:cs="仿宋_GB2312"/>
          <w:szCs w:val="21"/>
          <w:highlight w:val="none"/>
        </w:rPr>
        <w:t xml:space="preserve">的约定确定。 </w:t>
      </w:r>
    </w:p>
    <w:p>
      <w:pPr>
        <w:ind w:firstLine="426" w:firstLineChars="203"/>
        <w:rPr>
          <w:rFonts w:ascii="宋体" w:hAnsi="宋体" w:cs="仿宋_GB2312"/>
          <w:szCs w:val="21"/>
          <w:highlight w:val="none"/>
        </w:rPr>
      </w:pPr>
      <w:r>
        <w:rPr>
          <w:rFonts w:ascii="宋体" w:hAnsi="宋体" w:cs="仿宋_GB2312"/>
          <w:szCs w:val="21"/>
          <w:highlight w:val="none"/>
        </w:rPr>
        <w:t>1.1.4.3 工期：是指在合同协议书约定的承包人完成工程所需的期限，包括按照合同约定所作的</w:t>
      </w:r>
      <w:r>
        <w:rPr>
          <w:rFonts w:hint="eastAsia" w:ascii="宋体" w:hAnsi="宋体" w:cs="仿宋_GB2312"/>
          <w:szCs w:val="21"/>
          <w:highlight w:val="none"/>
        </w:rPr>
        <w:t>期限</w:t>
      </w:r>
      <w:r>
        <w:rPr>
          <w:rFonts w:ascii="宋体" w:hAnsi="宋体" w:cs="仿宋_GB2312"/>
          <w:szCs w:val="21"/>
          <w:highlight w:val="none"/>
        </w:rPr>
        <w:t>变更。</w:t>
      </w:r>
    </w:p>
    <w:p>
      <w:pPr>
        <w:ind w:firstLine="420"/>
        <w:rPr>
          <w:rFonts w:ascii="宋体" w:hAnsi="宋体" w:cs="仿宋_GB2312"/>
          <w:szCs w:val="21"/>
          <w:highlight w:val="none"/>
        </w:rPr>
      </w:pPr>
      <w:r>
        <w:rPr>
          <w:rFonts w:ascii="宋体" w:hAnsi="宋体" w:cs="仿宋_GB2312"/>
          <w:szCs w:val="21"/>
          <w:highlight w:val="none"/>
        </w:rPr>
        <w:t>1.1.4.4 缺陷责任期：是指承包人按照合同约定承担缺陷修复义务，且发包人</w:t>
      </w:r>
      <w:r>
        <w:rPr>
          <w:rFonts w:hint="eastAsia" w:ascii="宋体" w:hAnsi="宋体" w:cs="仿宋_GB2312"/>
          <w:szCs w:val="21"/>
          <w:highlight w:val="none"/>
        </w:rPr>
        <w:t>预</w:t>
      </w:r>
      <w:r>
        <w:rPr>
          <w:rFonts w:ascii="宋体" w:hAnsi="宋体" w:cs="仿宋_GB2312"/>
          <w:szCs w:val="21"/>
          <w:highlight w:val="none"/>
        </w:rPr>
        <w:t>留质量保证金的期限，</w:t>
      </w:r>
      <w:r>
        <w:rPr>
          <w:rFonts w:hint="eastAsia" w:ascii="宋体" w:hAnsi="宋体" w:cs="仿宋_GB2312"/>
          <w:szCs w:val="21"/>
          <w:highlight w:val="none"/>
        </w:rPr>
        <w:t>自</w:t>
      </w:r>
      <w:r>
        <w:rPr>
          <w:rFonts w:ascii="宋体" w:hAnsi="宋体" w:cs="仿宋_GB2312"/>
          <w:szCs w:val="21"/>
          <w:highlight w:val="none"/>
        </w:rPr>
        <w:t>工程</w:t>
      </w:r>
      <w:r>
        <w:rPr>
          <w:rFonts w:hint="eastAsia" w:ascii="宋体" w:hAnsi="宋体" w:cs="仿宋_GB2312"/>
          <w:szCs w:val="21"/>
          <w:highlight w:val="none"/>
        </w:rPr>
        <w:t>实际竣工日期</w:t>
      </w:r>
      <w:r>
        <w:rPr>
          <w:rFonts w:ascii="宋体" w:hAnsi="宋体" w:cs="仿宋_GB2312"/>
          <w:szCs w:val="21"/>
          <w:highlight w:val="none"/>
        </w:rPr>
        <w:t>起计算。</w:t>
      </w:r>
    </w:p>
    <w:p>
      <w:pPr>
        <w:ind w:firstLine="420"/>
        <w:rPr>
          <w:rFonts w:ascii="宋体" w:hAnsi="宋体" w:cs="仿宋_GB2312"/>
          <w:szCs w:val="21"/>
          <w:highlight w:val="none"/>
        </w:rPr>
      </w:pPr>
      <w:r>
        <w:rPr>
          <w:rFonts w:ascii="宋体" w:hAnsi="宋体" w:cs="仿宋_GB2312"/>
          <w:szCs w:val="21"/>
          <w:highlight w:val="none"/>
        </w:rPr>
        <w:t>1.1.4.5 保修期：是指承包人按照合同约定对工程承担保修责任的期限，从工程竣工验收合格之日起计算。</w:t>
      </w:r>
    </w:p>
    <w:p>
      <w:pPr>
        <w:ind w:firstLine="420"/>
        <w:rPr>
          <w:rFonts w:ascii="宋体" w:hAnsi="宋体" w:cs="仿宋_GB2312"/>
          <w:szCs w:val="21"/>
          <w:highlight w:val="none"/>
        </w:rPr>
      </w:pPr>
      <w:r>
        <w:rPr>
          <w:rFonts w:ascii="宋体" w:hAnsi="宋体" w:cs="仿宋_GB2312"/>
          <w:szCs w:val="21"/>
          <w:highlight w:val="none"/>
        </w:rPr>
        <w:t>1.1.4.6 基准日期：招标发包的工程以投标截止日前28天的日期为基准日</w:t>
      </w:r>
      <w:r>
        <w:rPr>
          <w:rFonts w:hint="eastAsia" w:ascii="宋体" w:hAnsi="宋体" w:cs="仿宋_GB2312"/>
          <w:szCs w:val="21"/>
          <w:highlight w:val="none"/>
        </w:rPr>
        <w:t>期</w:t>
      </w:r>
      <w:r>
        <w:rPr>
          <w:rFonts w:ascii="宋体" w:hAnsi="宋体" w:cs="仿宋_GB2312"/>
          <w:szCs w:val="21"/>
          <w:highlight w:val="none"/>
        </w:rPr>
        <w:t>，直接发包的工程以合同签订日前28天的日期为基准日</w:t>
      </w:r>
      <w:r>
        <w:rPr>
          <w:rFonts w:hint="eastAsia" w:ascii="宋体" w:hAnsi="宋体" w:cs="仿宋_GB2312"/>
          <w:szCs w:val="21"/>
          <w:highlight w:val="none"/>
        </w:rPr>
        <w:t>期</w:t>
      </w:r>
      <w:r>
        <w:rPr>
          <w:rFonts w:ascii="宋体" w:hAnsi="宋体" w:cs="仿宋_GB2312"/>
          <w:szCs w:val="21"/>
          <w:highlight w:val="none"/>
        </w:rPr>
        <w:t>。</w:t>
      </w:r>
    </w:p>
    <w:p>
      <w:pPr>
        <w:ind w:firstLine="420"/>
        <w:rPr>
          <w:rFonts w:ascii="宋体" w:hAnsi="宋体" w:cs="仿宋_GB2312"/>
          <w:szCs w:val="21"/>
          <w:highlight w:val="none"/>
        </w:rPr>
      </w:pPr>
      <w:r>
        <w:rPr>
          <w:rFonts w:ascii="宋体" w:hAnsi="宋体" w:cs="仿宋_GB2312"/>
          <w:szCs w:val="21"/>
          <w:highlight w:val="none"/>
        </w:rPr>
        <w:t>1.1.4.7 天：除特别指明外，均指日历天。合同中按天计算时间的，开始当天不计入，从次日开始计算，期限最后一天的截止时间为当天24:00时。</w:t>
      </w:r>
    </w:p>
    <w:p>
      <w:pPr>
        <w:ind w:firstLine="420"/>
        <w:rPr>
          <w:rFonts w:ascii="宋体" w:hAnsi="宋体" w:cs="仿宋_GB2312"/>
          <w:szCs w:val="21"/>
          <w:highlight w:val="none"/>
        </w:rPr>
      </w:pPr>
      <w:r>
        <w:rPr>
          <w:rFonts w:ascii="宋体" w:hAnsi="宋体" w:cs="仿宋_GB2312"/>
          <w:szCs w:val="21"/>
          <w:highlight w:val="none"/>
        </w:rPr>
        <w:t>1.1.5 合同价格和费用</w:t>
      </w:r>
    </w:p>
    <w:p>
      <w:pPr>
        <w:ind w:firstLine="420"/>
        <w:rPr>
          <w:rFonts w:ascii="宋体" w:hAnsi="宋体" w:cs="仿宋_GB2312"/>
          <w:szCs w:val="21"/>
          <w:highlight w:val="none"/>
        </w:rPr>
      </w:pPr>
      <w:r>
        <w:rPr>
          <w:rFonts w:ascii="宋体" w:hAnsi="宋体" w:cs="仿宋_GB2312"/>
          <w:szCs w:val="21"/>
          <w:highlight w:val="none"/>
        </w:rPr>
        <w:t>1.1.5.1 签约合同价：是指发包人和承包人在合同协议书中确定的总金额，包括安全文明施工费、暂估价及暂列金额等。</w:t>
      </w:r>
    </w:p>
    <w:p>
      <w:pPr>
        <w:ind w:firstLine="420"/>
        <w:rPr>
          <w:rFonts w:ascii="宋体" w:hAnsi="宋体" w:cs="仿宋_GB2312"/>
          <w:szCs w:val="21"/>
          <w:highlight w:val="none"/>
        </w:rPr>
      </w:pPr>
      <w:r>
        <w:rPr>
          <w:rFonts w:ascii="宋体" w:hAnsi="宋体" w:cs="仿宋_GB2312"/>
          <w:szCs w:val="21"/>
          <w:highlight w:val="none"/>
        </w:rPr>
        <w:t>1.1.5.2 合同价格：是指发包人用于支付承包人按照合同约定完成承包范围内全部工作的金额，包括合同履行过程中按合同约定</w:t>
      </w:r>
      <w:r>
        <w:rPr>
          <w:rFonts w:hint="eastAsia" w:ascii="宋体" w:hAnsi="宋体" w:cs="仿宋_GB2312"/>
          <w:szCs w:val="21"/>
          <w:highlight w:val="none"/>
        </w:rPr>
        <w:t>发生的价格变化。</w:t>
      </w:r>
    </w:p>
    <w:p>
      <w:pPr>
        <w:ind w:firstLine="420"/>
        <w:rPr>
          <w:rFonts w:ascii="宋体" w:hAnsi="宋体" w:cs="仿宋_GB2312"/>
          <w:szCs w:val="21"/>
          <w:highlight w:val="none"/>
        </w:rPr>
      </w:pPr>
      <w:r>
        <w:rPr>
          <w:rFonts w:ascii="宋体" w:hAnsi="宋体" w:cs="仿宋_GB2312"/>
          <w:szCs w:val="21"/>
          <w:highlight w:val="none"/>
        </w:rPr>
        <w:t>1.1.5.3 费用：是指为履行合同所发生的或将要发生的所有必需的开支，包括管理费和应分摊的其他费用，但不包括利润。</w:t>
      </w:r>
    </w:p>
    <w:p>
      <w:pPr>
        <w:ind w:firstLine="420"/>
        <w:rPr>
          <w:rFonts w:ascii="宋体" w:hAnsi="宋体" w:cs="仿宋_GB2312"/>
          <w:szCs w:val="21"/>
          <w:highlight w:val="none"/>
        </w:rPr>
      </w:pPr>
      <w:r>
        <w:rPr>
          <w:rFonts w:ascii="宋体" w:hAnsi="宋体" w:cs="仿宋_GB2312"/>
          <w:szCs w:val="21"/>
          <w:highlight w:val="none"/>
        </w:rPr>
        <w:t>1.1.5.4 暂估价：是指发包人在工程量清单或预算书中提供的用于支付必然发生但暂时不能确定价格的材料、工程设备的单价</w:t>
      </w:r>
      <w:r>
        <w:rPr>
          <w:rFonts w:hint="eastAsia" w:ascii="宋体" w:hAnsi="宋体" w:cs="仿宋_GB2312"/>
          <w:szCs w:val="21"/>
          <w:highlight w:val="none"/>
        </w:rPr>
        <w:t>、</w:t>
      </w:r>
      <w:r>
        <w:rPr>
          <w:rFonts w:ascii="宋体" w:hAnsi="宋体" w:cs="仿宋_GB2312"/>
          <w:szCs w:val="21"/>
          <w:highlight w:val="none"/>
        </w:rPr>
        <w:t>专业工程以及</w:t>
      </w:r>
      <w:r>
        <w:rPr>
          <w:rFonts w:hint="eastAsia" w:ascii="宋体" w:hAnsi="宋体" w:cs="仿宋_GB2312"/>
          <w:szCs w:val="21"/>
          <w:highlight w:val="none"/>
        </w:rPr>
        <w:t>服务工作</w:t>
      </w:r>
      <w:r>
        <w:rPr>
          <w:rFonts w:ascii="宋体" w:hAnsi="宋体" w:cs="仿宋_GB2312"/>
          <w:szCs w:val="21"/>
          <w:highlight w:val="none"/>
        </w:rPr>
        <w:t>的金额。</w:t>
      </w:r>
    </w:p>
    <w:p>
      <w:pPr>
        <w:ind w:firstLine="420"/>
        <w:rPr>
          <w:rFonts w:ascii="宋体" w:hAnsi="宋体" w:cs="仿宋_GB2312"/>
          <w:szCs w:val="21"/>
          <w:highlight w:val="none"/>
        </w:rPr>
      </w:pPr>
      <w:r>
        <w:rPr>
          <w:rFonts w:ascii="宋体" w:hAnsi="宋体" w:cs="仿宋_GB2312"/>
          <w:szCs w:val="21"/>
          <w:highlight w:val="none"/>
        </w:rPr>
        <w:t>1.1.5.5 暂列金额：是指发包人在工程量清单或预算书中暂定并包括在合同价格中的一笔款项</w:t>
      </w:r>
      <w:r>
        <w:rPr>
          <w:rFonts w:hint="eastAsia" w:ascii="宋体" w:hAnsi="宋体" w:cs="仿宋_GB2312"/>
          <w:szCs w:val="21"/>
          <w:highlight w:val="none"/>
        </w:rPr>
        <w:t>，</w:t>
      </w:r>
      <w:r>
        <w:rPr>
          <w:rFonts w:ascii="宋体" w:hAnsi="宋体" w:cs="仿宋_GB2312"/>
          <w:szCs w:val="21"/>
          <w:highlight w:val="none"/>
        </w:rPr>
        <w:t>用于工程合同签订时尚未确定或者不可预见的所需材料、工程设备、服务的采购，施工中可能发生的工程变更、合同约定调整因素出现时的合同价格调整以及发生的索赔、现场签证确认等的费用。</w:t>
      </w:r>
    </w:p>
    <w:p>
      <w:pPr>
        <w:ind w:firstLine="420"/>
        <w:rPr>
          <w:rFonts w:ascii="宋体" w:hAnsi="宋体" w:cs="仿宋_GB2312"/>
          <w:szCs w:val="21"/>
          <w:highlight w:val="none"/>
        </w:rPr>
      </w:pPr>
      <w:r>
        <w:rPr>
          <w:rFonts w:ascii="宋体" w:hAnsi="宋体" w:cs="仿宋_GB2312"/>
          <w:szCs w:val="21"/>
          <w:highlight w:val="none"/>
        </w:rPr>
        <w:t>1.1.5.6 计日工：是指合同履行过程中，承包人完成发包人提出的零星工作或需要采用计日工计价的变更工作时，按合同中约定的单价计价的一种方式。</w:t>
      </w:r>
    </w:p>
    <w:p>
      <w:pPr>
        <w:ind w:firstLine="420"/>
        <w:rPr>
          <w:rFonts w:ascii="宋体" w:hAnsi="宋体" w:cs="仿宋_GB2312"/>
          <w:szCs w:val="21"/>
          <w:highlight w:val="none"/>
        </w:rPr>
      </w:pPr>
      <w:r>
        <w:rPr>
          <w:rFonts w:ascii="宋体" w:hAnsi="宋体" w:cs="仿宋_GB2312"/>
          <w:szCs w:val="21"/>
          <w:highlight w:val="none"/>
        </w:rPr>
        <w:t>1.1.5.7 质量保证金</w:t>
      </w:r>
      <w:bookmarkStart w:id="63" w:name="#go2"/>
      <w:bookmarkEnd w:id="63"/>
      <w:r>
        <w:rPr>
          <w:rFonts w:ascii="宋体" w:hAnsi="宋体" w:cs="仿宋_GB2312"/>
          <w:szCs w:val="21"/>
          <w:highlight w:val="none"/>
        </w:rPr>
        <w:t>：是指按照第15.3款</w:t>
      </w:r>
      <w:r>
        <w:rPr>
          <w:rFonts w:hint="eastAsia" w:ascii="宋体" w:hAnsi="宋体" w:cs="仿宋_GB2312"/>
          <w:szCs w:val="21"/>
          <w:highlight w:val="none"/>
        </w:rPr>
        <w:t>〔</w:t>
      </w:r>
      <w:r>
        <w:rPr>
          <w:rFonts w:ascii="宋体" w:hAnsi="宋体" w:cs="仿宋_GB2312"/>
          <w:szCs w:val="21"/>
          <w:highlight w:val="none"/>
        </w:rPr>
        <w:t>质量保证金</w:t>
      </w:r>
      <w:r>
        <w:rPr>
          <w:rFonts w:hint="eastAsia" w:ascii="宋体" w:hAnsi="宋体" w:cs="仿宋_GB2312"/>
          <w:szCs w:val="21"/>
          <w:highlight w:val="none"/>
        </w:rPr>
        <w:t>〕</w:t>
      </w:r>
      <w:r>
        <w:rPr>
          <w:rFonts w:ascii="宋体" w:hAnsi="宋体" w:cs="仿宋_GB2312"/>
          <w:szCs w:val="21"/>
          <w:highlight w:val="none"/>
        </w:rPr>
        <w:t>约定承包人用于保证其在缺陷责任期内履行缺陷修补义务的担保。</w:t>
      </w:r>
    </w:p>
    <w:p>
      <w:pPr>
        <w:ind w:firstLine="420"/>
        <w:rPr>
          <w:rFonts w:ascii="宋体" w:hAnsi="宋体" w:cs="仿宋_GB2312"/>
          <w:szCs w:val="21"/>
          <w:highlight w:val="none"/>
        </w:rPr>
      </w:pPr>
      <w:r>
        <w:rPr>
          <w:rFonts w:ascii="宋体" w:hAnsi="宋体" w:cs="仿宋_GB2312"/>
          <w:szCs w:val="21"/>
          <w:highlight w:val="none"/>
        </w:rPr>
        <w:t>1.1.5.8 总价项目：是指在现行国家、行业以及地方的计量规则中无工程量计算规则，在已标价工程量清单或预算书中以总价或以费率形式计算的项目。</w:t>
      </w:r>
    </w:p>
    <w:p>
      <w:pPr>
        <w:ind w:firstLine="420"/>
        <w:rPr>
          <w:rFonts w:ascii="宋体" w:hAnsi="宋体" w:cs="仿宋_GB2312"/>
          <w:szCs w:val="21"/>
          <w:highlight w:val="none"/>
        </w:rPr>
      </w:pPr>
      <w:r>
        <w:rPr>
          <w:rFonts w:ascii="宋体" w:hAnsi="宋体" w:cs="仿宋_GB2312"/>
          <w:szCs w:val="21"/>
          <w:highlight w:val="none"/>
        </w:rPr>
        <w:t>1.1.6 其他</w:t>
      </w:r>
    </w:p>
    <w:p>
      <w:pPr>
        <w:ind w:firstLine="420"/>
        <w:rPr>
          <w:rFonts w:ascii="宋体" w:hAnsi="宋体" w:cs="仿宋_GB2312"/>
          <w:szCs w:val="21"/>
          <w:highlight w:val="none"/>
        </w:rPr>
      </w:pPr>
      <w:r>
        <w:rPr>
          <w:rFonts w:ascii="宋体" w:hAnsi="宋体" w:cs="仿宋_GB2312"/>
          <w:szCs w:val="21"/>
          <w:highlight w:val="none"/>
        </w:rPr>
        <w:t>1.1.6.1 书面形式：是指合同文件、信函、电报、传真等可以有形地表现所载内容的形式。</w:t>
      </w:r>
    </w:p>
    <w:p>
      <w:pPr>
        <w:pStyle w:val="6"/>
        <w:spacing w:before="120" w:after="120" w:line="360" w:lineRule="auto"/>
        <w:ind w:firstLine="420" w:firstLineChars="200"/>
        <w:rPr>
          <w:rFonts w:ascii="宋体" w:hAnsi="宋体" w:cs="仿宋_GB2312"/>
          <w:b w:val="0"/>
          <w:bCs w:val="0"/>
          <w:sz w:val="21"/>
          <w:szCs w:val="21"/>
          <w:highlight w:val="none"/>
        </w:rPr>
      </w:pPr>
      <w:bookmarkStart w:id="64" w:name="_Toc337558729"/>
      <w:bookmarkStart w:id="65" w:name="_Toc296346530"/>
      <w:bookmarkStart w:id="66" w:name="_Toc351203497"/>
      <w:bookmarkStart w:id="67" w:name="_Toc296503029"/>
      <w:r>
        <w:rPr>
          <w:rFonts w:ascii="宋体" w:hAnsi="宋体" w:cs="仿宋_GB2312"/>
          <w:b w:val="0"/>
          <w:bCs w:val="0"/>
          <w:sz w:val="21"/>
          <w:szCs w:val="21"/>
          <w:highlight w:val="none"/>
        </w:rPr>
        <w:t>1.2语言文字</w:t>
      </w:r>
      <w:bookmarkEnd w:id="64"/>
      <w:bookmarkEnd w:id="65"/>
      <w:bookmarkEnd w:id="66"/>
      <w:bookmarkEnd w:id="67"/>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合同以中国的汉语简体文字编写、解释和说明。合同当事人在专用合同条款中约定使用两种以上语言时，汉语为优先解释和说明合同的语言。</w:t>
      </w:r>
    </w:p>
    <w:p>
      <w:pPr>
        <w:pStyle w:val="6"/>
        <w:spacing w:before="120" w:after="120" w:line="360" w:lineRule="auto"/>
        <w:ind w:firstLine="420" w:firstLineChars="200"/>
        <w:rPr>
          <w:rFonts w:ascii="宋体" w:hAnsi="宋体" w:cs="仿宋_GB2312"/>
          <w:b w:val="0"/>
          <w:bCs w:val="0"/>
          <w:sz w:val="21"/>
          <w:szCs w:val="21"/>
          <w:highlight w:val="none"/>
        </w:rPr>
      </w:pPr>
      <w:bookmarkStart w:id="68" w:name="_Toc296503030"/>
      <w:bookmarkStart w:id="69" w:name="_Toc296346531"/>
      <w:bookmarkStart w:id="70" w:name="_Toc351203498"/>
      <w:bookmarkStart w:id="71" w:name="_Toc337558730"/>
      <w:r>
        <w:rPr>
          <w:rFonts w:ascii="宋体" w:hAnsi="宋体" w:cs="仿宋_GB2312"/>
          <w:b w:val="0"/>
          <w:bCs w:val="0"/>
          <w:sz w:val="21"/>
          <w:szCs w:val="21"/>
          <w:highlight w:val="none"/>
        </w:rPr>
        <w:t>1.3法律</w:t>
      </w:r>
      <w:bookmarkEnd w:id="68"/>
      <w:bookmarkEnd w:id="69"/>
      <w:bookmarkEnd w:id="70"/>
      <w:bookmarkEnd w:id="71"/>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合同所称法律是指中华人民共和国法律、行政法规、部门规章，以及工程所在地的地方性法规、自治条例、单行条例和地方政府规章等。</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合同当事人可以在专用合同条款中约定合同适用的其他规范性文件。</w:t>
      </w:r>
    </w:p>
    <w:p>
      <w:pPr>
        <w:pStyle w:val="6"/>
        <w:spacing w:before="120" w:after="120" w:line="360" w:lineRule="auto"/>
        <w:ind w:firstLine="420" w:firstLineChars="200"/>
        <w:rPr>
          <w:rFonts w:ascii="宋体" w:hAnsi="宋体" w:cs="仿宋_GB2312"/>
          <w:b w:val="0"/>
          <w:bCs w:val="0"/>
          <w:sz w:val="21"/>
          <w:szCs w:val="21"/>
          <w:highlight w:val="none"/>
        </w:rPr>
      </w:pPr>
      <w:bookmarkStart w:id="72" w:name="_Toc351203499"/>
      <w:r>
        <w:rPr>
          <w:rFonts w:ascii="宋体" w:hAnsi="宋体" w:cs="仿宋_GB2312"/>
          <w:b w:val="0"/>
          <w:bCs w:val="0"/>
          <w:sz w:val="21"/>
          <w:szCs w:val="21"/>
          <w:highlight w:val="none"/>
        </w:rPr>
        <w:t>1.4 标准和规范</w:t>
      </w:r>
      <w:bookmarkEnd w:id="72"/>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1.4.1 适用于工程的国家标准、行业标准、工程所在地的地方性标准，以及相应的规范、规程等，合同当事人有特别要求的，应在专用合同条款中约定。</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1.4.2 发包人要求使用国外标准、规范的，发包人负责提供原文版本和中文译本，并在专用合同条款中约定提供标准规范的名称、份数和时间。</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1.4.3 发包人对工程的技术标准、功能要求高于或严于现行国家、行业或地方标准的，应当在专用合同条款中予以明确。除专用合同条款另有约定外，应视为</w:t>
      </w:r>
      <w:r>
        <w:rPr>
          <w:rFonts w:hint="eastAsia" w:ascii="宋体" w:hAnsi="宋体" w:cs="仿宋_GB2312"/>
          <w:szCs w:val="21"/>
          <w:highlight w:val="none"/>
        </w:rPr>
        <w:t>承包人</w:t>
      </w:r>
      <w:r>
        <w:rPr>
          <w:rFonts w:ascii="宋体" w:hAnsi="宋体" w:cs="仿宋_GB2312"/>
          <w:szCs w:val="21"/>
          <w:highlight w:val="none"/>
        </w:rPr>
        <w:t>在签订合同前已充分预见前述技术标准和功能要求的复杂程度，签约合同价中已包含由此产生的费用。</w:t>
      </w:r>
    </w:p>
    <w:p>
      <w:pPr>
        <w:pStyle w:val="6"/>
        <w:spacing w:before="120" w:after="120" w:line="360" w:lineRule="auto"/>
        <w:ind w:firstLine="420" w:firstLineChars="200"/>
        <w:rPr>
          <w:rFonts w:ascii="宋体" w:hAnsi="宋体" w:cs="仿宋_GB2312"/>
          <w:b w:val="0"/>
          <w:bCs w:val="0"/>
          <w:sz w:val="21"/>
          <w:szCs w:val="21"/>
          <w:highlight w:val="none"/>
        </w:rPr>
      </w:pPr>
      <w:bookmarkStart w:id="73" w:name="_Toc351203500"/>
      <w:r>
        <w:rPr>
          <w:rFonts w:ascii="宋体" w:hAnsi="宋体" w:cs="仿宋_GB2312"/>
          <w:b w:val="0"/>
          <w:bCs w:val="0"/>
          <w:sz w:val="21"/>
          <w:szCs w:val="21"/>
          <w:highlight w:val="none"/>
        </w:rPr>
        <w:t>1</w:t>
      </w:r>
      <w:bookmarkStart w:id="74" w:name="_Toc337558731"/>
      <w:bookmarkStart w:id="75" w:name="_Toc296503031"/>
      <w:bookmarkStart w:id="76" w:name="_Toc296346532"/>
      <w:r>
        <w:rPr>
          <w:rFonts w:ascii="宋体" w:hAnsi="宋体" w:cs="仿宋_GB2312"/>
          <w:b w:val="0"/>
          <w:bCs w:val="0"/>
          <w:sz w:val="21"/>
          <w:szCs w:val="21"/>
          <w:highlight w:val="none"/>
        </w:rPr>
        <w:t>.5 合同文件的优先顺序</w:t>
      </w:r>
      <w:bookmarkEnd w:id="73"/>
    </w:p>
    <w:bookmarkEnd w:id="74"/>
    <w:bookmarkEnd w:id="75"/>
    <w:bookmarkEnd w:id="76"/>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组成合同的各项文件应互相解释，互为说明。除专用合同条款另有约定外，解释合同文件的优先顺序如下：</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（1）合同协议书；</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（2）中标通知书（如果有）；</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（3）投标函及其附录（如果有）；</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（4）专用合同条款及其附件；</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（5）通用合同条款；</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（6）技术标准和要求；</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（7）图纸；</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（8）已标价工程量清单或预算书；</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（9）其他合同文件。</w:t>
      </w:r>
    </w:p>
    <w:p>
      <w:pPr>
        <w:ind w:firstLine="447" w:firstLineChars="213"/>
        <w:rPr>
          <w:rFonts w:ascii="宋体" w:hAnsi="宋体" w:cs="仿宋_GB2312"/>
          <w:szCs w:val="21"/>
          <w:highlight w:val="none"/>
        </w:rPr>
      </w:pPr>
      <w:r>
        <w:rPr>
          <w:rFonts w:ascii="宋体" w:hAnsi="宋体" w:cs="仿宋_GB2312"/>
          <w:szCs w:val="21"/>
          <w:highlight w:val="none"/>
        </w:rPr>
        <w:t>上述各项合同文件包括合同当事人就该项合同文件所作出的补充和修改，属于同一类内容的文件，应以最新签署的为准。</w:t>
      </w:r>
    </w:p>
    <w:p>
      <w:pPr>
        <w:ind w:firstLine="447" w:firstLineChars="213"/>
        <w:rPr>
          <w:rFonts w:ascii="宋体" w:hAnsi="宋体" w:cs="仿宋_GB2312"/>
          <w:szCs w:val="21"/>
          <w:highlight w:val="none"/>
        </w:rPr>
      </w:pPr>
      <w:r>
        <w:rPr>
          <w:rFonts w:ascii="宋体" w:hAnsi="宋体" w:cs="仿宋_GB2312"/>
          <w:szCs w:val="21"/>
          <w:highlight w:val="none"/>
        </w:rPr>
        <w:t>在合同订立及履行过程中形成的与合同有关的文件均构成合同文件组成部分，并根据其性质确定优先解释顺序。</w:t>
      </w:r>
    </w:p>
    <w:p>
      <w:pPr>
        <w:pStyle w:val="6"/>
        <w:spacing w:before="120" w:after="120" w:line="360" w:lineRule="auto"/>
        <w:ind w:firstLine="420" w:firstLineChars="200"/>
        <w:rPr>
          <w:rFonts w:ascii="宋体" w:hAnsi="宋体" w:cs="仿宋_GB2312"/>
          <w:b w:val="0"/>
          <w:bCs w:val="0"/>
          <w:sz w:val="21"/>
          <w:szCs w:val="21"/>
          <w:highlight w:val="none"/>
        </w:rPr>
      </w:pPr>
      <w:bookmarkStart w:id="77" w:name="_Toc351203501"/>
      <w:r>
        <w:rPr>
          <w:rFonts w:ascii="宋体" w:hAnsi="宋体" w:cs="仿宋_GB2312"/>
          <w:b w:val="0"/>
          <w:bCs w:val="0"/>
          <w:sz w:val="21"/>
          <w:szCs w:val="21"/>
          <w:highlight w:val="none"/>
        </w:rPr>
        <w:t>1</w:t>
      </w:r>
      <w:bookmarkStart w:id="78" w:name="_Toc296346533"/>
      <w:bookmarkStart w:id="79" w:name="_Toc337558732"/>
      <w:bookmarkStart w:id="80" w:name="_Toc296503032"/>
      <w:r>
        <w:rPr>
          <w:rFonts w:ascii="宋体" w:hAnsi="宋体" w:cs="仿宋_GB2312"/>
          <w:b w:val="0"/>
          <w:bCs w:val="0"/>
          <w:sz w:val="21"/>
          <w:szCs w:val="21"/>
          <w:highlight w:val="none"/>
        </w:rPr>
        <w:t>.6图纸和承包人文件</w:t>
      </w:r>
      <w:bookmarkEnd w:id="77"/>
    </w:p>
    <w:bookmarkEnd w:id="78"/>
    <w:bookmarkEnd w:id="79"/>
    <w:bookmarkEnd w:id="80"/>
    <w:p>
      <w:pPr>
        <w:ind w:firstLine="420"/>
        <w:rPr>
          <w:rFonts w:ascii="宋体" w:hAnsi="宋体" w:cs="仿宋_GB2312"/>
          <w:szCs w:val="21"/>
          <w:highlight w:val="none"/>
        </w:rPr>
      </w:pPr>
      <w:r>
        <w:rPr>
          <w:rFonts w:ascii="宋体" w:hAnsi="宋体" w:cs="仿宋_GB2312"/>
          <w:szCs w:val="21"/>
          <w:highlight w:val="none"/>
        </w:rPr>
        <w:t>1.6.1 图纸的提供和交底</w:t>
      </w:r>
    </w:p>
    <w:p>
      <w:pPr>
        <w:ind w:firstLine="420"/>
        <w:rPr>
          <w:rFonts w:ascii="宋体" w:hAnsi="宋体" w:cs="仿宋_GB2312"/>
          <w:szCs w:val="21"/>
          <w:highlight w:val="none"/>
        </w:rPr>
      </w:pPr>
      <w:r>
        <w:rPr>
          <w:rFonts w:ascii="宋体" w:hAnsi="宋体" w:cs="仿宋_GB2312"/>
          <w:szCs w:val="21"/>
          <w:highlight w:val="none"/>
        </w:rPr>
        <w:t>发包人应按照专用合同条款约定的期限、数量和内容向承包人免费提供图纸，并组织承包人、监理人和设计人进行图纸会审和设计交底。发包人至迟不得晚于第7.3.2项</w:t>
      </w:r>
      <w:r>
        <w:rPr>
          <w:rFonts w:hint="eastAsia" w:ascii="宋体" w:hAnsi="宋体" w:cs="仿宋_GB2312"/>
          <w:szCs w:val="21"/>
          <w:highlight w:val="none"/>
        </w:rPr>
        <w:t>〔</w:t>
      </w:r>
      <w:r>
        <w:rPr>
          <w:rFonts w:ascii="宋体" w:hAnsi="宋体" w:cs="仿宋_GB2312"/>
          <w:szCs w:val="21"/>
          <w:highlight w:val="none"/>
        </w:rPr>
        <w:t>开工通知</w:t>
      </w:r>
      <w:r>
        <w:rPr>
          <w:rFonts w:hint="eastAsia" w:ascii="宋体" w:hAnsi="宋体" w:cs="仿宋_GB2312"/>
          <w:szCs w:val="21"/>
          <w:highlight w:val="none"/>
        </w:rPr>
        <w:t>〕</w:t>
      </w:r>
      <w:r>
        <w:rPr>
          <w:rFonts w:ascii="宋体" w:hAnsi="宋体" w:cs="仿宋_GB2312"/>
          <w:szCs w:val="21"/>
          <w:highlight w:val="none"/>
        </w:rPr>
        <w:t>载明的开工日期前14天向承包人提供图纸。</w:t>
      </w:r>
    </w:p>
    <w:p>
      <w:pPr>
        <w:ind w:firstLine="420"/>
        <w:rPr>
          <w:rFonts w:ascii="宋体" w:hAnsi="宋体" w:cs="仿宋_GB2312"/>
          <w:szCs w:val="21"/>
          <w:highlight w:val="none"/>
        </w:rPr>
      </w:pPr>
      <w:r>
        <w:rPr>
          <w:rFonts w:ascii="宋体" w:hAnsi="宋体" w:cs="仿宋_GB2312"/>
          <w:szCs w:val="21"/>
          <w:highlight w:val="none"/>
        </w:rPr>
        <w:t>因发包人未按合同约定提供图纸导致承包人费用增加和（或）工期延误的，按照第7.5.1项</w:t>
      </w:r>
      <w:r>
        <w:rPr>
          <w:rFonts w:hint="eastAsia" w:ascii="宋体" w:hAnsi="宋体" w:cs="仿宋_GB2312"/>
          <w:szCs w:val="21"/>
          <w:highlight w:val="none"/>
        </w:rPr>
        <w:t>〔</w:t>
      </w:r>
      <w:r>
        <w:rPr>
          <w:rFonts w:ascii="宋体" w:hAnsi="宋体" w:cs="仿宋_GB2312"/>
          <w:szCs w:val="21"/>
          <w:highlight w:val="none"/>
        </w:rPr>
        <w:t>因发包人原因导致工期延误</w:t>
      </w:r>
      <w:r>
        <w:rPr>
          <w:rFonts w:hint="eastAsia" w:ascii="宋体" w:hAnsi="宋体" w:cs="仿宋_GB2312"/>
          <w:szCs w:val="21"/>
          <w:highlight w:val="none"/>
        </w:rPr>
        <w:t>〕</w:t>
      </w:r>
      <w:r>
        <w:rPr>
          <w:rFonts w:ascii="宋体" w:hAnsi="宋体" w:cs="仿宋_GB2312"/>
          <w:szCs w:val="21"/>
          <w:highlight w:val="none"/>
        </w:rPr>
        <w:t>约定办理。</w:t>
      </w:r>
    </w:p>
    <w:p>
      <w:pPr>
        <w:ind w:firstLine="420"/>
        <w:rPr>
          <w:rFonts w:ascii="宋体" w:hAnsi="宋体" w:cs="仿宋_GB2312"/>
          <w:szCs w:val="21"/>
          <w:highlight w:val="none"/>
        </w:rPr>
      </w:pPr>
      <w:r>
        <w:rPr>
          <w:rFonts w:ascii="宋体" w:hAnsi="宋体" w:cs="仿宋_GB2312"/>
          <w:szCs w:val="21"/>
          <w:highlight w:val="none"/>
        </w:rPr>
        <w:t>1.6.2 图纸的错误</w:t>
      </w:r>
    </w:p>
    <w:p>
      <w:pPr>
        <w:ind w:firstLine="420"/>
        <w:rPr>
          <w:rFonts w:ascii="宋体" w:hAnsi="宋体" w:cs="仿宋_GB2312"/>
          <w:szCs w:val="21"/>
          <w:highlight w:val="none"/>
        </w:rPr>
      </w:pPr>
      <w:r>
        <w:rPr>
          <w:rFonts w:ascii="宋体" w:hAnsi="宋体" w:cs="仿宋_GB2312"/>
          <w:szCs w:val="21"/>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w:t>
      </w:r>
      <w:r>
        <w:rPr>
          <w:rFonts w:hint="eastAsia" w:ascii="宋体" w:hAnsi="宋体" w:cs="仿宋_GB2312"/>
          <w:szCs w:val="21"/>
          <w:highlight w:val="none"/>
        </w:rPr>
        <w:t>合理时间是指发包人在收到监理人的报送通知后，尽其努力且不懈怠地完成图纸修改补充所需的时间。</w:t>
      </w:r>
    </w:p>
    <w:p>
      <w:pPr>
        <w:ind w:firstLine="420"/>
        <w:rPr>
          <w:rFonts w:ascii="宋体" w:hAnsi="宋体" w:cs="仿宋_GB2312"/>
          <w:szCs w:val="21"/>
          <w:highlight w:val="none"/>
        </w:rPr>
      </w:pPr>
      <w:r>
        <w:rPr>
          <w:rFonts w:ascii="宋体" w:hAnsi="宋体" w:cs="仿宋_GB2312"/>
          <w:szCs w:val="21"/>
          <w:highlight w:val="none"/>
        </w:rPr>
        <w:t>1.6.3 图纸的修改和补充</w:t>
      </w:r>
    </w:p>
    <w:p>
      <w:pPr>
        <w:ind w:firstLine="420"/>
        <w:rPr>
          <w:rFonts w:ascii="宋体" w:hAnsi="宋体" w:cs="仿宋_GB2312"/>
          <w:szCs w:val="21"/>
          <w:highlight w:val="none"/>
        </w:rPr>
      </w:pPr>
      <w:r>
        <w:rPr>
          <w:rFonts w:ascii="宋体" w:hAnsi="宋体" w:cs="仿宋_GB2312"/>
          <w:szCs w:val="21"/>
          <w:highlight w:val="none"/>
        </w:rPr>
        <w:t>图纸需要修改和补充的，应经图纸原设计人及审批部门同意，并由监理人在工程或工程相应部位施工前将修改后的图纸或补充图纸提交给承包人，承包人应按修改或补充后的图纸施工。</w:t>
      </w:r>
    </w:p>
    <w:p>
      <w:pPr>
        <w:ind w:firstLine="420"/>
        <w:rPr>
          <w:rFonts w:ascii="宋体" w:hAnsi="宋体" w:cs="仿宋_GB2312"/>
          <w:szCs w:val="21"/>
          <w:highlight w:val="none"/>
        </w:rPr>
      </w:pPr>
      <w:r>
        <w:rPr>
          <w:rFonts w:ascii="宋体" w:hAnsi="宋体" w:cs="仿宋_GB2312"/>
          <w:szCs w:val="21"/>
          <w:highlight w:val="none"/>
        </w:rPr>
        <w:t>1.6.4 承包人文件</w:t>
      </w:r>
    </w:p>
    <w:p>
      <w:pPr>
        <w:ind w:firstLine="420"/>
        <w:rPr>
          <w:rFonts w:ascii="宋体" w:hAnsi="宋体" w:cs="仿宋_GB2312"/>
          <w:szCs w:val="21"/>
          <w:highlight w:val="none"/>
        </w:rPr>
      </w:pPr>
      <w:r>
        <w:rPr>
          <w:rFonts w:ascii="宋体" w:hAnsi="宋体" w:cs="仿宋_GB2312"/>
          <w:szCs w:val="21"/>
          <w:highlight w:val="none"/>
        </w:rPr>
        <w:t>承包人应按照专用合同条款的约定提供应当由其编制的与工程施工有关的文件，并按照专用合同条款约定的期限、数量和形式提交监理人，并由监理人报送发包人。</w:t>
      </w:r>
    </w:p>
    <w:p>
      <w:pPr>
        <w:ind w:firstLine="420"/>
        <w:rPr>
          <w:rFonts w:ascii="宋体" w:hAnsi="宋体" w:cs="仿宋_GB2312"/>
          <w:szCs w:val="21"/>
          <w:highlight w:val="none"/>
        </w:rPr>
      </w:pPr>
      <w:r>
        <w:rPr>
          <w:rFonts w:ascii="宋体" w:hAnsi="宋体" w:cs="仿宋_GB2312"/>
          <w:szCs w:val="21"/>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ind w:firstLine="420"/>
        <w:rPr>
          <w:rFonts w:ascii="宋体" w:hAnsi="宋体" w:cs="仿宋_GB2312"/>
          <w:szCs w:val="21"/>
          <w:highlight w:val="none"/>
        </w:rPr>
      </w:pPr>
      <w:r>
        <w:rPr>
          <w:rFonts w:ascii="宋体" w:hAnsi="宋体" w:cs="仿宋_GB2312"/>
          <w:szCs w:val="21"/>
          <w:highlight w:val="none"/>
        </w:rPr>
        <w:t>1.6.5 图纸和承包人文件的保管</w:t>
      </w:r>
    </w:p>
    <w:p>
      <w:pPr>
        <w:ind w:firstLine="420"/>
        <w:rPr>
          <w:rFonts w:ascii="宋体" w:hAnsi="宋体" w:cs="仿宋_GB2312"/>
          <w:szCs w:val="21"/>
          <w:highlight w:val="none"/>
        </w:rPr>
      </w:pPr>
      <w:r>
        <w:rPr>
          <w:rFonts w:ascii="宋体" w:hAnsi="宋体" w:cs="仿宋_GB2312"/>
          <w:szCs w:val="21"/>
          <w:highlight w:val="none"/>
        </w:rPr>
        <w:t>除专用合同条款另有约定外，承包人应在施工现场另外保存一套完整的图纸和承包人文件，供发包人、监理人及有关人员进行工程检查时使用。</w:t>
      </w:r>
    </w:p>
    <w:p>
      <w:pPr>
        <w:pStyle w:val="6"/>
        <w:spacing w:before="120" w:after="120" w:line="360" w:lineRule="auto"/>
        <w:ind w:firstLine="420" w:firstLineChars="200"/>
        <w:rPr>
          <w:rFonts w:ascii="宋体" w:hAnsi="宋体" w:cs="仿宋_GB2312"/>
          <w:b w:val="0"/>
          <w:bCs w:val="0"/>
          <w:sz w:val="21"/>
          <w:szCs w:val="21"/>
          <w:highlight w:val="none"/>
        </w:rPr>
      </w:pPr>
      <w:bookmarkStart w:id="81" w:name="_Toc351203502"/>
      <w:r>
        <w:rPr>
          <w:rFonts w:ascii="宋体" w:hAnsi="宋体" w:cs="仿宋_GB2312"/>
          <w:b w:val="0"/>
          <w:bCs w:val="0"/>
          <w:sz w:val="21"/>
          <w:szCs w:val="21"/>
          <w:highlight w:val="none"/>
        </w:rPr>
        <w:t>1</w:t>
      </w:r>
      <w:bookmarkStart w:id="82" w:name="_Toc296346534"/>
      <w:bookmarkStart w:id="83" w:name="_Toc337558733"/>
      <w:bookmarkStart w:id="84" w:name="_Toc296503033"/>
      <w:r>
        <w:rPr>
          <w:rFonts w:ascii="宋体" w:hAnsi="宋体" w:cs="仿宋_GB2312"/>
          <w:b w:val="0"/>
          <w:bCs w:val="0"/>
          <w:sz w:val="21"/>
          <w:szCs w:val="21"/>
          <w:highlight w:val="none"/>
        </w:rPr>
        <w:t>.7联络</w:t>
      </w:r>
      <w:bookmarkEnd w:id="81"/>
    </w:p>
    <w:bookmarkEnd w:id="82"/>
    <w:bookmarkEnd w:id="83"/>
    <w:bookmarkEnd w:id="84"/>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1.7.1 与合同有关的通知、批准、证明、证书、指示、指令、要求、请求、同意、意见、确定和决定等，均应采用书面形式，并应在合同约定的期限内送达接收人和送达地点。</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1.7.2 发包人和承包人应在专用合同条款中约定各自的送达接收人和送达地点。任何一方合同当事人指定的接收人或送达地点发生变动的，应提前3天以书面形式通知对方。</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1.7.3 发包人和承包人应当及时签收另一方送达至送达地点和指定接收人的来往信函。拒不签收的，由此增加的费用和（或）延误的工期由拒绝接收一方承担。</w:t>
      </w:r>
    </w:p>
    <w:p>
      <w:pPr>
        <w:pStyle w:val="6"/>
        <w:spacing w:before="120" w:after="120" w:line="360" w:lineRule="auto"/>
        <w:ind w:firstLine="420" w:firstLineChars="200"/>
        <w:rPr>
          <w:rFonts w:ascii="宋体" w:hAnsi="宋体" w:cs="仿宋_GB2312"/>
          <w:b w:val="0"/>
          <w:bCs w:val="0"/>
          <w:sz w:val="21"/>
          <w:szCs w:val="21"/>
          <w:highlight w:val="none"/>
        </w:rPr>
      </w:pPr>
      <w:bookmarkStart w:id="85" w:name="_Toc351203503"/>
      <w:r>
        <w:rPr>
          <w:rFonts w:ascii="宋体" w:hAnsi="宋体" w:cs="仿宋_GB2312"/>
          <w:b w:val="0"/>
          <w:bCs w:val="0"/>
          <w:sz w:val="21"/>
          <w:szCs w:val="21"/>
          <w:highlight w:val="none"/>
        </w:rPr>
        <w:t>1</w:t>
      </w:r>
      <w:bookmarkStart w:id="86" w:name="_Toc296346536"/>
      <w:bookmarkStart w:id="87" w:name="_Toc296503035"/>
      <w:bookmarkStart w:id="88" w:name="_Toc337558734"/>
      <w:r>
        <w:rPr>
          <w:rFonts w:ascii="宋体" w:hAnsi="宋体" w:cs="仿宋_GB2312"/>
          <w:b w:val="0"/>
          <w:bCs w:val="0"/>
          <w:sz w:val="21"/>
          <w:szCs w:val="21"/>
          <w:highlight w:val="none"/>
        </w:rPr>
        <w:t>.8严禁贿赂</w:t>
      </w:r>
      <w:bookmarkEnd w:id="85"/>
    </w:p>
    <w:bookmarkEnd w:id="86"/>
    <w:bookmarkEnd w:id="87"/>
    <w:bookmarkEnd w:id="88"/>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合同当事人不得以贿赂或变相贿赂的方式，谋取非法利益或损害对方权益。因一方合同当事人的贿赂造成对方损失的，应赔偿损失，并承担相应的法律责任。</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pPr>
        <w:pStyle w:val="6"/>
        <w:spacing w:before="120" w:after="120" w:line="360" w:lineRule="auto"/>
        <w:ind w:firstLine="420" w:firstLineChars="200"/>
        <w:rPr>
          <w:rFonts w:ascii="宋体" w:hAnsi="宋体" w:cs="仿宋_GB2312"/>
          <w:b w:val="0"/>
          <w:bCs w:val="0"/>
          <w:sz w:val="21"/>
          <w:szCs w:val="21"/>
          <w:highlight w:val="none"/>
        </w:rPr>
      </w:pPr>
      <w:bookmarkStart w:id="89" w:name="_Toc351203504"/>
      <w:r>
        <w:rPr>
          <w:rFonts w:ascii="宋体" w:hAnsi="宋体" w:cs="仿宋_GB2312"/>
          <w:b w:val="0"/>
          <w:bCs w:val="0"/>
          <w:sz w:val="21"/>
          <w:szCs w:val="21"/>
          <w:highlight w:val="none"/>
        </w:rPr>
        <w:t>1</w:t>
      </w:r>
      <w:bookmarkStart w:id="90" w:name="_Toc296346537"/>
      <w:bookmarkStart w:id="91" w:name="_Toc296503036"/>
      <w:bookmarkStart w:id="92" w:name="_Toc337558735"/>
      <w:r>
        <w:rPr>
          <w:rFonts w:ascii="宋体" w:hAnsi="宋体" w:cs="仿宋_GB2312"/>
          <w:b w:val="0"/>
          <w:bCs w:val="0"/>
          <w:sz w:val="21"/>
          <w:szCs w:val="21"/>
          <w:highlight w:val="none"/>
        </w:rPr>
        <w:t>.9化石、文物</w:t>
      </w:r>
      <w:bookmarkEnd w:id="89"/>
    </w:p>
    <w:bookmarkEnd w:id="90"/>
    <w:bookmarkEnd w:id="91"/>
    <w:bookmarkEnd w:id="92"/>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发包人、监理人和承包人应按有关政府行政管理部门要求采取妥善的保护措施，由此增加的费用和</w:t>
      </w:r>
      <w:r>
        <w:rPr>
          <w:rFonts w:hint="eastAsia" w:ascii="宋体" w:hAnsi="宋体" w:cs="仿宋_GB2312"/>
          <w:szCs w:val="21"/>
          <w:highlight w:val="none"/>
        </w:rPr>
        <w:t>（</w:t>
      </w:r>
      <w:r>
        <w:rPr>
          <w:rFonts w:ascii="宋体" w:hAnsi="宋体" w:cs="仿宋_GB2312"/>
          <w:szCs w:val="21"/>
          <w:highlight w:val="none"/>
        </w:rPr>
        <w:t>或）延误的工期由发包人承担。</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承包人发现文物后不及时报告或隐瞒不报，致使文物丢失或损坏的，应赔偿损失，并承担相应的法律责任。</w:t>
      </w:r>
    </w:p>
    <w:p>
      <w:pPr>
        <w:pStyle w:val="6"/>
        <w:spacing w:before="120" w:after="120" w:line="360" w:lineRule="auto"/>
        <w:ind w:firstLine="420" w:firstLineChars="200"/>
        <w:rPr>
          <w:rFonts w:ascii="宋体" w:hAnsi="宋体" w:cs="仿宋_GB2312"/>
          <w:b w:val="0"/>
          <w:bCs w:val="0"/>
          <w:sz w:val="21"/>
          <w:szCs w:val="21"/>
          <w:highlight w:val="none"/>
        </w:rPr>
      </w:pPr>
      <w:bookmarkStart w:id="93" w:name="_Toc351203505"/>
      <w:r>
        <w:rPr>
          <w:rFonts w:ascii="宋体" w:hAnsi="宋体" w:cs="仿宋_GB2312"/>
          <w:b w:val="0"/>
          <w:bCs w:val="0"/>
          <w:sz w:val="21"/>
          <w:szCs w:val="21"/>
          <w:highlight w:val="none"/>
        </w:rPr>
        <w:t>1</w:t>
      </w:r>
      <w:bookmarkStart w:id="94" w:name="_Toc337558736"/>
      <w:r>
        <w:rPr>
          <w:rFonts w:ascii="宋体" w:hAnsi="宋体" w:cs="仿宋_GB2312"/>
          <w:b w:val="0"/>
          <w:bCs w:val="0"/>
          <w:sz w:val="21"/>
          <w:szCs w:val="21"/>
          <w:highlight w:val="none"/>
        </w:rPr>
        <w:t>.10交通运输</w:t>
      </w:r>
      <w:bookmarkEnd w:id="93"/>
    </w:p>
    <w:bookmarkEnd w:id="94"/>
    <w:p>
      <w:pPr>
        <w:ind w:firstLine="420"/>
        <w:rPr>
          <w:rFonts w:ascii="宋体" w:hAnsi="宋体" w:cs="仿宋_GB2312"/>
          <w:szCs w:val="21"/>
          <w:highlight w:val="none"/>
        </w:rPr>
      </w:pPr>
      <w:r>
        <w:rPr>
          <w:rFonts w:ascii="宋体" w:hAnsi="宋体" w:cs="仿宋_GB2312"/>
          <w:szCs w:val="21"/>
          <w:highlight w:val="none"/>
        </w:rPr>
        <w:t>1.10.1</w:t>
      </w:r>
      <w:r>
        <w:rPr>
          <w:rFonts w:hint="eastAsia" w:ascii="宋体" w:hAnsi="宋体" w:cs="仿宋_GB2312"/>
          <w:szCs w:val="21"/>
          <w:highlight w:val="none"/>
        </w:rPr>
        <w:t xml:space="preserve"> </w:t>
      </w:r>
      <w:r>
        <w:rPr>
          <w:rFonts w:ascii="宋体" w:hAnsi="宋体" w:cs="仿宋_GB2312"/>
          <w:szCs w:val="21"/>
          <w:highlight w:val="none"/>
        </w:rPr>
        <w:t>出入现场的权利</w:t>
      </w:r>
    </w:p>
    <w:p>
      <w:pPr>
        <w:ind w:firstLine="420"/>
        <w:rPr>
          <w:rFonts w:ascii="宋体" w:hAnsi="宋体" w:cs="仿宋_GB2312"/>
          <w:szCs w:val="21"/>
          <w:highlight w:val="none"/>
        </w:rPr>
      </w:pPr>
      <w:r>
        <w:rPr>
          <w:rFonts w:ascii="宋体" w:hAnsi="宋体" w:cs="仿宋_GB2312"/>
          <w:szCs w:val="21"/>
          <w:highlight w:val="none"/>
        </w:rPr>
        <w:t>除专用合同条款另有约定外，发包人应根据施工需要，负责取得出入施工现场所需的</w:t>
      </w:r>
      <w:r>
        <w:rPr>
          <w:rFonts w:hint="eastAsia" w:ascii="宋体" w:hAnsi="宋体" w:cs="仿宋_GB2312"/>
          <w:szCs w:val="21"/>
          <w:highlight w:val="none"/>
        </w:rPr>
        <w:t>批准手续和</w:t>
      </w:r>
      <w:r>
        <w:rPr>
          <w:rFonts w:ascii="宋体" w:hAnsi="宋体" w:cs="仿宋_GB2312"/>
          <w:szCs w:val="21"/>
          <w:highlight w:val="none"/>
        </w:rPr>
        <w:t>全部权利，以及取得因施工所需修建道路、桥梁以及其他基础设施的权利，并承担相关手续费用和建设费用。承包人应协助发包人办理修建场内外道路、桥梁以及其他基础设施的手续。</w:t>
      </w:r>
    </w:p>
    <w:p>
      <w:pPr>
        <w:ind w:firstLine="420"/>
        <w:rPr>
          <w:rFonts w:ascii="宋体" w:hAnsi="宋体" w:cs="仿宋_GB2312"/>
          <w:szCs w:val="21"/>
          <w:highlight w:val="none"/>
        </w:rPr>
      </w:pPr>
      <w:r>
        <w:rPr>
          <w:rFonts w:ascii="宋体" w:hAnsi="宋体" w:cs="仿宋_GB2312"/>
          <w:szCs w:val="21"/>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pPr>
        <w:ind w:firstLine="420"/>
        <w:rPr>
          <w:rFonts w:ascii="宋体" w:hAnsi="宋体" w:cs="仿宋_GB2312"/>
          <w:szCs w:val="21"/>
          <w:highlight w:val="none"/>
        </w:rPr>
      </w:pPr>
      <w:r>
        <w:rPr>
          <w:rFonts w:ascii="宋体" w:hAnsi="宋体" w:cs="仿宋_GB2312"/>
          <w:szCs w:val="21"/>
          <w:highlight w:val="none"/>
        </w:rPr>
        <w:t>1.10.2</w:t>
      </w:r>
      <w:r>
        <w:rPr>
          <w:rFonts w:hint="eastAsia" w:ascii="宋体" w:hAnsi="宋体" w:cs="仿宋_GB2312"/>
          <w:szCs w:val="21"/>
          <w:highlight w:val="none"/>
        </w:rPr>
        <w:t xml:space="preserve"> </w:t>
      </w:r>
      <w:r>
        <w:rPr>
          <w:rFonts w:ascii="宋体" w:hAnsi="宋体" w:cs="仿宋_GB2312"/>
          <w:szCs w:val="21"/>
          <w:highlight w:val="none"/>
        </w:rPr>
        <w:t>场外交通</w:t>
      </w:r>
    </w:p>
    <w:p>
      <w:pPr>
        <w:ind w:firstLine="420"/>
        <w:rPr>
          <w:rFonts w:ascii="宋体" w:hAnsi="宋体" w:cs="仿宋_GB2312"/>
          <w:szCs w:val="21"/>
          <w:highlight w:val="none"/>
        </w:rPr>
      </w:pPr>
      <w:r>
        <w:rPr>
          <w:rFonts w:ascii="宋体" w:hAnsi="宋体" w:cs="仿宋_GB2312"/>
          <w:szCs w:val="21"/>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ind w:firstLine="420"/>
        <w:rPr>
          <w:rFonts w:ascii="宋体" w:hAnsi="宋体" w:cs="仿宋_GB2312"/>
          <w:szCs w:val="21"/>
          <w:highlight w:val="none"/>
        </w:rPr>
      </w:pPr>
      <w:r>
        <w:rPr>
          <w:rFonts w:ascii="宋体" w:hAnsi="宋体" w:cs="仿宋_GB2312"/>
          <w:szCs w:val="21"/>
          <w:highlight w:val="none"/>
        </w:rPr>
        <w:t>1.10.3场内交通</w:t>
      </w:r>
    </w:p>
    <w:p>
      <w:pPr>
        <w:ind w:firstLine="420"/>
        <w:rPr>
          <w:rFonts w:ascii="宋体" w:hAnsi="宋体" w:cs="仿宋_GB2312"/>
          <w:szCs w:val="21"/>
          <w:highlight w:val="none"/>
        </w:rPr>
      </w:pPr>
      <w:r>
        <w:rPr>
          <w:rFonts w:ascii="宋体" w:hAnsi="宋体" w:cs="仿宋_GB2312"/>
          <w:szCs w:val="21"/>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ind w:firstLine="420"/>
        <w:rPr>
          <w:rFonts w:ascii="宋体" w:hAnsi="宋体" w:cs="仿宋_GB2312"/>
          <w:szCs w:val="21"/>
          <w:highlight w:val="none"/>
        </w:rPr>
      </w:pPr>
      <w:r>
        <w:rPr>
          <w:rFonts w:ascii="宋体" w:hAnsi="宋体" w:cs="仿宋_GB2312"/>
          <w:szCs w:val="21"/>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ind w:firstLine="420"/>
        <w:rPr>
          <w:rFonts w:ascii="宋体" w:hAnsi="宋体" w:cs="仿宋_GB2312"/>
          <w:szCs w:val="21"/>
          <w:highlight w:val="none"/>
        </w:rPr>
      </w:pPr>
      <w:r>
        <w:rPr>
          <w:rFonts w:ascii="宋体" w:hAnsi="宋体" w:cs="仿宋_GB2312"/>
          <w:szCs w:val="21"/>
          <w:highlight w:val="none"/>
        </w:rPr>
        <w:t>场外交通和场内交通的边界由合同当事人在专用合同条款中约定。</w:t>
      </w:r>
    </w:p>
    <w:p>
      <w:pPr>
        <w:ind w:firstLine="420"/>
        <w:rPr>
          <w:rFonts w:ascii="宋体" w:hAnsi="宋体" w:cs="仿宋_GB2312"/>
          <w:szCs w:val="21"/>
          <w:highlight w:val="none"/>
        </w:rPr>
      </w:pPr>
      <w:r>
        <w:rPr>
          <w:rFonts w:ascii="宋体" w:hAnsi="宋体" w:cs="仿宋_GB2312"/>
          <w:szCs w:val="21"/>
          <w:highlight w:val="none"/>
        </w:rPr>
        <w:t>1.10.4</w:t>
      </w:r>
      <w:r>
        <w:rPr>
          <w:rFonts w:hint="eastAsia" w:ascii="宋体" w:hAnsi="宋体" w:cs="仿宋_GB2312"/>
          <w:szCs w:val="21"/>
          <w:highlight w:val="none"/>
        </w:rPr>
        <w:t xml:space="preserve"> </w:t>
      </w:r>
      <w:r>
        <w:rPr>
          <w:rFonts w:ascii="宋体" w:hAnsi="宋体" w:cs="仿宋_GB2312"/>
          <w:szCs w:val="21"/>
          <w:highlight w:val="none"/>
        </w:rPr>
        <w:t>超大件和超重件的运输</w:t>
      </w:r>
    </w:p>
    <w:p>
      <w:pPr>
        <w:ind w:firstLine="420"/>
        <w:rPr>
          <w:rFonts w:ascii="宋体" w:hAnsi="宋体" w:cs="仿宋_GB2312"/>
          <w:szCs w:val="21"/>
          <w:highlight w:val="none"/>
        </w:rPr>
      </w:pPr>
      <w:r>
        <w:rPr>
          <w:rFonts w:ascii="宋体" w:hAnsi="宋体" w:cs="仿宋_GB2312"/>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ind w:firstLine="420"/>
        <w:rPr>
          <w:rFonts w:ascii="宋体" w:hAnsi="宋体" w:cs="仿宋_GB2312"/>
          <w:szCs w:val="21"/>
          <w:highlight w:val="none"/>
        </w:rPr>
      </w:pPr>
      <w:r>
        <w:rPr>
          <w:rFonts w:ascii="宋体" w:hAnsi="宋体" w:cs="仿宋_GB2312"/>
          <w:szCs w:val="21"/>
          <w:highlight w:val="none"/>
        </w:rPr>
        <w:t>1.10.5</w:t>
      </w:r>
      <w:r>
        <w:rPr>
          <w:rFonts w:hint="eastAsia" w:ascii="宋体" w:hAnsi="宋体" w:cs="仿宋_GB2312"/>
          <w:szCs w:val="21"/>
          <w:highlight w:val="none"/>
        </w:rPr>
        <w:t xml:space="preserve"> </w:t>
      </w:r>
      <w:r>
        <w:rPr>
          <w:rFonts w:ascii="宋体" w:hAnsi="宋体" w:cs="仿宋_GB2312"/>
          <w:szCs w:val="21"/>
          <w:highlight w:val="none"/>
        </w:rPr>
        <w:t>道路和桥梁的损坏责任</w:t>
      </w:r>
    </w:p>
    <w:p>
      <w:pPr>
        <w:ind w:firstLine="420"/>
        <w:rPr>
          <w:rFonts w:ascii="宋体" w:hAnsi="宋体" w:cs="仿宋_GB2312"/>
          <w:szCs w:val="21"/>
          <w:highlight w:val="none"/>
        </w:rPr>
      </w:pPr>
      <w:r>
        <w:rPr>
          <w:rFonts w:ascii="宋体" w:hAnsi="宋体" w:cs="仿宋_GB2312"/>
          <w:szCs w:val="21"/>
          <w:highlight w:val="none"/>
        </w:rPr>
        <w:t>因承包人运输造成施工场地内外公共道路和桥梁损坏的，由承包人承担修复损坏的全部费用和可能引起的赔偿。</w:t>
      </w:r>
    </w:p>
    <w:p>
      <w:pPr>
        <w:ind w:firstLine="420"/>
        <w:rPr>
          <w:rFonts w:ascii="宋体" w:hAnsi="宋体" w:cs="仿宋_GB2312"/>
          <w:szCs w:val="21"/>
          <w:highlight w:val="none"/>
        </w:rPr>
      </w:pPr>
      <w:r>
        <w:rPr>
          <w:rFonts w:ascii="宋体" w:hAnsi="宋体" w:cs="仿宋_GB2312"/>
          <w:szCs w:val="21"/>
          <w:highlight w:val="none"/>
        </w:rPr>
        <w:t>1.10.6</w:t>
      </w:r>
      <w:r>
        <w:rPr>
          <w:rFonts w:hint="eastAsia" w:ascii="宋体" w:hAnsi="宋体" w:cs="仿宋_GB2312"/>
          <w:szCs w:val="21"/>
          <w:highlight w:val="none"/>
        </w:rPr>
        <w:t xml:space="preserve"> </w:t>
      </w:r>
      <w:r>
        <w:rPr>
          <w:rFonts w:ascii="宋体" w:hAnsi="宋体" w:cs="仿宋_GB2312"/>
          <w:szCs w:val="21"/>
          <w:highlight w:val="none"/>
        </w:rPr>
        <w:t>水路和航空运输</w:t>
      </w:r>
    </w:p>
    <w:p>
      <w:pPr>
        <w:ind w:firstLine="420"/>
        <w:rPr>
          <w:rFonts w:ascii="宋体" w:hAnsi="宋体" w:cs="仿宋_GB2312"/>
          <w:szCs w:val="21"/>
          <w:highlight w:val="none"/>
        </w:rPr>
      </w:pPr>
      <w:r>
        <w:rPr>
          <w:rFonts w:ascii="宋体" w:hAnsi="宋体" w:cs="仿宋_GB2312"/>
          <w:szCs w:val="21"/>
          <w:highlight w:val="none"/>
        </w:rPr>
        <w:t>本</w:t>
      </w:r>
      <w:r>
        <w:rPr>
          <w:rFonts w:hint="eastAsia" w:ascii="宋体" w:hAnsi="宋体" w:cs="仿宋_GB2312"/>
          <w:szCs w:val="21"/>
          <w:highlight w:val="none"/>
        </w:rPr>
        <w:t>款</w:t>
      </w:r>
      <w:r>
        <w:rPr>
          <w:rFonts w:ascii="宋体" w:hAnsi="宋体" w:cs="仿宋_GB2312"/>
          <w:szCs w:val="21"/>
          <w:highlight w:val="none"/>
        </w:rPr>
        <w:t>前述各</w:t>
      </w:r>
      <w:r>
        <w:rPr>
          <w:rFonts w:hint="eastAsia" w:ascii="宋体" w:hAnsi="宋体" w:cs="仿宋_GB2312"/>
          <w:szCs w:val="21"/>
          <w:highlight w:val="none"/>
        </w:rPr>
        <w:t>项</w:t>
      </w:r>
      <w:r>
        <w:rPr>
          <w:rFonts w:ascii="宋体" w:hAnsi="宋体" w:cs="仿宋_GB2312"/>
          <w:szCs w:val="21"/>
          <w:highlight w:val="none"/>
        </w:rPr>
        <w:t>的内容适用于水路运输和航空运输，其中“道路”一词的涵义包括河道、航线、船闸、机场、码头、堤防以及水路或航空运输中其他相似结构物；“车辆”一词的涵义包括船舶和飞机等。</w:t>
      </w:r>
    </w:p>
    <w:p>
      <w:pPr>
        <w:pStyle w:val="6"/>
        <w:spacing w:before="120" w:after="120" w:line="360" w:lineRule="auto"/>
        <w:ind w:firstLine="420" w:firstLineChars="200"/>
        <w:rPr>
          <w:rFonts w:ascii="宋体" w:hAnsi="宋体" w:cs="仿宋_GB2312"/>
          <w:b w:val="0"/>
          <w:bCs w:val="0"/>
          <w:sz w:val="21"/>
          <w:szCs w:val="21"/>
          <w:highlight w:val="none"/>
        </w:rPr>
      </w:pPr>
      <w:bookmarkStart w:id="95" w:name="_Toc351203506"/>
      <w:r>
        <w:rPr>
          <w:rFonts w:ascii="宋体" w:hAnsi="宋体" w:cs="仿宋_GB2312"/>
          <w:b w:val="0"/>
          <w:bCs w:val="0"/>
          <w:sz w:val="21"/>
          <w:szCs w:val="21"/>
          <w:highlight w:val="none"/>
        </w:rPr>
        <w:t>1</w:t>
      </w:r>
      <w:bookmarkStart w:id="96" w:name="_Toc337558737"/>
      <w:bookmarkStart w:id="97" w:name="_Toc296503037"/>
      <w:bookmarkStart w:id="98" w:name="_Toc296346538"/>
      <w:r>
        <w:rPr>
          <w:rFonts w:ascii="宋体" w:hAnsi="宋体" w:cs="仿宋_GB2312"/>
          <w:b w:val="0"/>
          <w:bCs w:val="0"/>
          <w:sz w:val="21"/>
          <w:szCs w:val="21"/>
          <w:highlight w:val="none"/>
        </w:rPr>
        <w:t>.11知识产权</w:t>
      </w:r>
      <w:bookmarkEnd w:id="95"/>
      <w:r>
        <w:rPr>
          <w:rFonts w:ascii="宋体" w:hAnsi="宋体" w:cs="仿宋_GB2312"/>
          <w:b w:val="0"/>
          <w:bCs w:val="0"/>
          <w:sz w:val="21"/>
          <w:szCs w:val="21"/>
          <w:highlight w:val="none"/>
        </w:rPr>
        <w:t xml:space="preserve"> </w:t>
      </w:r>
      <w:bookmarkEnd w:id="96"/>
    </w:p>
    <w:bookmarkEnd w:id="97"/>
    <w:bookmarkEnd w:id="98"/>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ind w:firstLine="315" w:firstLineChars="150"/>
        <w:rPr>
          <w:rFonts w:ascii="宋体" w:hAnsi="宋体" w:cs="仿宋_GB2312"/>
          <w:szCs w:val="21"/>
          <w:highlight w:val="none"/>
        </w:rPr>
      </w:pPr>
      <w:r>
        <w:rPr>
          <w:rFonts w:ascii="宋体" w:hAnsi="宋体" w:cs="仿宋_GB2312"/>
          <w:szCs w:val="21"/>
          <w:highlight w:val="none"/>
        </w:rPr>
        <w:t>1.11.4 除专用合同条款另有约定外，承包人在合同签订前和签订时已确定采用的专利、专有技术、技术秘密的使用费已包含在签约合同价中。</w:t>
      </w:r>
    </w:p>
    <w:p>
      <w:pPr>
        <w:pStyle w:val="6"/>
        <w:spacing w:before="120" w:after="120" w:line="360" w:lineRule="auto"/>
        <w:ind w:firstLine="420" w:firstLineChars="200"/>
        <w:rPr>
          <w:rFonts w:ascii="宋体" w:hAnsi="宋体" w:cs="仿宋_GB2312"/>
          <w:b w:val="0"/>
          <w:bCs w:val="0"/>
          <w:sz w:val="21"/>
          <w:szCs w:val="21"/>
          <w:highlight w:val="none"/>
        </w:rPr>
      </w:pPr>
      <w:bookmarkStart w:id="99" w:name="_Toc351203507"/>
      <w:r>
        <w:rPr>
          <w:rFonts w:ascii="宋体" w:hAnsi="宋体" w:cs="仿宋_GB2312"/>
          <w:b w:val="0"/>
          <w:bCs w:val="0"/>
          <w:sz w:val="21"/>
          <w:szCs w:val="21"/>
          <w:highlight w:val="none"/>
        </w:rPr>
        <w:t>1</w:t>
      </w:r>
      <w:bookmarkStart w:id="100" w:name="_Toc337558738"/>
      <w:r>
        <w:rPr>
          <w:rFonts w:ascii="宋体" w:hAnsi="宋体" w:cs="仿宋_GB2312"/>
          <w:b w:val="0"/>
          <w:bCs w:val="0"/>
          <w:sz w:val="21"/>
          <w:szCs w:val="21"/>
          <w:highlight w:val="none"/>
        </w:rPr>
        <w:t>.12保密</w:t>
      </w:r>
      <w:bookmarkEnd w:id="99"/>
    </w:p>
    <w:bookmarkEnd w:id="100"/>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除法律规定或合同另有约定外，未经发包人同意，承包人不得将发包人提供的图纸、文件以及声明需要保密的资料信息等商业秘密泄露给第三方。</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除法律规定或合同另有约定外，未经承包人同意，发包人不得将承包人提供的技术秘密及声明需要保密的资料信息等商业秘密泄露给第三方。</w:t>
      </w:r>
    </w:p>
    <w:p>
      <w:pPr>
        <w:pStyle w:val="6"/>
        <w:spacing w:before="120" w:after="120" w:line="360" w:lineRule="auto"/>
        <w:ind w:firstLine="420" w:firstLineChars="200"/>
        <w:rPr>
          <w:rFonts w:ascii="宋体" w:hAnsi="宋体" w:cs="仿宋_GB2312"/>
          <w:b w:val="0"/>
          <w:bCs w:val="0"/>
          <w:sz w:val="21"/>
          <w:szCs w:val="21"/>
          <w:highlight w:val="none"/>
        </w:rPr>
      </w:pPr>
      <w:bookmarkStart w:id="101" w:name="_Toc351203508"/>
      <w:r>
        <w:rPr>
          <w:rFonts w:ascii="宋体" w:hAnsi="宋体" w:cs="仿宋_GB2312"/>
          <w:b w:val="0"/>
          <w:bCs w:val="0"/>
          <w:sz w:val="21"/>
          <w:szCs w:val="21"/>
          <w:highlight w:val="none"/>
        </w:rPr>
        <w:t>1.13工程量清单错误的修正</w:t>
      </w:r>
      <w:bookmarkEnd w:id="101"/>
    </w:p>
    <w:p>
      <w:pPr>
        <w:autoSpaceDE w:val="0"/>
        <w:autoSpaceDN w:val="0"/>
        <w:adjustRightInd w:val="0"/>
        <w:ind w:firstLine="420"/>
        <w:rPr>
          <w:rFonts w:ascii="宋体" w:hAnsi="宋体" w:cs="仿宋_GB2312"/>
          <w:szCs w:val="21"/>
          <w:highlight w:val="none"/>
        </w:rPr>
      </w:pPr>
      <w:r>
        <w:rPr>
          <w:rFonts w:hint="eastAsia" w:ascii="宋体" w:hAnsi="宋体" w:cs="仿宋_GB2312"/>
          <w:szCs w:val="21"/>
          <w:highlight w:val="none"/>
        </w:rPr>
        <w:t>除专用合同条款另有约定外，</w:t>
      </w:r>
      <w:r>
        <w:rPr>
          <w:rFonts w:ascii="宋体" w:hAnsi="宋体" w:cs="仿宋_GB2312"/>
          <w:szCs w:val="21"/>
          <w:highlight w:val="none"/>
        </w:rPr>
        <w:t>发包人提供的工程量清单，应被认为是准确的和完整的。出现下列情形之一时，发包人应予以修正，并相应调整合同价格：</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（1）工程量清单存在缺项、漏项的；</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（2）工程量清单偏差超出专用合同条款约定的工程量偏差范围的；</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（3）未按照国家现行计量规范强制性规定计量的。</w:t>
      </w:r>
    </w:p>
    <w:p>
      <w:pPr>
        <w:pStyle w:val="5"/>
        <w:spacing w:before="120" w:after="120"/>
        <w:ind w:firstLine="420"/>
        <w:rPr>
          <w:rFonts w:ascii="宋体" w:hAnsi="宋体" w:cs="仿宋_GB2312"/>
          <w:bCs w:val="0"/>
          <w:szCs w:val="21"/>
          <w:highlight w:val="none"/>
        </w:rPr>
      </w:pPr>
      <w:bookmarkStart w:id="102" w:name="_Toc351203509"/>
      <w:r>
        <w:rPr>
          <w:rFonts w:ascii="宋体" w:hAnsi="宋体" w:cs="仿宋_GB2312"/>
          <w:bCs w:val="0"/>
          <w:szCs w:val="21"/>
          <w:highlight w:val="none"/>
        </w:rPr>
        <w:t>2</w:t>
      </w:r>
      <w:bookmarkStart w:id="103" w:name="_Toc296346539"/>
      <w:bookmarkStart w:id="104" w:name="_Toc296503038"/>
      <w:bookmarkStart w:id="105" w:name="_Toc337558739"/>
      <w:bookmarkStart w:id="106" w:name="OLE_LINK2"/>
      <w:r>
        <w:rPr>
          <w:rFonts w:ascii="宋体" w:hAnsi="宋体" w:cs="仿宋_GB2312"/>
          <w:bCs w:val="0"/>
          <w:szCs w:val="21"/>
          <w:highlight w:val="none"/>
        </w:rPr>
        <w:t>. 发包人</w:t>
      </w:r>
      <w:bookmarkEnd w:id="102"/>
    </w:p>
    <w:bookmarkEnd w:id="103"/>
    <w:bookmarkEnd w:id="104"/>
    <w:bookmarkEnd w:id="105"/>
    <w:p>
      <w:pPr>
        <w:pStyle w:val="6"/>
        <w:spacing w:before="120" w:after="120" w:line="360" w:lineRule="auto"/>
        <w:ind w:firstLine="420" w:firstLineChars="200"/>
        <w:rPr>
          <w:rFonts w:ascii="宋体" w:hAnsi="宋体" w:cs="仿宋_GB2312"/>
          <w:b w:val="0"/>
          <w:bCs w:val="0"/>
          <w:sz w:val="21"/>
          <w:szCs w:val="21"/>
          <w:highlight w:val="none"/>
        </w:rPr>
      </w:pPr>
      <w:bookmarkStart w:id="107" w:name="_Toc351203510"/>
      <w:r>
        <w:rPr>
          <w:rFonts w:ascii="宋体" w:hAnsi="宋体" w:cs="仿宋_GB2312"/>
          <w:b w:val="0"/>
          <w:bCs w:val="0"/>
          <w:sz w:val="21"/>
          <w:szCs w:val="21"/>
          <w:highlight w:val="none"/>
        </w:rPr>
        <w:t>2</w:t>
      </w:r>
      <w:bookmarkStart w:id="108" w:name="_Toc296346540"/>
      <w:bookmarkStart w:id="109" w:name="_Toc337558740"/>
      <w:bookmarkStart w:id="110" w:name="_Toc296503039"/>
      <w:r>
        <w:rPr>
          <w:rFonts w:ascii="宋体" w:hAnsi="宋体" w:cs="仿宋_GB2312"/>
          <w:b w:val="0"/>
          <w:bCs w:val="0"/>
          <w:sz w:val="21"/>
          <w:szCs w:val="21"/>
          <w:highlight w:val="none"/>
        </w:rPr>
        <w:t>.1 许可或批准</w:t>
      </w:r>
      <w:bookmarkEnd w:id="107"/>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因发包人原因未能及时办理完毕前述许可、批准或备案，由发包人承担由此增加的费用和（或）延误的工期，并支付承包人合理的利润。</w:t>
      </w:r>
    </w:p>
    <w:p>
      <w:pPr>
        <w:pStyle w:val="6"/>
        <w:spacing w:before="120" w:after="120" w:line="360" w:lineRule="auto"/>
        <w:ind w:firstLine="420" w:firstLineChars="200"/>
        <w:rPr>
          <w:rFonts w:ascii="宋体" w:hAnsi="宋体" w:cs="仿宋_GB2312"/>
          <w:b w:val="0"/>
          <w:bCs w:val="0"/>
          <w:sz w:val="21"/>
          <w:szCs w:val="21"/>
          <w:highlight w:val="none"/>
        </w:rPr>
      </w:pPr>
      <w:bookmarkStart w:id="111" w:name="_Toc351203511"/>
      <w:r>
        <w:rPr>
          <w:rFonts w:ascii="宋体" w:hAnsi="宋体" w:cs="仿宋_GB2312"/>
          <w:b w:val="0"/>
          <w:bCs w:val="0"/>
          <w:sz w:val="21"/>
          <w:szCs w:val="21"/>
          <w:highlight w:val="none"/>
        </w:rPr>
        <w:t>2.2 发包人代表</w:t>
      </w:r>
      <w:bookmarkEnd w:id="111"/>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ind w:firstLine="420"/>
        <w:rPr>
          <w:rFonts w:ascii="宋体" w:hAnsi="宋体" w:cs="仿宋_GB2312"/>
          <w:szCs w:val="21"/>
          <w:highlight w:val="none"/>
        </w:rPr>
      </w:pPr>
      <w:r>
        <w:rPr>
          <w:rFonts w:ascii="宋体" w:hAnsi="宋体" w:cs="仿宋_GB2312"/>
          <w:szCs w:val="21"/>
          <w:highlight w:val="none"/>
        </w:rPr>
        <w:t>发包人代表不能按照合同约定履行其职责及义务，并导致合同无法继续正常履行的，承包人可以要求发包人撤换发包人代表。</w:t>
      </w:r>
    </w:p>
    <w:p>
      <w:pPr>
        <w:ind w:firstLine="420"/>
        <w:rPr>
          <w:rFonts w:ascii="宋体" w:hAnsi="宋体" w:cs="仿宋_GB2312"/>
          <w:szCs w:val="21"/>
          <w:highlight w:val="none"/>
        </w:rPr>
      </w:pPr>
      <w:r>
        <w:rPr>
          <w:rFonts w:hint="eastAsia" w:ascii="宋体" w:hAnsi="宋体" w:cs="仿宋_GB2312"/>
          <w:szCs w:val="21"/>
          <w:highlight w:val="none"/>
        </w:rPr>
        <w:t>不属于法定必须监理的工程，监理人的职权可以由发包人代表或发包人指定的其他人员行使。</w:t>
      </w:r>
    </w:p>
    <w:p>
      <w:pPr>
        <w:pStyle w:val="6"/>
        <w:spacing w:before="120" w:after="120" w:line="360" w:lineRule="auto"/>
        <w:ind w:firstLine="420" w:firstLineChars="200"/>
        <w:rPr>
          <w:rFonts w:ascii="宋体" w:hAnsi="宋体" w:cs="仿宋_GB2312"/>
          <w:b w:val="0"/>
          <w:bCs w:val="0"/>
          <w:sz w:val="21"/>
          <w:szCs w:val="21"/>
          <w:highlight w:val="none"/>
        </w:rPr>
      </w:pPr>
      <w:bookmarkStart w:id="112" w:name="_Toc351203512"/>
      <w:r>
        <w:rPr>
          <w:rFonts w:ascii="宋体" w:hAnsi="宋体" w:cs="仿宋_GB2312"/>
          <w:b w:val="0"/>
          <w:bCs w:val="0"/>
          <w:sz w:val="21"/>
          <w:szCs w:val="21"/>
          <w:highlight w:val="none"/>
        </w:rPr>
        <w:t>2.3 发包人人员</w:t>
      </w:r>
      <w:bookmarkEnd w:id="112"/>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发包人应要求在施工现场的发包人人员遵守法律及有关安全、质量、环境保护、文明施工等规定，并保障承包人免于承受因发包人人员未遵守上述要求给承包人造成的损失和责任。</w:t>
      </w:r>
    </w:p>
    <w:p>
      <w:pPr>
        <w:ind w:firstLine="420"/>
        <w:rPr>
          <w:rFonts w:ascii="宋体" w:hAnsi="宋体" w:cs="仿宋_GB2312"/>
          <w:szCs w:val="21"/>
          <w:highlight w:val="none"/>
        </w:rPr>
      </w:pPr>
      <w:r>
        <w:rPr>
          <w:rFonts w:ascii="宋体" w:hAnsi="宋体" w:cs="仿宋_GB2312"/>
          <w:szCs w:val="21"/>
          <w:highlight w:val="none"/>
        </w:rPr>
        <w:t>发包人人员包括发包人代表及其他由发包人派驻施工现场的人员。</w:t>
      </w:r>
      <w:bookmarkEnd w:id="108"/>
      <w:bookmarkEnd w:id="109"/>
      <w:bookmarkEnd w:id="110"/>
    </w:p>
    <w:p>
      <w:pPr>
        <w:pStyle w:val="6"/>
        <w:spacing w:before="120" w:after="120" w:line="360" w:lineRule="auto"/>
        <w:ind w:firstLine="420" w:firstLineChars="200"/>
        <w:rPr>
          <w:rFonts w:ascii="宋体" w:hAnsi="宋体" w:cs="仿宋_GB2312"/>
          <w:b w:val="0"/>
          <w:bCs w:val="0"/>
          <w:sz w:val="21"/>
          <w:szCs w:val="21"/>
          <w:highlight w:val="none"/>
        </w:rPr>
      </w:pPr>
      <w:bookmarkStart w:id="113" w:name="_Toc351203513"/>
      <w:r>
        <w:rPr>
          <w:rFonts w:ascii="宋体" w:hAnsi="宋体" w:cs="仿宋_GB2312"/>
          <w:b w:val="0"/>
          <w:bCs w:val="0"/>
          <w:sz w:val="21"/>
          <w:szCs w:val="21"/>
          <w:highlight w:val="none"/>
        </w:rPr>
        <w:t>2</w:t>
      </w:r>
      <w:bookmarkStart w:id="114" w:name="_Toc337558741"/>
      <w:bookmarkStart w:id="115" w:name="_Toc296346541"/>
      <w:bookmarkStart w:id="116" w:name="_Toc296503040"/>
      <w:r>
        <w:rPr>
          <w:rFonts w:ascii="宋体" w:hAnsi="宋体" w:cs="仿宋_GB2312"/>
          <w:b w:val="0"/>
          <w:bCs w:val="0"/>
          <w:sz w:val="21"/>
          <w:szCs w:val="21"/>
          <w:highlight w:val="none"/>
        </w:rPr>
        <w:t>.4 施工现场、施工条件和基础资料的提供</w:t>
      </w:r>
      <w:bookmarkEnd w:id="113"/>
      <w:r>
        <w:rPr>
          <w:rFonts w:ascii="宋体" w:hAnsi="宋体" w:cs="仿宋_GB2312"/>
          <w:b w:val="0"/>
          <w:bCs w:val="0"/>
          <w:sz w:val="21"/>
          <w:szCs w:val="21"/>
          <w:highlight w:val="none"/>
        </w:rPr>
        <w:t xml:space="preserve"> </w:t>
      </w:r>
      <w:bookmarkEnd w:id="114"/>
      <w:bookmarkEnd w:id="115"/>
      <w:bookmarkEnd w:id="116"/>
      <w:r>
        <w:rPr>
          <w:rFonts w:ascii="宋体" w:hAnsi="宋体" w:cs="仿宋_GB2312"/>
          <w:b w:val="0"/>
          <w:bCs w:val="0"/>
          <w:sz w:val="21"/>
          <w:szCs w:val="21"/>
          <w:highlight w:val="none"/>
        </w:rPr>
        <w:t xml:space="preserve"> </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2.4.1 提供施工现场</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除</w:t>
      </w:r>
      <w:bookmarkEnd w:id="106"/>
      <w:r>
        <w:rPr>
          <w:rFonts w:ascii="宋体" w:hAnsi="宋体" w:cs="仿宋_GB2312"/>
          <w:szCs w:val="21"/>
          <w:highlight w:val="none"/>
        </w:rPr>
        <w:t>专用合同条款另有约定外，发包人应</w:t>
      </w:r>
      <w:r>
        <w:rPr>
          <w:rFonts w:hint="eastAsia" w:ascii="宋体" w:hAnsi="宋体" w:cs="仿宋_GB2312"/>
          <w:szCs w:val="21"/>
          <w:highlight w:val="none"/>
        </w:rPr>
        <w:t>最迟于</w:t>
      </w:r>
      <w:r>
        <w:rPr>
          <w:rFonts w:ascii="宋体" w:hAnsi="宋体" w:cs="仿宋_GB2312"/>
          <w:szCs w:val="21"/>
          <w:highlight w:val="none"/>
        </w:rPr>
        <w:t>开工日期7天前向承包人移交施工现场。</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2.4.2 提供施工条件</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除专用合同条款另有约定外，发包人应负责提供施工所需要的条件，包括：</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（1）将施工用水、电力、通讯线路等施工所必需的条件接至施工现场内；</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（2）保证向承包人提供正常施工所需要的进入施工现场的交通条件；</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（3）协调处理施工现场周围地下管线和邻近建筑物、构筑物、古树名木的保护工作，并承担相关费用；</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（4）按照专用合同条款约定</w:t>
      </w:r>
      <w:r>
        <w:rPr>
          <w:rFonts w:hint="eastAsia" w:ascii="宋体" w:hAnsi="宋体" w:cs="仿宋_GB2312"/>
          <w:szCs w:val="21"/>
          <w:highlight w:val="none"/>
        </w:rPr>
        <w:t>应</w:t>
      </w:r>
      <w:r>
        <w:rPr>
          <w:rFonts w:ascii="宋体" w:hAnsi="宋体" w:cs="仿宋_GB2312"/>
          <w:szCs w:val="21"/>
          <w:highlight w:val="none"/>
        </w:rPr>
        <w:t>提供的其他设施和条件。</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2.4.3 提供基础资料</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autoSpaceDE w:val="0"/>
        <w:autoSpaceDN w:val="0"/>
        <w:adjustRightInd w:val="0"/>
        <w:ind w:firstLine="420"/>
        <w:rPr>
          <w:rFonts w:ascii="宋体" w:hAnsi="宋体" w:cs="仿宋_GB2312"/>
          <w:szCs w:val="21"/>
          <w:highlight w:val="none"/>
        </w:rPr>
      </w:pPr>
      <w:r>
        <w:rPr>
          <w:rFonts w:hint="eastAsia" w:ascii="宋体" w:hAnsi="宋体" w:cs="仿宋_GB2312"/>
          <w:szCs w:val="21"/>
          <w:highlight w:val="none"/>
        </w:rPr>
        <w:t>按照法律规定确需在开工后方能提供的基础资料，发包人应尽其努力及时地在相应工程施工前的合理期限内提供，合理期限应以不影响承包人的正常施工为限。</w:t>
      </w:r>
    </w:p>
    <w:p>
      <w:pPr>
        <w:ind w:firstLine="420"/>
        <w:rPr>
          <w:rFonts w:ascii="宋体" w:hAnsi="宋体" w:cs="仿宋_GB2312"/>
          <w:szCs w:val="21"/>
          <w:highlight w:val="none"/>
        </w:rPr>
      </w:pPr>
      <w:r>
        <w:rPr>
          <w:rFonts w:ascii="宋体" w:hAnsi="宋体" w:cs="仿宋_GB2312"/>
          <w:szCs w:val="21"/>
          <w:highlight w:val="none"/>
        </w:rPr>
        <w:t>2.4.4 逾期提供的责任</w:t>
      </w:r>
    </w:p>
    <w:p>
      <w:pPr>
        <w:ind w:firstLine="420"/>
        <w:rPr>
          <w:rFonts w:ascii="宋体" w:hAnsi="宋体" w:cs="仿宋_GB2312"/>
          <w:szCs w:val="21"/>
          <w:highlight w:val="none"/>
        </w:rPr>
      </w:pPr>
      <w:r>
        <w:rPr>
          <w:rFonts w:ascii="宋体" w:hAnsi="宋体" w:cs="仿宋_GB2312"/>
          <w:szCs w:val="21"/>
          <w:highlight w:val="none"/>
        </w:rPr>
        <w:t>因发包人原因未能按合同约定及时向承包人提供施工现场、施工条件、基础资料的，由发包人承担由此增加的费用和（或）延误的工期。</w:t>
      </w:r>
    </w:p>
    <w:p>
      <w:pPr>
        <w:pStyle w:val="6"/>
        <w:spacing w:before="120" w:after="120" w:line="360" w:lineRule="auto"/>
        <w:ind w:firstLine="420" w:firstLineChars="200"/>
        <w:rPr>
          <w:rFonts w:ascii="宋体" w:hAnsi="宋体" w:cs="仿宋_GB2312"/>
          <w:b w:val="0"/>
          <w:bCs w:val="0"/>
          <w:sz w:val="21"/>
          <w:szCs w:val="21"/>
          <w:highlight w:val="none"/>
        </w:rPr>
      </w:pPr>
      <w:bookmarkStart w:id="117" w:name="_Toc351203514"/>
      <w:r>
        <w:rPr>
          <w:rFonts w:ascii="宋体" w:hAnsi="宋体" w:cs="仿宋_GB2312"/>
          <w:b w:val="0"/>
          <w:bCs w:val="0"/>
          <w:sz w:val="21"/>
          <w:szCs w:val="21"/>
          <w:highlight w:val="none"/>
        </w:rPr>
        <w:t>2</w:t>
      </w:r>
      <w:bookmarkStart w:id="118" w:name="_Toc296503042"/>
      <w:bookmarkStart w:id="119" w:name="_Toc337558745"/>
      <w:bookmarkStart w:id="120" w:name="_Toc296346543"/>
      <w:r>
        <w:rPr>
          <w:rFonts w:ascii="宋体" w:hAnsi="宋体" w:cs="仿宋_GB2312"/>
          <w:b w:val="0"/>
          <w:bCs w:val="0"/>
          <w:sz w:val="21"/>
          <w:szCs w:val="21"/>
          <w:highlight w:val="none"/>
        </w:rPr>
        <w:t>.5 资</w:t>
      </w:r>
      <w:bookmarkEnd w:id="118"/>
      <w:bookmarkEnd w:id="119"/>
      <w:bookmarkEnd w:id="120"/>
      <w:r>
        <w:rPr>
          <w:rFonts w:ascii="宋体" w:hAnsi="宋体" w:cs="仿宋_GB2312"/>
          <w:b w:val="0"/>
          <w:bCs w:val="0"/>
          <w:sz w:val="21"/>
          <w:szCs w:val="21"/>
          <w:highlight w:val="none"/>
        </w:rPr>
        <w:t>金来源证明及支付担保</w:t>
      </w:r>
      <w:bookmarkEnd w:id="117"/>
    </w:p>
    <w:p>
      <w:pPr>
        <w:ind w:firstLine="420"/>
        <w:rPr>
          <w:rFonts w:ascii="宋体" w:hAnsi="宋体" w:cs="仿宋_GB2312"/>
          <w:szCs w:val="21"/>
          <w:highlight w:val="none"/>
        </w:rPr>
      </w:pPr>
      <w:r>
        <w:rPr>
          <w:rFonts w:ascii="宋体" w:hAnsi="宋体" w:cs="仿宋_GB2312"/>
          <w:szCs w:val="21"/>
          <w:highlight w:val="none"/>
        </w:rPr>
        <w:t>除专用合同条款另有约定外，发包人应在收到承包人要求提供资金来源证明的书面通知后28天内，向承包人提供能够按照合同约定支付合同价款的相应资金来源证明。</w:t>
      </w:r>
    </w:p>
    <w:p>
      <w:pPr>
        <w:ind w:firstLine="420"/>
        <w:rPr>
          <w:rFonts w:ascii="宋体" w:hAnsi="宋体" w:cs="仿宋_GB2312"/>
          <w:szCs w:val="21"/>
          <w:highlight w:val="none"/>
        </w:rPr>
      </w:pPr>
      <w:r>
        <w:rPr>
          <w:rFonts w:ascii="宋体" w:hAnsi="宋体" w:cs="仿宋_GB2312"/>
          <w:szCs w:val="21"/>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pPr>
        <w:pStyle w:val="6"/>
        <w:spacing w:before="120" w:after="120" w:line="360" w:lineRule="auto"/>
        <w:ind w:firstLine="420" w:firstLineChars="200"/>
        <w:rPr>
          <w:rFonts w:ascii="宋体" w:hAnsi="宋体" w:cs="仿宋_GB2312"/>
          <w:b w:val="0"/>
          <w:bCs w:val="0"/>
          <w:sz w:val="21"/>
          <w:szCs w:val="21"/>
          <w:highlight w:val="none"/>
        </w:rPr>
      </w:pPr>
      <w:bookmarkStart w:id="121" w:name="_Toc351203515"/>
      <w:r>
        <w:rPr>
          <w:rFonts w:ascii="宋体" w:hAnsi="宋体" w:cs="仿宋_GB2312"/>
          <w:b w:val="0"/>
          <w:bCs w:val="0"/>
          <w:sz w:val="21"/>
          <w:szCs w:val="21"/>
          <w:highlight w:val="none"/>
        </w:rPr>
        <w:t>2.6 支付合同价款</w:t>
      </w:r>
      <w:bookmarkEnd w:id="121"/>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发包人应按合同约定向承包人及时支付合同价款。</w:t>
      </w:r>
    </w:p>
    <w:p>
      <w:pPr>
        <w:pStyle w:val="6"/>
        <w:spacing w:before="120" w:after="120" w:line="360" w:lineRule="auto"/>
        <w:ind w:firstLine="420" w:firstLineChars="200"/>
        <w:rPr>
          <w:rFonts w:ascii="宋体" w:hAnsi="宋体" w:cs="仿宋_GB2312"/>
          <w:b w:val="0"/>
          <w:bCs w:val="0"/>
          <w:sz w:val="21"/>
          <w:szCs w:val="21"/>
          <w:highlight w:val="none"/>
        </w:rPr>
      </w:pPr>
      <w:bookmarkStart w:id="122" w:name="_Toc351203516"/>
      <w:r>
        <w:rPr>
          <w:rFonts w:ascii="宋体" w:hAnsi="宋体" w:cs="仿宋_GB2312"/>
          <w:b w:val="0"/>
          <w:bCs w:val="0"/>
          <w:sz w:val="21"/>
          <w:szCs w:val="21"/>
          <w:highlight w:val="none"/>
        </w:rPr>
        <w:t>2.7 组织竣工验收</w:t>
      </w:r>
      <w:bookmarkEnd w:id="122"/>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发包人应按合同约定及时组织竣工验收。</w:t>
      </w:r>
    </w:p>
    <w:p>
      <w:pPr>
        <w:pStyle w:val="6"/>
        <w:spacing w:before="120" w:after="120" w:line="360" w:lineRule="auto"/>
        <w:ind w:firstLine="420" w:firstLineChars="200"/>
        <w:rPr>
          <w:rFonts w:ascii="宋体" w:hAnsi="宋体" w:cs="仿宋_GB2312"/>
          <w:b w:val="0"/>
          <w:bCs w:val="0"/>
          <w:sz w:val="21"/>
          <w:szCs w:val="21"/>
          <w:highlight w:val="none"/>
        </w:rPr>
      </w:pPr>
      <w:bookmarkStart w:id="123" w:name="_Toc351203517"/>
      <w:r>
        <w:rPr>
          <w:rFonts w:ascii="宋体" w:hAnsi="宋体" w:cs="仿宋_GB2312"/>
          <w:b w:val="0"/>
          <w:bCs w:val="0"/>
          <w:sz w:val="21"/>
          <w:szCs w:val="21"/>
          <w:highlight w:val="none"/>
        </w:rPr>
        <w:t>2.8 现场统一管理协议</w:t>
      </w:r>
      <w:bookmarkEnd w:id="123"/>
    </w:p>
    <w:p>
      <w:pPr>
        <w:ind w:firstLine="420"/>
        <w:rPr>
          <w:rFonts w:ascii="宋体" w:hAnsi="宋体" w:cs="仿宋_GB2312"/>
          <w:szCs w:val="21"/>
          <w:highlight w:val="none"/>
        </w:rPr>
      </w:pPr>
      <w:r>
        <w:rPr>
          <w:rFonts w:ascii="宋体" w:hAnsi="宋体" w:cs="仿宋_GB2312"/>
          <w:szCs w:val="21"/>
          <w:highlight w:val="none"/>
        </w:rPr>
        <w:t>发包人应与承包人、由发包人直接发包的专业工程的承包人签订施工现场统一管理协议，明确各方的权利义务。施工现场统一管理协议作为专用合同条款的附件。</w:t>
      </w:r>
    </w:p>
    <w:p>
      <w:pPr>
        <w:pStyle w:val="5"/>
        <w:spacing w:before="120" w:after="120"/>
        <w:ind w:firstLine="420"/>
        <w:rPr>
          <w:rFonts w:ascii="宋体" w:hAnsi="宋体" w:cs="仿宋_GB2312"/>
          <w:bCs w:val="0"/>
          <w:szCs w:val="21"/>
          <w:highlight w:val="none"/>
        </w:rPr>
      </w:pPr>
      <w:bookmarkStart w:id="124" w:name="_Toc351203518"/>
      <w:r>
        <w:rPr>
          <w:rFonts w:ascii="宋体" w:hAnsi="宋体" w:cs="仿宋_GB2312"/>
          <w:bCs w:val="0"/>
          <w:szCs w:val="21"/>
          <w:highlight w:val="none"/>
        </w:rPr>
        <w:t>3</w:t>
      </w:r>
      <w:bookmarkStart w:id="125" w:name="_Toc296503045"/>
      <w:bookmarkStart w:id="126" w:name="_Toc337558746"/>
      <w:bookmarkStart w:id="127" w:name="_Toc296346546"/>
      <w:r>
        <w:rPr>
          <w:rFonts w:ascii="宋体" w:hAnsi="宋体" w:cs="仿宋_GB2312"/>
          <w:bCs w:val="0"/>
          <w:szCs w:val="21"/>
          <w:highlight w:val="none"/>
        </w:rPr>
        <w:t>. 承包人</w:t>
      </w:r>
      <w:bookmarkEnd w:id="124"/>
    </w:p>
    <w:bookmarkEnd w:id="125"/>
    <w:bookmarkEnd w:id="126"/>
    <w:bookmarkEnd w:id="127"/>
    <w:p>
      <w:pPr>
        <w:pStyle w:val="6"/>
        <w:spacing w:before="120" w:after="120" w:line="360" w:lineRule="auto"/>
        <w:ind w:firstLine="420" w:firstLineChars="200"/>
        <w:rPr>
          <w:rFonts w:ascii="宋体" w:hAnsi="宋体" w:cs="仿宋_GB2312"/>
          <w:b w:val="0"/>
          <w:bCs w:val="0"/>
          <w:sz w:val="21"/>
          <w:szCs w:val="21"/>
          <w:highlight w:val="none"/>
        </w:rPr>
      </w:pPr>
      <w:bookmarkStart w:id="128" w:name="_Toc351203519"/>
      <w:r>
        <w:rPr>
          <w:rFonts w:ascii="宋体" w:hAnsi="宋体" w:cs="仿宋_GB2312"/>
          <w:b w:val="0"/>
          <w:bCs w:val="0"/>
          <w:sz w:val="21"/>
          <w:szCs w:val="21"/>
          <w:highlight w:val="none"/>
        </w:rPr>
        <w:t>3</w:t>
      </w:r>
      <w:bookmarkStart w:id="129" w:name="_Toc337558747"/>
      <w:bookmarkStart w:id="130" w:name="_Toc296346547"/>
      <w:bookmarkStart w:id="131" w:name="_Toc296503046"/>
      <w:r>
        <w:rPr>
          <w:rFonts w:ascii="宋体" w:hAnsi="宋体" w:cs="仿宋_GB2312"/>
          <w:b w:val="0"/>
          <w:bCs w:val="0"/>
          <w:sz w:val="21"/>
          <w:szCs w:val="21"/>
          <w:highlight w:val="none"/>
        </w:rPr>
        <w:t>.1 承包人的一般义务</w:t>
      </w:r>
      <w:bookmarkEnd w:id="128"/>
    </w:p>
    <w:bookmarkEnd w:id="129"/>
    <w:bookmarkEnd w:id="130"/>
    <w:bookmarkEnd w:id="131"/>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承包人在履行合同过程中应遵守法律和工程建设标准规范，并履行以下义务：</w:t>
      </w:r>
    </w:p>
    <w:p>
      <w:pPr>
        <w:numPr>
          <w:ilvl w:val="0"/>
          <w:numId w:val="4"/>
        </w:numPr>
        <w:autoSpaceDE w:val="0"/>
        <w:autoSpaceDN w:val="0"/>
        <w:adjustRightInd w:val="0"/>
        <w:ind w:firstLine="420"/>
        <w:jc w:val="left"/>
        <w:rPr>
          <w:rFonts w:ascii="宋体" w:hAnsi="宋体" w:cs="仿宋_GB2312"/>
          <w:szCs w:val="21"/>
          <w:highlight w:val="none"/>
        </w:rPr>
      </w:pPr>
      <w:r>
        <w:rPr>
          <w:rFonts w:ascii="宋体" w:hAnsi="宋体" w:cs="仿宋_GB2312"/>
          <w:szCs w:val="21"/>
          <w:highlight w:val="none"/>
        </w:rPr>
        <w:t>办理法律规定</w:t>
      </w:r>
      <w:r>
        <w:rPr>
          <w:rFonts w:hint="eastAsia" w:ascii="宋体" w:hAnsi="宋体" w:cs="仿宋_GB2312"/>
          <w:szCs w:val="21"/>
          <w:highlight w:val="none"/>
        </w:rPr>
        <w:t>应</w:t>
      </w:r>
      <w:r>
        <w:rPr>
          <w:rFonts w:ascii="宋体" w:hAnsi="宋体" w:cs="仿宋_GB2312"/>
          <w:szCs w:val="21"/>
          <w:highlight w:val="none"/>
        </w:rPr>
        <w:t>由承包人办理的许可和批准，并将</w:t>
      </w:r>
      <w:r>
        <w:rPr>
          <w:rFonts w:hint="eastAsia" w:ascii="宋体" w:hAnsi="宋体" w:cs="仿宋_GB2312"/>
          <w:szCs w:val="21"/>
          <w:highlight w:val="none"/>
        </w:rPr>
        <w:t>办理</w:t>
      </w:r>
      <w:r>
        <w:rPr>
          <w:rFonts w:ascii="宋体" w:hAnsi="宋体" w:cs="仿宋_GB2312"/>
          <w:szCs w:val="21"/>
          <w:highlight w:val="none"/>
        </w:rPr>
        <w:t>结果书面报送发包人留存；</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（2）按法律规定和合同约定完成工程，并在保修期内承担保修义务；</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（3）按法律规定和合同约定采取施工安全和环境保护措施，办理工伤保险，确保工程及人员、材料、设备和设施的安全；</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（4）按合同约定的工作内容和施工进度要求，编制施工组织设计和施工措施计划，并对所有施工作业和施工方法的完备性和安全可靠性负责；</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（6）按照第6.3款</w:t>
      </w:r>
      <w:r>
        <w:rPr>
          <w:rFonts w:hint="eastAsia" w:ascii="宋体" w:hAnsi="宋体" w:cs="仿宋_GB2312"/>
          <w:szCs w:val="21"/>
          <w:highlight w:val="none"/>
        </w:rPr>
        <w:t>〔</w:t>
      </w:r>
      <w:r>
        <w:rPr>
          <w:rFonts w:ascii="宋体" w:hAnsi="宋体" w:cs="仿宋_GB2312"/>
          <w:szCs w:val="21"/>
          <w:highlight w:val="none"/>
        </w:rPr>
        <w:t>环境保护</w:t>
      </w:r>
      <w:r>
        <w:rPr>
          <w:rFonts w:hint="eastAsia" w:ascii="宋体" w:hAnsi="宋体" w:cs="仿宋_GB2312"/>
          <w:szCs w:val="21"/>
          <w:highlight w:val="none"/>
        </w:rPr>
        <w:t>〕</w:t>
      </w:r>
      <w:r>
        <w:rPr>
          <w:rFonts w:ascii="宋体" w:hAnsi="宋体" w:cs="仿宋_GB2312"/>
          <w:szCs w:val="21"/>
          <w:highlight w:val="none"/>
        </w:rPr>
        <w:t>约定负责施工场地及其周边环境与生态的保护工作；</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（7）按第6.1款</w:t>
      </w:r>
      <w:r>
        <w:rPr>
          <w:rFonts w:hint="eastAsia" w:ascii="宋体" w:hAnsi="宋体" w:cs="仿宋_GB2312"/>
          <w:szCs w:val="21"/>
          <w:highlight w:val="none"/>
        </w:rPr>
        <w:t>〔</w:t>
      </w:r>
      <w:r>
        <w:rPr>
          <w:rFonts w:ascii="宋体" w:hAnsi="宋体" w:cs="仿宋_GB2312"/>
          <w:szCs w:val="21"/>
          <w:highlight w:val="none"/>
        </w:rPr>
        <w:t>安全文明施工</w:t>
      </w:r>
      <w:r>
        <w:rPr>
          <w:rFonts w:hint="eastAsia" w:ascii="宋体" w:hAnsi="宋体" w:cs="仿宋_GB2312"/>
          <w:szCs w:val="21"/>
          <w:highlight w:val="none"/>
        </w:rPr>
        <w:t>〕</w:t>
      </w:r>
      <w:r>
        <w:rPr>
          <w:rFonts w:ascii="宋体" w:hAnsi="宋体" w:cs="仿宋_GB2312"/>
          <w:szCs w:val="21"/>
          <w:highlight w:val="none"/>
        </w:rPr>
        <w:t>约定采取施工安全措施，确保工程及其人员、材料、设备和设施的安全，防止因工程施工造成的人身伤害和财产损失；</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（8）</w:t>
      </w:r>
      <w:r>
        <w:rPr>
          <w:rFonts w:hint="eastAsia" w:ascii="宋体" w:hAnsi="宋体" w:cs="仿宋_GB2312"/>
          <w:szCs w:val="21"/>
          <w:highlight w:val="none"/>
        </w:rPr>
        <w:t>将</w:t>
      </w:r>
      <w:r>
        <w:rPr>
          <w:rFonts w:ascii="宋体" w:hAnsi="宋体" w:cs="仿宋_GB2312"/>
          <w:szCs w:val="21"/>
          <w:highlight w:val="none"/>
        </w:rPr>
        <w:t>发包人按合同约定支付的各项价款专用于合同工程，且应及时支付其雇用人员工资，并及时向分包人支付合同价款；</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（9）按照法律规定和合同约定编制竣工资料，完成竣工资料立卷及归档，并按专用合同条款约定的竣工资料的套数、内容、时间等要求移交发包人；</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（10）应履行的其他义务。</w:t>
      </w:r>
    </w:p>
    <w:p>
      <w:pPr>
        <w:pStyle w:val="6"/>
        <w:spacing w:before="120" w:after="120" w:line="360" w:lineRule="auto"/>
        <w:ind w:firstLine="420" w:firstLineChars="200"/>
        <w:rPr>
          <w:rFonts w:ascii="宋体" w:hAnsi="宋体" w:cs="仿宋_GB2312"/>
          <w:b w:val="0"/>
          <w:bCs w:val="0"/>
          <w:sz w:val="21"/>
          <w:szCs w:val="21"/>
          <w:highlight w:val="none"/>
        </w:rPr>
      </w:pPr>
      <w:bookmarkStart w:id="132" w:name="_Toc351203520"/>
      <w:r>
        <w:rPr>
          <w:rFonts w:ascii="宋体" w:hAnsi="宋体" w:cs="仿宋_GB2312"/>
          <w:b w:val="0"/>
          <w:bCs w:val="0"/>
          <w:sz w:val="21"/>
          <w:szCs w:val="21"/>
          <w:highlight w:val="none"/>
        </w:rPr>
        <w:t>3</w:t>
      </w:r>
      <w:bookmarkStart w:id="133" w:name="_Toc337558748"/>
      <w:bookmarkStart w:id="134" w:name="_Toc296346548"/>
      <w:bookmarkStart w:id="135" w:name="_Toc296503047"/>
      <w:r>
        <w:rPr>
          <w:rFonts w:ascii="宋体" w:hAnsi="宋体" w:cs="仿宋_GB2312"/>
          <w:b w:val="0"/>
          <w:bCs w:val="0"/>
          <w:sz w:val="21"/>
          <w:szCs w:val="21"/>
          <w:highlight w:val="none"/>
        </w:rPr>
        <w:t xml:space="preserve">.2 </w:t>
      </w:r>
      <w:bookmarkEnd w:id="132"/>
      <w:r>
        <w:rPr>
          <w:rFonts w:ascii="宋体" w:hAnsi="宋体" w:cs="仿宋_GB2312"/>
          <w:b w:val="0"/>
          <w:bCs w:val="0"/>
          <w:sz w:val="21"/>
          <w:szCs w:val="21"/>
          <w:highlight w:val="none"/>
        </w:rPr>
        <w:t>项目经理</w:t>
      </w:r>
    </w:p>
    <w:bookmarkEnd w:id="133"/>
    <w:bookmarkEnd w:id="134"/>
    <w:bookmarkEnd w:id="135"/>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承包人违反上述约定的，应按照专用合同条款的约定，承担违约责任。</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3.2.2 项目经理按合同约定组织工程实施。在紧急情况下</w:t>
      </w:r>
      <w:r>
        <w:rPr>
          <w:rFonts w:hint="eastAsia" w:ascii="宋体" w:hAnsi="宋体" w:cs="仿宋_GB2312"/>
          <w:szCs w:val="21"/>
          <w:highlight w:val="none"/>
        </w:rPr>
        <w:t>为确保施工安全和人员安全</w:t>
      </w:r>
      <w:r>
        <w:rPr>
          <w:rFonts w:ascii="宋体" w:hAnsi="宋体" w:cs="仿宋_GB2312"/>
          <w:szCs w:val="21"/>
          <w:highlight w:val="none"/>
        </w:rPr>
        <w:t>，</w:t>
      </w:r>
      <w:r>
        <w:rPr>
          <w:rFonts w:hint="eastAsia" w:ascii="宋体" w:hAnsi="宋体" w:cs="仿宋_GB2312"/>
          <w:szCs w:val="21"/>
          <w:highlight w:val="none"/>
        </w:rPr>
        <w:t>在</w:t>
      </w:r>
      <w:r>
        <w:rPr>
          <w:rFonts w:ascii="宋体" w:hAnsi="宋体" w:cs="仿宋_GB2312"/>
          <w:szCs w:val="21"/>
          <w:highlight w:val="none"/>
        </w:rPr>
        <w:t>无法与发包人代表和总监理工程师</w:t>
      </w:r>
      <w:r>
        <w:rPr>
          <w:rFonts w:hint="eastAsia" w:ascii="宋体" w:hAnsi="宋体" w:cs="仿宋_GB2312"/>
          <w:szCs w:val="21"/>
          <w:highlight w:val="none"/>
        </w:rPr>
        <w:t>及时</w:t>
      </w:r>
      <w:r>
        <w:rPr>
          <w:rFonts w:ascii="宋体" w:hAnsi="宋体" w:cs="仿宋_GB2312"/>
          <w:szCs w:val="21"/>
          <w:highlight w:val="none"/>
        </w:rPr>
        <w:t>取得联系时，项目经理有权采取必要的措施保证与工程有关的人身、财产和工程的安全，但应在48小时内向发包人代表和总监理工程师提交书面报告。</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w:t>
      </w:r>
      <w:r>
        <w:rPr>
          <w:rFonts w:hint="eastAsia" w:ascii="宋体" w:hAnsi="宋体" w:cs="仿宋_GB2312"/>
          <w:szCs w:val="21"/>
          <w:highlight w:val="none"/>
        </w:rPr>
        <w:t>继</w:t>
      </w:r>
      <w:r>
        <w:rPr>
          <w:rFonts w:ascii="宋体" w:hAnsi="宋体" w:cs="仿宋_GB2312"/>
          <w:szCs w:val="21"/>
          <w:highlight w:val="none"/>
        </w:rPr>
        <w:t>任项目经理继续履行第3.2.1项约定的职责。承包人无正当理由拒绝更换项目经理的，应按照专用合同条款的约定承担违约责任。</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pPr>
        <w:pStyle w:val="6"/>
        <w:spacing w:before="120" w:after="120" w:line="360" w:lineRule="auto"/>
        <w:ind w:firstLine="420" w:firstLineChars="200"/>
        <w:rPr>
          <w:rFonts w:ascii="宋体" w:hAnsi="宋体" w:cs="仿宋_GB2312"/>
          <w:b w:val="0"/>
          <w:bCs w:val="0"/>
          <w:sz w:val="21"/>
          <w:szCs w:val="21"/>
          <w:highlight w:val="none"/>
        </w:rPr>
      </w:pPr>
      <w:bookmarkStart w:id="136" w:name="_Toc351203521"/>
      <w:r>
        <w:rPr>
          <w:rFonts w:ascii="宋体" w:hAnsi="宋体" w:cs="仿宋_GB2312"/>
          <w:b w:val="0"/>
          <w:bCs w:val="0"/>
          <w:sz w:val="21"/>
          <w:szCs w:val="21"/>
          <w:highlight w:val="none"/>
        </w:rPr>
        <w:t>3</w:t>
      </w:r>
      <w:bookmarkStart w:id="137" w:name="_Toc296503048"/>
      <w:bookmarkStart w:id="138" w:name="_Toc296346549"/>
      <w:bookmarkStart w:id="139" w:name="_Toc337558749"/>
      <w:r>
        <w:rPr>
          <w:rFonts w:ascii="宋体" w:hAnsi="宋体" w:cs="仿宋_GB2312"/>
          <w:b w:val="0"/>
          <w:bCs w:val="0"/>
          <w:sz w:val="21"/>
          <w:szCs w:val="21"/>
          <w:highlight w:val="none"/>
        </w:rPr>
        <w:t xml:space="preserve">.3 </w:t>
      </w:r>
      <w:bookmarkEnd w:id="137"/>
      <w:bookmarkEnd w:id="138"/>
      <w:r>
        <w:rPr>
          <w:rFonts w:ascii="宋体" w:hAnsi="宋体" w:cs="仿宋_GB2312"/>
          <w:b w:val="0"/>
          <w:bCs w:val="0"/>
          <w:sz w:val="21"/>
          <w:szCs w:val="21"/>
          <w:highlight w:val="none"/>
        </w:rPr>
        <w:t>承包人人员</w:t>
      </w:r>
      <w:bookmarkEnd w:id="136"/>
    </w:p>
    <w:bookmarkEnd w:id="139"/>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w:t>
      </w:r>
      <w:r>
        <w:rPr>
          <w:rFonts w:hint="eastAsia" w:ascii="宋体" w:hAnsi="宋体" w:cs="仿宋_GB2312"/>
          <w:szCs w:val="21"/>
          <w:highlight w:val="none"/>
        </w:rPr>
        <w:t>和</w:t>
      </w:r>
      <w:r>
        <w:rPr>
          <w:rFonts w:ascii="宋体" w:hAnsi="宋体" w:cs="仿宋_GB2312"/>
          <w:szCs w:val="21"/>
          <w:highlight w:val="none"/>
        </w:rPr>
        <w:t>缴纳社会保险的有效证明。</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3.3.2 承包人派驻到施工现场的主要施工管理人员应相对稳定。施工过程中</w:t>
      </w:r>
      <w:r>
        <w:rPr>
          <w:rFonts w:hint="eastAsia" w:ascii="宋体" w:hAnsi="宋体" w:cs="仿宋_GB2312"/>
          <w:szCs w:val="21"/>
          <w:highlight w:val="none"/>
        </w:rPr>
        <w:t>如有变动</w:t>
      </w:r>
      <w:r>
        <w:rPr>
          <w:rFonts w:ascii="宋体" w:hAnsi="宋体" w:cs="仿宋_GB2312"/>
          <w:szCs w:val="21"/>
          <w:highlight w:val="none"/>
        </w:rPr>
        <w:t>，承包人应及时向监理人提交施工现场人员变动情况的报告。承包人更换主要施工管理人员时，应提前7天书面通知监理人，并征得发包人书面同意。通知中应当载明继任人员的注册执业资格、管理经验等资料。</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特殊工种作业人员均应持有相应的资格证明，监理人可以随时检查。</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3.3.3 发包人对于承包人主要施工管理人员</w:t>
      </w:r>
      <w:r>
        <w:rPr>
          <w:rFonts w:hint="eastAsia" w:ascii="宋体" w:hAnsi="宋体" w:cs="仿宋_GB2312"/>
          <w:szCs w:val="21"/>
          <w:highlight w:val="none"/>
        </w:rPr>
        <w:t>的资格或能力</w:t>
      </w:r>
      <w:r>
        <w:rPr>
          <w:rFonts w:ascii="宋体" w:hAnsi="宋体" w:cs="仿宋_GB2312"/>
          <w:szCs w:val="21"/>
          <w:highlight w:val="none"/>
        </w:rPr>
        <w:t>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3.3.5 承包人擅自更换主要施工管理人员，或前述人员未经监理人或发包人同意擅自离开施工现场的，应按照专用合同条款约定承担违约责任。</w:t>
      </w:r>
    </w:p>
    <w:p>
      <w:pPr>
        <w:pStyle w:val="6"/>
        <w:spacing w:before="120" w:after="120" w:line="360" w:lineRule="auto"/>
        <w:ind w:firstLine="420" w:firstLineChars="200"/>
        <w:rPr>
          <w:rFonts w:ascii="宋体" w:hAnsi="宋体" w:cs="仿宋_GB2312"/>
          <w:b w:val="0"/>
          <w:bCs w:val="0"/>
          <w:sz w:val="21"/>
          <w:szCs w:val="21"/>
          <w:highlight w:val="none"/>
        </w:rPr>
      </w:pPr>
      <w:bookmarkStart w:id="140" w:name="_Toc351203522"/>
      <w:r>
        <w:rPr>
          <w:rFonts w:ascii="宋体" w:hAnsi="宋体" w:cs="仿宋_GB2312"/>
          <w:b w:val="0"/>
          <w:bCs w:val="0"/>
          <w:sz w:val="21"/>
          <w:szCs w:val="21"/>
          <w:highlight w:val="none"/>
        </w:rPr>
        <w:t>3</w:t>
      </w:r>
      <w:bookmarkStart w:id="141" w:name="_Toc296346551"/>
      <w:bookmarkStart w:id="142" w:name="_Toc296503050"/>
      <w:bookmarkStart w:id="143" w:name="_Toc337558750"/>
      <w:r>
        <w:rPr>
          <w:rFonts w:ascii="宋体" w:hAnsi="宋体" w:cs="仿宋_GB2312"/>
          <w:b w:val="0"/>
          <w:bCs w:val="0"/>
          <w:sz w:val="21"/>
          <w:szCs w:val="21"/>
          <w:highlight w:val="none"/>
        </w:rPr>
        <w:t>.4 承包人现场查勘</w:t>
      </w:r>
      <w:bookmarkEnd w:id="140"/>
    </w:p>
    <w:bookmarkEnd w:id="141"/>
    <w:bookmarkEnd w:id="142"/>
    <w:bookmarkEnd w:id="143"/>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承包人应对基于发包人按照第2.4.3项</w:t>
      </w:r>
      <w:r>
        <w:rPr>
          <w:rFonts w:hint="eastAsia" w:ascii="宋体" w:hAnsi="宋体" w:cs="仿宋_GB2312"/>
          <w:szCs w:val="21"/>
          <w:highlight w:val="none"/>
        </w:rPr>
        <w:t>〔</w:t>
      </w:r>
      <w:r>
        <w:rPr>
          <w:rFonts w:ascii="宋体" w:hAnsi="宋体" w:cs="仿宋_GB2312"/>
          <w:szCs w:val="21"/>
          <w:highlight w:val="none"/>
        </w:rPr>
        <w:t>提供基础资料</w:t>
      </w:r>
      <w:r>
        <w:rPr>
          <w:rFonts w:hint="eastAsia" w:ascii="宋体" w:hAnsi="宋体" w:cs="仿宋_GB2312"/>
          <w:szCs w:val="21"/>
          <w:highlight w:val="none"/>
        </w:rPr>
        <w:t>〕</w:t>
      </w:r>
      <w:r>
        <w:rPr>
          <w:rFonts w:ascii="宋体" w:hAnsi="宋体" w:cs="仿宋_GB2312"/>
          <w:szCs w:val="21"/>
          <w:highlight w:val="none"/>
        </w:rPr>
        <w:t>提交的基础资料所做出的解释和推断负责，但因基础资料存在错误、遗漏导致承包人解释或推断失实的，由发包人承担责任。</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pStyle w:val="6"/>
        <w:spacing w:before="120" w:after="120" w:line="360" w:lineRule="auto"/>
        <w:ind w:firstLine="420" w:firstLineChars="200"/>
        <w:rPr>
          <w:rFonts w:ascii="宋体" w:hAnsi="宋体" w:cs="仿宋_GB2312"/>
          <w:b w:val="0"/>
          <w:bCs w:val="0"/>
          <w:sz w:val="21"/>
          <w:szCs w:val="21"/>
          <w:highlight w:val="none"/>
        </w:rPr>
      </w:pPr>
      <w:bookmarkStart w:id="144" w:name="_Toc351203523"/>
      <w:r>
        <w:rPr>
          <w:rFonts w:ascii="宋体" w:hAnsi="宋体" w:cs="仿宋_GB2312"/>
          <w:b w:val="0"/>
          <w:bCs w:val="0"/>
          <w:sz w:val="21"/>
          <w:szCs w:val="21"/>
          <w:highlight w:val="none"/>
        </w:rPr>
        <w:t>3</w:t>
      </w:r>
      <w:bookmarkStart w:id="145" w:name="_Toc296503051"/>
      <w:bookmarkStart w:id="146" w:name="_Toc337558751"/>
      <w:bookmarkStart w:id="147" w:name="_Toc296346552"/>
      <w:r>
        <w:rPr>
          <w:rFonts w:ascii="宋体" w:hAnsi="宋体" w:cs="仿宋_GB2312"/>
          <w:b w:val="0"/>
          <w:bCs w:val="0"/>
          <w:sz w:val="21"/>
          <w:szCs w:val="21"/>
          <w:highlight w:val="none"/>
        </w:rPr>
        <w:t>.5 分包</w:t>
      </w:r>
      <w:bookmarkEnd w:id="144"/>
    </w:p>
    <w:bookmarkEnd w:id="145"/>
    <w:bookmarkEnd w:id="146"/>
    <w:bookmarkEnd w:id="147"/>
    <w:p>
      <w:pPr>
        <w:ind w:firstLine="420"/>
        <w:rPr>
          <w:rFonts w:ascii="宋体" w:hAnsi="宋体" w:cs="仿宋_GB2312"/>
          <w:szCs w:val="21"/>
          <w:highlight w:val="none"/>
        </w:rPr>
      </w:pPr>
      <w:r>
        <w:rPr>
          <w:rFonts w:ascii="宋体" w:hAnsi="宋体" w:cs="仿宋_GB2312"/>
          <w:szCs w:val="21"/>
          <w:highlight w:val="none"/>
        </w:rPr>
        <w:t>3.5.1 分包的一般约定</w:t>
      </w:r>
    </w:p>
    <w:p>
      <w:pPr>
        <w:ind w:firstLine="420"/>
        <w:rPr>
          <w:rFonts w:ascii="宋体" w:hAnsi="宋体" w:cs="仿宋_GB2312"/>
          <w:szCs w:val="21"/>
          <w:highlight w:val="none"/>
        </w:rPr>
      </w:pPr>
      <w:r>
        <w:rPr>
          <w:rFonts w:ascii="宋体" w:hAnsi="宋体" w:cs="仿宋_GB2312"/>
          <w:szCs w:val="21"/>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ind w:firstLine="420"/>
        <w:rPr>
          <w:rFonts w:ascii="宋体" w:hAnsi="宋体" w:cs="仿宋_GB2312"/>
          <w:szCs w:val="21"/>
          <w:highlight w:val="none"/>
        </w:rPr>
      </w:pPr>
      <w:r>
        <w:rPr>
          <w:rFonts w:hint="eastAsia" w:ascii="宋体" w:hAnsi="宋体" w:cs="仿宋_GB2312"/>
          <w:szCs w:val="21"/>
          <w:highlight w:val="none"/>
        </w:rPr>
        <w:t>承包人不得以劳务分包的名义转包或违法分包工程。</w:t>
      </w:r>
    </w:p>
    <w:p>
      <w:pPr>
        <w:ind w:firstLine="420"/>
        <w:rPr>
          <w:rFonts w:ascii="宋体" w:hAnsi="宋体" w:cs="仿宋_GB2312"/>
          <w:szCs w:val="21"/>
          <w:highlight w:val="none"/>
        </w:rPr>
      </w:pPr>
      <w:r>
        <w:rPr>
          <w:rFonts w:ascii="宋体" w:hAnsi="宋体" w:cs="仿宋_GB2312"/>
          <w:szCs w:val="21"/>
          <w:highlight w:val="none"/>
        </w:rPr>
        <w:t>3.5.2 分包的确定</w:t>
      </w:r>
    </w:p>
    <w:p>
      <w:pPr>
        <w:ind w:firstLine="420"/>
        <w:rPr>
          <w:rFonts w:ascii="宋体" w:hAnsi="宋体" w:cs="仿宋_GB2312"/>
          <w:szCs w:val="21"/>
          <w:highlight w:val="none"/>
        </w:rPr>
      </w:pPr>
      <w:r>
        <w:rPr>
          <w:rFonts w:ascii="宋体" w:hAnsi="宋体" w:cs="仿宋_GB2312"/>
          <w:szCs w:val="21"/>
          <w:highlight w:val="none"/>
        </w:rPr>
        <w:t>承包人应按专用合同条款的约定进行分包，确定分包人。已标价工程量清单或预算书中给定暂估价的专业工程，按照第10.7款</w:t>
      </w:r>
      <w:r>
        <w:rPr>
          <w:rFonts w:hint="eastAsia" w:ascii="宋体" w:hAnsi="宋体" w:cs="仿宋_GB2312"/>
          <w:szCs w:val="21"/>
          <w:highlight w:val="none"/>
        </w:rPr>
        <w:t>〔</w:t>
      </w:r>
      <w:r>
        <w:rPr>
          <w:rFonts w:ascii="宋体" w:hAnsi="宋体" w:cs="仿宋_GB2312"/>
          <w:szCs w:val="21"/>
          <w:highlight w:val="none"/>
        </w:rPr>
        <w:t>暂估价</w:t>
      </w:r>
      <w:r>
        <w:rPr>
          <w:rFonts w:hint="eastAsia" w:ascii="宋体" w:hAnsi="宋体" w:cs="仿宋_GB2312"/>
          <w:szCs w:val="21"/>
          <w:highlight w:val="none"/>
        </w:rPr>
        <w:t>〕</w:t>
      </w:r>
      <w:r>
        <w:rPr>
          <w:rFonts w:ascii="宋体" w:hAnsi="宋体" w:cs="仿宋_GB2312"/>
          <w:szCs w:val="21"/>
          <w:highlight w:val="none"/>
        </w:rPr>
        <w:t>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ind w:firstLine="420"/>
        <w:rPr>
          <w:rFonts w:ascii="宋体" w:hAnsi="宋体" w:cs="仿宋_GB2312"/>
          <w:szCs w:val="21"/>
          <w:highlight w:val="none"/>
        </w:rPr>
      </w:pPr>
      <w:r>
        <w:rPr>
          <w:rFonts w:ascii="宋体" w:hAnsi="宋体" w:cs="仿宋_GB2312"/>
          <w:szCs w:val="21"/>
          <w:highlight w:val="none"/>
        </w:rPr>
        <w:t>3.5.3 分包管理</w:t>
      </w:r>
    </w:p>
    <w:p>
      <w:pPr>
        <w:ind w:firstLine="420"/>
        <w:rPr>
          <w:rFonts w:ascii="宋体" w:hAnsi="宋体" w:cs="仿宋_GB2312"/>
          <w:szCs w:val="21"/>
          <w:highlight w:val="none"/>
        </w:rPr>
      </w:pPr>
      <w:r>
        <w:rPr>
          <w:rFonts w:ascii="宋体" w:hAnsi="宋体" w:cs="仿宋_GB2312"/>
          <w:szCs w:val="21"/>
          <w:highlight w:val="none"/>
        </w:rPr>
        <w:t>承包人应向监理人提交分包人的主要施工管理人员表，并对分包人的施工人员进行实名制管理，包括但不限于进出场管理、登记造册以及各种证照的办理。</w:t>
      </w:r>
    </w:p>
    <w:p>
      <w:pPr>
        <w:ind w:firstLine="420"/>
        <w:rPr>
          <w:rFonts w:ascii="宋体" w:hAnsi="宋体" w:cs="仿宋_GB2312"/>
          <w:szCs w:val="21"/>
          <w:highlight w:val="none"/>
        </w:rPr>
      </w:pPr>
      <w:r>
        <w:rPr>
          <w:rFonts w:ascii="宋体" w:hAnsi="宋体" w:cs="仿宋_GB2312"/>
          <w:szCs w:val="21"/>
          <w:highlight w:val="none"/>
        </w:rPr>
        <w:t>3.5.4 分包合同价款</w:t>
      </w:r>
    </w:p>
    <w:p>
      <w:pPr>
        <w:ind w:firstLine="420"/>
        <w:rPr>
          <w:rFonts w:ascii="宋体" w:hAnsi="宋体" w:cs="仿宋_GB2312"/>
          <w:szCs w:val="21"/>
          <w:highlight w:val="none"/>
        </w:rPr>
      </w:pPr>
      <w:r>
        <w:rPr>
          <w:rFonts w:ascii="宋体" w:hAnsi="宋体" w:cs="仿宋_GB2312"/>
          <w:szCs w:val="21"/>
          <w:highlight w:val="none"/>
        </w:rPr>
        <w:t>（1）除本项第（2）目约定的情况或专用合同条款另有约定外，分包合同价款由承包人与分包人结算，未经承包人同意，发包人不得向分包人支付分包工程价款；</w:t>
      </w:r>
    </w:p>
    <w:p>
      <w:pPr>
        <w:ind w:firstLine="420"/>
        <w:rPr>
          <w:rFonts w:ascii="宋体" w:hAnsi="宋体" w:cs="仿宋_GB2312"/>
          <w:szCs w:val="21"/>
          <w:highlight w:val="none"/>
        </w:rPr>
      </w:pPr>
      <w:r>
        <w:rPr>
          <w:rFonts w:ascii="宋体" w:hAnsi="宋体" w:cs="仿宋_GB2312"/>
          <w:szCs w:val="21"/>
          <w:highlight w:val="none"/>
        </w:rPr>
        <w:t>（2）生效法律文书要求发包人向分包人支付分包合同价款的，发包人有权从应付承包人工程款中扣除该部分款项。</w:t>
      </w:r>
    </w:p>
    <w:p>
      <w:pPr>
        <w:ind w:firstLine="420"/>
        <w:rPr>
          <w:rFonts w:ascii="宋体" w:hAnsi="宋体" w:cs="仿宋_GB2312"/>
          <w:szCs w:val="21"/>
          <w:highlight w:val="none"/>
        </w:rPr>
      </w:pPr>
      <w:r>
        <w:rPr>
          <w:rFonts w:ascii="宋体" w:hAnsi="宋体" w:cs="仿宋_GB2312"/>
          <w:szCs w:val="21"/>
          <w:highlight w:val="none"/>
        </w:rPr>
        <w:t>3.5.5 分包合同权益的转让</w:t>
      </w:r>
    </w:p>
    <w:p>
      <w:pPr>
        <w:ind w:firstLine="420"/>
        <w:rPr>
          <w:rFonts w:ascii="宋体" w:hAnsi="宋体" w:cs="仿宋_GB2312"/>
          <w:szCs w:val="21"/>
          <w:highlight w:val="none"/>
        </w:rPr>
      </w:pPr>
      <w:r>
        <w:rPr>
          <w:rFonts w:ascii="宋体" w:hAnsi="宋体" w:cs="仿宋_GB2312"/>
          <w:szCs w:val="21"/>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148" w:name="_Toc351203524"/>
    </w:p>
    <w:p>
      <w:pPr>
        <w:pStyle w:val="6"/>
        <w:spacing w:before="120" w:after="120" w:line="360" w:lineRule="auto"/>
        <w:ind w:firstLine="420" w:firstLineChars="200"/>
        <w:rPr>
          <w:rFonts w:ascii="宋体" w:hAnsi="宋体" w:cs="仿宋_GB2312"/>
          <w:b w:val="0"/>
          <w:bCs w:val="0"/>
          <w:sz w:val="21"/>
          <w:szCs w:val="21"/>
          <w:highlight w:val="none"/>
        </w:rPr>
      </w:pPr>
      <w:r>
        <w:rPr>
          <w:rFonts w:ascii="宋体" w:hAnsi="宋体" w:cs="仿宋_GB2312"/>
          <w:b w:val="0"/>
          <w:bCs w:val="0"/>
          <w:sz w:val="21"/>
          <w:szCs w:val="21"/>
          <w:highlight w:val="none"/>
        </w:rPr>
        <w:t>3.6 工程照管与成品、半成品保护</w:t>
      </w:r>
      <w:bookmarkEnd w:id="148"/>
    </w:p>
    <w:p>
      <w:pPr>
        <w:ind w:firstLine="420"/>
        <w:rPr>
          <w:rFonts w:ascii="宋体" w:hAnsi="宋体" w:cs="仿宋_GB2312"/>
          <w:szCs w:val="21"/>
          <w:highlight w:val="none"/>
        </w:rPr>
      </w:pPr>
      <w:r>
        <w:rPr>
          <w:rFonts w:ascii="宋体" w:hAnsi="宋体" w:cs="仿宋_GB2312"/>
          <w:szCs w:val="21"/>
          <w:highlight w:val="none"/>
        </w:rPr>
        <w:t>（1）除专用合同条款另有约定外，自发包人向承包人移交施工现场之日起，承包人应负责照管工程及工程相关的材料、工程设备，直到颁发工程接收证书之日止。</w:t>
      </w:r>
    </w:p>
    <w:p>
      <w:pPr>
        <w:ind w:firstLine="420"/>
        <w:rPr>
          <w:rFonts w:ascii="宋体" w:hAnsi="宋体" w:cs="仿宋_GB2312"/>
          <w:szCs w:val="21"/>
          <w:highlight w:val="none"/>
        </w:rPr>
      </w:pPr>
      <w:r>
        <w:rPr>
          <w:rFonts w:ascii="宋体" w:hAnsi="宋体" w:cs="仿宋_GB2312"/>
          <w:szCs w:val="21"/>
          <w:highlight w:val="none"/>
        </w:rPr>
        <w:t>（</w:t>
      </w:r>
      <w:r>
        <w:rPr>
          <w:rFonts w:hint="eastAsia" w:ascii="宋体" w:hAnsi="宋体" w:cs="仿宋_GB2312"/>
          <w:szCs w:val="21"/>
          <w:highlight w:val="none"/>
        </w:rPr>
        <w:t>2</w:t>
      </w:r>
      <w:r>
        <w:rPr>
          <w:rFonts w:ascii="宋体" w:hAnsi="宋体" w:cs="仿宋_GB2312"/>
          <w:szCs w:val="21"/>
          <w:highlight w:val="none"/>
        </w:rPr>
        <w:t>）在承包人负责照管期间，因承包人原因造成工程、材料、工程设备损坏的，由承包人负责修复或更换，并承担由此增加的费用和（或）延误的工期。</w:t>
      </w:r>
    </w:p>
    <w:p>
      <w:pPr>
        <w:ind w:firstLine="420"/>
        <w:rPr>
          <w:rFonts w:ascii="宋体" w:hAnsi="宋体" w:cs="仿宋_GB2312"/>
          <w:szCs w:val="21"/>
          <w:highlight w:val="none"/>
        </w:rPr>
      </w:pPr>
      <w:r>
        <w:rPr>
          <w:rFonts w:ascii="宋体" w:hAnsi="宋体" w:cs="仿宋_GB2312"/>
          <w:szCs w:val="21"/>
          <w:highlight w:val="none"/>
        </w:rPr>
        <w:t>（</w:t>
      </w:r>
      <w:r>
        <w:rPr>
          <w:rFonts w:hint="eastAsia" w:ascii="宋体" w:hAnsi="宋体" w:cs="仿宋_GB2312"/>
          <w:szCs w:val="21"/>
          <w:highlight w:val="none"/>
        </w:rPr>
        <w:t>3</w:t>
      </w:r>
      <w:r>
        <w:rPr>
          <w:rFonts w:ascii="宋体" w:hAnsi="宋体" w:cs="仿宋_GB2312"/>
          <w:szCs w:val="21"/>
          <w:highlight w:val="none"/>
        </w:rPr>
        <w:t>）对合同内分期完成的成品和半成品，在工程接收证书颁发前，由承包人承担保护责任。因承包人原因造成成品或半成品损坏的，由承包人负责修复或更换，并承担由此增加的费用和（或）延误的工期。</w:t>
      </w:r>
    </w:p>
    <w:p>
      <w:pPr>
        <w:pStyle w:val="6"/>
        <w:spacing w:before="120" w:after="120" w:line="360" w:lineRule="auto"/>
        <w:ind w:firstLine="420" w:firstLineChars="200"/>
        <w:rPr>
          <w:rFonts w:ascii="宋体" w:hAnsi="宋体" w:cs="仿宋_GB2312"/>
          <w:b w:val="0"/>
          <w:bCs w:val="0"/>
          <w:sz w:val="21"/>
          <w:szCs w:val="21"/>
          <w:highlight w:val="none"/>
        </w:rPr>
      </w:pPr>
      <w:bookmarkStart w:id="149" w:name="_Toc351203525"/>
      <w:r>
        <w:rPr>
          <w:rFonts w:ascii="宋体" w:hAnsi="宋体" w:cs="仿宋_GB2312"/>
          <w:b w:val="0"/>
          <w:bCs w:val="0"/>
          <w:sz w:val="21"/>
          <w:szCs w:val="21"/>
          <w:highlight w:val="none"/>
        </w:rPr>
        <w:t>3</w:t>
      </w:r>
      <w:bookmarkStart w:id="150" w:name="_Toc296503052"/>
      <w:bookmarkStart w:id="151" w:name="_Toc337558752"/>
      <w:bookmarkStart w:id="152" w:name="_Toc296346553"/>
      <w:r>
        <w:rPr>
          <w:rFonts w:ascii="宋体" w:hAnsi="宋体" w:cs="仿宋_GB2312"/>
          <w:b w:val="0"/>
          <w:bCs w:val="0"/>
          <w:sz w:val="21"/>
          <w:szCs w:val="21"/>
          <w:highlight w:val="none"/>
        </w:rPr>
        <w:t>.7 履约担保</w:t>
      </w:r>
      <w:bookmarkEnd w:id="149"/>
    </w:p>
    <w:bookmarkEnd w:id="150"/>
    <w:bookmarkEnd w:id="151"/>
    <w:bookmarkEnd w:id="152"/>
    <w:p>
      <w:pPr>
        <w:autoSpaceDE w:val="0"/>
        <w:autoSpaceDN w:val="0"/>
        <w:adjustRightInd w:val="0"/>
        <w:ind w:firstLine="420"/>
        <w:rPr>
          <w:rFonts w:ascii="宋体" w:hAnsi="宋体" w:cs="仿宋_GB2312"/>
          <w:szCs w:val="21"/>
          <w:highlight w:val="none"/>
        </w:rPr>
      </w:pPr>
      <w:r>
        <w:rPr>
          <w:rFonts w:hint="eastAsia" w:ascii="宋体" w:hAnsi="宋体" w:cs="仿宋_GB2312"/>
          <w:szCs w:val="21"/>
          <w:highlight w:val="none"/>
        </w:rPr>
        <w:t>发包人需要承包人提供履约担保的，由合同当事人在专用合同条款中约定履约担保的方式、金额及期限等。</w:t>
      </w:r>
      <w:r>
        <w:rPr>
          <w:rFonts w:ascii="宋体" w:hAnsi="宋体" w:cs="仿宋_GB2312"/>
          <w:szCs w:val="21"/>
          <w:highlight w:val="none"/>
        </w:rPr>
        <w:t>履约担保可以采用银行保函或担保公司担保等形式，具体由合同当事人在专用合同条款中约定。</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因承包人原因导致工期延长的，继续提供履约担保所增加的费用由承包人承担；非因承包人原因导致工期延长的，继续提供履约担保所增加的费用由发包人承担。</w:t>
      </w:r>
    </w:p>
    <w:p>
      <w:pPr>
        <w:pStyle w:val="6"/>
        <w:spacing w:before="120" w:after="120" w:line="360" w:lineRule="auto"/>
        <w:ind w:firstLine="420" w:firstLineChars="200"/>
        <w:rPr>
          <w:rFonts w:ascii="宋体" w:hAnsi="宋体" w:cs="仿宋_GB2312"/>
          <w:b w:val="0"/>
          <w:bCs w:val="0"/>
          <w:sz w:val="21"/>
          <w:szCs w:val="21"/>
          <w:highlight w:val="none"/>
        </w:rPr>
      </w:pPr>
      <w:bookmarkStart w:id="153" w:name="_Toc351203526"/>
      <w:r>
        <w:rPr>
          <w:rFonts w:ascii="宋体" w:hAnsi="宋体" w:cs="仿宋_GB2312"/>
          <w:b w:val="0"/>
          <w:bCs w:val="0"/>
          <w:sz w:val="21"/>
          <w:szCs w:val="21"/>
          <w:highlight w:val="none"/>
        </w:rPr>
        <w:t>3.8 联合体</w:t>
      </w:r>
      <w:bookmarkEnd w:id="153"/>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3.8.1 联合体各方应共同与发包人签订合同协议书。联合体各方应为履行合同</w:t>
      </w:r>
      <w:r>
        <w:rPr>
          <w:rFonts w:hint="eastAsia" w:ascii="宋体" w:hAnsi="宋体" w:cs="仿宋_GB2312"/>
          <w:szCs w:val="21"/>
          <w:highlight w:val="none"/>
        </w:rPr>
        <w:t>向发包人</w:t>
      </w:r>
      <w:r>
        <w:rPr>
          <w:rFonts w:ascii="宋体" w:hAnsi="宋体" w:cs="仿宋_GB2312"/>
          <w:szCs w:val="21"/>
          <w:highlight w:val="none"/>
        </w:rPr>
        <w:t>承担连带责任。</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3.8.2 联合体协议经发包人确认后作为合同附件。在履行合同过程中，未经发包人同意，不得修改联合体协议。</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3.8.3 联合体牵头人负责与发包人和监理人联系，并接受指示，负责组织联合体各成员全面履行合同。</w:t>
      </w:r>
    </w:p>
    <w:p>
      <w:pPr>
        <w:pStyle w:val="5"/>
        <w:spacing w:before="120" w:after="120"/>
        <w:ind w:firstLine="420"/>
        <w:rPr>
          <w:rFonts w:ascii="宋体" w:hAnsi="宋体" w:cs="仿宋_GB2312"/>
          <w:bCs w:val="0"/>
          <w:szCs w:val="21"/>
          <w:highlight w:val="none"/>
        </w:rPr>
      </w:pPr>
      <w:bookmarkStart w:id="154" w:name="_Toc351203527"/>
      <w:r>
        <w:rPr>
          <w:rFonts w:ascii="宋体" w:hAnsi="宋体" w:cs="仿宋_GB2312"/>
          <w:bCs w:val="0"/>
          <w:szCs w:val="21"/>
          <w:highlight w:val="none"/>
        </w:rPr>
        <w:t>4</w:t>
      </w:r>
      <w:bookmarkStart w:id="155" w:name="_Toc296346554"/>
      <w:bookmarkStart w:id="156" w:name="_Toc296503053"/>
      <w:bookmarkStart w:id="157" w:name="_Toc337558753"/>
      <w:r>
        <w:rPr>
          <w:rFonts w:ascii="宋体" w:hAnsi="宋体" w:cs="仿宋_GB2312"/>
          <w:bCs w:val="0"/>
          <w:szCs w:val="21"/>
          <w:highlight w:val="none"/>
        </w:rPr>
        <w:t>. 监</w:t>
      </w:r>
      <w:bookmarkEnd w:id="155"/>
      <w:bookmarkEnd w:id="156"/>
      <w:r>
        <w:rPr>
          <w:rFonts w:ascii="宋体" w:hAnsi="宋体" w:cs="仿宋_GB2312"/>
          <w:bCs w:val="0"/>
          <w:szCs w:val="21"/>
          <w:highlight w:val="none"/>
        </w:rPr>
        <w:t>理人</w:t>
      </w:r>
      <w:bookmarkEnd w:id="154"/>
    </w:p>
    <w:bookmarkEnd w:id="157"/>
    <w:p>
      <w:pPr>
        <w:pStyle w:val="6"/>
        <w:spacing w:before="120" w:after="120" w:line="360" w:lineRule="auto"/>
        <w:ind w:firstLine="420" w:firstLineChars="200"/>
        <w:rPr>
          <w:rFonts w:ascii="宋体" w:hAnsi="宋体" w:cs="仿宋_GB2312"/>
          <w:b w:val="0"/>
          <w:bCs w:val="0"/>
          <w:sz w:val="21"/>
          <w:szCs w:val="21"/>
          <w:highlight w:val="none"/>
        </w:rPr>
      </w:pPr>
      <w:bookmarkStart w:id="158" w:name="_Toc351203528"/>
      <w:r>
        <w:rPr>
          <w:rFonts w:ascii="宋体" w:hAnsi="宋体" w:cs="仿宋_GB2312"/>
          <w:b w:val="0"/>
          <w:bCs w:val="0"/>
          <w:sz w:val="21"/>
          <w:szCs w:val="21"/>
          <w:highlight w:val="none"/>
        </w:rPr>
        <w:t>4</w:t>
      </w:r>
      <w:bookmarkStart w:id="159" w:name="_Toc337558754"/>
      <w:bookmarkStart w:id="160" w:name="_Toc296503054"/>
      <w:bookmarkStart w:id="161" w:name="_Toc296346555"/>
      <w:r>
        <w:rPr>
          <w:rFonts w:ascii="宋体" w:hAnsi="宋体" w:cs="仿宋_GB2312"/>
          <w:b w:val="0"/>
          <w:bCs w:val="0"/>
          <w:sz w:val="21"/>
          <w:szCs w:val="21"/>
          <w:highlight w:val="none"/>
        </w:rPr>
        <w:t>.1监理人的一般规定</w:t>
      </w:r>
      <w:bookmarkEnd w:id="158"/>
    </w:p>
    <w:bookmarkEnd w:id="159"/>
    <w:bookmarkEnd w:id="160"/>
    <w:bookmarkEnd w:id="161"/>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除专用合同条款另有约定外，监理人在施工现场的办公场所、生活场所由承包人提供，所发生的费用由发包人承担。</w:t>
      </w:r>
    </w:p>
    <w:p>
      <w:pPr>
        <w:pStyle w:val="6"/>
        <w:spacing w:before="120" w:after="120" w:line="360" w:lineRule="auto"/>
        <w:ind w:firstLine="420" w:firstLineChars="200"/>
        <w:rPr>
          <w:rFonts w:ascii="宋体" w:hAnsi="宋体" w:cs="仿宋_GB2312"/>
          <w:b w:val="0"/>
          <w:bCs w:val="0"/>
          <w:sz w:val="21"/>
          <w:szCs w:val="21"/>
          <w:highlight w:val="none"/>
        </w:rPr>
      </w:pPr>
      <w:bookmarkStart w:id="162" w:name="_Toc351203529"/>
      <w:r>
        <w:rPr>
          <w:rFonts w:ascii="宋体" w:hAnsi="宋体" w:cs="仿宋_GB2312"/>
          <w:b w:val="0"/>
          <w:bCs w:val="0"/>
          <w:sz w:val="21"/>
          <w:szCs w:val="21"/>
          <w:highlight w:val="none"/>
        </w:rPr>
        <w:t>4</w:t>
      </w:r>
      <w:bookmarkStart w:id="163" w:name="_Toc337558755"/>
      <w:r>
        <w:rPr>
          <w:rFonts w:ascii="宋体" w:hAnsi="宋体" w:cs="仿宋_GB2312"/>
          <w:b w:val="0"/>
          <w:bCs w:val="0"/>
          <w:sz w:val="21"/>
          <w:szCs w:val="21"/>
          <w:highlight w:val="none"/>
        </w:rPr>
        <w:t>.2监理人员</w:t>
      </w:r>
      <w:bookmarkEnd w:id="162"/>
    </w:p>
    <w:bookmarkEnd w:id="163"/>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pStyle w:val="6"/>
        <w:spacing w:before="120" w:after="120" w:line="360" w:lineRule="auto"/>
        <w:ind w:firstLine="420" w:firstLineChars="200"/>
        <w:rPr>
          <w:rFonts w:ascii="宋体" w:hAnsi="宋体" w:cs="仿宋_GB2312"/>
          <w:b w:val="0"/>
          <w:bCs w:val="0"/>
          <w:sz w:val="21"/>
          <w:szCs w:val="21"/>
          <w:highlight w:val="none"/>
        </w:rPr>
      </w:pPr>
      <w:bookmarkStart w:id="164" w:name="_Toc351203530"/>
      <w:r>
        <w:rPr>
          <w:rFonts w:ascii="宋体" w:hAnsi="宋体" w:cs="仿宋_GB2312"/>
          <w:b w:val="0"/>
          <w:bCs w:val="0"/>
          <w:sz w:val="21"/>
          <w:szCs w:val="21"/>
          <w:highlight w:val="none"/>
        </w:rPr>
        <w:t>4</w:t>
      </w:r>
      <w:bookmarkStart w:id="165" w:name="_Toc296503055"/>
      <w:bookmarkStart w:id="166" w:name="_Toc296346556"/>
      <w:bookmarkStart w:id="167" w:name="_Toc337558756"/>
      <w:r>
        <w:rPr>
          <w:rFonts w:ascii="宋体" w:hAnsi="宋体" w:cs="仿宋_GB2312"/>
          <w:b w:val="0"/>
          <w:bCs w:val="0"/>
          <w:sz w:val="21"/>
          <w:szCs w:val="21"/>
          <w:highlight w:val="none"/>
        </w:rPr>
        <w:t>.3</w:t>
      </w:r>
      <w:bookmarkEnd w:id="165"/>
      <w:bookmarkEnd w:id="166"/>
      <w:r>
        <w:rPr>
          <w:rFonts w:ascii="宋体" w:hAnsi="宋体" w:cs="仿宋_GB2312"/>
          <w:b w:val="0"/>
          <w:bCs w:val="0"/>
          <w:sz w:val="21"/>
          <w:szCs w:val="21"/>
          <w:highlight w:val="none"/>
        </w:rPr>
        <w:t>监理人的指</w:t>
      </w:r>
      <w:bookmarkEnd w:id="167"/>
      <w:r>
        <w:rPr>
          <w:rFonts w:ascii="宋体" w:hAnsi="宋体" w:cs="仿宋_GB2312"/>
          <w:b w:val="0"/>
          <w:bCs w:val="0"/>
          <w:sz w:val="21"/>
          <w:szCs w:val="21"/>
          <w:highlight w:val="none"/>
        </w:rPr>
        <w:t>示</w:t>
      </w:r>
      <w:bookmarkEnd w:id="164"/>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监理人发出的指示应送达承包人项目经理或经项目经理授权接收的人员。因监理人未能按合同约定发出指示、指示延误或发出了错误指示而导致承包人费用增加和（或）工期延误的，由发包人承担</w:t>
      </w:r>
      <w:r>
        <w:rPr>
          <w:rFonts w:hint="eastAsia" w:ascii="宋体" w:hAnsi="宋体" w:cs="仿宋_GB2312"/>
          <w:szCs w:val="21"/>
          <w:highlight w:val="none"/>
        </w:rPr>
        <w:t>相应</w:t>
      </w:r>
      <w:r>
        <w:rPr>
          <w:rFonts w:ascii="宋体" w:hAnsi="宋体" w:cs="仿宋_GB2312"/>
          <w:szCs w:val="21"/>
          <w:highlight w:val="none"/>
        </w:rPr>
        <w:t>责任。除专用合同条款另有约定外，总监理工程师不应将第4.4款</w:t>
      </w:r>
      <w:r>
        <w:rPr>
          <w:rFonts w:hint="eastAsia" w:ascii="宋体" w:hAnsi="宋体" w:cs="仿宋_GB2312"/>
          <w:szCs w:val="21"/>
          <w:highlight w:val="none"/>
        </w:rPr>
        <w:t>〔</w:t>
      </w:r>
      <w:r>
        <w:rPr>
          <w:rFonts w:ascii="宋体" w:hAnsi="宋体" w:cs="仿宋_GB2312"/>
          <w:szCs w:val="21"/>
          <w:highlight w:val="none"/>
        </w:rPr>
        <w:t>商定或确定</w:t>
      </w:r>
      <w:r>
        <w:rPr>
          <w:rFonts w:hint="eastAsia" w:ascii="宋体" w:hAnsi="宋体" w:cs="仿宋_GB2312"/>
          <w:szCs w:val="21"/>
          <w:highlight w:val="none"/>
        </w:rPr>
        <w:t>〕</w:t>
      </w:r>
      <w:r>
        <w:rPr>
          <w:rFonts w:ascii="宋体" w:hAnsi="宋体" w:cs="仿宋_GB2312"/>
          <w:szCs w:val="21"/>
          <w:highlight w:val="none"/>
        </w:rPr>
        <w:t>约定应由总监理工程师作出确定的权力授权或委托给其他监理人员。</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承包人对监理人发出的指示有疑问的，应向监理人提出书面异议，监理人应在48小时内对该指示予以确认、更改或撤销，监理人逾期未回复的，承包人有权拒绝执行上述指示。</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监理人对承包人的任何工作、工程或其采用的材料和工程设备未在约定的或合理期限内提出意见的，视为批准，但不免除或减轻承包人对该工作、工程、材料、工程设备等应承担的责任和义务。</w:t>
      </w:r>
    </w:p>
    <w:p>
      <w:pPr>
        <w:pStyle w:val="5"/>
        <w:spacing w:before="120" w:after="120"/>
        <w:ind w:firstLine="420"/>
        <w:rPr>
          <w:rFonts w:ascii="宋体" w:hAnsi="宋体" w:cs="仿宋_GB2312"/>
          <w:bCs w:val="0"/>
          <w:szCs w:val="21"/>
          <w:highlight w:val="none"/>
        </w:rPr>
      </w:pPr>
      <w:bookmarkStart w:id="168" w:name="_Toc351203531"/>
      <w:r>
        <w:rPr>
          <w:rFonts w:ascii="宋体" w:hAnsi="宋体" w:cs="仿宋_GB2312"/>
          <w:bCs w:val="0"/>
          <w:szCs w:val="21"/>
          <w:highlight w:val="none"/>
        </w:rPr>
        <w:t>4</w:t>
      </w:r>
      <w:bookmarkStart w:id="169" w:name="_Toc337558757"/>
      <w:bookmarkStart w:id="170" w:name="_Toc296503057"/>
      <w:bookmarkStart w:id="171" w:name="_Toc296346558"/>
      <w:r>
        <w:rPr>
          <w:rFonts w:ascii="宋体" w:hAnsi="宋体" w:cs="仿宋_GB2312"/>
          <w:bCs w:val="0"/>
          <w:szCs w:val="21"/>
          <w:highlight w:val="none"/>
        </w:rPr>
        <w:t>.4 商定或确定</w:t>
      </w:r>
      <w:bookmarkEnd w:id="168"/>
    </w:p>
    <w:bookmarkEnd w:id="169"/>
    <w:bookmarkEnd w:id="170"/>
    <w:bookmarkEnd w:id="171"/>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合同</w:t>
      </w:r>
      <w:r>
        <w:rPr>
          <w:rFonts w:hint="eastAsia" w:ascii="宋体" w:hAnsi="宋体" w:cs="仿宋_GB2312"/>
          <w:szCs w:val="21"/>
          <w:highlight w:val="none"/>
        </w:rPr>
        <w:t>当事人</w:t>
      </w:r>
      <w:r>
        <w:rPr>
          <w:rFonts w:ascii="宋体" w:hAnsi="宋体" w:cs="仿宋_GB2312"/>
          <w:szCs w:val="21"/>
          <w:highlight w:val="none"/>
        </w:rPr>
        <w:t>进行</w:t>
      </w:r>
      <w:r>
        <w:rPr>
          <w:rFonts w:hint="eastAsia" w:ascii="宋体" w:hAnsi="宋体" w:cs="仿宋_GB2312"/>
          <w:szCs w:val="21"/>
          <w:highlight w:val="none"/>
        </w:rPr>
        <w:t>商定</w:t>
      </w:r>
      <w:r>
        <w:rPr>
          <w:rFonts w:ascii="宋体" w:hAnsi="宋体" w:cs="仿宋_GB2312"/>
          <w:szCs w:val="21"/>
          <w:highlight w:val="none"/>
        </w:rPr>
        <w:t>或确定时，总监理工程师应当会同合同当事人尽量通过协商达成一致，不能达成一致的，由总监理工程师按照合同约定审慎做出公正的确定。</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总监理工程师应将确定以书面形式通知发包人和承包人，并附详细依据。合同当事人对总监理工程师的确定没有异议的，按照总监理工程师的确定执行。任何一方合同当事人有异议，按照第20条</w:t>
      </w:r>
      <w:r>
        <w:rPr>
          <w:rFonts w:hint="eastAsia" w:ascii="宋体" w:hAnsi="宋体" w:cs="仿宋_GB2312"/>
          <w:szCs w:val="21"/>
          <w:highlight w:val="none"/>
        </w:rPr>
        <w:t>〔</w:t>
      </w:r>
      <w:r>
        <w:rPr>
          <w:rFonts w:ascii="宋体" w:hAnsi="宋体" w:cs="仿宋_GB2312"/>
          <w:szCs w:val="21"/>
          <w:highlight w:val="none"/>
        </w:rPr>
        <w:t>争议解决</w:t>
      </w:r>
      <w:r>
        <w:rPr>
          <w:rFonts w:hint="eastAsia" w:ascii="宋体" w:hAnsi="宋体" w:cs="仿宋_GB2312"/>
          <w:szCs w:val="21"/>
          <w:highlight w:val="none"/>
        </w:rPr>
        <w:t>〕</w:t>
      </w:r>
      <w:r>
        <w:rPr>
          <w:rFonts w:ascii="宋体" w:hAnsi="宋体" w:cs="仿宋_GB2312"/>
          <w:szCs w:val="21"/>
          <w:highlight w:val="none"/>
        </w:rPr>
        <w:t>约定处理。争议解决前，合同当事人暂按总监理工程师的确定执行；争议解决后，争议解决的结果与总监理工程师的确定不一致的，按照争议解决的结果执行，由此造成的损失由责任人承担。</w:t>
      </w:r>
    </w:p>
    <w:p>
      <w:pPr>
        <w:pStyle w:val="5"/>
        <w:spacing w:before="120" w:after="120"/>
        <w:ind w:firstLine="420"/>
        <w:rPr>
          <w:rFonts w:ascii="宋体" w:hAnsi="宋体" w:cs="仿宋_GB2312"/>
          <w:bCs w:val="0"/>
          <w:szCs w:val="21"/>
          <w:highlight w:val="none"/>
        </w:rPr>
      </w:pPr>
      <w:bookmarkStart w:id="172" w:name="_Toc351203532"/>
      <w:r>
        <w:rPr>
          <w:rFonts w:ascii="宋体" w:hAnsi="宋体" w:cs="仿宋_GB2312"/>
          <w:bCs w:val="0"/>
          <w:szCs w:val="21"/>
          <w:highlight w:val="none"/>
        </w:rPr>
        <w:t>5</w:t>
      </w:r>
      <w:bookmarkStart w:id="173" w:name="_Toc337558758"/>
      <w:r>
        <w:rPr>
          <w:rFonts w:ascii="宋体" w:hAnsi="宋体" w:cs="仿宋_GB2312"/>
          <w:bCs w:val="0"/>
          <w:szCs w:val="21"/>
          <w:highlight w:val="none"/>
        </w:rPr>
        <w:t>. 工程质量</w:t>
      </w:r>
      <w:bookmarkEnd w:id="172"/>
    </w:p>
    <w:bookmarkEnd w:id="173"/>
    <w:p>
      <w:pPr>
        <w:pStyle w:val="6"/>
        <w:spacing w:before="120" w:after="120" w:line="360" w:lineRule="auto"/>
        <w:ind w:firstLine="420" w:firstLineChars="200"/>
        <w:rPr>
          <w:rFonts w:ascii="宋体" w:hAnsi="宋体" w:cs="仿宋_GB2312"/>
          <w:b w:val="0"/>
          <w:bCs w:val="0"/>
          <w:sz w:val="21"/>
          <w:szCs w:val="21"/>
          <w:highlight w:val="none"/>
        </w:rPr>
      </w:pPr>
      <w:bookmarkStart w:id="174" w:name="_Toc351203533"/>
      <w:r>
        <w:rPr>
          <w:rFonts w:ascii="宋体" w:hAnsi="宋体" w:cs="仿宋_GB2312"/>
          <w:b w:val="0"/>
          <w:bCs w:val="0"/>
          <w:sz w:val="21"/>
          <w:szCs w:val="21"/>
          <w:highlight w:val="none"/>
        </w:rPr>
        <w:t>5</w:t>
      </w:r>
      <w:bookmarkStart w:id="175" w:name="_Toc337558759"/>
      <w:r>
        <w:rPr>
          <w:rFonts w:ascii="宋体" w:hAnsi="宋体" w:cs="仿宋_GB2312"/>
          <w:b w:val="0"/>
          <w:bCs w:val="0"/>
          <w:sz w:val="21"/>
          <w:szCs w:val="21"/>
          <w:highlight w:val="none"/>
        </w:rPr>
        <w:t>.1质量要求</w:t>
      </w:r>
      <w:bookmarkEnd w:id="174"/>
    </w:p>
    <w:bookmarkEnd w:id="175"/>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5.1.1 工程质量标准必须符合现行国家有关工程施工质量验收规范和标准的要求。有关工程质量的特殊标准或要求由合同当事人在专用合同条款中约定。</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5.1.2 因发包人原因造成工程质量未达到合同约定标准的，由发包人承担由此增加的费用和（或）延误的工期，并支付承包人合理的利润。</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5.1.3 因承包人原因造成工程质量未达到合同约定标准的，发包人有权要求承包人返工直至工程质量达到合同约定的标准为止，并由承包人承担由此增加的费用和（或）延误的工期。</w:t>
      </w:r>
    </w:p>
    <w:p>
      <w:pPr>
        <w:pStyle w:val="6"/>
        <w:spacing w:before="120" w:after="120" w:line="360" w:lineRule="auto"/>
        <w:ind w:firstLine="420" w:firstLineChars="200"/>
        <w:rPr>
          <w:rFonts w:ascii="宋体" w:hAnsi="宋体" w:cs="仿宋_GB2312"/>
          <w:b w:val="0"/>
          <w:bCs w:val="0"/>
          <w:sz w:val="21"/>
          <w:szCs w:val="21"/>
          <w:highlight w:val="none"/>
        </w:rPr>
      </w:pPr>
      <w:bookmarkStart w:id="176" w:name="_Toc351203534"/>
      <w:r>
        <w:rPr>
          <w:rFonts w:ascii="宋体" w:hAnsi="宋体" w:cs="仿宋_GB2312"/>
          <w:b w:val="0"/>
          <w:bCs w:val="0"/>
          <w:sz w:val="21"/>
          <w:szCs w:val="21"/>
          <w:highlight w:val="none"/>
        </w:rPr>
        <w:t>5</w:t>
      </w:r>
      <w:bookmarkStart w:id="177" w:name="_Toc337558760"/>
      <w:r>
        <w:rPr>
          <w:rFonts w:ascii="宋体" w:hAnsi="宋体" w:cs="仿宋_GB2312"/>
          <w:b w:val="0"/>
          <w:bCs w:val="0"/>
          <w:sz w:val="21"/>
          <w:szCs w:val="21"/>
          <w:highlight w:val="none"/>
        </w:rPr>
        <w:t>.2质量保证措施</w:t>
      </w:r>
      <w:bookmarkEnd w:id="176"/>
    </w:p>
    <w:bookmarkEnd w:id="177"/>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5.2.1 发包人的质量管理</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发包人应按照法律规定及合同约定完成与工程质量有关的各项工作。</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5.2.2 承包人的质量管理</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承包人按照第7.1款</w:t>
      </w:r>
      <w:r>
        <w:rPr>
          <w:rFonts w:hint="eastAsia" w:ascii="宋体" w:hAnsi="宋体" w:cs="仿宋_GB2312"/>
          <w:szCs w:val="21"/>
          <w:highlight w:val="none"/>
        </w:rPr>
        <w:t>〔</w:t>
      </w:r>
      <w:r>
        <w:rPr>
          <w:rFonts w:ascii="宋体" w:hAnsi="宋体" w:cs="仿宋_GB2312"/>
          <w:szCs w:val="21"/>
          <w:highlight w:val="none"/>
        </w:rPr>
        <w:t>施工组织设计</w:t>
      </w:r>
      <w:r>
        <w:rPr>
          <w:rFonts w:hint="eastAsia" w:ascii="宋体" w:hAnsi="宋体" w:cs="仿宋_GB2312"/>
          <w:szCs w:val="21"/>
          <w:highlight w:val="none"/>
        </w:rPr>
        <w:t>〕</w:t>
      </w:r>
      <w:r>
        <w:rPr>
          <w:rFonts w:ascii="宋体" w:hAnsi="宋体" w:cs="仿宋_GB2312"/>
          <w:szCs w:val="21"/>
          <w:highlight w:val="none"/>
        </w:rPr>
        <w:t>约定向发包人和监理人提交工程质量保证体系及措施文件，建立完善的质量检查制度，并提交相应的工程质量文件。对于发包人和监理人违反法律规定和合同约定的错误指示，承包人有权拒绝实施。</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承包人应对施工人员进行质量教育和技术培训，定期考核施工人员的劳动技能，严格执行施工规范和操作规程。</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5.2.3 监理人的质量检查和检验</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pStyle w:val="6"/>
        <w:spacing w:before="120" w:after="120" w:line="360" w:lineRule="auto"/>
        <w:ind w:firstLine="420" w:firstLineChars="200"/>
        <w:rPr>
          <w:rFonts w:ascii="宋体" w:hAnsi="宋体" w:cs="仿宋_GB2312"/>
          <w:b w:val="0"/>
          <w:bCs w:val="0"/>
          <w:sz w:val="21"/>
          <w:szCs w:val="21"/>
          <w:highlight w:val="none"/>
        </w:rPr>
      </w:pPr>
      <w:bookmarkStart w:id="178" w:name="_Toc351203535"/>
      <w:r>
        <w:rPr>
          <w:rFonts w:ascii="宋体" w:hAnsi="宋体" w:cs="仿宋_GB2312"/>
          <w:b w:val="0"/>
          <w:bCs w:val="0"/>
          <w:sz w:val="21"/>
          <w:szCs w:val="21"/>
          <w:highlight w:val="none"/>
        </w:rPr>
        <w:t>5</w:t>
      </w:r>
      <w:bookmarkStart w:id="179" w:name="_Toc337558761"/>
      <w:r>
        <w:rPr>
          <w:rFonts w:ascii="宋体" w:hAnsi="宋体" w:cs="仿宋_GB2312"/>
          <w:b w:val="0"/>
          <w:bCs w:val="0"/>
          <w:sz w:val="21"/>
          <w:szCs w:val="21"/>
          <w:highlight w:val="none"/>
        </w:rPr>
        <w:t>.3 隐蔽工程检查</w:t>
      </w:r>
      <w:bookmarkEnd w:id="178"/>
    </w:p>
    <w:bookmarkEnd w:id="179"/>
    <w:p>
      <w:pPr>
        <w:ind w:firstLine="420"/>
        <w:rPr>
          <w:rFonts w:ascii="宋体" w:hAnsi="宋体" w:cs="仿宋_GB2312"/>
          <w:szCs w:val="21"/>
          <w:highlight w:val="none"/>
        </w:rPr>
      </w:pPr>
      <w:r>
        <w:rPr>
          <w:rFonts w:ascii="宋体" w:hAnsi="宋体" w:cs="仿宋_GB2312"/>
          <w:szCs w:val="21"/>
          <w:highlight w:val="none"/>
        </w:rPr>
        <w:t>5.3.1承包人自检</w:t>
      </w:r>
    </w:p>
    <w:p>
      <w:pPr>
        <w:ind w:firstLine="420"/>
        <w:rPr>
          <w:rFonts w:ascii="宋体" w:hAnsi="宋体" w:cs="仿宋_GB2312"/>
          <w:szCs w:val="21"/>
          <w:highlight w:val="none"/>
        </w:rPr>
      </w:pPr>
      <w:r>
        <w:rPr>
          <w:rFonts w:ascii="宋体" w:hAnsi="宋体" w:cs="仿宋_GB2312"/>
          <w:szCs w:val="21"/>
          <w:highlight w:val="none"/>
        </w:rPr>
        <w:t>承包人应当对工程隐蔽部位进行自检，并经自检确认是否具备覆盖条件。</w:t>
      </w:r>
    </w:p>
    <w:p>
      <w:pPr>
        <w:ind w:firstLine="420"/>
        <w:rPr>
          <w:rFonts w:ascii="宋体" w:hAnsi="宋体" w:cs="仿宋_GB2312"/>
          <w:szCs w:val="21"/>
          <w:highlight w:val="none"/>
        </w:rPr>
      </w:pPr>
      <w:r>
        <w:rPr>
          <w:rFonts w:ascii="宋体" w:hAnsi="宋体" w:cs="仿宋_GB2312"/>
          <w:szCs w:val="21"/>
          <w:highlight w:val="none"/>
        </w:rPr>
        <w:t>5.3.2检查程序</w:t>
      </w:r>
    </w:p>
    <w:p>
      <w:pPr>
        <w:ind w:firstLine="420"/>
        <w:rPr>
          <w:rFonts w:ascii="宋体" w:hAnsi="宋体" w:cs="仿宋_GB2312"/>
          <w:szCs w:val="21"/>
          <w:highlight w:val="none"/>
        </w:rPr>
      </w:pPr>
      <w:r>
        <w:rPr>
          <w:rFonts w:ascii="宋体" w:hAnsi="宋体" w:cs="仿宋_GB2312"/>
          <w:szCs w:val="21"/>
          <w:highlight w:val="none"/>
        </w:rPr>
        <w:t>除专用合同条款另有约定外，工程隐蔽部位经承包人自检确认具备覆盖条件的，承包人应在</w:t>
      </w:r>
      <w:r>
        <w:rPr>
          <w:rFonts w:hint="eastAsia" w:ascii="宋体" w:hAnsi="宋体" w:cs="仿宋_GB2312"/>
          <w:szCs w:val="21"/>
          <w:highlight w:val="none"/>
        </w:rPr>
        <w:t>共同</w:t>
      </w:r>
      <w:r>
        <w:rPr>
          <w:rFonts w:ascii="宋体" w:hAnsi="宋体" w:cs="仿宋_GB2312"/>
          <w:szCs w:val="21"/>
          <w:highlight w:val="none"/>
        </w:rPr>
        <w:t>检查前48小时书面通知监理人检查，通知中应载明隐蔽检查的内容、时间和地点，并应附有自检记录和必要的检查资料。</w:t>
      </w:r>
    </w:p>
    <w:p>
      <w:pPr>
        <w:ind w:firstLine="420"/>
        <w:rPr>
          <w:rFonts w:ascii="宋体" w:hAnsi="宋体" w:cs="仿宋_GB2312"/>
          <w:szCs w:val="21"/>
          <w:highlight w:val="none"/>
        </w:rPr>
      </w:pPr>
      <w:r>
        <w:rPr>
          <w:rFonts w:ascii="宋体" w:hAnsi="宋体" w:cs="仿宋_GB2312"/>
          <w:szCs w:val="21"/>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ind w:firstLine="420"/>
        <w:rPr>
          <w:rFonts w:ascii="宋体" w:hAnsi="宋体" w:cs="仿宋_GB2312"/>
          <w:szCs w:val="21"/>
          <w:highlight w:val="none"/>
        </w:rPr>
      </w:pPr>
      <w:r>
        <w:rPr>
          <w:rFonts w:ascii="宋体" w:hAnsi="宋体" w:cs="仿宋_GB2312"/>
          <w:szCs w:val="21"/>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w:t>
      </w:r>
      <w:r>
        <w:rPr>
          <w:rFonts w:hint="eastAsia" w:ascii="宋体" w:hAnsi="宋体" w:cs="仿宋_GB2312"/>
          <w:szCs w:val="21"/>
          <w:highlight w:val="none"/>
        </w:rPr>
        <w:t>〔</w:t>
      </w:r>
      <w:r>
        <w:rPr>
          <w:rFonts w:ascii="宋体" w:hAnsi="宋体" w:cs="仿宋_GB2312"/>
          <w:szCs w:val="21"/>
          <w:highlight w:val="none"/>
        </w:rPr>
        <w:t>重新检查</w:t>
      </w:r>
      <w:r>
        <w:rPr>
          <w:rFonts w:hint="eastAsia" w:ascii="宋体" w:hAnsi="宋体" w:cs="仿宋_GB2312"/>
          <w:szCs w:val="21"/>
          <w:highlight w:val="none"/>
        </w:rPr>
        <w:t>〕</w:t>
      </w:r>
      <w:r>
        <w:rPr>
          <w:rFonts w:ascii="宋体" w:hAnsi="宋体" w:cs="仿宋_GB2312"/>
          <w:szCs w:val="21"/>
          <w:highlight w:val="none"/>
        </w:rPr>
        <w:t>的约定重新检查。</w:t>
      </w:r>
    </w:p>
    <w:p>
      <w:pPr>
        <w:ind w:firstLine="420"/>
        <w:rPr>
          <w:rFonts w:ascii="宋体" w:hAnsi="宋体" w:cs="仿宋_GB2312"/>
          <w:szCs w:val="21"/>
          <w:highlight w:val="none"/>
        </w:rPr>
      </w:pPr>
      <w:r>
        <w:rPr>
          <w:rFonts w:ascii="宋体" w:hAnsi="宋体" w:cs="仿宋_GB2312"/>
          <w:szCs w:val="21"/>
          <w:highlight w:val="none"/>
        </w:rPr>
        <w:t>5.3.3 重新检查</w:t>
      </w:r>
    </w:p>
    <w:p>
      <w:pPr>
        <w:ind w:firstLine="420"/>
        <w:rPr>
          <w:rFonts w:ascii="宋体" w:hAnsi="宋体" w:cs="仿宋_GB2312"/>
          <w:szCs w:val="21"/>
          <w:highlight w:val="none"/>
        </w:rPr>
      </w:pPr>
      <w:r>
        <w:rPr>
          <w:rFonts w:ascii="宋体" w:hAnsi="宋体" w:cs="仿宋_GB2312"/>
          <w:szCs w:val="21"/>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ind w:firstLine="420"/>
        <w:rPr>
          <w:rFonts w:ascii="宋体" w:hAnsi="宋体" w:cs="仿宋_GB2312"/>
          <w:szCs w:val="21"/>
          <w:highlight w:val="none"/>
        </w:rPr>
      </w:pPr>
      <w:r>
        <w:rPr>
          <w:rFonts w:ascii="宋体" w:hAnsi="宋体" w:cs="仿宋_GB2312"/>
          <w:szCs w:val="21"/>
          <w:highlight w:val="none"/>
        </w:rPr>
        <w:t>5.3.4 承包人私自覆盖</w:t>
      </w:r>
    </w:p>
    <w:p>
      <w:pPr>
        <w:ind w:firstLine="420"/>
        <w:rPr>
          <w:rFonts w:ascii="宋体" w:hAnsi="宋体" w:cs="仿宋_GB2312"/>
          <w:szCs w:val="21"/>
          <w:highlight w:val="none"/>
        </w:rPr>
      </w:pPr>
      <w:r>
        <w:rPr>
          <w:rFonts w:ascii="宋体" w:hAnsi="宋体" w:cs="仿宋_GB2312"/>
          <w:szCs w:val="21"/>
          <w:highlight w:val="none"/>
        </w:rPr>
        <w:t>承包人未通知监理人到场检查，私自将工程隐蔽部位覆盖的，监理人有权指示承包人钻孔探测或揭开检查，无论工程隐蔽部位质量是否合格，由此增加的费用和（或）延误的工期均由承包人承担。</w:t>
      </w:r>
    </w:p>
    <w:p>
      <w:pPr>
        <w:pStyle w:val="6"/>
        <w:spacing w:before="120" w:after="120" w:line="360" w:lineRule="auto"/>
        <w:ind w:firstLine="420" w:firstLineChars="200"/>
        <w:rPr>
          <w:rFonts w:ascii="宋体" w:hAnsi="宋体" w:cs="仿宋_GB2312"/>
          <w:b w:val="0"/>
          <w:bCs w:val="0"/>
          <w:sz w:val="21"/>
          <w:szCs w:val="21"/>
          <w:highlight w:val="none"/>
        </w:rPr>
      </w:pPr>
      <w:bookmarkStart w:id="180" w:name="_Toc351203536"/>
      <w:r>
        <w:rPr>
          <w:rFonts w:ascii="宋体" w:hAnsi="宋体" w:cs="仿宋_GB2312"/>
          <w:b w:val="0"/>
          <w:bCs w:val="0"/>
          <w:sz w:val="21"/>
          <w:szCs w:val="21"/>
          <w:highlight w:val="none"/>
        </w:rPr>
        <w:t>5</w:t>
      </w:r>
      <w:bookmarkStart w:id="181" w:name="_Toc337558762"/>
      <w:r>
        <w:rPr>
          <w:rFonts w:ascii="宋体" w:hAnsi="宋体" w:cs="仿宋_GB2312"/>
          <w:b w:val="0"/>
          <w:bCs w:val="0"/>
          <w:sz w:val="21"/>
          <w:szCs w:val="21"/>
          <w:highlight w:val="none"/>
        </w:rPr>
        <w:t>.4不合格工程的处理</w:t>
      </w:r>
      <w:bookmarkEnd w:id="180"/>
    </w:p>
    <w:bookmarkEnd w:id="181"/>
    <w:p>
      <w:pPr>
        <w:ind w:firstLine="420"/>
        <w:rPr>
          <w:rFonts w:ascii="宋体" w:hAnsi="宋体" w:cs="仿宋_GB2312"/>
          <w:szCs w:val="21"/>
          <w:highlight w:val="none"/>
        </w:rPr>
      </w:pPr>
      <w:r>
        <w:rPr>
          <w:rFonts w:ascii="宋体" w:hAnsi="宋体" w:cs="仿宋_GB2312"/>
          <w:szCs w:val="21"/>
          <w:highlight w:val="none"/>
        </w:rPr>
        <w:t>5.4.1 因承包人原因造成工程不合格的，发包人有权随时要求承包人采取补救措施，直至达到合同要求的质量标准，由此增加的费用和（或）延误的工期由承包人承担。无法补救的，按照第13.2.4项</w:t>
      </w:r>
      <w:r>
        <w:rPr>
          <w:rFonts w:hint="eastAsia" w:ascii="宋体" w:hAnsi="宋体" w:cs="仿宋_GB2312"/>
          <w:szCs w:val="21"/>
          <w:highlight w:val="none"/>
        </w:rPr>
        <w:t>〔</w:t>
      </w:r>
      <w:r>
        <w:rPr>
          <w:rFonts w:ascii="宋体" w:hAnsi="宋体" w:cs="仿宋_GB2312"/>
          <w:szCs w:val="21"/>
          <w:highlight w:val="none"/>
        </w:rPr>
        <w:t>拒绝接收全部或部分工程</w:t>
      </w:r>
      <w:r>
        <w:rPr>
          <w:rFonts w:hint="eastAsia" w:ascii="宋体" w:hAnsi="宋体" w:cs="仿宋_GB2312"/>
          <w:szCs w:val="21"/>
          <w:highlight w:val="none"/>
        </w:rPr>
        <w:t>〕</w:t>
      </w:r>
      <w:r>
        <w:rPr>
          <w:rFonts w:ascii="宋体" w:hAnsi="宋体" w:cs="仿宋_GB2312"/>
          <w:szCs w:val="21"/>
          <w:highlight w:val="none"/>
        </w:rPr>
        <w:t xml:space="preserve">约定执行。 </w:t>
      </w:r>
    </w:p>
    <w:p>
      <w:pPr>
        <w:ind w:firstLine="420"/>
        <w:rPr>
          <w:rFonts w:ascii="宋体" w:hAnsi="宋体" w:cs="仿宋_GB2312"/>
          <w:szCs w:val="21"/>
          <w:highlight w:val="none"/>
        </w:rPr>
      </w:pPr>
      <w:r>
        <w:rPr>
          <w:rFonts w:ascii="宋体" w:hAnsi="宋体" w:cs="仿宋_GB2312"/>
          <w:szCs w:val="21"/>
          <w:highlight w:val="none"/>
        </w:rPr>
        <w:t>5.4.2 因发包人原因造成工程不合格的，由此增加的费用和（或）延误的工期由发包人承担，并支付承包人合理的利润。</w:t>
      </w:r>
    </w:p>
    <w:p>
      <w:pPr>
        <w:pStyle w:val="6"/>
        <w:spacing w:before="120" w:after="120" w:line="360" w:lineRule="auto"/>
        <w:ind w:firstLine="420" w:firstLineChars="200"/>
        <w:rPr>
          <w:rFonts w:ascii="宋体" w:hAnsi="宋体" w:cs="仿宋_GB2312"/>
          <w:b w:val="0"/>
          <w:bCs w:val="0"/>
          <w:sz w:val="21"/>
          <w:szCs w:val="21"/>
          <w:highlight w:val="none"/>
        </w:rPr>
      </w:pPr>
      <w:bookmarkStart w:id="182" w:name="_Toc351203537"/>
      <w:r>
        <w:rPr>
          <w:rFonts w:ascii="宋体" w:hAnsi="宋体" w:cs="仿宋_GB2312"/>
          <w:b w:val="0"/>
          <w:bCs w:val="0"/>
          <w:sz w:val="21"/>
          <w:szCs w:val="21"/>
          <w:highlight w:val="none"/>
        </w:rPr>
        <w:t>5.5 质量争议检测</w:t>
      </w:r>
      <w:bookmarkEnd w:id="182"/>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合同当事人对工程质量有争议的，由双方协商确定的工程质量检测机构鉴定，由此产生的费用及因此造成的损失，由责任方承担。</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合同当事人均有责任的，由双方根据其责任分别承担。合同当事人无法达成一致的，按照第4.4款</w:t>
      </w:r>
      <w:r>
        <w:rPr>
          <w:rFonts w:hint="eastAsia" w:ascii="宋体" w:hAnsi="宋体" w:cs="仿宋_GB2312"/>
          <w:szCs w:val="21"/>
          <w:highlight w:val="none"/>
        </w:rPr>
        <w:t>〔</w:t>
      </w:r>
      <w:r>
        <w:rPr>
          <w:rFonts w:ascii="宋体" w:hAnsi="宋体" w:cs="仿宋_GB2312"/>
          <w:szCs w:val="21"/>
          <w:highlight w:val="none"/>
        </w:rPr>
        <w:t>商定或确定</w:t>
      </w:r>
      <w:r>
        <w:rPr>
          <w:rFonts w:hint="eastAsia" w:ascii="宋体" w:hAnsi="宋体" w:cs="仿宋_GB2312"/>
          <w:szCs w:val="21"/>
          <w:highlight w:val="none"/>
        </w:rPr>
        <w:t>〕</w:t>
      </w:r>
      <w:r>
        <w:rPr>
          <w:rFonts w:ascii="宋体" w:hAnsi="宋体" w:cs="仿宋_GB2312"/>
          <w:szCs w:val="21"/>
          <w:highlight w:val="none"/>
        </w:rPr>
        <w:t>执行。</w:t>
      </w:r>
    </w:p>
    <w:p>
      <w:pPr>
        <w:pStyle w:val="5"/>
        <w:spacing w:before="120" w:after="120"/>
        <w:ind w:firstLine="420"/>
        <w:rPr>
          <w:rFonts w:ascii="宋体" w:hAnsi="宋体" w:cs="仿宋_GB2312"/>
          <w:bCs w:val="0"/>
          <w:szCs w:val="21"/>
          <w:highlight w:val="none"/>
        </w:rPr>
      </w:pPr>
      <w:bookmarkStart w:id="183" w:name="_Toc351203538"/>
      <w:r>
        <w:rPr>
          <w:rFonts w:ascii="宋体" w:hAnsi="宋体" w:cs="仿宋_GB2312"/>
          <w:bCs w:val="0"/>
          <w:szCs w:val="21"/>
          <w:highlight w:val="none"/>
        </w:rPr>
        <w:t>6</w:t>
      </w:r>
      <w:bookmarkStart w:id="184" w:name="_Toc337558763"/>
      <w:r>
        <w:rPr>
          <w:rFonts w:ascii="宋体" w:hAnsi="宋体" w:cs="仿宋_GB2312"/>
          <w:bCs w:val="0"/>
          <w:szCs w:val="21"/>
          <w:highlight w:val="none"/>
        </w:rPr>
        <w:t>. 安全文明施工与环境保护</w:t>
      </w:r>
      <w:bookmarkEnd w:id="183"/>
    </w:p>
    <w:bookmarkEnd w:id="184"/>
    <w:p>
      <w:pPr>
        <w:pStyle w:val="6"/>
        <w:spacing w:before="120" w:after="120" w:line="360" w:lineRule="auto"/>
        <w:ind w:firstLine="420" w:firstLineChars="200"/>
        <w:rPr>
          <w:rFonts w:ascii="宋体" w:hAnsi="宋体" w:cs="仿宋_GB2312"/>
          <w:b w:val="0"/>
          <w:bCs w:val="0"/>
          <w:sz w:val="21"/>
          <w:szCs w:val="21"/>
          <w:highlight w:val="none"/>
        </w:rPr>
      </w:pPr>
      <w:bookmarkStart w:id="185" w:name="_Toc351203539"/>
      <w:r>
        <w:rPr>
          <w:rFonts w:ascii="宋体" w:hAnsi="宋体" w:cs="仿宋_GB2312"/>
          <w:b w:val="0"/>
          <w:bCs w:val="0"/>
          <w:sz w:val="21"/>
          <w:szCs w:val="21"/>
          <w:highlight w:val="none"/>
        </w:rPr>
        <w:t>6</w:t>
      </w:r>
      <w:bookmarkStart w:id="186" w:name="_Toc337558764"/>
      <w:r>
        <w:rPr>
          <w:rFonts w:ascii="宋体" w:hAnsi="宋体" w:cs="仿宋_GB2312"/>
          <w:b w:val="0"/>
          <w:bCs w:val="0"/>
          <w:sz w:val="21"/>
          <w:szCs w:val="21"/>
          <w:highlight w:val="none"/>
        </w:rPr>
        <w:t>.1安全文明施工</w:t>
      </w:r>
      <w:bookmarkEnd w:id="185"/>
    </w:p>
    <w:bookmarkEnd w:id="186"/>
    <w:p>
      <w:pPr>
        <w:ind w:firstLine="420"/>
        <w:rPr>
          <w:rFonts w:ascii="宋体" w:hAnsi="宋体" w:cs="仿宋_GB2312"/>
          <w:szCs w:val="21"/>
          <w:highlight w:val="none"/>
        </w:rPr>
      </w:pPr>
      <w:r>
        <w:rPr>
          <w:rFonts w:ascii="宋体" w:hAnsi="宋体" w:cs="仿宋_GB2312"/>
          <w:szCs w:val="21"/>
          <w:highlight w:val="none"/>
        </w:rPr>
        <w:t>6.1.1安全生产要求</w:t>
      </w:r>
    </w:p>
    <w:p>
      <w:pPr>
        <w:ind w:firstLine="420"/>
        <w:rPr>
          <w:rFonts w:ascii="宋体" w:hAnsi="宋体" w:cs="仿宋_GB2312"/>
          <w:szCs w:val="21"/>
          <w:highlight w:val="none"/>
        </w:rPr>
      </w:pPr>
      <w:r>
        <w:rPr>
          <w:rFonts w:ascii="宋体" w:hAnsi="宋体" w:cs="仿宋_GB2312"/>
          <w:szCs w:val="21"/>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ind w:firstLine="420"/>
        <w:rPr>
          <w:rFonts w:ascii="宋体" w:hAnsi="宋体" w:cs="仿宋_GB2312"/>
          <w:szCs w:val="21"/>
          <w:highlight w:val="none"/>
        </w:rPr>
      </w:pPr>
      <w:r>
        <w:rPr>
          <w:rFonts w:ascii="宋体" w:hAnsi="宋体" w:cs="仿宋_GB2312"/>
          <w:szCs w:val="21"/>
          <w:highlight w:val="none"/>
        </w:rPr>
        <w:t>在施工过程中，如遇到突发的地质变动、事先未知的地下施工障碍等影响施工安全的紧急情况，</w:t>
      </w:r>
      <w:r>
        <w:rPr>
          <w:rFonts w:hint="eastAsia" w:ascii="宋体" w:hAnsi="宋体" w:cs="仿宋_GB2312"/>
          <w:szCs w:val="21"/>
          <w:highlight w:val="none"/>
        </w:rPr>
        <w:t>承包人应及时报告监理人和发包人，</w:t>
      </w:r>
      <w:r>
        <w:rPr>
          <w:rFonts w:ascii="宋体" w:hAnsi="宋体" w:cs="仿宋_GB2312"/>
          <w:szCs w:val="21"/>
          <w:highlight w:val="none"/>
        </w:rPr>
        <w:t>发包人应当及时下令停工并报政府有关行政管理部门采取应急措施。</w:t>
      </w:r>
    </w:p>
    <w:p>
      <w:pPr>
        <w:ind w:firstLine="420"/>
        <w:rPr>
          <w:rFonts w:ascii="宋体" w:hAnsi="宋体" w:cs="仿宋_GB2312"/>
          <w:szCs w:val="21"/>
          <w:highlight w:val="none"/>
        </w:rPr>
      </w:pPr>
      <w:r>
        <w:rPr>
          <w:rFonts w:ascii="宋体" w:hAnsi="宋体" w:cs="仿宋_GB2312"/>
          <w:szCs w:val="21"/>
          <w:highlight w:val="none"/>
        </w:rPr>
        <w:t>因安全生产需要暂停施工的，按照第7.8款</w:t>
      </w:r>
      <w:r>
        <w:rPr>
          <w:rFonts w:hint="eastAsia" w:ascii="宋体" w:hAnsi="宋体" w:cs="仿宋_GB2312"/>
          <w:szCs w:val="21"/>
          <w:highlight w:val="none"/>
        </w:rPr>
        <w:t>〔</w:t>
      </w:r>
      <w:r>
        <w:rPr>
          <w:rFonts w:ascii="宋体" w:hAnsi="宋体" w:cs="仿宋_GB2312"/>
          <w:szCs w:val="21"/>
          <w:highlight w:val="none"/>
        </w:rPr>
        <w:t>暂停施工</w:t>
      </w:r>
      <w:r>
        <w:rPr>
          <w:rFonts w:hint="eastAsia" w:ascii="宋体" w:hAnsi="宋体" w:cs="仿宋_GB2312"/>
          <w:szCs w:val="21"/>
          <w:highlight w:val="none"/>
        </w:rPr>
        <w:t>〕</w:t>
      </w:r>
      <w:r>
        <w:rPr>
          <w:rFonts w:ascii="宋体" w:hAnsi="宋体" w:cs="仿宋_GB2312"/>
          <w:szCs w:val="21"/>
          <w:highlight w:val="none"/>
        </w:rPr>
        <w:t>的约定执行。</w:t>
      </w:r>
    </w:p>
    <w:p>
      <w:pPr>
        <w:ind w:firstLine="420"/>
        <w:rPr>
          <w:rFonts w:ascii="宋体" w:hAnsi="宋体" w:cs="仿宋_GB2312"/>
          <w:szCs w:val="21"/>
          <w:highlight w:val="none"/>
        </w:rPr>
      </w:pPr>
      <w:r>
        <w:rPr>
          <w:rFonts w:ascii="宋体" w:hAnsi="宋体" w:cs="仿宋_GB2312"/>
          <w:szCs w:val="21"/>
          <w:highlight w:val="none"/>
        </w:rPr>
        <w:t>6.1.2 安全生产保证措施</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承包人应当按照有关规定编制安全技术措施或者专项施工方案，建立安全生产责任制度、治安保卫制度及安全生产教育培训制度，并按安全生产法律规定及合同约定履行安全职责，</w:t>
      </w:r>
      <w:r>
        <w:rPr>
          <w:rFonts w:hint="eastAsia" w:ascii="宋体" w:hAnsi="宋体" w:cs="仿宋_GB2312"/>
          <w:szCs w:val="21"/>
          <w:highlight w:val="none"/>
        </w:rPr>
        <w:t>如实</w:t>
      </w:r>
      <w:r>
        <w:rPr>
          <w:rFonts w:ascii="宋体" w:hAnsi="宋体" w:cs="仿宋_GB2312"/>
          <w:szCs w:val="21"/>
          <w:highlight w:val="none"/>
        </w:rPr>
        <w:t>编制工程安全生产的有关记录，接受发包人、监理人及政府安全监督部门的检查与监督。</w:t>
      </w:r>
    </w:p>
    <w:p>
      <w:pPr>
        <w:ind w:firstLine="420"/>
        <w:rPr>
          <w:rFonts w:ascii="宋体" w:hAnsi="宋体" w:cs="仿宋_GB2312"/>
          <w:szCs w:val="21"/>
          <w:highlight w:val="none"/>
        </w:rPr>
      </w:pPr>
      <w:r>
        <w:rPr>
          <w:rFonts w:ascii="宋体" w:hAnsi="宋体" w:cs="仿宋_GB2312"/>
          <w:szCs w:val="21"/>
          <w:highlight w:val="none"/>
        </w:rPr>
        <w:t>6.1.3特别安全生产事项</w:t>
      </w:r>
    </w:p>
    <w:p>
      <w:pPr>
        <w:ind w:firstLine="420"/>
        <w:rPr>
          <w:rFonts w:ascii="宋体" w:hAnsi="宋体" w:cs="仿宋_GB2312"/>
          <w:szCs w:val="21"/>
          <w:highlight w:val="none"/>
        </w:rPr>
      </w:pPr>
      <w:r>
        <w:rPr>
          <w:rFonts w:ascii="宋体" w:hAnsi="宋体" w:cs="仿宋_GB2312"/>
          <w:szCs w:val="21"/>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ind w:firstLine="420"/>
        <w:rPr>
          <w:rFonts w:ascii="宋体" w:hAnsi="宋体" w:cs="仿宋_GB2312"/>
          <w:szCs w:val="21"/>
          <w:highlight w:val="none"/>
        </w:rPr>
      </w:pPr>
      <w:r>
        <w:rPr>
          <w:rFonts w:ascii="宋体" w:hAnsi="宋体" w:cs="仿宋_GB2312"/>
          <w:szCs w:val="21"/>
          <w:highlight w:val="none"/>
        </w:rPr>
        <w:t xml:space="preserve">承包人在动力设备、输电线路、地下管道、密封防震车间、易燃易爆地段以及临街交通要道附近施工时，施工开始前应向发包人和监理人提出安全防护措施，经发包人认可后实施。 </w:t>
      </w:r>
    </w:p>
    <w:p>
      <w:pPr>
        <w:ind w:firstLine="420"/>
        <w:rPr>
          <w:rFonts w:ascii="宋体" w:hAnsi="宋体" w:cs="仿宋_GB2312"/>
          <w:szCs w:val="21"/>
          <w:highlight w:val="none"/>
        </w:rPr>
      </w:pPr>
      <w:r>
        <w:rPr>
          <w:rFonts w:ascii="宋体" w:hAnsi="宋体" w:cs="仿宋_GB2312"/>
          <w:szCs w:val="21"/>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pPr>
        <w:ind w:firstLine="420"/>
        <w:rPr>
          <w:rFonts w:ascii="宋体" w:hAnsi="宋体" w:cs="仿宋_GB2312"/>
          <w:szCs w:val="21"/>
          <w:highlight w:val="none"/>
        </w:rPr>
      </w:pPr>
      <w:r>
        <w:rPr>
          <w:rFonts w:ascii="宋体" w:hAnsi="宋体" w:cs="仿宋_GB2312"/>
          <w:szCs w:val="21"/>
          <w:highlight w:val="none"/>
        </w:rPr>
        <w:t>需单独编制危险性较大分部分项专项工程施工方案的，及要求进行专家论证的超过一定规模的危险性较大的分部分项工程，承包人应及时编制和组织论证。</w:t>
      </w:r>
    </w:p>
    <w:p>
      <w:pPr>
        <w:ind w:firstLine="420"/>
        <w:rPr>
          <w:rFonts w:ascii="宋体" w:hAnsi="宋体" w:cs="仿宋_GB2312"/>
          <w:szCs w:val="21"/>
          <w:highlight w:val="none"/>
        </w:rPr>
      </w:pPr>
      <w:r>
        <w:rPr>
          <w:rFonts w:ascii="宋体" w:hAnsi="宋体" w:cs="仿宋_GB2312"/>
          <w:szCs w:val="21"/>
          <w:highlight w:val="none"/>
        </w:rPr>
        <w:t>6.1.4 治安保卫</w:t>
      </w:r>
    </w:p>
    <w:p>
      <w:pPr>
        <w:ind w:firstLine="420"/>
        <w:rPr>
          <w:rFonts w:ascii="宋体" w:hAnsi="宋体" w:cs="仿宋_GB2312"/>
          <w:szCs w:val="21"/>
          <w:highlight w:val="none"/>
        </w:rPr>
      </w:pPr>
      <w:r>
        <w:rPr>
          <w:rFonts w:ascii="宋体" w:hAnsi="宋体" w:cs="仿宋_GB2312"/>
          <w:szCs w:val="21"/>
          <w:highlight w:val="none"/>
        </w:rPr>
        <w:t>除专用合同条款另有约定外，发包人应与当地公安部门协商，在现场建立治安管理机构或联防组织，统一管理施工场地的治安保卫事项，履行合同工程的治安保卫职责。</w:t>
      </w:r>
    </w:p>
    <w:p>
      <w:pPr>
        <w:ind w:firstLine="420"/>
        <w:rPr>
          <w:rFonts w:ascii="宋体" w:hAnsi="宋体" w:cs="仿宋_GB2312"/>
          <w:szCs w:val="21"/>
          <w:highlight w:val="none"/>
        </w:rPr>
      </w:pPr>
      <w:r>
        <w:rPr>
          <w:rFonts w:ascii="宋体" w:hAnsi="宋体" w:cs="仿宋_GB2312"/>
          <w:szCs w:val="21"/>
          <w:highlight w:val="none"/>
        </w:rPr>
        <w:t>发包人和承包人除应协助现场治安管理机构或联防组织维护施工场地的社会治安外，还应做好包括生活区在内的各自管辖区的治安保卫工作。</w:t>
      </w:r>
    </w:p>
    <w:p>
      <w:pPr>
        <w:ind w:firstLine="420"/>
        <w:rPr>
          <w:rFonts w:ascii="宋体" w:hAnsi="宋体" w:cs="仿宋_GB2312"/>
          <w:szCs w:val="21"/>
          <w:highlight w:val="none"/>
        </w:rPr>
      </w:pPr>
      <w:r>
        <w:rPr>
          <w:rFonts w:ascii="宋体" w:hAnsi="宋体" w:cs="仿宋_GB2312"/>
          <w:szCs w:val="21"/>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w:t>
      </w:r>
      <w:r>
        <w:rPr>
          <w:rFonts w:hint="eastAsia" w:ascii="宋体" w:hAnsi="宋体" w:cs="仿宋_GB2312"/>
          <w:szCs w:val="21"/>
          <w:highlight w:val="none"/>
        </w:rPr>
        <w:t>和</w:t>
      </w:r>
      <w:r>
        <w:rPr>
          <w:rFonts w:ascii="宋体" w:hAnsi="宋体" w:cs="仿宋_GB2312"/>
          <w:szCs w:val="21"/>
          <w:highlight w:val="none"/>
        </w:rPr>
        <w:t>财产损失。</w:t>
      </w:r>
    </w:p>
    <w:p>
      <w:pPr>
        <w:ind w:firstLine="420"/>
        <w:rPr>
          <w:rFonts w:ascii="宋体" w:hAnsi="宋体" w:cs="仿宋_GB2312"/>
          <w:szCs w:val="21"/>
          <w:highlight w:val="none"/>
        </w:rPr>
      </w:pPr>
      <w:r>
        <w:rPr>
          <w:rFonts w:ascii="宋体" w:hAnsi="宋体" w:cs="仿宋_GB2312"/>
          <w:szCs w:val="21"/>
          <w:highlight w:val="none"/>
        </w:rPr>
        <w:t>6.1.5 文明施工</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承包人在工程施工期间，应当采取措施保持施工现场平整，物料堆放整齐。工程所在地有关政府行政管理部门有特殊要求的，按照其要求执行。</w:t>
      </w:r>
      <w:r>
        <w:rPr>
          <w:rFonts w:hint="eastAsia" w:ascii="宋体" w:hAnsi="宋体" w:cs="仿宋_GB2312"/>
          <w:szCs w:val="21"/>
          <w:highlight w:val="none"/>
        </w:rPr>
        <w:t>合同当事人对文明施工有其他要求的，可以在专用合同条款中明确。</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ind w:firstLine="420"/>
        <w:rPr>
          <w:rFonts w:ascii="宋体" w:hAnsi="宋体" w:cs="仿宋_GB2312"/>
          <w:szCs w:val="21"/>
          <w:highlight w:val="none"/>
        </w:rPr>
      </w:pPr>
      <w:r>
        <w:rPr>
          <w:rFonts w:ascii="宋体" w:hAnsi="宋体" w:cs="仿宋_GB2312"/>
          <w:szCs w:val="21"/>
          <w:highlight w:val="none"/>
        </w:rPr>
        <w:t>6.1.6 安全文明施工费</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安全文明施工费由发包人承担，发包人不得以任何形式扣减该部分费用。因基准日期后合同所适用的法律或政府有关规定发生变化，增加的安全文明施工费由发包人承担。</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w:t>
      </w:r>
      <w:r>
        <w:rPr>
          <w:rFonts w:hint="eastAsia" w:ascii="宋体" w:hAnsi="宋体" w:cs="仿宋_GB2312"/>
          <w:szCs w:val="21"/>
          <w:highlight w:val="none"/>
        </w:rPr>
        <w:t>〔</w:t>
      </w:r>
      <w:r>
        <w:rPr>
          <w:rFonts w:ascii="宋体" w:hAnsi="宋体" w:cs="仿宋_GB2312"/>
          <w:szCs w:val="21"/>
          <w:highlight w:val="none"/>
        </w:rPr>
        <w:t>发包人违约的情形</w:t>
      </w:r>
      <w:r>
        <w:rPr>
          <w:rFonts w:hint="eastAsia" w:ascii="宋体" w:hAnsi="宋体" w:cs="仿宋_GB2312"/>
          <w:szCs w:val="21"/>
          <w:highlight w:val="none"/>
        </w:rPr>
        <w:t>〕</w:t>
      </w:r>
      <w:r>
        <w:rPr>
          <w:rFonts w:ascii="宋体" w:hAnsi="宋体" w:cs="仿宋_GB2312"/>
          <w:szCs w:val="21"/>
          <w:highlight w:val="none"/>
        </w:rPr>
        <w:t>执行。</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ind w:firstLine="420"/>
        <w:rPr>
          <w:rFonts w:ascii="宋体" w:hAnsi="宋体" w:cs="仿宋_GB2312"/>
          <w:szCs w:val="21"/>
          <w:highlight w:val="none"/>
        </w:rPr>
      </w:pPr>
      <w:r>
        <w:rPr>
          <w:rFonts w:ascii="宋体" w:hAnsi="宋体" w:cs="仿宋_GB2312"/>
          <w:szCs w:val="21"/>
          <w:highlight w:val="none"/>
        </w:rPr>
        <w:t>6.1.7 紧急情况</w:t>
      </w:r>
      <w:r>
        <w:rPr>
          <w:rFonts w:hint="eastAsia" w:ascii="宋体" w:hAnsi="宋体" w:cs="仿宋_GB2312"/>
          <w:szCs w:val="21"/>
          <w:highlight w:val="none"/>
        </w:rPr>
        <w:t>处理</w:t>
      </w:r>
    </w:p>
    <w:p>
      <w:pPr>
        <w:ind w:firstLine="420"/>
        <w:rPr>
          <w:rFonts w:ascii="宋体" w:hAnsi="宋体" w:cs="仿宋_GB2312"/>
          <w:szCs w:val="21"/>
          <w:highlight w:val="none"/>
        </w:rPr>
      </w:pPr>
      <w:r>
        <w:rPr>
          <w:rFonts w:ascii="宋体" w:hAnsi="宋体" w:cs="仿宋_GB2312"/>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6.1.8 事故处理</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6.1.9 安全生产责任</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6.1.9.1 发包人的安全责任</w:t>
      </w:r>
    </w:p>
    <w:p>
      <w:pPr>
        <w:ind w:firstLine="420"/>
        <w:rPr>
          <w:rFonts w:ascii="宋体" w:hAnsi="宋体" w:cs="仿宋_GB2312"/>
          <w:szCs w:val="21"/>
          <w:highlight w:val="none"/>
        </w:rPr>
      </w:pPr>
      <w:r>
        <w:rPr>
          <w:rFonts w:ascii="宋体" w:hAnsi="宋体" w:cs="仿宋_GB2312"/>
          <w:szCs w:val="21"/>
          <w:highlight w:val="none"/>
        </w:rPr>
        <w:t>发包人应负责赔偿以下各种情况造成</w:t>
      </w:r>
      <w:r>
        <w:rPr>
          <w:rFonts w:hint="eastAsia" w:ascii="宋体" w:hAnsi="宋体" w:cs="仿宋_GB2312"/>
          <w:szCs w:val="21"/>
          <w:highlight w:val="none"/>
        </w:rPr>
        <w:t>的</w:t>
      </w:r>
      <w:r>
        <w:rPr>
          <w:rFonts w:ascii="宋体" w:hAnsi="宋体" w:cs="仿宋_GB2312"/>
          <w:szCs w:val="21"/>
          <w:highlight w:val="none"/>
        </w:rPr>
        <w:t>损失：</w:t>
      </w:r>
    </w:p>
    <w:p>
      <w:pPr>
        <w:ind w:firstLine="420"/>
        <w:rPr>
          <w:rFonts w:ascii="宋体" w:hAnsi="宋体" w:cs="仿宋_GB2312"/>
          <w:szCs w:val="21"/>
          <w:highlight w:val="none"/>
        </w:rPr>
      </w:pPr>
      <w:r>
        <w:rPr>
          <w:rFonts w:ascii="宋体" w:hAnsi="宋体" w:cs="仿宋_GB2312"/>
          <w:szCs w:val="21"/>
          <w:highlight w:val="none"/>
        </w:rPr>
        <w:t>（1）工程或工程的任何部分对土地的占用所造成的第三者财产损失；</w:t>
      </w:r>
    </w:p>
    <w:p>
      <w:pPr>
        <w:ind w:firstLine="420"/>
        <w:rPr>
          <w:rFonts w:ascii="宋体" w:hAnsi="宋体" w:cs="仿宋_GB2312"/>
          <w:szCs w:val="21"/>
          <w:highlight w:val="none"/>
        </w:rPr>
      </w:pPr>
      <w:r>
        <w:rPr>
          <w:rFonts w:ascii="宋体" w:hAnsi="宋体" w:cs="仿宋_GB2312"/>
          <w:szCs w:val="21"/>
          <w:highlight w:val="none"/>
        </w:rPr>
        <w:t>（2）由于发包人原因在施工场地及其毗邻地带造成的第三者人身伤亡和财产损失</w:t>
      </w:r>
      <w:r>
        <w:rPr>
          <w:rFonts w:hint="eastAsia" w:ascii="宋体" w:hAnsi="宋体" w:cs="仿宋_GB2312"/>
          <w:szCs w:val="21"/>
          <w:highlight w:val="none"/>
        </w:rPr>
        <w:t>；</w:t>
      </w:r>
    </w:p>
    <w:p>
      <w:pPr>
        <w:ind w:firstLine="420"/>
        <w:rPr>
          <w:rFonts w:ascii="宋体" w:hAnsi="宋体" w:cs="仿宋_GB2312"/>
          <w:szCs w:val="21"/>
          <w:highlight w:val="none"/>
        </w:rPr>
      </w:pPr>
      <w:r>
        <w:rPr>
          <w:rFonts w:hint="eastAsia" w:ascii="宋体" w:hAnsi="宋体" w:cs="仿宋_GB2312"/>
          <w:szCs w:val="21"/>
          <w:highlight w:val="none"/>
        </w:rPr>
        <w:t>（3）由于发包人原因对承包人、监理人造成的人员人身伤亡和财产损失；</w:t>
      </w:r>
    </w:p>
    <w:p>
      <w:pPr>
        <w:ind w:firstLine="420"/>
        <w:rPr>
          <w:rFonts w:ascii="宋体" w:hAnsi="宋体" w:cs="仿宋_GB2312"/>
          <w:szCs w:val="21"/>
          <w:highlight w:val="none"/>
        </w:rPr>
      </w:pPr>
      <w:r>
        <w:rPr>
          <w:rFonts w:hint="eastAsia" w:ascii="宋体" w:hAnsi="宋体" w:cs="仿宋_GB2312"/>
          <w:szCs w:val="21"/>
          <w:highlight w:val="none"/>
        </w:rPr>
        <w:t>（4）由于发包人原因造成的发包人自身人员的人身伤害以及财产损失。</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6.1.9.2 承包人的安全责任</w:t>
      </w:r>
    </w:p>
    <w:p>
      <w:pPr>
        <w:ind w:firstLine="420"/>
        <w:rPr>
          <w:rFonts w:ascii="宋体" w:hAnsi="宋体" w:cs="仿宋_GB2312"/>
          <w:szCs w:val="21"/>
          <w:highlight w:val="none"/>
        </w:rPr>
      </w:pPr>
      <w:r>
        <w:rPr>
          <w:rFonts w:ascii="宋体" w:hAnsi="宋体" w:cs="仿宋_GB2312"/>
          <w:szCs w:val="21"/>
          <w:highlight w:val="none"/>
        </w:rPr>
        <w:t>由于承包人原因在施工场地内及其毗邻地带造成的</w:t>
      </w:r>
      <w:r>
        <w:rPr>
          <w:rFonts w:hint="eastAsia" w:ascii="宋体" w:hAnsi="宋体" w:cs="仿宋_GB2312"/>
          <w:szCs w:val="21"/>
          <w:highlight w:val="none"/>
        </w:rPr>
        <w:t>发包人、监理人以及</w:t>
      </w:r>
      <w:r>
        <w:rPr>
          <w:rFonts w:ascii="宋体" w:hAnsi="宋体" w:cs="仿宋_GB2312"/>
          <w:szCs w:val="21"/>
          <w:highlight w:val="none"/>
        </w:rPr>
        <w:t>第三者人员伤亡和财产损失，由承包人负责赔偿。</w:t>
      </w:r>
    </w:p>
    <w:p>
      <w:pPr>
        <w:pStyle w:val="6"/>
        <w:spacing w:before="120" w:after="120" w:line="360" w:lineRule="auto"/>
        <w:ind w:firstLine="420" w:firstLineChars="200"/>
        <w:rPr>
          <w:rFonts w:ascii="宋体" w:hAnsi="宋体" w:cs="仿宋_GB2312"/>
          <w:b w:val="0"/>
          <w:bCs w:val="0"/>
          <w:sz w:val="21"/>
          <w:szCs w:val="21"/>
          <w:highlight w:val="none"/>
        </w:rPr>
      </w:pPr>
      <w:bookmarkStart w:id="187" w:name="_Toc351203540"/>
      <w:r>
        <w:rPr>
          <w:rFonts w:ascii="宋体" w:hAnsi="宋体" w:cs="仿宋_GB2312"/>
          <w:b w:val="0"/>
          <w:bCs w:val="0"/>
          <w:sz w:val="21"/>
          <w:szCs w:val="21"/>
          <w:highlight w:val="none"/>
        </w:rPr>
        <w:t>6</w:t>
      </w:r>
      <w:bookmarkStart w:id="188" w:name="_Toc337558765"/>
      <w:r>
        <w:rPr>
          <w:rFonts w:ascii="宋体" w:hAnsi="宋体" w:cs="仿宋_GB2312"/>
          <w:b w:val="0"/>
          <w:bCs w:val="0"/>
          <w:sz w:val="21"/>
          <w:szCs w:val="21"/>
          <w:highlight w:val="none"/>
        </w:rPr>
        <w:t>.2 职业健康</w:t>
      </w:r>
      <w:bookmarkEnd w:id="187"/>
    </w:p>
    <w:bookmarkEnd w:id="188"/>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6.2.1 劳动保护</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承包人应按</w:t>
      </w:r>
      <w:r>
        <w:rPr>
          <w:rFonts w:hint="eastAsia" w:ascii="宋体" w:hAnsi="宋体" w:cs="仿宋_GB2312"/>
          <w:szCs w:val="21"/>
          <w:highlight w:val="none"/>
        </w:rPr>
        <w:t>法律</w:t>
      </w:r>
      <w:r>
        <w:rPr>
          <w:rFonts w:ascii="宋体" w:hAnsi="宋体" w:cs="仿宋_GB2312"/>
          <w:szCs w:val="21"/>
          <w:highlight w:val="none"/>
        </w:rPr>
        <w:t>规定安排工作时间，保证其雇佣人员享有休息和休假的权利。因工程施工的特殊需要占用休假日或延长工作时间的，应不超过法律规定的限度，并按法律规定给予补休或付酬。</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6.2.2 生活条件</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pStyle w:val="6"/>
        <w:spacing w:before="120" w:after="120" w:line="360" w:lineRule="auto"/>
        <w:ind w:firstLine="420" w:firstLineChars="200"/>
        <w:rPr>
          <w:rFonts w:ascii="宋体" w:hAnsi="宋体" w:cs="仿宋_GB2312"/>
          <w:b w:val="0"/>
          <w:bCs w:val="0"/>
          <w:sz w:val="21"/>
          <w:szCs w:val="21"/>
          <w:highlight w:val="none"/>
        </w:rPr>
      </w:pPr>
      <w:bookmarkStart w:id="189" w:name="_Toc351203541"/>
      <w:r>
        <w:rPr>
          <w:rFonts w:ascii="宋体" w:hAnsi="宋体" w:cs="仿宋_GB2312"/>
          <w:b w:val="0"/>
          <w:bCs w:val="0"/>
          <w:sz w:val="21"/>
          <w:szCs w:val="21"/>
          <w:highlight w:val="none"/>
        </w:rPr>
        <w:t>6</w:t>
      </w:r>
      <w:bookmarkStart w:id="190" w:name="_Toc337558766"/>
      <w:r>
        <w:rPr>
          <w:rFonts w:ascii="宋体" w:hAnsi="宋体" w:cs="仿宋_GB2312"/>
          <w:b w:val="0"/>
          <w:bCs w:val="0"/>
          <w:sz w:val="21"/>
          <w:szCs w:val="21"/>
          <w:highlight w:val="none"/>
        </w:rPr>
        <w:t>.3 环境保护</w:t>
      </w:r>
      <w:bookmarkEnd w:id="189"/>
    </w:p>
    <w:bookmarkEnd w:id="190"/>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承包人应当承担因其原因引起的环境污染侵权损害赔偿责任，因上述环境污染引起纠纷而导致暂停施工的，由此增加的费用和（或）延误的工期由承包人承担。</w:t>
      </w:r>
    </w:p>
    <w:p>
      <w:pPr>
        <w:pStyle w:val="5"/>
        <w:spacing w:before="120" w:after="120"/>
        <w:ind w:firstLine="420"/>
        <w:rPr>
          <w:rFonts w:ascii="宋体" w:hAnsi="宋体" w:cs="仿宋_GB2312"/>
          <w:bCs w:val="0"/>
          <w:szCs w:val="21"/>
          <w:highlight w:val="none"/>
        </w:rPr>
      </w:pPr>
      <w:bookmarkStart w:id="191" w:name="_Toc351203542"/>
      <w:r>
        <w:rPr>
          <w:rFonts w:ascii="宋体" w:hAnsi="宋体" w:cs="仿宋_GB2312"/>
          <w:bCs w:val="0"/>
          <w:szCs w:val="21"/>
          <w:highlight w:val="none"/>
        </w:rPr>
        <w:t>7</w:t>
      </w:r>
      <w:bookmarkStart w:id="192" w:name="_Toc337558767"/>
      <w:r>
        <w:rPr>
          <w:rFonts w:ascii="宋体" w:hAnsi="宋体" w:cs="仿宋_GB2312"/>
          <w:bCs w:val="0"/>
          <w:szCs w:val="21"/>
          <w:highlight w:val="none"/>
        </w:rPr>
        <w:t>. 工期和进度</w:t>
      </w:r>
      <w:bookmarkEnd w:id="191"/>
    </w:p>
    <w:bookmarkEnd w:id="192"/>
    <w:p>
      <w:pPr>
        <w:pStyle w:val="6"/>
        <w:spacing w:before="120" w:after="120" w:line="360" w:lineRule="auto"/>
        <w:ind w:firstLine="420" w:firstLineChars="200"/>
        <w:rPr>
          <w:rFonts w:ascii="宋体" w:hAnsi="宋体" w:cs="仿宋_GB2312"/>
          <w:b w:val="0"/>
          <w:bCs w:val="0"/>
          <w:sz w:val="21"/>
          <w:szCs w:val="21"/>
          <w:highlight w:val="none"/>
        </w:rPr>
      </w:pPr>
      <w:bookmarkStart w:id="193" w:name="_Toc351203543"/>
      <w:r>
        <w:rPr>
          <w:rFonts w:ascii="宋体" w:hAnsi="宋体" w:cs="仿宋_GB2312"/>
          <w:b w:val="0"/>
          <w:bCs w:val="0"/>
          <w:sz w:val="21"/>
          <w:szCs w:val="21"/>
          <w:highlight w:val="none"/>
        </w:rPr>
        <w:t>7</w:t>
      </w:r>
      <w:bookmarkStart w:id="194" w:name="_Toc337558768"/>
      <w:bookmarkStart w:id="195" w:name="_Toc296503066"/>
      <w:bookmarkStart w:id="196" w:name="_Toc296346567"/>
      <w:r>
        <w:rPr>
          <w:rFonts w:ascii="宋体" w:hAnsi="宋体" w:cs="仿宋_GB2312"/>
          <w:b w:val="0"/>
          <w:bCs w:val="0"/>
          <w:sz w:val="21"/>
          <w:szCs w:val="21"/>
          <w:highlight w:val="none"/>
        </w:rPr>
        <w:t>.1施工组织设计</w:t>
      </w:r>
      <w:bookmarkEnd w:id="193"/>
    </w:p>
    <w:bookmarkEnd w:id="194"/>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7.1.1 施工组织设计的内容</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施工组织设计应包含以下内容：</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 xml:space="preserve">（1）施工方案； </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（2）施工现场平面布置图；</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 xml:space="preserve">（3）施工进度计划和保证措施； </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（4）劳动力及材料供应计划；</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（5）施工机械设备的选用；</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（6）质量保证体系及措施；</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（7）安全生产、文明施工措施；</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（8）环境保护、成本控制措施</w:t>
      </w:r>
      <w:r>
        <w:rPr>
          <w:rFonts w:hint="eastAsia" w:ascii="宋体" w:hAnsi="宋体" w:cs="仿宋_GB2312"/>
          <w:szCs w:val="21"/>
          <w:highlight w:val="none"/>
        </w:rPr>
        <w:t>；</w:t>
      </w:r>
    </w:p>
    <w:p>
      <w:pPr>
        <w:autoSpaceDE w:val="0"/>
        <w:autoSpaceDN w:val="0"/>
        <w:adjustRightInd w:val="0"/>
        <w:ind w:firstLine="420"/>
        <w:rPr>
          <w:rFonts w:ascii="宋体" w:hAnsi="宋体" w:cs="仿宋_GB2312"/>
          <w:szCs w:val="21"/>
          <w:highlight w:val="none"/>
        </w:rPr>
      </w:pPr>
      <w:r>
        <w:rPr>
          <w:rFonts w:hint="eastAsia" w:ascii="宋体" w:hAnsi="宋体" w:cs="仿宋_GB2312"/>
          <w:szCs w:val="21"/>
          <w:highlight w:val="none"/>
        </w:rPr>
        <w:t>（9）合同当事人约定的其他内容</w:t>
      </w:r>
      <w:r>
        <w:rPr>
          <w:rFonts w:ascii="宋体" w:hAnsi="宋体" w:cs="仿宋_GB2312"/>
          <w:szCs w:val="21"/>
          <w:highlight w:val="none"/>
        </w:rPr>
        <w:t>。</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7.1.2 施工组织设计的提交和修改</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除专用合同条款另有约定外，承包人应在合同签订后14天内，但至迟不得晚于第7.3.2项</w:t>
      </w:r>
      <w:r>
        <w:rPr>
          <w:rFonts w:hint="eastAsia" w:ascii="宋体" w:hAnsi="宋体" w:cs="仿宋_GB2312"/>
          <w:szCs w:val="21"/>
          <w:highlight w:val="none"/>
        </w:rPr>
        <w:t>〔</w:t>
      </w:r>
      <w:r>
        <w:rPr>
          <w:rFonts w:ascii="宋体" w:hAnsi="宋体" w:cs="仿宋_GB2312"/>
          <w:szCs w:val="21"/>
          <w:highlight w:val="none"/>
        </w:rPr>
        <w:t>开工通知</w:t>
      </w:r>
      <w:r>
        <w:rPr>
          <w:rFonts w:hint="eastAsia" w:ascii="宋体" w:hAnsi="宋体" w:cs="仿宋_GB2312"/>
          <w:szCs w:val="21"/>
          <w:highlight w:val="none"/>
        </w:rPr>
        <w:t>〕</w:t>
      </w:r>
      <w:r>
        <w:rPr>
          <w:rFonts w:ascii="宋体" w:hAnsi="宋体" w:cs="仿宋_GB2312"/>
          <w:szCs w:val="21"/>
          <w:highlight w:val="none"/>
        </w:rPr>
        <w:t>载明的开工日期前7天，向监理人提交详细的施工组织设计，并由监理人报送发包人。</w:t>
      </w:r>
      <w:r>
        <w:rPr>
          <w:rFonts w:hint="eastAsia" w:ascii="宋体" w:hAnsi="宋体" w:cs="仿宋_GB2312"/>
          <w:szCs w:val="21"/>
          <w:highlight w:val="none"/>
        </w:rPr>
        <w:t>除专用合同条款另有约定外，发包人和监理人应在监理人收到施工组织设计后7天内确认或提出修改意见</w:t>
      </w:r>
      <w:r>
        <w:rPr>
          <w:rFonts w:ascii="宋体" w:hAnsi="宋体" w:cs="仿宋_GB2312"/>
          <w:szCs w:val="21"/>
          <w:highlight w:val="none"/>
        </w:rPr>
        <w:t>。对发包人和监理人提出的合理意见和要求，承包人应自费修改完善。根据工程实际情况需要修改施工组织设计的，承包人应向发包人和监理人提交修改后的施工组织设计。</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施工进度计划的编制和修改按照第7.2款</w:t>
      </w:r>
      <w:r>
        <w:rPr>
          <w:rFonts w:hint="eastAsia" w:ascii="宋体" w:hAnsi="宋体" w:cs="仿宋_GB2312"/>
          <w:szCs w:val="21"/>
          <w:highlight w:val="none"/>
        </w:rPr>
        <w:t>〔</w:t>
      </w:r>
      <w:r>
        <w:rPr>
          <w:rFonts w:ascii="宋体" w:hAnsi="宋体" w:cs="仿宋_GB2312"/>
          <w:szCs w:val="21"/>
          <w:highlight w:val="none"/>
        </w:rPr>
        <w:t>施工进度计划</w:t>
      </w:r>
      <w:r>
        <w:rPr>
          <w:rFonts w:hint="eastAsia" w:ascii="宋体" w:hAnsi="宋体" w:cs="仿宋_GB2312"/>
          <w:szCs w:val="21"/>
          <w:highlight w:val="none"/>
        </w:rPr>
        <w:t>〕</w:t>
      </w:r>
      <w:r>
        <w:rPr>
          <w:rFonts w:ascii="宋体" w:hAnsi="宋体" w:cs="仿宋_GB2312"/>
          <w:szCs w:val="21"/>
          <w:highlight w:val="none"/>
        </w:rPr>
        <w:t>执行。</w:t>
      </w:r>
    </w:p>
    <w:p>
      <w:pPr>
        <w:pStyle w:val="6"/>
        <w:spacing w:before="120" w:after="120" w:line="360" w:lineRule="auto"/>
        <w:ind w:firstLine="420" w:firstLineChars="200"/>
        <w:rPr>
          <w:rFonts w:ascii="宋体" w:hAnsi="宋体" w:cs="仿宋_GB2312"/>
          <w:b w:val="0"/>
          <w:bCs w:val="0"/>
          <w:sz w:val="21"/>
          <w:szCs w:val="21"/>
          <w:highlight w:val="none"/>
        </w:rPr>
      </w:pPr>
      <w:bookmarkStart w:id="197" w:name="_Toc351203544"/>
      <w:r>
        <w:rPr>
          <w:rFonts w:ascii="宋体" w:hAnsi="宋体" w:cs="仿宋_GB2312"/>
          <w:b w:val="0"/>
          <w:bCs w:val="0"/>
          <w:sz w:val="21"/>
          <w:szCs w:val="21"/>
          <w:highlight w:val="none"/>
        </w:rPr>
        <w:t>7</w:t>
      </w:r>
      <w:bookmarkStart w:id="198" w:name="_Toc337558769"/>
      <w:r>
        <w:rPr>
          <w:rFonts w:ascii="宋体" w:hAnsi="宋体" w:cs="仿宋_GB2312"/>
          <w:b w:val="0"/>
          <w:bCs w:val="0"/>
          <w:sz w:val="21"/>
          <w:szCs w:val="21"/>
          <w:highlight w:val="none"/>
        </w:rPr>
        <w:t>.2 施工进度计划</w:t>
      </w:r>
      <w:bookmarkEnd w:id="197"/>
    </w:p>
    <w:bookmarkEnd w:id="198"/>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7.2.1 施工进度计划的编制</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承包人应按照第7.1款</w:t>
      </w:r>
      <w:r>
        <w:rPr>
          <w:rFonts w:hint="eastAsia" w:ascii="宋体" w:hAnsi="宋体" w:cs="仿宋_GB2312"/>
          <w:szCs w:val="21"/>
          <w:highlight w:val="none"/>
        </w:rPr>
        <w:t>〔</w:t>
      </w:r>
      <w:r>
        <w:rPr>
          <w:rFonts w:ascii="宋体" w:hAnsi="宋体" w:cs="仿宋_GB2312"/>
          <w:szCs w:val="21"/>
          <w:highlight w:val="none"/>
        </w:rPr>
        <w:t>施工组织设计</w:t>
      </w:r>
      <w:r>
        <w:rPr>
          <w:rFonts w:hint="eastAsia" w:ascii="宋体" w:hAnsi="宋体" w:cs="仿宋_GB2312"/>
          <w:szCs w:val="21"/>
          <w:highlight w:val="none"/>
        </w:rPr>
        <w:t>〕</w:t>
      </w:r>
      <w:r>
        <w:rPr>
          <w:rFonts w:ascii="宋体" w:hAnsi="宋体" w:cs="仿宋_GB2312"/>
          <w:szCs w:val="21"/>
          <w:highlight w:val="none"/>
        </w:rPr>
        <w:t>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7.2.2 施工进度计划的修订</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pStyle w:val="6"/>
        <w:spacing w:before="120" w:after="120" w:line="360" w:lineRule="auto"/>
        <w:ind w:firstLine="420" w:firstLineChars="200"/>
        <w:rPr>
          <w:rFonts w:ascii="宋体" w:hAnsi="宋体" w:cs="仿宋_GB2312"/>
          <w:b w:val="0"/>
          <w:bCs w:val="0"/>
          <w:sz w:val="21"/>
          <w:szCs w:val="21"/>
          <w:highlight w:val="none"/>
        </w:rPr>
      </w:pPr>
      <w:bookmarkStart w:id="199" w:name="_Toc351203545"/>
      <w:r>
        <w:rPr>
          <w:rFonts w:ascii="宋体" w:hAnsi="宋体" w:cs="仿宋_GB2312"/>
          <w:b w:val="0"/>
          <w:bCs w:val="0"/>
          <w:sz w:val="21"/>
          <w:szCs w:val="21"/>
          <w:highlight w:val="none"/>
        </w:rPr>
        <w:t>7</w:t>
      </w:r>
      <w:bookmarkStart w:id="200" w:name="_Toc337558770"/>
      <w:r>
        <w:rPr>
          <w:rFonts w:ascii="宋体" w:hAnsi="宋体" w:cs="仿宋_GB2312"/>
          <w:b w:val="0"/>
          <w:bCs w:val="0"/>
          <w:sz w:val="21"/>
          <w:szCs w:val="21"/>
          <w:highlight w:val="none"/>
        </w:rPr>
        <w:t>.3 开工</w:t>
      </w:r>
      <w:bookmarkEnd w:id="199"/>
    </w:p>
    <w:p>
      <w:pPr>
        <w:ind w:firstLine="420"/>
        <w:rPr>
          <w:rFonts w:ascii="宋体" w:hAnsi="宋体" w:cs="仿宋_GB2312"/>
          <w:szCs w:val="21"/>
          <w:highlight w:val="none"/>
        </w:rPr>
      </w:pPr>
      <w:r>
        <w:rPr>
          <w:rFonts w:ascii="宋体" w:hAnsi="宋体" w:cs="仿宋_GB2312"/>
          <w:szCs w:val="21"/>
          <w:highlight w:val="none"/>
        </w:rPr>
        <w:t>7.3.1 开工准备</w:t>
      </w:r>
    </w:p>
    <w:p>
      <w:pPr>
        <w:ind w:firstLine="420"/>
        <w:rPr>
          <w:rFonts w:ascii="宋体" w:hAnsi="宋体" w:cs="仿宋_GB2312"/>
          <w:szCs w:val="21"/>
          <w:highlight w:val="none"/>
        </w:rPr>
      </w:pPr>
      <w:r>
        <w:rPr>
          <w:rFonts w:ascii="宋体" w:hAnsi="宋体" w:cs="仿宋_GB2312"/>
          <w:szCs w:val="21"/>
          <w:highlight w:val="none"/>
        </w:rPr>
        <w:t>除专用合同条款另有约定外，承包人应按照第7.1款</w:t>
      </w:r>
      <w:r>
        <w:rPr>
          <w:rFonts w:hint="eastAsia" w:ascii="宋体" w:hAnsi="宋体" w:cs="仿宋_GB2312"/>
          <w:szCs w:val="21"/>
          <w:highlight w:val="none"/>
        </w:rPr>
        <w:t>〔</w:t>
      </w:r>
      <w:r>
        <w:rPr>
          <w:rFonts w:ascii="宋体" w:hAnsi="宋体" w:cs="仿宋_GB2312"/>
          <w:szCs w:val="21"/>
          <w:highlight w:val="none"/>
        </w:rPr>
        <w:t>施工组织设计</w:t>
      </w:r>
      <w:r>
        <w:rPr>
          <w:rFonts w:hint="eastAsia" w:ascii="宋体" w:hAnsi="宋体" w:cs="仿宋_GB2312"/>
          <w:szCs w:val="21"/>
          <w:highlight w:val="none"/>
        </w:rPr>
        <w:t>〕</w:t>
      </w:r>
      <w:r>
        <w:rPr>
          <w:rFonts w:ascii="宋体" w:hAnsi="宋体" w:cs="仿宋_GB2312"/>
          <w:szCs w:val="21"/>
          <w:highlight w:val="none"/>
        </w:rPr>
        <w:t>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ind w:firstLine="420"/>
        <w:rPr>
          <w:rFonts w:ascii="宋体" w:hAnsi="宋体" w:cs="仿宋_GB2312"/>
          <w:szCs w:val="21"/>
          <w:highlight w:val="none"/>
        </w:rPr>
      </w:pPr>
      <w:r>
        <w:rPr>
          <w:rFonts w:ascii="宋体" w:hAnsi="宋体" w:cs="仿宋_GB2312"/>
          <w:szCs w:val="21"/>
          <w:highlight w:val="none"/>
        </w:rPr>
        <w:t>除专用合同条款另有约定外，合同当事人应按约定完成开工准备工作。</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7.3.2 开工通知</w:t>
      </w:r>
    </w:p>
    <w:bookmarkEnd w:id="200"/>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ind w:firstLine="420"/>
        <w:rPr>
          <w:rFonts w:ascii="宋体" w:hAnsi="宋体" w:cs="仿宋_GB2312"/>
          <w:szCs w:val="21"/>
          <w:highlight w:val="none"/>
        </w:rPr>
      </w:pPr>
      <w:r>
        <w:rPr>
          <w:rFonts w:ascii="宋体" w:hAnsi="宋体" w:cs="仿宋_GB2312"/>
          <w:szCs w:val="21"/>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pStyle w:val="6"/>
        <w:spacing w:before="120" w:after="120" w:line="360" w:lineRule="auto"/>
        <w:ind w:firstLine="420" w:firstLineChars="200"/>
        <w:rPr>
          <w:rFonts w:ascii="宋体" w:hAnsi="宋体" w:cs="仿宋_GB2312"/>
          <w:b w:val="0"/>
          <w:bCs w:val="0"/>
          <w:sz w:val="21"/>
          <w:szCs w:val="21"/>
          <w:highlight w:val="none"/>
        </w:rPr>
      </w:pPr>
      <w:bookmarkStart w:id="201" w:name="_Toc351203546"/>
      <w:r>
        <w:rPr>
          <w:rFonts w:ascii="宋体" w:hAnsi="宋体" w:cs="仿宋_GB2312"/>
          <w:b w:val="0"/>
          <w:bCs w:val="0"/>
          <w:sz w:val="21"/>
          <w:szCs w:val="21"/>
          <w:highlight w:val="none"/>
        </w:rPr>
        <w:t>7.4测量放线</w:t>
      </w:r>
      <w:bookmarkEnd w:id="201"/>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7.4.1 除专用合同条款另有约定外，发包人应在至迟不得晚于第7.3.2项</w:t>
      </w:r>
      <w:r>
        <w:rPr>
          <w:rFonts w:hint="eastAsia" w:ascii="宋体" w:hAnsi="宋体" w:cs="仿宋_GB2312"/>
          <w:szCs w:val="21"/>
          <w:highlight w:val="none"/>
        </w:rPr>
        <w:t>〔</w:t>
      </w:r>
      <w:r>
        <w:rPr>
          <w:rFonts w:ascii="宋体" w:hAnsi="宋体" w:cs="仿宋_GB2312"/>
          <w:szCs w:val="21"/>
          <w:highlight w:val="none"/>
        </w:rPr>
        <w:t>开工通知</w:t>
      </w:r>
      <w:r>
        <w:rPr>
          <w:rFonts w:hint="eastAsia" w:ascii="宋体" w:hAnsi="宋体" w:cs="仿宋_GB2312"/>
          <w:szCs w:val="21"/>
          <w:highlight w:val="none"/>
        </w:rPr>
        <w:t>〕</w:t>
      </w:r>
      <w:r>
        <w:rPr>
          <w:rFonts w:ascii="宋体" w:hAnsi="宋体" w:cs="仿宋_GB2312"/>
          <w:szCs w:val="21"/>
          <w:highlight w:val="none"/>
        </w:rPr>
        <w:t>载明的开工日期前7天通过监理人向承包人提供测量基准点、基准线和水准点及其书面资料。发包人应对其提供的测量基准点、基准线和水准点及其书面资料的真实性、准确性和完整性负责。</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施工过程中对施工现场内水准点等测量标志物的保护工作由承包人负责。</w:t>
      </w:r>
      <w:bookmarkStart w:id="202" w:name="_Toc351203547"/>
    </w:p>
    <w:p>
      <w:pPr>
        <w:pStyle w:val="6"/>
        <w:spacing w:before="120" w:after="120" w:line="360" w:lineRule="auto"/>
        <w:ind w:firstLine="420" w:firstLineChars="200"/>
        <w:rPr>
          <w:rFonts w:ascii="宋体" w:hAnsi="宋体" w:cs="仿宋_GB2312"/>
          <w:b w:val="0"/>
          <w:bCs w:val="0"/>
          <w:sz w:val="21"/>
          <w:szCs w:val="21"/>
          <w:highlight w:val="none"/>
        </w:rPr>
      </w:pPr>
      <w:r>
        <w:rPr>
          <w:rFonts w:ascii="宋体" w:hAnsi="宋体" w:cs="仿宋_GB2312"/>
          <w:b w:val="0"/>
          <w:bCs w:val="0"/>
          <w:sz w:val="21"/>
          <w:szCs w:val="21"/>
          <w:highlight w:val="none"/>
        </w:rPr>
        <w:t>7</w:t>
      </w:r>
      <w:bookmarkEnd w:id="195"/>
      <w:bookmarkEnd w:id="196"/>
      <w:bookmarkStart w:id="203" w:name="_Toc296503073"/>
      <w:bookmarkStart w:id="204" w:name="_Toc337558772"/>
      <w:bookmarkStart w:id="205" w:name="_Toc296346574"/>
      <w:r>
        <w:rPr>
          <w:rFonts w:ascii="宋体" w:hAnsi="宋体" w:cs="仿宋_GB2312"/>
          <w:b w:val="0"/>
          <w:bCs w:val="0"/>
          <w:sz w:val="21"/>
          <w:szCs w:val="21"/>
          <w:highlight w:val="none"/>
        </w:rPr>
        <w:t>.5</w:t>
      </w:r>
      <w:r>
        <w:rPr>
          <w:rFonts w:hint="eastAsia" w:ascii="宋体" w:hAnsi="宋体" w:cs="仿宋_GB2312"/>
          <w:b w:val="0"/>
          <w:bCs w:val="0"/>
          <w:sz w:val="21"/>
          <w:szCs w:val="21"/>
          <w:highlight w:val="none"/>
        </w:rPr>
        <w:t xml:space="preserve"> </w:t>
      </w:r>
      <w:r>
        <w:rPr>
          <w:rFonts w:ascii="宋体" w:hAnsi="宋体" w:cs="仿宋_GB2312"/>
          <w:b w:val="0"/>
          <w:bCs w:val="0"/>
          <w:sz w:val="21"/>
          <w:szCs w:val="21"/>
          <w:highlight w:val="none"/>
        </w:rPr>
        <w:t>工期延误</w:t>
      </w:r>
      <w:bookmarkEnd w:id="202"/>
    </w:p>
    <w:bookmarkEnd w:id="203"/>
    <w:bookmarkEnd w:id="204"/>
    <w:bookmarkEnd w:id="205"/>
    <w:p>
      <w:pPr>
        <w:ind w:firstLine="420"/>
        <w:rPr>
          <w:rFonts w:ascii="宋体" w:hAnsi="宋体" w:cs="仿宋_GB2312"/>
          <w:szCs w:val="21"/>
          <w:highlight w:val="none"/>
        </w:rPr>
      </w:pPr>
      <w:r>
        <w:rPr>
          <w:rFonts w:ascii="宋体" w:hAnsi="宋体" w:cs="仿宋_GB2312"/>
          <w:szCs w:val="21"/>
          <w:highlight w:val="none"/>
        </w:rPr>
        <w:t>7.5.1 因发包人原因导致工期延误</w:t>
      </w:r>
    </w:p>
    <w:p>
      <w:pPr>
        <w:ind w:firstLine="420"/>
        <w:rPr>
          <w:rFonts w:ascii="宋体" w:hAnsi="宋体" w:cs="仿宋_GB2312"/>
          <w:szCs w:val="21"/>
          <w:highlight w:val="none"/>
        </w:rPr>
      </w:pPr>
      <w:r>
        <w:rPr>
          <w:rFonts w:ascii="宋体" w:hAnsi="宋体" w:cs="仿宋_GB2312"/>
          <w:szCs w:val="21"/>
          <w:highlight w:val="none"/>
        </w:rPr>
        <w:t xml:space="preserve">在合同履行过程中，因下列情况导致工期延误和（或）费用增加的，由发包人承担由此延误的工期和（或）增加的费用，且发包人应支付承包人合理的利润： </w:t>
      </w:r>
    </w:p>
    <w:p>
      <w:pPr>
        <w:ind w:firstLine="420"/>
        <w:rPr>
          <w:rFonts w:ascii="宋体" w:hAnsi="宋体" w:cs="仿宋_GB2312"/>
          <w:szCs w:val="21"/>
          <w:highlight w:val="none"/>
        </w:rPr>
      </w:pPr>
      <w:r>
        <w:rPr>
          <w:rFonts w:ascii="宋体" w:hAnsi="宋体" w:cs="仿宋_GB2312"/>
          <w:szCs w:val="21"/>
          <w:highlight w:val="none"/>
        </w:rPr>
        <w:t>（1）发包人未能按合同约定提供图纸或所提供图纸不符合合同约定的；</w:t>
      </w:r>
    </w:p>
    <w:p>
      <w:pPr>
        <w:ind w:firstLine="420"/>
        <w:rPr>
          <w:rFonts w:ascii="宋体" w:hAnsi="宋体" w:cs="仿宋_GB2312"/>
          <w:szCs w:val="21"/>
          <w:highlight w:val="none"/>
        </w:rPr>
      </w:pPr>
      <w:r>
        <w:rPr>
          <w:rFonts w:ascii="宋体" w:hAnsi="宋体" w:cs="仿宋_GB2312"/>
          <w:szCs w:val="21"/>
          <w:highlight w:val="none"/>
        </w:rPr>
        <w:t>（2）发包人未能按合同约定提供施工现场、施工条件、基础资料、许可、批准等开工条件的；</w:t>
      </w:r>
    </w:p>
    <w:p>
      <w:pPr>
        <w:ind w:firstLine="420"/>
        <w:rPr>
          <w:rFonts w:ascii="宋体" w:hAnsi="宋体" w:cs="仿宋_GB2312"/>
          <w:szCs w:val="21"/>
          <w:highlight w:val="none"/>
        </w:rPr>
      </w:pPr>
      <w:r>
        <w:rPr>
          <w:rFonts w:ascii="宋体" w:hAnsi="宋体" w:cs="仿宋_GB2312"/>
          <w:szCs w:val="21"/>
          <w:highlight w:val="none"/>
        </w:rPr>
        <w:t>（3）发包人提供的测量基准点、基准线和水准点及其书面资料存在错误或疏漏的；</w:t>
      </w:r>
    </w:p>
    <w:p>
      <w:pPr>
        <w:ind w:firstLine="420"/>
        <w:rPr>
          <w:rFonts w:ascii="宋体" w:hAnsi="宋体" w:cs="仿宋_GB2312"/>
          <w:szCs w:val="21"/>
          <w:highlight w:val="none"/>
        </w:rPr>
      </w:pPr>
      <w:r>
        <w:rPr>
          <w:rFonts w:ascii="宋体" w:hAnsi="宋体" w:cs="仿宋_GB2312"/>
          <w:szCs w:val="21"/>
          <w:highlight w:val="none"/>
        </w:rPr>
        <w:t>（4）发包人未能在计划开工日期之日起7天内同意下达开工通知的；</w:t>
      </w:r>
    </w:p>
    <w:p>
      <w:pPr>
        <w:ind w:firstLine="420"/>
        <w:rPr>
          <w:rFonts w:ascii="宋体" w:hAnsi="宋体" w:cs="仿宋_GB2312"/>
          <w:szCs w:val="21"/>
          <w:highlight w:val="none"/>
        </w:rPr>
      </w:pPr>
      <w:r>
        <w:rPr>
          <w:rFonts w:ascii="宋体" w:hAnsi="宋体" w:cs="仿宋_GB2312"/>
          <w:szCs w:val="21"/>
          <w:highlight w:val="none"/>
        </w:rPr>
        <w:t>（5）发包人未能按合同约定日期支付工程预付款、进度款或竣工结算款的；</w:t>
      </w:r>
    </w:p>
    <w:p>
      <w:pPr>
        <w:ind w:firstLine="420"/>
        <w:rPr>
          <w:rFonts w:ascii="宋体" w:hAnsi="宋体" w:cs="仿宋_GB2312"/>
          <w:szCs w:val="21"/>
          <w:highlight w:val="none"/>
        </w:rPr>
      </w:pPr>
      <w:r>
        <w:rPr>
          <w:rFonts w:ascii="宋体" w:hAnsi="宋体" w:cs="仿宋_GB2312"/>
          <w:szCs w:val="21"/>
          <w:highlight w:val="none"/>
        </w:rPr>
        <w:t>（6）监理人未按合同约定发出指示、批准等文件的；</w:t>
      </w:r>
    </w:p>
    <w:p>
      <w:pPr>
        <w:ind w:firstLine="420"/>
        <w:rPr>
          <w:rFonts w:ascii="宋体" w:hAnsi="宋体" w:cs="仿宋_GB2312"/>
          <w:szCs w:val="21"/>
          <w:highlight w:val="none"/>
        </w:rPr>
      </w:pPr>
      <w:r>
        <w:rPr>
          <w:rFonts w:ascii="宋体" w:hAnsi="宋体" w:cs="仿宋_GB2312"/>
          <w:szCs w:val="21"/>
          <w:highlight w:val="none"/>
        </w:rPr>
        <w:t>（7）专用合同条款中约定的其他情形。</w:t>
      </w:r>
    </w:p>
    <w:p>
      <w:pPr>
        <w:ind w:firstLine="420"/>
        <w:rPr>
          <w:rFonts w:ascii="宋体" w:hAnsi="宋体" w:cs="仿宋_GB2312"/>
          <w:szCs w:val="21"/>
          <w:highlight w:val="none"/>
        </w:rPr>
      </w:pPr>
      <w:r>
        <w:rPr>
          <w:rFonts w:ascii="宋体" w:hAnsi="宋体" w:cs="仿宋_GB2312"/>
          <w:szCs w:val="21"/>
          <w:highlight w:val="none"/>
        </w:rPr>
        <w:t>因发包人原因未按计划开工日期开工的，发包人应按实际开工日期顺延竣工日期，确保实际工期不低于合同约定的工期总日历天数。因发包人原因导致工期延误需要修订施工进度计划的，按照第7.2.2项</w:t>
      </w:r>
      <w:r>
        <w:rPr>
          <w:rFonts w:hint="eastAsia" w:ascii="宋体" w:hAnsi="宋体" w:cs="仿宋_GB2312"/>
          <w:szCs w:val="21"/>
          <w:highlight w:val="none"/>
        </w:rPr>
        <w:t>〔</w:t>
      </w:r>
      <w:r>
        <w:rPr>
          <w:rFonts w:ascii="宋体" w:hAnsi="宋体" w:cs="仿宋_GB2312"/>
          <w:szCs w:val="21"/>
          <w:highlight w:val="none"/>
        </w:rPr>
        <w:t>施工进度计划的修订</w:t>
      </w:r>
      <w:r>
        <w:rPr>
          <w:rFonts w:hint="eastAsia" w:ascii="宋体" w:hAnsi="宋体" w:cs="仿宋_GB2312"/>
          <w:szCs w:val="21"/>
          <w:highlight w:val="none"/>
        </w:rPr>
        <w:t>〕</w:t>
      </w:r>
      <w:r>
        <w:rPr>
          <w:rFonts w:ascii="宋体" w:hAnsi="宋体" w:cs="仿宋_GB2312"/>
          <w:szCs w:val="21"/>
          <w:highlight w:val="none"/>
        </w:rPr>
        <w:t>执行。</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7.5.2 因承包人原因导致工期延误</w:t>
      </w:r>
    </w:p>
    <w:p>
      <w:pPr>
        <w:autoSpaceDE w:val="0"/>
        <w:autoSpaceDN w:val="0"/>
        <w:adjustRightInd w:val="0"/>
        <w:ind w:firstLine="420"/>
        <w:rPr>
          <w:rFonts w:ascii="宋体" w:hAnsi="宋体" w:cs="仿宋_GB2312"/>
          <w:szCs w:val="21"/>
          <w:highlight w:val="none"/>
        </w:rPr>
      </w:pPr>
      <w:bookmarkStart w:id="206" w:name="_Toc296503076"/>
      <w:bookmarkStart w:id="207" w:name="_Toc296346577"/>
      <w:r>
        <w:rPr>
          <w:rFonts w:ascii="宋体" w:hAnsi="宋体" w:cs="仿宋_GB2312"/>
          <w:szCs w:val="21"/>
          <w:highlight w:val="none"/>
        </w:rPr>
        <w:t>因</w:t>
      </w:r>
      <w:bookmarkEnd w:id="206"/>
      <w:bookmarkEnd w:id="207"/>
      <w:r>
        <w:rPr>
          <w:rFonts w:ascii="宋体" w:hAnsi="宋体" w:cs="仿宋_GB2312"/>
          <w:szCs w:val="21"/>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pPr>
        <w:pStyle w:val="6"/>
        <w:spacing w:before="120" w:after="120" w:line="360" w:lineRule="auto"/>
        <w:ind w:firstLine="420" w:firstLineChars="200"/>
        <w:rPr>
          <w:rFonts w:ascii="宋体" w:hAnsi="宋体" w:cs="仿宋_GB2312"/>
          <w:b w:val="0"/>
          <w:bCs w:val="0"/>
          <w:sz w:val="21"/>
          <w:szCs w:val="21"/>
          <w:highlight w:val="none"/>
        </w:rPr>
      </w:pPr>
      <w:bookmarkStart w:id="208" w:name="_Toc351203548"/>
      <w:r>
        <w:rPr>
          <w:rFonts w:ascii="宋体" w:hAnsi="宋体" w:cs="仿宋_GB2312"/>
          <w:b w:val="0"/>
          <w:bCs w:val="0"/>
          <w:sz w:val="21"/>
          <w:szCs w:val="21"/>
          <w:highlight w:val="none"/>
        </w:rPr>
        <w:t>7</w:t>
      </w:r>
      <w:bookmarkStart w:id="209" w:name="_Toc296346575"/>
      <w:bookmarkStart w:id="210" w:name="_Toc337558773"/>
      <w:bookmarkStart w:id="211" w:name="_Toc296503074"/>
      <w:bookmarkStart w:id="212" w:name="_Toc296346578"/>
      <w:bookmarkStart w:id="213" w:name="_Toc296503077"/>
      <w:r>
        <w:rPr>
          <w:rFonts w:ascii="宋体" w:hAnsi="宋体" w:cs="仿宋_GB2312"/>
          <w:b w:val="0"/>
          <w:bCs w:val="0"/>
          <w:sz w:val="21"/>
          <w:szCs w:val="21"/>
          <w:highlight w:val="none"/>
        </w:rPr>
        <w:t>.6 不利物质条件</w:t>
      </w:r>
      <w:bookmarkEnd w:id="208"/>
    </w:p>
    <w:bookmarkEnd w:id="209"/>
    <w:bookmarkEnd w:id="210"/>
    <w:bookmarkEnd w:id="211"/>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w:t>
      </w:r>
      <w:r>
        <w:rPr>
          <w:rFonts w:hint="eastAsia" w:ascii="宋体" w:hAnsi="宋体" w:cs="仿宋_GB2312"/>
          <w:szCs w:val="21"/>
          <w:highlight w:val="none"/>
        </w:rPr>
        <w:t>〔</w:t>
      </w:r>
      <w:r>
        <w:rPr>
          <w:rFonts w:ascii="宋体" w:hAnsi="宋体" w:cs="仿宋_GB2312"/>
          <w:szCs w:val="21"/>
          <w:highlight w:val="none"/>
        </w:rPr>
        <w:t>变更</w:t>
      </w:r>
      <w:r>
        <w:rPr>
          <w:rFonts w:hint="eastAsia" w:ascii="宋体" w:hAnsi="宋体" w:cs="仿宋_GB2312"/>
          <w:szCs w:val="21"/>
          <w:highlight w:val="none"/>
        </w:rPr>
        <w:t>〕</w:t>
      </w:r>
      <w:r>
        <w:rPr>
          <w:rFonts w:ascii="宋体" w:hAnsi="宋体" w:cs="仿宋_GB2312"/>
          <w:szCs w:val="21"/>
          <w:highlight w:val="none"/>
        </w:rPr>
        <w:t>约定执行。承包人因采取合理措施而增加的费用和（或）延误的工期由发包人承担。</w:t>
      </w:r>
    </w:p>
    <w:p>
      <w:pPr>
        <w:pStyle w:val="6"/>
        <w:spacing w:before="120" w:after="120" w:line="360" w:lineRule="auto"/>
        <w:ind w:firstLine="420" w:firstLineChars="200"/>
        <w:rPr>
          <w:rFonts w:ascii="宋体" w:hAnsi="宋体" w:cs="仿宋_GB2312"/>
          <w:b w:val="0"/>
          <w:bCs w:val="0"/>
          <w:sz w:val="21"/>
          <w:szCs w:val="21"/>
          <w:highlight w:val="none"/>
        </w:rPr>
      </w:pPr>
      <w:bookmarkStart w:id="214" w:name="_Toc351203549"/>
      <w:r>
        <w:rPr>
          <w:rFonts w:ascii="宋体" w:hAnsi="宋体" w:cs="仿宋_GB2312"/>
          <w:b w:val="0"/>
          <w:bCs w:val="0"/>
          <w:sz w:val="21"/>
          <w:szCs w:val="21"/>
          <w:highlight w:val="none"/>
        </w:rPr>
        <w:t>7</w:t>
      </w:r>
      <w:bookmarkStart w:id="215" w:name="_Toc337558774"/>
      <w:bookmarkStart w:id="216" w:name="_Toc296503075"/>
      <w:bookmarkStart w:id="217" w:name="_Toc296346576"/>
      <w:r>
        <w:rPr>
          <w:rFonts w:ascii="宋体" w:hAnsi="宋体" w:cs="仿宋_GB2312"/>
          <w:b w:val="0"/>
          <w:bCs w:val="0"/>
          <w:sz w:val="21"/>
          <w:szCs w:val="21"/>
          <w:highlight w:val="none"/>
        </w:rPr>
        <w:t>.7</w:t>
      </w:r>
      <w:r>
        <w:rPr>
          <w:rFonts w:hint="eastAsia" w:ascii="宋体" w:hAnsi="宋体" w:cs="仿宋_GB2312"/>
          <w:b w:val="0"/>
          <w:bCs w:val="0"/>
          <w:sz w:val="21"/>
          <w:szCs w:val="21"/>
          <w:highlight w:val="none"/>
        </w:rPr>
        <w:t xml:space="preserve"> </w:t>
      </w:r>
      <w:r>
        <w:rPr>
          <w:rFonts w:ascii="宋体" w:hAnsi="宋体" w:cs="仿宋_GB2312"/>
          <w:b w:val="0"/>
          <w:bCs w:val="0"/>
          <w:sz w:val="21"/>
          <w:szCs w:val="21"/>
          <w:highlight w:val="none"/>
        </w:rPr>
        <w:t>异常恶劣的气候条件</w:t>
      </w:r>
      <w:bookmarkEnd w:id="214"/>
    </w:p>
    <w:bookmarkEnd w:id="215"/>
    <w:bookmarkEnd w:id="216"/>
    <w:bookmarkEnd w:id="217"/>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承包人应采取克服异常恶劣的气候条件的合理措施继续施工，并及时通知发包人和监理人。监理人经发包人同意后应当及时发出指示，指示构成变更的，按第10条</w:t>
      </w:r>
      <w:r>
        <w:rPr>
          <w:rFonts w:hint="eastAsia" w:ascii="宋体" w:hAnsi="宋体" w:cs="仿宋_GB2312"/>
          <w:szCs w:val="21"/>
          <w:highlight w:val="none"/>
        </w:rPr>
        <w:t>〔</w:t>
      </w:r>
      <w:r>
        <w:rPr>
          <w:rFonts w:ascii="宋体" w:hAnsi="宋体" w:cs="仿宋_GB2312"/>
          <w:szCs w:val="21"/>
          <w:highlight w:val="none"/>
        </w:rPr>
        <w:t>变更</w:t>
      </w:r>
      <w:r>
        <w:rPr>
          <w:rFonts w:hint="eastAsia" w:ascii="宋体" w:hAnsi="宋体" w:cs="仿宋_GB2312"/>
          <w:szCs w:val="21"/>
          <w:highlight w:val="none"/>
        </w:rPr>
        <w:t>〕</w:t>
      </w:r>
      <w:r>
        <w:rPr>
          <w:rFonts w:ascii="宋体" w:hAnsi="宋体" w:cs="仿宋_GB2312"/>
          <w:szCs w:val="21"/>
          <w:highlight w:val="none"/>
        </w:rPr>
        <w:t>约定办理。承包人因采取合理措施而增加的费用和（或）延误的工期由发包人承担。</w:t>
      </w:r>
      <w:bookmarkStart w:id="218" w:name="_Toc351203550"/>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7</w:t>
      </w:r>
      <w:bookmarkStart w:id="219" w:name="_Toc337558775"/>
      <w:r>
        <w:rPr>
          <w:rFonts w:ascii="宋体" w:hAnsi="宋体" w:cs="仿宋_GB2312"/>
          <w:szCs w:val="21"/>
          <w:highlight w:val="none"/>
        </w:rPr>
        <w:t>.8</w:t>
      </w:r>
      <w:r>
        <w:rPr>
          <w:rFonts w:hint="eastAsia" w:ascii="宋体" w:hAnsi="宋体" w:cs="仿宋_GB2312"/>
          <w:szCs w:val="21"/>
          <w:highlight w:val="none"/>
        </w:rPr>
        <w:t xml:space="preserve"> </w:t>
      </w:r>
      <w:r>
        <w:rPr>
          <w:rFonts w:ascii="宋体" w:hAnsi="宋体" w:cs="仿宋_GB2312"/>
          <w:szCs w:val="21"/>
          <w:highlight w:val="none"/>
        </w:rPr>
        <w:t>暂停施工</w:t>
      </w:r>
      <w:bookmarkEnd w:id="218"/>
    </w:p>
    <w:bookmarkEnd w:id="212"/>
    <w:bookmarkEnd w:id="213"/>
    <w:bookmarkEnd w:id="219"/>
    <w:p>
      <w:pPr>
        <w:ind w:firstLine="420"/>
        <w:rPr>
          <w:rFonts w:ascii="宋体" w:hAnsi="宋体" w:cs="仿宋_GB2312"/>
          <w:szCs w:val="21"/>
          <w:highlight w:val="none"/>
        </w:rPr>
      </w:pPr>
      <w:r>
        <w:rPr>
          <w:rFonts w:ascii="宋体" w:hAnsi="宋体" w:cs="仿宋_GB2312"/>
          <w:szCs w:val="21"/>
          <w:highlight w:val="none"/>
        </w:rPr>
        <w:t>7.8.1发包人原因引起的暂停施工</w:t>
      </w:r>
    </w:p>
    <w:p>
      <w:pPr>
        <w:ind w:firstLine="420"/>
        <w:rPr>
          <w:rFonts w:ascii="宋体" w:hAnsi="宋体" w:cs="仿宋_GB2312"/>
          <w:szCs w:val="21"/>
          <w:highlight w:val="none"/>
        </w:rPr>
      </w:pPr>
      <w:r>
        <w:rPr>
          <w:rFonts w:ascii="宋体" w:hAnsi="宋体" w:cs="仿宋_GB2312"/>
          <w:szCs w:val="21"/>
          <w:highlight w:val="none"/>
        </w:rPr>
        <w:t>因发包人原因引起暂停施工的，监理人经发包人同意后，应及时下达暂停施工指示。情况紧急且监理人未及时下达暂停施工指示的，按照第7.8.4项</w:t>
      </w:r>
      <w:r>
        <w:rPr>
          <w:rFonts w:hint="eastAsia" w:ascii="宋体" w:hAnsi="宋体" w:cs="仿宋_GB2312"/>
          <w:szCs w:val="21"/>
          <w:highlight w:val="none"/>
        </w:rPr>
        <w:t>〔</w:t>
      </w:r>
      <w:r>
        <w:rPr>
          <w:rFonts w:ascii="宋体" w:hAnsi="宋体" w:cs="仿宋_GB2312"/>
          <w:szCs w:val="21"/>
          <w:highlight w:val="none"/>
        </w:rPr>
        <w:t>紧急情况下的暂停施工</w:t>
      </w:r>
      <w:r>
        <w:rPr>
          <w:rFonts w:hint="eastAsia" w:ascii="宋体" w:hAnsi="宋体" w:cs="仿宋_GB2312"/>
          <w:szCs w:val="21"/>
          <w:highlight w:val="none"/>
        </w:rPr>
        <w:t>〕</w:t>
      </w:r>
      <w:r>
        <w:rPr>
          <w:rFonts w:ascii="宋体" w:hAnsi="宋体" w:cs="仿宋_GB2312"/>
          <w:szCs w:val="21"/>
          <w:highlight w:val="none"/>
        </w:rPr>
        <w:t>执行。</w:t>
      </w:r>
    </w:p>
    <w:p>
      <w:pPr>
        <w:ind w:firstLine="420"/>
        <w:rPr>
          <w:rFonts w:ascii="宋体" w:hAnsi="宋体" w:cs="仿宋_GB2312"/>
          <w:szCs w:val="21"/>
          <w:highlight w:val="none"/>
        </w:rPr>
      </w:pPr>
      <w:r>
        <w:rPr>
          <w:rFonts w:ascii="宋体" w:hAnsi="宋体" w:cs="仿宋_GB2312"/>
          <w:szCs w:val="21"/>
          <w:highlight w:val="none"/>
        </w:rPr>
        <w:t>因发包人原因引起的暂停施工，发包人应承担由此增加的费用和（或）延误的工期，并支付承包人合理的利润。</w:t>
      </w:r>
    </w:p>
    <w:p>
      <w:pPr>
        <w:ind w:firstLine="420"/>
        <w:rPr>
          <w:rFonts w:ascii="宋体" w:hAnsi="宋体" w:cs="仿宋_GB2312"/>
          <w:szCs w:val="21"/>
          <w:highlight w:val="none"/>
        </w:rPr>
      </w:pPr>
      <w:r>
        <w:rPr>
          <w:rFonts w:ascii="宋体" w:hAnsi="宋体" w:cs="仿宋_GB2312"/>
          <w:szCs w:val="21"/>
          <w:highlight w:val="none"/>
        </w:rPr>
        <w:t>7.8.2 承包人原因引起的暂停施工</w:t>
      </w:r>
    </w:p>
    <w:p>
      <w:pPr>
        <w:ind w:firstLine="420"/>
        <w:rPr>
          <w:rFonts w:ascii="宋体" w:hAnsi="宋体" w:cs="仿宋_GB2312"/>
          <w:szCs w:val="21"/>
          <w:highlight w:val="none"/>
        </w:rPr>
      </w:pPr>
      <w:r>
        <w:rPr>
          <w:rFonts w:ascii="宋体" w:hAnsi="宋体" w:cs="仿宋_GB2312"/>
          <w:szCs w:val="21"/>
          <w:highlight w:val="none"/>
        </w:rPr>
        <w:t>因承包人原因引起的暂停施工，承包人应承担由此增加的费用和（或）延误的工期，且承包人在收到监理人复工指示后</w:t>
      </w:r>
      <w:r>
        <w:rPr>
          <w:rFonts w:hint="eastAsia" w:ascii="宋体" w:hAnsi="宋体" w:cs="仿宋_GB2312"/>
          <w:szCs w:val="21"/>
          <w:highlight w:val="none"/>
        </w:rPr>
        <w:t>84</w:t>
      </w:r>
      <w:r>
        <w:rPr>
          <w:rFonts w:ascii="宋体" w:hAnsi="宋体" w:cs="仿宋_GB2312"/>
          <w:szCs w:val="21"/>
          <w:highlight w:val="none"/>
        </w:rPr>
        <w:t>天内仍未复工的，视为第16.2.1项</w:t>
      </w:r>
      <w:r>
        <w:rPr>
          <w:rFonts w:hint="eastAsia" w:ascii="宋体" w:hAnsi="宋体" w:cs="仿宋_GB2312"/>
          <w:szCs w:val="21"/>
          <w:highlight w:val="none"/>
        </w:rPr>
        <w:t>〔</w:t>
      </w:r>
      <w:r>
        <w:rPr>
          <w:rFonts w:ascii="宋体" w:hAnsi="宋体" w:cs="仿宋_GB2312"/>
          <w:szCs w:val="21"/>
          <w:highlight w:val="none"/>
        </w:rPr>
        <w:t>承包人违约的情形</w:t>
      </w:r>
      <w:r>
        <w:rPr>
          <w:rFonts w:hint="eastAsia" w:ascii="宋体" w:hAnsi="宋体" w:cs="仿宋_GB2312"/>
          <w:szCs w:val="21"/>
          <w:highlight w:val="none"/>
        </w:rPr>
        <w:t>〕</w:t>
      </w:r>
      <w:r>
        <w:rPr>
          <w:rFonts w:ascii="宋体" w:hAnsi="宋体" w:cs="仿宋_GB2312"/>
          <w:szCs w:val="21"/>
          <w:highlight w:val="none"/>
        </w:rPr>
        <w:t>第（7）目约定的承包人无法继续履行合同的情形。</w:t>
      </w:r>
    </w:p>
    <w:p>
      <w:pPr>
        <w:ind w:firstLine="420"/>
        <w:rPr>
          <w:rFonts w:ascii="宋体" w:hAnsi="宋体" w:cs="仿宋_GB2312"/>
          <w:szCs w:val="21"/>
          <w:highlight w:val="none"/>
        </w:rPr>
      </w:pPr>
      <w:r>
        <w:rPr>
          <w:rFonts w:ascii="宋体" w:hAnsi="宋体" w:cs="仿宋_GB2312"/>
          <w:szCs w:val="21"/>
          <w:highlight w:val="none"/>
        </w:rPr>
        <w:t>7.8.3 指示暂停施工</w:t>
      </w:r>
    </w:p>
    <w:p>
      <w:pPr>
        <w:ind w:firstLine="420"/>
        <w:rPr>
          <w:rFonts w:ascii="宋体" w:hAnsi="宋体" w:cs="仿宋_GB2312"/>
          <w:szCs w:val="21"/>
          <w:highlight w:val="none"/>
        </w:rPr>
      </w:pPr>
      <w:r>
        <w:rPr>
          <w:rFonts w:ascii="宋体" w:hAnsi="宋体" w:cs="仿宋_GB2312"/>
          <w:szCs w:val="21"/>
          <w:highlight w:val="none"/>
        </w:rPr>
        <w:t>监理人认为有必要时，并经发包人批准后，可向承包人作出暂停施工的指示，承包人应按监理人指示暂停施工。</w:t>
      </w:r>
    </w:p>
    <w:p>
      <w:pPr>
        <w:ind w:firstLine="420"/>
        <w:rPr>
          <w:rFonts w:ascii="宋体" w:hAnsi="宋体" w:cs="仿宋_GB2312"/>
          <w:szCs w:val="21"/>
          <w:highlight w:val="none"/>
        </w:rPr>
      </w:pPr>
      <w:r>
        <w:rPr>
          <w:rFonts w:ascii="宋体" w:hAnsi="宋体" w:cs="仿宋_GB2312"/>
          <w:szCs w:val="21"/>
          <w:highlight w:val="none"/>
        </w:rPr>
        <w:t>7.8.4 紧急情况下的暂停施工</w:t>
      </w:r>
    </w:p>
    <w:p>
      <w:pPr>
        <w:ind w:firstLine="420"/>
        <w:rPr>
          <w:rFonts w:ascii="宋体" w:hAnsi="宋体" w:cs="仿宋_GB2312"/>
          <w:szCs w:val="21"/>
          <w:highlight w:val="none"/>
        </w:rPr>
      </w:pPr>
      <w:r>
        <w:rPr>
          <w:rFonts w:ascii="宋体" w:hAnsi="宋体" w:cs="仿宋_GB2312"/>
          <w:szCs w:val="21"/>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w:t>
      </w:r>
      <w:r>
        <w:rPr>
          <w:rFonts w:hint="eastAsia" w:ascii="宋体" w:hAnsi="宋体" w:cs="仿宋_GB2312"/>
          <w:szCs w:val="21"/>
          <w:highlight w:val="none"/>
        </w:rPr>
        <w:t>〔</w:t>
      </w:r>
      <w:r>
        <w:rPr>
          <w:rFonts w:ascii="宋体" w:hAnsi="宋体" w:cs="仿宋_GB2312"/>
          <w:szCs w:val="21"/>
          <w:highlight w:val="none"/>
        </w:rPr>
        <w:t>争议解决</w:t>
      </w:r>
      <w:r>
        <w:rPr>
          <w:rFonts w:hint="eastAsia" w:ascii="宋体" w:hAnsi="宋体" w:cs="仿宋_GB2312"/>
          <w:szCs w:val="21"/>
          <w:highlight w:val="none"/>
        </w:rPr>
        <w:t>〕</w:t>
      </w:r>
      <w:r>
        <w:rPr>
          <w:rFonts w:ascii="宋体" w:hAnsi="宋体" w:cs="仿宋_GB2312"/>
          <w:szCs w:val="21"/>
          <w:highlight w:val="none"/>
        </w:rPr>
        <w:t>约定处理。</w:t>
      </w:r>
    </w:p>
    <w:p>
      <w:pPr>
        <w:ind w:firstLine="420"/>
        <w:rPr>
          <w:rFonts w:ascii="宋体" w:hAnsi="宋体" w:cs="仿宋_GB2312"/>
          <w:szCs w:val="21"/>
          <w:highlight w:val="none"/>
        </w:rPr>
      </w:pPr>
      <w:r>
        <w:rPr>
          <w:rFonts w:ascii="宋体" w:hAnsi="宋体" w:cs="仿宋_GB2312"/>
          <w:szCs w:val="21"/>
          <w:highlight w:val="none"/>
        </w:rPr>
        <w:t>7.8.5 暂停施工后的复工</w:t>
      </w:r>
    </w:p>
    <w:p>
      <w:pPr>
        <w:ind w:firstLine="420"/>
        <w:rPr>
          <w:rFonts w:ascii="宋体" w:hAnsi="宋体" w:cs="仿宋_GB2312"/>
          <w:szCs w:val="21"/>
          <w:highlight w:val="none"/>
        </w:rPr>
      </w:pPr>
      <w:r>
        <w:rPr>
          <w:rFonts w:ascii="宋体" w:hAnsi="宋体" w:cs="仿宋_GB2312"/>
          <w:szCs w:val="21"/>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ind w:firstLine="420"/>
        <w:rPr>
          <w:rFonts w:ascii="宋体" w:hAnsi="宋体" w:cs="仿宋_GB2312"/>
          <w:szCs w:val="21"/>
          <w:highlight w:val="none"/>
        </w:rPr>
      </w:pPr>
      <w:r>
        <w:rPr>
          <w:rFonts w:ascii="宋体" w:hAnsi="宋体" w:cs="仿宋_GB2312"/>
          <w:szCs w:val="21"/>
          <w:highlight w:val="none"/>
        </w:rPr>
        <w:t>承包人无故拖延和拒绝复工的，承包人承担由此增加的费用和（或）延误的工期；因发包人原因无法按时复工的，按照第7.5.1项</w:t>
      </w:r>
      <w:r>
        <w:rPr>
          <w:rFonts w:hint="eastAsia" w:ascii="宋体" w:hAnsi="宋体" w:cs="仿宋_GB2312"/>
          <w:szCs w:val="21"/>
          <w:highlight w:val="none"/>
        </w:rPr>
        <w:t>〔</w:t>
      </w:r>
      <w:r>
        <w:rPr>
          <w:rFonts w:ascii="宋体" w:hAnsi="宋体" w:cs="仿宋_GB2312"/>
          <w:szCs w:val="21"/>
          <w:highlight w:val="none"/>
        </w:rPr>
        <w:t>因发包人原因导致工期延误</w:t>
      </w:r>
      <w:r>
        <w:rPr>
          <w:rFonts w:hint="eastAsia" w:ascii="宋体" w:hAnsi="宋体" w:cs="仿宋_GB2312"/>
          <w:szCs w:val="21"/>
          <w:highlight w:val="none"/>
        </w:rPr>
        <w:t>〕</w:t>
      </w:r>
      <w:r>
        <w:rPr>
          <w:rFonts w:ascii="宋体" w:hAnsi="宋体" w:cs="仿宋_GB2312"/>
          <w:szCs w:val="21"/>
          <w:highlight w:val="none"/>
        </w:rPr>
        <w:t>约定办理。</w:t>
      </w:r>
    </w:p>
    <w:p>
      <w:pPr>
        <w:ind w:firstLine="420"/>
        <w:rPr>
          <w:rFonts w:ascii="宋体" w:hAnsi="宋体" w:cs="仿宋_GB2312"/>
          <w:szCs w:val="21"/>
          <w:highlight w:val="none"/>
        </w:rPr>
      </w:pPr>
      <w:r>
        <w:rPr>
          <w:rFonts w:ascii="宋体" w:hAnsi="宋体" w:cs="仿宋_GB2312"/>
          <w:szCs w:val="21"/>
          <w:highlight w:val="none"/>
        </w:rPr>
        <w:t>7.8.6 暂停施工持续56天以上</w:t>
      </w:r>
    </w:p>
    <w:p>
      <w:pPr>
        <w:ind w:firstLine="409" w:firstLineChars="195"/>
        <w:rPr>
          <w:rFonts w:ascii="宋体" w:hAnsi="宋体" w:cs="仿宋_GB2312"/>
          <w:szCs w:val="21"/>
          <w:highlight w:val="none"/>
        </w:rPr>
      </w:pPr>
      <w:r>
        <w:rPr>
          <w:rFonts w:ascii="宋体" w:hAnsi="宋体" w:cs="仿宋_GB2312"/>
          <w:szCs w:val="21"/>
          <w:highlight w:val="none"/>
        </w:rPr>
        <w:t>监理人发出暂停施工指示后56天内未向承包人发出复工通知，除该项停工属于第7.8.2项</w:t>
      </w:r>
      <w:r>
        <w:rPr>
          <w:rFonts w:hint="eastAsia" w:ascii="宋体" w:hAnsi="宋体" w:cs="仿宋_GB2312"/>
          <w:szCs w:val="21"/>
          <w:highlight w:val="none"/>
        </w:rPr>
        <w:t>〔</w:t>
      </w:r>
      <w:r>
        <w:rPr>
          <w:rFonts w:ascii="宋体" w:hAnsi="宋体" w:cs="仿宋_GB2312"/>
          <w:szCs w:val="21"/>
          <w:highlight w:val="none"/>
        </w:rPr>
        <w:t>承包人原因引起的暂停施工</w:t>
      </w:r>
      <w:r>
        <w:rPr>
          <w:rFonts w:hint="eastAsia" w:ascii="宋体" w:hAnsi="宋体" w:cs="仿宋_GB2312"/>
          <w:szCs w:val="21"/>
          <w:highlight w:val="none"/>
        </w:rPr>
        <w:t>〕</w:t>
      </w:r>
      <w:r>
        <w:rPr>
          <w:rFonts w:ascii="宋体" w:hAnsi="宋体" w:cs="仿宋_GB2312"/>
          <w:szCs w:val="21"/>
          <w:highlight w:val="none"/>
        </w:rPr>
        <w:t>及第17条</w:t>
      </w:r>
      <w:r>
        <w:rPr>
          <w:rFonts w:hint="eastAsia" w:ascii="宋体" w:hAnsi="宋体" w:cs="仿宋_GB2312"/>
          <w:szCs w:val="21"/>
          <w:highlight w:val="none"/>
        </w:rPr>
        <w:t>〔</w:t>
      </w:r>
      <w:r>
        <w:rPr>
          <w:rFonts w:ascii="宋体" w:hAnsi="宋体" w:cs="仿宋_GB2312"/>
          <w:szCs w:val="21"/>
          <w:highlight w:val="none"/>
        </w:rPr>
        <w:t>不可抗力</w:t>
      </w:r>
      <w:r>
        <w:rPr>
          <w:rFonts w:hint="eastAsia" w:ascii="宋体" w:hAnsi="宋体" w:cs="仿宋_GB2312"/>
          <w:szCs w:val="21"/>
          <w:highlight w:val="none"/>
        </w:rPr>
        <w:t>〕</w:t>
      </w:r>
      <w:r>
        <w:rPr>
          <w:rFonts w:ascii="宋体" w:hAnsi="宋体" w:cs="仿宋_GB2312"/>
          <w:szCs w:val="21"/>
          <w:highlight w:val="none"/>
        </w:rPr>
        <w:t>约定的情形外，承包人可向发包人提交书面通知，要求发包人在收到书面通知后28天内准许已暂停施工的部分或全部工程继续施工。发包人逾期不予批准的，则承包人可以通知发包人，将工程受影响的部分视为按第10.1款</w:t>
      </w:r>
      <w:r>
        <w:rPr>
          <w:rFonts w:hint="eastAsia" w:ascii="宋体" w:hAnsi="宋体" w:cs="仿宋_GB2312"/>
          <w:szCs w:val="21"/>
          <w:highlight w:val="none"/>
        </w:rPr>
        <w:t>〔</w:t>
      </w:r>
      <w:r>
        <w:rPr>
          <w:rFonts w:ascii="宋体" w:hAnsi="宋体" w:cs="仿宋_GB2312"/>
          <w:szCs w:val="21"/>
          <w:highlight w:val="none"/>
        </w:rPr>
        <w:t>变更的范围</w:t>
      </w:r>
      <w:r>
        <w:rPr>
          <w:rFonts w:hint="eastAsia" w:ascii="宋体" w:hAnsi="宋体" w:cs="仿宋_GB2312"/>
          <w:szCs w:val="21"/>
          <w:highlight w:val="none"/>
        </w:rPr>
        <w:t>〕</w:t>
      </w:r>
      <w:r>
        <w:rPr>
          <w:rFonts w:ascii="宋体" w:hAnsi="宋体" w:cs="仿宋_GB2312"/>
          <w:szCs w:val="21"/>
          <w:highlight w:val="none"/>
        </w:rPr>
        <w:t>第（2）项的可取消工作。</w:t>
      </w:r>
    </w:p>
    <w:p>
      <w:pPr>
        <w:ind w:firstLine="409" w:firstLineChars="195"/>
        <w:rPr>
          <w:rFonts w:ascii="宋体" w:hAnsi="宋体" w:cs="仿宋_GB2312"/>
          <w:szCs w:val="21"/>
          <w:highlight w:val="none"/>
        </w:rPr>
      </w:pPr>
      <w:r>
        <w:rPr>
          <w:rFonts w:ascii="宋体" w:hAnsi="宋体" w:cs="仿宋_GB2312"/>
          <w:szCs w:val="21"/>
          <w:highlight w:val="none"/>
        </w:rPr>
        <w:t>暂停施工持续</w:t>
      </w:r>
      <w:r>
        <w:rPr>
          <w:rFonts w:hint="eastAsia" w:ascii="宋体" w:hAnsi="宋体" w:cs="仿宋_GB2312"/>
          <w:szCs w:val="21"/>
          <w:highlight w:val="none"/>
        </w:rPr>
        <w:t>84</w:t>
      </w:r>
      <w:r>
        <w:rPr>
          <w:rFonts w:ascii="宋体" w:hAnsi="宋体" w:cs="仿宋_GB2312"/>
          <w:szCs w:val="21"/>
          <w:highlight w:val="none"/>
        </w:rPr>
        <w:t>天以上不复工的，且不属于第7.8.2项</w:t>
      </w:r>
      <w:r>
        <w:rPr>
          <w:rFonts w:hint="eastAsia" w:ascii="宋体" w:hAnsi="宋体" w:cs="仿宋_GB2312"/>
          <w:szCs w:val="21"/>
          <w:highlight w:val="none"/>
        </w:rPr>
        <w:t>〔</w:t>
      </w:r>
      <w:r>
        <w:rPr>
          <w:rFonts w:ascii="宋体" w:hAnsi="宋体" w:cs="仿宋_GB2312"/>
          <w:szCs w:val="21"/>
          <w:highlight w:val="none"/>
        </w:rPr>
        <w:t>承包人原因引起的暂停施工</w:t>
      </w:r>
      <w:r>
        <w:rPr>
          <w:rFonts w:hint="eastAsia" w:ascii="宋体" w:hAnsi="宋体" w:cs="仿宋_GB2312"/>
          <w:szCs w:val="21"/>
          <w:highlight w:val="none"/>
        </w:rPr>
        <w:t>〕</w:t>
      </w:r>
      <w:r>
        <w:rPr>
          <w:rFonts w:ascii="宋体" w:hAnsi="宋体" w:cs="仿宋_GB2312"/>
          <w:szCs w:val="21"/>
          <w:highlight w:val="none"/>
        </w:rPr>
        <w:t>及第17条</w:t>
      </w:r>
      <w:r>
        <w:rPr>
          <w:rFonts w:hint="eastAsia" w:ascii="宋体" w:hAnsi="宋体" w:cs="仿宋_GB2312"/>
          <w:szCs w:val="21"/>
          <w:highlight w:val="none"/>
        </w:rPr>
        <w:t>〔</w:t>
      </w:r>
      <w:r>
        <w:rPr>
          <w:rFonts w:ascii="宋体" w:hAnsi="宋体" w:cs="仿宋_GB2312"/>
          <w:szCs w:val="21"/>
          <w:highlight w:val="none"/>
        </w:rPr>
        <w:t>不可抗力</w:t>
      </w:r>
      <w:r>
        <w:rPr>
          <w:rFonts w:hint="eastAsia" w:ascii="宋体" w:hAnsi="宋体" w:cs="仿宋_GB2312"/>
          <w:szCs w:val="21"/>
          <w:highlight w:val="none"/>
        </w:rPr>
        <w:t>〕</w:t>
      </w:r>
      <w:r>
        <w:rPr>
          <w:rFonts w:ascii="宋体" w:hAnsi="宋体" w:cs="仿宋_GB2312"/>
          <w:szCs w:val="21"/>
          <w:highlight w:val="none"/>
        </w:rPr>
        <w:t>约定的情形，并影响到整个工程以及合同目的实现的，承包人有权提出价格调整要求，或者解除合同。解除合同的，按照第16.1.3项</w:t>
      </w:r>
      <w:r>
        <w:rPr>
          <w:rFonts w:hint="eastAsia" w:ascii="宋体" w:hAnsi="宋体" w:cs="仿宋_GB2312"/>
          <w:szCs w:val="21"/>
          <w:highlight w:val="none"/>
        </w:rPr>
        <w:t>〔</w:t>
      </w:r>
      <w:r>
        <w:rPr>
          <w:rFonts w:ascii="宋体" w:hAnsi="宋体" w:cs="仿宋_GB2312"/>
          <w:szCs w:val="21"/>
          <w:highlight w:val="none"/>
        </w:rPr>
        <w:t>因发包人违约解除合同</w:t>
      </w:r>
      <w:r>
        <w:rPr>
          <w:rFonts w:hint="eastAsia" w:ascii="宋体" w:hAnsi="宋体" w:cs="仿宋_GB2312"/>
          <w:szCs w:val="21"/>
          <w:highlight w:val="none"/>
        </w:rPr>
        <w:t>〕</w:t>
      </w:r>
      <w:r>
        <w:rPr>
          <w:rFonts w:ascii="宋体" w:hAnsi="宋体" w:cs="仿宋_GB2312"/>
          <w:szCs w:val="21"/>
          <w:highlight w:val="none"/>
        </w:rPr>
        <w:t>执行。</w:t>
      </w:r>
    </w:p>
    <w:p>
      <w:pPr>
        <w:ind w:left="16" w:firstLine="409" w:firstLineChars="195"/>
        <w:rPr>
          <w:rFonts w:ascii="宋体" w:hAnsi="宋体" w:cs="仿宋_GB2312"/>
          <w:szCs w:val="21"/>
          <w:highlight w:val="none"/>
        </w:rPr>
      </w:pPr>
      <w:r>
        <w:rPr>
          <w:rFonts w:ascii="宋体" w:hAnsi="宋体" w:cs="仿宋_GB2312"/>
          <w:szCs w:val="21"/>
          <w:highlight w:val="none"/>
        </w:rPr>
        <w:t>7.8.7 暂停施工期间的工程照管</w:t>
      </w:r>
    </w:p>
    <w:p>
      <w:pPr>
        <w:ind w:firstLine="420"/>
        <w:rPr>
          <w:rFonts w:ascii="宋体" w:hAnsi="宋体" w:cs="仿宋_GB2312"/>
          <w:szCs w:val="21"/>
          <w:highlight w:val="none"/>
        </w:rPr>
      </w:pPr>
      <w:r>
        <w:rPr>
          <w:rFonts w:ascii="宋体" w:hAnsi="宋体" w:cs="仿宋_GB2312"/>
          <w:szCs w:val="21"/>
          <w:highlight w:val="none"/>
        </w:rPr>
        <w:t>暂停施工期间，承包人应负责妥善照管工程并提供安全保障，由此增加的费用由责任方承担。</w:t>
      </w:r>
    </w:p>
    <w:p>
      <w:pPr>
        <w:ind w:firstLine="420"/>
        <w:rPr>
          <w:rFonts w:ascii="宋体" w:hAnsi="宋体" w:cs="仿宋_GB2312"/>
          <w:szCs w:val="21"/>
          <w:highlight w:val="none"/>
        </w:rPr>
      </w:pPr>
      <w:r>
        <w:rPr>
          <w:rFonts w:ascii="宋体" w:hAnsi="宋体" w:cs="仿宋_GB2312"/>
          <w:szCs w:val="21"/>
          <w:highlight w:val="none"/>
        </w:rPr>
        <w:t>7.8.8 暂停施工的措施</w:t>
      </w:r>
    </w:p>
    <w:p>
      <w:pPr>
        <w:ind w:firstLine="420"/>
        <w:rPr>
          <w:rFonts w:ascii="宋体" w:hAnsi="宋体" w:cs="仿宋_GB2312"/>
          <w:szCs w:val="21"/>
          <w:highlight w:val="none"/>
        </w:rPr>
      </w:pPr>
      <w:r>
        <w:rPr>
          <w:rFonts w:ascii="宋体" w:hAnsi="宋体" w:cs="仿宋_GB2312"/>
          <w:szCs w:val="21"/>
          <w:highlight w:val="none"/>
        </w:rPr>
        <w:t>暂停施工期间，发包人和承包人均应采取必要的措施确保工程质量及安全，防止因暂停施工扩大损失。</w:t>
      </w:r>
    </w:p>
    <w:p>
      <w:pPr>
        <w:pStyle w:val="6"/>
        <w:spacing w:before="120" w:after="120" w:line="360" w:lineRule="auto"/>
        <w:ind w:firstLine="420" w:firstLineChars="200"/>
        <w:rPr>
          <w:rFonts w:ascii="宋体" w:hAnsi="宋体" w:cs="仿宋_GB2312"/>
          <w:b w:val="0"/>
          <w:bCs w:val="0"/>
          <w:sz w:val="21"/>
          <w:szCs w:val="21"/>
          <w:highlight w:val="none"/>
        </w:rPr>
      </w:pPr>
      <w:bookmarkStart w:id="220" w:name="_Toc351203551"/>
      <w:r>
        <w:rPr>
          <w:rFonts w:ascii="宋体" w:hAnsi="宋体" w:cs="仿宋_GB2312"/>
          <w:b w:val="0"/>
          <w:bCs w:val="0"/>
          <w:sz w:val="21"/>
          <w:szCs w:val="21"/>
          <w:highlight w:val="none"/>
        </w:rPr>
        <w:t>7.9提前竣工</w:t>
      </w:r>
      <w:bookmarkEnd w:id="220"/>
    </w:p>
    <w:p>
      <w:pPr>
        <w:ind w:firstLine="420"/>
        <w:rPr>
          <w:rFonts w:ascii="宋体" w:hAnsi="宋体" w:cs="仿宋_GB2312"/>
          <w:szCs w:val="21"/>
          <w:highlight w:val="none"/>
        </w:rPr>
      </w:pPr>
      <w:r>
        <w:rPr>
          <w:rFonts w:ascii="宋体" w:hAnsi="宋体" w:cs="仿宋_GB2312"/>
          <w:szCs w:val="21"/>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w:t>
      </w:r>
      <w:r>
        <w:rPr>
          <w:rFonts w:hint="eastAsia" w:ascii="宋体" w:hAnsi="宋体" w:cs="仿宋_GB2312"/>
          <w:szCs w:val="21"/>
          <w:highlight w:val="none"/>
        </w:rPr>
        <w:t>承包人认为提前竣工指示无法执行的，应向监理人和发包人提出书面异议，发包人和监理人应在收到异议后7天内予以答复。任何情况下，发包人不得压缩合理工期。</w:t>
      </w:r>
    </w:p>
    <w:p>
      <w:pPr>
        <w:ind w:firstLine="420"/>
        <w:rPr>
          <w:rFonts w:ascii="宋体" w:hAnsi="宋体" w:cs="仿宋_GB2312"/>
          <w:szCs w:val="21"/>
          <w:highlight w:val="none"/>
        </w:rPr>
      </w:pPr>
      <w:r>
        <w:rPr>
          <w:rFonts w:ascii="宋体" w:hAnsi="宋体" w:cs="仿宋_GB2312"/>
          <w:szCs w:val="21"/>
          <w:highlight w:val="none"/>
        </w:rPr>
        <w:t>7.9.2 发包人要求承包人提前竣工，或承包人提出提前竣工的建议能够给发包人带来效益的，合同当事人可以在专用合同条款中约定提前竣工的奖励。</w:t>
      </w:r>
    </w:p>
    <w:p>
      <w:pPr>
        <w:pStyle w:val="5"/>
        <w:spacing w:before="120" w:after="120"/>
        <w:ind w:firstLine="420"/>
        <w:rPr>
          <w:rFonts w:ascii="宋体" w:hAnsi="宋体" w:cs="仿宋_GB2312"/>
          <w:bCs w:val="0"/>
          <w:szCs w:val="21"/>
          <w:highlight w:val="none"/>
        </w:rPr>
      </w:pPr>
      <w:bookmarkStart w:id="221" w:name="_Toc351203552"/>
      <w:r>
        <w:rPr>
          <w:rFonts w:ascii="宋体" w:hAnsi="宋体" w:cs="仿宋_GB2312"/>
          <w:bCs w:val="0"/>
          <w:szCs w:val="21"/>
          <w:highlight w:val="none"/>
        </w:rPr>
        <w:t>8</w:t>
      </w:r>
      <w:bookmarkStart w:id="222" w:name="_Toc337558776"/>
      <w:bookmarkStart w:id="223" w:name="_Toc296346559"/>
      <w:bookmarkStart w:id="224" w:name="_Toc296503058"/>
      <w:r>
        <w:rPr>
          <w:rFonts w:ascii="宋体" w:hAnsi="宋体" w:cs="仿宋_GB2312"/>
          <w:bCs w:val="0"/>
          <w:szCs w:val="21"/>
          <w:highlight w:val="none"/>
        </w:rPr>
        <w:t>. 材料与设备</w:t>
      </w:r>
      <w:bookmarkEnd w:id="221"/>
    </w:p>
    <w:bookmarkEnd w:id="222"/>
    <w:bookmarkEnd w:id="223"/>
    <w:bookmarkEnd w:id="224"/>
    <w:p>
      <w:pPr>
        <w:pStyle w:val="6"/>
        <w:spacing w:before="120" w:after="120" w:line="360" w:lineRule="auto"/>
        <w:ind w:firstLine="420" w:firstLineChars="200"/>
        <w:rPr>
          <w:rFonts w:ascii="宋体" w:hAnsi="宋体" w:cs="仿宋_GB2312"/>
          <w:b w:val="0"/>
          <w:bCs w:val="0"/>
          <w:sz w:val="21"/>
          <w:szCs w:val="21"/>
          <w:highlight w:val="none"/>
        </w:rPr>
      </w:pPr>
      <w:bookmarkStart w:id="225" w:name="_Toc351203553"/>
      <w:r>
        <w:rPr>
          <w:rFonts w:ascii="宋体" w:hAnsi="宋体" w:cs="仿宋_GB2312"/>
          <w:b w:val="0"/>
          <w:bCs w:val="0"/>
          <w:sz w:val="21"/>
          <w:szCs w:val="21"/>
          <w:highlight w:val="none"/>
        </w:rPr>
        <w:t>8</w:t>
      </w:r>
      <w:bookmarkStart w:id="226" w:name="_Toc337558777"/>
      <w:bookmarkStart w:id="227" w:name="_Toc296503059"/>
      <w:bookmarkStart w:id="228" w:name="_Toc296346560"/>
      <w:bookmarkStart w:id="229" w:name="_Toc468936960"/>
      <w:r>
        <w:rPr>
          <w:rFonts w:ascii="宋体" w:hAnsi="宋体" w:cs="仿宋_GB2312"/>
          <w:b w:val="0"/>
          <w:bCs w:val="0"/>
          <w:sz w:val="21"/>
          <w:szCs w:val="21"/>
          <w:highlight w:val="none"/>
        </w:rPr>
        <w:t>.1发包人供应材料与工程设备</w:t>
      </w:r>
      <w:bookmarkEnd w:id="225"/>
    </w:p>
    <w:bookmarkEnd w:id="226"/>
    <w:bookmarkEnd w:id="227"/>
    <w:bookmarkEnd w:id="228"/>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发包人自行供应材料、工程设备的，应在签订合同时在专用合同条款的附件《发包人供应材料设备一览表》中明确材料、工程设备的品种、规格、型号、数量、单价、质量等级和送达地点。</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承包人应提前30天通过监理人以书面形式通知发包人供应材料与工程设备进场。承包人按照第7.2.2项</w:t>
      </w:r>
      <w:r>
        <w:rPr>
          <w:rFonts w:hint="eastAsia" w:ascii="宋体" w:hAnsi="宋体" w:cs="仿宋_GB2312"/>
          <w:szCs w:val="21"/>
          <w:highlight w:val="none"/>
        </w:rPr>
        <w:t>〔</w:t>
      </w:r>
      <w:r>
        <w:rPr>
          <w:rFonts w:ascii="宋体" w:hAnsi="宋体" w:cs="仿宋_GB2312"/>
          <w:szCs w:val="21"/>
          <w:highlight w:val="none"/>
        </w:rPr>
        <w:t>施工进度计划的修订</w:t>
      </w:r>
      <w:r>
        <w:rPr>
          <w:rFonts w:hint="eastAsia" w:ascii="宋体" w:hAnsi="宋体" w:cs="仿宋_GB2312"/>
          <w:szCs w:val="21"/>
          <w:highlight w:val="none"/>
        </w:rPr>
        <w:t>〕</w:t>
      </w:r>
      <w:r>
        <w:rPr>
          <w:rFonts w:ascii="宋体" w:hAnsi="宋体" w:cs="仿宋_GB2312"/>
          <w:szCs w:val="21"/>
          <w:highlight w:val="none"/>
        </w:rPr>
        <w:t>约定修订施工进度计划时，需同时提交经修订后的发包人供应材料与工程设备的进场计划。</w:t>
      </w:r>
    </w:p>
    <w:p>
      <w:pPr>
        <w:pStyle w:val="6"/>
        <w:spacing w:before="120" w:after="120" w:line="360" w:lineRule="auto"/>
        <w:ind w:firstLine="420" w:firstLineChars="200"/>
        <w:rPr>
          <w:rFonts w:ascii="宋体" w:hAnsi="宋体" w:cs="仿宋_GB2312"/>
          <w:b w:val="0"/>
          <w:bCs w:val="0"/>
          <w:sz w:val="21"/>
          <w:szCs w:val="21"/>
          <w:highlight w:val="none"/>
        </w:rPr>
      </w:pPr>
      <w:bookmarkStart w:id="230" w:name="_Toc351203554"/>
      <w:r>
        <w:rPr>
          <w:rFonts w:ascii="宋体" w:hAnsi="宋体" w:cs="仿宋_GB2312"/>
          <w:b w:val="0"/>
          <w:bCs w:val="0"/>
          <w:sz w:val="21"/>
          <w:szCs w:val="21"/>
          <w:highlight w:val="none"/>
        </w:rPr>
        <w:t>8</w:t>
      </w:r>
      <w:bookmarkStart w:id="231" w:name="_Toc296503060"/>
      <w:bookmarkStart w:id="232" w:name="_Toc296346561"/>
      <w:bookmarkStart w:id="233" w:name="_Toc337558778"/>
      <w:r>
        <w:rPr>
          <w:rFonts w:ascii="宋体" w:hAnsi="宋体" w:cs="仿宋_GB2312"/>
          <w:b w:val="0"/>
          <w:bCs w:val="0"/>
          <w:sz w:val="21"/>
          <w:szCs w:val="21"/>
          <w:highlight w:val="none"/>
        </w:rPr>
        <w:t>.2承包人采购材料与工程设备</w:t>
      </w:r>
      <w:bookmarkEnd w:id="230"/>
    </w:p>
    <w:bookmarkEnd w:id="231"/>
    <w:bookmarkEnd w:id="232"/>
    <w:bookmarkEnd w:id="233"/>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承包人负责采购材料、工程设备的，应按照设计和有关标准要求采购，并提供产品合格证明及出厂证明，对材料、工程设备质量负责。合同约定由承包人采购的材料、工程设备，发包人不得指定生产厂家或</w:t>
      </w:r>
      <w:r>
        <w:rPr>
          <w:rFonts w:hint="eastAsia" w:ascii="宋体" w:hAnsi="宋体" w:cs="仿宋_GB2312"/>
          <w:szCs w:val="21"/>
          <w:highlight w:val="none"/>
        </w:rPr>
        <w:t>投标人</w:t>
      </w:r>
      <w:r>
        <w:rPr>
          <w:rFonts w:ascii="宋体" w:hAnsi="宋体" w:cs="仿宋_GB2312"/>
          <w:szCs w:val="21"/>
          <w:highlight w:val="none"/>
        </w:rPr>
        <w:t>，发包人违反本款约定指定生产厂家或</w:t>
      </w:r>
      <w:r>
        <w:rPr>
          <w:rFonts w:hint="eastAsia" w:ascii="宋体" w:hAnsi="宋体" w:cs="仿宋_GB2312"/>
          <w:szCs w:val="21"/>
          <w:highlight w:val="none"/>
        </w:rPr>
        <w:t>投标人</w:t>
      </w:r>
      <w:r>
        <w:rPr>
          <w:rFonts w:ascii="宋体" w:hAnsi="宋体" w:cs="仿宋_GB2312"/>
          <w:szCs w:val="21"/>
          <w:highlight w:val="none"/>
        </w:rPr>
        <w:t>的，承包人有权拒绝，并由发包人承担</w:t>
      </w:r>
      <w:r>
        <w:rPr>
          <w:rFonts w:hint="eastAsia" w:ascii="宋体" w:hAnsi="宋体" w:cs="仿宋_GB2312"/>
          <w:szCs w:val="21"/>
          <w:highlight w:val="none"/>
        </w:rPr>
        <w:t>相应责任</w:t>
      </w:r>
      <w:r>
        <w:rPr>
          <w:rFonts w:ascii="宋体" w:hAnsi="宋体" w:cs="仿宋_GB2312"/>
          <w:szCs w:val="21"/>
          <w:highlight w:val="none"/>
        </w:rPr>
        <w:t>。</w:t>
      </w:r>
    </w:p>
    <w:p>
      <w:pPr>
        <w:pStyle w:val="6"/>
        <w:spacing w:before="120" w:after="120" w:line="360" w:lineRule="auto"/>
        <w:ind w:firstLine="420" w:firstLineChars="200"/>
        <w:rPr>
          <w:rFonts w:ascii="宋体" w:hAnsi="宋体" w:cs="仿宋_GB2312"/>
          <w:b w:val="0"/>
          <w:bCs w:val="0"/>
          <w:sz w:val="21"/>
          <w:szCs w:val="21"/>
          <w:highlight w:val="none"/>
        </w:rPr>
      </w:pPr>
      <w:bookmarkStart w:id="234" w:name="_Toc351203555"/>
      <w:r>
        <w:rPr>
          <w:rFonts w:ascii="宋体" w:hAnsi="宋体" w:cs="仿宋_GB2312"/>
          <w:b w:val="0"/>
          <w:bCs w:val="0"/>
          <w:sz w:val="21"/>
          <w:szCs w:val="21"/>
          <w:highlight w:val="none"/>
        </w:rPr>
        <w:t>8</w:t>
      </w:r>
      <w:bookmarkStart w:id="235" w:name="_Toc296503061"/>
      <w:bookmarkStart w:id="236" w:name="_Toc296346562"/>
      <w:bookmarkStart w:id="237" w:name="_Toc337558779"/>
      <w:r>
        <w:rPr>
          <w:rFonts w:ascii="宋体" w:hAnsi="宋体" w:cs="仿宋_GB2312"/>
          <w:b w:val="0"/>
          <w:bCs w:val="0"/>
          <w:sz w:val="21"/>
          <w:szCs w:val="21"/>
          <w:highlight w:val="none"/>
        </w:rPr>
        <w:t>.3材料与工程设备的接收与拒收</w:t>
      </w:r>
      <w:bookmarkEnd w:id="234"/>
    </w:p>
    <w:bookmarkEnd w:id="235"/>
    <w:bookmarkEnd w:id="236"/>
    <w:bookmarkEnd w:id="237"/>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发包人提供的材料和工程设备的规格、数量或质量不符合合同约定的，或因发包人原因导致交货日期延误或交货地点变更等情况的，按照第16.1款</w:t>
      </w:r>
      <w:r>
        <w:rPr>
          <w:rFonts w:hint="eastAsia" w:ascii="宋体" w:hAnsi="宋体" w:cs="仿宋_GB2312"/>
          <w:szCs w:val="21"/>
          <w:highlight w:val="none"/>
        </w:rPr>
        <w:t>〔</w:t>
      </w:r>
      <w:r>
        <w:rPr>
          <w:rFonts w:ascii="宋体" w:hAnsi="宋体" w:cs="仿宋_GB2312"/>
          <w:szCs w:val="21"/>
          <w:highlight w:val="none"/>
        </w:rPr>
        <w:t>发包人违约</w:t>
      </w:r>
      <w:r>
        <w:rPr>
          <w:rFonts w:hint="eastAsia" w:ascii="宋体" w:hAnsi="宋体" w:cs="仿宋_GB2312"/>
          <w:szCs w:val="21"/>
          <w:highlight w:val="none"/>
        </w:rPr>
        <w:t>〕</w:t>
      </w:r>
      <w:r>
        <w:rPr>
          <w:rFonts w:ascii="宋体" w:hAnsi="宋体" w:cs="仿宋_GB2312"/>
          <w:szCs w:val="21"/>
          <w:highlight w:val="none"/>
        </w:rPr>
        <w:t>约定办理。</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8.3.2 承包人采购的材料和工程设备，应保证产品质量合格，承包人应在材料和工程设备到货前24小时通知监理人检验。承</w:t>
      </w:r>
      <w:bookmarkStart w:id="238" w:name="_Toc250655469"/>
      <w:r>
        <w:rPr>
          <w:rFonts w:ascii="宋体" w:hAnsi="宋体" w:cs="仿宋_GB2312"/>
          <w:szCs w:val="21"/>
          <w:highlight w:val="none"/>
        </w:rPr>
        <w:t>包人进行永久设备、材料的制造和生产的，应符合相关质量标准，并向监理人提交材料的样本以及有关资料，并应在使用该材料或工程设备之前获得监理人同意。</w:t>
      </w:r>
    </w:p>
    <w:bookmarkEnd w:id="238"/>
    <w:p>
      <w:pPr>
        <w:autoSpaceDE w:val="0"/>
        <w:autoSpaceDN w:val="0"/>
        <w:adjustRightInd w:val="0"/>
        <w:ind w:firstLine="315" w:firstLineChars="150"/>
        <w:rPr>
          <w:rFonts w:ascii="宋体" w:hAnsi="宋体" w:cs="仿宋_GB2312"/>
          <w:szCs w:val="21"/>
          <w:highlight w:val="none"/>
        </w:rPr>
      </w:pPr>
      <w:r>
        <w:rPr>
          <w:rFonts w:ascii="宋体" w:hAnsi="宋体" w:cs="仿宋_GB2312"/>
          <w:szCs w:val="21"/>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pStyle w:val="6"/>
        <w:spacing w:before="120" w:after="120" w:line="360" w:lineRule="auto"/>
        <w:ind w:firstLine="420" w:firstLineChars="200"/>
        <w:rPr>
          <w:rFonts w:ascii="宋体" w:hAnsi="宋体" w:cs="仿宋_GB2312"/>
          <w:b w:val="0"/>
          <w:bCs w:val="0"/>
          <w:sz w:val="21"/>
          <w:szCs w:val="21"/>
          <w:highlight w:val="none"/>
        </w:rPr>
      </w:pPr>
      <w:bookmarkStart w:id="239" w:name="_Toc351203556"/>
      <w:r>
        <w:rPr>
          <w:rFonts w:ascii="宋体" w:hAnsi="宋体" w:cs="仿宋_GB2312"/>
          <w:b w:val="0"/>
          <w:bCs w:val="0"/>
          <w:sz w:val="21"/>
          <w:szCs w:val="21"/>
          <w:highlight w:val="none"/>
        </w:rPr>
        <w:t>8</w:t>
      </w:r>
      <w:bookmarkStart w:id="240" w:name="_Toc296503062"/>
      <w:bookmarkStart w:id="241" w:name="_Toc296346563"/>
      <w:bookmarkStart w:id="242" w:name="_Toc337558780"/>
      <w:r>
        <w:rPr>
          <w:rFonts w:ascii="宋体" w:hAnsi="宋体" w:cs="仿宋_GB2312"/>
          <w:b w:val="0"/>
          <w:bCs w:val="0"/>
          <w:sz w:val="21"/>
          <w:szCs w:val="21"/>
          <w:highlight w:val="none"/>
        </w:rPr>
        <w:t>.4材料与工程设备的保管与使用</w:t>
      </w:r>
      <w:bookmarkEnd w:id="239"/>
    </w:p>
    <w:bookmarkEnd w:id="240"/>
    <w:bookmarkEnd w:id="241"/>
    <w:bookmarkEnd w:id="242"/>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8.4.1 发包人供应材料与工程设备的保管与使用</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发包人供应的材料和工程设备使用前，由承包人负责检验，检验费用由发包人承担，不合格的不得使用。</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8.4.2 承包人采购材料与工程设备的保管与使用</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发包人或监理人发现承包人使用不符合设计或有关标准要求的材料和工程设备时，有权要求承包人进行修复、拆除或重新采购，由此增加的费用和（或）延误的工期，由承包人承担。</w:t>
      </w:r>
    </w:p>
    <w:p>
      <w:pPr>
        <w:pStyle w:val="6"/>
        <w:spacing w:before="120" w:after="120" w:line="360" w:lineRule="auto"/>
        <w:ind w:firstLine="420" w:firstLineChars="200"/>
        <w:rPr>
          <w:rFonts w:ascii="宋体" w:hAnsi="宋体" w:cs="仿宋_GB2312"/>
          <w:b w:val="0"/>
          <w:bCs w:val="0"/>
          <w:sz w:val="21"/>
          <w:szCs w:val="21"/>
          <w:highlight w:val="none"/>
        </w:rPr>
      </w:pPr>
      <w:bookmarkStart w:id="243" w:name="_Toc351203557"/>
      <w:r>
        <w:rPr>
          <w:rFonts w:ascii="宋体" w:hAnsi="宋体" w:cs="仿宋_GB2312"/>
          <w:b w:val="0"/>
          <w:bCs w:val="0"/>
          <w:sz w:val="21"/>
          <w:szCs w:val="21"/>
          <w:highlight w:val="none"/>
        </w:rPr>
        <w:t>8.5禁止使用不合格的材料和工程设备</w:t>
      </w:r>
      <w:bookmarkEnd w:id="243"/>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8.5.1 监理人有权拒绝承包人提供的不合格材料或工程设备，并要求承包人立即进行更换。监理人应在更换后再次进行检查和检验，由此增加的费用和（或）延误的工期由承包人承担。</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8.5.2 监理人发现承包人使用了不合格的材料和工程设备，承包人应按照监理人的指示立即改正，并禁止在工程中继续使用不合格的材料和工程设备。</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8.5.3 发包人提供的材料或工程设备不符合合同要求的，承包人有权拒绝，并可要求发包人更换，由此增加的费用和（或）延误的工期由发包人承担</w:t>
      </w:r>
      <w:r>
        <w:rPr>
          <w:rFonts w:hint="eastAsia" w:ascii="宋体" w:hAnsi="宋体" w:cs="仿宋_GB2312"/>
          <w:szCs w:val="21"/>
          <w:highlight w:val="none"/>
        </w:rPr>
        <w:t>，并支付承包人合理的利润</w:t>
      </w:r>
      <w:r>
        <w:rPr>
          <w:rFonts w:ascii="宋体" w:hAnsi="宋体" w:cs="仿宋_GB2312"/>
          <w:szCs w:val="21"/>
          <w:highlight w:val="none"/>
        </w:rPr>
        <w:t>。</w:t>
      </w:r>
    </w:p>
    <w:p>
      <w:pPr>
        <w:pStyle w:val="6"/>
        <w:spacing w:before="120" w:after="120" w:line="360" w:lineRule="auto"/>
        <w:ind w:firstLine="420" w:firstLineChars="200"/>
        <w:rPr>
          <w:rFonts w:ascii="宋体" w:hAnsi="宋体" w:cs="仿宋_GB2312"/>
          <w:b w:val="0"/>
          <w:bCs w:val="0"/>
          <w:sz w:val="21"/>
          <w:szCs w:val="21"/>
          <w:highlight w:val="none"/>
        </w:rPr>
      </w:pPr>
      <w:bookmarkStart w:id="244" w:name="_Toc351203558"/>
      <w:r>
        <w:rPr>
          <w:rFonts w:ascii="宋体" w:hAnsi="宋体" w:cs="仿宋_GB2312"/>
          <w:b w:val="0"/>
          <w:bCs w:val="0"/>
          <w:sz w:val="21"/>
          <w:szCs w:val="21"/>
          <w:highlight w:val="none"/>
        </w:rPr>
        <w:t>8.6 样品</w:t>
      </w:r>
      <w:bookmarkEnd w:id="244"/>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8.6.1</w:t>
      </w:r>
      <w:r>
        <w:rPr>
          <w:rFonts w:ascii="宋体" w:hAnsi="宋体" w:cs="仿宋_GB2312"/>
          <w:szCs w:val="21"/>
          <w:highlight w:val="none"/>
        </w:rPr>
        <w:tab/>
      </w:r>
      <w:r>
        <w:rPr>
          <w:rFonts w:ascii="宋体" w:hAnsi="宋体" w:cs="仿宋_GB2312"/>
          <w:szCs w:val="21"/>
          <w:highlight w:val="none"/>
        </w:rPr>
        <w:t>样品的报送</w:t>
      </w:r>
      <w:r>
        <w:rPr>
          <w:rFonts w:hint="eastAsia" w:ascii="宋体" w:hAnsi="宋体" w:cs="仿宋_GB2312"/>
          <w:szCs w:val="21"/>
          <w:highlight w:val="none"/>
        </w:rPr>
        <w:t>与封存</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需要承包人报送样品的材料或工程设备，样品的种类、名称、规格、数量等要求均应在专用合同条款中约定。样品的报送程序如下：</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（3）经发包人和监理人审批确认的样品</w:t>
      </w:r>
      <w:r>
        <w:rPr>
          <w:rFonts w:hint="eastAsia" w:ascii="宋体" w:hAnsi="宋体" w:cs="仿宋_GB2312"/>
          <w:szCs w:val="21"/>
          <w:highlight w:val="none"/>
        </w:rPr>
        <w:t>应按约定的方法封样，封存的样品</w:t>
      </w:r>
      <w:r>
        <w:rPr>
          <w:rFonts w:ascii="宋体" w:hAnsi="宋体" w:cs="仿宋_GB2312"/>
          <w:szCs w:val="21"/>
          <w:highlight w:val="none"/>
        </w:rPr>
        <w:t>作为检验工程相关部分的标准之一。承包人在施工过程中不得使用与样品不符的材料或工程设备。</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（4）发包人和监理人对样品的审批确认仅为确认相关材料或工程设备的特征或用途，不得被理解为对合同的修改或改变，也并不减轻或免除承包人任何的责任和义务。</w:t>
      </w:r>
      <w:r>
        <w:rPr>
          <w:rFonts w:hint="eastAsia" w:ascii="宋体" w:hAnsi="宋体" w:cs="仿宋_GB2312"/>
          <w:szCs w:val="21"/>
          <w:highlight w:val="none"/>
        </w:rPr>
        <w:t>如果封存的样品修改或改变了合同约定，合同当事人应当以书面协议予以确认。</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8.6.2 样品的保管</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经批准的样品应由监理人负责封存于现场，承包人应在现场为保存样品提供适当和固定的场所并保持适当和良好的存储环境条件。</w:t>
      </w:r>
    </w:p>
    <w:p>
      <w:pPr>
        <w:pStyle w:val="6"/>
        <w:spacing w:before="120" w:after="120" w:line="360" w:lineRule="auto"/>
        <w:ind w:firstLine="420" w:firstLineChars="200"/>
        <w:rPr>
          <w:rFonts w:ascii="宋体" w:hAnsi="宋体" w:cs="仿宋_GB2312"/>
          <w:b w:val="0"/>
          <w:bCs w:val="0"/>
          <w:sz w:val="21"/>
          <w:szCs w:val="21"/>
          <w:highlight w:val="none"/>
        </w:rPr>
      </w:pPr>
      <w:bookmarkStart w:id="245" w:name="_Toc351203559"/>
      <w:r>
        <w:rPr>
          <w:rFonts w:ascii="宋体" w:hAnsi="宋体" w:cs="仿宋_GB2312"/>
          <w:b w:val="0"/>
          <w:bCs w:val="0"/>
          <w:sz w:val="21"/>
          <w:szCs w:val="21"/>
          <w:highlight w:val="none"/>
        </w:rPr>
        <w:t>8.7材料与工程设备的替代</w:t>
      </w:r>
      <w:bookmarkEnd w:id="245"/>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8.7.1 出现下列情况需要使用替代材料和工程设备的，承包人应按照第8.7.2项约定的程序执行：</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（1）基准日</w:t>
      </w:r>
      <w:r>
        <w:rPr>
          <w:rFonts w:hint="eastAsia" w:ascii="宋体" w:hAnsi="宋体" w:cs="仿宋_GB2312"/>
          <w:szCs w:val="21"/>
          <w:highlight w:val="none"/>
        </w:rPr>
        <w:t>期</w:t>
      </w:r>
      <w:r>
        <w:rPr>
          <w:rFonts w:ascii="宋体" w:hAnsi="宋体" w:cs="仿宋_GB2312"/>
          <w:szCs w:val="21"/>
          <w:highlight w:val="none"/>
        </w:rPr>
        <w:t>后生效的法律规定禁止使用的；</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（2）发包人要求使用替代品的；</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（3）因其他原因必须使用替代品的。</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8.7.2 承包人应在使用替代材料和工程设备28天前书面通知监理人，并附下列文件：</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（1）被替代的材料和工程设备的名称、数量、规格、型号、品牌、性能、价格及其他相关资料；</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（2）替代品的名称、数量、规格、型号、品牌、性能、价格及其他相关资料；</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（3）替代品与被替代产品之间的差异以及使用替代品可能对工程产生的影响；</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（4）替代品与被替代产品的价格差异；</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（5）使用替代品的理由和原因说明；</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（6）监理人要求的其他文件。</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监理人应在收到通知后14天内向承包人发出经发包人签认的书面指示；监理人逾期发出书面指示的，视为发包人和监理人同意使用替代品。</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8.7.3 发包人认可使用替代材料和工程设备的，替代材料和工程设备的价格，按照已标价工程量清单或预算书相同项目的价格认定；无相同项目的，参考相似项目价格认定；</w:t>
      </w:r>
      <w:r>
        <w:rPr>
          <w:rFonts w:hint="eastAsia" w:ascii="宋体" w:hAnsi="宋体" w:cs="仿宋_GB2312"/>
          <w:szCs w:val="21"/>
          <w:highlight w:val="none"/>
        </w:rPr>
        <w:t>既无</w:t>
      </w:r>
      <w:r>
        <w:rPr>
          <w:rFonts w:ascii="宋体" w:hAnsi="宋体" w:cs="仿宋_GB2312"/>
          <w:szCs w:val="21"/>
          <w:highlight w:val="none"/>
        </w:rPr>
        <w:t>相同项目</w:t>
      </w:r>
      <w:r>
        <w:rPr>
          <w:rFonts w:hint="eastAsia" w:ascii="宋体" w:hAnsi="宋体" w:cs="仿宋_GB2312"/>
          <w:szCs w:val="21"/>
          <w:highlight w:val="none"/>
        </w:rPr>
        <w:t>也</w:t>
      </w:r>
      <w:r>
        <w:rPr>
          <w:rFonts w:ascii="宋体" w:hAnsi="宋体" w:cs="仿宋_GB2312"/>
          <w:szCs w:val="21"/>
          <w:highlight w:val="none"/>
        </w:rPr>
        <w:t>无相似项目的，</w:t>
      </w:r>
      <w:r>
        <w:rPr>
          <w:rFonts w:hint="eastAsia" w:ascii="宋体" w:hAnsi="宋体" w:cs="仿宋_GB2312"/>
          <w:szCs w:val="21"/>
          <w:highlight w:val="none"/>
        </w:rPr>
        <w:t>按照合理的成本与利润构成的原则，</w:t>
      </w:r>
      <w:r>
        <w:rPr>
          <w:rFonts w:ascii="宋体" w:hAnsi="宋体" w:cs="仿宋_GB2312"/>
          <w:szCs w:val="21"/>
          <w:highlight w:val="none"/>
        </w:rPr>
        <w:t>由合同当事人按照第4.4款</w:t>
      </w:r>
      <w:r>
        <w:rPr>
          <w:rFonts w:hint="eastAsia" w:ascii="宋体" w:hAnsi="宋体" w:cs="仿宋_GB2312"/>
          <w:szCs w:val="21"/>
          <w:highlight w:val="none"/>
        </w:rPr>
        <w:t>〔</w:t>
      </w:r>
      <w:r>
        <w:rPr>
          <w:rFonts w:ascii="宋体" w:hAnsi="宋体" w:cs="仿宋_GB2312"/>
          <w:szCs w:val="21"/>
          <w:highlight w:val="none"/>
        </w:rPr>
        <w:t>商定或确定</w:t>
      </w:r>
      <w:r>
        <w:rPr>
          <w:rFonts w:hint="eastAsia" w:ascii="宋体" w:hAnsi="宋体" w:cs="仿宋_GB2312"/>
          <w:szCs w:val="21"/>
          <w:highlight w:val="none"/>
        </w:rPr>
        <w:t>〕</w:t>
      </w:r>
      <w:r>
        <w:rPr>
          <w:rFonts w:ascii="宋体" w:hAnsi="宋体" w:cs="仿宋_GB2312"/>
          <w:szCs w:val="21"/>
          <w:highlight w:val="none"/>
        </w:rPr>
        <w:t>确定价格。</w:t>
      </w:r>
    </w:p>
    <w:p>
      <w:pPr>
        <w:pStyle w:val="6"/>
        <w:spacing w:before="120" w:after="120" w:line="360" w:lineRule="auto"/>
        <w:ind w:firstLine="420" w:firstLineChars="200"/>
        <w:rPr>
          <w:rFonts w:ascii="宋体" w:hAnsi="宋体" w:cs="仿宋_GB2312"/>
          <w:b w:val="0"/>
          <w:bCs w:val="0"/>
          <w:sz w:val="21"/>
          <w:szCs w:val="21"/>
          <w:highlight w:val="none"/>
        </w:rPr>
      </w:pPr>
      <w:bookmarkStart w:id="246" w:name="_Toc351203560"/>
      <w:r>
        <w:rPr>
          <w:rFonts w:ascii="宋体" w:hAnsi="宋体" w:cs="仿宋_GB2312"/>
          <w:b w:val="0"/>
          <w:bCs w:val="0"/>
          <w:sz w:val="21"/>
          <w:szCs w:val="21"/>
          <w:highlight w:val="none"/>
        </w:rPr>
        <w:t>8.8施工设备和临时设施</w:t>
      </w:r>
      <w:bookmarkEnd w:id="246"/>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8.8.1 承包人提供的施工设备和临时设施</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承包人应按合同进度计划的要求，及时配置施工设备和修建临时设施。进入施工场地的承包人设备需经监理人核查后才能投入使用。承包人更换合同约定的承包人设备的，应报监理人批准。</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除专用合同条款另有约定外，承包人应自行承担修建临时设施的费用，需要临时占地的，应由发包人办理申请手续并承担相应费用。</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8.8.2发包人提供的施工设备和临时设施</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发包人提供的施工设备或临时设施在专用合同条款中约定。</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8.8.3要求承包人增加或更换施工设备</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承包人使用的施工设备不能满足合同进度计划和（或）质量要求时，监理人有权要求承包人增加或更换施工设备，承包人应及时增加或更换，由此增加的费用和（或）延误的工期由承包人承担。</w:t>
      </w:r>
    </w:p>
    <w:p>
      <w:pPr>
        <w:pStyle w:val="6"/>
        <w:spacing w:before="120" w:after="120" w:line="360" w:lineRule="auto"/>
        <w:ind w:firstLine="420" w:firstLineChars="200"/>
        <w:rPr>
          <w:rFonts w:ascii="宋体" w:hAnsi="宋体" w:cs="仿宋_GB2312"/>
          <w:b w:val="0"/>
          <w:bCs w:val="0"/>
          <w:sz w:val="21"/>
          <w:szCs w:val="21"/>
          <w:highlight w:val="none"/>
        </w:rPr>
      </w:pPr>
      <w:bookmarkStart w:id="247" w:name="_Toc351203561"/>
      <w:r>
        <w:rPr>
          <w:rFonts w:ascii="宋体" w:hAnsi="宋体" w:cs="仿宋_GB2312"/>
          <w:b w:val="0"/>
          <w:bCs w:val="0"/>
          <w:sz w:val="21"/>
          <w:szCs w:val="21"/>
          <w:highlight w:val="none"/>
        </w:rPr>
        <w:t>8</w:t>
      </w:r>
      <w:bookmarkStart w:id="248" w:name="_Toc296346564"/>
      <w:bookmarkStart w:id="249" w:name="_Toc296503063"/>
      <w:bookmarkStart w:id="250" w:name="_Toc337558781"/>
      <w:r>
        <w:rPr>
          <w:rFonts w:ascii="宋体" w:hAnsi="宋体" w:cs="仿宋_GB2312"/>
          <w:b w:val="0"/>
          <w:bCs w:val="0"/>
          <w:sz w:val="21"/>
          <w:szCs w:val="21"/>
          <w:highlight w:val="none"/>
        </w:rPr>
        <w:t>.9材料与设备专用</w:t>
      </w:r>
      <w:bookmarkEnd w:id="247"/>
      <w:r>
        <w:rPr>
          <w:rFonts w:hint="eastAsia" w:ascii="宋体" w:hAnsi="宋体" w:cs="仿宋_GB2312"/>
          <w:b w:val="0"/>
          <w:bCs w:val="0"/>
          <w:sz w:val="21"/>
          <w:szCs w:val="21"/>
          <w:highlight w:val="none"/>
        </w:rPr>
        <w:t>要求</w:t>
      </w:r>
    </w:p>
    <w:bookmarkEnd w:id="248"/>
    <w:bookmarkEnd w:id="249"/>
    <w:bookmarkEnd w:id="250"/>
    <w:p>
      <w:pPr>
        <w:ind w:firstLine="420"/>
        <w:rPr>
          <w:rFonts w:ascii="宋体" w:hAnsi="宋体" w:cs="仿宋_GB2312"/>
          <w:szCs w:val="21"/>
          <w:highlight w:val="none"/>
        </w:rPr>
      </w:pPr>
      <w:r>
        <w:rPr>
          <w:rFonts w:ascii="宋体" w:hAnsi="宋体" w:cs="仿宋_GB2312"/>
          <w:szCs w:val="21"/>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229"/>
      <w:r>
        <w:rPr>
          <w:rFonts w:ascii="宋体" w:hAnsi="宋体" w:cs="仿宋_GB2312"/>
          <w:szCs w:val="21"/>
          <w:highlight w:val="none"/>
        </w:rPr>
        <w:t>经发包人批准，承包人可以根据施工进度计划撤走闲置的施工设备和其他物品。</w:t>
      </w:r>
    </w:p>
    <w:p>
      <w:pPr>
        <w:pStyle w:val="5"/>
        <w:spacing w:before="120" w:after="120"/>
        <w:ind w:firstLine="420"/>
        <w:rPr>
          <w:rFonts w:ascii="宋体" w:hAnsi="宋体" w:cs="仿宋_GB2312"/>
          <w:bCs w:val="0"/>
          <w:szCs w:val="21"/>
          <w:highlight w:val="none"/>
        </w:rPr>
      </w:pPr>
      <w:bookmarkStart w:id="251" w:name="_Toc351203562"/>
      <w:r>
        <w:rPr>
          <w:rFonts w:ascii="宋体" w:hAnsi="宋体" w:cs="仿宋_GB2312"/>
          <w:bCs w:val="0"/>
          <w:szCs w:val="21"/>
          <w:highlight w:val="none"/>
        </w:rPr>
        <w:t>9</w:t>
      </w:r>
      <w:bookmarkStart w:id="252" w:name="_Toc337558782"/>
      <w:bookmarkStart w:id="253" w:name="_Toc296503083"/>
      <w:bookmarkStart w:id="254" w:name="_Toc296346584"/>
      <w:r>
        <w:rPr>
          <w:rFonts w:ascii="宋体" w:hAnsi="宋体" w:cs="仿宋_GB2312"/>
          <w:bCs w:val="0"/>
          <w:szCs w:val="21"/>
          <w:highlight w:val="none"/>
        </w:rPr>
        <w:t>. 试验与检验</w:t>
      </w:r>
      <w:bookmarkEnd w:id="251"/>
    </w:p>
    <w:bookmarkEnd w:id="252"/>
    <w:p>
      <w:pPr>
        <w:pStyle w:val="6"/>
        <w:spacing w:before="120" w:after="120" w:line="360" w:lineRule="auto"/>
        <w:ind w:firstLine="420" w:firstLineChars="200"/>
        <w:rPr>
          <w:rFonts w:ascii="宋体" w:hAnsi="宋体" w:cs="仿宋_GB2312"/>
          <w:b w:val="0"/>
          <w:bCs w:val="0"/>
          <w:sz w:val="21"/>
          <w:szCs w:val="21"/>
          <w:highlight w:val="none"/>
        </w:rPr>
      </w:pPr>
      <w:bookmarkStart w:id="255" w:name="_Toc351203563"/>
      <w:r>
        <w:rPr>
          <w:rFonts w:ascii="宋体" w:hAnsi="宋体" w:cs="仿宋_GB2312"/>
          <w:b w:val="0"/>
          <w:bCs w:val="0"/>
          <w:sz w:val="21"/>
          <w:szCs w:val="21"/>
          <w:highlight w:val="none"/>
        </w:rPr>
        <w:t>9</w:t>
      </w:r>
      <w:bookmarkStart w:id="256" w:name="_Toc337558783"/>
      <w:r>
        <w:rPr>
          <w:rFonts w:ascii="宋体" w:hAnsi="宋体" w:cs="仿宋_GB2312"/>
          <w:b w:val="0"/>
          <w:bCs w:val="0"/>
          <w:sz w:val="21"/>
          <w:szCs w:val="21"/>
          <w:highlight w:val="none"/>
        </w:rPr>
        <w:t>.1试验设备与试验人员</w:t>
      </w:r>
      <w:bookmarkEnd w:id="255"/>
    </w:p>
    <w:bookmarkEnd w:id="256"/>
    <w:p>
      <w:pPr>
        <w:ind w:firstLine="420"/>
        <w:rPr>
          <w:rFonts w:ascii="宋体" w:hAnsi="宋体" w:cs="仿宋_GB2312"/>
          <w:szCs w:val="21"/>
          <w:highlight w:val="none"/>
        </w:rPr>
      </w:pPr>
      <w:r>
        <w:rPr>
          <w:rFonts w:ascii="宋体" w:hAnsi="宋体" w:cs="仿宋_GB2312"/>
          <w:szCs w:val="21"/>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ind w:firstLine="420"/>
        <w:rPr>
          <w:rFonts w:ascii="宋体" w:hAnsi="宋体" w:cs="仿宋_GB2312"/>
          <w:szCs w:val="21"/>
          <w:highlight w:val="none"/>
        </w:rPr>
      </w:pPr>
      <w:r>
        <w:rPr>
          <w:rFonts w:ascii="宋体" w:hAnsi="宋体" w:cs="仿宋_GB2312"/>
          <w:szCs w:val="21"/>
          <w:highlight w:val="none"/>
        </w:rPr>
        <w:t>9.1.2 承包人应按专用合同条款的约定提供试验设备、取样装置、试验场所和试验条件，并向监理人提交相应进场计划表。</w:t>
      </w:r>
    </w:p>
    <w:p>
      <w:pPr>
        <w:ind w:firstLine="420"/>
        <w:rPr>
          <w:rFonts w:ascii="宋体" w:hAnsi="宋体" w:cs="仿宋_GB2312"/>
          <w:szCs w:val="21"/>
          <w:highlight w:val="none"/>
        </w:rPr>
      </w:pPr>
      <w:r>
        <w:rPr>
          <w:rFonts w:ascii="宋体" w:hAnsi="宋体" w:cs="仿宋_GB2312"/>
          <w:szCs w:val="21"/>
          <w:highlight w:val="none"/>
        </w:rPr>
        <w:t>承包人配置的试验设备要符合相应试验规程的要求并经过具有资质的检测单位检测，且在正式使用该试验设备前，需要经过监理人与承包人共同校定。</w:t>
      </w:r>
    </w:p>
    <w:p>
      <w:pPr>
        <w:ind w:firstLine="420"/>
        <w:rPr>
          <w:rFonts w:ascii="宋体" w:hAnsi="宋体" w:cs="仿宋_GB2312"/>
          <w:szCs w:val="21"/>
          <w:highlight w:val="none"/>
        </w:rPr>
      </w:pPr>
      <w:r>
        <w:rPr>
          <w:rFonts w:ascii="宋体" w:hAnsi="宋体" w:cs="仿宋_GB2312"/>
          <w:szCs w:val="21"/>
          <w:highlight w:val="none"/>
        </w:rPr>
        <w:t>9.1.3 承包人应向监理人提交试验人员的名单及其岗位、资格等证明资料，试验人员必须能够熟练进行相应的检测试验，承包人对试验人员的试验程序和试验结果的正确性负责。</w:t>
      </w:r>
    </w:p>
    <w:p>
      <w:pPr>
        <w:pStyle w:val="6"/>
        <w:spacing w:before="120" w:after="120" w:line="360" w:lineRule="auto"/>
        <w:ind w:firstLine="420" w:firstLineChars="200"/>
        <w:rPr>
          <w:rFonts w:ascii="宋体" w:hAnsi="宋体" w:cs="仿宋_GB2312"/>
          <w:b w:val="0"/>
          <w:bCs w:val="0"/>
          <w:sz w:val="21"/>
          <w:szCs w:val="21"/>
          <w:highlight w:val="none"/>
        </w:rPr>
      </w:pPr>
      <w:bookmarkStart w:id="257" w:name="_Toc351203564"/>
      <w:r>
        <w:rPr>
          <w:rFonts w:ascii="宋体" w:hAnsi="宋体" w:cs="仿宋_GB2312"/>
          <w:b w:val="0"/>
          <w:bCs w:val="0"/>
          <w:sz w:val="21"/>
          <w:szCs w:val="21"/>
          <w:highlight w:val="none"/>
        </w:rPr>
        <w:t>9</w:t>
      </w:r>
      <w:bookmarkStart w:id="258" w:name="_Toc337558784"/>
      <w:r>
        <w:rPr>
          <w:rFonts w:ascii="宋体" w:hAnsi="宋体" w:cs="仿宋_GB2312"/>
          <w:b w:val="0"/>
          <w:bCs w:val="0"/>
          <w:sz w:val="21"/>
          <w:szCs w:val="21"/>
          <w:highlight w:val="none"/>
        </w:rPr>
        <w:t>.2取样</w:t>
      </w:r>
      <w:bookmarkEnd w:id="257"/>
    </w:p>
    <w:bookmarkEnd w:id="258"/>
    <w:p>
      <w:pPr>
        <w:ind w:firstLine="420"/>
        <w:rPr>
          <w:rFonts w:ascii="宋体" w:hAnsi="宋体" w:cs="仿宋_GB2312"/>
          <w:szCs w:val="21"/>
          <w:highlight w:val="none"/>
        </w:rPr>
      </w:pPr>
      <w:r>
        <w:rPr>
          <w:rFonts w:ascii="宋体" w:hAnsi="宋体" w:cs="仿宋_GB2312"/>
          <w:szCs w:val="21"/>
          <w:highlight w:val="none"/>
        </w:rPr>
        <w:t>试验属于自检性质的，承包人可以单独取样。试验属于监理人抽检性质的，可由监理人取样，也可由承包人的试验人员在监理人的监督下取样。</w:t>
      </w:r>
    </w:p>
    <w:p>
      <w:pPr>
        <w:pStyle w:val="6"/>
        <w:spacing w:before="120" w:after="120" w:line="360" w:lineRule="auto"/>
        <w:ind w:firstLine="420" w:firstLineChars="200"/>
        <w:rPr>
          <w:rFonts w:ascii="宋体" w:hAnsi="宋体" w:cs="仿宋_GB2312"/>
          <w:b w:val="0"/>
          <w:bCs w:val="0"/>
          <w:sz w:val="21"/>
          <w:szCs w:val="21"/>
          <w:highlight w:val="none"/>
        </w:rPr>
      </w:pPr>
      <w:bookmarkStart w:id="259" w:name="_Toc351203565"/>
      <w:r>
        <w:rPr>
          <w:rFonts w:ascii="宋体" w:hAnsi="宋体" w:cs="仿宋_GB2312"/>
          <w:b w:val="0"/>
          <w:bCs w:val="0"/>
          <w:sz w:val="21"/>
          <w:szCs w:val="21"/>
          <w:highlight w:val="none"/>
        </w:rPr>
        <w:t>9</w:t>
      </w:r>
      <w:bookmarkStart w:id="260" w:name="_Toc337558785"/>
      <w:r>
        <w:rPr>
          <w:rFonts w:ascii="宋体" w:hAnsi="宋体" w:cs="仿宋_GB2312"/>
          <w:b w:val="0"/>
          <w:bCs w:val="0"/>
          <w:sz w:val="21"/>
          <w:szCs w:val="21"/>
          <w:highlight w:val="none"/>
        </w:rPr>
        <w:t>.3材料、工程设备和工程的试验和检验</w:t>
      </w:r>
      <w:bookmarkEnd w:id="259"/>
    </w:p>
    <w:bookmarkEnd w:id="260"/>
    <w:p>
      <w:pPr>
        <w:ind w:firstLine="420"/>
        <w:rPr>
          <w:rFonts w:ascii="宋体" w:hAnsi="宋体" w:cs="仿宋_GB2312"/>
          <w:szCs w:val="21"/>
          <w:highlight w:val="none"/>
        </w:rPr>
      </w:pPr>
      <w:r>
        <w:rPr>
          <w:rFonts w:ascii="宋体" w:hAnsi="宋体" w:cs="仿宋_GB2312"/>
          <w:szCs w:val="21"/>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ind w:firstLine="420"/>
        <w:rPr>
          <w:rFonts w:ascii="宋体" w:hAnsi="宋体" w:cs="仿宋_GB2312"/>
          <w:szCs w:val="21"/>
          <w:highlight w:val="none"/>
        </w:rPr>
      </w:pPr>
      <w:r>
        <w:rPr>
          <w:rFonts w:ascii="宋体" w:hAnsi="宋体" w:cs="仿宋_GB2312"/>
          <w:szCs w:val="21"/>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ind w:firstLine="420"/>
        <w:rPr>
          <w:rFonts w:ascii="宋体" w:hAnsi="宋体" w:cs="仿宋_GB2312"/>
          <w:szCs w:val="21"/>
          <w:highlight w:val="none"/>
        </w:rPr>
      </w:pPr>
      <w:r>
        <w:rPr>
          <w:rFonts w:ascii="宋体" w:hAnsi="宋体" w:cs="仿宋_GB2312"/>
          <w:szCs w:val="21"/>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pStyle w:val="6"/>
        <w:spacing w:before="120" w:after="120" w:line="360" w:lineRule="auto"/>
        <w:ind w:firstLine="420" w:firstLineChars="200"/>
        <w:rPr>
          <w:rFonts w:ascii="宋体" w:hAnsi="宋体" w:cs="仿宋_GB2312"/>
          <w:b w:val="0"/>
          <w:bCs w:val="0"/>
          <w:sz w:val="21"/>
          <w:szCs w:val="21"/>
          <w:highlight w:val="none"/>
        </w:rPr>
      </w:pPr>
      <w:bookmarkStart w:id="261" w:name="_Toc351203566"/>
      <w:r>
        <w:rPr>
          <w:rFonts w:ascii="宋体" w:hAnsi="宋体" w:cs="仿宋_GB2312"/>
          <w:b w:val="0"/>
          <w:bCs w:val="0"/>
          <w:sz w:val="21"/>
          <w:szCs w:val="21"/>
          <w:highlight w:val="none"/>
        </w:rPr>
        <w:t>9</w:t>
      </w:r>
      <w:bookmarkStart w:id="262" w:name="_Toc337558786"/>
      <w:r>
        <w:rPr>
          <w:rFonts w:ascii="宋体" w:hAnsi="宋体" w:cs="仿宋_GB2312"/>
          <w:b w:val="0"/>
          <w:bCs w:val="0"/>
          <w:sz w:val="21"/>
          <w:szCs w:val="21"/>
          <w:highlight w:val="none"/>
        </w:rPr>
        <w:t>.4现场工艺试验</w:t>
      </w:r>
      <w:bookmarkEnd w:id="261"/>
    </w:p>
    <w:bookmarkEnd w:id="262"/>
    <w:p>
      <w:pPr>
        <w:ind w:firstLine="420"/>
        <w:rPr>
          <w:rFonts w:ascii="宋体" w:hAnsi="宋体" w:cs="仿宋_GB2312"/>
          <w:szCs w:val="21"/>
          <w:highlight w:val="none"/>
        </w:rPr>
      </w:pPr>
      <w:r>
        <w:rPr>
          <w:rFonts w:ascii="宋体" w:hAnsi="宋体" w:cs="仿宋_GB2312"/>
          <w:szCs w:val="21"/>
          <w:highlight w:val="none"/>
        </w:rPr>
        <w:t>承包人应按合同约定或监理人指示进行现场工艺试验。对大型的现场工艺试验，监理人认为必要时，承包人应根据监理人提出的工艺试验要求，编制工艺试验措施计划，报送监理人审查。</w:t>
      </w:r>
    </w:p>
    <w:p>
      <w:pPr>
        <w:pStyle w:val="5"/>
        <w:spacing w:before="120" w:after="120"/>
        <w:ind w:firstLine="420"/>
        <w:rPr>
          <w:rFonts w:ascii="宋体" w:hAnsi="宋体" w:cs="仿宋_GB2312"/>
          <w:bCs w:val="0"/>
          <w:szCs w:val="21"/>
          <w:highlight w:val="none"/>
        </w:rPr>
      </w:pPr>
      <w:bookmarkStart w:id="263" w:name="_Toc351203567"/>
      <w:r>
        <w:rPr>
          <w:rFonts w:ascii="宋体" w:hAnsi="宋体" w:cs="仿宋_GB2312"/>
          <w:bCs w:val="0"/>
          <w:szCs w:val="21"/>
          <w:highlight w:val="none"/>
        </w:rPr>
        <w:t>1</w:t>
      </w:r>
      <w:bookmarkStart w:id="264" w:name="_Toc337558787"/>
      <w:r>
        <w:rPr>
          <w:rFonts w:ascii="宋体" w:hAnsi="宋体" w:cs="仿宋_GB2312"/>
          <w:bCs w:val="0"/>
          <w:szCs w:val="21"/>
          <w:highlight w:val="none"/>
        </w:rPr>
        <w:t>0. 变更</w:t>
      </w:r>
      <w:bookmarkEnd w:id="253"/>
      <w:bookmarkEnd w:id="254"/>
      <w:bookmarkEnd w:id="263"/>
    </w:p>
    <w:bookmarkEnd w:id="264"/>
    <w:p>
      <w:pPr>
        <w:pStyle w:val="6"/>
        <w:spacing w:before="120" w:after="120" w:line="360" w:lineRule="auto"/>
        <w:ind w:firstLine="420" w:firstLineChars="200"/>
        <w:rPr>
          <w:rFonts w:ascii="宋体" w:hAnsi="宋体" w:cs="仿宋_GB2312"/>
          <w:b w:val="0"/>
          <w:bCs w:val="0"/>
          <w:sz w:val="21"/>
          <w:szCs w:val="21"/>
          <w:highlight w:val="none"/>
        </w:rPr>
      </w:pPr>
      <w:bookmarkStart w:id="265" w:name="_Toc351203568"/>
      <w:r>
        <w:rPr>
          <w:rFonts w:ascii="宋体" w:hAnsi="宋体" w:cs="仿宋_GB2312"/>
          <w:b w:val="0"/>
          <w:bCs w:val="0"/>
          <w:sz w:val="21"/>
          <w:szCs w:val="21"/>
          <w:highlight w:val="none"/>
        </w:rPr>
        <w:t>1</w:t>
      </w:r>
      <w:bookmarkStart w:id="266" w:name="_Toc337558788"/>
      <w:bookmarkStart w:id="267" w:name="_Toc296346585"/>
      <w:bookmarkStart w:id="268" w:name="_Toc296503084"/>
      <w:r>
        <w:rPr>
          <w:rFonts w:ascii="宋体" w:hAnsi="宋体" w:cs="仿宋_GB2312"/>
          <w:b w:val="0"/>
          <w:bCs w:val="0"/>
          <w:sz w:val="21"/>
          <w:szCs w:val="21"/>
          <w:highlight w:val="none"/>
        </w:rPr>
        <w:t>0.1变更的范围</w:t>
      </w:r>
      <w:bookmarkEnd w:id="265"/>
    </w:p>
    <w:bookmarkEnd w:id="266"/>
    <w:bookmarkEnd w:id="267"/>
    <w:bookmarkEnd w:id="268"/>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除专用合同条款另有约定外，合同履行过程中发生以下情形的，应按照本条约定进行变更：</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（1）增加或减少合同中任何工作，或追加额外的工作；</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（2）取消合同中任何工作，但转由他人实施的工作除外；</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（3）改变合同中任何工作的质量标准或其他特性；</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（4）改变工程的基线、标高、位置和尺寸；</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（5）改变工程的时间安排或实施顺序。</w:t>
      </w:r>
    </w:p>
    <w:p>
      <w:pPr>
        <w:pStyle w:val="6"/>
        <w:spacing w:before="120" w:after="120" w:line="360" w:lineRule="auto"/>
        <w:ind w:firstLine="420" w:firstLineChars="200"/>
        <w:rPr>
          <w:rFonts w:ascii="宋体" w:hAnsi="宋体" w:cs="仿宋_GB2312"/>
          <w:b w:val="0"/>
          <w:bCs w:val="0"/>
          <w:sz w:val="21"/>
          <w:szCs w:val="21"/>
          <w:highlight w:val="none"/>
        </w:rPr>
      </w:pPr>
      <w:bookmarkStart w:id="269" w:name="_Toc351203569"/>
      <w:r>
        <w:rPr>
          <w:rFonts w:ascii="宋体" w:hAnsi="宋体" w:cs="仿宋_GB2312"/>
          <w:b w:val="0"/>
          <w:bCs w:val="0"/>
          <w:sz w:val="21"/>
          <w:szCs w:val="21"/>
          <w:highlight w:val="none"/>
        </w:rPr>
        <w:t>1</w:t>
      </w:r>
      <w:bookmarkStart w:id="270" w:name="_Toc296503085"/>
      <w:bookmarkStart w:id="271" w:name="_Toc337558789"/>
      <w:bookmarkStart w:id="272" w:name="_Toc296346586"/>
      <w:r>
        <w:rPr>
          <w:rFonts w:ascii="宋体" w:hAnsi="宋体" w:cs="仿宋_GB2312"/>
          <w:b w:val="0"/>
          <w:bCs w:val="0"/>
          <w:sz w:val="21"/>
          <w:szCs w:val="21"/>
          <w:highlight w:val="none"/>
        </w:rPr>
        <w:t>0.2变更权</w:t>
      </w:r>
      <w:bookmarkEnd w:id="269"/>
    </w:p>
    <w:bookmarkEnd w:id="270"/>
    <w:bookmarkEnd w:id="271"/>
    <w:bookmarkEnd w:id="272"/>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涉及设计变更的，应由设计人提供变更后的图纸和说明。如变更超过原设计标准或批准的建设规模时，发包人应及时办理规划、设计变更</w:t>
      </w:r>
      <w:r>
        <w:rPr>
          <w:rFonts w:hint="eastAsia" w:ascii="宋体" w:hAnsi="宋体" w:cs="仿宋_GB2312"/>
          <w:szCs w:val="21"/>
          <w:highlight w:val="none"/>
        </w:rPr>
        <w:t>等</w:t>
      </w:r>
      <w:r>
        <w:rPr>
          <w:rFonts w:ascii="宋体" w:hAnsi="宋体" w:cs="仿宋_GB2312"/>
          <w:szCs w:val="21"/>
          <w:highlight w:val="none"/>
        </w:rPr>
        <w:t>审批手续。</w:t>
      </w:r>
    </w:p>
    <w:p>
      <w:pPr>
        <w:pStyle w:val="6"/>
        <w:spacing w:before="120" w:after="120" w:line="360" w:lineRule="auto"/>
        <w:ind w:firstLine="420" w:firstLineChars="200"/>
        <w:rPr>
          <w:rFonts w:ascii="宋体" w:hAnsi="宋体" w:cs="仿宋_GB2312"/>
          <w:b w:val="0"/>
          <w:bCs w:val="0"/>
          <w:sz w:val="21"/>
          <w:szCs w:val="21"/>
          <w:highlight w:val="none"/>
        </w:rPr>
      </w:pPr>
      <w:bookmarkStart w:id="273" w:name="_Toc351203570"/>
      <w:r>
        <w:rPr>
          <w:rFonts w:ascii="宋体" w:hAnsi="宋体" w:cs="仿宋_GB2312"/>
          <w:b w:val="0"/>
          <w:bCs w:val="0"/>
          <w:sz w:val="21"/>
          <w:szCs w:val="21"/>
          <w:highlight w:val="none"/>
        </w:rPr>
        <w:t>1</w:t>
      </w:r>
      <w:bookmarkStart w:id="274" w:name="_Toc296346587"/>
      <w:bookmarkStart w:id="275" w:name="_Toc337558790"/>
      <w:bookmarkStart w:id="276" w:name="_Toc296503086"/>
      <w:r>
        <w:rPr>
          <w:rFonts w:ascii="宋体" w:hAnsi="宋体" w:cs="仿宋_GB2312"/>
          <w:b w:val="0"/>
          <w:bCs w:val="0"/>
          <w:sz w:val="21"/>
          <w:szCs w:val="21"/>
          <w:highlight w:val="none"/>
        </w:rPr>
        <w:t>0.3变更程序</w:t>
      </w:r>
      <w:bookmarkEnd w:id="273"/>
    </w:p>
    <w:bookmarkEnd w:id="274"/>
    <w:bookmarkEnd w:id="275"/>
    <w:bookmarkEnd w:id="276"/>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10.3.1 发包人提出变更</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发包人提出变更的，应通过监理人向承包人发出变更指示，变更指示应说明计划变更的工程范围和变更的内容。</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10.3.2 监理人提出变更建议</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autoSpaceDE w:val="0"/>
        <w:autoSpaceDN w:val="0"/>
        <w:adjustRightInd w:val="0"/>
        <w:ind w:firstLine="420"/>
        <w:rPr>
          <w:rFonts w:ascii="宋体" w:hAnsi="宋体" w:cs="仿宋_GB2312"/>
          <w:szCs w:val="21"/>
          <w:highlight w:val="none"/>
        </w:rPr>
      </w:pPr>
      <w:r>
        <w:rPr>
          <w:rFonts w:hint="eastAsia" w:ascii="宋体" w:hAnsi="宋体" w:cs="仿宋_GB2312"/>
          <w:szCs w:val="21"/>
          <w:highlight w:val="none"/>
        </w:rPr>
        <w:t>10.3.3 变更执行</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承包人收到监理人下达的变更指示后，</w:t>
      </w:r>
      <w:r>
        <w:rPr>
          <w:rFonts w:hint="eastAsia" w:ascii="宋体" w:hAnsi="宋体" w:cs="仿宋_GB2312"/>
          <w:szCs w:val="21"/>
          <w:highlight w:val="none"/>
        </w:rPr>
        <w:t>认为不能执行，应立即</w:t>
      </w:r>
      <w:r>
        <w:rPr>
          <w:rFonts w:ascii="宋体" w:hAnsi="宋体" w:cs="仿宋_GB2312"/>
          <w:szCs w:val="21"/>
          <w:highlight w:val="none"/>
        </w:rPr>
        <w:t>提出不能执行该变更指示的理由。承包人</w:t>
      </w:r>
      <w:r>
        <w:rPr>
          <w:rFonts w:hint="eastAsia" w:ascii="宋体" w:hAnsi="宋体" w:cs="仿宋_GB2312"/>
          <w:szCs w:val="21"/>
          <w:highlight w:val="none"/>
        </w:rPr>
        <w:t>认为可以</w:t>
      </w:r>
      <w:r>
        <w:rPr>
          <w:rFonts w:ascii="宋体" w:hAnsi="宋体" w:cs="仿宋_GB2312"/>
          <w:szCs w:val="21"/>
          <w:highlight w:val="none"/>
        </w:rPr>
        <w:t>执行变更的，</w:t>
      </w:r>
      <w:r>
        <w:rPr>
          <w:rFonts w:hint="eastAsia" w:ascii="宋体" w:hAnsi="宋体" w:cs="仿宋_GB2312"/>
          <w:szCs w:val="21"/>
          <w:highlight w:val="none"/>
        </w:rPr>
        <w:t>应当书面说明实施该变更指示对合同价格和工期的影响，且合同当事人应当按照第10.4款〔变更估价〕约定确定变更估价</w:t>
      </w:r>
      <w:r>
        <w:rPr>
          <w:rFonts w:ascii="宋体" w:hAnsi="宋体" w:cs="仿宋_GB2312"/>
          <w:szCs w:val="21"/>
          <w:highlight w:val="none"/>
        </w:rPr>
        <w:t>。</w:t>
      </w:r>
    </w:p>
    <w:p>
      <w:pPr>
        <w:pStyle w:val="6"/>
        <w:spacing w:before="120" w:after="120" w:line="360" w:lineRule="auto"/>
        <w:ind w:firstLine="420" w:firstLineChars="200"/>
        <w:rPr>
          <w:rFonts w:ascii="宋体" w:hAnsi="宋体" w:cs="仿宋_GB2312"/>
          <w:b w:val="0"/>
          <w:bCs w:val="0"/>
          <w:sz w:val="21"/>
          <w:szCs w:val="21"/>
          <w:highlight w:val="none"/>
        </w:rPr>
      </w:pPr>
      <w:bookmarkStart w:id="277" w:name="_Toc351203571"/>
      <w:r>
        <w:rPr>
          <w:rFonts w:ascii="宋体" w:hAnsi="宋体" w:cs="仿宋_GB2312"/>
          <w:b w:val="0"/>
          <w:bCs w:val="0"/>
          <w:sz w:val="21"/>
          <w:szCs w:val="21"/>
          <w:highlight w:val="none"/>
        </w:rPr>
        <w:t>1</w:t>
      </w:r>
      <w:bookmarkStart w:id="278" w:name="_Toc296346588"/>
      <w:bookmarkStart w:id="279" w:name="_Toc337558791"/>
      <w:bookmarkStart w:id="280" w:name="_Toc296503087"/>
      <w:r>
        <w:rPr>
          <w:rFonts w:ascii="宋体" w:hAnsi="宋体" w:cs="仿宋_GB2312"/>
          <w:b w:val="0"/>
          <w:bCs w:val="0"/>
          <w:sz w:val="21"/>
          <w:szCs w:val="21"/>
          <w:highlight w:val="none"/>
        </w:rPr>
        <w:t>0.4变更估价</w:t>
      </w:r>
      <w:bookmarkEnd w:id="277"/>
    </w:p>
    <w:bookmarkEnd w:id="278"/>
    <w:bookmarkEnd w:id="279"/>
    <w:bookmarkEnd w:id="280"/>
    <w:p>
      <w:pPr>
        <w:autoSpaceDE w:val="0"/>
        <w:autoSpaceDN w:val="0"/>
        <w:adjustRightInd w:val="0"/>
        <w:ind w:firstLine="420"/>
        <w:rPr>
          <w:rFonts w:ascii="宋体" w:hAnsi="宋体" w:cs="仿宋_GB2312"/>
          <w:szCs w:val="21"/>
          <w:highlight w:val="none"/>
        </w:rPr>
      </w:pPr>
      <w:r>
        <w:rPr>
          <w:rFonts w:hint="eastAsia" w:ascii="宋体" w:hAnsi="宋体" w:cs="仿宋_GB2312"/>
          <w:szCs w:val="21"/>
          <w:highlight w:val="none"/>
        </w:rPr>
        <w:t>10.4.1 变更估价原则</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除专用合同条款另有约定外，变更估价按照本款约定处理：</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（1）已标价工程量清单或预算书有相同项目的，按照相同项目单价认定；</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（2）已标价工程量清单或预算书中无相同项目，但有类似项目的，参照类似项目的单价认定；</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w:t>
      </w:r>
      <w:r>
        <w:rPr>
          <w:rFonts w:hint="eastAsia" w:ascii="宋体" w:hAnsi="宋体" w:cs="仿宋_GB2312"/>
          <w:szCs w:val="21"/>
          <w:highlight w:val="none"/>
        </w:rPr>
        <w:t>〔</w:t>
      </w:r>
      <w:r>
        <w:rPr>
          <w:rFonts w:ascii="宋体" w:hAnsi="宋体" w:cs="仿宋_GB2312"/>
          <w:szCs w:val="21"/>
          <w:highlight w:val="none"/>
        </w:rPr>
        <w:t>商定或确定</w:t>
      </w:r>
      <w:r>
        <w:rPr>
          <w:rFonts w:hint="eastAsia" w:ascii="宋体" w:hAnsi="宋体" w:cs="仿宋_GB2312"/>
          <w:szCs w:val="21"/>
          <w:highlight w:val="none"/>
        </w:rPr>
        <w:t>〕</w:t>
      </w:r>
      <w:r>
        <w:rPr>
          <w:rFonts w:ascii="宋体" w:hAnsi="宋体" w:cs="仿宋_GB2312"/>
          <w:szCs w:val="21"/>
          <w:highlight w:val="none"/>
        </w:rPr>
        <w:t>确定变更工作的单价。</w:t>
      </w:r>
    </w:p>
    <w:p>
      <w:pPr>
        <w:autoSpaceDE w:val="0"/>
        <w:autoSpaceDN w:val="0"/>
        <w:adjustRightInd w:val="0"/>
        <w:ind w:firstLine="420"/>
        <w:rPr>
          <w:rFonts w:ascii="宋体" w:hAnsi="宋体" w:cs="仿宋_GB2312"/>
          <w:szCs w:val="21"/>
          <w:highlight w:val="none"/>
        </w:rPr>
      </w:pPr>
      <w:r>
        <w:rPr>
          <w:rFonts w:hint="eastAsia" w:ascii="宋体" w:hAnsi="宋体" w:cs="仿宋_GB2312"/>
          <w:szCs w:val="21"/>
          <w:highlight w:val="none"/>
        </w:rPr>
        <w:t>10.4.2 变更估价程序</w:t>
      </w:r>
    </w:p>
    <w:p>
      <w:pPr>
        <w:autoSpaceDE w:val="0"/>
        <w:autoSpaceDN w:val="0"/>
        <w:adjustRightInd w:val="0"/>
        <w:ind w:firstLine="420"/>
        <w:rPr>
          <w:rFonts w:ascii="宋体" w:hAnsi="宋体" w:cs="仿宋_GB2312"/>
          <w:szCs w:val="21"/>
          <w:highlight w:val="none"/>
        </w:rPr>
      </w:pPr>
      <w:r>
        <w:rPr>
          <w:rFonts w:hint="eastAsia" w:ascii="宋体" w:hAnsi="宋体" w:cs="仿宋_GB2312"/>
          <w:szCs w:val="21"/>
          <w:highlight w:val="none"/>
        </w:rPr>
        <w:t>承包人应在收到变更指示后14天内，向监理人提交变更估价申请。监理人应在收到承包人提交的变更估价申请后7天内审查完毕并报送发包人，监理人对变更估价申请有异议</w:t>
      </w:r>
      <w:r>
        <w:rPr>
          <w:rFonts w:ascii="宋体" w:hAnsi="宋体" w:cs="仿宋_GB2312"/>
          <w:szCs w:val="21"/>
          <w:highlight w:val="none"/>
        </w:rPr>
        <w:t>，通知承包人</w:t>
      </w:r>
      <w:r>
        <w:rPr>
          <w:rFonts w:hint="eastAsia" w:ascii="宋体" w:hAnsi="宋体" w:cs="仿宋_GB2312"/>
          <w:szCs w:val="21"/>
          <w:highlight w:val="none"/>
        </w:rPr>
        <w:t>修</w:t>
      </w:r>
      <w:r>
        <w:rPr>
          <w:rFonts w:ascii="宋体" w:hAnsi="宋体" w:cs="仿宋_GB2312"/>
          <w:szCs w:val="21"/>
          <w:highlight w:val="none"/>
        </w:rPr>
        <w:t>改</w:t>
      </w:r>
      <w:r>
        <w:rPr>
          <w:rFonts w:hint="eastAsia" w:ascii="宋体" w:hAnsi="宋体" w:cs="仿宋_GB2312"/>
          <w:szCs w:val="21"/>
          <w:highlight w:val="none"/>
        </w:rPr>
        <w:t>后重新提交</w:t>
      </w:r>
      <w:r>
        <w:rPr>
          <w:rFonts w:ascii="宋体" w:hAnsi="宋体" w:cs="仿宋_GB2312"/>
          <w:szCs w:val="21"/>
          <w:highlight w:val="none"/>
        </w:rPr>
        <w:t>。发包人应在</w:t>
      </w:r>
      <w:r>
        <w:rPr>
          <w:rFonts w:hint="eastAsia" w:ascii="宋体" w:hAnsi="宋体" w:cs="仿宋_GB2312"/>
          <w:szCs w:val="21"/>
          <w:highlight w:val="none"/>
        </w:rPr>
        <w:t>承包人提交变更估价申请</w:t>
      </w:r>
      <w:r>
        <w:rPr>
          <w:rFonts w:ascii="宋体" w:hAnsi="宋体" w:cs="仿宋_GB2312"/>
          <w:szCs w:val="21"/>
          <w:highlight w:val="none"/>
        </w:rPr>
        <w:t>后</w:t>
      </w:r>
      <w:r>
        <w:rPr>
          <w:rFonts w:hint="eastAsia" w:ascii="宋体" w:hAnsi="宋体" w:cs="仿宋_GB2312"/>
          <w:szCs w:val="21"/>
          <w:highlight w:val="none"/>
        </w:rPr>
        <w:t>14</w:t>
      </w:r>
      <w:r>
        <w:rPr>
          <w:rFonts w:ascii="宋体" w:hAnsi="宋体" w:cs="仿宋_GB2312"/>
          <w:szCs w:val="21"/>
          <w:highlight w:val="none"/>
        </w:rPr>
        <w:t>天内审批完毕。</w:t>
      </w:r>
      <w:r>
        <w:rPr>
          <w:rFonts w:hint="eastAsia" w:ascii="宋体" w:hAnsi="宋体" w:cs="仿宋_GB2312"/>
          <w:szCs w:val="21"/>
          <w:highlight w:val="none"/>
        </w:rPr>
        <w:t>发包人逾期未完成审批或未提出异议的，视为认可承包人提交的变更估价申请。</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因变更引起的价格调整应计入最近一期的进度款中支付。</w:t>
      </w:r>
    </w:p>
    <w:p>
      <w:pPr>
        <w:pStyle w:val="6"/>
        <w:spacing w:before="120" w:after="120" w:line="360" w:lineRule="auto"/>
        <w:ind w:firstLine="420" w:firstLineChars="200"/>
        <w:rPr>
          <w:rFonts w:ascii="宋体" w:hAnsi="宋体" w:cs="仿宋_GB2312"/>
          <w:b w:val="0"/>
          <w:bCs w:val="0"/>
          <w:sz w:val="21"/>
          <w:szCs w:val="21"/>
          <w:highlight w:val="none"/>
        </w:rPr>
      </w:pPr>
      <w:bookmarkStart w:id="281" w:name="_Toc351203572"/>
      <w:r>
        <w:rPr>
          <w:rFonts w:ascii="宋体" w:hAnsi="宋体" w:cs="仿宋_GB2312"/>
          <w:b w:val="0"/>
          <w:bCs w:val="0"/>
          <w:sz w:val="21"/>
          <w:szCs w:val="21"/>
          <w:highlight w:val="none"/>
        </w:rPr>
        <w:t>1</w:t>
      </w:r>
      <w:bookmarkStart w:id="282" w:name="_Toc296346595"/>
      <w:bookmarkStart w:id="283" w:name="_Toc337558792"/>
      <w:bookmarkStart w:id="284" w:name="_Toc296503094"/>
      <w:r>
        <w:rPr>
          <w:rFonts w:ascii="宋体" w:hAnsi="宋体" w:cs="仿宋_GB2312"/>
          <w:b w:val="0"/>
          <w:bCs w:val="0"/>
          <w:sz w:val="21"/>
          <w:szCs w:val="21"/>
          <w:highlight w:val="none"/>
        </w:rPr>
        <w:t>0.5承包人的合理化建议</w:t>
      </w:r>
      <w:bookmarkEnd w:id="281"/>
    </w:p>
    <w:bookmarkEnd w:id="282"/>
    <w:bookmarkEnd w:id="283"/>
    <w:bookmarkEnd w:id="284"/>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承包人提出合理化建议的，应向监理人提交合理化建议说明，说明建议的内容和理由，以及实施该建议对合同价格和工期的影响。</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w:t>
      </w:r>
      <w:r>
        <w:rPr>
          <w:rFonts w:hint="eastAsia" w:ascii="宋体" w:hAnsi="宋体" w:cs="仿宋_GB2312"/>
          <w:szCs w:val="21"/>
          <w:highlight w:val="none"/>
        </w:rPr>
        <w:t>〔</w:t>
      </w:r>
      <w:r>
        <w:rPr>
          <w:rFonts w:ascii="宋体" w:hAnsi="宋体" w:cs="仿宋_GB2312"/>
          <w:szCs w:val="21"/>
          <w:highlight w:val="none"/>
        </w:rPr>
        <w:t>变更估价</w:t>
      </w:r>
      <w:r>
        <w:rPr>
          <w:rFonts w:hint="eastAsia" w:ascii="宋体" w:hAnsi="宋体" w:cs="仿宋_GB2312"/>
          <w:szCs w:val="21"/>
          <w:highlight w:val="none"/>
        </w:rPr>
        <w:t>〕</w:t>
      </w:r>
      <w:r>
        <w:rPr>
          <w:rFonts w:ascii="宋体" w:hAnsi="宋体" w:cs="仿宋_GB2312"/>
          <w:szCs w:val="21"/>
          <w:highlight w:val="none"/>
        </w:rPr>
        <w:t>约定执行。发包人不同意变更的，监理人应书面通知承包人。</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合理化建议降低了合同价格或者提高了工程经济效益的，发包人可对承包人给予奖励，奖励的方法和金额在专用合同条款中约定。</w:t>
      </w:r>
    </w:p>
    <w:p>
      <w:pPr>
        <w:pStyle w:val="6"/>
        <w:spacing w:before="120" w:after="120" w:line="360" w:lineRule="auto"/>
        <w:ind w:firstLine="420" w:firstLineChars="200"/>
        <w:rPr>
          <w:rFonts w:ascii="宋体" w:hAnsi="宋体" w:cs="仿宋_GB2312"/>
          <w:b w:val="0"/>
          <w:bCs w:val="0"/>
          <w:sz w:val="21"/>
          <w:szCs w:val="21"/>
          <w:highlight w:val="none"/>
        </w:rPr>
      </w:pPr>
      <w:bookmarkStart w:id="285" w:name="_Toc351203573"/>
      <w:r>
        <w:rPr>
          <w:rFonts w:ascii="宋体" w:hAnsi="宋体" w:cs="仿宋_GB2312"/>
          <w:b w:val="0"/>
          <w:bCs w:val="0"/>
          <w:sz w:val="21"/>
          <w:szCs w:val="21"/>
          <w:highlight w:val="none"/>
        </w:rPr>
        <w:t>1</w:t>
      </w:r>
      <w:bookmarkStart w:id="286" w:name="_Toc337558793"/>
      <w:r>
        <w:rPr>
          <w:rFonts w:ascii="宋体" w:hAnsi="宋体" w:cs="仿宋_GB2312"/>
          <w:b w:val="0"/>
          <w:bCs w:val="0"/>
          <w:sz w:val="21"/>
          <w:szCs w:val="21"/>
          <w:highlight w:val="none"/>
        </w:rPr>
        <w:t>0.6变更引起的工期调整</w:t>
      </w:r>
      <w:bookmarkEnd w:id="285"/>
      <w:r>
        <w:rPr>
          <w:rFonts w:ascii="宋体" w:hAnsi="宋体" w:cs="仿宋_GB2312"/>
          <w:b w:val="0"/>
          <w:bCs w:val="0"/>
          <w:sz w:val="21"/>
          <w:szCs w:val="21"/>
          <w:highlight w:val="none"/>
        </w:rPr>
        <w:t xml:space="preserve"> </w:t>
      </w:r>
      <w:bookmarkEnd w:id="286"/>
      <w:r>
        <w:rPr>
          <w:rFonts w:ascii="宋体" w:hAnsi="宋体" w:cs="仿宋_GB2312"/>
          <w:b w:val="0"/>
          <w:bCs w:val="0"/>
          <w:sz w:val="21"/>
          <w:szCs w:val="21"/>
          <w:highlight w:val="none"/>
        </w:rPr>
        <w:t xml:space="preserve">  </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因变更引起工期变化的，合同当事人均可要求调整合同工期，由合同当事人按照第4.4款</w:t>
      </w:r>
      <w:r>
        <w:rPr>
          <w:rFonts w:hint="eastAsia" w:ascii="宋体" w:hAnsi="宋体" w:cs="仿宋_GB2312"/>
          <w:szCs w:val="21"/>
          <w:highlight w:val="none"/>
        </w:rPr>
        <w:t>〔</w:t>
      </w:r>
      <w:r>
        <w:rPr>
          <w:rFonts w:ascii="宋体" w:hAnsi="宋体" w:cs="仿宋_GB2312"/>
          <w:szCs w:val="21"/>
          <w:highlight w:val="none"/>
        </w:rPr>
        <w:t>商定或确定</w:t>
      </w:r>
      <w:r>
        <w:rPr>
          <w:rFonts w:hint="eastAsia" w:ascii="宋体" w:hAnsi="宋体" w:cs="仿宋_GB2312"/>
          <w:szCs w:val="21"/>
          <w:highlight w:val="none"/>
        </w:rPr>
        <w:t>〕</w:t>
      </w:r>
      <w:r>
        <w:rPr>
          <w:rFonts w:ascii="宋体" w:hAnsi="宋体" w:cs="仿宋_GB2312"/>
          <w:szCs w:val="21"/>
          <w:highlight w:val="none"/>
        </w:rPr>
        <w:t>并参考工程所在地的工期定额标准确定增减工期天数。</w:t>
      </w:r>
    </w:p>
    <w:p>
      <w:pPr>
        <w:pStyle w:val="6"/>
        <w:spacing w:before="120" w:after="120" w:line="360" w:lineRule="auto"/>
        <w:ind w:firstLine="420" w:firstLineChars="200"/>
        <w:rPr>
          <w:rFonts w:ascii="宋体" w:hAnsi="宋体" w:cs="仿宋_GB2312"/>
          <w:b w:val="0"/>
          <w:bCs w:val="0"/>
          <w:sz w:val="21"/>
          <w:szCs w:val="21"/>
          <w:highlight w:val="none"/>
        </w:rPr>
      </w:pPr>
      <w:bookmarkStart w:id="287" w:name="_Toc351203574"/>
      <w:r>
        <w:rPr>
          <w:rFonts w:ascii="宋体" w:hAnsi="宋体" w:cs="仿宋_GB2312"/>
          <w:b w:val="0"/>
          <w:bCs w:val="0"/>
          <w:sz w:val="21"/>
          <w:szCs w:val="21"/>
          <w:highlight w:val="none"/>
        </w:rPr>
        <w:t>10.7暂估价</w:t>
      </w:r>
      <w:bookmarkEnd w:id="287"/>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暂估价专业分包工程、</w:t>
      </w:r>
      <w:r>
        <w:rPr>
          <w:rFonts w:hint="eastAsia" w:ascii="宋体" w:hAnsi="宋体" w:cs="仿宋_GB2312"/>
          <w:szCs w:val="21"/>
          <w:highlight w:val="none"/>
        </w:rPr>
        <w:t>服务、</w:t>
      </w:r>
      <w:r>
        <w:rPr>
          <w:rFonts w:ascii="宋体" w:hAnsi="宋体" w:cs="仿宋_GB2312"/>
          <w:szCs w:val="21"/>
          <w:highlight w:val="none"/>
        </w:rPr>
        <w:t>材料和工程设备的明细由合同当事人在专用合同条款中约定。</w:t>
      </w:r>
    </w:p>
    <w:p>
      <w:pPr>
        <w:ind w:firstLine="420"/>
        <w:rPr>
          <w:rFonts w:ascii="宋体" w:hAnsi="宋体" w:cs="仿宋_GB2312"/>
          <w:szCs w:val="21"/>
          <w:highlight w:val="none"/>
        </w:rPr>
      </w:pPr>
      <w:r>
        <w:rPr>
          <w:rFonts w:ascii="宋体" w:hAnsi="宋体" w:cs="仿宋_GB2312"/>
          <w:szCs w:val="21"/>
          <w:highlight w:val="none"/>
        </w:rPr>
        <w:t>10.7.1 依法必须招标的暂估价项目</w:t>
      </w:r>
    </w:p>
    <w:p>
      <w:pPr>
        <w:ind w:firstLine="420"/>
        <w:rPr>
          <w:rFonts w:ascii="宋体" w:hAnsi="宋体" w:cs="仿宋_GB2312"/>
          <w:szCs w:val="21"/>
          <w:highlight w:val="none"/>
        </w:rPr>
      </w:pPr>
      <w:r>
        <w:rPr>
          <w:rFonts w:ascii="宋体" w:hAnsi="宋体" w:cs="仿宋_GB2312"/>
          <w:szCs w:val="21"/>
          <w:highlight w:val="none"/>
        </w:rPr>
        <w:t>对于依法必须招标的暂估价项目，采取以下第1种方式确定</w:t>
      </w:r>
      <w:r>
        <w:rPr>
          <w:rFonts w:hint="eastAsia" w:ascii="宋体" w:hAnsi="宋体" w:cs="仿宋_GB2312"/>
          <w:szCs w:val="21"/>
          <w:highlight w:val="none"/>
        </w:rPr>
        <w:t>。合同当事人也可以在</w:t>
      </w:r>
      <w:r>
        <w:rPr>
          <w:rFonts w:ascii="宋体" w:hAnsi="宋体" w:cs="仿宋_GB2312"/>
          <w:szCs w:val="21"/>
          <w:highlight w:val="none"/>
        </w:rPr>
        <w:t>专用合同条款</w:t>
      </w:r>
      <w:r>
        <w:rPr>
          <w:rFonts w:hint="eastAsia" w:ascii="宋体" w:hAnsi="宋体" w:cs="仿宋_GB2312"/>
          <w:szCs w:val="21"/>
          <w:highlight w:val="none"/>
        </w:rPr>
        <w:t>中选择其他招标方式。</w:t>
      </w:r>
    </w:p>
    <w:p>
      <w:pPr>
        <w:ind w:firstLine="420"/>
        <w:rPr>
          <w:rFonts w:ascii="宋体" w:hAnsi="宋体" w:cs="仿宋_GB2312"/>
          <w:szCs w:val="21"/>
          <w:highlight w:val="none"/>
        </w:rPr>
      </w:pPr>
      <w:r>
        <w:rPr>
          <w:rFonts w:ascii="宋体" w:hAnsi="宋体" w:cs="仿宋_GB2312"/>
          <w:szCs w:val="21"/>
          <w:highlight w:val="none"/>
        </w:rPr>
        <w:t>第1种方式：对于依法必须招标的暂估价项目，由承包人招标，对该暂估价项目的确认和批准按照以下约定执行：</w:t>
      </w:r>
    </w:p>
    <w:p>
      <w:pPr>
        <w:ind w:firstLine="420"/>
        <w:rPr>
          <w:rFonts w:ascii="宋体" w:hAnsi="宋体" w:cs="仿宋_GB2312"/>
          <w:szCs w:val="21"/>
          <w:highlight w:val="none"/>
        </w:rPr>
      </w:pPr>
      <w:r>
        <w:rPr>
          <w:rFonts w:ascii="宋体" w:hAnsi="宋体" w:cs="仿宋_GB2312"/>
          <w:szCs w:val="21"/>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ind w:firstLine="420"/>
        <w:rPr>
          <w:rFonts w:ascii="宋体" w:hAnsi="宋体" w:cs="仿宋_GB2312"/>
          <w:szCs w:val="21"/>
          <w:highlight w:val="none"/>
        </w:rPr>
      </w:pPr>
      <w:r>
        <w:rPr>
          <w:rFonts w:ascii="宋体" w:hAnsi="宋体" w:cs="仿宋_GB2312"/>
          <w:szCs w:val="21"/>
          <w:highlight w:val="none"/>
        </w:rPr>
        <w:t>（2）承包人应当根据施工进度计划，提前14天将招标文件通过监理人报送发包人审批，发包人应当在收到承包人报送的相关文件后7天内完成审批或提出修改意见；发包人有权确定招标控制价</w:t>
      </w:r>
      <w:r>
        <w:rPr>
          <w:rFonts w:hint="eastAsia" w:ascii="宋体" w:hAnsi="宋体" w:cs="仿宋_GB2312"/>
          <w:szCs w:val="21"/>
          <w:highlight w:val="none"/>
        </w:rPr>
        <w:t>并按照法律规定参加评标</w:t>
      </w:r>
      <w:r>
        <w:rPr>
          <w:rFonts w:ascii="宋体" w:hAnsi="宋体" w:cs="仿宋_GB2312"/>
          <w:szCs w:val="21"/>
          <w:highlight w:val="none"/>
        </w:rPr>
        <w:t>；</w:t>
      </w:r>
    </w:p>
    <w:p>
      <w:pPr>
        <w:ind w:firstLine="420"/>
        <w:rPr>
          <w:rFonts w:ascii="宋体" w:hAnsi="宋体" w:cs="仿宋_GB2312"/>
          <w:szCs w:val="21"/>
          <w:highlight w:val="none"/>
        </w:rPr>
      </w:pPr>
      <w:r>
        <w:rPr>
          <w:rFonts w:ascii="宋体" w:hAnsi="宋体" w:cs="仿宋_GB2312"/>
          <w:szCs w:val="21"/>
          <w:highlight w:val="none"/>
        </w:rPr>
        <w:t xml:space="preserve">    （3）承包人与</w:t>
      </w:r>
      <w:r>
        <w:rPr>
          <w:rFonts w:hint="eastAsia" w:ascii="宋体" w:hAnsi="宋体" w:cs="仿宋_GB2312"/>
          <w:szCs w:val="21"/>
          <w:highlight w:val="none"/>
        </w:rPr>
        <w:t>投标人</w:t>
      </w:r>
      <w:r>
        <w:rPr>
          <w:rFonts w:ascii="宋体" w:hAnsi="宋体" w:cs="仿宋_GB2312"/>
          <w:szCs w:val="21"/>
          <w:highlight w:val="none"/>
        </w:rPr>
        <w:t>、分包人在签订暂估价合同前，应当提前7天将确定的中标候选</w:t>
      </w:r>
      <w:r>
        <w:rPr>
          <w:rFonts w:hint="eastAsia" w:ascii="宋体" w:hAnsi="宋体" w:cs="仿宋_GB2312"/>
          <w:szCs w:val="21"/>
          <w:highlight w:val="none"/>
        </w:rPr>
        <w:t>投标人</w:t>
      </w:r>
      <w:r>
        <w:rPr>
          <w:rFonts w:ascii="宋体" w:hAnsi="宋体" w:cs="仿宋_GB2312"/>
          <w:szCs w:val="21"/>
          <w:highlight w:val="none"/>
        </w:rPr>
        <w:t>或中标候选分包人的资料报送发包人，发包人应在收到资料后3天内与承包人共同确定中标人；承包人应当在签订合同后7天内，将暂估价合同副本报送发包人留存。</w:t>
      </w:r>
    </w:p>
    <w:p>
      <w:pPr>
        <w:ind w:firstLine="420"/>
        <w:rPr>
          <w:rFonts w:ascii="宋体" w:hAnsi="宋体" w:cs="仿宋_GB2312"/>
          <w:szCs w:val="21"/>
          <w:highlight w:val="none"/>
        </w:rPr>
      </w:pPr>
      <w:r>
        <w:rPr>
          <w:rFonts w:ascii="宋体" w:hAnsi="宋体" w:cs="仿宋_GB2312"/>
          <w:szCs w:val="21"/>
          <w:highlight w:val="none"/>
        </w:rPr>
        <w:t>第2种方式：对于依法必须招标的暂估价项目，由发包人和承包人共同招标确定暂估价</w:t>
      </w:r>
      <w:r>
        <w:rPr>
          <w:rFonts w:hint="eastAsia" w:ascii="宋体" w:hAnsi="宋体" w:cs="仿宋_GB2312"/>
          <w:szCs w:val="21"/>
          <w:highlight w:val="none"/>
        </w:rPr>
        <w:t>投标人</w:t>
      </w:r>
      <w:r>
        <w:rPr>
          <w:rFonts w:ascii="宋体" w:hAnsi="宋体" w:cs="仿宋_GB2312"/>
          <w:szCs w:val="21"/>
          <w:highlight w:val="none"/>
        </w:rPr>
        <w:t>或分包人的，承包人应按照施工进度计划，在招标工作启动前14天通知发包人，并提交暂估价招标方案和工作分工。发包人应在收到后7天内确认。确定中标人后，由发包人、承包人与中标人共同签订暂估价合同。</w:t>
      </w:r>
    </w:p>
    <w:p>
      <w:pPr>
        <w:ind w:firstLine="420"/>
        <w:rPr>
          <w:rFonts w:ascii="宋体" w:hAnsi="宋体" w:cs="仿宋_GB2312"/>
          <w:szCs w:val="21"/>
          <w:highlight w:val="none"/>
        </w:rPr>
      </w:pPr>
      <w:r>
        <w:rPr>
          <w:rFonts w:ascii="宋体" w:hAnsi="宋体" w:cs="仿宋_GB2312"/>
          <w:szCs w:val="21"/>
          <w:highlight w:val="none"/>
        </w:rPr>
        <w:t>10.7.2不属于依法必须招标的暂估价项目</w:t>
      </w:r>
    </w:p>
    <w:p>
      <w:pPr>
        <w:ind w:firstLine="420"/>
        <w:rPr>
          <w:rFonts w:ascii="宋体" w:hAnsi="宋体" w:cs="仿宋_GB2312"/>
          <w:szCs w:val="21"/>
          <w:highlight w:val="none"/>
        </w:rPr>
      </w:pPr>
      <w:r>
        <w:rPr>
          <w:rFonts w:ascii="宋体" w:hAnsi="宋体" w:cs="仿宋_GB2312"/>
          <w:szCs w:val="21"/>
          <w:highlight w:val="none"/>
        </w:rPr>
        <w:t>除专用合同条款另有约定外，对于不属于依法必须招标的暂估价项目，采取以下第1种方式确定：</w:t>
      </w:r>
      <w:r>
        <w:rPr>
          <w:rFonts w:hint="eastAsia" w:ascii="宋体" w:hAnsi="宋体" w:cs="仿宋_GB2312"/>
          <w:szCs w:val="21"/>
          <w:highlight w:val="none"/>
        </w:rPr>
        <w:t xml:space="preserve"> </w:t>
      </w:r>
    </w:p>
    <w:p>
      <w:pPr>
        <w:ind w:firstLine="420"/>
        <w:rPr>
          <w:rFonts w:ascii="宋体" w:hAnsi="宋体" w:cs="仿宋_GB2312"/>
          <w:szCs w:val="21"/>
          <w:highlight w:val="none"/>
        </w:rPr>
      </w:pPr>
      <w:r>
        <w:rPr>
          <w:rFonts w:ascii="宋体" w:hAnsi="宋体" w:cs="仿宋_GB2312"/>
          <w:szCs w:val="21"/>
          <w:highlight w:val="none"/>
        </w:rPr>
        <w:t>第1种方式：对于不属于依法必须招标的暂估价项目，按本项约定确认和批准：</w:t>
      </w:r>
    </w:p>
    <w:p>
      <w:pPr>
        <w:ind w:firstLine="420"/>
        <w:rPr>
          <w:rFonts w:ascii="宋体" w:hAnsi="宋体" w:cs="仿宋_GB2312"/>
          <w:szCs w:val="21"/>
          <w:highlight w:val="none"/>
        </w:rPr>
      </w:pPr>
      <w:r>
        <w:rPr>
          <w:rFonts w:ascii="宋体" w:hAnsi="宋体" w:cs="仿宋_GB2312"/>
          <w:szCs w:val="21"/>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ind w:firstLine="420"/>
        <w:rPr>
          <w:rFonts w:ascii="宋体" w:hAnsi="宋体" w:cs="仿宋_GB2312"/>
          <w:szCs w:val="21"/>
          <w:highlight w:val="none"/>
        </w:rPr>
      </w:pPr>
      <w:r>
        <w:rPr>
          <w:rFonts w:ascii="宋体" w:hAnsi="宋体" w:cs="仿宋_GB2312"/>
          <w:szCs w:val="21"/>
          <w:highlight w:val="none"/>
        </w:rPr>
        <w:t>（2）发包人认为承包人确定的</w:t>
      </w:r>
      <w:r>
        <w:rPr>
          <w:rFonts w:hint="eastAsia" w:ascii="宋体" w:hAnsi="宋体" w:cs="仿宋_GB2312"/>
          <w:szCs w:val="21"/>
          <w:highlight w:val="none"/>
        </w:rPr>
        <w:t>投标人</w:t>
      </w:r>
      <w:r>
        <w:rPr>
          <w:rFonts w:ascii="宋体" w:hAnsi="宋体" w:cs="仿宋_GB2312"/>
          <w:szCs w:val="21"/>
          <w:highlight w:val="none"/>
        </w:rPr>
        <w:t>、分包人无法满足工程质量或合同要求的，发包人可以要求承包人重新确定暂估价项目的</w:t>
      </w:r>
      <w:r>
        <w:rPr>
          <w:rFonts w:hint="eastAsia" w:ascii="宋体" w:hAnsi="宋体" w:cs="仿宋_GB2312"/>
          <w:szCs w:val="21"/>
          <w:highlight w:val="none"/>
        </w:rPr>
        <w:t>投标人</w:t>
      </w:r>
      <w:r>
        <w:rPr>
          <w:rFonts w:ascii="宋体" w:hAnsi="宋体" w:cs="仿宋_GB2312"/>
          <w:szCs w:val="21"/>
          <w:highlight w:val="none"/>
        </w:rPr>
        <w:t>、分包人;</w:t>
      </w:r>
    </w:p>
    <w:p>
      <w:pPr>
        <w:ind w:firstLine="420"/>
        <w:rPr>
          <w:rFonts w:ascii="宋体" w:hAnsi="宋体" w:cs="仿宋_GB2312"/>
          <w:szCs w:val="21"/>
          <w:highlight w:val="none"/>
        </w:rPr>
      </w:pPr>
      <w:r>
        <w:rPr>
          <w:rFonts w:ascii="宋体" w:hAnsi="宋体" w:cs="仿宋_GB2312"/>
          <w:szCs w:val="21"/>
          <w:highlight w:val="none"/>
        </w:rPr>
        <w:t>（3）承包人应当在签订暂估价合同后7天内，将暂估价合同副本报送发包人留存。</w:t>
      </w:r>
    </w:p>
    <w:p>
      <w:pPr>
        <w:ind w:firstLine="420"/>
        <w:rPr>
          <w:rFonts w:ascii="宋体" w:hAnsi="宋体" w:cs="仿宋_GB2312"/>
          <w:szCs w:val="21"/>
          <w:highlight w:val="none"/>
        </w:rPr>
      </w:pPr>
      <w:r>
        <w:rPr>
          <w:rFonts w:ascii="宋体" w:hAnsi="宋体" w:cs="仿宋_GB2312"/>
          <w:szCs w:val="21"/>
          <w:highlight w:val="none"/>
        </w:rPr>
        <w:t>第2种方式：承包人按照第10.7.1项</w:t>
      </w:r>
      <w:r>
        <w:rPr>
          <w:rFonts w:hint="eastAsia" w:ascii="宋体" w:hAnsi="宋体" w:cs="仿宋_GB2312"/>
          <w:szCs w:val="21"/>
          <w:highlight w:val="none"/>
        </w:rPr>
        <w:t>〔</w:t>
      </w:r>
      <w:r>
        <w:rPr>
          <w:rFonts w:ascii="宋体" w:hAnsi="宋体" w:cs="仿宋_GB2312"/>
          <w:szCs w:val="21"/>
          <w:highlight w:val="none"/>
        </w:rPr>
        <w:t>依法必须招标的暂估价项目</w:t>
      </w:r>
      <w:r>
        <w:rPr>
          <w:rFonts w:hint="eastAsia" w:ascii="宋体" w:hAnsi="宋体" w:cs="仿宋_GB2312"/>
          <w:szCs w:val="21"/>
          <w:highlight w:val="none"/>
        </w:rPr>
        <w:t>〕</w:t>
      </w:r>
      <w:r>
        <w:rPr>
          <w:rFonts w:ascii="宋体" w:hAnsi="宋体" w:cs="仿宋_GB2312"/>
          <w:szCs w:val="21"/>
          <w:highlight w:val="none"/>
        </w:rPr>
        <w:t>约定的第1种方式确定暂估价项目。</w:t>
      </w:r>
    </w:p>
    <w:p>
      <w:pPr>
        <w:ind w:firstLine="420"/>
        <w:rPr>
          <w:rFonts w:ascii="宋体" w:hAnsi="宋体" w:cs="仿宋_GB2312"/>
          <w:szCs w:val="21"/>
          <w:highlight w:val="none"/>
        </w:rPr>
      </w:pPr>
      <w:r>
        <w:rPr>
          <w:rFonts w:ascii="宋体" w:hAnsi="宋体" w:cs="仿宋_GB2312"/>
          <w:szCs w:val="21"/>
          <w:highlight w:val="none"/>
        </w:rPr>
        <w:t>第3种方式：承包人直接实施的暂估价项目</w:t>
      </w:r>
    </w:p>
    <w:p>
      <w:pPr>
        <w:ind w:firstLine="420"/>
        <w:rPr>
          <w:rFonts w:ascii="宋体" w:hAnsi="宋体" w:cs="仿宋_GB2312"/>
          <w:szCs w:val="21"/>
          <w:highlight w:val="none"/>
        </w:rPr>
      </w:pPr>
      <w:r>
        <w:rPr>
          <w:rFonts w:ascii="宋体" w:hAnsi="宋体" w:cs="仿宋_GB2312"/>
          <w:szCs w:val="21"/>
          <w:highlight w:val="none"/>
        </w:rPr>
        <w:t>承包人具备实施暂估价项目的资格和条件的，经发包人和承包人协商一致后，可由承包人自行实施暂估价项目，合同当事人可以在专用合同条款约定具体事项。</w:t>
      </w:r>
    </w:p>
    <w:p>
      <w:pPr>
        <w:ind w:firstLine="420"/>
        <w:rPr>
          <w:rFonts w:ascii="宋体" w:hAnsi="宋体" w:cs="仿宋_GB2312"/>
          <w:szCs w:val="21"/>
          <w:highlight w:val="none"/>
        </w:rPr>
      </w:pPr>
      <w:r>
        <w:rPr>
          <w:rFonts w:ascii="宋体" w:hAnsi="宋体" w:cs="仿宋_GB2312"/>
          <w:szCs w:val="21"/>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pStyle w:val="6"/>
        <w:spacing w:before="120" w:after="120" w:line="360" w:lineRule="auto"/>
        <w:ind w:firstLine="420" w:firstLineChars="200"/>
        <w:rPr>
          <w:rFonts w:ascii="宋体" w:hAnsi="宋体" w:cs="仿宋_GB2312"/>
          <w:b w:val="0"/>
          <w:bCs w:val="0"/>
          <w:sz w:val="21"/>
          <w:szCs w:val="21"/>
          <w:highlight w:val="none"/>
        </w:rPr>
      </w:pPr>
      <w:bookmarkStart w:id="288" w:name="_Toc351203575"/>
      <w:r>
        <w:rPr>
          <w:rFonts w:ascii="宋体" w:hAnsi="宋体" w:cs="仿宋_GB2312"/>
          <w:b w:val="0"/>
          <w:bCs w:val="0"/>
          <w:sz w:val="21"/>
          <w:szCs w:val="21"/>
          <w:highlight w:val="none"/>
        </w:rPr>
        <w:t>1</w:t>
      </w:r>
      <w:bookmarkStart w:id="289" w:name="_Toc337558794"/>
      <w:bookmarkStart w:id="290" w:name="_Toc322522561"/>
      <w:bookmarkStart w:id="291" w:name="_Toc296346591"/>
      <w:bookmarkStart w:id="292" w:name="_Toc296503090"/>
      <w:r>
        <w:rPr>
          <w:rFonts w:ascii="宋体" w:hAnsi="宋体" w:cs="仿宋_GB2312"/>
          <w:b w:val="0"/>
          <w:bCs w:val="0"/>
          <w:sz w:val="21"/>
          <w:szCs w:val="21"/>
          <w:highlight w:val="none"/>
        </w:rPr>
        <w:t>0.8暂列金额</w:t>
      </w:r>
      <w:bookmarkEnd w:id="288"/>
    </w:p>
    <w:bookmarkEnd w:id="289"/>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暂列金额应按照发包人的要求使用，发包人的要求应通过监理人发出。</w:t>
      </w:r>
      <w:r>
        <w:rPr>
          <w:rFonts w:hint="eastAsia" w:ascii="宋体" w:hAnsi="宋体" w:cs="仿宋_GB2312"/>
          <w:szCs w:val="21"/>
          <w:highlight w:val="none"/>
        </w:rPr>
        <w:t>合同当事人可以在专用合同条款中协商确定有关事项。</w:t>
      </w:r>
    </w:p>
    <w:bookmarkEnd w:id="290"/>
    <w:bookmarkEnd w:id="291"/>
    <w:bookmarkEnd w:id="292"/>
    <w:p>
      <w:pPr>
        <w:pStyle w:val="6"/>
        <w:spacing w:before="120" w:after="120" w:line="360" w:lineRule="auto"/>
        <w:ind w:firstLine="420" w:firstLineChars="200"/>
        <w:rPr>
          <w:rFonts w:ascii="宋体" w:hAnsi="宋体" w:cs="仿宋_GB2312"/>
          <w:b w:val="0"/>
          <w:bCs w:val="0"/>
          <w:sz w:val="21"/>
          <w:szCs w:val="21"/>
          <w:highlight w:val="none"/>
        </w:rPr>
      </w:pPr>
      <w:bookmarkStart w:id="293" w:name="_Toc351203576"/>
      <w:r>
        <w:rPr>
          <w:rFonts w:ascii="宋体" w:hAnsi="宋体" w:cs="仿宋_GB2312"/>
          <w:b w:val="0"/>
          <w:bCs w:val="0"/>
          <w:sz w:val="21"/>
          <w:szCs w:val="21"/>
          <w:highlight w:val="none"/>
        </w:rPr>
        <w:t>1</w:t>
      </w:r>
      <w:bookmarkStart w:id="294" w:name="_Toc296346592"/>
      <w:bookmarkStart w:id="295" w:name="_Toc296503091"/>
      <w:bookmarkStart w:id="296" w:name="_Toc337558796"/>
      <w:r>
        <w:rPr>
          <w:rFonts w:ascii="宋体" w:hAnsi="宋体" w:cs="仿宋_GB2312"/>
          <w:b w:val="0"/>
          <w:bCs w:val="0"/>
          <w:sz w:val="21"/>
          <w:szCs w:val="21"/>
          <w:highlight w:val="none"/>
        </w:rPr>
        <w:t>0.9计日工</w:t>
      </w:r>
      <w:bookmarkEnd w:id="293"/>
      <w:r>
        <w:rPr>
          <w:rFonts w:ascii="宋体" w:hAnsi="宋体" w:cs="仿宋_GB2312"/>
          <w:b w:val="0"/>
          <w:bCs w:val="0"/>
          <w:sz w:val="21"/>
          <w:szCs w:val="21"/>
          <w:highlight w:val="none"/>
        </w:rPr>
        <w:t xml:space="preserve"> </w:t>
      </w:r>
      <w:bookmarkEnd w:id="294"/>
      <w:bookmarkEnd w:id="295"/>
      <w:bookmarkEnd w:id="296"/>
    </w:p>
    <w:p>
      <w:pPr>
        <w:autoSpaceDE w:val="0"/>
        <w:autoSpaceDN w:val="0"/>
        <w:adjustRightInd w:val="0"/>
        <w:ind w:firstLine="420"/>
        <w:rPr>
          <w:rFonts w:ascii="宋体" w:hAnsi="宋体" w:cs="仿宋_GB2312"/>
          <w:szCs w:val="21"/>
          <w:highlight w:val="none"/>
        </w:rPr>
      </w:pPr>
      <w:r>
        <w:rPr>
          <w:rFonts w:hint="eastAsia" w:ascii="宋体" w:hAnsi="宋体" w:cs="仿宋_GB2312"/>
          <w:szCs w:val="21"/>
          <w:highlight w:val="none"/>
        </w:rPr>
        <w:t>需要采用计日工方式的，经发包人同意后</w:t>
      </w:r>
      <w:r>
        <w:rPr>
          <w:rFonts w:ascii="宋体" w:hAnsi="宋体" w:cs="仿宋_GB2312"/>
          <w:szCs w:val="21"/>
          <w:highlight w:val="none"/>
        </w:rPr>
        <w:t>，由监理人通知承包人以计日工计价方式实施</w:t>
      </w:r>
      <w:r>
        <w:rPr>
          <w:rFonts w:hint="eastAsia" w:ascii="宋体" w:hAnsi="宋体" w:cs="仿宋_GB2312"/>
          <w:szCs w:val="21"/>
          <w:highlight w:val="none"/>
        </w:rPr>
        <w:t>相应</w:t>
      </w:r>
      <w:r>
        <w:rPr>
          <w:rFonts w:ascii="宋体" w:hAnsi="宋体" w:cs="仿宋_GB2312"/>
          <w:szCs w:val="21"/>
          <w:highlight w:val="none"/>
        </w:rPr>
        <w:t>的工作，其价款按列入已标价工程量清单或预算书中的计日工计价项目及其单价进行计算；已标价工程量清单或预算书中无相应的计日工单价的，按照合理的成本与利润构成的原则，由合同当事人按照第4.4款</w:t>
      </w:r>
      <w:r>
        <w:rPr>
          <w:rFonts w:hint="eastAsia" w:ascii="宋体" w:hAnsi="宋体" w:cs="仿宋_GB2312"/>
          <w:szCs w:val="21"/>
          <w:highlight w:val="none"/>
        </w:rPr>
        <w:t>〔</w:t>
      </w:r>
      <w:r>
        <w:rPr>
          <w:rFonts w:ascii="宋体" w:hAnsi="宋体" w:cs="仿宋_GB2312"/>
          <w:szCs w:val="21"/>
          <w:highlight w:val="none"/>
        </w:rPr>
        <w:t>商定或确定</w:t>
      </w:r>
      <w:r>
        <w:rPr>
          <w:rFonts w:hint="eastAsia" w:ascii="宋体" w:hAnsi="宋体" w:cs="仿宋_GB2312"/>
          <w:szCs w:val="21"/>
          <w:highlight w:val="none"/>
        </w:rPr>
        <w:t>〕</w:t>
      </w:r>
      <w:r>
        <w:rPr>
          <w:rFonts w:ascii="宋体" w:hAnsi="宋体" w:cs="仿宋_GB2312"/>
          <w:szCs w:val="21"/>
          <w:highlight w:val="none"/>
        </w:rPr>
        <w:t>确定</w:t>
      </w:r>
      <w:r>
        <w:rPr>
          <w:rFonts w:hint="eastAsia" w:ascii="宋体" w:hAnsi="宋体" w:cs="仿宋_GB2312"/>
          <w:szCs w:val="21"/>
          <w:highlight w:val="none"/>
        </w:rPr>
        <w:t>计日工</w:t>
      </w:r>
      <w:r>
        <w:rPr>
          <w:rFonts w:ascii="宋体" w:hAnsi="宋体" w:cs="仿宋_GB2312"/>
          <w:szCs w:val="21"/>
          <w:highlight w:val="none"/>
        </w:rPr>
        <w:t>的单价。</w:t>
      </w:r>
    </w:p>
    <w:p>
      <w:pPr>
        <w:ind w:firstLine="420"/>
        <w:rPr>
          <w:rFonts w:ascii="宋体" w:hAnsi="宋体" w:cs="仿宋_GB2312"/>
          <w:szCs w:val="21"/>
          <w:highlight w:val="none"/>
        </w:rPr>
      </w:pPr>
      <w:r>
        <w:rPr>
          <w:rFonts w:ascii="宋体" w:hAnsi="宋体" w:cs="仿宋_GB2312"/>
          <w:szCs w:val="21"/>
          <w:highlight w:val="none"/>
        </w:rPr>
        <w:t>采用计日工计价的任何一项工作，承包人应在该项工作实施过程中，每天提交以下报表和有关凭证报送监理人审查：</w:t>
      </w:r>
    </w:p>
    <w:p>
      <w:pPr>
        <w:ind w:firstLine="315" w:firstLineChars="150"/>
        <w:rPr>
          <w:rFonts w:ascii="宋体" w:hAnsi="宋体" w:cs="仿宋_GB2312"/>
          <w:szCs w:val="21"/>
          <w:highlight w:val="none"/>
        </w:rPr>
      </w:pPr>
      <w:r>
        <w:rPr>
          <w:rFonts w:ascii="宋体" w:hAnsi="宋体" w:cs="仿宋_GB2312"/>
          <w:szCs w:val="21"/>
          <w:highlight w:val="none"/>
        </w:rPr>
        <w:t>（1）工作名称、内容和数量；</w:t>
      </w:r>
    </w:p>
    <w:p>
      <w:pPr>
        <w:ind w:firstLine="315" w:firstLineChars="150"/>
        <w:rPr>
          <w:rFonts w:ascii="宋体" w:hAnsi="宋体" w:cs="仿宋_GB2312"/>
          <w:szCs w:val="21"/>
          <w:highlight w:val="none"/>
        </w:rPr>
      </w:pPr>
      <w:r>
        <w:rPr>
          <w:rFonts w:ascii="宋体" w:hAnsi="宋体" w:cs="仿宋_GB2312"/>
          <w:szCs w:val="21"/>
          <w:highlight w:val="none"/>
        </w:rPr>
        <w:t>（2）投入该工作的所有人员的姓名、专业、工种、级别和耗用工时；</w:t>
      </w:r>
    </w:p>
    <w:p>
      <w:pPr>
        <w:ind w:firstLine="315" w:firstLineChars="150"/>
        <w:rPr>
          <w:rFonts w:ascii="宋体" w:hAnsi="宋体" w:cs="仿宋_GB2312"/>
          <w:szCs w:val="21"/>
          <w:highlight w:val="none"/>
        </w:rPr>
      </w:pPr>
      <w:r>
        <w:rPr>
          <w:rFonts w:ascii="宋体" w:hAnsi="宋体" w:cs="仿宋_GB2312"/>
          <w:szCs w:val="21"/>
          <w:highlight w:val="none"/>
        </w:rPr>
        <w:t>（3）投入该工作的材料类别和数量；</w:t>
      </w:r>
    </w:p>
    <w:p>
      <w:pPr>
        <w:ind w:firstLine="315" w:firstLineChars="150"/>
        <w:rPr>
          <w:rFonts w:ascii="宋体" w:hAnsi="宋体" w:cs="仿宋_GB2312"/>
          <w:szCs w:val="21"/>
          <w:highlight w:val="none"/>
        </w:rPr>
      </w:pPr>
      <w:r>
        <w:rPr>
          <w:rFonts w:ascii="宋体" w:hAnsi="宋体" w:cs="仿宋_GB2312"/>
          <w:szCs w:val="21"/>
          <w:highlight w:val="none"/>
        </w:rPr>
        <w:t>（4）投入该工作的施工设备型号、台数和耗用台时；</w:t>
      </w:r>
    </w:p>
    <w:p>
      <w:pPr>
        <w:ind w:firstLine="315" w:firstLineChars="150"/>
        <w:rPr>
          <w:rFonts w:ascii="宋体" w:hAnsi="宋体" w:cs="仿宋_GB2312"/>
          <w:szCs w:val="21"/>
          <w:highlight w:val="none"/>
        </w:rPr>
      </w:pPr>
      <w:r>
        <w:rPr>
          <w:rFonts w:ascii="宋体" w:hAnsi="宋体" w:cs="仿宋_GB2312"/>
          <w:szCs w:val="21"/>
          <w:highlight w:val="none"/>
        </w:rPr>
        <w:t>（5）其他有关资料和凭证。</w:t>
      </w:r>
    </w:p>
    <w:p>
      <w:pPr>
        <w:ind w:firstLine="315" w:firstLineChars="150"/>
        <w:rPr>
          <w:rFonts w:ascii="宋体" w:hAnsi="宋体" w:cs="仿宋_GB2312"/>
          <w:szCs w:val="21"/>
          <w:highlight w:val="none"/>
        </w:rPr>
      </w:pPr>
      <w:r>
        <w:rPr>
          <w:rFonts w:ascii="宋体" w:hAnsi="宋体" w:cs="仿宋_GB2312"/>
          <w:szCs w:val="21"/>
          <w:highlight w:val="none"/>
        </w:rPr>
        <w:t xml:space="preserve"> 计日工由承包人汇总后，列入最近一期进度付款申请单，由监理人审查并经发包人批准后列入进度付款。</w:t>
      </w:r>
    </w:p>
    <w:p>
      <w:pPr>
        <w:pStyle w:val="5"/>
        <w:spacing w:before="120" w:after="120"/>
        <w:ind w:firstLine="420"/>
        <w:rPr>
          <w:rFonts w:ascii="宋体" w:hAnsi="宋体" w:cs="仿宋_GB2312"/>
          <w:bCs w:val="0"/>
          <w:szCs w:val="21"/>
          <w:highlight w:val="none"/>
        </w:rPr>
      </w:pPr>
      <w:bookmarkStart w:id="297" w:name="_Toc351203577"/>
      <w:r>
        <w:rPr>
          <w:rFonts w:ascii="宋体" w:hAnsi="宋体" w:cs="仿宋_GB2312"/>
          <w:bCs w:val="0"/>
          <w:szCs w:val="21"/>
          <w:highlight w:val="none"/>
        </w:rPr>
        <w:t>11. 价格调整</w:t>
      </w:r>
      <w:bookmarkEnd w:id="297"/>
    </w:p>
    <w:p>
      <w:pPr>
        <w:pStyle w:val="6"/>
        <w:spacing w:before="120" w:after="120" w:line="360" w:lineRule="auto"/>
        <w:ind w:firstLine="420" w:firstLineChars="200"/>
        <w:rPr>
          <w:rFonts w:ascii="宋体" w:hAnsi="宋体" w:cs="仿宋_GB2312"/>
          <w:b w:val="0"/>
          <w:bCs w:val="0"/>
          <w:sz w:val="21"/>
          <w:szCs w:val="21"/>
          <w:highlight w:val="none"/>
        </w:rPr>
      </w:pPr>
      <w:bookmarkStart w:id="298" w:name="_Toc351203578"/>
      <w:bookmarkStart w:id="299" w:name="_Toc296503092"/>
      <w:bookmarkStart w:id="300" w:name="_Toc296346593"/>
      <w:bookmarkStart w:id="301" w:name="_Toc337558797"/>
      <w:r>
        <w:rPr>
          <w:rFonts w:ascii="宋体" w:hAnsi="宋体" w:cs="仿宋_GB2312"/>
          <w:b w:val="0"/>
          <w:bCs w:val="0"/>
          <w:sz w:val="21"/>
          <w:szCs w:val="21"/>
          <w:highlight w:val="none"/>
        </w:rPr>
        <w:t>11.1市场价格波动引起的调整</w:t>
      </w:r>
      <w:bookmarkEnd w:id="298"/>
    </w:p>
    <w:bookmarkEnd w:id="299"/>
    <w:bookmarkEnd w:id="300"/>
    <w:bookmarkEnd w:id="301"/>
    <w:p>
      <w:pPr>
        <w:ind w:firstLine="420"/>
        <w:rPr>
          <w:rFonts w:ascii="宋体" w:hAnsi="宋体" w:cs="仿宋_GB2312"/>
          <w:szCs w:val="21"/>
          <w:highlight w:val="none"/>
        </w:rPr>
      </w:pPr>
      <w:r>
        <w:rPr>
          <w:rFonts w:ascii="宋体" w:hAnsi="宋体" w:cs="仿宋_GB2312"/>
          <w:szCs w:val="21"/>
          <w:highlight w:val="none"/>
        </w:rPr>
        <w:t>除专用合同条款另有约定外，市场价格波动超过合同当事人约定的范围，合同价格应当调整。合同当事人可以在专用合同条款中约定选择以下一种方式对合同价格进行调整：</w:t>
      </w:r>
    </w:p>
    <w:p>
      <w:pPr>
        <w:ind w:firstLine="420"/>
        <w:rPr>
          <w:rFonts w:ascii="宋体" w:hAnsi="宋体" w:cs="仿宋_GB2312"/>
          <w:szCs w:val="21"/>
          <w:highlight w:val="none"/>
        </w:rPr>
      </w:pPr>
      <w:r>
        <w:rPr>
          <w:rFonts w:ascii="宋体" w:hAnsi="宋体" w:cs="仿宋_GB2312"/>
          <w:szCs w:val="21"/>
          <w:highlight w:val="none"/>
        </w:rPr>
        <w:t>第1种方式：采用价格指数</w:t>
      </w:r>
      <w:r>
        <w:rPr>
          <w:rFonts w:hint="eastAsia" w:ascii="宋体" w:hAnsi="宋体" w:cs="仿宋_GB2312"/>
          <w:szCs w:val="21"/>
          <w:highlight w:val="none"/>
        </w:rPr>
        <w:t>进行价格</w:t>
      </w:r>
      <w:r>
        <w:rPr>
          <w:rFonts w:ascii="宋体" w:hAnsi="宋体" w:cs="仿宋_GB2312"/>
          <w:szCs w:val="21"/>
          <w:highlight w:val="none"/>
        </w:rPr>
        <w:t>调整。</w:t>
      </w:r>
    </w:p>
    <w:p>
      <w:pPr>
        <w:tabs>
          <w:tab w:val="left" w:pos="0"/>
          <w:tab w:val="left" w:pos="360"/>
          <w:tab w:val="left" w:pos="540"/>
        </w:tabs>
        <w:ind w:firstLine="420"/>
        <w:rPr>
          <w:rFonts w:ascii="宋体" w:hAnsi="宋体" w:cs="仿宋_GB2312"/>
          <w:szCs w:val="21"/>
          <w:highlight w:val="none"/>
        </w:rPr>
      </w:pPr>
      <w:r>
        <w:rPr>
          <w:rFonts w:ascii="宋体" w:hAnsi="宋体" w:cs="仿宋_GB2312"/>
          <w:szCs w:val="21"/>
          <w:highlight w:val="none"/>
        </w:rPr>
        <w:t>（1）价格调整公式</w:t>
      </w:r>
    </w:p>
    <w:p>
      <w:pPr>
        <w:tabs>
          <w:tab w:val="left" w:pos="0"/>
          <w:tab w:val="left" w:pos="360"/>
          <w:tab w:val="left" w:pos="540"/>
        </w:tabs>
        <w:ind w:firstLine="420"/>
        <w:rPr>
          <w:rFonts w:ascii="宋体" w:hAnsi="宋体" w:cs="仿宋_GB2312"/>
          <w:szCs w:val="21"/>
          <w:highlight w:val="none"/>
        </w:rPr>
      </w:pPr>
      <w:r>
        <w:rPr>
          <w:rFonts w:ascii="宋体" w:hAnsi="宋体" w:cs="仿宋_GB2312"/>
          <w:szCs w:val="21"/>
          <w:highlight w:val="none"/>
        </w:rPr>
        <w:t>因人工、材料和设备等价格波动影响合同价格时，根据专用合同条款中约定的数据，按以下公式计算差额并调整合同价格：</w:t>
      </w:r>
    </w:p>
    <w:p>
      <w:pPr>
        <w:tabs>
          <w:tab w:val="left" w:pos="0"/>
          <w:tab w:val="left" w:pos="360"/>
          <w:tab w:val="left" w:pos="540"/>
        </w:tabs>
        <w:ind w:firstLine="420"/>
        <w:rPr>
          <w:rFonts w:ascii="宋体" w:hAnsi="宋体" w:cs="仿宋_GB2312"/>
          <w:szCs w:val="21"/>
          <w:highlight w:val="none"/>
        </w:rPr>
      </w:pPr>
      <w:r>
        <w:rPr>
          <w:rFonts w:hint="eastAsia" w:ascii="宋体" w:hAnsi="宋体" w:cs="仿宋_GB2312"/>
          <w:szCs w:val="21"/>
          <w:highlight w:val="none"/>
        </w:rPr>
        <w:object>
          <v:shape id="_x0000_i1025" o:spt="75" type="#_x0000_t75" style="height:44.4pt;width:360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5" r:id="rId8">
            <o:LockedField>false</o:LockedField>
          </o:OLEObject>
        </w:object>
      </w:r>
    </w:p>
    <w:p>
      <w:pPr>
        <w:tabs>
          <w:tab w:val="left" w:pos="0"/>
          <w:tab w:val="left" w:pos="360"/>
          <w:tab w:val="left" w:pos="540"/>
        </w:tabs>
        <w:ind w:firstLine="420"/>
        <w:rPr>
          <w:rFonts w:ascii="宋体" w:hAnsi="宋体" w:cs="仿宋_GB2312"/>
          <w:szCs w:val="21"/>
          <w:highlight w:val="none"/>
        </w:rPr>
      </w:pPr>
      <w:r>
        <w:rPr>
          <w:rFonts w:ascii="宋体" w:hAnsi="宋体" w:cs="仿宋_GB2312"/>
          <w:szCs w:val="21"/>
          <w:highlight w:val="none"/>
        </w:rPr>
        <w:t>公式中：ΔP——需调整的价格差额；</w:t>
      </w:r>
    </w:p>
    <w:p>
      <w:pPr>
        <w:tabs>
          <w:tab w:val="left" w:pos="0"/>
          <w:tab w:val="left" w:pos="360"/>
          <w:tab w:val="left" w:pos="540"/>
        </w:tabs>
        <w:ind w:firstLine="1260" w:firstLineChars="600"/>
        <w:rPr>
          <w:rFonts w:ascii="宋体" w:hAnsi="宋体" w:cs="仿宋_GB2312"/>
          <w:szCs w:val="21"/>
          <w:highlight w:val="none"/>
        </w:rPr>
      </w:pPr>
      <w:r>
        <w:rPr>
          <w:rFonts w:ascii="宋体" w:hAnsi="宋体" w:cs="仿宋_GB2312"/>
          <w:szCs w:val="21"/>
          <w:highlight w:val="none"/>
        </w:rPr>
        <w:object>
          <v:shape id="_x0000_i1026" o:spt="75" type="#_x0000_t75" style="height:18pt;width:18pt;" o:ole="t" filled="f" o:preferrelative="t" stroked="f" coordsize="21600,21600">
            <v:path/>
            <v:fill on="f" focussize="0,0"/>
            <v:stroke on="f" joinstyle="miter"/>
            <v:imagedata r:id="rId11" o:title=""/>
            <o:lock v:ext="edit" aspectratio="t"/>
            <w10:wrap type="none"/>
            <w10:anchorlock/>
          </v:shape>
          <o:OLEObject Type="Embed" ProgID="Equation.3" ShapeID="_x0000_i1026" DrawAspect="Content" ObjectID="_1468075726" r:id="rId10">
            <o:LockedField>false</o:LockedField>
          </o:OLEObject>
        </w:object>
      </w:r>
      <w:r>
        <w:rPr>
          <w:rFonts w:ascii="宋体" w:hAnsi="宋体" w:cs="仿宋_GB2312"/>
          <w:szCs w:val="21"/>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pPr>
        <w:tabs>
          <w:tab w:val="left" w:pos="0"/>
          <w:tab w:val="left" w:pos="360"/>
          <w:tab w:val="left" w:pos="540"/>
        </w:tabs>
        <w:ind w:firstLine="420"/>
        <w:rPr>
          <w:rFonts w:ascii="宋体" w:hAnsi="宋体" w:cs="仿宋_GB2312"/>
          <w:szCs w:val="21"/>
          <w:highlight w:val="none"/>
        </w:rPr>
      </w:pPr>
      <w:r>
        <w:rPr>
          <w:rFonts w:ascii="宋体" w:hAnsi="宋体" w:cs="仿宋_GB2312"/>
          <w:szCs w:val="21"/>
          <w:highlight w:val="none"/>
        </w:rPr>
        <w:t>A——定值权重（即不调部分的权重）；</w:t>
      </w:r>
    </w:p>
    <w:p>
      <w:pPr>
        <w:tabs>
          <w:tab w:val="left" w:pos="0"/>
          <w:tab w:val="left" w:pos="360"/>
          <w:tab w:val="left" w:pos="540"/>
        </w:tabs>
        <w:ind w:firstLine="420"/>
        <w:rPr>
          <w:rFonts w:ascii="宋体" w:hAnsi="宋体" w:cs="仿宋_GB2312"/>
          <w:szCs w:val="21"/>
          <w:highlight w:val="none"/>
        </w:rPr>
      </w:pPr>
      <w:r>
        <w:rPr>
          <w:rFonts w:ascii="宋体" w:hAnsi="宋体" w:cs="仿宋_GB2312"/>
          <w:szCs w:val="21"/>
          <w:highlight w:val="none"/>
        </w:rPr>
        <w:object>
          <v:shape id="_x0000_i1027" o:spt="75" type="#_x0000_t75" style="height:21pt;width:101.4pt;" o:ole="t" filled="f" o:preferrelative="t" stroked="f" coordsize="21600,21600">
            <v:path/>
            <v:fill on="f" focussize="0,0"/>
            <v:stroke on="f" joinstyle="miter"/>
            <v:imagedata r:id="rId13" o:title=""/>
            <o:lock v:ext="edit" aspectratio="t"/>
            <w10:wrap type="none"/>
            <w10:anchorlock/>
          </v:shape>
          <o:OLEObject Type="Embed" ProgID="Equation.3" ShapeID="_x0000_i1027" DrawAspect="Content" ObjectID="_1468075727" r:id="rId12">
            <o:LockedField>false</o:LockedField>
          </o:OLEObject>
        </w:object>
      </w:r>
      <w:r>
        <w:rPr>
          <w:rFonts w:ascii="宋体" w:hAnsi="宋体" w:cs="仿宋_GB2312"/>
          <w:szCs w:val="21"/>
          <w:highlight w:val="none"/>
        </w:rPr>
        <w:t>——各可调因子的变值权重（即可调部分的权重），为各可调因子在签约合同价中所占的比例；</w:t>
      </w:r>
    </w:p>
    <w:p>
      <w:pPr>
        <w:tabs>
          <w:tab w:val="left" w:pos="0"/>
          <w:tab w:val="left" w:pos="360"/>
          <w:tab w:val="left" w:pos="540"/>
        </w:tabs>
        <w:ind w:firstLine="420"/>
        <w:rPr>
          <w:rFonts w:ascii="宋体" w:hAnsi="宋体" w:cs="仿宋_GB2312"/>
          <w:szCs w:val="21"/>
          <w:highlight w:val="none"/>
        </w:rPr>
      </w:pPr>
      <w:r>
        <w:rPr>
          <w:rFonts w:ascii="宋体" w:hAnsi="宋体" w:cs="仿宋_GB2312"/>
          <w:szCs w:val="21"/>
          <w:highlight w:val="none"/>
        </w:rPr>
        <w:object>
          <v:shape id="_x0000_i1028" o:spt="75" type="#_x0000_t75" style="height:20.4pt;width:102pt;" o:ole="t" filled="f" o:preferrelative="t" stroked="f" coordsize="21600,21600">
            <v:path/>
            <v:fill on="f" focussize="0,0"/>
            <v:stroke on="f" joinstyle="miter"/>
            <v:imagedata r:id="rId15" o:title=""/>
            <o:lock v:ext="edit" aspectratio="t"/>
            <w10:wrap type="none"/>
            <w10:anchorlock/>
          </v:shape>
          <o:OLEObject Type="Embed" ProgID="Equation.3" ShapeID="_x0000_i1028" DrawAspect="Content" ObjectID="_1468075728" r:id="rId14">
            <o:LockedField>false</o:LockedField>
          </o:OLEObject>
        </w:object>
      </w:r>
      <w:r>
        <w:rPr>
          <w:rFonts w:ascii="宋体" w:hAnsi="宋体" w:cs="仿宋_GB2312"/>
          <w:szCs w:val="21"/>
          <w:highlight w:val="none"/>
        </w:rPr>
        <w:t>——各可调因子的现行价格指数，指约定的付款证书相关周期最后一天的前42天的各可调因子的价格指数；</w:t>
      </w:r>
    </w:p>
    <w:p>
      <w:pPr>
        <w:tabs>
          <w:tab w:val="left" w:pos="0"/>
          <w:tab w:val="left" w:pos="360"/>
          <w:tab w:val="left" w:pos="540"/>
        </w:tabs>
        <w:ind w:firstLine="420"/>
        <w:rPr>
          <w:rFonts w:ascii="宋体" w:hAnsi="宋体" w:cs="仿宋_GB2312"/>
          <w:szCs w:val="21"/>
          <w:highlight w:val="none"/>
        </w:rPr>
      </w:pPr>
      <w:r>
        <w:rPr>
          <w:rFonts w:ascii="宋体" w:hAnsi="宋体" w:cs="仿宋_GB2312"/>
          <w:szCs w:val="21"/>
          <w:highlight w:val="none"/>
        </w:rPr>
        <w:object>
          <v:shape id="_x0000_i1029" o:spt="75" type="#_x0000_t75" style="height:20.4pt;width:107.95pt;" o:ole="t" filled="f" o:preferrelative="t" stroked="f" coordsize="21600,21600">
            <v:path/>
            <v:fill on="f" focussize="0,0"/>
            <v:stroke on="f" joinstyle="miter"/>
            <v:imagedata r:id="rId17" o:title=""/>
            <o:lock v:ext="edit" aspectratio="t"/>
            <w10:wrap type="none"/>
            <w10:anchorlock/>
          </v:shape>
          <o:OLEObject Type="Embed" ProgID="Equation.3" ShapeID="_x0000_i1029" DrawAspect="Content" ObjectID="_1468075729" r:id="rId16">
            <o:LockedField>false</o:LockedField>
          </o:OLEObject>
        </w:object>
      </w:r>
      <w:r>
        <w:rPr>
          <w:rFonts w:ascii="宋体" w:hAnsi="宋体" w:cs="仿宋_GB2312"/>
          <w:szCs w:val="21"/>
          <w:highlight w:val="none"/>
        </w:rPr>
        <w:t>——各可调因子的基本价格指数，指基准日期的各可调因子的价格指数。</w:t>
      </w:r>
    </w:p>
    <w:p>
      <w:pPr>
        <w:tabs>
          <w:tab w:val="left" w:pos="0"/>
          <w:tab w:val="left" w:pos="360"/>
          <w:tab w:val="left" w:pos="540"/>
        </w:tabs>
        <w:ind w:firstLine="420"/>
        <w:rPr>
          <w:rFonts w:ascii="宋体" w:hAnsi="宋体" w:cs="仿宋_GB2312"/>
          <w:szCs w:val="21"/>
          <w:highlight w:val="none"/>
        </w:rPr>
      </w:pPr>
      <w:r>
        <w:rPr>
          <w:rFonts w:ascii="宋体" w:hAnsi="宋体" w:cs="仿宋_GB2312"/>
          <w:szCs w:val="21"/>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tabs>
          <w:tab w:val="left" w:pos="0"/>
          <w:tab w:val="left" w:pos="360"/>
          <w:tab w:val="left" w:pos="540"/>
        </w:tabs>
        <w:ind w:firstLine="420"/>
        <w:rPr>
          <w:rFonts w:ascii="宋体" w:hAnsi="宋体" w:cs="仿宋_GB2312"/>
          <w:szCs w:val="21"/>
          <w:highlight w:val="none"/>
        </w:rPr>
      </w:pPr>
      <w:r>
        <w:rPr>
          <w:rFonts w:ascii="宋体" w:hAnsi="宋体" w:cs="仿宋_GB2312"/>
          <w:szCs w:val="21"/>
          <w:highlight w:val="none"/>
        </w:rPr>
        <w:t>（2）暂时确定调整差额</w:t>
      </w:r>
    </w:p>
    <w:p>
      <w:pPr>
        <w:tabs>
          <w:tab w:val="left" w:pos="0"/>
          <w:tab w:val="left" w:pos="360"/>
          <w:tab w:val="left" w:pos="540"/>
        </w:tabs>
        <w:ind w:firstLine="420"/>
        <w:rPr>
          <w:rFonts w:ascii="宋体" w:hAnsi="宋体" w:cs="仿宋_GB2312"/>
          <w:szCs w:val="21"/>
          <w:highlight w:val="none"/>
        </w:rPr>
      </w:pPr>
      <w:r>
        <w:rPr>
          <w:rFonts w:ascii="宋体" w:hAnsi="宋体" w:cs="仿宋_GB2312"/>
          <w:szCs w:val="21"/>
          <w:highlight w:val="none"/>
        </w:rPr>
        <w:t>在计算调整差额时无现行价格指数的，合同当事人同意暂用前次价格指数计算。实际价格指数有调整的，合同当事人进行相应调整。</w:t>
      </w:r>
    </w:p>
    <w:p>
      <w:pPr>
        <w:tabs>
          <w:tab w:val="left" w:pos="0"/>
          <w:tab w:val="left" w:pos="360"/>
          <w:tab w:val="left" w:pos="540"/>
        </w:tabs>
        <w:ind w:firstLine="420"/>
        <w:rPr>
          <w:rFonts w:ascii="宋体" w:hAnsi="宋体" w:cs="仿宋_GB2312"/>
          <w:szCs w:val="21"/>
          <w:highlight w:val="none"/>
        </w:rPr>
      </w:pPr>
      <w:r>
        <w:rPr>
          <w:rFonts w:ascii="宋体" w:hAnsi="宋体" w:cs="仿宋_GB2312"/>
          <w:szCs w:val="21"/>
          <w:highlight w:val="none"/>
        </w:rPr>
        <w:t>（3）权重的调整</w:t>
      </w:r>
    </w:p>
    <w:p>
      <w:pPr>
        <w:tabs>
          <w:tab w:val="left" w:pos="0"/>
          <w:tab w:val="left" w:pos="360"/>
          <w:tab w:val="left" w:pos="540"/>
        </w:tabs>
        <w:ind w:firstLine="420"/>
        <w:rPr>
          <w:rFonts w:ascii="宋体" w:hAnsi="宋体" w:cs="仿宋_GB2312"/>
          <w:szCs w:val="21"/>
          <w:highlight w:val="none"/>
        </w:rPr>
      </w:pPr>
      <w:r>
        <w:rPr>
          <w:rFonts w:ascii="宋体" w:hAnsi="宋体" w:cs="仿宋_GB2312"/>
          <w:szCs w:val="21"/>
          <w:highlight w:val="none"/>
        </w:rPr>
        <w:t>因变更导致合同约定的权重不合理时，按照第4.4款</w:t>
      </w:r>
      <w:r>
        <w:rPr>
          <w:rFonts w:hint="eastAsia" w:ascii="宋体" w:hAnsi="宋体" w:cs="仿宋_GB2312"/>
          <w:szCs w:val="21"/>
          <w:highlight w:val="none"/>
        </w:rPr>
        <w:t>〔</w:t>
      </w:r>
      <w:r>
        <w:rPr>
          <w:rFonts w:ascii="宋体" w:hAnsi="宋体" w:cs="仿宋_GB2312"/>
          <w:szCs w:val="21"/>
          <w:highlight w:val="none"/>
        </w:rPr>
        <w:t>商定或确定</w:t>
      </w:r>
      <w:r>
        <w:rPr>
          <w:rFonts w:hint="eastAsia" w:ascii="宋体" w:hAnsi="宋体" w:cs="仿宋_GB2312"/>
          <w:szCs w:val="21"/>
          <w:highlight w:val="none"/>
        </w:rPr>
        <w:t>〕</w:t>
      </w:r>
      <w:r>
        <w:rPr>
          <w:rFonts w:ascii="宋体" w:hAnsi="宋体" w:cs="仿宋_GB2312"/>
          <w:szCs w:val="21"/>
          <w:highlight w:val="none"/>
        </w:rPr>
        <w:t>执行。</w:t>
      </w:r>
    </w:p>
    <w:p>
      <w:pPr>
        <w:tabs>
          <w:tab w:val="left" w:pos="0"/>
          <w:tab w:val="left" w:pos="360"/>
          <w:tab w:val="left" w:pos="540"/>
        </w:tabs>
        <w:ind w:firstLine="420"/>
        <w:rPr>
          <w:rFonts w:ascii="宋体" w:hAnsi="宋体" w:cs="仿宋_GB2312"/>
          <w:szCs w:val="21"/>
          <w:highlight w:val="none"/>
        </w:rPr>
      </w:pPr>
      <w:r>
        <w:rPr>
          <w:rFonts w:ascii="宋体" w:hAnsi="宋体" w:cs="仿宋_GB2312"/>
          <w:szCs w:val="21"/>
          <w:highlight w:val="none"/>
        </w:rPr>
        <w:t>（4）因承包人原因工期延误后的价格调整</w:t>
      </w:r>
    </w:p>
    <w:p>
      <w:pPr>
        <w:tabs>
          <w:tab w:val="left" w:pos="0"/>
          <w:tab w:val="left" w:pos="360"/>
          <w:tab w:val="left" w:pos="540"/>
        </w:tabs>
        <w:ind w:firstLine="420"/>
        <w:rPr>
          <w:rFonts w:ascii="宋体" w:hAnsi="宋体" w:cs="仿宋_GB2312"/>
          <w:szCs w:val="21"/>
          <w:highlight w:val="none"/>
        </w:rPr>
      </w:pPr>
      <w:r>
        <w:rPr>
          <w:rFonts w:ascii="宋体" w:hAnsi="宋体" w:cs="仿宋_GB2312"/>
          <w:szCs w:val="21"/>
          <w:highlight w:val="none"/>
        </w:rPr>
        <w:t>因承包人原因未按期竣工的，对合同约定的竣工日期后继续施工的工程，在使用价格调整公式时，应采用计划竣工日期与实际竣工日期的两个价格指数中较低的一个作为现行价格指数。</w:t>
      </w:r>
    </w:p>
    <w:p>
      <w:pPr>
        <w:ind w:firstLine="420"/>
        <w:rPr>
          <w:rFonts w:ascii="宋体" w:hAnsi="宋体" w:cs="仿宋_GB2312"/>
          <w:szCs w:val="21"/>
          <w:highlight w:val="none"/>
        </w:rPr>
      </w:pPr>
      <w:r>
        <w:rPr>
          <w:rFonts w:ascii="宋体" w:hAnsi="宋体" w:cs="仿宋_GB2312"/>
          <w:szCs w:val="21"/>
          <w:highlight w:val="none"/>
        </w:rPr>
        <w:t>第2种方式：采用造价信息</w:t>
      </w:r>
      <w:r>
        <w:rPr>
          <w:rFonts w:hint="eastAsia" w:ascii="宋体" w:hAnsi="宋体" w:cs="仿宋_GB2312"/>
          <w:szCs w:val="21"/>
          <w:highlight w:val="none"/>
        </w:rPr>
        <w:t>进行价格</w:t>
      </w:r>
      <w:r>
        <w:rPr>
          <w:rFonts w:ascii="宋体" w:hAnsi="宋体" w:cs="仿宋_GB2312"/>
          <w:szCs w:val="21"/>
          <w:highlight w:val="none"/>
        </w:rPr>
        <w:t>调整。</w:t>
      </w:r>
    </w:p>
    <w:p>
      <w:pPr>
        <w:ind w:firstLine="420"/>
        <w:rPr>
          <w:rFonts w:ascii="宋体" w:hAnsi="宋体" w:cs="仿宋_GB2312"/>
          <w:szCs w:val="21"/>
          <w:highlight w:val="none"/>
        </w:rPr>
      </w:pPr>
      <w:r>
        <w:rPr>
          <w:rFonts w:ascii="宋体" w:hAnsi="宋体" w:cs="仿宋_GB2312"/>
          <w:szCs w:val="21"/>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w:t>
      </w:r>
      <w:r>
        <w:rPr>
          <w:rFonts w:hint="eastAsia" w:ascii="宋体" w:hAnsi="宋体" w:cs="仿宋_GB2312"/>
          <w:szCs w:val="21"/>
          <w:highlight w:val="none"/>
        </w:rPr>
        <w:t>量</w:t>
      </w:r>
      <w:r>
        <w:rPr>
          <w:rFonts w:ascii="宋体" w:hAnsi="宋体" w:cs="仿宋_GB2312"/>
          <w:szCs w:val="21"/>
          <w:highlight w:val="none"/>
        </w:rPr>
        <w:t>应由发包人审批，发包人确认需调整的材料单价及数量，作为调整合同价格的依据。</w:t>
      </w:r>
    </w:p>
    <w:p>
      <w:pPr>
        <w:ind w:firstLine="420"/>
        <w:rPr>
          <w:rFonts w:ascii="宋体" w:hAnsi="宋体" w:cs="仿宋_GB2312"/>
          <w:szCs w:val="21"/>
          <w:highlight w:val="none"/>
        </w:rPr>
      </w:pPr>
      <w:r>
        <w:rPr>
          <w:rFonts w:ascii="宋体" w:hAnsi="宋体" w:cs="仿宋_GB2312"/>
          <w:szCs w:val="21"/>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ind w:firstLine="420"/>
        <w:rPr>
          <w:rFonts w:ascii="宋体" w:hAnsi="宋体" w:cs="仿宋_GB2312"/>
          <w:szCs w:val="21"/>
          <w:highlight w:val="none"/>
        </w:rPr>
      </w:pPr>
      <w:r>
        <w:rPr>
          <w:rFonts w:ascii="宋体" w:hAnsi="宋体" w:cs="仿宋_GB2312"/>
          <w:szCs w:val="21"/>
          <w:highlight w:val="none"/>
        </w:rPr>
        <w:t>（2）材料、工程设备价格变化的价款调整按照发包人提供的基准价格，按以下风险范围规定执行:</w:t>
      </w:r>
    </w:p>
    <w:p>
      <w:pPr>
        <w:ind w:firstLine="420"/>
        <w:rPr>
          <w:rFonts w:ascii="宋体" w:hAnsi="宋体" w:cs="仿宋_GB2312"/>
          <w:szCs w:val="21"/>
          <w:highlight w:val="none"/>
        </w:rPr>
      </w:pPr>
      <w:r>
        <w:rPr>
          <w:rFonts w:hint="eastAsia" w:ascii="宋体" w:hAnsi="宋体" w:cs="仿宋_GB2312"/>
          <w:szCs w:val="21"/>
          <w:highlight w:val="none"/>
        </w:rPr>
        <w:t>①</w:t>
      </w:r>
      <w:r>
        <w:rPr>
          <w:rFonts w:ascii="宋体" w:hAnsi="宋体" w:cs="仿宋_GB2312"/>
          <w:szCs w:val="21"/>
          <w:highlight w:val="none"/>
        </w:rPr>
        <w:t>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ind w:firstLine="420"/>
        <w:rPr>
          <w:rFonts w:ascii="宋体" w:hAnsi="宋体" w:cs="仿宋_GB2312"/>
          <w:szCs w:val="21"/>
          <w:highlight w:val="none"/>
        </w:rPr>
      </w:pPr>
      <w:r>
        <w:rPr>
          <w:rFonts w:hint="eastAsia" w:ascii="宋体" w:hAnsi="宋体" w:cs="仿宋_GB2312"/>
          <w:szCs w:val="21"/>
          <w:highlight w:val="none"/>
        </w:rPr>
        <w:t>②</w:t>
      </w:r>
      <w:r>
        <w:rPr>
          <w:rFonts w:ascii="宋体" w:hAnsi="宋体" w:cs="仿宋_GB2312"/>
          <w:szCs w:val="21"/>
          <w:highlight w:val="none"/>
        </w:rPr>
        <w:t>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ind w:firstLine="420"/>
        <w:rPr>
          <w:rFonts w:ascii="宋体" w:hAnsi="宋体" w:cs="仿宋_GB2312"/>
          <w:szCs w:val="21"/>
          <w:highlight w:val="none"/>
        </w:rPr>
      </w:pPr>
      <w:r>
        <w:rPr>
          <w:rFonts w:hint="eastAsia" w:ascii="宋体" w:hAnsi="宋体" w:cs="仿宋_GB2312"/>
          <w:szCs w:val="21"/>
          <w:highlight w:val="none"/>
        </w:rPr>
        <w:t>③</w:t>
      </w:r>
      <w:r>
        <w:rPr>
          <w:rFonts w:ascii="宋体" w:hAnsi="宋体" w:cs="仿宋_GB2312"/>
          <w:szCs w:val="21"/>
          <w:highlight w:val="none"/>
        </w:rPr>
        <w:t>承包人在已标价工程量清单或预算书中载明材料单价等于基准价格的：除专用合同条款另有约定外，合同履行期间材料单价涨跌幅以基准价格为基础超过±5%时，其超过部分据实调整。</w:t>
      </w:r>
    </w:p>
    <w:p>
      <w:pPr>
        <w:ind w:firstLine="420"/>
        <w:rPr>
          <w:rFonts w:ascii="宋体" w:hAnsi="宋体" w:cs="仿宋_GB2312"/>
          <w:szCs w:val="21"/>
          <w:highlight w:val="none"/>
        </w:rPr>
      </w:pPr>
      <w:r>
        <w:rPr>
          <w:rFonts w:hint="eastAsia" w:ascii="宋体" w:hAnsi="宋体" w:cs="仿宋_GB2312"/>
          <w:szCs w:val="21"/>
          <w:highlight w:val="none"/>
        </w:rPr>
        <w:t>④</w:t>
      </w:r>
      <w:r>
        <w:rPr>
          <w:rFonts w:ascii="宋体" w:hAnsi="宋体" w:cs="仿宋_GB2312"/>
          <w:szCs w:val="21"/>
          <w:highlight w:val="none"/>
        </w:rPr>
        <w:t>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ind w:firstLine="420"/>
        <w:rPr>
          <w:rFonts w:ascii="宋体" w:hAnsi="宋体" w:cs="仿宋_GB2312"/>
          <w:szCs w:val="21"/>
          <w:highlight w:val="none"/>
        </w:rPr>
      </w:pPr>
      <w:r>
        <w:rPr>
          <w:rFonts w:ascii="宋体" w:hAnsi="宋体" w:cs="仿宋_GB2312"/>
          <w:szCs w:val="21"/>
          <w:highlight w:val="none"/>
        </w:rPr>
        <w:t>前述基准价格是指由发包人在招标文件或专用合同条款中给定的材料、工程设备的价格，该价格原则上应当按照省级或行业建设主管部门或其授权的工程造价管理机构发布的信息价编制。</w:t>
      </w:r>
    </w:p>
    <w:p>
      <w:pPr>
        <w:ind w:firstLine="420"/>
        <w:rPr>
          <w:rFonts w:ascii="宋体" w:hAnsi="宋体" w:cs="仿宋_GB2312"/>
          <w:szCs w:val="21"/>
          <w:highlight w:val="none"/>
        </w:rPr>
      </w:pPr>
      <w:r>
        <w:rPr>
          <w:rFonts w:ascii="宋体" w:hAnsi="宋体" w:cs="仿宋_GB2312"/>
          <w:szCs w:val="21"/>
          <w:highlight w:val="none"/>
        </w:rPr>
        <w:t>（3）施工机械台班单价或施工机械使用费发生变化超过省级或行业建设主管部门或其授权的工程造价管理机构规定的范围时，按规定调整合同价格。</w:t>
      </w:r>
    </w:p>
    <w:p>
      <w:pPr>
        <w:ind w:firstLine="420"/>
        <w:rPr>
          <w:rFonts w:ascii="宋体" w:hAnsi="宋体" w:cs="仿宋_GB2312"/>
          <w:szCs w:val="21"/>
          <w:highlight w:val="none"/>
        </w:rPr>
      </w:pPr>
      <w:r>
        <w:rPr>
          <w:rFonts w:ascii="宋体" w:hAnsi="宋体" w:cs="仿宋_GB2312"/>
          <w:szCs w:val="21"/>
          <w:highlight w:val="none"/>
        </w:rPr>
        <w:t>第3种方式：专用合同条款约定的其他方式。</w:t>
      </w:r>
    </w:p>
    <w:p>
      <w:pPr>
        <w:pStyle w:val="6"/>
        <w:spacing w:before="120" w:after="120" w:line="360" w:lineRule="auto"/>
        <w:ind w:firstLine="420" w:firstLineChars="200"/>
        <w:rPr>
          <w:rFonts w:ascii="宋体" w:hAnsi="宋体" w:cs="仿宋_GB2312"/>
          <w:b w:val="0"/>
          <w:bCs w:val="0"/>
          <w:sz w:val="21"/>
          <w:szCs w:val="21"/>
          <w:highlight w:val="none"/>
        </w:rPr>
      </w:pPr>
      <w:bookmarkStart w:id="302" w:name="_Toc351203579"/>
      <w:bookmarkStart w:id="303" w:name="_Toc337558798"/>
      <w:bookmarkStart w:id="304" w:name="_Toc296503093"/>
      <w:bookmarkStart w:id="305" w:name="_Toc296346594"/>
      <w:r>
        <w:rPr>
          <w:rFonts w:ascii="宋体" w:hAnsi="宋体" w:cs="仿宋_GB2312"/>
          <w:b w:val="0"/>
          <w:bCs w:val="0"/>
          <w:sz w:val="21"/>
          <w:szCs w:val="21"/>
          <w:highlight w:val="none"/>
        </w:rPr>
        <w:t>11.2法律变化引起的调整</w:t>
      </w:r>
      <w:bookmarkEnd w:id="302"/>
    </w:p>
    <w:bookmarkEnd w:id="303"/>
    <w:bookmarkEnd w:id="304"/>
    <w:bookmarkEnd w:id="305"/>
    <w:p>
      <w:pPr>
        <w:ind w:firstLine="420"/>
        <w:rPr>
          <w:rFonts w:ascii="宋体" w:hAnsi="宋体" w:cs="仿宋_GB2312"/>
          <w:szCs w:val="21"/>
          <w:highlight w:val="none"/>
        </w:rPr>
      </w:pPr>
      <w:r>
        <w:rPr>
          <w:rFonts w:ascii="宋体" w:hAnsi="宋体" w:cs="仿宋_GB2312"/>
          <w:szCs w:val="21"/>
          <w:highlight w:val="none"/>
        </w:rPr>
        <w:t>基准日</w:t>
      </w:r>
      <w:r>
        <w:rPr>
          <w:rFonts w:hint="eastAsia" w:ascii="宋体" w:hAnsi="宋体" w:cs="仿宋_GB2312"/>
          <w:szCs w:val="21"/>
          <w:highlight w:val="none"/>
        </w:rPr>
        <w:t>期</w:t>
      </w:r>
      <w:r>
        <w:rPr>
          <w:rFonts w:ascii="宋体" w:hAnsi="宋体" w:cs="仿宋_GB2312"/>
          <w:szCs w:val="21"/>
          <w:highlight w:val="none"/>
        </w:rPr>
        <w:t>后，法律变化</w:t>
      </w:r>
      <w:r>
        <w:rPr>
          <w:rFonts w:hint="eastAsia" w:ascii="宋体" w:hAnsi="宋体" w:cs="仿宋_GB2312"/>
          <w:szCs w:val="21"/>
          <w:highlight w:val="none"/>
        </w:rPr>
        <w:t>导致承包人在合同履行过程中所需要的费用发生除第11.1款〔市场价格波动引起的调整〕约定以外的增加时，由发包人承担由此增加的费用；减少时，应从合同价格中予以扣减。</w:t>
      </w:r>
      <w:r>
        <w:rPr>
          <w:rFonts w:ascii="宋体" w:hAnsi="宋体" w:cs="仿宋_GB2312"/>
          <w:szCs w:val="21"/>
          <w:highlight w:val="none"/>
        </w:rPr>
        <w:t>基准日</w:t>
      </w:r>
      <w:r>
        <w:rPr>
          <w:rFonts w:hint="eastAsia" w:ascii="宋体" w:hAnsi="宋体" w:cs="仿宋_GB2312"/>
          <w:szCs w:val="21"/>
          <w:highlight w:val="none"/>
        </w:rPr>
        <w:t>期</w:t>
      </w:r>
      <w:r>
        <w:rPr>
          <w:rFonts w:ascii="宋体" w:hAnsi="宋体" w:cs="仿宋_GB2312"/>
          <w:szCs w:val="21"/>
          <w:highlight w:val="none"/>
        </w:rPr>
        <w:t>后，</w:t>
      </w:r>
      <w:r>
        <w:rPr>
          <w:rFonts w:hint="eastAsia" w:ascii="宋体" w:hAnsi="宋体" w:cs="仿宋_GB2312"/>
          <w:szCs w:val="21"/>
          <w:highlight w:val="none"/>
        </w:rPr>
        <w:t>因</w:t>
      </w:r>
      <w:r>
        <w:rPr>
          <w:rFonts w:ascii="宋体" w:hAnsi="宋体" w:cs="仿宋_GB2312"/>
          <w:szCs w:val="21"/>
          <w:highlight w:val="none"/>
        </w:rPr>
        <w:t>法律变化</w:t>
      </w:r>
      <w:r>
        <w:rPr>
          <w:rFonts w:hint="eastAsia" w:ascii="宋体" w:hAnsi="宋体" w:cs="仿宋_GB2312"/>
          <w:szCs w:val="21"/>
          <w:highlight w:val="none"/>
        </w:rPr>
        <w:t>造成工期延误时，工期应予以顺延。</w:t>
      </w:r>
    </w:p>
    <w:p>
      <w:pPr>
        <w:ind w:firstLine="420"/>
        <w:rPr>
          <w:rFonts w:ascii="宋体" w:hAnsi="宋体" w:cs="仿宋_GB2312"/>
          <w:szCs w:val="21"/>
          <w:highlight w:val="none"/>
        </w:rPr>
      </w:pPr>
      <w:r>
        <w:rPr>
          <w:rFonts w:hint="eastAsia" w:ascii="宋体" w:hAnsi="宋体" w:cs="仿宋_GB2312"/>
          <w:szCs w:val="21"/>
          <w:highlight w:val="none"/>
        </w:rPr>
        <w:t>因法律变化引起的合同价格和工期调整，合同当事人无法达成一致的，由总监理工程师按第4.4款〔商定或确定〕的约定处理。</w:t>
      </w:r>
    </w:p>
    <w:p>
      <w:pPr>
        <w:ind w:firstLine="420"/>
        <w:rPr>
          <w:rFonts w:ascii="宋体" w:hAnsi="宋体" w:cs="仿宋_GB2312"/>
          <w:szCs w:val="21"/>
          <w:highlight w:val="none"/>
        </w:rPr>
      </w:pPr>
      <w:r>
        <w:rPr>
          <w:rFonts w:ascii="宋体" w:hAnsi="宋体" w:cs="仿宋_GB2312"/>
          <w:szCs w:val="21"/>
          <w:highlight w:val="none"/>
        </w:rPr>
        <w:t>因承包人原因造成工期延误，在工期延误期间出现法律变化的，由此增加的费用和（或）延误的工期由承包人承担。</w:t>
      </w:r>
    </w:p>
    <w:p>
      <w:pPr>
        <w:pStyle w:val="5"/>
        <w:spacing w:before="120" w:after="120"/>
        <w:ind w:firstLine="420"/>
        <w:rPr>
          <w:rFonts w:ascii="宋体" w:hAnsi="宋体" w:cs="仿宋_GB2312"/>
          <w:bCs w:val="0"/>
          <w:szCs w:val="21"/>
          <w:highlight w:val="none"/>
        </w:rPr>
      </w:pPr>
      <w:bookmarkStart w:id="306" w:name="_Toc351203580"/>
      <w:bookmarkStart w:id="307" w:name="_Toc337558799"/>
      <w:bookmarkStart w:id="308" w:name="_Toc296346597"/>
      <w:bookmarkStart w:id="309" w:name="_Toc296503096"/>
      <w:r>
        <w:rPr>
          <w:rFonts w:ascii="宋体" w:hAnsi="宋体" w:cs="仿宋_GB2312"/>
          <w:bCs w:val="0"/>
          <w:szCs w:val="21"/>
          <w:highlight w:val="none"/>
        </w:rPr>
        <w:t>12. 合同价格、计量与支付</w:t>
      </w:r>
      <w:bookmarkEnd w:id="306"/>
    </w:p>
    <w:bookmarkEnd w:id="307"/>
    <w:p>
      <w:pPr>
        <w:pStyle w:val="6"/>
        <w:spacing w:before="120" w:after="120" w:line="360" w:lineRule="auto"/>
        <w:ind w:firstLine="420" w:firstLineChars="200"/>
        <w:rPr>
          <w:rFonts w:ascii="宋体" w:hAnsi="宋体" w:cs="仿宋_GB2312"/>
          <w:b w:val="0"/>
          <w:bCs w:val="0"/>
          <w:sz w:val="21"/>
          <w:szCs w:val="21"/>
          <w:highlight w:val="none"/>
        </w:rPr>
      </w:pPr>
      <w:bookmarkStart w:id="310" w:name="_Toc351203581"/>
      <w:bookmarkStart w:id="311" w:name="_Toc337558800"/>
      <w:r>
        <w:rPr>
          <w:rFonts w:ascii="宋体" w:hAnsi="宋体" w:cs="仿宋_GB2312"/>
          <w:b w:val="0"/>
          <w:bCs w:val="0"/>
          <w:sz w:val="21"/>
          <w:szCs w:val="21"/>
          <w:highlight w:val="none"/>
        </w:rPr>
        <w:t>12.1 合同价</w:t>
      </w:r>
      <w:bookmarkEnd w:id="308"/>
      <w:bookmarkEnd w:id="309"/>
      <w:r>
        <w:rPr>
          <w:rFonts w:ascii="宋体" w:hAnsi="宋体" w:cs="仿宋_GB2312"/>
          <w:b w:val="0"/>
          <w:bCs w:val="0"/>
          <w:sz w:val="21"/>
          <w:szCs w:val="21"/>
          <w:highlight w:val="none"/>
        </w:rPr>
        <w:t>格形式</w:t>
      </w:r>
      <w:bookmarkEnd w:id="310"/>
    </w:p>
    <w:bookmarkEnd w:id="311"/>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发包人和承包人应在合同协议书中</w:t>
      </w:r>
      <w:r>
        <w:rPr>
          <w:rFonts w:hint="eastAsia" w:ascii="宋体" w:hAnsi="宋体" w:cs="仿宋_GB2312"/>
          <w:szCs w:val="21"/>
          <w:highlight w:val="none"/>
        </w:rPr>
        <w:t>选择</w:t>
      </w:r>
      <w:r>
        <w:rPr>
          <w:rFonts w:ascii="宋体" w:hAnsi="宋体" w:cs="仿宋_GB2312"/>
          <w:szCs w:val="21"/>
          <w:highlight w:val="none"/>
        </w:rPr>
        <w:t xml:space="preserve">下列一种合同价格形式： </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1、单价合同</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w:t>
      </w:r>
      <w:r>
        <w:rPr>
          <w:rFonts w:hint="eastAsia" w:ascii="宋体" w:hAnsi="宋体" w:cs="仿宋_GB2312"/>
          <w:szCs w:val="21"/>
          <w:highlight w:val="none"/>
        </w:rPr>
        <w:t>〔</w:t>
      </w:r>
      <w:r>
        <w:rPr>
          <w:rFonts w:ascii="宋体" w:hAnsi="宋体" w:cs="仿宋_GB2312"/>
          <w:szCs w:val="21"/>
          <w:highlight w:val="none"/>
        </w:rPr>
        <w:t>市场价格波动引起的调整</w:t>
      </w:r>
      <w:r>
        <w:rPr>
          <w:rFonts w:hint="eastAsia" w:ascii="宋体" w:hAnsi="宋体" w:cs="仿宋_GB2312"/>
          <w:szCs w:val="21"/>
          <w:highlight w:val="none"/>
        </w:rPr>
        <w:t>〕</w:t>
      </w:r>
      <w:r>
        <w:rPr>
          <w:rFonts w:ascii="宋体" w:hAnsi="宋体" w:cs="仿宋_GB2312"/>
          <w:szCs w:val="21"/>
          <w:highlight w:val="none"/>
        </w:rPr>
        <w:t>约定执行。</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2、总价合同</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w:t>
      </w:r>
      <w:r>
        <w:rPr>
          <w:rFonts w:hint="eastAsia" w:ascii="宋体" w:hAnsi="宋体" w:cs="仿宋_GB2312"/>
          <w:szCs w:val="21"/>
          <w:highlight w:val="none"/>
        </w:rPr>
        <w:t>〔</w:t>
      </w:r>
      <w:r>
        <w:rPr>
          <w:rFonts w:ascii="宋体" w:hAnsi="宋体" w:cs="仿宋_GB2312"/>
          <w:szCs w:val="21"/>
          <w:highlight w:val="none"/>
        </w:rPr>
        <w:t>市场价格波动引起的调整</w:t>
      </w:r>
      <w:r>
        <w:rPr>
          <w:rFonts w:hint="eastAsia" w:ascii="宋体" w:hAnsi="宋体" w:cs="仿宋_GB2312"/>
          <w:szCs w:val="21"/>
          <w:highlight w:val="none"/>
        </w:rPr>
        <w:t>〕</w:t>
      </w:r>
      <w:r>
        <w:rPr>
          <w:rFonts w:ascii="宋体" w:hAnsi="宋体" w:cs="仿宋_GB2312"/>
          <w:szCs w:val="21"/>
          <w:highlight w:val="none"/>
        </w:rPr>
        <w:t>、因法律变化引起的调整按第11.2款</w:t>
      </w:r>
      <w:r>
        <w:rPr>
          <w:rFonts w:hint="eastAsia" w:ascii="宋体" w:hAnsi="宋体" w:cs="仿宋_GB2312"/>
          <w:szCs w:val="21"/>
          <w:highlight w:val="none"/>
        </w:rPr>
        <w:t>〔</w:t>
      </w:r>
      <w:r>
        <w:rPr>
          <w:rFonts w:ascii="宋体" w:hAnsi="宋体" w:cs="仿宋_GB2312"/>
          <w:szCs w:val="21"/>
          <w:highlight w:val="none"/>
        </w:rPr>
        <w:t>法律变化引起的调整</w:t>
      </w:r>
      <w:r>
        <w:rPr>
          <w:rFonts w:hint="eastAsia" w:ascii="宋体" w:hAnsi="宋体" w:cs="仿宋_GB2312"/>
          <w:szCs w:val="21"/>
          <w:highlight w:val="none"/>
        </w:rPr>
        <w:t>〕</w:t>
      </w:r>
      <w:r>
        <w:rPr>
          <w:rFonts w:ascii="宋体" w:hAnsi="宋体" w:cs="仿宋_GB2312"/>
          <w:szCs w:val="21"/>
          <w:highlight w:val="none"/>
        </w:rPr>
        <w:t>约定执行。</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3、其它价格形式</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合同当事人可在专用合同条款中约定其他合同价格形式。</w:t>
      </w:r>
    </w:p>
    <w:p>
      <w:pPr>
        <w:pStyle w:val="6"/>
        <w:spacing w:before="120" w:after="120" w:line="360" w:lineRule="auto"/>
        <w:ind w:firstLine="420" w:firstLineChars="200"/>
        <w:rPr>
          <w:rFonts w:ascii="宋体" w:hAnsi="宋体" w:cs="仿宋_GB2312"/>
          <w:b w:val="0"/>
          <w:bCs w:val="0"/>
          <w:sz w:val="21"/>
          <w:szCs w:val="21"/>
          <w:highlight w:val="none"/>
        </w:rPr>
      </w:pPr>
      <w:bookmarkStart w:id="312" w:name="_Toc296503097"/>
      <w:bookmarkStart w:id="313" w:name="_Toc296346598"/>
      <w:bookmarkStart w:id="314" w:name="_Toc351203582"/>
      <w:bookmarkStart w:id="315" w:name="_Toc337558801"/>
      <w:r>
        <w:rPr>
          <w:rFonts w:ascii="宋体" w:hAnsi="宋体" w:cs="仿宋_GB2312"/>
          <w:b w:val="0"/>
          <w:bCs w:val="0"/>
          <w:sz w:val="21"/>
          <w:szCs w:val="21"/>
          <w:highlight w:val="none"/>
        </w:rPr>
        <w:t>12.2预</w:t>
      </w:r>
      <w:bookmarkEnd w:id="312"/>
      <w:bookmarkEnd w:id="313"/>
      <w:bookmarkStart w:id="316" w:name="_Toc296503100"/>
      <w:bookmarkStart w:id="317" w:name="_Toc296346601"/>
      <w:r>
        <w:rPr>
          <w:rFonts w:ascii="宋体" w:hAnsi="宋体" w:cs="仿宋_GB2312"/>
          <w:b w:val="0"/>
          <w:bCs w:val="0"/>
          <w:sz w:val="21"/>
          <w:szCs w:val="21"/>
          <w:highlight w:val="none"/>
        </w:rPr>
        <w:t>付款</w:t>
      </w:r>
      <w:bookmarkEnd w:id="314"/>
    </w:p>
    <w:bookmarkEnd w:id="315"/>
    <w:bookmarkEnd w:id="316"/>
    <w:bookmarkEnd w:id="317"/>
    <w:p>
      <w:pPr>
        <w:ind w:firstLine="420"/>
        <w:rPr>
          <w:rFonts w:ascii="宋体" w:hAnsi="宋体" w:cs="仿宋_GB2312"/>
          <w:szCs w:val="21"/>
          <w:highlight w:val="none"/>
        </w:rPr>
      </w:pPr>
      <w:r>
        <w:rPr>
          <w:rFonts w:ascii="宋体" w:hAnsi="宋体" w:cs="仿宋_GB2312"/>
          <w:szCs w:val="21"/>
          <w:highlight w:val="none"/>
        </w:rPr>
        <w:t>12.2.1预付款的支付</w:t>
      </w:r>
    </w:p>
    <w:p>
      <w:pPr>
        <w:ind w:firstLine="420"/>
        <w:rPr>
          <w:rFonts w:ascii="宋体" w:hAnsi="宋体" w:cs="仿宋_GB2312"/>
          <w:szCs w:val="21"/>
          <w:highlight w:val="none"/>
        </w:rPr>
      </w:pPr>
      <w:r>
        <w:rPr>
          <w:rFonts w:ascii="宋体" w:hAnsi="宋体" w:cs="仿宋_GB2312"/>
          <w:szCs w:val="21"/>
          <w:highlight w:val="none"/>
        </w:rPr>
        <w:t>预付款的支付按照专用合同条款约定执行，但至迟应在开工通知载明的开工日期7天前支付。预付款应当用于材料、工程设备、施工设备的采购及修建临时工程、组织施工队伍进场等。</w:t>
      </w:r>
    </w:p>
    <w:p>
      <w:pPr>
        <w:ind w:firstLine="420"/>
        <w:rPr>
          <w:rFonts w:ascii="宋体" w:hAnsi="宋体" w:cs="仿宋_GB2312"/>
          <w:szCs w:val="21"/>
          <w:highlight w:val="none"/>
        </w:rPr>
      </w:pPr>
      <w:r>
        <w:rPr>
          <w:rFonts w:ascii="宋体" w:hAnsi="宋体" w:cs="仿宋_GB2312"/>
          <w:szCs w:val="21"/>
          <w:highlight w:val="none"/>
        </w:rPr>
        <w:t>除专用合同条款另有约定外，预付款在进度付款中同比例扣回。在颁发工程接收证书前，提前解除合同的，尚未扣完的预付款应与合同价款一并结算。</w:t>
      </w:r>
    </w:p>
    <w:p>
      <w:pPr>
        <w:ind w:firstLine="420"/>
        <w:rPr>
          <w:rFonts w:ascii="宋体" w:hAnsi="宋体" w:cs="仿宋_GB2312"/>
          <w:szCs w:val="21"/>
          <w:highlight w:val="none"/>
        </w:rPr>
      </w:pPr>
      <w:r>
        <w:rPr>
          <w:rFonts w:ascii="宋体" w:hAnsi="宋体" w:cs="仿宋_GB2312"/>
          <w:szCs w:val="21"/>
          <w:highlight w:val="none"/>
        </w:rPr>
        <w:t>发包人逾期支付预付款超过7天的，承包人有权向发包人发出要求预付的催告通知，发包人收到通知后7天内仍未支付的，承包人有权暂停施工，并按第16.1.1项</w:t>
      </w:r>
      <w:r>
        <w:rPr>
          <w:rFonts w:hint="eastAsia" w:ascii="宋体" w:hAnsi="宋体" w:cs="仿宋_GB2312"/>
          <w:szCs w:val="21"/>
          <w:highlight w:val="none"/>
        </w:rPr>
        <w:t>〔</w:t>
      </w:r>
      <w:r>
        <w:rPr>
          <w:rFonts w:ascii="宋体" w:hAnsi="宋体" w:cs="仿宋_GB2312"/>
          <w:szCs w:val="21"/>
          <w:highlight w:val="none"/>
        </w:rPr>
        <w:t>发包人违约的情形</w:t>
      </w:r>
      <w:r>
        <w:rPr>
          <w:rFonts w:hint="eastAsia" w:ascii="宋体" w:hAnsi="宋体" w:cs="仿宋_GB2312"/>
          <w:szCs w:val="21"/>
          <w:highlight w:val="none"/>
        </w:rPr>
        <w:t>〕</w:t>
      </w:r>
      <w:r>
        <w:rPr>
          <w:rFonts w:ascii="宋体" w:hAnsi="宋体" w:cs="仿宋_GB2312"/>
          <w:szCs w:val="21"/>
          <w:highlight w:val="none"/>
        </w:rPr>
        <w:t>执行。</w:t>
      </w:r>
    </w:p>
    <w:p>
      <w:pPr>
        <w:ind w:firstLine="420"/>
        <w:rPr>
          <w:rFonts w:ascii="宋体" w:hAnsi="宋体" w:cs="仿宋_GB2312"/>
          <w:szCs w:val="21"/>
          <w:highlight w:val="none"/>
        </w:rPr>
      </w:pPr>
      <w:r>
        <w:rPr>
          <w:rFonts w:ascii="宋体" w:hAnsi="宋体" w:cs="仿宋_GB2312"/>
          <w:szCs w:val="21"/>
          <w:highlight w:val="none"/>
        </w:rPr>
        <w:t>12.2.2 预付款担保</w:t>
      </w:r>
    </w:p>
    <w:p>
      <w:pPr>
        <w:ind w:firstLine="420"/>
        <w:rPr>
          <w:rFonts w:ascii="宋体" w:hAnsi="宋体" w:cs="仿宋_GB2312"/>
          <w:szCs w:val="21"/>
          <w:highlight w:val="none"/>
        </w:rPr>
      </w:pPr>
      <w:r>
        <w:rPr>
          <w:rFonts w:hint="eastAsia" w:ascii="宋体" w:hAnsi="宋体" w:cs="仿宋_GB2312"/>
          <w:szCs w:val="21"/>
          <w:highlight w:val="none"/>
        </w:rPr>
        <w:t>发包人要求承包人提供预付款担保的</w:t>
      </w:r>
      <w:r>
        <w:rPr>
          <w:rFonts w:ascii="宋体" w:hAnsi="宋体" w:cs="仿宋_GB2312"/>
          <w:szCs w:val="21"/>
          <w:highlight w:val="none"/>
        </w:rPr>
        <w:t>，承包人应在发包人支付预付款7天前提供预付款担保</w:t>
      </w:r>
      <w:r>
        <w:rPr>
          <w:rFonts w:hint="eastAsia" w:ascii="宋体" w:hAnsi="宋体" w:cs="仿宋_GB2312"/>
          <w:szCs w:val="21"/>
          <w:highlight w:val="none"/>
        </w:rPr>
        <w:t>，</w:t>
      </w:r>
      <w:r>
        <w:rPr>
          <w:rFonts w:ascii="宋体" w:hAnsi="宋体" w:cs="仿宋_GB2312"/>
          <w:szCs w:val="21"/>
          <w:highlight w:val="none"/>
        </w:rPr>
        <w:t>专用合同条款另有约定</w:t>
      </w:r>
      <w:r>
        <w:rPr>
          <w:rFonts w:hint="eastAsia" w:ascii="宋体" w:hAnsi="宋体" w:cs="仿宋_GB2312"/>
          <w:szCs w:val="21"/>
          <w:highlight w:val="none"/>
        </w:rPr>
        <w:t>除</w:t>
      </w:r>
      <w:r>
        <w:rPr>
          <w:rFonts w:ascii="宋体" w:hAnsi="宋体" w:cs="仿宋_GB2312"/>
          <w:szCs w:val="21"/>
          <w:highlight w:val="none"/>
        </w:rPr>
        <w:t>外。预付款担保可采用银行保函、担保公司担保等形式，具体由合同当事人在专用合同条款中约定。在预付款完全扣回之前，承包人应保证预付款担保持续有效。</w:t>
      </w:r>
    </w:p>
    <w:p>
      <w:pPr>
        <w:ind w:firstLine="420"/>
        <w:rPr>
          <w:rFonts w:ascii="宋体" w:hAnsi="宋体" w:cs="仿宋_GB2312"/>
          <w:szCs w:val="21"/>
          <w:highlight w:val="none"/>
        </w:rPr>
      </w:pPr>
      <w:r>
        <w:rPr>
          <w:rFonts w:ascii="宋体" w:hAnsi="宋体" w:cs="仿宋_GB2312"/>
          <w:szCs w:val="21"/>
          <w:highlight w:val="none"/>
        </w:rPr>
        <w:t>发包人在工程款中逐期扣回预付款后，预付款担保额度应相应减少，但剩余的预付款担保金额不得低于未被扣回的预付款金额。</w:t>
      </w:r>
    </w:p>
    <w:p>
      <w:pPr>
        <w:pStyle w:val="6"/>
        <w:spacing w:before="120" w:after="120" w:line="360" w:lineRule="auto"/>
        <w:ind w:firstLine="420" w:firstLineChars="200"/>
        <w:rPr>
          <w:rFonts w:ascii="宋体" w:hAnsi="宋体" w:cs="仿宋_GB2312"/>
          <w:b w:val="0"/>
          <w:bCs w:val="0"/>
          <w:sz w:val="21"/>
          <w:szCs w:val="21"/>
          <w:highlight w:val="none"/>
        </w:rPr>
      </w:pPr>
      <w:bookmarkStart w:id="318" w:name="_Toc351203583"/>
      <w:bookmarkStart w:id="319" w:name="_Toc337558802"/>
      <w:r>
        <w:rPr>
          <w:rFonts w:ascii="宋体" w:hAnsi="宋体" w:cs="仿宋_GB2312"/>
          <w:b w:val="0"/>
          <w:bCs w:val="0"/>
          <w:sz w:val="21"/>
          <w:szCs w:val="21"/>
          <w:highlight w:val="none"/>
        </w:rPr>
        <w:t>12.3计量</w:t>
      </w:r>
      <w:bookmarkEnd w:id="318"/>
    </w:p>
    <w:bookmarkEnd w:id="319"/>
    <w:p>
      <w:pPr>
        <w:ind w:firstLine="420"/>
        <w:rPr>
          <w:rFonts w:ascii="宋体" w:hAnsi="宋体" w:cs="仿宋_GB2312"/>
          <w:szCs w:val="21"/>
          <w:highlight w:val="none"/>
        </w:rPr>
      </w:pPr>
      <w:r>
        <w:rPr>
          <w:rFonts w:ascii="宋体" w:hAnsi="宋体" w:cs="仿宋_GB2312"/>
          <w:szCs w:val="21"/>
          <w:highlight w:val="none"/>
        </w:rPr>
        <w:t>12.3.1 计量原则</w:t>
      </w:r>
    </w:p>
    <w:p>
      <w:pPr>
        <w:ind w:firstLine="420"/>
        <w:rPr>
          <w:rFonts w:ascii="宋体" w:hAnsi="宋体" w:cs="仿宋_GB2312"/>
          <w:szCs w:val="21"/>
          <w:highlight w:val="none"/>
        </w:rPr>
      </w:pPr>
      <w:r>
        <w:rPr>
          <w:rFonts w:ascii="宋体" w:hAnsi="宋体" w:cs="仿宋_GB2312"/>
          <w:szCs w:val="21"/>
          <w:highlight w:val="none"/>
        </w:rPr>
        <w:t>工程量计量按照合同约定的工程量计算规则、图纸及变更指示</w:t>
      </w:r>
      <w:r>
        <w:rPr>
          <w:rFonts w:hint="eastAsia" w:ascii="宋体" w:hAnsi="宋体" w:cs="仿宋_GB2312"/>
          <w:szCs w:val="21"/>
          <w:highlight w:val="none"/>
        </w:rPr>
        <w:t>等</w:t>
      </w:r>
      <w:r>
        <w:rPr>
          <w:rFonts w:ascii="宋体" w:hAnsi="宋体" w:cs="仿宋_GB2312"/>
          <w:szCs w:val="21"/>
          <w:highlight w:val="none"/>
        </w:rPr>
        <w:t>进行计量。工程量计算规则应以相关的国家标准、行业标准</w:t>
      </w:r>
      <w:r>
        <w:rPr>
          <w:rFonts w:hint="eastAsia" w:ascii="宋体" w:hAnsi="宋体" w:cs="仿宋_GB2312"/>
          <w:szCs w:val="21"/>
          <w:highlight w:val="none"/>
        </w:rPr>
        <w:t>等</w:t>
      </w:r>
      <w:r>
        <w:rPr>
          <w:rFonts w:ascii="宋体" w:hAnsi="宋体" w:cs="仿宋_GB2312"/>
          <w:szCs w:val="21"/>
          <w:highlight w:val="none"/>
        </w:rPr>
        <w:t>为依据，由合同当事人在专用合同条款中约定。</w:t>
      </w:r>
    </w:p>
    <w:p>
      <w:pPr>
        <w:ind w:firstLine="420"/>
        <w:rPr>
          <w:rFonts w:ascii="宋体" w:hAnsi="宋体" w:cs="仿宋_GB2312"/>
          <w:szCs w:val="21"/>
          <w:highlight w:val="none"/>
        </w:rPr>
      </w:pPr>
      <w:r>
        <w:rPr>
          <w:rFonts w:ascii="宋体" w:hAnsi="宋体" w:cs="仿宋_GB2312"/>
          <w:szCs w:val="21"/>
          <w:highlight w:val="none"/>
        </w:rPr>
        <w:t>12.3.2 计量周期</w:t>
      </w:r>
    </w:p>
    <w:p>
      <w:pPr>
        <w:ind w:firstLine="420"/>
        <w:rPr>
          <w:rFonts w:ascii="宋体" w:hAnsi="宋体" w:cs="仿宋_GB2312"/>
          <w:szCs w:val="21"/>
          <w:highlight w:val="none"/>
        </w:rPr>
      </w:pPr>
      <w:r>
        <w:rPr>
          <w:rFonts w:ascii="宋体" w:hAnsi="宋体" w:cs="仿宋_GB2312"/>
          <w:szCs w:val="21"/>
          <w:highlight w:val="none"/>
        </w:rPr>
        <w:t>除专用合同条款另有约定外，工程量的计量按月进行。</w:t>
      </w:r>
    </w:p>
    <w:p>
      <w:pPr>
        <w:ind w:firstLine="420"/>
        <w:rPr>
          <w:rFonts w:ascii="宋体" w:hAnsi="宋体" w:cs="仿宋_GB2312"/>
          <w:szCs w:val="21"/>
          <w:highlight w:val="none"/>
        </w:rPr>
      </w:pPr>
      <w:r>
        <w:rPr>
          <w:rFonts w:ascii="宋体" w:hAnsi="宋体" w:cs="仿宋_GB2312"/>
          <w:szCs w:val="21"/>
          <w:highlight w:val="none"/>
        </w:rPr>
        <w:t>12.3.3 单价合同的计量</w:t>
      </w:r>
    </w:p>
    <w:p>
      <w:pPr>
        <w:ind w:firstLine="420"/>
        <w:rPr>
          <w:rFonts w:ascii="宋体" w:hAnsi="宋体" w:cs="仿宋_GB2312"/>
          <w:szCs w:val="21"/>
          <w:highlight w:val="none"/>
        </w:rPr>
      </w:pPr>
      <w:r>
        <w:rPr>
          <w:rFonts w:ascii="宋体" w:hAnsi="宋体" w:cs="仿宋_GB2312"/>
          <w:szCs w:val="21"/>
          <w:highlight w:val="none"/>
        </w:rPr>
        <w:t>除专用合同条款另有约定外，单价合同的计量按照本项约定执行：</w:t>
      </w:r>
    </w:p>
    <w:p>
      <w:pPr>
        <w:ind w:firstLine="420"/>
        <w:rPr>
          <w:rFonts w:ascii="宋体" w:hAnsi="宋体" w:cs="仿宋_GB2312"/>
          <w:szCs w:val="21"/>
          <w:highlight w:val="none"/>
        </w:rPr>
      </w:pPr>
      <w:r>
        <w:rPr>
          <w:rFonts w:ascii="宋体" w:hAnsi="宋体" w:cs="仿宋_GB2312"/>
          <w:szCs w:val="21"/>
          <w:highlight w:val="none"/>
        </w:rPr>
        <w:t>（1）承包人应于每月25日向监理人报送上月20日至当月19日已完成的工程量报告，并附具进度付款申请单、已完成工程量报表和有关资料。</w:t>
      </w:r>
    </w:p>
    <w:p>
      <w:pPr>
        <w:ind w:firstLine="420"/>
        <w:rPr>
          <w:rFonts w:ascii="宋体" w:hAnsi="宋体" w:cs="仿宋_GB2312"/>
          <w:szCs w:val="21"/>
          <w:highlight w:val="none"/>
        </w:rPr>
      </w:pPr>
      <w:r>
        <w:rPr>
          <w:rFonts w:ascii="宋体" w:hAnsi="宋体" w:cs="仿宋_GB2312"/>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ind w:firstLine="420"/>
        <w:rPr>
          <w:rFonts w:ascii="宋体" w:hAnsi="宋体" w:cs="仿宋_GB2312"/>
          <w:szCs w:val="21"/>
          <w:highlight w:val="none"/>
        </w:rPr>
      </w:pPr>
      <w:r>
        <w:rPr>
          <w:rFonts w:ascii="宋体" w:hAnsi="宋体" w:cs="仿宋_GB2312"/>
          <w:szCs w:val="21"/>
          <w:highlight w:val="none"/>
        </w:rPr>
        <w:t>（3）监理人未在收到承包人提交的工程量报表后的7天内完成审核的，承包人报送的工程量报告中的工程量视为承包人实际完成的工程量，据此计算工程价款。</w:t>
      </w:r>
    </w:p>
    <w:p>
      <w:pPr>
        <w:ind w:firstLine="420"/>
        <w:rPr>
          <w:rFonts w:ascii="宋体" w:hAnsi="宋体" w:cs="仿宋_GB2312"/>
          <w:szCs w:val="21"/>
          <w:highlight w:val="none"/>
        </w:rPr>
      </w:pPr>
      <w:r>
        <w:rPr>
          <w:rFonts w:ascii="宋体" w:hAnsi="宋体" w:cs="仿宋_GB2312"/>
          <w:szCs w:val="21"/>
          <w:highlight w:val="none"/>
        </w:rPr>
        <w:t>12.3.4 总价合同的计量</w:t>
      </w:r>
    </w:p>
    <w:p>
      <w:pPr>
        <w:ind w:firstLine="420"/>
        <w:rPr>
          <w:rFonts w:ascii="宋体" w:hAnsi="宋体" w:cs="仿宋_GB2312"/>
          <w:szCs w:val="21"/>
          <w:highlight w:val="none"/>
        </w:rPr>
      </w:pPr>
      <w:r>
        <w:rPr>
          <w:rFonts w:ascii="宋体" w:hAnsi="宋体" w:cs="仿宋_GB2312"/>
          <w:szCs w:val="21"/>
          <w:highlight w:val="none"/>
        </w:rPr>
        <w:t>除专用合同条款另有约定外，按</w:t>
      </w:r>
      <w:r>
        <w:rPr>
          <w:rFonts w:hint="eastAsia" w:ascii="宋体" w:hAnsi="宋体" w:cs="仿宋_GB2312"/>
          <w:szCs w:val="21"/>
          <w:highlight w:val="none"/>
        </w:rPr>
        <w:t>月计量支付</w:t>
      </w:r>
      <w:r>
        <w:rPr>
          <w:rFonts w:ascii="宋体" w:hAnsi="宋体" w:cs="仿宋_GB2312"/>
          <w:szCs w:val="21"/>
          <w:highlight w:val="none"/>
        </w:rPr>
        <w:t>的总价合同，按照本项约定执行：</w:t>
      </w:r>
    </w:p>
    <w:p>
      <w:pPr>
        <w:ind w:firstLine="420"/>
        <w:rPr>
          <w:rFonts w:ascii="宋体" w:hAnsi="宋体" w:cs="仿宋_GB2312"/>
          <w:szCs w:val="21"/>
          <w:highlight w:val="none"/>
        </w:rPr>
      </w:pPr>
      <w:r>
        <w:rPr>
          <w:rFonts w:ascii="宋体" w:hAnsi="宋体" w:cs="仿宋_GB2312"/>
          <w:szCs w:val="21"/>
          <w:highlight w:val="none"/>
        </w:rPr>
        <w:t>（1）承包人应于每月25日向监理人报送上月20日至当月19日已完成的工程量报告，并附具进度付款申请单、已完成工程量报表和有关资料。</w:t>
      </w:r>
    </w:p>
    <w:p>
      <w:pPr>
        <w:ind w:firstLine="420"/>
        <w:rPr>
          <w:rFonts w:ascii="宋体" w:hAnsi="宋体" w:cs="仿宋_GB2312"/>
          <w:szCs w:val="21"/>
          <w:highlight w:val="none"/>
        </w:rPr>
      </w:pPr>
      <w:r>
        <w:rPr>
          <w:rFonts w:ascii="宋体" w:hAnsi="宋体" w:cs="仿宋_GB2312"/>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ind w:firstLine="420"/>
        <w:rPr>
          <w:rFonts w:ascii="宋体" w:hAnsi="宋体" w:cs="仿宋_GB2312"/>
          <w:szCs w:val="21"/>
          <w:highlight w:val="none"/>
        </w:rPr>
      </w:pPr>
      <w:r>
        <w:rPr>
          <w:rFonts w:ascii="宋体" w:hAnsi="宋体" w:cs="仿宋_GB2312"/>
          <w:szCs w:val="21"/>
          <w:highlight w:val="none"/>
        </w:rPr>
        <w:t>（3）监理人未在收到承包人提交的工程量报表后的7天内完成复核的，承包人提交的工程量报告中的工程量视为承包人实际完成的工程量。</w:t>
      </w:r>
    </w:p>
    <w:p>
      <w:pPr>
        <w:ind w:firstLine="420"/>
        <w:rPr>
          <w:rFonts w:ascii="宋体" w:hAnsi="宋体" w:cs="仿宋_GB2312"/>
          <w:szCs w:val="21"/>
          <w:highlight w:val="none"/>
        </w:rPr>
      </w:pPr>
      <w:r>
        <w:rPr>
          <w:rFonts w:ascii="宋体" w:hAnsi="宋体" w:cs="仿宋_GB2312"/>
          <w:szCs w:val="21"/>
          <w:highlight w:val="none"/>
        </w:rPr>
        <w:t>12.3.5 总价合同采用支付分解表计量支付的，可以按照第12.3.4项</w:t>
      </w:r>
      <w:r>
        <w:rPr>
          <w:rFonts w:hint="eastAsia" w:ascii="宋体" w:hAnsi="宋体" w:cs="仿宋_GB2312"/>
          <w:szCs w:val="21"/>
          <w:highlight w:val="none"/>
        </w:rPr>
        <w:t>〔</w:t>
      </w:r>
      <w:r>
        <w:rPr>
          <w:rFonts w:ascii="宋体" w:hAnsi="宋体" w:cs="仿宋_GB2312"/>
          <w:szCs w:val="21"/>
          <w:highlight w:val="none"/>
        </w:rPr>
        <w:t>总价合同的计量</w:t>
      </w:r>
      <w:r>
        <w:rPr>
          <w:rFonts w:hint="eastAsia" w:ascii="宋体" w:hAnsi="宋体" w:cs="仿宋_GB2312"/>
          <w:szCs w:val="21"/>
          <w:highlight w:val="none"/>
        </w:rPr>
        <w:t>〕</w:t>
      </w:r>
      <w:r>
        <w:rPr>
          <w:rFonts w:ascii="宋体" w:hAnsi="宋体" w:cs="仿宋_GB2312"/>
          <w:szCs w:val="21"/>
          <w:highlight w:val="none"/>
        </w:rPr>
        <w:t>约定进行计量，但合同价款按照支付分解表进行支付。</w:t>
      </w:r>
    </w:p>
    <w:p>
      <w:pPr>
        <w:ind w:firstLine="420"/>
        <w:rPr>
          <w:rFonts w:ascii="宋体" w:hAnsi="宋体" w:cs="仿宋_GB2312"/>
          <w:szCs w:val="21"/>
          <w:highlight w:val="none"/>
        </w:rPr>
      </w:pPr>
      <w:r>
        <w:rPr>
          <w:rFonts w:ascii="宋体" w:hAnsi="宋体" w:cs="仿宋_GB2312"/>
          <w:szCs w:val="21"/>
          <w:highlight w:val="none"/>
        </w:rPr>
        <w:t>12.3.6 其他价格形式合同的计量</w:t>
      </w:r>
    </w:p>
    <w:p>
      <w:pPr>
        <w:ind w:firstLine="420"/>
        <w:rPr>
          <w:rFonts w:ascii="宋体" w:hAnsi="宋体" w:cs="仿宋_GB2312"/>
          <w:szCs w:val="21"/>
          <w:highlight w:val="none"/>
        </w:rPr>
      </w:pPr>
      <w:r>
        <w:rPr>
          <w:rFonts w:ascii="宋体" w:hAnsi="宋体" w:cs="仿宋_GB2312"/>
          <w:szCs w:val="21"/>
          <w:highlight w:val="none"/>
        </w:rPr>
        <w:t>合同当事人可在专用合同条款中约定其他价格形式合同的计量方式和程序。</w:t>
      </w:r>
    </w:p>
    <w:p>
      <w:pPr>
        <w:pStyle w:val="6"/>
        <w:spacing w:before="120" w:after="120" w:line="360" w:lineRule="auto"/>
        <w:ind w:firstLine="420" w:firstLineChars="200"/>
        <w:rPr>
          <w:rFonts w:ascii="宋体" w:hAnsi="宋体" w:cs="仿宋_GB2312"/>
          <w:b w:val="0"/>
          <w:bCs w:val="0"/>
          <w:sz w:val="21"/>
          <w:szCs w:val="21"/>
          <w:highlight w:val="none"/>
        </w:rPr>
      </w:pPr>
      <w:bookmarkStart w:id="320" w:name="_Toc296503101"/>
      <w:bookmarkStart w:id="321" w:name="_Toc296346602"/>
      <w:bookmarkStart w:id="322" w:name="_Toc351203584"/>
      <w:bookmarkStart w:id="323" w:name="_Toc337558803"/>
      <w:r>
        <w:rPr>
          <w:rFonts w:ascii="宋体" w:hAnsi="宋体" w:cs="仿宋_GB2312"/>
          <w:b w:val="0"/>
          <w:bCs w:val="0"/>
          <w:sz w:val="21"/>
          <w:szCs w:val="21"/>
          <w:highlight w:val="none"/>
        </w:rPr>
        <w:t>12.4工程进度款支</w:t>
      </w:r>
      <w:bookmarkEnd w:id="320"/>
      <w:bookmarkEnd w:id="321"/>
      <w:r>
        <w:rPr>
          <w:rFonts w:ascii="宋体" w:hAnsi="宋体" w:cs="仿宋_GB2312"/>
          <w:b w:val="0"/>
          <w:bCs w:val="0"/>
          <w:sz w:val="21"/>
          <w:szCs w:val="21"/>
          <w:highlight w:val="none"/>
        </w:rPr>
        <w:t>付</w:t>
      </w:r>
      <w:bookmarkEnd w:id="322"/>
    </w:p>
    <w:bookmarkEnd w:id="323"/>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12.4.1 付款周期</w:t>
      </w:r>
    </w:p>
    <w:p>
      <w:pPr>
        <w:ind w:firstLine="420"/>
        <w:rPr>
          <w:rFonts w:ascii="宋体" w:hAnsi="宋体" w:cs="仿宋_GB2312"/>
          <w:szCs w:val="21"/>
          <w:highlight w:val="none"/>
        </w:rPr>
      </w:pPr>
      <w:r>
        <w:rPr>
          <w:rFonts w:ascii="宋体" w:hAnsi="宋体" w:cs="仿宋_GB2312"/>
          <w:szCs w:val="21"/>
          <w:highlight w:val="none"/>
        </w:rPr>
        <w:t>除专用合同条款另有约定外，付款周期应按照第12.3.2</w:t>
      </w:r>
      <w:r>
        <w:rPr>
          <w:rFonts w:hint="eastAsia" w:ascii="宋体" w:hAnsi="宋体" w:cs="仿宋_GB2312"/>
          <w:szCs w:val="21"/>
          <w:highlight w:val="none"/>
        </w:rPr>
        <w:t>项〔</w:t>
      </w:r>
      <w:r>
        <w:rPr>
          <w:rFonts w:ascii="宋体" w:hAnsi="宋体" w:cs="仿宋_GB2312"/>
          <w:szCs w:val="21"/>
          <w:highlight w:val="none"/>
        </w:rPr>
        <w:t>计量周期</w:t>
      </w:r>
      <w:r>
        <w:rPr>
          <w:rFonts w:hint="eastAsia" w:ascii="宋体" w:hAnsi="宋体" w:cs="仿宋_GB2312"/>
          <w:szCs w:val="21"/>
          <w:highlight w:val="none"/>
        </w:rPr>
        <w:t>〕</w:t>
      </w:r>
      <w:r>
        <w:rPr>
          <w:rFonts w:ascii="宋体" w:hAnsi="宋体" w:cs="仿宋_GB2312"/>
          <w:szCs w:val="21"/>
          <w:highlight w:val="none"/>
        </w:rPr>
        <w:t>的约定与计量周期保持一致。</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12.4.2 进度付款申请单的编制</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除专用合同条款另有约定外，进度付款申请单应包括下列内容：</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（1）截至本次付款周期已完成工作对应的金额；</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（2）根据第10条</w:t>
      </w:r>
      <w:r>
        <w:rPr>
          <w:rFonts w:hint="eastAsia" w:ascii="宋体" w:hAnsi="宋体" w:cs="仿宋_GB2312"/>
          <w:szCs w:val="21"/>
          <w:highlight w:val="none"/>
        </w:rPr>
        <w:t>〔</w:t>
      </w:r>
      <w:r>
        <w:rPr>
          <w:rFonts w:ascii="宋体" w:hAnsi="宋体" w:cs="仿宋_GB2312"/>
          <w:szCs w:val="21"/>
          <w:highlight w:val="none"/>
        </w:rPr>
        <w:t>变更</w:t>
      </w:r>
      <w:r>
        <w:rPr>
          <w:rFonts w:hint="eastAsia" w:ascii="宋体" w:hAnsi="宋体" w:cs="仿宋_GB2312"/>
          <w:szCs w:val="21"/>
          <w:highlight w:val="none"/>
        </w:rPr>
        <w:t>〕</w:t>
      </w:r>
      <w:r>
        <w:rPr>
          <w:rFonts w:ascii="宋体" w:hAnsi="宋体" w:cs="仿宋_GB2312"/>
          <w:szCs w:val="21"/>
          <w:highlight w:val="none"/>
        </w:rPr>
        <w:t>应增加和扣减的变更金额；</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（3）根据第12.2款</w:t>
      </w:r>
      <w:r>
        <w:rPr>
          <w:rFonts w:hint="eastAsia" w:ascii="宋体" w:hAnsi="宋体" w:cs="仿宋_GB2312"/>
          <w:szCs w:val="21"/>
          <w:highlight w:val="none"/>
        </w:rPr>
        <w:t>〔</w:t>
      </w:r>
      <w:r>
        <w:rPr>
          <w:rFonts w:ascii="宋体" w:hAnsi="宋体" w:cs="仿宋_GB2312"/>
          <w:szCs w:val="21"/>
          <w:highlight w:val="none"/>
        </w:rPr>
        <w:t>预付款</w:t>
      </w:r>
      <w:r>
        <w:rPr>
          <w:rFonts w:hint="eastAsia" w:ascii="宋体" w:hAnsi="宋体" w:cs="仿宋_GB2312"/>
          <w:szCs w:val="21"/>
          <w:highlight w:val="none"/>
        </w:rPr>
        <w:t>〕</w:t>
      </w:r>
      <w:r>
        <w:rPr>
          <w:rFonts w:ascii="宋体" w:hAnsi="宋体" w:cs="仿宋_GB2312"/>
          <w:szCs w:val="21"/>
          <w:highlight w:val="none"/>
        </w:rPr>
        <w:t>约定应支付的预付款和扣减的返还预付款；</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（4）根据第15.3款</w:t>
      </w:r>
      <w:r>
        <w:rPr>
          <w:rFonts w:hint="eastAsia" w:ascii="宋体" w:hAnsi="宋体" w:cs="仿宋_GB2312"/>
          <w:szCs w:val="21"/>
          <w:highlight w:val="none"/>
        </w:rPr>
        <w:t>〔</w:t>
      </w:r>
      <w:r>
        <w:rPr>
          <w:rFonts w:ascii="宋体" w:hAnsi="宋体" w:cs="仿宋_GB2312"/>
          <w:szCs w:val="21"/>
          <w:highlight w:val="none"/>
        </w:rPr>
        <w:t>质量保证金</w:t>
      </w:r>
      <w:r>
        <w:rPr>
          <w:rFonts w:hint="eastAsia" w:ascii="宋体" w:hAnsi="宋体" w:cs="仿宋_GB2312"/>
          <w:szCs w:val="21"/>
          <w:highlight w:val="none"/>
        </w:rPr>
        <w:t>〕</w:t>
      </w:r>
      <w:r>
        <w:rPr>
          <w:rFonts w:ascii="宋体" w:hAnsi="宋体" w:cs="仿宋_GB2312"/>
          <w:szCs w:val="21"/>
          <w:highlight w:val="none"/>
        </w:rPr>
        <w:t>约定应扣减的质量保证金；</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（5）根据第19条</w:t>
      </w:r>
      <w:r>
        <w:rPr>
          <w:rFonts w:hint="eastAsia" w:ascii="宋体" w:hAnsi="宋体" w:cs="仿宋_GB2312"/>
          <w:szCs w:val="21"/>
          <w:highlight w:val="none"/>
        </w:rPr>
        <w:t>〔</w:t>
      </w:r>
      <w:r>
        <w:rPr>
          <w:rFonts w:ascii="宋体" w:hAnsi="宋体" w:cs="仿宋_GB2312"/>
          <w:szCs w:val="21"/>
          <w:highlight w:val="none"/>
        </w:rPr>
        <w:t>索赔</w:t>
      </w:r>
      <w:r>
        <w:rPr>
          <w:rFonts w:hint="eastAsia" w:ascii="宋体" w:hAnsi="宋体" w:cs="仿宋_GB2312"/>
          <w:szCs w:val="21"/>
          <w:highlight w:val="none"/>
        </w:rPr>
        <w:t>〕</w:t>
      </w:r>
      <w:r>
        <w:rPr>
          <w:rFonts w:ascii="宋体" w:hAnsi="宋体" w:cs="仿宋_GB2312"/>
          <w:szCs w:val="21"/>
          <w:highlight w:val="none"/>
        </w:rPr>
        <w:t>应增加和扣减的索赔金额；</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（6）对已签发的进度款支付证书中出现错误的修正，应在本次进度付款中支付或扣除的金额；</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（7）根据合同约定应增加和扣减的其他金额。</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12.4.3 进度付款申请单的提交</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（1）单价合同进度付款申请单的提交</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单价合同的进度付款申请单，按照第12.3.3项</w:t>
      </w:r>
      <w:r>
        <w:rPr>
          <w:rFonts w:hint="eastAsia" w:ascii="宋体" w:hAnsi="宋体" w:cs="仿宋_GB2312"/>
          <w:szCs w:val="21"/>
          <w:highlight w:val="none"/>
        </w:rPr>
        <w:t>〔</w:t>
      </w:r>
      <w:r>
        <w:rPr>
          <w:rFonts w:ascii="宋体" w:hAnsi="宋体" w:cs="仿宋_GB2312"/>
          <w:szCs w:val="21"/>
          <w:highlight w:val="none"/>
        </w:rPr>
        <w:t>单价合同的计量</w:t>
      </w:r>
      <w:r>
        <w:rPr>
          <w:rFonts w:hint="eastAsia" w:ascii="宋体" w:hAnsi="宋体" w:cs="仿宋_GB2312"/>
          <w:szCs w:val="21"/>
          <w:highlight w:val="none"/>
        </w:rPr>
        <w:t>〕</w:t>
      </w:r>
      <w:r>
        <w:rPr>
          <w:rFonts w:ascii="宋体" w:hAnsi="宋体" w:cs="仿宋_GB2312"/>
          <w:szCs w:val="21"/>
          <w:highlight w:val="none"/>
        </w:rPr>
        <w:t>约定的时间按月向监理人提交，并附上已完成工程量报表和有关资料。单价合同中的总价项目按月进行支付分解，并汇总列入当期进度付款申请单。</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（2）总价合同进度付款申请单的提交</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总价合同按</w:t>
      </w:r>
      <w:r>
        <w:rPr>
          <w:rFonts w:hint="eastAsia" w:ascii="宋体" w:hAnsi="宋体" w:cs="仿宋_GB2312"/>
          <w:szCs w:val="21"/>
          <w:highlight w:val="none"/>
        </w:rPr>
        <w:t>月计量支付的</w:t>
      </w:r>
      <w:r>
        <w:rPr>
          <w:rFonts w:ascii="宋体" w:hAnsi="宋体" w:cs="仿宋_GB2312"/>
          <w:szCs w:val="21"/>
          <w:highlight w:val="none"/>
        </w:rPr>
        <w:t>，承包人按照第12.3.4项</w:t>
      </w:r>
      <w:r>
        <w:rPr>
          <w:rFonts w:hint="eastAsia" w:ascii="宋体" w:hAnsi="宋体" w:cs="仿宋_GB2312"/>
          <w:szCs w:val="21"/>
          <w:highlight w:val="none"/>
        </w:rPr>
        <w:t>〔</w:t>
      </w:r>
      <w:r>
        <w:rPr>
          <w:rFonts w:ascii="宋体" w:hAnsi="宋体" w:cs="仿宋_GB2312"/>
          <w:szCs w:val="21"/>
          <w:highlight w:val="none"/>
        </w:rPr>
        <w:t>总价合同的计量</w:t>
      </w:r>
      <w:r>
        <w:rPr>
          <w:rFonts w:hint="eastAsia" w:ascii="宋体" w:hAnsi="宋体" w:cs="仿宋_GB2312"/>
          <w:szCs w:val="21"/>
          <w:highlight w:val="none"/>
        </w:rPr>
        <w:t>〕</w:t>
      </w:r>
      <w:r>
        <w:rPr>
          <w:rFonts w:ascii="宋体" w:hAnsi="宋体" w:cs="仿宋_GB2312"/>
          <w:szCs w:val="21"/>
          <w:highlight w:val="none"/>
        </w:rPr>
        <w:t>约定的时间按月向监理人提交进度付款申请单，并附上已完成工程量报表和有关资料。</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总价合同按支付分解表支付的，承包人应按照第12.4.6项</w:t>
      </w:r>
      <w:r>
        <w:rPr>
          <w:rFonts w:hint="eastAsia" w:ascii="宋体" w:hAnsi="宋体" w:cs="仿宋_GB2312"/>
          <w:szCs w:val="21"/>
          <w:highlight w:val="none"/>
        </w:rPr>
        <w:t>〔</w:t>
      </w:r>
      <w:r>
        <w:rPr>
          <w:rFonts w:ascii="宋体" w:hAnsi="宋体" w:cs="仿宋_GB2312"/>
          <w:szCs w:val="21"/>
          <w:highlight w:val="none"/>
        </w:rPr>
        <w:t>支付分解表</w:t>
      </w:r>
      <w:r>
        <w:rPr>
          <w:rFonts w:hint="eastAsia" w:ascii="宋体" w:hAnsi="宋体" w:cs="仿宋_GB2312"/>
          <w:szCs w:val="21"/>
          <w:highlight w:val="none"/>
        </w:rPr>
        <w:t>〕</w:t>
      </w:r>
      <w:r>
        <w:rPr>
          <w:rFonts w:ascii="宋体" w:hAnsi="宋体" w:cs="仿宋_GB2312"/>
          <w:szCs w:val="21"/>
          <w:highlight w:val="none"/>
        </w:rPr>
        <w:t>及第12.4.2项</w:t>
      </w:r>
      <w:r>
        <w:rPr>
          <w:rFonts w:hint="eastAsia" w:ascii="宋体" w:hAnsi="宋体" w:cs="仿宋_GB2312"/>
          <w:szCs w:val="21"/>
          <w:highlight w:val="none"/>
        </w:rPr>
        <w:t>〔</w:t>
      </w:r>
      <w:r>
        <w:rPr>
          <w:rFonts w:ascii="宋体" w:hAnsi="宋体" w:cs="仿宋_GB2312"/>
          <w:szCs w:val="21"/>
          <w:highlight w:val="none"/>
        </w:rPr>
        <w:t>进度付款申请单的编制</w:t>
      </w:r>
      <w:r>
        <w:rPr>
          <w:rFonts w:hint="eastAsia" w:ascii="宋体" w:hAnsi="宋体" w:cs="仿宋_GB2312"/>
          <w:szCs w:val="21"/>
          <w:highlight w:val="none"/>
        </w:rPr>
        <w:t>〕</w:t>
      </w:r>
      <w:r>
        <w:rPr>
          <w:rFonts w:ascii="宋体" w:hAnsi="宋体" w:cs="仿宋_GB2312"/>
          <w:szCs w:val="21"/>
          <w:highlight w:val="none"/>
        </w:rPr>
        <w:t>的约定向监理人提交进度付款申请单。</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（3）其他价格形式合同的进度付款申请单的提交</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合同当事人可在专用合同条款中约定其他价格形式合同的进度付款申请单的编制和提交程序。</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12.4.4 进度款审核和支付</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（1）除专用合同条款另有约定外，监理人应在收到承包人进度付款申请单以及相关资料后7天内完成审查并报送发包人，发包人应在收到后7天内完成审批并签发进度款支付证书。发包人逾期未完成</w:t>
      </w:r>
      <w:r>
        <w:rPr>
          <w:rFonts w:hint="eastAsia" w:ascii="宋体" w:hAnsi="宋体" w:cs="仿宋_GB2312"/>
          <w:szCs w:val="21"/>
          <w:highlight w:val="none"/>
        </w:rPr>
        <w:t>审批</w:t>
      </w:r>
      <w:r>
        <w:rPr>
          <w:rFonts w:ascii="宋体" w:hAnsi="宋体" w:cs="仿宋_GB2312"/>
          <w:szCs w:val="21"/>
          <w:highlight w:val="none"/>
        </w:rPr>
        <w:t>且未提出异议的，视为已签发进度款支付证书。</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w:t>
      </w:r>
      <w:r>
        <w:rPr>
          <w:rFonts w:hint="eastAsia" w:ascii="宋体" w:hAnsi="宋体" w:cs="仿宋_GB2312"/>
          <w:szCs w:val="21"/>
          <w:highlight w:val="none"/>
        </w:rPr>
        <w:t>〔</w:t>
      </w:r>
      <w:r>
        <w:rPr>
          <w:rFonts w:ascii="宋体" w:hAnsi="宋体" w:cs="仿宋_GB2312"/>
          <w:szCs w:val="21"/>
          <w:highlight w:val="none"/>
        </w:rPr>
        <w:t>争议解决</w:t>
      </w:r>
      <w:r>
        <w:rPr>
          <w:rFonts w:hint="eastAsia" w:ascii="宋体" w:hAnsi="宋体" w:cs="仿宋_GB2312"/>
          <w:szCs w:val="21"/>
          <w:highlight w:val="none"/>
        </w:rPr>
        <w:t>〕</w:t>
      </w:r>
      <w:r>
        <w:rPr>
          <w:rFonts w:ascii="宋体" w:hAnsi="宋体" w:cs="仿宋_GB2312"/>
          <w:szCs w:val="21"/>
          <w:highlight w:val="none"/>
        </w:rPr>
        <w:t>的约定处理。</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（3）发包人签发进度款支付证书或临时进度款支付证书，不表明发包人已同意、批准或接受了承包人完成的相应部分的工作。</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12.4.5 进度付款的修正</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在对已签发的进度款支付证书进行阶段汇总和复核中发现错误、遗漏或重复的，发包人和承包人均有权提出修正申请。经发包人和承包人同意的修正，应在下期进度付款中支付或扣除。</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12.4.6 支付分解表</w:t>
      </w:r>
    </w:p>
    <w:p>
      <w:pPr>
        <w:ind w:firstLine="420"/>
        <w:rPr>
          <w:rFonts w:ascii="宋体" w:hAnsi="宋体" w:cs="仿宋_GB2312"/>
          <w:szCs w:val="21"/>
          <w:highlight w:val="none"/>
        </w:rPr>
      </w:pPr>
      <w:r>
        <w:rPr>
          <w:rFonts w:ascii="宋体" w:hAnsi="宋体" w:cs="仿宋_GB2312"/>
          <w:szCs w:val="21"/>
          <w:highlight w:val="none"/>
        </w:rPr>
        <w:t>1、支付分解表的编制要求</w:t>
      </w:r>
    </w:p>
    <w:p>
      <w:pPr>
        <w:ind w:firstLine="420"/>
        <w:rPr>
          <w:rFonts w:ascii="宋体" w:hAnsi="宋体" w:cs="仿宋_GB2312"/>
          <w:szCs w:val="21"/>
          <w:highlight w:val="none"/>
        </w:rPr>
      </w:pPr>
      <w:r>
        <w:rPr>
          <w:rFonts w:ascii="宋体" w:hAnsi="宋体" w:cs="仿宋_GB2312"/>
          <w:szCs w:val="21"/>
          <w:highlight w:val="none"/>
        </w:rPr>
        <w:t>（1）支付分解表中所列的每期付款金额，应为第12.4.2项</w:t>
      </w:r>
      <w:r>
        <w:rPr>
          <w:rFonts w:hint="eastAsia" w:ascii="宋体" w:hAnsi="宋体" w:cs="仿宋_GB2312"/>
          <w:szCs w:val="21"/>
          <w:highlight w:val="none"/>
        </w:rPr>
        <w:t>〔</w:t>
      </w:r>
      <w:r>
        <w:rPr>
          <w:rFonts w:ascii="宋体" w:hAnsi="宋体" w:cs="仿宋_GB2312"/>
          <w:szCs w:val="21"/>
          <w:highlight w:val="none"/>
        </w:rPr>
        <w:t>进度付款申请单的编制</w:t>
      </w:r>
      <w:r>
        <w:rPr>
          <w:rFonts w:hint="eastAsia" w:ascii="宋体" w:hAnsi="宋体" w:cs="仿宋_GB2312"/>
          <w:szCs w:val="21"/>
          <w:highlight w:val="none"/>
        </w:rPr>
        <w:t>〕</w:t>
      </w:r>
      <w:r>
        <w:rPr>
          <w:rFonts w:ascii="宋体" w:hAnsi="宋体" w:cs="仿宋_GB2312"/>
          <w:szCs w:val="21"/>
          <w:highlight w:val="none"/>
        </w:rPr>
        <w:t>第（1）</w:t>
      </w:r>
      <w:r>
        <w:rPr>
          <w:rFonts w:hint="eastAsia" w:ascii="宋体" w:hAnsi="宋体" w:cs="仿宋_GB2312"/>
          <w:szCs w:val="21"/>
          <w:highlight w:val="none"/>
        </w:rPr>
        <w:t>目</w:t>
      </w:r>
      <w:r>
        <w:rPr>
          <w:rFonts w:ascii="宋体" w:hAnsi="宋体" w:cs="仿宋_GB2312"/>
          <w:szCs w:val="21"/>
          <w:highlight w:val="none"/>
        </w:rPr>
        <w:t>的估算金额；</w:t>
      </w:r>
    </w:p>
    <w:p>
      <w:pPr>
        <w:ind w:firstLine="420"/>
        <w:rPr>
          <w:rFonts w:ascii="宋体" w:hAnsi="宋体" w:cs="仿宋_GB2312"/>
          <w:szCs w:val="21"/>
          <w:highlight w:val="none"/>
        </w:rPr>
      </w:pPr>
      <w:r>
        <w:rPr>
          <w:rFonts w:ascii="宋体" w:hAnsi="宋体" w:cs="仿宋_GB2312"/>
          <w:szCs w:val="21"/>
          <w:highlight w:val="none"/>
        </w:rPr>
        <w:t>（2）实际进度与施工进度计划不一致的，合同当事人可按照第4.4款</w:t>
      </w:r>
      <w:r>
        <w:rPr>
          <w:rFonts w:hint="eastAsia" w:ascii="宋体" w:hAnsi="宋体" w:cs="仿宋_GB2312"/>
          <w:szCs w:val="21"/>
          <w:highlight w:val="none"/>
        </w:rPr>
        <w:t>〔</w:t>
      </w:r>
      <w:r>
        <w:rPr>
          <w:rFonts w:ascii="宋体" w:hAnsi="宋体" w:cs="仿宋_GB2312"/>
          <w:szCs w:val="21"/>
          <w:highlight w:val="none"/>
        </w:rPr>
        <w:t>商定或确定</w:t>
      </w:r>
      <w:r>
        <w:rPr>
          <w:rFonts w:hint="eastAsia" w:ascii="宋体" w:hAnsi="宋体" w:cs="仿宋_GB2312"/>
          <w:szCs w:val="21"/>
          <w:highlight w:val="none"/>
        </w:rPr>
        <w:t>〕</w:t>
      </w:r>
      <w:r>
        <w:rPr>
          <w:rFonts w:ascii="宋体" w:hAnsi="宋体" w:cs="仿宋_GB2312"/>
          <w:szCs w:val="21"/>
          <w:highlight w:val="none"/>
        </w:rPr>
        <w:t>修改支付分解表；</w:t>
      </w:r>
    </w:p>
    <w:p>
      <w:pPr>
        <w:ind w:firstLine="420"/>
        <w:rPr>
          <w:rFonts w:ascii="宋体" w:hAnsi="宋体" w:cs="仿宋_GB2312"/>
          <w:szCs w:val="21"/>
          <w:highlight w:val="none"/>
        </w:rPr>
      </w:pPr>
      <w:r>
        <w:rPr>
          <w:rFonts w:ascii="宋体" w:hAnsi="宋体" w:cs="仿宋_GB2312"/>
          <w:szCs w:val="21"/>
          <w:highlight w:val="none"/>
        </w:rPr>
        <w:t>（3）不采用支付分解表的，承包人应向发包人和监理人提交按季度编制的支付估算分解表，用于支付参考。</w:t>
      </w:r>
    </w:p>
    <w:p>
      <w:pPr>
        <w:ind w:firstLine="420"/>
        <w:rPr>
          <w:rFonts w:ascii="宋体" w:hAnsi="宋体" w:cs="仿宋_GB2312"/>
          <w:szCs w:val="21"/>
          <w:highlight w:val="none"/>
        </w:rPr>
      </w:pPr>
      <w:r>
        <w:rPr>
          <w:rFonts w:ascii="宋体" w:hAnsi="宋体" w:cs="仿宋_GB2312"/>
          <w:szCs w:val="21"/>
          <w:highlight w:val="none"/>
        </w:rPr>
        <w:t>2、总价合同支付分解表的编制与审批</w:t>
      </w:r>
    </w:p>
    <w:p>
      <w:pPr>
        <w:ind w:firstLine="420"/>
        <w:rPr>
          <w:rFonts w:ascii="宋体" w:hAnsi="宋体" w:cs="仿宋_GB2312"/>
          <w:szCs w:val="21"/>
          <w:highlight w:val="none"/>
        </w:rPr>
      </w:pPr>
      <w:r>
        <w:rPr>
          <w:rFonts w:ascii="宋体" w:hAnsi="宋体" w:cs="仿宋_GB2312"/>
          <w:szCs w:val="21"/>
          <w:highlight w:val="none"/>
        </w:rPr>
        <w:t>（1）除专用合同条款另有约定外，承包人应根据第7.2款</w:t>
      </w:r>
      <w:r>
        <w:rPr>
          <w:rFonts w:hint="eastAsia" w:ascii="宋体" w:hAnsi="宋体" w:cs="仿宋_GB2312"/>
          <w:szCs w:val="21"/>
          <w:highlight w:val="none"/>
        </w:rPr>
        <w:t>〔</w:t>
      </w:r>
      <w:r>
        <w:rPr>
          <w:rFonts w:ascii="宋体" w:hAnsi="宋体" w:cs="仿宋_GB2312"/>
          <w:szCs w:val="21"/>
          <w:highlight w:val="none"/>
        </w:rPr>
        <w:t>施工进度计划</w:t>
      </w:r>
      <w:r>
        <w:rPr>
          <w:rFonts w:hint="eastAsia" w:ascii="宋体" w:hAnsi="宋体" w:cs="仿宋_GB2312"/>
          <w:szCs w:val="21"/>
          <w:highlight w:val="none"/>
        </w:rPr>
        <w:t>〕</w:t>
      </w:r>
      <w:r>
        <w:rPr>
          <w:rFonts w:ascii="宋体" w:hAnsi="宋体" w:cs="仿宋_GB2312"/>
          <w:szCs w:val="21"/>
          <w:highlight w:val="none"/>
        </w:rPr>
        <w:t>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ind w:firstLine="420"/>
        <w:rPr>
          <w:rFonts w:ascii="宋体" w:hAnsi="宋体" w:cs="仿宋_GB2312"/>
          <w:szCs w:val="21"/>
          <w:highlight w:val="none"/>
        </w:rPr>
      </w:pPr>
      <w:r>
        <w:rPr>
          <w:rFonts w:ascii="宋体" w:hAnsi="宋体" w:cs="仿宋_GB2312"/>
          <w:szCs w:val="21"/>
          <w:highlight w:val="none"/>
        </w:rPr>
        <w:t>（2）监理人应在收到支付分解表后7天内完成审核并报送发包人。发包人应在收到经监理人审核的支付分解表后7天内完成审批，经发包人批准的支付分解表为有约束力的支付分解表。</w:t>
      </w:r>
    </w:p>
    <w:p>
      <w:pPr>
        <w:ind w:firstLine="420"/>
        <w:rPr>
          <w:rFonts w:ascii="宋体" w:hAnsi="宋体" w:cs="仿宋_GB2312"/>
          <w:szCs w:val="21"/>
          <w:highlight w:val="none"/>
        </w:rPr>
      </w:pPr>
      <w:r>
        <w:rPr>
          <w:rFonts w:ascii="宋体" w:hAnsi="宋体" w:cs="仿宋_GB2312"/>
          <w:szCs w:val="21"/>
          <w:highlight w:val="none"/>
        </w:rPr>
        <w:t xml:space="preserve">    （3）发包人逾期未完成支付分解表</w:t>
      </w:r>
      <w:r>
        <w:rPr>
          <w:rFonts w:hint="eastAsia" w:ascii="宋体" w:hAnsi="宋体" w:cs="仿宋_GB2312"/>
          <w:szCs w:val="21"/>
          <w:highlight w:val="none"/>
        </w:rPr>
        <w:t>审批</w:t>
      </w:r>
      <w:r>
        <w:rPr>
          <w:rFonts w:ascii="宋体" w:hAnsi="宋体" w:cs="仿宋_GB2312"/>
          <w:szCs w:val="21"/>
          <w:highlight w:val="none"/>
        </w:rPr>
        <w:t>的，也未及时要求承包人进行修正和提供补充资料的，则承包人提交的支付分解表视为已经获得发包人批准。</w:t>
      </w:r>
    </w:p>
    <w:p>
      <w:pPr>
        <w:ind w:firstLine="420"/>
        <w:rPr>
          <w:rFonts w:ascii="宋体" w:hAnsi="宋体" w:cs="仿宋_GB2312"/>
          <w:szCs w:val="21"/>
          <w:highlight w:val="none"/>
        </w:rPr>
      </w:pPr>
      <w:r>
        <w:rPr>
          <w:rFonts w:ascii="宋体" w:hAnsi="宋体" w:cs="仿宋_GB2312"/>
          <w:szCs w:val="21"/>
          <w:highlight w:val="none"/>
        </w:rPr>
        <w:t>3、单价合同的总价项目支付分解表的编制与审批</w:t>
      </w:r>
    </w:p>
    <w:p>
      <w:pPr>
        <w:ind w:firstLine="420"/>
        <w:rPr>
          <w:rFonts w:ascii="宋体" w:hAnsi="宋体" w:cs="仿宋_GB2312"/>
          <w:szCs w:val="21"/>
          <w:highlight w:val="none"/>
        </w:rPr>
      </w:pPr>
      <w:r>
        <w:rPr>
          <w:rFonts w:ascii="宋体" w:hAnsi="宋体" w:cs="仿宋_GB2312"/>
          <w:szCs w:val="21"/>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pStyle w:val="6"/>
        <w:spacing w:before="120" w:after="120" w:line="360" w:lineRule="auto"/>
        <w:ind w:firstLine="420" w:firstLineChars="200"/>
        <w:rPr>
          <w:rFonts w:ascii="宋体" w:hAnsi="宋体" w:cs="仿宋_GB2312"/>
          <w:b w:val="0"/>
          <w:bCs w:val="0"/>
          <w:sz w:val="21"/>
          <w:szCs w:val="21"/>
          <w:highlight w:val="none"/>
        </w:rPr>
      </w:pPr>
      <w:bookmarkStart w:id="324" w:name="_Toc351203585"/>
      <w:r>
        <w:rPr>
          <w:rFonts w:ascii="宋体" w:hAnsi="宋体" w:cs="仿宋_GB2312"/>
          <w:b w:val="0"/>
          <w:bCs w:val="0"/>
          <w:sz w:val="21"/>
          <w:szCs w:val="21"/>
          <w:highlight w:val="none"/>
        </w:rPr>
        <w:t>12.5支付账户</w:t>
      </w:r>
      <w:bookmarkEnd w:id="324"/>
    </w:p>
    <w:p>
      <w:pPr>
        <w:ind w:firstLine="420"/>
        <w:rPr>
          <w:rFonts w:ascii="宋体" w:hAnsi="宋体" w:cs="仿宋_GB2312"/>
          <w:szCs w:val="21"/>
          <w:highlight w:val="none"/>
        </w:rPr>
      </w:pPr>
      <w:r>
        <w:rPr>
          <w:rFonts w:ascii="宋体" w:hAnsi="宋体" w:cs="仿宋_GB2312"/>
          <w:szCs w:val="21"/>
          <w:highlight w:val="none"/>
        </w:rPr>
        <w:t>发包人应将合同价款支付至合同协议书中约定的承包人账户。</w:t>
      </w:r>
    </w:p>
    <w:p>
      <w:pPr>
        <w:pStyle w:val="5"/>
        <w:spacing w:before="120" w:after="120"/>
        <w:ind w:firstLine="420"/>
        <w:rPr>
          <w:rFonts w:ascii="宋体" w:hAnsi="宋体" w:cs="仿宋_GB2312"/>
          <w:bCs w:val="0"/>
          <w:szCs w:val="21"/>
          <w:highlight w:val="none"/>
        </w:rPr>
      </w:pPr>
      <w:bookmarkStart w:id="325" w:name="_Toc351203586"/>
      <w:bookmarkStart w:id="326" w:name="_Toc322522574"/>
      <w:bookmarkStart w:id="327" w:name="_Toc296346607"/>
      <w:bookmarkStart w:id="328" w:name="_Toc296503106"/>
      <w:bookmarkStart w:id="329" w:name="_Toc337558804"/>
      <w:r>
        <w:rPr>
          <w:rFonts w:ascii="宋体" w:hAnsi="宋体" w:cs="仿宋_GB2312"/>
          <w:bCs w:val="0"/>
          <w:szCs w:val="21"/>
          <w:highlight w:val="none"/>
        </w:rPr>
        <w:t>13. 验收和工程试车</w:t>
      </w:r>
      <w:bookmarkEnd w:id="325"/>
    </w:p>
    <w:bookmarkEnd w:id="326"/>
    <w:bookmarkEnd w:id="327"/>
    <w:bookmarkEnd w:id="328"/>
    <w:bookmarkEnd w:id="329"/>
    <w:p>
      <w:pPr>
        <w:pStyle w:val="6"/>
        <w:spacing w:before="120" w:after="120" w:line="360" w:lineRule="auto"/>
        <w:ind w:firstLine="420" w:firstLineChars="200"/>
        <w:rPr>
          <w:rFonts w:ascii="宋体" w:hAnsi="宋体" w:cs="仿宋_GB2312"/>
          <w:b w:val="0"/>
          <w:bCs w:val="0"/>
          <w:sz w:val="21"/>
          <w:szCs w:val="21"/>
          <w:highlight w:val="none"/>
        </w:rPr>
      </w:pPr>
      <w:bookmarkStart w:id="330" w:name="_Toc351203587"/>
      <w:bookmarkStart w:id="331" w:name="_Toc337558805"/>
      <w:bookmarkStart w:id="332" w:name="_Toc296346611"/>
      <w:bookmarkStart w:id="333" w:name="_Toc296503110"/>
      <w:r>
        <w:rPr>
          <w:rFonts w:ascii="宋体" w:hAnsi="宋体" w:cs="仿宋_GB2312"/>
          <w:b w:val="0"/>
          <w:bCs w:val="0"/>
          <w:sz w:val="21"/>
          <w:szCs w:val="21"/>
          <w:highlight w:val="none"/>
        </w:rPr>
        <w:t>13.1分部分项工程验收</w:t>
      </w:r>
      <w:bookmarkEnd w:id="330"/>
    </w:p>
    <w:bookmarkEnd w:id="331"/>
    <w:p>
      <w:pPr>
        <w:ind w:firstLine="420"/>
        <w:rPr>
          <w:rFonts w:ascii="宋体" w:hAnsi="宋体" w:cs="仿宋_GB2312"/>
          <w:szCs w:val="21"/>
          <w:highlight w:val="none"/>
        </w:rPr>
      </w:pPr>
      <w:r>
        <w:rPr>
          <w:rFonts w:ascii="宋体" w:hAnsi="宋体" w:cs="仿宋_GB2312"/>
          <w:szCs w:val="21"/>
          <w:highlight w:val="none"/>
        </w:rPr>
        <w:t>13.1.1 分部分项工程质量应符合国家有关工程施工验收规范、标准及合同约定，承包人应按照施工组织设计的要求完成分部分项工程施工。</w:t>
      </w:r>
    </w:p>
    <w:p>
      <w:pPr>
        <w:ind w:firstLine="420"/>
        <w:rPr>
          <w:rFonts w:ascii="宋体" w:hAnsi="宋体" w:cs="仿宋_GB2312"/>
          <w:szCs w:val="21"/>
          <w:highlight w:val="none"/>
        </w:rPr>
      </w:pPr>
      <w:r>
        <w:rPr>
          <w:rFonts w:ascii="宋体" w:hAnsi="宋体" w:cs="仿宋_GB2312"/>
          <w:szCs w:val="21"/>
          <w:highlight w:val="none"/>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pPr>
        <w:ind w:firstLine="420"/>
        <w:rPr>
          <w:rFonts w:ascii="宋体" w:hAnsi="宋体" w:cs="仿宋_GB2312"/>
          <w:szCs w:val="21"/>
          <w:highlight w:val="none"/>
        </w:rPr>
      </w:pPr>
      <w:r>
        <w:rPr>
          <w:rFonts w:ascii="宋体" w:hAnsi="宋体" w:cs="仿宋_GB2312"/>
          <w:szCs w:val="21"/>
          <w:highlight w:val="none"/>
        </w:rPr>
        <w:t>分部分项工程的验收资料应当作为竣工资料的组成部分。</w:t>
      </w:r>
    </w:p>
    <w:p>
      <w:pPr>
        <w:pStyle w:val="6"/>
        <w:spacing w:before="120" w:after="120" w:line="360" w:lineRule="auto"/>
        <w:ind w:firstLine="420" w:firstLineChars="200"/>
        <w:rPr>
          <w:rFonts w:ascii="宋体" w:hAnsi="宋体" w:cs="仿宋_GB2312"/>
          <w:b w:val="0"/>
          <w:bCs w:val="0"/>
          <w:sz w:val="21"/>
          <w:szCs w:val="21"/>
          <w:highlight w:val="none"/>
        </w:rPr>
      </w:pPr>
      <w:bookmarkStart w:id="334" w:name="_Toc351203588"/>
      <w:bookmarkStart w:id="335" w:name="_Toc337558806"/>
      <w:r>
        <w:rPr>
          <w:rFonts w:ascii="宋体" w:hAnsi="宋体" w:cs="仿宋_GB2312"/>
          <w:b w:val="0"/>
          <w:bCs w:val="0"/>
          <w:sz w:val="21"/>
          <w:szCs w:val="21"/>
          <w:highlight w:val="none"/>
        </w:rPr>
        <w:t>13.2竣工验收</w:t>
      </w:r>
      <w:bookmarkEnd w:id="334"/>
    </w:p>
    <w:bookmarkEnd w:id="332"/>
    <w:bookmarkEnd w:id="333"/>
    <w:bookmarkEnd w:id="335"/>
    <w:p>
      <w:pPr>
        <w:ind w:firstLine="420"/>
        <w:rPr>
          <w:rFonts w:ascii="宋体" w:hAnsi="宋体" w:cs="仿宋_GB2312"/>
          <w:szCs w:val="21"/>
          <w:highlight w:val="none"/>
        </w:rPr>
      </w:pPr>
      <w:r>
        <w:rPr>
          <w:rFonts w:ascii="宋体" w:hAnsi="宋体" w:cs="仿宋_GB2312"/>
          <w:szCs w:val="21"/>
          <w:highlight w:val="none"/>
        </w:rPr>
        <w:t>13.2.1竣工验收条件</w:t>
      </w:r>
    </w:p>
    <w:p>
      <w:pPr>
        <w:ind w:firstLine="420"/>
        <w:rPr>
          <w:rFonts w:ascii="宋体" w:hAnsi="宋体" w:cs="仿宋_GB2312"/>
          <w:szCs w:val="21"/>
          <w:highlight w:val="none"/>
        </w:rPr>
      </w:pPr>
      <w:r>
        <w:rPr>
          <w:rFonts w:ascii="宋体" w:hAnsi="宋体" w:cs="仿宋_GB2312"/>
          <w:szCs w:val="21"/>
          <w:highlight w:val="none"/>
        </w:rPr>
        <w:t>工程具备以下条件的，承包人可以申请竣工验收：</w:t>
      </w:r>
    </w:p>
    <w:p>
      <w:pPr>
        <w:ind w:firstLine="420"/>
        <w:rPr>
          <w:rFonts w:ascii="宋体" w:hAnsi="宋体" w:cs="仿宋_GB2312"/>
          <w:szCs w:val="21"/>
          <w:highlight w:val="none"/>
        </w:rPr>
      </w:pPr>
      <w:r>
        <w:rPr>
          <w:rFonts w:ascii="宋体" w:hAnsi="宋体" w:cs="仿宋_GB2312"/>
          <w:szCs w:val="21"/>
          <w:highlight w:val="none"/>
        </w:rPr>
        <w:t>（1）除发包人同意的甩项</w:t>
      </w:r>
      <w:r>
        <w:rPr>
          <w:rFonts w:hint="eastAsia" w:ascii="宋体" w:hAnsi="宋体" w:cs="仿宋_GB2312"/>
          <w:szCs w:val="21"/>
          <w:highlight w:val="none"/>
        </w:rPr>
        <w:t>工作</w:t>
      </w:r>
      <w:r>
        <w:rPr>
          <w:rFonts w:ascii="宋体" w:hAnsi="宋体" w:cs="仿宋_GB2312"/>
          <w:szCs w:val="21"/>
          <w:highlight w:val="none"/>
        </w:rPr>
        <w:t>和缺陷修补工作外，合同范围内的全部工程以及有关工作，包括合同要求的试验、试运行以及检验均已完成，并符合合同要求；</w:t>
      </w:r>
    </w:p>
    <w:p>
      <w:pPr>
        <w:ind w:firstLine="420"/>
        <w:rPr>
          <w:rFonts w:ascii="宋体" w:hAnsi="宋体" w:cs="仿宋_GB2312"/>
          <w:szCs w:val="21"/>
          <w:highlight w:val="none"/>
        </w:rPr>
      </w:pPr>
      <w:r>
        <w:rPr>
          <w:rFonts w:ascii="宋体" w:hAnsi="宋体" w:cs="仿宋_GB2312"/>
          <w:szCs w:val="21"/>
          <w:highlight w:val="none"/>
        </w:rPr>
        <w:t>（2）已按合同约定编制了甩项</w:t>
      </w:r>
      <w:r>
        <w:rPr>
          <w:rFonts w:hint="eastAsia" w:ascii="宋体" w:hAnsi="宋体" w:cs="仿宋_GB2312"/>
          <w:szCs w:val="21"/>
          <w:highlight w:val="none"/>
        </w:rPr>
        <w:t>工作</w:t>
      </w:r>
      <w:r>
        <w:rPr>
          <w:rFonts w:ascii="宋体" w:hAnsi="宋体" w:cs="仿宋_GB2312"/>
          <w:szCs w:val="21"/>
          <w:highlight w:val="none"/>
        </w:rPr>
        <w:t>和缺陷修补工作清单以及相应的施工计划；</w:t>
      </w:r>
    </w:p>
    <w:p>
      <w:pPr>
        <w:ind w:firstLine="420"/>
        <w:rPr>
          <w:rFonts w:ascii="宋体" w:hAnsi="宋体" w:cs="仿宋_GB2312"/>
          <w:szCs w:val="21"/>
          <w:highlight w:val="none"/>
        </w:rPr>
      </w:pPr>
      <w:r>
        <w:rPr>
          <w:rFonts w:ascii="宋体" w:hAnsi="宋体" w:cs="仿宋_GB2312"/>
          <w:szCs w:val="21"/>
          <w:highlight w:val="none"/>
        </w:rPr>
        <w:t>（3）已按合同约定的内容和份数备齐竣工资料。</w:t>
      </w:r>
    </w:p>
    <w:p>
      <w:pPr>
        <w:ind w:firstLine="420"/>
        <w:rPr>
          <w:rFonts w:ascii="宋体" w:hAnsi="宋体" w:cs="仿宋_GB2312"/>
          <w:szCs w:val="21"/>
          <w:highlight w:val="none"/>
        </w:rPr>
      </w:pPr>
      <w:r>
        <w:rPr>
          <w:rFonts w:ascii="宋体" w:hAnsi="宋体" w:cs="仿宋_GB2312"/>
          <w:szCs w:val="21"/>
          <w:highlight w:val="none"/>
        </w:rPr>
        <w:t>13.2.2竣工验收程序</w:t>
      </w:r>
    </w:p>
    <w:p>
      <w:pPr>
        <w:ind w:firstLine="420"/>
        <w:rPr>
          <w:rFonts w:ascii="宋体" w:hAnsi="宋体" w:cs="仿宋_GB2312"/>
          <w:szCs w:val="21"/>
          <w:highlight w:val="none"/>
        </w:rPr>
      </w:pPr>
      <w:r>
        <w:rPr>
          <w:rFonts w:ascii="宋体" w:hAnsi="宋体" w:cs="仿宋_GB2312"/>
          <w:szCs w:val="21"/>
          <w:highlight w:val="none"/>
        </w:rPr>
        <w:t>除专用合同条款另有约定外，承包人申请竣工验收的，应当按照以下程序进行：</w:t>
      </w:r>
    </w:p>
    <w:p>
      <w:pPr>
        <w:ind w:firstLine="420"/>
        <w:rPr>
          <w:rFonts w:ascii="宋体" w:hAnsi="宋体" w:cs="仿宋_GB2312"/>
          <w:szCs w:val="21"/>
          <w:highlight w:val="none"/>
        </w:rPr>
      </w:pPr>
      <w:r>
        <w:rPr>
          <w:rFonts w:ascii="宋体" w:hAnsi="宋体" w:cs="仿宋_GB2312"/>
          <w:szCs w:val="21"/>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ind w:firstLine="420"/>
        <w:rPr>
          <w:rFonts w:ascii="宋体" w:hAnsi="宋体" w:cs="仿宋_GB2312"/>
          <w:szCs w:val="21"/>
          <w:highlight w:val="none"/>
        </w:rPr>
      </w:pPr>
      <w:r>
        <w:rPr>
          <w:rFonts w:ascii="宋体" w:hAnsi="宋体" w:cs="仿宋_GB2312"/>
          <w:szCs w:val="21"/>
          <w:highlight w:val="none"/>
        </w:rPr>
        <w:t>（2）监理人审查后认为已具备竣工验收条件的，应将竣工验收申请报告提交发包人，发包人应在收到</w:t>
      </w:r>
      <w:r>
        <w:rPr>
          <w:rFonts w:hint="eastAsia" w:ascii="宋体" w:hAnsi="宋体" w:cs="仿宋_GB2312"/>
          <w:szCs w:val="21"/>
          <w:highlight w:val="none"/>
        </w:rPr>
        <w:t>经</w:t>
      </w:r>
      <w:r>
        <w:rPr>
          <w:rFonts w:ascii="宋体" w:hAnsi="宋体" w:cs="仿宋_GB2312"/>
          <w:szCs w:val="21"/>
          <w:highlight w:val="none"/>
        </w:rPr>
        <w:t>监理人审核的竣工验收申请报告后28天内</w:t>
      </w:r>
      <w:r>
        <w:rPr>
          <w:rFonts w:hint="eastAsia" w:ascii="宋体" w:hAnsi="宋体" w:cs="仿宋_GB2312"/>
          <w:szCs w:val="21"/>
          <w:highlight w:val="none"/>
        </w:rPr>
        <w:t>审批</w:t>
      </w:r>
      <w:r>
        <w:rPr>
          <w:rFonts w:ascii="宋体" w:hAnsi="宋体" w:cs="仿宋_GB2312"/>
          <w:szCs w:val="21"/>
          <w:highlight w:val="none"/>
        </w:rPr>
        <w:t>完毕并组织监理人、承包人、设计人等相关单位完成竣工验收。</w:t>
      </w:r>
    </w:p>
    <w:p>
      <w:pPr>
        <w:ind w:firstLine="420"/>
        <w:rPr>
          <w:rFonts w:ascii="宋体" w:hAnsi="宋体" w:cs="仿宋_GB2312"/>
          <w:szCs w:val="21"/>
          <w:highlight w:val="none"/>
        </w:rPr>
      </w:pPr>
      <w:r>
        <w:rPr>
          <w:rFonts w:ascii="宋体" w:hAnsi="宋体" w:cs="仿宋_GB2312"/>
          <w:szCs w:val="21"/>
          <w:highlight w:val="none"/>
        </w:rPr>
        <w:t>（3）竣工验收合格的，发包人应在验收合格后14天内向承包人签发工程接收证书。发包人无正当理由逾期不颁发工程接收证书的，自验收合格后第15天起视为已颁发工程接收证书。</w:t>
      </w:r>
    </w:p>
    <w:p>
      <w:pPr>
        <w:ind w:firstLine="420"/>
        <w:rPr>
          <w:rFonts w:ascii="宋体" w:hAnsi="宋体" w:cs="仿宋_GB2312"/>
          <w:szCs w:val="21"/>
          <w:highlight w:val="none"/>
        </w:rPr>
      </w:pPr>
      <w:r>
        <w:rPr>
          <w:rFonts w:ascii="宋体" w:hAnsi="宋体" w:cs="仿宋_GB2312"/>
          <w:szCs w:val="21"/>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ind w:firstLine="420"/>
        <w:rPr>
          <w:rFonts w:ascii="宋体" w:hAnsi="宋体" w:cs="仿宋_GB2312"/>
          <w:szCs w:val="21"/>
          <w:highlight w:val="none"/>
        </w:rPr>
      </w:pPr>
      <w:r>
        <w:rPr>
          <w:rFonts w:ascii="宋体" w:hAnsi="宋体" w:cs="仿宋_GB2312"/>
          <w:szCs w:val="21"/>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pPr>
        <w:ind w:firstLine="420"/>
        <w:rPr>
          <w:rFonts w:ascii="宋体" w:hAnsi="宋体" w:cs="仿宋_GB2312"/>
          <w:szCs w:val="21"/>
          <w:highlight w:val="none"/>
        </w:rPr>
      </w:pPr>
      <w:r>
        <w:rPr>
          <w:rFonts w:ascii="宋体" w:hAnsi="宋体" w:cs="仿宋_GB2312"/>
          <w:szCs w:val="21"/>
          <w:highlight w:val="none"/>
        </w:rPr>
        <w:t>除专用合同条款另有约定外，发包人不按照本项约定组织竣工验收、颁发工程接收证书的，每逾期一天，应以签约合同价为基数，按照中国人民银行发布的同期同类贷款基准利率支付违约金。</w:t>
      </w:r>
    </w:p>
    <w:p>
      <w:pPr>
        <w:ind w:firstLine="420"/>
        <w:rPr>
          <w:rFonts w:ascii="宋体" w:hAnsi="宋体" w:cs="仿宋_GB2312"/>
          <w:szCs w:val="21"/>
          <w:highlight w:val="none"/>
        </w:rPr>
      </w:pPr>
      <w:r>
        <w:rPr>
          <w:rFonts w:ascii="宋体" w:hAnsi="宋体" w:cs="仿宋_GB2312"/>
          <w:szCs w:val="21"/>
          <w:highlight w:val="none"/>
        </w:rPr>
        <w:t>13.2.3竣工日期</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工程经竣工验收合格的，以承包人提交竣工验收申请报告之日为实际竣工日期，并在工程接收证书中载明；因发包人原因，未在监理人收到承包人提交的竣工验收申请报告42天内完成</w:t>
      </w:r>
      <w:r>
        <w:rPr>
          <w:rFonts w:hint="eastAsia" w:ascii="宋体" w:hAnsi="宋体" w:cs="仿宋_GB2312"/>
          <w:szCs w:val="21"/>
          <w:highlight w:val="none"/>
        </w:rPr>
        <w:t>竣工</w:t>
      </w:r>
      <w:r>
        <w:rPr>
          <w:rFonts w:ascii="宋体" w:hAnsi="宋体" w:cs="仿宋_GB2312"/>
          <w:szCs w:val="21"/>
          <w:highlight w:val="none"/>
        </w:rPr>
        <w:t>验收</w:t>
      </w:r>
      <w:r>
        <w:rPr>
          <w:rFonts w:hint="eastAsia" w:ascii="宋体" w:hAnsi="宋体" w:cs="仿宋_GB2312"/>
          <w:szCs w:val="21"/>
          <w:highlight w:val="none"/>
        </w:rPr>
        <w:t>，或完成竣工验收不予签发工程接收证书</w:t>
      </w:r>
      <w:r>
        <w:rPr>
          <w:rFonts w:ascii="宋体" w:hAnsi="宋体" w:cs="仿宋_GB2312"/>
          <w:szCs w:val="21"/>
          <w:highlight w:val="none"/>
        </w:rPr>
        <w:t>的，以提交竣工验</w:t>
      </w:r>
      <w:bookmarkStart w:id="336" w:name="#go14"/>
      <w:bookmarkEnd w:id="336"/>
      <w:r>
        <w:rPr>
          <w:rFonts w:ascii="宋体" w:hAnsi="宋体" w:cs="仿宋_GB2312"/>
          <w:szCs w:val="21"/>
          <w:highlight w:val="none"/>
        </w:rPr>
        <w:t>收申请报告的日期为实际竣工日期；工程未经竣工验收，发包人擅自使用的，以转移占有工程之日为实际竣工日期。</w:t>
      </w:r>
    </w:p>
    <w:p>
      <w:pPr>
        <w:ind w:firstLine="420"/>
        <w:rPr>
          <w:rFonts w:ascii="宋体" w:hAnsi="宋体" w:cs="仿宋_GB2312"/>
          <w:szCs w:val="21"/>
          <w:highlight w:val="none"/>
        </w:rPr>
      </w:pPr>
      <w:r>
        <w:rPr>
          <w:rFonts w:ascii="宋体" w:hAnsi="宋体" w:cs="仿宋_GB2312"/>
          <w:szCs w:val="21"/>
          <w:highlight w:val="none"/>
        </w:rPr>
        <w:t>13.2.4 拒绝接收全部或部分工程</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对于竣工验收不合格的工程，承包人完成整改后，</w:t>
      </w:r>
      <w:r>
        <w:rPr>
          <w:rFonts w:hint="eastAsia" w:ascii="宋体" w:hAnsi="宋体" w:cs="仿宋_GB2312"/>
          <w:szCs w:val="21"/>
          <w:highlight w:val="none"/>
        </w:rPr>
        <w:t>应当</w:t>
      </w:r>
      <w:r>
        <w:rPr>
          <w:rFonts w:ascii="宋体" w:hAnsi="宋体" w:cs="仿宋_GB2312"/>
          <w:szCs w:val="21"/>
          <w:highlight w:val="none"/>
        </w:rPr>
        <w:t>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13.2.5 移交、接收全部与部分工程</w:t>
      </w:r>
    </w:p>
    <w:p>
      <w:pPr>
        <w:autoSpaceDE w:val="0"/>
        <w:autoSpaceDN w:val="0"/>
        <w:adjustRightInd w:val="0"/>
        <w:ind w:firstLine="420"/>
        <w:rPr>
          <w:rFonts w:ascii="宋体" w:hAnsi="宋体" w:cs="仿宋_GB2312"/>
          <w:szCs w:val="21"/>
          <w:highlight w:val="none"/>
        </w:rPr>
      </w:pPr>
      <w:r>
        <w:rPr>
          <w:rFonts w:hint="eastAsia" w:ascii="宋体" w:hAnsi="宋体" w:cs="仿宋_GB2312"/>
          <w:szCs w:val="21"/>
          <w:highlight w:val="none"/>
        </w:rPr>
        <w:t>除专用合同条款另有约定外，</w:t>
      </w:r>
      <w:r>
        <w:rPr>
          <w:rFonts w:ascii="宋体" w:hAnsi="宋体" w:cs="仿宋_GB2312"/>
          <w:szCs w:val="21"/>
          <w:highlight w:val="none"/>
        </w:rPr>
        <w:t>合同当事人应当在颁发工程接收证书</w:t>
      </w:r>
      <w:r>
        <w:rPr>
          <w:rFonts w:hint="eastAsia" w:ascii="宋体" w:hAnsi="宋体" w:cs="仿宋_GB2312"/>
          <w:szCs w:val="21"/>
          <w:highlight w:val="none"/>
        </w:rPr>
        <w:t>后7天内</w:t>
      </w:r>
      <w:r>
        <w:rPr>
          <w:rFonts w:ascii="宋体" w:hAnsi="宋体" w:cs="仿宋_GB2312"/>
          <w:szCs w:val="21"/>
          <w:highlight w:val="none"/>
        </w:rPr>
        <w:t>完成工程的移交。</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发包人无正当理由不接收工程的，发包人自</w:t>
      </w:r>
      <w:r>
        <w:rPr>
          <w:rFonts w:hint="eastAsia" w:ascii="宋体" w:hAnsi="宋体" w:cs="仿宋_GB2312"/>
          <w:szCs w:val="21"/>
          <w:highlight w:val="none"/>
        </w:rPr>
        <w:t>应当接收工程</w:t>
      </w:r>
      <w:r>
        <w:rPr>
          <w:rFonts w:ascii="宋体" w:hAnsi="宋体" w:cs="仿宋_GB2312"/>
          <w:szCs w:val="21"/>
          <w:highlight w:val="none"/>
        </w:rPr>
        <w:t>之日起，承担工程照管、成品保护、保管等与工程有关的各项费用</w:t>
      </w:r>
      <w:r>
        <w:rPr>
          <w:rFonts w:hint="eastAsia" w:ascii="宋体" w:hAnsi="宋体" w:cs="仿宋_GB2312"/>
          <w:szCs w:val="21"/>
          <w:highlight w:val="none"/>
        </w:rPr>
        <w:t>，合同当事人可以在专用合同条款中另行约定发包人逾期接收工程的违约责任</w:t>
      </w:r>
      <w:r>
        <w:rPr>
          <w:rFonts w:ascii="宋体" w:hAnsi="宋体" w:cs="仿宋_GB2312"/>
          <w:szCs w:val="21"/>
          <w:highlight w:val="none"/>
        </w:rPr>
        <w:t>。</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承包人无正当理由不移交工程的，</w:t>
      </w:r>
      <w:r>
        <w:rPr>
          <w:rFonts w:hint="eastAsia" w:ascii="宋体" w:hAnsi="宋体" w:cs="仿宋_GB2312"/>
          <w:szCs w:val="21"/>
          <w:highlight w:val="none"/>
        </w:rPr>
        <w:t>承包人应承担</w:t>
      </w:r>
      <w:r>
        <w:rPr>
          <w:rFonts w:ascii="宋体" w:hAnsi="宋体" w:cs="仿宋_GB2312"/>
          <w:szCs w:val="21"/>
          <w:highlight w:val="none"/>
        </w:rPr>
        <w:t>工程照管、成品保护、保管等与工程有关的各项费用</w:t>
      </w:r>
      <w:r>
        <w:rPr>
          <w:rFonts w:hint="eastAsia" w:ascii="宋体" w:hAnsi="宋体" w:cs="仿宋_GB2312"/>
          <w:szCs w:val="21"/>
          <w:highlight w:val="none"/>
        </w:rPr>
        <w:t>，合同当事人可以在专用合同条款中另行约定承包人无正当理由不移交工程的违约责任</w:t>
      </w:r>
      <w:r>
        <w:rPr>
          <w:rFonts w:ascii="宋体" w:hAnsi="宋体" w:cs="仿宋_GB2312"/>
          <w:szCs w:val="21"/>
          <w:highlight w:val="none"/>
        </w:rPr>
        <w:t>。</w:t>
      </w:r>
    </w:p>
    <w:p>
      <w:pPr>
        <w:pStyle w:val="6"/>
        <w:spacing w:before="120" w:after="120" w:line="360" w:lineRule="auto"/>
        <w:ind w:firstLine="420" w:firstLineChars="200"/>
        <w:rPr>
          <w:rFonts w:ascii="宋体" w:hAnsi="宋体" w:cs="仿宋_GB2312"/>
          <w:b w:val="0"/>
          <w:bCs w:val="0"/>
          <w:sz w:val="21"/>
          <w:szCs w:val="21"/>
          <w:highlight w:val="none"/>
        </w:rPr>
      </w:pPr>
      <w:bookmarkStart w:id="337" w:name="_Toc351203589"/>
      <w:bookmarkStart w:id="338" w:name="_Toc337558807"/>
      <w:bookmarkStart w:id="339" w:name="_Toc296346612"/>
      <w:bookmarkStart w:id="340" w:name="_Toc296503111"/>
      <w:r>
        <w:rPr>
          <w:rFonts w:ascii="宋体" w:hAnsi="宋体" w:cs="仿宋_GB2312"/>
          <w:b w:val="0"/>
          <w:bCs w:val="0"/>
          <w:sz w:val="21"/>
          <w:szCs w:val="21"/>
          <w:highlight w:val="none"/>
        </w:rPr>
        <w:t>13.3工程试车</w:t>
      </w:r>
      <w:bookmarkEnd w:id="337"/>
    </w:p>
    <w:bookmarkEnd w:id="338"/>
    <w:bookmarkEnd w:id="339"/>
    <w:bookmarkEnd w:id="340"/>
    <w:p>
      <w:pPr>
        <w:ind w:firstLine="420"/>
        <w:rPr>
          <w:rFonts w:ascii="宋体" w:hAnsi="宋体" w:cs="仿宋_GB2312"/>
          <w:szCs w:val="21"/>
          <w:highlight w:val="none"/>
        </w:rPr>
      </w:pPr>
      <w:r>
        <w:rPr>
          <w:rFonts w:ascii="宋体" w:hAnsi="宋体" w:cs="仿宋_GB2312"/>
          <w:szCs w:val="21"/>
          <w:highlight w:val="none"/>
        </w:rPr>
        <w:t>13.3.1试车程序</w:t>
      </w:r>
    </w:p>
    <w:p>
      <w:pPr>
        <w:ind w:firstLine="420"/>
        <w:rPr>
          <w:rFonts w:ascii="宋体" w:hAnsi="宋体" w:cs="仿宋_GB2312"/>
          <w:szCs w:val="21"/>
          <w:highlight w:val="none"/>
        </w:rPr>
      </w:pPr>
      <w:r>
        <w:rPr>
          <w:rFonts w:ascii="宋体" w:hAnsi="宋体" w:cs="仿宋_GB2312"/>
          <w:szCs w:val="21"/>
          <w:highlight w:val="none"/>
        </w:rPr>
        <w:t>工程需要试车的，除专用合同条款另有约定外，试车内容应与承包人承包范围相一致，试车费用由承包人承担。工程试车应按如下程序进行：</w:t>
      </w:r>
    </w:p>
    <w:p>
      <w:pPr>
        <w:ind w:firstLine="420"/>
        <w:rPr>
          <w:rFonts w:ascii="宋体" w:hAnsi="宋体" w:cs="仿宋_GB2312"/>
          <w:szCs w:val="21"/>
          <w:highlight w:val="none"/>
        </w:rPr>
      </w:pPr>
      <w:r>
        <w:rPr>
          <w:rFonts w:ascii="宋体" w:hAnsi="宋体" w:cs="仿宋_GB2312"/>
          <w:szCs w:val="21"/>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ind w:firstLine="420"/>
        <w:rPr>
          <w:rFonts w:ascii="宋体" w:hAnsi="宋体" w:cs="仿宋_GB2312"/>
          <w:szCs w:val="21"/>
          <w:highlight w:val="none"/>
        </w:rPr>
      </w:pPr>
      <w:r>
        <w:rPr>
          <w:rFonts w:ascii="宋体" w:hAnsi="宋体" w:cs="仿宋_GB2312"/>
          <w:szCs w:val="21"/>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ind w:firstLine="420"/>
        <w:rPr>
          <w:rFonts w:ascii="宋体" w:hAnsi="宋体" w:cs="仿宋_GB2312"/>
          <w:szCs w:val="21"/>
          <w:highlight w:val="none"/>
        </w:rPr>
      </w:pPr>
      <w:r>
        <w:rPr>
          <w:rFonts w:ascii="宋体" w:hAnsi="宋体" w:cs="仿宋_GB2312"/>
          <w:szCs w:val="21"/>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ind w:firstLine="420"/>
        <w:rPr>
          <w:rFonts w:ascii="宋体" w:hAnsi="宋体" w:cs="仿宋_GB2312"/>
          <w:szCs w:val="21"/>
          <w:highlight w:val="none"/>
        </w:rPr>
      </w:pPr>
      <w:r>
        <w:rPr>
          <w:rFonts w:ascii="宋体" w:hAnsi="宋体" w:cs="仿宋_GB2312"/>
          <w:szCs w:val="21"/>
          <w:highlight w:val="none"/>
        </w:rPr>
        <w:t>13.3.2 试车中的责任</w:t>
      </w:r>
    </w:p>
    <w:p>
      <w:pPr>
        <w:ind w:firstLine="420"/>
        <w:rPr>
          <w:rFonts w:ascii="宋体" w:hAnsi="宋体" w:cs="仿宋_GB2312"/>
          <w:szCs w:val="21"/>
          <w:highlight w:val="none"/>
        </w:rPr>
      </w:pPr>
      <w:r>
        <w:rPr>
          <w:rFonts w:ascii="宋体" w:hAnsi="宋体" w:cs="仿宋_GB2312"/>
          <w:szCs w:val="21"/>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ind w:firstLine="420"/>
        <w:rPr>
          <w:rFonts w:ascii="宋体" w:hAnsi="宋体" w:cs="仿宋_GB2312"/>
          <w:szCs w:val="21"/>
          <w:highlight w:val="none"/>
        </w:rPr>
      </w:pPr>
      <w:r>
        <w:rPr>
          <w:rFonts w:ascii="宋体" w:hAnsi="宋体" w:cs="仿宋_GB2312"/>
          <w:szCs w:val="21"/>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ind w:firstLine="420"/>
        <w:rPr>
          <w:rFonts w:ascii="宋体" w:hAnsi="宋体" w:cs="仿宋_GB2312"/>
          <w:szCs w:val="21"/>
          <w:highlight w:val="none"/>
        </w:rPr>
      </w:pPr>
      <w:r>
        <w:rPr>
          <w:rFonts w:ascii="宋体" w:hAnsi="宋体" w:cs="仿宋_GB2312"/>
          <w:szCs w:val="21"/>
          <w:highlight w:val="none"/>
        </w:rPr>
        <w:t>13.3.3 投料试车</w:t>
      </w:r>
    </w:p>
    <w:p>
      <w:pPr>
        <w:ind w:firstLine="420"/>
        <w:rPr>
          <w:rFonts w:ascii="宋体" w:hAnsi="宋体" w:cs="仿宋_GB2312"/>
          <w:szCs w:val="21"/>
          <w:highlight w:val="none"/>
        </w:rPr>
      </w:pPr>
      <w:r>
        <w:rPr>
          <w:rFonts w:hint="eastAsia" w:ascii="宋体" w:hAnsi="宋体" w:cs="仿宋_GB2312"/>
          <w:szCs w:val="21"/>
          <w:highlight w:val="none"/>
        </w:rPr>
        <w:t>如需进行投料试车的，</w:t>
      </w:r>
      <w:r>
        <w:rPr>
          <w:rFonts w:ascii="宋体" w:hAnsi="宋体" w:cs="仿宋_GB2312"/>
          <w:szCs w:val="21"/>
          <w:highlight w:val="none"/>
        </w:rPr>
        <w:t>发包人</w:t>
      </w:r>
      <w:r>
        <w:rPr>
          <w:rFonts w:hint="eastAsia" w:ascii="宋体" w:hAnsi="宋体" w:cs="仿宋_GB2312"/>
          <w:szCs w:val="21"/>
          <w:highlight w:val="none"/>
        </w:rPr>
        <w:t>应在</w:t>
      </w:r>
      <w:r>
        <w:rPr>
          <w:rFonts w:ascii="宋体" w:hAnsi="宋体" w:cs="仿宋_GB2312"/>
          <w:szCs w:val="21"/>
          <w:highlight w:val="none"/>
        </w:rPr>
        <w:t>工程竣工验收后</w:t>
      </w:r>
      <w:r>
        <w:rPr>
          <w:rFonts w:hint="eastAsia" w:ascii="宋体" w:hAnsi="宋体" w:cs="仿宋_GB2312"/>
          <w:szCs w:val="21"/>
          <w:highlight w:val="none"/>
        </w:rPr>
        <w:t>组织</w:t>
      </w:r>
      <w:r>
        <w:rPr>
          <w:rFonts w:ascii="宋体" w:hAnsi="宋体" w:cs="仿宋_GB2312"/>
          <w:szCs w:val="21"/>
          <w:highlight w:val="none"/>
        </w:rPr>
        <w:t>投料试车</w:t>
      </w:r>
      <w:r>
        <w:rPr>
          <w:rFonts w:hint="eastAsia" w:ascii="宋体" w:hAnsi="宋体" w:cs="仿宋_GB2312"/>
          <w:szCs w:val="21"/>
          <w:highlight w:val="none"/>
        </w:rPr>
        <w:t>。</w:t>
      </w:r>
      <w:r>
        <w:rPr>
          <w:rFonts w:ascii="宋体" w:hAnsi="宋体" w:cs="仿宋_GB2312"/>
          <w:szCs w:val="21"/>
          <w:highlight w:val="none"/>
        </w:rPr>
        <w:t>发包人要求在工程竣工验收前进行或需要承包人配合时，应征得承包人同意</w:t>
      </w:r>
      <w:r>
        <w:rPr>
          <w:rFonts w:hint="eastAsia" w:ascii="宋体" w:hAnsi="宋体" w:cs="仿宋_GB2312"/>
          <w:szCs w:val="21"/>
          <w:highlight w:val="none"/>
        </w:rPr>
        <w:t>，并在专用合同条款中约定有关事项</w:t>
      </w:r>
      <w:r>
        <w:rPr>
          <w:rFonts w:ascii="宋体" w:hAnsi="宋体" w:cs="仿宋_GB2312"/>
          <w:szCs w:val="21"/>
          <w:highlight w:val="none"/>
        </w:rPr>
        <w:t>。</w:t>
      </w:r>
    </w:p>
    <w:p>
      <w:pPr>
        <w:ind w:firstLine="420"/>
        <w:rPr>
          <w:rFonts w:ascii="宋体" w:hAnsi="宋体" w:cs="仿宋_GB2312"/>
          <w:szCs w:val="21"/>
          <w:highlight w:val="none"/>
        </w:rPr>
      </w:pPr>
      <w:r>
        <w:rPr>
          <w:rFonts w:ascii="宋体" w:hAnsi="宋体" w:cs="仿宋_GB2312"/>
          <w:szCs w:val="21"/>
          <w:highlight w:val="none"/>
        </w:rPr>
        <w:t>投料试车合格的，费用由发包人承担；因承包人原因造成投料试车不合格的，承包人应按照发包人要求进行整改，由此产生的整改费用由承包人承担；非因承包人原因导致投料试车不合格的，</w:t>
      </w:r>
      <w:r>
        <w:rPr>
          <w:rFonts w:hint="eastAsia" w:ascii="宋体" w:hAnsi="宋体" w:cs="仿宋_GB2312"/>
          <w:szCs w:val="21"/>
          <w:highlight w:val="none"/>
        </w:rPr>
        <w:t>如</w:t>
      </w:r>
      <w:r>
        <w:rPr>
          <w:rFonts w:ascii="宋体" w:hAnsi="宋体" w:cs="仿宋_GB2312"/>
          <w:szCs w:val="21"/>
          <w:highlight w:val="none"/>
        </w:rPr>
        <w:t>发包人要求承包人进行整改</w:t>
      </w:r>
      <w:r>
        <w:rPr>
          <w:rFonts w:hint="eastAsia" w:ascii="宋体" w:hAnsi="宋体" w:cs="仿宋_GB2312"/>
          <w:szCs w:val="21"/>
          <w:highlight w:val="none"/>
        </w:rPr>
        <w:t>的</w:t>
      </w:r>
      <w:r>
        <w:rPr>
          <w:rFonts w:ascii="宋体" w:hAnsi="宋体" w:cs="仿宋_GB2312"/>
          <w:szCs w:val="21"/>
          <w:highlight w:val="none"/>
        </w:rPr>
        <w:t>，由此产生的费用由发包人承担。</w:t>
      </w:r>
    </w:p>
    <w:p>
      <w:pPr>
        <w:pStyle w:val="6"/>
        <w:spacing w:before="120" w:after="120" w:line="360" w:lineRule="auto"/>
        <w:ind w:firstLine="480"/>
        <w:rPr>
          <w:rFonts w:ascii="宋体" w:hAnsi="宋体" w:cs="仿宋_GB2312"/>
          <w:b w:val="0"/>
          <w:bCs w:val="0"/>
          <w:sz w:val="21"/>
          <w:szCs w:val="21"/>
          <w:highlight w:val="none"/>
        </w:rPr>
      </w:pPr>
      <w:bookmarkStart w:id="341" w:name="_Toc337558808"/>
      <w:r>
        <w:rPr>
          <w:rFonts w:ascii="宋体" w:hAnsi="宋体" w:cs="仿宋_GB2312"/>
          <w:b w:val="0"/>
          <w:bCs w:val="0"/>
          <w:sz w:val="21"/>
          <w:szCs w:val="21"/>
          <w:highlight w:val="none"/>
        </w:rPr>
        <w:t xml:space="preserve">    </w:t>
      </w:r>
      <w:bookmarkStart w:id="342" w:name="_Toc351203590"/>
      <w:r>
        <w:rPr>
          <w:rFonts w:ascii="宋体" w:hAnsi="宋体" w:cs="仿宋_GB2312"/>
          <w:b w:val="0"/>
          <w:bCs w:val="0"/>
          <w:sz w:val="21"/>
          <w:szCs w:val="21"/>
          <w:highlight w:val="none"/>
        </w:rPr>
        <w:t>13.4提前交付单位工程的验收</w:t>
      </w:r>
      <w:bookmarkEnd w:id="342"/>
    </w:p>
    <w:bookmarkEnd w:id="341"/>
    <w:p>
      <w:pPr>
        <w:ind w:firstLine="420"/>
        <w:rPr>
          <w:rFonts w:ascii="宋体" w:hAnsi="宋体" w:cs="仿宋_GB2312"/>
          <w:szCs w:val="21"/>
          <w:highlight w:val="none"/>
        </w:rPr>
      </w:pPr>
      <w:r>
        <w:rPr>
          <w:rFonts w:ascii="宋体" w:hAnsi="宋体" w:cs="仿宋_GB2312"/>
          <w:szCs w:val="21"/>
          <w:highlight w:val="none"/>
        </w:rPr>
        <w:t>13.4.1 发包人需要在工程竣工前使用单位工程的，或承包人提出提前交付已经竣工的单位工程且经发包人同意的，可进行单位工程验收，验收的程序按照第13.2款</w:t>
      </w:r>
      <w:r>
        <w:rPr>
          <w:rFonts w:hint="eastAsia" w:ascii="宋体" w:hAnsi="宋体" w:cs="仿宋_GB2312"/>
          <w:szCs w:val="21"/>
          <w:highlight w:val="none"/>
        </w:rPr>
        <w:t>〔</w:t>
      </w:r>
      <w:r>
        <w:rPr>
          <w:rFonts w:ascii="宋体" w:hAnsi="宋体" w:cs="仿宋_GB2312"/>
          <w:szCs w:val="21"/>
          <w:highlight w:val="none"/>
        </w:rPr>
        <w:t>竣工验收</w:t>
      </w:r>
      <w:r>
        <w:rPr>
          <w:rFonts w:hint="eastAsia" w:ascii="宋体" w:hAnsi="宋体" w:cs="仿宋_GB2312"/>
          <w:szCs w:val="21"/>
          <w:highlight w:val="none"/>
        </w:rPr>
        <w:t>〕</w:t>
      </w:r>
      <w:r>
        <w:rPr>
          <w:rFonts w:ascii="宋体" w:hAnsi="宋体" w:cs="仿宋_GB2312"/>
          <w:szCs w:val="21"/>
          <w:highlight w:val="none"/>
        </w:rPr>
        <w:t>的约定进行。</w:t>
      </w:r>
    </w:p>
    <w:p>
      <w:pPr>
        <w:ind w:firstLine="420"/>
        <w:rPr>
          <w:rFonts w:ascii="宋体" w:hAnsi="宋体" w:cs="仿宋_GB2312"/>
          <w:szCs w:val="21"/>
          <w:highlight w:val="none"/>
        </w:rPr>
      </w:pPr>
      <w:r>
        <w:rPr>
          <w:rFonts w:ascii="宋体" w:hAnsi="宋体" w:cs="仿宋_GB2312"/>
          <w:szCs w:val="21"/>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pPr>
        <w:ind w:firstLine="420"/>
        <w:rPr>
          <w:rFonts w:ascii="宋体" w:hAnsi="宋体" w:cs="仿宋_GB2312"/>
          <w:szCs w:val="21"/>
          <w:highlight w:val="none"/>
        </w:rPr>
      </w:pPr>
      <w:r>
        <w:rPr>
          <w:rFonts w:ascii="宋体" w:hAnsi="宋体" w:cs="仿宋_GB2312"/>
          <w:szCs w:val="21"/>
          <w:highlight w:val="none"/>
        </w:rPr>
        <w:t>13.4.2 发包人要求在工程竣工前交付单位工程，由此导致承包人费用增加和（或）工期延误的，由发包人承担由此增加的费用和（或）延误的工期，并支付承包人合理的利润。</w:t>
      </w:r>
    </w:p>
    <w:p>
      <w:pPr>
        <w:pStyle w:val="6"/>
        <w:spacing w:before="120" w:after="120" w:line="360" w:lineRule="auto"/>
        <w:ind w:firstLine="420" w:firstLineChars="200"/>
        <w:rPr>
          <w:rFonts w:ascii="宋体" w:hAnsi="宋体" w:cs="仿宋_GB2312"/>
          <w:b w:val="0"/>
          <w:bCs w:val="0"/>
          <w:sz w:val="21"/>
          <w:szCs w:val="21"/>
          <w:highlight w:val="none"/>
        </w:rPr>
      </w:pPr>
      <w:bookmarkStart w:id="343" w:name="_Toc351203591"/>
      <w:r>
        <w:rPr>
          <w:rFonts w:ascii="宋体" w:hAnsi="宋体" w:cs="仿宋_GB2312"/>
          <w:b w:val="0"/>
          <w:bCs w:val="0"/>
          <w:sz w:val="21"/>
          <w:szCs w:val="21"/>
          <w:highlight w:val="none"/>
        </w:rPr>
        <w:t>13.5 施工期运行</w:t>
      </w:r>
      <w:bookmarkEnd w:id="343"/>
    </w:p>
    <w:p>
      <w:pPr>
        <w:ind w:firstLine="420"/>
        <w:rPr>
          <w:rFonts w:ascii="宋体" w:hAnsi="宋体" w:cs="仿宋_GB2312"/>
          <w:szCs w:val="21"/>
          <w:highlight w:val="none"/>
        </w:rPr>
      </w:pPr>
      <w:r>
        <w:rPr>
          <w:rFonts w:ascii="宋体" w:hAnsi="宋体" w:cs="仿宋_GB2312"/>
          <w:szCs w:val="21"/>
          <w:highlight w:val="none"/>
        </w:rPr>
        <w:t>13.5.1 施工期运行是指合同工程尚未全部竣工，其中某项或某几项单位工程或工程设备安装已竣工，根据专用合同条款约定，需要投入施工期运行的，经发包人按第13.4款</w:t>
      </w:r>
      <w:r>
        <w:rPr>
          <w:rFonts w:hint="eastAsia" w:ascii="宋体" w:hAnsi="宋体" w:cs="仿宋_GB2312"/>
          <w:szCs w:val="21"/>
          <w:highlight w:val="none"/>
        </w:rPr>
        <w:t>〔</w:t>
      </w:r>
      <w:r>
        <w:rPr>
          <w:rFonts w:ascii="宋体" w:hAnsi="宋体" w:cs="仿宋_GB2312"/>
          <w:szCs w:val="21"/>
          <w:highlight w:val="none"/>
        </w:rPr>
        <w:t>提前交付单位工程的验收</w:t>
      </w:r>
      <w:r>
        <w:rPr>
          <w:rFonts w:hint="eastAsia" w:ascii="宋体" w:hAnsi="宋体" w:cs="仿宋_GB2312"/>
          <w:szCs w:val="21"/>
          <w:highlight w:val="none"/>
        </w:rPr>
        <w:t>〕</w:t>
      </w:r>
      <w:r>
        <w:rPr>
          <w:rFonts w:ascii="宋体" w:hAnsi="宋体" w:cs="仿宋_GB2312"/>
          <w:szCs w:val="21"/>
          <w:highlight w:val="none"/>
        </w:rPr>
        <w:t>的约定验收合格，证明能确保安全后，才能在施工期投入运行。</w:t>
      </w:r>
    </w:p>
    <w:p>
      <w:pPr>
        <w:ind w:firstLine="420"/>
        <w:rPr>
          <w:rFonts w:ascii="宋体" w:hAnsi="宋体" w:cs="仿宋_GB2312"/>
          <w:szCs w:val="21"/>
          <w:highlight w:val="none"/>
        </w:rPr>
      </w:pPr>
      <w:r>
        <w:rPr>
          <w:rFonts w:ascii="宋体" w:hAnsi="宋体" w:cs="仿宋_GB2312"/>
          <w:szCs w:val="21"/>
          <w:highlight w:val="none"/>
        </w:rPr>
        <w:t>13.5.2 在施工期运行中发现工程或工程设备损坏或存在缺陷的，由承包人按第15.2款</w:t>
      </w:r>
      <w:r>
        <w:rPr>
          <w:rFonts w:hint="eastAsia" w:ascii="宋体" w:hAnsi="宋体" w:cs="仿宋_GB2312"/>
          <w:szCs w:val="21"/>
          <w:highlight w:val="none"/>
        </w:rPr>
        <w:t>〔</w:t>
      </w:r>
      <w:r>
        <w:rPr>
          <w:rFonts w:ascii="宋体" w:hAnsi="宋体" w:cs="仿宋_GB2312"/>
          <w:szCs w:val="21"/>
          <w:highlight w:val="none"/>
        </w:rPr>
        <w:t>缺陷责任期</w:t>
      </w:r>
      <w:r>
        <w:rPr>
          <w:rFonts w:hint="eastAsia" w:ascii="宋体" w:hAnsi="宋体" w:cs="仿宋_GB2312"/>
          <w:szCs w:val="21"/>
          <w:highlight w:val="none"/>
        </w:rPr>
        <w:t>〕</w:t>
      </w:r>
      <w:r>
        <w:rPr>
          <w:rFonts w:ascii="宋体" w:hAnsi="宋体" w:cs="仿宋_GB2312"/>
          <w:szCs w:val="21"/>
          <w:highlight w:val="none"/>
        </w:rPr>
        <w:t>约定进行修复。</w:t>
      </w:r>
    </w:p>
    <w:p>
      <w:pPr>
        <w:pStyle w:val="6"/>
        <w:spacing w:before="120" w:after="120" w:line="360" w:lineRule="auto"/>
        <w:ind w:firstLine="420" w:firstLineChars="200"/>
        <w:rPr>
          <w:rFonts w:ascii="宋体" w:hAnsi="宋体" w:cs="仿宋_GB2312"/>
          <w:b w:val="0"/>
          <w:bCs w:val="0"/>
          <w:sz w:val="21"/>
          <w:szCs w:val="21"/>
          <w:highlight w:val="none"/>
        </w:rPr>
      </w:pPr>
      <w:bookmarkStart w:id="344" w:name="_Toc296346613"/>
      <w:bookmarkStart w:id="345" w:name="_Toc296503112"/>
      <w:bookmarkStart w:id="346" w:name="_Toc351203592"/>
      <w:bookmarkStart w:id="347" w:name="_Toc337558809"/>
      <w:r>
        <w:rPr>
          <w:rFonts w:ascii="宋体" w:hAnsi="宋体" w:cs="仿宋_GB2312"/>
          <w:b w:val="0"/>
          <w:bCs w:val="0"/>
          <w:sz w:val="21"/>
          <w:szCs w:val="21"/>
          <w:highlight w:val="none"/>
        </w:rPr>
        <w:t>13.6 竣工退</w:t>
      </w:r>
      <w:bookmarkEnd w:id="344"/>
      <w:bookmarkEnd w:id="345"/>
      <w:r>
        <w:rPr>
          <w:rFonts w:ascii="宋体" w:hAnsi="宋体" w:cs="仿宋_GB2312"/>
          <w:b w:val="0"/>
          <w:bCs w:val="0"/>
          <w:sz w:val="21"/>
          <w:szCs w:val="21"/>
          <w:highlight w:val="none"/>
        </w:rPr>
        <w:t>场</w:t>
      </w:r>
      <w:bookmarkEnd w:id="346"/>
    </w:p>
    <w:bookmarkEnd w:id="347"/>
    <w:p>
      <w:pPr>
        <w:ind w:firstLine="420"/>
        <w:rPr>
          <w:rFonts w:ascii="宋体" w:hAnsi="宋体" w:cs="仿宋_GB2312"/>
          <w:szCs w:val="21"/>
          <w:highlight w:val="none"/>
        </w:rPr>
      </w:pPr>
      <w:r>
        <w:rPr>
          <w:rFonts w:ascii="宋体" w:hAnsi="宋体" w:cs="仿宋_GB2312"/>
          <w:szCs w:val="21"/>
          <w:highlight w:val="none"/>
        </w:rPr>
        <w:t>13.6.1 竣工退场</w:t>
      </w:r>
    </w:p>
    <w:p>
      <w:pPr>
        <w:ind w:firstLine="420"/>
        <w:rPr>
          <w:rFonts w:ascii="宋体" w:hAnsi="宋体" w:cs="仿宋_GB2312"/>
          <w:szCs w:val="21"/>
          <w:highlight w:val="none"/>
        </w:rPr>
      </w:pPr>
      <w:r>
        <w:rPr>
          <w:rFonts w:ascii="宋体" w:hAnsi="宋体" w:cs="仿宋_GB2312"/>
          <w:szCs w:val="21"/>
          <w:highlight w:val="none"/>
        </w:rPr>
        <w:t>颁发工程接收证书后，承包人应按以下要求对施工现场进行清理：</w:t>
      </w:r>
    </w:p>
    <w:p>
      <w:pPr>
        <w:ind w:firstLine="420"/>
        <w:rPr>
          <w:rFonts w:ascii="宋体" w:hAnsi="宋体" w:cs="仿宋_GB2312"/>
          <w:szCs w:val="21"/>
          <w:highlight w:val="none"/>
        </w:rPr>
      </w:pPr>
      <w:r>
        <w:rPr>
          <w:rFonts w:ascii="宋体" w:hAnsi="宋体" w:cs="仿宋_GB2312"/>
          <w:szCs w:val="21"/>
          <w:highlight w:val="none"/>
        </w:rPr>
        <w:t>（1）施工现场内残留的垃圾已全部清除出场；</w:t>
      </w:r>
    </w:p>
    <w:p>
      <w:pPr>
        <w:ind w:firstLine="420"/>
        <w:rPr>
          <w:rFonts w:ascii="宋体" w:hAnsi="宋体" w:cs="仿宋_GB2312"/>
          <w:szCs w:val="21"/>
          <w:highlight w:val="none"/>
        </w:rPr>
      </w:pPr>
      <w:r>
        <w:rPr>
          <w:rFonts w:ascii="宋体" w:hAnsi="宋体" w:cs="仿宋_GB2312"/>
          <w:szCs w:val="21"/>
          <w:highlight w:val="none"/>
        </w:rPr>
        <w:t>（2）临时工程已拆除，场地已进行清理、平整或复原；</w:t>
      </w:r>
    </w:p>
    <w:p>
      <w:pPr>
        <w:ind w:firstLine="420"/>
        <w:rPr>
          <w:rFonts w:ascii="宋体" w:hAnsi="宋体" w:cs="仿宋_GB2312"/>
          <w:szCs w:val="21"/>
          <w:highlight w:val="none"/>
        </w:rPr>
      </w:pPr>
      <w:r>
        <w:rPr>
          <w:rFonts w:ascii="宋体" w:hAnsi="宋体" w:cs="仿宋_GB2312"/>
          <w:szCs w:val="21"/>
          <w:highlight w:val="none"/>
        </w:rPr>
        <w:t>（3）按合同约定应撤离的人员、承包人施工设备和剩余的材料，包括废弃的施工设备和材料，已按计划撤离施工现场；</w:t>
      </w:r>
    </w:p>
    <w:p>
      <w:pPr>
        <w:ind w:firstLine="420"/>
        <w:rPr>
          <w:rFonts w:ascii="宋体" w:hAnsi="宋体" w:cs="仿宋_GB2312"/>
          <w:szCs w:val="21"/>
          <w:highlight w:val="none"/>
        </w:rPr>
      </w:pPr>
      <w:r>
        <w:rPr>
          <w:rFonts w:ascii="宋体" w:hAnsi="宋体" w:cs="仿宋_GB2312"/>
          <w:szCs w:val="21"/>
          <w:highlight w:val="none"/>
        </w:rPr>
        <w:t>（4）施工现场周边及其附近道路、河道的施工堆积物，已全部清理；</w:t>
      </w:r>
    </w:p>
    <w:p>
      <w:pPr>
        <w:ind w:firstLine="420"/>
        <w:rPr>
          <w:rFonts w:ascii="宋体" w:hAnsi="宋体" w:cs="仿宋_GB2312"/>
          <w:szCs w:val="21"/>
          <w:highlight w:val="none"/>
        </w:rPr>
      </w:pPr>
      <w:r>
        <w:rPr>
          <w:rFonts w:ascii="宋体" w:hAnsi="宋体" w:cs="仿宋_GB2312"/>
          <w:szCs w:val="21"/>
          <w:highlight w:val="none"/>
        </w:rPr>
        <w:t>（5）施工现场其他场地清理工作已全部完成。</w:t>
      </w:r>
    </w:p>
    <w:p>
      <w:pPr>
        <w:ind w:firstLine="420"/>
        <w:rPr>
          <w:rFonts w:ascii="宋体" w:hAnsi="宋体" w:cs="仿宋_GB2312"/>
          <w:szCs w:val="21"/>
          <w:highlight w:val="none"/>
        </w:rPr>
      </w:pPr>
      <w:r>
        <w:rPr>
          <w:rFonts w:ascii="宋体" w:hAnsi="宋体" w:cs="仿宋_GB2312"/>
          <w:szCs w:val="21"/>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ind w:firstLine="420"/>
        <w:rPr>
          <w:rFonts w:ascii="宋体" w:hAnsi="宋体" w:cs="仿宋_GB2312"/>
          <w:szCs w:val="21"/>
          <w:highlight w:val="none"/>
        </w:rPr>
      </w:pPr>
      <w:r>
        <w:rPr>
          <w:rFonts w:ascii="宋体" w:hAnsi="宋体" w:cs="仿宋_GB2312"/>
          <w:szCs w:val="21"/>
          <w:highlight w:val="none"/>
        </w:rPr>
        <w:t>13.6.2 地表还原</w:t>
      </w:r>
    </w:p>
    <w:p>
      <w:pPr>
        <w:ind w:firstLine="420"/>
        <w:rPr>
          <w:rFonts w:ascii="宋体" w:hAnsi="宋体" w:cs="仿宋_GB2312"/>
          <w:szCs w:val="21"/>
          <w:highlight w:val="none"/>
        </w:rPr>
      </w:pPr>
      <w:r>
        <w:rPr>
          <w:rFonts w:ascii="宋体" w:hAnsi="宋体" w:cs="仿宋_GB2312"/>
          <w:szCs w:val="21"/>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pPr>
        <w:pStyle w:val="5"/>
        <w:spacing w:before="120" w:after="120"/>
        <w:ind w:firstLine="420"/>
        <w:rPr>
          <w:rFonts w:ascii="宋体" w:hAnsi="宋体" w:cs="仿宋_GB2312"/>
          <w:bCs w:val="0"/>
          <w:szCs w:val="21"/>
          <w:highlight w:val="none"/>
        </w:rPr>
      </w:pPr>
      <w:bookmarkStart w:id="348" w:name="_Toc351203593"/>
      <w:bookmarkStart w:id="349" w:name="_Toc337558810"/>
      <w:bookmarkStart w:id="350" w:name="_Toc296346614"/>
      <w:bookmarkStart w:id="351" w:name="_Toc296503113"/>
      <w:r>
        <w:rPr>
          <w:rFonts w:ascii="宋体" w:hAnsi="宋体" w:cs="仿宋_GB2312"/>
          <w:bCs w:val="0"/>
          <w:szCs w:val="21"/>
          <w:highlight w:val="none"/>
        </w:rPr>
        <w:t>14. 竣工结算</w:t>
      </w:r>
      <w:bookmarkEnd w:id="348"/>
    </w:p>
    <w:bookmarkEnd w:id="349"/>
    <w:p>
      <w:pPr>
        <w:pStyle w:val="6"/>
        <w:spacing w:before="120" w:after="120" w:line="360" w:lineRule="auto"/>
        <w:ind w:firstLine="420" w:firstLineChars="200"/>
        <w:rPr>
          <w:rFonts w:ascii="宋体" w:hAnsi="宋体" w:cs="仿宋_GB2312"/>
          <w:b w:val="0"/>
          <w:bCs w:val="0"/>
          <w:sz w:val="21"/>
          <w:szCs w:val="21"/>
          <w:highlight w:val="none"/>
        </w:rPr>
      </w:pPr>
      <w:bookmarkStart w:id="352" w:name="_Toc351203594"/>
      <w:bookmarkStart w:id="353" w:name="_Toc337558811"/>
      <w:r>
        <w:rPr>
          <w:rFonts w:ascii="宋体" w:hAnsi="宋体" w:cs="仿宋_GB2312"/>
          <w:b w:val="0"/>
          <w:bCs w:val="0"/>
          <w:sz w:val="21"/>
          <w:szCs w:val="21"/>
          <w:highlight w:val="none"/>
        </w:rPr>
        <w:t>14.1 竣工结算申请</w:t>
      </w:r>
      <w:bookmarkEnd w:id="352"/>
    </w:p>
    <w:bookmarkEnd w:id="353"/>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除专用合同条款另有约定外，承包人应在工程竣工验收合格后28天内向发包人和监理人提交竣工结算申请单，并提交完整的结算资料，</w:t>
      </w:r>
      <w:r>
        <w:rPr>
          <w:rFonts w:hint="eastAsia" w:ascii="宋体" w:hAnsi="宋体" w:cs="仿宋_GB2312"/>
          <w:szCs w:val="21"/>
          <w:highlight w:val="none"/>
        </w:rPr>
        <w:t>有关</w:t>
      </w:r>
      <w:r>
        <w:rPr>
          <w:rFonts w:ascii="宋体" w:hAnsi="宋体" w:cs="仿宋_GB2312"/>
          <w:szCs w:val="21"/>
          <w:highlight w:val="none"/>
        </w:rPr>
        <w:t>竣工结算申请单</w:t>
      </w:r>
      <w:r>
        <w:rPr>
          <w:rFonts w:hint="eastAsia" w:ascii="宋体" w:hAnsi="宋体" w:cs="仿宋_GB2312"/>
          <w:szCs w:val="21"/>
          <w:highlight w:val="none"/>
        </w:rPr>
        <w:t>的资料清单和</w:t>
      </w:r>
      <w:r>
        <w:rPr>
          <w:rFonts w:ascii="宋体" w:hAnsi="宋体" w:cs="仿宋_GB2312"/>
          <w:szCs w:val="21"/>
          <w:highlight w:val="none"/>
        </w:rPr>
        <w:t>份数</w:t>
      </w:r>
      <w:r>
        <w:rPr>
          <w:rFonts w:hint="eastAsia" w:ascii="宋体" w:hAnsi="宋体" w:cs="仿宋_GB2312"/>
          <w:szCs w:val="21"/>
          <w:highlight w:val="none"/>
        </w:rPr>
        <w:t>等要求</w:t>
      </w:r>
      <w:r>
        <w:rPr>
          <w:rFonts w:ascii="宋体" w:hAnsi="宋体" w:cs="仿宋_GB2312"/>
          <w:szCs w:val="21"/>
          <w:highlight w:val="none"/>
        </w:rPr>
        <w:t>由合同当事人在专用合同条款中约定。</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除专用合同条款另有约定外，竣工结算申请单应包括以下内容：</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（1）竣工结算合同价格；</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（2）发包人已支付承包人的款项；</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 xml:space="preserve">（3）应扣留的质量保证金； </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（4）发包人应支付承包人的合同价款。</w:t>
      </w:r>
    </w:p>
    <w:p>
      <w:pPr>
        <w:pStyle w:val="6"/>
        <w:spacing w:before="120" w:after="120" w:line="360" w:lineRule="auto"/>
        <w:ind w:firstLine="420" w:firstLineChars="200"/>
        <w:rPr>
          <w:rFonts w:ascii="宋体" w:hAnsi="宋体" w:cs="仿宋_GB2312"/>
          <w:b w:val="0"/>
          <w:bCs w:val="0"/>
          <w:sz w:val="21"/>
          <w:szCs w:val="21"/>
          <w:highlight w:val="none"/>
        </w:rPr>
      </w:pPr>
      <w:bookmarkStart w:id="354" w:name="_Toc351203595"/>
      <w:bookmarkStart w:id="355" w:name="_Toc337558812"/>
      <w:r>
        <w:rPr>
          <w:rFonts w:ascii="宋体" w:hAnsi="宋体" w:cs="仿宋_GB2312"/>
          <w:b w:val="0"/>
          <w:bCs w:val="0"/>
          <w:sz w:val="21"/>
          <w:szCs w:val="21"/>
          <w:highlight w:val="none"/>
        </w:rPr>
        <w:t>14.2 竣工结算审核</w:t>
      </w:r>
      <w:bookmarkEnd w:id="354"/>
    </w:p>
    <w:bookmarkEnd w:id="355"/>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（1）除专用合同条款另有约定外，监理人应在收到竣工结算申请单后14天内完成核查并报送发包人。发包人应在收到监理人提交的经审核的竣工结算申请单后14天内完成</w:t>
      </w:r>
      <w:r>
        <w:rPr>
          <w:rFonts w:hint="eastAsia" w:ascii="宋体" w:hAnsi="宋体" w:cs="仿宋_GB2312"/>
          <w:szCs w:val="21"/>
          <w:highlight w:val="none"/>
        </w:rPr>
        <w:t>审批</w:t>
      </w:r>
      <w:r>
        <w:rPr>
          <w:rFonts w:ascii="宋体" w:hAnsi="宋体" w:cs="仿宋_GB2312"/>
          <w:szCs w:val="21"/>
          <w:highlight w:val="none"/>
        </w:rPr>
        <w:t>，并由监理人向承包人签发经发包人签认的竣工付款证书。监理人或发包人对竣工结算申请单有异议的，有权要求承包人进行修正和提供补充资料，承包人应提交修正后的竣工结算申请单。</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发包人在收到承包人提交竣工结算申请书后28天</w:t>
      </w:r>
      <w:r>
        <w:rPr>
          <w:rFonts w:hint="eastAsia" w:ascii="宋体" w:hAnsi="宋体" w:cs="仿宋_GB2312"/>
          <w:szCs w:val="21"/>
          <w:highlight w:val="none"/>
        </w:rPr>
        <w:t>内</w:t>
      </w:r>
      <w:r>
        <w:rPr>
          <w:rFonts w:ascii="宋体" w:hAnsi="宋体" w:cs="仿宋_GB2312"/>
          <w:szCs w:val="21"/>
          <w:highlight w:val="none"/>
        </w:rPr>
        <w:t>未完成</w:t>
      </w:r>
      <w:r>
        <w:rPr>
          <w:rFonts w:hint="eastAsia" w:ascii="宋体" w:hAnsi="宋体" w:cs="仿宋_GB2312"/>
          <w:szCs w:val="21"/>
          <w:highlight w:val="none"/>
        </w:rPr>
        <w:t>审批</w:t>
      </w:r>
      <w:r>
        <w:rPr>
          <w:rFonts w:ascii="宋体" w:hAnsi="宋体" w:cs="仿宋_GB2312"/>
          <w:szCs w:val="21"/>
          <w:highlight w:val="none"/>
        </w:rPr>
        <w:t>且未提出异议的，视为发包人认可承包人提交的竣工结算申请单，并自发包人收到承包人提交的竣工结算申请单后第29天起视为已签发竣工付款证书。</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（3）承包人对发包人签认的竣工付款证书有异议的，对于有异议部分应在收到发包人签认的竣工付款证书后7天内提出异议，并由合同当事人按照专用合同条款约定</w:t>
      </w:r>
      <w:r>
        <w:rPr>
          <w:rFonts w:hint="eastAsia" w:ascii="宋体" w:hAnsi="宋体" w:cs="仿宋_GB2312"/>
          <w:szCs w:val="21"/>
          <w:highlight w:val="none"/>
        </w:rPr>
        <w:t>的方式和程序</w:t>
      </w:r>
      <w:r>
        <w:rPr>
          <w:rFonts w:ascii="宋体" w:hAnsi="宋体" w:cs="仿宋_GB2312"/>
          <w:szCs w:val="21"/>
          <w:highlight w:val="none"/>
        </w:rPr>
        <w:t>进行复核，或按照第20条</w:t>
      </w:r>
      <w:r>
        <w:rPr>
          <w:rFonts w:hint="eastAsia" w:ascii="宋体" w:hAnsi="宋体" w:cs="仿宋_GB2312"/>
          <w:szCs w:val="21"/>
          <w:highlight w:val="none"/>
        </w:rPr>
        <w:t>〔</w:t>
      </w:r>
      <w:r>
        <w:rPr>
          <w:rFonts w:ascii="宋体" w:hAnsi="宋体" w:cs="仿宋_GB2312"/>
          <w:szCs w:val="21"/>
          <w:highlight w:val="none"/>
        </w:rPr>
        <w:t>争议解决</w:t>
      </w:r>
      <w:r>
        <w:rPr>
          <w:rFonts w:hint="eastAsia" w:ascii="宋体" w:hAnsi="宋体" w:cs="仿宋_GB2312"/>
          <w:szCs w:val="21"/>
          <w:highlight w:val="none"/>
        </w:rPr>
        <w:t>〕</w:t>
      </w:r>
      <w:r>
        <w:rPr>
          <w:rFonts w:ascii="宋体" w:hAnsi="宋体" w:cs="仿宋_GB2312"/>
          <w:szCs w:val="21"/>
          <w:highlight w:val="none"/>
        </w:rPr>
        <w:t>约定处理。对于无异议部分，发包人应签发临时竣工付款证书，并按本款第（2）项完成付款</w:t>
      </w:r>
      <w:r>
        <w:rPr>
          <w:rFonts w:hint="eastAsia" w:ascii="宋体" w:hAnsi="宋体" w:cs="仿宋_GB2312"/>
          <w:szCs w:val="21"/>
          <w:highlight w:val="none"/>
        </w:rPr>
        <w:t>。</w:t>
      </w:r>
      <w:r>
        <w:rPr>
          <w:rFonts w:ascii="宋体" w:hAnsi="宋体" w:cs="仿宋_GB2312"/>
          <w:szCs w:val="21"/>
          <w:highlight w:val="none"/>
        </w:rPr>
        <w:t>承包人逾期未提出异议的，视为认可发包人的</w:t>
      </w:r>
      <w:r>
        <w:rPr>
          <w:rFonts w:hint="eastAsia" w:ascii="宋体" w:hAnsi="宋体" w:cs="仿宋_GB2312"/>
          <w:szCs w:val="21"/>
          <w:highlight w:val="none"/>
        </w:rPr>
        <w:t>审批</w:t>
      </w:r>
      <w:r>
        <w:rPr>
          <w:rFonts w:ascii="宋体" w:hAnsi="宋体" w:cs="仿宋_GB2312"/>
          <w:szCs w:val="21"/>
          <w:highlight w:val="none"/>
        </w:rPr>
        <w:t>结果。</w:t>
      </w:r>
    </w:p>
    <w:p>
      <w:pPr>
        <w:pStyle w:val="6"/>
        <w:keepNext w:val="0"/>
        <w:keepLines w:val="0"/>
        <w:spacing w:before="120" w:after="120" w:line="360" w:lineRule="auto"/>
        <w:ind w:firstLine="420" w:firstLineChars="200"/>
        <w:rPr>
          <w:rFonts w:ascii="宋体" w:hAnsi="宋体" w:cs="仿宋_GB2312"/>
          <w:b w:val="0"/>
          <w:bCs w:val="0"/>
          <w:sz w:val="21"/>
          <w:szCs w:val="21"/>
          <w:highlight w:val="none"/>
        </w:rPr>
      </w:pPr>
      <w:bookmarkStart w:id="356" w:name="_Toc351203596"/>
      <w:bookmarkStart w:id="357" w:name="_Toc337558813"/>
      <w:r>
        <w:rPr>
          <w:rFonts w:ascii="宋体" w:hAnsi="宋体" w:cs="仿宋_GB2312"/>
          <w:b w:val="0"/>
          <w:bCs w:val="0"/>
          <w:sz w:val="21"/>
          <w:szCs w:val="21"/>
          <w:highlight w:val="none"/>
        </w:rPr>
        <w:t>14.3 甩项竣工协议</w:t>
      </w:r>
      <w:bookmarkEnd w:id="356"/>
    </w:p>
    <w:bookmarkEnd w:id="357"/>
    <w:p>
      <w:pPr>
        <w:autoSpaceDE w:val="0"/>
        <w:autoSpaceDN w:val="0"/>
        <w:adjustRightInd w:val="0"/>
        <w:ind w:firstLine="411" w:firstLineChars="196"/>
        <w:rPr>
          <w:rFonts w:ascii="宋体" w:hAnsi="宋体" w:cs="仿宋_GB2312"/>
          <w:szCs w:val="21"/>
          <w:highlight w:val="none"/>
        </w:rPr>
      </w:pPr>
      <w:r>
        <w:rPr>
          <w:rFonts w:ascii="宋体" w:hAnsi="宋体" w:cs="仿宋_GB2312"/>
          <w:szCs w:val="21"/>
          <w:highlight w:val="none"/>
        </w:rPr>
        <w:t>发包人要求甩项竣工的，合同当事人应签订甩项竣工协议。在甩项竣工协议中应明确，合同当事人按照第14.1款</w:t>
      </w:r>
      <w:r>
        <w:rPr>
          <w:rFonts w:hint="eastAsia" w:ascii="宋体" w:hAnsi="宋体" w:cs="仿宋_GB2312"/>
          <w:szCs w:val="21"/>
          <w:highlight w:val="none"/>
        </w:rPr>
        <w:t>〔</w:t>
      </w:r>
      <w:r>
        <w:rPr>
          <w:rFonts w:ascii="宋体" w:hAnsi="宋体" w:cs="仿宋_GB2312"/>
          <w:szCs w:val="21"/>
          <w:highlight w:val="none"/>
        </w:rPr>
        <w:t>竣工</w:t>
      </w:r>
      <w:r>
        <w:rPr>
          <w:rFonts w:hint="eastAsia" w:ascii="宋体" w:hAnsi="宋体" w:cs="仿宋_GB2312"/>
          <w:szCs w:val="21"/>
          <w:highlight w:val="none"/>
        </w:rPr>
        <w:t>结算</w:t>
      </w:r>
      <w:r>
        <w:rPr>
          <w:rFonts w:ascii="宋体" w:hAnsi="宋体" w:cs="仿宋_GB2312"/>
          <w:szCs w:val="21"/>
          <w:highlight w:val="none"/>
        </w:rPr>
        <w:t>申请</w:t>
      </w:r>
      <w:r>
        <w:rPr>
          <w:rFonts w:hint="eastAsia" w:ascii="宋体" w:hAnsi="宋体" w:cs="仿宋_GB2312"/>
          <w:szCs w:val="21"/>
          <w:highlight w:val="none"/>
        </w:rPr>
        <w:t>〕</w:t>
      </w:r>
      <w:r>
        <w:rPr>
          <w:rFonts w:ascii="宋体" w:hAnsi="宋体" w:cs="仿宋_GB2312"/>
          <w:szCs w:val="21"/>
          <w:highlight w:val="none"/>
        </w:rPr>
        <w:t>及14.2款</w:t>
      </w:r>
      <w:r>
        <w:rPr>
          <w:rFonts w:hint="eastAsia" w:ascii="宋体" w:hAnsi="宋体" w:cs="仿宋_GB2312"/>
          <w:szCs w:val="21"/>
          <w:highlight w:val="none"/>
        </w:rPr>
        <w:t>〔</w:t>
      </w:r>
      <w:r>
        <w:rPr>
          <w:rFonts w:ascii="宋体" w:hAnsi="宋体" w:cs="仿宋_GB2312"/>
          <w:szCs w:val="21"/>
          <w:highlight w:val="none"/>
        </w:rPr>
        <w:t>竣工结算审核</w:t>
      </w:r>
      <w:r>
        <w:rPr>
          <w:rFonts w:hint="eastAsia" w:ascii="宋体" w:hAnsi="宋体" w:cs="仿宋_GB2312"/>
          <w:szCs w:val="21"/>
          <w:highlight w:val="none"/>
        </w:rPr>
        <w:t>〕</w:t>
      </w:r>
      <w:r>
        <w:rPr>
          <w:rFonts w:ascii="宋体" w:hAnsi="宋体" w:cs="仿宋_GB2312"/>
          <w:szCs w:val="21"/>
          <w:highlight w:val="none"/>
        </w:rPr>
        <w:t>的约定，</w:t>
      </w:r>
      <w:r>
        <w:rPr>
          <w:rFonts w:hint="eastAsia" w:ascii="宋体" w:hAnsi="宋体" w:cs="仿宋_GB2312"/>
          <w:szCs w:val="21"/>
          <w:highlight w:val="none"/>
        </w:rPr>
        <w:t>对已</w:t>
      </w:r>
      <w:r>
        <w:rPr>
          <w:rFonts w:ascii="宋体" w:hAnsi="宋体" w:cs="仿宋_GB2312"/>
          <w:szCs w:val="21"/>
          <w:highlight w:val="none"/>
        </w:rPr>
        <w:t>完合格工程</w:t>
      </w:r>
      <w:r>
        <w:rPr>
          <w:rFonts w:hint="eastAsia" w:ascii="宋体" w:hAnsi="宋体" w:cs="仿宋_GB2312"/>
          <w:szCs w:val="21"/>
          <w:highlight w:val="none"/>
        </w:rPr>
        <w:t>进行</w:t>
      </w:r>
      <w:r>
        <w:rPr>
          <w:rFonts w:ascii="宋体" w:hAnsi="宋体" w:cs="仿宋_GB2312"/>
          <w:szCs w:val="21"/>
          <w:highlight w:val="none"/>
        </w:rPr>
        <w:t>结算，并支付相应</w:t>
      </w:r>
      <w:r>
        <w:rPr>
          <w:rFonts w:hint="eastAsia" w:ascii="宋体" w:hAnsi="宋体" w:cs="仿宋_GB2312"/>
          <w:szCs w:val="21"/>
          <w:highlight w:val="none"/>
        </w:rPr>
        <w:t>合同</w:t>
      </w:r>
      <w:r>
        <w:rPr>
          <w:rFonts w:ascii="宋体" w:hAnsi="宋体" w:cs="仿宋_GB2312"/>
          <w:szCs w:val="21"/>
          <w:highlight w:val="none"/>
        </w:rPr>
        <w:t>价款。</w:t>
      </w:r>
    </w:p>
    <w:p>
      <w:pPr>
        <w:pStyle w:val="6"/>
        <w:keepNext w:val="0"/>
        <w:keepLines w:val="0"/>
        <w:spacing w:before="120" w:after="120" w:line="360" w:lineRule="auto"/>
        <w:ind w:firstLine="420" w:firstLineChars="200"/>
        <w:rPr>
          <w:rFonts w:ascii="宋体" w:hAnsi="宋体" w:cs="仿宋_GB2312"/>
          <w:b w:val="0"/>
          <w:bCs w:val="0"/>
          <w:sz w:val="21"/>
          <w:szCs w:val="21"/>
          <w:highlight w:val="none"/>
        </w:rPr>
      </w:pPr>
      <w:bookmarkStart w:id="358" w:name="_Toc351203597"/>
      <w:bookmarkStart w:id="359" w:name="_Toc337558814"/>
      <w:r>
        <w:rPr>
          <w:rFonts w:ascii="宋体" w:hAnsi="宋体" w:cs="仿宋_GB2312"/>
          <w:b w:val="0"/>
          <w:bCs w:val="0"/>
          <w:sz w:val="21"/>
          <w:szCs w:val="21"/>
          <w:highlight w:val="none"/>
        </w:rPr>
        <w:t>14.4 最终结清</w:t>
      </w:r>
      <w:bookmarkEnd w:id="358"/>
    </w:p>
    <w:bookmarkEnd w:id="359"/>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14.4.1 最终结清申请单</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（1）除专用合同条款另有约定外，承包人应在缺陷责任期终止证书颁发后7天内，按专用合同条款约定的份数向发包人提交最终结清申请单，并提供相关证明材料。</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除专用合同条款另有约定外，最终结清申请单应列明质量保证金、应扣除的质量保证金、缺陷责任期内发生的增减费用。</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（2）发包人对最终结清申请单内容有异议的，有权要求承包人进行修正和提供补充资料，承包人应向发包人提交修正后的最终结清申请单。</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14.4.2 最终结清证书和支付</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（1）除专用合同条款另有约定外，发包人应在收到承包人提交的最终结清申请单后14天内完成审批并向承包人颁发最终结清证书。发包人逾期未完成</w:t>
      </w:r>
      <w:r>
        <w:rPr>
          <w:rFonts w:hint="eastAsia" w:ascii="宋体" w:hAnsi="宋体" w:cs="仿宋_GB2312"/>
          <w:szCs w:val="21"/>
          <w:highlight w:val="none"/>
        </w:rPr>
        <w:t>审批</w:t>
      </w:r>
      <w:r>
        <w:rPr>
          <w:rFonts w:ascii="宋体" w:hAnsi="宋体" w:cs="仿宋_GB2312"/>
          <w:szCs w:val="21"/>
          <w:highlight w:val="none"/>
        </w:rPr>
        <w:t>，又未提出修改意见的，视为发包人同意承包人提交的最终结清申请单，且自发包人收到承包人提交的最终结清申请单后15天起视为已颁发最终结清证书。</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（3）承包人对发包人颁发的最终结清证书有异议的，按第20条</w:t>
      </w:r>
      <w:r>
        <w:rPr>
          <w:rFonts w:hint="eastAsia" w:ascii="宋体" w:hAnsi="宋体" w:cs="仿宋_GB2312"/>
          <w:szCs w:val="21"/>
          <w:highlight w:val="none"/>
        </w:rPr>
        <w:t>〔</w:t>
      </w:r>
      <w:r>
        <w:rPr>
          <w:rFonts w:ascii="宋体" w:hAnsi="宋体" w:cs="仿宋_GB2312"/>
          <w:szCs w:val="21"/>
          <w:highlight w:val="none"/>
        </w:rPr>
        <w:t>争议解决</w:t>
      </w:r>
      <w:r>
        <w:rPr>
          <w:rFonts w:hint="eastAsia" w:ascii="宋体" w:hAnsi="宋体" w:cs="仿宋_GB2312"/>
          <w:szCs w:val="21"/>
          <w:highlight w:val="none"/>
        </w:rPr>
        <w:t>〕</w:t>
      </w:r>
      <w:r>
        <w:rPr>
          <w:rFonts w:ascii="宋体" w:hAnsi="宋体" w:cs="仿宋_GB2312"/>
          <w:szCs w:val="21"/>
          <w:highlight w:val="none"/>
        </w:rPr>
        <w:t>的约定办理。</w:t>
      </w:r>
    </w:p>
    <w:p>
      <w:pPr>
        <w:pStyle w:val="5"/>
        <w:spacing w:before="120" w:after="120"/>
        <w:ind w:firstLine="420"/>
        <w:rPr>
          <w:rFonts w:ascii="宋体" w:hAnsi="宋体" w:cs="仿宋_GB2312"/>
          <w:bCs w:val="0"/>
          <w:szCs w:val="21"/>
          <w:highlight w:val="none"/>
        </w:rPr>
      </w:pPr>
      <w:bookmarkStart w:id="360" w:name="_Toc351203598"/>
      <w:bookmarkStart w:id="361" w:name="_Toc337558815"/>
      <w:r>
        <w:rPr>
          <w:rFonts w:ascii="宋体" w:hAnsi="宋体" w:cs="仿宋_GB2312"/>
          <w:bCs w:val="0"/>
          <w:szCs w:val="21"/>
          <w:highlight w:val="none"/>
        </w:rPr>
        <w:t>15. 缺陷责任与保修</w:t>
      </w:r>
      <w:bookmarkEnd w:id="360"/>
    </w:p>
    <w:bookmarkEnd w:id="350"/>
    <w:bookmarkEnd w:id="351"/>
    <w:bookmarkEnd w:id="361"/>
    <w:p>
      <w:pPr>
        <w:pStyle w:val="6"/>
        <w:spacing w:before="120" w:after="120" w:line="360" w:lineRule="auto"/>
        <w:ind w:firstLine="420" w:firstLineChars="200"/>
        <w:rPr>
          <w:rFonts w:ascii="宋体" w:hAnsi="宋体" w:cs="仿宋_GB2312"/>
          <w:b w:val="0"/>
          <w:bCs w:val="0"/>
          <w:sz w:val="21"/>
          <w:szCs w:val="21"/>
          <w:highlight w:val="none"/>
        </w:rPr>
      </w:pPr>
      <w:bookmarkStart w:id="362" w:name="_Toc351203599"/>
      <w:bookmarkStart w:id="363" w:name="_Toc337558816"/>
      <w:bookmarkStart w:id="364" w:name="_Toc296503114"/>
      <w:bookmarkStart w:id="365" w:name="_Toc296346615"/>
      <w:r>
        <w:rPr>
          <w:rFonts w:ascii="宋体" w:hAnsi="宋体" w:cs="仿宋_GB2312"/>
          <w:b w:val="0"/>
          <w:bCs w:val="0"/>
          <w:sz w:val="21"/>
          <w:szCs w:val="21"/>
          <w:highlight w:val="none"/>
        </w:rPr>
        <w:t>15.1 工程保修的原则</w:t>
      </w:r>
      <w:bookmarkEnd w:id="362"/>
    </w:p>
    <w:bookmarkEnd w:id="363"/>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在工程移交发包人后，因承包人原因产生的质量缺陷，承包人应承担质量缺陷责任和保修义务。缺陷责任期届满，承包人仍应按合同约定的工程各部位保修年限承担保修义务。</w:t>
      </w:r>
    </w:p>
    <w:p>
      <w:pPr>
        <w:pStyle w:val="6"/>
        <w:spacing w:before="120" w:after="120" w:line="360" w:lineRule="auto"/>
        <w:ind w:firstLine="420" w:firstLineChars="200"/>
        <w:rPr>
          <w:rFonts w:ascii="宋体" w:hAnsi="宋体" w:cs="仿宋_GB2312"/>
          <w:b w:val="0"/>
          <w:bCs w:val="0"/>
          <w:sz w:val="21"/>
          <w:szCs w:val="21"/>
          <w:highlight w:val="none"/>
        </w:rPr>
      </w:pPr>
      <w:bookmarkStart w:id="366" w:name="_Toc351203600"/>
      <w:bookmarkStart w:id="367" w:name="_Toc337558817"/>
      <w:r>
        <w:rPr>
          <w:rFonts w:ascii="宋体" w:hAnsi="宋体" w:cs="仿宋_GB2312"/>
          <w:b w:val="0"/>
          <w:bCs w:val="0"/>
          <w:sz w:val="21"/>
          <w:szCs w:val="21"/>
          <w:highlight w:val="none"/>
        </w:rPr>
        <w:t>15.2 缺陷责任期</w:t>
      </w:r>
      <w:bookmarkEnd w:id="364"/>
      <w:bookmarkEnd w:id="365"/>
      <w:bookmarkEnd w:id="366"/>
    </w:p>
    <w:bookmarkEnd w:id="367"/>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15.2.1 缺陷责任期自</w:t>
      </w:r>
      <w:r>
        <w:rPr>
          <w:rFonts w:hint="eastAsia" w:ascii="宋体" w:hAnsi="宋体" w:cs="仿宋_GB2312"/>
          <w:szCs w:val="21"/>
          <w:highlight w:val="none"/>
        </w:rPr>
        <w:t>实际竣工日期</w:t>
      </w:r>
      <w:r>
        <w:rPr>
          <w:rFonts w:ascii="宋体" w:hAnsi="宋体" w:cs="仿宋_GB2312"/>
          <w:szCs w:val="21"/>
          <w:highlight w:val="none"/>
        </w:rPr>
        <w:t>起计算，合同当事人应在专用合同条款约定缺陷责任期的具体期限，但该期限最长不超过24个月。</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单位工程先于全部工程进行验收，经验收合格并交付使用的，该单位工程缺陷责任期自单位工程验收合格之日起算。因发包人原因导致工程无法按合同约定期限进行竣工验收的，缺陷责任期自承包人提交竣工验收申请报告之日起开始计算；发包人未经竣工验收擅自使用工程的，缺陷责任期自工程转移占有之日起开始计算。</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15.2.2 工程竣工验收合格后，因承包人原因导致的缺陷或损坏致使工程、单位工程或某项主要设备不能按原定目的使用的，则发包人有权要求承包人延长缺陷责任期，并应在原缺陷责任期届满前发出延长通知，但缺陷责任期最长不能超过24个月。</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15.2.3 任何一项缺陷或损坏修复后，经检查证明其影响了工程或工程设备的使用性能，承包人应重新进行合同约定的试验和试运行，试验和试运行的全部费用应由责任方承担。</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15.2.4</w:t>
      </w:r>
      <w:r>
        <w:rPr>
          <w:rFonts w:hint="eastAsia" w:ascii="宋体" w:hAnsi="宋体" w:cs="仿宋_GB2312"/>
          <w:szCs w:val="21"/>
          <w:highlight w:val="none"/>
        </w:rPr>
        <w:t xml:space="preserve"> </w:t>
      </w:r>
      <w:r>
        <w:rPr>
          <w:rFonts w:ascii="宋体" w:hAnsi="宋体" w:cs="仿宋_GB2312"/>
          <w:szCs w:val="21"/>
          <w:highlight w:val="none"/>
        </w:rPr>
        <w:t>除专用合同条款另有约定外，承包人应于缺陷责任期届满后7天内向发包人发出缺陷责任期</w:t>
      </w:r>
      <w:r>
        <w:rPr>
          <w:rFonts w:hint="eastAsia" w:ascii="宋体" w:hAnsi="宋体" w:cs="仿宋_GB2312"/>
          <w:szCs w:val="21"/>
          <w:highlight w:val="none"/>
        </w:rPr>
        <w:t>届</w:t>
      </w:r>
      <w:r>
        <w:rPr>
          <w:rFonts w:ascii="宋体" w:hAnsi="宋体" w:cs="仿宋_GB2312"/>
          <w:szCs w:val="21"/>
          <w:highlight w:val="none"/>
        </w:rPr>
        <w:t>满通知，发包人应在</w:t>
      </w:r>
      <w:r>
        <w:rPr>
          <w:rFonts w:hint="eastAsia" w:ascii="宋体" w:hAnsi="宋体" w:cs="仿宋_GB2312"/>
          <w:szCs w:val="21"/>
          <w:highlight w:val="none"/>
        </w:rPr>
        <w:t>收</w:t>
      </w:r>
      <w:r>
        <w:rPr>
          <w:rFonts w:ascii="宋体" w:hAnsi="宋体" w:cs="仿宋_GB2312"/>
          <w:szCs w:val="21"/>
          <w:highlight w:val="none"/>
        </w:rPr>
        <w:t>到缺陷责任期满通知后14天内核实承包人是否履行缺陷</w:t>
      </w:r>
      <w:r>
        <w:rPr>
          <w:rFonts w:hint="eastAsia" w:ascii="宋体" w:hAnsi="宋体" w:cs="仿宋_GB2312"/>
          <w:szCs w:val="21"/>
          <w:highlight w:val="none"/>
        </w:rPr>
        <w:t>修复</w:t>
      </w:r>
      <w:r>
        <w:rPr>
          <w:rFonts w:ascii="宋体" w:hAnsi="宋体" w:cs="仿宋_GB2312"/>
          <w:szCs w:val="21"/>
          <w:highlight w:val="none"/>
        </w:rPr>
        <w:t>义务，承包人未能履行缺陷</w:t>
      </w:r>
      <w:r>
        <w:rPr>
          <w:rFonts w:hint="eastAsia" w:ascii="宋体" w:hAnsi="宋体" w:cs="仿宋_GB2312"/>
          <w:szCs w:val="21"/>
          <w:highlight w:val="none"/>
        </w:rPr>
        <w:t>修复</w:t>
      </w:r>
      <w:r>
        <w:rPr>
          <w:rFonts w:ascii="宋体" w:hAnsi="宋体" w:cs="仿宋_GB2312"/>
          <w:szCs w:val="21"/>
          <w:highlight w:val="none"/>
        </w:rPr>
        <w:t>义务的，发包人有权扣除相应金额的维修费用。发包人应在</w:t>
      </w:r>
      <w:r>
        <w:rPr>
          <w:rFonts w:hint="eastAsia" w:ascii="宋体" w:hAnsi="宋体" w:cs="仿宋_GB2312"/>
          <w:szCs w:val="21"/>
          <w:highlight w:val="none"/>
        </w:rPr>
        <w:t>收到</w:t>
      </w:r>
      <w:r>
        <w:rPr>
          <w:rFonts w:ascii="宋体" w:hAnsi="宋体" w:cs="仿宋_GB2312"/>
          <w:szCs w:val="21"/>
          <w:highlight w:val="none"/>
        </w:rPr>
        <w:t>缺陷责任期</w:t>
      </w:r>
      <w:r>
        <w:rPr>
          <w:rFonts w:hint="eastAsia" w:ascii="宋体" w:hAnsi="宋体" w:cs="仿宋_GB2312"/>
          <w:szCs w:val="21"/>
          <w:highlight w:val="none"/>
        </w:rPr>
        <w:t>届</w:t>
      </w:r>
      <w:r>
        <w:rPr>
          <w:rFonts w:ascii="宋体" w:hAnsi="宋体" w:cs="仿宋_GB2312"/>
          <w:szCs w:val="21"/>
          <w:highlight w:val="none"/>
        </w:rPr>
        <w:t>满</w:t>
      </w:r>
      <w:r>
        <w:rPr>
          <w:rFonts w:hint="eastAsia" w:ascii="宋体" w:hAnsi="宋体" w:cs="仿宋_GB2312"/>
          <w:szCs w:val="21"/>
          <w:highlight w:val="none"/>
        </w:rPr>
        <w:t>通知后</w:t>
      </w:r>
      <w:r>
        <w:rPr>
          <w:rFonts w:ascii="宋体" w:hAnsi="宋体" w:cs="仿宋_GB2312"/>
          <w:szCs w:val="21"/>
          <w:highlight w:val="none"/>
        </w:rPr>
        <w:t>14天内，向承包人颁发缺陷责任期终止证</w:t>
      </w:r>
      <w:r>
        <w:rPr>
          <w:rFonts w:hint="eastAsia" w:ascii="宋体" w:hAnsi="宋体" w:cs="仿宋_GB2312"/>
          <w:szCs w:val="21"/>
          <w:highlight w:val="none"/>
        </w:rPr>
        <w:t>书</w:t>
      </w:r>
      <w:r>
        <w:rPr>
          <w:rFonts w:ascii="宋体" w:hAnsi="宋体" w:cs="仿宋_GB2312"/>
          <w:szCs w:val="21"/>
          <w:highlight w:val="none"/>
        </w:rPr>
        <w:t>。</w:t>
      </w:r>
    </w:p>
    <w:p>
      <w:pPr>
        <w:pStyle w:val="6"/>
        <w:spacing w:before="120" w:after="120" w:line="360" w:lineRule="auto"/>
        <w:ind w:firstLine="420" w:firstLineChars="200"/>
        <w:rPr>
          <w:rFonts w:ascii="宋体" w:hAnsi="宋体" w:cs="仿宋_GB2312"/>
          <w:b w:val="0"/>
          <w:bCs w:val="0"/>
          <w:sz w:val="21"/>
          <w:szCs w:val="21"/>
          <w:highlight w:val="none"/>
        </w:rPr>
      </w:pPr>
      <w:bookmarkStart w:id="368" w:name="_Toc351203601"/>
      <w:bookmarkStart w:id="369" w:name="_Toc337558818"/>
      <w:bookmarkStart w:id="370" w:name="_Toc296503115"/>
      <w:bookmarkStart w:id="371" w:name="_Toc296346616"/>
      <w:r>
        <w:rPr>
          <w:rFonts w:ascii="宋体" w:hAnsi="宋体" w:cs="仿宋_GB2312"/>
          <w:b w:val="0"/>
          <w:bCs w:val="0"/>
          <w:sz w:val="21"/>
          <w:szCs w:val="21"/>
          <w:highlight w:val="none"/>
        </w:rPr>
        <w:t>15.3 质量保证金</w:t>
      </w:r>
      <w:bookmarkEnd w:id="368"/>
    </w:p>
    <w:bookmarkEnd w:id="369"/>
    <w:p>
      <w:pPr>
        <w:autoSpaceDE w:val="0"/>
        <w:autoSpaceDN w:val="0"/>
        <w:adjustRightInd w:val="0"/>
        <w:ind w:firstLine="420"/>
        <w:rPr>
          <w:rFonts w:ascii="宋体" w:hAnsi="宋体" w:cs="仿宋_GB2312"/>
          <w:szCs w:val="21"/>
          <w:highlight w:val="none"/>
        </w:rPr>
      </w:pPr>
      <w:r>
        <w:rPr>
          <w:rFonts w:hint="eastAsia" w:ascii="宋体" w:hAnsi="宋体" w:cs="仿宋_GB2312"/>
          <w:szCs w:val="21"/>
          <w:highlight w:val="none"/>
        </w:rPr>
        <w:t>经合同当事人协商一致扣留质量保证金的，应在专用合同条款中予以明确。</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 xml:space="preserve">15.3.1 </w:t>
      </w:r>
      <w:r>
        <w:rPr>
          <w:rFonts w:hint="eastAsia" w:ascii="宋体" w:hAnsi="宋体" w:cs="仿宋_GB2312"/>
          <w:szCs w:val="21"/>
          <w:highlight w:val="none"/>
        </w:rPr>
        <w:t>承包人提供</w:t>
      </w:r>
      <w:r>
        <w:rPr>
          <w:rFonts w:ascii="宋体" w:hAnsi="宋体" w:cs="仿宋_GB2312"/>
          <w:szCs w:val="21"/>
          <w:highlight w:val="none"/>
        </w:rPr>
        <w:t>质量保证金的</w:t>
      </w:r>
      <w:r>
        <w:rPr>
          <w:rFonts w:hint="eastAsia" w:ascii="宋体" w:hAnsi="宋体" w:cs="仿宋_GB2312"/>
          <w:szCs w:val="21"/>
          <w:highlight w:val="none"/>
        </w:rPr>
        <w:t>方</w:t>
      </w:r>
      <w:r>
        <w:rPr>
          <w:rFonts w:ascii="宋体" w:hAnsi="宋体" w:cs="仿宋_GB2312"/>
          <w:szCs w:val="21"/>
          <w:highlight w:val="none"/>
        </w:rPr>
        <w:t>式</w:t>
      </w:r>
    </w:p>
    <w:p>
      <w:pPr>
        <w:autoSpaceDE w:val="0"/>
        <w:autoSpaceDN w:val="0"/>
        <w:adjustRightInd w:val="0"/>
        <w:ind w:firstLine="420"/>
        <w:rPr>
          <w:rFonts w:ascii="宋体" w:hAnsi="宋体" w:cs="仿宋_GB2312"/>
          <w:szCs w:val="21"/>
          <w:highlight w:val="none"/>
        </w:rPr>
      </w:pPr>
      <w:r>
        <w:rPr>
          <w:rFonts w:hint="eastAsia" w:ascii="宋体" w:hAnsi="宋体" w:cs="仿宋_GB2312"/>
          <w:szCs w:val="21"/>
          <w:highlight w:val="none"/>
        </w:rPr>
        <w:t>承包人提供</w:t>
      </w:r>
      <w:r>
        <w:rPr>
          <w:rFonts w:ascii="宋体" w:hAnsi="宋体" w:cs="仿宋_GB2312"/>
          <w:szCs w:val="21"/>
          <w:highlight w:val="none"/>
        </w:rPr>
        <w:t>质量保证金</w:t>
      </w:r>
      <w:r>
        <w:rPr>
          <w:rFonts w:hint="eastAsia" w:ascii="宋体" w:hAnsi="宋体" w:cs="仿宋_GB2312"/>
          <w:szCs w:val="21"/>
          <w:highlight w:val="none"/>
        </w:rPr>
        <w:t>有</w:t>
      </w:r>
      <w:r>
        <w:rPr>
          <w:rFonts w:ascii="宋体" w:hAnsi="宋体" w:cs="仿宋_GB2312"/>
          <w:szCs w:val="21"/>
          <w:highlight w:val="none"/>
        </w:rPr>
        <w:t>以下</w:t>
      </w:r>
      <w:r>
        <w:rPr>
          <w:rFonts w:hint="eastAsia" w:ascii="宋体" w:hAnsi="宋体" w:cs="仿宋_GB2312"/>
          <w:szCs w:val="21"/>
          <w:highlight w:val="none"/>
        </w:rPr>
        <w:t>三种方</w:t>
      </w:r>
      <w:r>
        <w:rPr>
          <w:rFonts w:ascii="宋体" w:hAnsi="宋体" w:cs="仿宋_GB2312"/>
          <w:szCs w:val="21"/>
          <w:highlight w:val="none"/>
        </w:rPr>
        <w:t>式：</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 xml:space="preserve">（1）质量保证金保函； </w:t>
      </w:r>
    </w:p>
    <w:p>
      <w:pPr>
        <w:autoSpaceDE w:val="0"/>
        <w:autoSpaceDN w:val="0"/>
        <w:adjustRightInd w:val="0"/>
        <w:ind w:firstLine="420"/>
        <w:rPr>
          <w:rFonts w:ascii="宋体" w:hAnsi="宋体" w:cs="仿宋_GB2312"/>
          <w:szCs w:val="21"/>
          <w:highlight w:val="none"/>
        </w:rPr>
      </w:pPr>
      <w:r>
        <w:rPr>
          <w:rFonts w:hint="eastAsia" w:ascii="宋体" w:hAnsi="宋体" w:cs="仿宋_GB2312"/>
          <w:szCs w:val="21"/>
          <w:highlight w:val="none"/>
        </w:rPr>
        <w:t>（</w:t>
      </w:r>
      <w:r>
        <w:rPr>
          <w:rFonts w:ascii="宋体" w:hAnsi="宋体" w:cs="仿宋_GB2312"/>
          <w:szCs w:val="21"/>
          <w:highlight w:val="none"/>
        </w:rPr>
        <w:t>2）相应比例的工程款；</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（3）双方约定的其他</w:t>
      </w:r>
      <w:r>
        <w:rPr>
          <w:rFonts w:hint="eastAsia" w:ascii="宋体" w:hAnsi="宋体" w:cs="仿宋_GB2312"/>
          <w:szCs w:val="21"/>
          <w:highlight w:val="none"/>
        </w:rPr>
        <w:t>方</w:t>
      </w:r>
      <w:r>
        <w:rPr>
          <w:rFonts w:ascii="宋体" w:hAnsi="宋体" w:cs="仿宋_GB2312"/>
          <w:szCs w:val="21"/>
          <w:highlight w:val="none"/>
        </w:rPr>
        <w:t>式。</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除专用合同条款另有约定外，质量保证金</w:t>
      </w:r>
      <w:r>
        <w:rPr>
          <w:rFonts w:hint="eastAsia" w:ascii="宋体" w:hAnsi="宋体" w:cs="仿宋_GB2312"/>
          <w:szCs w:val="21"/>
          <w:highlight w:val="none"/>
        </w:rPr>
        <w:t>原则上</w:t>
      </w:r>
      <w:r>
        <w:rPr>
          <w:rFonts w:ascii="宋体" w:hAnsi="宋体" w:cs="仿宋_GB2312"/>
          <w:szCs w:val="21"/>
          <w:highlight w:val="none"/>
        </w:rPr>
        <w:t>采</w:t>
      </w:r>
      <w:r>
        <w:rPr>
          <w:rFonts w:hint="eastAsia" w:ascii="宋体" w:hAnsi="宋体" w:cs="仿宋_GB2312"/>
          <w:szCs w:val="21"/>
          <w:highlight w:val="none"/>
        </w:rPr>
        <w:t>用上述</w:t>
      </w:r>
      <w:r>
        <w:rPr>
          <w:rFonts w:ascii="宋体" w:hAnsi="宋体" w:cs="仿宋_GB2312"/>
          <w:szCs w:val="21"/>
          <w:highlight w:val="none"/>
        </w:rPr>
        <w:t>第（1）种</w:t>
      </w:r>
      <w:r>
        <w:rPr>
          <w:rFonts w:hint="eastAsia" w:ascii="宋体" w:hAnsi="宋体" w:cs="仿宋_GB2312"/>
          <w:szCs w:val="21"/>
          <w:highlight w:val="none"/>
        </w:rPr>
        <w:t>方式。</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15.3.2 质量保证金的扣留</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质量保证金</w:t>
      </w:r>
      <w:r>
        <w:rPr>
          <w:rFonts w:hint="eastAsia" w:ascii="宋体" w:hAnsi="宋体" w:cs="仿宋_GB2312"/>
          <w:szCs w:val="21"/>
          <w:highlight w:val="none"/>
        </w:rPr>
        <w:t>的</w:t>
      </w:r>
      <w:r>
        <w:rPr>
          <w:rFonts w:ascii="宋体" w:hAnsi="宋体" w:cs="仿宋_GB2312"/>
          <w:szCs w:val="21"/>
          <w:highlight w:val="none"/>
        </w:rPr>
        <w:t>扣留</w:t>
      </w:r>
      <w:r>
        <w:rPr>
          <w:rFonts w:hint="eastAsia" w:ascii="宋体" w:hAnsi="宋体" w:cs="仿宋_GB2312"/>
          <w:szCs w:val="21"/>
          <w:highlight w:val="none"/>
        </w:rPr>
        <w:t>有</w:t>
      </w:r>
      <w:r>
        <w:rPr>
          <w:rFonts w:ascii="宋体" w:hAnsi="宋体" w:cs="仿宋_GB2312"/>
          <w:szCs w:val="21"/>
          <w:highlight w:val="none"/>
        </w:rPr>
        <w:t>以下</w:t>
      </w:r>
      <w:r>
        <w:rPr>
          <w:rFonts w:hint="eastAsia" w:ascii="宋体" w:hAnsi="宋体" w:cs="仿宋_GB2312"/>
          <w:szCs w:val="21"/>
          <w:highlight w:val="none"/>
        </w:rPr>
        <w:t>三</w:t>
      </w:r>
      <w:r>
        <w:rPr>
          <w:rFonts w:ascii="宋体" w:hAnsi="宋体" w:cs="仿宋_GB2312"/>
          <w:szCs w:val="21"/>
          <w:highlight w:val="none"/>
        </w:rPr>
        <w:t>种</w:t>
      </w:r>
      <w:r>
        <w:rPr>
          <w:rFonts w:hint="eastAsia" w:ascii="宋体" w:hAnsi="宋体" w:cs="仿宋_GB2312"/>
          <w:szCs w:val="21"/>
          <w:highlight w:val="none"/>
        </w:rPr>
        <w:t>方式</w:t>
      </w:r>
      <w:r>
        <w:rPr>
          <w:rFonts w:ascii="宋体" w:hAnsi="宋体" w:cs="仿宋_GB2312"/>
          <w:szCs w:val="21"/>
          <w:highlight w:val="none"/>
        </w:rPr>
        <w:t>：</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（1）在支付工程进度款时逐次扣留，在此情形下，质量保证金的计算基数不包括预付款的支付、扣回以及价格调整的金额；</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（2）工</w:t>
      </w:r>
      <w:bookmarkStart w:id="372" w:name="#go6"/>
      <w:bookmarkEnd w:id="372"/>
      <w:r>
        <w:rPr>
          <w:rFonts w:ascii="宋体" w:hAnsi="宋体" w:cs="仿宋_GB2312"/>
          <w:szCs w:val="21"/>
          <w:highlight w:val="none"/>
        </w:rPr>
        <w:t>程竣工结算时一次性扣留质量保证金；</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（3）双方约定的其他扣留方式。</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除专用合同条款另有约定外，质量保证金</w:t>
      </w:r>
      <w:r>
        <w:rPr>
          <w:rFonts w:hint="eastAsia" w:ascii="宋体" w:hAnsi="宋体" w:cs="仿宋_GB2312"/>
          <w:szCs w:val="21"/>
          <w:highlight w:val="none"/>
        </w:rPr>
        <w:t>的</w:t>
      </w:r>
      <w:r>
        <w:rPr>
          <w:rFonts w:ascii="宋体" w:hAnsi="宋体" w:cs="仿宋_GB2312"/>
          <w:szCs w:val="21"/>
          <w:highlight w:val="none"/>
        </w:rPr>
        <w:t>扣留</w:t>
      </w:r>
      <w:r>
        <w:rPr>
          <w:rFonts w:hint="eastAsia" w:ascii="宋体" w:hAnsi="宋体" w:cs="仿宋_GB2312"/>
          <w:szCs w:val="21"/>
          <w:highlight w:val="none"/>
        </w:rPr>
        <w:t>原则上</w:t>
      </w:r>
      <w:r>
        <w:rPr>
          <w:rFonts w:ascii="宋体" w:hAnsi="宋体" w:cs="仿宋_GB2312"/>
          <w:szCs w:val="21"/>
          <w:highlight w:val="none"/>
        </w:rPr>
        <w:t>采</w:t>
      </w:r>
      <w:r>
        <w:rPr>
          <w:rFonts w:hint="eastAsia" w:ascii="宋体" w:hAnsi="宋体" w:cs="仿宋_GB2312"/>
          <w:szCs w:val="21"/>
          <w:highlight w:val="none"/>
        </w:rPr>
        <w:t>用上述</w:t>
      </w:r>
      <w:r>
        <w:rPr>
          <w:rFonts w:ascii="宋体" w:hAnsi="宋体" w:cs="仿宋_GB2312"/>
          <w:szCs w:val="21"/>
          <w:highlight w:val="none"/>
        </w:rPr>
        <w:t>第（1）种方式</w:t>
      </w:r>
      <w:r>
        <w:rPr>
          <w:rFonts w:hint="eastAsia" w:ascii="宋体" w:hAnsi="宋体" w:cs="仿宋_GB2312"/>
          <w:szCs w:val="21"/>
          <w:highlight w:val="none"/>
        </w:rPr>
        <w:t>。</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发</w:t>
      </w:r>
      <w:bookmarkStart w:id="373" w:name="#go4"/>
      <w:bookmarkEnd w:id="373"/>
      <w:r>
        <w:rPr>
          <w:rFonts w:ascii="宋体" w:hAnsi="宋体" w:cs="仿宋_GB2312"/>
          <w:szCs w:val="21"/>
          <w:highlight w:val="none"/>
        </w:rPr>
        <w:t>包人累计扣留的质量保证金不得超过结算合同价格的5%，</w:t>
      </w:r>
      <w:r>
        <w:rPr>
          <w:rFonts w:hint="eastAsia" w:ascii="宋体" w:hAnsi="宋体" w:cs="仿宋_GB2312"/>
          <w:szCs w:val="21"/>
          <w:highlight w:val="none"/>
        </w:rPr>
        <w:t>如</w:t>
      </w:r>
      <w:r>
        <w:rPr>
          <w:rFonts w:ascii="宋体" w:hAnsi="宋体" w:cs="仿宋_GB2312"/>
          <w:szCs w:val="21"/>
          <w:highlight w:val="none"/>
        </w:rPr>
        <w:t>承包人在发包人签发竣工付款证书后28天内提交质量保证金保函，发包人应同时退还扣留的作为质量保证金的工程价款。</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15.3.3 质量保证金的退还</w:t>
      </w:r>
    </w:p>
    <w:p>
      <w:pPr>
        <w:autoSpaceDE w:val="0"/>
        <w:autoSpaceDN w:val="0"/>
        <w:adjustRightInd w:val="0"/>
        <w:ind w:firstLine="420"/>
        <w:rPr>
          <w:rFonts w:ascii="宋体" w:hAnsi="宋体" w:cs="仿宋_GB2312"/>
          <w:szCs w:val="21"/>
          <w:highlight w:val="none"/>
        </w:rPr>
      </w:pPr>
      <w:r>
        <w:rPr>
          <w:rFonts w:hint="eastAsia" w:ascii="宋体" w:hAnsi="宋体" w:cs="仿宋_GB2312"/>
          <w:szCs w:val="21"/>
          <w:highlight w:val="none"/>
        </w:rPr>
        <w:t>发包人应</w:t>
      </w:r>
      <w:r>
        <w:rPr>
          <w:rFonts w:ascii="宋体" w:hAnsi="宋体" w:cs="仿宋_GB2312"/>
          <w:szCs w:val="21"/>
          <w:highlight w:val="none"/>
        </w:rPr>
        <w:t>按14.4款</w:t>
      </w:r>
      <w:r>
        <w:rPr>
          <w:rFonts w:hint="eastAsia" w:ascii="宋体" w:hAnsi="宋体" w:cs="仿宋_GB2312"/>
          <w:szCs w:val="21"/>
          <w:highlight w:val="none"/>
        </w:rPr>
        <w:t>〔</w:t>
      </w:r>
      <w:r>
        <w:rPr>
          <w:rFonts w:ascii="宋体" w:hAnsi="宋体" w:cs="仿宋_GB2312"/>
          <w:szCs w:val="21"/>
          <w:highlight w:val="none"/>
        </w:rPr>
        <w:t>最终结清</w:t>
      </w:r>
      <w:r>
        <w:rPr>
          <w:rFonts w:hint="eastAsia" w:ascii="宋体" w:hAnsi="宋体" w:cs="仿宋_GB2312"/>
          <w:szCs w:val="21"/>
          <w:highlight w:val="none"/>
        </w:rPr>
        <w:t>〕的</w:t>
      </w:r>
      <w:r>
        <w:rPr>
          <w:rFonts w:ascii="宋体" w:hAnsi="宋体" w:cs="仿宋_GB2312"/>
          <w:szCs w:val="21"/>
          <w:highlight w:val="none"/>
        </w:rPr>
        <w:t>约定</w:t>
      </w:r>
      <w:r>
        <w:rPr>
          <w:rFonts w:hint="eastAsia" w:ascii="宋体" w:hAnsi="宋体" w:cs="仿宋_GB2312"/>
          <w:szCs w:val="21"/>
          <w:highlight w:val="none"/>
        </w:rPr>
        <w:t>退还</w:t>
      </w:r>
      <w:r>
        <w:rPr>
          <w:rFonts w:ascii="宋体" w:hAnsi="宋体" w:cs="仿宋_GB2312"/>
          <w:szCs w:val="21"/>
          <w:highlight w:val="none"/>
        </w:rPr>
        <w:t>质量保证金。</w:t>
      </w:r>
    </w:p>
    <w:p>
      <w:pPr>
        <w:pStyle w:val="6"/>
        <w:spacing w:before="120" w:after="120" w:line="360" w:lineRule="auto"/>
        <w:ind w:firstLine="420" w:firstLineChars="200"/>
        <w:rPr>
          <w:rFonts w:ascii="宋体" w:hAnsi="宋体" w:cs="仿宋_GB2312"/>
          <w:b w:val="0"/>
          <w:bCs w:val="0"/>
          <w:sz w:val="21"/>
          <w:szCs w:val="21"/>
          <w:highlight w:val="none"/>
        </w:rPr>
      </w:pPr>
      <w:bookmarkStart w:id="374" w:name="_Toc351203602"/>
      <w:bookmarkStart w:id="375" w:name="_Toc337558819"/>
      <w:r>
        <w:rPr>
          <w:rFonts w:ascii="宋体" w:hAnsi="宋体" w:cs="仿宋_GB2312"/>
          <w:b w:val="0"/>
          <w:bCs w:val="0"/>
          <w:sz w:val="21"/>
          <w:szCs w:val="21"/>
          <w:highlight w:val="none"/>
        </w:rPr>
        <w:t>15.4 保修</w:t>
      </w:r>
      <w:bookmarkEnd w:id="374"/>
    </w:p>
    <w:bookmarkEnd w:id="370"/>
    <w:bookmarkEnd w:id="371"/>
    <w:bookmarkEnd w:id="375"/>
    <w:p>
      <w:pPr>
        <w:ind w:firstLine="420"/>
        <w:rPr>
          <w:rFonts w:ascii="宋体" w:hAnsi="宋体" w:cs="仿宋_GB2312"/>
          <w:szCs w:val="21"/>
          <w:highlight w:val="none"/>
        </w:rPr>
      </w:pPr>
      <w:r>
        <w:rPr>
          <w:rFonts w:ascii="宋体" w:hAnsi="宋体" w:cs="仿宋_GB2312"/>
          <w:szCs w:val="21"/>
          <w:highlight w:val="none"/>
        </w:rPr>
        <w:t>15.4.1保修责任</w:t>
      </w:r>
    </w:p>
    <w:p>
      <w:pPr>
        <w:ind w:firstLine="420"/>
        <w:rPr>
          <w:rFonts w:ascii="宋体" w:hAnsi="宋体" w:cs="仿宋_GB2312"/>
          <w:szCs w:val="21"/>
          <w:highlight w:val="none"/>
        </w:rPr>
      </w:pPr>
      <w:r>
        <w:rPr>
          <w:rFonts w:ascii="宋体" w:hAnsi="宋体" w:cs="仿宋_GB2312"/>
          <w:szCs w:val="21"/>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firstLine="420"/>
        <w:rPr>
          <w:rFonts w:ascii="宋体" w:hAnsi="宋体" w:cs="仿宋_GB2312"/>
          <w:szCs w:val="21"/>
          <w:highlight w:val="none"/>
        </w:rPr>
      </w:pPr>
      <w:r>
        <w:rPr>
          <w:rFonts w:ascii="宋体" w:hAnsi="宋体" w:cs="仿宋_GB2312"/>
          <w:szCs w:val="21"/>
          <w:highlight w:val="none"/>
        </w:rPr>
        <w:t>发包人未经竣工验收擅自使用工程的，保修期自转移占有之日起算。</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15.4.2 修复费用</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保修期内，修复的费用按照以下约定处理：</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（1）保修期内，因承包人原因造成工程的缺陷、损坏，承包人应负责修复，并承担修复的费用以及因工程的缺陷、损坏造成的人身伤害和财产损失；</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（2）保修期内，因发包人使用不当造成工程的缺陷、损坏，可以委托承包人修复，但发包人应承担修复的费用，并支付承包人合理利润；</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（3）因其他原因造成工程的缺陷、损坏，可以委托承包人修复，发包人应承担修复的费用，并支付承包人合理的利润，因工程的缺陷、损坏造成的人身伤害和财产损失由责任方承担。</w:t>
      </w:r>
    </w:p>
    <w:p>
      <w:pPr>
        <w:ind w:firstLine="420"/>
        <w:rPr>
          <w:rFonts w:ascii="宋体" w:hAnsi="宋体" w:cs="仿宋_GB2312"/>
          <w:szCs w:val="21"/>
          <w:highlight w:val="none"/>
        </w:rPr>
      </w:pPr>
      <w:r>
        <w:rPr>
          <w:rFonts w:ascii="宋体" w:hAnsi="宋体" w:cs="仿宋_GB2312"/>
          <w:szCs w:val="21"/>
          <w:highlight w:val="none"/>
        </w:rPr>
        <w:t>15.4.3 修复通知</w:t>
      </w:r>
    </w:p>
    <w:p>
      <w:pPr>
        <w:ind w:firstLine="420"/>
        <w:rPr>
          <w:rFonts w:ascii="宋体" w:hAnsi="宋体" w:cs="仿宋_GB2312"/>
          <w:szCs w:val="21"/>
          <w:highlight w:val="none"/>
        </w:rPr>
      </w:pPr>
      <w:r>
        <w:rPr>
          <w:rFonts w:ascii="宋体" w:hAnsi="宋体" w:cs="仿宋_GB2312"/>
          <w:szCs w:val="21"/>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ind w:firstLine="420"/>
        <w:rPr>
          <w:rFonts w:ascii="宋体" w:hAnsi="宋体" w:cs="仿宋_GB2312"/>
          <w:szCs w:val="21"/>
          <w:highlight w:val="none"/>
        </w:rPr>
      </w:pPr>
      <w:r>
        <w:rPr>
          <w:rFonts w:ascii="宋体" w:hAnsi="宋体" w:cs="仿宋_GB2312"/>
          <w:szCs w:val="21"/>
          <w:highlight w:val="none"/>
        </w:rPr>
        <w:t>15.4.4 未能修复</w:t>
      </w:r>
    </w:p>
    <w:p>
      <w:pPr>
        <w:ind w:firstLine="420"/>
        <w:rPr>
          <w:rFonts w:ascii="宋体" w:hAnsi="宋体" w:cs="仿宋_GB2312"/>
          <w:szCs w:val="21"/>
          <w:highlight w:val="none"/>
        </w:rPr>
      </w:pPr>
      <w:r>
        <w:rPr>
          <w:rFonts w:ascii="宋体" w:hAnsi="宋体" w:cs="仿宋_GB2312"/>
          <w:szCs w:val="21"/>
          <w:highlight w:val="none"/>
        </w:rPr>
        <w:t>因承包人原因造成工程的缺陷或损坏，承包人拒绝维修或未能在合理期限内修复缺陷或损坏，且经发包人书面催告后仍未修复的，发包人有权自行修复或委托第三方修复，所需费用由承包人承担。</w:t>
      </w:r>
      <w:r>
        <w:rPr>
          <w:rFonts w:hint="eastAsia" w:ascii="宋体" w:hAnsi="宋体" w:cs="仿宋_GB2312"/>
          <w:szCs w:val="21"/>
          <w:highlight w:val="none"/>
        </w:rPr>
        <w:t>但修复范围超出缺陷或损坏范围的，超出范围部分的修复费用由发包人承担。</w:t>
      </w:r>
    </w:p>
    <w:p>
      <w:pPr>
        <w:ind w:firstLine="420"/>
        <w:rPr>
          <w:rFonts w:ascii="宋体" w:hAnsi="宋体" w:cs="仿宋_GB2312"/>
          <w:szCs w:val="21"/>
          <w:highlight w:val="none"/>
        </w:rPr>
      </w:pPr>
      <w:r>
        <w:rPr>
          <w:rFonts w:ascii="宋体" w:hAnsi="宋体" w:cs="仿宋_GB2312"/>
          <w:szCs w:val="21"/>
          <w:highlight w:val="none"/>
        </w:rPr>
        <w:t>15.4.5 承包人出入权</w:t>
      </w:r>
    </w:p>
    <w:p>
      <w:pPr>
        <w:ind w:firstLine="420"/>
        <w:rPr>
          <w:rFonts w:ascii="宋体" w:hAnsi="宋体" w:cs="仿宋_GB2312"/>
          <w:szCs w:val="21"/>
          <w:highlight w:val="none"/>
        </w:rPr>
      </w:pPr>
      <w:r>
        <w:rPr>
          <w:rFonts w:ascii="宋体" w:hAnsi="宋体" w:cs="仿宋_GB2312"/>
          <w:szCs w:val="21"/>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pStyle w:val="5"/>
        <w:spacing w:before="120" w:after="120"/>
        <w:ind w:firstLine="420"/>
        <w:rPr>
          <w:rFonts w:ascii="宋体" w:hAnsi="宋体" w:cs="仿宋_GB2312"/>
          <w:bCs w:val="0"/>
          <w:szCs w:val="21"/>
          <w:highlight w:val="none"/>
        </w:rPr>
      </w:pPr>
      <w:bookmarkStart w:id="376" w:name="_Toc351203603"/>
      <w:bookmarkStart w:id="377" w:name="_Toc337558820"/>
      <w:r>
        <w:rPr>
          <w:rFonts w:ascii="宋体" w:hAnsi="宋体" w:cs="仿宋_GB2312"/>
          <w:bCs w:val="0"/>
          <w:szCs w:val="21"/>
          <w:highlight w:val="none"/>
        </w:rPr>
        <w:t>16. 违约</w:t>
      </w:r>
      <w:bookmarkEnd w:id="376"/>
    </w:p>
    <w:bookmarkEnd w:id="377"/>
    <w:p>
      <w:pPr>
        <w:pStyle w:val="6"/>
        <w:spacing w:before="120" w:after="120" w:line="360" w:lineRule="auto"/>
        <w:ind w:firstLine="420" w:firstLineChars="200"/>
        <w:rPr>
          <w:rFonts w:ascii="宋体" w:hAnsi="宋体" w:cs="仿宋_GB2312"/>
          <w:b w:val="0"/>
          <w:bCs w:val="0"/>
          <w:sz w:val="21"/>
          <w:szCs w:val="21"/>
          <w:highlight w:val="none"/>
        </w:rPr>
      </w:pPr>
      <w:bookmarkStart w:id="378" w:name="_Toc296346630"/>
      <w:bookmarkStart w:id="379" w:name="_Toc296503129"/>
      <w:bookmarkStart w:id="380" w:name="_Toc351203604"/>
      <w:bookmarkStart w:id="381" w:name="_Toc337558821"/>
      <w:r>
        <w:rPr>
          <w:rFonts w:ascii="宋体" w:hAnsi="宋体" w:cs="仿宋_GB2312"/>
          <w:b w:val="0"/>
          <w:bCs w:val="0"/>
          <w:sz w:val="21"/>
          <w:szCs w:val="21"/>
          <w:highlight w:val="none"/>
        </w:rPr>
        <w:t>16.1 发</w:t>
      </w:r>
      <w:bookmarkEnd w:id="378"/>
      <w:bookmarkEnd w:id="379"/>
      <w:r>
        <w:rPr>
          <w:rFonts w:ascii="宋体" w:hAnsi="宋体" w:cs="仿宋_GB2312"/>
          <w:b w:val="0"/>
          <w:bCs w:val="0"/>
          <w:sz w:val="21"/>
          <w:szCs w:val="21"/>
          <w:highlight w:val="none"/>
        </w:rPr>
        <w:t>包人违约</w:t>
      </w:r>
      <w:bookmarkEnd w:id="380"/>
    </w:p>
    <w:bookmarkEnd w:id="381"/>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16.1.1 发包人违约的情形</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在合同履行过程中发生的下列情形，属于发包人违约：</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（1）因发包人原因未能在计划开工日期前7天内下达开工通知的；</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（2）因发包人原因未能按合同约定支付合同价款的；</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（3）发包人违反第10.1款</w:t>
      </w:r>
      <w:r>
        <w:rPr>
          <w:rFonts w:hint="eastAsia" w:ascii="宋体" w:hAnsi="宋体" w:cs="仿宋_GB2312"/>
          <w:szCs w:val="21"/>
          <w:highlight w:val="none"/>
        </w:rPr>
        <w:t>〔</w:t>
      </w:r>
      <w:r>
        <w:rPr>
          <w:rFonts w:ascii="宋体" w:hAnsi="宋体" w:cs="仿宋_GB2312"/>
          <w:szCs w:val="21"/>
          <w:highlight w:val="none"/>
        </w:rPr>
        <w:t>变更的范围</w:t>
      </w:r>
      <w:r>
        <w:rPr>
          <w:rFonts w:hint="eastAsia" w:ascii="宋体" w:hAnsi="宋体" w:cs="仿宋_GB2312"/>
          <w:szCs w:val="21"/>
          <w:highlight w:val="none"/>
        </w:rPr>
        <w:t>〕</w:t>
      </w:r>
      <w:r>
        <w:rPr>
          <w:rFonts w:ascii="宋体" w:hAnsi="宋体" w:cs="仿宋_GB2312"/>
          <w:szCs w:val="21"/>
          <w:highlight w:val="none"/>
        </w:rPr>
        <w:t>第（2）项约定，自行实施被取消的工作或转由他人实施的；</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（4）发包人提供的材料、工程设备的规格、数量或质量不符合合同约定，或因发包人原因导致交货日期延误或交货地点变更等情况的；</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（5）因发包人违反合同约定造成暂停施工的；</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（6）发包人无正当理由没有在约定期限内发出复工指示，导致承包人无法复工的；</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（7）发包人明确表示或者以其行为表明不履行合同主要义务的；</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（8）发包人未能按照合同约定履行其他义务的。</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16.1.2 发包人违约的责任</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发包人应承担因其违约给承包人增加的费用和（或）延误的工期，并支付承包人合理的利润。此外，合同当事人可在专用合同条款中另行约定发包人违约责任的承担方式和计算方法。</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16.1.3 因发包人违约解除合同</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除专用合同条款另有约定外，承包人按第16.1.1项</w:t>
      </w:r>
      <w:r>
        <w:rPr>
          <w:rFonts w:hint="eastAsia" w:ascii="宋体" w:hAnsi="宋体" w:cs="仿宋_GB2312"/>
          <w:szCs w:val="21"/>
          <w:highlight w:val="none"/>
        </w:rPr>
        <w:t>〔</w:t>
      </w:r>
      <w:r>
        <w:rPr>
          <w:rFonts w:ascii="宋体" w:hAnsi="宋体" w:cs="仿宋_GB2312"/>
          <w:szCs w:val="21"/>
          <w:highlight w:val="none"/>
        </w:rPr>
        <w:t>发包人违约的情形</w:t>
      </w:r>
      <w:r>
        <w:rPr>
          <w:rFonts w:hint="eastAsia" w:ascii="宋体" w:hAnsi="宋体" w:cs="仿宋_GB2312"/>
          <w:szCs w:val="21"/>
          <w:highlight w:val="none"/>
        </w:rPr>
        <w:t>〕</w:t>
      </w:r>
      <w:r>
        <w:rPr>
          <w:rFonts w:ascii="宋体" w:hAnsi="宋体" w:cs="仿宋_GB2312"/>
          <w:szCs w:val="21"/>
          <w:highlight w:val="none"/>
        </w:rPr>
        <w:t>约定暂停施工满28天后</w:t>
      </w:r>
      <w:r>
        <w:rPr>
          <w:rFonts w:hint="eastAsia" w:ascii="宋体" w:hAnsi="宋体" w:cs="仿宋_GB2312"/>
          <w:szCs w:val="21"/>
          <w:highlight w:val="none"/>
        </w:rPr>
        <w:t>，</w:t>
      </w:r>
      <w:r>
        <w:rPr>
          <w:rFonts w:ascii="宋体" w:hAnsi="宋体" w:cs="仿宋_GB2312"/>
          <w:szCs w:val="21"/>
          <w:highlight w:val="none"/>
        </w:rPr>
        <w:t>发包人仍不纠正其违约行为并致使合同目的不能实现的，</w:t>
      </w:r>
      <w:r>
        <w:rPr>
          <w:rFonts w:hint="eastAsia" w:ascii="宋体" w:hAnsi="宋体" w:cs="仿宋_GB2312"/>
          <w:szCs w:val="21"/>
          <w:highlight w:val="none"/>
        </w:rPr>
        <w:t>或</w:t>
      </w:r>
      <w:r>
        <w:rPr>
          <w:rFonts w:ascii="宋体" w:hAnsi="宋体" w:cs="仿宋_GB2312"/>
          <w:szCs w:val="21"/>
          <w:highlight w:val="none"/>
        </w:rPr>
        <w:t>出现第16.1.1项</w:t>
      </w:r>
      <w:r>
        <w:rPr>
          <w:rFonts w:hint="eastAsia" w:ascii="宋体" w:hAnsi="宋体" w:cs="仿宋_GB2312"/>
          <w:szCs w:val="21"/>
          <w:highlight w:val="none"/>
        </w:rPr>
        <w:t>〔</w:t>
      </w:r>
      <w:r>
        <w:rPr>
          <w:rFonts w:ascii="宋体" w:hAnsi="宋体" w:cs="仿宋_GB2312"/>
          <w:szCs w:val="21"/>
          <w:highlight w:val="none"/>
        </w:rPr>
        <w:t>发包人违约的情形</w:t>
      </w:r>
      <w:r>
        <w:rPr>
          <w:rFonts w:hint="eastAsia" w:ascii="宋体" w:hAnsi="宋体" w:cs="仿宋_GB2312"/>
          <w:szCs w:val="21"/>
          <w:highlight w:val="none"/>
        </w:rPr>
        <w:t>〕</w:t>
      </w:r>
      <w:r>
        <w:rPr>
          <w:rFonts w:ascii="宋体" w:hAnsi="宋体" w:cs="仿宋_GB2312"/>
          <w:szCs w:val="21"/>
          <w:highlight w:val="none"/>
        </w:rPr>
        <w:t>第（7）目约定的违约情况，承包人有权解除合同，发包人应承担由此增加的费用，并支付承包人合理的利润。</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16.1.4 因发包人违约解除合同后的付款</w:t>
      </w:r>
    </w:p>
    <w:p>
      <w:pPr>
        <w:ind w:firstLine="420"/>
        <w:rPr>
          <w:rFonts w:ascii="宋体" w:hAnsi="宋体" w:cs="仿宋_GB2312"/>
          <w:szCs w:val="21"/>
          <w:highlight w:val="none"/>
        </w:rPr>
      </w:pPr>
      <w:r>
        <w:rPr>
          <w:rFonts w:ascii="宋体" w:hAnsi="宋体" w:cs="仿宋_GB2312"/>
          <w:szCs w:val="21"/>
          <w:highlight w:val="none"/>
        </w:rPr>
        <w:t>承包人按照本款约定解除合同的，发包人应在解除合同后28天内支付下列款项，并解除履约担保：</w:t>
      </w:r>
    </w:p>
    <w:p>
      <w:pPr>
        <w:ind w:firstLine="420"/>
        <w:rPr>
          <w:rFonts w:ascii="宋体" w:hAnsi="宋体" w:cs="仿宋_GB2312"/>
          <w:szCs w:val="21"/>
          <w:highlight w:val="none"/>
        </w:rPr>
      </w:pPr>
      <w:r>
        <w:rPr>
          <w:rFonts w:ascii="宋体" w:hAnsi="宋体" w:cs="仿宋_GB2312"/>
          <w:szCs w:val="21"/>
          <w:highlight w:val="none"/>
        </w:rPr>
        <w:t>（1）合同解除前所完成工作的价款；</w:t>
      </w:r>
    </w:p>
    <w:p>
      <w:pPr>
        <w:ind w:firstLine="420"/>
        <w:rPr>
          <w:rFonts w:ascii="宋体" w:hAnsi="宋体" w:cs="仿宋_GB2312"/>
          <w:szCs w:val="21"/>
          <w:highlight w:val="none"/>
        </w:rPr>
      </w:pPr>
      <w:r>
        <w:rPr>
          <w:rFonts w:ascii="宋体" w:hAnsi="宋体" w:cs="仿宋_GB2312"/>
          <w:szCs w:val="21"/>
          <w:highlight w:val="none"/>
        </w:rPr>
        <w:t>（2）承包人为工程施工订购并已付款的材料、工程设备和其他物品的价款；</w:t>
      </w:r>
    </w:p>
    <w:p>
      <w:pPr>
        <w:ind w:firstLine="420"/>
        <w:rPr>
          <w:rFonts w:ascii="宋体" w:hAnsi="宋体" w:cs="仿宋_GB2312"/>
          <w:szCs w:val="21"/>
          <w:highlight w:val="none"/>
        </w:rPr>
      </w:pPr>
      <w:r>
        <w:rPr>
          <w:rFonts w:ascii="宋体" w:hAnsi="宋体" w:cs="仿宋_GB2312"/>
          <w:szCs w:val="21"/>
          <w:highlight w:val="none"/>
        </w:rPr>
        <w:t>（3）承包人撤离施工现场以及遣散承包人人员的款项；</w:t>
      </w:r>
    </w:p>
    <w:p>
      <w:pPr>
        <w:ind w:firstLine="420"/>
        <w:rPr>
          <w:rFonts w:ascii="宋体" w:hAnsi="宋体" w:cs="仿宋_GB2312"/>
          <w:szCs w:val="21"/>
          <w:highlight w:val="none"/>
        </w:rPr>
      </w:pPr>
      <w:r>
        <w:rPr>
          <w:rFonts w:ascii="宋体" w:hAnsi="宋体" w:cs="仿宋_GB2312"/>
          <w:szCs w:val="21"/>
          <w:highlight w:val="none"/>
        </w:rPr>
        <w:t>（4）按照合同约定在合同解除前应支付的违约金；</w:t>
      </w:r>
    </w:p>
    <w:p>
      <w:pPr>
        <w:ind w:firstLine="420"/>
        <w:rPr>
          <w:rFonts w:ascii="宋体" w:hAnsi="宋体" w:cs="仿宋_GB2312"/>
          <w:szCs w:val="21"/>
          <w:highlight w:val="none"/>
        </w:rPr>
      </w:pPr>
      <w:r>
        <w:rPr>
          <w:rFonts w:ascii="宋体" w:hAnsi="宋体" w:cs="仿宋_GB2312"/>
          <w:szCs w:val="21"/>
          <w:highlight w:val="none"/>
        </w:rPr>
        <w:t>（5）按照合同约定应当支付给承包人的其他款项；</w:t>
      </w:r>
    </w:p>
    <w:p>
      <w:pPr>
        <w:ind w:firstLine="420"/>
        <w:rPr>
          <w:rFonts w:ascii="宋体" w:hAnsi="宋体" w:cs="仿宋_GB2312"/>
          <w:szCs w:val="21"/>
          <w:highlight w:val="none"/>
        </w:rPr>
      </w:pPr>
      <w:r>
        <w:rPr>
          <w:rFonts w:ascii="宋体" w:hAnsi="宋体" w:cs="仿宋_GB2312"/>
          <w:szCs w:val="21"/>
          <w:highlight w:val="none"/>
        </w:rPr>
        <w:t>（6）按照合同约定应退还的质量保证金；</w:t>
      </w:r>
    </w:p>
    <w:p>
      <w:pPr>
        <w:ind w:firstLine="420"/>
        <w:rPr>
          <w:rFonts w:ascii="宋体" w:hAnsi="宋体" w:cs="仿宋_GB2312"/>
          <w:szCs w:val="21"/>
          <w:highlight w:val="none"/>
        </w:rPr>
      </w:pPr>
      <w:r>
        <w:rPr>
          <w:rFonts w:ascii="宋体" w:hAnsi="宋体" w:cs="仿宋_GB2312"/>
          <w:szCs w:val="21"/>
          <w:highlight w:val="none"/>
        </w:rPr>
        <w:t>（7）因解除合同给承包人造成的损失。</w:t>
      </w:r>
    </w:p>
    <w:p>
      <w:pPr>
        <w:ind w:firstLine="420"/>
        <w:rPr>
          <w:rFonts w:ascii="宋体" w:hAnsi="宋体" w:cs="仿宋_GB2312"/>
          <w:szCs w:val="21"/>
          <w:highlight w:val="none"/>
        </w:rPr>
      </w:pPr>
      <w:r>
        <w:rPr>
          <w:rFonts w:ascii="宋体" w:hAnsi="宋体" w:cs="仿宋_GB2312"/>
          <w:szCs w:val="21"/>
          <w:highlight w:val="none"/>
        </w:rPr>
        <w:t>合同当事人未能就解除合同后的结清达成一致的，按照第20条</w:t>
      </w:r>
      <w:r>
        <w:rPr>
          <w:rFonts w:hint="eastAsia" w:ascii="宋体" w:hAnsi="宋体" w:cs="仿宋_GB2312"/>
          <w:szCs w:val="21"/>
          <w:highlight w:val="none"/>
        </w:rPr>
        <w:t>〔</w:t>
      </w:r>
      <w:r>
        <w:rPr>
          <w:rFonts w:ascii="宋体" w:hAnsi="宋体" w:cs="仿宋_GB2312"/>
          <w:szCs w:val="21"/>
          <w:highlight w:val="none"/>
        </w:rPr>
        <w:t>争议解决</w:t>
      </w:r>
      <w:r>
        <w:rPr>
          <w:rFonts w:hint="eastAsia" w:ascii="宋体" w:hAnsi="宋体" w:cs="仿宋_GB2312"/>
          <w:szCs w:val="21"/>
          <w:highlight w:val="none"/>
        </w:rPr>
        <w:t>〕</w:t>
      </w:r>
      <w:r>
        <w:rPr>
          <w:rFonts w:ascii="宋体" w:hAnsi="宋体" w:cs="仿宋_GB2312"/>
          <w:szCs w:val="21"/>
          <w:highlight w:val="none"/>
        </w:rPr>
        <w:t>的约定处理。</w:t>
      </w:r>
    </w:p>
    <w:p>
      <w:pPr>
        <w:ind w:firstLine="420"/>
        <w:rPr>
          <w:rFonts w:ascii="宋体" w:hAnsi="宋体" w:cs="仿宋_GB2312"/>
          <w:szCs w:val="21"/>
          <w:highlight w:val="none"/>
        </w:rPr>
      </w:pPr>
      <w:r>
        <w:rPr>
          <w:rFonts w:ascii="宋体" w:hAnsi="宋体" w:cs="仿宋_GB2312"/>
          <w:szCs w:val="21"/>
          <w:highlight w:val="none"/>
        </w:rPr>
        <w:t>承包人应妥善做好已完工程和与工程有关的已购材料、工程设备的保护和移交工作，并将施工设备和人员撤出施工现场，发包人应为承包人撤出提供必要条件。</w:t>
      </w:r>
    </w:p>
    <w:p>
      <w:pPr>
        <w:pStyle w:val="6"/>
        <w:spacing w:before="120" w:after="120" w:line="360" w:lineRule="auto"/>
        <w:ind w:firstLine="420" w:firstLineChars="200"/>
        <w:rPr>
          <w:rFonts w:ascii="宋体" w:hAnsi="宋体" w:cs="仿宋_GB2312"/>
          <w:b w:val="0"/>
          <w:bCs w:val="0"/>
          <w:sz w:val="21"/>
          <w:szCs w:val="21"/>
          <w:highlight w:val="none"/>
        </w:rPr>
      </w:pPr>
      <w:bookmarkStart w:id="382" w:name="_Toc351203605"/>
      <w:bookmarkStart w:id="383" w:name="_Toc296503131"/>
      <w:bookmarkStart w:id="384" w:name="_Toc337558822"/>
      <w:bookmarkStart w:id="385" w:name="_Toc296346632"/>
      <w:r>
        <w:rPr>
          <w:rFonts w:ascii="宋体" w:hAnsi="宋体" w:cs="仿宋_GB2312"/>
          <w:b w:val="0"/>
          <w:bCs w:val="0"/>
          <w:sz w:val="21"/>
          <w:szCs w:val="21"/>
          <w:highlight w:val="none"/>
        </w:rPr>
        <w:t>16.2 承包人违约</w:t>
      </w:r>
      <w:bookmarkEnd w:id="382"/>
    </w:p>
    <w:bookmarkEnd w:id="383"/>
    <w:bookmarkEnd w:id="384"/>
    <w:bookmarkEnd w:id="385"/>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16.2.1 承包人违约的情形</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在合同履行过程中发生的下列情形，属于承包人违约：</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（1）承包人违反合同约定进行转包或违法分包的；</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（2）承包人违反合同约定采购和使用不合格的材料和工程设备的；</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 xml:space="preserve">（3）因承包人原因导致工程质量不符合合同要求的； </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（4）承包人违反第8.9款</w:t>
      </w:r>
      <w:r>
        <w:rPr>
          <w:rFonts w:hint="eastAsia" w:ascii="宋体" w:hAnsi="宋体" w:cs="仿宋_GB2312"/>
          <w:szCs w:val="21"/>
          <w:highlight w:val="none"/>
        </w:rPr>
        <w:t>〔</w:t>
      </w:r>
      <w:r>
        <w:rPr>
          <w:rFonts w:ascii="宋体" w:hAnsi="宋体" w:cs="仿宋_GB2312"/>
          <w:szCs w:val="21"/>
          <w:highlight w:val="none"/>
        </w:rPr>
        <w:t>材料与设备专用</w:t>
      </w:r>
      <w:r>
        <w:rPr>
          <w:rFonts w:hint="eastAsia" w:ascii="宋体" w:hAnsi="宋体" w:cs="仿宋_GB2312"/>
          <w:szCs w:val="21"/>
          <w:highlight w:val="none"/>
        </w:rPr>
        <w:t>要求〕</w:t>
      </w:r>
      <w:r>
        <w:rPr>
          <w:rFonts w:ascii="宋体" w:hAnsi="宋体" w:cs="仿宋_GB2312"/>
          <w:szCs w:val="21"/>
          <w:highlight w:val="none"/>
        </w:rPr>
        <w:t>的约定，未经批准，私自将已按照合同约定进入施工现场的材料或设备撤离施工现场的；</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（5）承包人未能按施工进度计划及时完成合同约定的工作，造成工期延误的；</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（6）承包人在缺陷责任期及保修期内，未能在合理期限对工程缺陷进行修复，或拒绝按发包人要求进行修复的；</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（7）承包人明确表示或者以其行为表明不履行合同主要义务的；</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（8）承包人未能按照合同约定履行其他义务的。</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承包人发生除本项第（7）目约定以外的其他违约情况时，监理人可向承包人发出整改通知，要求其在指定的期限内改正。</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16.2.2 承包人违约的责任</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承包人应承担因其违约行为而增加的费用</w:t>
      </w:r>
      <w:r>
        <w:rPr>
          <w:rFonts w:hint="eastAsia" w:ascii="宋体" w:hAnsi="宋体" w:cs="仿宋_GB2312"/>
          <w:szCs w:val="21"/>
          <w:highlight w:val="none"/>
        </w:rPr>
        <w:t>和（或）延误的</w:t>
      </w:r>
      <w:r>
        <w:rPr>
          <w:rFonts w:ascii="宋体" w:hAnsi="宋体" w:cs="仿宋_GB2312"/>
          <w:szCs w:val="21"/>
          <w:highlight w:val="none"/>
        </w:rPr>
        <w:t>工期。此外，合同当事人可在专用合同条款中另行约定承包人违约责任的承担方式和计算方法。</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16.2.3 因承包人违约解除合同</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除专用合同条款另有约定外，出现第16.2.1项</w:t>
      </w:r>
      <w:r>
        <w:rPr>
          <w:rFonts w:hint="eastAsia" w:ascii="宋体" w:hAnsi="宋体" w:cs="仿宋_GB2312"/>
          <w:szCs w:val="21"/>
          <w:highlight w:val="none"/>
        </w:rPr>
        <w:t>〔</w:t>
      </w:r>
      <w:r>
        <w:rPr>
          <w:rFonts w:ascii="宋体" w:hAnsi="宋体" w:cs="仿宋_GB2312"/>
          <w:szCs w:val="21"/>
          <w:highlight w:val="none"/>
        </w:rPr>
        <w:t>承包人违约的情形</w:t>
      </w:r>
      <w:r>
        <w:rPr>
          <w:rFonts w:hint="eastAsia" w:ascii="宋体" w:hAnsi="宋体" w:cs="仿宋_GB2312"/>
          <w:szCs w:val="21"/>
          <w:highlight w:val="none"/>
        </w:rPr>
        <w:t>〕</w:t>
      </w:r>
      <w:r>
        <w:rPr>
          <w:rFonts w:ascii="宋体" w:hAnsi="宋体" w:cs="仿宋_GB2312"/>
          <w:szCs w:val="21"/>
          <w:highlight w:val="none"/>
        </w:rPr>
        <w:t>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w:t>
      </w:r>
      <w:r>
        <w:rPr>
          <w:rFonts w:hint="eastAsia" w:ascii="宋体" w:hAnsi="宋体" w:cs="仿宋_GB2312"/>
          <w:szCs w:val="21"/>
          <w:highlight w:val="none"/>
        </w:rPr>
        <w:t>合同当事人应在专用合同条款约定相应费用的承担方式。</w:t>
      </w:r>
      <w:r>
        <w:rPr>
          <w:rFonts w:ascii="宋体" w:hAnsi="宋体" w:cs="仿宋_GB2312"/>
          <w:szCs w:val="21"/>
          <w:highlight w:val="none"/>
        </w:rPr>
        <w:t>发包人</w:t>
      </w:r>
      <w:r>
        <w:rPr>
          <w:rFonts w:hint="eastAsia" w:ascii="宋体" w:hAnsi="宋体" w:cs="仿宋_GB2312"/>
          <w:szCs w:val="21"/>
          <w:highlight w:val="none"/>
        </w:rPr>
        <w:t>继续使用的</w:t>
      </w:r>
      <w:r>
        <w:rPr>
          <w:rFonts w:ascii="宋体" w:hAnsi="宋体" w:cs="仿宋_GB2312"/>
          <w:szCs w:val="21"/>
          <w:highlight w:val="none"/>
        </w:rPr>
        <w:t>行为不免除或减轻承包人应承担的违约责任。</w:t>
      </w:r>
    </w:p>
    <w:p>
      <w:pPr>
        <w:ind w:firstLine="420"/>
        <w:rPr>
          <w:rFonts w:ascii="宋体" w:hAnsi="宋体" w:cs="仿宋_GB2312"/>
          <w:szCs w:val="21"/>
          <w:highlight w:val="none"/>
        </w:rPr>
      </w:pPr>
      <w:r>
        <w:rPr>
          <w:rFonts w:ascii="宋体" w:hAnsi="宋体" w:cs="仿宋_GB2312"/>
          <w:szCs w:val="21"/>
          <w:highlight w:val="none"/>
        </w:rPr>
        <w:t>16.2.4因承包人违约解除合同后的处理</w:t>
      </w:r>
    </w:p>
    <w:p>
      <w:pPr>
        <w:ind w:firstLine="420"/>
        <w:rPr>
          <w:rFonts w:ascii="宋体" w:hAnsi="宋体" w:cs="仿宋_GB2312"/>
          <w:szCs w:val="21"/>
          <w:highlight w:val="none"/>
        </w:rPr>
      </w:pPr>
      <w:r>
        <w:rPr>
          <w:rFonts w:ascii="宋体" w:hAnsi="宋体" w:cs="仿宋_GB2312"/>
          <w:szCs w:val="21"/>
          <w:highlight w:val="none"/>
        </w:rPr>
        <w:t>因承包人原因导致合同解除的，则合同当事人应在合同解除后28天内完成估价、付款和清算，并按以下约定执行：</w:t>
      </w:r>
    </w:p>
    <w:p>
      <w:pPr>
        <w:ind w:firstLine="420"/>
        <w:rPr>
          <w:rFonts w:ascii="宋体" w:hAnsi="宋体" w:cs="仿宋_GB2312"/>
          <w:szCs w:val="21"/>
          <w:highlight w:val="none"/>
        </w:rPr>
      </w:pPr>
      <w:r>
        <w:rPr>
          <w:rFonts w:ascii="宋体" w:hAnsi="宋体" w:cs="仿宋_GB2312"/>
          <w:szCs w:val="21"/>
          <w:highlight w:val="none"/>
        </w:rPr>
        <w:t>（1）合同解除后，按第4.4款</w:t>
      </w:r>
      <w:r>
        <w:rPr>
          <w:rFonts w:hint="eastAsia" w:ascii="宋体" w:hAnsi="宋体" w:cs="仿宋_GB2312"/>
          <w:szCs w:val="21"/>
          <w:highlight w:val="none"/>
        </w:rPr>
        <w:t>〔</w:t>
      </w:r>
      <w:r>
        <w:rPr>
          <w:rFonts w:ascii="宋体" w:hAnsi="宋体" w:cs="仿宋_GB2312"/>
          <w:szCs w:val="21"/>
          <w:highlight w:val="none"/>
        </w:rPr>
        <w:t>商定或确定</w:t>
      </w:r>
      <w:r>
        <w:rPr>
          <w:rFonts w:hint="eastAsia" w:ascii="宋体" w:hAnsi="宋体" w:cs="仿宋_GB2312"/>
          <w:szCs w:val="21"/>
          <w:highlight w:val="none"/>
        </w:rPr>
        <w:t>〕</w:t>
      </w:r>
      <w:r>
        <w:rPr>
          <w:rFonts w:ascii="宋体" w:hAnsi="宋体" w:cs="仿宋_GB2312"/>
          <w:szCs w:val="21"/>
          <w:highlight w:val="none"/>
        </w:rPr>
        <w:t>商定或确定承包人实际完成工作对应的合同价款，以及承包人已提供的材料、工程设备、施工设备和临时工程等的价值；</w:t>
      </w:r>
    </w:p>
    <w:p>
      <w:pPr>
        <w:ind w:firstLine="420"/>
        <w:rPr>
          <w:rFonts w:ascii="宋体" w:hAnsi="宋体" w:cs="仿宋_GB2312"/>
          <w:szCs w:val="21"/>
          <w:highlight w:val="none"/>
        </w:rPr>
      </w:pPr>
      <w:r>
        <w:rPr>
          <w:rFonts w:ascii="宋体" w:hAnsi="宋体" w:cs="仿宋_GB2312"/>
          <w:szCs w:val="21"/>
          <w:highlight w:val="none"/>
        </w:rPr>
        <w:t>（2）合同解除后，承包人应支付的违约金；</w:t>
      </w:r>
    </w:p>
    <w:p>
      <w:pPr>
        <w:ind w:firstLine="420"/>
        <w:rPr>
          <w:rFonts w:ascii="宋体" w:hAnsi="宋体" w:cs="仿宋_GB2312"/>
          <w:szCs w:val="21"/>
          <w:highlight w:val="none"/>
        </w:rPr>
      </w:pPr>
      <w:r>
        <w:rPr>
          <w:rFonts w:ascii="宋体" w:hAnsi="宋体" w:cs="仿宋_GB2312"/>
          <w:szCs w:val="21"/>
          <w:highlight w:val="none"/>
        </w:rPr>
        <w:t>（3）合同解除后，因解除合同给发包人造成的损失；</w:t>
      </w:r>
    </w:p>
    <w:p>
      <w:pPr>
        <w:ind w:firstLine="420"/>
        <w:rPr>
          <w:rFonts w:ascii="宋体" w:hAnsi="宋体" w:cs="仿宋_GB2312"/>
          <w:szCs w:val="21"/>
          <w:highlight w:val="none"/>
        </w:rPr>
      </w:pPr>
      <w:r>
        <w:rPr>
          <w:rFonts w:ascii="宋体" w:hAnsi="宋体" w:cs="仿宋_GB2312"/>
          <w:szCs w:val="21"/>
          <w:highlight w:val="none"/>
        </w:rPr>
        <w:t>（4）合同解除后，承包人应按照发包人要求和监理人的指示完成现场的清理和撤离；</w:t>
      </w:r>
    </w:p>
    <w:p>
      <w:pPr>
        <w:ind w:firstLine="420"/>
        <w:rPr>
          <w:rFonts w:ascii="宋体" w:hAnsi="宋体" w:cs="仿宋_GB2312"/>
          <w:szCs w:val="21"/>
          <w:highlight w:val="none"/>
        </w:rPr>
      </w:pPr>
      <w:r>
        <w:rPr>
          <w:rFonts w:ascii="宋体" w:hAnsi="宋体" w:cs="仿宋_GB2312"/>
          <w:szCs w:val="21"/>
          <w:highlight w:val="none"/>
        </w:rPr>
        <w:t>（5）发包人和承包人应在合同解除后进行清算，出具最终结清付款证书，结清全部款项。</w:t>
      </w:r>
    </w:p>
    <w:p>
      <w:pPr>
        <w:ind w:firstLine="420"/>
        <w:rPr>
          <w:rFonts w:ascii="宋体" w:hAnsi="宋体" w:cs="仿宋_GB2312"/>
          <w:szCs w:val="21"/>
          <w:highlight w:val="none"/>
        </w:rPr>
      </w:pPr>
      <w:r>
        <w:rPr>
          <w:rFonts w:hint="eastAsia" w:ascii="宋体" w:hAnsi="宋体" w:cs="仿宋_GB2312"/>
          <w:szCs w:val="21"/>
          <w:highlight w:val="none"/>
        </w:rPr>
        <w:t>因承包人违约解除合同的，</w:t>
      </w:r>
      <w:r>
        <w:rPr>
          <w:rFonts w:ascii="宋体" w:hAnsi="宋体" w:cs="仿宋_GB2312"/>
          <w:szCs w:val="21"/>
          <w:highlight w:val="none"/>
        </w:rPr>
        <w:t>发包人有权暂停对承包人的付款，查清各项付款和已扣款项。发包人和承包人未能就合同解除后的清算和款项支付达成一致的，按照第20条</w:t>
      </w:r>
      <w:r>
        <w:rPr>
          <w:rFonts w:hint="eastAsia" w:ascii="宋体" w:hAnsi="宋体" w:cs="仿宋_GB2312"/>
          <w:szCs w:val="21"/>
          <w:highlight w:val="none"/>
        </w:rPr>
        <w:t>〔</w:t>
      </w:r>
      <w:r>
        <w:rPr>
          <w:rFonts w:ascii="宋体" w:hAnsi="宋体" w:cs="仿宋_GB2312"/>
          <w:szCs w:val="21"/>
          <w:highlight w:val="none"/>
        </w:rPr>
        <w:t>争议解决</w:t>
      </w:r>
      <w:r>
        <w:rPr>
          <w:rFonts w:hint="eastAsia" w:ascii="宋体" w:hAnsi="宋体" w:cs="仿宋_GB2312"/>
          <w:szCs w:val="21"/>
          <w:highlight w:val="none"/>
        </w:rPr>
        <w:t>〕</w:t>
      </w:r>
      <w:r>
        <w:rPr>
          <w:rFonts w:ascii="宋体" w:hAnsi="宋体" w:cs="仿宋_GB2312"/>
          <w:szCs w:val="21"/>
          <w:highlight w:val="none"/>
        </w:rPr>
        <w:t>的约定处理。</w:t>
      </w:r>
    </w:p>
    <w:p>
      <w:pPr>
        <w:ind w:firstLine="420"/>
        <w:rPr>
          <w:rFonts w:ascii="宋体" w:hAnsi="宋体" w:cs="仿宋_GB2312"/>
          <w:szCs w:val="21"/>
          <w:highlight w:val="none"/>
        </w:rPr>
      </w:pPr>
      <w:r>
        <w:rPr>
          <w:rFonts w:ascii="宋体" w:hAnsi="宋体" w:cs="仿宋_GB2312"/>
          <w:szCs w:val="21"/>
          <w:highlight w:val="none"/>
        </w:rPr>
        <w:t>16.2.5采购合同权益转让</w:t>
      </w:r>
    </w:p>
    <w:p>
      <w:pPr>
        <w:ind w:firstLine="420"/>
        <w:rPr>
          <w:rFonts w:ascii="宋体" w:hAnsi="宋体" w:cs="仿宋_GB2312"/>
          <w:szCs w:val="21"/>
          <w:highlight w:val="none"/>
        </w:rPr>
      </w:pPr>
      <w:r>
        <w:rPr>
          <w:rFonts w:ascii="宋体" w:hAnsi="宋体" w:cs="仿宋_GB2312"/>
          <w:szCs w:val="21"/>
          <w:highlight w:val="none"/>
        </w:rPr>
        <w:t>因承包人违约解除合同的，发包人有权要求承包人将其为实施合同而签订的材料和设备的采购合同的权益转让给发包人，承包人应在收到解除合同通知后14天内，协助发包人与采购合同的</w:t>
      </w:r>
      <w:r>
        <w:rPr>
          <w:rFonts w:hint="eastAsia" w:ascii="宋体" w:hAnsi="宋体" w:cs="仿宋_GB2312"/>
          <w:szCs w:val="21"/>
          <w:highlight w:val="none"/>
        </w:rPr>
        <w:t>投标人</w:t>
      </w:r>
      <w:r>
        <w:rPr>
          <w:rFonts w:ascii="宋体" w:hAnsi="宋体" w:cs="仿宋_GB2312"/>
          <w:szCs w:val="21"/>
          <w:highlight w:val="none"/>
        </w:rPr>
        <w:t>达成相关的转让协议。</w:t>
      </w:r>
    </w:p>
    <w:p>
      <w:pPr>
        <w:pStyle w:val="6"/>
        <w:spacing w:before="120" w:after="120" w:line="360" w:lineRule="auto"/>
        <w:ind w:firstLine="420" w:firstLineChars="200"/>
        <w:rPr>
          <w:rFonts w:ascii="宋体" w:hAnsi="宋体" w:cs="仿宋_GB2312"/>
          <w:b w:val="0"/>
          <w:bCs w:val="0"/>
          <w:sz w:val="21"/>
          <w:szCs w:val="21"/>
          <w:highlight w:val="none"/>
        </w:rPr>
      </w:pPr>
      <w:bookmarkStart w:id="386" w:name="_Toc351203606"/>
      <w:r>
        <w:rPr>
          <w:rFonts w:ascii="宋体" w:hAnsi="宋体" w:cs="仿宋_GB2312"/>
          <w:b w:val="0"/>
          <w:bCs w:val="0"/>
          <w:sz w:val="21"/>
          <w:szCs w:val="21"/>
          <w:highlight w:val="none"/>
        </w:rPr>
        <w:t>16.3 第三人造成的违约</w:t>
      </w:r>
      <w:bookmarkEnd w:id="386"/>
    </w:p>
    <w:p>
      <w:pPr>
        <w:ind w:firstLine="420"/>
        <w:rPr>
          <w:rFonts w:ascii="宋体" w:hAnsi="宋体" w:cs="仿宋_GB2312"/>
          <w:szCs w:val="21"/>
          <w:highlight w:val="none"/>
        </w:rPr>
      </w:pPr>
      <w:r>
        <w:rPr>
          <w:rFonts w:ascii="宋体" w:hAnsi="宋体" w:cs="仿宋_GB2312"/>
          <w:szCs w:val="21"/>
          <w:highlight w:val="none"/>
        </w:rPr>
        <w:t>在履行合同过程中，一方当事人因第三人的原因造成违约的，应当向对方当事人承担违约责任。一方当事人和第三人之间的纠纷，依照法律规定或者按照约定解决。</w:t>
      </w:r>
    </w:p>
    <w:p>
      <w:pPr>
        <w:pStyle w:val="5"/>
        <w:spacing w:before="120" w:after="120"/>
        <w:ind w:firstLine="420"/>
        <w:rPr>
          <w:rFonts w:ascii="宋体" w:hAnsi="宋体" w:cs="仿宋_GB2312"/>
          <w:bCs w:val="0"/>
          <w:szCs w:val="21"/>
          <w:highlight w:val="none"/>
        </w:rPr>
      </w:pPr>
      <w:bookmarkStart w:id="387" w:name="_Toc351203607"/>
      <w:bookmarkStart w:id="388" w:name="_Toc296346617"/>
      <w:bookmarkStart w:id="389" w:name="_Toc296503116"/>
      <w:bookmarkStart w:id="390" w:name="_Toc337558823"/>
      <w:r>
        <w:rPr>
          <w:rFonts w:ascii="宋体" w:hAnsi="宋体" w:cs="仿宋_GB2312"/>
          <w:bCs w:val="0"/>
          <w:szCs w:val="21"/>
          <w:highlight w:val="none"/>
        </w:rPr>
        <w:t>17. 不可抗力</w:t>
      </w:r>
      <w:bookmarkEnd w:id="387"/>
      <w:r>
        <w:rPr>
          <w:rFonts w:ascii="宋体" w:hAnsi="宋体" w:cs="仿宋_GB2312"/>
          <w:bCs w:val="0"/>
          <w:szCs w:val="21"/>
          <w:highlight w:val="none"/>
        </w:rPr>
        <w:t xml:space="preserve"> </w:t>
      </w:r>
      <w:bookmarkEnd w:id="388"/>
      <w:bookmarkEnd w:id="389"/>
      <w:bookmarkEnd w:id="390"/>
    </w:p>
    <w:p>
      <w:pPr>
        <w:pStyle w:val="6"/>
        <w:spacing w:before="120" w:after="120" w:line="360" w:lineRule="auto"/>
        <w:ind w:firstLine="420" w:firstLineChars="200"/>
        <w:rPr>
          <w:rFonts w:ascii="宋体" w:hAnsi="宋体" w:cs="仿宋_GB2312"/>
          <w:b w:val="0"/>
          <w:bCs w:val="0"/>
          <w:sz w:val="21"/>
          <w:szCs w:val="21"/>
          <w:highlight w:val="none"/>
        </w:rPr>
      </w:pPr>
      <w:bookmarkStart w:id="391" w:name="_Toc351203608"/>
      <w:bookmarkStart w:id="392" w:name="_Toc296503117"/>
      <w:bookmarkStart w:id="393" w:name="_Toc337558824"/>
      <w:bookmarkStart w:id="394" w:name="_Toc296346618"/>
      <w:r>
        <w:rPr>
          <w:rFonts w:ascii="宋体" w:hAnsi="宋体" w:cs="仿宋_GB2312"/>
          <w:b w:val="0"/>
          <w:bCs w:val="0"/>
          <w:sz w:val="21"/>
          <w:szCs w:val="21"/>
          <w:highlight w:val="none"/>
        </w:rPr>
        <w:t>17.1 不可抗力的确认</w:t>
      </w:r>
      <w:bookmarkEnd w:id="391"/>
    </w:p>
    <w:bookmarkEnd w:id="392"/>
    <w:bookmarkEnd w:id="393"/>
    <w:bookmarkEnd w:id="394"/>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不可抗力发生后，发包人和承包人应收集证明不可抗力发生及不可抗力造成损失的证据，并及时认真统计所造成的损失。合同当事人对是否属于不可抗力或其损失的意见不一致的，由监理人按第4.4款</w:t>
      </w:r>
      <w:r>
        <w:rPr>
          <w:rFonts w:hint="eastAsia" w:ascii="宋体" w:hAnsi="宋体" w:cs="仿宋_GB2312"/>
          <w:szCs w:val="21"/>
          <w:highlight w:val="none"/>
        </w:rPr>
        <w:t>〔</w:t>
      </w:r>
      <w:r>
        <w:rPr>
          <w:rFonts w:ascii="宋体" w:hAnsi="宋体" w:cs="仿宋_GB2312"/>
          <w:szCs w:val="21"/>
          <w:highlight w:val="none"/>
        </w:rPr>
        <w:t>商定或确定</w:t>
      </w:r>
      <w:r>
        <w:rPr>
          <w:rFonts w:hint="eastAsia" w:ascii="宋体" w:hAnsi="宋体" w:cs="仿宋_GB2312"/>
          <w:szCs w:val="21"/>
          <w:highlight w:val="none"/>
        </w:rPr>
        <w:t>〕</w:t>
      </w:r>
      <w:r>
        <w:rPr>
          <w:rFonts w:ascii="宋体" w:hAnsi="宋体" w:cs="仿宋_GB2312"/>
          <w:szCs w:val="21"/>
          <w:highlight w:val="none"/>
        </w:rPr>
        <w:t>的约定处理。发生争议时，按第20条</w:t>
      </w:r>
      <w:r>
        <w:rPr>
          <w:rFonts w:hint="eastAsia" w:ascii="宋体" w:hAnsi="宋体" w:cs="仿宋_GB2312"/>
          <w:szCs w:val="21"/>
          <w:highlight w:val="none"/>
        </w:rPr>
        <w:t>〔</w:t>
      </w:r>
      <w:r>
        <w:rPr>
          <w:rFonts w:ascii="宋体" w:hAnsi="宋体" w:cs="仿宋_GB2312"/>
          <w:szCs w:val="21"/>
          <w:highlight w:val="none"/>
        </w:rPr>
        <w:t>争议解决</w:t>
      </w:r>
      <w:r>
        <w:rPr>
          <w:rFonts w:hint="eastAsia" w:ascii="宋体" w:hAnsi="宋体" w:cs="仿宋_GB2312"/>
          <w:szCs w:val="21"/>
          <w:highlight w:val="none"/>
        </w:rPr>
        <w:t>〕</w:t>
      </w:r>
      <w:r>
        <w:rPr>
          <w:rFonts w:ascii="宋体" w:hAnsi="宋体" w:cs="仿宋_GB2312"/>
          <w:szCs w:val="21"/>
          <w:highlight w:val="none"/>
        </w:rPr>
        <w:t>的约定处理。</w:t>
      </w:r>
    </w:p>
    <w:p>
      <w:pPr>
        <w:pStyle w:val="6"/>
        <w:spacing w:before="120" w:after="120" w:line="360" w:lineRule="auto"/>
        <w:ind w:firstLine="420" w:firstLineChars="200"/>
        <w:rPr>
          <w:rFonts w:ascii="宋体" w:hAnsi="宋体" w:cs="仿宋_GB2312"/>
          <w:b w:val="0"/>
          <w:bCs w:val="0"/>
          <w:sz w:val="21"/>
          <w:szCs w:val="21"/>
          <w:highlight w:val="none"/>
        </w:rPr>
      </w:pPr>
      <w:bookmarkStart w:id="395" w:name="_Toc351203609"/>
      <w:bookmarkStart w:id="396" w:name="_Toc296346619"/>
      <w:bookmarkStart w:id="397" w:name="_Toc337558825"/>
      <w:bookmarkStart w:id="398" w:name="_Toc296503118"/>
      <w:r>
        <w:rPr>
          <w:rFonts w:ascii="宋体" w:hAnsi="宋体" w:cs="仿宋_GB2312"/>
          <w:b w:val="0"/>
          <w:bCs w:val="0"/>
          <w:sz w:val="21"/>
          <w:szCs w:val="21"/>
          <w:highlight w:val="none"/>
        </w:rPr>
        <w:t>17.2 不可抗力的通知</w:t>
      </w:r>
      <w:bookmarkEnd w:id="395"/>
    </w:p>
    <w:bookmarkEnd w:id="396"/>
    <w:bookmarkEnd w:id="397"/>
    <w:bookmarkEnd w:id="398"/>
    <w:p>
      <w:pPr>
        <w:autoSpaceDE w:val="0"/>
        <w:autoSpaceDN w:val="0"/>
        <w:adjustRightInd w:val="0"/>
        <w:ind w:firstLine="420"/>
        <w:rPr>
          <w:rFonts w:ascii="宋体" w:hAnsi="宋体" w:cs="仿宋_GB2312"/>
          <w:szCs w:val="21"/>
          <w:highlight w:val="none"/>
        </w:rPr>
      </w:pPr>
      <w:r>
        <w:rPr>
          <w:rFonts w:hint="eastAsia" w:ascii="宋体" w:hAnsi="宋体" w:cs="仿宋_GB2312"/>
          <w:szCs w:val="21"/>
          <w:highlight w:val="none"/>
        </w:rPr>
        <w:t>合同</w:t>
      </w:r>
      <w:r>
        <w:rPr>
          <w:rFonts w:ascii="宋体" w:hAnsi="宋体" w:cs="仿宋_GB2312"/>
          <w:szCs w:val="21"/>
          <w:highlight w:val="none"/>
        </w:rPr>
        <w:t>一方当事人遇到不可抗力事件，使其履行合同义务受到阻碍时，应立即通知合同另一方当事人和监理人，书面说明不可抗力和受阻碍的详细情况，并提供必要的证明。</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不可抗力持续发生的，合同一方当事人应及时向合同另一方当事人和监理人提交中间报告，说明不可抗力和履行合同受阻的情况，并于不可抗力事件结束后28天内提交最终报告及有关资料。</w:t>
      </w:r>
    </w:p>
    <w:p>
      <w:pPr>
        <w:pStyle w:val="6"/>
        <w:spacing w:before="120" w:after="120" w:line="360" w:lineRule="auto"/>
        <w:ind w:firstLine="420" w:firstLineChars="200"/>
        <w:rPr>
          <w:rFonts w:ascii="宋体" w:hAnsi="宋体" w:cs="仿宋_GB2312"/>
          <w:b w:val="0"/>
          <w:bCs w:val="0"/>
          <w:sz w:val="21"/>
          <w:szCs w:val="21"/>
          <w:highlight w:val="none"/>
        </w:rPr>
      </w:pPr>
      <w:bookmarkStart w:id="399" w:name="_Toc351203610"/>
      <w:bookmarkStart w:id="400" w:name="_Toc337558826"/>
      <w:bookmarkStart w:id="401" w:name="_Toc296503119"/>
      <w:bookmarkStart w:id="402" w:name="_Toc296346620"/>
      <w:r>
        <w:rPr>
          <w:rFonts w:ascii="宋体" w:hAnsi="宋体" w:cs="仿宋_GB2312"/>
          <w:b w:val="0"/>
          <w:bCs w:val="0"/>
          <w:sz w:val="21"/>
          <w:szCs w:val="21"/>
          <w:highlight w:val="none"/>
        </w:rPr>
        <w:t>17.3 不可抗力后果的承担</w:t>
      </w:r>
      <w:bookmarkEnd w:id="399"/>
    </w:p>
    <w:bookmarkEnd w:id="400"/>
    <w:bookmarkEnd w:id="401"/>
    <w:bookmarkEnd w:id="402"/>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 xml:space="preserve">17.3.1 </w:t>
      </w:r>
      <w:r>
        <w:rPr>
          <w:rFonts w:hint="eastAsia" w:ascii="宋体" w:hAnsi="宋体" w:cs="仿宋_GB2312"/>
          <w:szCs w:val="21"/>
          <w:highlight w:val="none"/>
        </w:rPr>
        <w:t>不可抗力引起的后果及造成的损失由合同当事人按照法律规定及合同约定各自承担。</w:t>
      </w:r>
      <w:r>
        <w:rPr>
          <w:rFonts w:ascii="宋体" w:hAnsi="宋体" w:cs="仿宋_GB2312"/>
          <w:szCs w:val="21"/>
          <w:highlight w:val="none"/>
        </w:rPr>
        <w:t>不可抗力发生前已完</w:t>
      </w:r>
      <w:r>
        <w:rPr>
          <w:rFonts w:hint="eastAsia" w:ascii="宋体" w:hAnsi="宋体" w:cs="仿宋_GB2312"/>
          <w:szCs w:val="21"/>
          <w:highlight w:val="none"/>
        </w:rPr>
        <w:t>成的</w:t>
      </w:r>
      <w:r>
        <w:rPr>
          <w:rFonts w:ascii="宋体" w:hAnsi="宋体" w:cs="仿宋_GB2312"/>
          <w:szCs w:val="21"/>
          <w:highlight w:val="none"/>
        </w:rPr>
        <w:t>工程应当按照合同约定进行计量</w:t>
      </w:r>
      <w:r>
        <w:rPr>
          <w:rFonts w:hint="eastAsia" w:ascii="宋体" w:hAnsi="宋体" w:cs="仿宋_GB2312"/>
          <w:szCs w:val="21"/>
          <w:highlight w:val="none"/>
        </w:rPr>
        <w:t>支付</w:t>
      </w:r>
      <w:r>
        <w:rPr>
          <w:rFonts w:ascii="宋体" w:hAnsi="宋体" w:cs="仿宋_GB2312"/>
          <w:szCs w:val="21"/>
          <w:highlight w:val="none"/>
        </w:rPr>
        <w:t>。</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17.3.2 不可抗力导致的人员伤亡、财产损失、费用增加和（或）工期延误等后果，由合同当事人按以下原则承担：</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（1）永久工程、已运至施工现场的材料和工程设备的损坏，以及因工程损坏造成的第三人人员伤亡和财产损失由发包人承担；</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（2）承包人施工设备的损坏由承包人承担；</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（3）发包人和承包人承担各自人员伤亡和财产的损失；</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（5）因不可抗力引起或将引起工期延误，发包人要求赶工的，由此增加的赶工费用由发包人承担；</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（6）承包人在停工期间按照发包人要求照管、清理和修复工程的费用由发包人承担。</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不可抗力发生后，合同当事人均应采取措施尽量避免和减少损失的扩大，任何一方当事人没有采取有效措施导致损失扩大的，应对扩大的损失承担责任。</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因合同一方迟延履行合同义务，在迟延履行期间遭遇不可抗力的，不免除其违约责任。</w:t>
      </w:r>
    </w:p>
    <w:p>
      <w:pPr>
        <w:pStyle w:val="6"/>
        <w:spacing w:before="120" w:after="120" w:line="360" w:lineRule="auto"/>
        <w:ind w:firstLine="420" w:firstLineChars="200"/>
        <w:rPr>
          <w:rFonts w:ascii="宋体" w:hAnsi="宋体" w:cs="仿宋_GB2312"/>
          <w:b w:val="0"/>
          <w:bCs w:val="0"/>
          <w:sz w:val="21"/>
          <w:szCs w:val="21"/>
          <w:highlight w:val="none"/>
        </w:rPr>
      </w:pPr>
      <w:bookmarkStart w:id="403" w:name="_Toc351203611"/>
      <w:bookmarkStart w:id="404" w:name="_Toc337558827"/>
      <w:r>
        <w:rPr>
          <w:rFonts w:ascii="宋体" w:hAnsi="宋体" w:cs="仿宋_GB2312"/>
          <w:b w:val="0"/>
          <w:bCs w:val="0"/>
          <w:sz w:val="21"/>
          <w:szCs w:val="21"/>
          <w:highlight w:val="none"/>
        </w:rPr>
        <w:t>17.4 因不可抗力解除合同</w:t>
      </w:r>
      <w:bookmarkEnd w:id="403"/>
    </w:p>
    <w:bookmarkEnd w:id="404"/>
    <w:p>
      <w:pPr>
        <w:ind w:firstLine="420"/>
        <w:rPr>
          <w:rFonts w:ascii="宋体" w:hAnsi="宋体" w:cs="仿宋_GB2312"/>
          <w:szCs w:val="21"/>
          <w:highlight w:val="none"/>
        </w:rPr>
      </w:pPr>
      <w:r>
        <w:rPr>
          <w:rFonts w:ascii="宋体" w:hAnsi="宋体" w:cs="仿宋_GB2312"/>
          <w:szCs w:val="21"/>
          <w:highlight w:val="none"/>
        </w:rPr>
        <w:t>因不可抗力导致合同无法履行连续超过84天或累计超过140天的，发包人和承包人均有权解除合同。合同解除后，由双方当事人按照第4.4款</w:t>
      </w:r>
      <w:r>
        <w:rPr>
          <w:rFonts w:hint="eastAsia" w:ascii="宋体" w:hAnsi="宋体" w:cs="仿宋_GB2312"/>
          <w:szCs w:val="21"/>
          <w:highlight w:val="none"/>
        </w:rPr>
        <w:t>〔</w:t>
      </w:r>
      <w:r>
        <w:rPr>
          <w:rFonts w:ascii="宋体" w:hAnsi="宋体" w:cs="仿宋_GB2312"/>
          <w:szCs w:val="21"/>
          <w:highlight w:val="none"/>
        </w:rPr>
        <w:t>商定或确定</w:t>
      </w:r>
      <w:r>
        <w:rPr>
          <w:rFonts w:hint="eastAsia" w:ascii="宋体" w:hAnsi="宋体" w:cs="仿宋_GB2312"/>
          <w:szCs w:val="21"/>
          <w:highlight w:val="none"/>
        </w:rPr>
        <w:t>〕</w:t>
      </w:r>
      <w:r>
        <w:rPr>
          <w:rFonts w:ascii="宋体" w:hAnsi="宋体" w:cs="仿宋_GB2312"/>
          <w:szCs w:val="21"/>
          <w:highlight w:val="none"/>
        </w:rPr>
        <w:t>商定或确定发包人应支付的款项，该款项包括：</w:t>
      </w:r>
    </w:p>
    <w:p>
      <w:pPr>
        <w:ind w:firstLine="420"/>
        <w:rPr>
          <w:rFonts w:ascii="宋体" w:hAnsi="宋体" w:cs="仿宋_GB2312"/>
          <w:szCs w:val="21"/>
          <w:highlight w:val="none"/>
        </w:rPr>
      </w:pPr>
      <w:r>
        <w:rPr>
          <w:rFonts w:ascii="宋体" w:hAnsi="宋体" w:cs="仿宋_GB2312"/>
          <w:szCs w:val="21"/>
          <w:highlight w:val="none"/>
        </w:rPr>
        <w:t>（1）合同解除前承包人已完成工作的价款；</w:t>
      </w:r>
    </w:p>
    <w:p>
      <w:pPr>
        <w:ind w:firstLine="420"/>
        <w:rPr>
          <w:rFonts w:ascii="宋体" w:hAnsi="宋体" w:cs="仿宋_GB2312"/>
          <w:szCs w:val="21"/>
          <w:highlight w:val="none"/>
        </w:rPr>
      </w:pPr>
      <w:r>
        <w:rPr>
          <w:rFonts w:ascii="宋体" w:hAnsi="宋体" w:cs="仿宋_GB2312"/>
          <w:szCs w:val="21"/>
          <w:highlight w:val="none"/>
        </w:rPr>
        <w:t>（2）承包人为工程订购的并已交付给承包人，或承包人有责任接受交付的材料、工程设备和其他物品的价款；</w:t>
      </w:r>
    </w:p>
    <w:p>
      <w:pPr>
        <w:ind w:firstLine="420"/>
        <w:rPr>
          <w:rFonts w:ascii="宋体" w:hAnsi="宋体" w:cs="仿宋_GB2312"/>
          <w:szCs w:val="21"/>
          <w:highlight w:val="none"/>
        </w:rPr>
      </w:pPr>
      <w:r>
        <w:rPr>
          <w:rFonts w:ascii="宋体" w:hAnsi="宋体" w:cs="仿宋_GB2312"/>
          <w:szCs w:val="21"/>
          <w:highlight w:val="none"/>
        </w:rPr>
        <w:t>（3）发包人要求承包人退货或解除订货合同而产生的费用，或因不能退货或解除合同而产生的损失；</w:t>
      </w:r>
    </w:p>
    <w:p>
      <w:pPr>
        <w:ind w:firstLine="420"/>
        <w:rPr>
          <w:rFonts w:ascii="宋体" w:hAnsi="宋体" w:cs="仿宋_GB2312"/>
          <w:szCs w:val="21"/>
          <w:highlight w:val="none"/>
        </w:rPr>
      </w:pPr>
      <w:r>
        <w:rPr>
          <w:rFonts w:ascii="宋体" w:hAnsi="宋体" w:cs="仿宋_GB2312"/>
          <w:szCs w:val="21"/>
          <w:highlight w:val="none"/>
        </w:rPr>
        <w:t>（4）承包人撤离施工现场以及遣散承包人人员的费用；</w:t>
      </w:r>
    </w:p>
    <w:p>
      <w:pPr>
        <w:ind w:firstLine="420"/>
        <w:rPr>
          <w:rFonts w:ascii="宋体" w:hAnsi="宋体" w:cs="仿宋_GB2312"/>
          <w:szCs w:val="21"/>
          <w:highlight w:val="none"/>
        </w:rPr>
      </w:pPr>
      <w:r>
        <w:rPr>
          <w:rFonts w:ascii="宋体" w:hAnsi="宋体" w:cs="仿宋_GB2312"/>
          <w:szCs w:val="21"/>
          <w:highlight w:val="none"/>
        </w:rPr>
        <w:t>（5）按照合同约定在合同解除前应支付给承包人的其他款项；</w:t>
      </w:r>
    </w:p>
    <w:p>
      <w:pPr>
        <w:ind w:firstLine="420"/>
        <w:rPr>
          <w:rFonts w:ascii="宋体" w:hAnsi="宋体" w:cs="仿宋_GB2312"/>
          <w:szCs w:val="21"/>
          <w:highlight w:val="none"/>
        </w:rPr>
      </w:pPr>
      <w:r>
        <w:rPr>
          <w:rFonts w:ascii="宋体" w:hAnsi="宋体" w:cs="仿宋_GB2312"/>
          <w:szCs w:val="21"/>
          <w:highlight w:val="none"/>
        </w:rPr>
        <w:t>（6）扣减承包人按照合同约定应向发包人支付的款项；</w:t>
      </w:r>
    </w:p>
    <w:p>
      <w:pPr>
        <w:ind w:firstLine="420"/>
        <w:rPr>
          <w:rFonts w:ascii="宋体" w:hAnsi="宋体" w:cs="仿宋_GB2312"/>
          <w:szCs w:val="21"/>
          <w:highlight w:val="none"/>
        </w:rPr>
      </w:pPr>
      <w:r>
        <w:rPr>
          <w:rFonts w:ascii="宋体" w:hAnsi="宋体" w:cs="仿宋_GB2312"/>
          <w:szCs w:val="21"/>
          <w:highlight w:val="none"/>
        </w:rPr>
        <w:t>（7）双方商定或确定的其他款项。</w:t>
      </w:r>
    </w:p>
    <w:p>
      <w:pPr>
        <w:ind w:firstLine="420"/>
        <w:rPr>
          <w:rFonts w:ascii="宋体" w:hAnsi="宋体" w:cs="仿宋_GB2312"/>
          <w:szCs w:val="21"/>
          <w:highlight w:val="none"/>
        </w:rPr>
      </w:pPr>
      <w:r>
        <w:rPr>
          <w:rFonts w:ascii="宋体" w:hAnsi="宋体" w:cs="仿宋_GB2312"/>
          <w:szCs w:val="21"/>
          <w:highlight w:val="none"/>
        </w:rPr>
        <w:t>除专用合同条款另有约定外，合同解除后，发包人应在商定或确定上述款项后28天内完成上述款项的支付。</w:t>
      </w:r>
    </w:p>
    <w:p>
      <w:pPr>
        <w:pStyle w:val="5"/>
        <w:spacing w:before="120" w:after="120"/>
        <w:ind w:firstLine="420"/>
        <w:rPr>
          <w:rFonts w:ascii="宋体" w:hAnsi="宋体" w:cs="仿宋_GB2312"/>
          <w:bCs w:val="0"/>
          <w:szCs w:val="21"/>
          <w:highlight w:val="none"/>
        </w:rPr>
      </w:pPr>
      <w:bookmarkStart w:id="405" w:name="_Toc351203612"/>
      <w:bookmarkStart w:id="406" w:name="_Toc337558828"/>
      <w:bookmarkStart w:id="407" w:name="_Toc296346621"/>
      <w:bookmarkStart w:id="408" w:name="_Toc296503120"/>
      <w:r>
        <w:rPr>
          <w:rFonts w:ascii="宋体" w:hAnsi="宋体" w:cs="仿宋_GB2312"/>
          <w:bCs w:val="0"/>
          <w:szCs w:val="21"/>
          <w:highlight w:val="none"/>
        </w:rPr>
        <w:t>18. 保险</w:t>
      </w:r>
      <w:bookmarkEnd w:id="405"/>
    </w:p>
    <w:bookmarkEnd w:id="406"/>
    <w:bookmarkEnd w:id="407"/>
    <w:bookmarkEnd w:id="408"/>
    <w:p>
      <w:pPr>
        <w:pStyle w:val="6"/>
        <w:spacing w:before="120" w:after="120" w:line="360" w:lineRule="auto"/>
        <w:ind w:firstLine="420" w:firstLineChars="200"/>
        <w:rPr>
          <w:rFonts w:ascii="宋体" w:hAnsi="宋体" w:cs="仿宋_GB2312"/>
          <w:b w:val="0"/>
          <w:bCs w:val="0"/>
          <w:sz w:val="21"/>
          <w:szCs w:val="21"/>
          <w:highlight w:val="none"/>
        </w:rPr>
      </w:pPr>
      <w:bookmarkStart w:id="409" w:name="_Toc351203613"/>
      <w:bookmarkStart w:id="410" w:name="_Toc296346622"/>
      <w:bookmarkStart w:id="411" w:name="_Toc337558829"/>
      <w:bookmarkStart w:id="412" w:name="_Toc296503121"/>
      <w:r>
        <w:rPr>
          <w:rFonts w:ascii="宋体" w:hAnsi="宋体" w:cs="仿宋_GB2312"/>
          <w:b w:val="0"/>
          <w:bCs w:val="0"/>
          <w:sz w:val="21"/>
          <w:szCs w:val="21"/>
          <w:highlight w:val="none"/>
        </w:rPr>
        <w:t>18.1 工程保险</w:t>
      </w:r>
      <w:bookmarkEnd w:id="409"/>
    </w:p>
    <w:bookmarkEnd w:id="410"/>
    <w:bookmarkEnd w:id="411"/>
    <w:bookmarkEnd w:id="412"/>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除专用合同条款另有约定外，发包人应投保建筑工程一切险或安装工程一切险；发包人委托承包人投保的，因投保产生的保险费和其他相关费用由发包人承担。</w:t>
      </w:r>
    </w:p>
    <w:p>
      <w:pPr>
        <w:pStyle w:val="6"/>
        <w:spacing w:before="120" w:after="120" w:line="360" w:lineRule="auto"/>
        <w:ind w:firstLine="420" w:firstLineChars="200"/>
        <w:rPr>
          <w:rFonts w:ascii="宋体" w:hAnsi="宋体" w:cs="仿宋_GB2312"/>
          <w:b w:val="0"/>
          <w:bCs w:val="0"/>
          <w:sz w:val="21"/>
          <w:szCs w:val="21"/>
          <w:highlight w:val="none"/>
        </w:rPr>
      </w:pPr>
      <w:bookmarkStart w:id="413" w:name="_Toc351203614"/>
      <w:bookmarkStart w:id="414" w:name="_Toc337558830"/>
      <w:bookmarkStart w:id="415" w:name="_Toc296503122"/>
      <w:bookmarkStart w:id="416" w:name="_Toc296346623"/>
      <w:r>
        <w:rPr>
          <w:rFonts w:ascii="宋体" w:hAnsi="宋体" w:cs="仿宋_GB2312"/>
          <w:b w:val="0"/>
          <w:bCs w:val="0"/>
          <w:sz w:val="21"/>
          <w:szCs w:val="21"/>
          <w:highlight w:val="none"/>
        </w:rPr>
        <w:t>18.2 工伤保险</w:t>
      </w:r>
      <w:bookmarkEnd w:id="413"/>
    </w:p>
    <w:bookmarkEnd w:id="414"/>
    <w:bookmarkEnd w:id="415"/>
    <w:bookmarkEnd w:id="416"/>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18.2.1 发包人应依照法律规定参加工伤保险，并为在施工现场的全部员工办理工伤保险，缴纳工伤保险费，并要求监理人及由发包人为履行合同聘请的第三方依法参加工伤保险。</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18.2.2 承包人应依照法律规定参加工伤保险，并为其履行合同的全部员工办理工伤保险，缴纳工伤保险费，并要求分包人及由承包人为履行合同聘请的第三方依法参加工伤保险。</w:t>
      </w:r>
    </w:p>
    <w:p>
      <w:pPr>
        <w:pStyle w:val="6"/>
        <w:spacing w:before="120" w:after="120" w:line="360" w:lineRule="auto"/>
        <w:ind w:firstLine="420" w:firstLineChars="200"/>
        <w:rPr>
          <w:rFonts w:ascii="宋体" w:hAnsi="宋体" w:cs="仿宋_GB2312"/>
          <w:b w:val="0"/>
          <w:bCs w:val="0"/>
          <w:sz w:val="21"/>
          <w:szCs w:val="21"/>
          <w:highlight w:val="none"/>
        </w:rPr>
      </w:pPr>
      <w:bookmarkStart w:id="417" w:name="_Toc351203615"/>
      <w:bookmarkStart w:id="418" w:name="_Toc296503125"/>
      <w:bookmarkStart w:id="419" w:name="_Toc296346626"/>
      <w:bookmarkStart w:id="420" w:name="_Toc337558831"/>
      <w:r>
        <w:rPr>
          <w:rFonts w:ascii="宋体" w:hAnsi="宋体" w:cs="仿宋_GB2312"/>
          <w:b w:val="0"/>
          <w:bCs w:val="0"/>
          <w:sz w:val="21"/>
          <w:szCs w:val="21"/>
          <w:highlight w:val="none"/>
        </w:rPr>
        <w:t>18.3其他保险</w:t>
      </w:r>
      <w:bookmarkEnd w:id="417"/>
    </w:p>
    <w:bookmarkEnd w:id="418"/>
    <w:bookmarkEnd w:id="419"/>
    <w:bookmarkEnd w:id="420"/>
    <w:p>
      <w:pPr>
        <w:ind w:firstLine="420"/>
        <w:rPr>
          <w:rFonts w:ascii="宋体" w:hAnsi="宋体" w:cs="仿宋_GB2312"/>
          <w:szCs w:val="21"/>
          <w:highlight w:val="none"/>
        </w:rPr>
      </w:pPr>
      <w:r>
        <w:rPr>
          <w:rFonts w:ascii="宋体" w:hAnsi="宋体" w:cs="仿宋_GB2312"/>
          <w:szCs w:val="21"/>
          <w:highlight w:val="none"/>
        </w:rPr>
        <w:t>发包人和承包人可以为其施工现场的全部人员办理意外伤害保险并支付保险费，包括其员工及为履行合同聘请的第三方的人员，具体事项由合同当事人在专用合同条款约定。</w:t>
      </w:r>
    </w:p>
    <w:p>
      <w:pPr>
        <w:ind w:firstLine="420"/>
        <w:rPr>
          <w:rFonts w:ascii="宋体" w:hAnsi="宋体" w:cs="仿宋_GB2312"/>
          <w:szCs w:val="21"/>
          <w:highlight w:val="none"/>
        </w:rPr>
      </w:pPr>
      <w:r>
        <w:rPr>
          <w:rFonts w:ascii="宋体" w:hAnsi="宋体" w:cs="仿宋_GB2312"/>
          <w:szCs w:val="21"/>
          <w:highlight w:val="none"/>
        </w:rPr>
        <w:t>除专用合同条款另有约定外，承包人应为其施工设备等办理财产保险。</w:t>
      </w:r>
    </w:p>
    <w:p>
      <w:pPr>
        <w:pStyle w:val="6"/>
        <w:spacing w:before="120" w:after="120" w:line="360" w:lineRule="auto"/>
        <w:ind w:firstLine="420" w:firstLineChars="200"/>
        <w:rPr>
          <w:rFonts w:ascii="宋体" w:hAnsi="宋体" w:cs="仿宋_GB2312"/>
          <w:b w:val="0"/>
          <w:bCs w:val="0"/>
          <w:sz w:val="21"/>
          <w:szCs w:val="21"/>
          <w:highlight w:val="none"/>
        </w:rPr>
      </w:pPr>
      <w:bookmarkStart w:id="421" w:name="_Toc351203616"/>
      <w:r>
        <w:rPr>
          <w:rFonts w:ascii="宋体" w:hAnsi="宋体" w:cs="仿宋_GB2312"/>
          <w:b w:val="0"/>
          <w:bCs w:val="0"/>
          <w:sz w:val="21"/>
          <w:szCs w:val="21"/>
          <w:highlight w:val="none"/>
        </w:rPr>
        <w:t>18.4持续保险</w:t>
      </w:r>
      <w:bookmarkEnd w:id="421"/>
    </w:p>
    <w:p>
      <w:pPr>
        <w:ind w:firstLine="420"/>
        <w:rPr>
          <w:rFonts w:ascii="宋体" w:hAnsi="宋体" w:cs="仿宋_GB2312"/>
          <w:szCs w:val="21"/>
          <w:highlight w:val="none"/>
        </w:rPr>
      </w:pPr>
      <w:r>
        <w:rPr>
          <w:rFonts w:ascii="宋体" w:hAnsi="宋体" w:cs="仿宋_GB2312"/>
          <w:szCs w:val="21"/>
          <w:highlight w:val="none"/>
        </w:rPr>
        <w:t>合同当事人应与保险人保持联系，使保险人能够随时了解工程实施中的变动，并确保按保险合同条款要求持续保险。</w:t>
      </w:r>
    </w:p>
    <w:p>
      <w:pPr>
        <w:pStyle w:val="6"/>
        <w:spacing w:before="120" w:after="120" w:line="360" w:lineRule="auto"/>
        <w:ind w:firstLine="420" w:firstLineChars="200"/>
        <w:rPr>
          <w:rFonts w:ascii="宋体" w:hAnsi="宋体" w:cs="仿宋_GB2312"/>
          <w:b w:val="0"/>
          <w:bCs w:val="0"/>
          <w:sz w:val="21"/>
          <w:szCs w:val="21"/>
          <w:highlight w:val="none"/>
        </w:rPr>
      </w:pPr>
      <w:bookmarkStart w:id="422" w:name="_Toc351203617"/>
      <w:bookmarkStart w:id="423" w:name="_Toc296346627"/>
      <w:bookmarkStart w:id="424" w:name="_Toc296503126"/>
      <w:bookmarkStart w:id="425" w:name="_Toc337558832"/>
      <w:r>
        <w:rPr>
          <w:rFonts w:ascii="宋体" w:hAnsi="宋体" w:cs="仿宋_GB2312"/>
          <w:b w:val="0"/>
          <w:bCs w:val="0"/>
          <w:sz w:val="21"/>
          <w:szCs w:val="21"/>
          <w:highlight w:val="none"/>
        </w:rPr>
        <w:t>18.5 保险凭证</w:t>
      </w:r>
      <w:bookmarkEnd w:id="422"/>
    </w:p>
    <w:bookmarkEnd w:id="423"/>
    <w:bookmarkEnd w:id="424"/>
    <w:bookmarkEnd w:id="425"/>
    <w:p>
      <w:pPr>
        <w:ind w:firstLine="420"/>
        <w:rPr>
          <w:rFonts w:ascii="宋体" w:hAnsi="宋体" w:cs="仿宋_GB2312"/>
          <w:szCs w:val="21"/>
          <w:highlight w:val="none"/>
        </w:rPr>
      </w:pPr>
      <w:r>
        <w:rPr>
          <w:rFonts w:ascii="宋体" w:hAnsi="宋体" w:cs="仿宋_GB2312"/>
          <w:szCs w:val="21"/>
          <w:highlight w:val="none"/>
        </w:rPr>
        <w:t>合同当事人应及时向另一方当事人提交其已投保的各项保险的凭证和保险单复印件。</w:t>
      </w:r>
    </w:p>
    <w:p>
      <w:pPr>
        <w:pStyle w:val="6"/>
        <w:spacing w:before="120" w:after="120" w:line="360" w:lineRule="auto"/>
        <w:ind w:firstLine="420" w:firstLineChars="200"/>
        <w:rPr>
          <w:rFonts w:ascii="宋体" w:hAnsi="宋体" w:cs="仿宋_GB2312"/>
          <w:b w:val="0"/>
          <w:bCs w:val="0"/>
          <w:sz w:val="21"/>
          <w:szCs w:val="21"/>
          <w:highlight w:val="none"/>
        </w:rPr>
      </w:pPr>
      <w:bookmarkStart w:id="426" w:name="_Toc351203618"/>
      <w:bookmarkStart w:id="427" w:name="_Toc337558833"/>
      <w:bookmarkStart w:id="428" w:name="_Toc296503127"/>
      <w:bookmarkStart w:id="429" w:name="_Toc296346628"/>
      <w:r>
        <w:rPr>
          <w:rFonts w:ascii="宋体" w:hAnsi="宋体" w:cs="仿宋_GB2312"/>
          <w:b w:val="0"/>
          <w:bCs w:val="0"/>
          <w:sz w:val="21"/>
          <w:szCs w:val="21"/>
          <w:highlight w:val="none"/>
        </w:rPr>
        <w:t>18.6 未按约定投保的补救</w:t>
      </w:r>
      <w:bookmarkEnd w:id="426"/>
    </w:p>
    <w:bookmarkEnd w:id="427"/>
    <w:bookmarkEnd w:id="428"/>
    <w:bookmarkEnd w:id="429"/>
    <w:p>
      <w:pPr>
        <w:ind w:firstLine="420"/>
        <w:rPr>
          <w:rFonts w:ascii="宋体" w:hAnsi="宋体" w:cs="仿宋_GB2312"/>
          <w:szCs w:val="21"/>
          <w:highlight w:val="none"/>
        </w:rPr>
      </w:pPr>
      <w:r>
        <w:rPr>
          <w:rFonts w:ascii="宋体" w:hAnsi="宋体" w:cs="仿宋_GB2312"/>
          <w:szCs w:val="21"/>
          <w:highlight w:val="none"/>
        </w:rPr>
        <w:t>18.6.1发包人未按合同约定办理保险，或未能使保险持续有效的，则承包人可代为办理，所需费用由发包人承担。发包人未按合同约定办理保险，导致未能得到足额赔偿的，由发包人负责补足。</w:t>
      </w:r>
    </w:p>
    <w:p>
      <w:pPr>
        <w:ind w:firstLine="420"/>
        <w:rPr>
          <w:rFonts w:ascii="宋体" w:hAnsi="宋体" w:cs="仿宋_GB2312"/>
          <w:szCs w:val="21"/>
          <w:highlight w:val="none"/>
        </w:rPr>
      </w:pPr>
      <w:r>
        <w:rPr>
          <w:rFonts w:ascii="宋体" w:hAnsi="宋体" w:cs="仿宋_GB2312"/>
          <w:szCs w:val="21"/>
          <w:highlight w:val="none"/>
        </w:rPr>
        <w:t>18.6.2承包人未按合同约定办理保险，或未能使保险持续有效的，则发包人可代为办理，所需费用由承包人承担。承包人未按合同约定办理保险，导致未能得到足额赔偿的，由承包人负责补足。</w:t>
      </w:r>
    </w:p>
    <w:p>
      <w:pPr>
        <w:pStyle w:val="6"/>
        <w:spacing w:before="120" w:after="120" w:line="360" w:lineRule="auto"/>
        <w:ind w:firstLine="420" w:firstLineChars="200"/>
        <w:rPr>
          <w:rFonts w:ascii="宋体" w:hAnsi="宋体" w:cs="仿宋_GB2312"/>
          <w:b w:val="0"/>
          <w:bCs w:val="0"/>
          <w:sz w:val="21"/>
          <w:szCs w:val="21"/>
          <w:highlight w:val="none"/>
        </w:rPr>
      </w:pPr>
      <w:bookmarkStart w:id="430" w:name="_Toc351203619"/>
      <w:bookmarkStart w:id="431" w:name="_Toc337558834"/>
      <w:r>
        <w:rPr>
          <w:rFonts w:ascii="宋体" w:hAnsi="宋体" w:cs="仿宋_GB2312"/>
          <w:b w:val="0"/>
          <w:bCs w:val="0"/>
          <w:sz w:val="21"/>
          <w:szCs w:val="21"/>
          <w:highlight w:val="none"/>
        </w:rPr>
        <w:t>18.7 通知义务</w:t>
      </w:r>
      <w:bookmarkEnd w:id="430"/>
    </w:p>
    <w:bookmarkEnd w:id="431"/>
    <w:p>
      <w:pPr>
        <w:ind w:firstLine="420"/>
        <w:rPr>
          <w:rFonts w:ascii="宋体" w:hAnsi="宋体" w:cs="仿宋_GB2312"/>
          <w:szCs w:val="21"/>
          <w:highlight w:val="none"/>
        </w:rPr>
      </w:pPr>
      <w:r>
        <w:rPr>
          <w:rFonts w:ascii="宋体" w:hAnsi="宋体" w:cs="仿宋_GB2312"/>
          <w:szCs w:val="21"/>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pPr>
        <w:ind w:firstLine="420"/>
        <w:rPr>
          <w:rFonts w:ascii="宋体" w:hAnsi="宋体" w:cs="仿宋_GB2312"/>
          <w:szCs w:val="21"/>
          <w:highlight w:val="none"/>
        </w:rPr>
      </w:pPr>
      <w:r>
        <w:rPr>
          <w:rFonts w:ascii="宋体" w:hAnsi="宋体" w:cs="仿宋_GB2312"/>
          <w:szCs w:val="21"/>
          <w:highlight w:val="none"/>
        </w:rPr>
        <w:t>保险事故发生时，投保人应按照保险合同规定的条件和期限及时向保险人报告。发包人和承包人应当在知道保险事故发生后及时通知对方。</w:t>
      </w:r>
    </w:p>
    <w:p>
      <w:pPr>
        <w:pStyle w:val="5"/>
        <w:spacing w:before="120" w:after="120"/>
        <w:ind w:firstLine="420"/>
        <w:rPr>
          <w:rFonts w:ascii="宋体" w:hAnsi="宋体" w:cs="仿宋_GB2312"/>
          <w:bCs w:val="0"/>
          <w:szCs w:val="21"/>
          <w:highlight w:val="none"/>
        </w:rPr>
      </w:pPr>
      <w:bookmarkStart w:id="432" w:name="_Toc351203620"/>
      <w:bookmarkStart w:id="433" w:name="_Toc296503140"/>
      <w:bookmarkStart w:id="434" w:name="_Toc296346641"/>
      <w:bookmarkStart w:id="435" w:name="_Toc337558835"/>
      <w:r>
        <w:rPr>
          <w:rFonts w:ascii="宋体" w:hAnsi="宋体" w:cs="仿宋_GB2312"/>
          <w:bCs w:val="0"/>
          <w:szCs w:val="21"/>
          <w:highlight w:val="none"/>
        </w:rPr>
        <w:t>19. 索赔</w:t>
      </w:r>
      <w:bookmarkEnd w:id="432"/>
    </w:p>
    <w:bookmarkEnd w:id="433"/>
    <w:bookmarkEnd w:id="434"/>
    <w:bookmarkEnd w:id="435"/>
    <w:p>
      <w:pPr>
        <w:pStyle w:val="6"/>
        <w:spacing w:before="120" w:after="120" w:line="360" w:lineRule="auto"/>
        <w:ind w:firstLine="420" w:firstLineChars="200"/>
        <w:rPr>
          <w:rFonts w:ascii="宋体" w:hAnsi="宋体" w:cs="仿宋_GB2312"/>
          <w:b w:val="0"/>
          <w:bCs w:val="0"/>
          <w:sz w:val="21"/>
          <w:szCs w:val="21"/>
          <w:highlight w:val="none"/>
        </w:rPr>
      </w:pPr>
      <w:bookmarkStart w:id="436" w:name="_Toc351203621"/>
      <w:bookmarkStart w:id="437" w:name="_Toc337558836"/>
      <w:bookmarkStart w:id="438" w:name="_Toc296503141"/>
      <w:bookmarkStart w:id="439" w:name="_Toc296346642"/>
      <w:r>
        <w:rPr>
          <w:rFonts w:ascii="宋体" w:hAnsi="宋体" w:cs="仿宋_GB2312"/>
          <w:b w:val="0"/>
          <w:bCs w:val="0"/>
          <w:sz w:val="21"/>
          <w:szCs w:val="21"/>
          <w:highlight w:val="none"/>
        </w:rPr>
        <w:t>19.1承包人的索赔</w:t>
      </w:r>
      <w:bookmarkEnd w:id="436"/>
    </w:p>
    <w:bookmarkEnd w:id="437"/>
    <w:bookmarkEnd w:id="438"/>
    <w:bookmarkEnd w:id="439"/>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根据合同约定，承包人认为有权得到追加付款和（或）延长工期的，应按以下程序向</w:t>
      </w:r>
      <w:r>
        <w:rPr>
          <w:rFonts w:hint="eastAsia" w:ascii="宋体" w:hAnsi="宋体" w:cs="仿宋_GB2312"/>
          <w:szCs w:val="21"/>
          <w:highlight w:val="none"/>
        </w:rPr>
        <w:t>发包</w:t>
      </w:r>
      <w:r>
        <w:rPr>
          <w:rFonts w:ascii="宋体" w:hAnsi="宋体" w:cs="仿宋_GB2312"/>
          <w:szCs w:val="21"/>
          <w:highlight w:val="none"/>
        </w:rPr>
        <w:t>人提出索赔：</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（2）承包人应在发出索赔意向通知书后28天内，向监理人正式递交索赔报告；索赔报告应详细说明索赔理由以及要求追加的付款金额和（或）延长的工期，并附必要的记录和证明材料；</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（3）索赔事件具有持续影响的，承包人应按合理时间间隔继续递交延续索赔通知，说明持续影响的实际情况和记录，列出累计的追加付款金额和（或）工期延长天数；</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（4）在索赔事件影响结束后28天内，承包人应向监理人递交最终索赔报告，说明最终要求索赔的追加付款金额和（或）延长的工期，并附必要的记录和证明材料。</w:t>
      </w:r>
    </w:p>
    <w:p>
      <w:pPr>
        <w:pStyle w:val="6"/>
        <w:spacing w:before="120" w:after="120" w:line="360" w:lineRule="auto"/>
        <w:ind w:firstLine="420" w:firstLineChars="200"/>
        <w:rPr>
          <w:rFonts w:ascii="宋体" w:hAnsi="宋体" w:cs="仿宋_GB2312"/>
          <w:b w:val="0"/>
          <w:bCs w:val="0"/>
          <w:sz w:val="21"/>
          <w:szCs w:val="21"/>
          <w:highlight w:val="none"/>
        </w:rPr>
      </w:pPr>
      <w:bookmarkStart w:id="440" w:name="_Toc351203622"/>
      <w:bookmarkStart w:id="441" w:name="_Toc296503142"/>
      <w:bookmarkStart w:id="442" w:name="_Toc296346643"/>
      <w:bookmarkStart w:id="443" w:name="_Toc337558837"/>
      <w:r>
        <w:rPr>
          <w:rFonts w:ascii="宋体" w:hAnsi="宋体" w:cs="仿宋_GB2312"/>
          <w:b w:val="0"/>
          <w:bCs w:val="0"/>
          <w:sz w:val="21"/>
          <w:szCs w:val="21"/>
          <w:highlight w:val="none"/>
        </w:rPr>
        <w:t>19.2 对承包人索赔的处理</w:t>
      </w:r>
      <w:bookmarkEnd w:id="440"/>
    </w:p>
    <w:bookmarkEnd w:id="441"/>
    <w:bookmarkEnd w:id="442"/>
    <w:bookmarkEnd w:id="443"/>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对承包人索赔的处理如下：</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（1）监理人应在收到索赔报告后14天内完成审查并报送发包人。监理人对索赔报告存在异议的，有权要求承包人提交全部原始记录副本；</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（2）发包人应在监理人收到索赔报告或有关索赔的进一步证明材料后的28天内，由监理人向承包人出具经发包人签认的索赔处理结果。发包人逾期答复的，则视为认可承包人的索赔要求；</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（3）承包人接受索赔处理结果的，索赔款项在当期进度款中进行支付；承包人不接受索赔处理结果的，按照第20条</w:t>
      </w:r>
      <w:r>
        <w:rPr>
          <w:rFonts w:hint="eastAsia" w:ascii="宋体" w:hAnsi="宋体" w:cs="仿宋_GB2312"/>
          <w:szCs w:val="21"/>
          <w:highlight w:val="none"/>
        </w:rPr>
        <w:t>〔</w:t>
      </w:r>
      <w:r>
        <w:rPr>
          <w:rFonts w:ascii="宋体" w:hAnsi="宋体" w:cs="仿宋_GB2312"/>
          <w:szCs w:val="21"/>
          <w:highlight w:val="none"/>
        </w:rPr>
        <w:t>争议解决</w:t>
      </w:r>
      <w:r>
        <w:rPr>
          <w:rFonts w:hint="eastAsia" w:ascii="宋体" w:hAnsi="宋体" w:cs="仿宋_GB2312"/>
          <w:szCs w:val="21"/>
          <w:highlight w:val="none"/>
        </w:rPr>
        <w:t>〕</w:t>
      </w:r>
      <w:r>
        <w:rPr>
          <w:rFonts w:ascii="宋体" w:hAnsi="宋体" w:cs="仿宋_GB2312"/>
          <w:szCs w:val="21"/>
          <w:highlight w:val="none"/>
        </w:rPr>
        <w:t>约定处理。</w:t>
      </w:r>
    </w:p>
    <w:p>
      <w:pPr>
        <w:pStyle w:val="6"/>
        <w:spacing w:before="120" w:after="120" w:line="360" w:lineRule="auto"/>
        <w:ind w:firstLine="420" w:firstLineChars="200"/>
        <w:rPr>
          <w:rFonts w:ascii="宋体" w:hAnsi="宋体" w:cs="仿宋_GB2312"/>
          <w:b w:val="0"/>
          <w:bCs w:val="0"/>
          <w:sz w:val="21"/>
          <w:szCs w:val="21"/>
          <w:highlight w:val="none"/>
        </w:rPr>
      </w:pPr>
      <w:bookmarkStart w:id="444" w:name="_Toc351203623"/>
      <w:bookmarkStart w:id="445" w:name="_Toc296503143"/>
      <w:bookmarkStart w:id="446" w:name="_Toc296346644"/>
      <w:bookmarkStart w:id="447" w:name="_Toc337558838"/>
      <w:r>
        <w:rPr>
          <w:rFonts w:ascii="宋体" w:hAnsi="宋体" w:cs="仿宋_GB2312"/>
          <w:b w:val="0"/>
          <w:bCs w:val="0"/>
          <w:sz w:val="21"/>
          <w:szCs w:val="21"/>
          <w:highlight w:val="none"/>
        </w:rPr>
        <w:t>19.3发包人的索赔</w:t>
      </w:r>
      <w:bookmarkEnd w:id="444"/>
    </w:p>
    <w:bookmarkEnd w:id="445"/>
    <w:bookmarkEnd w:id="446"/>
    <w:bookmarkEnd w:id="447"/>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根据合同约定，发包人认为有权得到赔付金额和（或）延长缺陷责任期的，监理人应向承包人发出通知并附有详细的证明。</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pStyle w:val="6"/>
        <w:spacing w:before="120" w:after="120" w:line="360" w:lineRule="auto"/>
        <w:ind w:firstLine="420" w:firstLineChars="200"/>
        <w:rPr>
          <w:rFonts w:ascii="宋体" w:hAnsi="宋体" w:cs="仿宋_GB2312"/>
          <w:b w:val="0"/>
          <w:bCs w:val="0"/>
          <w:sz w:val="21"/>
          <w:szCs w:val="21"/>
          <w:highlight w:val="none"/>
        </w:rPr>
      </w:pPr>
      <w:bookmarkStart w:id="448" w:name="_Toc351203624"/>
      <w:bookmarkStart w:id="449" w:name="_Toc337558839"/>
      <w:bookmarkStart w:id="450" w:name="_Toc296503144"/>
      <w:bookmarkStart w:id="451" w:name="_Toc296346645"/>
      <w:r>
        <w:rPr>
          <w:rFonts w:ascii="宋体" w:hAnsi="宋体" w:cs="仿宋_GB2312"/>
          <w:b w:val="0"/>
          <w:bCs w:val="0"/>
          <w:sz w:val="21"/>
          <w:szCs w:val="21"/>
          <w:highlight w:val="none"/>
        </w:rPr>
        <w:t>19.4 对发包人索赔的处理</w:t>
      </w:r>
      <w:bookmarkEnd w:id="448"/>
    </w:p>
    <w:bookmarkEnd w:id="449"/>
    <w:bookmarkEnd w:id="450"/>
    <w:bookmarkEnd w:id="451"/>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对发包人索赔的处理如下：</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（1）承包人收到发包人提交的索赔报告后，应及时审查索赔报告的内容、查验发包人证明材料；</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（2）承包人应在收到索赔报告或有关索赔的进一步证明材料后28天内，将索赔处理结果答复发包人。如果承包人未在上述期限内作出答复的，则视为对发包人索赔要求的认可；</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（3）承包人接受索赔处理结果的，发包人可从应支付给承包人的合同价款中扣除赔付的金额或延长缺陷责任期；发包人不接受索赔处理结果的，按第20条</w:t>
      </w:r>
      <w:r>
        <w:rPr>
          <w:rFonts w:hint="eastAsia" w:ascii="宋体" w:hAnsi="宋体" w:cs="仿宋_GB2312"/>
          <w:szCs w:val="21"/>
          <w:highlight w:val="none"/>
        </w:rPr>
        <w:t>〔</w:t>
      </w:r>
      <w:r>
        <w:rPr>
          <w:rFonts w:ascii="宋体" w:hAnsi="宋体" w:cs="仿宋_GB2312"/>
          <w:szCs w:val="21"/>
          <w:highlight w:val="none"/>
        </w:rPr>
        <w:t>争议解决</w:t>
      </w:r>
      <w:r>
        <w:rPr>
          <w:rFonts w:hint="eastAsia" w:ascii="宋体" w:hAnsi="宋体" w:cs="仿宋_GB2312"/>
          <w:szCs w:val="21"/>
          <w:highlight w:val="none"/>
        </w:rPr>
        <w:t>〕</w:t>
      </w:r>
      <w:r>
        <w:rPr>
          <w:rFonts w:ascii="宋体" w:hAnsi="宋体" w:cs="仿宋_GB2312"/>
          <w:szCs w:val="21"/>
          <w:highlight w:val="none"/>
        </w:rPr>
        <w:t>约定处理。</w:t>
      </w:r>
    </w:p>
    <w:p>
      <w:pPr>
        <w:pStyle w:val="6"/>
        <w:spacing w:before="120" w:after="120" w:line="360" w:lineRule="auto"/>
        <w:ind w:firstLine="420" w:firstLineChars="200"/>
        <w:rPr>
          <w:rFonts w:ascii="宋体" w:hAnsi="宋体" w:cs="仿宋_GB2312"/>
          <w:b w:val="0"/>
          <w:bCs w:val="0"/>
          <w:sz w:val="21"/>
          <w:szCs w:val="21"/>
          <w:highlight w:val="none"/>
        </w:rPr>
      </w:pPr>
      <w:bookmarkStart w:id="452" w:name="_Toc351203625"/>
      <w:r>
        <w:rPr>
          <w:rFonts w:ascii="宋体" w:hAnsi="宋体" w:cs="仿宋_GB2312"/>
          <w:b w:val="0"/>
          <w:bCs w:val="0"/>
          <w:sz w:val="21"/>
          <w:szCs w:val="21"/>
          <w:highlight w:val="none"/>
        </w:rPr>
        <w:t>19.5 提出索赔的期限</w:t>
      </w:r>
      <w:bookmarkEnd w:id="452"/>
    </w:p>
    <w:p>
      <w:pPr>
        <w:ind w:firstLine="420"/>
        <w:rPr>
          <w:rFonts w:ascii="宋体" w:hAnsi="宋体" w:cs="仿宋_GB2312"/>
          <w:szCs w:val="21"/>
          <w:highlight w:val="none"/>
        </w:rPr>
      </w:pPr>
      <w:r>
        <w:rPr>
          <w:rFonts w:ascii="宋体" w:hAnsi="宋体" w:cs="仿宋_GB2312"/>
          <w:szCs w:val="21"/>
          <w:highlight w:val="none"/>
        </w:rPr>
        <w:t>（1）承包人按第14.2款</w:t>
      </w:r>
      <w:r>
        <w:rPr>
          <w:rFonts w:hint="eastAsia" w:ascii="宋体" w:hAnsi="宋体" w:cs="仿宋_GB2312"/>
          <w:szCs w:val="21"/>
          <w:highlight w:val="none"/>
        </w:rPr>
        <w:t>〔</w:t>
      </w:r>
      <w:r>
        <w:rPr>
          <w:rFonts w:ascii="宋体" w:hAnsi="宋体" w:cs="仿宋_GB2312"/>
          <w:szCs w:val="21"/>
          <w:highlight w:val="none"/>
        </w:rPr>
        <w:t>竣工结算审核</w:t>
      </w:r>
      <w:r>
        <w:rPr>
          <w:rFonts w:hint="eastAsia" w:ascii="宋体" w:hAnsi="宋体" w:cs="仿宋_GB2312"/>
          <w:szCs w:val="21"/>
          <w:highlight w:val="none"/>
        </w:rPr>
        <w:t>〕</w:t>
      </w:r>
      <w:r>
        <w:rPr>
          <w:rFonts w:ascii="宋体" w:hAnsi="宋体" w:cs="仿宋_GB2312"/>
          <w:szCs w:val="21"/>
          <w:highlight w:val="none"/>
        </w:rPr>
        <w:t>约定接收竣工付款证书后，应被视为已无权再提出在工程接收证书颁发前所发生的任何索赔。</w:t>
      </w:r>
    </w:p>
    <w:p>
      <w:pPr>
        <w:ind w:firstLine="420"/>
        <w:rPr>
          <w:rFonts w:ascii="宋体" w:hAnsi="宋体" w:cs="仿宋_GB2312"/>
          <w:szCs w:val="21"/>
          <w:highlight w:val="none"/>
        </w:rPr>
      </w:pPr>
      <w:r>
        <w:rPr>
          <w:rFonts w:ascii="宋体" w:hAnsi="宋体" w:cs="仿宋_GB2312"/>
          <w:szCs w:val="21"/>
          <w:highlight w:val="none"/>
        </w:rPr>
        <w:t>（2）承包人按第14.4款</w:t>
      </w:r>
      <w:r>
        <w:rPr>
          <w:rFonts w:hint="eastAsia" w:ascii="宋体" w:hAnsi="宋体" w:cs="仿宋_GB2312"/>
          <w:szCs w:val="21"/>
          <w:highlight w:val="none"/>
        </w:rPr>
        <w:t>〔</w:t>
      </w:r>
      <w:r>
        <w:rPr>
          <w:rFonts w:ascii="宋体" w:hAnsi="宋体" w:cs="仿宋_GB2312"/>
          <w:szCs w:val="21"/>
          <w:highlight w:val="none"/>
        </w:rPr>
        <w:t>最终结清</w:t>
      </w:r>
      <w:r>
        <w:rPr>
          <w:rFonts w:hint="eastAsia" w:ascii="宋体" w:hAnsi="宋体" w:cs="仿宋_GB2312"/>
          <w:szCs w:val="21"/>
          <w:highlight w:val="none"/>
        </w:rPr>
        <w:t>〕</w:t>
      </w:r>
      <w:r>
        <w:rPr>
          <w:rFonts w:ascii="宋体" w:hAnsi="宋体" w:cs="仿宋_GB2312"/>
          <w:szCs w:val="21"/>
          <w:highlight w:val="none"/>
        </w:rPr>
        <w:t>提交的最终结清申请单中，只限于提出工程接收证书颁发后发生的索赔。提出索赔的期限自接受最终结清证书时终止。</w:t>
      </w:r>
    </w:p>
    <w:p>
      <w:pPr>
        <w:pStyle w:val="5"/>
        <w:spacing w:before="120" w:after="120"/>
        <w:ind w:firstLine="420"/>
        <w:rPr>
          <w:rFonts w:ascii="宋体" w:hAnsi="宋体" w:cs="仿宋_GB2312"/>
          <w:bCs w:val="0"/>
          <w:szCs w:val="21"/>
          <w:highlight w:val="none"/>
        </w:rPr>
      </w:pPr>
      <w:bookmarkStart w:id="453" w:name="_Toc351203626"/>
      <w:r>
        <w:rPr>
          <w:rFonts w:ascii="宋体" w:hAnsi="宋体" w:cs="仿宋_GB2312"/>
          <w:bCs w:val="0"/>
          <w:szCs w:val="21"/>
          <w:highlight w:val="none"/>
        </w:rPr>
        <w:t>20</w:t>
      </w:r>
      <w:bookmarkStart w:id="454" w:name="_Toc296346647"/>
      <w:bookmarkStart w:id="455" w:name="_Toc296503146"/>
      <w:bookmarkStart w:id="456" w:name="_Toc337558840"/>
      <w:r>
        <w:rPr>
          <w:rFonts w:ascii="宋体" w:hAnsi="宋体" w:cs="仿宋_GB2312"/>
          <w:bCs w:val="0"/>
          <w:szCs w:val="21"/>
          <w:highlight w:val="none"/>
        </w:rPr>
        <w:t>. 争议解决</w:t>
      </w:r>
      <w:bookmarkEnd w:id="453"/>
    </w:p>
    <w:bookmarkEnd w:id="454"/>
    <w:bookmarkEnd w:id="455"/>
    <w:bookmarkEnd w:id="456"/>
    <w:p>
      <w:pPr>
        <w:pStyle w:val="6"/>
        <w:spacing w:before="120" w:after="120" w:line="360" w:lineRule="auto"/>
        <w:ind w:firstLine="420" w:firstLineChars="200"/>
        <w:rPr>
          <w:rFonts w:ascii="宋体" w:hAnsi="宋体" w:cs="仿宋_GB2312"/>
          <w:b w:val="0"/>
          <w:bCs w:val="0"/>
          <w:sz w:val="21"/>
          <w:szCs w:val="21"/>
          <w:highlight w:val="none"/>
        </w:rPr>
      </w:pPr>
      <w:bookmarkStart w:id="457" w:name="_Toc351203627"/>
      <w:bookmarkStart w:id="458" w:name="_Toc296346648"/>
      <w:bookmarkStart w:id="459" w:name="_Toc296503147"/>
      <w:bookmarkStart w:id="460" w:name="_Toc337558841"/>
      <w:r>
        <w:rPr>
          <w:rFonts w:ascii="宋体" w:hAnsi="宋体" w:cs="仿宋_GB2312"/>
          <w:b w:val="0"/>
          <w:bCs w:val="0"/>
          <w:sz w:val="21"/>
          <w:szCs w:val="21"/>
          <w:highlight w:val="none"/>
        </w:rPr>
        <w:t>20.1和解</w:t>
      </w:r>
      <w:bookmarkEnd w:id="457"/>
    </w:p>
    <w:bookmarkEnd w:id="458"/>
    <w:bookmarkEnd w:id="459"/>
    <w:bookmarkEnd w:id="460"/>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合同当事人可以就争议自行和解，自行和解达成协议的经双方签字并盖章后作为合同补充文件，双方均应遵照执行。</w:t>
      </w:r>
    </w:p>
    <w:p>
      <w:pPr>
        <w:pStyle w:val="6"/>
        <w:spacing w:before="120" w:after="120" w:line="360" w:lineRule="auto"/>
        <w:ind w:firstLine="420" w:firstLineChars="200"/>
        <w:rPr>
          <w:rFonts w:ascii="宋体" w:hAnsi="宋体" w:cs="仿宋_GB2312"/>
          <w:b w:val="0"/>
          <w:bCs w:val="0"/>
          <w:sz w:val="21"/>
          <w:szCs w:val="21"/>
          <w:highlight w:val="none"/>
        </w:rPr>
      </w:pPr>
      <w:bookmarkStart w:id="461" w:name="_Toc351203628"/>
      <w:r>
        <w:rPr>
          <w:rFonts w:ascii="宋体" w:hAnsi="宋体" w:cs="仿宋_GB2312"/>
          <w:b w:val="0"/>
          <w:bCs w:val="0"/>
          <w:sz w:val="21"/>
          <w:szCs w:val="21"/>
          <w:highlight w:val="none"/>
        </w:rPr>
        <w:t>20</w:t>
      </w:r>
      <w:bookmarkStart w:id="462" w:name="_Toc296503148"/>
      <w:bookmarkStart w:id="463" w:name="_Toc337558842"/>
      <w:bookmarkStart w:id="464" w:name="_Toc296346649"/>
      <w:r>
        <w:rPr>
          <w:rFonts w:ascii="宋体" w:hAnsi="宋体" w:cs="仿宋_GB2312"/>
          <w:b w:val="0"/>
          <w:bCs w:val="0"/>
          <w:sz w:val="21"/>
          <w:szCs w:val="21"/>
          <w:highlight w:val="none"/>
        </w:rPr>
        <w:t>.2调解</w:t>
      </w:r>
      <w:bookmarkEnd w:id="461"/>
    </w:p>
    <w:bookmarkEnd w:id="462"/>
    <w:bookmarkEnd w:id="463"/>
    <w:bookmarkEnd w:id="464"/>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合同当事人可以就争议请求建设行政主管部门</w:t>
      </w:r>
      <w:r>
        <w:rPr>
          <w:rFonts w:hint="eastAsia" w:ascii="宋体" w:hAnsi="宋体" w:cs="仿宋_GB2312"/>
          <w:szCs w:val="21"/>
          <w:highlight w:val="none"/>
        </w:rPr>
        <w:t>、行业协会</w:t>
      </w:r>
      <w:r>
        <w:rPr>
          <w:rFonts w:ascii="宋体" w:hAnsi="宋体" w:cs="仿宋_GB2312"/>
          <w:szCs w:val="21"/>
          <w:highlight w:val="none"/>
        </w:rPr>
        <w:t>或</w:t>
      </w:r>
      <w:r>
        <w:rPr>
          <w:rFonts w:hint="eastAsia" w:ascii="宋体" w:hAnsi="宋体" w:cs="仿宋_GB2312"/>
          <w:szCs w:val="21"/>
          <w:highlight w:val="none"/>
        </w:rPr>
        <w:t>其他</w:t>
      </w:r>
      <w:r>
        <w:rPr>
          <w:rFonts w:ascii="宋体" w:hAnsi="宋体" w:cs="仿宋_GB2312"/>
          <w:szCs w:val="21"/>
          <w:highlight w:val="none"/>
        </w:rPr>
        <w:t>第三方进行调解，调解达成协议的，经双方签字并盖章后作为合同补充文件，双方均应遵照执行。</w:t>
      </w:r>
    </w:p>
    <w:p>
      <w:pPr>
        <w:pStyle w:val="6"/>
        <w:spacing w:before="120" w:after="120" w:line="360" w:lineRule="auto"/>
        <w:ind w:firstLine="420" w:firstLineChars="200"/>
        <w:rPr>
          <w:rFonts w:ascii="宋体" w:hAnsi="宋体" w:cs="仿宋_GB2312"/>
          <w:b w:val="0"/>
          <w:bCs w:val="0"/>
          <w:sz w:val="21"/>
          <w:szCs w:val="21"/>
          <w:highlight w:val="none"/>
        </w:rPr>
      </w:pPr>
      <w:bookmarkStart w:id="465" w:name="_Toc351203629"/>
      <w:bookmarkStart w:id="466" w:name="_Toc296503149"/>
      <w:bookmarkStart w:id="467" w:name="_Toc337558843"/>
      <w:bookmarkStart w:id="468" w:name="_Toc296346650"/>
      <w:r>
        <w:rPr>
          <w:rFonts w:ascii="宋体" w:hAnsi="宋体" w:cs="仿宋_GB2312"/>
          <w:b w:val="0"/>
          <w:bCs w:val="0"/>
          <w:sz w:val="21"/>
          <w:szCs w:val="21"/>
          <w:highlight w:val="none"/>
        </w:rPr>
        <w:t>20.3争议评审</w:t>
      </w:r>
      <w:bookmarkEnd w:id="465"/>
    </w:p>
    <w:bookmarkEnd w:id="466"/>
    <w:bookmarkEnd w:id="467"/>
    <w:bookmarkEnd w:id="468"/>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合同当事人在专用合同条款中约定采取争议评审方式解决争议</w:t>
      </w:r>
      <w:r>
        <w:rPr>
          <w:rFonts w:hint="eastAsia" w:ascii="宋体" w:hAnsi="宋体" w:cs="仿宋_GB2312"/>
          <w:szCs w:val="21"/>
          <w:highlight w:val="none"/>
        </w:rPr>
        <w:t>以及评审规则，并</w:t>
      </w:r>
      <w:r>
        <w:rPr>
          <w:rFonts w:ascii="宋体" w:hAnsi="宋体" w:cs="仿宋_GB2312"/>
          <w:szCs w:val="21"/>
          <w:highlight w:val="none"/>
        </w:rPr>
        <w:t xml:space="preserve">按下列约定执行： </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20.3.1 争议评审小组的确定</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合同当事人可以共同选择一名或三名争议评审员，组成争议评审小组。除专用合同条款另有约定外，合同当事人应当自合同签订后28天内，或者争议发生后14天内，选定争议评审员。</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Pr>
          <w:rFonts w:hint="eastAsia" w:ascii="宋体" w:hAnsi="宋体" w:cs="仿宋_GB2312"/>
          <w:szCs w:val="21"/>
          <w:highlight w:val="none"/>
        </w:rPr>
        <w:t>评审</w:t>
      </w:r>
      <w:r>
        <w:rPr>
          <w:rFonts w:ascii="宋体" w:hAnsi="宋体" w:cs="仿宋_GB2312"/>
          <w:szCs w:val="21"/>
          <w:highlight w:val="none"/>
        </w:rPr>
        <w:t xml:space="preserve">机构指定第三名首席争议评审员。 </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除专用合同条款另有约定外，评审员报酬由发包人和承包人各承担一半。</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20.3.2 争议评审小组的决定</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20.3.3 争议评审小组决定的效力</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争议评审小组作出的书面决定经合同当事人签字确认后，对双方具有约束力，双方应遵照执行。</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任何一方当事人不接受争议评审小组决定</w:t>
      </w:r>
      <w:r>
        <w:rPr>
          <w:rFonts w:hint="eastAsia" w:ascii="宋体" w:hAnsi="宋体" w:cs="仿宋_GB2312"/>
          <w:szCs w:val="21"/>
          <w:highlight w:val="none"/>
        </w:rPr>
        <w:t>或不履行争议评审小组决定的</w:t>
      </w:r>
      <w:r>
        <w:rPr>
          <w:rFonts w:ascii="宋体" w:hAnsi="宋体" w:cs="仿宋_GB2312"/>
          <w:szCs w:val="21"/>
          <w:highlight w:val="none"/>
        </w:rPr>
        <w:t>，双方可选择采用其他争议解决方式。</w:t>
      </w:r>
    </w:p>
    <w:p>
      <w:pPr>
        <w:pStyle w:val="6"/>
        <w:spacing w:before="120" w:after="120" w:line="360" w:lineRule="auto"/>
        <w:ind w:firstLine="420" w:firstLineChars="200"/>
        <w:rPr>
          <w:rFonts w:ascii="宋体" w:hAnsi="宋体" w:cs="仿宋_GB2312"/>
          <w:b w:val="0"/>
          <w:bCs w:val="0"/>
          <w:sz w:val="21"/>
          <w:szCs w:val="21"/>
          <w:highlight w:val="none"/>
        </w:rPr>
      </w:pPr>
      <w:bookmarkStart w:id="469" w:name="_Toc351203630"/>
      <w:bookmarkStart w:id="470" w:name="_Toc337558844"/>
      <w:bookmarkStart w:id="471" w:name="_Toc296346651"/>
      <w:bookmarkStart w:id="472" w:name="_Toc296503150"/>
      <w:r>
        <w:rPr>
          <w:rFonts w:ascii="宋体" w:hAnsi="宋体" w:cs="仿宋_GB2312"/>
          <w:b w:val="0"/>
          <w:bCs w:val="0"/>
          <w:sz w:val="21"/>
          <w:szCs w:val="21"/>
          <w:highlight w:val="none"/>
        </w:rPr>
        <w:t>20.4仲裁或诉讼</w:t>
      </w:r>
      <w:bookmarkEnd w:id="469"/>
    </w:p>
    <w:bookmarkEnd w:id="470"/>
    <w:bookmarkEnd w:id="471"/>
    <w:bookmarkEnd w:id="472"/>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因合同及合同有关事项产生的争议，合同当事人可以在专用合同条款中约定以下一种方式解决争议：</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（1）向约定的仲裁委员会申请仲裁；</w:t>
      </w:r>
    </w:p>
    <w:p>
      <w:pPr>
        <w:autoSpaceDE w:val="0"/>
        <w:autoSpaceDN w:val="0"/>
        <w:adjustRightInd w:val="0"/>
        <w:ind w:firstLine="420"/>
        <w:rPr>
          <w:rFonts w:ascii="宋体" w:hAnsi="宋体" w:cs="仿宋_GB2312"/>
          <w:szCs w:val="21"/>
          <w:highlight w:val="none"/>
        </w:rPr>
      </w:pPr>
      <w:r>
        <w:rPr>
          <w:rFonts w:ascii="宋体" w:hAnsi="宋体" w:cs="仿宋_GB2312"/>
          <w:szCs w:val="21"/>
          <w:highlight w:val="none"/>
        </w:rPr>
        <w:t>（2）向有管辖权的人民法院起诉。</w:t>
      </w:r>
    </w:p>
    <w:p>
      <w:pPr>
        <w:pStyle w:val="6"/>
        <w:spacing w:before="120" w:after="120" w:line="360" w:lineRule="auto"/>
        <w:ind w:firstLine="420" w:firstLineChars="200"/>
        <w:rPr>
          <w:rFonts w:ascii="宋体" w:hAnsi="宋体" w:cs="仿宋_GB2312"/>
          <w:b w:val="0"/>
          <w:bCs w:val="0"/>
          <w:sz w:val="21"/>
          <w:szCs w:val="21"/>
          <w:highlight w:val="none"/>
        </w:rPr>
      </w:pPr>
      <w:bookmarkStart w:id="473" w:name="_Toc351203631"/>
      <w:bookmarkStart w:id="474" w:name="_Toc337558845"/>
      <w:bookmarkStart w:id="475" w:name="_Toc296346653"/>
      <w:bookmarkStart w:id="476" w:name="_Toc296503152"/>
      <w:r>
        <w:rPr>
          <w:rFonts w:ascii="宋体" w:hAnsi="宋体" w:cs="仿宋_GB2312"/>
          <w:b w:val="0"/>
          <w:bCs w:val="0"/>
          <w:sz w:val="21"/>
          <w:szCs w:val="21"/>
          <w:highlight w:val="none"/>
        </w:rPr>
        <w:t>20.5争议解决条款效力</w:t>
      </w:r>
      <w:bookmarkEnd w:id="473"/>
    </w:p>
    <w:bookmarkEnd w:id="474"/>
    <w:bookmarkEnd w:id="475"/>
    <w:bookmarkEnd w:id="476"/>
    <w:p>
      <w:pPr>
        <w:autoSpaceDE w:val="0"/>
        <w:autoSpaceDN w:val="0"/>
        <w:adjustRightInd w:val="0"/>
        <w:ind w:firstLine="420"/>
        <w:rPr>
          <w:rFonts w:ascii="宋体" w:hAnsi="宋体" w:cs="仿宋_GB2312"/>
          <w:sz w:val="24"/>
          <w:highlight w:val="none"/>
        </w:rPr>
      </w:pPr>
      <w:r>
        <w:rPr>
          <w:rFonts w:ascii="宋体" w:hAnsi="宋体" w:cs="仿宋_GB2312"/>
          <w:szCs w:val="21"/>
          <w:highlight w:val="none"/>
        </w:rPr>
        <w:t xml:space="preserve">合同有关争议解决的条款独立存在，合同的变更、解除、终止、无效或者被撤销均不影响其效力。 </w:t>
      </w:r>
    </w:p>
    <w:p>
      <w:pPr>
        <w:spacing w:line="400" w:lineRule="exact"/>
        <w:ind w:firstLine="480"/>
        <w:rPr>
          <w:rFonts w:ascii="宋体" w:hAnsi="宋体" w:cs="仿宋_GB2312"/>
          <w:sz w:val="24"/>
          <w:highlight w:val="none"/>
        </w:rPr>
      </w:pPr>
    </w:p>
    <w:p>
      <w:pPr>
        <w:pStyle w:val="4"/>
        <w:tabs>
          <w:tab w:val="left" w:pos="2085"/>
          <w:tab w:val="clear" w:pos="576"/>
        </w:tabs>
        <w:ind w:left="2978" w:firstLine="480" w:firstLineChars="200"/>
        <w:rPr>
          <w:rFonts w:cs="仿宋_GB2312"/>
          <w:sz w:val="24"/>
          <w:szCs w:val="24"/>
          <w:highlight w:val="none"/>
        </w:rPr>
      </w:pPr>
      <w:bookmarkStart w:id="477" w:name="_Toc499566935"/>
      <w:bookmarkStart w:id="478" w:name="_Toc2121"/>
      <w:bookmarkStart w:id="479" w:name="_Toc499566740"/>
      <w:bookmarkStart w:id="480" w:name="_Toc2508"/>
      <w:bookmarkStart w:id="481" w:name="_Toc13899"/>
      <w:bookmarkStart w:id="482" w:name="_Toc21751"/>
      <w:bookmarkStart w:id="483" w:name="_Toc451936006"/>
      <w:bookmarkStart w:id="484" w:name="_Toc17923"/>
      <w:bookmarkStart w:id="485" w:name="_Toc446841786"/>
      <w:r>
        <w:rPr>
          <w:rFonts w:hint="eastAsia" w:cs="仿宋_GB2312"/>
          <w:sz w:val="24"/>
          <w:szCs w:val="24"/>
          <w:highlight w:val="none"/>
        </w:rPr>
        <w:t>第三部分 专用条款</w:t>
      </w:r>
      <w:bookmarkEnd w:id="49"/>
      <w:bookmarkEnd w:id="477"/>
      <w:bookmarkEnd w:id="478"/>
      <w:bookmarkEnd w:id="479"/>
      <w:bookmarkEnd w:id="480"/>
      <w:bookmarkEnd w:id="481"/>
      <w:bookmarkEnd w:id="482"/>
      <w:bookmarkEnd w:id="483"/>
      <w:bookmarkEnd w:id="484"/>
      <w:bookmarkEnd w:id="485"/>
    </w:p>
    <w:p>
      <w:pPr>
        <w:spacing w:before="156" w:beforeLines="50" w:after="156" w:afterLines="50" w:line="300" w:lineRule="auto"/>
        <w:ind w:firstLine="413" w:firstLineChars="196"/>
        <w:outlineLvl w:val="1"/>
        <w:rPr>
          <w:rFonts w:ascii="宋体" w:hAnsi="宋体" w:cs="仿宋_GB2312"/>
          <w:b/>
          <w:szCs w:val="21"/>
          <w:highlight w:val="none"/>
        </w:rPr>
      </w:pPr>
      <w:bookmarkStart w:id="486" w:name="_Toc440118381"/>
      <w:bookmarkStart w:id="487" w:name="_Toc27655"/>
      <w:bookmarkStart w:id="488" w:name="_Toc11236"/>
      <w:bookmarkStart w:id="489" w:name="_Toc499566741"/>
      <w:bookmarkStart w:id="490" w:name="_Toc499566936"/>
      <w:bookmarkStart w:id="491" w:name="_Toc26962"/>
      <w:bookmarkStart w:id="492" w:name="_Toc11081"/>
      <w:bookmarkStart w:id="493" w:name="_Toc451936007"/>
      <w:bookmarkStart w:id="494" w:name="_Toc26083"/>
      <w:bookmarkStart w:id="495" w:name="_Toc446841787"/>
      <w:r>
        <w:rPr>
          <w:rFonts w:hint="eastAsia" w:ascii="宋体" w:hAnsi="宋体" w:cs="仿宋_GB2312"/>
          <w:b/>
          <w:szCs w:val="21"/>
          <w:highlight w:val="none"/>
        </w:rPr>
        <w:t>第1条  一般规定</w:t>
      </w:r>
      <w:bookmarkEnd w:id="486"/>
      <w:bookmarkEnd w:id="487"/>
      <w:bookmarkEnd w:id="488"/>
      <w:bookmarkEnd w:id="489"/>
      <w:bookmarkEnd w:id="490"/>
      <w:bookmarkEnd w:id="491"/>
      <w:bookmarkEnd w:id="492"/>
      <w:bookmarkEnd w:id="493"/>
      <w:bookmarkEnd w:id="494"/>
      <w:bookmarkEnd w:id="495"/>
    </w:p>
    <w:p>
      <w:pPr>
        <w:spacing w:before="156" w:beforeLines="50" w:after="156" w:afterLines="50" w:line="400" w:lineRule="exact"/>
        <w:ind w:firstLine="422"/>
        <w:outlineLvl w:val="2"/>
        <w:rPr>
          <w:rFonts w:ascii="宋体" w:hAnsi="宋体" w:cs="仿宋_GB2312"/>
          <w:b/>
          <w:szCs w:val="21"/>
          <w:highlight w:val="none"/>
        </w:rPr>
      </w:pPr>
      <w:bookmarkStart w:id="496" w:name="_Toc440118382"/>
      <w:bookmarkStart w:id="497" w:name="_Toc446841788"/>
      <w:bookmarkStart w:id="498" w:name="_Toc499566937"/>
      <w:bookmarkStart w:id="499" w:name="_Toc499566742"/>
      <w:r>
        <w:rPr>
          <w:rFonts w:hint="eastAsia" w:ascii="宋体" w:hAnsi="宋体" w:cs="仿宋_GB2312"/>
          <w:b/>
          <w:szCs w:val="21"/>
          <w:highlight w:val="none"/>
        </w:rPr>
        <w:t>1.1  定义与解释</w:t>
      </w:r>
      <w:bookmarkEnd w:id="496"/>
      <w:bookmarkEnd w:id="497"/>
      <w:bookmarkEnd w:id="498"/>
      <w:bookmarkEnd w:id="499"/>
    </w:p>
    <w:p>
      <w:pPr>
        <w:spacing w:line="540" w:lineRule="exact"/>
        <w:ind w:firstLine="420"/>
        <w:jc w:val="left"/>
        <w:rPr>
          <w:rFonts w:ascii="宋体" w:hAnsi="宋体" w:cs="仿宋_GB2312"/>
          <w:szCs w:val="21"/>
          <w:highlight w:val="none"/>
        </w:rPr>
      </w:pPr>
      <w:r>
        <w:rPr>
          <w:rFonts w:hint="eastAsia" w:ascii="宋体" w:hAnsi="宋体" w:cs="仿宋_GB2312"/>
          <w:szCs w:val="21"/>
          <w:highlight w:val="none"/>
        </w:rPr>
        <w:t>1.1.1合同</w:t>
      </w:r>
    </w:p>
    <w:p>
      <w:pPr>
        <w:spacing w:line="540" w:lineRule="exact"/>
        <w:ind w:firstLine="420"/>
        <w:jc w:val="left"/>
        <w:rPr>
          <w:rFonts w:ascii="宋体" w:hAnsi="宋体" w:cs="仿宋_GB2312"/>
          <w:szCs w:val="21"/>
          <w:highlight w:val="none"/>
        </w:rPr>
      </w:pPr>
      <w:r>
        <w:rPr>
          <w:rFonts w:hint="eastAsia" w:ascii="宋体" w:hAnsi="宋体" w:cs="仿宋_GB2312"/>
          <w:szCs w:val="21"/>
          <w:highlight w:val="none"/>
        </w:rPr>
        <w:t>合同文件组成及解释顺序：</w:t>
      </w:r>
    </w:p>
    <w:p>
      <w:pPr>
        <w:spacing w:line="540" w:lineRule="exact"/>
        <w:ind w:firstLine="420"/>
        <w:jc w:val="left"/>
        <w:rPr>
          <w:rFonts w:ascii="宋体" w:hAnsi="宋体" w:cs="仿宋_GB2312"/>
          <w:szCs w:val="21"/>
          <w:highlight w:val="none"/>
        </w:rPr>
      </w:pPr>
      <w:r>
        <w:rPr>
          <w:rFonts w:hint="eastAsia" w:ascii="宋体" w:hAnsi="宋体" w:cs="仿宋_GB2312"/>
          <w:szCs w:val="21"/>
          <w:highlight w:val="none"/>
        </w:rPr>
        <w:t>① 本合同协议书；</w:t>
      </w:r>
    </w:p>
    <w:p>
      <w:pPr>
        <w:spacing w:line="540" w:lineRule="exact"/>
        <w:ind w:firstLine="420"/>
        <w:jc w:val="left"/>
        <w:rPr>
          <w:rFonts w:ascii="宋体" w:hAnsi="宋体" w:cs="仿宋_GB2312"/>
          <w:szCs w:val="21"/>
          <w:highlight w:val="none"/>
        </w:rPr>
      </w:pPr>
      <w:r>
        <w:rPr>
          <w:rFonts w:hint="eastAsia" w:ascii="宋体" w:hAnsi="宋体" w:cs="仿宋_GB2312"/>
          <w:szCs w:val="21"/>
          <w:highlight w:val="none"/>
        </w:rPr>
        <w:t>②本合同专用条款(含数据表中与此有关的部分)；</w:t>
      </w:r>
    </w:p>
    <w:p>
      <w:pPr>
        <w:spacing w:line="540" w:lineRule="exact"/>
        <w:ind w:firstLine="420"/>
        <w:jc w:val="left"/>
        <w:rPr>
          <w:rFonts w:ascii="宋体" w:hAnsi="宋体" w:cs="仿宋_GB2312"/>
          <w:szCs w:val="21"/>
          <w:highlight w:val="none"/>
        </w:rPr>
      </w:pPr>
      <w:r>
        <w:rPr>
          <w:rFonts w:hint="eastAsia" w:ascii="宋体" w:hAnsi="宋体" w:cs="仿宋_GB2312"/>
          <w:szCs w:val="21"/>
          <w:highlight w:val="none"/>
        </w:rPr>
        <w:t>③本合同通用条款；</w:t>
      </w:r>
    </w:p>
    <w:p>
      <w:pPr>
        <w:spacing w:line="540" w:lineRule="exact"/>
        <w:ind w:firstLine="420"/>
        <w:jc w:val="left"/>
        <w:rPr>
          <w:rFonts w:ascii="宋体" w:hAnsi="宋体" w:cs="仿宋_GB2312"/>
          <w:szCs w:val="21"/>
          <w:highlight w:val="none"/>
        </w:rPr>
      </w:pPr>
      <w:r>
        <w:rPr>
          <w:rFonts w:hint="eastAsia" w:ascii="宋体" w:hAnsi="宋体" w:cs="仿宋_GB2312"/>
          <w:szCs w:val="21"/>
          <w:highlight w:val="none"/>
        </w:rPr>
        <w:t>④中标通知书；</w:t>
      </w:r>
    </w:p>
    <w:p>
      <w:pPr>
        <w:spacing w:line="540" w:lineRule="exact"/>
        <w:ind w:firstLine="420"/>
        <w:jc w:val="left"/>
        <w:rPr>
          <w:rFonts w:ascii="宋体" w:hAnsi="宋体" w:cs="仿宋_GB2312"/>
          <w:szCs w:val="21"/>
          <w:highlight w:val="none"/>
        </w:rPr>
      </w:pPr>
      <w:r>
        <w:rPr>
          <w:rFonts w:hint="eastAsia" w:ascii="宋体" w:hAnsi="宋体" w:cs="仿宋_GB2312"/>
          <w:szCs w:val="21"/>
          <w:highlight w:val="none"/>
        </w:rPr>
        <w:t>⑤投标书及投标书附录(含评标期间评标委员会书面要求，承包人递交和确认并经发包人同意的对有关问题的补充资料和澄清文件等)；</w:t>
      </w:r>
    </w:p>
    <w:p>
      <w:pPr>
        <w:spacing w:line="540" w:lineRule="exact"/>
        <w:ind w:firstLine="420"/>
        <w:jc w:val="left"/>
        <w:rPr>
          <w:rFonts w:ascii="宋体" w:hAnsi="宋体" w:cs="仿宋_GB2312"/>
          <w:szCs w:val="21"/>
          <w:highlight w:val="none"/>
        </w:rPr>
      </w:pPr>
      <w:r>
        <w:rPr>
          <w:rFonts w:hint="eastAsia" w:ascii="宋体" w:hAnsi="宋体" w:cs="仿宋_GB2312"/>
          <w:szCs w:val="21"/>
          <w:highlight w:val="none"/>
        </w:rPr>
        <w:t>⑥ 招标文件(含答疑纪要)；</w:t>
      </w:r>
    </w:p>
    <w:p>
      <w:pPr>
        <w:spacing w:line="540" w:lineRule="exact"/>
        <w:ind w:firstLine="420"/>
        <w:jc w:val="left"/>
        <w:rPr>
          <w:rFonts w:ascii="宋体" w:hAnsi="宋体" w:cs="仿宋_GB2312"/>
          <w:szCs w:val="21"/>
          <w:highlight w:val="none"/>
        </w:rPr>
      </w:pPr>
      <w:r>
        <w:rPr>
          <w:rFonts w:hint="eastAsia" w:ascii="宋体" w:hAnsi="宋体" w:cs="仿宋_GB2312"/>
          <w:szCs w:val="21"/>
          <w:highlight w:val="none"/>
        </w:rPr>
        <w:t>⑦ 图纸；</w:t>
      </w:r>
    </w:p>
    <w:p>
      <w:pPr>
        <w:spacing w:line="540" w:lineRule="exact"/>
        <w:ind w:firstLine="420"/>
        <w:jc w:val="left"/>
        <w:rPr>
          <w:rFonts w:ascii="宋体" w:hAnsi="宋体" w:cs="仿宋_GB2312"/>
          <w:szCs w:val="21"/>
          <w:highlight w:val="none"/>
        </w:rPr>
      </w:pPr>
      <w:r>
        <w:rPr>
          <w:rFonts w:hint="eastAsia" w:ascii="宋体" w:hAnsi="宋体" w:cs="仿宋_GB2312"/>
          <w:szCs w:val="21"/>
          <w:highlight w:val="none"/>
        </w:rPr>
        <w:t>⑧ 标准、规范及有关技术文件；</w:t>
      </w:r>
    </w:p>
    <w:p>
      <w:pPr>
        <w:spacing w:line="540" w:lineRule="exact"/>
        <w:ind w:firstLine="420"/>
        <w:jc w:val="left"/>
        <w:rPr>
          <w:rFonts w:ascii="宋体" w:hAnsi="宋体" w:cs="仿宋_GB2312"/>
          <w:szCs w:val="21"/>
          <w:highlight w:val="none"/>
        </w:rPr>
      </w:pPr>
      <w:r>
        <w:rPr>
          <w:rFonts w:hint="eastAsia" w:ascii="宋体" w:hAnsi="宋体" w:cs="仿宋_GB2312"/>
          <w:szCs w:val="21"/>
          <w:highlight w:val="none"/>
        </w:rPr>
        <w:t>合同履行中，发包人承包人有关工程的洽商、变更等书面协议或文件视为本合同的组成部分。</w:t>
      </w:r>
    </w:p>
    <w:p>
      <w:pPr>
        <w:spacing w:before="156" w:beforeLines="50" w:after="156" w:afterLines="50" w:line="400" w:lineRule="exact"/>
        <w:ind w:firstLine="420"/>
        <w:outlineLvl w:val="2"/>
        <w:rPr>
          <w:rFonts w:ascii="宋体" w:hAnsi="宋体" w:cs="仿宋_GB2312"/>
          <w:szCs w:val="21"/>
          <w:highlight w:val="none"/>
          <w:u w:val="single"/>
        </w:rPr>
      </w:pPr>
      <w:r>
        <w:rPr>
          <w:rFonts w:hint="eastAsia" w:ascii="宋体" w:hAnsi="宋体" w:cs="仿宋_GB2312"/>
          <w:szCs w:val="21"/>
          <w:highlight w:val="none"/>
        </w:rPr>
        <w:t>1.1.51 双方约定的视为不可抗力时间处理的其它情形如下：</w:t>
      </w:r>
      <w:r>
        <w:rPr>
          <w:rFonts w:hint="eastAsia" w:ascii="宋体" w:hAnsi="宋体" w:cs="仿宋_GB2312"/>
          <w:szCs w:val="21"/>
          <w:highlight w:val="none"/>
          <w:u w:val="single"/>
        </w:rPr>
        <w:t>/。</w:t>
      </w:r>
    </w:p>
    <w:p>
      <w:pPr>
        <w:spacing w:before="156" w:beforeLines="50" w:after="156" w:afterLines="50" w:line="400" w:lineRule="exact"/>
        <w:ind w:firstLine="422"/>
        <w:outlineLvl w:val="2"/>
        <w:rPr>
          <w:rFonts w:ascii="宋体" w:hAnsi="宋体" w:cs="仿宋_GB2312"/>
          <w:b/>
          <w:szCs w:val="21"/>
          <w:highlight w:val="none"/>
        </w:rPr>
      </w:pPr>
      <w:bookmarkStart w:id="500" w:name="_Toc499566938"/>
      <w:bookmarkStart w:id="501" w:name="_Toc499566743"/>
      <w:bookmarkStart w:id="502" w:name="_Toc440118383"/>
      <w:bookmarkStart w:id="503" w:name="_Toc446841789"/>
      <w:r>
        <w:rPr>
          <w:rFonts w:hint="eastAsia" w:ascii="宋体" w:hAnsi="宋体" w:cs="仿宋_GB2312"/>
          <w:b/>
          <w:szCs w:val="21"/>
          <w:highlight w:val="none"/>
        </w:rPr>
        <w:t>1.3  语言文字</w:t>
      </w:r>
      <w:bookmarkEnd w:id="500"/>
      <w:bookmarkEnd w:id="501"/>
      <w:bookmarkEnd w:id="502"/>
      <w:bookmarkEnd w:id="503"/>
    </w:p>
    <w:p>
      <w:pPr>
        <w:spacing w:before="156" w:beforeLines="50" w:after="156" w:afterLines="50" w:line="400" w:lineRule="exact"/>
        <w:ind w:firstLine="420"/>
        <w:rPr>
          <w:rFonts w:ascii="宋体" w:hAnsi="宋体" w:cs="仿宋_GB2312"/>
          <w:szCs w:val="21"/>
          <w:highlight w:val="none"/>
        </w:rPr>
      </w:pPr>
      <w:r>
        <w:rPr>
          <w:rFonts w:hint="eastAsia" w:ascii="宋体" w:hAnsi="宋体" w:cs="仿宋_GB2312"/>
          <w:szCs w:val="21"/>
          <w:highlight w:val="none"/>
        </w:rPr>
        <w:t>本合同除使用汉语外，还使用</w:t>
      </w:r>
      <w:r>
        <w:rPr>
          <w:rFonts w:hint="eastAsia" w:ascii="宋体" w:hAnsi="宋体" w:cs="仿宋_GB2312"/>
          <w:szCs w:val="21"/>
          <w:highlight w:val="none"/>
          <w:u w:val="single"/>
        </w:rPr>
        <w:t xml:space="preserve">    ／    </w:t>
      </w:r>
      <w:r>
        <w:rPr>
          <w:rFonts w:hint="eastAsia" w:ascii="宋体" w:hAnsi="宋体" w:cs="仿宋_GB2312"/>
          <w:szCs w:val="21"/>
          <w:highlight w:val="none"/>
        </w:rPr>
        <w:t>语言。</w:t>
      </w:r>
    </w:p>
    <w:p>
      <w:pPr>
        <w:spacing w:before="156" w:beforeLines="50" w:after="156" w:afterLines="50" w:line="400" w:lineRule="exact"/>
        <w:ind w:firstLine="422"/>
        <w:outlineLvl w:val="2"/>
        <w:rPr>
          <w:rFonts w:ascii="宋体" w:hAnsi="宋体" w:cs="仿宋_GB2312"/>
          <w:b/>
          <w:szCs w:val="21"/>
          <w:highlight w:val="none"/>
        </w:rPr>
      </w:pPr>
      <w:bookmarkStart w:id="504" w:name="_Toc446841790"/>
      <w:bookmarkStart w:id="505" w:name="_Toc499566939"/>
      <w:bookmarkStart w:id="506" w:name="_Toc440118384"/>
      <w:bookmarkStart w:id="507" w:name="_Toc499566744"/>
      <w:r>
        <w:rPr>
          <w:rFonts w:hint="eastAsia" w:ascii="宋体" w:hAnsi="宋体" w:cs="仿宋_GB2312"/>
          <w:b/>
          <w:szCs w:val="21"/>
          <w:highlight w:val="none"/>
        </w:rPr>
        <w:t>1.4  适用法律</w:t>
      </w:r>
      <w:bookmarkEnd w:id="504"/>
      <w:bookmarkEnd w:id="505"/>
      <w:bookmarkEnd w:id="506"/>
      <w:bookmarkEnd w:id="507"/>
    </w:p>
    <w:p>
      <w:pPr>
        <w:ind w:firstLine="420"/>
        <w:rPr>
          <w:rFonts w:ascii="宋体" w:hAnsi="宋体" w:cs="仿宋_GB2312"/>
          <w:szCs w:val="21"/>
          <w:highlight w:val="none"/>
          <w:u w:val="single"/>
        </w:rPr>
      </w:pPr>
      <w:r>
        <w:rPr>
          <w:rFonts w:hint="eastAsia" w:ascii="宋体" w:hAnsi="宋体" w:cs="仿宋_GB2312"/>
          <w:szCs w:val="21"/>
          <w:highlight w:val="none"/>
        </w:rPr>
        <w:t>合同双方需要明示的法律、行政法规、地方性法规：</w:t>
      </w:r>
      <w:r>
        <w:rPr>
          <w:rFonts w:hint="eastAsia" w:ascii="宋体" w:hAnsi="宋体" w:cs="仿宋_GB2312"/>
          <w:szCs w:val="21"/>
          <w:highlight w:val="none"/>
          <w:u w:val="single"/>
        </w:rPr>
        <w:t xml:space="preserve">《中华人民共和国建筑法》《中华人民共和国合同法》《中华人民共和国安全生产法》《中华人民共和国招标投标法》《中华人民共和国招标投标法实施条例》等相关法律法规。  </w:t>
      </w:r>
    </w:p>
    <w:p>
      <w:pPr>
        <w:spacing w:before="156" w:beforeLines="50" w:after="156" w:afterLines="50" w:line="400" w:lineRule="exact"/>
        <w:ind w:firstLine="422"/>
        <w:outlineLvl w:val="2"/>
        <w:rPr>
          <w:rFonts w:ascii="宋体" w:hAnsi="宋体" w:cs="仿宋_GB2312"/>
          <w:b/>
          <w:szCs w:val="21"/>
          <w:highlight w:val="none"/>
        </w:rPr>
      </w:pPr>
      <w:bookmarkStart w:id="508" w:name="_Toc440118385"/>
      <w:bookmarkStart w:id="509" w:name="_Toc499566940"/>
      <w:bookmarkStart w:id="510" w:name="_Toc499566745"/>
      <w:bookmarkStart w:id="511" w:name="_Toc446841791"/>
      <w:r>
        <w:rPr>
          <w:rFonts w:hint="eastAsia" w:ascii="宋体" w:hAnsi="宋体" w:cs="仿宋_GB2312"/>
          <w:b/>
          <w:szCs w:val="21"/>
          <w:highlight w:val="none"/>
        </w:rPr>
        <w:t>1.5  标准、规范</w:t>
      </w:r>
      <w:bookmarkEnd w:id="508"/>
      <w:bookmarkEnd w:id="509"/>
      <w:bookmarkEnd w:id="510"/>
      <w:bookmarkEnd w:id="511"/>
    </w:p>
    <w:p>
      <w:pPr>
        <w:spacing w:line="400" w:lineRule="exact"/>
        <w:ind w:firstLine="420"/>
        <w:rPr>
          <w:rFonts w:ascii="宋体" w:hAnsi="宋体" w:cs="仿宋_GB2312"/>
          <w:szCs w:val="21"/>
          <w:highlight w:val="none"/>
        </w:rPr>
      </w:pPr>
      <w:r>
        <w:rPr>
          <w:rFonts w:hint="eastAsia" w:ascii="宋体" w:hAnsi="宋体" w:cs="仿宋_GB2312"/>
          <w:szCs w:val="21"/>
          <w:highlight w:val="none"/>
        </w:rPr>
        <w:t>1.5.1  本合同适用的标准、规范（名称）：</w:t>
      </w:r>
      <w:r>
        <w:rPr>
          <w:rFonts w:hint="eastAsia" w:ascii="宋体" w:hAnsi="宋体" w:cs="仿宋_GB2312"/>
          <w:szCs w:val="21"/>
          <w:highlight w:val="none"/>
          <w:u w:val="single"/>
        </w:rPr>
        <w:t xml:space="preserve">   ／   </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1.5.2  发包人提供的国外标准、规范的名称、份数和时间：</w:t>
      </w:r>
      <w:r>
        <w:rPr>
          <w:rFonts w:hint="eastAsia" w:ascii="宋体" w:hAnsi="宋体" w:cs="仿宋_GB2312"/>
          <w:szCs w:val="21"/>
          <w:highlight w:val="none"/>
          <w:u w:val="single"/>
        </w:rPr>
        <w:t xml:space="preserve">      无      .</w:t>
      </w:r>
    </w:p>
    <w:p>
      <w:pPr>
        <w:spacing w:line="400" w:lineRule="exact"/>
        <w:ind w:firstLine="420"/>
        <w:rPr>
          <w:rFonts w:ascii="宋体" w:hAnsi="宋体" w:cs="仿宋_GB2312"/>
          <w:szCs w:val="21"/>
          <w:highlight w:val="none"/>
          <w:u w:val="single"/>
        </w:rPr>
      </w:pPr>
      <w:r>
        <w:rPr>
          <w:rFonts w:hint="eastAsia" w:ascii="宋体" w:hAnsi="宋体" w:cs="仿宋_GB2312"/>
          <w:szCs w:val="21"/>
          <w:highlight w:val="none"/>
        </w:rPr>
        <w:t>1.5.3  没有成文规范、标准规定的约定：</w:t>
      </w:r>
      <w:r>
        <w:rPr>
          <w:rFonts w:hint="eastAsia" w:ascii="宋体" w:hAnsi="宋体" w:cs="仿宋_GB2312"/>
          <w:szCs w:val="21"/>
          <w:highlight w:val="none"/>
          <w:u w:val="single"/>
        </w:rPr>
        <w:t xml:space="preserve">  ／     </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发包人的技术要求及提交时间：</w:t>
      </w:r>
      <w:r>
        <w:rPr>
          <w:rFonts w:hint="eastAsia" w:ascii="宋体" w:hAnsi="宋体" w:cs="仿宋_GB2312"/>
          <w:szCs w:val="21"/>
          <w:highlight w:val="none"/>
          <w:u w:val="single"/>
        </w:rPr>
        <w:t xml:space="preserve">      ／                 .</w:t>
      </w:r>
    </w:p>
    <w:p>
      <w:pPr>
        <w:spacing w:line="400" w:lineRule="exact"/>
        <w:ind w:firstLine="420"/>
        <w:rPr>
          <w:rFonts w:ascii="宋体" w:hAnsi="宋体" w:cs="仿宋_GB2312"/>
          <w:szCs w:val="21"/>
          <w:highlight w:val="none"/>
          <w:u w:val="single"/>
        </w:rPr>
      </w:pPr>
      <w:r>
        <w:rPr>
          <w:rFonts w:hint="eastAsia" w:ascii="宋体" w:hAnsi="宋体" w:cs="仿宋_GB2312"/>
          <w:szCs w:val="21"/>
          <w:highlight w:val="none"/>
        </w:rPr>
        <w:t>承包人提交实施方法的时间：</w:t>
      </w:r>
      <w:r>
        <w:rPr>
          <w:rFonts w:hint="eastAsia" w:ascii="宋体" w:hAnsi="宋体" w:cs="仿宋_GB2312"/>
          <w:szCs w:val="21"/>
          <w:highlight w:val="none"/>
          <w:u w:val="single"/>
        </w:rPr>
        <w:t xml:space="preserve">       ／                    .</w:t>
      </w:r>
    </w:p>
    <w:p>
      <w:pPr>
        <w:spacing w:before="156" w:beforeLines="50" w:after="156" w:afterLines="50" w:line="400" w:lineRule="exact"/>
        <w:ind w:firstLine="422"/>
        <w:outlineLvl w:val="2"/>
        <w:rPr>
          <w:rFonts w:ascii="宋体" w:hAnsi="宋体" w:cs="仿宋_GB2312"/>
          <w:b/>
          <w:szCs w:val="21"/>
          <w:highlight w:val="none"/>
        </w:rPr>
      </w:pPr>
      <w:bookmarkStart w:id="512" w:name="_Toc446841792"/>
      <w:bookmarkStart w:id="513" w:name="_Toc499566746"/>
      <w:bookmarkStart w:id="514" w:name="_Toc440118386"/>
      <w:bookmarkStart w:id="515" w:name="_Toc499566941"/>
      <w:r>
        <w:rPr>
          <w:rFonts w:hint="eastAsia" w:ascii="宋体" w:hAnsi="宋体" w:cs="仿宋_GB2312"/>
          <w:b/>
          <w:szCs w:val="21"/>
          <w:highlight w:val="none"/>
        </w:rPr>
        <w:t>1.6  保密事项</w:t>
      </w:r>
      <w:bookmarkEnd w:id="512"/>
      <w:bookmarkEnd w:id="513"/>
      <w:bookmarkEnd w:id="514"/>
      <w:bookmarkEnd w:id="515"/>
    </w:p>
    <w:p>
      <w:pPr>
        <w:spacing w:line="400" w:lineRule="exact"/>
        <w:ind w:firstLine="420"/>
        <w:rPr>
          <w:rFonts w:ascii="宋体" w:hAnsi="宋体" w:cs="仿宋_GB2312"/>
          <w:szCs w:val="21"/>
          <w:highlight w:val="none"/>
        </w:rPr>
      </w:pPr>
      <w:r>
        <w:rPr>
          <w:rFonts w:hint="eastAsia" w:ascii="宋体" w:hAnsi="宋体" w:cs="仿宋_GB2312"/>
          <w:szCs w:val="21"/>
          <w:highlight w:val="none"/>
        </w:rPr>
        <w:t>双方签订的商业保密协议（名称）：</w:t>
      </w:r>
      <w:r>
        <w:rPr>
          <w:rFonts w:hint="eastAsia" w:ascii="宋体" w:hAnsi="宋体" w:cs="仿宋_GB2312"/>
          <w:szCs w:val="21"/>
          <w:highlight w:val="none"/>
          <w:u w:val="single"/>
        </w:rPr>
        <w:t xml:space="preserve">     /        </w:t>
      </w:r>
      <w:r>
        <w:rPr>
          <w:rFonts w:hint="eastAsia" w:ascii="宋体" w:hAnsi="宋体" w:cs="仿宋_GB2312"/>
          <w:szCs w:val="21"/>
          <w:highlight w:val="none"/>
        </w:rPr>
        <w:t>，作为本合同附件。</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双方签订的技术保密协议（名称）：</w:t>
      </w:r>
      <w:r>
        <w:rPr>
          <w:rFonts w:hint="eastAsia" w:ascii="宋体" w:hAnsi="宋体" w:cs="仿宋_GB2312"/>
          <w:szCs w:val="21"/>
          <w:highlight w:val="none"/>
          <w:u w:val="single"/>
        </w:rPr>
        <w:t xml:space="preserve">    /        </w:t>
      </w:r>
      <w:r>
        <w:rPr>
          <w:rFonts w:hint="eastAsia" w:ascii="宋体" w:hAnsi="宋体" w:cs="仿宋_GB2312"/>
          <w:szCs w:val="21"/>
          <w:highlight w:val="none"/>
        </w:rPr>
        <w:t>，作为本合同附件。</w:t>
      </w:r>
    </w:p>
    <w:p>
      <w:pPr>
        <w:spacing w:before="156" w:beforeLines="50" w:after="156" w:afterLines="50" w:line="300" w:lineRule="auto"/>
        <w:ind w:firstLine="413" w:firstLineChars="196"/>
        <w:outlineLvl w:val="1"/>
        <w:rPr>
          <w:rFonts w:ascii="宋体" w:hAnsi="宋体" w:cs="仿宋_GB2312"/>
          <w:b/>
          <w:szCs w:val="21"/>
          <w:highlight w:val="none"/>
        </w:rPr>
      </w:pPr>
      <w:bookmarkStart w:id="516" w:name="_Toc2041"/>
      <w:bookmarkStart w:id="517" w:name="_Toc440118387"/>
      <w:bookmarkStart w:id="518" w:name="_Toc31388"/>
      <w:bookmarkStart w:id="519" w:name="_Toc17178"/>
      <w:bookmarkStart w:id="520" w:name="_Toc499566747"/>
      <w:bookmarkStart w:id="521" w:name="_Toc21501"/>
      <w:bookmarkStart w:id="522" w:name="_Toc446841793"/>
      <w:bookmarkStart w:id="523" w:name="_Toc499566942"/>
      <w:bookmarkStart w:id="524" w:name="_Toc451936008"/>
      <w:bookmarkStart w:id="525" w:name="_Toc31443"/>
      <w:r>
        <w:rPr>
          <w:rFonts w:hint="eastAsia" w:ascii="宋体" w:hAnsi="宋体" w:cs="仿宋_GB2312"/>
          <w:b/>
          <w:szCs w:val="21"/>
          <w:highlight w:val="none"/>
        </w:rPr>
        <w:t>第2条 发包人</w:t>
      </w:r>
      <w:bookmarkEnd w:id="516"/>
      <w:bookmarkEnd w:id="517"/>
      <w:bookmarkEnd w:id="518"/>
      <w:bookmarkEnd w:id="519"/>
      <w:bookmarkEnd w:id="520"/>
      <w:bookmarkEnd w:id="521"/>
      <w:bookmarkEnd w:id="522"/>
      <w:bookmarkEnd w:id="523"/>
      <w:bookmarkEnd w:id="524"/>
      <w:bookmarkEnd w:id="525"/>
    </w:p>
    <w:p>
      <w:pPr>
        <w:spacing w:before="156" w:beforeLines="50" w:after="156" w:afterLines="50" w:line="400" w:lineRule="exact"/>
        <w:ind w:firstLine="422"/>
        <w:outlineLvl w:val="2"/>
        <w:rPr>
          <w:rFonts w:ascii="宋体" w:hAnsi="宋体" w:cs="仿宋_GB2312"/>
          <w:b/>
          <w:szCs w:val="21"/>
          <w:highlight w:val="none"/>
        </w:rPr>
      </w:pPr>
      <w:bookmarkStart w:id="526" w:name="_Toc446841794"/>
      <w:bookmarkStart w:id="527" w:name="_Toc440118388"/>
      <w:bookmarkStart w:id="528" w:name="_Toc499566748"/>
      <w:bookmarkStart w:id="529" w:name="_Toc499566943"/>
      <w:r>
        <w:rPr>
          <w:rFonts w:hint="eastAsia" w:ascii="宋体" w:hAnsi="宋体" w:cs="仿宋_GB2312"/>
          <w:b/>
          <w:szCs w:val="21"/>
          <w:highlight w:val="none"/>
        </w:rPr>
        <w:t>2.1发包人的主要权利和义务</w:t>
      </w:r>
    </w:p>
    <w:p>
      <w:pPr>
        <w:spacing w:line="400" w:lineRule="exact"/>
        <w:ind w:firstLine="420"/>
        <w:rPr>
          <w:rFonts w:ascii="宋体" w:hAnsi="宋体" w:cs="仿宋_GB2312"/>
          <w:bCs/>
          <w:szCs w:val="21"/>
          <w:highlight w:val="none"/>
        </w:rPr>
      </w:pPr>
      <w:r>
        <w:rPr>
          <w:rFonts w:hint="eastAsia" w:ascii="宋体" w:hAnsi="宋体" w:cs="仿宋_GB2312"/>
          <w:bCs/>
          <w:szCs w:val="21"/>
          <w:highlight w:val="none"/>
        </w:rPr>
        <w:t>2.1.1 根据工程承包范围及实际情况调整承包人承包范围。</w:t>
      </w:r>
    </w:p>
    <w:p>
      <w:pPr>
        <w:spacing w:before="156" w:beforeLines="50" w:after="156" w:afterLines="50" w:line="400" w:lineRule="exact"/>
        <w:ind w:firstLine="422"/>
        <w:outlineLvl w:val="2"/>
        <w:rPr>
          <w:rFonts w:ascii="宋体" w:hAnsi="宋体" w:cs="仿宋_GB2312"/>
          <w:b/>
          <w:szCs w:val="21"/>
          <w:highlight w:val="none"/>
        </w:rPr>
      </w:pPr>
      <w:r>
        <w:rPr>
          <w:rFonts w:hint="eastAsia" w:ascii="宋体" w:hAnsi="宋体" w:cs="仿宋_GB2312"/>
          <w:b/>
          <w:szCs w:val="21"/>
          <w:highlight w:val="none"/>
        </w:rPr>
        <w:t>2.2  发包人代表</w:t>
      </w:r>
      <w:bookmarkEnd w:id="526"/>
      <w:bookmarkEnd w:id="527"/>
      <w:bookmarkEnd w:id="528"/>
      <w:bookmarkEnd w:id="529"/>
    </w:p>
    <w:p>
      <w:pPr>
        <w:spacing w:line="400" w:lineRule="exact"/>
        <w:ind w:firstLine="420"/>
        <w:rPr>
          <w:rFonts w:ascii="宋体" w:hAnsi="宋体" w:cs="仿宋_GB2312"/>
          <w:szCs w:val="21"/>
          <w:highlight w:val="none"/>
        </w:rPr>
      </w:pPr>
      <w:r>
        <w:rPr>
          <w:rFonts w:hint="eastAsia" w:ascii="宋体" w:hAnsi="宋体" w:cs="仿宋_GB2312"/>
          <w:szCs w:val="21"/>
          <w:highlight w:val="none"/>
        </w:rPr>
        <w:t>发包人代表的姓名：</w:t>
      </w:r>
      <w:r>
        <w:rPr>
          <w:rFonts w:hint="eastAsia" w:ascii="宋体" w:hAnsi="宋体" w:cs="仿宋_GB2312"/>
          <w:szCs w:val="21"/>
          <w:highlight w:val="none"/>
          <w:u w:val="single"/>
        </w:rPr>
        <w:t xml:space="preserve">             </w:t>
      </w:r>
      <w:r>
        <w:rPr>
          <w:rFonts w:hint="eastAsia" w:ascii="宋体" w:hAnsi="宋体" w:cs="仿宋_GB2312"/>
          <w:szCs w:val="21"/>
          <w:highlight w:val="none"/>
        </w:rPr>
        <w:t xml:space="preserve">； </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发包人代表的职务：</w:t>
      </w:r>
      <w:r>
        <w:rPr>
          <w:rFonts w:hint="eastAsia" w:ascii="宋体" w:hAnsi="宋体" w:cs="仿宋_GB2312"/>
          <w:szCs w:val="21"/>
          <w:highlight w:val="none"/>
          <w:u w:val="single"/>
        </w:rPr>
        <w:t xml:space="preserve">              </w:t>
      </w:r>
      <w:r>
        <w:rPr>
          <w:rFonts w:hint="eastAsia" w:ascii="宋体" w:hAnsi="宋体" w:cs="仿宋_GB2312"/>
          <w:szCs w:val="21"/>
          <w:highlight w:val="none"/>
        </w:rPr>
        <w:t>；</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发包人代表的职责：</w:t>
      </w:r>
      <w:r>
        <w:rPr>
          <w:rFonts w:hint="eastAsia" w:ascii="宋体" w:hAnsi="宋体" w:cs="仿宋_GB2312"/>
          <w:szCs w:val="21"/>
          <w:highlight w:val="none"/>
          <w:u w:val="single"/>
        </w:rPr>
        <w:t xml:space="preserve">              </w:t>
      </w:r>
      <w:r>
        <w:rPr>
          <w:rFonts w:hint="eastAsia" w:ascii="宋体" w:hAnsi="宋体" w:cs="仿宋_GB2312"/>
          <w:szCs w:val="21"/>
          <w:highlight w:val="none"/>
        </w:rPr>
        <w:t>；</w:t>
      </w:r>
    </w:p>
    <w:p>
      <w:pPr>
        <w:spacing w:before="156" w:beforeLines="50" w:after="156" w:afterLines="50" w:line="400" w:lineRule="exact"/>
        <w:ind w:firstLine="422"/>
        <w:outlineLvl w:val="2"/>
        <w:rPr>
          <w:rFonts w:ascii="宋体" w:hAnsi="宋体" w:cs="仿宋_GB2312"/>
          <w:b/>
          <w:szCs w:val="21"/>
          <w:highlight w:val="none"/>
        </w:rPr>
      </w:pPr>
      <w:bookmarkStart w:id="530" w:name="_Toc499566749"/>
      <w:bookmarkStart w:id="531" w:name="_Toc446841795"/>
      <w:bookmarkStart w:id="532" w:name="_Toc440118389"/>
      <w:bookmarkStart w:id="533" w:name="_Toc499566944"/>
      <w:r>
        <w:rPr>
          <w:rFonts w:hint="eastAsia" w:ascii="宋体" w:hAnsi="宋体" w:cs="仿宋_GB2312"/>
          <w:b/>
          <w:szCs w:val="21"/>
          <w:highlight w:val="none"/>
        </w:rPr>
        <w:t>2.3  监理人</w:t>
      </w:r>
      <w:bookmarkEnd w:id="530"/>
      <w:bookmarkEnd w:id="531"/>
      <w:bookmarkEnd w:id="532"/>
      <w:bookmarkEnd w:id="533"/>
    </w:p>
    <w:p>
      <w:pPr>
        <w:spacing w:line="400" w:lineRule="exact"/>
        <w:ind w:firstLine="420"/>
        <w:rPr>
          <w:rFonts w:ascii="宋体" w:hAnsi="宋体" w:cs="仿宋_GB2312"/>
          <w:szCs w:val="21"/>
          <w:highlight w:val="none"/>
          <w:u w:val="single"/>
        </w:rPr>
      </w:pPr>
      <w:r>
        <w:rPr>
          <w:rFonts w:hint="eastAsia" w:ascii="宋体" w:hAnsi="宋体" w:cs="仿宋_GB2312"/>
          <w:szCs w:val="21"/>
          <w:highlight w:val="none"/>
        </w:rPr>
        <w:t>2.3.1  监理单位名称</w:t>
      </w:r>
      <w:r>
        <w:rPr>
          <w:rFonts w:hint="eastAsia" w:ascii="宋体" w:hAnsi="宋体" w:cs="仿宋_GB2312"/>
          <w:szCs w:val="21"/>
          <w:highlight w:val="none"/>
          <w:u w:val="single"/>
        </w:rPr>
        <w:t xml:space="preserve">：                 </w:t>
      </w:r>
    </w:p>
    <w:p>
      <w:pPr>
        <w:spacing w:line="400" w:lineRule="exact"/>
        <w:ind w:firstLine="420"/>
        <w:rPr>
          <w:rFonts w:ascii="宋体" w:hAnsi="宋体" w:cs="仿宋_GB2312"/>
          <w:szCs w:val="21"/>
          <w:highlight w:val="none"/>
          <w:u w:val="single"/>
        </w:rPr>
      </w:pPr>
      <w:r>
        <w:rPr>
          <w:rFonts w:hint="eastAsia" w:ascii="宋体" w:hAnsi="宋体" w:cs="仿宋_GB2312"/>
          <w:szCs w:val="21"/>
          <w:highlight w:val="none"/>
        </w:rPr>
        <w:t>工程总监姓名：</w:t>
      </w:r>
      <w:r>
        <w:rPr>
          <w:rFonts w:hint="eastAsia" w:ascii="宋体" w:hAnsi="宋体" w:cs="仿宋_GB2312"/>
          <w:szCs w:val="21"/>
          <w:highlight w:val="none"/>
          <w:u w:val="single"/>
        </w:rPr>
        <w:t xml:space="preserve">              </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监理的范围：</w:t>
      </w:r>
      <w:r>
        <w:rPr>
          <w:rFonts w:hint="eastAsia" w:ascii="宋体" w:hAnsi="宋体" w:cs="仿宋_GB2312"/>
          <w:szCs w:val="21"/>
          <w:highlight w:val="none"/>
          <w:u w:val="single"/>
        </w:rPr>
        <w:t xml:space="preserve">              /                             </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监理的内容：</w:t>
      </w:r>
      <w:r>
        <w:rPr>
          <w:rFonts w:hint="eastAsia" w:ascii="宋体" w:hAnsi="宋体" w:cs="仿宋_GB2312"/>
          <w:szCs w:val="21"/>
          <w:highlight w:val="none"/>
          <w:u w:val="single"/>
        </w:rPr>
        <w:t xml:space="preserve">              /                                     </w:t>
      </w:r>
    </w:p>
    <w:p>
      <w:pPr>
        <w:spacing w:line="400" w:lineRule="exact"/>
        <w:ind w:firstLine="420"/>
        <w:rPr>
          <w:rFonts w:ascii="宋体" w:hAnsi="宋体" w:cs="仿宋_GB2312"/>
          <w:szCs w:val="21"/>
          <w:highlight w:val="none"/>
          <w:u w:val="single"/>
        </w:rPr>
      </w:pPr>
      <w:r>
        <w:rPr>
          <w:rFonts w:hint="eastAsia" w:ascii="宋体" w:hAnsi="宋体" w:cs="仿宋_GB2312"/>
          <w:szCs w:val="21"/>
          <w:highlight w:val="none"/>
        </w:rPr>
        <w:t>监理的权限：</w:t>
      </w:r>
    </w:p>
    <w:p>
      <w:pPr>
        <w:ind w:firstLine="420"/>
        <w:rPr>
          <w:rFonts w:ascii="宋体" w:hAnsi="宋体" w:cs="仿宋_GB2312"/>
          <w:szCs w:val="21"/>
          <w:highlight w:val="none"/>
          <w:u w:val="single"/>
        </w:rPr>
      </w:pPr>
      <w:r>
        <w:rPr>
          <w:rFonts w:hint="eastAsia" w:ascii="宋体" w:hAnsi="宋体" w:cs="仿宋_GB2312"/>
          <w:szCs w:val="21"/>
          <w:highlight w:val="none"/>
          <w:u w:val="single"/>
        </w:rPr>
        <w:t>（1）对工程建设有关事项包括工程规模、设计标准、规划设计、生产工艺设计和实用功能要求，向发包人的建议权。</w:t>
      </w:r>
    </w:p>
    <w:p>
      <w:pPr>
        <w:ind w:firstLine="420"/>
        <w:rPr>
          <w:rFonts w:ascii="宋体" w:hAnsi="宋体" w:cs="仿宋_GB2312"/>
          <w:szCs w:val="21"/>
          <w:highlight w:val="none"/>
          <w:u w:val="single"/>
        </w:rPr>
      </w:pPr>
      <w:r>
        <w:rPr>
          <w:rFonts w:hint="eastAsia" w:ascii="宋体" w:hAnsi="宋体" w:cs="仿宋_GB2312"/>
          <w:szCs w:val="21"/>
          <w:highlight w:val="none"/>
          <w:u w:val="single"/>
        </w:rPr>
        <w:t>（2）对工程设计中的技术问题，按照安全和优化的原则，向承包人提出建议；如果拟提出的建议可能会提高工程造价，或延长工期，应当事先对造价、工期进行评估，呈报书面材料征得发包人的同意。当发现工程设计不符合国家颁布的建设工程质量标准或涉及合同约定的质量标准时，监理人应当书面报告发包人并要求承包人更正。</w:t>
      </w:r>
    </w:p>
    <w:p>
      <w:pPr>
        <w:ind w:firstLine="420"/>
        <w:rPr>
          <w:rFonts w:ascii="宋体" w:hAnsi="宋体" w:cs="仿宋_GB2312"/>
          <w:szCs w:val="21"/>
          <w:highlight w:val="none"/>
          <w:u w:val="single"/>
        </w:rPr>
      </w:pPr>
      <w:r>
        <w:rPr>
          <w:rFonts w:hint="eastAsia" w:ascii="宋体" w:hAnsi="宋体" w:cs="仿宋_GB2312"/>
          <w:szCs w:val="21"/>
          <w:highlight w:val="none"/>
          <w:u w:val="single"/>
        </w:rPr>
        <w:t>（3）审批工程施工组织设计和技术方案，按照保质量、保工期和降低成本的原则，向承包人提出建议，并向发包人提出书面报告。</w:t>
      </w:r>
    </w:p>
    <w:p>
      <w:pPr>
        <w:ind w:firstLine="420"/>
        <w:rPr>
          <w:rFonts w:ascii="宋体" w:hAnsi="宋体" w:cs="仿宋_GB2312"/>
          <w:szCs w:val="21"/>
          <w:highlight w:val="none"/>
          <w:u w:val="single"/>
        </w:rPr>
      </w:pPr>
      <w:r>
        <w:rPr>
          <w:rFonts w:hint="eastAsia" w:ascii="宋体" w:hAnsi="宋体" w:cs="仿宋_GB2312"/>
          <w:szCs w:val="21"/>
          <w:highlight w:val="none"/>
          <w:u w:val="single"/>
        </w:rPr>
        <w:t>（4）主持工程建设有关协作单位的协调会议，重要协调事项应当事先向发包人报告。</w:t>
      </w:r>
    </w:p>
    <w:p>
      <w:pPr>
        <w:ind w:firstLine="420"/>
        <w:rPr>
          <w:rFonts w:ascii="宋体" w:hAnsi="宋体" w:cs="仿宋_GB2312"/>
          <w:szCs w:val="21"/>
          <w:highlight w:val="none"/>
          <w:u w:val="single"/>
        </w:rPr>
      </w:pPr>
      <w:r>
        <w:rPr>
          <w:rFonts w:hint="eastAsia" w:ascii="宋体" w:hAnsi="宋体" w:cs="仿宋_GB2312"/>
          <w:szCs w:val="21"/>
          <w:highlight w:val="none"/>
          <w:u w:val="single"/>
        </w:rPr>
        <w:t>（5）征得发包人书面同意，监理人有权发布开工令、停工令、复工令，但应当事先向发包人报告并取得发包人同意方可，如在紧急情况下未能实现报告时，则应在24小时内向发包人作出书面报告。</w:t>
      </w:r>
    </w:p>
    <w:p>
      <w:pPr>
        <w:ind w:firstLine="420"/>
        <w:rPr>
          <w:rFonts w:ascii="宋体" w:hAnsi="宋体" w:cs="仿宋_GB2312"/>
          <w:szCs w:val="21"/>
          <w:highlight w:val="none"/>
          <w:u w:val="single"/>
        </w:rPr>
      </w:pPr>
      <w:r>
        <w:rPr>
          <w:rFonts w:hint="eastAsia" w:ascii="宋体" w:hAnsi="宋体" w:cs="仿宋_GB2312"/>
          <w:szCs w:val="21"/>
          <w:highlight w:val="none"/>
          <w:u w:val="single"/>
        </w:rPr>
        <w:t>（6）进场材料设备和施工质量的检验权。对于不符合设计要求和合同约定及国家质量标准的材料、结构配件、设备，有权通知承包人停止使用；对于不符合规范和质量标准的工序、分部、分项工程和不安全施工作业，有权通知承包人停工整改、返工。承包人得到监理人复工令后才能复工。</w:t>
      </w:r>
    </w:p>
    <w:p>
      <w:pPr>
        <w:ind w:firstLine="420"/>
        <w:rPr>
          <w:rFonts w:ascii="宋体" w:hAnsi="宋体" w:cs="仿宋_GB2312"/>
          <w:szCs w:val="21"/>
          <w:highlight w:val="none"/>
          <w:u w:val="single"/>
        </w:rPr>
      </w:pPr>
      <w:r>
        <w:rPr>
          <w:rFonts w:hint="eastAsia" w:ascii="宋体" w:hAnsi="宋体" w:cs="仿宋_GB2312"/>
          <w:szCs w:val="21"/>
          <w:highlight w:val="none"/>
          <w:u w:val="single"/>
        </w:rPr>
        <w:t>（7）工程进度的检查、监督权、以及工程实际竣工日期提前或超过合同规定的竣工期限的签认权。</w:t>
      </w:r>
    </w:p>
    <w:p>
      <w:pPr>
        <w:ind w:firstLine="420"/>
        <w:rPr>
          <w:rFonts w:ascii="宋体" w:hAnsi="宋体" w:cs="仿宋_GB2312"/>
          <w:szCs w:val="21"/>
          <w:highlight w:val="none"/>
          <w:u w:val="single"/>
        </w:rPr>
      </w:pPr>
      <w:r>
        <w:rPr>
          <w:rFonts w:hint="eastAsia" w:ascii="宋体" w:hAnsi="宋体" w:cs="仿宋_GB2312"/>
          <w:szCs w:val="21"/>
          <w:highlight w:val="none"/>
          <w:u w:val="single"/>
        </w:rPr>
        <w:t>（8）在合同约定的合同价格范围内，合同价款支付的审核和签认权，以及合同总价的复核确认权与否决权。</w:t>
      </w:r>
    </w:p>
    <w:p>
      <w:pPr>
        <w:ind w:firstLine="420"/>
        <w:rPr>
          <w:rFonts w:ascii="宋体" w:hAnsi="宋体" w:cs="仿宋_GB2312"/>
          <w:szCs w:val="21"/>
          <w:highlight w:val="none"/>
          <w:u w:val="single"/>
        </w:rPr>
      </w:pPr>
      <w:r>
        <w:rPr>
          <w:rFonts w:hint="eastAsia" w:ascii="宋体" w:hAnsi="宋体" w:cs="仿宋_GB2312"/>
          <w:szCs w:val="21"/>
          <w:highlight w:val="none"/>
        </w:rPr>
        <w:t>需要取得发包人批准才能行使的职权：</w:t>
      </w:r>
      <w:r>
        <w:rPr>
          <w:rFonts w:hint="eastAsia" w:ascii="宋体" w:hAnsi="宋体" w:cs="仿宋_GB2312"/>
          <w:szCs w:val="21"/>
          <w:highlight w:val="none"/>
          <w:u w:val="single"/>
        </w:rPr>
        <w:t>①设计变更；②工期延误索赔或签证，工程量及费用增减的索赔或签证；③合同价款支付；④施工组织设计、总进度计划的审定；⑤主要材料的认质认价；⑥停工、复工通知；⑦其他重要突发事件处理决定见本工程建设监理合同约定权限以及发包人以书面形式通知监理工程师的其他权限；⑧发包人认为须取得批准方可实施的其它重要事项。</w:t>
      </w:r>
    </w:p>
    <w:p>
      <w:pPr>
        <w:spacing w:before="156" w:beforeLines="50" w:after="156" w:afterLines="50" w:line="400" w:lineRule="exact"/>
        <w:ind w:firstLine="422"/>
        <w:outlineLvl w:val="2"/>
        <w:rPr>
          <w:rFonts w:ascii="宋体" w:hAnsi="宋体" w:cs="仿宋_GB2312"/>
          <w:b/>
          <w:szCs w:val="21"/>
          <w:highlight w:val="none"/>
        </w:rPr>
      </w:pPr>
      <w:bookmarkStart w:id="534" w:name="_Toc499566945"/>
      <w:bookmarkStart w:id="535" w:name="_Toc440118390"/>
      <w:bookmarkStart w:id="536" w:name="_Toc499566750"/>
      <w:bookmarkStart w:id="537" w:name="_Toc446841796"/>
      <w:r>
        <w:rPr>
          <w:rFonts w:hint="eastAsia" w:ascii="宋体" w:hAnsi="宋体" w:cs="仿宋_GB2312"/>
          <w:b/>
          <w:szCs w:val="21"/>
          <w:highlight w:val="none"/>
        </w:rPr>
        <w:t>2.5  保安责任</w:t>
      </w:r>
      <w:bookmarkEnd w:id="534"/>
      <w:bookmarkEnd w:id="535"/>
      <w:bookmarkEnd w:id="536"/>
      <w:bookmarkEnd w:id="537"/>
    </w:p>
    <w:p>
      <w:pPr>
        <w:spacing w:line="400" w:lineRule="exact"/>
        <w:ind w:firstLine="420"/>
        <w:rPr>
          <w:rFonts w:ascii="宋体" w:hAnsi="宋体" w:cs="仿宋_GB2312"/>
          <w:szCs w:val="21"/>
          <w:highlight w:val="none"/>
        </w:rPr>
      </w:pPr>
      <w:r>
        <w:rPr>
          <w:rFonts w:hint="eastAsia" w:ascii="宋体" w:hAnsi="宋体" w:cs="仿宋_GB2312"/>
          <w:szCs w:val="21"/>
          <w:highlight w:val="none"/>
        </w:rPr>
        <w:t>2.5.1  现场保安责任的约定。在以下两者中选择其一，作为合同双方对现场保安责任的约定。</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 发包人负责保安的归口管理</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fldChar w:fldCharType="begin"/>
      </w:r>
      <w:r>
        <w:rPr>
          <w:rFonts w:hint="eastAsia" w:ascii="宋体" w:hAnsi="宋体" w:cs="仿宋_GB2312"/>
          <w:szCs w:val="21"/>
          <w:highlight w:val="none"/>
        </w:rPr>
        <w:instrText xml:space="preserve"> eq \o\ac(</w:instrText>
      </w:r>
      <w:r>
        <w:rPr>
          <w:rFonts w:hint="eastAsia" w:ascii="宋体" w:hAnsi="宋体" w:cs="仿宋_GB2312"/>
          <w:position w:val="-4"/>
          <w:sz w:val="31"/>
          <w:szCs w:val="21"/>
          <w:highlight w:val="none"/>
        </w:rPr>
        <w:instrText xml:space="preserve">□</w:instrText>
      </w:r>
      <w:r>
        <w:rPr>
          <w:rFonts w:hint="eastAsia" w:ascii="宋体" w:hAnsi="宋体" w:cs="仿宋_GB2312"/>
          <w:szCs w:val="21"/>
          <w:highlight w:val="none"/>
        </w:rPr>
        <w:instrText xml:space="preserve">,√)</w:instrText>
      </w:r>
      <w:r>
        <w:rPr>
          <w:rFonts w:hint="eastAsia" w:ascii="宋体" w:hAnsi="宋体" w:cs="仿宋_GB2312"/>
          <w:szCs w:val="21"/>
          <w:highlight w:val="none"/>
        </w:rPr>
        <w:fldChar w:fldCharType="end"/>
      </w:r>
      <w:r>
        <w:rPr>
          <w:rFonts w:hint="eastAsia" w:ascii="宋体" w:hAnsi="宋体" w:cs="仿宋_GB2312"/>
          <w:szCs w:val="21"/>
          <w:highlight w:val="none"/>
        </w:rPr>
        <w:t xml:space="preserve"> 委托承包人负责保安管理 </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2.5.2  保安区域责任划分及双方相关保安制度、责任制度和报告制度的约定：</w:t>
      </w:r>
      <w:r>
        <w:rPr>
          <w:rFonts w:hint="eastAsia" w:ascii="宋体" w:hAnsi="宋体" w:cs="仿宋_GB2312"/>
          <w:szCs w:val="21"/>
          <w:highlight w:val="none"/>
          <w:u w:val="single"/>
        </w:rPr>
        <w:t xml:space="preserve">         </w:t>
      </w:r>
    </w:p>
    <w:p>
      <w:pPr>
        <w:spacing w:before="156" w:beforeLines="50" w:after="156" w:afterLines="50" w:line="300" w:lineRule="auto"/>
        <w:ind w:firstLine="413" w:firstLineChars="196"/>
        <w:outlineLvl w:val="1"/>
        <w:rPr>
          <w:rFonts w:ascii="宋体" w:hAnsi="宋体" w:cs="仿宋_GB2312"/>
          <w:b/>
          <w:szCs w:val="21"/>
          <w:highlight w:val="none"/>
        </w:rPr>
      </w:pPr>
      <w:bookmarkStart w:id="538" w:name="_Toc20232"/>
      <w:bookmarkStart w:id="539" w:name="_Toc451936009"/>
      <w:bookmarkStart w:id="540" w:name="_Toc499566946"/>
      <w:bookmarkStart w:id="541" w:name="_Toc909"/>
      <w:bookmarkStart w:id="542" w:name="_Toc499566751"/>
      <w:bookmarkStart w:id="543" w:name="_Toc446841797"/>
      <w:bookmarkStart w:id="544" w:name="_Toc20007"/>
      <w:bookmarkStart w:id="545" w:name="_Toc27392"/>
      <w:bookmarkStart w:id="546" w:name="_Toc440118391"/>
      <w:bookmarkStart w:id="547" w:name="_Toc20395"/>
      <w:r>
        <w:rPr>
          <w:rFonts w:hint="eastAsia" w:ascii="宋体" w:hAnsi="宋体" w:cs="仿宋_GB2312"/>
          <w:b/>
          <w:szCs w:val="21"/>
          <w:highlight w:val="none"/>
        </w:rPr>
        <w:t>第3条  承包人</w:t>
      </w:r>
      <w:bookmarkEnd w:id="538"/>
      <w:bookmarkEnd w:id="539"/>
      <w:bookmarkEnd w:id="540"/>
      <w:bookmarkEnd w:id="541"/>
      <w:bookmarkEnd w:id="542"/>
      <w:bookmarkEnd w:id="543"/>
      <w:bookmarkEnd w:id="544"/>
      <w:bookmarkEnd w:id="545"/>
      <w:bookmarkEnd w:id="546"/>
      <w:bookmarkEnd w:id="547"/>
    </w:p>
    <w:p>
      <w:pPr>
        <w:spacing w:before="156" w:beforeLines="50" w:after="156" w:afterLines="50" w:line="400" w:lineRule="exact"/>
        <w:ind w:firstLine="422"/>
        <w:outlineLvl w:val="2"/>
        <w:rPr>
          <w:rFonts w:ascii="宋体" w:hAnsi="宋体" w:cs="仿宋_GB2312"/>
          <w:b/>
          <w:szCs w:val="21"/>
          <w:highlight w:val="none"/>
        </w:rPr>
      </w:pPr>
      <w:bookmarkStart w:id="548" w:name="_Toc499566947"/>
      <w:bookmarkStart w:id="549" w:name="_Toc440118392"/>
      <w:bookmarkStart w:id="550" w:name="_Toc446841798"/>
      <w:bookmarkStart w:id="551" w:name="_Toc499566752"/>
      <w:r>
        <w:rPr>
          <w:rFonts w:hint="eastAsia" w:ascii="宋体" w:hAnsi="宋体" w:cs="仿宋_GB2312"/>
          <w:b/>
          <w:szCs w:val="21"/>
          <w:highlight w:val="none"/>
        </w:rPr>
        <w:t>3.1  承包人的一般义务和权力</w:t>
      </w:r>
      <w:bookmarkEnd w:id="548"/>
      <w:bookmarkEnd w:id="549"/>
      <w:bookmarkEnd w:id="550"/>
      <w:bookmarkEnd w:id="551"/>
    </w:p>
    <w:p>
      <w:pPr>
        <w:spacing w:before="156" w:beforeLines="50" w:after="156" w:afterLines="50" w:line="400" w:lineRule="exact"/>
        <w:ind w:firstLine="420"/>
        <w:rPr>
          <w:rFonts w:ascii="宋体" w:hAnsi="宋体" w:cs="仿宋_GB2312"/>
          <w:szCs w:val="21"/>
          <w:highlight w:val="none"/>
        </w:rPr>
      </w:pPr>
      <w:r>
        <w:rPr>
          <w:rFonts w:hint="eastAsia" w:ascii="宋体" w:hAnsi="宋体" w:cs="仿宋_GB2312"/>
          <w:szCs w:val="21"/>
          <w:highlight w:val="none"/>
        </w:rPr>
        <w:t>3.1.1  经合同双方商定，承包人应提交的报表类别、名称、要求、报告期、提交的时间和份数：</w:t>
      </w:r>
      <w:r>
        <w:rPr>
          <w:rFonts w:hint="eastAsia" w:ascii="宋体" w:hAnsi="宋体" w:cs="仿宋_GB2312"/>
          <w:szCs w:val="21"/>
          <w:highlight w:val="none"/>
          <w:u w:val="single"/>
        </w:rPr>
        <w:t xml:space="preserve">按发包人要求提供。 </w:t>
      </w:r>
    </w:p>
    <w:p>
      <w:pPr>
        <w:spacing w:before="156" w:beforeLines="50" w:after="156" w:afterLines="50" w:line="400" w:lineRule="exact"/>
        <w:ind w:firstLine="422"/>
        <w:outlineLvl w:val="2"/>
        <w:rPr>
          <w:rFonts w:ascii="宋体" w:hAnsi="宋体" w:cs="仿宋_GB2312"/>
          <w:b/>
          <w:szCs w:val="21"/>
          <w:highlight w:val="none"/>
        </w:rPr>
      </w:pPr>
      <w:bookmarkStart w:id="552" w:name="_Toc440118393"/>
      <w:bookmarkStart w:id="553" w:name="_Toc499566948"/>
      <w:bookmarkStart w:id="554" w:name="_Toc446841799"/>
      <w:bookmarkStart w:id="555" w:name="_Toc499566753"/>
      <w:r>
        <w:rPr>
          <w:rFonts w:hint="eastAsia" w:ascii="宋体" w:hAnsi="宋体" w:cs="仿宋_GB2312"/>
          <w:b/>
          <w:szCs w:val="21"/>
          <w:highlight w:val="none"/>
        </w:rPr>
        <w:t>3.2  项目经理</w:t>
      </w:r>
      <w:bookmarkEnd w:id="552"/>
      <w:bookmarkEnd w:id="553"/>
      <w:bookmarkEnd w:id="554"/>
      <w:bookmarkEnd w:id="555"/>
    </w:p>
    <w:p>
      <w:pPr>
        <w:ind w:firstLine="420"/>
        <w:rPr>
          <w:rFonts w:ascii="宋体" w:hAnsi="宋体" w:cs="仿宋_GB2312"/>
          <w:szCs w:val="21"/>
          <w:highlight w:val="none"/>
        </w:rPr>
      </w:pPr>
      <w:r>
        <w:rPr>
          <w:rFonts w:hint="eastAsia" w:ascii="宋体" w:hAnsi="宋体" w:cs="仿宋_GB2312"/>
          <w:szCs w:val="21"/>
          <w:highlight w:val="none"/>
        </w:rPr>
        <w:t>3.2.1  项目经理姓名：</w:t>
      </w:r>
      <w:r>
        <w:rPr>
          <w:rFonts w:hint="eastAsia" w:ascii="宋体" w:hAnsi="宋体" w:cs="仿宋_GB2312"/>
          <w:szCs w:val="21"/>
          <w:highlight w:val="none"/>
          <w:u w:val="single"/>
        </w:rPr>
        <w:t xml:space="preserve">         .</w:t>
      </w:r>
    </w:p>
    <w:p>
      <w:pPr>
        <w:ind w:firstLine="420"/>
        <w:rPr>
          <w:rFonts w:ascii="宋体" w:hAnsi="宋体" w:cs="仿宋_GB2312"/>
          <w:szCs w:val="21"/>
          <w:highlight w:val="none"/>
          <w:u w:val="single"/>
        </w:rPr>
      </w:pPr>
      <w:r>
        <w:rPr>
          <w:rFonts w:hint="eastAsia" w:ascii="宋体" w:hAnsi="宋体" w:cs="仿宋_GB2312"/>
          <w:szCs w:val="21"/>
          <w:highlight w:val="none"/>
        </w:rPr>
        <w:t>项目经理职责：</w:t>
      </w:r>
      <w:r>
        <w:rPr>
          <w:rFonts w:hint="eastAsia" w:ascii="宋体" w:hAnsi="宋体" w:cs="仿宋_GB2312"/>
          <w:szCs w:val="21"/>
          <w:highlight w:val="none"/>
          <w:u w:val="single"/>
        </w:rPr>
        <w:t>施工现场的进度、安全、质量、费用等项目管理工作</w:t>
      </w:r>
      <w:r>
        <w:rPr>
          <w:rFonts w:ascii="宋体" w:hAnsi="宋体" w:cs="仿宋_GB2312"/>
          <w:szCs w:val="21"/>
          <w:highlight w:val="none"/>
          <w:u w:val="single"/>
        </w:rPr>
        <w:t>。</w:t>
      </w:r>
      <w:r>
        <w:rPr>
          <w:rFonts w:hint="eastAsia" w:ascii="宋体" w:hAnsi="宋体" w:cs="仿宋_GB2312"/>
          <w:szCs w:val="21"/>
          <w:highlight w:val="none"/>
          <w:u w:val="single"/>
        </w:rPr>
        <w:t xml:space="preserve">     </w:t>
      </w:r>
    </w:p>
    <w:p>
      <w:pPr>
        <w:ind w:firstLine="420"/>
        <w:rPr>
          <w:rFonts w:ascii="宋体" w:hAnsi="宋体" w:cs="仿宋_GB2312"/>
          <w:szCs w:val="21"/>
          <w:highlight w:val="none"/>
        </w:rPr>
      </w:pPr>
      <w:r>
        <w:rPr>
          <w:rFonts w:hint="eastAsia" w:ascii="宋体" w:hAnsi="宋体" w:cs="仿宋_GB2312"/>
          <w:szCs w:val="21"/>
          <w:highlight w:val="none"/>
        </w:rPr>
        <w:t>项目经理权限：</w:t>
      </w:r>
    </w:p>
    <w:p>
      <w:pPr>
        <w:ind w:firstLine="420"/>
        <w:rPr>
          <w:rFonts w:ascii="宋体" w:hAnsi="宋体" w:cs="仿宋_GB2312"/>
          <w:szCs w:val="21"/>
          <w:highlight w:val="none"/>
          <w:u w:val="single"/>
        </w:rPr>
      </w:pPr>
      <w:r>
        <w:rPr>
          <w:rFonts w:hint="eastAsia" w:ascii="宋体" w:hAnsi="宋体" w:cs="仿宋_GB2312"/>
          <w:szCs w:val="21"/>
          <w:highlight w:val="none"/>
          <w:u w:val="single"/>
        </w:rPr>
        <w:t>①对工程建设有关事项包括工程规模、设计标准、设计方案和实用功能要求等向发包人的建议权；</w:t>
      </w:r>
    </w:p>
    <w:p>
      <w:pPr>
        <w:ind w:firstLine="420"/>
        <w:rPr>
          <w:rFonts w:ascii="宋体" w:hAnsi="宋体" w:cs="仿宋_GB2312"/>
          <w:szCs w:val="21"/>
          <w:highlight w:val="none"/>
          <w:u w:val="single"/>
        </w:rPr>
      </w:pPr>
      <w:r>
        <w:rPr>
          <w:rFonts w:hint="eastAsia" w:ascii="宋体" w:hAnsi="宋体" w:cs="仿宋_GB2312"/>
          <w:szCs w:val="21"/>
          <w:highlight w:val="none"/>
          <w:u w:val="single"/>
        </w:rPr>
        <w:t>②对工程实施过程中的技术问题，按照先进适用、经济合理的原则，向发包人提出建议；如果拟提出的建议可能会提高工程造价，或延长工期，应当事先对造价、工期进行分析评估，呈报书面材料征得发包人的同意。</w:t>
      </w:r>
    </w:p>
    <w:p>
      <w:pPr>
        <w:ind w:firstLine="420"/>
        <w:rPr>
          <w:rFonts w:ascii="宋体" w:hAnsi="宋体" w:cs="仿宋_GB2312"/>
          <w:szCs w:val="21"/>
          <w:highlight w:val="none"/>
          <w:u w:val="single"/>
        </w:rPr>
      </w:pPr>
      <w:r>
        <w:rPr>
          <w:rFonts w:hint="eastAsia" w:ascii="宋体" w:hAnsi="宋体" w:cs="仿宋_GB2312"/>
          <w:szCs w:val="21"/>
          <w:highlight w:val="none"/>
          <w:u w:val="single"/>
        </w:rPr>
        <w:t>③工程设计、采购、施工、竣工试验和（或）指导竣工后试验等全过程的管理权。</w:t>
      </w:r>
    </w:p>
    <w:p>
      <w:pPr>
        <w:ind w:firstLine="420"/>
        <w:rPr>
          <w:rFonts w:ascii="宋体" w:hAnsi="宋体" w:cs="仿宋_GB2312"/>
          <w:szCs w:val="21"/>
          <w:highlight w:val="none"/>
          <w:u w:val="single"/>
        </w:rPr>
      </w:pPr>
      <w:r>
        <w:rPr>
          <w:rFonts w:hint="eastAsia" w:ascii="宋体" w:hAnsi="宋体" w:cs="仿宋_GB2312"/>
          <w:szCs w:val="21"/>
          <w:highlight w:val="none"/>
          <w:u w:val="single"/>
        </w:rPr>
        <w:t>④工程实施全过程的质量、安全、进度、造价的有效控制，并及时解决出现的问题；</w:t>
      </w:r>
    </w:p>
    <w:p>
      <w:pPr>
        <w:ind w:firstLine="420"/>
        <w:rPr>
          <w:rFonts w:ascii="宋体" w:hAnsi="宋体" w:cs="仿宋_GB2312"/>
          <w:szCs w:val="21"/>
          <w:highlight w:val="none"/>
          <w:u w:val="single"/>
        </w:rPr>
      </w:pPr>
      <w:r>
        <w:rPr>
          <w:rFonts w:hint="eastAsia" w:ascii="宋体" w:hAnsi="宋体" w:cs="仿宋_GB2312"/>
          <w:szCs w:val="21"/>
          <w:highlight w:val="none"/>
          <w:u w:val="single"/>
        </w:rPr>
        <w:fldChar w:fldCharType="begin"/>
      </w:r>
      <w:r>
        <w:rPr>
          <w:rFonts w:hint="eastAsia" w:ascii="宋体" w:hAnsi="宋体" w:cs="仿宋_GB2312"/>
          <w:szCs w:val="21"/>
          <w:highlight w:val="none"/>
          <w:u w:val="single"/>
        </w:rPr>
        <w:instrText xml:space="preserve"> = 5 \* GB3 </w:instrText>
      </w:r>
      <w:r>
        <w:rPr>
          <w:rFonts w:hint="eastAsia" w:ascii="宋体" w:hAnsi="宋体" w:cs="仿宋_GB2312"/>
          <w:szCs w:val="21"/>
          <w:highlight w:val="none"/>
          <w:u w:val="single"/>
        </w:rPr>
        <w:fldChar w:fldCharType="separate"/>
      </w:r>
      <w:r>
        <w:rPr>
          <w:rFonts w:hint="eastAsia" w:ascii="宋体" w:hAnsi="宋体" w:cs="仿宋_GB2312"/>
          <w:szCs w:val="21"/>
          <w:highlight w:val="none"/>
          <w:u w:val="single"/>
        </w:rPr>
        <w:t>⑤</w:t>
      </w:r>
      <w:r>
        <w:rPr>
          <w:rFonts w:hint="eastAsia" w:ascii="宋体" w:hAnsi="宋体" w:cs="仿宋_GB2312"/>
          <w:szCs w:val="21"/>
          <w:highlight w:val="none"/>
          <w:u w:val="single"/>
        </w:rPr>
        <w:fldChar w:fldCharType="end"/>
      </w:r>
      <w:r>
        <w:rPr>
          <w:rFonts w:hint="eastAsia" w:ascii="宋体" w:hAnsi="宋体" w:cs="仿宋_GB2312"/>
          <w:szCs w:val="21"/>
          <w:highlight w:val="none"/>
          <w:u w:val="single"/>
        </w:rPr>
        <w:t>参加每周的工程例会及发包人组织的有关其他会议；</w:t>
      </w:r>
    </w:p>
    <w:p>
      <w:pPr>
        <w:tabs>
          <w:tab w:val="left" w:pos="6990"/>
        </w:tabs>
        <w:ind w:firstLine="420"/>
        <w:rPr>
          <w:rFonts w:ascii="宋体" w:hAnsi="宋体" w:cs="仿宋_GB2312"/>
          <w:szCs w:val="21"/>
          <w:highlight w:val="none"/>
        </w:rPr>
      </w:pPr>
      <w:r>
        <w:rPr>
          <w:rFonts w:hint="eastAsia" w:ascii="宋体" w:hAnsi="宋体" w:cs="仿宋_GB2312"/>
          <w:szCs w:val="21"/>
          <w:highlight w:val="none"/>
          <w:u w:val="single"/>
        </w:rPr>
        <w:fldChar w:fldCharType="begin"/>
      </w:r>
      <w:r>
        <w:rPr>
          <w:rFonts w:hint="eastAsia" w:ascii="宋体" w:hAnsi="宋体" w:cs="仿宋_GB2312"/>
          <w:szCs w:val="21"/>
          <w:highlight w:val="none"/>
          <w:u w:val="single"/>
        </w:rPr>
        <w:instrText xml:space="preserve"> = 6 \* GB3 </w:instrText>
      </w:r>
      <w:r>
        <w:rPr>
          <w:rFonts w:hint="eastAsia" w:ascii="宋体" w:hAnsi="宋体" w:cs="仿宋_GB2312"/>
          <w:szCs w:val="21"/>
          <w:highlight w:val="none"/>
          <w:u w:val="single"/>
        </w:rPr>
        <w:fldChar w:fldCharType="separate"/>
      </w:r>
      <w:r>
        <w:rPr>
          <w:rFonts w:hint="eastAsia" w:ascii="宋体" w:hAnsi="宋体" w:cs="仿宋_GB2312"/>
          <w:szCs w:val="21"/>
          <w:highlight w:val="none"/>
          <w:u w:val="single"/>
        </w:rPr>
        <w:t>⑥</w:t>
      </w:r>
      <w:r>
        <w:rPr>
          <w:rFonts w:hint="eastAsia" w:ascii="宋体" w:hAnsi="宋体" w:cs="仿宋_GB2312"/>
          <w:szCs w:val="21"/>
          <w:highlight w:val="none"/>
          <w:u w:val="single"/>
        </w:rPr>
        <w:fldChar w:fldCharType="end"/>
      </w:r>
      <w:r>
        <w:rPr>
          <w:rFonts w:hint="eastAsia" w:ascii="宋体" w:hAnsi="宋体" w:cs="仿宋_GB2312"/>
          <w:szCs w:val="21"/>
          <w:highlight w:val="none"/>
          <w:u w:val="single"/>
        </w:rPr>
        <w:t>由承包人发出的一切函件均应盖有承包人授权的工程现场管理机构章，并由承包人项目经理签字，发包人要求的部分文件需盖承包人单位章。</w:t>
      </w:r>
    </w:p>
    <w:p>
      <w:pPr>
        <w:ind w:firstLine="420"/>
        <w:rPr>
          <w:rFonts w:ascii="宋体" w:hAnsi="宋体" w:cs="仿宋_GB2312"/>
          <w:szCs w:val="21"/>
          <w:highlight w:val="none"/>
        </w:rPr>
      </w:pPr>
      <w:r>
        <w:rPr>
          <w:rFonts w:hint="eastAsia" w:ascii="宋体" w:hAnsi="宋体" w:cs="仿宋_GB2312"/>
          <w:szCs w:val="21"/>
          <w:highlight w:val="none"/>
        </w:rPr>
        <w:t>项目经理每月在现场时间不得少于</w:t>
      </w:r>
      <w:r>
        <w:rPr>
          <w:rFonts w:hint="eastAsia" w:ascii="宋体" w:hAnsi="宋体" w:cs="仿宋_GB2312"/>
          <w:szCs w:val="21"/>
          <w:highlight w:val="none"/>
          <w:u w:val="single"/>
        </w:rPr>
        <w:t>22</w:t>
      </w:r>
      <w:r>
        <w:rPr>
          <w:rFonts w:hint="eastAsia" w:ascii="宋体" w:hAnsi="宋体" w:cs="仿宋_GB2312"/>
          <w:szCs w:val="21"/>
          <w:highlight w:val="none"/>
        </w:rPr>
        <w:t>日</w:t>
      </w:r>
    </w:p>
    <w:p>
      <w:pPr>
        <w:ind w:firstLine="420"/>
        <w:rPr>
          <w:rFonts w:ascii="宋体" w:hAnsi="宋体" w:cs="仿宋_GB2312"/>
          <w:szCs w:val="21"/>
          <w:highlight w:val="none"/>
        </w:rPr>
      </w:pPr>
      <w:r>
        <w:rPr>
          <w:rFonts w:hint="eastAsia" w:ascii="宋体" w:hAnsi="宋体" w:cs="仿宋_GB2312"/>
          <w:szCs w:val="21"/>
          <w:highlight w:val="none"/>
        </w:rPr>
        <w:t>因擅自更换项目经理或项目经理兼职其它项目经理的违约约定：</w:t>
      </w:r>
      <w:r>
        <w:rPr>
          <w:rFonts w:hint="eastAsia" w:ascii="宋体" w:hAnsi="宋体" w:cs="仿宋_GB2312"/>
          <w:szCs w:val="21"/>
          <w:highlight w:val="none"/>
          <w:u w:val="single"/>
        </w:rPr>
        <w:t>1）承包人不得随意更换项目经理，如需要更换项目经理，应至少提前30天以书面形式通知发包人，并征得发包人同意，后任继续行使合同文件约定的前任的职权，履行前任的义务；2）因擅自更换项目经理或项目经理兼职其它项目经理的，发包人有权解除合同；3）项目经理不胜任本职工作，发包人代表和工程总监可提前15天以书面形式通知承包人更换合格的项目经理；本合同执行过程中，项目经理只能更换一次，如更换后的项目经理仍旧不能胜任本职工作，发包人有权解除合同。</w:t>
      </w:r>
    </w:p>
    <w:p>
      <w:pPr>
        <w:ind w:firstLine="420"/>
        <w:rPr>
          <w:rFonts w:ascii="宋体" w:hAnsi="宋体" w:cs="仿宋_GB2312"/>
          <w:szCs w:val="21"/>
          <w:highlight w:val="none"/>
        </w:rPr>
      </w:pPr>
      <w:r>
        <w:rPr>
          <w:rFonts w:hint="eastAsia" w:ascii="宋体" w:hAnsi="宋体" w:cs="仿宋_GB2312"/>
          <w:szCs w:val="21"/>
          <w:highlight w:val="none"/>
        </w:rPr>
        <w:t>项目经理每月在现场时间未达到合同约定天数的，每少一天应向发包人支付违约金</w:t>
      </w:r>
      <w:r>
        <w:rPr>
          <w:rFonts w:hint="eastAsia" w:ascii="宋体" w:hAnsi="宋体" w:cs="仿宋_GB2312"/>
          <w:szCs w:val="21"/>
          <w:highlight w:val="none"/>
          <w:u w:val="single"/>
        </w:rPr>
        <w:t xml:space="preserve"> 3000元。</w:t>
      </w:r>
    </w:p>
    <w:p>
      <w:pPr>
        <w:spacing w:line="400" w:lineRule="exact"/>
        <w:ind w:firstLine="420"/>
        <w:rPr>
          <w:rFonts w:ascii="宋体" w:hAnsi="宋体" w:cs="仿宋_GB2312"/>
          <w:szCs w:val="21"/>
          <w:highlight w:val="none"/>
          <w:u w:val="single"/>
        </w:rPr>
      </w:pPr>
      <w:r>
        <w:rPr>
          <w:rFonts w:hint="eastAsia" w:ascii="宋体" w:hAnsi="宋体" w:cs="仿宋_GB2312"/>
          <w:szCs w:val="21"/>
          <w:highlight w:val="none"/>
        </w:rPr>
        <w:t>施工负责人姓名：</w:t>
      </w:r>
      <w:r>
        <w:rPr>
          <w:rFonts w:hint="eastAsia" w:ascii="宋体" w:hAnsi="宋体" w:cs="仿宋_GB2312"/>
          <w:szCs w:val="21"/>
          <w:highlight w:val="none"/>
          <w:u w:val="single"/>
        </w:rPr>
        <w:t xml:space="preserve">            </w:t>
      </w:r>
    </w:p>
    <w:p>
      <w:pPr>
        <w:spacing w:line="400" w:lineRule="exact"/>
        <w:ind w:firstLine="420"/>
        <w:rPr>
          <w:rFonts w:ascii="宋体" w:hAnsi="宋体" w:cs="仿宋_GB2312"/>
          <w:szCs w:val="21"/>
          <w:highlight w:val="none"/>
          <w:u w:val="single"/>
        </w:rPr>
      </w:pPr>
      <w:r>
        <w:rPr>
          <w:rFonts w:hint="eastAsia" w:ascii="宋体" w:hAnsi="宋体" w:cs="仿宋_GB2312"/>
          <w:szCs w:val="21"/>
          <w:highlight w:val="none"/>
          <w:u w:val="single"/>
        </w:rPr>
        <w:t>①施工负责人按发包人认可的施工组织设计（施工方案）和工程师依据合同发出的指令组织施工。</w:t>
      </w:r>
    </w:p>
    <w:p>
      <w:pPr>
        <w:spacing w:line="400" w:lineRule="exact"/>
        <w:ind w:firstLine="420"/>
        <w:rPr>
          <w:rFonts w:ascii="宋体" w:hAnsi="宋体" w:cs="仿宋_GB2312"/>
          <w:szCs w:val="21"/>
          <w:highlight w:val="none"/>
          <w:u w:val="single"/>
        </w:rPr>
      </w:pPr>
      <w:r>
        <w:rPr>
          <w:rFonts w:hint="eastAsia" w:ascii="宋体" w:hAnsi="宋体" w:cs="仿宋_GB2312"/>
          <w:szCs w:val="21"/>
          <w:highlight w:val="none"/>
          <w:u w:val="single"/>
        </w:rPr>
        <w:t>②承包人如需要更换施工负责人，应至少提前15日以书面形式通知发包人，并征得发包人同意。后任继续行使合同文件约定的前任的职权，履行前任的义务。</w:t>
      </w:r>
    </w:p>
    <w:p>
      <w:pPr>
        <w:spacing w:line="400" w:lineRule="exact"/>
        <w:ind w:firstLine="420"/>
        <w:rPr>
          <w:rFonts w:ascii="宋体" w:hAnsi="宋体" w:cs="仿宋_GB2312"/>
          <w:szCs w:val="21"/>
          <w:highlight w:val="none"/>
          <w:u w:val="single"/>
        </w:rPr>
      </w:pPr>
      <w:r>
        <w:rPr>
          <w:rFonts w:hint="eastAsia" w:ascii="宋体" w:hAnsi="宋体" w:cs="仿宋_GB2312"/>
          <w:szCs w:val="21"/>
          <w:highlight w:val="none"/>
          <w:u w:val="single"/>
        </w:rPr>
        <w:t>③发包人有权以书面形式通知更换其认为不称职的施工负责人，应说明更换因由，承包人应在接到更换通知后15日内向发包人提出书面的改进报告。发包人收到改进报告后仍以书面形式通知更换的，承包人应在接到第二次更换通知后的30日内进行更换，并将新任命的施工负责人的姓名、简历以书面形式通知发包人。后任继续行使合同文件约定的前任的职权，履行前任的义务。</w:t>
      </w:r>
    </w:p>
    <w:p>
      <w:pPr>
        <w:spacing w:before="156" w:beforeLines="50" w:after="156" w:afterLines="50" w:line="400" w:lineRule="exact"/>
        <w:ind w:firstLine="422"/>
        <w:outlineLvl w:val="2"/>
        <w:rPr>
          <w:rFonts w:ascii="宋体" w:hAnsi="宋体" w:cs="仿宋_GB2312"/>
          <w:b/>
          <w:szCs w:val="21"/>
          <w:highlight w:val="none"/>
        </w:rPr>
      </w:pPr>
      <w:bookmarkStart w:id="556" w:name="_Toc499566949"/>
      <w:bookmarkStart w:id="557" w:name="_Toc499566754"/>
      <w:bookmarkStart w:id="558" w:name="_Toc446841800"/>
      <w:bookmarkStart w:id="559" w:name="_Toc440118394"/>
      <w:r>
        <w:rPr>
          <w:rFonts w:hint="eastAsia" w:ascii="宋体" w:hAnsi="宋体" w:cs="仿宋_GB2312"/>
          <w:b/>
          <w:szCs w:val="21"/>
          <w:highlight w:val="none"/>
        </w:rPr>
        <w:t>3.3 分包</w:t>
      </w:r>
      <w:bookmarkEnd w:id="556"/>
      <w:bookmarkEnd w:id="557"/>
      <w:bookmarkEnd w:id="558"/>
      <w:bookmarkEnd w:id="559"/>
    </w:p>
    <w:p>
      <w:pPr>
        <w:spacing w:line="400" w:lineRule="exact"/>
        <w:ind w:firstLine="420"/>
        <w:rPr>
          <w:rFonts w:ascii="宋体" w:hAnsi="宋体" w:cs="仿宋_GB2312"/>
          <w:szCs w:val="21"/>
          <w:highlight w:val="none"/>
        </w:rPr>
      </w:pPr>
      <w:r>
        <w:rPr>
          <w:rFonts w:hint="eastAsia" w:ascii="宋体" w:hAnsi="宋体" w:cs="仿宋_GB2312"/>
          <w:szCs w:val="21"/>
          <w:highlight w:val="none"/>
        </w:rPr>
        <w:t>3.8.1  分包约定</w:t>
      </w:r>
    </w:p>
    <w:p>
      <w:pPr>
        <w:spacing w:line="400" w:lineRule="exact"/>
        <w:ind w:firstLine="420"/>
        <w:rPr>
          <w:rFonts w:ascii="宋体" w:hAnsi="宋体" w:cs="仿宋_GB2312"/>
          <w:szCs w:val="21"/>
          <w:highlight w:val="none"/>
          <w:u w:val="single"/>
        </w:rPr>
      </w:pPr>
      <w:r>
        <w:rPr>
          <w:rFonts w:hint="eastAsia" w:ascii="宋体" w:hAnsi="宋体" w:cs="仿宋_GB2312"/>
          <w:szCs w:val="21"/>
          <w:highlight w:val="none"/>
        </w:rPr>
        <w:t>约定的分包工作事项：经发包人同意后，</w:t>
      </w:r>
      <w:r>
        <w:rPr>
          <w:rFonts w:hint="eastAsia" w:ascii="宋体" w:hAnsi="宋体" w:cs="仿宋_GB2312"/>
          <w:szCs w:val="21"/>
          <w:highlight w:val="none"/>
          <w:u w:val="single"/>
        </w:rPr>
        <w:t>允许符合相关法律法规规定的专业分包。</w:t>
      </w:r>
    </w:p>
    <w:p>
      <w:pPr>
        <w:spacing w:before="156" w:beforeLines="50" w:after="156" w:afterLines="50" w:line="300" w:lineRule="auto"/>
        <w:ind w:firstLine="413" w:firstLineChars="196"/>
        <w:outlineLvl w:val="1"/>
        <w:rPr>
          <w:rFonts w:ascii="宋体" w:hAnsi="宋体" w:cs="仿宋_GB2312"/>
          <w:b/>
          <w:szCs w:val="21"/>
          <w:highlight w:val="none"/>
        </w:rPr>
      </w:pPr>
      <w:bookmarkStart w:id="560" w:name="_Toc8710"/>
      <w:bookmarkStart w:id="561" w:name="_Toc28572"/>
      <w:bookmarkStart w:id="562" w:name="_Toc2226"/>
      <w:bookmarkStart w:id="563" w:name="_Toc499566950"/>
      <w:bookmarkStart w:id="564" w:name="_Toc499566755"/>
      <w:bookmarkStart w:id="565" w:name="_Toc440118395"/>
      <w:bookmarkStart w:id="566" w:name="_Toc451936010"/>
      <w:bookmarkStart w:id="567" w:name="_Toc19975"/>
      <w:bookmarkStart w:id="568" w:name="_Toc1544"/>
      <w:bookmarkStart w:id="569" w:name="_Toc446841801"/>
      <w:r>
        <w:rPr>
          <w:rFonts w:hint="eastAsia" w:ascii="宋体" w:hAnsi="宋体" w:cs="仿宋_GB2312"/>
          <w:b/>
          <w:szCs w:val="21"/>
          <w:highlight w:val="none"/>
        </w:rPr>
        <w:t>第4条  进度计划、延误和暂停</w:t>
      </w:r>
      <w:bookmarkEnd w:id="560"/>
      <w:bookmarkEnd w:id="561"/>
      <w:bookmarkEnd w:id="562"/>
      <w:bookmarkEnd w:id="563"/>
      <w:bookmarkEnd w:id="564"/>
      <w:bookmarkEnd w:id="565"/>
      <w:bookmarkEnd w:id="566"/>
      <w:bookmarkEnd w:id="567"/>
      <w:bookmarkEnd w:id="568"/>
      <w:bookmarkEnd w:id="569"/>
    </w:p>
    <w:p>
      <w:pPr>
        <w:spacing w:before="156" w:beforeLines="50" w:after="156" w:afterLines="50" w:line="400" w:lineRule="exact"/>
        <w:ind w:firstLine="422"/>
        <w:outlineLvl w:val="2"/>
        <w:rPr>
          <w:rFonts w:ascii="宋体" w:hAnsi="宋体" w:cs="仿宋_GB2312"/>
          <w:b/>
          <w:szCs w:val="21"/>
          <w:highlight w:val="none"/>
        </w:rPr>
      </w:pPr>
      <w:bookmarkStart w:id="570" w:name="_Toc446841802"/>
      <w:bookmarkStart w:id="571" w:name="_Toc499566951"/>
      <w:bookmarkStart w:id="572" w:name="_Toc440118396"/>
      <w:bookmarkStart w:id="573" w:name="_Toc499566756"/>
      <w:r>
        <w:rPr>
          <w:rFonts w:hint="eastAsia" w:ascii="宋体" w:hAnsi="宋体" w:cs="仿宋_GB2312"/>
          <w:b/>
          <w:szCs w:val="21"/>
          <w:highlight w:val="none"/>
        </w:rPr>
        <w:t>4.1  项目进度计划</w:t>
      </w:r>
      <w:bookmarkEnd w:id="570"/>
      <w:bookmarkEnd w:id="571"/>
      <w:bookmarkEnd w:id="572"/>
      <w:bookmarkEnd w:id="573"/>
    </w:p>
    <w:p>
      <w:pPr>
        <w:spacing w:before="156" w:beforeLines="50" w:after="156" w:afterLines="50" w:line="400" w:lineRule="exact"/>
        <w:ind w:firstLine="420"/>
        <w:rPr>
          <w:rFonts w:ascii="宋体" w:hAnsi="宋体" w:cs="仿宋_GB2312"/>
          <w:szCs w:val="21"/>
          <w:highlight w:val="none"/>
          <w:u w:val="single"/>
        </w:rPr>
      </w:pPr>
      <w:r>
        <w:rPr>
          <w:rFonts w:hint="eastAsia" w:ascii="宋体" w:hAnsi="宋体" w:cs="仿宋_GB2312"/>
          <w:szCs w:val="21"/>
          <w:highlight w:val="none"/>
        </w:rPr>
        <w:t>4.1.1  项目进度计划中的关键路径及关键路径变化的确定原则：</w:t>
      </w:r>
      <w:r>
        <w:rPr>
          <w:rFonts w:hint="eastAsia" w:ascii="宋体" w:hAnsi="宋体" w:cs="仿宋_GB2312"/>
          <w:szCs w:val="21"/>
          <w:highlight w:val="none"/>
          <w:u w:val="single"/>
        </w:rPr>
        <w:t xml:space="preserve"> 关键路径上各项工作的持续时间总和最大；当非关键路径上的工作延误导致该路径上各项工作的持续时间总和超过原关键路径各项工作的时间总和，则关键路径已经变化，应重新调整项目进度计划。  </w:t>
      </w:r>
    </w:p>
    <w:p>
      <w:pPr>
        <w:spacing w:before="156" w:beforeLines="50" w:after="156" w:afterLines="50" w:line="400" w:lineRule="exact"/>
        <w:ind w:firstLine="420"/>
        <w:rPr>
          <w:rFonts w:ascii="宋体" w:hAnsi="宋体" w:cs="仿宋_GB2312"/>
          <w:szCs w:val="21"/>
          <w:highlight w:val="none"/>
          <w:u w:val="single"/>
        </w:rPr>
      </w:pPr>
      <w:r>
        <w:rPr>
          <w:rFonts w:hint="eastAsia" w:ascii="宋体" w:hAnsi="宋体" w:cs="仿宋_GB2312"/>
          <w:szCs w:val="21"/>
          <w:highlight w:val="none"/>
        </w:rPr>
        <w:t>承包人提交项目进度计划的份数和时间：</w:t>
      </w:r>
      <w:r>
        <w:rPr>
          <w:rFonts w:hint="eastAsia" w:ascii="宋体" w:hAnsi="宋体" w:cs="仿宋_GB2312"/>
          <w:szCs w:val="21"/>
          <w:highlight w:val="none"/>
          <w:u w:val="single"/>
        </w:rPr>
        <w:t xml:space="preserve">  每月25日提交项目进度计划一式三份。  </w:t>
      </w:r>
    </w:p>
    <w:p>
      <w:pPr>
        <w:spacing w:before="156" w:beforeLines="50" w:after="156" w:afterLines="50" w:line="400" w:lineRule="exact"/>
        <w:ind w:firstLine="422"/>
        <w:outlineLvl w:val="2"/>
        <w:rPr>
          <w:rFonts w:ascii="宋体" w:hAnsi="宋体" w:cs="仿宋_GB2312"/>
          <w:b/>
          <w:szCs w:val="21"/>
          <w:highlight w:val="none"/>
        </w:rPr>
      </w:pPr>
      <w:bookmarkStart w:id="574" w:name="_Toc499566952"/>
      <w:bookmarkStart w:id="575" w:name="_Toc440118397"/>
      <w:bookmarkStart w:id="576" w:name="_Toc499566757"/>
      <w:bookmarkStart w:id="577" w:name="_Toc446841803"/>
      <w:r>
        <w:rPr>
          <w:rFonts w:hint="eastAsia" w:ascii="宋体" w:hAnsi="宋体" w:cs="仿宋_GB2312"/>
          <w:b/>
          <w:szCs w:val="21"/>
          <w:highlight w:val="none"/>
        </w:rPr>
        <w:t>4.2  采购进度计划</w:t>
      </w:r>
      <w:bookmarkEnd w:id="574"/>
      <w:bookmarkEnd w:id="575"/>
      <w:bookmarkEnd w:id="576"/>
      <w:bookmarkEnd w:id="577"/>
    </w:p>
    <w:p>
      <w:pPr>
        <w:spacing w:before="156" w:beforeLines="50" w:after="156" w:afterLines="50" w:line="400" w:lineRule="exact"/>
        <w:ind w:firstLine="420"/>
        <w:rPr>
          <w:rFonts w:ascii="宋体" w:hAnsi="宋体" w:cs="仿宋_GB2312"/>
          <w:szCs w:val="21"/>
          <w:highlight w:val="none"/>
          <w:u w:val="single"/>
        </w:rPr>
      </w:pPr>
      <w:r>
        <w:rPr>
          <w:rFonts w:hint="eastAsia" w:ascii="宋体" w:hAnsi="宋体" w:cs="仿宋_GB2312"/>
          <w:szCs w:val="21"/>
          <w:highlight w:val="none"/>
        </w:rPr>
        <w:t>4.2.1  采购进度计划提交的份数和日期：</w:t>
      </w:r>
      <w:r>
        <w:rPr>
          <w:rFonts w:hint="eastAsia" w:ascii="宋体" w:hAnsi="宋体" w:cs="仿宋_GB2312"/>
          <w:szCs w:val="21"/>
          <w:highlight w:val="none"/>
          <w:u w:val="single"/>
        </w:rPr>
        <w:t xml:space="preserve">采购进度计划应与设计、施工和（或）竣工试验进度计划相衔接，在采购开始日期后每月25日提交采购进度计划一式三份。 </w:t>
      </w:r>
    </w:p>
    <w:p>
      <w:pPr>
        <w:spacing w:before="156" w:beforeLines="50" w:after="156" w:afterLines="50" w:line="400" w:lineRule="exact"/>
        <w:ind w:firstLine="420"/>
        <w:rPr>
          <w:rFonts w:ascii="宋体" w:hAnsi="宋体" w:cs="仿宋_GB2312"/>
          <w:szCs w:val="21"/>
          <w:highlight w:val="none"/>
          <w:u w:val="single"/>
        </w:rPr>
      </w:pPr>
      <w:r>
        <w:rPr>
          <w:rFonts w:hint="eastAsia" w:ascii="宋体" w:hAnsi="宋体" w:cs="仿宋_GB2312"/>
          <w:szCs w:val="21"/>
          <w:highlight w:val="none"/>
        </w:rPr>
        <w:t>4.2.2  采购开始日期：</w:t>
      </w:r>
      <w:r>
        <w:rPr>
          <w:rFonts w:hint="eastAsia" w:ascii="宋体" w:hAnsi="宋体" w:cs="仿宋_GB2312"/>
          <w:szCs w:val="21"/>
          <w:highlight w:val="none"/>
          <w:u w:val="single"/>
        </w:rPr>
        <w:t xml:space="preserve"> 根据工程总体进度，双方另行约定。 </w:t>
      </w:r>
    </w:p>
    <w:p>
      <w:pPr>
        <w:spacing w:before="156" w:beforeLines="50" w:after="156" w:afterLines="50" w:line="400" w:lineRule="exact"/>
        <w:ind w:firstLine="422"/>
        <w:outlineLvl w:val="2"/>
        <w:rPr>
          <w:rFonts w:ascii="宋体" w:hAnsi="宋体" w:cs="仿宋_GB2312"/>
          <w:b/>
          <w:szCs w:val="21"/>
          <w:highlight w:val="none"/>
        </w:rPr>
      </w:pPr>
      <w:bookmarkStart w:id="578" w:name="_Toc499566758"/>
      <w:bookmarkStart w:id="579" w:name="_Toc446841804"/>
      <w:bookmarkStart w:id="580" w:name="_Toc499566953"/>
      <w:bookmarkStart w:id="581" w:name="_Toc440118398"/>
      <w:r>
        <w:rPr>
          <w:rFonts w:hint="eastAsia" w:ascii="宋体" w:hAnsi="宋体" w:cs="仿宋_GB2312"/>
          <w:b/>
          <w:szCs w:val="21"/>
          <w:highlight w:val="none"/>
        </w:rPr>
        <w:t>4.3   施工进度计划</w:t>
      </w:r>
      <w:bookmarkEnd w:id="578"/>
      <w:bookmarkEnd w:id="579"/>
      <w:bookmarkEnd w:id="580"/>
      <w:bookmarkEnd w:id="581"/>
    </w:p>
    <w:p>
      <w:pPr>
        <w:spacing w:line="400" w:lineRule="exact"/>
        <w:ind w:firstLine="420"/>
        <w:rPr>
          <w:rFonts w:ascii="宋体" w:hAnsi="宋体" w:cs="仿宋_GB2312"/>
          <w:szCs w:val="21"/>
          <w:highlight w:val="none"/>
        </w:rPr>
      </w:pPr>
      <w:r>
        <w:rPr>
          <w:rFonts w:hint="eastAsia" w:ascii="宋体" w:hAnsi="宋体" w:cs="仿宋_GB2312"/>
          <w:szCs w:val="21"/>
          <w:highlight w:val="none"/>
        </w:rPr>
        <w:t>4.3.1  施工进度计划（以表格或文字表述）</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提交关键单项工程施工计划的名称、份数和时间：</w:t>
      </w:r>
      <w:r>
        <w:rPr>
          <w:rFonts w:hint="eastAsia" w:ascii="宋体" w:hAnsi="宋体" w:cs="仿宋_GB2312"/>
          <w:szCs w:val="21"/>
          <w:highlight w:val="none"/>
          <w:u w:val="single"/>
        </w:rPr>
        <w:t xml:space="preserve"> 施工开工后每月25日提交一式三份 </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提交关键分部分项工程施工计划的名称、份数和时间：</w:t>
      </w:r>
      <w:r>
        <w:rPr>
          <w:rFonts w:hint="eastAsia" w:ascii="宋体" w:hAnsi="宋体" w:cs="仿宋_GB2312"/>
          <w:szCs w:val="21"/>
          <w:highlight w:val="none"/>
          <w:u w:val="single"/>
        </w:rPr>
        <w:t xml:space="preserve">施工开工后每月25日提交一式三份 </w:t>
      </w:r>
    </w:p>
    <w:p>
      <w:pPr>
        <w:spacing w:before="156" w:beforeLines="50" w:after="156" w:afterLines="50" w:line="400" w:lineRule="exact"/>
        <w:ind w:firstLine="422"/>
        <w:outlineLvl w:val="2"/>
        <w:rPr>
          <w:rFonts w:ascii="宋体" w:hAnsi="宋体" w:cs="仿宋_GB2312"/>
          <w:b/>
          <w:szCs w:val="21"/>
          <w:highlight w:val="none"/>
        </w:rPr>
      </w:pPr>
      <w:bookmarkStart w:id="582" w:name="_Toc499566759"/>
      <w:bookmarkStart w:id="583" w:name="_Toc499566954"/>
      <w:bookmarkStart w:id="584" w:name="_Toc446841805"/>
      <w:bookmarkStart w:id="585" w:name="_Toc440118399"/>
      <w:r>
        <w:rPr>
          <w:rFonts w:hint="eastAsia" w:ascii="宋体" w:hAnsi="宋体" w:cs="仿宋_GB2312"/>
          <w:b/>
          <w:szCs w:val="21"/>
          <w:highlight w:val="none"/>
        </w:rPr>
        <w:t>4.4  误期赔偿</w:t>
      </w:r>
      <w:bookmarkEnd w:id="582"/>
      <w:bookmarkEnd w:id="583"/>
      <w:bookmarkEnd w:id="584"/>
      <w:bookmarkEnd w:id="585"/>
    </w:p>
    <w:p>
      <w:pPr>
        <w:spacing w:before="156" w:beforeLines="50" w:after="156" w:afterLines="50" w:line="400" w:lineRule="exact"/>
        <w:ind w:firstLine="420"/>
        <w:rPr>
          <w:rFonts w:ascii="宋体" w:hAnsi="宋体" w:cs="仿宋_GB2312"/>
          <w:szCs w:val="21"/>
          <w:highlight w:val="none"/>
          <w:u w:val="single"/>
        </w:rPr>
      </w:pPr>
      <w:r>
        <w:rPr>
          <w:rFonts w:hint="eastAsia" w:ascii="宋体" w:hAnsi="宋体" w:cs="仿宋_GB2312"/>
          <w:szCs w:val="21"/>
          <w:highlight w:val="none"/>
        </w:rPr>
        <w:t>因承包人原因使竣工日期延误，每延误1日的误期赔偿金额为合同协议书的合同价格的</w:t>
      </w:r>
      <w:r>
        <w:rPr>
          <w:rFonts w:hint="eastAsia" w:ascii="宋体" w:hAnsi="宋体" w:cs="仿宋_GB2312"/>
          <w:szCs w:val="21"/>
          <w:highlight w:val="none"/>
          <w:u w:val="single"/>
        </w:rPr>
        <w:t xml:space="preserve"> 0.01 </w:t>
      </w:r>
      <w:r>
        <w:rPr>
          <w:rFonts w:hint="eastAsia" w:ascii="宋体" w:hAnsi="宋体" w:cs="仿宋_GB2312"/>
          <w:szCs w:val="21"/>
          <w:highlight w:val="none"/>
        </w:rPr>
        <w:t>%或人民币金额为：</w:t>
      </w:r>
      <w:r>
        <w:rPr>
          <w:rFonts w:hint="eastAsia" w:ascii="宋体" w:hAnsi="宋体" w:cs="仿宋_GB2312"/>
          <w:szCs w:val="21"/>
          <w:highlight w:val="none"/>
          <w:u w:val="single"/>
        </w:rPr>
        <w:t xml:space="preserve">    ／     </w:t>
      </w:r>
      <w:r>
        <w:rPr>
          <w:rFonts w:hint="eastAsia" w:ascii="宋体" w:hAnsi="宋体" w:cs="仿宋_GB2312"/>
          <w:szCs w:val="21"/>
          <w:highlight w:val="none"/>
        </w:rPr>
        <w:t>、累计最高赔偿金额为合同价格造价的：</w:t>
      </w:r>
      <w:r>
        <w:rPr>
          <w:rFonts w:hint="eastAsia" w:ascii="宋体" w:hAnsi="宋体" w:cs="仿宋_GB2312"/>
          <w:szCs w:val="21"/>
          <w:highlight w:val="none"/>
          <w:u w:val="single"/>
        </w:rPr>
        <w:t xml:space="preserve">  3  </w:t>
      </w:r>
      <w:r>
        <w:rPr>
          <w:rFonts w:hint="eastAsia" w:ascii="宋体" w:hAnsi="宋体" w:cs="仿宋_GB2312"/>
          <w:szCs w:val="21"/>
          <w:highlight w:val="none"/>
        </w:rPr>
        <w:t>%或人民币金额为：</w:t>
      </w:r>
      <w:r>
        <w:rPr>
          <w:rFonts w:hint="eastAsia" w:ascii="宋体" w:hAnsi="宋体" w:cs="仿宋_GB2312"/>
          <w:szCs w:val="21"/>
          <w:highlight w:val="none"/>
          <w:u w:val="single"/>
        </w:rPr>
        <w:t xml:space="preserve">      ／      </w:t>
      </w:r>
      <w:r>
        <w:rPr>
          <w:rFonts w:hint="eastAsia" w:ascii="宋体" w:hAnsi="宋体" w:cs="仿宋_GB2312"/>
          <w:szCs w:val="21"/>
          <w:highlight w:val="none"/>
        </w:rPr>
        <w:t>。</w:t>
      </w:r>
    </w:p>
    <w:p>
      <w:pPr>
        <w:spacing w:before="156" w:beforeLines="50" w:after="156" w:afterLines="50" w:line="300" w:lineRule="auto"/>
        <w:ind w:firstLine="413" w:firstLineChars="196"/>
        <w:outlineLvl w:val="1"/>
        <w:rPr>
          <w:rFonts w:ascii="宋体" w:hAnsi="宋体" w:cs="仿宋_GB2312"/>
          <w:b/>
          <w:szCs w:val="21"/>
          <w:highlight w:val="none"/>
        </w:rPr>
      </w:pPr>
      <w:bookmarkStart w:id="586" w:name="_Toc13148"/>
      <w:bookmarkStart w:id="587" w:name="_Toc23175"/>
      <w:bookmarkStart w:id="588" w:name="_Toc440118400"/>
      <w:bookmarkStart w:id="589" w:name="_Toc20538"/>
      <w:bookmarkStart w:id="590" w:name="_Toc499566955"/>
      <w:bookmarkStart w:id="591" w:name="_Toc499566760"/>
      <w:bookmarkStart w:id="592" w:name="_Toc12520"/>
      <w:bookmarkStart w:id="593" w:name="_Toc451936011"/>
      <w:bookmarkStart w:id="594" w:name="_Toc16835"/>
      <w:bookmarkStart w:id="595" w:name="_Toc446841806"/>
      <w:r>
        <w:rPr>
          <w:rFonts w:hint="eastAsia" w:ascii="宋体" w:hAnsi="宋体" w:cs="仿宋_GB2312"/>
          <w:b/>
          <w:szCs w:val="21"/>
          <w:highlight w:val="none"/>
        </w:rPr>
        <w:t>第5条  技术与设计</w:t>
      </w:r>
      <w:bookmarkEnd w:id="586"/>
      <w:bookmarkEnd w:id="587"/>
      <w:bookmarkEnd w:id="588"/>
      <w:bookmarkEnd w:id="589"/>
      <w:bookmarkEnd w:id="590"/>
      <w:bookmarkEnd w:id="591"/>
      <w:bookmarkEnd w:id="592"/>
      <w:bookmarkEnd w:id="593"/>
      <w:bookmarkEnd w:id="594"/>
      <w:bookmarkEnd w:id="595"/>
    </w:p>
    <w:p>
      <w:pPr>
        <w:spacing w:before="156" w:beforeLines="50" w:after="156" w:afterLines="50" w:line="400" w:lineRule="exact"/>
        <w:ind w:firstLine="422"/>
        <w:outlineLvl w:val="2"/>
        <w:rPr>
          <w:rFonts w:ascii="宋体" w:hAnsi="宋体" w:cs="仿宋_GB2312"/>
          <w:b/>
          <w:szCs w:val="21"/>
          <w:highlight w:val="none"/>
        </w:rPr>
      </w:pPr>
      <w:bookmarkStart w:id="596" w:name="_Toc499566956"/>
      <w:bookmarkStart w:id="597" w:name="_Toc440118401"/>
      <w:bookmarkStart w:id="598" w:name="_Toc446841807"/>
      <w:bookmarkStart w:id="599" w:name="_Toc499566761"/>
      <w:r>
        <w:rPr>
          <w:rFonts w:hint="eastAsia" w:ascii="宋体" w:hAnsi="宋体" w:cs="仿宋_GB2312"/>
          <w:b/>
          <w:szCs w:val="21"/>
          <w:highlight w:val="none"/>
        </w:rPr>
        <w:t>5.1  生产工艺技术、建筑艺术造型</w:t>
      </w:r>
      <w:bookmarkEnd w:id="596"/>
      <w:bookmarkEnd w:id="597"/>
      <w:bookmarkEnd w:id="598"/>
      <w:bookmarkEnd w:id="599"/>
    </w:p>
    <w:p>
      <w:pPr>
        <w:spacing w:line="400" w:lineRule="exact"/>
        <w:ind w:firstLine="420"/>
        <w:rPr>
          <w:rFonts w:ascii="宋体" w:hAnsi="宋体" w:cs="仿宋_GB2312"/>
          <w:szCs w:val="21"/>
          <w:highlight w:val="none"/>
        </w:rPr>
      </w:pPr>
      <w:r>
        <w:rPr>
          <w:rFonts w:hint="eastAsia" w:ascii="宋体" w:hAnsi="宋体" w:cs="仿宋_GB2312"/>
          <w:szCs w:val="21"/>
          <w:highlight w:val="none"/>
        </w:rPr>
        <w:t>5.1.1  承包人提供的生产工艺技术和（或）建筑设计方案</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根据工程考核特点，在以下类型中选择其一，作为双方的约定。</w:t>
      </w:r>
    </w:p>
    <w:p>
      <w:pPr>
        <w:widowControl/>
        <w:numPr>
          <w:ilvl w:val="0"/>
          <w:numId w:val="5"/>
        </w:numPr>
        <w:spacing w:line="400" w:lineRule="exact"/>
        <w:ind w:firstLine="480"/>
        <w:jc w:val="left"/>
        <w:rPr>
          <w:rFonts w:ascii="宋体" w:hAnsi="宋体" w:cs="仿宋_GB2312"/>
          <w:szCs w:val="21"/>
          <w:highlight w:val="none"/>
          <w:u w:val="single"/>
        </w:rPr>
      </w:pPr>
      <w:r>
        <w:rPr>
          <w:rFonts w:hint="eastAsia" w:ascii="宋体" w:hAnsi="宋体" w:cs="仿宋_GB2312"/>
          <w:szCs w:val="21"/>
          <w:highlight w:val="none"/>
        </w:rPr>
        <w:t>按工程量考核，工程考核保证值和（或）使用功能说明：</w:t>
      </w:r>
      <w:r>
        <w:rPr>
          <w:rFonts w:hint="eastAsia" w:ascii="宋体" w:hAnsi="宋体" w:cs="仿宋_GB2312"/>
          <w:szCs w:val="21"/>
          <w:highlight w:val="none"/>
          <w:u w:val="single"/>
        </w:rPr>
        <w:t xml:space="preserve">                                                                </w:t>
      </w:r>
    </w:p>
    <w:p>
      <w:pPr>
        <w:widowControl/>
        <w:numPr>
          <w:ilvl w:val="0"/>
          <w:numId w:val="5"/>
        </w:numPr>
        <w:spacing w:line="400" w:lineRule="exact"/>
        <w:ind w:firstLine="480"/>
        <w:jc w:val="left"/>
        <w:rPr>
          <w:rFonts w:ascii="宋体" w:hAnsi="宋体" w:cs="仿宋_GB2312"/>
          <w:szCs w:val="21"/>
          <w:highlight w:val="none"/>
        </w:rPr>
      </w:pPr>
      <w:r>
        <w:rPr>
          <w:rFonts w:hint="eastAsia" w:ascii="宋体" w:hAnsi="宋体" w:cs="仿宋_GB2312"/>
          <w:szCs w:val="21"/>
          <w:highlight w:val="none"/>
        </w:rPr>
        <w:t>√按单项工程考核，各单项工程考核保证值和（或）使用功能说明：</w:t>
      </w:r>
    </w:p>
    <w:p>
      <w:pPr>
        <w:spacing w:line="400" w:lineRule="exact"/>
        <w:ind w:firstLine="371" w:firstLineChars="177"/>
        <w:rPr>
          <w:rFonts w:ascii="宋体" w:hAnsi="宋体" w:cs="仿宋_GB2312"/>
          <w:szCs w:val="21"/>
          <w:highlight w:val="none"/>
          <w:u w:val="single"/>
        </w:rPr>
      </w:pPr>
      <w:r>
        <w:rPr>
          <w:rFonts w:ascii="宋体" w:hAnsi="宋体" w:cs="仿宋_GB2312"/>
          <w:szCs w:val="21"/>
          <w:highlight w:val="none"/>
          <w:u w:val="single"/>
        </w:rPr>
        <w:t xml:space="preserve">                                                                   </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5.1.2  发包人提供生产工艺技术和（或）建筑设计方案</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其中，</w:t>
      </w:r>
    </w:p>
    <w:p>
      <w:pPr>
        <w:spacing w:line="400" w:lineRule="exact"/>
        <w:ind w:firstLine="420"/>
        <w:rPr>
          <w:rFonts w:ascii="宋体" w:hAnsi="宋体" w:cs="仿宋_GB2312"/>
          <w:szCs w:val="21"/>
          <w:highlight w:val="none"/>
          <w:u w:val="single"/>
        </w:rPr>
      </w:pPr>
      <w:r>
        <w:rPr>
          <w:rFonts w:hint="eastAsia" w:ascii="宋体" w:hAnsi="宋体" w:cs="仿宋_GB2312"/>
          <w:szCs w:val="21"/>
          <w:highlight w:val="none"/>
        </w:rPr>
        <w:t>发包人应承担的工程和（或）单项工程试运行考核保证值和（或）使用功能说明如下：</w:t>
      </w:r>
      <w:r>
        <w:rPr>
          <w:rFonts w:hint="eastAsia" w:ascii="宋体" w:hAnsi="宋体" w:cs="仿宋_GB2312"/>
          <w:szCs w:val="21"/>
          <w:highlight w:val="none"/>
          <w:u w:val="single"/>
        </w:rPr>
        <w:t>不适用。</w:t>
      </w:r>
    </w:p>
    <w:p>
      <w:pPr>
        <w:spacing w:line="400" w:lineRule="exact"/>
        <w:ind w:firstLine="420"/>
        <w:rPr>
          <w:rFonts w:ascii="宋体" w:hAnsi="宋体" w:cs="仿宋_GB2312"/>
          <w:szCs w:val="21"/>
          <w:highlight w:val="none"/>
          <w:u w:val="single"/>
        </w:rPr>
      </w:pPr>
      <w:r>
        <w:rPr>
          <w:rFonts w:hint="eastAsia" w:ascii="宋体" w:hAnsi="宋体" w:cs="仿宋_GB2312"/>
          <w:szCs w:val="21"/>
          <w:highlight w:val="none"/>
        </w:rPr>
        <w:t>承包人应承担的工程和（或）单项工程试运行考核保证值和（或）使用功能说明如下：</w:t>
      </w:r>
      <w:r>
        <w:rPr>
          <w:rFonts w:hint="eastAsia" w:ascii="宋体" w:hAnsi="宋体" w:cs="仿宋_GB2312"/>
          <w:szCs w:val="21"/>
          <w:highlight w:val="none"/>
          <w:u w:val="single"/>
        </w:rPr>
        <w:t>不适用。</w:t>
      </w:r>
    </w:p>
    <w:p>
      <w:pPr>
        <w:spacing w:before="156" w:beforeLines="50" w:after="156" w:afterLines="50" w:line="400" w:lineRule="exact"/>
        <w:ind w:firstLine="422"/>
        <w:outlineLvl w:val="2"/>
        <w:rPr>
          <w:rFonts w:ascii="宋体" w:hAnsi="宋体" w:cs="仿宋_GB2312"/>
          <w:b/>
          <w:szCs w:val="21"/>
          <w:highlight w:val="none"/>
        </w:rPr>
      </w:pPr>
      <w:bookmarkStart w:id="600" w:name="_Toc499566762"/>
      <w:bookmarkStart w:id="601" w:name="_Toc440118402"/>
      <w:bookmarkStart w:id="602" w:name="_Toc499566957"/>
      <w:bookmarkStart w:id="603" w:name="_Toc446841808"/>
      <w:r>
        <w:rPr>
          <w:rFonts w:hint="eastAsia" w:ascii="宋体" w:hAnsi="宋体" w:cs="仿宋_GB2312"/>
          <w:b/>
          <w:szCs w:val="21"/>
          <w:highlight w:val="none"/>
        </w:rPr>
        <w:t>5.2  设计</w:t>
      </w:r>
      <w:bookmarkEnd w:id="600"/>
      <w:bookmarkEnd w:id="601"/>
      <w:bookmarkEnd w:id="602"/>
      <w:bookmarkEnd w:id="603"/>
    </w:p>
    <w:p>
      <w:pPr>
        <w:spacing w:line="336" w:lineRule="auto"/>
        <w:ind w:firstLine="420"/>
        <w:rPr>
          <w:rFonts w:ascii="宋体" w:hAnsi="宋体" w:cs="仿宋_GB2312"/>
          <w:szCs w:val="21"/>
          <w:highlight w:val="none"/>
        </w:rPr>
      </w:pPr>
      <w:r>
        <w:rPr>
          <w:rFonts w:hint="eastAsia" w:ascii="宋体" w:hAnsi="宋体" w:cs="仿宋_GB2312"/>
          <w:szCs w:val="21"/>
          <w:highlight w:val="none"/>
        </w:rPr>
        <w:t>5.2.1 发包人的义务</w:t>
      </w:r>
    </w:p>
    <w:p>
      <w:pPr>
        <w:spacing w:line="336" w:lineRule="auto"/>
        <w:ind w:firstLine="420"/>
        <w:rPr>
          <w:rFonts w:ascii="宋体" w:hAnsi="宋体" w:cs="仿宋_GB2312"/>
          <w:szCs w:val="21"/>
          <w:highlight w:val="none"/>
        </w:rPr>
      </w:pPr>
      <w:r>
        <w:rPr>
          <w:rFonts w:hint="eastAsia" w:ascii="宋体" w:hAnsi="宋体" w:cs="仿宋_GB2312"/>
          <w:szCs w:val="21"/>
          <w:highlight w:val="none"/>
        </w:rPr>
        <w:t>（1）提供项目基础资料。发包人提供的项目基础资料的类别、内容、份数和时间：</w:t>
      </w:r>
      <w:r>
        <w:rPr>
          <w:rFonts w:hint="eastAsia" w:ascii="宋体" w:hAnsi="宋体" w:cs="仿宋_GB2312"/>
          <w:szCs w:val="21"/>
          <w:highlight w:val="none"/>
          <w:u w:val="single"/>
        </w:rPr>
        <w:t xml:space="preserve"> 发包人需求任务书（详附件）、发包人已完成的设计文件，以及发包人现有的其他与建设工程有关的原始资料。合同签订后7日内根据项目进度计划，发包人可分批分期提供资料一式3份。</w:t>
      </w:r>
    </w:p>
    <w:p>
      <w:pPr>
        <w:spacing w:line="336" w:lineRule="auto"/>
        <w:ind w:firstLine="420"/>
        <w:rPr>
          <w:rFonts w:ascii="宋体" w:hAnsi="宋体" w:cs="仿宋_GB2312"/>
          <w:szCs w:val="21"/>
          <w:highlight w:val="none"/>
        </w:rPr>
      </w:pPr>
      <w:r>
        <w:rPr>
          <w:rFonts w:hint="eastAsia" w:ascii="宋体" w:hAnsi="宋体" w:cs="仿宋_GB2312"/>
          <w:szCs w:val="21"/>
          <w:highlight w:val="none"/>
        </w:rPr>
        <w:t>（2）提供现场障碍资料。发包人提供的现场障碍资料的类别、内容、份数和时间</w:t>
      </w:r>
      <w:r>
        <w:rPr>
          <w:rFonts w:hint="eastAsia" w:ascii="宋体" w:hAnsi="宋体" w:cs="仿宋_GB2312"/>
          <w:szCs w:val="21"/>
          <w:highlight w:val="none"/>
          <w:u w:val="single"/>
        </w:rPr>
        <w:t>：合同签订后7日内根据项目进度计划，发包人可分批分期提供资料一式3份。</w:t>
      </w:r>
    </w:p>
    <w:p>
      <w:pPr>
        <w:spacing w:line="336" w:lineRule="auto"/>
        <w:ind w:firstLine="420"/>
        <w:rPr>
          <w:rFonts w:ascii="宋体" w:hAnsi="宋体" w:cs="仿宋_GB2312"/>
          <w:szCs w:val="21"/>
          <w:highlight w:val="none"/>
        </w:rPr>
      </w:pPr>
      <w:r>
        <w:rPr>
          <w:rFonts w:hint="eastAsia" w:ascii="宋体" w:hAnsi="宋体" w:cs="仿宋_GB2312"/>
          <w:szCs w:val="21"/>
          <w:highlight w:val="none"/>
        </w:rPr>
        <w:t>5.2.2  承包人的义务</w:t>
      </w:r>
    </w:p>
    <w:p>
      <w:pPr>
        <w:spacing w:line="336" w:lineRule="auto"/>
        <w:ind w:firstLine="420"/>
        <w:rPr>
          <w:rFonts w:ascii="宋体" w:hAnsi="宋体" w:cs="仿宋_GB2312"/>
          <w:szCs w:val="21"/>
          <w:highlight w:val="none"/>
          <w:u w:val="single"/>
        </w:rPr>
      </w:pPr>
      <w:r>
        <w:rPr>
          <w:rFonts w:hint="eastAsia" w:ascii="宋体" w:hAnsi="宋体" w:cs="仿宋_GB2312"/>
          <w:szCs w:val="21"/>
          <w:highlight w:val="none"/>
        </w:rPr>
        <w:t>（1） 经合同双方商定，发包人提供的项目基础资料、现场障碍资料的如下部分，可按本款中约定的如下时间期限，提出进一步要求</w:t>
      </w:r>
      <w:r>
        <w:rPr>
          <w:rFonts w:ascii="宋体" w:hAnsi="宋体" w:cs="仿宋_GB2312"/>
          <w:szCs w:val="21"/>
          <w:highlight w:val="none"/>
          <w:u w:val="single"/>
        </w:rPr>
        <w:t xml:space="preserve"> 执行通用条款 </w:t>
      </w:r>
    </w:p>
    <w:p>
      <w:pPr>
        <w:ind w:firstLine="420"/>
        <w:rPr>
          <w:rFonts w:ascii="宋体" w:hAnsi="宋体" w:cs="仿宋_GB2312"/>
          <w:bCs/>
          <w:szCs w:val="21"/>
          <w:highlight w:val="none"/>
        </w:rPr>
      </w:pPr>
      <w:r>
        <w:rPr>
          <w:rFonts w:hint="eastAsia" w:ascii="宋体" w:hAnsi="宋体" w:cs="仿宋_GB2312"/>
          <w:szCs w:val="21"/>
          <w:highlight w:val="none"/>
        </w:rPr>
        <w:t>（2）</w:t>
      </w:r>
      <w:r>
        <w:rPr>
          <w:rFonts w:hint="eastAsia" w:ascii="宋体" w:hAnsi="宋体" w:cs="仿宋_GB2312"/>
          <w:bCs/>
          <w:szCs w:val="21"/>
          <w:highlight w:val="none"/>
          <w:u w:val="single"/>
        </w:rPr>
        <w:t>承包人应充分进行工程造价限额设计，若由承包人根据初步设计编制并经发包人委托的造价咨询机构审核的初步设计概算（不含专业工程暂估价）超出投资额中的建筑安装工程费（不含专业工程暂估价），承包人应在满足招标文件第五章发包人要求及中标设计方案概算的前提下，自行修改设计，直至符合要求。所延误工期不予补偿，给发包人造成损失的，发包人保留索赔的权利。</w:t>
      </w:r>
    </w:p>
    <w:p>
      <w:pPr>
        <w:spacing w:line="336" w:lineRule="auto"/>
        <w:ind w:firstLine="420"/>
        <w:rPr>
          <w:rFonts w:ascii="宋体" w:hAnsi="宋体" w:cs="仿宋_GB2312"/>
          <w:bCs/>
          <w:szCs w:val="21"/>
          <w:highlight w:val="none"/>
          <w:u w:val="single"/>
        </w:rPr>
      </w:pPr>
      <w:r>
        <w:rPr>
          <w:rFonts w:hint="eastAsia" w:ascii="宋体" w:hAnsi="宋体" w:cs="仿宋_GB2312"/>
          <w:bCs/>
          <w:szCs w:val="21"/>
          <w:highlight w:val="none"/>
        </w:rPr>
        <w:t>（3）</w:t>
      </w:r>
      <w:r>
        <w:rPr>
          <w:rFonts w:hint="eastAsia" w:ascii="宋体" w:hAnsi="宋体" w:cs="仿宋_GB2312"/>
          <w:bCs/>
          <w:szCs w:val="21"/>
          <w:highlight w:val="none"/>
          <w:u w:val="single"/>
        </w:rPr>
        <w:t>承包人提供的标志性建筑(由发包人确定)单体设计方案在限定期限内不能满足发包人的要求，发包人有权另行委托设计单位进行方案设计，所产生的方案设计费由承包人支付，并按发包人确定的设计方案组织施工图设计及施工，发包人享有设计方案的知识产权。</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5.2.4  操作维修手册</w:t>
      </w:r>
    </w:p>
    <w:p>
      <w:pPr>
        <w:spacing w:line="400" w:lineRule="exact"/>
        <w:ind w:firstLine="420"/>
        <w:rPr>
          <w:rFonts w:ascii="宋体" w:hAnsi="宋体" w:cs="仿宋_GB2312"/>
          <w:szCs w:val="21"/>
          <w:highlight w:val="none"/>
          <w:u w:val="single"/>
        </w:rPr>
      </w:pPr>
      <w:r>
        <w:rPr>
          <w:rFonts w:hint="eastAsia" w:ascii="宋体" w:hAnsi="宋体" w:cs="仿宋_GB2312"/>
          <w:szCs w:val="21"/>
          <w:highlight w:val="none"/>
        </w:rPr>
        <w:t>发包人提交的操作指南、分析手册的份数和提交期限：</w:t>
      </w:r>
      <w:r>
        <w:rPr>
          <w:rFonts w:hint="eastAsia" w:ascii="宋体" w:hAnsi="宋体" w:cs="仿宋_GB2312"/>
          <w:szCs w:val="21"/>
          <w:highlight w:val="none"/>
          <w:u w:val="single"/>
        </w:rPr>
        <w:t xml:space="preserve"> / </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承包人提交的操作维修手册的份数和最终提交期限：</w:t>
      </w:r>
      <w:r>
        <w:rPr>
          <w:rFonts w:hint="eastAsia" w:ascii="宋体" w:hAnsi="宋体" w:cs="仿宋_GB2312"/>
          <w:szCs w:val="21"/>
          <w:highlight w:val="none"/>
          <w:u w:val="single"/>
        </w:rPr>
        <w:t>工程竣工验收后7日内提交一式三份</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5.2.5  设计文件的份数和提交时间</w:t>
      </w:r>
    </w:p>
    <w:p>
      <w:pPr>
        <w:spacing w:line="400" w:lineRule="exact"/>
        <w:ind w:firstLine="420" w:firstLineChars="200"/>
        <w:rPr>
          <w:rFonts w:ascii="宋体" w:hAnsi="宋体" w:cs="仿宋_GB2312"/>
          <w:szCs w:val="21"/>
          <w:highlight w:val="none"/>
        </w:rPr>
      </w:pPr>
      <w:r>
        <w:rPr>
          <w:rFonts w:hint="eastAsia" w:ascii="宋体" w:hAnsi="宋体" w:cs="仿宋_GB2312"/>
          <w:szCs w:val="21"/>
          <w:highlight w:val="none"/>
        </w:rPr>
        <w:t>规划设计阶段设计文件、资料和图纸的份数和提交时间：3份</w:t>
      </w:r>
      <w:r>
        <w:rPr>
          <w:rFonts w:hint="eastAsia" w:ascii="宋体" w:hAnsi="宋体" w:cs="仿宋_GB2312"/>
          <w:szCs w:val="21"/>
          <w:highlight w:val="none"/>
          <w:u w:val="single"/>
        </w:rPr>
        <w:t xml:space="preserve"> / 签订合同后7日内。</w:t>
      </w:r>
    </w:p>
    <w:p>
      <w:pPr>
        <w:spacing w:line="400" w:lineRule="exact"/>
        <w:ind w:firstLine="315" w:firstLineChars="150"/>
        <w:rPr>
          <w:rFonts w:ascii="宋体" w:hAnsi="宋体" w:cs="仿宋_GB2312"/>
          <w:szCs w:val="21"/>
          <w:highlight w:val="none"/>
          <w:u w:val="single"/>
        </w:rPr>
      </w:pPr>
      <w:r>
        <w:rPr>
          <w:rFonts w:hint="eastAsia" w:ascii="宋体" w:hAnsi="宋体" w:cs="仿宋_GB2312"/>
          <w:szCs w:val="21"/>
          <w:highlight w:val="none"/>
        </w:rPr>
        <w:t>方案设计阶段设计文件、资料和图纸的份数和提交时间：3份</w:t>
      </w:r>
      <w:r>
        <w:rPr>
          <w:rFonts w:hint="eastAsia" w:ascii="宋体" w:hAnsi="宋体" w:cs="仿宋_GB2312"/>
          <w:szCs w:val="21"/>
          <w:highlight w:val="none"/>
          <w:u w:val="single"/>
        </w:rPr>
        <w:t xml:space="preserve"> / 签订合同后7日内。</w:t>
      </w:r>
    </w:p>
    <w:p>
      <w:pPr>
        <w:spacing w:line="400" w:lineRule="exact"/>
        <w:ind w:firstLine="315" w:firstLineChars="150"/>
        <w:rPr>
          <w:rFonts w:ascii="宋体" w:hAnsi="宋体" w:cs="仿宋_GB2312"/>
          <w:szCs w:val="21"/>
          <w:highlight w:val="none"/>
          <w:u w:val="single"/>
        </w:rPr>
      </w:pPr>
      <w:r>
        <w:rPr>
          <w:rFonts w:hint="eastAsia" w:ascii="宋体" w:hAnsi="宋体" w:cs="仿宋_GB2312"/>
          <w:szCs w:val="21"/>
          <w:highlight w:val="none"/>
        </w:rPr>
        <w:t>初步设计阶段设计文件、资料和图纸的份数和提交时间：3份</w:t>
      </w:r>
      <w:r>
        <w:rPr>
          <w:rFonts w:hint="eastAsia" w:ascii="宋体" w:hAnsi="宋体" w:cs="仿宋_GB2312"/>
          <w:szCs w:val="21"/>
          <w:highlight w:val="none"/>
          <w:u w:val="single"/>
        </w:rPr>
        <w:t xml:space="preserve"> / 签订合同后7日内。</w:t>
      </w:r>
    </w:p>
    <w:p>
      <w:pPr>
        <w:spacing w:line="400" w:lineRule="exact"/>
        <w:ind w:firstLine="315" w:firstLineChars="150"/>
        <w:rPr>
          <w:rFonts w:ascii="宋体" w:hAnsi="宋体" w:cs="仿宋_GB2312"/>
          <w:szCs w:val="21"/>
          <w:highlight w:val="none"/>
          <w:u w:val="single"/>
        </w:rPr>
      </w:pPr>
      <w:r>
        <w:rPr>
          <w:rFonts w:hint="eastAsia" w:ascii="宋体" w:hAnsi="宋体" w:cs="仿宋_GB2312"/>
          <w:szCs w:val="21"/>
          <w:highlight w:val="none"/>
        </w:rPr>
        <w:t>施工图设计阶段设计文件、资料和图纸的份数和提交时间：</w:t>
      </w:r>
      <w:bookmarkStart w:id="604" w:name="_Toc499566958"/>
      <w:bookmarkStart w:id="605" w:name="_Toc499566763"/>
      <w:bookmarkStart w:id="606" w:name="_Toc446841809"/>
      <w:bookmarkStart w:id="607" w:name="_Toc440118403"/>
      <w:r>
        <w:rPr>
          <w:rFonts w:hint="eastAsia" w:ascii="宋体" w:hAnsi="宋体" w:cs="仿宋_GB2312"/>
          <w:szCs w:val="21"/>
          <w:highlight w:val="none"/>
        </w:rPr>
        <w:t>3份</w:t>
      </w:r>
      <w:r>
        <w:rPr>
          <w:rFonts w:hint="eastAsia" w:ascii="宋体" w:hAnsi="宋体" w:cs="仿宋_GB2312"/>
          <w:szCs w:val="21"/>
          <w:highlight w:val="none"/>
          <w:u w:val="single"/>
        </w:rPr>
        <w:t xml:space="preserve"> / 签订合同后7日内。</w:t>
      </w:r>
    </w:p>
    <w:p>
      <w:pPr>
        <w:spacing w:line="400" w:lineRule="exact"/>
        <w:ind w:firstLine="316" w:firstLineChars="150"/>
        <w:rPr>
          <w:rFonts w:ascii="宋体" w:hAnsi="宋体" w:cs="仿宋_GB2312"/>
          <w:b/>
          <w:szCs w:val="21"/>
          <w:highlight w:val="none"/>
        </w:rPr>
      </w:pPr>
      <w:r>
        <w:rPr>
          <w:rFonts w:hint="eastAsia" w:ascii="宋体" w:hAnsi="宋体" w:cs="仿宋_GB2312"/>
          <w:b/>
          <w:szCs w:val="21"/>
          <w:highlight w:val="none"/>
        </w:rPr>
        <w:t>5.3  设计阶段审查</w:t>
      </w:r>
      <w:bookmarkEnd w:id="604"/>
      <w:bookmarkEnd w:id="605"/>
      <w:bookmarkEnd w:id="606"/>
      <w:bookmarkEnd w:id="607"/>
      <w:r>
        <w:rPr>
          <w:rFonts w:hint="eastAsia" w:ascii="宋体" w:hAnsi="宋体" w:cs="仿宋_GB2312"/>
          <w:b/>
          <w:szCs w:val="21"/>
          <w:highlight w:val="none"/>
        </w:rPr>
        <w:t xml:space="preserve"> </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5.3.1   设计审查阶段及审查会议时间</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本工程的设计阶段（名称）：</w:t>
      </w:r>
      <w:r>
        <w:rPr>
          <w:rFonts w:hint="eastAsia" w:ascii="宋体" w:hAnsi="宋体" w:cs="仿宋_GB2312"/>
          <w:szCs w:val="21"/>
          <w:highlight w:val="none"/>
          <w:u w:val="single"/>
        </w:rPr>
        <w:t>方案设计、初步设计、施工图设计。</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设计审查阶段及其审查会议的时间安排：</w:t>
      </w:r>
      <w:r>
        <w:rPr>
          <w:rFonts w:hint="eastAsia" w:ascii="宋体" w:hAnsi="宋体" w:cs="仿宋_GB2312"/>
          <w:szCs w:val="21"/>
          <w:highlight w:val="none"/>
          <w:u w:val="single"/>
        </w:rPr>
        <w:t>各阶段设计完成后5日内，由发包人组织设计审查会议，具体会议时间地点另行通知。</w:t>
      </w:r>
    </w:p>
    <w:p>
      <w:pPr>
        <w:spacing w:before="156" w:beforeLines="50" w:after="156" w:afterLines="50" w:line="300" w:lineRule="auto"/>
        <w:ind w:firstLine="413" w:firstLineChars="196"/>
        <w:outlineLvl w:val="1"/>
        <w:rPr>
          <w:rFonts w:ascii="宋体" w:hAnsi="宋体" w:cs="仿宋_GB2312"/>
          <w:b/>
          <w:szCs w:val="21"/>
          <w:highlight w:val="none"/>
        </w:rPr>
      </w:pPr>
      <w:bookmarkStart w:id="608" w:name="_Toc25675"/>
      <w:bookmarkStart w:id="609" w:name="_Toc30981"/>
      <w:bookmarkStart w:id="610" w:name="_Toc16812"/>
      <w:bookmarkStart w:id="611" w:name="_Toc499566959"/>
      <w:bookmarkStart w:id="612" w:name="_Toc499566764"/>
      <w:bookmarkStart w:id="613" w:name="_Toc28085"/>
      <w:bookmarkStart w:id="614" w:name="_Toc451936012"/>
      <w:bookmarkStart w:id="615" w:name="_Toc5000"/>
      <w:bookmarkStart w:id="616" w:name="_Toc446841810"/>
      <w:bookmarkStart w:id="617" w:name="_Toc440118404"/>
      <w:r>
        <w:rPr>
          <w:rFonts w:hint="eastAsia" w:ascii="宋体" w:hAnsi="宋体" w:cs="仿宋_GB2312"/>
          <w:b/>
          <w:szCs w:val="21"/>
          <w:highlight w:val="none"/>
        </w:rPr>
        <w:t>第6条  工程物资</w:t>
      </w:r>
      <w:bookmarkEnd w:id="608"/>
      <w:bookmarkEnd w:id="609"/>
      <w:bookmarkEnd w:id="610"/>
      <w:bookmarkEnd w:id="611"/>
      <w:bookmarkEnd w:id="612"/>
      <w:bookmarkEnd w:id="613"/>
      <w:bookmarkEnd w:id="614"/>
      <w:bookmarkEnd w:id="615"/>
      <w:bookmarkEnd w:id="616"/>
      <w:bookmarkEnd w:id="617"/>
    </w:p>
    <w:p>
      <w:pPr>
        <w:spacing w:before="156" w:beforeLines="50" w:after="156" w:afterLines="50" w:line="400" w:lineRule="exact"/>
        <w:ind w:firstLine="422"/>
        <w:outlineLvl w:val="2"/>
        <w:rPr>
          <w:rFonts w:ascii="宋体" w:hAnsi="宋体" w:cs="仿宋_GB2312"/>
          <w:b/>
          <w:szCs w:val="21"/>
          <w:highlight w:val="none"/>
        </w:rPr>
      </w:pPr>
      <w:bookmarkStart w:id="618" w:name="_Toc499566960"/>
      <w:bookmarkStart w:id="619" w:name="_Toc446841811"/>
      <w:bookmarkStart w:id="620" w:name="_Toc499566765"/>
      <w:bookmarkStart w:id="621" w:name="_Toc440118405"/>
      <w:r>
        <w:rPr>
          <w:rFonts w:hint="eastAsia" w:ascii="宋体" w:hAnsi="宋体" w:cs="仿宋_GB2312"/>
          <w:b/>
          <w:szCs w:val="21"/>
          <w:highlight w:val="none"/>
        </w:rPr>
        <w:t>6.1  工程物资的提供</w:t>
      </w:r>
      <w:bookmarkEnd w:id="618"/>
      <w:bookmarkEnd w:id="619"/>
      <w:bookmarkEnd w:id="620"/>
      <w:bookmarkEnd w:id="621"/>
    </w:p>
    <w:p>
      <w:pPr>
        <w:spacing w:line="400" w:lineRule="exact"/>
        <w:ind w:firstLine="420"/>
        <w:rPr>
          <w:rFonts w:ascii="宋体" w:hAnsi="宋体" w:cs="仿宋_GB2312"/>
          <w:szCs w:val="21"/>
          <w:highlight w:val="none"/>
        </w:rPr>
      </w:pPr>
      <w:r>
        <w:rPr>
          <w:rFonts w:hint="eastAsia" w:ascii="宋体" w:hAnsi="宋体" w:cs="仿宋_GB2312"/>
          <w:szCs w:val="21"/>
          <w:highlight w:val="none"/>
        </w:rPr>
        <w:t>6.1.1  发包人提供的工程物资</w:t>
      </w:r>
    </w:p>
    <w:p>
      <w:pPr>
        <w:spacing w:line="400" w:lineRule="exact"/>
        <w:ind w:firstLine="525" w:firstLineChars="250"/>
        <w:rPr>
          <w:rFonts w:ascii="宋体" w:hAnsi="宋体" w:cs="仿宋_GB2312"/>
          <w:szCs w:val="21"/>
          <w:highlight w:val="none"/>
          <w:u w:val="single"/>
        </w:rPr>
      </w:pPr>
      <w:r>
        <w:rPr>
          <w:rFonts w:hint="eastAsia" w:ascii="宋体" w:hAnsi="宋体" w:cs="仿宋_GB2312"/>
          <w:szCs w:val="21"/>
          <w:highlight w:val="none"/>
        </w:rPr>
        <w:t>（1）工程物资的类别、估算数量：</w:t>
      </w:r>
      <w:r>
        <w:rPr>
          <w:rFonts w:hint="eastAsia" w:ascii="宋体" w:hAnsi="宋体" w:cs="仿宋_GB2312"/>
          <w:szCs w:val="21"/>
          <w:highlight w:val="none"/>
          <w:u w:val="single"/>
        </w:rPr>
        <w:t xml:space="preserve">      ／       。</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6.1.2  承包人提供的工程物资</w:t>
      </w:r>
    </w:p>
    <w:p>
      <w:pPr>
        <w:spacing w:line="400" w:lineRule="exact"/>
        <w:ind w:firstLine="525" w:firstLineChars="250"/>
        <w:rPr>
          <w:rFonts w:ascii="宋体" w:hAnsi="宋体" w:cs="仿宋_GB2312"/>
          <w:szCs w:val="21"/>
          <w:highlight w:val="none"/>
        </w:rPr>
      </w:pPr>
      <w:r>
        <w:rPr>
          <w:rFonts w:hint="eastAsia" w:ascii="宋体" w:hAnsi="宋体" w:cs="仿宋_GB2312"/>
          <w:szCs w:val="21"/>
          <w:highlight w:val="none"/>
        </w:rPr>
        <w:t>（1）工程物资的类别、估算数量：</w:t>
      </w:r>
      <w:r>
        <w:rPr>
          <w:rFonts w:hint="eastAsia" w:ascii="宋体" w:hAnsi="宋体" w:cs="仿宋_GB2312"/>
          <w:szCs w:val="21"/>
          <w:highlight w:val="none"/>
          <w:u w:val="single"/>
        </w:rPr>
        <w:t xml:space="preserve"> 所有构成工程实体的设备、材料和部件等均由承包人提供。 </w:t>
      </w:r>
    </w:p>
    <w:p>
      <w:pPr>
        <w:spacing w:line="400" w:lineRule="exact"/>
        <w:ind w:firstLine="525" w:firstLineChars="250"/>
        <w:rPr>
          <w:rFonts w:ascii="宋体" w:hAnsi="宋体" w:cs="仿宋_GB2312"/>
          <w:szCs w:val="21"/>
          <w:highlight w:val="none"/>
          <w:u w:val="single"/>
        </w:rPr>
      </w:pPr>
      <w:r>
        <w:rPr>
          <w:rFonts w:hint="eastAsia" w:ascii="宋体" w:hAnsi="宋体" w:cs="仿宋_GB2312"/>
          <w:szCs w:val="21"/>
          <w:highlight w:val="none"/>
        </w:rPr>
        <w:t>（3）竣工后试验的生产性材料的类别或（和）清单：</w:t>
      </w:r>
      <w:r>
        <w:rPr>
          <w:rFonts w:hint="eastAsia" w:ascii="宋体" w:hAnsi="宋体" w:cs="仿宋_GB2312"/>
          <w:szCs w:val="21"/>
          <w:highlight w:val="none"/>
          <w:u w:val="single"/>
        </w:rPr>
        <w:t xml:space="preserve">       ／       。</w:t>
      </w:r>
    </w:p>
    <w:p>
      <w:pPr>
        <w:spacing w:before="156" w:beforeLines="50" w:after="156" w:afterLines="50" w:line="400" w:lineRule="exact"/>
        <w:ind w:firstLine="422"/>
        <w:outlineLvl w:val="2"/>
        <w:rPr>
          <w:rFonts w:ascii="宋体" w:hAnsi="宋体" w:cs="仿宋_GB2312"/>
          <w:b/>
          <w:szCs w:val="21"/>
          <w:highlight w:val="none"/>
        </w:rPr>
      </w:pPr>
      <w:bookmarkStart w:id="622" w:name="_Toc440118406"/>
      <w:bookmarkStart w:id="623" w:name="_Toc499566766"/>
      <w:bookmarkStart w:id="624" w:name="_Toc499566961"/>
      <w:bookmarkStart w:id="625" w:name="_Toc446841812"/>
      <w:r>
        <w:rPr>
          <w:rFonts w:hint="eastAsia" w:ascii="宋体" w:hAnsi="宋体" w:cs="仿宋_GB2312"/>
          <w:b/>
          <w:szCs w:val="21"/>
          <w:highlight w:val="none"/>
        </w:rPr>
        <w:t>6.2  检验</w:t>
      </w:r>
      <w:bookmarkEnd w:id="622"/>
      <w:bookmarkEnd w:id="623"/>
      <w:bookmarkEnd w:id="624"/>
      <w:bookmarkEnd w:id="625"/>
    </w:p>
    <w:p>
      <w:pPr>
        <w:spacing w:line="400" w:lineRule="exact"/>
        <w:ind w:firstLine="420"/>
        <w:rPr>
          <w:rFonts w:ascii="宋体" w:hAnsi="宋体" w:cs="仿宋_GB2312"/>
          <w:szCs w:val="21"/>
          <w:highlight w:val="none"/>
        </w:rPr>
      </w:pPr>
      <w:r>
        <w:rPr>
          <w:rFonts w:hint="eastAsia" w:ascii="宋体" w:hAnsi="宋体" w:cs="仿宋_GB2312"/>
          <w:szCs w:val="21"/>
          <w:highlight w:val="none"/>
        </w:rPr>
        <w:t>6.2.1  工程检验与报告</w:t>
      </w:r>
    </w:p>
    <w:p>
      <w:pPr>
        <w:spacing w:line="400" w:lineRule="exact"/>
        <w:ind w:firstLine="420"/>
        <w:rPr>
          <w:rFonts w:ascii="宋体" w:hAnsi="宋体" w:cs="仿宋_GB2312"/>
          <w:szCs w:val="21"/>
          <w:highlight w:val="none"/>
          <w:u w:val="single"/>
        </w:rPr>
      </w:pPr>
      <w:r>
        <w:rPr>
          <w:rFonts w:hint="eastAsia" w:ascii="宋体" w:hAnsi="宋体" w:cs="仿宋_GB2312"/>
          <w:szCs w:val="21"/>
          <w:highlight w:val="none"/>
        </w:rPr>
        <w:t>（1）报告期、报告内容和提交份数：</w:t>
      </w:r>
      <w:r>
        <w:rPr>
          <w:rFonts w:hint="eastAsia" w:ascii="宋体" w:hAnsi="宋体" w:cs="仿宋_GB2312"/>
          <w:szCs w:val="21"/>
          <w:highlight w:val="none"/>
          <w:u w:val="single"/>
        </w:rPr>
        <w:t xml:space="preserve"> 执行相关规定  。</w:t>
      </w:r>
    </w:p>
    <w:p>
      <w:pPr>
        <w:spacing w:before="156" w:beforeLines="50" w:after="156" w:afterLines="50" w:line="400" w:lineRule="exact"/>
        <w:ind w:firstLine="422"/>
        <w:outlineLvl w:val="2"/>
        <w:rPr>
          <w:rFonts w:ascii="宋体" w:hAnsi="宋体" w:cs="仿宋_GB2312"/>
          <w:b/>
          <w:szCs w:val="21"/>
          <w:highlight w:val="none"/>
        </w:rPr>
      </w:pPr>
      <w:bookmarkStart w:id="626" w:name="_Toc499566767"/>
      <w:bookmarkStart w:id="627" w:name="_Toc440118407"/>
      <w:bookmarkStart w:id="628" w:name="_Toc499566962"/>
      <w:bookmarkStart w:id="629" w:name="_Toc446841813"/>
      <w:r>
        <w:rPr>
          <w:rFonts w:hint="eastAsia" w:ascii="宋体" w:hAnsi="宋体" w:cs="仿宋_GB2312"/>
          <w:b/>
          <w:szCs w:val="21"/>
          <w:highlight w:val="none"/>
        </w:rPr>
        <w:t>6.3  进口工程物资的采购</w:t>
      </w:r>
      <w:bookmarkEnd w:id="626"/>
      <w:bookmarkEnd w:id="627"/>
      <w:bookmarkEnd w:id="628"/>
      <w:bookmarkEnd w:id="629"/>
    </w:p>
    <w:p>
      <w:pPr>
        <w:spacing w:line="400" w:lineRule="exact"/>
        <w:ind w:firstLine="420"/>
        <w:rPr>
          <w:rFonts w:ascii="宋体" w:hAnsi="宋体" w:cs="仿宋_GB2312"/>
          <w:szCs w:val="21"/>
          <w:highlight w:val="none"/>
          <w:u w:val="single"/>
        </w:rPr>
      </w:pPr>
      <w:r>
        <w:rPr>
          <w:rFonts w:hint="eastAsia" w:ascii="宋体" w:hAnsi="宋体" w:cs="仿宋_GB2312"/>
          <w:szCs w:val="21"/>
          <w:highlight w:val="none"/>
        </w:rPr>
        <w:t>6.3.1  采购责任方及采购方式：</w:t>
      </w:r>
      <w:r>
        <w:rPr>
          <w:rFonts w:hint="eastAsia" w:ascii="宋体" w:hAnsi="宋体" w:cs="仿宋_GB2312"/>
          <w:szCs w:val="21"/>
          <w:highlight w:val="none"/>
          <w:u w:val="single"/>
        </w:rPr>
        <w:t xml:space="preserve"> 采购责任方为承包人  。</w:t>
      </w:r>
    </w:p>
    <w:p>
      <w:pPr>
        <w:spacing w:before="156" w:beforeLines="50" w:after="156" w:afterLines="50" w:line="400" w:lineRule="exact"/>
        <w:ind w:firstLine="420"/>
        <w:outlineLvl w:val="0"/>
        <w:rPr>
          <w:rFonts w:ascii="宋体" w:hAnsi="宋体" w:cs="仿宋_GB2312"/>
          <w:szCs w:val="21"/>
          <w:highlight w:val="none"/>
        </w:rPr>
      </w:pPr>
      <w:bookmarkStart w:id="630" w:name="_Toc4943"/>
      <w:bookmarkStart w:id="631" w:name="_Toc451936013"/>
      <w:bookmarkStart w:id="632" w:name="_Toc18986"/>
      <w:bookmarkStart w:id="633" w:name="_Toc446841814"/>
      <w:bookmarkStart w:id="634" w:name="_Toc446841939"/>
      <w:bookmarkStart w:id="635" w:name="_Toc440118408"/>
      <w:bookmarkStart w:id="636" w:name="_Toc499566768"/>
      <w:bookmarkStart w:id="637" w:name="_Toc23515"/>
      <w:bookmarkStart w:id="638" w:name="_Toc10656"/>
      <w:bookmarkStart w:id="639" w:name="_Toc20737"/>
      <w:bookmarkStart w:id="640" w:name="_Toc499566963"/>
      <w:r>
        <w:rPr>
          <w:rFonts w:hint="eastAsia" w:ascii="宋体" w:hAnsi="宋体" w:cs="仿宋_GB2312"/>
          <w:szCs w:val="21"/>
          <w:highlight w:val="none"/>
        </w:rPr>
        <w:t>6.4  工程物资保管与剩余</w:t>
      </w:r>
      <w:bookmarkEnd w:id="630"/>
      <w:bookmarkEnd w:id="631"/>
      <w:bookmarkEnd w:id="632"/>
      <w:bookmarkEnd w:id="633"/>
      <w:bookmarkEnd w:id="634"/>
      <w:bookmarkEnd w:id="635"/>
      <w:bookmarkEnd w:id="636"/>
      <w:bookmarkEnd w:id="637"/>
      <w:bookmarkEnd w:id="638"/>
      <w:bookmarkEnd w:id="639"/>
      <w:bookmarkEnd w:id="640"/>
    </w:p>
    <w:p>
      <w:pPr>
        <w:spacing w:line="400" w:lineRule="exact"/>
        <w:ind w:firstLine="420"/>
        <w:rPr>
          <w:rFonts w:ascii="宋体" w:hAnsi="宋体" w:cs="仿宋_GB2312"/>
          <w:szCs w:val="21"/>
          <w:highlight w:val="none"/>
        </w:rPr>
      </w:pPr>
      <w:r>
        <w:rPr>
          <w:rFonts w:hint="eastAsia" w:ascii="宋体" w:hAnsi="宋体" w:cs="仿宋_GB2312"/>
          <w:szCs w:val="21"/>
          <w:highlight w:val="none"/>
        </w:rPr>
        <w:t>6.4.1  工程物资保管</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委托承包人保管的工程物资的类别和估算数量：</w:t>
      </w:r>
      <w:r>
        <w:rPr>
          <w:rFonts w:hint="eastAsia" w:ascii="宋体" w:hAnsi="宋体" w:cs="仿宋_GB2312"/>
          <w:szCs w:val="21"/>
          <w:highlight w:val="none"/>
          <w:u w:val="single"/>
        </w:rPr>
        <w:t>发包人接收工程之前，所有工程物资均由承包人负责保管。</w:t>
      </w:r>
    </w:p>
    <w:p>
      <w:pPr>
        <w:spacing w:line="400" w:lineRule="exact"/>
        <w:ind w:firstLine="420"/>
        <w:rPr>
          <w:rFonts w:ascii="宋体" w:hAnsi="宋体" w:cs="仿宋_GB2312"/>
          <w:szCs w:val="21"/>
          <w:highlight w:val="none"/>
          <w:u w:val="single"/>
        </w:rPr>
      </w:pPr>
      <w:r>
        <w:rPr>
          <w:rFonts w:hint="eastAsia" w:ascii="宋体" w:hAnsi="宋体" w:cs="仿宋_GB2312"/>
          <w:szCs w:val="21"/>
          <w:highlight w:val="none"/>
        </w:rPr>
        <w:t>承包人提交保管、维护方案的时间：</w:t>
      </w:r>
      <w:r>
        <w:rPr>
          <w:rFonts w:hint="eastAsia" w:ascii="宋体" w:hAnsi="宋体" w:cs="仿宋_GB2312"/>
          <w:szCs w:val="21"/>
          <w:highlight w:val="none"/>
          <w:u w:val="single"/>
        </w:rPr>
        <w:t xml:space="preserve">  双方另行商定  。</w:t>
      </w:r>
    </w:p>
    <w:p>
      <w:pPr>
        <w:spacing w:line="500" w:lineRule="exact"/>
        <w:ind w:firstLine="420"/>
        <w:rPr>
          <w:rFonts w:ascii="宋体" w:hAnsi="宋体" w:cs="仿宋_GB2312"/>
          <w:szCs w:val="21"/>
          <w:highlight w:val="none"/>
          <w:u w:val="single"/>
        </w:rPr>
      </w:pPr>
      <w:r>
        <w:rPr>
          <w:rFonts w:hint="eastAsia" w:ascii="宋体" w:hAnsi="宋体" w:cs="仿宋_GB2312"/>
          <w:szCs w:val="21"/>
          <w:highlight w:val="none"/>
        </w:rPr>
        <w:t>由发包人提供的库房、堆场、设施及设备：</w:t>
      </w:r>
      <w:r>
        <w:rPr>
          <w:rFonts w:hint="eastAsia" w:ascii="宋体" w:hAnsi="宋体" w:cs="仿宋_GB2312"/>
          <w:szCs w:val="21"/>
          <w:highlight w:val="none"/>
          <w:u w:val="single"/>
        </w:rPr>
        <w:t xml:space="preserve"> 发包人不提供任何的库房、仓库设施，但现场现有空地，经批准后，可提供给承包人作为临时堆场或建为临时仓储设施。 </w:t>
      </w:r>
    </w:p>
    <w:p>
      <w:pPr>
        <w:spacing w:before="156" w:beforeLines="50" w:after="156" w:afterLines="50" w:line="300" w:lineRule="auto"/>
        <w:ind w:firstLine="413" w:firstLineChars="196"/>
        <w:outlineLvl w:val="1"/>
        <w:rPr>
          <w:rFonts w:ascii="宋体" w:hAnsi="宋体" w:cs="仿宋_GB2312"/>
          <w:b/>
          <w:szCs w:val="21"/>
          <w:highlight w:val="none"/>
        </w:rPr>
      </w:pPr>
      <w:bookmarkStart w:id="641" w:name="_Toc19784"/>
      <w:bookmarkStart w:id="642" w:name="_Toc13829"/>
      <w:bookmarkStart w:id="643" w:name="_Toc19515"/>
      <w:bookmarkStart w:id="644" w:name="_Toc499566769"/>
      <w:bookmarkStart w:id="645" w:name="_Toc12422"/>
      <w:bookmarkStart w:id="646" w:name="_Toc451936014"/>
      <w:bookmarkStart w:id="647" w:name="_Toc446841815"/>
      <w:bookmarkStart w:id="648" w:name="_Toc440118409"/>
      <w:bookmarkStart w:id="649" w:name="_Toc186"/>
      <w:bookmarkStart w:id="650" w:name="_Toc499566964"/>
      <w:r>
        <w:rPr>
          <w:rFonts w:hint="eastAsia" w:ascii="宋体" w:hAnsi="宋体" w:cs="仿宋_GB2312"/>
          <w:b/>
          <w:szCs w:val="21"/>
          <w:highlight w:val="none"/>
        </w:rPr>
        <w:t>第7条  施工</w:t>
      </w:r>
      <w:bookmarkEnd w:id="641"/>
      <w:bookmarkEnd w:id="642"/>
      <w:bookmarkEnd w:id="643"/>
      <w:bookmarkEnd w:id="644"/>
      <w:bookmarkEnd w:id="645"/>
      <w:bookmarkEnd w:id="646"/>
      <w:bookmarkEnd w:id="647"/>
      <w:bookmarkEnd w:id="648"/>
      <w:bookmarkEnd w:id="649"/>
      <w:bookmarkEnd w:id="650"/>
    </w:p>
    <w:p>
      <w:pPr>
        <w:spacing w:before="156" w:beforeLines="50" w:after="156" w:afterLines="50" w:line="400" w:lineRule="exact"/>
        <w:ind w:firstLine="422"/>
        <w:outlineLvl w:val="2"/>
        <w:rPr>
          <w:rFonts w:ascii="宋体" w:hAnsi="宋体" w:cs="仿宋_GB2312"/>
          <w:b/>
          <w:szCs w:val="21"/>
          <w:highlight w:val="none"/>
        </w:rPr>
      </w:pPr>
      <w:bookmarkStart w:id="651" w:name="_Toc440118410"/>
      <w:bookmarkStart w:id="652" w:name="_Toc499566770"/>
      <w:bookmarkStart w:id="653" w:name="_Toc499566965"/>
      <w:bookmarkStart w:id="654" w:name="_Toc446841816"/>
      <w:r>
        <w:rPr>
          <w:rFonts w:hint="eastAsia" w:ascii="宋体" w:hAnsi="宋体" w:cs="仿宋_GB2312"/>
          <w:b/>
          <w:szCs w:val="21"/>
          <w:highlight w:val="none"/>
        </w:rPr>
        <w:t>7.1  发包人的义务</w:t>
      </w:r>
      <w:bookmarkEnd w:id="651"/>
      <w:bookmarkEnd w:id="652"/>
      <w:bookmarkEnd w:id="653"/>
      <w:bookmarkEnd w:id="654"/>
    </w:p>
    <w:p>
      <w:pPr>
        <w:spacing w:line="400" w:lineRule="exact"/>
        <w:ind w:firstLine="420"/>
        <w:rPr>
          <w:rFonts w:ascii="宋体" w:hAnsi="宋体" w:cs="仿宋_GB2312"/>
          <w:szCs w:val="21"/>
          <w:highlight w:val="none"/>
        </w:rPr>
      </w:pPr>
      <w:r>
        <w:rPr>
          <w:rFonts w:hint="eastAsia" w:ascii="宋体" w:hAnsi="宋体" w:cs="仿宋_GB2312"/>
          <w:szCs w:val="21"/>
          <w:highlight w:val="none"/>
        </w:rPr>
        <w:t>7.1.3  进场条件和进场日期</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承包人的进场条件：</w:t>
      </w:r>
      <w:r>
        <w:rPr>
          <w:rFonts w:hint="eastAsia" w:ascii="宋体" w:hAnsi="宋体" w:cs="仿宋_GB2312"/>
          <w:szCs w:val="21"/>
          <w:highlight w:val="none"/>
          <w:u w:val="single"/>
        </w:rPr>
        <w:t xml:space="preserve"> 施工图设计经发包人委托的审图机构审核确认完成后。 </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承包人的进场日期：</w:t>
      </w:r>
      <w:r>
        <w:rPr>
          <w:rFonts w:hint="eastAsia" w:ascii="宋体" w:hAnsi="宋体" w:cs="仿宋_GB2312"/>
          <w:szCs w:val="21"/>
          <w:highlight w:val="none"/>
          <w:u w:val="single"/>
        </w:rPr>
        <w:t xml:space="preserve"> 双方另行商定  </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7.1.4  临时用水电等提供和节点铺设</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发包人提供的临时用水、用电等类别、取费单价：</w:t>
      </w:r>
      <w:r>
        <w:rPr>
          <w:rFonts w:hint="eastAsia" w:ascii="宋体" w:hAnsi="宋体" w:cs="仿宋_GB2312"/>
          <w:szCs w:val="21"/>
          <w:highlight w:val="none"/>
          <w:u w:val="single"/>
        </w:rPr>
        <w:t xml:space="preserve"> 由承包人承担。 </w:t>
      </w:r>
    </w:p>
    <w:p>
      <w:pPr>
        <w:spacing w:line="400" w:lineRule="exact"/>
        <w:ind w:firstLine="420"/>
        <w:rPr>
          <w:rFonts w:ascii="宋体" w:hAnsi="宋体" w:cs="仿宋_GB2312"/>
          <w:szCs w:val="21"/>
          <w:highlight w:val="none"/>
          <w:u w:val="single"/>
        </w:rPr>
      </w:pPr>
      <w:r>
        <w:rPr>
          <w:rFonts w:hint="eastAsia" w:ascii="宋体" w:hAnsi="宋体" w:cs="仿宋_GB2312"/>
          <w:szCs w:val="21"/>
          <w:highlight w:val="none"/>
        </w:rPr>
        <w:t>7.1.10  由发包人履行的其它义务：</w:t>
      </w:r>
      <w:r>
        <w:rPr>
          <w:rFonts w:hint="eastAsia" w:ascii="宋体" w:hAnsi="宋体" w:cs="仿宋_GB2312"/>
          <w:szCs w:val="21"/>
          <w:highlight w:val="none"/>
          <w:u w:val="single"/>
        </w:rPr>
        <w:t xml:space="preserve">       /          </w:t>
      </w:r>
    </w:p>
    <w:p>
      <w:pPr>
        <w:spacing w:before="156" w:beforeLines="50" w:after="156" w:afterLines="50" w:line="400" w:lineRule="exact"/>
        <w:ind w:firstLine="422"/>
        <w:outlineLvl w:val="2"/>
        <w:rPr>
          <w:rFonts w:ascii="宋体" w:hAnsi="宋体" w:cs="仿宋_GB2312"/>
          <w:b/>
          <w:szCs w:val="21"/>
          <w:highlight w:val="none"/>
        </w:rPr>
      </w:pPr>
      <w:bookmarkStart w:id="655" w:name="_Toc440118411"/>
      <w:bookmarkStart w:id="656" w:name="_Toc499566966"/>
      <w:bookmarkStart w:id="657" w:name="_Toc446841817"/>
      <w:bookmarkStart w:id="658" w:name="_Toc499566771"/>
      <w:r>
        <w:rPr>
          <w:rFonts w:hint="eastAsia" w:ascii="宋体" w:hAnsi="宋体" w:cs="仿宋_GB2312"/>
          <w:b/>
          <w:szCs w:val="21"/>
          <w:highlight w:val="none"/>
        </w:rPr>
        <w:t>7.2  承包人的义务</w:t>
      </w:r>
      <w:bookmarkEnd w:id="655"/>
      <w:bookmarkEnd w:id="656"/>
      <w:bookmarkEnd w:id="657"/>
      <w:bookmarkEnd w:id="658"/>
    </w:p>
    <w:p>
      <w:pPr>
        <w:spacing w:line="336" w:lineRule="auto"/>
        <w:ind w:firstLine="420"/>
        <w:rPr>
          <w:rFonts w:ascii="宋体" w:hAnsi="宋体" w:cs="仿宋_GB2312"/>
          <w:szCs w:val="21"/>
          <w:highlight w:val="none"/>
        </w:rPr>
      </w:pPr>
      <w:r>
        <w:rPr>
          <w:rFonts w:hint="eastAsia" w:ascii="宋体" w:hAnsi="宋体" w:cs="仿宋_GB2312"/>
          <w:szCs w:val="21"/>
          <w:highlight w:val="none"/>
        </w:rPr>
        <w:t>7.2.2  施工组织设计</w:t>
      </w:r>
    </w:p>
    <w:p>
      <w:pPr>
        <w:spacing w:line="336" w:lineRule="auto"/>
        <w:ind w:firstLine="420"/>
        <w:rPr>
          <w:rFonts w:ascii="宋体" w:hAnsi="宋体" w:cs="仿宋_GB2312"/>
          <w:szCs w:val="21"/>
          <w:highlight w:val="none"/>
        </w:rPr>
      </w:pPr>
      <w:r>
        <w:rPr>
          <w:rFonts w:hint="eastAsia" w:ascii="宋体" w:hAnsi="宋体" w:cs="仿宋_GB2312"/>
          <w:szCs w:val="21"/>
          <w:highlight w:val="none"/>
        </w:rPr>
        <w:t>提交工程总体施工组织设计的份数和时间：</w:t>
      </w:r>
      <w:r>
        <w:rPr>
          <w:rFonts w:hint="eastAsia" w:ascii="宋体" w:hAnsi="宋体" w:cs="仿宋_GB2312"/>
          <w:szCs w:val="21"/>
          <w:highlight w:val="none"/>
          <w:u w:val="single"/>
        </w:rPr>
        <w:t xml:space="preserve">  图纸审核完成后7日内向发包人提交总体施工组织设计，一式三份。 </w:t>
      </w:r>
    </w:p>
    <w:p>
      <w:pPr>
        <w:spacing w:line="336" w:lineRule="auto"/>
        <w:ind w:firstLine="420"/>
        <w:rPr>
          <w:rFonts w:ascii="宋体" w:hAnsi="宋体" w:cs="仿宋_GB2312"/>
          <w:szCs w:val="21"/>
          <w:highlight w:val="none"/>
        </w:rPr>
      </w:pPr>
      <w:r>
        <w:rPr>
          <w:rFonts w:hint="eastAsia" w:ascii="宋体" w:hAnsi="宋体" w:cs="仿宋_GB2312"/>
          <w:szCs w:val="21"/>
          <w:highlight w:val="none"/>
        </w:rPr>
        <w:t>需要提交的主要单项工程、主要分部分项工程施工组织设计的名称、份数和时间：</w:t>
      </w:r>
      <w:r>
        <w:rPr>
          <w:rFonts w:hint="eastAsia" w:ascii="宋体" w:hAnsi="宋体" w:cs="仿宋_GB2312"/>
          <w:szCs w:val="21"/>
          <w:highlight w:val="none"/>
          <w:u w:val="single"/>
        </w:rPr>
        <w:t xml:space="preserve">分项施工前7日向发包人提供一式三份。 </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7.2.3  提交临时占地资料</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提交临时占地资料的时间：</w:t>
      </w:r>
      <w:r>
        <w:rPr>
          <w:rFonts w:hint="eastAsia" w:ascii="宋体" w:hAnsi="宋体" w:cs="仿宋_GB2312"/>
          <w:szCs w:val="21"/>
          <w:highlight w:val="none"/>
          <w:u w:val="single"/>
        </w:rPr>
        <w:t xml:space="preserve">  进场前7日 。</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7.2.4  提供临时用水电等资料</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承包人需要水电等品质、正常用量、高峰量和使用时间：</w:t>
      </w:r>
      <w:r>
        <w:rPr>
          <w:rFonts w:hint="eastAsia" w:ascii="宋体" w:hAnsi="宋体" w:cs="仿宋_GB2312"/>
          <w:szCs w:val="21"/>
          <w:highlight w:val="none"/>
          <w:u w:val="single"/>
        </w:rPr>
        <w:t xml:space="preserve">   进场前7日 。</w:t>
      </w:r>
    </w:p>
    <w:p>
      <w:pPr>
        <w:spacing w:line="400" w:lineRule="exact"/>
        <w:ind w:firstLine="420"/>
        <w:rPr>
          <w:rFonts w:ascii="宋体" w:hAnsi="宋体" w:cs="仿宋_GB2312"/>
          <w:szCs w:val="21"/>
          <w:highlight w:val="none"/>
          <w:u w:val="single"/>
        </w:rPr>
      </w:pPr>
      <w:r>
        <w:rPr>
          <w:rFonts w:hint="eastAsia" w:ascii="宋体" w:hAnsi="宋体" w:cs="仿宋_GB2312"/>
          <w:szCs w:val="21"/>
          <w:highlight w:val="none"/>
        </w:rPr>
        <w:t>发包人能够满足施工临时用水、电等类别和数量：</w:t>
      </w:r>
      <w:r>
        <w:rPr>
          <w:rFonts w:hint="eastAsia" w:ascii="宋体" w:hAnsi="宋体" w:cs="仿宋_GB2312"/>
          <w:szCs w:val="21"/>
          <w:highlight w:val="none"/>
          <w:u w:val="single"/>
        </w:rPr>
        <w:t xml:space="preserve">发包人负责为本项目提供电源接驳点与水源接入点，除此以外均由承包人承担。承包人须负责一切接入点以下的施工所须的用电、用水设施设备。 </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水电等节点位置资料的提交时间：</w:t>
      </w:r>
      <w:r>
        <w:rPr>
          <w:rFonts w:hint="eastAsia" w:ascii="宋体" w:hAnsi="宋体" w:cs="仿宋_GB2312"/>
          <w:szCs w:val="21"/>
          <w:highlight w:val="none"/>
          <w:u w:val="single"/>
        </w:rPr>
        <w:t xml:space="preserve"> 同总体施工组织设计的提交时间   .</w:t>
      </w:r>
    </w:p>
    <w:p>
      <w:pPr>
        <w:spacing w:line="400" w:lineRule="exact"/>
        <w:ind w:firstLine="420"/>
        <w:rPr>
          <w:rFonts w:ascii="宋体" w:hAnsi="宋体" w:cs="仿宋_GB2312"/>
          <w:szCs w:val="21"/>
          <w:highlight w:val="none"/>
          <w:u w:val="single"/>
        </w:rPr>
      </w:pPr>
      <w:r>
        <w:rPr>
          <w:rFonts w:hint="eastAsia" w:ascii="宋体" w:hAnsi="宋体" w:cs="仿宋_GB2312"/>
          <w:szCs w:val="21"/>
          <w:highlight w:val="none"/>
        </w:rPr>
        <w:t>7.2.12  清理现场的费用：</w:t>
      </w:r>
      <w:r>
        <w:rPr>
          <w:rFonts w:hint="eastAsia" w:ascii="宋体" w:hAnsi="宋体" w:cs="仿宋_GB2312"/>
          <w:szCs w:val="21"/>
          <w:highlight w:val="none"/>
          <w:u w:val="single"/>
        </w:rPr>
        <w:t xml:space="preserve"> 已包含在工程总承包合同价格内，不再另行计取。 </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 xml:space="preserve">7.2.13 </w:t>
      </w:r>
      <w:r>
        <w:rPr>
          <w:rFonts w:hint="eastAsia" w:ascii="宋体" w:hAnsi="宋体" w:cs="仿宋_GB2312"/>
          <w:b/>
          <w:bCs/>
          <w:szCs w:val="21"/>
          <w:highlight w:val="none"/>
        </w:rPr>
        <w:t xml:space="preserve"> </w:t>
      </w:r>
      <w:r>
        <w:rPr>
          <w:rFonts w:hint="eastAsia" w:ascii="宋体" w:hAnsi="宋体" w:cs="仿宋_GB2312"/>
          <w:bCs/>
          <w:szCs w:val="21"/>
          <w:highlight w:val="none"/>
        </w:rPr>
        <w:t>由承包人必须履行的其它义务：</w:t>
      </w:r>
    </w:p>
    <w:p>
      <w:pPr>
        <w:spacing w:line="400" w:lineRule="exact"/>
        <w:ind w:firstLine="420"/>
        <w:rPr>
          <w:rFonts w:ascii="宋体" w:hAnsi="宋体" w:cs="仿宋_GB2312"/>
          <w:bCs/>
          <w:szCs w:val="21"/>
          <w:highlight w:val="none"/>
          <w:u w:val="single"/>
        </w:rPr>
      </w:pPr>
      <w:r>
        <w:rPr>
          <w:rFonts w:hint="eastAsia" w:ascii="宋体" w:hAnsi="宋体" w:cs="仿宋_GB2312"/>
          <w:bCs/>
          <w:szCs w:val="21"/>
          <w:highlight w:val="none"/>
          <w:u w:val="single"/>
        </w:rPr>
        <w:t>（1）发包人与承包人发生较大纠纷，双方通过协商解决或由双方认可的中介进行裁决；</w:t>
      </w:r>
    </w:p>
    <w:p>
      <w:pPr>
        <w:spacing w:line="400" w:lineRule="exact"/>
        <w:ind w:firstLine="420"/>
        <w:rPr>
          <w:rFonts w:ascii="宋体" w:hAnsi="宋体" w:cs="仿宋_GB2312"/>
          <w:bCs/>
          <w:szCs w:val="21"/>
          <w:highlight w:val="none"/>
          <w:u w:val="single"/>
        </w:rPr>
      </w:pPr>
      <w:r>
        <w:rPr>
          <w:rFonts w:hint="eastAsia" w:ascii="宋体" w:hAnsi="宋体" w:cs="仿宋_GB2312"/>
          <w:bCs/>
          <w:szCs w:val="21"/>
          <w:highlight w:val="none"/>
          <w:u w:val="single"/>
        </w:rPr>
        <w:t>（2）承包人不能以任何理由拖欠国家、省、市规定的职工社会福利、工资和其他合作方的工程款项，特别是农民工工资及应为其缴纳的社会保险；</w:t>
      </w:r>
    </w:p>
    <w:p>
      <w:pPr>
        <w:spacing w:line="400" w:lineRule="exact"/>
        <w:ind w:firstLine="420"/>
        <w:rPr>
          <w:rFonts w:ascii="宋体" w:hAnsi="宋体" w:cs="仿宋_GB2312"/>
          <w:bCs/>
          <w:szCs w:val="21"/>
          <w:highlight w:val="none"/>
          <w:u w:val="single"/>
        </w:rPr>
      </w:pPr>
      <w:r>
        <w:rPr>
          <w:rFonts w:hint="eastAsia" w:ascii="宋体" w:hAnsi="宋体" w:cs="仿宋_GB2312"/>
          <w:bCs/>
          <w:szCs w:val="21"/>
          <w:highlight w:val="none"/>
          <w:u w:val="single"/>
        </w:rPr>
        <w:t>（3）由承包人负责项目实施中的安全生产、文明施工、环境保护等工作，并支付相关费用；</w:t>
      </w:r>
    </w:p>
    <w:p>
      <w:pPr>
        <w:spacing w:line="400" w:lineRule="exact"/>
        <w:ind w:firstLine="420"/>
        <w:rPr>
          <w:rFonts w:ascii="宋体" w:hAnsi="宋体" w:cs="仿宋_GB2312"/>
          <w:bCs/>
          <w:szCs w:val="21"/>
          <w:highlight w:val="none"/>
          <w:u w:val="single"/>
        </w:rPr>
      </w:pPr>
      <w:r>
        <w:rPr>
          <w:rFonts w:hint="eastAsia" w:ascii="宋体" w:hAnsi="宋体" w:cs="仿宋_GB2312"/>
          <w:bCs/>
          <w:szCs w:val="21"/>
          <w:highlight w:val="none"/>
          <w:u w:val="single"/>
        </w:rPr>
        <w:t>（4）项目实施过程中涉及的应由承包人支付的各项费用，全部由承包人支付；</w:t>
      </w:r>
    </w:p>
    <w:p>
      <w:pPr>
        <w:spacing w:line="400" w:lineRule="exact"/>
        <w:ind w:firstLine="420"/>
        <w:rPr>
          <w:rFonts w:ascii="宋体" w:hAnsi="宋体" w:cs="仿宋_GB2312"/>
          <w:bCs/>
          <w:szCs w:val="21"/>
          <w:highlight w:val="none"/>
          <w:u w:val="single"/>
        </w:rPr>
      </w:pPr>
      <w:r>
        <w:rPr>
          <w:rFonts w:hint="eastAsia" w:ascii="宋体" w:hAnsi="宋体" w:cs="仿宋_GB2312"/>
          <w:bCs/>
          <w:szCs w:val="21"/>
          <w:highlight w:val="none"/>
          <w:u w:val="single"/>
        </w:rPr>
        <w:t>（5）项目实施过程中涉及的内部组织，对外协调等工作，由承包人负责；</w:t>
      </w:r>
    </w:p>
    <w:p>
      <w:pPr>
        <w:spacing w:line="400" w:lineRule="exact"/>
        <w:ind w:firstLine="420"/>
        <w:rPr>
          <w:rFonts w:ascii="宋体" w:hAnsi="宋体" w:cs="仿宋_GB2312"/>
          <w:bCs/>
          <w:szCs w:val="21"/>
          <w:highlight w:val="none"/>
          <w:u w:val="single"/>
        </w:rPr>
      </w:pPr>
      <w:r>
        <w:rPr>
          <w:rFonts w:hint="eastAsia" w:ascii="宋体" w:hAnsi="宋体" w:cs="仿宋_GB2312"/>
          <w:bCs/>
          <w:szCs w:val="21"/>
          <w:highlight w:val="none"/>
          <w:u w:val="single"/>
        </w:rPr>
        <w:t>（6）承包人有义务就项目审批、设计方案的审定、资金筹措等事宜与发包人展开协作；</w:t>
      </w:r>
    </w:p>
    <w:p>
      <w:pPr>
        <w:spacing w:line="400" w:lineRule="exact"/>
        <w:ind w:firstLine="420"/>
        <w:rPr>
          <w:rFonts w:ascii="宋体" w:hAnsi="宋体" w:cs="仿宋_GB2312"/>
          <w:bCs/>
          <w:szCs w:val="21"/>
          <w:highlight w:val="none"/>
          <w:u w:val="single"/>
        </w:rPr>
      </w:pPr>
      <w:r>
        <w:rPr>
          <w:rFonts w:hint="eastAsia" w:ascii="宋体" w:hAnsi="宋体" w:cs="仿宋_GB2312"/>
          <w:bCs/>
          <w:szCs w:val="21"/>
          <w:highlight w:val="none"/>
          <w:u w:val="single"/>
        </w:rPr>
        <w:t>（7）承包人在施工过程中所引起的任何经济和劳动纠纷全部由承包人负责；</w:t>
      </w:r>
    </w:p>
    <w:p>
      <w:pPr>
        <w:spacing w:line="400" w:lineRule="exact"/>
        <w:ind w:firstLine="420"/>
        <w:rPr>
          <w:rFonts w:ascii="宋体" w:hAnsi="宋体" w:cs="仿宋_GB2312"/>
          <w:szCs w:val="21"/>
          <w:highlight w:val="none"/>
          <w:u w:val="single"/>
        </w:rPr>
      </w:pPr>
      <w:r>
        <w:rPr>
          <w:rFonts w:hint="eastAsia" w:ascii="宋体" w:hAnsi="宋体" w:cs="仿宋_GB2312"/>
          <w:szCs w:val="21"/>
          <w:highlight w:val="none"/>
          <w:u w:val="single"/>
        </w:rPr>
        <w:t>（8）承包人须服从发包人转发的发包人及工程师的指令，同时，承包人应服从发包人根据工程实际情况对工程承包范围的调整，并按发包人要求完成各项工作。</w:t>
      </w:r>
    </w:p>
    <w:p>
      <w:pPr>
        <w:spacing w:line="400" w:lineRule="exact"/>
        <w:ind w:firstLine="420"/>
        <w:rPr>
          <w:rFonts w:ascii="宋体" w:hAnsi="宋体" w:cs="仿宋_GB2312"/>
          <w:szCs w:val="21"/>
          <w:highlight w:val="none"/>
        </w:rPr>
      </w:pPr>
      <w:r>
        <w:rPr>
          <w:rFonts w:hint="eastAsia" w:ascii="宋体" w:hAnsi="宋体" w:cs="仿宋_GB2312"/>
          <w:szCs w:val="21"/>
          <w:highlight w:val="none"/>
          <w:u w:val="single"/>
        </w:rPr>
        <w:t>（9）其他未尽事宜由双方协商。</w:t>
      </w:r>
      <w:r>
        <w:rPr>
          <w:rFonts w:hint="eastAsia" w:ascii="宋体" w:hAnsi="宋体" w:cs="仿宋_GB2312"/>
          <w:szCs w:val="21"/>
          <w:highlight w:val="none"/>
        </w:rPr>
        <w:t xml:space="preserve"> </w:t>
      </w:r>
    </w:p>
    <w:p>
      <w:pPr>
        <w:spacing w:before="156" w:beforeLines="50" w:after="156" w:afterLines="50" w:line="400" w:lineRule="exact"/>
        <w:ind w:firstLine="420"/>
        <w:outlineLvl w:val="0"/>
        <w:rPr>
          <w:rFonts w:ascii="宋体" w:hAnsi="宋体" w:cs="仿宋_GB2312"/>
          <w:szCs w:val="21"/>
          <w:highlight w:val="none"/>
        </w:rPr>
      </w:pPr>
      <w:bookmarkStart w:id="659" w:name="_Toc446841818"/>
      <w:bookmarkStart w:id="660" w:name="_Toc31069"/>
      <w:bookmarkStart w:id="661" w:name="_Toc1829"/>
      <w:bookmarkStart w:id="662" w:name="_Toc4593"/>
      <w:bookmarkStart w:id="663" w:name="_Toc499566967"/>
      <w:bookmarkStart w:id="664" w:name="_Toc440118412"/>
      <w:bookmarkStart w:id="665" w:name="_Toc499566772"/>
      <w:bookmarkStart w:id="666" w:name="_Toc6309"/>
      <w:bookmarkStart w:id="667" w:name="_Toc451936015"/>
      <w:bookmarkStart w:id="668" w:name="_Toc27794"/>
      <w:bookmarkStart w:id="669" w:name="_Toc446841941"/>
      <w:r>
        <w:rPr>
          <w:rFonts w:hint="eastAsia" w:ascii="宋体" w:hAnsi="宋体" w:cs="仿宋_GB2312"/>
          <w:szCs w:val="21"/>
          <w:highlight w:val="none"/>
        </w:rPr>
        <w:t>7.4 人力和机具资源</w:t>
      </w:r>
      <w:bookmarkEnd w:id="659"/>
      <w:bookmarkEnd w:id="660"/>
      <w:bookmarkEnd w:id="661"/>
      <w:bookmarkEnd w:id="662"/>
      <w:bookmarkEnd w:id="663"/>
      <w:bookmarkEnd w:id="664"/>
      <w:bookmarkEnd w:id="665"/>
      <w:bookmarkEnd w:id="666"/>
      <w:bookmarkEnd w:id="667"/>
      <w:bookmarkEnd w:id="668"/>
      <w:bookmarkEnd w:id="669"/>
    </w:p>
    <w:p>
      <w:pPr>
        <w:spacing w:line="400" w:lineRule="exact"/>
        <w:ind w:firstLine="420"/>
        <w:rPr>
          <w:rFonts w:ascii="宋体" w:hAnsi="宋体" w:cs="仿宋_GB2312"/>
          <w:szCs w:val="21"/>
          <w:highlight w:val="none"/>
          <w:u w:val="single"/>
        </w:rPr>
      </w:pPr>
      <w:r>
        <w:rPr>
          <w:rFonts w:hint="eastAsia" w:ascii="宋体" w:hAnsi="宋体" w:cs="仿宋_GB2312"/>
          <w:szCs w:val="21"/>
          <w:highlight w:val="none"/>
        </w:rPr>
        <w:t>7.4.1  人力资源计划一览表的格式、内容、份数和提交时间：</w:t>
      </w:r>
      <w:r>
        <w:rPr>
          <w:rFonts w:hint="eastAsia" w:ascii="宋体" w:hAnsi="宋体" w:cs="仿宋_GB2312"/>
          <w:szCs w:val="21"/>
          <w:highlight w:val="none"/>
          <w:u w:val="single"/>
        </w:rPr>
        <w:t xml:space="preserve">签订合同后7日内提交人力资源配置表，主要包括工程总承包项目经理、设计项目负责人、施工项目经理、设备负责人、电气负责人等满足工程总承包要求的人员，即项目开始前，向发包人提交项目组织体系架构框图/表一份。 </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人力资源实际进场的报表格式、份数和报告期：</w:t>
      </w:r>
      <w:r>
        <w:rPr>
          <w:rFonts w:hint="eastAsia" w:ascii="宋体" w:hAnsi="宋体" w:cs="仿宋_GB2312"/>
          <w:szCs w:val="21"/>
          <w:highlight w:val="none"/>
          <w:u w:val="single"/>
        </w:rPr>
        <w:t xml:space="preserve">  同上  </w:t>
      </w:r>
    </w:p>
    <w:p>
      <w:pPr>
        <w:spacing w:line="400" w:lineRule="exact"/>
        <w:ind w:firstLine="420"/>
        <w:rPr>
          <w:rFonts w:ascii="宋体" w:hAnsi="宋体" w:cs="仿宋_GB2312"/>
          <w:szCs w:val="21"/>
          <w:highlight w:val="none"/>
          <w:u w:val="single"/>
        </w:rPr>
      </w:pPr>
      <w:r>
        <w:rPr>
          <w:rFonts w:hint="eastAsia" w:ascii="宋体" w:hAnsi="宋体" w:cs="仿宋_GB2312"/>
          <w:szCs w:val="21"/>
          <w:highlight w:val="none"/>
        </w:rPr>
        <w:t>7.4.2  提交主要机具计划一览表的格式、内容、份数和提交时间：</w:t>
      </w:r>
      <w:r>
        <w:rPr>
          <w:rFonts w:hint="eastAsia" w:ascii="宋体" w:hAnsi="宋体" w:cs="仿宋_GB2312"/>
          <w:szCs w:val="21"/>
          <w:highlight w:val="none"/>
          <w:u w:val="single"/>
        </w:rPr>
        <w:t>承包人进场前7日向发包人提交主要机具计划一览表一式三份，格式届时和发包人协商。</w:t>
      </w:r>
    </w:p>
    <w:p>
      <w:pPr>
        <w:spacing w:line="400" w:lineRule="exact"/>
        <w:ind w:firstLine="420"/>
        <w:rPr>
          <w:rFonts w:ascii="宋体" w:hAnsi="宋体" w:cs="仿宋_GB2312"/>
          <w:szCs w:val="21"/>
          <w:highlight w:val="none"/>
          <w:u w:val="single"/>
        </w:rPr>
      </w:pPr>
      <w:r>
        <w:rPr>
          <w:rFonts w:hint="eastAsia" w:ascii="宋体" w:hAnsi="宋体" w:cs="仿宋_GB2312"/>
          <w:szCs w:val="21"/>
          <w:highlight w:val="none"/>
        </w:rPr>
        <w:t>主要机具实际进场的报表格式、份数和报告期：</w:t>
      </w:r>
      <w:bookmarkStart w:id="670" w:name="_Toc440118413"/>
      <w:r>
        <w:rPr>
          <w:rFonts w:hint="eastAsia" w:ascii="宋体" w:hAnsi="宋体" w:cs="仿宋_GB2312"/>
          <w:szCs w:val="21"/>
          <w:highlight w:val="none"/>
          <w:u w:val="single"/>
        </w:rPr>
        <w:t>全部施工机具进场到位后7日，向发包人提交主要机具实际进场一览表一式三份，格式届时和发包人协商。</w:t>
      </w:r>
    </w:p>
    <w:p>
      <w:pPr>
        <w:spacing w:line="400" w:lineRule="exact"/>
        <w:ind w:firstLine="422"/>
        <w:rPr>
          <w:rFonts w:ascii="宋体" w:hAnsi="宋体" w:cs="仿宋_GB2312"/>
          <w:b/>
          <w:szCs w:val="21"/>
          <w:highlight w:val="none"/>
        </w:rPr>
      </w:pPr>
      <w:r>
        <w:rPr>
          <w:rFonts w:hint="eastAsia" w:ascii="宋体" w:hAnsi="宋体" w:cs="仿宋_GB2312"/>
          <w:b/>
          <w:szCs w:val="21"/>
          <w:highlight w:val="none"/>
        </w:rPr>
        <w:t>7.5  质量与检验</w:t>
      </w:r>
      <w:bookmarkEnd w:id="670"/>
    </w:p>
    <w:p>
      <w:pPr>
        <w:spacing w:line="400" w:lineRule="exact"/>
        <w:ind w:firstLine="420"/>
        <w:rPr>
          <w:rFonts w:ascii="宋体" w:hAnsi="宋体" w:cs="仿宋_GB2312"/>
          <w:szCs w:val="21"/>
          <w:highlight w:val="none"/>
        </w:rPr>
      </w:pPr>
      <w:r>
        <w:rPr>
          <w:rFonts w:hint="eastAsia" w:ascii="宋体" w:hAnsi="宋体" w:cs="仿宋_GB2312"/>
          <w:szCs w:val="21"/>
          <w:highlight w:val="none"/>
        </w:rPr>
        <w:t>7.5.2 质检部位与参检方</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三方参检的部位、标准及表格形式：</w:t>
      </w:r>
      <w:r>
        <w:rPr>
          <w:rFonts w:hint="eastAsia" w:ascii="宋体" w:hAnsi="宋体" w:cs="仿宋_GB2312"/>
          <w:szCs w:val="21"/>
          <w:highlight w:val="none"/>
          <w:u w:val="single"/>
        </w:rPr>
        <w:t xml:space="preserve"> </w:t>
      </w:r>
      <w:r>
        <w:rPr>
          <w:rFonts w:hint="eastAsia" w:ascii="宋体" w:hAnsi="宋体" w:cs="仿宋_GB2312"/>
          <w:bCs/>
          <w:szCs w:val="21"/>
          <w:highlight w:val="none"/>
          <w:u w:val="single"/>
        </w:rPr>
        <w:t>三方验收为隐蔽工程验收、分项工程验收及分部工程验收，预验收、竣工验收，设备材料进场验收、工序验收、标准及表格按国家及地方规定执行。</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两方参检的部位、标准及表格形式：</w:t>
      </w:r>
      <w:r>
        <w:rPr>
          <w:rFonts w:hint="eastAsia" w:ascii="宋体" w:hAnsi="宋体" w:cs="仿宋_GB2312"/>
          <w:szCs w:val="21"/>
          <w:highlight w:val="none"/>
          <w:u w:val="single"/>
        </w:rPr>
        <w:t xml:space="preserve">  执行国家及地方强制性规范及行业标准。  </w:t>
      </w:r>
    </w:p>
    <w:p>
      <w:pPr>
        <w:spacing w:line="400" w:lineRule="exact"/>
        <w:ind w:firstLine="420"/>
        <w:rPr>
          <w:rFonts w:ascii="宋体" w:hAnsi="宋体" w:cs="仿宋_GB2312"/>
          <w:szCs w:val="21"/>
          <w:highlight w:val="none"/>
          <w:u w:val="single"/>
        </w:rPr>
      </w:pPr>
      <w:r>
        <w:rPr>
          <w:rFonts w:hint="eastAsia" w:ascii="宋体" w:hAnsi="宋体" w:cs="仿宋_GB2312"/>
          <w:szCs w:val="21"/>
          <w:highlight w:val="none"/>
        </w:rPr>
        <w:t>第三方检查的部位、标准及表格形式：</w:t>
      </w:r>
      <w:r>
        <w:rPr>
          <w:rFonts w:hint="eastAsia" w:ascii="宋体" w:hAnsi="宋体" w:cs="仿宋_GB2312"/>
          <w:szCs w:val="21"/>
          <w:highlight w:val="none"/>
          <w:u w:val="single"/>
        </w:rPr>
        <w:t xml:space="preserve">执行国家及地方强制性规范及行业标准。  </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承包人自检的部位、标准及表格形式：</w:t>
      </w:r>
      <w:r>
        <w:rPr>
          <w:rFonts w:hint="eastAsia" w:ascii="宋体" w:hAnsi="宋体" w:cs="仿宋_GB2312"/>
          <w:szCs w:val="21"/>
          <w:highlight w:val="none"/>
          <w:u w:val="single"/>
        </w:rPr>
        <w:t xml:space="preserve">执行国家及地方强制性规范及行业标准。  </w:t>
      </w:r>
    </w:p>
    <w:p>
      <w:pPr>
        <w:spacing w:before="156" w:beforeLines="50" w:after="156" w:afterLines="50" w:line="400" w:lineRule="exact"/>
        <w:ind w:firstLine="422"/>
        <w:outlineLvl w:val="2"/>
        <w:rPr>
          <w:rFonts w:ascii="宋体" w:hAnsi="宋体" w:cs="仿宋_GB2312"/>
          <w:b/>
          <w:szCs w:val="21"/>
          <w:highlight w:val="none"/>
        </w:rPr>
      </w:pPr>
      <w:bookmarkStart w:id="671" w:name="_Toc499566773"/>
      <w:bookmarkStart w:id="672" w:name="_Toc499566968"/>
      <w:bookmarkStart w:id="673" w:name="_Toc440118414"/>
      <w:bookmarkStart w:id="674" w:name="_Toc446841819"/>
      <w:r>
        <w:rPr>
          <w:rFonts w:hint="eastAsia" w:ascii="宋体" w:hAnsi="宋体" w:cs="仿宋_GB2312"/>
          <w:b/>
          <w:szCs w:val="21"/>
          <w:highlight w:val="none"/>
        </w:rPr>
        <w:t>7.6  隐蔽工程和中间验收</w:t>
      </w:r>
      <w:bookmarkEnd w:id="671"/>
      <w:bookmarkEnd w:id="672"/>
      <w:bookmarkEnd w:id="673"/>
      <w:bookmarkEnd w:id="674"/>
    </w:p>
    <w:p>
      <w:pPr>
        <w:spacing w:line="400" w:lineRule="exact"/>
        <w:ind w:firstLine="420"/>
        <w:rPr>
          <w:rFonts w:ascii="宋体" w:hAnsi="宋体" w:cs="仿宋_GB2312"/>
          <w:szCs w:val="21"/>
          <w:highlight w:val="none"/>
        </w:rPr>
      </w:pPr>
      <w:r>
        <w:rPr>
          <w:rFonts w:hint="eastAsia" w:ascii="宋体" w:hAnsi="宋体" w:cs="仿宋_GB2312"/>
          <w:szCs w:val="21"/>
          <w:highlight w:val="none"/>
        </w:rPr>
        <w:t>7.6.1  隐蔽工程和中间验收。</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需要质检的隐蔽工程和中间验收部位的分类、部位、质检内容、标准、表格和参检方的约定：</w:t>
      </w:r>
      <w:r>
        <w:rPr>
          <w:rFonts w:hint="eastAsia" w:ascii="宋体" w:hAnsi="宋体" w:cs="仿宋_GB2312"/>
          <w:szCs w:val="21"/>
          <w:highlight w:val="none"/>
          <w:u w:val="single"/>
        </w:rPr>
        <w:t xml:space="preserve"> 执行国家及地方规范及行业标准。</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7.8.1  职业健康、安全、环境保护管理</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（2）提交职业健康、安全、环境保护管理实施计划的份数和时间：</w:t>
      </w:r>
      <w:r>
        <w:rPr>
          <w:rFonts w:hint="eastAsia" w:ascii="宋体" w:hAnsi="宋体" w:cs="仿宋_GB2312"/>
          <w:szCs w:val="21"/>
          <w:highlight w:val="none"/>
          <w:u w:val="single"/>
        </w:rPr>
        <w:t>进场前3日一式三份。</w:t>
      </w:r>
    </w:p>
    <w:p>
      <w:pPr>
        <w:spacing w:before="156" w:beforeLines="50" w:after="156" w:afterLines="50" w:line="300" w:lineRule="auto"/>
        <w:ind w:firstLine="413" w:firstLineChars="196"/>
        <w:outlineLvl w:val="1"/>
        <w:rPr>
          <w:rFonts w:ascii="宋体" w:hAnsi="宋体" w:cs="仿宋_GB2312"/>
          <w:b/>
          <w:szCs w:val="21"/>
          <w:highlight w:val="none"/>
        </w:rPr>
      </w:pPr>
      <w:bookmarkStart w:id="675" w:name="_Toc499566774"/>
      <w:bookmarkStart w:id="676" w:name="_Toc29195"/>
      <w:bookmarkStart w:id="677" w:name="_Toc30934"/>
      <w:bookmarkStart w:id="678" w:name="_Toc451936016"/>
      <w:bookmarkStart w:id="679" w:name="_Toc32372"/>
      <w:bookmarkStart w:id="680" w:name="_Toc440118415"/>
      <w:bookmarkStart w:id="681" w:name="_Toc446841820"/>
      <w:bookmarkStart w:id="682" w:name="_Toc26691"/>
      <w:bookmarkStart w:id="683" w:name="_Toc499566969"/>
      <w:bookmarkStart w:id="684" w:name="_Toc2313"/>
      <w:r>
        <w:rPr>
          <w:rFonts w:hint="eastAsia" w:ascii="宋体" w:hAnsi="宋体" w:cs="仿宋_GB2312"/>
          <w:b/>
          <w:szCs w:val="21"/>
          <w:highlight w:val="none"/>
        </w:rPr>
        <w:t>第8条  竣工试验</w:t>
      </w:r>
      <w:bookmarkEnd w:id="675"/>
      <w:bookmarkEnd w:id="676"/>
      <w:bookmarkEnd w:id="677"/>
      <w:bookmarkEnd w:id="678"/>
      <w:bookmarkEnd w:id="679"/>
      <w:bookmarkEnd w:id="680"/>
      <w:bookmarkEnd w:id="681"/>
      <w:bookmarkEnd w:id="682"/>
      <w:bookmarkEnd w:id="683"/>
      <w:bookmarkEnd w:id="684"/>
    </w:p>
    <w:p>
      <w:pPr>
        <w:spacing w:before="156" w:beforeLines="50" w:after="156" w:afterLines="50" w:line="400" w:lineRule="exact"/>
        <w:ind w:firstLine="420"/>
        <w:rPr>
          <w:rFonts w:ascii="宋体" w:hAnsi="宋体" w:cs="仿宋_GB2312"/>
          <w:szCs w:val="21"/>
          <w:highlight w:val="none"/>
        </w:rPr>
      </w:pPr>
      <w:r>
        <w:rPr>
          <w:rFonts w:hint="eastAsia" w:ascii="宋体" w:hAnsi="宋体" w:cs="仿宋_GB2312"/>
          <w:szCs w:val="21"/>
          <w:highlight w:val="none"/>
        </w:rPr>
        <w:t>本合同工程，包含竣工试验阶段。</w:t>
      </w:r>
    </w:p>
    <w:p>
      <w:pPr>
        <w:spacing w:before="156" w:beforeLines="50" w:after="156" w:afterLines="50" w:line="400" w:lineRule="exact"/>
        <w:ind w:firstLine="422"/>
        <w:outlineLvl w:val="2"/>
        <w:rPr>
          <w:rFonts w:ascii="宋体" w:hAnsi="宋体" w:cs="仿宋_GB2312"/>
          <w:b/>
          <w:szCs w:val="21"/>
          <w:highlight w:val="none"/>
        </w:rPr>
      </w:pPr>
      <w:bookmarkStart w:id="685" w:name="_Toc499566775"/>
      <w:bookmarkStart w:id="686" w:name="_Toc499566970"/>
      <w:bookmarkStart w:id="687" w:name="_Toc440118416"/>
      <w:bookmarkStart w:id="688" w:name="_Toc446841821"/>
      <w:r>
        <w:rPr>
          <w:rFonts w:hint="eastAsia" w:ascii="宋体" w:hAnsi="宋体" w:cs="仿宋_GB2312"/>
          <w:b/>
          <w:szCs w:val="21"/>
          <w:highlight w:val="none"/>
        </w:rPr>
        <w:t>8.1  竣工试验的义务</w:t>
      </w:r>
      <w:bookmarkEnd w:id="685"/>
      <w:bookmarkEnd w:id="686"/>
      <w:bookmarkEnd w:id="687"/>
      <w:bookmarkEnd w:id="688"/>
    </w:p>
    <w:p>
      <w:pPr>
        <w:spacing w:line="400" w:lineRule="exact"/>
        <w:ind w:firstLine="420"/>
        <w:rPr>
          <w:rFonts w:ascii="宋体" w:hAnsi="宋体" w:cs="仿宋_GB2312"/>
          <w:szCs w:val="21"/>
          <w:highlight w:val="none"/>
        </w:rPr>
      </w:pPr>
      <w:r>
        <w:rPr>
          <w:rFonts w:hint="eastAsia" w:ascii="宋体" w:hAnsi="宋体" w:cs="仿宋_GB2312"/>
          <w:szCs w:val="21"/>
          <w:highlight w:val="none"/>
        </w:rPr>
        <w:t>8.1.1  承包人的一般义务</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（1） 竣工试验方案</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提交竣工试验方案的份数和时间：</w:t>
      </w:r>
      <w:r>
        <w:rPr>
          <w:rFonts w:hint="eastAsia" w:ascii="宋体" w:hAnsi="宋体" w:cs="仿宋_GB2312"/>
          <w:szCs w:val="21"/>
          <w:highlight w:val="none"/>
          <w:u w:val="single"/>
        </w:rPr>
        <w:t>在达到竣工试验条件20日前，一式三份。</w:t>
      </w:r>
    </w:p>
    <w:p>
      <w:pPr>
        <w:spacing w:before="156" w:beforeLines="50" w:after="156" w:afterLines="50" w:line="300" w:lineRule="auto"/>
        <w:ind w:firstLine="413" w:firstLineChars="196"/>
        <w:outlineLvl w:val="1"/>
        <w:rPr>
          <w:rFonts w:ascii="宋体" w:hAnsi="宋体" w:cs="仿宋_GB2312"/>
          <w:b/>
          <w:szCs w:val="21"/>
          <w:highlight w:val="none"/>
        </w:rPr>
      </w:pPr>
      <w:bookmarkStart w:id="689" w:name="_Toc499566971"/>
      <w:bookmarkStart w:id="690" w:name="_Toc499566776"/>
      <w:bookmarkStart w:id="691" w:name="_Toc22523"/>
      <w:bookmarkStart w:id="692" w:name="_Toc446841822"/>
      <w:bookmarkStart w:id="693" w:name="_Toc31716"/>
      <w:bookmarkStart w:id="694" w:name="_Toc440118417"/>
      <w:bookmarkStart w:id="695" w:name="_Toc97"/>
      <w:bookmarkStart w:id="696" w:name="_Toc23101"/>
      <w:bookmarkStart w:id="697" w:name="_Toc451936017"/>
      <w:bookmarkStart w:id="698" w:name="_Toc3422"/>
      <w:r>
        <w:rPr>
          <w:rFonts w:hint="eastAsia" w:ascii="宋体" w:hAnsi="宋体" w:cs="仿宋_GB2312"/>
          <w:b/>
          <w:szCs w:val="21"/>
          <w:highlight w:val="none"/>
        </w:rPr>
        <w:t>第9条  工程接收</w:t>
      </w:r>
      <w:bookmarkEnd w:id="689"/>
      <w:bookmarkEnd w:id="690"/>
      <w:bookmarkEnd w:id="691"/>
      <w:bookmarkEnd w:id="692"/>
      <w:bookmarkEnd w:id="693"/>
      <w:bookmarkEnd w:id="694"/>
      <w:bookmarkEnd w:id="695"/>
      <w:bookmarkEnd w:id="696"/>
      <w:bookmarkEnd w:id="697"/>
      <w:bookmarkEnd w:id="698"/>
    </w:p>
    <w:p>
      <w:pPr>
        <w:spacing w:before="156" w:beforeLines="50" w:after="156" w:afterLines="50" w:line="400" w:lineRule="exact"/>
        <w:ind w:firstLine="422"/>
        <w:outlineLvl w:val="2"/>
        <w:rPr>
          <w:rFonts w:ascii="宋体" w:hAnsi="宋体" w:cs="仿宋_GB2312"/>
          <w:b/>
          <w:szCs w:val="21"/>
          <w:highlight w:val="none"/>
        </w:rPr>
      </w:pPr>
      <w:bookmarkStart w:id="699" w:name="_Toc499566972"/>
      <w:bookmarkStart w:id="700" w:name="_Toc440118418"/>
      <w:bookmarkStart w:id="701" w:name="_Toc499566777"/>
      <w:bookmarkStart w:id="702" w:name="_Toc446841823"/>
      <w:r>
        <w:rPr>
          <w:rFonts w:hint="eastAsia" w:ascii="宋体" w:hAnsi="宋体" w:cs="仿宋_GB2312"/>
          <w:b/>
          <w:szCs w:val="21"/>
          <w:highlight w:val="none"/>
        </w:rPr>
        <w:t>9.1  工程接收</w:t>
      </w:r>
      <w:bookmarkEnd w:id="699"/>
      <w:bookmarkEnd w:id="700"/>
      <w:bookmarkEnd w:id="701"/>
      <w:bookmarkEnd w:id="702"/>
    </w:p>
    <w:p>
      <w:pPr>
        <w:spacing w:line="400" w:lineRule="exact"/>
        <w:ind w:firstLine="420"/>
        <w:rPr>
          <w:rFonts w:ascii="宋体" w:hAnsi="宋体" w:cs="仿宋_GB2312"/>
          <w:szCs w:val="21"/>
          <w:highlight w:val="none"/>
        </w:rPr>
      </w:pPr>
      <w:r>
        <w:rPr>
          <w:rFonts w:hint="eastAsia" w:ascii="宋体" w:hAnsi="宋体" w:cs="仿宋_GB2312"/>
          <w:szCs w:val="21"/>
          <w:highlight w:val="none"/>
        </w:rPr>
        <w:t>9.1.1  按单项工程或（和）按工程接收</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在以下两种情况中选择其一，作为双方对工程接受的约定。</w:t>
      </w:r>
    </w:p>
    <w:p>
      <w:pPr>
        <w:spacing w:line="400" w:lineRule="exact"/>
        <w:ind w:firstLine="420"/>
        <w:rPr>
          <w:rFonts w:ascii="宋体" w:hAnsi="宋体" w:cs="仿宋_GB2312"/>
          <w:szCs w:val="21"/>
          <w:highlight w:val="none"/>
          <w:u w:val="single"/>
        </w:rPr>
      </w:pPr>
      <w:r>
        <w:rPr>
          <w:rFonts w:hint="eastAsia" w:ascii="宋体" w:hAnsi="宋体" w:cs="仿宋_GB2312"/>
          <w:szCs w:val="21"/>
          <w:highlight w:val="none"/>
        </w:rPr>
        <w:t>□ 由承包人负责指导发包人进行单项工程或（和）工程竣工后试验，并承担试运行考核责任的，接收单项工程的先后顺序及时间安排，或接受工程的时间安排如下：</w:t>
      </w:r>
      <w:r>
        <w:rPr>
          <w:rFonts w:hint="eastAsia" w:ascii="宋体" w:hAnsi="宋体" w:cs="仿宋_GB2312"/>
          <w:szCs w:val="21"/>
          <w:highlight w:val="none"/>
          <w:u w:val="single"/>
        </w:rPr>
        <w:t xml:space="preserve">                   .</w:t>
      </w:r>
    </w:p>
    <w:p>
      <w:pPr>
        <w:spacing w:line="400" w:lineRule="exact"/>
        <w:ind w:firstLine="420"/>
        <w:rPr>
          <w:rFonts w:ascii="宋体" w:hAnsi="宋体" w:cs="仿宋_GB2312"/>
          <w:szCs w:val="21"/>
          <w:highlight w:val="none"/>
          <w:u w:val="single"/>
        </w:rPr>
      </w:pPr>
      <w:r>
        <w:rPr>
          <w:rFonts w:hint="eastAsia" w:ascii="宋体" w:hAnsi="宋体" w:cs="仿宋_GB2312"/>
          <w:szCs w:val="21"/>
          <w:highlight w:val="none"/>
        </w:rPr>
        <w:fldChar w:fldCharType="begin"/>
      </w:r>
      <w:r>
        <w:rPr>
          <w:rFonts w:hint="eastAsia" w:ascii="宋体" w:hAnsi="宋体" w:cs="仿宋_GB2312"/>
          <w:szCs w:val="21"/>
          <w:highlight w:val="none"/>
        </w:rPr>
        <w:instrText xml:space="preserve"> eq \o\ac(</w:instrText>
      </w:r>
      <w:r>
        <w:rPr>
          <w:rFonts w:hint="eastAsia" w:ascii="宋体" w:hAnsi="宋体" w:cs="仿宋_GB2312"/>
          <w:position w:val="-4"/>
          <w:sz w:val="31"/>
          <w:szCs w:val="21"/>
          <w:highlight w:val="none"/>
        </w:rPr>
        <w:instrText xml:space="preserve">□</w:instrText>
      </w:r>
      <w:r>
        <w:rPr>
          <w:rFonts w:hint="eastAsia" w:ascii="宋体" w:hAnsi="宋体" w:cs="仿宋_GB2312"/>
          <w:szCs w:val="21"/>
          <w:highlight w:val="none"/>
        </w:rPr>
        <w:instrText xml:space="preserve">,√)</w:instrText>
      </w:r>
      <w:r>
        <w:rPr>
          <w:rFonts w:hint="eastAsia" w:ascii="宋体" w:hAnsi="宋体" w:cs="仿宋_GB2312"/>
          <w:szCs w:val="21"/>
          <w:highlight w:val="none"/>
        </w:rPr>
        <w:fldChar w:fldCharType="end"/>
      </w:r>
      <w:r>
        <w:rPr>
          <w:rFonts w:hint="eastAsia" w:ascii="宋体" w:hAnsi="宋体" w:cs="仿宋_GB2312"/>
          <w:szCs w:val="21"/>
          <w:highlight w:val="none"/>
        </w:rPr>
        <w:t xml:space="preserve"> 由发包人负责单项工程或（和）工程竣工后试验及其试运行考核责任的，接收单项工程的先后顺序及时间安排，或接收工程的时间安排如下：</w:t>
      </w:r>
      <w:r>
        <w:rPr>
          <w:rFonts w:hint="eastAsia" w:ascii="宋体" w:hAnsi="宋体" w:cs="仿宋_GB2312"/>
          <w:szCs w:val="21"/>
          <w:highlight w:val="none"/>
          <w:u w:val="single"/>
        </w:rPr>
        <w:t xml:space="preserve">/ </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9.1.2  接收工程提交的资料</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提交竣工试验资料的类别、内容、份数和时间：</w:t>
      </w:r>
      <w:r>
        <w:rPr>
          <w:rFonts w:hint="eastAsia" w:ascii="宋体" w:hAnsi="宋体" w:cs="仿宋_GB2312"/>
          <w:szCs w:val="21"/>
          <w:highlight w:val="none"/>
          <w:u w:val="single"/>
        </w:rPr>
        <w:t>竣工试验完成后7日内，提交一式三份资料。</w:t>
      </w:r>
    </w:p>
    <w:p>
      <w:pPr>
        <w:spacing w:before="156" w:beforeLines="50" w:after="156" w:afterLines="50" w:line="300" w:lineRule="auto"/>
        <w:ind w:firstLine="413" w:firstLineChars="196"/>
        <w:outlineLvl w:val="1"/>
        <w:rPr>
          <w:rFonts w:ascii="宋体" w:hAnsi="宋体" w:cs="仿宋_GB2312"/>
          <w:b/>
          <w:szCs w:val="21"/>
          <w:highlight w:val="none"/>
        </w:rPr>
      </w:pPr>
      <w:bookmarkStart w:id="703" w:name="_Toc32767"/>
      <w:bookmarkStart w:id="704" w:name="_Toc440118419"/>
      <w:bookmarkStart w:id="705" w:name="_Toc2697"/>
      <w:bookmarkStart w:id="706" w:name="_Toc11763"/>
      <w:bookmarkStart w:id="707" w:name="_Toc499566973"/>
      <w:bookmarkStart w:id="708" w:name="_Toc11776"/>
      <w:bookmarkStart w:id="709" w:name="_Toc451936018"/>
      <w:bookmarkStart w:id="710" w:name="_Toc12420"/>
      <w:bookmarkStart w:id="711" w:name="_Toc446841824"/>
      <w:bookmarkStart w:id="712" w:name="_Toc499566778"/>
      <w:r>
        <w:rPr>
          <w:rFonts w:hint="eastAsia" w:ascii="宋体" w:hAnsi="宋体" w:cs="仿宋_GB2312"/>
          <w:b/>
          <w:szCs w:val="21"/>
          <w:highlight w:val="none"/>
        </w:rPr>
        <w:t>第10条  竣工后试验</w:t>
      </w:r>
      <w:bookmarkEnd w:id="703"/>
      <w:bookmarkEnd w:id="704"/>
      <w:bookmarkEnd w:id="705"/>
      <w:bookmarkEnd w:id="706"/>
      <w:bookmarkEnd w:id="707"/>
      <w:bookmarkEnd w:id="708"/>
      <w:bookmarkEnd w:id="709"/>
      <w:bookmarkEnd w:id="710"/>
      <w:bookmarkEnd w:id="711"/>
      <w:bookmarkEnd w:id="712"/>
    </w:p>
    <w:p>
      <w:pPr>
        <w:spacing w:before="156" w:beforeLines="50" w:after="156" w:afterLines="50" w:line="400" w:lineRule="exact"/>
        <w:ind w:firstLine="420"/>
        <w:rPr>
          <w:rFonts w:ascii="宋体" w:hAnsi="宋体" w:cs="仿宋_GB2312"/>
          <w:szCs w:val="21"/>
          <w:highlight w:val="none"/>
        </w:rPr>
      </w:pPr>
      <w:r>
        <w:rPr>
          <w:rFonts w:hint="eastAsia" w:ascii="宋体" w:hAnsi="宋体" w:cs="仿宋_GB2312"/>
          <w:szCs w:val="21"/>
          <w:highlight w:val="none"/>
        </w:rPr>
        <w:t>本合同包含承包人知道竣工后试验。</w:t>
      </w:r>
    </w:p>
    <w:p>
      <w:pPr>
        <w:spacing w:before="156" w:beforeLines="50" w:after="156" w:afterLines="50" w:line="400" w:lineRule="exact"/>
        <w:ind w:firstLine="422"/>
        <w:outlineLvl w:val="2"/>
        <w:rPr>
          <w:rFonts w:ascii="宋体" w:hAnsi="宋体" w:cs="仿宋_GB2312"/>
          <w:b/>
          <w:szCs w:val="21"/>
          <w:highlight w:val="none"/>
        </w:rPr>
      </w:pPr>
      <w:bookmarkStart w:id="713" w:name="_Toc440118420"/>
      <w:bookmarkStart w:id="714" w:name="_Toc446841825"/>
      <w:bookmarkStart w:id="715" w:name="_Toc499566779"/>
      <w:bookmarkStart w:id="716" w:name="_Toc499566974"/>
      <w:r>
        <w:rPr>
          <w:rFonts w:hint="eastAsia" w:ascii="宋体" w:hAnsi="宋体" w:cs="仿宋_GB2312"/>
          <w:b/>
          <w:szCs w:val="21"/>
          <w:highlight w:val="none"/>
        </w:rPr>
        <w:t>10.1  权利和义务</w:t>
      </w:r>
      <w:bookmarkEnd w:id="713"/>
      <w:bookmarkEnd w:id="714"/>
      <w:bookmarkEnd w:id="715"/>
      <w:bookmarkEnd w:id="716"/>
    </w:p>
    <w:p>
      <w:pPr>
        <w:spacing w:line="400" w:lineRule="exact"/>
        <w:ind w:firstLine="420"/>
        <w:rPr>
          <w:rFonts w:ascii="宋体" w:hAnsi="宋体" w:cs="仿宋_GB2312"/>
          <w:szCs w:val="21"/>
          <w:highlight w:val="none"/>
        </w:rPr>
      </w:pPr>
      <w:r>
        <w:rPr>
          <w:rFonts w:hint="eastAsia" w:ascii="宋体" w:hAnsi="宋体" w:cs="仿宋_GB2312"/>
          <w:szCs w:val="21"/>
          <w:highlight w:val="none"/>
        </w:rPr>
        <w:t>10.1.1  发包人的权利和义务</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（6） 其它义务和工作：</w:t>
      </w:r>
      <w:r>
        <w:rPr>
          <w:rFonts w:hint="eastAsia" w:ascii="宋体" w:hAnsi="宋体" w:cs="仿宋_GB2312"/>
          <w:szCs w:val="21"/>
          <w:highlight w:val="none"/>
          <w:u w:val="single"/>
        </w:rPr>
        <w:t xml:space="preserve">       ／       .</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10.1.2  承包人的责任和义务</w:t>
      </w:r>
    </w:p>
    <w:p>
      <w:pPr>
        <w:spacing w:line="400" w:lineRule="exact"/>
        <w:ind w:firstLine="420"/>
        <w:rPr>
          <w:rFonts w:ascii="宋体" w:hAnsi="宋体" w:cs="仿宋_GB2312"/>
          <w:szCs w:val="21"/>
          <w:highlight w:val="none"/>
          <w:u w:val="single"/>
        </w:rPr>
      </w:pPr>
      <w:r>
        <w:rPr>
          <w:rFonts w:hint="eastAsia" w:ascii="宋体" w:hAnsi="宋体" w:cs="仿宋_GB2312"/>
          <w:szCs w:val="21"/>
          <w:highlight w:val="none"/>
        </w:rPr>
        <w:t>（2） 竣工后试验方案的份数和完成时间：</w:t>
      </w:r>
      <w:r>
        <w:rPr>
          <w:rFonts w:hint="eastAsia" w:ascii="宋体" w:hAnsi="宋体" w:cs="仿宋_GB2312"/>
          <w:szCs w:val="21"/>
          <w:highlight w:val="none"/>
          <w:u w:val="single"/>
        </w:rPr>
        <w:t xml:space="preserve"> 发包人颁发工程接收证书后7日内，一式三份。 </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（7） 其它义务和工作：</w:t>
      </w:r>
      <w:r>
        <w:rPr>
          <w:rFonts w:hint="eastAsia" w:ascii="宋体" w:hAnsi="宋体" w:cs="仿宋_GB2312"/>
          <w:szCs w:val="21"/>
          <w:highlight w:val="none"/>
          <w:u w:val="single"/>
        </w:rPr>
        <w:t xml:space="preserve">  执行行业规定。   </w:t>
      </w:r>
    </w:p>
    <w:p>
      <w:pPr>
        <w:spacing w:before="156" w:beforeLines="50" w:after="156" w:afterLines="50" w:line="400" w:lineRule="exact"/>
        <w:ind w:firstLine="422"/>
        <w:outlineLvl w:val="2"/>
        <w:rPr>
          <w:rFonts w:ascii="宋体" w:hAnsi="宋体" w:cs="仿宋_GB2312"/>
          <w:b/>
          <w:szCs w:val="21"/>
          <w:highlight w:val="none"/>
        </w:rPr>
      </w:pPr>
      <w:bookmarkStart w:id="717" w:name="_Toc499566780"/>
      <w:bookmarkStart w:id="718" w:name="_Toc440118421"/>
      <w:bookmarkStart w:id="719" w:name="_Toc446841826"/>
      <w:bookmarkStart w:id="720" w:name="_Toc499566975"/>
      <w:r>
        <w:rPr>
          <w:rFonts w:hint="eastAsia" w:ascii="宋体" w:hAnsi="宋体" w:cs="仿宋_GB2312"/>
          <w:b/>
          <w:szCs w:val="21"/>
          <w:highlight w:val="none"/>
        </w:rPr>
        <w:t>10.2  竣工后试验程序</w:t>
      </w:r>
      <w:bookmarkEnd w:id="717"/>
      <w:bookmarkEnd w:id="718"/>
      <w:bookmarkEnd w:id="719"/>
      <w:bookmarkEnd w:id="720"/>
      <w:r>
        <w:rPr>
          <w:rFonts w:hint="eastAsia" w:ascii="宋体" w:hAnsi="宋体" w:cs="仿宋_GB2312"/>
          <w:b/>
          <w:szCs w:val="21"/>
          <w:highlight w:val="none"/>
        </w:rPr>
        <w:t xml:space="preserve"> </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10.2.5竣工后试验日期的通知</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单项工程或（和）工程竣工后试验开始日期的约定：</w:t>
      </w:r>
      <w:r>
        <w:rPr>
          <w:rFonts w:hint="eastAsia" w:ascii="宋体" w:hAnsi="宋体" w:cs="仿宋_GB2312"/>
          <w:szCs w:val="21"/>
          <w:highlight w:val="none"/>
          <w:u w:val="single"/>
        </w:rPr>
        <w:t xml:space="preserve">根据实际进度另行商定。 </w:t>
      </w:r>
    </w:p>
    <w:p>
      <w:pPr>
        <w:spacing w:before="156" w:beforeLines="50" w:after="156" w:afterLines="50" w:line="400" w:lineRule="exact"/>
        <w:ind w:firstLine="422"/>
        <w:outlineLvl w:val="2"/>
        <w:rPr>
          <w:rFonts w:ascii="宋体" w:hAnsi="宋体" w:cs="仿宋_GB2312"/>
          <w:b/>
          <w:szCs w:val="21"/>
          <w:highlight w:val="none"/>
        </w:rPr>
      </w:pPr>
      <w:bookmarkStart w:id="721" w:name="_Toc499566976"/>
      <w:bookmarkStart w:id="722" w:name="_Toc499566781"/>
      <w:bookmarkStart w:id="723" w:name="_Toc440118422"/>
      <w:bookmarkStart w:id="724" w:name="_Toc446841827"/>
      <w:r>
        <w:rPr>
          <w:rFonts w:hint="eastAsia" w:ascii="宋体" w:hAnsi="宋体" w:cs="仿宋_GB2312"/>
          <w:b/>
          <w:szCs w:val="21"/>
          <w:highlight w:val="none"/>
        </w:rPr>
        <w:t>10.3  竣工后试验及试运行考核</w:t>
      </w:r>
      <w:bookmarkEnd w:id="721"/>
      <w:bookmarkEnd w:id="722"/>
      <w:bookmarkEnd w:id="723"/>
      <w:bookmarkEnd w:id="724"/>
    </w:p>
    <w:p>
      <w:pPr>
        <w:spacing w:line="400" w:lineRule="exact"/>
        <w:ind w:firstLine="420"/>
        <w:rPr>
          <w:rFonts w:ascii="宋体" w:hAnsi="宋体" w:cs="仿宋_GB2312"/>
          <w:szCs w:val="21"/>
          <w:highlight w:val="none"/>
        </w:rPr>
      </w:pPr>
      <w:r>
        <w:rPr>
          <w:rFonts w:hint="eastAsia" w:ascii="宋体" w:hAnsi="宋体" w:cs="仿宋_GB2312"/>
          <w:szCs w:val="21"/>
          <w:highlight w:val="none"/>
        </w:rPr>
        <w:t>10.3.3 试运行考核</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（3）试运行考核周期：</w:t>
      </w:r>
      <w:r>
        <w:rPr>
          <w:rFonts w:hint="eastAsia" w:ascii="宋体" w:hAnsi="宋体" w:cs="仿宋_GB2312"/>
          <w:szCs w:val="21"/>
          <w:highlight w:val="none"/>
          <w:u w:val="single"/>
        </w:rPr>
        <w:t>按国</w:t>
      </w:r>
      <w:r>
        <w:rPr>
          <w:rFonts w:hint="eastAsia" w:ascii="宋体" w:hAnsi="宋体" w:cs="仿宋_GB2312"/>
          <w:szCs w:val="21"/>
          <w:highlight w:val="none"/>
          <w:u w:val="single"/>
        </w:rPr>
        <w:t>家</w:t>
      </w:r>
      <w:r>
        <w:rPr>
          <w:rFonts w:hint="eastAsia" w:ascii="宋体" w:hAnsi="宋体" w:cs="仿宋_GB2312"/>
          <w:color w:val="FF0000"/>
          <w:szCs w:val="21"/>
          <w:highlight w:val="none"/>
          <w:u w:val="single"/>
        </w:rPr>
        <w:t>水利行业</w:t>
      </w:r>
      <w:r>
        <w:rPr>
          <w:rFonts w:hint="eastAsia" w:ascii="宋体" w:hAnsi="宋体" w:cs="仿宋_GB2312"/>
          <w:color w:val="FF0000"/>
          <w:szCs w:val="21"/>
          <w:highlight w:val="none"/>
          <w:u w:val="single"/>
        </w:rPr>
        <w:t>相</w:t>
      </w:r>
      <w:r>
        <w:rPr>
          <w:rFonts w:hint="eastAsia" w:ascii="宋体" w:hAnsi="宋体" w:cs="仿宋_GB2312"/>
          <w:szCs w:val="21"/>
          <w:highlight w:val="none"/>
          <w:u w:val="single"/>
        </w:rPr>
        <w:t>关规定执行</w:t>
      </w:r>
      <w:r>
        <w:rPr>
          <w:rFonts w:hint="eastAsia" w:ascii="宋体" w:hAnsi="宋体" w:cs="仿宋_GB2312"/>
          <w:szCs w:val="21"/>
          <w:highlight w:val="none"/>
        </w:rPr>
        <w:t>小时（或天、周、月、年）</w:t>
      </w:r>
    </w:p>
    <w:p>
      <w:pPr>
        <w:spacing w:before="156" w:beforeLines="50" w:after="156" w:afterLines="50" w:line="400" w:lineRule="exact"/>
        <w:ind w:firstLine="422"/>
        <w:outlineLvl w:val="2"/>
        <w:rPr>
          <w:rFonts w:ascii="宋体" w:hAnsi="宋体" w:cs="仿宋_GB2312"/>
          <w:b/>
          <w:szCs w:val="21"/>
          <w:highlight w:val="none"/>
        </w:rPr>
      </w:pPr>
      <w:bookmarkStart w:id="725" w:name="_Toc446841828"/>
      <w:bookmarkStart w:id="726" w:name="_Toc499566782"/>
      <w:bookmarkStart w:id="727" w:name="_Toc499566977"/>
      <w:bookmarkStart w:id="728" w:name="_Toc440118423"/>
      <w:r>
        <w:rPr>
          <w:rFonts w:hint="eastAsia" w:ascii="宋体" w:hAnsi="宋体" w:cs="仿宋_GB2312"/>
          <w:b/>
          <w:szCs w:val="21"/>
          <w:highlight w:val="none"/>
        </w:rPr>
        <w:t>10.6  未能通过考核</w:t>
      </w:r>
      <w:bookmarkEnd w:id="725"/>
      <w:bookmarkEnd w:id="726"/>
      <w:bookmarkEnd w:id="727"/>
      <w:bookmarkEnd w:id="728"/>
    </w:p>
    <w:p>
      <w:pPr>
        <w:spacing w:line="400" w:lineRule="exact"/>
        <w:ind w:firstLine="420"/>
        <w:rPr>
          <w:rFonts w:ascii="宋体" w:hAnsi="宋体" w:cs="仿宋_GB2312"/>
          <w:szCs w:val="21"/>
          <w:highlight w:val="none"/>
        </w:rPr>
      </w:pPr>
      <w:r>
        <w:rPr>
          <w:rFonts w:hint="eastAsia" w:ascii="宋体" w:hAnsi="宋体" w:cs="仿宋_GB2312"/>
          <w:szCs w:val="21"/>
          <w:highlight w:val="none"/>
        </w:rPr>
        <w:t>（1）未能通过试运行考核的赔偿</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1）承包人提供的生产工艺技术或建筑设计方案未能通过试运行考核的赔偿</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根据工程情况，在以下方式中选择一项，作为双方的考核赔偿约定，</w:t>
      </w:r>
    </w:p>
    <w:p>
      <w:pPr>
        <w:spacing w:line="400" w:lineRule="exact"/>
        <w:ind w:left="481" w:leftChars="229" w:firstLine="210" w:firstLineChars="100"/>
        <w:rPr>
          <w:rFonts w:ascii="宋体" w:hAnsi="宋体" w:cs="仿宋_GB2312"/>
          <w:szCs w:val="21"/>
          <w:highlight w:val="none"/>
        </w:rPr>
      </w:pPr>
      <w:r>
        <w:rPr>
          <w:rFonts w:hint="eastAsia" w:ascii="宋体" w:hAnsi="宋体" w:cs="仿宋_GB2312"/>
          <w:szCs w:val="21"/>
          <w:highlight w:val="none"/>
        </w:rPr>
        <w:t>□ 各单项工程的赔偿金额（或赔偿公式）分别为：</w:t>
      </w:r>
      <w:r>
        <w:rPr>
          <w:rFonts w:hint="eastAsia" w:ascii="宋体" w:hAnsi="宋体" w:cs="仿宋_GB2312"/>
          <w:szCs w:val="21"/>
          <w:highlight w:val="none"/>
          <w:u w:val="single"/>
        </w:rPr>
        <w:t xml:space="preserve">                     .</w:t>
      </w:r>
    </w:p>
    <w:p>
      <w:pPr>
        <w:spacing w:line="400" w:lineRule="exact"/>
        <w:ind w:left="481" w:leftChars="229" w:firstLine="210" w:firstLineChars="100"/>
        <w:rPr>
          <w:rFonts w:ascii="宋体" w:hAnsi="宋体" w:cs="仿宋_GB2312"/>
          <w:szCs w:val="21"/>
          <w:highlight w:val="none"/>
        </w:rPr>
      </w:pPr>
      <w:r>
        <w:rPr>
          <w:rFonts w:hint="eastAsia" w:ascii="宋体" w:hAnsi="宋体" w:cs="仿宋_GB2312"/>
          <w:szCs w:val="21"/>
          <w:highlight w:val="none"/>
        </w:rPr>
        <w:fldChar w:fldCharType="begin"/>
      </w:r>
      <w:r>
        <w:rPr>
          <w:rFonts w:hint="eastAsia" w:ascii="宋体" w:hAnsi="宋体" w:cs="仿宋_GB2312"/>
          <w:szCs w:val="21"/>
          <w:highlight w:val="none"/>
        </w:rPr>
        <w:instrText xml:space="preserve"> eq \o\ac(</w:instrText>
      </w:r>
      <w:r>
        <w:rPr>
          <w:rFonts w:hint="eastAsia" w:ascii="宋体" w:hAnsi="宋体" w:cs="仿宋_GB2312"/>
          <w:position w:val="-4"/>
          <w:sz w:val="31"/>
          <w:szCs w:val="21"/>
          <w:highlight w:val="none"/>
        </w:rPr>
        <w:instrText xml:space="preserve">□</w:instrText>
      </w:r>
      <w:r>
        <w:rPr>
          <w:rFonts w:hint="eastAsia" w:ascii="宋体" w:hAnsi="宋体" w:cs="仿宋_GB2312"/>
          <w:szCs w:val="21"/>
          <w:highlight w:val="none"/>
        </w:rPr>
        <w:instrText xml:space="preserve">,√)</w:instrText>
      </w:r>
      <w:r>
        <w:rPr>
          <w:rFonts w:hint="eastAsia" w:ascii="宋体" w:hAnsi="宋体" w:cs="仿宋_GB2312"/>
          <w:szCs w:val="21"/>
          <w:highlight w:val="none"/>
        </w:rPr>
        <w:fldChar w:fldCharType="end"/>
      </w:r>
      <w:r>
        <w:rPr>
          <w:rFonts w:hint="eastAsia" w:ascii="宋体" w:hAnsi="宋体" w:cs="仿宋_GB2312"/>
          <w:szCs w:val="21"/>
          <w:highlight w:val="none"/>
        </w:rPr>
        <w:t xml:space="preserve"> 工程的赔偿金额（或赔偿公式）为：</w:t>
      </w:r>
      <w:r>
        <w:rPr>
          <w:rFonts w:hint="eastAsia" w:ascii="宋体" w:hAnsi="宋体" w:cs="仿宋_GB2312"/>
          <w:szCs w:val="21"/>
          <w:highlight w:val="none"/>
          <w:u w:val="single"/>
        </w:rPr>
        <w:t xml:space="preserve"> 不合格部分，承包人应当在接到通知之日起无条件返工修复，承包人书面确认拒绝返工修复的，发包人有权指定第三方进行返工修复，由承包人承担修复费用，并承担单体工程合同价格3％的赔偿。</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2）发包人提供的生产工艺技术或建筑设计方案未能通过试运行考核的赔偿</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其中，承包人应承担相关责任的赔偿金额（或赔偿公式）为：</w:t>
      </w:r>
      <w:r>
        <w:rPr>
          <w:rFonts w:hint="eastAsia" w:ascii="宋体" w:hAnsi="宋体" w:cs="仿宋_GB2312"/>
          <w:szCs w:val="21"/>
          <w:highlight w:val="none"/>
          <w:u w:val="single"/>
        </w:rPr>
        <w:t xml:space="preserve">   /   。</w:t>
      </w:r>
    </w:p>
    <w:p>
      <w:pPr>
        <w:spacing w:before="156" w:beforeLines="50" w:after="156" w:afterLines="50" w:line="400" w:lineRule="exact"/>
        <w:ind w:firstLine="422"/>
        <w:outlineLvl w:val="2"/>
        <w:rPr>
          <w:rFonts w:ascii="宋体" w:hAnsi="宋体" w:cs="仿宋_GB2312"/>
          <w:b/>
          <w:szCs w:val="21"/>
          <w:highlight w:val="none"/>
        </w:rPr>
      </w:pPr>
      <w:bookmarkStart w:id="729" w:name="_Toc499566978"/>
      <w:bookmarkStart w:id="730" w:name="_Toc440118424"/>
      <w:bookmarkStart w:id="731" w:name="_Toc446841829"/>
      <w:bookmarkStart w:id="732" w:name="_Toc499566783"/>
      <w:r>
        <w:rPr>
          <w:rFonts w:hint="eastAsia" w:ascii="宋体" w:hAnsi="宋体" w:cs="仿宋_GB2312"/>
          <w:b/>
          <w:szCs w:val="21"/>
          <w:highlight w:val="none"/>
        </w:rPr>
        <w:t>10.7  考核验收证书</w:t>
      </w:r>
      <w:bookmarkEnd w:id="729"/>
      <w:bookmarkEnd w:id="730"/>
      <w:bookmarkEnd w:id="731"/>
      <w:bookmarkEnd w:id="732"/>
    </w:p>
    <w:p>
      <w:pPr>
        <w:spacing w:line="400" w:lineRule="exact"/>
        <w:ind w:firstLine="420"/>
        <w:rPr>
          <w:rFonts w:ascii="宋体" w:hAnsi="宋体" w:cs="仿宋_GB2312"/>
          <w:szCs w:val="21"/>
          <w:highlight w:val="none"/>
        </w:rPr>
      </w:pPr>
      <w:r>
        <w:rPr>
          <w:rFonts w:hint="eastAsia" w:ascii="宋体" w:hAnsi="宋体" w:cs="仿宋_GB2312"/>
          <w:szCs w:val="21"/>
          <w:highlight w:val="none"/>
        </w:rPr>
        <w:t>10.7.1在以下方式中选择其一，作为颁发竣工后试验及考核验收证书的约定。</w:t>
      </w:r>
    </w:p>
    <w:p>
      <w:pPr>
        <w:spacing w:line="400" w:lineRule="exact"/>
        <w:ind w:firstLine="630" w:firstLineChars="300"/>
        <w:rPr>
          <w:rFonts w:ascii="宋体" w:hAnsi="宋体" w:cs="仿宋_GB2312"/>
          <w:szCs w:val="21"/>
          <w:highlight w:val="none"/>
        </w:rPr>
      </w:pPr>
      <w:r>
        <w:rPr>
          <w:rFonts w:hint="eastAsia" w:ascii="宋体" w:hAnsi="宋体" w:cs="仿宋_GB2312"/>
          <w:szCs w:val="21"/>
          <w:highlight w:val="none"/>
        </w:rPr>
        <w:fldChar w:fldCharType="begin"/>
      </w:r>
      <w:r>
        <w:rPr>
          <w:rFonts w:hint="eastAsia" w:ascii="宋体" w:hAnsi="宋体" w:cs="仿宋_GB2312"/>
          <w:szCs w:val="21"/>
          <w:highlight w:val="none"/>
        </w:rPr>
        <w:instrText xml:space="preserve"> eq \o\ac(</w:instrText>
      </w:r>
      <w:r>
        <w:rPr>
          <w:rFonts w:hint="eastAsia" w:ascii="宋体" w:hAnsi="宋体" w:cs="仿宋_GB2312"/>
          <w:position w:val="-4"/>
          <w:sz w:val="31"/>
          <w:szCs w:val="21"/>
          <w:highlight w:val="none"/>
        </w:rPr>
        <w:instrText xml:space="preserve">□</w:instrText>
      </w:r>
      <w:r>
        <w:rPr>
          <w:rFonts w:hint="eastAsia" w:ascii="宋体" w:hAnsi="宋体" w:cs="仿宋_GB2312"/>
          <w:szCs w:val="21"/>
          <w:highlight w:val="none"/>
        </w:rPr>
        <w:instrText xml:space="preserve">,√)</w:instrText>
      </w:r>
      <w:r>
        <w:rPr>
          <w:rFonts w:hint="eastAsia" w:ascii="宋体" w:hAnsi="宋体" w:cs="仿宋_GB2312"/>
          <w:szCs w:val="21"/>
          <w:highlight w:val="none"/>
        </w:rPr>
        <w:fldChar w:fldCharType="end"/>
      </w:r>
      <w:r>
        <w:rPr>
          <w:rFonts w:hint="eastAsia" w:ascii="宋体" w:hAnsi="宋体" w:cs="仿宋_GB2312"/>
          <w:szCs w:val="21"/>
          <w:highlight w:val="none"/>
        </w:rPr>
        <w:t xml:space="preserve"> 按工程颁发竣工后试验及考核验收证书</w:t>
      </w:r>
    </w:p>
    <w:p>
      <w:pPr>
        <w:spacing w:line="400" w:lineRule="exact"/>
        <w:ind w:firstLine="630" w:firstLineChars="300"/>
        <w:rPr>
          <w:rFonts w:ascii="宋体" w:hAnsi="宋体" w:cs="仿宋_GB2312"/>
          <w:szCs w:val="21"/>
          <w:highlight w:val="none"/>
        </w:rPr>
      </w:pPr>
      <w:r>
        <w:rPr>
          <w:rFonts w:hint="eastAsia" w:ascii="宋体" w:hAnsi="宋体" w:cs="仿宋_GB2312"/>
          <w:szCs w:val="21"/>
          <w:highlight w:val="none"/>
        </w:rPr>
        <w:t>□ 按单项工程和工程颁发竣工后试验及考核验收证书</w:t>
      </w:r>
    </w:p>
    <w:p>
      <w:pPr>
        <w:spacing w:before="156" w:beforeLines="50" w:after="156" w:afterLines="50" w:line="300" w:lineRule="auto"/>
        <w:ind w:firstLine="413" w:firstLineChars="196"/>
        <w:outlineLvl w:val="1"/>
        <w:rPr>
          <w:rFonts w:ascii="宋体" w:hAnsi="宋体" w:cs="仿宋_GB2312"/>
          <w:b/>
          <w:szCs w:val="21"/>
          <w:highlight w:val="none"/>
        </w:rPr>
      </w:pPr>
      <w:bookmarkStart w:id="733" w:name="_Toc14875"/>
      <w:bookmarkStart w:id="734" w:name="_Toc24454"/>
      <w:bookmarkStart w:id="735" w:name="_Toc451936020"/>
      <w:bookmarkStart w:id="736" w:name="_Toc499566786"/>
      <w:bookmarkStart w:id="737" w:name="_Toc18492"/>
      <w:bookmarkStart w:id="738" w:name="_Toc446841832"/>
      <w:bookmarkStart w:id="739" w:name="_Toc440118427"/>
      <w:bookmarkStart w:id="740" w:name="_Toc30023"/>
      <w:bookmarkStart w:id="741" w:name="_Toc499566981"/>
      <w:bookmarkStart w:id="742" w:name="_Toc9994"/>
      <w:r>
        <w:rPr>
          <w:rFonts w:hint="eastAsia" w:ascii="宋体" w:hAnsi="宋体" w:cs="仿宋_GB2312"/>
          <w:b/>
          <w:szCs w:val="21"/>
          <w:highlight w:val="none"/>
        </w:rPr>
        <w:t>第11条 缺陷责任期及质量保证金</w:t>
      </w:r>
      <w:bookmarkEnd w:id="733"/>
      <w:bookmarkEnd w:id="734"/>
    </w:p>
    <w:p>
      <w:pPr>
        <w:spacing w:before="156" w:beforeLines="50" w:after="156" w:afterLines="50" w:line="300" w:lineRule="auto"/>
        <w:ind w:firstLine="411" w:firstLineChars="196"/>
        <w:outlineLvl w:val="1"/>
        <w:rPr>
          <w:rFonts w:ascii="宋体" w:hAnsi="宋体" w:cs="仿宋_GB2312"/>
          <w:szCs w:val="21"/>
          <w:highlight w:val="none"/>
        </w:rPr>
      </w:pPr>
      <w:bookmarkStart w:id="743" w:name="_Toc1352"/>
      <w:bookmarkStart w:id="744" w:name="_Toc15139"/>
      <w:r>
        <w:rPr>
          <w:rFonts w:hint="eastAsia" w:ascii="宋体" w:hAnsi="宋体" w:cs="仿宋_GB2312"/>
          <w:szCs w:val="21"/>
          <w:highlight w:val="none"/>
        </w:rPr>
        <w:t>11.2 缺陷责任期及质量保证金要求</w:t>
      </w:r>
      <w:bookmarkEnd w:id="743"/>
      <w:bookmarkEnd w:id="744"/>
    </w:p>
    <w:p>
      <w:pPr>
        <w:spacing w:before="156" w:beforeLines="50" w:after="156" w:afterLines="50" w:line="300" w:lineRule="auto"/>
        <w:ind w:firstLine="411" w:firstLineChars="196"/>
        <w:outlineLvl w:val="1"/>
        <w:rPr>
          <w:rFonts w:ascii="宋体" w:hAnsi="宋体" w:cs="仿宋_GB2312"/>
          <w:szCs w:val="21"/>
          <w:highlight w:val="none"/>
        </w:rPr>
      </w:pPr>
      <w:bookmarkStart w:id="745" w:name="_Toc18246"/>
      <w:bookmarkStart w:id="746" w:name="_Toc6270"/>
      <w:r>
        <w:rPr>
          <w:rFonts w:hint="eastAsia" w:ascii="宋体" w:hAnsi="宋体" w:cs="仿宋_GB2312"/>
          <w:szCs w:val="21"/>
          <w:highlight w:val="none"/>
        </w:rPr>
        <w:t>11.2.1质量保证金金额</w:t>
      </w:r>
      <w:bookmarkEnd w:id="745"/>
      <w:bookmarkEnd w:id="746"/>
    </w:p>
    <w:p>
      <w:pPr>
        <w:spacing w:before="156" w:beforeLines="50" w:after="156" w:afterLines="50" w:line="300" w:lineRule="auto"/>
        <w:ind w:firstLine="411" w:firstLineChars="196"/>
        <w:outlineLvl w:val="1"/>
        <w:rPr>
          <w:rFonts w:ascii="宋体" w:hAnsi="宋体" w:cs="仿宋_GB2312"/>
          <w:szCs w:val="21"/>
          <w:highlight w:val="none"/>
        </w:rPr>
      </w:pPr>
      <w:bookmarkStart w:id="747" w:name="_Toc17202"/>
      <w:bookmarkStart w:id="748" w:name="_Toc11336"/>
      <w:r>
        <w:rPr>
          <w:rFonts w:hint="eastAsia" w:ascii="宋体" w:hAnsi="宋体" w:cs="仿宋_GB2312"/>
          <w:szCs w:val="21"/>
          <w:highlight w:val="none"/>
        </w:rPr>
        <w:t>质量保证金金额为合同金额的</w:t>
      </w:r>
      <w:r>
        <w:rPr>
          <w:rFonts w:hint="eastAsia" w:ascii="宋体" w:hAnsi="宋体" w:cs="仿宋_GB2312"/>
          <w:szCs w:val="21"/>
          <w:highlight w:val="none"/>
          <w:u w:val="single"/>
        </w:rPr>
        <w:t xml:space="preserve">  3  </w:t>
      </w:r>
      <w:r>
        <w:rPr>
          <w:rFonts w:hint="eastAsia" w:ascii="宋体" w:hAnsi="宋体" w:cs="仿宋_GB2312"/>
          <w:szCs w:val="21"/>
          <w:highlight w:val="none"/>
        </w:rPr>
        <w:t>％</w:t>
      </w:r>
      <w:bookmarkEnd w:id="747"/>
      <w:bookmarkEnd w:id="748"/>
    </w:p>
    <w:p>
      <w:pPr>
        <w:spacing w:before="156" w:beforeLines="50" w:after="156" w:afterLines="50" w:line="300" w:lineRule="auto"/>
        <w:ind w:firstLine="411" w:firstLineChars="196"/>
        <w:outlineLvl w:val="1"/>
        <w:rPr>
          <w:rFonts w:ascii="宋体" w:hAnsi="宋体" w:cs="仿宋_GB2312"/>
          <w:szCs w:val="21"/>
          <w:highlight w:val="none"/>
        </w:rPr>
      </w:pPr>
      <w:bookmarkStart w:id="749" w:name="_Toc17864"/>
      <w:bookmarkStart w:id="750" w:name="_Toc13993"/>
      <w:r>
        <w:rPr>
          <w:rFonts w:hint="eastAsia" w:ascii="宋体" w:hAnsi="宋体" w:cs="仿宋_GB2312"/>
          <w:szCs w:val="21"/>
          <w:highlight w:val="none"/>
        </w:rPr>
        <w:t>11.2.2 质量保证金金额的暂扣</w:t>
      </w:r>
      <w:bookmarkEnd w:id="749"/>
      <w:bookmarkEnd w:id="750"/>
    </w:p>
    <w:p>
      <w:pPr>
        <w:spacing w:before="156" w:beforeLines="50" w:after="156" w:afterLines="50" w:line="300" w:lineRule="auto"/>
        <w:ind w:firstLine="411" w:firstLineChars="196"/>
        <w:outlineLvl w:val="1"/>
        <w:rPr>
          <w:rFonts w:ascii="宋体" w:hAnsi="宋体" w:cs="仿宋_GB2312"/>
          <w:szCs w:val="21"/>
          <w:highlight w:val="none"/>
        </w:rPr>
      </w:pPr>
      <w:bookmarkStart w:id="751" w:name="_Toc12638"/>
      <w:bookmarkStart w:id="752" w:name="_Toc24512"/>
      <w:r>
        <w:rPr>
          <w:rFonts w:hint="eastAsia" w:ascii="宋体" w:hAnsi="宋体" w:cs="仿宋_GB2312"/>
          <w:szCs w:val="21"/>
          <w:highlight w:val="none"/>
        </w:rPr>
        <w:t>质量保证金金额的暂扣方式：自支付工程结算价款时扣除。</w:t>
      </w:r>
      <w:bookmarkEnd w:id="751"/>
      <w:bookmarkEnd w:id="752"/>
      <w:r>
        <w:rPr>
          <w:rFonts w:hint="eastAsia" w:ascii="宋体" w:hAnsi="宋体" w:cs="仿宋_GB2312"/>
          <w:szCs w:val="21"/>
          <w:highlight w:val="none"/>
        </w:rPr>
        <w:t xml:space="preserve"> </w:t>
      </w:r>
    </w:p>
    <w:p>
      <w:pPr>
        <w:spacing w:before="156" w:beforeLines="50" w:after="156" w:afterLines="50" w:line="300" w:lineRule="auto"/>
        <w:ind w:firstLine="411" w:firstLineChars="196"/>
        <w:outlineLvl w:val="1"/>
        <w:rPr>
          <w:rFonts w:ascii="宋体" w:hAnsi="宋体" w:cs="仿宋_GB2312"/>
          <w:szCs w:val="21"/>
          <w:highlight w:val="none"/>
        </w:rPr>
      </w:pPr>
      <w:bookmarkStart w:id="753" w:name="_Toc25162"/>
      <w:bookmarkStart w:id="754" w:name="_Toc28284"/>
      <w:r>
        <w:rPr>
          <w:rFonts w:hint="eastAsia" w:ascii="宋体" w:hAnsi="宋体" w:cs="仿宋_GB2312"/>
          <w:szCs w:val="21"/>
          <w:highlight w:val="none"/>
        </w:rPr>
        <w:t>11.2.3缺陷责任期自工程通过竣工验收之日</w:t>
      </w:r>
      <w:r>
        <w:rPr>
          <w:rFonts w:hint="eastAsia" w:ascii="宋体" w:hAnsi="宋体" w:cs="仿宋_GB2312"/>
          <w:szCs w:val="21"/>
          <w:highlight w:val="none"/>
        </w:rPr>
        <w:t>起计</w:t>
      </w:r>
      <w:r>
        <w:rPr>
          <w:rFonts w:hint="eastAsia" w:ascii="宋体" w:hAnsi="宋体" w:cs="仿宋_GB2312"/>
          <w:color w:val="FF0000"/>
          <w:szCs w:val="21"/>
          <w:highlight w:val="none"/>
        </w:rPr>
        <w:t>算1</w:t>
      </w:r>
      <w:r>
        <w:rPr>
          <w:rFonts w:ascii="宋体" w:hAnsi="宋体" w:cs="仿宋_GB2312"/>
          <w:color w:val="FF0000"/>
          <w:szCs w:val="21"/>
          <w:highlight w:val="none"/>
        </w:rPr>
        <w:t>年</w:t>
      </w:r>
      <w:r>
        <w:rPr>
          <w:rFonts w:hint="eastAsia" w:ascii="宋体" w:hAnsi="宋体" w:cs="仿宋_GB2312"/>
          <w:color w:val="FF0000"/>
          <w:szCs w:val="21"/>
          <w:highlight w:val="none"/>
        </w:rPr>
        <w:t>期</w:t>
      </w:r>
      <w:r>
        <w:rPr>
          <w:rFonts w:hint="eastAsia" w:ascii="宋体" w:hAnsi="宋体" w:cs="仿宋_GB2312"/>
          <w:color w:val="FF0000"/>
          <w:szCs w:val="21"/>
          <w:highlight w:val="none"/>
        </w:rPr>
        <w:t>满</w:t>
      </w:r>
      <w:r>
        <w:rPr>
          <w:rFonts w:hint="eastAsia" w:ascii="宋体" w:hAnsi="宋体" w:cs="仿宋_GB2312"/>
          <w:szCs w:val="21"/>
          <w:highlight w:val="none"/>
        </w:rPr>
        <w:t>后支付质量保证金。</w:t>
      </w:r>
      <w:bookmarkEnd w:id="753"/>
      <w:bookmarkEnd w:id="754"/>
    </w:p>
    <w:p>
      <w:pPr>
        <w:spacing w:before="156" w:beforeLines="50" w:after="156" w:afterLines="50" w:line="300" w:lineRule="auto"/>
        <w:ind w:firstLine="413" w:firstLineChars="196"/>
        <w:outlineLvl w:val="1"/>
        <w:rPr>
          <w:rFonts w:ascii="宋体" w:hAnsi="宋体" w:cs="仿宋_GB2312"/>
          <w:b/>
          <w:szCs w:val="21"/>
          <w:highlight w:val="none"/>
        </w:rPr>
      </w:pPr>
      <w:bookmarkStart w:id="755" w:name="_Toc24749"/>
      <w:bookmarkStart w:id="756" w:name="_Toc9972"/>
      <w:r>
        <w:rPr>
          <w:rFonts w:hint="eastAsia" w:ascii="宋体" w:hAnsi="宋体" w:cs="仿宋_GB2312"/>
          <w:b/>
          <w:szCs w:val="21"/>
          <w:highlight w:val="none"/>
        </w:rPr>
        <w:t>第12条  工程竣工验收</w:t>
      </w:r>
      <w:bookmarkEnd w:id="735"/>
      <w:bookmarkEnd w:id="736"/>
      <w:bookmarkEnd w:id="737"/>
      <w:bookmarkEnd w:id="738"/>
      <w:bookmarkEnd w:id="739"/>
      <w:bookmarkEnd w:id="740"/>
      <w:bookmarkEnd w:id="741"/>
      <w:bookmarkEnd w:id="742"/>
      <w:bookmarkEnd w:id="755"/>
      <w:bookmarkEnd w:id="756"/>
    </w:p>
    <w:p>
      <w:pPr>
        <w:spacing w:before="156" w:beforeLines="50" w:after="156" w:afterLines="50" w:line="400" w:lineRule="exact"/>
        <w:ind w:firstLine="422"/>
        <w:outlineLvl w:val="2"/>
        <w:rPr>
          <w:rFonts w:ascii="宋体" w:hAnsi="宋体" w:cs="仿宋_GB2312"/>
          <w:b/>
          <w:szCs w:val="21"/>
          <w:highlight w:val="none"/>
        </w:rPr>
      </w:pPr>
      <w:bookmarkStart w:id="757" w:name="_Toc440118428"/>
      <w:bookmarkStart w:id="758" w:name="_Toc499566982"/>
      <w:bookmarkStart w:id="759" w:name="_Toc499566787"/>
      <w:bookmarkStart w:id="760" w:name="_Toc446841833"/>
      <w:r>
        <w:rPr>
          <w:rFonts w:hint="eastAsia" w:ascii="宋体" w:hAnsi="宋体" w:cs="仿宋_GB2312"/>
          <w:b/>
          <w:szCs w:val="21"/>
          <w:highlight w:val="none"/>
        </w:rPr>
        <w:t>12.1  竣工资料及竣工验收报告</w:t>
      </w:r>
      <w:bookmarkEnd w:id="757"/>
      <w:bookmarkEnd w:id="758"/>
      <w:bookmarkEnd w:id="759"/>
      <w:bookmarkEnd w:id="760"/>
    </w:p>
    <w:p>
      <w:pPr>
        <w:spacing w:line="400" w:lineRule="exact"/>
        <w:ind w:firstLine="420"/>
        <w:rPr>
          <w:rFonts w:ascii="宋体" w:hAnsi="宋体" w:cs="仿宋_GB2312"/>
          <w:szCs w:val="21"/>
          <w:highlight w:val="none"/>
        </w:rPr>
      </w:pPr>
      <w:r>
        <w:rPr>
          <w:rFonts w:hint="eastAsia" w:ascii="宋体" w:hAnsi="宋体" w:cs="仿宋_GB2312"/>
          <w:szCs w:val="21"/>
          <w:highlight w:val="none"/>
        </w:rPr>
        <w:t>12.1.1竣工资料和竣工验收报告</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竣工验收报告的格式、份数和提交时间：</w:t>
      </w:r>
      <w:r>
        <w:rPr>
          <w:rFonts w:hint="eastAsia" w:ascii="宋体" w:hAnsi="宋体" w:cs="仿宋_GB2312"/>
          <w:szCs w:val="21"/>
          <w:highlight w:val="none"/>
          <w:u w:val="single"/>
        </w:rPr>
        <w:t>工程竣工验收合格后，承包人向发包人提交6套竣工验收报告，格式按国家相关规定实行。</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完整的竣工资料的格式、份数和提交时间：</w:t>
      </w:r>
      <w:r>
        <w:rPr>
          <w:rFonts w:hint="eastAsia" w:ascii="宋体" w:hAnsi="宋体" w:cs="仿宋_GB2312"/>
          <w:szCs w:val="21"/>
          <w:highlight w:val="none"/>
          <w:u w:val="single"/>
        </w:rPr>
        <w:t xml:space="preserve"> 工程竣工验收合格后，承包人向发包人提交6套竣工资料，格式按国家相关规定实行。</w:t>
      </w:r>
    </w:p>
    <w:p>
      <w:pPr>
        <w:spacing w:before="156" w:beforeLines="50" w:after="156" w:afterLines="50" w:line="300" w:lineRule="auto"/>
        <w:ind w:firstLine="413" w:firstLineChars="196"/>
        <w:outlineLvl w:val="1"/>
        <w:rPr>
          <w:rFonts w:ascii="宋体" w:hAnsi="宋体" w:cs="仿宋_GB2312"/>
          <w:b/>
          <w:szCs w:val="21"/>
          <w:highlight w:val="none"/>
        </w:rPr>
      </w:pPr>
      <w:bookmarkStart w:id="761" w:name="_Toc23533"/>
      <w:bookmarkStart w:id="762" w:name="_Toc11645"/>
      <w:bookmarkStart w:id="763" w:name="_Toc499566788"/>
      <w:bookmarkStart w:id="764" w:name="_Toc32024"/>
      <w:bookmarkStart w:id="765" w:name="_Toc29912"/>
      <w:bookmarkStart w:id="766" w:name="_Toc446841834"/>
      <w:bookmarkStart w:id="767" w:name="_Toc451936021"/>
      <w:bookmarkStart w:id="768" w:name="_Toc1908"/>
      <w:bookmarkStart w:id="769" w:name="_Toc499566983"/>
      <w:bookmarkStart w:id="770" w:name="_Toc440118429"/>
      <w:r>
        <w:rPr>
          <w:rFonts w:hint="eastAsia" w:ascii="宋体" w:hAnsi="宋体" w:cs="仿宋_GB2312"/>
          <w:b/>
          <w:szCs w:val="21"/>
          <w:highlight w:val="none"/>
        </w:rPr>
        <w:t>第13条  变更和合同价格调整</w:t>
      </w:r>
      <w:bookmarkEnd w:id="761"/>
      <w:bookmarkEnd w:id="762"/>
      <w:bookmarkEnd w:id="763"/>
      <w:bookmarkEnd w:id="764"/>
      <w:bookmarkEnd w:id="765"/>
      <w:bookmarkEnd w:id="766"/>
      <w:bookmarkEnd w:id="767"/>
      <w:bookmarkEnd w:id="768"/>
      <w:bookmarkEnd w:id="769"/>
      <w:bookmarkEnd w:id="770"/>
    </w:p>
    <w:p>
      <w:pPr>
        <w:spacing w:before="156" w:beforeLines="50" w:after="156" w:afterLines="50" w:line="400" w:lineRule="exact"/>
        <w:ind w:firstLine="422"/>
        <w:outlineLvl w:val="2"/>
        <w:rPr>
          <w:rFonts w:ascii="宋体" w:hAnsi="宋体" w:cs="仿宋_GB2312"/>
          <w:b/>
          <w:szCs w:val="21"/>
          <w:highlight w:val="none"/>
        </w:rPr>
      </w:pPr>
      <w:bookmarkStart w:id="771" w:name="_Toc499566789"/>
      <w:bookmarkStart w:id="772" w:name="_Toc499566984"/>
      <w:bookmarkStart w:id="773" w:name="_Toc446841835"/>
      <w:bookmarkStart w:id="774" w:name="_Toc440118430"/>
      <w:r>
        <w:rPr>
          <w:rFonts w:hint="eastAsia" w:ascii="宋体" w:hAnsi="宋体" w:cs="仿宋_GB2312"/>
          <w:b/>
          <w:szCs w:val="21"/>
          <w:highlight w:val="none"/>
        </w:rPr>
        <w:t>13.2 变更范围</w:t>
      </w:r>
      <w:bookmarkEnd w:id="771"/>
      <w:bookmarkEnd w:id="772"/>
      <w:bookmarkEnd w:id="773"/>
      <w:bookmarkEnd w:id="774"/>
    </w:p>
    <w:p>
      <w:pPr>
        <w:spacing w:line="400" w:lineRule="exact"/>
        <w:ind w:firstLine="420"/>
        <w:rPr>
          <w:rFonts w:ascii="宋体" w:hAnsi="宋体" w:cs="仿宋_GB2312"/>
          <w:szCs w:val="21"/>
          <w:highlight w:val="none"/>
        </w:rPr>
      </w:pPr>
      <w:r>
        <w:rPr>
          <w:rFonts w:hint="eastAsia" w:ascii="宋体" w:hAnsi="宋体" w:cs="仿宋_GB2312"/>
          <w:szCs w:val="21"/>
          <w:highlight w:val="none"/>
        </w:rPr>
        <w:t>13.2.6其它变更</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双方根据本工程特点，商定的其它变更范围：</w:t>
      </w:r>
      <w:r>
        <w:rPr>
          <w:rFonts w:hint="eastAsia" w:ascii="宋体" w:hAnsi="宋体" w:cs="仿宋_GB2312"/>
          <w:szCs w:val="21"/>
          <w:highlight w:val="none"/>
          <w:u w:val="single"/>
        </w:rPr>
        <w:t xml:space="preserve">       ／     。</w:t>
      </w:r>
    </w:p>
    <w:p>
      <w:pPr>
        <w:spacing w:before="156" w:beforeLines="50" w:after="156" w:afterLines="50" w:line="400" w:lineRule="exact"/>
        <w:ind w:firstLine="422"/>
        <w:outlineLvl w:val="2"/>
        <w:rPr>
          <w:rFonts w:ascii="宋体" w:hAnsi="宋体" w:cs="仿宋_GB2312"/>
          <w:b/>
          <w:szCs w:val="21"/>
          <w:highlight w:val="none"/>
        </w:rPr>
      </w:pPr>
      <w:bookmarkStart w:id="775" w:name="_Toc446841836"/>
      <w:bookmarkStart w:id="776" w:name="_Toc440118431"/>
      <w:bookmarkStart w:id="777" w:name="_Toc499566790"/>
      <w:bookmarkStart w:id="778" w:name="_Toc499566985"/>
      <w:r>
        <w:rPr>
          <w:rFonts w:hint="eastAsia" w:ascii="宋体" w:hAnsi="宋体" w:cs="仿宋_GB2312"/>
          <w:b/>
          <w:szCs w:val="21"/>
          <w:highlight w:val="none"/>
        </w:rPr>
        <w:t>13.5  变更价款确定</w:t>
      </w:r>
      <w:bookmarkEnd w:id="775"/>
      <w:bookmarkEnd w:id="776"/>
      <w:bookmarkEnd w:id="777"/>
      <w:bookmarkEnd w:id="778"/>
    </w:p>
    <w:p>
      <w:pPr>
        <w:spacing w:line="336" w:lineRule="auto"/>
        <w:ind w:firstLine="420"/>
        <w:rPr>
          <w:rFonts w:ascii="宋体" w:hAnsi="宋体" w:cs="仿宋_GB2312"/>
          <w:szCs w:val="21"/>
          <w:highlight w:val="none"/>
          <w:u w:val="single"/>
        </w:rPr>
      </w:pPr>
      <w:r>
        <w:rPr>
          <w:rFonts w:hint="eastAsia" w:ascii="宋体" w:hAnsi="宋体" w:cs="仿宋_GB2312"/>
          <w:szCs w:val="21"/>
          <w:highlight w:val="none"/>
        </w:rPr>
        <w:t>13.5.4变更价款约定的其他方法：</w:t>
      </w:r>
      <w:r>
        <w:rPr>
          <w:rFonts w:hint="eastAsia" w:ascii="宋体" w:hAnsi="宋体" w:cs="仿宋_GB2312"/>
          <w:szCs w:val="21"/>
          <w:highlight w:val="none"/>
          <w:u w:val="single"/>
        </w:rPr>
        <w:t>由于非承包人原因导致变更的，变更价款按以下原则进行调整。承包人原因导致的变更，不作调整。</w:t>
      </w:r>
    </w:p>
    <w:p>
      <w:pPr>
        <w:spacing w:line="336" w:lineRule="auto"/>
        <w:ind w:firstLine="420"/>
        <w:rPr>
          <w:rFonts w:ascii="宋体" w:hAnsi="宋体" w:cs="仿宋_GB2312"/>
          <w:szCs w:val="21"/>
          <w:highlight w:val="none"/>
        </w:rPr>
      </w:pPr>
      <w:r>
        <w:rPr>
          <w:rFonts w:hint="eastAsia" w:ascii="宋体" w:hAnsi="宋体" w:cs="仿宋_GB2312"/>
          <w:szCs w:val="21"/>
          <w:highlight w:val="none"/>
        </w:rPr>
        <w:t>（1）合同中已有适用的综合单价，按合同中已有的综合单价确定；</w:t>
      </w:r>
    </w:p>
    <w:p>
      <w:pPr>
        <w:spacing w:line="336" w:lineRule="auto"/>
        <w:ind w:firstLine="420"/>
        <w:rPr>
          <w:rFonts w:ascii="宋体" w:hAnsi="宋体" w:cs="仿宋_GB2312"/>
          <w:szCs w:val="21"/>
          <w:highlight w:val="none"/>
        </w:rPr>
      </w:pPr>
      <w:r>
        <w:rPr>
          <w:rFonts w:hint="eastAsia" w:ascii="宋体" w:hAnsi="宋体" w:cs="仿宋_GB2312"/>
          <w:szCs w:val="21"/>
          <w:highlight w:val="none"/>
        </w:rPr>
        <w:t>（2）合同中有类似的综合单价，参照类似的综合单价确定；</w:t>
      </w:r>
    </w:p>
    <w:p>
      <w:pPr>
        <w:spacing w:line="336" w:lineRule="auto"/>
        <w:ind w:firstLine="420"/>
        <w:rPr>
          <w:rFonts w:ascii="宋体" w:hAnsi="宋体" w:cs="仿宋_GB2312"/>
          <w:szCs w:val="21"/>
          <w:highlight w:val="none"/>
        </w:rPr>
      </w:pPr>
      <w:r>
        <w:rPr>
          <w:rFonts w:hint="eastAsia" w:ascii="宋体" w:hAnsi="宋体" w:cs="仿宋_GB2312"/>
          <w:szCs w:val="21"/>
          <w:highlight w:val="none"/>
        </w:rPr>
        <w:t>（3）合同中没有适用或类似的综合单价，由承包人提出综合单价，发包人确认。</w:t>
      </w:r>
    </w:p>
    <w:p>
      <w:pPr>
        <w:spacing w:before="156" w:beforeLines="50" w:after="156" w:afterLines="50" w:line="400" w:lineRule="exact"/>
        <w:ind w:firstLine="422"/>
        <w:outlineLvl w:val="2"/>
        <w:rPr>
          <w:rFonts w:ascii="宋体" w:hAnsi="宋体" w:cs="仿宋_GB2312"/>
          <w:b/>
          <w:szCs w:val="21"/>
          <w:highlight w:val="none"/>
        </w:rPr>
      </w:pPr>
      <w:bookmarkStart w:id="779" w:name="_Toc499566791"/>
      <w:bookmarkStart w:id="780" w:name="_Toc440118432"/>
      <w:bookmarkStart w:id="781" w:name="_Toc499566986"/>
      <w:bookmarkStart w:id="782" w:name="_Toc446841837"/>
      <w:r>
        <w:rPr>
          <w:rFonts w:hint="eastAsia" w:ascii="宋体" w:hAnsi="宋体" w:cs="仿宋_GB2312"/>
          <w:b/>
          <w:szCs w:val="21"/>
          <w:highlight w:val="none"/>
        </w:rPr>
        <w:t>13.6  建议变更的利益分享</w:t>
      </w:r>
      <w:bookmarkEnd w:id="779"/>
      <w:bookmarkEnd w:id="780"/>
      <w:bookmarkEnd w:id="781"/>
      <w:bookmarkEnd w:id="782"/>
    </w:p>
    <w:p>
      <w:pPr>
        <w:spacing w:before="156" w:beforeLines="50" w:after="156" w:afterLines="50" w:line="400" w:lineRule="exact"/>
        <w:ind w:firstLine="420"/>
        <w:rPr>
          <w:rFonts w:ascii="宋体" w:hAnsi="宋体" w:cs="仿宋_GB2312"/>
          <w:szCs w:val="21"/>
          <w:highlight w:val="none"/>
          <w:u w:val="single"/>
        </w:rPr>
      </w:pPr>
      <w:r>
        <w:rPr>
          <w:rFonts w:hint="eastAsia" w:ascii="宋体" w:hAnsi="宋体" w:cs="仿宋_GB2312"/>
          <w:szCs w:val="21"/>
          <w:highlight w:val="none"/>
        </w:rPr>
        <w:t>建议变更的利益分享的约定：</w:t>
      </w:r>
      <w:r>
        <w:rPr>
          <w:rFonts w:hint="eastAsia" w:ascii="宋体" w:hAnsi="宋体" w:cs="仿宋_GB2312"/>
          <w:szCs w:val="21"/>
          <w:highlight w:val="none"/>
          <w:u w:val="single"/>
        </w:rPr>
        <w:t xml:space="preserve">    无     。</w:t>
      </w:r>
    </w:p>
    <w:p>
      <w:pPr>
        <w:spacing w:before="156" w:beforeLines="50" w:after="156" w:afterLines="50" w:line="300" w:lineRule="auto"/>
        <w:ind w:firstLine="413" w:firstLineChars="196"/>
        <w:outlineLvl w:val="1"/>
        <w:rPr>
          <w:rFonts w:ascii="宋体" w:hAnsi="宋体" w:cs="仿宋_GB2312"/>
          <w:b/>
          <w:szCs w:val="21"/>
          <w:highlight w:val="none"/>
        </w:rPr>
      </w:pPr>
      <w:bookmarkStart w:id="783" w:name="_Toc13880"/>
      <w:bookmarkStart w:id="784" w:name="_Toc499566792"/>
      <w:bookmarkStart w:id="785" w:name="_Toc446841838"/>
      <w:bookmarkStart w:id="786" w:name="_Toc15573"/>
      <w:bookmarkStart w:id="787" w:name="_Toc499566987"/>
      <w:bookmarkStart w:id="788" w:name="_Toc1256"/>
      <w:bookmarkStart w:id="789" w:name="_Toc451936022"/>
      <w:bookmarkStart w:id="790" w:name="_Toc24682"/>
      <w:bookmarkStart w:id="791" w:name="_Toc440118433"/>
      <w:bookmarkStart w:id="792" w:name="_Toc31725"/>
      <w:r>
        <w:rPr>
          <w:rFonts w:hint="eastAsia" w:ascii="宋体" w:hAnsi="宋体" w:cs="仿宋_GB2312"/>
          <w:b/>
          <w:szCs w:val="21"/>
          <w:highlight w:val="none"/>
        </w:rPr>
        <w:t>第14条  合同总价和付款</w:t>
      </w:r>
      <w:bookmarkEnd w:id="783"/>
      <w:bookmarkEnd w:id="784"/>
      <w:bookmarkEnd w:id="785"/>
      <w:bookmarkEnd w:id="786"/>
      <w:bookmarkEnd w:id="787"/>
      <w:bookmarkEnd w:id="788"/>
      <w:bookmarkEnd w:id="789"/>
      <w:bookmarkEnd w:id="790"/>
      <w:bookmarkEnd w:id="791"/>
      <w:bookmarkEnd w:id="792"/>
      <w:r>
        <w:rPr>
          <w:rFonts w:hint="eastAsia" w:ascii="宋体" w:hAnsi="宋体" w:cs="仿宋_GB2312"/>
          <w:b/>
          <w:szCs w:val="21"/>
          <w:highlight w:val="none"/>
        </w:rPr>
        <w:t xml:space="preserve"> </w:t>
      </w:r>
    </w:p>
    <w:p>
      <w:pPr>
        <w:spacing w:before="156" w:beforeLines="50" w:after="156" w:afterLines="50" w:line="400" w:lineRule="exact"/>
        <w:ind w:firstLine="422"/>
        <w:outlineLvl w:val="2"/>
        <w:rPr>
          <w:rFonts w:ascii="宋体" w:hAnsi="宋体" w:cs="仿宋_GB2312"/>
          <w:b/>
          <w:szCs w:val="21"/>
          <w:highlight w:val="none"/>
        </w:rPr>
      </w:pPr>
      <w:bookmarkStart w:id="793" w:name="_Toc446841839"/>
      <w:bookmarkStart w:id="794" w:name="_Toc499566988"/>
      <w:bookmarkStart w:id="795" w:name="_Toc440118434"/>
      <w:bookmarkStart w:id="796" w:name="_Toc499566793"/>
      <w:r>
        <w:rPr>
          <w:rFonts w:hint="eastAsia" w:ascii="宋体" w:hAnsi="宋体" w:cs="仿宋_GB2312"/>
          <w:b/>
          <w:szCs w:val="21"/>
          <w:highlight w:val="none"/>
        </w:rPr>
        <w:t>14.1  合同总价和付款</w:t>
      </w:r>
      <w:bookmarkEnd w:id="793"/>
      <w:bookmarkEnd w:id="794"/>
      <w:bookmarkEnd w:id="795"/>
      <w:bookmarkEnd w:id="796"/>
    </w:p>
    <w:p>
      <w:pPr>
        <w:pStyle w:val="5"/>
        <w:ind w:firstLine="420"/>
        <w:rPr>
          <w:highlight w:val="none"/>
        </w:rPr>
      </w:pPr>
      <w:r>
        <w:rPr>
          <w:rFonts w:hint="eastAsia" w:ascii="宋体" w:hAnsi="宋体" w:cs="仿宋_GB2312"/>
          <w:szCs w:val="21"/>
          <w:highlight w:val="none"/>
        </w:rPr>
        <w:t>14.1.1 合同总价</w:t>
      </w:r>
      <w:r>
        <w:rPr>
          <w:rFonts w:hint="eastAsia" w:ascii="宋体" w:hAnsi="宋体" w:cs="仿宋_GB2312"/>
          <w:szCs w:val="21"/>
          <w:highlight w:val="none"/>
          <w:u w:val="single"/>
        </w:rPr>
        <w:t xml:space="preserve">            元（大写：             ），包工包料，固定综合单价</w:t>
      </w:r>
      <w:r>
        <w:rPr>
          <w:rFonts w:hint="eastAsia"/>
          <w:highlight w:val="none"/>
        </w:rPr>
        <w:t>。</w:t>
      </w:r>
    </w:p>
    <w:p>
      <w:pPr>
        <w:spacing w:line="336" w:lineRule="auto"/>
        <w:ind w:firstLine="420"/>
        <w:rPr>
          <w:rFonts w:ascii="宋体" w:hAnsi="宋体" w:cs="仿宋_GB2312"/>
          <w:szCs w:val="21"/>
          <w:highlight w:val="none"/>
        </w:rPr>
      </w:pPr>
      <w:r>
        <w:rPr>
          <w:rFonts w:hint="eastAsia" w:ascii="宋体" w:hAnsi="宋体" w:cs="仿宋_GB2312"/>
          <w:szCs w:val="21"/>
          <w:highlight w:val="none"/>
        </w:rPr>
        <w:t>a.</w:t>
      </w:r>
      <w:r>
        <w:rPr>
          <w:rFonts w:hint="eastAsia" w:ascii="宋体" w:hAnsi="宋体"/>
          <w:color w:val="FF0000"/>
          <w:szCs w:val="21"/>
          <w:highlight w:val="none"/>
        </w:rPr>
        <w:t xml:space="preserve"> 《水利工程工程量清单计价规范》（2007版）</w:t>
      </w:r>
      <w:r>
        <w:rPr>
          <w:rFonts w:hint="eastAsia" w:ascii="宋体" w:hAnsi="宋体" w:cs="仿宋_GB2312"/>
          <w:szCs w:val="21"/>
          <w:highlight w:val="none"/>
        </w:rPr>
        <w:t>；</w:t>
      </w:r>
    </w:p>
    <w:p>
      <w:pPr>
        <w:spacing w:line="336" w:lineRule="auto"/>
        <w:ind w:firstLine="420"/>
        <w:rPr>
          <w:rFonts w:ascii="宋体" w:hAnsi="宋体" w:cs="仿宋_GB2312"/>
          <w:szCs w:val="21"/>
          <w:highlight w:val="none"/>
        </w:rPr>
      </w:pPr>
      <w:r>
        <w:rPr>
          <w:rFonts w:hint="eastAsia" w:ascii="宋体" w:hAnsi="宋体" w:cs="仿宋_GB2312"/>
          <w:szCs w:val="21"/>
          <w:highlight w:val="none"/>
        </w:rPr>
        <w:t>b.施工图纸、答疑纪要；</w:t>
      </w:r>
    </w:p>
    <w:p>
      <w:pPr>
        <w:spacing w:line="336" w:lineRule="auto"/>
        <w:ind w:firstLine="420"/>
        <w:rPr>
          <w:rFonts w:ascii="宋体" w:hAnsi="宋体" w:cs="仿宋_GB2312"/>
          <w:szCs w:val="21"/>
          <w:highlight w:val="none"/>
        </w:rPr>
      </w:pPr>
      <w:r>
        <w:rPr>
          <w:rFonts w:hint="eastAsia" w:ascii="宋体" w:hAnsi="宋体" w:cs="仿宋_GB2312"/>
          <w:szCs w:val="21"/>
          <w:highlight w:val="none"/>
        </w:rPr>
        <w:t>c.采购人提供的工程量；</w:t>
      </w:r>
    </w:p>
    <w:p>
      <w:pPr>
        <w:tabs>
          <w:tab w:val="left" w:pos="4500"/>
        </w:tabs>
        <w:spacing w:line="360" w:lineRule="auto"/>
        <w:ind w:firstLine="420" w:firstLineChars="200"/>
        <w:rPr>
          <w:rFonts w:ascii="宋体" w:hAnsi="宋体" w:cs="仿宋_GB2312"/>
          <w:szCs w:val="21"/>
          <w:highlight w:val="none"/>
        </w:rPr>
      </w:pPr>
      <w:r>
        <w:rPr>
          <w:rFonts w:hint="eastAsia" w:ascii="宋体" w:hAnsi="宋体" w:cs="仿宋_GB2312"/>
          <w:szCs w:val="21"/>
          <w:highlight w:val="none"/>
        </w:rPr>
        <w:t>d.计价依据：</w:t>
      </w:r>
    </w:p>
    <w:p>
      <w:pPr>
        <w:spacing w:line="336" w:lineRule="auto"/>
        <w:ind w:firstLine="420"/>
        <w:rPr>
          <w:rFonts w:ascii="宋体" w:hAnsi="宋体" w:cs="仿宋_GB2312"/>
          <w:szCs w:val="21"/>
          <w:highlight w:val="none"/>
        </w:rPr>
      </w:pPr>
      <w:r>
        <w:rPr>
          <w:rFonts w:hint="eastAsia" w:ascii="宋体" w:hAnsi="宋体" w:cs="仿宋_GB2312"/>
          <w:szCs w:val="21"/>
          <w:highlight w:val="none"/>
        </w:rPr>
        <w:t>1)、陕发改项目﹝2017﹞1606号文颁发的关于《陕西省水利工程设计概（估）算编制规定》《陕西省水利建筑工程概算定额》等计价文件的批复；</w:t>
      </w:r>
    </w:p>
    <w:p>
      <w:pPr>
        <w:spacing w:line="336" w:lineRule="auto"/>
        <w:ind w:firstLine="420"/>
        <w:rPr>
          <w:rFonts w:ascii="宋体" w:hAnsi="宋体" w:cs="仿宋_GB2312"/>
          <w:szCs w:val="21"/>
          <w:highlight w:val="none"/>
        </w:rPr>
      </w:pPr>
      <w:r>
        <w:rPr>
          <w:rFonts w:hint="eastAsia" w:ascii="宋体" w:hAnsi="宋体" w:cs="仿宋_GB2312"/>
          <w:szCs w:val="21"/>
          <w:highlight w:val="none"/>
        </w:rPr>
        <w:t>2)、办财务函〔2019〕448号《水利部办公厅关于调整水利工程计价依据增值税计算标准的通知》；</w:t>
      </w:r>
    </w:p>
    <w:p>
      <w:pPr>
        <w:spacing w:line="336" w:lineRule="auto"/>
        <w:ind w:firstLine="420"/>
        <w:rPr>
          <w:rFonts w:ascii="宋体" w:hAnsi="宋体" w:cs="仿宋_GB2312"/>
          <w:szCs w:val="21"/>
          <w:highlight w:val="none"/>
        </w:rPr>
      </w:pPr>
      <w:r>
        <w:rPr>
          <w:rFonts w:hint="eastAsia" w:ascii="宋体" w:hAnsi="宋体" w:cs="仿宋_GB2312"/>
          <w:szCs w:val="21"/>
          <w:highlight w:val="none"/>
        </w:rPr>
        <w:t>3)、陕发改投资〔2016〕1303号文《关于陕西省水利水电工程营业税改增值税计价依据调整办法的批复》；</w:t>
      </w:r>
    </w:p>
    <w:p>
      <w:pPr>
        <w:spacing w:line="336" w:lineRule="auto"/>
        <w:ind w:firstLine="420"/>
        <w:rPr>
          <w:rFonts w:ascii="宋体" w:hAnsi="宋体" w:cs="仿宋_GB2312"/>
          <w:szCs w:val="21"/>
          <w:highlight w:val="none"/>
        </w:rPr>
      </w:pPr>
      <w:r>
        <w:rPr>
          <w:rFonts w:hint="eastAsia" w:ascii="宋体" w:hAnsi="宋体" w:cs="仿宋_GB2312"/>
          <w:szCs w:val="21"/>
          <w:highlight w:val="none"/>
        </w:rPr>
        <w:t>4)、水利部颁发的《水利工程设计概（估）算编制规定》（水总〔2014〕429号）及《水利工程营业税改征增值税计价依据调整办法》（办水总〔2016〕132号）。</w:t>
      </w:r>
    </w:p>
    <w:p>
      <w:pPr>
        <w:spacing w:line="336" w:lineRule="auto"/>
        <w:ind w:firstLine="420"/>
        <w:rPr>
          <w:rFonts w:ascii="宋体" w:hAnsi="宋体" w:cs="仿宋_GB2312"/>
          <w:szCs w:val="21"/>
          <w:highlight w:val="none"/>
        </w:rPr>
      </w:pPr>
      <w:r>
        <w:rPr>
          <w:rFonts w:hint="eastAsia" w:ascii="宋体" w:hAnsi="宋体" w:cs="仿宋_GB2312"/>
          <w:szCs w:val="21"/>
          <w:highlight w:val="none"/>
        </w:rPr>
        <w:t>e.现行施工规范及验收标准；</w:t>
      </w:r>
    </w:p>
    <w:p>
      <w:pPr>
        <w:spacing w:line="336" w:lineRule="auto"/>
        <w:ind w:firstLine="420"/>
        <w:rPr>
          <w:rFonts w:ascii="宋体" w:hAnsi="宋体" w:cs="仿宋_GB2312"/>
          <w:szCs w:val="21"/>
          <w:highlight w:val="none"/>
        </w:rPr>
      </w:pPr>
      <w:r>
        <w:rPr>
          <w:rFonts w:hint="eastAsia" w:ascii="宋体" w:hAnsi="宋体" w:cs="仿宋_GB2312"/>
          <w:szCs w:val="21"/>
          <w:highlight w:val="none"/>
        </w:rPr>
        <w:t>f.工程清单计价模板类别按人工调整计入差价执行；</w:t>
      </w:r>
    </w:p>
    <w:p>
      <w:pPr>
        <w:spacing w:line="336" w:lineRule="auto"/>
        <w:ind w:firstLine="420"/>
        <w:rPr>
          <w:rFonts w:ascii="宋体" w:hAnsi="宋体" w:cs="仿宋_GB2312"/>
          <w:szCs w:val="21"/>
          <w:highlight w:val="none"/>
        </w:rPr>
      </w:pPr>
      <w:r>
        <w:rPr>
          <w:rFonts w:hint="eastAsia" w:ascii="宋体" w:hAnsi="宋体" w:cs="仿宋_GB2312"/>
          <w:szCs w:val="21"/>
          <w:highlight w:val="none"/>
        </w:rPr>
        <w:t>g.材料价格以施工期间《陕西工程造价管理信息（材料信息价）》为准，信息价没有的材料价格以甲方认质认价为准（柴油、汽油价格参考施工当期市场价格的平均值）；对于非主要材料无信息价时以与2004版定额配套的2009价目表中的预算价为准不作调整。</w:t>
      </w:r>
    </w:p>
    <w:p>
      <w:pPr>
        <w:spacing w:line="336" w:lineRule="auto"/>
        <w:ind w:firstLine="420"/>
        <w:rPr>
          <w:rFonts w:ascii="宋体" w:hAnsi="宋体" w:cs="仿宋_GB2312"/>
          <w:szCs w:val="21"/>
          <w:highlight w:val="none"/>
        </w:rPr>
      </w:pPr>
      <w:r>
        <w:rPr>
          <w:rFonts w:hint="eastAsia" w:ascii="宋体" w:hAnsi="宋体" w:cs="仿宋_GB2312"/>
          <w:szCs w:val="21"/>
          <w:highlight w:val="none"/>
        </w:rPr>
        <w:t>h.人工费按陕建发2018【2019】号文件调价；</w:t>
      </w:r>
    </w:p>
    <w:p>
      <w:pPr>
        <w:spacing w:line="336" w:lineRule="auto"/>
        <w:ind w:firstLine="420"/>
        <w:rPr>
          <w:rFonts w:ascii="宋体" w:hAnsi="宋体" w:cs="仿宋_GB2312"/>
          <w:szCs w:val="21"/>
          <w:highlight w:val="none"/>
        </w:rPr>
      </w:pPr>
      <w:r>
        <w:rPr>
          <w:rFonts w:hint="eastAsia" w:ascii="宋体" w:hAnsi="宋体" w:cs="仿宋_GB2312"/>
          <w:szCs w:val="21"/>
          <w:highlight w:val="none"/>
        </w:rPr>
        <w:t>i.垃圾排放手续和费用由投标人办理和支付；</w:t>
      </w:r>
    </w:p>
    <w:p>
      <w:pPr>
        <w:spacing w:line="336" w:lineRule="auto"/>
        <w:ind w:firstLine="420"/>
        <w:rPr>
          <w:rFonts w:ascii="宋体" w:hAnsi="宋体" w:cs="仿宋_GB2312"/>
          <w:szCs w:val="21"/>
          <w:highlight w:val="none"/>
        </w:rPr>
      </w:pPr>
      <w:r>
        <w:rPr>
          <w:rFonts w:hint="eastAsia" w:ascii="宋体" w:hAnsi="宋体" w:cs="仿宋_GB2312"/>
          <w:szCs w:val="21"/>
          <w:highlight w:val="none"/>
        </w:rPr>
        <w:t>g.工伤保险等费用计入报价，结算时按陕西省费用定额规定办理；</w:t>
      </w:r>
    </w:p>
    <w:p>
      <w:pPr>
        <w:spacing w:line="336" w:lineRule="auto"/>
        <w:ind w:firstLine="420"/>
        <w:rPr>
          <w:rFonts w:ascii="宋体" w:hAnsi="宋体" w:cs="仿宋_GB2312"/>
          <w:szCs w:val="21"/>
          <w:highlight w:val="none"/>
        </w:rPr>
      </w:pPr>
      <w:r>
        <w:rPr>
          <w:rFonts w:hint="eastAsia" w:ascii="宋体" w:hAnsi="宋体" w:cs="仿宋_GB2312"/>
          <w:szCs w:val="21"/>
          <w:highlight w:val="none"/>
        </w:rPr>
        <w:t>k.劳保统筹先计入后扣除（即报价不含，但需计税）；</w:t>
      </w:r>
    </w:p>
    <w:p>
      <w:pPr>
        <w:spacing w:line="336" w:lineRule="auto"/>
        <w:ind w:firstLine="420"/>
        <w:rPr>
          <w:rFonts w:ascii="宋体" w:hAnsi="宋体" w:cs="仿宋_GB2312"/>
          <w:szCs w:val="21"/>
          <w:highlight w:val="none"/>
        </w:rPr>
      </w:pPr>
      <w:r>
        <w:rPr>
          <w:rFonts w:hint="eastAsia" w:ascii="宋体" w:hAnsi="宋体" w:cs="仿宋_GB2312"/>
          <w:szCs w:val="21"/>
          <w:highlight w:val="none"/>
        </w:rPr>
        <w:t>l.工程计价依据按陕建发2019【45】号文执行；</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14.1.2 付款</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（1）承包人指定的开户银行及银行账户：</w:t>
      </w:r>
    </w:p>
    <w:p>
      <w:pPr>
        <w:spacing w:line="400" w:lineRule="exact"/>
        <w:ind w:firstLine="420"/>
        <w:rPr>
          <w:rFonts w:ascii="宋体" w:hAnsi="宋体" w:cs="仿宋_GB2312"/>
          <w:szCs w:val="21"/>
          <w:highlight w:val="none"/>
          <w:u w:val="single"/>
        </w:rPr>
      </w:pPr>
      <w:r>
        <w:rPr>
          <w:rFonts w:hint="eastAsia" w:ascii="宋体" w:hAnsi="宋体" w:cs="仿宋_GB2312"/>
          <w:szCs w:val="21"/>
          <w:highlight w:val="none"/>
          <w:u w:val="single"/>
        </w:rPr>
        <w:t xml:space="preserve">开户银行：                 </w:t>
      </w:r>
      <w:r>
        <w:rPr>
          <w:rFonts w:ascii="宋体" w:hAnsi="宋体" w:cs="仿宋_GB2312"/>
          <w:szCs w:val="21"/>
          <w:highlight w:val="none"/>
          <w:u w:val="single"/>
        </w:rPr>
        <w:t xml:space="preserve"> </w:t>
      </w:r>
    </w:p>
    <w:p>
      <w:pPr>
        <w:pStyle w:val="18"/>
        <w:ind w:firstLine="420"/>
        <w:rPr>
          <w:szCs w:val="21"/>
          <w:highlight w:val="none"/>
          <w:u w:val="single"/>
        </w:rPr>
      </w:pPr>
      <w:r>
        <w:rPr>
          <w:rFonts w:hint="eastAsia" w:ascii="宋体" w:hAnsi="宋体" w:cs="仿宋_GB2312"/>
          <w:kern w:val="2"/>
          <w:sz w:val="21"/>
          <w:szCs w:val="21"/>
          <w:highlight w:val="none"/>
          <w:u w:val="single"/>
        </w:rPr>
        <w:t>银行账户：</w:t>
      </w:r>
      <w:r>
        <w:rPr>
          <w:rFonts w:hint="eastAsia"/>
          <w:szCs w:val="21"/>
          <w:highlight w:val="none"/>
          <w:u w:val="single"/>
        </w:rPr>
        <w:t xml:space="preserve">                   </w:t>
      </w:r>
    </w:p>
    <w:p>
      <w:pPr>
        <w:spacing w:before="156" w:beforeLines="50" w:after="156" w:afterLines="50" w:line="400" w:lineRule="exact"/>
        <w:ind w:firstLine="422"/>
        <w:outlineLvl w:val="2"/>
        <w:rPr>
          <w:rFonts w:ascii="宋体" w:hAnsi="宋体" w:cs="仿宋_GB2312"/>
          <w:b/>
          <w:szCs w:val="21"/>
          <w:highlight w:val="none"/>
        </w:rPr>
      </w:pPr>
      <w:bookmarkStart w:id="797" w:name="_Toc499566989"/>
      <w:bookmarkStart w:id="798" w:name="_Toc446841840"/>
      <w:bookmarkStart w:id="799" w:name="_Toc499566794"/>
      <w:bookmarkStart w:id="800" w:name="_Toc440118435"/>
      <w:r>
        <w:rPr>
          <w:rFonts w:hint="eastAsia" w:ascii="宋体" w:hAnsi="宋体" w:cs="仿宋_GB2312"/>
          <w:b/>
          <w:szCs w:val="21"/>
          <w:highlight w:val="none"/>
        </w:rPr>
        <w:t>14.2  担保</w:t>
      </w:r>
      <w:bookmarkEnd w:id="797"/>
      <w:bookmarkEnd w:id="798"/>
      <w:bookmarkEnd w:id="799"/>
      <w:bookmarkEnd w:id="800"/>
    </w:p>
    <w:p>
      <w:pPr>
        <w:spacing w:line="400" w:lineRule="exact"/>
        <w:ind w:firstLine="420"/>
        <w:rPr>
          <w:rFonts w:ascii="宋体" w:hAnsi="宋体" w:cs="仿宋_GB2312"/>
          <w:szCs w:val="21"/>
          <w:highlight w:val="none"/>
        </w:rPr>
      </w:pPr>
      <w:bookmarkStart w:id="801" w:name="_Toc446841841"/>
      <w:bookmarkStart w:id="802" w:name="_Toc440118436"/>
      <w:bookmarkStart w:id="803" w:name="_Toc499566795"/>
      <w:bookmarkStart w:id="804" w:name="_Toc499566990"/>
      <w:r>
        <w:rPr>
          <w:rFonts w:hint="eastAsia" w:ascii="宋体" w:hAnsi="宋体" w:cs="仿宋_GB2312"/>
          <w:szCs w:val="21"/>
          <w:highlight w:val="none"/>
        </w:rPr>
        <w:t>14.2.1 履约保函</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在以下方式中选择其一，作为双方对履约保函的约定。</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fldChar w:fldCharType="begin"/>
      </w:r>
      <w:r>
        <w:rPr>
          <w:rFonts w:hint="eastAsia" w:ascii="宋体" w:hAnsi="宋体" w:cs="仿宋_GB2312"/>
          <w:szCs w:val="21"/>
          <w:highlight w:val="none"/>
        </w:rPr>
        <w:instrText xml:space="preserve"> eq \o\ac(</w:instrText>
      </w:r>
      <w:r>
        <w:rPr>
          <w:rFonts w:hint="eastAsia" w:ascii="宋体" w:hAnsi="宋体" w:cs="仿宋_GB2312"/>
          <w:position w:val="-4"/>
          <w:sz w:val="31"/>
          <w:szCs w:val="21"/>
          <w:highlight w:val="none"/>
        </w:rPr>
        <w:instrText xml:space="preserve">□</w:instrText>
      </w:r>
      <w:r>
        <w:rPr>
          <w:rFonts w:hint="eastAsia" w:ascii="宋体" w:hAnsi="宋体" w:cs="仿宋_GB2312"/>
          <w:szCs w:val="21"/>
          <w:highlight w:val="none"/>
        </w:rPr>
        <w:instrText xml:space="preserve">,√)</w:instrText>
      </w:r>
      <w:r>
        <w:rPr>
          <w:rFonts w:hint="eastAsia" w:ascii="宋体" w:hAnsi="宋体" w:cs="仿宋_GB2312"/>
          <w:szCs w:val="21"/>
          <w:highlight w:val="none"/>
        </w:rPr>
        <w:fldChar w:fldCharType="end"/>
      </w:r>
      <w:r>
        <w:rPr>
          <w:rFonts w:ascii="宋体" w:hAnsi="宋体" w:cs="仿宋_GB2312"/>
          <w:szCs w:val="21"/>
          <w:highlight w:val="none"/>
        </w:rPr>
        <w:t>承包人不提交履约保函。</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 承包人提交履约保函的格式、金额：</w:t>
      </w:r>
      <w:r>
        <w:rPr>
          <w:rFonts w:hint="eastAsia" w:ascii="宋体" w:hAnsi="宋体" w:cs="仿宋_GB2312"/>
          <w:szCs w:val="21"/>
          <w:highlight w:val="none"/>
          <w:u w:val="single"/>
        </w:rPr>
        <w:t>银行保函或信用担保、中标金额</w:t>
      </w:r>
      <w:r>
        <w:rPr>
          <w:rFonts w:hint="eastAsia" w:ascii="宋体" w:hAnsi="宋体" w:cs="仿宋_GB2312"/>
          <w:color w:val="FF0000"/>
          <w:szCs w:val="21"/>
          <w:highlight w:val="none"/>
          <w:u w:val="single"/>
        </w:rPr>
        <w:t>额</w:t>
      </w:r>
      <w:r>
        <w:rPr>
          <w:rFonts w:hint="eastAsia" w:ascii="宋体" w:hAnsi="宋体" w:cs="仿宋_GB2312"/>
          <w:color w:val="FF0000"/>
          <w:szCs w:val="21"/>
          <w:highlight w:val="none"/>
          <w:u w:val="single"/>
        </w:rPr>
        <w:t>的5%</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14.2.2 支付保函</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在以下方式中选择其一，作为双方对支付保函的约定。</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sym w:font="Wingdings 2" w:char="0052"/>
      </w:r>
      <w:r>
        <w:rPr>
          <w:rFonts w:hint="eastAsia" w:ascii="宋体" w:hAnsi="宋体" w:cs="仿宋_GB2312"/>
          <w:szCs w:val="21"/>
          <w:highlight w:val="none"/>
        </w:rPr>
        <w:t xml:space="preserve"> 发包人不提交支付保函。</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fldChar w:fldCharType="begin"/>
      </w:r>
      <w:r>
        <w:rPr>
          <w:rFonts w:hint="eastAsia" w:ascii="宋体" w:hAnsi="宋体" w:cs="仿宋_GB2312"/>
          <w:szCs w:val="21"/>
          <w:highlight w:val="none"/>
        </w:rPr>
        <w:instrText xml:space="preserve"> eq \o\ac(</w:instrText>
      </w:r>
      <w:r>
        <w:rPr>
          <w:rFonts w:hint="eastAsia" w:ascii="宋体" w:hAnsi="宋体" w:cs="仿宋_GB2312"/>
          <w:position w:val="-4"/>
          <w:sz w:val="31"/>
          <w:szCs w:val="21"/>
          <w:highlight w:val="none"/>
        </w:rPr>
        <w:instrText xml:space="preserve">□</w:instrText>
      </w:r>
      <w:r>
        <w:rPr>
          <w:rFonts w:hint="eastAsia" w:ascii="宋体" w:hAnsi="宋体" w:cs="仿宋_GB2312"/>
          <w:szCs w:val="21"/>
          <w:highlight w:val="none"/>
        </w:rPr>
        <w:instrText xml:space="preserve">)</w:instrText>
      </w:r>
      <w:r>
        <w:rPr>
          <w:rFonts w:hint="eastAsia" w:ascii="宋体" w:hAnsi="宋体" w:cs="仿宋_GB2312"/>
          <w:szCs w:val="21"/>
          <w:highlight w:val="none"/>
        </w:rPr>
        <w:fldChar w:fldCharType="end"/>
      </w:r>
      <w:r>
        <w:rPr>
          <w:rFonts w:hint="eastAsia" w:ascii="宋体" w:hAnsi="宋体" w:cs="仿宋_GB2312"/>
          <w:szCs w:val="21"/>
          <w:highlight w:val="none"/>
        </w:rPr>
        <w:t>发包人提交支付保函的格式、金额：</w:t>
      </w:r>
      <w:r>
        <w:rPr>
          <w:rFonts w:hint="eastAsia" w:ascii="宋体" w:hAnsi="宋体" w:cs="仿宋_GB2312"/>
          <w:szCs w:val="21"/>
          <w:highlight w:val="none"/>
          <w:u w:val="single"/>
        </w:rPr>
        <w:t>银行保函或信用担保、中标金额的10%</w:t>
      </w:r>
    </w:p>
    <w:p>
      <w:pPr>
        <w:spacing w:before="156" w:beforeLines="50" w:after="156" w:afterLines="50" w:line="400" w:lineRule="exact"/>
        <w:ind w:firstLine="422"/>
        <w:outlineLvl w:val="2"/>
        <w:rPr>
          <w:rFonts w:ascii="宋体" w:hAnsi="宋体" w:cs="仿宋_GB2312"/>
          <w:b/>
          <w:szCs w:val="21"/>
          <w:highlight w:val="none"/>
        </w:rPr>
      </w:pPr>
      <w:r>
        <w:rPr>
          <w:rFonts w:hint="eastAsia" w:ascii="宋体" w:hAnsi="宋体" w:cs="仿宋_GB2312"/>
          <w:b/>
          <w:szCs w:val="21"/>
          <w:highlight w:val="none"/>
        </w:rPr>
        <w:t>14.3  预付款</w:t>
      </w:r>
      <w:bookmarkEnd w:id="801"/>
      <w:bookmarkEnd w:id="802"/>
      <w:bookmarkEnd w:id="803"/>
      <w:bookmarkEnd w:id="804"/>
    </w:p>
    <w:p>
      <w:pPr>
        <w:spacing w:line="400" w:lineRule="exact"/>
        <w:ind w:firstLine="420"/>
        <w:rPr>
          <w:rFonts w:ascii="宋体" w:hAnsi="宋体" w:cs="仿宋_GB2312"/>
          <w:b/>
          <w:szCs w:val="21"/>
          <w:highlight w:val="none"/>
        </w:rPr>
      </w:pPr>
      <w:r>
        <w:rPr>
          <w:rFonts w:hint="eastAsia" w:ascii="宋体" w:hAnsi="宋体" w:cs="仿宋_GB2312"/>
          <w:szCs w:val="21"/>
          <w:highlight w:val="none"/>
        </w:rPr>
        <w:t>14.3.1  预付款金额</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预付款的金额为：</w:t>
      </w:r>
      <w:r>
        <w:rPr>
          <w:rFonts w:hint="eastAsia" w:ascii="宋体" w:hAnsi="宋体" w:cs="仿宋_GB2312"/>
          <w:szCs w:val="21"/>
          <w:highlight w:val="none"/>
          <w:u w:val="single"/>
        </w:rPr>
        <w:t xml:space="preserve"> 以14.4.1约定为准。</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14.3.3 预付款抵扣</w:t>
      </w:r>
    </w:p>
    <w:p>
      <w:pPr>
        <w:spacing w:line="400" w:lineRule="exact"/>
        <w:ind w:firstLine="420"/>
        <w:rPr>
          <w:rFonts w:ascii="宋体" w:hAnsi="宋体" w:cs="仿宋_GB2312"/>
          <w:szCs w:val="21"/>
          <w:highlight w:val="none"/>
          <w:u w:val="single"/>
        </w:rPr>
      </w:pPr>
      <w:r>
        <w:rPr>
          <w:rFonts w:hint="eastAsia" w:ascii="宋体" w:hAnsi="宋体" w:cs="仿宋_GB2312"/>
          <w:szCs w:val="21"/>
          <w:highlight w:val="none"/>
        </w:rPr>
        <w:t>（1）</w:t>
      </w:r>
      <w:r>
        <w:rPr>
          <w:rFonts w:hint="eastAsia" w:ascii="宋体" w:hAnsi="宋体" w:cs="仿宋_GB2312"/>
          <w:szCs w:val="21"/>
          <w:highlight w:val="none"/>
          <w:u w:val="single"/>
        </w:rPr>
        <w:t>预付款的抵扣方式、抵扣比例和抵扣时间安排：该预付款分三次等额从前三次设计施工工程进度款中扣回，直至全部扣完为止。</w:t>
      </w:r>
    </w:p>
    <w:p>
      <w:pPr>
        <w:spacing w:before="156" w:beforeLines="50" w:after="156" w:afterLines="50" w:line="400" w:lineRule="exact"/>
        <w:ind w:firstLine="422"/>
        <w:outlineLvl w:val="2"/>
        <w:rPr>
          <w:rFonts w:ascii="宋体" w:hAnsi="宋体" w:cs="仿宋_GB2312"/>
          <w:b/>
          <w:szCs w:val="21"/>
          <w:highlight w:val="none"/>
        </w:rPr>
      </w:pPr>
      <w:bookmarkStart w:id="805" w:name="_Toc499566991"/>
      <w:bookmarkStart w:id="806" w:name="_Toc440118437"/>
      <w:bookmarkStart w:id="807" w:name="_Toc446841842"/>
      <w:bookmarkStart w:id="808" w:name="_Toc499566796"/>
      <w:r>
        <w:rPr>
          <w:rFonts w:hint="eastAsia" w:ascii="宋体" w:hAnsi="宋体" w:cs="仿宋_GB2312"/>
          <w:b/>
          <w:szCs w:val="21"/>
          <w:highlight w:val="none"/>
        </w:rPr>
        <w:t>14.4  工程进度款</w:t>
      </w:r>
      <w:bookmarkEnd w:id="805"/>
      <w:bookmarkEnd w:id="806"/>
      <w:bookmarkEnd w:id="807"/>
      <w:bookmarkEnd w:id="808"/>
    </w:p>
    <w:p>
      <w:pPr>
        <w:spacing w:line="400" w:lineRule="exact"/>
        <w:ind w:firstLine="420"/>
        <w:rPr>
          <w:rFonts w:ascii="宋体" w:hAnsi="宋体" w:cs="仿宋_GB2312"/>
          <w:szCs w:val="21"/>
          <w:highlight w:val="none"/>
        </w:rPr>
      </w:pPr>
      <w:r>
        <w:rPr>
          <w:rFonts w:hint="eastAsia" w:ascii="宋体" w:hAnsi="宋体" w:cs="仿宋_GB2312"/>
          <w:szCs w:val="21"/>
          <w:highlight w:val="none"/>
        </w:rPr>
        <w:t>14.4.1工程款</w:t>
      </w:r>
    </w:p>
    <w:p>
      <w:pPr>
        <w:numPr>
          <w:ilvl w:val="0"/>
          <w:numId w:val="6"/>
        </w:numPr>
        <w:spacing w:line="400" w:lineRule="exact"/>
        <w:ind w:firstLine="420"/>
        <w:rPr>
          <w:rFonts w:ascii="宋体" w:hAnsi="宋体" w:cs="仿宋_GB2312"/>
          <w:color w:val="FF0000"/>
          <w:szCs w:val="21"/>
          <w:highlight w:val="none"/>
        </w:rPr>
      </w:pPr>
      <w:r>
        <w:rPr>
          <w:rFonts w:hint="eastAsia" w:ascii="宋体" w:hAnsi="宋体" w:cs="仿宋_GB2312"/>
          <w:szCs w:val="21"/>
          <w:highlight w:val="none"/>
        </w:rPr>
        <w:t>工程款支付方式：</w:t>
      </w:r>
    </w:p>
    <w:p>
      <w:pPr>
        <w:numPr>
          <w:ilvl w:val="0"/>
          <w:numId w:val="7"/>
        </w:numPr>
        <w:spacing w:line="400" w:lineRule="exact"/>
        <w:ind w:firstLine="420" w:firstLineChars="200"/>
        <w:rPr>
          <w:rFonts w:ascii="宋体" w:hAnsi="宋体" w:cs="仿宋_GB2312"/>
          <w:color w:val="FF0000"/>
          <w:szCs w:val="21"/>
          <w:highlight w:val="none"/>
        </w:rPr>
      </w:pPr>
      <w:r>
        <w:rPr>
          <w:rFonts w:hint="eastAsia" w:ascii="宋体" w:hAnsi="宋体" w:cs="仿宋_GB2312"/>
          <w:color w:val="FF0000"/>
          <w:szCs w:val="21"/>
          <w:highlight w:val="none"/>
        </w:rPr>
        <w:t>按月进度支付。</w:t>
      </w:r>
    </w:p>
    <w:p>
      <w:pPr>
        <w:numPr>
          <w:ilvl w:val="0"/>
          <w:numId w:val="7"/>
        </w:numPr>
        <w:spacing w:line="400" w:lineRule="exact"/>
        <w:ind w:firstLine="420" w:firstLineChars="200"/>
        <w:rPr>
          <w:rFonts w:ascii="宋体" w:hAnsi="宋体" w:cs="仿宋_GB2312"/>
          <w:color w:val="FF0000"/>
          <w:szCs w:val="21"/>
          <w:highlight w:val="none"/>
        </w:rPr>
      </w:pPr>
      <w:r>
        <w:rPr>
          <w:rFonts w:hint="eastAsia" w:ascii="宋体" w:hAnsi="宋体" w:cs="仿宋_GB2312"/>
          <w:color w:val="FF0000"/>
          <w:szCs w:val="21"/>
          <w:highlight w:val="none"/>
        </w:rPr>
        <w:t>自工程验收合格之日起一年后，如无质量问题，发包方无息支付给承包人质量保证金3%。</w:t>
      </w:r>
    </w:p>
    <w:p>
      <w:pPr>
        <w:spacing w:line="400" w:lineRule="exact"/>
        <w:ind w:firstLine="420"/>
        <w:rPr>
          <w:rFonts w:ascii="宋体" w:hAnsi="宋体" w:cs="仿宋_GB2312"/>
          <w:szCs w:val="21"/>
          <w:highlight w:val="none"/>
        </w:rPr>
      </w:pPr>
      <w:r>
        <w:rPr>
          <w:rFonts w:ascii="宋体" w:hAnsi="宋体" w:cs="仿宋_GB2312"/>
          <w:szCs w:val="21"/>
          <w:highlight w:val="none"/>
        </w:rPr>
        <w:t>2</w:t>
      </w:r>
      <w:r>
        <w:rPr>
          <w:rFonts w:hint="eastAsia" w:ascii="宋体" w:hAnsi="宋体" w:cs="仿宋_GB2312"/>
          <w:szCs w:val="21"/>
          <w:highlight w:val="none"/>
        </w:rPr>
        <w:t>）当施工中发现不合格项目时，承包人应及时进行整改，同时将整改措施以书面形式报送监理工程师存档备案。对质量不合格的项目，承包人应无条件进行返工，待整改完成验收合格后，当月支付该阶段工程款。</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3）付款时承包人应按发包人要求提供增值税普通发票，付款手续及发票交由发包人进行办理。否则，发包人有权暂停支付相应款项，且不承担违约责任。</w:t>
      </w:r>
    </w:p>
    <w:p>
      <w:pPr>
        <w:spacing w:line="336" w:lineRule="auto"/>
        <w:ind w:firstLine="420"/>
        <w:rPr>
          <w:rFonts w:ascii="宋体" w:hAnsi="宋体" w:cs="仿宋_GB2312"/>
          <w:szCs w:val="21"/>
          <w:highlight w:val="none"/>
        </w:rPr>
      </w:pPr>
      <w:r>
        <w:rPr>
          <w:rFonts w:hint="eastAsia" w:ascii="宋体" w:hAnsi="宋体" w:cs="仿宋_GB2312"/>
          <w:szCs w:val="21"/>
          <w:highlight w:val="none"/>
        </w:rPr>
        <w:t>14.4.2其它进度款</w:t>
      </w:r>
    </w:p>
    <w:p>
      <w:pPr>
        <w:spacing w:line="336" w:lineRule="auto"/>
        <w:ind w:firstLine="420"/>
        <w:rPr>
          <w:rFonts w:ascii="宋体" w:hAnsi="宋体" w:cs="仿宋_GB2312"/>
          <w:szCs w:val="21"/>
          <w:highlight w:val="none"/>
          <w:u w:val="single"/>
        </w:rPr>
      </w:pPr>
      <w:r>
        <w:rPr>
          <w:rFonts w:hint="eastAsia" w:ascii="宋体" w:hAnsi="宋体" w:cs="仿宋_GB2312"/>
          <w:szCs w:val="21"/>
          <w:highlight w:val="none"/>
        </w:rPr>
        <w:t>其它进度款有：</w:t>
      </w:r>
      <w:r>
        <w:rPr>
          <w:rFonts w:hint="eastAsia" w:ascii="宋体" w:hAnsi="宋体" w:cs="仿宋_GB2312"/>
          <w:szCs w:val="21"/>
          <w:highlight w:val="none"/>
          <w:u w:val="single"/>
        </w:rPr>
        <w:t xml:space="preserve">  双方另行约定  。</w:t>
      </w:r>
    </w:p>
    <w:p>
      <w:pPr>
        <w:spacing w:before="156" w:beforeLines="50" w:after="156" w:afterLines="50" w:line="400" w:lineRule="exact"/>
        <w:ind w:firstLine="422"/>
        <w:outlineLvl w:val="2"/>
        <w:rPr>
          <w:rFonts w:ascii="宋体" w:hAnsi="宋体" w:cs="仿宋_GB2312"/>
          <w:b/>
          <w:szCs w:val="21"/>
          <w:highlight w:val="none"/>
        </w:rPr>
      </w:pPr>
      <w:bookmarkStart w:id="809" w:name="_Toc499566797"/>
      <w:bookmarkStart w:id="810" w:name="_Toc499566992"/>
      <w:bookmarkStart w:id="811" w:name="_Toc446841843"/>
      <w:bookmarkStart w:id="812" w:name="_Toc440118438"/>
      <w:r>
        <w:rPr>
          <w:rFonts w:hint="eastAsia" w:ascii="宋体" w:hAnsi="宋体" w:cs="仿宋_GB2312"/>
          <w:b/>
          <w:szCs w:val="21"/>
          <w:highlight w:val="none"/>
        </w:rPr>
        <w:t>14.5  质量保证金的暂扣与支付</w:t>
      </w:r>
      <w:bookmarkEnd w:id="809"/>
      <w:bookmarkEnd w:id="810"/>
      <w:bookmarkEnd w:id="811"/>
      <w:bookmarkEnd w:id="812"/>
    </w:p>
    <w:p>
      <w:pPr>
        <w:spacing w:line="400" w:lineRule="exact"/>
        <w:ind w:firstLine="420"/>
        <w:rPr>
          <w:rFonts w:ascii="宋体" w:hAnsi="宋体" w:cs="仿宋_GB2312"/>
          <w:szCs w:val="21"/>
          <w:highlight w:val="none"/>
        </w:rPr>
      </w:pPr>
      <w:r>
        <w:rPr>
          <w:rFonts w:hint="eastAsia" w:ascii="宋体" w:hAnsi="宋体" w:cs="仿宋_GB2312"/>
          <w:szCs w:val="21"/>
          <w:highlight w:val="none"/>
        </w:rPr>
        <w:t>14.5.2  质量保证金的支付：</w:t>
      </w:r>
    </w:p>
    <w:p>
      <w:pPr>
        <w:ind w:firstLine="630" w:firstLineChars="300"/>
        <w:rPr>
          <w:rFonts w:ascii="宋体" w:hAnsi="宋体" w:cs="仿宋_GB2312"/>
          <w:szCs w:val="21"/>
          <w:highlight w:val="none"/>
          <w:u w:val="single"/>
        </w:rPr>
      </w:pPr>
      <w:r>
        <w:rPr>
          <w:rFonts w:hint="eastAsia" w:ascii="宋体" w:hAnsi="宋体" w:cs="仿宋_GB2312"/>
          <w:bCs/>
          <w:szCs w:val="21"/>
          <w:highlight w:val="none"/>
          <w:u w:val="single"/>
        </w:rPr>
        <w:t>发包人在缺陷责任</w:t>
      </w:r>
      <w:r>
        <w:rPr>
          <w:rFonts w:hint="eastAsia" w:ascii="宋体" w:hAnsi="宋体" w:cs="仿宋_GB2312"/>
          <w:bCs/>
          <w:color w:val="FF0000"/>
          <w:szCs w:val="21"/>
          <w:highlight w:val="none"/>
          <w:u w:val="single"/>
        </w:rPr>
        <w:t>期1年满</w:t>
      </w:r>
      <w:r>
        <w:rPr>
          <w:rFonts w:hint="eastAsia" w:ascii="宋体" w:hAnsi="宋体" w:cs="仿宋_GB2312"/>
          <w:bCs/>
          <w:szCs w:val="21"/>
          <w:highlight w:val="none"/>
          <w:u w:val="single"/>
        </w:rPr>
        <w:t>后扣除相关费用后（若有）返还承包人</w:t>
      </w:r>
      <w:r>
        <w:rPr>
          <w:rFonts w:hint="eastAsia" w:ascii="宋体" w:hAnsi="宋体" w:cs="仿宋_GB2312"/>
          <w:szCs w:val="21"/>
          <w:highlight w:val="none"/>
          <w:u w:val="single"/>
        </w:rPr>
        <w:t>。</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（2）质量保证金保函的格式、金额和时间：</w:t>
      </w:r>
      <w:r>
        <w:rPr>
          <w:rFonts w:hint="eastAsia" w:ascii="宋体" w:hAnsi="宋体" w:cs="仿宋_GB2312"/>
          <w:szCs w:val="21"/>
          <w:highlight w:val="none"/>
          <w:u w:val="single"/>
        </w:rPr>
        <w:t xml:space="preserve">       ／              </w:t>
      </w:r>
    </w:p>
    <w:p>
      <w:pPr>
        <w:spacing w:before="156" w:beforeLines="50" w:after="156" w:afterLines="50" w:line="400" w:lineRule="exact"/>
        <w:ind w:firstLine="422"/>
        <w:outlineLvl w:val="2"/>
        <w:rPr>
          <w:rFonts w:ascii="宋体" w:hAnsi="宋体" w:cs="仿宋_GB2312"/>
          <w:b/>
          <w:szCs w:val="21"/>
          <w:highlight w:val="none"/>
        </w:rPr>
      </w:pPr>
      <w:bookmarkStart w:id="813" w:name="_Toc499566993"/>
      <w:bookmarkStart w:id="814" w:name="_Toc446841844"/>
      <w:bookmarkStart w:id="815" w:name="_Toc499566798"/>
      <w:bookmarkStart w:id="816" w:name="_Toc440118439"/>
      <w:r>
        <w:rPr>
          <w:rFonts w:hint="eastAsia" w:ascii="宋体" w:hAnsi="宋体" w:cs="仿宋_GB2312"/>
          <w:b/>
          <w:szCs w:val="21"/>
          <w:highlight w:val="none"/>
        </w:rPr>
        <w:t>14.6  按月工程进度申请付款</w:t>
      </w:r>
      <w:bookmarkEnd w:id="813"/>
      <w:bookmarkEnd w:id="814"/>
      <w:bookmarkEnd w:id="815"/>
      <w:bookmarkEnd w:id="816"/>
    </w:p>
    <w:p>
      <w:pPr>
        <w:spacing w:before="156" w:beforeLines="50" w:after="156" w:afterLines="50" w:line="400" w:lineRule="exact"/>
        <w:ind w:firstLine="420"/>
        <w:rPr>
          <w:rFonts w:ascii="宋体" w:hAnsi="宋体" w:cs="仿宋_GB2312"/>
          <w:szCs w:val="21"/>
          <w:highlight w:val="none"/>
          <w:u w:val="single"/>
        </w:rPr>
      </w:pPr>
      <w:r>
        <w:rPr>
          <w:rFonts w:hint="eastAsia" w:ascii="宋体" w:hAnsi="宋体" w:cs="仿宋_GB2312"/>
          <w:szCs w:val="21"/>
          <w:highlight w:val="none"/>
        </w:rPr>
        <w:t>按月付款申请报告的格式、内容、份数和提交时间：</w:t>
      </w:r>
      <w:r>
        <w:rPr>
          <w:rFonts w:hint="eastAsia" w:ascii="宋体" w:hAnsi="宋体" w:cs="仿宋_GB2312"/>
          <w:szCs w:val="21"/>
          <w:highlight w:val="none"/>
          <w:u w:val="single"/>
        </w:rPr>
        <w:t xml:space="preserve"> /   </w:t>
      </w:r>
    </w:p>
    <w:p>
      <w:pPr>
        <w:spacing w:before="156" w:beforeLines="50" w:after="156" w:afterLines="50" w:line="400" w:lineRule="exact"/>
        <w:ind w:firstLine="422"/>
        <w:outlineLvl w:val="2"/>
        <w:rPr>
          <w:rFonts w:ascii="宋体" w:hAnsi="宋体" w:cs="仿宋_GB2312"/>
          <w:b/>
          <w:szCs w:val="21"/>
          <w:highlight w:val="none"/>
        </w:rPr>
      </w:pPr>
      <w:bookmarkStart w:id="817" w:name="_Toc499566799"/>
      <w:bookmarkStart w:id="818" w:name="_Toc446841845"/>
      <w:bookmarkStart w:id="819" w:name="_Toc499566994"/>
      <w:bookmarkStart w:id="820" w:name="_Toc440118440"/>
      <w:r>
        <w:rPr>
          <w:rFonts w:hint="eastAsia" w:ascii="宋体" w:hAnsi="宋体" w:cs="仿宋_GB2312"/>
          <w:b/>
          <w:szCs w:val="21"/>
          <w:highlight w:val="none"/>
        </w:rPr>
        <w:t>14.7  按付款计划表申请付款</w:t>
      </w:r>
      <w:bookmarkEnd w:id="817"/>
      <w:bookmarkEnd w:id="818"/>
      <w:bookmarkEnd w:id="819"/>
      <w:bookmarkEnd w:id="820"/>
    </w:p>
    <w:p>
      <w:pPr>
        <w:spacing w:line="400" w:lineRule="exact"/>
        <w:ind w:firstLine="420"/>
        <w:rPr>
          <w:rFonts w:ascii="宋体" w:hAnsi="宋体" w:cs="仿宋_GB2312"/>
          <w:szCs w:val="21"/>
          <w:highlight w:val="none"/>
          <w:u w:val="single"/>
        </w:rPr>
      </w:pPr>
      <w:r>
        <w:rPr>
          <w:rFonts w:hint="eastAsia" w:ascii="宋体" w:hAnsi="宋体" w:cs="仿宋_GB2312"/>
          <w:szCs w:val="21"/>
          <w:highlight w:val="none"/>
        </w:rPr>
        <w:t>付款期数、每期付款金额、每期需达到的主要计划形象进度和主要计划工程量进度：</w:t>
      </w:r>
      <w:r>
        <w:rPr>
          <w:rFonts w:hint="eastAsia" w:ascii="宋体" w:hAnsi="宋体" w:cs="仿宋_GB2312"/>
          <w:szCs w:val="21"/>
          <w:highlight w:val="none"/>
          <w:u w:val="single"/>
        </w:rPr>
        <w:t xml:space="preserve">   ／   </w:t>
      </w:r>
    </w:p>
    <w:p>
      <w:pPr>
        <w:tabs>
          <w:tab w:val="right" w:pos="8340"/>
        </w:tabs>
        <w:spacing w:line="400" w:lineRule="exact"/>
        <w:ind w:firstLine="420"/>
        <w:rPr>
          <w:rFonts w:ascii="宋体" w:hAnsi="宋体" w:cs="仿宋_GB2312"/>
          <w:szCs w:val="21"/>
          <w:highlight w:val="none"/>
          <w:u w:val="single"/>
        </w:rPr>
      </w:pPr>
      <w:r>
        <w:rPr>
          <w:rFonts w:hint="eastAsia" w:ascii="宋体" w:hAnsi="宋体" w:cs="仿宋_GB2312"/>
          <w:szCs w:val="21"/>
          <w:highlight w:val="none"/>
        </w:rPr>
        <w:t>付款申请报告的格式、内容、份数和提交时间：</w:t>
      </w:r>
      <w:r>
        <w:rPr>
          <w:rFonts w:hint="eastAsia" w:ascii="宋体" w:hAnsi="宋体" w:cs="仿宋_GB2312"/>
          <w:szCs w:val="21"/>
          <w:highlight w:val="none"/>
          <w:u w:val="single"/>
        </w:rPr>
        <w:t xml:space="preserve">          ／ </w:t>
      </w:r>
    </w:p>
    <w:p>
      <w:pPr>
        <w:spacing w:before="156" w:beforeLines="50" w:after="156" w:afterLines="50" w:line="400" w:lineRule="exact"/>
        <w:ind w:firstLine="422"/>
        <w:outlineLvl w:val="2"/>
        <w:rPr>
          <w:rFonts w:ascii="宋体" w:hAnsi="宋体" w:cs="仿宋_GB2312"/>
          <w:b/>
          <w:szCs w:val="21"/>
          <w:highlight w:val="none"/>
        </w:rPr>
      </w:pPr>
      <w:bookmarkStart w:id="821" w:name="_Toc446841846"/>
      <w:bookmarkStart w:id="822" w:name="_Toc499566995"/>
      <w:bookmarkStart w:id="823" w:name="_Toc440118441"/>
      <w:bookmarkStart w:id="824" w:name="_Toc499566800"/>
      <w:r>
        <w:rPr>
          <w:rFonts w:hint="eastAsia" w:ascii="宋体" w:hAnsi="宋体" w:cs="仿宋_GB2312"/>
          <w:b/>
          <w:szCs w:val="21"/>
          <w:highlight w:val="none"/>
        </w:rPr>
        <w:t>14.12  竣工结算</w:t>
      </w:r>
      <w:bookmarkEnd w:id="821"/>
      <w:bookmarkEnd w:id="822"/>
      <w:bookmarkEnd w:id="823"/>
      <w:bookmarkEnd w:id="824"/>
    </w:p>
    <w:p>
      <w:pPr>
        <w:spacing w:line="400" w:lineRule="exact"/>
        <w:ind w:firstLine="420"/>
        <w:rPr>
          <w:rFonts w:ascii="宋体" w:hAnsi="宋体" w:cs="仿宋_GB2312"/>
          <w:szCs w:val="21"/>
          <w:highlight w:val="none"/>
        </w:rPr>
      </w:pPr>
      <w:r>
        <w:rPr>
          <w:rFonts w:hint="eastAsia" w:ascii="宋体" w:hAnsi="宋体" w:cs="仿宋_GB2312"/>
          <w:szCs w:val="21"/>
          <w:highlight w:val="none"/>
        </w:rPr>
        <w:t>14.12.1  提交竣工结算资料</w:t>
      </w:r>
    </w:p>
    <w:p>
      <w:pPr>
        <w:spacing w:line="400" w:lineRule="exact"/>
        <w:ind w:firstLine="420"/>
        <w:rPr>
          <w:rFonts w:ascii="宋体" w:hAnsi="宋体" w:cs="仿宋_GB2312"/>
          <w:szCs w:val="21"/>
          <w:highlight w:val="none"/>
          <w:u w:val="single"/>
        </w:rPr>
      </w:pPr>
      <w:r>
        <w:rPr>
          <w:rFonts w:hint="eastAsia" w:ascii="宋体" w:hAnsi="宋体" w:cs="仿宋_GB2312"/>
          <w:szCs w:val="21"/>
          <w:highlight w:val="none"/>
        </w:rPr>
        <w:t>竣工结算资料的格式、内容和份数：</w:t>
      </w:r>
      <w:r>
        <w:rPr>
          <w:rFonts w:hint="eastAsia" w:ascii="宋体" w:hAnsi="宋体" w:cs="仿宋_GB2312"/>
          <w:szCs w:val="21"/>
          <w:highlight w:val="none"/>
          <w:u w:val="single"/>
        </w:rPr>
        <w:t xml:space="preserve">工程竣工验收合格后14日内承包人提交竣工结算资料一式三份；内容应包括竣工结算合同价款总额、累计已实际支付的合同价款、应扣留的质量保证金、实际应支付的合同总价；格式由发承包双方届时协商。 </w:t>
      </w:r>
    </w:p>
    <w:p>
      <w:pPr>
        <w:adjustRightInd w:val="0"/>
        <w:snapToGrid w:val="0"/>
        <w:spacing w:line="480" w:lineRule="exact"/>
        <w:ind w:firstLine="420"/>
        <w:rPr>
          <w:rFonts w:ascii="宋体" w:hAnsi="宋体" w:cs="仿宋_GB2312"/>
          <w:szCs w:val="21"/>
          <w:highlight w:val="none"/>
        </w:rPr>
      </w:pPr>
      <w:bookmarkStart w:id="825" w:name="_Toc440118442"/>
      <w:bookmarkStart w:id="826" w:name="_Toc451936023"/>
      <w:bookmarkStart w:id="827" w:name="_Toc446841847"/>
      <w:r>
        <w:rPr>
          <w:rFonts w:hint="eastAsia" w:ascii="宋体" w:hAnsi="宋体" w:cs="仿宋_GB2312"/>
          <w:szCs w:val="21"/>
          <w:highlight w:val="none"/>
        </w:rPr>
        <w:t>工程已竣工验收合格，资料已经移交，临建已拆除完毕且现场清洁、无污染后，发包人方可接收结算资料，办理竣工结算。</w:t>
      </w:r>
    </w:p>
    <w:p>
      <w:pPr>
        <w:spacing w:before="156" w:beforeLines="50" w:after="156" w:afterLines="50" w:line="300" w:lineRule="auto"/>
        <w:ind w:firstLine="413" w:firstLineChars="196"/>
        <w:outlineLvl w:val="1"/>
        <w:rPr>
          <w:rFonts w:ascii="宋体" w:hAnsi="宋体" w:cs="仿宋_GB2312"/>
          <w:b/>
          <w:szCs w:val="21"/>
          <w:highlight w:val="none"/>
        </w:rPr>
      </w:pPr>
      <w:bookmarkStart w:id="828" w:name="_Toc23957"/>
      <w:bookmarkStart w:id="829" w:name="_Toc499566801"/>
      <w:bookmarkStart w:id="830" w:name="_Toc28237"/>
      <w:bookmarkStart w:id="831" w:name="_Toc31455"/>
      <w:bookmarkStart w:id="832" w:name="_Toc2299"/>
      <w:bookmarkStart w:id="833" w:name="_Toc499566996"/>
      <w:bookmarkStart w:id="834" w:name="_Toc1124"/>
      <w:r>
        <w:rPr>
          <w:rFonts w:hint="eastAsia" w:ascii="宋体" w:hAnsi="宋体" w:cs="仿宋_GB2312"/>
          <w:b/>
          <w:szCs w:val="21"/>
          <w:highlight w:val="none"/>
        </w:rPr>
        <w:t>第15条  保险</w:t>
      </w:r>
      <w:bookmarkEnd w:id="825"/>
      <w:bookmarkEnd w:id="826"/>
      <w:bookmarkEnd w:id="827"/>
      <w:bookmarkEnd w:id="828"/>
      <w:bookmarkEnd w:id="829"/>
      <w:bookmarkEnd w:id="830"/>
      <w:bookmarkEnd w:id="831"/>
      <w:bookmarkEnd w:id="832"/>
      <w:bookmarkEnd w:id="833"/>
      <w:bookmarkEnd w:id="834"/>
    </w:p>
    <w:p>
      <w:pPr>
        <w:spacing w:before="156" w:beforeLines="50" w:after="156" w:afterLines="50" w:line="400" w:lineRule="exact"/>
        <w:ind w:firstLine="422"/>
        <w:outlineLvl w:val="2"/>
        <w:rPr>
          <w:rFonts w:ascii="宋体" w:hAnsi="宋体" w:cs="仿宋_GB2312"/>
          <w:b/>
          <w:szCs w:val="21"/>
          <w:highlight w:val="none"/>
        </w:rPr>
      </w:pPr>
      <w:bookmarkStart w:id="835" w:name="_Toc499566997"/>
      <w:bookmarkStart w:id="836" w:name="_Toc446841848"/>
      <w:bookmarkStart w:id="837" w:name="_Toc440118443"/>
      <w:bookmarkStart w:id="838" w:name="_Toc499566802"/>
      <w:r>
        <w:rPr>
          <w:rFonts w:hint="eastAsia" w:ascii="宋体" w:hAnsi="宋体" w:cs="仿宋_GB2312"/>
          <w:b/>
          <w:szCs w:val="21"/>
          <w:highlight w:val="none"/>
        </w:rPr>
        <w:t>15.1  承包人的投保</w:t>
      </w:r>
      <w:bookmarkEnd w:id="835"/>
      <w:bookmarkEnd w:id="836"/>
      <w:bookmarkEnd w:id="837"/>
      <w:bookmarkEnd w:id="838"/>
    </w:p>
    <w:p>
      <w:pPr>
        <w:spacing w:line="400" w:lineRule="exact"/>
        <w:ind w:firstLine="420"/>
        <w:rPr>
          <w:rFonts w:ascii="宋体" w:hAnsi="宋体" w:cs="仿宋_GB2312"/>
          <w:szCs w:val="21"/>
          <w:highlight w:val="none"/>
          <w:u w:val="single"/>
        </w:rPr>
      </w:pPr>
      <w:r>
        <w:rPr>
          <w:rFonts w:hint="eastAsia" w:ascii="宋体" w:hAnsi="宋体" w:cs="仿宋_GB2312"/>
          <w:szCs w:val="21"/>
          <w:highlight w:val="none"/>
        </w:rPr>
        <w:t>15.1.1 合同双方商定，由承包人负责投保的保险种类、保险范围、投保金额、保险期限和持续有效的时间：</w:t>
      </w:r>
      <w:r>
        <w:rPr>
          <w:rFonts w:hint="eastAsia" w:ascii="宋体" w:hAnsi="宋体" w:cs="仿宋_GB2312"/>
          <w:szCs w:val="21"/>
          <w:highlight w:val="none"/>
          <w:u w:val="single"/>
        </w:rPr>
        <w:t xml:space="preserve"> 承包人必须为从事危险作业的职工办理意外伤害保险，并为施工场地内自有人员生命财产和施工机械设备办理保险，支付保险费用。  </w:t>
      </w:r>
    </w:p>
    <w:p>
      <w:pPr>
        <w:spacing w:line="400" w:lineRule="exact"/>
        <w:ind w:firstLine="420"/>
        <w:rPr>
          <w:rFonts w:ascii="宋体" w:hAnsi="宋体" w:cs="仿宋_GB2312"/>
          <w:szCs w:val="21"/>
          <w:highlight w:val="none"/>
        </w:rPr>
      </w:pPr>
      <w:r>
        <w:rPr>
          <w:rFonts w:hint="eastAsia" w:ascii="宋体" w:hAnsi="宋体" w:cs="仿宋_GB2312"/>
          <w:szCs w:val="21"/>
          <w:highlight w:val="none"/>
          <w:u w:val="single"/>
        </w:rPr>
        <w:t>如本工程之工期延长，则承包人须自费延长所购买保险的有效期，所需之所有费用视为包含于合同价格中。</w:t>
      </w:r>
    </w:p>
    <w:p>
      <w:pPr>
        <w:spacing w:before="156" w:beforeLines="50" w:after="156" w:afterLines="50" w:line="400" w:lineRule="exact"/>
        <w:ind w:firstLine="422"/>
        <w:outlineLvl w:val="2"/>
        <w:rPr>
          <w:rFonts w:ascii="宋体" w:hAnsi="宋体" w:cs="仿宋_GB2312"/>
          <w:b/>
          <w:szCs w:val="21"/>
          <w:highlight w:val="none"/>
        </w:rPr>
      </w:pPr>
      <w:bookmarkStart w:id="839" w:name="_Toc446841849"/>
      <w:bookmarkStart w:id="840" w:name="_Toc499566803"/>
      <w:bookmarkStart w:id="841" w:name="_Toc440118444"/>
      <w:bookmarkStart w:id="842" w:name="_Toc499566998"/>
      <w:r>
        <w:rPr>
          <w:rFonts w:hint="eastAsia" w:ascii="宋体" w:hAnsi="宋体" w:cs="仿宋_GB2312"/>
          <w:b/>
          <w:szCs w:val="21"/>
          <w:highlight w:val="none"/>
        </w:rPr>
        <w:t>15.2  一切险和第三方责任</w:t>
      </w:r>
      <w:bookmarkEnd w:id="839"/>
      <w:bookmarkEnd w:id="840"/>
      <w:bookmarkEnd w:id="841"/>
      <w:bookmarkEnd w:id="842"/>
    </w:p>
    <w:p>
      <w:pPr>
        <w:pStyle w:val="16"/>
        <w:spacing w:line="312" w:lineRule="auto"/>
        <w:ind w:firstLine="420"/>
        <w:rPr>
          <w:rFonts w:ascii="宋体" w:hAnsi="宋体" w:cs="仿宋_GB2312"/>
          <w:szCs w:val="21"/>
          <w:highlight w:val="none"/>
        </w:rPr>
      </w:pPr>
      <w:r>
        <w:rPr>
          <w:rFonts w:hint="eastAsia" w:ascii="宋体" w:hAnsi="宋体" w:cs="仿宋_GB2312"/>
          <w:szCs w:val="21"/>
          <w:highlight w:val="none"/>
        </w:rPr>
        <w:t>土建工程一切险的投保方及对投保的相关要求：</w:t>
      </w:r>
      <w:r>
        <w:rPr>
          <w:rFonts w:hint="eastAsia" w:ascii="宋体" w:hAnsi="宋体" w:cs="仿宋_GB2312"/>
          <w:szCs w:val="21"/>
          <w:highlight w:val="none"/>
          <w:u w:val="single"/>
        </w:rPr>
        <w:t xml:space="preserve">    /    </w:t>
      </w:r>
      <w:r>
        <w:rPr>
          <w:rFonts w:hint="eastAsia" w:ascii="宋体" w:hAnsi="宋体" w:cs="仿宋_GB2312"/>
          <w:szCs w:val="21"/>
          <w:highlight w:val="none"/>
        </w:rPr>
        <w:t xml:space="preserve">  </w:t>
      </w:r>
    </w:p>
    <w:p>
      <w:pPr>
        <w:spacing w:line="312" w:lineRule="auto"/>
        <w:ind w:firstLine="420"/>
        <w:rPr>
          <w:rFonts w:ascii="宋体" w:hAnsi="宋体" w:cs="仿宋_GB2312"/>
          <w:szCs w:val="21"/>
          <w:highlight w:val="none"/>
        </w:rPr>
      </w:pPr>
      <w:r>
        <w:rPr>
          <w:rFonts w:hint="eastAsia" w:ascii="宋体" w:hAnsi="宋体" w:cs="仿宋_GB2312"/>
          <w:szCs w:val="21"/>
          <w:highlight w:val="none"/>
        </w:rPr>
        <w:t>安装工程及竣工试验一切险的投保方及对投保的相关要求：</w:t>
      </w:r>
      <w:r>
        <w:rPr>
          <w:rFonts w:hint="eastAsia" w:ascii="宋体" w:hAnsi="宋体" w:cs="仿宋_GB2312"/>
          <w:szCs w:val="21"/>
          <w:highlight w:val="none"/>
          <w:u w:val="single"/>
        </w:rPr>
        <w:t xml:space="preserve"> /     </w:t>
      </w:r>
    </w:p>
    <w:p>
      <w:pPr>
        <w:spacing w:line="312" w:lineRule="auto"/>
        <w:ind w:firstLine="420"/>
        <w:rPr>
          <w:rFonts w:ascii="宋体" w:hAnsi="宋体" w:cs="仿宋_GB2312"/>
          <w:szCs w:val="21"/>
          <w:highlight w:val="none"/>
        </w:rPr>
      </w:pPr>
      <w:r>
        <w:rPr>
          <w:rFonts w:hint="eastAsia" w:ascii="宋体" w:hAnsi="宋体" w:cs="仿宋_GB2312"/>
          <w:szCs w:val="21"/>
          <w:highlight w:val="none"/>
        </w:rPr>
        <w:t>第三者责任险的应投保方及对投保的相关要求：</w:t>
      </w:r>
      <w:r>
        <w:rPr>
          <w:rFonts w:hint="eastAsia" w:ascii="宋体" w:hAnsi="宋体" w:cs="仿宋_GB2312"/>
          <w:szCs w:val="21"/>
          <w:highlight w:val="none"/>
          <w:u w:val="single"/>
        </w:rPr>
        <w:t xml:space="preserve">    /   </w:t>
      </w:r>
    </w:p>
    <w:p>
      <w:pPr>
        <w:spacing w:before="156" w:beforeLines="50" w:after="156" w:afterLines="50" w:line="300" w:lineRule="auto"/>
        <w:ind w:firstLine="413" w:firstLineChars="196"/>
        <w:outlineLvl w:val="1"/>
        <w:rPr>
          <w:rFonts w:ascii="宋体" w:hAnsi="宋体" w:cs="仿宋_GB2312"/>
          <w:b/>
          <w:szCs w:val="21"/>
          <w:highlight w:val="none"/>
        </w:rPr>
      </w:pPr>
      <w:bookmarkStart w:id="843" w:name="_Toc20580"/>
      <w:bookmarkStart w:id="844" w:name="_Toc23583"/>
      <w:bookmarkStart w:id="845" w:name="_Toc10148"/>
      <w:bookmarkStart w:id="846" w:name="_Toc499566999"/>
      <w:bookmarkStart w:id="847" w:name="_Toc31736"/>
      <w:bookmarkStart w:id="848" w:name="_Toc451936024"/>
      <w:bookmarkStart w:id="849" w:name="_Toc440118445"/>
      <w:bookmarkStart w:id="850" w:name="_Toc446841850"/>
      <w:bookmarkStart w:id="851" w:name="_Toc499566804"/>
      <w:bookmarkStart w:id="852" w:name="_Toc15917"/>
      <w:r>
        <w:rPr>
          <w:rFonts w:hint="eastAsia" w:ascii="宋体" w:hAnsi="宋体" w:cs="仿宋_GB2312"/>
          <w:b/>
          <w:szCs w:val="21"/>
          <w:highlight w:val="none"/>
        </w:rPr>
        <w:t>第16条  违约、索赔和裁决</w:t>
      </w:r>
      <w:bookmarkEnd w:id="843"/>
      <w:bookmarkEnd w:id="844"/>
      <w:bookmarkEnd w:id="845"/>
      <w:bookmarkEnd w:id="846"/>
      <w:bookmarkEnd w:id="847"/>
      <w:bookmarkEnd w:id="848"/>
      <w:bookmarkEnd w:id="849"/>
      <w:bookmarkEnd w:id="850"/>
      <w:bookmarkEnd w:id="851"/>
      <w:bookmarkEnd w:id="852"/>
    </w:p>
    <w:p>
      <w:pPr>
        <w:spacing w:before="156" w:beforeLines="50" w:after="156" w:afterLines="50" w:line="400" w:lineRule="exact"/>
        <w:ind w:firstLine="422"/>
        <w:outlineLvl w:val="2"/>
        <w:rPr>
          <w:rFonts w:ascii="宋体" w:hAnsi="宋体" w:cs="仿宋_GB2312"/>
          <w:b/>
          <w:szCs w:val="21"/>
          <w:highlight w:val="none"/>
        </w:rPr>
      </w:pPr>
      <w:bookmarkStart w:id="853" w:name="_Toc440118446"/>
      <w:bookmarkStart w:id="854" w:name="_Toc499566805"/>
      <w:bookmarkStart w:id="855" w:name="_Toc446841851"/>
      <w:bookmarkStart w:id="856" w:name="_Toc499567000"/>
      <w:r>
        <w:rPr>
          <w:rFonts w:hint="eastAsia" w:ascii="宋体" w:hAnsi="宋体" w:cs="仿宋_GB2312"/>
          <w:b/>
          <w:szCs w:val="21"/>
          <w:highlight w:val="none"/>
        </w:rPr>
        <w:t>16.3  争议和裁决</w:t>
      </w:r>
      <w:bookmarkEnd w:id="853"/>
      <w:bookmarkEnd w:id="854"/>
      <w:bookmarkEnd w:id="855"/>
      <w:bookmarkEnd w:id="856"/>
    </w:p>
    <w:p>
      <w:pPr>
        <w:spacing w:line="400" w:lineRule="exact"/>
        <w:ind w:firstLine="420"/>
        <w:rPr>
          <w:rFonts w:ascii="宋体" w:hAnsi="宋体" w:cs="仿宋_GB2312"/>
          <w:szCs w:val="21"/>
          <w:highlight w:val="none"/>
        </w:rPr>
      </w:pPr>
      <w:r>
        <w:rPr>
          <w:rFonts w:hint="eastAsia" w:ascii="宋体" w:hAnsi="宋体" w:cs="仿宋_GB2312"/>
          <w:szCs w:val="21"/>
          <w:highlight w:val="none"/>
        </w:rPr>
        <w:t>16.3.1  争议的解决程序</w:t>
      </w:r>
    </w:p>
    <w:p>
      <w:pPr>
        <w:spacing w:line="400" w:lineRule="exact"/>
        <w:ind w:firstLine="420"/>
        <w:rPr>
          <w:rFonts w:ascii="宋体" w:hAnsi="宋体" w:cs="仿宋_GB2312"/>
          <w:szCs w:val="21"/>
          <w:highlight w:val="none"/>
        </w:rPr>
      </w:pPr>
      <w:r>
        <w:rPr>
          <w:rFonts w:hint="eastAsia" w:ascii="宋体" w:hAnsi="宋体" w:cs="仿宋_GB2312"/>
          <w:szCs w:val="21"/>
          <w:highlight w:val="none"/>
        </w:rPr>
        <w:t>在争议提交调解之日起30日内，双方仍存有争议时，或合同任何一方不同意调解的，在以下方式中选择其一，作为双方解决争议事项的约定。</w:t>
      </w:r>
    </w:p>
    <w:p>
      <w:pPr>
        <w:widowControl/>
        <w:numPr>
          <w:ilvl w:val="0"/>
          <w:numId w:val="5"/>
        </w:numPr>
        <w:spacing w:line="400" w:lineRule="exact"/>
        <w:ind w:left="0" w:firstLine="420"/>
        <w:jc w:val="left"/>
        <w:rPr>
          <w:rFonts w:ascii="宋体" w:hAnsi="宋体" w:cs="仿宋_GB2312"/>
          <w:szCs w:val="21"/>
          <w:highlight w:val="none"/>
        </w:rPr>
      </w:pPr>
      <w:r>
        <w:rPr>
          <w:rFonts w:hint="eastAsia" w:ascii="宋体" w:hAnsi="宋体" w:cs="仿宋_GB2312"/>
          <w:szCs w:val="21"/>
          <w:highlight w:val="none"/>
        </w:rPr>
        <w:t>提交</w:t>
      </w:r>
      <w:r>
        <w:rPr>
          <w:rFonts w:hint="eastAsia" w:ascii="宋体" w:hAnsi="宋体" w:cs="仿宋_GB2312"/>
          <w:szCs w:val="21"/>
          <w:highlight w:val="none"/>
          <w:u w:val="single"/>
        </w:rPr>
        <w:t xml:space="preserve">       </w:t>
      </w:r>
      <w:r>
        <w:rPr>
          <w:rFonts w:hint="eastAsia" w:ascii="宋体" w:hAnsi="宋体" w:cs="仿宋_GB2312"/>
          <w:szCs w:val="21"/>
          <w:highlight w:val="none"/>
        </w:rPr>
        <w:t>仲裁委员会，按照申请仲裁时该会有效的仲裁规则进行仲裁。仲裁裁决是终局的，对双方均有约束力。</w:t>
      </w:r>
    </w:p>
    <w:p>
      <w:pPr>
        <w:spacing w:line="400" w:lineRule="exact"/>
        <w:ind w:left="360" w:firstLine="420"/>
        <w:rPr>
          <w:rFonts w:ascii="宋体" w:hAnsi="宋体" w:cs="仿宋_GB2312"/>
          <w:szCs w:val="21"/>
          <w:highlight w:val="none"/>
        </w:rPr>
      </w:pPr>
      <w:r>
        <w:rPr>
          <w:rFonts w:hint="eastAsia" w:ascii="宋体" w:hAnsi="宋体" w:cs="仿宋_GB2312"/>
          <w:szCs w:val="21"/>
          <w:highlight w:val="none"/>
        </w:rPr>
        <w:fldChar w:fldCharType="begin"/>
      </w:r>
      <w:r>
        <w:rPr>
          <w:rFonts w:hint="eastAsia" w:ascii="宋体" w:hAnsi="宋体" w:cs="仿宋_GB2312"/>
          <w:szCs w:val="21"/>
          <w:highlight w:val="none"/>
        </w:rPr>
        <w:instrText xml:space="preserve"> eq \o\ac(</w:instrText>
      </w:r>
      <w:r>
        <w:rPr>
          <w:rFonts w:hint="eastAsia" w:ascii="宋体" w:hAnsi="宋体" w:cs="仿宋_GB2312"/>
          <w:position w:val="-4"/>
          <w:sz w:val="31"/>
          <w:szCs w:val="21"/>
          <w:highlight w:val="none"/>
        </w:rPr>
        <w:instrText xml:space="preserve">□</w:instrText>
      </w:r>
      <w:r>
        <w:rPr>
          <w:rFonts w:hint="eastAsia" w:ascii="宋体" w:hAnsi="宋体" w:cs="仿宋_GB2312"/>
          <w:szCs w:val="21"/>
          <w:highlight w:val="none"/>
        </w:rPr>
        <w:instrText xml:space="preserve">,√)</w:instrText>
      </w:r>
      <w:r>
        <w:rPr>
          <w:rFonts w:hint="eastAsia" w:ascii="宋体" w:hAnsi="宋体" w:cs="仿宋_GB2312"/>
          <w:szCs w:val="21"/>
          <w:highlight w:val="none"/>
        </w:rPr>
        <w:fldChar w:fldCharType="end"/>
      </w:r>
      <w:r>
        <w:rPr>
          <w:rFonts w:hint="eastAsia" w:ascii="宋体" w:hAnsi="宋体" w:cs="仿宋_GB2312"/>
          <w:szCs w:val="21"/>
          <w:highlight w:val="none"/>
        </w:rPr>
        <w:t xml:space="preserve"> 向</w:t>
      </w:r>
      <w:r>
        <w:rPr>
          <w:rFonts w:hint="eastAsia" w:ascii="宋体" w:hAnsi="宋体" w:cs="仿宋_GB2312"/>
          <w:szCs w:val="21"/>
          <w:highlight w:val="none"/>
          <w:u w:val="single"/>
        </w:rPr>
        <w:t xml:space="preserve"> 本项目 </w:t>
      </w:r>
      <w:r>
        <w:rPr>
          <w:rFonts w:hint="eastAsia" w:ascii="宋体" w:hAnsi="宋体" w:cs="仿宋_GB2312"/>
          <w:szCs w:val="21"/>
          <w:highlight w:val="none"/>
        </w:rPr>
        <w:t>所在地人民法院提起诉讼。</w:t>
      </w:r>
    </w:p>
    <w:p>
      <w:pPr>
        <w:spacing w:before="156" w:beforeLines="50" w:after="156" w:afterLines="50" w:line="300" w:lineRule="auto"/>
        <w:ind w:firstLine="413" w:firstLineChars="196"/>
        <w:outlineLvl w:val="1"/>
        <w:rPr>
          <w:rFonts w:ascii="宋体" w:hAnsi="宋体" w:cs="仿宋_GB2312"/>
          <w:b/>
          <w:szCs w:val="21"/>
          <w:highlight w:val="none"/>
        </w:rPr>
      </w:pPr>
      <w:bookmarkStart w:id="857" w:name="_Toc499566806"/>
      <w:bookmarkStart w:id="858" w:name="_Toc440118447"/>
      <w:bookmarkStart w:id="859" w:name="_Toc20265"/>
      <w:bookmarkStart w:id="860" w:name="_Toc19256"/>
      <w:bookmarkStart w:id="861" w:name="_Toc451936025"/>
      <w:bookmarkStart w:id="862" w:name="_Toc14303"/>
      <w:bookmarkStart w:id="863" w:name="_Toc499567001"/>
      <w:bookmarkStart w:id="864" w:name="_Toc32710"/>
      <w:bookmarkStart w:id="865" w:name="_Toc14261"/>
      <w:bookmarkStart w:id="866" w:name="_Toc446841852"/>
      <w:r>
        <w:rPr>
          <w:rFonts w:hint="eastAsia" w:ascii="宋体" w:hAnsi="宋体" w:cs="仿宋_GB2312"/>
          <w:b/>
          <w:szCs w:val="21"/>
          <w:highlight w:val="none"/>
        </w:rPr>
        <w:t>第19条  合同生效与合同终止</w:t>
      </w:r>
      <w:bookmarkEnd w:id="857"/>
      <w:bookmarkEnd w:id="858"/>
      <w:bookmarkEnd w:id="859"/>
      <w:bookmarkEnd w:id="860"/>
      <w:bookmarkEnd w:id="861"/>
      <w:bookmarkEnd w:id="862"/>
      <w:bookmarkEnd w:id="863"/>
      <w:bookmarkEnd w:id="864"/>
      <w:bookmarkEnd w:id="865"/>
      <w:bookmarkEnd w:id="866"/>
    </w:p>
    <w:p>
      <w:pPr>
        <w:spacing w:before="156" w:beforeLines="50" w:after="156" w:afterLines="50" w:line="400" w:lineRule="exact"/>
        <w:ind w:firstLine="422"/>
        <w:outlineLvl w:val="2"/>
        <w:rPr>
          <w:rFonts w:ascii="宋体" w:hAnsi="宋体" w:cs="仿宋_GB2312"/>
          <w:b/>
          <w:szCs w:val="21"/>
          <w:highlight w:val="none"/>
        </w:rPr>
      </w:pPr>
      <w:bookmarkStart w:id="867" w:name="_Toc499566807"/>
      <w:bookmarkStart w:id="868" w:name="_Toc440118448"/>
      <w:bookmarkStart w:id="869" w:name="_Toc446841853"/>
      <w:bookmarkStart w:id="870" w:name="_Toc499567002"/>
      <w:r>
        <w:rPr>
          <w:rFonts w:hint="eastAsia" w:ascii="宋体" w:hAnsi="宋体" w:cs="仿宋_GB2312"/>
          <w:b/>
          <w:szCs w:val="21"/>
          <w:highlight w:val="none"/>
        </w:rPr>
        <w:t>19.2  合同份数</w:t>
      </w:r>
      <w:bookmarkEnd w:id="867"/>
      <w:bookmarkEnd w:id="868"/>
      <w:bookmarkEnd w:id="869"/>
      <w:bookmarkEnd w:id="870"/>
    </w:p>
    <w:p>
      <w:pPr>
        <w:spacing w:before="156" w:beforeLines="50" w:after="156" w:afterLines="50" w:line="400" w:lineRule="exact"/>
        <w:ind w:left="105" w:leftChars="50" w:firstLine="315" w:firstLineChars="150"/>
        <w:rPr>
          <w:rFonts w:ascii="宋体" w:hAnsi="宋体" w:cs="仿宋_GB2312"/>
          <w:szCs w:val="21"/>
          <w:highlight w:val="none"/>
        </w:rPr>
      </w:pPr>
      <w:r>
        <w:rPr>
          <w:rFonts w:hint="eastAsia" w:ascii="宋体" w:hAnsi="宋体" w:cs="仿宋_GB2312"/>
          <w:szCs w:val="21"/>
          <w:highlight w:val="none"/>
        </w:rPr>
        <w:t>本合同正本一式：</w:t>
      </w:r>
      <w:r>
        <w:rPr>
          <w:rFonts w:hint="eastAsia" w:ascii="宋体" w:hAnsi="宋体" w:cs="仿宋_GB2312"/>
          <w:szCs w:val="21"/>
          <w:highlight w:val="none"/>
          <w:u w:val="single"/>
        </w:rPr>
        <w:t xml:space="preserve"> 贰 </w:t>
      </w:r>
      <w:r>
        <w:rPr>
          <w:rFonts w:hint="eastAsia" w:ascii="宋体" w:hAnsi="宋体" w:cs="仿宋_GB2312"/>
          <w:szCs w:val="21"/>
          <w:highlight w:val="none"/>
        </w:rPr>
        <w:t>份，合同副本一式：</w:t>
      </w:r>
      <w:r>
        <w:rPr>
          <w:rFonts w:hint="eastAsia" w:ascii="宋体" w:hAnsi="宋体" w:cs="仿宋_GB2312"/>
          <w:szCs w:val="21"/>
          <w:highlight w:val="none"/>
          <w:u w:val="single"/>
        </w:rPr>
        <w:t xml:space="preserve"> 拾贰 </w:t>
      </w:r>
      <w:r>
        <w:rPr>
          <w:rFonts w:hint="eastAsia" w:ascii="宋体" w:hAnsi="宋体" w:cs="仿宋_GB2312"/>
          <w:szCs w:val="21"/>
          <w:highlight w:val="none"/>
        </w:rPr>
        <w:t xml:space="preserve"> 份。合同双方应持的正本份数：</w:t>
      </w:r>
      <w:r>
        <w:rPr>
          <w:rFonts w:hint="eastAsia" w:ascii="宋体" w:hAnsi="宋体" w:cs="仿宋_GB2312"/>
          <w:szCs w:val="21"/>
          <w:highlight w:val="none"/>
          <w:u w:val="single"/>
        </w:rPr>
        <w:t xml:space="preserve"> 壹 </w:t>
      </w:r>
      <w:r>
        <w:rPr>
          <w:rFonts w:hint="eastAsia" w:ascii="宋体" w:hAnsi="宋体" w:cs="仿宋_GB2312"/>
          <w:szCs w:val="21"/>
          <w:highlight w:val="none"/>
        </w:rPr>
        <w:t>，副本份数：</w:t>
      </w:r>
      <w:r>
        <w:rPr>
          <w:rFonts w:hint="eastAsia" w:ascii="宋体" w:hAnsi="宋体" w:cs="仿宋_GB2312"/>
          <w:szCs w:val="21"/>
          <w:highlight w:val="none"/>
          <w:u w:val="single"/>
        </w:rPr>
        <w:t xml:space="preserve"> 发包人捌份，承包人肆份</w:t>
      </w:r>
      <w:r>
        <w:rPr>
          <w:rFonts w:hint="eastAsia" w:ascii="宋体" w:hAnsi="宋体" w:cs="仿宋_GB2312"/>
          <w:szCs w:val="21"/>
          <w:highlight w:val="none"/>
        </w:rPr>
        <w:t>。</w:t>
      </w:r>
    </w:p>
    <w:p>
      <w:pPr>
        <w:spacing w:before="156" w:beforeLines="50" w:after="156" w:afterLines="50" w:line="300" w:lineRule="auto"/>
        <w:ind w:firstLine="413" w:firstLineChars="196"/>
        <w:outlineLvl w:val="1"/>
        <w:rPr>
          <w:rFonts w:ascii="宋体" w:hAnsi="宋体" w:cs="仿宋_GB2312"/>
          <w:b/>
          <w:szCs w:val="21"/>
          <w:highlight w:val="none"/>
        </w:rPr>
      </w:pPr>
      <w:bookmarkStart w:id="871" w:name="_Toc440118449"/>
      <w:bookmarkStart w:id="872" w:name="_Toc1148"/>
      <w:bookmarkStart w:id="873" w:name="_Toc446841854"/>
      <w:bookmarkStart w:id="874" w:name="_Toc499567003"/>
      <w:bookmarkStart w:id="875" w:name="_Toc25585"/>
      <w:bookmarkStart w:id="876" w:name="_Toc26394"/>
      <w:bookmarkStart w:id="877" w:name="_Toc499566808"/>
      <w:bookmarkStart w:id="878" w:name="_Toc451936026"/>
      <w:bookmarkStart w:id="879" w:name="_Toc16402"/>
      <w:bookmarkStart w:id="880" w:name="_Toc20804"/>
      <w:r>
        <w:rPr>
          <w:rFonts w:hint="eastAsia" w:ascii="宋体" w:hAnsi="宋体" w:cs="仿宋_GB2312"/>
          <w:b/>
          <w:szCs w:val="21"/>
          <w:highlight w:val="none"/>
        </w:rPr>
        <w:t>第20条  补充条款</w:t>
      </w:r>
      <w:bookmarkEnd w:id="871"/>
      <w:bookmarkEnd w:id="872"/>
      <w:bookmarkEnd w:id="873"/>
      <w:bookmarkEnd w:id="874"/>
      <w:bookmarkEnd w:id="875"/>
      <w:bookmarkEnd w:id="876"/>
      <w:bookmarkEnd w:id="877"/>
      <w:bookmarkEnd w:id="878"/>
      <w:bookmarkEnd w:id="879"/>
      <w:bookmarkEnd w:id="880"/>
      <w:bookmarkStart w:id="881" w:name="_Toc440118450"/>
    </w:p>
    <w:p>
      <w:pPr>
        <w:spacing w:before="156" w:beforeLines="50" w:after="156" w:afterLines="50" w:line="300" w:lineRule="auto"/>
        <w:ind w:firstLine="411" w:firstLineChars="196"/>
        <w:outlineLvl w:val="1"/>
        <w:rPr>
          <w:rFonts w:ascii="宋体" w:hAnsi="宋体" w:cs="仿宋_GB2312"/>
          <w:b/>
          <w:szCs w:val="21"/>
          <w:highlight w:val="none"/>
        </w:rPr>
      </w:pPr>
      <w:bookmarkStart w:id="882" w:name="_Toc499566809"/>
      <w:bookmarkStart w:id="883" w:name="_Toc11620"/>
      <w:bookmarkStart w:id="884" w:name="_Toc446841855"/>
      <w:bookmarkStart w:id="885" w:name="_Toc32176"/>
      <w:bookmarkStart w:id="886" w:name="_Toc446841953"/>
      <w:bookmarkStart w:id="887" w:name="_Toc451936027"/>
      <w:bookmarkStart w:id="888" w:name="_Toc499567004"/>
      <w:bookmarkStart w:id="889" w:name="_Toc24950"/>
      <w:bookmarkStart w:id="890" w:name="_Toc11760"/>
      <w:bookmarkStart w:id="891" w:name="_Toc5214"/>
      <w:r>
        <w:rPr>
          <w:rFonts w:hint="eastAsia" w:ascii="宋体" w:hAnsi="宋体" w:cs="仿宋_GB2312"/>
          <w:szCs w:val="21"/>
          <w:highlight w:val="none"/>
        </w:rPr>
        <w:t>20.1  承包合同工程的内容及合同工作范围划分：</w:t>
      </w:r>
      <w:bookmarkEnd w:id="881"/>
      <w:bookmarkEnd w:id="882"/>
      <w:bookmarkEnd w:id="883"/>
      <w:bookmarkEnd w:id="884"/>
      <w:bookmarkEnd w:id="885"/>
      <w:bookmarkEnd w:id="886"/>
      <w:bookmarkEnd w:id="887"/>
      <w:bookmarkEnd w:id="888"/>
      <w:bookmarkEnd w:id="889"/>
      <w:r>
        <w:rPr>
          <w:rFonts w:hint="eastAsia" w:ascii="宋体" w:hAnsi="宋体" w:cs="仿宋_GB2312"/>
          <w:szCs w:val="21"/>
          <w:highlight w:val="none"/>
          <w:u w:val="single"/>
        </w:rPr>
        <w:tab/>
      </w:r>
      <w:r>
        <w:rPr>
          <w:rFonts w:hint="eastAsia" w:ascii="宋体" w:hAnsi="宋体" w:cs="仿宋_GB2312"/>
          <w:szCs w:val="21"/>
          <w:highlight w:val="none"/>
          <w:u w:val="single"/>
        </w:rPr>
        <w:tab/>
      </w:r>
      <w:r>
        <w:rPr>
          <w:rFonts w:hint="eastAsia"/>
          <w:szCs w:val="21"/>
          <w:highlight w:val="none"/>
        </w:rPr>
        <w:t>/</w:t>
      </w:r>
      <w:bookmarkEnd w:id="890"/>
      <w:bookmarkEnd w:id="891"/>
      <w:r>
        <w:rPr>
          <w:rFonts w:hint="eastAsia" w:ascii="宋体" w:hAnsi="宋体" w:cs="仿宋_GB2312"/>
          <w:szCs w:val="21"/>
          <w:highlight w:val="none"/>
          <w:u w:val="single"/>
        </w:rPr>
        <w:tab/>
      </w:r>
      <w:r>
        <w:rPr>
          <w:rFonts w:hint="eastAsia" w:ascii="宋体" w:hAnsi="宋体" w:cs="仿宋_GB2312"/>
          <w:szCs w:val="21"/>
          <w:highlight w:val="none"/>
          <w:u w:val="single"/>
        </w:rPr>
        <w:t xml:space="preserve">  </w:t>
      </w:r>
      <w:r>
        <w:rPr>
          <w:rFonts w:hint="eastAsia" w:ascii="宋体" w:hAnsi="宋体" w:cs="仿宋_GB2312"/>
          <w:szCs w:val="21"/>
          <w:highlight w:val="none"/>
          <w:u w:val="single"/>
        </w:rPr>
        <w:tab/>
      </w:r>
      <w:bookmarkStart w:id="892" w:name="_Toc440118451"/>
    </w:p>
    <w:p>
      <w:pPr>
        <w:spacing w:before="156" w:beforeLines="50" w:after="156" w:afterLines="50" w:line="300" w:lineRule="auto"/>
        <w:ind w:firstLine="411" w:firstLineChars="196"/>
        <w:outlineLvl w:val="1"/>
        <w:rPr>
          <w:rFonts w:ascii="宋体" w:hAnsi="宋体" w:cs="仿宋_GB2312"/>
          <w:b/>
          <w:szCs w:val="21"/>
          <w:highlight w:val="none"/>
        </w:rPr>
      </w:pPr>
      <w:bookmarkStart w:id="893" w:name="_Toc446841954"/>
      <w:bookmarkStart w:id="894" w:name="_Toc30736"/>
      <w:bookmarkStart w:id="895" w:name="_Toc451936028"/>
      <w:bookmarkStart w:id="896" w:name="_Toc8555"/>
      <w:bookmarkStart w:id="897" w:name="_Toc446841856"/>
      <w:bookmarkStart w:id="898" w:name="_Toc499567005"/>
      <w:bookmarkStart w:id="899" w:name="_Toc499566810"/>
      <w:bookmarkStart w:id="900" w:name="_Toc15221"/>
      <w:bookmarkStart w:id="901" w:name="_Toc25189"/>
      <w:bookmarkStart w:id="902" w:name="_Toc17512"/>
      <w:r>
        <w:rPr>
          <w:rFonts w:hint="eastAsia" w:ascii="宋体" w:hAnsi="宋体" w:cs="仿宋_GB2312"/>
          <w:szCs w:val="21"/>
          <w:highlight w:val="none"/>
        </w:rPr>
        <w:t>20.2  承包合同的单项工程一览表：</w:t>
      </w:r>
      <w:bookmarkEnd w:id="892"/>
      <w:bookmarkEnd w:id="893"/>
      <w:bookmarkEnd w:id="894"/>
      <w:bookmarkEnd w:id="895"/>
      <w:bookmarkEnd w:id="896"/>
      <w:bookmarkEnd w:id="897"/>
      <w:bookmarkEnd w:id="898"/>
      <w:bookmarkEnd w:id="899"/>
      <w:bookmarkEnd w:id="900"/>
      <w:r>
        <w:rPr>
          <w:rFonts w:hint="eastAsia" w:ascii="宋体" w:hAnsi="宋体" w:cs="仿宋_GB2312"/>
          <w:szCs w:val="21"/>
          <w:highlight w:val="none"/>
          <w:u w:val="single"/>
        </w:rPr>
        <w:tab/>
      </w:r>
      <w:r>
        <w:rPr>
          <w:rFonts w:hint="eastAsia" w:ascii="宋体" w:hAnsi="宋体" w:cs="仿宋_GB2312"/>
          <w:szCs w:val="21"/>
          <w:highlight w:val="none"/>
          <w:u w:val="single"/>
        </w:rPr>
        <w:tab/>
      </w:r>
      <w:r>
        <w:rPr>
          <w:rFonts w:hint="eastAsia" w:ascii="宋体" w:hAnsi="宋体" w:cs="仿宋_GB2312"/>
          <w:szCs w:val="21"/>
          <w:highlight w:val="none"/>
          <w:u w:val="single"/>
        </w:rPr>
        <w:tab/>
      </w:r>
      <w:r>
        <w:rPr>
          <w:rFonts w:hint="eastAsia" w:ascii="宋体" w:hAnsi="宋体" w:cs="仿宋_GB2312"/>
          <w:szCs w:val="21"/>
          <w:highlight w:val="none"/>
          <w:u w:val="single"/>
        </w:rPr>
        <w:tab/>
      </w:r>
      <w:r>
        <w:rPr>
          <w:rFonts w:hint="eastAsia" w:ascii="宋体" w:hAnsi="宋体" w:cs="仿宋_GB2312"/>
          <w:szCs w:val="21"/>
          <w:highlight w:val="none"/>
          <w:u w:val="single"/>
        </w:rPr>
        <w:tab/>
      </w:r>
      <w:r>
        <w:rPr>
          <w:rFonts w:hint="eastAsia" w:ascii="宋体" w:hAnsi="宋体" w:cs="仿宋_GB2312"/>
          <w:szCs w:val="21"/>
          <w:highlight w:val="none"/>
          <w:u w:val="single"/>
        </w:rPr>
        <w:t>/</w:t>
      </w:r>
      <w:bookmarkEnd w:id="901"/>
      <w:bookmarkEnd w:id="902"/>
      <w:r>
        <w:rPr>
          <w:rFonts w:hint="eastAsia" w:ascii="宋体" w:hAnsi="宋体" w:cs="仿宋_GB2312"/>
          <w:szCs w:val="21"/>
          <w:highlight w:val="none"/>
          <w:u w:val="single"/>
        </w:rPr>
        <w:tab/>
      </w:r>
      <w:r>
        <w:rPr>
          <w:rFonts w:hint="eastAsia" w:ascii="宋体" w:hAnsi="宋体" w:cs="仿宋_GB2312"/>
          <w:szCs w:val="21"/>
          <w:highlight w:val="none"/>
          <w:u w:val="single"/>
        </w:rPr>
        <w:tab/>
      </w:r>
      <w:r>
        <w:rPr>
          <w:rFonts w:hint="eastAsia" w:ascii="宋体" w:hAnsi="宋体" w:cs="仿宋_GB2312"/>
          <w:szCs w:val="21"/>
          <w:highlight w:val="none"/>
          <w:u w:val="single"/>
        </w:rPr>
        <w:tab/>
      </w:r>
      <w:r>
        <w:rPr>
          <w:rFonts w:hint="eastAsia" w:ascii="宋体" w:hAnsi="宋体" w:cs="仿宋_GB2312"/>
          <w:szCs w:val="21"/>
          <w:highlight w:val="none"/>
          <w:u w:val="single"/>
        </w:rPr>
        <w:tab/>
      </w:r>
      <w:bookmarkStart w:id="903" w:name="_Toc440118452"/>
    </w:p>
    <w:p>
      <w:pPr>
        <w:spacing w:before="156" w:beforeLines="50" w:after="156" w:afterLines="50" w:line="300" w:lineRule="auto"/>
        <w:ind w:firstLine="411" w:firstLineChars="196"/>
        <w:outlineLvl w:val="1"/>
        <w:rPr>
          <w:rFonts w:ascii="宋体" w:hAnsi="宋体" w:cs="仿宋_GB2312"/>
          <w:b/>
          <w:szCs w:val="21"/>
          <w:highlight w:val="none"/>
        </w:rPr>
      </w:pPr>
      <w:bookmarkStart w:id="904" w:name="_Toc22584"/>
      <w:bookmarkStart w:id="905" w:name="_Toc499567006"/>
      <w:bookmarkStart w:id="906" w:name="_Toc446841857"/>
      <w:bookmarkStart w:id="907" w:name="_Toc499566811"/>
      <w:bookmarkStart w:id="908" w:name="_Toc5157"/>
      <w:bookmarkStart w:id="909" w:name="_Toc3222"/>
      <w:bookmarkStart w:id="910" w:name="_Toc446841955"/>
      <w:bookmarkStart w:id="911" w:name="_Toc451936029"/>
      <w:bookmarkStart w:id="912" w:name="_Toc22152"/>
      <w:bookmarkStart w:id="913" w:name="_Toc3661"/>
      <w:r>
        <w:rPr>
          <w:rFonts w:hint="eastAsia" w:ascii="宋体" w:hAnsi="宋体" w:cs="仿宋_GB2312"/>
          <w:szCs w:val="21"/>
          <w:highlight w:val="none"/>
        </w:rPr>
        <w:t>20.3  合同价格清单分项表：</w:t>
      </w:r>
      <w:bookmarkEnd w:id="903"/>
      <w:bookmarkEnd w:id="904"/>
      <w:bookmarkEnd w:id="905"/>
      <w:bookmarkEnd w:id="906"/>
      <w:bookmarkEnd w:id="907"/>
      <w:bookmarkEnd w:id="908"/>
      <w:bookmarkEnd w:id="909"/>
      <w:bookmarkEnd w:id="910"/>
      <w:bookmarkEnd w:id="911"/>
      <w:r>
        <w:rPr>
          <w:rFonts w:hint="eastAsia" w:ascii="宋体" w:hAnsi="宋体" w:cs="仿宋_GB2312"/>
          <w:szCs w:val="21"/>
          <w:highlight w:val="none"/>
          <w:u w:val="single"/>
        </w:rPr>
        <w:tab/>
      </w:r>
      <w:r>
        <w:rPr>
          <w:rFonts w:hint="eastAsia" w:ascii="宋体" w:hAnsi="宋体" w:cs="仿宋_GB2312"/>
          <w:szCs w:val="21"/>
          <w:highlight w:val="none"/>
          <w:u w:val="single"/>
        </w:rPr>
        <w:tab/>
      </w:r>
      <w:r>
        <w:rPr>
          <w:rFonts w:hint="eastAsia" w:ascii="宋体" w:hAnsi="宋体" w:cs="仿宋_GB2312"/>
          <w:szCs w:val="21"/>
          <w:highlight w:val="none"/>
          <w:u w:val="single"/>
        </w:rPr>
        <w:tab/>
      </w:r>
      <w:r>
        <w:rPr>
          <w:rFonts w:hint="eastAsia" w:ascii="宋体" w:hAnsi="宋体" w:cs="仿宋_GB2312"/>
          <w:szCs w:val="21"/>
          <w:highlight w:val="none"/>
          <w:u w:val="single"/>
        </w:rPr>
        <w:tab/>
      </w:r>
      <w:r>
        <w:rPr>
          <w:rFonts w:hint="eastAsia" w:ascii="宋体" w:hAnsi="宋体" w:cs="仿宋_GB2312"/>
          <w:szCs w:val="21"/>
          <w:highlight w:val="none"/>
          <w:u w:val="single"/>
        </w:rPr>
        <w:tab/>
      </w:r>
      <w:r>
        <w:rPr>
          <w:rFonts w:hint="eastAsia" w:ascii="宋体" w:hAnsi="宋体" w:cs="仿宋_GB2312"/>
          <w:szCs w:val="21"/>
          <w:highlight w:val="none"/>
          <w:u w:val="single"/>
        </w:rPr>
        <w:tab/>
      </w:r>
      <w:r>
        <w:rPr>
          <w:rFonts w:hint="eastAsia" w:ascii="宋体" w:hAnsi="宋体" w:cs="仿宋_GB2312"/>
          <w:szCs w:val="21"/>
          <w:highlight w:val="none"/>
          <w:u w:val="single"/>
        </w:rPr>
        <w:t>/</w:t>
      </w:r>
      <w:bookmarkEnd w:id="912"/>
      <w:bookmarkEnd w:id="913"/>
      <w:r>
        <w:rPr>
          <w:rFonts w:hint="eastAsia" w:ascii="宋体" w:hAnsi="宋体" w:cs="仿宋_GB2312"/>
          <w:szCs w:val="21"/>
          <w:highlight w:val="none"/>
          <w:u w:val="single"/>
        </w:rPr>
        <w:tab/>
      </w:r>
      <w:r>
        <w:rPr>
          <w:rFonts w:hint="eastAsia" w:ascii="宋体" w:hAnsi="宋体" w:cs="仿宋_GB2312"/>
          <w:szCs w:val="21"/>
          <w:highlight w:val="none"/>
          <w:u w:val="single"/>
        </w:rPr>
        <w:tab/>
      </w:r>
      <w:r>
        <w:rPr>
          <w:rFonts w:hint="eastAsia" w:ascii="宋体" w:hAnsi="宋体" w:cs="仿宋_GB2312"/>
          <w:szCs w:val="21"/>
          <w:highlight w:val="none"/>
          <w:u w:val="single"/>
        </w:rPr>
        <w:tab/>
      </w:r>
      <w:r>
        <w:rPr>
          <w:rFonts w:hint="eastAsia" w:ascii="宋体" w:hAnsi="宋体" w:cs="仿宋_GB2312"/>
          <w:szCs w:val="21"/>
          <w:highlight w:val="none"/>
          <w:u w:val="single"/>
        </w:rPr>
        <w:tab/>
      </w:r>
      <w:r>
        <w:rPr>
          <w:rFonts w:hint="eastAsia" w:ascii="宋体" w:hAnsi="宋体" w:cs="仿宋_GB2312"/>
          <w:szCs w:val="21"/>
          <w:highlight w:val="none"/>
          <w:u w:val="single"/>
        </w:rPr>
        <w:tab/>
      </w:r>
      <w:bookmarkStart w:id="914" w:name="_Toc440118453"/>
    </w:p>
    <w:p>
      <w:pPr>
        <w:spacing w:line="540" w:lineRule="exact"/>
        <w:ind w:firstLine="420"/>
        <w:rPr>
          <w:rFonts w:ascii="宋体" w:hAnsi="宋体" w:cs="仿宋_GB2312"/>
          <w:szCs w:val="21"/>
          <w:highlight w:val="none"/>
        </w:rPr>
      </w:pPr>
      <w:bookmarkStart w:id="915" w:name="_Toc446841956"/>
      <w:bookmarkStart w:id="916" w:name="_Toc446841858"/>
      <w:bookmarkStart w:id="917" w:name="_Toc451936030"/>
      <w:r>
        <w:rPr>
          <w:rFonts w:hint="eastAsia" w:ascii="宋体" w:hAnsi="宋体" w:cs="仿宋_GB2312"/>
          <w:szCs w:val="21"/>
          <w:highlight w:val="none"/>
        </w:rPr>
        <w:t>20.4  其他合同附件：</w:t>
      </w:r>
      <w:bookmarkEnd w:id="914"/>
      <w:bookmarkEnd w:id="915"/>
      <w:bookmarkEnd w:id="916"/>
      <w:bookmarkEnd w:id="917"/>
      <w:bookmarkStart w:id="918" w:name="_Toc400804470"/>
      <w:r>
        <w:rPr>
          <w:rFonts w:hint="eastAsia" w:ascii="宋体" w:hAnsi="宋体" w:cs="仿宋_GB2312"/>
          <w:szCs w:val="21"/>
          <w:highlight w:val="none"/>
        </w:rPr>
        <w:t>附件1：工程质量保修书</w:t>
      </w:r>
      <w:bookmarkEnd w:id="918"/>
      <w:bookmarkStart w:id="919" w:name="_Toc400804471"/>
      <w:r>
        <w:rPr>
          <w:rFonts w:hint="eastAsia" w:ascii="宋体" w:hAnsi="宋体" w:cs="仿宋_GB2312"/>
          <w:szCs w:val="21"/>
          <w:highlight w:val="none"/>
        </w:rPr>
        <w:t>，附件2：农民工工资按时发放承诺书，附件3：现场施工环境综合整治及扬尘污染治理承诺书，附件4：工程建设项目廉政责任书安全生产合同</w:t>
      </w:r>
      <w:bookmarkEnd w:id="919"/>
      <w:bookmarkStart w:id="920" w:name="_Toc400804472"/>
      <w:r>
        <w:rPr>
          <w:rFonts w:hint="eastAsia" w:ascii="宋体" w:hAnsi="宋体" w:cs="仿宋_GB2312"/>
          <w:szCs w:val="21"/>
          <w:highlight w:val="none"/>
        </w:rPr>
        <w:t>，附件5：</w:t>
      </w:r>
      <w:bookmarkEnd w:id="920"/>
      <w:r>
        <w:rPr>
          <w:rFonts w:hint="eastAsia" w:ascii="宋体" w:hAnsi="宋体" w:cs="仿宋_GB2312"/>
          <w:szCs w:val="21"/>
          <w:highlight w:val="none"/>
        </w:rPr>
        <w:t>安全生产协议，附件</w:t>
      </w:r>
      <w:r>
        <w:rPr>
          <w:rFonts w:ascii="宋体" w:hAnsi="宋体" w:cs="仿宋_GB2312"/>
          <w:szCs w:val="21"/>
          <w:highlight w:val="none"/>
        </w:rPr>
        <w:t>6</w:t>
      </w:r>
      <w:r>
        <w:rPr>
          <w:rFonts w:hint="eastAsia" w:ascii="宋体" w:hAnsi="宋体" w:cs="仿宋_GB2312"/>
          <w:szCs w:val="21"/>
          <w:highlight w:val="none"/>
        </w:rPr>
        <w:t>：使用材料品牌表。</w:t>
      </w:r>
    </w:p>
    <w:p>
      <w:pPr>
        <w:spacing w:before="156" w:beforeLines="50" w:after="156" w:afterLines="50" w:line="300" w:lineRule="auto"/>
        <w:ind w:firstLine="411" w:firstLineChars="196"/>
        <w:outlineLvl w:val="1"/>
        <w:rPr>
          <w:rFonts w:ascii="宋体" w:hAnsi="宋体" w:cs="仿宋_GB2312"/>
          <w:b/>
          <w:szCs w:val="21"/>
          <w:highlight w:val="none"/>
        </w:rPr>
      </w:pPr>
      <w:bookmarkStart w:id="921" w:name="_Toc446841958"/>
      <w:bookmarkStart w:id="922" w:name="_Toc1157"/>
      <w:bookmarkStart w:id="923" w:name="_Toc451936031"/>
      <w:bookmarkStart w:id="924" w:name="_Toc2242"/>
      <w:bookmarkStart w:id="925" w:name="_Toc446841860"/>
      <w:bookmarkStart w:id="926" w:name="_Toc25224"/>
      <w:bookmarkStart w:id="927" w:name="_Toc499566812"/>
      <w:bookmarkStart w:id="928" w:name="_Toc499567007"/>
      <w:bookmarkStart w:id="929" w:name="_Toc16362"/>
      <w:bookmarkStart w:id="930" w:name="_Toc9768"/>
      <w:r>
        <w:rPr>
          <w:rFonts w:hint="eastAsia" w:ascii="宋体" w:hAnsi="宋体" w:cs="仿宋_GB2312"/>
          <w:szCs w:val="21"/>
          <w:highlight w:val="none"/>
        </w:rPr>
        <w:t>20.5  合同价格，包含本工程所涉及的全部工程内容：如设计、施工、设备材料采购供应、设备操作人员和维护人员的培训、验收、竣工资料的汇总移交等全部工程费用。</w:t>
      </w:r>
      <w:bookmarkEnd w:id="921"/>
      <w:bookmarkEnd w:id="922"/>
      <w:bookmarkEnd w:id="923"/>
      <w:bookmarkEnd w:id="924"/>
      <w:bookmarkEnd w:id="925"/>
      <w:bookmarkEnd w:id="926"/>
      <w:bookmarkEnd w:id="927"/>
      <w:bookmarkEnd w:id="928"/>
      <w:bookmarkEnd w:id="929"/>
      <w:bookmarkEnd w:id="930"/>
    </w:p>
    <w:p>
      <w:pPr>
        <w:spacing w:before="156" w:beforeLines="50" w:after="156" w:afterLines="50" w:line="300" w:lineRule="auto"/>
        <w:ind w:firstLine="411" w:firstLineChars="196"/>
        <w:outlineLvl w:val="1"/>
        <w:rPr>
          <w:rFonts w:ascii="宋体" w:hAnsi="宋体" w:cs="仿宋_GB2312"/>
          <w:bCs/>
          <w:szCs w:val="21"/>
          <w:highlight w:val="none"/>
        </w:rPr>
      </w:pPr>
      <w:bookmarkStart w:id="931" w:name="_Toc451936032"/>
      <w:bookmarkStart w:id="932" w:name="_Toc446841959"/>
      <w:bookmarkStart w:id="933" w:name="_Toc446841861"/>
      <w:bookmarkStart w:id="934" w:name="_Toc7552"/>
      <w:bookmarkStart w:id="935" w:name="_Toc7781"/>
      <w:bookmarkStart w:id="936" w:name="_Toc10605"/>
      <w:bookmarkStart w:id="937" w:name="_Toc499567008"/>
      <w:bookmarkStart w:id="938" w:name="_Toc30142"/>
      <w:bookmarkStart w:id="939" w:name="_Toc28288"/>
      <w:bookmarkStart w:id="940" w:name="_Toc499566813"/>
      <w:r>
        <w:rPr>
          <w:rFonts w:hint="eastAsia" w:ascii="宋体" w:hAnsi="宋体" w:cs="仿宋_GB2312"/>
          <w:szCs w:val="21"/>
          <w:highlight w:val="none"/>
        </w:rPr>
        <w:t xml:space="preserve">20.6  </w:t>
      </w:r>
      <w:bookmarkEnd w:id="931"/>
      <w:bookmarkEnd w:id="932"/>
      <w:bookmarkEnd w:id="933"/>
      <w:bookmarkStart w:id="941" w:name="_Toc451936033"/>
      <w:bookmarkStart w:id="942" w:name="_Toc446841862"/>
      <w:bookmarkStart w:id="943" w:name="_Toc446841960"/>
      <w:r>
        <w:rPr>
          <w:rFonts w:hint="eastAsia" w:ascii="宋体" w:hAnsi="宋体" w:cs="仿宋_GB2312"/>
          <w:bCs/>
          <w:szCs w:val="21"/>
          <w:highlight w:val="none"/>
        </w:rPr>
        <w:t>发承包双方涉及工程造价的争议，原则上应协商解决，协商不成的由政府指定或双方认可的造价管理机构或咨询机构裁决。</w:t>
      </w:r>
      <w:bookmarkEnd w:id="934"/>
      <w:bookmarkEnd w:id="935"/>
      <w:bookmarkEnd w:id="936"/>
      <w:bookmarkEnd w:id="937"/>
      <w:bookmarkEnd w:id="938"/>
      <w:bookmarkEnd w:id="939"/>
      <w:bookmarkEnd w:id="940"/>
      <w:bookmarkEnd w:id="941"/>
      <w:bookmarkEnd w:id="942"/>
      <w:bookmarkEnd w:id="943"/>
    </w:p>
    <w:p>
      <w:pPr>
        <w:spacing w:before="156" w:beforeLines="50" w:after="156" w:afterLines="50" w:line="300" w:lineRule="auto"/>
        <w:ind w:firstLine="411" w:firstLineChars="196"/>
        <w:outlineLvl w:val="1"/>
        <w:rPr>
          <w:rFonts w:ascii="宋体" w:hAnsi="宋体" w:cs="仿宋_GB2312"/>
          <w:bCs/>
          <w:szCs w:val="21"/>
          <w:highlight w:val="none"/>
        </w:rPr>
      </w:pPr>
      <w:bookmarkStart w:id="944" w:name="_Toc499567009"/>
      <w:bookmarkStart w:id="945" w:name="_Toc26150"/>
      <w:bookmarkStart w:id="946" w:name="_Toc32572"/>
      <w:bookmarkStart w:id="947" w:name="_Toc10622"/>
      <w:bookmarkStart w:id="948" w:name="_Toc499566814"/>
      <w:bookmarkStart w:id="949" w:name="_Toc446841961"/>
      <w:bookmarkStart w:id="950" w:name="_Toc10379"/>
      <w:bookmarkStart w:id="951" w:name="_Toc446841863"/>
      <w:bookmarkStart w:id="952" w:name="_Toc16165"/>
      <w:bookmarkStart w:id="953" w:name="_Toc451936034"/>
      <w:r>
        <w:rPr>
          <w:rFonts w:hint="eastAsia" w:ascii="宋体" w:hAnsi="宋体" w:cs="仿宋_GB2312"/>
          <w:bCs/>
          <w:szCs w:val="21"/>
          <w:highlight w:val="none"/>
        </w:rPr>
        <w:t>20.7  施工过程中涉及的应由承包人承担的各项费用，全部由承包人支付；承包人不能拖欠其他分包投标人、劳务方款项，特别是农民工工资，包括三险一金；因承包人原因引起的任何经济和劳动纠纷由承包人全权负责解决。</w:t>
      </w:r>
      <w:bookmarkEnd w:id="944"/>
      <w:bookmarkEnd w:id="945"/>
      <w:bookmarkEnd w:id="946"/>
      <w:bookmarkEnd w:id="947"/>
      <w:bookmarkEnd w:id="948"/>
      <w:bookmarkEnd w:id="949"/>
      <w:bookmarkEnd w:id="950"/>
      <w:bookmarkEnd w:id="951"/>
      <w:bookmarkEnd w:id="952"/>
      <w:bookmarkEnd w:id="953"/>
    </w:p>
    <w:p>
      <w:pPr>
        <w:spacing w:before="156" w:beforeLines="50" w:after="156" w:afterLines="50" w:line="300" w:lineRule="auto"/>
        <w:ind w:firstLine="411" w:firstLineChars="196"/>
        <w:outlineLvl w:val="1"/>
        <w:rPr>
          <w:rFonts w:ascii="宋体" w:hAnsi="宋体" w:cs="仿宋_GB2312"/>
          <w:b/>
          <w:bCs/>
          <w:szCs w:val="21"/>
          <w:highlight w:val="none"/>
        </w:rPr>
      </w:pPr>
      <w:bookmarkStart w:id="954" w:name="_Toc22625"/>
      <w:bookmarkStart w:id="955" w:name="_Toc2088"/>
      <w:bookmarkStart w:id="956" w:name="_Toc28118"/>
      <w:bookmarkStart w:id="957" w:name="_Toc499567010"/>
      <w:bookmarkStart w:id="958" w:name="_Toc451936035"/>
      <w:bookmarkStart w:id="959" w:name="_Toc499566815"/>
      <w:bookmarkStart w:id="960" w:name="_Toc21243"/>
      <w:bookmarkStart w:id="961" w:name="_Toc8767"/>
      <w:bookmarkStart w:id="962" w:name="_Toc446841864"/>
      <w:bookmarkStart w:id="963" w:name="_Toc446841962"/>
      <w:r>
        <w:rPr>
          <w:rFonts w:hint="eastAsia" w:ascii="宋体" w:hAnsi="宋体" w:cs="仿宋_GB2312"/>
          <w:bCs/>
          <w:szCs w:val="21"/>
          <w:highlight w:val="none"/>
        </w:rPr>
        <w:t>20.8</w:t>
      </w:r>
      <w:r>
        <w:rPr>
          <w:rFonts w:hint="eastAsia" w:ascii="宋体" w:hAnsi="宋体" w:cs="仿宋_GB2312"/>
          <w:b/>
          <w:bCs/>
          <w:szCs w:val="21"/>
          <w:highlight w:val="none"/>
        </w:rPr>
        <w:t xml:space="preserve">  </w:t>
      </w:r>
      <w:r>
        <w:rPr>
          <w:rFonts w:hint="eastAsia" w:ascii="宋体" w:hAnsi="宋体" w:cs="仿宋_GB2312"/>
          <w:bCs/>
          <w:spacing w:val="-12"/>
          <w:szCs w:val="21"/>
          <w:highlight w:val="none"/>
        </w:rPr>
        <w:t>在施工过程中，承包人应达到国家、省、市文明工地施工条件，并按要求进行施工。承包人应采取得力措施，确保人员、财产安全，若发生人员意外伤害、伤亡及财产损失等，全部由承包方负责。</w:t>
      </w:r>
      <w:bookmarkEnd w:id="954"/>
      <w:bookmarkEnd w:id="955"/>
      <w:bookmarkEnd w:id="956"/>
      <w:bookmarkEnd w:id="957"/>
      <w:bookmarkEnd w:id="958"/>
      <w:bookmarkEnd w:id="959"/>
      <w:bookmarkEnd w:id="960"/>
      <w:bookmarkEnd w:id="961"/>
    </w:p>
    <w:p>
      <w:pPr>
        <w:spacing w:before="156" w:beforeLines="50" w:after="156" w:afterLines="50" w:line="300" w:lineRule="auto"/>
        <w:ind w:firstLine="411" w:firstLineChars="196"/>
        <w:outlineLvl w:val="1"/>
        <w:rPr>
          <w:rFonts w:ascii="宋体" w:hAnsi="宋体" w:cs="仿宋_GB2312"/>
          <w:bCs/>
          <w:szCs w:val="21"/>
          <w:highlight w:val="none"/>
        </w:rPr>
      </w:pPr>
      <w:bookmarkStart w:id="964" w:name="_Toc29594"/>
      <w:bookmarkStart w:id="965" w:name="_Toc451936036"/>
      <w:bookmarkStart w:id="966" w:name="_Toc499566816"/>
      <w:bookmarkStart w:id="967" w:name="_Toc499567011"/>
      <w:bookmarkStart w:id="968" w:name="_Toc11067"/>
      <w:bookmarkStart w:id="969" w:name="_Toc8643"/>
      <w:bookmarkStart w:id="970" w:name="_Toc3106"/>
      <w:bookmarkStart w:id="971" w:name="_Toc3867"/>
      <w:r>
        <w:rPr>
          <w:rFonts w:hint="eastAsia" w:ascii="宋体" w:hAnsi="宋体" w:cs="仿宋_GB2312"/>
          <w:bCs/>
          <w:szCs w:val="21"/>
          <w:highlight w:val="none"/>
        </w:rPr>
        <w:t>20.9 项目审批、方案的审定、资金筹措等事宜应由发承包双方紧密配合、联合协作共同完成；施工过程中的安全生产、文明施工、环境保护全部由承包人负责；施工中涉及的内部组织，对外关系协调工作，应由承包人负责，发包人协助。</w:t>
      </w:r>
      <w:bookmarkEnd w:id="962"/>
      <w:bookmarkEnd w:id="963"/>
      <w:bookmarkEnd w:id="964"/>
      <w:bookmarkEnd w:id="965"/>
      <w:bookmarkEnd w:id="966"/>
      <w:bookmarkEnd w:id="967"/>
      <w:bookmarkEnd w:id="968"/>
      <w:bookmarkEnd w:id="969"/>
      <w:bookmarkEnd w:id="970"/>
      <w:bookmarkEnd w:id="971"/>
    </w:p>
    <w:p>
      <w:pPr>
        <w:spacing w:before="156" w:beforeLines="50" w:after="156" w:afterLines="50" w:line="360" w:lineRule="auto"/>
        <w:ind w:firstLine="364" w:firstLineChars="196"/>
        <w:outlineLvl w:val="1"/>
        <w:rPr>
          <w:rFonts w:ascii="宋体" w:hAnsi="宋体" w:cs="仿宋_GB2312"/>
          <w:bCs/>
          <w:szCs w:val="21"/>
          <w:highlight w:val="none"/>
        </w:rPr>
      </w:pPr>
      <w:bookmarkStart w:id="972" w:name="_Toc446841963"/>
      <w:bookmarkStart w:id="973" w:name="_Toc451936037"/>
      <w:bookmarkStart w:id="974" w:name="_Toc499566817"/>
      <w:bookmarkStart w:id="975" w:name="_Toc499567012"/>
      <w:bookmarkStart w:id="976" w:name="_Toc446841865"/>
      <w:bookmarkStart w:id="977" w:name="_Toc15984"/>
      <w:bookmarkStart w:id="978" w:name="_Toc17083"/>
      <w:bookmarkStart w:id="979" w:name="_Toc27165"/>
      <w:bookmarkStart w:id="980" w:name="_Toc1684"/>
      <w:bookmarkStart w:id="981" w:name="_Toc28906"/>
      <w:r>
        <w:rPr>
          <w:rFonts w:hint="eastAsia" w:ascii="宋体" w:hAnsi="宋体" w:cs="仿宋_GB2312"/>
          <w:bCs/>
          <w:spacing w:val="-12"/>
          <w:szCs w:val="21"/>
          <w:highlight w:val="none"/>
        </w:rPr>
        <w:t xml:space="preserve">20.10 </w:t>
      </w:r>
      <w:r>
        <w:rPr>
          <w:rFonts w:hint="eastAsia" w:ascii="宋体" w:hAnsi="宋体" w:cs="仿宋_GB2312"/>
          <w:bCs/>
          <w:szCs w:val="21"/>
          <w:highlight w:val="none"/>
        </w:rPr>
        <w:t>发包人及承包人预留以下联系电话、通讯地址、电子邮箱作为永久联系方式，任何一方以对方预留的通讯地址寄出邮件，以对方预留的电子邮箱为目的地发送邮件的，发出时即视为送达</w:t>
      </w:r>
      <w:bookmarkEnd w:id="972"/>
      <w:bookmarkEnd w:id="973"/>
      <w:bookmarkEnd w:id="974"/>
      <w:bookmarkEnd w:id="975"/>
      <w:bookmarkEnd w:id="976"/>
      <w:r>
        <w:rPr>
          <w:rFonts w:hint="eastAsia" w:ascii="宋体" w:hAnsi="宋体" w:cs="仿宋_GB2312"/>
          <w:bCs/>
          <w:szCs w:val="21"/>
          <w:highlight w:val="none"/>
        </w:rPr>
        <w:t>。</w:t>
      </w:r>
      <w:bookmarkEnd w:id="977"/>
      <w:bookmarkEnd w:id="978"/>
      <w:bookmarkEnd w:id="979"/>
      <w:bookmarkEnd w:id="980"/>
      <w:bookmarkEnd w:id="981"/>
    </w:p>
    <w:p>
      <w:pPr>
        <w:spacing w:before="156" w:beforeLines="50" w:after="156" w:afterLines="50" w:line="360" w:lineRule="auto"/>
        <w:ind w:firstLine="364" w:firstLineChars="196"/>
        <w:outlineLvl w:val="1"/>
        <w:rPr>
          <w:rFonts w:ascii="宋体" w:hAnsi="宋体" w:cs="仿宋_GB2312"/>
          <w:bCs/>
          <w:szCs w:val="21"/>
          <w:highlight w:val="none"/>
        </w:rPr>
      </w:pPr>
      <w:bookmarkStart w:id="982" w:name="_Toc2292"/>
      <w:bookmarkStart w:id="983" w:name="_Toc4430"/>
      <w:bookmarkStart w:id="984" w:name="_Toc14750"/>
      <w:bookmarkStart w:id="985" w:name="_Toc461"/>
      <w:bookmarkStart w:id="986" w:name="_Toc24636"/>
      <w:r>
        <w:rPr>
          <w:rFonts w:hint="eastAsia" w:ascii="宋体" w:hAnsi="宋体" w:cs="仿宋_GB2312"/>
          <w:bCs/>
          <w:spacing w:val="-12"/>
          <w:szCs w:val="21"/>
          <w:highlight w:val="none"/>
        </w:rPr>
        <w:t xml:space="preserve">20.11 </w:t>
      </w:r>
      <w:r>
        <w:rPr>
          <w:rFonts w:hint="eastAsia" w:ascii="宋体" w:hAnsi="宋体" w:cs="仿宋_GB2312"/>
          <w:bCs/>
          <w:szCs w:val="21"/>
          <w:highlight w:val="none"/>
        </w:rPr>
        <w:t>承包人应当全面遵守西安市有关工程建设、项目管理、投资评审、现场管理等各项规章制度。</w:t>
      </w:r>
      <w:bookmarkEnd w:id="982"/>
      <w:bookmarkEnd w:id="983"/>
      <w:bookmarkEnd w:id="984"/>
      <w:bookmarkEnd w:id="985"/>
      <w:bookmarkEnd w:id="986"/>
    </w:p>
    <w:p>
      <w:pPr>
        <w:spacing w:line="360" w:lineRule="auto"/>
        <w:ind w:firstLine="630" w:firstLineChars="300"/>
        <w:rPr>
          <w:rFonts w:ascii="宋体" w:hAnsi="宋体" w:cs="仿宋_GB2312"/>
          <w:szCs w:val="21"/>
          <w:highlight w:val="none"/>
        </w:rPr>
      </w:pPr>
      <w:r>
        <w:rPr>
          <w:rFonts w:hint="eastAsia" w:ascii="宋体" w:hAnsi="宋体" w:cs="仿宋_GB2312"/>
          <w:szCs w:val="21"/>
          <w:highlight w:val="none"/>
        </w:rPr>
        <w:t>甲方（发包人）：              乙方（承包人）：</w:t>
      </w:r>
    </w:p>
    <w:p>
      <w:pPr>
        <w:spacing w:line="360" w:lineRule="auto"/>
        <w:ind w:firstLine="630" w:firstLineChars="300"/>
        <w:rPr>
          <w:rFonts w:ascii="宋体" w:hAnsi="宋体" w:cs="仿宋_GB2312"/>
          <w:szCs w:val="21"/>
          <w:highlight w:val="none"/>
        </w:rPr>
      </w:pPr>
      <w:r>
        <w:rPr>
          <w:rFonts w:hint="eastAsia" w:ascii="宋体" w:hAnsi="宋体" w:cs="仿宋_GB2312"/>
          <w:szCs w:val="21"/>
          <w:highlight w:val="none"/>
        </w:rPr>
        <w:t>联系电话：                    联系电话：</w:t>
      </w:r>
    </w:p>
    <w:p>
      <w:pPr>
        <w:spacing w:line="360" w:lineRule="auto"/>
        <w:ind w:firstLine="630" w:firstLineChars="300"/>
        <w:rPr>
          <w:rFonts w:ascii="宋体" w:hAnsi="宋体" w:cs="仿宋_GB2312"/>
          <w:szCs w:val="21"/>
          <w:highlight w:val="none"/>
        </w:rPr>
      </w:pPr>
      <w:r>
        <w:rPr>
          <w:rFonts w:hint="eastAsia" w:ascii="宋体" w:hAnsi="宋体" w:cs="仿宋_GB2312"/>
          <w:szCs w:val="21"/>
          <w:highlight w:val="none"/>
        </w:rPr>
        <w:t>通讯地址：                    通讯地址：</w:t>
      </w:r>
    </w:p>
    <w:p>
      <w:pPr>
        <w:spacing w:line="360" w:lineRule="auto"/>
        <w:ind w:firstLine="630" w:firstLineChars="300"/>
        <w:rPr>
          <w:rFonts w:ascii="宋体" w:hAnsi="宋体" w:cs="仿宋_GB2312"/>
          <w:szCs w:val="21"/>
          <w:highlight w:val="none"/>
        </w:rPr>
      </w:pPr>
      <w:r>
        <w:rPr>
          <w:rFonts w:hint="eastAsia" w:ascii="宋体" w:hAnsi="宋体" w:cs="仿宋_GB2312"/>
          <w:szCs w:val="21"/>
          <w:highlight w:val="none"/>
        </w:rPr>
        <w:t>电子邮箱：                    电子邮箱：</w:t>
      </w:r>
    </w:p>
    <w:p>
      <w:pPr>
        <w:ind w:firstLine="480"/>
        <w:rPr>
          <w:rFonts w:ascii="宋体" w:hAnsi="宋体" w:cs="仿宋_GB2312"/>
          <w:sz w:val="24"/>
          <w:highlight w:val="none"/>
        </w:rPr>
      </w:pPr>
      <w:r>
        <w:rPr>
          <w:rFonts w:hint="eastAsia" w:ascii="宋体" w:hAnsi="宋体" w:cs="仿宋_GB2312"/>
          <w:sz w:val="24"/>
          <w:highlight w:val="none"/>
        </w:rPr>
        <w:br w:type="page"/>
      </w:r>
      <w:bookmarkStart w:id="987" w:name="_Toc11016"/>
      <w:bookmarkStart w:id="988" w:name="_Toc11481"/>
      <w:r>
        <w:rPr>
          <w:rFonts w:hint="eastAsia" w:ascii="宋体" w:hAnsi="宋体" w:cs="仿宋_GB2312"/>
          <w:sz w:val="24"/>
          <w:highlight w:val="none"/>
        </w:rPr>
        <w:t>附件1：</w:t>
      </w:r>
    </w:p>
    <w:p>
      <w:pPr>
        <w:ind w:firstLine="482"/>
        <w:jc w:val="center"/>
        <w:rPr>
          <w:rFonts w:ascii="宋体" w:hAnsi="宋体" w:cs="仿宋_GB2312"/>
          <w:b/>
          <w:bCs/>
          <w:sz w:val="24"/>
          <w:highlight w:val="none"/>
        </w:rPr>
      </w:pPr>
      <w:r>
        <w:rPr>
          <w:rFonts w:hint="eastAsia" w:ascii="宋体" w:hAnsi="宋体" w:cs="仿宋_GB2312"/>
          <w:b/>
          <w:bCs/>
          <w:sz w:val="24"/>
          <w:highlight w:val="none"/>
        </w:rPr>
        <w:t>工程质量保修书</w:t>
      </w:r>
      <w:bookmarkEnd w:id="987"/>
      <w:bookmarkEnd w:id="988"/>
    </w:p>
    <w:p>
      <w:pPr>
        <w:ind w:firstLine="420"/>
        <w:rPr>
          <w:rFonts w:ascii="宋体" w:hAnsi="宋体" w:cs="仿宋_GB2312"/>
          <w:szCs w:val="21"/>
          <w:highlight w:val="none"/>
          <w:u w:val="single"/>
        </w:rPr>
      </w:pPr>
      <w:r>
        <w:rPr>
          <w:rFonts w:hint="eastAsia" w:ascii="宋体" w:hAnsi="宋体" w:cs="仿宋_GB2312"/>
          <w:szCs w:val="21"/>
          <w:highlight w:val="none"/>
        </w:rPr>
        <w:t>发包人（全称）：</w:t>
      </w:r>
      <w:r>
        <w:rPr>
          <w:rFonts w:hint="eastAsia" w:ascii="宋体" w:hAnsi="宋体" w:cs="仿宋_GB2312"/>
          <w:szCs w:val="21"/>
          <w:highlight w:val="none"/>
          <w:u w:val="single"/>
        </w:rPr>
        <w:t>山阳县水利局</w:t>
      </w:r>
    </w:p>
    <w:p>
      <w:pPr>
        <w:ind w:firstLine="420"/>
        <w:rPr>
          <w:rFonts w:ascii="宋体" w:hAnsi="宋体" w:cs="仿宋_GB2312"/>
          <w:szCs w:val="21"/>
          <w:highlight w:val="none"/>
          <w:u w:val="single"/>
        </w:rPr>
      </w:pPr>
      <w:r>
        <w:rPr>
          <w:rFonts w:hint="eastAsia" w:ascii="宋体" w:hAnsi="宋体" w:cs="仿宋_GB2312"/>
          <w:szCs w:val="21"/>
          <w:highlight w:val="none"/>
        </w:rPr>
        <w:t>承包人（全称）：</w:t>
      </w:r>
      <w:r>
        <w:rPr>
          <w:rFonts w:hint="eastAsia" w:ascii="宋体" w:hAnsi="宋体" w:cs="仿宋_GB2312"/>
          <w:szCs w:val="21"/>
          <w:highlight w:val="none"/>
          <w:u w:val="single"/>
        </w:rPr>
        <w:t xml:space="preserve">                          </w:t>
      </w:r>
      <w:r>
        <w:rPr>
          <w:rFonts w:ascii="宋体" w:hAnsi="宋体" w:cs="仿宋_GB2312"/>
          <w:szCs w:val="21"/>
          <w:highlight w:val="none"/>
          <w:u w:val="single"/>
        </w:rPr>
        <w:t xml:space="preserve"> </w:t>
      </w:r>
    </w:p>
    <w:p>
      <w:pPr>
        <w:spacing w:line="440" w:lineRule="exact"/>
        <w:ind w:firstLine="420"/>
        <w:rPr>
          <w:rFonts w:ascii="宋体" w:hAnsi="宋体" w:cs="仿宋_GB2312"/>
          <w:szCs w:val="21"/>
          <w:highlight w:val="none"/>
          <w:u w:val="single"/>
        </w:rPr>
      </w:pPr>
      <w:r>
        <w:rPr>
          <w:rFonts w:hint="eastAsia" w:ascii="宋体" w:hAnsi="宋体" w:cs="仿宋_GB2312"/>
          <w:szCs w:val="21"/>
          <w:highlight w:val="none"/>
        </w:rPr>
        <w:t>为保证</w:t>
      </w:r>
      <w:r>
        <w:rPr>
          <w:rFonts w:hint="eastAsia" w:ascii="宋体" w:hAnsi="宋体" w:cs="仿宋_GB2312"/>
          <w:szCs w:val="21"/>
          <w:highlight w:val="none"/>
          <w:u w:val="single"/>
        </w:rPr>
        <w:t>山阳县户家塬镇桃园村抗旱应急水源工程（</w:t>
      </w:r>
      <w:r>
        <w:rPr>
          <w:rFonts w:hint="eastAsia" w:ascii="宋体" w:hAnsi="宋体" w:cs="仿宋_GB2312"/>
          <w:szCs w:val="21"/>
          <w:highlight w:val="none"/>
        </w:rPr>
        <w:t>工程名称）在合理使用期限内正常使用，发包人、承包人协商一致签订工程质量保修书。承包人在质量保修期内按照有关管理规定及双方约定承担工程质量保修责任。</w:t>
      </w:r>
    </w:p>
    <w:p>
      <w:pPr>
        <w:spacing w:line="440" w:lineRule="exact"/>
        <w:ind w:firstLine="422"/>
        <w:rPr>
          <w:rFonts w:ascii="宋体" w:hAnsi="宋体" w:cs="仿宋_GB2312"/>
          <w:szCs w:val="21"/>
          <w:highlight w:val="none"/>
        </w:rPr>
      </w:pPr>
      <w:r>
        <w:rPr>
          <w:rFonts w:hint="eastAsia" w:ascii="宋体" w:hAnsi="宋体" w:cs="仿宋_GB2312"/>
          <w:b/>
          <w:szCs w:val="21"/>
          <w:highlight w:val="none"/>
        </w:rPr>
        <w:t>一、工程质量保修范围和内容</w:t>
      </w:r>
    </w:p>
    <w:p>
      <w:pPr>
        <w:spacing w:line="440" w:lineRule="exact"/>
        <w:ind w:firstLine="420"/>
        <w:rPr>
          <w:rFonts w:ascii="宋体" w:hAnsi="宋体" w:cs="仿宋_GB2312"/>
          <w:b/>
          <w:szCs w:val="21"/>
          <w:highlight w:val="none"/>
          <w:u w:val="single"/>
        </w:rPr>
      </w:pPr>
      <w:r>
        <w:rPr>
          <w:rFonts w:hint="eastAsia" w:ascii="宋体" w:hAnsi="宋体" w:cs="仿宋_GB2312"/>
          <w:szCs w:val="21"/>
          <w:highlight w:val="none"/>
        </w:rPr>
        <w:t>质量保修范围包括地基基础工程、主体结构工程、屋面防水工程和双方约定的其他土建工程，以及电器管线、上下水管线的安装工程，供热、供冷系统工程等项目。具体质量保修内容双方约定如下：</w:t>
      </w:r>
      <w:r>
        <w:rPr>
          <w:rFonts w:hint="eastAsia" w:ascii="宋体" w:hAnsi="宋体" w:cs="仿宋_GB2312"/>
          <w:b/>
          <w:szCs w:val="21"/>
          <w:highlight w:val="none"/>
          <w:u w:val="single"/>
        </w:rPr>
        <w:t>对承包人承包施工的内容进行保修，凡属承包人施工质量问题引起的维修，均由承包人负责保修。因发包人或业主使用不当造成的返修费用由责任方负担。</w:t>
      </w:r>
    </w:p>
    <w:p>
      <w:pPr>
        <w:spacing w:line="440" w:lineRule="exact"/>
        <w:ind w:firstLine="422"/>
        <w:rPr>
          <w:rFonts w:ascii="宋体" w:hAnsi="宋体" w:cs="仿宋_GB2312"/>
          <w:b/>
          <w:szCs w:val="21"/>
          <w:highlight w:val="none"/>
        </w:rPr>
      </w:pPr>
      <w:r>
        <w:rPr>
          <w:rFonts w:hint="eastAsia" w:ascii="宋体" w:hAnsi="宋体" w:cs="仿宋_GB2312"/>
          <w:b/>
          <w:szCs w:val="21"/>
          <w:highlight w:val="none"/>
        </w:rPr>
        <w:t>二、质量保修期</w:t>
      </w:r>
    </w:p>
    <w:p>
      <w:pPr>
        <w:spacing w:line="440" w:lineRule="exact"/>
        <w:ind w:firstLine="420"/>
        <w:rPr>
          <w:rFonts w:ascii="宋体" w:hAnsi="宋体" w:cs="仿宋_GB2312"/>
          <w:szCs w:val="21"/>
          <w:highlight w:val="none"/>
        </w:rPr>
      </w:pPr>
      <w:r>
        <w:rPr>
          <w:rFonts w:hint="eastAsia" w:ascii="宋体" w:hAnsi="宋体" w:cs="仿宋_GB2312"/>
          <w:szCs w:val="21"/>
          <w:highlight w:val="none"/>
        </w:rPr>
        <w:t>质量保修期自工程竣工验收合格之日起计算。分单项竣工验收的工程，按单项工程分别计算质量保修期。</w:t>
      </w:r>
    </w:p>
    <w:p>
      <w:pPr>
        <w:snapToGrid w:val="0"/>
        <w:spacing w:line="440" w:lineRule="exact"/>
        <w:ind w:firstLine="420"/>
        <w:rPr>
          <w:rFonts w:ascii="宋体" w:hAnsi="宋体" w:cs="仿宋_GB2312"/>
          <w:szCs w:val="21"/>
          <w:highlight w:val="none"/>
        </w:rPr>
      </w:pPr>
      <w:r>
        <w:rPr>
          <w:rFonts w:hint="eastAsia" w:ascii="宋体" w:hAnsi="宋体" w:cs="仿宋_GB2312"/>
          <w:szCs w:val="21"/>
          <w:highlight w:val="none"/>
        </w:rPr>
        <w:t>2.1双方根据国家有关规定，结合具体工程约定质量保修期为1年。</w:t>
      </w:r>
    </w:p>
    <w:p>
      <w:pPr>
        <w:spacing w:line="440" w:lineRule="exact"/>
        <w:ind w:firstLine="420"/>
        <w:rPr>
          <w:rFonts w:ascii="宋体" w:hAnsi="宋体" w:cs="仿宋_GB2312"/>
          <w:szCs w:val="21"/>
          <w:highlight w:val="none"/>
        </w:rPr>
      </w:pPr>
      <w:r>
        <w:rPr>
          <w:rFonts w:hint="eastAsia" w:ascii="宋体" w:hAnsi="宋体" w:cs="仿宋_GB2312"/>
          <w:szCs w:val="21"/>
          <w:highlight w:val="none"/>
        </w:rPr>
        <w:t>2.2质量保修期自工程竣工验收合格之日起计算。</w:t>
      </w:r>
    </w:p>
    <w:p>
      <w:pPr>
        <w:spacing w:line="440" w:lineRule="exact"/>
        <w:ind w:firstLine="422"/>
        <w:rPr>
          <w:rFonts w:ascii="宋体" w:hAnsi="宋体" w:cs="仿宋_GB2312"/>
          <w:szCs w:val="21"/>
          <w:highlight w:val="none"/>
        </w:rPr>
      </w:pPr>
      <w:r>
        <w:rPr>
          <w:rFonts w:hint="eastAsia" w:ascii="宋体" w:hAnsi="宋体" w:cs="仿宋_GB2312"/>
          <w:b/>
          <w:szCs w:val="21"/>
          <w:highlight w:val="none"/>
        </w:rPr>
        <w:t>三、质量保修责任</w:t>
      </w:r>
    </w:p>
    <w:p>
      <w:pPr>
        <w:spacing w:line="440" w:lineRule="exact"/>
        <w:ind w:firstLine="420"/>
        <w:rPr>
          <w:rFonts w:ascii="宋体" w:hAnsi="宋体" w:cs="仿宋_GB2312"/>
          <w:szCs w:val="21"/>
          <w:highlight w:val="none"/>
        </w:rPr>
      </w:pPr>
      <w:r>
        <w:rPr>
          <w:rFonts w:hint="eastAsia" w:ascii="宋体" w:hAnsi="宋体" w:cs="仿宋_GB2312"/>
          <w:szCs w:val="21"/>
          <w:highlight w:val="none"/>
        </w:rPr>
        <w:t>1、工程交付使用后，若出现各类质量问题，承包人接到通知后48小时内到达现场，并及时排除隐患。</w:t>
      </w:r>
    </w:p>
    <w:p>
      <w:pPr>
        <w:spacing w:line="440" w:lineRule="exact"/>
        <w:ind w:firstLine="420"/>
        <w:rPr>
          <w:rFonts w:ascii="宋体" w:hAnsi="宋体" w:cs="仿宋_GB2312"/>
          <w:szCs w:val="21"/>
          <w:highlight w:val="none"/>
        </w:rPr>
      </w:pPr>
      <w:r>
        <w:rPr>
          <w:rFonts w:hint="eastAsia" w:ascii="宋体" w:hAnsi="宋体" w:cs="仿宋_GB2312"/>
          <w:szCs w:val="21"/>
          <w:highlight w:val="none"/>
        </w:rPr>
        <w:t>2、发生须紧急抢修事故（如上水跑水、暖气漏水漏气、燃气漏气等），承包人接到事故通知后，应立即到达事故现场抢修。非承包人施工质量引起的事故。抢修费用由发包人承担。</w:t>
      </w:r>
    </w:p>
    <w:p>
      <w:pPr>
        <w:spacing w:line="440" w:lineRule="exact"/>
        <w:ind w:firstLine="420"/>
        <w:rPr>
          <w:rFonts w:ascii="宋体" w:hAnsi="宋体" w:cs="仿宋_GB2312"/>
          <w:szCs w:val="21"/>
          <w:highlight w:val="none"/>
        </w:rPr>
      </w:pPr>
      <w:r>
        <w:rPr>
          <w:rFonts w:hint="eastAsia" w:ascii="宋体" w:hAnsi="宋体" w:cs="仿宋_GB2312"/>
          <w:szCs w:val="21"/>
          <w:highlight w:val="none"/>
        </w:rPr>
        <w:t>3、在国家规定的工程合理使用期限内，承包人确保地基基础工程和主体结构的质量。因承包人原因致使工程在合理使用期限内造成人身和财产损害的，承包人应承担损害赔偿责任。</w:t>
      </w:r>
    </w:p>
    <w:p>
      <w:pPr>
        <w:spacing w:line="440" w:lineRule="exact"/>
        <w:ind w:firstLine="420"/>
        <w:rPr>
          <w:rFonts w:ascii="宋体" w:hAnsi="宋体" w:cs="仿宋_GB2312"/>
          <w:szCs w:val="21"/>
          <w:highlight w:val="none"/>
        </w:rPr>
      </w:pPr>
      <w:r>
        <w:rPr>
          <w:rFonts w:hint="eastAsia" w:ascii="宋体" w:hAnsi="宋体" w:cs="仿宋_GB2312"/>
          <w:szCs w:val="21"/>
          <w:highlight w:val="none"/>
        </w:rPr>
        <w:t>4、质量保修完成后，由发包人组织验收。</w:t>
      </w:r>
    </w:p>
    <w:p>
      <w:pPr>
        <w:spacing w:line="440" w:lineRule="exact"/>
        <w:ind w:firstLine="420"/>
        <w:rPr>
          <w:rFonts w:ascii="宋体" w:hAnsi="宋体" w:cs="仿宋_GB2312"/>
          <w:szCs w:val="21"/>
          <w:highlight w:val="none"/>
        </w:rPr>
      </w:pPr>
      <w:r>
        <w:rPr>
          <w:rFonts w:hint="eastAsia" w:ascii="宋体" w:hAnsi="宋体" w:cs="仿宋_GB2312"/>
          <w:szCs w:val="21"/>
          <w:highlight w:val="none"/>
        </w:rPr>
        <w:t>5. 下列情况不属于本工程规定的保修范围：</w:t>
      </w:r>
    </w:p>
    <w:p>
      <w:pPr>
        <w:spacing w:line="440" w:lineRule="exact"/>
        <w:ind w:firstLine="420"/>
        <w:rPr>
          <w:rFonts w:ascii="宋体" w:hAnsi="宋体" w:cs="仿宋_GB2312"/>
          <w:szCs w:val="21"/>
          <w:highlight w:val="none"/>
        </w:rPr>
      </w:pPr>
      <w:r>
        <w:rPr>
          <w:rFonts w:hint="eastAsia" w:ascii="宋体" w:hAnsi="宋体" w:cs="仿宋_GB2312"/>
          <w:szCs w:val="21"/>
          <w:highlight w:val="none"/>
        </w:rPr>
        <w:t>5.1 因使用不当或者第三方造成的质量缺陷；</w:t>
      </w:r>
    </w:p>
    <w:p>
      <w:pPr>
        <w:spacing w:line="440" w:lineRule="exact"/>
        <w:ind w:firstLine="420"/>
        <w:rPr>
          <w:rFonts w:ascii="宋体" w:hAnsi="宋体" w:cs="仿宋_GB2312"/>
          <w:szCs w:val="21"/>
          <w:highlight w:val="none"/>
        </w:rPr>
      </w:pPr>
      <w:r>
        <w:rPr>
          <w:rFonts w:hint="eastAsia" w:ascii="宋体" w:hAnsi="宋体" w:cs="仿宋_GB2312"/>
          <w:szCs w:val="21"/>
          <w:highlight w:val="none"/>
        </w:rPr>
        <w:t>5.2 不可抗力造成的质量缺陷。</w:t>
      </w:r>
    </w:p>
    <w:p>
      <w:pPr>
        <w:spacing w:line="440" w:lineRule="exact"/>
        <w:ind w:firstLine="422"/>
        <w:rPr>
          <w:rFonts w:ascii="宋体" w:hAnsi="宋体" w:cs="仿宋_GB2312"/>
          <w:b/>
          <w:szCs w:val="21"/>
          <w:highlight w:val="none"/>
        </w:rPr>
      </w:pPr>
      <w:r>
        <w:rPr>
          <w:rFonts w:hint="eastAsia" w:ascii="宋体" w:hAnsi="宋体" w:cs="仿宋_GB2312"/>
          <w:b/>
          <w:szCs w:val="21"/>
          <w:highlight w:val="none"/>
        </w:rPr>
        <w:t>四、质量保修金的支付</w:t>
      </w:r>
    </w:p>
    <w:p>
      <w:pPr>
        <w:spacing w:line="440" w:lineRule="exact"/>
        <w:ind w:firstLine="420"/>
        <w:rPr>
          <w:rFonts w:ascii="宋体" w:hAnsi="宋体" w:cs="仿宋_GB2312"/>
          <w:szCs w:val="21"/>
          <w:highlight w:val="none"/>
        </w:rPr>
      </w:pPr>
      <w:r>
        <w:rPr>
          <w:rFonts w:hint="eastAsia" w:ascii="宋体" w:hAnsi="宋体" w:cs="仿宋_GB2312"/>
          <w:szCs w:val="21"/>
          <w:highlight w:val="none"/>
        </w:rPr>
        <w:t>本工程约定的工程质量保修金</w:t>
      </w:r>
      <w:r>
        <w:rPr>
          <w:rFonts w:hint="eastAsia" w:ascii="宋体" w:hAnsi="宋体" w:cs="仿宋_GB2312"/>
          <w:szCs w:val="21"/>
          <w:highlight w:val="none"/>
        </w:rPr>
        <w:t>为</w:t>
      </w:r>
      <w:r>
        <w:rPr>
          <w:rFonts w:hint="eastAsia" w:ascii="宋体" w:hAnsi="宋体" w:cs="仿宋_GB2312"/>
          <w:szCs w:val="21"/>
          <w:highlight w:val="none"/>
          <w:u w:val="single"/>
        </w:rPr>
        <w:t xml:space="preserve">   3%   </w:t>
      </w:r>
      <w:r>
        <w:rPr>
          <w:rFonts w:hint="eastAsia" w:ascii="宋体" w:hAnsi="宋体" w:cs="仿宋_GB2312"/>
          <w:szCs w:val="21"/>
          <w:highlight w:val="none"/>
        </w:rPr>
        <w:t>。</w:t>
      </w:r>
    </w:p>
    <w:p>
      <w:pPr>
        <w:spacing w:line="440" w:lineRule="exact"/>
        <w:ind w:firstLine="420"/>
        <w:rPr>
          <w:rFonts w:ascii="宋体" w:hAnsi="宋体" w:cs="仿宋_GB2312"/>
          <w:szCs w:val="21"/>
          <w:highlight w:val="none"/>
        </w:rPr>
      </w:pPr>
      <w:r>
        <w:rPr>
          <w:rFonts w:hint="eastAsia" w:ascii="宋体" w:hAnsi="宋体" w:cs="仿宋_GB2312"/>
          <w:szCs w:val="21"/>
          <w:highlight w:val="none"/>
        </w:rPr>
        <w:t>质量保修金银行利率为</w:t>
      </w:r>
      <w:r>
        <w:rPr>
          <w:rFonts w:hint="eastAsia" w:ascii="宋体" w:hAnsi="宋体" w:cs="仿宋_GB2312"/>
          <w:szCs w:val="21"/>
          <w:highlight w:val="none"/>
          <w:u w:val="single"/>
        </w:rPr>
        <w:t xml:space="preserve"> </w:t>
      </w:r>
      <w:r>
        <w:rPr>
          <w:rFonts w:hint="eastAsia" w:ascii="宋体" w:hAnsi="宋体" w:cs="仿宋_GB2312"/>
          <w:szCs w:val="21"/>
          <w:highlight w:val="none"/>
          <w:u w:val="single"/>
        </w:rPr>
        <w:t xml:space="preserve">  无   。</w:t>
      </w:r>
    </w:p>
    <w:p>
      <w:pPr>
        <w:spacing w:line="440" w:lineRule="exact"/>
        <w:ind w:firstLine="422"/>
        <w:rPr>
          <w:rFonts w:ascii="宋体" w:hAnsi="宋体" w:cs="仿宋_GB2312"/>
          <w:b/>
          <w:szCs w:val="21"/>
          <w:highlight w:val="none"/>
          <w:u w:val="single"/>
        </w:rPr>
      </w:pPr>
      <w:r>
        <w:rPr>
          <w:rFonts w:hint="eastAsia" w:ascii="宋体" w:hAnsi="宋体" w:cs="仿宋_GB2312"/>
          <w:b/>
          <w:szCs w:val="21"/>
          <w:highlight w:val="none"/>
        </w:rPr>
        <w:t>五、质量保修金的返还</w:t>
      </w:r>
      <w:r>
        <w:rPr>
          <w:rFonts w:hint="eastAsia" w:ascii="宋体" w:hAnsi="宋体" w:cs="仿宋_GB2312"/>
          <w:b/>
          <w:szCs w:val="21"/>
          <w:highlight w:val="none"/>
          <w:u w:val="single"/>
        </w:rPr>
        <w:t xml:space="preserve">   /    </w:t>
      </w:r>
    </w:p>
    <w:p>
      <w:pPr>
        <w:spacing w:line="440" w:lineRule="exact"/>
        <w:ind w:firstLine="422"/>
        <w:rPr>
          <w:rFonts w:ascii="宋体" w:hAnsi="宋体" w:cs="仿宋_GB2312"/>
          <w:b/>
          <w:szCs w:val="21"/>
          <w:highlight w:val="none"/>
        </w:rPr>
      </w:pPr>
      <w:r>
        <w:rPr>
          <w:rFonts w:hint="eastAsia" w:ascii="宋体" w:hAnsi="宋体" w:cs="仿宋_GB2312"/>
          <w:b/>
          <w:szCs w:val="21"/>
          <w:highlight w:val="none"/>
        </w:rPr>
        <w:t>六、其他</w:t>
      </w:r>
    </w:p>
    <w:p>
      <w:pPr>
        <w:spacing w:line="440" w:lineRule="exact"/>
        <w:ind w:firstLine="420"/>
        <w:rPr>
          <w:rFonts w:ascii="宋体" w:hAnsi="宋体" w:cs="仿宋_GB2312"/>
          <w:szCs w:val="21"/>
          <w:highlight w:val="none"/>
        </w:rPr>
      </w:pPr>
      <w:r>
        <w:rPr>
          <w:rFonts w:hint="eastAsia" w:ascii="宋体" w:hAnsi="宋体" w:cs="仿宋_GB2312"/>
          <w:szCs w:val="21"/>
          <w:highlight w:val="none"/>
        </w:rPr>
        <w:t>6.1双方约定的其他工程质量保修事项：</w:t>
      </w:r>
    </w:p>
    <w:p>
      <w:pPr>
        <w:spacing w:line="440" w:lineRule="exact"/>
        <w:ind w:firstLine="420"/>
        <w:rPr>
          <w:rFonts w:ascii="宋体" w:hAnsi="宋体" w:cs="仿宋_GB2312"/>
          <w:szCs w:val="21"/>
          <w:highlight w:val="none"/>
        </w:rPr>
      </w:pPr>
      <w:r>
        <w:rPr>
          <w:rFonts w:hint="eastAsia" w:ascii="宋体" w:hAnsi="宋体" w:cs="仿宋_GB2312"/>
          <w:szCs w:val="21"/>
          <w:highlight w:val="none"/>
        </w:rPr>
        <w:t>本工程质量保修书，由施工合同发包人、承包人双方在竣工验收前共同签署，作为施工合同附件，其有效期限至保修期满。</w:t>
      </w:r>
    </w:p>
    <w:tbl>
      <w:tblPr>
        <w:tblStyle w:val="45"/>
        <w:tblW w:w="7660" w:type="dxa"/>
        <w:jc w:val="center"/>
        <w:tblLayout w:type="fixed"/>
        <w:tblCellMar>
          <w:top w:w="0" w:type="dxa"/>
          <w:left w:w="105" w:type="dxa"/>
          <w:bottom w:w="0" w:type="dxa"/>
          <w:right w:w="105" w:type="dxa"/>
        </w:tblCellMar>
      </w:tblPr>
      <w:tblGrid>
        <w:gridCol w:w="3830"/>
        <w:gridCol w:w="3830"/>
      </w:tblGrid>
      <w:tr>
        <w:tblPrEx>
          <w:tblCellMar>
            <w:top w:w="0" w:type="dxa"/>
            <w:left w:w="105" w:type="dxa"/>
            <w:bottom w:w="0" w:type="dxa"/>
            <w:right w:w="105" w:type="dxa"/>
          </w:tblCellMar>
        </w:tblPrEx>
        <w:trPr>
          <w:trHeight w:val="554" w:hRule="exact"/>
          <w:jc w:val="center"/>
        </w:trPr>
        <w:tc>
          <w:tcPr>
            <w:tcW w:w="3830" w:type="dxa"/>
            <w:vAlign w:val="center"/>
          </w:tcPr>
          <w:p>
            <w:pPr>
              <w:ind w:firstLine="420"/>
              <w:rPr>
                <w:rFonts w:ascii="宋体" w:hAnsi="宋体" w:cs="仿宋_GB2312"/>
                <w:szCs w:val="21"/>
                <w:highlight w:val="none"/>
              </w:rPr>
            </w:pPr>
            <w:r>
              <w:rPr>
                <w:rFonts w:hint="eastAsia" w:ascii="宋体" w:hAnsi="宋体" w:cs="仿宋_GB2312"/>
                <w:szCs w:val="21"/>
                <w:highlight w:val="none"/>
              </w:rPr>
              <w:t>发包方：（签章）</w:t>
            </w:r>
          </w:p>
        </w:tc>
        <w:tc>
          <w:tcPr>
            <w:tcW w:w="3830" w:type="dxa"/>
            <w:vAlign w:val="center"/>
          </w:tcPr>
          <w:p>
            <w:pPr>
              <w:ind w:firstLine="420"/>
              <w:rPr>
                <w:rFonts w:ascii="宋体" w:hAnsi="宋体" w:cs="仿宋_GB2312"/>
                <w:szCs w:val="21"/>
                <w:highlight w:val="none"/>
              </w:rPr>
            </w:pPr>
            <w:r>
              <w:rPr>
                <w:rFonts w:hint="eastAsia" w:ascii="宋体" w:hAnsi="宋体" w:cs="仿宋_GB2312"/>
                <w:szCs w:val="21"/>
                <w:highlight w:val="none"/>
              </w:rPr>
              <w:t>承包方：（签章）</w:t>
            </w:r>
          </w:p>
        </w:tc>
      </w:tr>
      <w:tr>
        <w:tblPrEx>
          <w:tblCellMar>
            <w:top w:w="0" w:type="dxa"/>
            <w:left w:w="105" w:type="dxa"/>
            <w:bottom w:w="0" w:type="dxa"/>
            <w:right w:w="105" w:type="dxa"/>
          </w:tblCellMar>
        </w:tblPrEx>
        <w:trPr>
          <w:trHeight w:val="554" w:hRule="exact"/>
          <w:jc w:val="center"/>
        </w:trPr>
        <w:tc>
          <w:tcPr>
            <w:tcW w:w="3830" w:type="dxa"/>
            <w:vAlign w:val="center"/>
          </w:tcPr>
          <w:p>
            <w:pPr>
              <w:ind w:firstLine="420"/>
              <w:rPr>
                <w:rFonts w:ascii="宋体" w:hAnsi="宋体" w:cs="仿宋_GB2312"/>
                <w:szCs w:val="21"/>
                <w:highlight w:val="none"/>
              </w:rPr>
            </w:pPr>
            <w:r>
              <w:rPr>
                <w:rFonts w:hint="eastAsia" w:ascii="宋体" w:hAnsi="宋体" w:cs="仿宋_GB2312"/>
                <w:szCs w:val="21"/>
                <w:highlight w:val="none"/>
              </w:rPr>
              <w:t>住所：</w:t>
            </w:r>
          </w:p>
        </w:tc>
        <w:tc>
          <w:tcPr>
            <w:tcW w:w="3830" w:type="dxa"/>
            <w:vAlign w:val="center"/>
          </w:tcPr>
          <w:p>
            <w:pPr>
              <w:ind w:firstLine="420"/>
              <w:rPr>
                <w:rFonts w:ascii="宋体" w:hAnsi="宋体" w:cs="仿宋_GB2312"/>
                <w:szCs w:val="21"/>
                <w:highlight w:val="none"/>
              </w:rPr>
            </w:pPr>
            <w:r>
              <w:rPr>
                <w:rFonts w:hint="eastAsia" w:ascii="宋体" w:hAnsi="宋体" w:cs="仿宋_GB2312"/>
                <w:szCs w:val="21"/>
                <w:highlight w:val="none"/>
              </w:rPr>
              <w:t>住所：</w:t>
            </w:r>
          </w:p>
        </w:tc>
      </w:tr>
      <w:tr>
        <w:tblPrEx>
          <w:tblCellMar>
            <w:top w:w="0" w:type="dxa"/>
            <w:left w:w="105" w:type="dxa"/>
            <w:bottom w:w="0" w:type="dxa"/>
            <w:right w:w="105" w:type="dxa"/>
          </w:tblCellMar>
        </w:tblPrEx>
        <w:trPr>
          <w:trHeight w:val="554" w:hRule="exact"/>
          <w:jc w:val="center"/>
        </w:trPr>
        <w:tc>
          <w:tcPr>
            <w:tcW w:w="3830" w:type="dxa"/>
            <w:vAlign w:val="center"/>
          </w:tcPr>
          <w:p>
            <w:pPr>
              <w:ind w:firstLine="420"/>
              <w:rPr>
                <w:rFonts w:ascii="宋体" w:hAnsi="宋体" w:cs="仿宋_GB2312"/>
                <w:szCs w:val="21"/>
                <w:highlight w:val="none"/>
              </w:rPr>
            </w:pPr>
            <w:r>
              <w:rPr>
                <w:rFonts w:hint="eastAsia" w:ascii="宋体" w:hAnsi="宋体" w:cs="仿宋_GB2312"/>
                <w:szCs w:val="21"/>
                <w:highlight w:val="none"/>
              </w:rPr>
              <w:t>法定代表人或负责人：（签章）</w:t>
            </w:r>
          </w:p>
        </w:tc>
        <w:tc>
          <w:tcPr>
            <w:tcW w:w="3830" w:type="dxa"/>
            <w:vAlign w:val="center"/>
          </w:tcPr>
          <w:p>
            <w:pPr>
              <w:ind w:firstLine="420"/>
              <w:rPr>
                <w:rFonts w:ascii="宋体" w:hAnsi="宋体" w:cs="仿宋_GB2312"/>
                <w:szCs w:val="21"/>
                <w:highlight w:val="none"/>
              </w:rPr>
            </w:pPr>
            <w:r>
              <w:rPr>
                <w:rFonts w:hint="eastAsia" w:ascii="宋体" w:hAnsi="宋体" w:cs="仿宋_GB2312"/>
                <w:szCs w:val="21"/>
                <w:highlight w:val="none"/>
              </w:rPr>
              <w:t>法定代表人或负责人：（签章）</w:t>
            </w:r>
          </w:p>
        </w:tc>
      </w:tr>
      <w:tr>
        <w:tblPrEx>
          <w:tblCellMar>
            <w:top w:w="0" w:type="dxa"/>
            <w:left w:w="105" w:type="dxa"/>
            <w:bottom w:w="0" w:type="dxa"/>
            <w:right w:w="105" w:type="dxa"/>
          </w:tblCellMar>
        </w:tblPrEx>
        <w:trPr>
          <w:trHeight w:val="554" w:hRule="exact"/>
          <w:jc w:val="center"/>
        </w:trPr>
        <w:tc>
          <w:tcPr>
            <w:tcW w:w="3830" w:type="dxa"/>
            <w:vAlign w:val="center"/>
          </w:tcPr>
          <w:p>
            <w:pPr>
              <w:ind w:firstLine="420"/>
              <w:rPr>
                <w:rFonts w:ascii="宋体" w:hAnsi="宋体" w:cs="仿宋_GB2312"/>
                <w:szCs w:val="21"/>
                <w:highlight w:val="none"/>
              </w:rPr>
            </w:pPr>
            <w:r>
              <w:rPr>
                <w:rFonts w:hint="eastAsia" w:ascii="宋体" w:hAnsi="宋体" w:cs="仿宋_GB2312"/>
                <w:szCs w:val="21"/>
                <w:highlight w:val="none"/>
              </w:rPr>
              <w:t xml:space="preserve">开户银行： </w:t>
            </w:r>
          </w:p>
        </w:tc>
        <w:tc>
          <w:tcPr>
            <w:tcW w:w="3830" w:type="dxa"/>
            <w:vAlign w:val="center"/>
          </w:tcPr>
          <w:p>
            <w:pPr>
              <w:ind w:firstLine="420"/>
              <w:rPr>
                <w:rFonts w:ascii="宋体" w:hAnsi="宋体" w:cs="仿宋_GB2312"/>
                <w:szCs w:val="21"/>
                <w:highlight w:val="none"/>
              </w:rPr>
            </w:pPr>
            <w:r>
              <w:rPr>
                <w:rFonts w:hint="eastAsia" w:ascii="宋体" w:hAnsi="宋体" w:cs="仿宋_GB2312"/>
                <w:szCs w:val="21"/>
                <w:highlight w:val="none"/>
              </w:rPr>
              <w:t>开户银行：</w:t>
            </w:r>
          </w:p>
        </w:tc>
      </w:tr>
      <w:tr>
        <w:tblPrEx>
          <w:tblCellMar>
            <w:top w:w="0" w:type="dxa"/>
            <w:left w:w="105" w:type="dxa"/>
            <w:bottom w:w="0" w:type="dxa"/>
            <w:right w:w="105" w:type="dxa"/>
          </w:tblCellMar>
        </w:tblPrEx>
        <w:trPr>
          <w:trHeight w:val="554" w:hRule="exact"/>
          <w:jc w:val="center"/>
        </w:trPr>
        <w:tc>
          <w:tcPr>
            <w:tcW w:w="3830" w:type="dxa"/>
            <w:vAlign w:val="center"/>
          </w:tcPr>
          <w:p>
            <w:pPr>
              <w:ind w:firstLine="420"/>
              <w:rPr>
                <w:rFonts w:ascii="宋体" w:hAnsi="宋体" w:cs="仿宋_GB2312"/>
                <w:szCs w:val="21"/>
                <w:highlight w:val="none"/>
              </w:rPr>
            </w:pPr>
            <w:r>
              <w:rPr>
                <w:rFonts w:hint="eastAsia" w:ascii="宋体" w:hAnsi="宋体" w:cs="仿宋_GB2312"/>
                <w:szCs w:val="21"/>
                <w:highlight w:val="none"/>
              </w:rPr>
              <w:t>账号：</w:t>
            </w:r>
          </w:p>
        </w:tc>
        <w:tc>
          <w:tcPr>
            <w:tcW w:w="3830" w:type="dxa"/>
            <w:vAlign w:val="center"/>
          </w:tcPr>
          <w:p>
            <w:pPr>
              <w:ind w:firstLine="420"/>
              <w:rPr>
                <w:rFonts w:ascii="宋体" w:hAnsi="宋体" w:cs="仿宋_GB2312"/>
                <w:szCs w:val="21"/>
                <w:highlight w:val="none"/>
              </w:rPr>
            </w:pPr>
            <w:r>
              <w:rPr>
                <w:rFonts w:hint="eastAsia" w:ascii="宋体" w:hAnsi="宋体" w:cs="仿宋_GB2312"/>
                <w:szCs w:val="21"/>
                <w:highlight w:val="none"/>
              </w:rPr>
              <w:t xml:space="preserve">账号： </w:t>
            </w:r>
          </w:p>
        </w:tc>
      </w:tr>
      <w:tr>
        <w:tblPrEx>
          <w:tblCellMar>
            <w:top w:w="0" w:type="dxa"/>
            <w:left w:w="105" w:type="dxa"/>
            <w:bottom w:w="0" w:type="dxa"/>
            <w:right w:w="105" w:type="dxa"/>
          </w:tblCellMar>
        </w:tblPrEx>
        <w:trPr>
          <w:trHeight w:val="554" w:hRule="exact"/>
          <w:jc w:val="center"/>
        </w:trPr>
        <w:tc>
          <w:tcPr>
            <w:tcW w:w="3830" w:type="dxa"/>
            <w:vAlign w:val="center"/>
          </w:tcPr>
          <w:p>
            <w:pPr>
              <w:ind w:firstLine="420"/>
              <w:rPr>
                <w:rFonts w:ascii="宋体" w:hAnsi="宋体" w:cs="仿宋_GB2312"/>
                <w:szCs w:val="21"/>
                <w:highlight w:val="none"/>
              </w:rPr>
            </w:pPr>
            <w:r>
              <w:rPr>
                <w:rFonts w:hint="eastAsia" w:ascii="宋体" w:hAnsi="宋体" w:cs="仿宋_GB2312"/>
                <w:szCs w:val="21"/>
                <w:highlight w:val="none"/>
              </w:rPr>
              <w:t>邮编：</w:t>
            </w:r>
          </w:p>
        </w:tc>
        <w:tc>
          <w:tcPr>
            <w:tcW w:w="3830" w:type="dxa"/>
            <w:vAlign w:val="center"/>
          </w:tcPr>
          <w:p>
            <w:pPr>
              <w:ind w:firstLine="420"/>
              <w:rPr>
                <w:rFonts w:ascii="宋体" w:hAnsi="宋体" w:cs="仿宋_GB2312"/>
                <w:szCs w:val="21"/>
                <w:highlight w:val="none"/>
              </w:rPr>
            </w:pPr>
            <w:r>
              <w:rPr>
                <w:rFonts w:hint="eastAsia" w:ascii="宋体" w:hAnsi="宋体" w:cs="仿宋_GB2312"/>
                <w:szCs w:val="21"/>
                <w:highlight w:val="none"/>
              </w:rPr>
              <w:t xml:space="preserve">邮编： </w:t>
            </w:r>
          </w:p>
        </w:tc>
      </w:tr>
      <w:tr>
        <w:tblPrEx>
          <w:tblCellMar>
            <w:top w:w="0" w:type="dxa"/>
            <w:left w:w="105" w:type="dxa"/>
            <w:bottom w:w="0" w:type="dxa"/>
            <w:right w:w="105" w:type="dxa"/>
          </w:tblCellMar>
        </w:tblPrEx>
        <w:trPr>
          <w:trHeight w:val="554" w:hRule="exact"/>
          <w:jc w:val="center"/>
        </w:trPr>
        <w:tc>
          <w:tcPr>
            <w:tcW w:w="3830" w:type="dxa"/>
            <w:vAlign w:val="center"/>
          </w:tcPr>
          <w:p>
            <w:pPr>
              <w:ind w:firstLine="420"/>
              <w:rPr>
                <w:rFonts w:ascii="宋体" w:hAnsi="宋体" w:cs="仿宋_GB2312"/>
                <w:szCs w:val="21"/>
                <w:highlight w:val="none"/>
              </w:rPr>
            </w:pPr>
            <w:r>
              <w:rPr>
                <w:rFonts w:hint="eastAsia" w:ascii="宋体" w:hAnsi="宋体" w:cs="仿宋_GB2312"/>
                <w:szCs w:val="21"/>
                <w:highlight w:val="none"/>
              </w:rPr>
              <w:t>电话：</w:t>
            </w:r>
          </w:p>
        </w:tc>
        <w:tc>
          <w:tcPr>
            <w:tcW w:w="3830" w:type="dxa"/>
            <w:vAlign w:val="center"/>
          </w:tcPr>
          <w:p>
            <w:pPr>
              <w:ind w:firstLine="420"/>
              <w:rPr>
                <w:rFonts w:ascii="宋体" w:hAnsi="宋体" w:cs="仿宋_GB2312"/>
                <w:szCs w:val="21"/>
                <w:highlight w:val="none"/>
              </w:rPr>
            </w:pPr>
            <w:r>
              <w:rPr>
                <w:rFonts w:hint="eastAsia" w:ascii="宋体" w:hAnsi="宋体" w:cs="仿宋_GB2312"/>
                <w:szCs w:val="21"/>
                <w:highlight w:val="none"/>
              </w:rPr>
              <w:t>电话：</w:t>
            </w:r>
          </w:p>
        </w:tc>
      </w:tr>
    </w:tbl>
    <w:p>
      <w:pPr>
        <w:ind w:firstLine="420"/>
        <w:rPr>
          <w:rFonts w:ascii="宋体" w:hAnsi="宋体" w:cs="仿宋_GB2312"/>
          <w:szCs w:val="21"/>
          <w:highlight w:val="none"/>
        </w:rPr>
      </w:pPr>
    </w:p>
    <w:p>
      <w:pPr>
        <w:ind w:firstLine="420"/>
        <w:rPr>
          <w:rFonts w:ascii="宋体" w:hAnsi="宋体" w:cs="仿宋_GB2312"/>
          <w:szCs w:val="21"/>
          <w:highlight w:val="none"/>
        </w:rPr>
      </w:pPr>
      <w:r>
        <w:rPr>
          <w:rFonts w:hint="eastAsia" w:ascii="宋体" w:hAnsi="宋体" w:cs="仿宋_GB2312"/>
          <w:szCs w:val="21"/>
          <w:highlight w:val="none"/>
        </w:rPr>
        <w:t>签订时间：   年   月   日</w:t>
      </w:r>
    </w:p>
    <w:p>
      <w:pPr>
        <w:ind w:firstLine="480"/>
        <w:rPr>
          <w:rFonts w:ascii="宋体" w:hAnsi="宋体" w:cs="仿宋_GB2312"/>
          <w:sz w:val="24"/>
          <w:highlight w:val="none"/>
        </w:rPr>
      </w:pPr>
    </w:p>
    <w:p>
      <w:pPr>
        <w:ind w:firstLine="480"/>
        <w:rPr>
          <w:rFonts w:ascii="宋体" w:hAnsi="宋体" w:cs="仿宋_GB2312"/>
          <w:sz w:val="24"/>
          <w:highlight w:val="none"/>
        </w:rPr>
      </w:pPr>
    </w:p>
    <w:p>
      <w:pPr>
        <w:pStyle w:val="27"/>
        <w:rPr>
          <w:rFonts w:ascii="宋体" w:hAnsi="宋体" w:cs="仿宋_GB2312"/>
          <w:sz w:val="24"/>
          <w:highlight w:val="none"/>
        </w:rPr>
      </w:pPr>
    </w:p>
    <w:p>
      <w:pPr>
        <w:pStyle w:val="27"/>
        <w:rPr>
          <w:rFonts w:ascii="宋体" w:hAnsi="宋体" w:cs="仿宋_GB2312"/>
          <w:sz w:val="24"/>
          <w:highlight w:val="none"/>
        </w:rPr>
      </w:pPr>
    </w:p>
    <w:p>
      <w:pPr>
        <w:ind w:firstLine="480"/>
        <w:rPr>
          <w:rFonts w:ascii="宋体" w:hAnsi="宋体" w:cs="仿宋_GB2312"/>
          <w:sz w:val="24"/>
          <w:highlight w:val="none"/>
        </w:rPr>
        <w:sectPr>
          <w:pgSz w:w="11906" w:h="16838"/>
          <w:pgMar w:top="1440" w:right="1558" w:bottom="1440" w:left="1800" w:header="851" w:footer="992" w:gutter="0"/>
          <w:cols w:space="720" w:num="1"/>
          <w:docGrid w:type="lines" w:linePitch="312" w:charSpace="0"/>
        </w:sectPr>
      </w:pPr>
    </w:p>
    <w:p>
      <w:pPr>
        <w:ind w:firstLine="480"/>
        <w:rPr>
          <w:rFonts w:ascii="宋体" w:hAnsi="宋体" w:cs="仿宋_GB2312"/>
          <w:sz w:val="24"/>
          <w:highlight w:val="none"/>
        </w:rPr>
      </w:pPr>
      <w:r>
        <w:rPr>
          <w:rFonts w:hint="eastAsia" w:ascii="宋体" w:hAnsi="宋体" w:cs="仿宋_GB2312"/>
          <w:sz w:val="24"/>
          <w:highlight w:val="none"/>
        </w:rPr>
        <w:t>附件2：</w:t>
      </w:r>
    </w:p>
    <w:p>
      <w:pPr>
        <w:autoSpaceDE w:val="0"/>
        <w:autoSpaceDN w:val="0"/>
        <w:adjustRightInd w:val="0"/>
        <w:ind w:firstLine="482"/>
        <w:jc w:val="center"/>
        <w:rPr>
          <w:rFonts w:ascii="宋体" w:hAnsi="宋体" w:cs="仿宋_GB2312"/>
          <w:b/>
          <w:sz w:val="24"/>
          <w:highlight w:val="none"/>
        </w:rPr>
      </w:pPr>
      <w:r>
        <w:rPr>
          <w:rFonts w:hint="eastAsia" w:ascii="宋体" w:hAnsi="宋体" w:cs="仿宋_GB2312"/>
          <w:b/>
          <w:sz w:val="24"/>
          <w:highlight w:val="none"/>
        </w:rPr>
        <w:t>农民工工资按时发放承诺书</w:t>
      </w:r>
    </w:p>
    <w:p>
      <w:pPr>
        <w:pStyle w:val="494"/>
        <w:tabs>
          <w:tab w:val="clear" w:pos="1152"/>
        </w:tabs>
        <w:ind w:left="0"/>
        <w:rPr>
          <w:rFonts w:cs="仿宋_GB2312"/>
          <w:kern w:val="0"/>
          <w:sz w:val="24"/>
          <w:szCs w:val="24"/>
          <w:highlight w:val="none"/>
        </w:rPr>
      </w:pPr>
    </w:p>
    <w:p>
      <w:pPr>
        <w:tabs>
          <w:tab w:val="left" w:pos="3000"/>
          <w:tab w:val="left" w:pos="3200"/>
          <w:tab w:val="left" w:pos="3400"/>
        </w:tabs>
        <w:snapToGrid w:val="0"/>
        <w:spacing w:line="460" w:lineRule="exact"/>
        <w:ind w:firstLine="422"/>
        <w:rPr>
          <w:rFonts w:ascii="宋体" w:hAnsi="宋体" w:cs="仿宋_GB2312"/>
          <w:b/>
          <w:bCs/>
          <w:szCs w:val="21"/>
          <w:highlight w:val="none"/>
          <w:u w:val="single"/>
        </w:rPr>
      </w:pPr>
      <w:r>
        <w:rPr>
          <w:rFonts w:hint="eastAsia" w:ascii="宋体" w:hAnsi="宋体" w:cs="仿宋_GB2312"/>
          <w:b/>
          <w:bCs/>
          <w:szCs w:val="21"/>
          <w:highlight w:val="none"/>
        </w:rPr>
        <w:t>致：</w:t>
      </w:r>
      <w:r>
        <w:rPr>
          <w:rFonts w:hint="eastAsia" w:ascii="宋体" w:hAnsi="宋体" w:cs="仿宋_GB2312"/>
          <w:b/>
          <w:szCs w:val="21"/>
          <w:highlight w:val="none"/>
          <w:u w:val="single"/>
        </w:rPr>
        <w:t>山阳县水利局</w:t>
      </w:r>
    </w:p>
    <w:p>
      <w:pPr>
        <w:pStyle w:val="494"/>
        <w:tabs>
          <w:tab w:val="clear" w:pos="1152"/>
        </w:tabs>
        <w:spacing w:line="440" w:lineRule="exact"/>
        <w:ind w:left="0" w:firstLine="420"/>
        <w:rPr>
          <w:rFonts w:cs="仿宋_GB2312"/>
          <w:sz w:val="21"/>
          <w:szCs w:val="21"/>
          <w:highlight w:val="none"/>
        </w:rPr>
      </w:pPr>
      <w:r>
        <w:rPr>
          <w:rFonts w:hint="eastAsia" w:cs="仿宋_GB2312"/>
          <w:sz w:val="21"/>
          <w:szCs w:val="21"/>
          <w:highlight w:val="none"/>
        </w:rPr>
        <w:t>我公司为了保证农民工工资按时发放，避免拖欠或克扣农民工资的现象发生。向贵单位郑重承诺如下：</w:t>
      </w:r>
    </w:p>
    <w:p>
      <w:pPr>
        <w:pStyle w:val="494"/>
        <w:tabs>
          <w:tab w:val="right" w:pos="207"/>
          <w:tab w:val="clear" w:pos="1152"/>
        </w:tabs>
        <w:spacing w:line="440" w:lineRule="exact"/>
        <w:ind w:left="0" w:firstLine="420"/>
        <w:rPr>
          <w:rFonts w:cs="仿宋_GB2312"/>
          <w:sz w:val="21"/>
          <w:szCs w:val="21"/>
          <w:highlight w:val="none"/>
        </w:rPr>
      </w:pPr>
      <w:r>
        <w:rPr>
          <w:rFonts w:hint="eastAsia" w:cs="仿宋_GB2312"/>
          <w:sz w:val="21"/>
          <w:szCs w:val="21"/>
          <w:highlight w:val="none"/>
        </w:rPr>
        <w:t>一、我们公司已充分认识到农民工资发放的重要性，中标后在组建项目领导班子的同时组建以项目经理为组长的农民工资及相关问题专项解决工作组(联系电话：</w:t>
      </w:r>
      <w:r>
        <w:rPr>
          <w:rFonts w:hint="eastAsia" w:cs="仿宋_GB2312"/>
          <w:sz w:val="21"/>
          <w:szCs w:val="21"/>
          <w:highlight w:val="none"/>
          <w:u w:val="single"/>
        </w:rPr>
        <w:t xml:space="preserve">                </w:t>
      </w:r>
      <w:r>
        <w:rPr>
          <w:rFonts w:hint="eastAsia" w:cs="仿宋_GB2312"/>
          <w:sz w:val="21"/>
          <w:szCs w:val="21"/>
          <w:highlight w:val="none"/>
        </w:rPr>
        <w:t>)，该工作组为常设机构，随时负责解决与农民工有关的所有事宜。</w:t>
      </w:r>
    </w:p>
    <w:p>
      <w:pPr>
        <w:pStyle w:val="494"/>
        <w:tabs>
          <w:tab w:val="right" w:pos="0"/>
          <w:tab w:val="clear" w:pos="1152"/>
        </w:tabs>
        <w:spacing w:line="440" w:lineRule="exact"/>
        <w:ind w:left="1" w:firstLine="420"/>
        <w:rPr>
          <w:rFonts w:cs="仿宋_GB2312"/>
          <w:sz w:val="21"/>
          <w:szCs w:val="21"/>
          <w:highlight w:val="none"/>
        </w:rPr>
      </w:pPr>
      <w:r>
        <w:rPr>
          <w:rFonts w:hint="eastAsia" w:cs="仿宋_GB2312"/>
          <w:sz w:val="21"/>
          <w:szCs w:val="21"/>
          <w:highlight w:val="none"/>
        </w:rPr>
        <w:t>二、我们获得工程款后，优先支付农民工资，并将工资直接发放给农民工本人。</w:t>
      </w:r>
    </w:p>
    <w:p>
      <w:pPr>
        <w:pStyle w:val="494"/>
        <w:tabs>
          <w:tab w:val="right" w:pos="0"/>
          <w:tab w:val="clear" w:pos="1152"/>
        </w:tabs>
        <w:spacing w:line="440" w:lineRule="exact"/>
        <w:ind w:left="1" w:firstLine="420"/>
        <w:rPr>
          <w:rFonts w:cs="仿宋_GB2312"/>
          <w:sz w:val="21"/>
          <w:szCs w:val="21"/>
          <w:highlight w:val="none"/>
        </w:rPr>
      </w:pPr>
      <w:r>
        <w:rPr>
          <w:rFonts w:hint="eastAsia" w:cs="仿宋_GB2312"/>
          <w:sz w:val="21"/>
          <w:szCs w:val="21"/>
          <w:highlight w:val="none"/>
        </w:rPr>
        <w:t>三、在支付农民工资时，编制工资支付表，如实记录工资支付情况，并将有关记录保存备查。</w:t>
      </w:r>
    </w:p>
    <w:p>
      <w:pPr>
        <w:pStyle w:val="494"/>
        <w:tabs>
          <w:tab w:val="clear" w:pos="1152"/>
        </w:tabs>
        <w:spacing w:line="440" w:lineRule="exact"/>
        <w:ind w:left="0" w:firstLine="420"/>
        <w:rPr>
          <w:rFonts w:cs="仿宋_GB2312"/>
          <w:sz w:val="21"/>
          <w:szCs w:val="21"/>
          <w:highlight w:val="none"/>
        </w:rPr>
      </w:pPr>
      <w:r>
        <w:rPr>
          <w:rFonts w:hint="eastAsia" w:cs="仿宋_GB2312"/>
          <w:sz w:val="21"/>
          <w:szCs w:val="21"/>
          <w:highlight w:val="none"/>
        </w:rPr>
        <w:t>四、我们保证绝不违反规定将工程分包给不具备用工主体资格的组织或个人，否则，贵单位有权要求其无条件退场；我公司负责处理善后事宜，如出现滋事事件，我公司负全部责任，并接受贵单位每次10000元以上的经济处罚。</w:t>
      </w:r>
    </w:p>
    <w:p>
      <w:pPr>
        <w:pStyle w:val="494"/>
        <w:tabs>
          <w:tab w:val="right" w:pos="0"/>
          <w:tab w:val="clear" w:pos="1152"/>
        </w:tabs>
        <w:spacing w:line="440" w:lineRule="exact"/>
        <w:ind w:left="2" w:leftChars="1" w:firstLine="420"/>
        <w:rPr>
          <w:rFonts w:cs="仿宋_GB2312"/>
          <w:sz w:val="21"/>
          <w:szCs w:val="21"/>
          <w:highlight w:val="none"/>
        </w:rPr>
      </w:pPr>
      <w:r>
        <w:rPr>
          <w:rFonts w:hint="eastAsia" w:cs="仿宋_GB2312"/>
          <w:sz w:val="21"/>
          <w:szCs w:val="21"/>
          <w:highlight w:val="none"/>
        </w:rPr>
        <w:t>五、我们保证对劳务分包企业的工资支付情况及有关事宜，进行全方位监督，确保农民工及时足额领到工资。</w:t>
      </w:r>
    </w:p>
    <w:p>
      <w:pPr>
        <w:pStyle w:val="494"/>
        <w:tabs>
          <w:tab w:val="right" w:pos="0"/>
          <w:tab w:val="clear" w:pos="1152"/>
        </w:tabs>
        <w:spacing w:line="440" w:lineRule="exact"/>
        <w:ind w:left="0" w:firstLine="420"/>
        <w:rPr>
          <w:rFonts w:cs="仿宋_GB2312"/>
          <w:sz w:val="21"/>
          <w:szCs w:val="21"/>
          <w:highlight w:val="none"/>
        </w:rPr>
      </w:pPr>
      <w:r>
        <w:rPr>
          <w:rFonts w:hint="eastAsia" w:cs="仿宋_GB2312"/>
          <w:sz w:val="21"/>
          <w:szCs w:val="21"/>
          <w:highlight w:val="none"/>
        </w:rPr>
        <w:t>六、我公司为避免出现拖欠或克扣农民工工资等现象，建立了农民工资储备金应急机制，防止出现因拖欠农民工资而引发群体性上访事件。</w:t>
      </w:r>
    </w:p>
    <w:p>
      <w:pPr>
        <w:pStyle w:val="494"/>
        <w:tabs>
          <w:tab w:val="right" w:pos="0"/>
          <w:tab w:val="clear" w:pos="1152"/>
        </w:tabs>
        <w:spacing w:line="440" w:lineRule="exact"/>
        <w:ind w:left="-10" w:firstLine="428" w:firstLineChars="204"/>
        <w:rPr>
          <w:rFonts w:cs="仿宋_GB2312"/>
          <w:sz w:val="21"/>
          <w:szCs w:val="21"/>
          <w:highlight w:val="none"/>
        </w:rPr>
      </w:pPr>
      <w:r>
        <w:rPr>
          <w:rFonts w:hint="eastAsia" w:cs="仿宋_GB2312"/>
          <w:sz w:val="21"/>
          <w:szCs w:val="21"/>
          <w:highlight w:val="none"/>
        </w:rPr>
        <w:t>七、我公司在支付农民工资时，随时接受贵单位及贵单位委托的监理公司的监督检查，并对提出的质疑做合理解释。</w:t>
      </w:r>
    </w:p>
    <w:p>
      <w:pPr>
        <w:pStyle w:val="494"/>
        <w:tabs>
          <w:tab w:val="clear" w:pos="1152"/>
        </w:tabs>
        <w:spacing w:line="440" w:lineRule="exact"/>
        <w:ind w:left="0" w:firstLine="420"/>
        <w:rPr>
          <w:rFonts w:cs="仿宋_GB2312"/>
          <w:sz w:val="21"/>
          <w:szCs w:val="21"/>
          <w:highlight w:val="none"/>
        </w:rPr>
      </w:pPr>
      <w:r>
        <w:rPr>
          <w:rFonts w:hint="eastAsia" w:cs="仿宋_GB2312"/>
          <w:sz w:val="21"/>
          <w:szCs w:val="21"/>
          <w:highlight w:val="none"/>
        </w:rPr>
        <w:t>八、若由于我公司未处理好农民工资及与农民工有关的所有事宜而产生纠纷(如投诉、打架、滋事等事件)，由此给贵单位造成恶劣影响或干扰贵中心正常工作，我公司愿接受每次人民币50000元的违约处罚；贵单位还有权对导致纠纷的事件进行处理，所发生费用从支付我公司工程款中扣减，无需征得我公司同意。</w:t>
      </w:r>
    </w:p>
    <w:p>
      <w:pPr>
        <w:pStyle w:val="494"/>
        <w:tabs>
          <w:tab w:val="clear" w:pos="1152"/>
        </w:tabs>
        <w:spacing w:line="440" w:lineRule="exact"/>
        <w:ind w:left="0" w:firstLine="420"/>
        <w:rPr>
          <w:rFonts w:cs="仿宋_GB2312"/>
          <w:sz w:val="21"/>
          <w:szCs w:val="21"/>
          <w:highlight w:val="none"/>
        </w:rPr>
      </w:pPr>
      <w:r>
        <w:rPr>
          <w:rFonts w:hint="eastAsia" w:cs="仿宋_GB2312"/>
          <w:sz w:val="21"/>
          <w:szCs w:val="21"/>
          <w:highlight w:val="none"/>
        </w:rPr>
        <w:t>特此承诺！</w:t>
      </w:r>
    </w:p>
    <w:p>
      <w:pPr>
        <w:spacing w:line="460" w:lineRule="exact"/>
        <w:ind w:firstLine="3780" w:firstLineChars="1800"/>
        <w:rPr>
          <w:rFonts w:ascii="宋体" w:hAnsi="宋体" w:cs="仿宋_GB2312"/>
          <w:szCs w:val="21"/>
          <w:highlight w:val="none"/>
        </w:rPr>
      </w:pPr>
      <w:r>
        <w:rPr>
          <w:rFonts w:hint="eastAsia" w:ascii="宋体" w:hAnsi="宋体" w:cs="仿宋_GB2312"/>
          <w:szCs w:val="21"/>
          <w:highlight w:val="none"/>
        </w:rPr>
        <w:t>承包单位：（盖章）</w:t>
      </w:r>
    </w:p>
    <w:p>
      <w:pPr>
        <w:spacing w:line="460" w:lineRule="exact"/>
        <w:ind w:firstLine="3780" w:firstLineChars="1800"/>
        <w:rPr>
          <w:rFonts w:ascii="宋体" w:hAnsi="宋体" w:cs="仿宋_GB2312"/>
          <w:szCs w:val="21"/>
          <w:highlight w:val="none"/>
        </w:rPr>
      </w:pPr>
      <w:r>
        <w:rPr>
          <w:rFonts w:hint="eastAsia" w:ascii="宋体" w:hAnsi="宋体" w:cs="仿宋_GB2312"/>
          <w:szCs w:val="21"/>
          <w:highlight w:val="none"/>
        </w:rPr>
        <w:t xml:space="preserve">法定代表人或委托代理人： </w:t>
      </w:r>
    </w:p>
    <w:p>
      <w:pPr>
        <w:ind w:firstLine="420"/>
        <w:rPr>
          <w:rFonts w:ascii="宋体" w:hAnsi="宋体" w:cs="仿宋_GB2312"/>
          <w:szCs w:val="21"/>
          <w:highlight w:val="none"/>
        </w:rPr>
        <w:sectPr>
          <w:pgSz w:w="11906" w:h="16838"/>
          <w:pgMar w:top="1440" w:right="1558" w:bottom="1440" w:left="1800" w:header="851" w:footer="992" w:gutter="0"/>
          <w:cols w:space="720" w:num="1"/>
          <w:docGrid w:type="lines" w:linePitch="312" w:charSpace="0"/>
        </w:sectPr>
      </w:pPr>
      <w:r>
        <w:rPr>
          <w:rFonts w:hint="eastAsia" w:ascii="宋体" w:hAnsi="宋体" w:cs="仿宋_GB2312"/>
          <w:szCs w:val="21"/>
          <w:highlight w:val="none"/>
        </w:rPr>
        <w:t xml:space="preserve">                                          年    月    日</w:t>
      </w:r>
    </w:p>
    <w:p>
      <w:pPr>
        <w:ind w:firstLine="480"/>
        <w:rPr>
          <w:rFonts w:ascii="宋体" w:hAnsi="宋体" w:cs="仿宋_GB2312"/>
          <w:sz w:val="24"/>
          <w:highlight w:val="none"/>
        </w:rPr>
      </w:pPr>
      <w:r>
        <w:rPr>
          <w:rFonts w:hint="eastAsia" w:ascii="宋体" w:hAnsi="宋体" w:cs="仿宋_GB2312"/>
          <w:sz w:val="24"/>
          <w:highlight w:val="none"/>
        </w:rPr>
        <w:t>附件3：</w:t>
      </w:r>
    </w:p>
    <w:p>
      <w:pPr>
        <w:ind w:firstLine="482"/>
        <w:jc w:val="center"/>
        <w:rPr>
          <w:rFonts w:ascii="宋体" w:hAnsi="宋体" w:cs="仿宋_GB2312"/>
          <w:b/>
          <w:sz w:val="24"/>
          <w:highlight w:val="none"/>
        </w:rPr>
      </w:pPr>
      <w:r>
        <w:rPr>
          <w:rFonts w:hint="eastAsia" w:ascii="宋体" w:hAnsi="宋体" w:cs="仿宋_GB2312"/>
          <w:b/>
          <w:sz w:val="24"/>
          <w:highlight w:val="none"/>
        </w:rPr>
        <w:t>现场施工环境综合整治及扬尘污染治理</w:t>
      </w:r>
    </w:p>
    <w:p>
      <w:pPr>
        <w:ind w:firstLine="482"/>
        <w:jc w:val="center"/>
        <w:rPr>
          <w:rFonts w:ascii="宋体" w:hAnsi="宋体" w:cs="仿宋_GB2312"/>
          <w:b/>
          <w:sz w:val="24"/>
          <w:highlight w:val="none"/>
        </w:rPr>
      </w:pPr>
      <w:r>
        <w:rPr>
          <w:rFonts w:hint="eastAsia" w:ascii="宋体" w:hAnsi="宋体" w:cs="仿宋_GB2312"/>
          <w:b/>
          <w:sz w:val="24"/>
          <w:highlight w:val="none"/>
        </w:rPr>
        <w:t>承  诺  书</w:t>
      </w:r>
    </w:p>
    <w:p>
      <w:pPr>
        <w:tabs>
          <w:tab w:val="left" w:pos="3000"/>
          <w:tab w:val="left" w:pos="3200"/>
          <w:tab w:val="left" w:pos="3400"/>
        </w:tabs>
        <w:snapToGrid w:val="0"/>
        <w:spacing w:line="460" w:lineRule="exact"/>
        <w:ind w:firstLine="422"/>
        <w:rPr>
          <w:rFonts w:ascii="宋体" w:hAnsi="宋体" w:cs="仿宋_GB2312"/>
          <w:b/>
          <w:bCs/>
          <w:szCs w:val="21"/>
          <w:highlight w:val="none"/>
        </w:rPr>
      </w:pPr>
      <w:r>
        <w:rPr>
          <w:rFonts w:hint="eastAsia" w:ascii="宋体" w:hAnsi="宋体" w:cs="仿宋_GB2312"/>
          <w:b/>
          <w:bCs/>
          <w:szCs w:val="21"/>
          <w:highlight w:val="none"/>
        </w:rPr>
        <w:t>致：</w:t>
      </w:r>
      <w:r>
        <w:rPr>
          <w:rFonts w:hint="eastAsia" w:ascii="宋体" w:hAnsi="宋体" w:cs="仿宋_GB2312"/>
          <w:b/>
          <w:szCs w:val="21"/>
          <w:highlight w:val="none"/>
          <w:u w:val="single"/>
        </w:rPr>
        <w:t>山阳县水利局</w:t>
      </w:r>
    </w:p>
    <w:p>
      <w:pPr>
        <w:spacing w:line="440" w:lineRule="exact"/>
        <w:ind w:firstLine="420"/>
        <w:rPr>
          <w:rFonts w:ascii="宋体" w:hAnsi="宋体" w:cs="仿宋_GB2312"/>
          <w:szCs w:val="21"/>
          <w:highlight w:val="none"/>
        </w:rPr>
      </w:pPr>
      <w:r>
        <w:rPr>
          <w:rFonts w:hint="eastAsia" w:ascii="宋体" w:hAnsi="宋体" w:cs="仿宋_GB2312"/>
          <w:szCs w:val="21"/>
          <w:highlight w:val="none"/>
        </w:rPr>
        <w:t>我公司对本项目就施工现场环境卫生综合整治及扬尘污染治理工作郑重做出以下承诺：</w:t>
      </w:r>
    </w:p>
    <w:p>
      <w:pPr>
        <w:spacing w:line="440" w:lineRule="exact"/>
        <w:ind w:firstLine="420"/>
        <w:rPr>
          <w:rFonts w:ascii="宋体" w:hAnsi="宋体" w:cs="仿宋_GB2312"/>
          <w:szCs w:val="21"/>
          <w:highlight w:val="none"/>
        </w:rPr>
      </w:pPr>
      <w:r>
        <w:rPr>
          <w:rFonts w:hint="eastAsia" w:ascii="宋体" w:hAnsi="宋体" w:cs="仿宋_GB2312"/>
          <w:szCs w:val="21"/>
          <w:highlight w:val="none"/>
        </w:rPr>
        <w:t>一、我公司自进场施工之日起，将在施工现场积极开展以“整顿、整理、清扫、清洁和素养”为主题的“5S”活动；积极行动，组织有关人员对施工场地、通行道路及责任区的环境卫生、扬尘污染进行综合整治，完善和加强各项清洁、保洁及扬尘污染治理措施，落实责任人，建立相关管理制度。</w:t>
      </w:r>
    </w:p>
    <w:p>
      <w:pPr>
        <w:spacing w:line="440" w:lineRule="exact"/>
        <w:ind w:firstLine="420"/>
        <w:rPr>
          <w:rFonts w:ascii="宋体" w:hAnsi="宋体" w:cs="仿宋_GB2312"/>
          <w:szCs w:val="21"/>
          <w:highlight w:val="none"/>
        </w:rPr>
      </w:pPr>
      <w:r>
        <w:rPr>
          <w:rFonts w:hint="eastAsia" w:ascii="宋体" w:hAnsi="宋体" w:cs="仿宋_GB2312"/>
          <w:szCs w:val="21"/>
          <w:highlight w:val="none"/>
        </w:rPr>
        <w:t>二、对施工场地的大门、临时围墙等进行清洁、加固并采取相应的美化措施，做到整洁美观。按照建筑工地门前及责任区“三保”的要求，清扫和保持工地现场、道路及责任区卫生。硬化工地出入口道路，建立并完善车辆冲洗设施。</w:t>
      </w:r>
    </w:p>
    <w:p>
      <w:pPr>
        <w:spacing w:line="440" w:lineRule="exact"/>
        <w:ind w:firstLine="420"/>
        <w:rPr>
          <w:rFonts w:ascii="宋体" w:hAnsi="宋体" w:cs="仿宋_GB2312"/>
          <w:szCs w:val="21"/>
          <w:highlight w:val="none"/>
        </w:rPr>
      </w:pPr>
      <w:r>
        <w:rPr>
          <w:rFonts w:hint="eastAsia" w:ascii="宋体" w:hAnsi="宋体" w:cs="仿宋_GB2312"/>
          <w:szCs w:val="21"/>
          <w:highlight w:val="none"/>
        </w:rPr>
        <w:t>三、全面及时清理工地内的建筑垃圾和废弃物；合理、整齐的摆放各类建筑材料和设备；确保排水系统畅通，杜绝场内积水和废水横流的现象发生。</w:t>
      </w:r>
    </w:p>
    <w:p>
      <w:pPr>
        <w:spacing w:line="440" w:lineRule="exact"/>
        <w:ind w:firstLine="420"/>
        <w:rPr>
          <w:rFonts w:ascii="宋体" w:hAnsi="宋体" w:cs="仿宋_GB2312"/>
          <w:szCs w:val="21"/>
          <w:highlight w:val="none"/>
        </w:rPr>
      </w:pPr>
      <w:r>
        <w:rPr>
          <w:rFonts w:hint="eastAsia" w:ascii="宋体" w:hAnsi="宋体" w:cs="仿宋_GB2312"/>
          <w:szCs w:val="21"/>
          <w:highlight w:val="none"/>
        </w:rPr>
        <w:t>四、加强各类车辆管理，车辆驶出工地及责任区前对车轮、车厢侧帮进行清扫冲洗除尘，严密封闭拉运渣土的车辆，各类运输车辆场内行驶速度不得超过每小时20公里。</w:t>
      </w:r>
    </w:p>
    <w:p>
      <w:pPr>
        <w:spacing w:line="440" w:lineRule="exact"/>
        <w:ind w:firstLine="420"/>
        <w:rPr>
          <w:rFonts w:ascii="宋体" w:hAnsi="宋体" w:cs="仿宋_GB2312"/>
          <w:szCs w:val="21"/>
          <w:highlight w:val="none"/>
        </w:rPr>
      </w:pPr>
      <w:r>
        <w:rPr>
          <w:rFonts w:hint="eastAsia" w:ascii="宋体" w:hAnsi="宋体" w:cs="仿宋_GB2312"/>
          <w:szCs w:val="21"/>
          <w:highlight w:val="none"/>
        </w:rPr>
        <w:t>五、对产生扬尘污染的渣土、煤堆、沙堆、灰土、粉煤灰等易飞颗粒物料，我们将用高效防尘网进行覆盖并安排专人看管，严格控制施工过程中土、灰等的飞扬。</w:t>
      </w:r>
    </w:p>
    <w:p>
      <w:pPr>
        <w:spacing w:line="440" w:lineRule="exact"/>
        <w:ind w:firstLine="420"/>
        <w:rPr>
          <w:rFonts w:ascii="宋体" w:hAnsi="宋体" w:cs="仿宋_GB2312"/>
          <w:szCs w:val="21"/>
          <w:highlight w:val="none"/>
        </w:rPr>
      </w:pPr>
      <w:r>
        <w:rPr>
          <w:rFonts w:hint="eastAsia" w:ascii="宋体" w:hAnsi="宋体" w:cs="仿宋_GB2312"/>
          <w:szCs w:val="21"/>
          <w:highlight w:val="none"/>
        </w:rPr>
        <w:t>六、对行车行人道路、施工现场及责任区等进行定时清扫、洒水，清除地面浮土避免二次扬尘。</w:t>
      </w:r>
    </w:p>
    <w:p>
      <w:pPr>
        <w:spacing w:line="440" w:lineRule="exact"/>
        <w:ind w:firstLine="420"/>
        <w:rPr>
          <w:rFonts w:ascii="宋体" w:hAnsi="宋体" w:cs="仿宋_GB2312"/>
          <w:szCs w:val="21"/>
          <w:highlight w:val="none"/>
        </w:rPr>
      </w:pPr>
      <w:r>
        <w:rPr>
          <w:rFonts w:hint="eastAsia" w:ascii="宋体" w:hAnsi="宋体" w:cs="仿宋_GB2312"/>
          <w:szCs w:val="21"/>
          <w:highlight w:val="none"/>
        </w:rPr>
        <w:t>七、我们将对施工现场环境整治和扬尘污染治理工作常抓不懈；自觉接受贵方及贵方委托的监理单位的检查管理，对查出的问题及时进行整改。经贵方及监理单位指正未及时进行有效整改，我们愿意每次支付200－1000元的违约金，并按贵方要求承担其它违约责任。</w:t>
      </w:r>
    </w:p>
    <w:p>
      <w:pPr>
        <w:spacing w:line="440" w:lineRule="exact"/>
        <w:ind w:firstLine="420"/>
        <w:rPr>
          <w:rFonts w:ascii="宋体" w:hAnsi="宋体" w:cs="仿宋_GB2312"/>
          <w:szCs w:val="21"/>
          <w:highlight w:val="none"/>
        </w:rPr>
      </w:pPr>
      <w:r>
        <w:rPr>
          <w:rFonts w:hint="eastAsia" w:ascii="宋体" w:hAnsi="宋体" w:cs="仿宋_GB2312"/>
          <w:szCs w:val="21"/>
          <w:highlight w:val="none"/>
        </w:rPr>
        <w:t>八、在施工过程中我们若被质监站、规划局、防治扬尘污染联合检查办公室等单位点名批评、通报或评比位于倒数三名之内时，除接受相关部门的处理外，愿意每次支付2000－5000元的违约金，并按贵方要求承担其它违约责任。</w:t>
      </w:r>
    </w:p>
    <w:p>
      <w:pPr>
        <w:spacing w:line="440" w:lineRule="exact"/>
        <w:ind w:firstLine="420"/>
        <w:rPr>
          <w:rFonts w:ascii="宋体" w:hAnsi="宋体" w:cs="仿宋_GB2312"/>
          <w:szCs w:val="21"/>
          <w:highlight w:val="none"/>
        </w:rPr>
      </w:pPr>
      <w:r>
        <w:rPr>
          <w:rFonts w:hint="eastAsia" w:ascii="宋体" w:hAnsi="宋体" w:cs="仿宋_GB2312"/>
          <w:szCs w:val="21"/>
          <w:highlight w:val="none"/>
        </w:rPr>
        <w:t>特此承诺</w:t>
      </w:r>
    </w:p>
    <w:p>
      <w:pPr>
        <w:spacing w:line="460" w:lineRule="exact"/>
        <w:ind w:firstLine="3780" w:firstLineChars="1800"/>
        <w:rPr>
          <w:rFonts w:ascii="宋体" w:hAnsi="宋体" w:cs="仿宋_GB2312"/>
          <w:szCs w:val="21"/>
          <w:highlight w:val="none"/>
        </w:rPr>
      </w:pPr>
      <w:r>
        <w:rPr>
          <w:rFonts w:hint="eastAsia" w:ascii="宋体" w:hAnsi="宋体" w:cs="仿宋_GB2312"/>
          <w:szCs w:val="21"/>
          <w:highlight w:val="none"/>
        </w:rPr>
        <w:t>承包单位：（盖章）</w:t>
      </w:r>
    </w:p>
    <w:p>
      <w:pPr>
        <w:spacing w:line="460" w:lineRule="exact"/>
        <w:ind w:firstLine="3780" w:firstLineChars="1800"/>
        <w:rPr>
          <w:rFonts w:ascii="宋体" w:hAnsi="宋体" w:cs="仿宋_GB2312"/>
          <w:szCs w:val="21"/>
          <w:highlight w:val="none"/>
        </w:rPr>
      </w:pPr>
      <w:r>
        <w:rPr>
          <w:rFonts w:hint="eastAsia" w:ascii="宋体" w:hAnsi="宋体" w:cs="仿宋_GB2312"/>
          <w:szCs w:val="21"/>
          <w:highlight w:val="none"/>
        </w:rPr>
        <w:t xml:space="preserve">法定代表人或委托代理人： </w:t>
      </w:r>
    </w:p>
    <w:p>
      <w:pPr>
        <w:spacing w:line="460" w:lineRule="exact"/>
        <w:ind w:firstLine="3990" w:firstLineChars="1900"/>
        <w:rPr>
          <w:rFonts w:ascii="宋体" w:hAnsi="宋体" w:cs="仿宋_GB2312"/>
          <w:szCs w:val="21"/>
          <w:highlight w:val="none"/>
        </w:rPr>
        <w:sectPr>
          <w:pgSz w:w="11906" w:h="16838"/>
          <w:pgMar w:top="1440" w:right="1286" w:bottom="1440" w:left="1800" w:header="851" w:footer="992" w:gutter="0"/>
          <w:cols w:space="720" w:num="1"/>
          <w:docGrid w:type="lines" w:linePitch="312" w:charSpace="0"/>
        </w:sectPr>
      </w:pPr>
      <w:r>
        <w:rPr>
          <w:rFonts w:hint="eastAsia" w:ascii="宋体" w:hAnsi="宋体" w:cs="仿宋_GB2312"/>
          <w:szCs w:val="21"/>
          <w:highlight w:val="none"/>
        </w:rPr>
        <w:t>年    月    日</w:t>
      </w:r>
    </w:p>
    <w:p>
      <w:pPr>
        <w:ind w:firstLine="480"/>
        <w:rPr>
          <w:rFonts w:ascii="宋体" w:hAnsi="宋体" w:cs="仿宋_GB2312"/>
          <w:sz w:val="24"/>
          <w:highlight w:val="none"/>
        </w:rPr>
      </w:pPr>
      <w:r>
        <w:rPr>
          <w:rFonts w:hint="eastAsia" w:ascii="宋体" w:hAnsi="宋体" w:cs="仿宋_GB2312"/>
          <w:sz w:val="24"/>
          <w:highlight w:val="none"/>
        </w:rPr>
        <w:t>附件4：</w:t>
      </w:r>
    </w:p>
    <w:p>
      <w:pPr>
        <w:snapToGrid w:val="0"/>
        <w:spacing w:line="480" w:lineRule="atLeast"/>
        <w:ind w:firstLine="482"/>
        <w:jc w:val="center"/>
        <w:rPr>
          <w:rFonts w:ascii="宋体" w:hAnsi="宋体" w:cs="仿宋_GB2312"/>
          <w:b/>
          <w:sz w:val="24"/>
          <w:highlight w:val="none"/>
        </w:rPr>
      </w:pPr>
      <w:r>
        <w:rPr>
          <w:rFonts w:hint="eastAsia" w:ascii="宋体" w:hAnsi="宋体" w:cs="仿宋_GB2312"/>
          <w:b/>
          <w:sz w:val="24"/>
          <w:highlight w:val="none"/>
        </w:rPr>
        <w:t>工程建设项目廉政责任书</w:t>
      </w:r>
    </w:p>
    <w:p>
      <w:pPr>
        <w:adjustRightInd w:val="0"/>
        <w:snapToGrid w:val="0"/>
        <w:ind w:firstLine="480"/>
        <w:rPr>
          <w:rFonts w:ascii="宋体" w:hAnsi="宋体" w:cs="仿宋_GB2312"/>
          <w:sz w:val="24"/>
          <w:highlight w:val="none"/>
        </w:rPr>
      </w:pPr>
    </w:p>
    <w:p>
      <w:pPr>
        <w:ind w:firstLine="420"/>
        <w:rPr>
          <w:rFonts w:ascii="宋体" w:hAnsi="宋体" w:cs="仿宋_GB2312"/>
          <w:szCs w:val="21"/>
          <w:highlight w:val="none"/>
          <w:u w:val="single"/>
        </w:rPr>
      </w:pPr>
      <w:r>
        <w:rPr>
          <w:rFonts w:hint="eastAsia" w:ascii="宋体" w:hAnsi="宋体" w:cs="仿宋_GB2312"/>
          <w:szCs w:val="21"/>
          <w:highlight w:val="none"/>
        </w:rPr>
        <w:t>发包人（全称）：</w:t>
      </w:r>
      <w:r>
        <w:rPr>
          <w:rFonts w:hint="eastAsia" w:ascii="宋体" w:hAnsi="宋体" w:cs="仿宋_GB2312"/>
          <w:szCs w:val="21"/>
          <w:highlight w:val="none"/>
          <w:u w:val="single"/>
        </w:rPr>
        <w:t>山阳县水利局</w:t>
      </w:r>
    </w:p>
    <w:p>
      <w:pPr>
        <w:ind w:firstLine="420"/>
        <w:rPr>
          <w:rFonts w:ascii="宋体" w:hAnsi="宋体" w:cs="仿宋_GB2312"/>
          <w:szCs w:val="21"/>
          <w:highlight w:val="none"/>
          <w:u w:val="single"/>
        </w:rPr>
      </w:pPr>
      <w:r>
        <w:rPr>
          <w:rFonts w:hint="eastAsia" w:ascii="宋体" w:hAnsi="宋体" w:cs="仿宋_GB2312"/>
          <w:szCs w:val="21"/>
          <w:highlight w:val="none"/>
        </w:rPr>
        <w:t>承包人（全称）：</w:t>
      </w:r>
      <w:r>
        <w:rPr>
          <w:rFonts w:hint="eastAsia" w:ascii="宋体" w:hAnsi="宋体" w:cs="仿宋_GB2312"/>
          <w:szCs w:val="21"/>
          <w:highlight w:val="none"/>
          <w:u w:val="single"/>
        </w:rPr>
        <w:t xml:space="preserve">                        </w:t>
      </w:r>
      <w:r>
        <w:rPr>
          <w:rFonts w:ascii="宋体" w:hAnsi="宋体" w:cs="仿宋_GB2312"/>
          <w:szCs w:val="21"/>
          <w:highlight w:val="none"/>
          <w:u w:val="single"/>
        </w:rPr>
        <w:t xml:space="preserve"> </w:t>
      </w:r>
    </w:p>
    <w:p>
      <w:pPr>
        <w:ind w:firstLine="420"/>
        <w:rPr>
          <w:rFonts w:ascii="宋体" w:hAnsi="宋体" w:cs="仿宋_GB2312"/>
          <w:szCs w:val="21"/>
          <w:highlight w:val="none"/>
        </w:rPr>
      </w:pPr>
    </w:p>
    <w:p>
      <w:pPr>
        <w:spacing w:line="440" w:lineRule="exact"/>
        <w:ind w:firstLine="420"/>
        <w:rPr>
          <w:rFonts w:ascii="宋体" w:hAnsi="宋体" w:cs="仿宋_GB2312"/>
          <w:szCs w:val="21"/>
          <w:highlight w:val="none"/>
        </w:rPr>
      </w:pPr>
      <w:r>
        <w:rPr>
          <w:rFonts w:hint="eastAsia" w:ascii="宋体" w:hAnsi="宋体" w:cs="仿宋_GB2312"/>
          <w:szCs w:val="21"/>
          <w:highlight w:val="none"/>
        </w:rPr>
        <w:t>为了加强工程建设中的廉政建设，规范工程建设项目承发包双方的各项活动，防止发生各种谋取不正当利益的违纪行为，保护国家、集体和当事人的合法权益，根据国家有关工程建设的法律法规和廉政建设责任制规定，特订立本廉政责任书。</w:t>
      </w:r>
    </w:p>
    <w:p>
      <w:pPr>
        <w:spacing w:line="440" w:lineRule="exact"/>
        <w:ind w:firstLine="420"/>
        <w:rPr>
          <w:rFonts w:ascii="宋体" w:hAnsi="宋体" w:cs="仿宋_GB2312"/>
          <w:szCs w:val="21"/>
          <w:highlight w:val="none"/>
        </w:rPr>
      </w:pPr>
      <w:r>
        <w:rPr>
          <w:rFonts w:hint="eastAsia" w:ascii="宋体" w:hAnsi="宋体" w:cs="仿宋_GB2312"/>
          <w:szCs w:val="21"/>
          <w:highlight w:val="none"/>
        </w:rPr>
        <w:t>第一条   承发包双方的责任</w:t>
      </w:r>
    </w:p>
    <w:p>
      <w:pPr>
        <w:spacing w:line="440" w:lineRule="exact"/>
        <w:ind w:firstLine="420"/>
        <w:rPr>
          <w:rFonts w:ascii="宋体" w:hAnsi="宋体" w:cs="仿宋_GB2312"/>
          <w:szCs w:val="21"/>
          <w:highlight w:val="none"/>
        </w:rPr>
      </w:pPr>
      <w:r>
        <w:rPr>
          <w:rFonts w:hint="eastAsia" w:ascii="宋体" w:hAnsi="宋体" w:cs="仿宋_GB2312"/>
          <w:szCs w:val="21"/>
          <w:highlight w:val="none"/>
        </w:rPr>
        <w:t>（一）应严格遵守国家关于市场准入、项目招标投标、工程建设、施工安装和市场活动等有关法律、法规，相关政策，以及廉政建设的各项规定。</w:t>
      </w:r>
    </w:p>
    <w:p>
      <w:pPr>
        <w:spacing w:line="440" w:lineRule="exact"/>
        <w:ind w:firstLine="420"/>
        <w:rPr>
          <w:rFonts w:ascii="宋体" w:hAnsi="宋体" w:cs="仿宋_GB2312"/>
          <w:szCs w:val="21"/>
          <w:highlight w:val="none"/>
        </w:rPr>
      </w:pPr>
      <w:r>
        <w:rPr>
          <w:rFonts w:hint="eastAsia" w:ascii="宋体" w:hAnsi="宋体" w:cs="仿宋_GB2312"/>
          <w:szCs w:val="21"/>
          <w:highlight w:val="none"/>
        </w:rPr>
        <w:t>（二）严格执行建设工程项目承发包合同文件，自觉按合同办事。</w:t>
      </w:r>
    </w:p>
    <w:p>
      <w:pPr>
        <w:spacing w:line="440" w:lineRule="exact"/>
        <w:ind w:firstLine="420"/>
        <w:rPr>
          <w:rFonts w:ascii="宋体" w:hAnsi="宋体" w:cs="仿宋_GB2312"/>
          <w:szCs w:val="21"/>
          <w:highlight w:val="none"/>
        </w:rPr>
      </w:pPr>
      <w:r>
        <w:rPr>
          <w:rFonts w:hint="eastAsia" w:ascii="宋体" w:hAnsi="宋体" w:cs="仿宋_GB2312"/>
          <w:szCs w:val="21"/>
          <w:highlight w:val="none"/>
        </w:rPr>
        <w:t>（三）业务活动必须坚持公开、公平、公正、诚信、透明的原则（除法律法规另有规定者外），不得为获取不正当的利益，损害国家、集体和对方利益，不得违反工程建设管理、施工安装的规章制度。</w:t>
      </w:r>
    </w:p>
    <w:p>
      <w:pPr>
        <w:spacing w:line="440" w:lineRule="exact"/>
        <w:ind w:firstLine="420"/>
        <w:rPr>
          <w:rFonts w:ascii="宋体" w:hAnsi="宋体" w:cs="仿宋_GB2312"/>
          <w:szCs w:val="21"/>
          <w:highlight w:val="none"/>
        </w:rPr>
      </w:pPr>
      <w:r>
        <w:rPr>
          <w:rFonts w:hint="eastAsia" w:ascii="宋体" w:hAnsi="宋体" w:cs="仿宋_GB2312"/>
          <w:szCs w:val="21"/>
          <w:highlight w:val="none"/>
        </w:rPr>
        <w:t>（四）发现对方在业务活动中有违规、违纪、违法行为的，应及时提醒对方，情节严重的，应向其上级主管部门或纪检监察、司法等有关机关举报。</w:t>
      </w:r>
    </w:p>
    <w:p>
      <w:pPr>
        <w:spacing w:line="440" w:lineRule="exact"/>
        <w:ind w:firstLine="420"/>
        <w:rPr>
          <w:rFonts w:ascii="宋体" w:hAnsi="宋体" w:cs="仿宋_GB2312"/>
          <w:szCs w:val="21"/>
          <w:highlight w:val="none"/>
        </w:rPr>
      </w:pPr>
      <w:r>
        <w:rPr>
          <w:rFonts w:hint="eastAsia" w:ascii="宋体" w:hAnsi="宋体" w:cs="仿宋_GB2312"/>
          <w:szCs w:val="21"/>
          <w:highlight w:val="none"/>
        </w:rPr>
        <w:t>第二条   发包人的责任</w:t>
      </w:r>
    </w:p>
    <w:p>
      <w:pPr>
        <w:spacing w:line="440" w:lineRule="exact"/>
        <w:ind w:firstLine="420"/>
        <w:rPr>
          <w:rFonts w:ascii="宋体" w:hAnsi="宋体" w:cs="仿宋_GB2312"/>
          <w:szCs w:val="21"/>
          <w:highlight w:val="none"/>
        </w:rPr>
      </w:pPr>
      <w:r>
        <w:rPr>
          <w:rFonts w:hint="eastAsia" w:ascii="宋体" w:hAnsi="宋体" w:cs="仿宋_GB2312"/>
          <w:szCs w:val="21"/>
          <w:highlight w:val="none"/>
        </w:rPr>
        <w:t>发包人的领导和从事该建设工程项目的工作人员，在工程建设的事前、事中、事后应遵守以下规定：</w:t>
      </w:r>
    </w:p>
    <w:p>
      <w:pPr>
        <w:spacing w:line="440" w:lineRule="exact"/>
        <w:ind w:firstLine="420"/>
        <w:rPr>
          <w:rFonts w:ascii="宋体" w:hAnsi="宋体" w:cs="仿宋_GB2312"/>
          <w:szCs w:val="21"/>
          <w:highlight w:val="none"/>
        </w:rPr>
      </w:pPr>
      <w:r>
        <w:rPr>
          <w:rFonts w:hint="eastAsia" w:ascii="宋体" w:hAnsi="宋体" w:cs="仿宋_GB2312"/>
          <w:szCs w:val="21"/>
          <w:highlight w:val="none"/>
        </w:rPr>
        <w:t>（一）不准向承包人和相关单位索要或接受回扣、礼金、有价证券、贵重物品和好处费、感谢费等。</w:t>
      </w:r>
    </w:p>
    <w:p>
      <w:pPr>
        <w:spacing w:line="440" w:lineRule="exact"/>
        <w:ind w:firstLine="420"/>
        <w:rPr>
          <w:rFonts w:ascii="宋体" w:hAnsi="宋体" w:cs="仿宋_GB2312"/>
          <w:szCs w:val="21"/>
          <w:highlight w:val="none"/>
        </w:rPr>
      </w:pPr>
      <w:r>
        <w:rPr>
          <w:rFonts w:hint="eastAsia" w:ascii="宋体" w:hAnsi="宋体" w:cs="仿宋_GB2312"/>
          <w:szCs w:val="21"/>
          <w:highlight w:val="none"/>
        </w:rPr>
        <w:t>（二）不准在承包人和相关单位报销任何应由发包人或个人支付的费用。</w:t>
      </w:r>
    </w:p>
    <w:p>
      <w:pPr>
        <w:spacing w:line="440" w:lineRule="exact"/>
        <w:ind w:firstLine="420"/>
        <w:rPr>
          <w:rFonts w:ascii="宋体" w:hAnsi="宋体" w:cs="仿宋_GB2312"/>
          <w:szCs w:val="21"/>
          <w:highlight w:val="none"/>
        </w:rPr>
      </w:pPr>
      <w:r>
        <w:rPr>
          <w:rFonts w:hint="eastAsia" w:ascii="宋体" w:hAnsi="宋体" w:cs="仿宋_GB2312"/>
          <w:szCs w:val="21"/>
          <w:highlight w:val="none"/>
        </w:rPr>
        <w:t>（三）不准要求、暗示和接受承包人和相关单位为个人装修住房、婚丧嫁娶、配偶子女的工作安排以及出国（境）、旅游等提供方便。</w:t>
      </w:r>
    </w:p>
    <w:p>
      <w:pPr>
        <w:spacing w:line="440" w:lineRule="exact"/>
        <w:ind w:firstLine="420"/>
        <w:rPr>
          <w:rFonts w:ascii="宋体" w:hAnsi="宋体" w:cs="仿宋_GB2312"/>
          <w:szCs w:val="21"/>
          <w:highlight w:val="none"/>
        </w:rPr>
      </w:pPr>
      <w:r>
        <w:rPr>
          <w:rFonts w:hint="eastAsia" w:ascii="宋体" w:hAnsi="宋体" w:cs="仿宋_GB2312"/>
          <w:szCs w:val="21"/>
          <w:highlight w:val="none"/>
        </w:rPr>
        <w:t>（四）不准参加有可能影响公正执行公务的承包人和相关单位的宴请和健身、娱乐等活动。</w:t>
      </w:r>
    </w:p>
    <w:p>
      <w:pPr>
        <w:spacing w:line="440" w:lineRule="exact"/>
        <w:ind w:firstLine="420"/>
        <w:rPr>
          <w:rFonts w:ascii="宋体" w:hAnsi="宋体" w:cs="仿宋_GB2312"/>
          <w:szCs w:val="21"/>
          <w:highlight w:val="none"/>
        </w:rPr>
      </w:pPr>
      <w:r>
        <w:rPr>
          <w:rFonts w:hint="eastAsia" w:ascii="宋体" w:hAnsi="宋体" w:cs="仿宋_GB2312"/>
          <w:szCs w:val="21"/>
          <w:highlight w:val="none"/>
        </w:rPr>
        <w:t>（五）不准向承包人介绍或为配偶、子女、亲属参与同发包人项目工程施工合同有关的设备、材料、工程分包、劳务等经济活动。不得以任何理由向承包人和相关单位推荐分包单位和要求承包人购买项目工程施工合同规定以外的材料、设备等。</w:t>
      </w:r>
    </w:p>
    <w:p>
      <w:pPr>
        <w:spacing w:line="440" w:lineRule="exact"/>
        <w:ind w:firstLine="420"/>
        <w:rPr>
          <w:rFonts w:ascii="宋体" w:hAnsi="宋体" w:cs="仿宋_GB2312"/>
          <w:szCs w:val="21"/>
          <w:highlight w:val="none"/>
        </w:rPr>
      </w:pPr>
      <w:r>
        <w:rPr>
          <w:rFonts w:hint="eastAsia" w:ascii="宋体" w:hAnsi="宋体" w:cs="仿宋_GB2312"/>
          <w:szCs w:val="21"/>
          <w:highlight w:val="none"/>
        </w:rPr>
        <w:t>第三条   承包人的责任</w:t>
      </w:r>
    </w:p>
    <w:p>
      <w:pPr>
        <w:spacing w:line="440" w:lineRule="exact"/>
        <w:ind w:firstLine="420"/>
        <w:rPr>
          <w:rFonts w:ascii="宋体" w:hAnsi="宋体" w:cs="仿宋_GB2312"/>
          <w:szCs w:val="21"/>
          <w:highlight w:val="none"/>
        </w:rPr>
      </w:pPr>
      <w:r>
        <w:rPr>
          <w:rFonts w:hint="eastAsia" w:ascii="宋体" w:hAnsi="宋体" w:cs="仿宋_GB2312"/>
          <w:szCs w:val="21"/>
          <w:highlight w:val="none"/>
        </w:rPr>
        <w:t>应与发包人保持正常的业务交往，按照有关法律法规和程序开展业务工作，严格执行工程建设的有关方针、政策，尤其是有关建筑安装工程施工的强制性标准和规范，并遵守以下规定：</w:t>
      </w:r>
    </w:p>
    <w:p>
      <w:pPr>
        <w:spacing w:line="440" w:lineRule="exact"/>
        <w:ind w:firstLine="420"/>
        <w:rPr>
          <w:rFonts w:ascii="宋体" w:hAnsi="宋体" w:cs="仿宋_GB2312"/>
          <w:szCs w:val="21"/>
          <w:highlight w:val="none"/>
        </w:rPr>
      </w:pPr>
      <w:r>
        <w:rPr>
          <w:rFonts w:hint="eastAsia" w:ascii="宋体" w:hAnsi="宋体" w:cs="仿宋_GB2312"/>
          <w:szCs w:val="21"/>
          <w:highlight w:val="none"/>
        </w:rPr>
        <w:t>（一）不准以任何理由向发包人、相关单位及其工作人员索要、接受或赠送礼金、有价证券、贵重物品和回扣、好处费、感谢费等。</w:t>
      </w:r>
    </w:p>
    <w:p>
      <w:pPr>
        <w:spacing w:line="440" w:lineRule="exact"/>
        <w:ind w:firstLine="420"/>
        <w:rPr>
          <w:rFonts w:ascii="宋体" w:hAnsi="宋体" w:cs="仿宋_GB2312"/>
          <w:szCs w:val="21"/>
          <w:highlight w:val="none"/>
        </w:rPr>
      </w:pPr>
      <w:r>
        <w:rPr>
          <w:rFonts w:hint="eastAsia" w:ascii="宋体" w:hAnsi="宋体" w:cs="仿宋_GB2312"/>
          <w:szCs w:val="21"/>
          <w:highlight w:val="none"/>
        </w:rPr>
        <w:t>（二）不准以任何理由为发包人和相关单位报销应由对方或个人支付的费用。</w:t>
      </w:r>
    </w:p>
    <w:p>
      <w:pPr>
        <w:spacing w:line="440" w:lineRule="exact"/>
        <w:ind w:firstLine="420"/>
        <w:rPr>
          <w:rFonts w:ascii="宋体" w:hAnsi="宋体" w:cs="仿宋_GB2312"/>
          <w:szCs w:val="21"/>
          <w:highlight w:val="none"/>
        </w:rPr>
      </w:pPr>
      <w:r>
        <w:rPr>
          <w:rFonts w:hint="eastAsia" w:ascii="宋体" w:hAnsi="宋体" w:cs="仿宋_GB2312"/>
          <w:szCs w:val="21"/>
          <w:highlight w:val="none"/>
        </w:rPr>
        <w:t>（三）不准接受或暗示为发包人、相关单位或个人装修住房、婚丧嫁娶、配偶子女的工作安排以及出国（境）、旅游等提供方便。</w:t>
      </w:r>
    </w:p>
    <w:p>
      <w:pPr>
        <w:spacing w:line="440" w:lineRule="exact"/>
        <w:ind w:firstLine="420"/>
        <w:rPr>
          <w:rFonts w:ascii="宋体" w:hAnsi="宋体" w:cs="仿宋_GB2312"/>
          <w:szCs w:val="21"/>
          <w:highlight w:val="none"/>
        </w:rPr>
      </w:pPr>
      <w:r>
        <w:rPr>
          <w:rFonts w:hint="eastAsia" w:ascii="宋体" w:hAnsi="宋体" w:cs="仿宋_GB2312"/>
          <w:szCs w:val="21"/>
          <w:highlight w:val="none"/>
        </w:rPr>
        <w:t>（四）不准以任何理由为发包人、相关单位或个人组织有可能影响公正执行公务的宴请、健身、娱乐等活动。</w:t>
      </w:r>
    </w:p>
    <w:p>
      <w:pPr>
        <w:spacing w:line="440" w:lineRule="exact"/>
        <w:ind w:firstLine="420"/>
        <w:rPr>
          <w:rFonts w:ascii="宋体" w:hAnsi="宋体" w:cs="仿宋_GB2312"/>
          <w:szCs w:val="21"/>
          <w:highlight w:val="none"/>
        </w:rPr>
      </w:pPr>
      <w:r>
        <w:rPr>
          <w:rFonts w:hint="eastAsia" w:ascii="宋体" w:hAnsi="宋体" w:cs="仿宋_GB2312"/>
          <w:szCs w:val="21"/>
          <w:highlight w:val="none"/>
        </w:rPr>
        <w:t>第四条   违约责任</w:t>
      </w:r>
    </w:p>
    <w:p>
      <w:pPr>
        <w:spacing w:line="440" w:lineRule="exact"/>
        <w:ind w:firstLine="420"/>
        <w:rPr>
          <w:rFonts w:ascii="宋体" w:hAnsi="宋体" w:cs="仿宋_GB2312"/>
          <w:szCs w:val="21"/>
          <w:highlight w:val="none"/>
        </w:rPr>
      </w:pPr>
      <w:r>
        <w:rPr>
          <w:rFonts w:hint="eastAsia" w:ascii="宋体" w:hAnsi="宋体" w:cs="仿宋_GB2312"/>
          <w:szCs w:val="21"/>
          <w:highlight w:val="none"/>
        </w:rPr>
        <w:t>（一）发包人工作人员有违反本责任书第一、第二条责任行为的，按照管理权限，依据有关法律法规和规定给予党纪、政纪处分或组织处理；涉嫌犯罪的，移交司法机关追究刑事责任；给承包人单位造成经济损失的，应予以赔偿。</w:t>
      </w:r>
    </w:p>
    <w:p>
      <w:pPr>
        <w:spacing w:line="440" w:lineRule="exact"/>
        <w:ind w:firstLine="420"/>
        <w:rPr>
          <w:rFonts w:ascii="宋体" w:hAnsi="宋体" w:cs="仿宋_GB2312"/>
          <w:szCs w:val="21"/>
          <w:highlight w:val="none"/>
        </w:rPr>
      </w:pPr>
      <w:r>
        <w:rPr>
          <w:rFonts w:hint="eastAsia" w:ascii="宋体" w:hAnsi="宋体" w:cs="仿宋_GB2312"/>
          <w:szCs w:val="21"/>
          <w:highlight w:val="none"/>
        </w:rPr>
        <w:t>（二）承包人工作人员有违反本责任书第一、三条责任行为的，按照管理权限，依据有关法律法规和规定给予党纪、政纪处分或组织处理；涉嫌犯罪的，移交司法机关追究刑事责任；给发包人单位造成经济损失的，应予以赔偿。</w:t>
      </w:r>
    </w:p>
    <w:p>
      <w:pPr>
        <w:spacing w:line="440" w:lineRule="exact"/>
        <w:ind w:firstLine="420"/>
        <w:rPr>
          <w:rFonts w:ascii="宋体" w:hAnsi="宋体" w:cs="仿宋_GB2312"/>
          <w:szCs w:val="21"/>
          <w:highlight w:val="none"/>
        </w:rPr>
      </w:pPr>
      <w:r>
        <w:rPr>
          <w:rFonts w:hint="eastAsia" w:ascii="宋体" w:hAnsi="宋体" w:cs="仿宋_GB2312"/>
          <w:szCs w:val="21"/>
          <w:highlight w:val="none"/>
        </w:rPr>
        <w:t>第五条   本责任书作为建筑安装工程施工合同的组成部分，经承发包双方签字盖章后生效，与本合同具有同等法律效力。</w:t>
      </w:r>
    </w:p>
    <w:p>
      <w:pPr>
        <w:spacing w:line="440" w:lineRule="exact"/>
        <w:ind w:firstLine="420"/>
        <w:rPr>
          <w:rFonts w:ascii="宋体" w:hAnsi="宋体" w:cs="仿宋_GB2312"/>
          <w:szCs w:val="21"/>
          <w:highlight w:val="none"/>
        </w:rPr>
      </w:pPr>
      <w:r>
        <w:rPr>
          <w:rFonts w:hint="eastAsia" w:ascii="宋体" w:hAnsi="宋体" w:cs="仿宋_GB2312"/>
          <w:szCs w:val="21"/>
          <w:highlight w:val="none"/>
        </w:rPr>
        <w:t>本责任书的有效期为双方签署之日起至该工程项目竣工验收合格时止。</w:t>
      </w:r>
    </w:p>
    <w:p>
      <w:pPr>
        <w:ind w:firstLine="617" w:firstLineChars="294"/>
        <w:rPr>
          <w:rFonts w:ascii="宋体" w:hAnsi="宋体" w:cs="仿宋_GB2312"/>
          <w:szCs w:val="21"/>
          <w:highlight w:val="none"/>
        </w:rPr>
      </w:pPr>
      <w:r>
        <w:rPr>
          <w:rFonts w:hint="eastAsia" w:ascii="宋体" w:hAnsi="宋体" w:cs="仿宋_GB2312"/>
          <w:szCs w:val="21"/>
          <w:highlight w:val="none"/>
        </w:rPr>
        <w:t>（以下无正文）</w:t>
      </w:r>
    </w:p>
    <w:p>
      <w:pPr>
        <w:ind w:firstLine="420"/>
        <w:rPr>
          <w:rFonts w:ascii="宋体" w:hAnsi="宋体" w:cs="仿宋_GB2312"/>
          <w:szCs w:val="21"/>
          <w:highlight w:val="none"/>
        </w:rPr>
      </w:pPr>
      <w:r>
        <w:rPr>
          <w:rFonts w:hint="eastAsia" w:ascii="宋体" w:hAnsi="宋体" w:cs="仿宋_GB2312"/>
          <w:szCs w:val="21"/>
          <w:highlight w:val="none"/>
        </w:rPr>
        <w:t>发包人：                               承包人：</w:t>
      </w:r>
    </w:p>
    <w:p>
      <w:pPr>
        <w:ind w:firstLine="420"/>
        <w:rPr>
          <w:rFonts w:ascii="宋体" w:hAnsi="宋体" w:cs="仿宋_GB2312"/>
          <w:szCs w:val="21"/>
          <w:highlight w:val="none"/>
        </w:rPr>
      </w:pPr>
      <w:r>
        <w:rPr>
          <w:rFonts w:hint="eastAsia" w:ascii="宋体" w:hAnsi="宋体" w:cs="仿宋_GB2312"/>
          <w:szCs w:val="21"/>
          <w:highlight w:val="none"/>
        </w:rPr>
        <w:t>法定代表人：                           法定代表人：</w:t>
      </w:r>
    </w:p>
    <w:p>
      <w:pPr>
        <w:ind w:firstLine="420"/>
        <w:rPr>
          <w:rFonts w:ascii="宋体" w:hAnsi="宋体" w:cs="仿宋_GB2312"/>
          <w:szCs w:val="21"/>
          <w:highlight w:val="none"/>
        </w:rPr>
      </w:pPr>
      <w:r>
        <w:rPr>
          <w:rFonts w:hint="eastAsia" w:ascii="宋体" w:hAnsi="宋体" w:cs="仿宋_GB2312"/>
          <w:szCs w:val="21"/>
          <w:highlight w:val="none"/>
        </w:rPr>
        <w:t>（或委托人）                         （或委托人附授权证明书）</w:t>
      </w:r>
    </w:p>
    <w:p>
      <w:pPr>
        <w:ind w:firstLine="420"/>
        <w:rPr>
          <w:rFonts w:ascii="宋体" w:hAnsi="宋体" w:cs="仿宋_GB2312"/>
          <w:szCs w:val="21"/>
          <w:highlight w:val="none"/>
        </w:rPr>
      </w:pPr>
      <w:r>
        <w:rPr>
          <w:rFonts w:hint="eastAsia" w:ascii="宋体" w:hAnsi="宋体" w:cs="仿宋_GB2312"/>
          <w:szCs w:val="21"/>
          <w:highlight w:val="none"/>
        </w:rPr>
        <w:t>发包人代表：                          承包人代表：</w:t>
      </w:r>
    </w:p>
    <w:p>
      <w:pPr>
        <w:ind w:firstLine="420"/>
        <w:rPr>
          <w:rFonts w:ascii="宋体" w:hAnsi="宋体" w:cs="仿宋_GB2312"/>
          <w:szCs w:val="21"/>
          <w:highlight w:val="none"/>
        </w:rPr>
      </w:pPr>
      <w:r>
        <w:rPr>
          <w:rFonts w:hint="eastAsia" w:ascii="宋体" w:hAnsi="宋体" w:cs="仿宋_GB2312"/>
          <w:szCs w:val="21"/>
          <w:highlight w:val="none"/>
        </w:rPr>
        <w:t>签约时间：</w:t>
      </w:r>
      <w:r>
        <w:rPr>
          <w:rFonts w:hint="eastAsia" w:ascii="宋体" w:hAnsi="宋体" w:cs="仿宋_GB2312"/>
          <w:szCs w:val="21"/>
          <w:highlight w:val="none"/>
          <w:u w:val="single"/>
        </w:rPr>
        <w:t xml:space="preserve">     </w:t>
      </w:r>
      <w:r>
        <w:rPr>
          <w:rFonts w:hint="eastAsia" w:ascii="宋体" w:hAnsi="宋体" w:cs="仿宋_GB2312"/>
          <w:szCs w:val="21"/>
          <w:highlight w:val="none"/>
        </w:rPr>
        <w:t>年</w:t>
      </w:r>
      <w:r>
        <w:rPr>
          <w:rFonts w:hint="eastAsia" w:ascii="宋体" w:hAnsi="宋体" w:cs="仿宋_GB2312"/>
          <w:szCs w:val="21"/>
          <w:highlight w:val="none"/>
          <w:u w:val="single"/>
        </w:rPr>
        <w:t xml:space="preserve">    </w:t>
      </w:r>
      <w:r>
        <w:rPr>
          <w:rFonts w:hint="eastAsia" w:ascii="宋体" w:hAnsi="宋体" w:cs="仿宋_GB2312"/>
          <w:szCs w:val="21"/>
          <w:highlight w:val="none"/>
        </w:rPr>
        <w:t>月</w:t>
      </w:r>
      <w:r>
        <w:rPr>
          <w:rFonts w:hint="eastAsia" w:ascii="宋体" w:hAnsi="宋体" w:cs="仿宋_GB2312"/>
          <w:szCs w:val="21"/>
          <w:highlight w:val="none"/>
          <w:u w:val="single"/>
        </w:rPr>
        <w:t xml:space="preserve">   </w:t>
      </w:r>
      <w:r>
        <w:rPr>
          <w:rFonts w:hint="eastAsia" w:ascii="宋体" w:hAnsi="宋体" w:cs="仿宋_GB2312"/>
          <w:szCs w:val="21"/>
          <w:highlight w:val="none"/>
        </w:rPr>
        <w:t xml:space="preserve">日 </w:t>
      </w:r>
    </w:p>
    <w:p>
      <w:pPr>
        <w:ind w:firstLine="420"/>
        <w:rPr>
          <w:rFonts w:ascii="宋体" w:hAnsi="宋体" w:cs="仿宋_GB2312"/>
          <w:szCs w:val="21"/>
          <w:highlight w:val="none"/>
        </w:rPr>
        <w:sectPr>
          <w:pgSz w:w="11906" w:h="16838"/>
          <w:pgMar w:top="1440" w:right="1286" w:bottom="1440" w:left="1800" w:header="851" w:footer="992" w:gutter="0"/>
          <w:cols w:space="720" w:num="1"/>
          <w:docGrid w:type="lines" w:linePitch="312" w:charSpace="0"/>
        </w:sectPr>
      </w:pPr>
    </w:p>
    <w:p>
      <w:pPr>
        <w:ind w:firstLine="480"/>
        <w:rPr>
          <w:rFonts w:ascii="宋体" w:hAnsi="宋体" w:cs="仿宋_GB2312"/>
          <w:sz w:val="24"/>
          <w:highlight w:val="none"/>
        </w:rPr>
      </w:pPr>
      <w:r>
        <w:rPr>
          <w:rFonts w:hint="eastAsia" w:ascii="宋体" w:hAnsi="宋体" w:cs="仿宋_GB2312"/>
          <w:sz w:val="24"/>
          <w:highlight w:val="none"/>
        </w:rPr>
        <w:t>附件5：</w:t>
      </w:r>
    </w:p>
    <w:p>
      <w:pPr>
        <w:ind w:firstLine="482"/>
        <w:jc w:val="center"/>
        <w:rPr>
          <w:rFonts w:ascii="宋体" w:hAnsi="宋体" w:cs="仿宋_GB2312"/>
          <w:b/>
          <w:sz w:val="24"/>
          <w:highlight w:val="none"/>
        </w:rPr>
      </w:pPr>
      <w:r>
        <w:rPr>
          <w:rFonts w:hint="eastAsia" w:ascii="宋体" w:hAnsi="宋体" w:cs="仿宋_GB2312"/>
          <w:b/>
          <w:sz w:val="24"/>
          <w:highlight w:val="none"/>
        </w:rPr>
        <w:t>安全生产协议</w:t>
      </w:r>
    </w:p>
    <w:p>
      <w:pPr>
        <w:ind w:firstLine="480"/>
        <w:rPr>
          <w:rFonts w:ascii="宋体" w:hAnsi="宋体" w:cs="仿宋_GB2312"/>
          <w:sz w:val="24"/>
          <w:highlight w:val="none"/>
        </w:rPr>
      </w:pPr>
    </w:p>
    <w:p>
      <w:pPr>
        <w:ind w:firstLine="420"/>
        <w:rPr>
          <w:rFonts w:ascii="宋体" w:hAnsi="宋体" w:cs="仿宋_GB2312"/>
          <w:szCs w:val="21"/>
          <w:highlight w:val="none"/>
          <w:u w:val="single"/>
        </w:rPr>
      </w:pPr>
      <w:r>
        <w:rPr>
          <w:rFonts w:hint="eastAsia" w:ascii="宋体" w:hAnsi="宋体" w:cs="仿宋_GB2312"/>
          <w:szCs w:val="21"/>
          <w:highlight w:val="none"/>
        </w:rPr>
        <w:t>发包人（全称）：</w:t>
      </w:r>
      <w:r>
        <w:rPr>
          <w:rFonts w:hint="eastAsia" w:ascii="宋体" w:hAnsi="宋体" w:cs="仿宋_GB2312"/>
          <w:szCs w:val="21"/>
          <w:highlight w:val="none"/>
          <w:u w:val="single"/>
        </w:rPr>
        <w:t>山阳县水利局</w:t>
      </w:r>
    </w:p>
    <w:p>
      <w:pPr>
        <w:ind w:firstLine="420"/>
        <w:rPr>
          <w:rFonts w:ascii="宋体" w:hAnsi="宋体" w:cs="仿宋_GB2312"/>
          <w:szCs w:val="21"/>
          <w:highlight w:val="none"/>
          <w:u w:val="single"/>
        </w:rPr>
      </w:pPr>
      <w:r>
        <w:rPr>
          <w:rFonts w:hint="eastAsia" w:ascii="宋体" w:hAnsi="宋体" w:cs="仿宋_GB2312"/>
          <w:szCs w:val="21"/>
          <w:highlight w:val="none"/>
        </w:rPr>
        <w:t>承包人（全称）：</w:t>
      </w:r>
      <w:r>
        <w:rPr>
          <w:rFonts w:hint="eastAsia" w:ascii="宋体" w:hAnsi="宋体" w:cs="仿宋_GB2312"/>
          <w:szCs w:val="21"/>
          <w:highlight w:val="none"/>
          <w:u w:val="single"/>
        </w:rPr>
        <w:t xml:space="preserve">                        </w:t>
      </w:r>
      <w:r>
        <w:rPr>
          <w:rFonts w:ascii="宋体" w:hAnsi="宋体" w:cs="仿宋_GB2312"/>
          <w:szCs w:val="21"/>
          <w:highlight w:val="none"/>
          <w:u w:val="single"/>
        </w:rPr>
        <w:t xml:space="preserve"> </w:t>
      </w:r>
    </w:p>
    <w:p>
      <w:pPr>
        <w:snapToGrid w:val="0"/>
        <w:spacing w:line="440" w:lineRule="exact"/>
        <w:ind w:firstLine="420"/>
        <w:rPr>
          <w:rFonts w:ascii="宋体" w:hAnsi="宋体" w:cs="仿宋_GB2312"/>
          <w:szCs w:val="21"/>
          <w:highlight w:val="none"/>
          <w:u w:val="single"/>
        </w:rPr>
      </w:pPr>
      <w:r>
        <w:rPr>
          <w:rFonts w:hint="eastAsia" w:ascii="宋体" w:hAnsi="宋体" w:cs="仿宋_GB2312"/>
          <w:szCs w:val="21"/>
          <w:highlight w:val="none"/>
        </w:rPr>
        <w:t>双方为在</w:t>
      </w:r>
      <w:r>
        <w:rPr>
          <w:rFonts w:hint="eastAsia" w:ascii="宋体" w:hAnsi="宋体" w:cs="仿宋_GB2312"/>
          <w:szCs w:val="21"/>
          <w:highlight w:val="none"/>
          <w:u w:val="single"/>
        </w:rPr>
        <w:t>山阳县户家塬镇桃园村抗旱应急水源工程</w:t>
      </w:r>
      <w:r>
        <w:rPr>
          <w:rFonts w:hint="eastAsia" w:ascii="宋体" w:hAnsi="宋体" w:cs="仿宋_GB2312"/>
          <w:szCs w:val="21"/>
          <w:highlight w:val="none"/>
        </w:rPr>
        <w:t>实施过程中创造安全、高效的作业环境，确保工程顺利实施，特签订本协议。</w:t>
      </w:r>
    </w:p>
    <w:p>
      <w:pPr>
        <w:snapToGrid w:val="0"/>
        <w:spacing w:line="440" w:lineRule="exact"/>
        <w:ind w:firstLine="422"/>
        <w:rPr>
          <w:rFonts w:ascii="宋体" w:hAnsi="宋体" w:cs="仿宋_GB2312"/>
          <w:b/>
          <w:szCs w:val="21"/>
          <w:highlight w:val="none"/>
        </w:rPr>
      </w:pPr>
      <w:r>
        <w:rPr>
          <w:rFonts w:hint="eastAsia" w:ascii="宋体" w:hAnsi="宋体" w:cs="仿宋_GB2312"/>
          <w:b/>
          <w:szCs w:val="21"/>
          <w:highlight w:val="none"/>
        </w:rPr>
        <w:t>一、发包人职责</w:t>
      </w:r>
    </w:p>
    <w:p>
      <w:pPr>
        <w:snapToGrid w:val="0"/>
        <w:spacing w:line="440" w:lineRule="exact"/>
        <w:ind w:firstLine="420"/>
        <w:rPr>
          <w:rFonts w:ascii="宋体" w:hAnsi="宋体" w:cs="仿宋_GB2312"/>
          <w:szCs w:val="21"/>
          <w:highlight w:val="none"/>
        </w:rPr>
      </w:pPr>
      <w:r>
        <w:rPr>
          <w:rFonts w:hint="eastAsia" w:ascii="宋体" w:hAnsi="宋体" w:cs="仿宋_GB2312"/>
          <w:szCs w:val="21"/>
          <w:highlight w:val="none"/>
        </w:rPr>
        <w:t>1、严格遵守国家有关安全生产的法律法规。</w:t>
      </w:r>
    </w:p>
    <w:p>
      <w:pPr>
        <w:snapToGrid w:val="0"/>
        <w:spacing w:line="440" w:lineRule="exact"/>
        <w:ind w:firstLine="420"/>
        <w:rPr>
          <w:rFonts w:ascii="宋体" w:hAnsi="宋体" w:cs="仿宋_GB2312"/>
          <w:szCs w:val="21"/>
          <w:highlight w:val="none"/>
        </w:rPr>
      </w:pPr>
      <w:r>
        <w:rPr>
          <w:rFonts w:hint="eastAsia" w:ascii="宋体" w:hAnsi="宋体" w:cs="仿宋_GB2312"/>
          <w:szCs w:val="21"/>
          <w:highlight w:val="none"/>
        </w:rPr>
        <w:t>2、贯彻“安全第一、预防为主、综合治理”的指导方针，健全项目管理责任制，检查安全工作，及时通报不安全事故。</w:t>
      </w:r>
    </w:p>
    <w:p>
      <w:pPr>
        <w:snapToGrid w:val="0"/>
        <w:spacing w:line="440" w:lineRule="exact"/>
        <w:ind w:firstLine="420"/>
        <w:rPr>
          <w:rFonts w:ascii="宋体" w:hAnsi="宋体" w:cs="仿宋_GB2312"/>
          <w:szCs w:val="21"/>
          <w:highlight w:val="none"/>
        </w:rPr>
      </w:pPr>
      <w:r>
        <w:rPr>
          <w:rFonts w:hint="eastAsia" w:ascii="宋体" w:hAnsi="宋体" w:cs="仿宋_GB2312"/>
          <w:szCs w:val="21"/>
          <w:highlight w:val="none"/>
        </w:rPr>
        <w:t>3、定期召开安全会议，及时传达上级有关安全生产的精神。</w:t>
      </w:r>
    </w:p>
    <w:p>
      <w:pPr>
        <w:snapToGrid w:val="0"/>
        <w:spacing w:line="440" w:lineRule="exact"/>
        <w:ind w:firstLine="420"/>
        <w:rPr>
          <w:rFonts w:ascii="宋体" w:hAnsi="宋体" w:cs="仿宋_GB2312"/>
          <w:szCs w:val="21"/>
          <w:highlight w:val="none"/>
        </w:rPr>
      </w:pPr>
      <w:r>
        <w:rPr>
          <w:rFonts w:hint="eastAsia" w:ascii="宋体" w:hAnsi="宋体" w:cs="仿宋_GB2312"/>
          <w:szCs w:val="21"/>
          <w:highlight w:val="none"/>
        </w:rPr>
        <w:t>4、对承包人作业现场进行安全检查，对其安全工作进行监督指导。</w:t>
      </w:r>
    </w:p>
    <w:p>
      <w:pPr>
        <w:snapToGrid w:val="0"/>
        <w:spacing w:line="440" w:lineRule="exact"/>
        <w:ind w:firstLine="420"/>
        <w:rPr>
          <w:rFonts w:ascii="宋体" w:hAnsi="宋体" w:cs="仿宋_GB2312"/>
          <w:szCs w:val="21"/>
          <w:highlight w:val="none"/>
        </w:rPr>
      </w:pPr>
      <w:r>
        <w:rPr>
          <w:rFonts w:hint="eastAsia" w:ascii="宋体" w:hAnsi="宋体" w:cs="仿宋_GB2312"/>
          <w:szCs w:val="21"/>
          <w:highlight w:val="none"/>
        </w:rPr>
        <w:t>5、严格执行本安全协议规定。</w:t>
      </w:r>
    </w:p>
    <w:p>
      <w:pPr>
        <w:snapToGrid w:val="0"/>
        <w:spacing w:line="440" w:lineRule="exact"/>
        <w:ind w:firstLine="422"/>
        <w:rPr>
          <w:rFonts w:ascii="宋体" w:hAnsi="宋体" w:cs="仿宋_GB2312"/>
          <w:b/>
          <w:szCs w:val="21"/>
          <w:highlight w:val="none"/>
        </w:rPr>
      </w:pPr>
      <w:r>
        <w:rPr>
          <w:rFonts w:hint="eastAsia" w:ascii="宋体" w:hAnsi="宋体" w:cs="仿宋_GB2312"/>
          <w:b/>
          <w:szCs w:val="21"/>
          <w:highlight w:val="none"/>
        </w:rPr>
        <w:t>二、承包人职责</w:t>
      </w:r>
    </w:p>
    <w:p>
      <w:pPr>
        <w:snapToGrid w:val="0"/>
        <w:spacing w:line="440" w:lineRule="exact"/>
        <w:ind w:firstLine="420"/>
        <w:rPr>
          <w:rFonts w:ascii="宋体" w:hAnsi="宋体" w:cs="仿宋_GB2312"/>
          <w:szCs w:val="21"/>
          <w:highlight w:val="none"/>
        </w:rPr>
      </w:pPr>
      <w:r>
        <w:rPr>
          <w:rFonts w:hint="eastAsia" w:ascii="宋体" w:hAnsi="宋体" w:cs="仿宋_GB2312"/>
          <w:szCs w:val="21"/>
          <w:highlight w:val="none"/>
        </w:rPr>
        <w:t>1、严格遵守国家、地方、行业及企业所有适用的安全规则，严格执行《建设工程安全管理条例》。</w:t>
      </w:r>
    </w:p>
    <w:p>
      <w:pPr>
        <w:snapToGrid w:val="0"/>
        <w:spacing w:line="440" w:lineRule="exact"/>
        <w:ind w:firstLine="420"/>
        <w:rPr>
          <w:rFonts w:ascii="宋体" w:hAnsi="宋体" w:cs="仿宋_GB2312"/>
          <w:szCs w:val="21"/>
          <w:highlight w:val="none"/>
        </w:rPr>
      </w:pPr>
      <w:r>
        <w:rPr>
          <w:rFonts w:hint="eastAsia" w:ascii="宋体" w:hAnsi="宋体" w:cs="仿宋_GB2312"/>
          <w:szCs w:val="21"/>
          <w:highlight w:val="none"/>
        </w:rPr>
        <w:t>2、严格执行业务合同中的所有安全要求和规定，自觉接受发包人、监理人等单位的监督检查。负责业务合同执行过程中作业现场所有人员、设备的安全。</w:t>
      </w:r>
    </w:p>
    <w:p>
      <w:pPr>
        <w:snapToGrid w:val="0"/>
        <w:spacing w:line="440" w:lineRule="exact"/>
        <w:ind w:firstLine="420"/>
        <w:rPr>
          <w:rFonts w:ascii="宋体" w:hAnsi="宋体" w:cs="仿宋_GB2312"/>
          <w:szCs w:val="21"/>
          <w:highlight w:val="none"/>
        </w:rPr>
      </w:pPr>
      <w:r>
        <w:rPr>
          <w:rFonts w:hint="eastAsia" w:ascii="宋体" w:hAnsi="宋体" w:cs="仿宋_GB2312"/>
          <w:szCs w:val="21"/>
          <w:highlight w:val="none"/>
        </w:rPr>
        <w:t>3、作业现场安全由承包人负责。实行总承包的,由总承包单位负总责，总承包单位与分包单位就安全责任向发包人承担连带责任。</w:t>
      </w:r>
    </w:p>
    <w:p>
      <w:pPr>
        <w:snapToGrid w:val="0"/>
        <w:spacing w:line="440" w:lineRule="exact"/>
        <w:ind w:firstLine="420"/>
        <w:rPr>
          <w:rFonts w:ascii="宋体" w:hAnsi="宋体" w:cs="仿宋_GB2312"/>
          <w:szCs w:val="21"/>
          <w:highlight w:val="none"/>
        </w:rPr>
      </w:pPr>
      <w:r>
        <w:rPr>
          <w:rFonts w:hint="eastAsia" w:ascii="宋体" w:hAnsi="宋体" w:cs="仿宋_GB2312"/>
          <w:szCs w:val="21"/>
          <w:highlight w:val="none"/>
        </w:rPr>
        <w:t>4、坚持“安全第一、预防为主、综合治理”的原则，建立健全安全管理机构和安全管理制度。必须由一名主管领导分管安全工作；按比例配置专职安全管理人员，专门负责安全工作。</w:t>
      </w:r>
    </w:p>
    <w:p>
      <w:pPr>
        <w:snapToGrid w:val="0"/>
        <w:spacing w:line="440" w:lineRule="exact"/>
        <w:ind w:firstLine="420"/>
        <w:rPr>
          <w:rFonts w:ascii="宋体" w:hAnsi="宋体" w:cs="仿宋_GB2312"/>
          <w:szCs w:val="21"/>
          <w:highlight w:val="none"/>
        </w:rPr>
      </w:pPr>
      <w:r>
        <w:rPr>
          <w:rFonts w:hint="eastAsia" w:ascii="宋体" w:hAnsi="宋体" w:cs="仿宋_GB2312"/>
          <w:szCs w:val="21"/>
          <w:highlight w:val="none"/>
        </w:rPr>
        <w:t>5、建立健全安全作业责任制。在实施本项目中不发生影响安全运营事故、不发生安全生产事故、不发生人员伤亡事故，达到安全生产零事故率、零死亡率。</w:t>
      </w:r>
    </w:p>
    <w:p>
      <w:pPr>
        <w:snapToGrid w:val="0"/>
        <w:spacing w:line="440" w:lineRule="exact"/>
        <w:ind w:firstLine="420"/>
        <w:rPr>
          <w:rFonts w:ascii="宋体" w:hAnsi="宋体" w:cs="仿宋_GB2312"/>
          <w:szCs w:val="21"/>
          <w:highlight w:val="none"/>
        </w:rPr>
      </w:pPr>
      <w:r>
        <w:rPr>
          <w:rFonts w:hint="eastAsia" w:ascii="宋体" w:hAnsi="宋体" w:cs="仿宋_GB2312"/>
          <w:szCs w:val="21"/>
          <w:highlight w:val="none"/>
        </w:rPr>
        <w:t>6、明确管理人员施工安全责任，积极落实安全措施。形成纵向到底、横向到边的安全管理网络，将安全工作落实到业务的每个环节。</w:t>
      </w:r>
    </w:p>
    <w:p>
      <w:pPr>
        <w:snapToGrid w:val="0"/>
        <w:spacing w:line="440" w:lineRule="exact"/>
        <w:ind w:firstLine="420"/>
        <w:rPr>
          <w:rFonts w:ascii="宋体" w:hAnsi="宋体" w:cs="仿宋_GB2312"/>
          <w:szCs w:val="21"/>
          <w:highlight w:val="none"/>
        </w:rPr>
      </w:pPr>
      <w:r>
        <w:rPr>
          <w:rFonts w:hint="eastAsia" w:ascii="宋体" w:hAnsi="宋体" w:cs="仿宋_GB2312"/>
          <w:szCs w:val="21"/>
          <w:highlight w:val="none"/>
        </w:rPr>
        <w:t>7、承包人必须严格执行指挥部四项管理基本要求，不得以任何形式违反规定。</w:t>
      </w:r>
    </w:p>
    <w:p>
      <w:pPr>
        <w:snapToGrid w:val="0"/>
        <w:spacing w:line="440" w:lineRule="exact"/>
        <w:ind w:firstLine="420"/>
        <w:rPr>
          <w:rFonts w:ascii="宋体" w:hAnsi="宋体" w:cs="仿宋_GB2312"/>
          <w:szCs w:val="21"/>
          <w:highlight w:val="none"/>
        </w:rPr>
      </w:pPr>
      <w:r>
        <w:rPr>
          <w:rFonts w:hint="eastAsia" w:ascii="宋体" w:hAnsi="宋体" w:cs="仿宋_GB2312"/>
          <w:szCs w:val="21"/>
          <w:highlight w:val="none"/>
        </w:rPr>
        <w:t>8、承包人必须具有劳动安全管理部门颁发的安全生产证书。参加作业的人员，必须接受安全技术教育，熟知和遵守本工种的各项安全技术操作规程，定期进行安全技术考核，合格者方准上岗操作。对于从事电气、起重、建筑登高架设作业、压力容器、焊接、机动车驾驶等特殊工种的人员经过专业培训，获得《安全操作合格证》后，方准持证上岗。施工现场如出现特种作业无证操作现象时，项目经理必须承担管理责任。</w:t>
      </w:r>
    </w:p>
    <w:p>
      <w:pPr>
        <w:snapToGrid w:val="0"/>
        <w:spacing w:line="440" w:lineRule="exact"/>
        <w:ind w:firstLine="420"/>
        <w:rPr>
          <w:rFonts w:ascii="宋体" w:hAnsi="宋体" w:cs="仿宋_GB2312"/>
          <w:szCs w:val="21"/>
          <w:highlight w:val="none"/>
        </w:rPr>
      </w:pPr>
      <w:r>
        <w:rPr>
          <w:rFonts w:hint="eastAsia" w:ascii="宋体" w:hAnsi="宋体" w:cs="仿宋_GB2312"/>
          <w:szCs w:val="21"/>
          <w:highlight w:val="none"/>
        </w:rPr>
        <w:t>9、对于易燃易爆的材料除应专门妥善保管之外，还应配备有足够的消防设施，所有作业人员都应熟悉消防设备的性能和使用方法；承包人不得将任何种类的爆炸物给予、易货或以其他方式转让给任何其他人，或允许，容忍上述同样行为。</w:t>
      </w:r>
    </w:p>
    <w:p>
      <w:pPr>
        <w:snapToGrid w:val="0"/>
        <w:spacing w:line="440" w:lineRule="exact"/>
        <w:ind w:firstLine="420"/>
        <w:rPr>
          <w:rFonts w:ascii="宋体" w:hAnsi="宋体" w:cs="仿宋_GB2312"/>
          <w:szCs w:val="21"/>
          <w:highlight w:val="none"/>
        </w:rPr>
      </w:pPr>
      <w:r>
        <w:rPr>
          <w:rFonts w:hint="eastAsia" w:ascii="宋体" w:hAnsi="宋体" w:cs="仿宋_GB2312"/>
          <w:szCs w:val="21"/>
          <w:highlight w:val="none"/>
        </w:rPr>
        <w:t>10、操作人员上岗，必须按规定穿戴防护用品。业务负责人和安全检查员应随时检查劳动防护用品的穿戴情况，不按规定穿戴防护用品的人员不得上岗。</w:t>
      </w:r>
    </w:p>
    <w:p>
      <w:pPr>
        <w:snapToGrid w:val="0"/>
        <w:spacing w:line="440" w:lineRule="exact"/>
        <w:ind w:firstLine="420"/>
        <w:rPr>
          <w:rFonts w:ascii="宋体" w:hAnsi="宋体" w:cs="仿宋_GB2312"/>
          <w:szCs w:val="21"/>
          <w:highlight w:val="none"/>
        </w:rPr>
      </w:pPr>
      <w:r>
        <w:rPr>
          <w:rFonts w:hint="eastAsia" w:ascii="宋体" w:hAnsi="宋体" w:cs="仿宋_GB2312"/>
          <w:szCs w:val="21"/>
          <w:highlight w:val="none"/>
        </w:rPr>
        <w:t>11、所有施工机具设备和高空作业的设备均应定期检查，并有安全员的签字记录，保证其经常处于完好状态；不合格的机具、设备和劳动保护用品严禁使用。</w:t>
      </w:r>
    </w:p>
    <w:p>
      <w:pPr>
        <w:snapToGrid w:val="0"/>
        <w:spacing w:line="440" w:lineRule="exact"/>
        <w:ind w:firstLine="420"/>
        <w:rPr>
          <w:rFonts w:ascii="宋体" w:hAnsi="宋体" w:cs="仿宋_GB2312"/>
          <w:szCs w:val="21"/>
          <w:highlight w:val="none"/>
        </w:rPr>
      </w:pPr>
      <w:r>
        <w:rPr>
          <w:rFonts w:hint="eastAsia" w:ascii="宋体" w:hAnsi="宋体" w:cs="仿宋_GB2312"/>
          <w:szCs w:val="21"/>
          <w:highlight w:val="none"/>
        </w:rPr>
        <w:t>12、作业中采用新技术、新工艺、新设备、新材料时，必须制定相应的安全技术措施，作业现场必须具有相关的安全标志牌。</w:t>
      </w:r>
    </w:p>
    <w:p>
      <w:pPr>
        <w:snapToGrid w:val="0"/>
        <w:spacing w:line="440" w:lineRule="exact"/>
        <w:ind w:firstLine="420"/>
        <w:rPr>
          <w:rFonts w:ascii="宋体" w:hAnsi="宋体" w:cs="仿宋_GB2312"/>
          <w:szCs w:val="21"/>
          <w:highlight w:val="none"/>
        </w:rPr>
      </w:pPr>
      <w:r>
        <w:rPr>
          <w:rFonts w:hint="eastAsia" w:ascii="宋体" w:hAnsi="宋体" w:cs="仿宋_GB2312"/>
          <w:szCs w:val="21"/>
          <w:highlight w:val="none"/>
        </w:rPr>
        <w:t>13、承包人在业务实施全过程中,应保证留在现场上的任何人员的安全,并保持现场和项目处于秩序良好状态,以避免对上述人员造成危险。</w:t>
      </w:r>
    </w:p>
    <w:p>
      <w:pPr>
        <w:snapToGrid w:val="0"/>
        <w:spacing w:line="440" w:lineRule="exact"/>
        <w:ind w:firstLine="420"/>
        <w:rPr>
          <w:rFonts w:ascii="宋体" w:hAnsi="宋体" w:cs="仿宋_GB2312"/>
          <w:szCs w:val="21"/>
          <w:highlight w:val="none"/>
        </w:rPr>
      </w:pPr>
      <w:r>
        <w:rPr>
          <w:rFonts w:hint="eastAsia" w:ascii="宋体" w:hAnsi="宋体" w:cs="仿宋_GB2312"/>
          <w:szCs w:val="21"/>
          <w:highlight w:val="none"/>
        </w:rPr>
        <w:t>14、发包人、监理人的任何批准、校核、证明、同意、检查、检验、指示、通知、建议、要求、试验或类似行动(包括未表示不批准),不应解除承包人的任何责任,包括对错误，遗漏，误差或未遵办的责任。</w:t>
      </w:r>
    </w:p>
    <w:p>
      <w:pPr>
        <w:snapToGrid w:val="0"/>
        <w:spacing w:line="440" w:lineRule="exact"/>
        <w:ind w:firstLine="420"/>
        <w:rPr>
          <w:rFonts w:ascii="宋体" w:hAnsi="宋体" w:cs="仿宋_GB2312"/>
          <w:szCs w:val="21"/>
          <w:highlight w:val="none"/>
        </w:rPr>
      </w:pPr>
      <w:r>
        <w:rPr>
          <w:rFonts w:hint="eastAsia" w:ascii="宋体" w:hAnsi="宋体" w:cs="仿宋_GB2312"/>
          <w:szCs w:val="21"/>
          <w:highlight w:val="none"/>
        </w:rPr>
        <w:t>15、承包人必须按照本项目特点，制定安全作业方案和应急救援预案，并有效组织实施。</w:t>
      </w:r>
    </w:p>
    <w:p>
      <w:pPr>
        <w:snapToGrid w:val="0"/>
        <w:spacing w:line="440" w:lineRule="exact"/>
        <w:ind w:firstLine="420"/>
        <w:rPr>
          <w:rFonts w:ascii="宋体" w:hAnsi="宋体" w:cs="仿宋_GB2312"/>
          <w:szCs w:val="21"/>
          <w:highlight w:val="none"/>
        </w:rPr>
      </w:pPr>
      <w:r>
        <w:rPr>
          <w:rFonts w:hint="eastAsia" w:ascii="宋体" w:hAnsi="宋体" w:cs="仿宋_GB2312"/>
          <w:szCs w:val="21"/>
          <w:highlight w:val="none"/>
        </w:rPr>
        <w:t>16、如果发生安全事故，应严格按照国家、行业安全管理规章制度执行。</w:t>
      </w:r>
    </w:p>
    <w:p>
      <w:pPr>
        <w:snapToGrid w:val="0"/>
        <w:spacing w:line="440" w:lineRule="exact"/>
        <w:ind w:firstLine="420"/>
        <w:rPr>
          <w:rFonts w:ascii="宋体" w:hAnsi="宋体" w:cs="仿宋_GB2312"/>
          <w:szCs w:val="21"/>
          <w:highlight w:val="none"/>
        </w:rPr>
      </w:pPr>
      <w:r>
        <w:rPr>
          <w:rFonts w:hint="eastAsia" w:ascii="宋体" w:hAnsi="宋体" w:cs="仿宋_GB2312"/>
          <w:szCs w:val="21"/>
          <w:highlight w:val="none"/>
        </w:rPr>
        <w:t>17、承包人承诺加强对本项目的现场管理，达到发包人关于安全管理的所有要求。</w:t>
      </w:r>
    </w:p>
    <w:p>
      <w:pPr>
        <w:snapToGrid w:val="0"/>
        <w:spacing w:line="440" w:lineRule="exact"/>
        <w:ind w:firstLine="422"/>
        <w:rPr>
          <w:rFonts w:ascii="宋体" w:hAnsi="宋体" w:cs="仿宋_GB2312"/>
          <w:b/>
          <w:szCs w:val="21"/>
          <w:highlight w:val="none"/>
        </w:rPr>
      </w:pPr>
      <w:r>
        <w:rPr>
          <w:rFonts w:hint="eastAsia" w:ascii="宋体" w:hAnsi="宋体" w:cs="仿宋_GB2312"/>
          <w:b/>
          <w:szCs w:val="21"/>
          <w:highlight w:val="none"/>
        </w:rPr>
        <w:t>三、违约责任</w:t>
      </w:r>
    </w:p>
    <w:p>
      <w:pPr>
        <w:snapToGrid w:val="0"/>
        <w:spacing w:line="440" w:lineRule="exact"/>
        <w:ind w:firstLine="420"/>
        <w:rPr>
          <w:rFonts w:ascii="宋体" w:hAnsi="宋体" w:cs="仿宋_GB2312"/>
          <w:szCs w:val="21"/>
          <w:highlight w:val="none"/>
        </w:rPr>
      </w:pPr>
      <w:r>
        <w:rPr>
          <w:rFonts w:hint="eastAsia" w:ascii="宋体" w:hAnsi="宋体" w:cs="仿宋_GB2312"/>
          <w:szCs w:val="21"/>
          <w:highlight w:val="none"/>
        </w:rPr>
        <w:t>如承包人违反本协议规定发生下列情况，在承担相应法律责任、赔偿发包人所有损失之外，还应按照如下标准向发包人支付安全违约金。按照本协议应支付的安全违约金，发包人任何时候都有权从承包人合同价款中扣除：</w:t>
      </w:r>
    </w:p>
    <w:p>
      <w:pPr>
        <w:snapToGrid w:val="0"/>
        <w:spacing w:line="440" w:lineRule="exact"/>
        <w:ind w:firstLine="420"/>
        <w:rPr>
          <w:rFonts w:ascii="宋体" w:hAnsi="宋体" w:cs="仿宋_GB2312"/>
          <w:szCs w:val="21"/>
          <w:highlight w:val="none"/>
        </w:rPr>
      </w:pPr>
      <w:r>
        <w:rPr>
          <w:rFonts w:hint="eastAsia" w:ascii="宋体" w:hAnsi="宋体" w:cs="仿宋_GB2312"/>
          <w:szCs w:val="21"/>
          <w:highlight w:val="none"/>
        </w:rPr>
        <w:t>1、因施工原因（或开展业务）造成地面事故的，由承包人承担一切法律、经济责任，赔偿一切经济损失，并向发包人支付安全违约金。</w:t>
      </w:r>
    </w:p>
    <w:p>
      <w:pPr>
        <w:snapToGrid w:val="0"/>
        <w:spacing w:line="440" w:lineRule="exact"/>
        <w:ind w:firstLine="420"/>
        <w:rPr>
          <w:rFonts w:ascii="宋体" w:hAnsi="宋体" w:cs="仿宋_GB2312"/>
          <w:szCs w:val="21"/>
          <w:highlight w:val="none"/>
        </w:rPr>
      </w:pPr>
      <w:r>
        <w:rPr>
          <w:rFonts w:hint="eastAsia" w:ascii="宋体" w:hAnsi="宋体" w:cs="仿宋_GB2312"/>
          <w:szCs w:val="21"/>
          <w:highlight w:val="none"/>
        </w:rPr>
        <w:t>2、施工过程中（或开展业务过程中）发生人员死亡事故的，由承包人承担一切法律及经济责任，同时，承包人按照每死亡1人/10万元计算，累计向发包人支付安全违约金。</w:t>
      </w:r>
    </w:p>
    <w:p>
      <w:pPr>
        <w:snapToGrid w:val="0"/>
        <w:spacing w:line="440" w:lineRule="exact"/>
        <w:ind w:firstLine="420"/>
        <w:rPr>
          <w:rFonts w:ascii="宋体" w:hAnsi="宋体" w:cs="仿宋_GB2312"/>
          <w:szCs w:val="21"/>
          <w:highlight w:val="none"/>
        </w:rPr>
      </w:pPr>
      <w:r>
        <w:rPr>
          <w:rFonts w:hint="eastAsia" w:ascii="宋体" w:hAnsi="宋体" w:cs="仿宋_GB2312"/>
          <w:szCs w:val="21"/>
          <w:highlight w:val="none"/>
        </w:rPr>
        <w:t>3、施工过程中（或开展业务）造成人员重伤的，承包人承担一切法律及经济责任，并按照1万元/人累计向发包人支付安全违约金。</w:t>
      </w:r>
    </w:p>
    <w:p>
      <w:pPr>
        <w:snapToGrid w:val="0"/>
        <w:spacing w:line="440" w:lineRule="exact"/>
        <w:ind w:firstLine="420"/>
        <w:rPr>
          <w:rFonts w:ascii="宋体" w:hAnsi="宋体" w:cs="仿宋_GB2312"/>
          <w:szCs w:val="21"/>
          <w:highlight w:val="none"/>
        </w:rPr>
      </w:pPr>
      <w:r>
        <w:rPr>
          <w:rFonts w:hint="eastAsia" w:ascii="宋体" w:hAnsi="宋体" w:cs="仿宋_GB2312"/>
          <w:szCs w:val="21"/>
          <w:highlight w:val="none"/>
        </w:rPr>
        <w:t>4、施工过程中（或开展业务）造成安全生产事故，但未造成人员伤亡的，承包人除承担一切法律、经济责任外，特别重大安全生产事故，向发包人支付安全违约金10万元；重大安全生产事故的，向发包人支付安全违约金6万元；一般安全生产事故向发包人支付安全违约金2万元。</w:t>
      </w:r>
    </w:p>
    <w:p>
      <w:pPr>
        <w:snapToGrid w:val="0"/>
        <w:spacing w:line="440" w:lineRule="exact"/>
        <w:ind w:firstLine="420"/>
        <w:rPr>
          <w:rFonts w:ascii="宋体" w:hAnsi="宋体" w:cs="仿宋_GB2312"/>
          <w:szCs w:val="21"/>
          <w:highlight w:val="none"/>
        </w:rPr>
      </w:pPr>
      <w:r>
        <w:rPr>
          <w:rFonts w:hint="eastAsia" w:ascii="宋体" w:hAnsi="宋体" w:cs="仿宋_GB2312"/>
          <w:szCs w:val="21"/>
          <w:highlight w:val="none"/>
        </w:rPr>
        <w:t>5、承包人不能按时、按要求对安全隐患进行整改的，向发包人支付1000元/每项次的安全违约金。</w:t>
      </w:r>
    </w:p>
    <w:p>
      <w:pPr>
        <w:snapToGrid w:val="0"/>
        <w:spacing w:line="440" w:lineRule="exact"/>
        <w:ind w:firstLine="420"/>
        <w:rPr>
          <w:rFonts w:ascii="宋体" w:hAnsi="宋体" w:cs="仿宋_GB2312"/>
          <w:szCs w:val="21"/>
          <w:highlight w:val="none"/>
        </w:rPr>
      </w:pPr>
      <w:r>
        <w:rPr>
          <w:rFonts w:hint="eastAsia" w:ascii="宋体" w:hAnsi="宋体" w:cs="仿宋_GB2312"/>
          <w:szCs w:val="21"/>
          <w:highlight w:val="none"/>
        </w:rPr>
        <w:t>6、如发生其它不安全事故，参照本协议相关条款执行。</w:t>
      </w:r>
    </w:p>
    <w:p>
      <w:pPr>
        <w:snapToGrid w:val="0"/>
        <w:spacing w:line="440" w:lineRule="exact"/>
        <w:ind w:firstLine="420"/>
        <w:rPr>
          <w:rFonts w:ascii="宋体" w:hAnsi="宋体" w:cs="仿宋_GB2312"/>
          <w:szCs w:val="21"/>
          <w:highlight w:val="none"/>
        </w:rPr>
      </w:pPr>
      <w:r>
        <w:rPr>
          <w:rFonts w:hint="eastAsia" w:ascii="宋体" w:hAnsi="宋体" w:cs="仿宋_GB2312"/>
          <w:szCs w:val="21"/>
          <w:highlight w:val="none"/>
        </w:rPr>
        <w:t>7、承包人因管理原因多次发生不安全事件，或情节严重、造成严重后果的，发包人在按照上述条款从严处置的基础上，有权单方面解除与承包人签订的相关业务合同，发生损失由承包人自行承担。</w:t>
      </w:r>
    </w:p>
    <w:p>
      <w:pPr>
        <w:snapToGrid w:val="0"/>
        <w:spacing w:line="440" w:lineRule="exact"/>
        <w:ind w:firstLine="422"/>
        <w:rPr>
          <w:rFonts w:ascii="宋体" w:hAnsi="宋体" w:cs="仿宋_GB2312"/>
          <w:b/>
          <w:szCs w:val="21"/>
          <w:highlight w:val="none"/>
        </w:rPr>
      </w:pPr>
      <w:r>
        <w:rPr>
          <w:rFonts w:hint="eastAsia" w:ascii="宋体" w:hAnsi="宋体" w:cs="仿宋_GB2312"/>
          <w:b/>
          <w:szCs w:val="21"/>
          <w:highlight w:val="none"/>
        </w:rPr>
        <w:t>四、其它约定</w:t>
      </w:r>
    </w:p>
    <w:p>
      <w:pPr>
        <w:snapToGrid w:val="0"/>
        <w:spacing w:line="440" w:lineRule="exact"/>
        <w:ind w:firstLine="420"/>
        <w:rPr>
          <w:rFonts w:ascii="宋体" w:hAnsi="宋体" w:cs="仿宋_GB2312"/>
          <w:szCs w:val="21"/>
          <w:highlight w:val="none"/>
        </w:rPr>
      </w:pPr>
      <w:r>
        <w:rPr>
          <w:rFonts w:hint="eastAsia" w:ascii="宋体" w:hAnsi="宋体" w:cs="仿宋_GB2312"/>
          <w:szCs w:val="21"/>
          <w:highlight w:val="none"/>
        </w:rPr>
        <w:t>1、本协议经双方签章后生效。</w:t>
      </w:r>
    </w:p>
    <w:p>
      <w:pPr>
        <w:snapToGrid w:val="0"/>
        <w:spacing w:line="440" w:lineRule="exact"/>
        <w:ind w:firstLine="420"/>
        <w:rPr>
          <w:rFonts w:ascii="宋体" w:hAnsi="宋体" w:cs="仿宋_GB2312"/>
          <w:szCs w:val="21"/>
          <w:highlight w:val="none"/>
          <w:u w:val="single"/>
        </w:rPr>
      </w:pPr>
      <w:r>
        <w:rPr>
          <w:rFonts w:hint="eastAsia" w:ascii="宋体" w:hAnsi="宋体" w:cs="仿宋_GB2312"/>
          <w:szCs w:val="21"/>
          <w:highlight w:val="none"/>
        </w:rPr>
        <w:t>2、本协议所称业务合同，是指双方当事人签订的山阳县户家塬镇桃园村抗旱应急水源工程合同。作业现场是指承包人开展业务合同的现场。</w:t>
      </w:r>
    </w:p>
    <w:p>
      <w:pPr>
        <w:ind w:firstLine="617" w:firstLineChars="294"/>
        <w:rPr>
          <w:rFonts w:ascii="宋体" w:hAnsi="宋体" w:cs="仿宋_GB2312"/>
          <w:szCs w:val="21"/>
          <w:highlight w:val="none"/>
        </w:rPr>
      </w:pPr>
      <w:r>
        <w:rPr>
          <w:rFonts w:hint="eastAsia" w:ascii="宋体" w:hAnsi="宋体" w:cs="仿宋_GB2312"/>
          <w:szCs w:val="21"/>
          <w:highlight w:val="none"/>
        </w:rPr>
        <w:t>（以下无正文）</w:t>
      </w:r>
    </w:p>
    <w:p>
      <w:pPr>
        <w:ind w:firstLine="420"/>
        <w:rPr>
          <w:rFonts w:ascii="宋体" w:hAnsi="宋体" w:cs="仿宋_GB2312"/>
          <w:szCs w:val="21"/>
          <w:highlight w:val="none"/>
        </w:rPr>
      </w:pPr>
      <w:r>
        <w:rPr>
          <w:rFonts w:hint="eastAsia" w:ascii="宋体" w:hAnsi="宋体" w:cs="仿宋_GB2312"/>
          <w:szCs w:val="21"/>
          <w:highlight w:val="none"/>
        </w:rPr>
        <w:t>发包人：                               承包人：</w:t>
      </w:r>
    </w:p>
    <w:p>
      <w:pPr>
        <w:ind w:firstLine="619" w:firstLineChars="295"/>
        <w:rPr>
          <w:rFonts w:ascii="宋体" w:hAnsi="宋体" w:cs="仿宋_GB2312"/>
          <w:szCs w:val="21"/>
          <w:highlight w:val="none"/>
        </w:rPr>
      </w:pPr>
    </w:p>
    <w:p>
      <w:pPr>
        <w:ind w:firstLine="420"/>
        <w:rPr>
          <w:rFonts w:ascii="宋体" w:hAnsi="宋体" w:cs="仿宋_GB2312"/>
          <w:szCs w:val="21"/>
          <w:highlight w:val="none"/>
        </w:rPr>
      </w:pPr>
      <w:r>
        <w:rPr>
          <w:rFonts w:hint="eastAsia" w:ascii="宋体" w:hAnsi="宋体" w:cs="仿宋_GB2312"/>
          <w:szCs w:val="21"/>
          <w:highlight w:val="none"/>
        </w:rPr>
        <w:t>法定代表人：                           法定代表人：</w:t>
      </w:r>
    </w:p>
    <w:p>
      <w:pPr>
        <w:ind w:firstLine="420"/>
        <w:rPr>
          <w:rFonts w:ascii="宋体" w:hAnsi="宋体" w:cs="仿宋_GB2312"/>
          <w:szCs w:val="21"/>
          <w:highlight w:val="none"/>
        </w:rPr>
      </w:pPr>
    </w:p>
    <w:p>
      <w:pPr>
        <w:ind w:firstLine="420"/>
        <w:rPr>
          <w:rFonts w:ascii="宋体" w:hAnsi="宋体" w:cs="仿宋_GB2312"/>
          <w:szCs w:val="21"/>
          <w:highlight w:val="none"/>
        </w:rPr>
      </w:pPr>
      <w:r>
        <w:rPr>
          <w:rFonts w:hint="eastAsia" w:ascii="宋体" w:hAnsi="宋体" w:cs="仿宋_GB2312"/>
          <w:szCs w:val="21"/>
          <w:highlight w:val="none"/>
        </w:rPr>
        <w:t>（或委托人）                         （或委托人附授权证明书）</w:t>
      </w:r>
    </w:p>
    <w:p>
      <w:pPr>
        <w:ind w:firstLine="420"/>
        <w:rPr>
          <w:rFonts w:ascii="宋体" w:hAnsi="宋体" w:cs="仿宋_GB2312"/>
          <w:szCs w:val="21"/>
          <w:highlight w:val="none"/>
        </w:rPr>
      </w:pPr>
    </w:p>
    <w:p>
      <w:pPr>
        <w:ind w:firstLine="420"/>
        <w:rPr>
          <w:rFonts w:ascii="宋体" w:hAnsi="宋体" w:cs="仿宋_GB2312"/>
          <w:szCs w:val="21"/>
          <w:highlight w:val="none"/>
        </w:rPr>
      </w:pPr>
      <w:r>
        <w:rPr>
          <w:rFonts w:hint="eastAsia" w:ascii="宋体" w:hAnsi="宋体" w:cs="仿宋_GB2312"/>
          <w:szCs w:val="21"/>
          <w:highlight w:val="none"/>
        </w:rPr>
        <w:t>发包人代表：                          承包人代表：</w:t>
      </w:r>
    </w:p>
    <w:p>
      <w:pPr>
        <w:ind w:firstLine="205" w:firstLineChars="98"/>
        <w:rPr>
          <w:rFonts w:ascii="宋体" w:hAnsi="宋体" w:cs="仿宋_GB2312"/>
          <w:szCs w:val="21"/>
          <w:highlight w:val="none"/>
        </w:rPr>
      </w:pPr>
    </w:p>
    <w:p>
      <w:pPr>
        <w:ind w:firstLine="420"/>
        <w:rPr>
          <w:rFonts w:ascii="宋体" w:hAnsi="宋体" w:cs="仿宋_GB2312"/>
          <w:szCs w:val="21"/>
          <w:highlight w:val="none"/>
        </w:rPr>
      </w:pPr>
      <w:r>
        <w:rPr>
          <w:rFonts w:hint="eastAsia" w:ascii="宋体" w:hAnsi="宋体" w:cs="仿宋_GB2312"/>
          <w:szCs w:val="21"/>
          <w:highlight w:val="none"/>
        </w:rPr>
        <w:t>签约时间：</w:t>
      </w:r>
      <w:r>
        <w:rPr>
          <w:rFonts w:hint="eastAsia" w:ascii="宋体" w:hAnsi="宋体" w:cs="仿宋_GB2312"/>
          <w:szCs w:val="21"/>
          <w:highlight w:val="none"/>
          <w:u w:val="single"/>
        </w:rPr>
        <w:t xml:space="preserve">     </w:t>
      </w:r>
      <w:r>
        <w:rPr>
          <w:rFonts w:hint="eastAsia" w:ascii="宋体" w:hAnsi="宋体" w:cs="仿宋_GB2312"/>
          <w:szCs w:val="21"/>
          <w:highlight w:val="none"/>
        </w:rPr>
        <w:t>年</w:t>
      </w:r>
      <w:r>
        <w:rPr>
          <w:rFonts w:hint="eastAsia" w:ascii="宋体" w:hAnsi="宋体" w:cs="仿宋_GB2312"/>
          <w:szCs w:val="21"/>
          <w:highlight w:val="none"/>
          <w:u w:val="single"/>
        </w:rPr>
        <w:t xml:space="preserve">    </w:t>
      </w:r>
      <w:r>
        <w:rPr>
          <w:rFonts w:hint="eastAsia" w:ascii="宋体" w:hAnsi="宋体" w:cs="仿宋_GB2312"/>
          <w:szCs w:val="21"/>
          <w:highlight w:val="none"/>
        </w:rPr>
        <w:t>月</w:t>
      </w:r>
      <w:r>
        <w:rPr>
          <w:rFonts w:hint="eastAsia" w:ascii="宋体" w:hAnsi="宋体" w:cs="仿宋_GB2312"/>
          <w:szCs w:val="21"/>
          <w:highlight w:val="none"/>
          <w:u w:val="single"/>
        </w:rPr>
        <w:t xml:space="preserve">   </w:t>
      </w:r>
      <w:r>
        <w:rPr>
          <w:rFonts w:hint="eastAsia" w:ascii="宋体" w:hAnsi="宋体" w:cs="仿宋_GB2312"/>
          <w:szCs w:val="21"/>
          <w:highlight w:val="none"/>
        </w:rPr>
        <w:t xml:space="preserve">日 </w:t>
      </w:r>
    </w:p>
    <w:p>
      <w:pPr>
        <w:ind w:firstLine="420"/>
        <w:rPr>
          <w:rFonts w:ascii="宋体" w:hAnsi="宋体" w:cs="仿宋_GB2312"/>
          <w:szCs w:val="21"/>
          <w:highlight w:val="none"/>
        </w:rPr>
      </w:pPr>
      <w:r>
        <w:rPr>
          <w:rFonts w:hint="eastAsia" w:ascii="宋体" w:hAnsi="宋体" w:cs="仿宋_GB2312"/>
          <w:szCs w:val="21"/>
          <w:highlight w:val="none"/>
        </w:rPr>
        <w:t>签约地点：</w:t>
      </w:r>
    </w:p>
    <w:p>
      <w:pPr>
        <w:autoSpaceDE w:val="0"/>
        <w:autoSpaceDN w:val="0"/>
        <w:adjustRightInd w:val="0"/>
        <w:spacing w:line="540" w:lineRule="exact"/>
        <w:ind w:firstLine="569" w:firstLineChars="236"/>
        <w:rPr>
          <w:rFonts w:ascii="宋体" w:hAnsi="宋体"/>
          <w:b/>
          <w:sz w:val="24"/>
          <w:highlight w:val="none"/>
        </w:rPr>
      </w:pPr>
    </w:p>
    <w:p>
      <w:pPr>
        <w:autoSpaceDE w:val="0"/>
        <w:autoSpaceDN w:val="0"/>
        <w:adjustRightInd w:val="0"/>
        <w:spacing w:line="540" w:lineRule="exact"/>
        <w:rPr>
          <w:rFonts w:ascii="宋体" w:hAnsi="宋体"/>
          <w:b/>
          <w:sz w:val="24"/>
          <w:highlight w:val="none"/>
        </w:rPr>
        <w:sectPr>
          <w:pgSz w:w="11907" w:h="16840"/>
          <w:pgMar w:top="1418" w:right="1418" w:bottom="1418" w:left="1418" w:header="851" w:footer="992" w:gutter="0"/>
          <w:cols w:space="720" w:num="1"/>
          <w:docGrid w:linePitch="312" w:charSpace="0"/>
        </w:sectPr>
      </w:pPr>
    </w:p>
    <w:bookmarkEnd w:id="40"/>
    <w:bookmarkEnd w:id="41"/>
    <w:bookmarkEnd w:id="42"/>
    <w:bookmarkEnd w:id="43"/>
    <w:bookmarkEnd w:id="44"/>
    <w:p>
      <w:pPr>
        <w:pStyle w:val="3"/>
        <w:spacing w:before="120" w:after="120" w:line="400" w:lineRule="exact"/>
        <w:jc w:val="center"/>
        <w:rPr>
          <w:rFonts w:ascii="宋体" w:hAnsi="宋体"/>
          <w:kern w:val="0"/>
          <w:sz w:val="32"/>
          <w:szCs w:val="32"/>
          <w:highlight w:val="none"/>
        </w:rPr>
      </w:pPr>
      <w:bookmarkStart w:id="989" w:name="_Toc29283"/>
      <w:bookmarkStart w:id="990" w:name="_Toc405295832"/>
      <w:r>
        <w:rPr>
          <w:rFonts w:hint="eastAsia" w:ascii="宋体" w:hAnsi="宋体"/>
          <w:kern w:val="0"/>
          <w:sz w:val="32"/>
          <w:szCs w:val="32"/>
          <w:highlight w:val="none"/>
        </w:rPr>
        <w:t>第四章  磋商响应文件格式</w:t>
      </w:r>
      <w:bookmarkEnd w:id="989"/>
    </w:p>
    <w:p>
      <w:pPr>
        <w:spacing w:line="500" w:lineRule="exact"/>
        <w:ind w:firstLine="472" w:firstLineChars="196"/>
        <w:jc w:val="left"/>
        <w:rPr>
          <w:rFonts w:ascii="宋体" w:hAnsi="宋体"/>
          <w:b/>
          <w:kern w:val="0"/>
          <w:sz w:val="24"/>
          <w:highlight w:val="none"/>
        </w:rPr>
      </w:pPr>
    </w:p>
    <w:p>
      <w:pPr>
        <w:spacing w:before="240" w:beforeLines="100" w:after="240" w:afterLines="100"/>
        <w:ind w:firstLine="588" w:firstLineChars="196"/>
        <w:outlineLvl w:val="2"/>
        <w:rPr>
          <w:rFonts w:ascii="宋体" w:hAnsi="宋体"/>
          <w:kern w:val="0"/>
          <w:sz w:val="30"/>
          <w:szCs w:val="30"/>
          <w:highlight w:val="none"/>
        </w:rPr>
        <w:sectPr>
          <w:footerReference r:id="rId5" w:type="default"/>
          <w:pgSz w:w="11905" w:h="16838"/>
          <w:pgMar w:top="1559" w:right="1757" w:bottom="1984" w:left="1757" w:header="850" w:footer="992" w:gutter="0"/>
          <w:cols w:space="0" w:num="1"/>
          <w:docGrid w:linePitch="312" w:charSpace="0"/>
        </w:sectPr>
      </w:pPr>
    </w:p>
    <w:p>
      <w:pPr>
        <w:jc w:val="center"/>
        <w:rPr>
          <w:rFonts w:ascii="宋体" w:hAnsi="宋体"/>
          <w:b/>
          <w:kern w:val="0"/>
          <w:sz w:val="28"/>
          <w:szCs w:val="28"/>
          <w:highlight w:val="none"/>
        </w:rPr>
      </w:pPr>
      <w:r>
        <w:rPr>
          <w:rFonts w:hint="eastAsia" w:ascii="宋体" w:hAnsi="宋体"/>
          <w:b/>
          <w:kern w:val="0"/>
          <w:sz w:val="28"/>
          <w:szCs w:val="28"/>
          <w:highlight w:val="none"/>
        </w:rPr>
        <w:t>政府采购工程项目</w:t>
      </w:r>
    </w:p>
    <w:p>
      <w:pPr>
        <w:jc w:val="center"/>
        <w:rPr>
          <w:rFonts w:ascii="宋体" w:hAnsi="宋体"/>
          <w:b/>
          <w:kern w:val="0"/>
          <w:sz w:val="36"/>
          <w:szCs w:val="36"/>
          <w:highlight w:val="none"/>
        </w:rPr>
      </w:pPr>
    </w:p>
    <w:p>
      <w:pPr>
        <w:jc w:val="center"/>
        <w:rPr>
          <w:rFonts w:ascii="宋体" w:hAnsi="宋体"/>
          <w:b/>
          <w:kern w:val="0"/>
          <w:sz w:val="44"/>
          <w:szCs w:val="44"/>
          <w:highlight w:val="none"/>
        </w:rPr>
      </w:pPr>
    </w:p>
    <w:p>
      <w:pPr>
        <w:jc w:val="center"/>
        <w:rPr>
          <w:rFonts w:ascii="宋体" w:hAnsi="宋体"/>
          <w:b/>
          <w:kern w:val="0"/>
          <w:sz w:val="36"/>
          <w:szCs w:val="36"/>
          <w:highlight w:val="none"/>
        </w:rPr>
      </w:pPr>
    </w:p>
    <w:p>
      <w:pPr>
        <w:jc w:val="center"/>
        <w:rPr>
          <w:rFonts w:ascii="宋体" w:hAnsi="宋体"/>
          <w:b/>
          <w:kern w:val="0"/>
          <w:sz w:val="44"/>
          <w:szCs w:val="44"/>
          <w:highlight w:val="none"/>
        </w:rPr>
      </w:pPr>
      <w:r>
        <w:rPr>
          <w:rFonts w:hint="eastAsia" w:ascii="宋体" w:hAnsi="宋体"/>
          <w:b/>
          <w:kern w:val="0"/>
          <w:sz w:val="44"/>
          <w:szCs w:val="44"/>
          <w:highlight w:val="none"/>
        </w:rPr>
        <w:t>磋商响应文件</w:t>
      </w:r>
    </w:p>
    <w:p>
      <w:pPr>
        <w:jc w:val="center"/>
        <w:rPr>
          <w:rFonts w:ascii="方正大标宋简体" w:eastAsia="方正大标宋简体"/>
          <w:b/>
          <w:kern w:val="0"/>
          <w:sz w:val="36"/>
          <w:szCs w:val="36"/>
          <w:highlight w:val="none"/>
        </w:rPr>
      </w:pPr>
    </w:p>
    <w:p>
      <w:pPr>
        <w:jc w:val="center"/>
        <w:rPr>
          <w:rFonts w:ascii="方正大标宋简体" w:eastAsia="方正大标宋简体"/>
          <w:b/>
          <w:kern w:val="0"/>
          <w:sz w:val="36"/>
          <w:szCs w:val="36"/>
          <w:highlight w:val="none"/>
        </w:rPr>
      </w:pPr>
    </w:p>
    <w:p>
      <w:pPr>
        <w:jc w:val="center"/>
        <w:rPr>
          <w:rFonts w:ascii="方正大标宋简体" w:eastAsia="方正大标宋简体"/>
          <w:b/>
          <w:kern w:val="0"/>
          <w:sz w:val="36"/>
          <w:szCs w:val="36"/>
          <w:highlight w:val="none"/>
        </w:rPr>
      </w:pPr>
    </w:p>
    <w:p>
      <w:pPr>
        <w:jc w:val="center"/>
        <w:rPr>
          <w:rFonts w:ascii="方正大标宋简体" w:eastAsia="方正大标宋简体"/>
          <w:b/>
          <w:kern w:val="0"/>
          <w:sz w:val="36"/>
          <w:szCs w:val="36"/>
          <w:highlight w:val="none"/>
        </w:rPr>
      </w:pPr>
    </w:p>
    <w:p>
      <w:pPr>
        <w:jc w:val="center"/>
        <w:rPr>
          <w:rFonts w:ascii="方正大标宋简体" w:eastAsia="方正大标宋简体"/>
          <w:kern w:val="0"/>
          <w:sz w:val="36"/>
          <w:szCs w:val="36"/>
          <w:highlight w:val="none"/>
        </w:rPr>
      </w:pPr>
    </w:p>
    <w:p>
      <w:pPr>
        <w:tabs>
          <w:tab w:val="left" w:pos="2628"/>
        </w:tabs>
        <w:spacing w:line="360" w:lineRule="auto"/>
        <w:ind w:left="2492" w:leftChars="401" w:hanging="1650" w:hangingChars="550"/>
        <w:jc w:val="left"/>
        <w:rPr>
          <w:rFonts w:ascii="宋体" w:hAnsi="宋体"/>
          <w:kern w:val="0"/>
          <w:sz w:val="30"/>
          <w:szCs w:val="30"/>
          <w:highlight w:val="none"/>
        </w:rPr>
      </w:pPr>
      <w:r>
        <w:rPr>
          <w:rFonts w:hint="eastAsia" w:ascii="方正大标宋简体" w:eastAsia="方正大标宋简体"/>
          <w:kern w:val="0"/>
          <w:sz w:val="30"/>
          <w:szCs w:val="30"/>
          <w:highlight w:val="none"/>
        </w:rPr>
        <w:t>项目名称：</w:t>
      </w:r>
      <w:r>
        <w:rPr>
          <w:rFonts w:hint="eastAsia" w:ascii="方正大标宋简体" w:eastAsia="方正大标宋简体"/>
          <w:kern w:val="0"/>
          <w:sz w:val="30"/>
          <w:szCs w:val="30"/>
          <w:highlight w:val="none"/>
        </w:rPr>
        <w:tab/>
      </w:r>
    </w:p>
    <w:p>
      <w:pPr>
        <w:tabs>
          <w:tab w:val="left" w:pos="2628"/>
        </w:tabs>
        <w:spacing w:line="360" w:lineRule="auto"/>
        <w:ind w:left="843"/>
        <w:jc w:val="left"/>
        <w:rPr>
          <w:rFonts w:ascii="方正大标宋简体" w:eastAsia="方正大标宋简体"/>
          <w:kern w:val="0"/>
          <w:sz w:val="30"/>
          <w:szCs w:val="30"/>
          <w:highlight w:val="none"/>
        </w:rPr>
      </w:pPr>
      <w:r>
        <w:rPr>
          <w:rFonts w:hint="eastAsia" w:ascii="方正大标宋简体" w:eastAsia="方正大标宋简体"/>
          <w:kern w:val="0"/>
          <w:sz w:val="30"/>
          <w:szCs w:val="30"/>
          <w:highlight w:val="none"/>
        </w:rPr>
        <w:t>项目编号：</w:t>
      </w:r>
    </w:p>
    <w:p>
      <w:pPr>
        <w:spacing w:line="360" w:lineRule="auto"/>
        <w:ind w:left="1080"/>
        <w:rPr>
          <w:rFonts w:ascii="幼圆" w:eastAsia="幼圆"/>
          <w:b/>
          <w:bCs/>
          <w:kern w:val="0"/>
          <w:sz w:val="28"/>
          <w:szCs w:val="28"/>
          <w:highlight w:val="none"/>
        </w:rPr>
      </w:pPr>
    </w:p>
    <w:p>
      <w:pPr>
        <w:jc w:val="center"/>
        <w:rPr>
          <w:rFonts w:ascii="方正大标宋简体" w:eastAsia="方正大标宋简体"/>
          <w:kern w:val="0"/>
          <w:sz w:val="44"/>
          <w:szCs w:val="44"/>
          <w:highlight w:val="none"/>
        </w:rPr>
      </w:pPr>
    </w:p>
    <w:p>
      <w:pPr>
        <w:jc w:val="center"/>
        <w:rPr>
          <w:rFonts w:ascii="方正大标宋简体" w:eastAsia="方正大标宋简体"/>
          <w:kern w:val="0"/>
          <w:sz w:val="44"/>
          <w:szCs w:val="44"/>
          <w:highlight w:val="none"/>
        </w:rPr>
      </w:pPr>
    </w:p>
    <w:p>
      <w:pPr>
        <w:jc w:val="center"/>
        <w:rPr>
          <w:rFonts w:ascii="宋体" w:hAnsi="宋体"/>
          <w:b/>
          <w:kern w:val="0"/>
          <w:sz w:val="30"/>
          <w:szCs w:val="30"/>
          <w:highlight w:val="none"/>
        </w:rPr>
      </w:pPr>
      <w:r>
        <w:rPr>
          <w:rFonts w:hint="eastAsia" w:ascii="方正大标宋简体" w:eastAsia="方正大标宋简体"/>
          <w:b/>
          <w:kern w:val="0"/>
          <w:sz w:val="30"/>
          <w:szCs w:val="30"/>
          <w:highlight w:val="none"/>
        </w:rPr>
        <w:t>供应商</w:t>
      </w:r>
      <w:r>
        <w:rPr>
          <w:rFonts w:hint="eastAsia" w:ascii="宋体" w:hAnsi="宋体"/>
          <w:b/>
          <w:kern w:val="0"/>
          <w:sz w:val="30"/>
          <w:szCs w:val="30"/>
          <w:highlight w:val="none"/>
        </w:rPr>
        <w:t>：（盖单位章）</w:t>
      </w:r>
    </w:p>
    <w:p>
      <w:pPr>
        <w:rPr>
          <w:rFonts w:ascii="宋体" w:hAnsi="宋体"/>
          <w:b/>
          <w:kern w:val="0"/>
          <w:sz w:val="30"/>
          <w:szCs w:val="30"/>
          <w:highlight w:val="none"/>
        </w:rPr>
      </w:pPr>
    </w:p>
    <w:p>
      <w:pPr>
        <w:ind w:firstLine="1946" w:firstLineChars="646"/>
        <w:rPr>
          <w:rFonts w:ascii="宋体" w:hAnsi="宋体"/>
          <w:b/>
          <w:kern w:val="0"/>
          <w:sz w:val="30"/>
          <w:szCs w:val="30"/>
          <w:highlight w:val="none"/>
        </w:rPr>
      </w:pPr>
      <w:r>
        <w:rPr>
          <w:rFonts w:hint="eastAsia" w:ascii="宋体" w:hAnsi="宋体"/>
          <w:b/>
          <w:kern w:val="0"/>
          <w:sz w:val="30"/>
          <w:szCs w:val="30"/>
          <w:highlight w:val="none"/>
        </w:rPr>
        <w:t>日期：年月日</w:t>
      </w:r>
    </w:p>
    <w:p>
      <w:pPr>
        <w:spacing w:line="360" w:lineRule="auto"/>
        <w:ind w:left="1524"/>
        <w:rPr>
          <w:rFonts w:ascii="宋体" w:hAnsi="宋体"/>
          <w:kern w:val="0"/>
          <w:sz w:val="24"/>
          <w:highlight w:val="none"/>
        </w:rPr>
      </w:pPr>
    </w:p>
    <w:p>
      <w:pPr>
        <w:spacing w:line="500" w:lineRule="exact"/>
        <w:jc w:val="center"/>
        <w:rPr>
          <w:rFonts w:ascii="宋体" w:hAnsi="宋体"/>
          <w:b/>
          <w:bCs/>
          <w:kern w:val="0"/>
          <w:sz w:val="36"/>
          <w:szCs w:val="36"/>
          <w:highlight w:val="none"/>
        </w:rPr>
      </w:pPr>
      <w:r>
        <w:rPr>
          <w:rFonts w:ascii="宋体" w:hAnsi="宋体"/>
          <w:b/>
          <w:bCs/>
          <w:kern w:val="0"/>
          <w:sz w:val="36"/>
          <w:szCs w:val="36"/>
          <w:highlight w:val="none"/>
        </w:rPr>
        <w:br w:type="page"/>
      </w:r>
    </w:p>
    <w:p>
      <w:pPr>
        <w:spacing w:line="500" w:lineRule="exact"/>
        <w:jc w:val="center"/>
        <w:rPr>
          <w:rFonts w:ascii="宋体" w:hAnsi="宋体"/>
          <w:b/>
          <w:bCs/>
          <w:kern w:val="0"/>
          <w:sz w:val="36"/>
          <w:szCs w:val="36"/>
          <w:highlight w:val="none"/>
        </w:rPr>
      </w:pPr>
    </w:p>
    <w:p>
      <w:pPr>
        <w:spacing w:line="500" w:lineRule="exact"/>
        <w:jc w:val="center"/>
        <w:rPr>
          <w:rFonts w:ascii="宋体" w:hAnsi="宋体"/>
          <w:b/>
          <w:bCs/>
          <w:kern w:val="0"/>
          <w:sz w:val="36"/>
          <w:szCs w:val="36"/>
          <w:highlight w:val="none"/>
        </w:rPr>
      </w:pPr>
      <w:r>
        <w:rPr>
          <w:rFonts w:hint="eastAsia" w:ascii="宋体" w:hAnsi="宋体"/>
          <w:b/>
          <w:bCs/>
          <w:kern w:val="0"/>
          <w:sz w:val="36"/>
          <w:szCs w:val="36"/>
          <w:highlight w:val="none"/>
        </w:rPr>
        <w:t>目 录</w:t>
      </w:r>
    </w:p>
    <w:p>
      <w:pPr>
        <w:spacing w:line="500" w:lineRule="exact"/>
        <w:jc w:val="center"/>
        <w:rPr>
          <w:rFonts w:ascii="宋体" w:hAnsi="宋体"/>
          <w:b/>
          <w:bCs/>
          <w:kern w:val="0"/>
          <w:sz w:val="36"/>
          <w:szCs w:val="36"/>
          <w:highlight w:val="none"/>
        </w:rPr>
      </w:pPr>
    </w:p>
    <w:p>
      <w:pPr>
        <w:spacing w:line="480" w:lineRule="auto"/>
        <w:ind w:firstLine="940" w:firstLineChars="390"/>
        <w:rPr>
          <w:rFonts w:ascii="宋体" w:hAnsi="宋体"/>
          <w:b/>
          <w:bCs/>
          <w:kern w:val="0"/>
          <w:szCs w:val="21"/>
          <w:highlight w:val="none"/>
        </w:rPr>
      </w:pPr>
      <w:r>
        <w:rPr>
          <w:rFonts w:hint="eastAsia" w:ascii="宋体" w:hAnsi="宋体"/>
          <w:b/>
          <w:bCs/>
          <w:kern w:val="0"/>
          <w:sz w:val="24"/>
          <w:highlight w:val="none"/>
        </w:rPr>
        <w:t>一</w:t>
      </w:r>
      <w:r>
        <w:rPr>
          <w:rFonts w:hint="eastAsia" w:ascii="宋体" w:hAnsi="宋体"/>
          <w:b/>
          <w:bCs/>
          <w:kern w:val="0"/>
          <w:szCs w:val="21"/>
          <w:highlight w:val="none"/>
        </w:rPr>
        <w:t>、资格部分</w:t>
      </w:r>
    </w:p>
    <w:p>
      <w:pPr>
        <w:spacing w:line="480" w:lineRule="auto"/>
        <w:ind w:firstLine="1155" w:firstLineChars="550"/>
        <w:rPr>
          <w:rFonts w:ascii="宋体" w:hAnsi="宋体"/>
          <w:kern w:val="0"/>
          <w:szCs w:val="21"/>
          <w:highlight w:val="none"/>
        </w:rPr>
      </w:pPr>
      <w:r>
        <w:rPr>
          <w:rFonts w:hint="eastAsia" w:ascii="宋体" w:hAnsi="宋体"/>
          <w:kern w:val="0"/>
          <w:szCs w:val="21"/>
          <w:highlight w:val="none"/>
        </w:rPr>
        <w:t xml:space="preserve"> （一） 法定代表人身份证明或法人代表授权书</w:t>
      </w:r>
    </w:p>
    <w:p>
      <w:pPr>
        <w:numPr>
          <w:ilvl w:val="0"/>
          <w:numId w:val="8"/>
        </w:numPr>
        <w:spacing w:line="480" w:lineRule="auto"/>
        <w:rPr>
          <w:rFonts w:ascii="宋体" w:hAnsi="宋体"/>
          <w:kern w:val="0"/>
          <w:szCs w:val="21"/>
          <w:highlight w:val="none"/>
        </w:rPr>
      </w:pPr>
      <w:r>
        <w:rPr>
          <w:rFonts w:hint="eastAsia" w:ascii="宋体" w:hAnsi="宋体"/>
          <w:kern w:val="0"/>
          <w:szCs w:val="21"/>
          <w:highlight w:val="none"/>
        </w:rPr>
        <w:t>陕西省政府采购供应商拒绝政府采购领域商业贿赂承诺书</w:t>
      </w:r>
    </w:p>
    <w:p>
      <w:pPr>
        <w:numPr>
          <w:ilvl w:val="0"/>
          <w:numId w:val="8"/>
        </w:numPr>
        <w:spacing w:line="480" w:lineRule="auto"/>
        <w:rPr>
          <w:rFonts w:ascii="宋体" w:hAnsi="宋体"/>
          <w:kern w:val="0"/>
          <w:szCs w:val="21"/>
          <w:highlight w:val="none"/>
        </w:rPr>
      </w:pPr>
      <w:r>
        <w:rPr>
          <w:rFonts w:hint="eastAsia" w:ascii="宋体" w:hAnsi="宋体"/>
          <w:kern w:val="0"/>
          <w:szCs w:val="21"/>
          <w:highlight w:val="none"/>
        </w:rPr>
        <w:t>证明文件</w:t>
      </w:r>
    </w:p>
    <w:p>
      <w:pPr>
        <w:numPr>
          <w:ilvl w:val="0"/>
          <w:numId w:val="8"/>
        </w:numPr>
        <w:spacing w:line="480" w:lineRule="auto"/>
        <w:rPr>
          <w:rFonts w:ascii="宋体" w:hAnsi="宋体"/>
          <w:kern w:val="0"/>
          <w:szCs w:val="21"/>
          <w:highlight w:val="none"/>
        </w:rPr>
      </w:pPr>
      <w:r>
        <w:rPr>
          <w:rFonts w:hint="eastAsia" w:ascii="宋体" w:hAnsi="宋体"/>
          <w:kern w:val="0"/>
          <w:szCs w:val="21"/>
          <w:highlight w:val="none"/>
        </w:rPr>
        <w:t>磋商保证金</w:t>
      </w:r>
    </w:p>
    <w:p>
      <w:pPr>
        <w:spacing w:line="480" w:lineRule="auto"/>
        <w:ind w:firstLine="926" w:firstLineChars="439"/>
        <w:rPr>
          <w:rFonts w:ascii="宋体" w:hAnsi="宋体"/>
          <w:b/>
          <w:bCs/>
          <w:kern w:val="0"/>
          <w:szCs w:val="21"/>
          <w:highlight w:val="none"/>
        </w:rPr>
      </w:pPr>
      <w:r>
        <w:rPr>
          <w:rFonts w:hint="eastAsia" w:ascii="宋体" w:hAnsi="宋体"/>
          <w:b/>
          <w:bCs/>
          <w:kern w:val="0"/>
          <w:szCs w:val="21"/>
          <w:highlight w:val="none"/>
        </w:rPr>
        <w:t>二、技术和商务部分</w:t>
      </w:r>
    </w:p>
    <w:p>
      <w:pPr>
        <w:spacing w:line="480" w:lineRule="auto"/>
        <w:ind w:left="1240"/>
        <w:rPr>
          <w:rFonts w:ascii="宋体" w:hAnsi="宋体"/>
          <w:kern w:val="0"/>
          <w:szCs w:val="21"/>
          <w:highlight w:val="none"/>
        </w:rPr>
      </w:pPr>
      <w:r>
        <w:rPr>
          <w:rFonts w:hint="eastAsia" w:ascii="宋体" w:hAnsi="宋体"/>
          <w:kern w:val="0"/>
          <w:szCs w:val="21"/>
          <w:highlight w:val="none"/>
        </w:rPr>
        <w:t>（一）磋商报价函</w:t>
      </w:r>
    </w:p>
    <w:p>
      <w:pPr>
        <w:spacing w:line="480" w:lineRule="auto"/>
        <w:ind w:left="1240"/>
        <w:rPr>
          <w:rFonts w:ascii="宋体" w:hAnsi="宋体"/>
          <w:kern w:val="0"/>
          <w:szCs w:val="21"/>
          <w:highlight w:val="none"/>
        </w:rPr>
      </w:pPr>
      <w:r>
        <w:rPr>
          <w:rFonts w:hint="eastAsia" w:ascii="宋体" w:hAnsi="宋体"/>
          <w:kern w:val="0"/>
          <w:szCs w:val="21"/>
          <w:highlight w:val="none"/>
        </w:rPr>
        <w:t>（二）磋商报价表</w:t>
      </w:r>
    </w:p>
    <w:p>
      <w:pPr>
        <w:spacing w:line="480" w:lineRule="auto"/>
        <w:ind w:left="1240"/>
        <w:rPr>
          <w:rFonts w:ascii="宋体" w:hAnsi="宋体"/>
          <w:kern w:val="0"/>
          <w:szCs w:val="21"/>
          <w:highlight w:val="none"/>
        </w:rPr>
      </w:pPr>
      <w:r>
        <w:rPr>
          <w:rFonts w:hint="eastAsia" w:ascii="宋体" w:hAnsi="宋体"/>
          <w:kern w:val="0"/>
          <w:szCs w:val="21"/>
          <w:highlight w:val="none"/>
        </w:rPr>
        <w:t>（三）施工组织设计</w:t>
      </w:r>
    </w:p>
    <w:p>
      <w:pPr>
        <w:spacing w:line="480" w:lineRule="auto"/>
        <w:ind w:left="1240"/>
        <w:rPr>
          <w:rFonts w:ascii="宋体" w:hAnsi="宋体"/>
          <w:kern w:val="0"/>
          <w:szCs w:val="21"/>
          <w:highlight w:val="none"/>
        </w:rPr>
      </w:pPr>
    </w:p>
    <w:p>
      <w:pPr>
        <w:spacing w:line="480" w:lineRule="auto"/>
        <w:rPr>
          <w:rFonts w:ascii="宋体" w:hAnsi="宋体"/>
          <w:kern w:val="0"/>
          <w:szCs w:val="21"/>
          <w:highlight w:val="none"/>
        </w:rPr>
      </w:pPr>
    </w:p>
    <w:p>
      <w:pPr>
        <w:spacing w:line="440" w:lineRule="exact"/>
        <w:rPr>
          <w:rFonts w:ascii="宋体" w:hAnsi="宋体"/>
          <w:b/>
          <w:kern w:val="0"/>
          <w:sz w:val="24"/>
          <w:highlight w:val="none"/>
        </w:rPr>
      </w:pPr>
      <w:r>
        <w:rPr>
          <w:rFonts w:ascii="宋体" w:hAnsi="宋体"/>
          <w:kern w:val="0"/>
          <w:sz w:val="28"/>
          <w:highlight w:val="none"/>
        </w:rPr>
        <w:br w:type="page"/>
      </w:r>
      <w:r>
        <w:rPr>
          <w:rFonts w:hint="eastAsia" w:ascii="宋体" w:hAnsi="宋体"/>
          <w:b/>
          <w:kern w:val="0"/>
          <w:sz w:val="24"/>
          <w:highlight w:val="none"/>
        </w:rPr>
        <w:t>资格部分</w:t>
      </w:r>
    </w:p>
    <w:p>
      <w:pPr>
        <w:spacing w:before="360" w:beforeLines="150" w:after="240" w:afterLines="100"/>
        <w:jc w:val="center"/>
        <w:outlineLvl w:val="2"/>
        <w:rPr>
          <w:rFonts w:ascii="宋体" w:hAnsi="宋体"/>
          <w:b/>
          <w:kern w:val="0"/>
          <w:sz w:val="28"/>
          <w:szCs w:val="28"/>
          <w:highlight w:val="none"/>
        </w:rPr>
      </w:pPr>
      <w:r>
        <w:rPr>
          <w:rFonts w:hint="eastAsia" w:ascii="宋体" w:hAnsi="宋体"/>
          <w:kern w:val="0"/>
          <w:sz w:val="28"/>
          <w:szCs w:val="28"/>
          <w:highlight w:val="none"/>
        </w:rPr>
        <w:t>一、</w:t>
      </w:r>
      <w:r>
        <w:rPr>
          <w:rFonts w:hint="eastAsia" w:ascii="宋体" w:hAnsi="宋体"/>
          <w:b/>
          <w:kern w:val="0"/>
          <w:sz w:val="28"/>
          <w:szCs w:val="28"/>
          <w:highlight w:val="none"/>
        </w:rPr>
        <w:t>法定代表人身份证明</w:t>
      </w:r>
    </w:p>
    <w:p>
      <w:pPr>
        <w:spacing w:line="500" w:lineRule="exact"/>
        <w:ind w:firstLine="480" w:firstLineChars="200"/>
        <w:rPr>
          <w:rFonts w:ascii="宋体" w:hAnsi="宋体"/>
          <w:kern w:val="0"/>
          <w:sz w:val="24"/>
          <w:highlight w:val="none"/>
        </w:rPr>
      </w:pPr>
    </w:p>
    <w:p>
      <w:pPr>
        <w:spacing w:line="500" w:lineRule="exact"/>
        <w:ind w:firstLine="420" w:firstLineChars="200"/>
        <w:rPr>
          <w:rFonts w:ascii="宋体" w:hAnsi="宋体"/>
          <w:kern w:val="0"/>
          <w:szCs w:val="21"/>
          <w:highlight w:val="none"/>
        </w:rPr>
      </w:pPr>
      <w:r>
        <w:rPr>
          <w:rFonts w:hint="eastAsia" w:ascii="宋体" w:hAnsi="宋体"/>
          <w:kern w:val="0"/>
          <w:szCs w:val="21"/>
          <w:highlight w:val="none"/>
        </w:rPr>
        <w:t>供 应 商：</w:t>
      </w:r>
    </w:p>
    <w:p>
      <w:pPr>
        <w:spacing w:line="500" w:lineRule="exact"/>
        <w:ind w:firstLine="420" w:firstLineChars="200"/>
        <w:rPr>
          <w:rFonts w:ascii="宋体" w:hAnsi="宋体"/>
          <w:kern w:val="0"/>
          <w:szCs w:val="21"/>
          <w:highlight w:val="none"/>
        </w:rPr>
      </w:pPr>
      <w:r>
        <w:rPr>
          <w:rFonts w:hint="eastAsia" w:ascii="宋体" w:hAnsi="宋体"/>
          <w:kern w:val="0"/>
          <w:szCs w:val="21"/>
          <w:highlight w:val="none"/>
        </w:rPr>
        <w:t>单位性质：</w:t>
      </w:r>
    </w:p>
    <w:p>
      <w:pPr>
        <w:spacing w:line="500" w:lineRule="exact"/>
        <w:ind w:firstLine="420" w:firstLineChars="200"/>
        <w:rPr>
          <w:rFonts w:ascii="宋体" w:hAnsi="宋体"/>
          <w:kern w:val="0"/>
          <w:szCs w:val="21"/>
          <w:highlight w:val="none"/>
        </w:rPr>
      </w:pPr>
      <w:r>
        <w:rPr>
          <w:rFonts w:hint="eastAsia" w:ascii="宋体" w:hAnsi="宋体"/>
          <w:kern w:val="0"/>
          <w:szCs w:val="21"/>
          <w:highlight w:val="none"/>
        </w:rPr>
        <w:t>地    址：</w:t>
      </w:r>
    </w:p>
    <w:p>
      <w:pPr>
        <w:spacing w:line="500" w:lineRule="exact"/>
        <w:ind w:firstLine="420" w:firstLineChars="200"/>
        <w:rPr>
          <w:rFonts w:ascii="宋体" w:hAnsi="宋体"/>
          <w:kern w:val="0"/>
          <w:szCs w:val="21"/>
          <w:highlight w:val="none"/>
        </w:rPr>
      </w:pPr>
      <w:r>
        <w:rPr>
          <w:rFonts w:hint="eastAsia" w:ascii="宋体" w:hAnsi="宋体"/>
          <w:kern w:val="0"/>
          <w:szCs w:val="21"/>
          <w:highlight w:val="none"/>
        </w:rPr>
        <w:t>成立时间：年月日</w:t>
      </w:r>
    </w:p>
    <w:p>
      <w:pPr>
        <w:spacing w:line="500" w:lineRule="exact"/>
        <w:ind w:firstLine="420" w:firstLineChars="200"/>
        <w:rPr>
          <w:rFonts w:ascii="宋体" w:hAnsi="宋体"/>
          <w:kern w:val="0"/>
          <w:szCs w:val="21"/>
          <w:highlight w:val="none"/>
        </w:rPr>
      </w:pPr>
      <w:r>
        <w:rPr>
          <w:rFonts w:hint="eastAsia" w:ascii="宋体" w:hAnsi="宋体"/>
          <w:kern w:val="0"/>
          <w:szCs w:val="21"/>
          <w:highlight w:val="none"/>
        </w:rPr>
        <w:t>经营期限：</w:t>
      </w:r>
    </w:p>
    <w:p>
      <w:pPr>
        <w:spacing w:line="500" w:lineRule="exact"/>
        <w:ind w:firstLine="420" w:firstLineChars="200"/>
        <w:rPr>
          <w:rFonts w:ascii="宋体" w:hAnsi="宋体"/>
          <w:kern w:val="0"/>
          <w:szCs w:val="21"/>
          <w:highlight w:val="none"/>
        </w:rPr>
      </w:pPr>
      <w:r>
        <w:rPr>
          <w:rFonts w:hint="eastAsia" w:ascii="宋体" w:hAnsi="宋体"/>
          <w:kern w:val="0"/>
          <w:szCs w:val="21"/>
          <w:highlight w:val="none"/>
        </w:rPr>
        <w:t>姓    名：性        别：</w:t>
      </w:r>
    </w:p>
    <w:p>
      <w:pPr>
        <w:spacing w:line="500" w:lineRule="exact"/>
        <w:ind w:firstLine="420" w:firstLineChars="200"/>
        <w:rPr>
          <w:rFonts w:ascii="宋体" w:hAnsi="宋体"/>
          <w:kern w:val="0"/>
          <w:szCs w:val="21"/>
          <w:highlight w:val="none"/>
        </w:rPr>
      </w:pPr>
      <w:r>
        <w:rPr>
          <w:rFonts w:hint="eastAsia" w:ascii="宋体" w:hAnsi="宋体"/>
          <w:kern w:val="0"/>
          <w:szCs w:val="21"/>
          <w:highlight w:val="none"/>
        </w:rPr>
        <w:t>年    龄：职        务：</w:t>
      </w:r>
    </w:p>
    <w:p>
      <w:pPr>
        <w:spacing w:line="500" w:lineRule="exact"/>
        <w:ind w:firstLine="420" w:firstLineChars="200"/>
        <w:rPr>
          <w:rFonts w:ascii="宋体" w:hAnsi="宋体"/>
          <w:kern w:val="0"/>
          <w:szCs w:val="21"/>
          <w:highlight w:val="none"/>
        </w:rPr>
      </w:pPr>
      <w:r>
        <w:rPr>
          <w:rFonts w:hint="eastAsia" w:ascii="宋体" w:hAnsi="宋体"/>
          <w:kern w:val="0"/>
          <w:szCs w:val="21"/>
          <w:highlight w:val="none"/>
        </w:rPr>
        <w:t>系（供应商名称）的法定代表人。</w:t>
      </w:r>
    </w:p>
    <w:p>
      <w:pPr>
        <w:spacing w:line="500" w:lineRule="exact"/>
        <w:ind w:firstLine="420" w:firstLineChars="200"/>
        <w:rPr>
          <w:rFonts w:ascii="宋体" w:hAnsi="宋体"/>
          <w:kern w:val="0"/>
          <w:szCs w:val="21"/>
          <w:highlight w:val="none"/>
        </w:rPr>
      </w:pPr>
      <w:r>
        <w:rPr>
          <w:rFonts w:hint="eastAsia" w:ascii="宋体" w:hAnsi="宋体"/>
          <w:kern w:val="0"/>
          <w:szCs w:val="21"/>
          <w:highlight w:val="none"/>
        </w:rPr>
        <w:t>特此证明。</w:t>
      </w:r>
    </w:p>
    <w:p>
      <w:pPr>
        <w:spacing w:line="500" w:lineRule="exact"/>
        <w:rPr>
          <w:rFonts w:ascii="宋体" w:hAnsi="宋体"/>
          <w:kern w:val="0"/>
          <w:szCs w:val="21"/>
          <w:highlight w:val="none"/>
        </w:rPr>
      </w:pPr>
    </w:p>
    <w:p>
      <w:pPr>
        <w:spacing w:line="500" w:lineRule="exact"/>
        <w:rPr>
          <w:rFonts w:ascii="宋体" w:hAnsi="宋体"/>
          <w:kern w:val="0"/>
          <w:szCs w:val="21"/>
          <w:highlight w:val="none"/>
        </w:rPr>
      </w:pPr>
    </w:p>
    <w:p>
      <w:pPr>
        <w:spacing w:line="500" w:lineRule="exact"/>
        <w:jc w:val="right"/>
        <w:rPr>
          <w:rFonts w:ascii="宋体" w:hAnsi="宋体"/>
          <w:kern w:val="0"/>
          <w:szCs w:val="21"/>
          <w:highlight w:val="none"/>
        </w:rPr>
      </w:pPr>
    </w:p>
    <w:p>
      <w:pPr>
        <w:spacing w:line="480" w:lineRule="auto"/>
        <w:ind w:right="210"/>
        <w:jc w:val="right"/>
        <w:rPr>
          <w:rFonts w:ascii="宋体" w:hAnsi="宋体"/>
          <w:kern w:val="0"/>
          <w:szCs w:val="21"/>
          <w:highlight w:val="none"/>
        </w:rPr>
      </w:pPr>
      <w:r>
        <w:rPr>
          <w:rFonts w:hint="eastAsia" w:ascii="宋体" w:hAnsi="宋体"/>
          <w:kern w:val="0"/>
          <w:szCs w:val="21"/>
          <w:highlight w:val="none"/>
        </w:rPr>
        <w:t>供应商名称：（盖单位章）</w:t>
      </w:r>
    </w:p>
    <w:p>
      <w:pPr>
        <w:spacing w:line="440" w:lineRule="exact"/>
        <w:jc w:val="center"/>
        <w:rPr>
          <w:rFonts w:ascii="宋体" w:hAnsi="宋体"/>
          <w:kern w:val="0"/>
          <w:szCs w:val="21"/>
          <w:highlight w:val="none"/>
        </w:rPr>
      </w:pPr>
      <w:r>
        <w:rPr>
          <w:rFonts w:hint="eastAsia" w:ascii="宋体" w:hAnsi="宋体"/>
          <w:kern w:val="0"/>
          <w:szCs w:val="21"/>
          <w:highlight w:val="none"/>
        </w:rPr>
        <w:t>年月日</w:t>
      </w:r>
    </w:p>
    <w:p>
      <w:pPr>
        <w:spacing w:line="440" w:lineRule="exact"/>
        <w:ind w:left="420"/>
        <w:jc w:val="center"/>
        <w:rPr>
          <w:rFonts w:ascii="宋体" w:hAnsi="宋体"/>
          <w:b/>
          <w:kern w:val="0"/>
          <w:sz w:val="36"/>
          <w:szCs w:val="36"/>
          <w:highlight w:val="none"/>
        </w:rPr>
      </w:pPr>
    </w:p>
    <w:p>
      <w:pPr>
        <w:spacing w:line="440" w:lineRule="exact"/>
        <w:ind w:left="420"/>
        <w:jc w:val="center"/>
        <w:rPr>
          <w:rFonts w:ascii="宋体" w:hAnsi="宋体"/>
          <w:b/>
          <w:kern w:val="0"/>
          <w:sz w:val="36"/>
          <w:szCs w:val="36"/>
          <w:highlight w:val="none"/>
        </w:rPr>
      </w:pPr>
    </w:p>
    <w:p>
      <w:pPr>
        <w:spacing w:line="440" w:lineRule="exact"/>
        <w:ind w:left="420"/>
        <w:jc w:val="center"/>
        <w:rPr>
          <w:rFonts w:ascii="宋体" w:hAnsi="宋体"/>
          <w:b/>
          <w:kern w:val="0"/>
          <w:sz w:val="36"/>
          <w:szCs w:val="36"/>
          <w:highlight w:val="none"/>
        </w:rPr>
      </w:pPr>
    </w:p>
    <w:p>
      <w:pPr>
        <w:spacing w:line="440" w:lineRule="exact"/>
        <w:ind w:firstLine="510"/>
        <w:rPr>
          <w:rFonts w:ascii="宋体" w:hAnsi="宋体"/>
          <w:kern w:val="0"/>
          <w:szCs w:val="21"/>
          <w:highlight w:val="none"/>
        </w:rPr>
      </w:pPr>
      <w:r>
        <w:rPr>
          <w:rFonts w:hint="eastAsia" w:ascii="宋体" w:hAnsi="宋体"/>
          <w:kern w:val="0"/>
          <w:szCs w:val="21"/>
          <w:highlight w:val="none"/>
        </w:rPr>
        <w:t>附件：法定代表人身份证复印件；</w:t>
      </w:r>
    </w:p>
    <w:p>
      <w:pPr>
        <w:spacing w:line="440" w:lineRule="exact"/>
        <w:ind w:firstLine="953" w:firstLineChars="454"/>
        <w:rPr>
          <w:rFonts w:ascii="宋体" w:hAnsi="宋体"/>
          <w:kern w:val="0"/>
          <w:szCs w:val="21"/>
          <w:highlight w:val="none"/>
        </w:rPr>
      </w:pPr>
      <w:r>
        <w:rPr>
          <w:rFonts w:hint="eastAsia" w:ascii="宋体" w:hAnsi="宋体"/>
          <w:kern w:val="0"/>
          <w:szCs w:val="21"/>
          <w:highlight w:val="none"/>
        </w:rPr>
        <w:t>（必须印正反两面的完整信息）</w:t>
      </w:r>
    </w:p>
    <w:p>
      <w:pPr>
        <w:spacing w:line="440" w:lineRule="exact"/>
        <w:ind w:left="420" w:leftChars="200" w:firstLine="210" w:firstLineChars="100"/>
        <w:rPr>
          <w:rFonts w:ascii="宋体" w:hAnsi="宋体"/>
          <w:kern w:val="0"/>
          <w:szCs w:val="21"/>
          <w:highlight w:val="none"/>
        </w:rPr>
      </w:pPr>
      <w:r>
        <w:rPr>
          <w:rFonts w:hint="eastAsia" w:ascii="宋体" w:hAnsi="宋体"/>
          <w:kern w:val="0"/>
          <w:szCs w:val="21"/>
          <w:highlight w:val="none"/>
        </w:rPr>
        <w:t>注：身份证信息不全的无效。</w:t>
      </w:r>
    </w:p>
    <w:p>
      <w:pPr>
        <w:spacing w:line="440" w:lineRule="exact"/>
        <w:ind w:left="420"/>
        <w:jc w:val="center"/>
        <w:rPr>
          <w:rFonts w:ascii="宋体" w:hAnsi="宋体"/>
          <w:b/>
          <w:kern w:val="0"/>
          <w:sz w:val="28"/>
          <w:szCs w:val="28"/>
          <w:highlight w:val="none"/>
        </w:rPr>
      </w:pPr>
      <w:r>
        <w:rPr>
          <w:rFonts w:ascii="宋体" w:hAnsi="宋体"/>
          <w:kern w:val="0"/>
          <w:szCs w:val="21"/>
          <w:highlight w:val="none"/>
        </w:rPr>
        <w:br w:type="page"/>
      </w:r>
      <w:r>
        <w:rPr>
          <w:rFonts w:hint="eastAsia" w:ascii="宋体" w:hAnsi="宋体"/>
          <w:b/>
          <w:kern w:val="0"/>
          <w:sz w:val="28"/>
          <w:szCs w:val="28"/>
          <w:highlight w:val="none"/>
        </w:rPr>
        <w:t>一、法人代表授权书</w:t>
      </w:r>
    </w:p>
    <w:p>
      <w:pPr>
        <w:spacing w:line="440" w:lineRule="exact"/>
        <w:ind w:left="-359" w:leftChars="-171" w:firstLine="482" w:firstLineChars="200"/>
        <w:jc w:val="center"/>
        <w:rPr>
          <w:rFonts w:ascii="宋体" w:hAnsi="宋体"/>
          <w:b/>
          <w:bCs/>
          <w:kern w:val="0"/>
          <w:sz w:val="24"/>
          <w:szCs w:val="32"/>
          <w:highlight w:val="none"/>
        </w:rPr>
      </w:pPr>
    </w:p>
    <w:p>
      <w:pPr>
        <w:spacing w:line="440" w:lineRule="exact"/>
        <w:jc w:val="left"/>
        <w:rPr>
          <w:rFonts w:ascii="宋体" w:hAnsi="宋体"/>
          <w:kern w:val="0"/>
          <w:szCs w:val="21"/>
          <w:highlight w:val="none"/>
        </w:rPr>
      </w:pPr>
      <w:r>
        <w:rPr>
          <w:rFonts w:hint="eastAsia" w:ascii="宋体" w:hAnsi="宋体"/>
          <w:kern w:val="0"/>
          <w:szCs w:val="21"/>
          <w:highlight w:val="none"/>
        </w:rPr>
        <w:t>致：</w:t>
      </w:r>
      <w:r>
        <w:rPr>
          <w:rFonts w:hint="eastAsia" w:ascii="宋体" w:hAnsi="宋体"/>
          <w:kern w:val="0"/>
          <w:szCs w:val="21"/>
          <w:highlight w:val="none"/>
          <w:u w:val="single"/>
        </w:rPr>
        <w:t>陕西恒瑞项目管理有限公司</w:t>
      </w:r>
    </w:p>
    <w:p>
      <w:pPr>
        <w:spacing w:line="440" w:lineRule="exact"/>
        <w:ind w:firstLine="420" w:firstLineChars="200"/>
        <w:jc w:val="left"/>
        <w:rPr>
          <w:rFonts w:ascii="宋体" w:hAnsi="宋体"/>
          <w:kern w:val="0"/>
          <w:szCs w:val="21"/>
          <w:highlight w:val="none"/>
        </w:rPr>
      </w:pPr>
      <w:r>
        <w:rPr>
          <w:rFonts w:hint="eastAsia" w:ascii="宋体" w:hAnsi="宋体"/>
          <w:kern w:val="0"/>
          <w:szCs w:val="21"/>
          <w:highlight w:val="none"/>
          <w:u w:val="single"/>
        </w:rPr>
        <w:t xml:space="preserve">(供应商名称) </w:t>
      </w:r>
      <w:r>
        <w:rPr>
          <w:rFonts w:hint="eastAsia" w:ascii="宋体" w:hAnsi="宋体"/>
          <w:kern w:val="0"/>
          <w:szCs w:val="21"/>
          <w:highlight w:val="none"/>
        </w:rPr>
        <w:t>按中华人民共和国法律于</w:t>
      </w:r>
      <w:r>
        <w:rPr>
          <w:rFonts w:hint="eastAsia" w:ascii="宋体" w:hAnsi="宋体"/>
          <w:kern w:val="0"/>
          <w:szCs w:val="21"/>
          <w:highlight w:val="none"/>
          <w:u w:val="single"/>
        </w:rPr>
        <w:t>（     年   月   日）</w:t>
      </w:r>
      <w:r>
        <w:rPr>
          <w:rFonts w:hint="eastAsia" w:ascii="宋体" w:hAnsi="宋体"/>
          <w:kern w:val="0"/>
          <w:szCs w:val="21"/>
          <w:highlight w:val="none"/>
        </w:rPr>
        <w:t>成立。</w:t>
      </w:r>
      <w:r>
        <w:rPr>
          <w:rFonts w:hint="eastAsia" w:ascii="宋体" w:hAnsi="宋体"/>
          <w:kern w:val="0"/>
          <w:szCs w:val="21"/>
          <w:highlight w:val="none"/>
          <w:u w:val="single"/>
        </w:rPr>
        <w:t xml:space="preserve"> (法定代表人姓名)</w:t>
      </w:r>
      <w:r>
        <w:rPr>
          <w:rFonts w:hint="eastAsia" w:ascii="宋体" w:hAnsi="宋体"/>
          <w:kern w:val="0"/>
          <w:szCs w:val="21"/>
          <w:highlight w:val="none"/>
        </w:rPr>
        <w:t>特授权</w:t>
      </w:r>
      <w:r>
        <w:rPr>
          <w:rFonts w:hint="eastAsia" w:ascii="宋体" w:hAnsi="宋体"/>
          <w:kern w:val="0"/>
          <w:szCs w:val="21"/>
          <w:highlight w:val="none"/>
          <w:u w:val="single"/>
        </w:rPr>
        <w:t>（被授权人姓名）</w:t>
      </w:r>
      <w:r>
        <w:rPr>
          <w:rFonts w:hint="eastAsia" w:ascii="宋体" w:hAnsi="宋体"/>
          <w:kern w:val="0"/>
          <w:szCs w:val="21"/>
          <w:highlight w:val="none"/>
        </w:rPr>
        <w:t xml:space="preserve">代表我公司全权办理针对本次政府采购 </w:t>
      </w:r>
      <w:r>
        <w:rPr>
          <w:rFonts w:hint="eastAsia" w:ascii="宋体" w:hAnsi="宋体"/>
          <w:kern w:val="0"/>
          <w:szCs w:val="21"/>
          <w:highlight w:val="none"/>
          <w:u w:val="single"/>
        </w:rPr>
        <w:t>（磋商项目名称和项目编号）</w:t>
      </w:r>
      <w:r>
        <w:rPr>
          <w:rFonts w:hint="eastAsia" w:ascii="宋体" w:hAnsi="宋体"/>
          <w:kern w:val="0"/>
          <w:szCs w:val="21"/>
          <w:highlight w:val="none"/>
        </w:rPr>
        <w:t>项目的磋商、签约等具体工作，并签署全部有关的文件、协议及合同。</w:t>
      </w:r>
    </w:p>
    <w:p>
      <w:pPr>
        <w:spacing w:line="440" w:lineRule="exact"/>
        <w:ind w:firstLine="420" w:firstLineChars="200"/>
        <w:jc w:val="left"/>
        <w:rPr>
          <w:rFonts w:ascii="宋体" w:hAnsi="宋体"/>
          <w:kern w:val="0"/>
          <w:szCs w:val="21"/>
          <w:highlight w:val="none"/>
        </w:rPr>
      </w:pPr>
      <w:r>
        <w:rPr>
          <w:rFonts w:hint="eastAsia" w:ascii="宋体" w:hAnsi="宋体"/>
          <w:kern w:val="0"/>
          <w:szCs w:val="21"/>
          <w:highlight w:val="none"/>
        </w:rPr>
        <w:t>我公司对被授权人的签名负全部责任。</w:t>
      </w:r>
    </w:p>
    <w:p>
      <w:pPr>
        <w:spacing w:line="440" w:lineRule="exact"/>
        <w:ind w:firstLine="420" w:firstLineChars="200"/>
        <w:jc w:val="left"/>
        <w:rPr>
          <w:rFonts w:ascii="宋体" w:hAnsi="宋体"/>
          <w:kern w:val="0"/>
          <w:szCs w:val="21"/>
          <w:highlight w:val="none"/>
        </w:rPr>
      </w:pPr>
      <w:r>
        <w:rPr>
          <w:rFonts w:hint="eastAsia" w:ascii="宋体" w:hAnsi="宋体"/>
          <w:kern w:val="0"/>
          <w:szCs w:val="21"/>
          <w:highlight w:val="none"/>
        </w:rPr>
        <w:t>本授权书于</w:t>
      </w:r>
      <w:r>
        <w:rPr>
          <w:rFonts w:hint="eastAsia" w:ascii="宋体" w:hAnsi="宋体"/>
          <w:kern w:val="0"/>
          <w:szCs w:val="21"/>
          <w:highlight w:val="none"/>
          <w:u w:val="single"/>
        </w:rPr>
        <w:t xml:space="preserve">      年   月   </w:t>
      </w:r>
      <w:r>
        <w:rPr>
          <w:rFonts w:hint="eastAsia" w:ascii="宋体" w:hAnsi="宋体"/>
          <w:kern w:val="0"/>
          <w:szCs w:val="21"/>
          <w:highlight w:val="none"/>
        </w:rPr>
        <w:t>日签字生效，特此证明。</w:t>
      </w:r>
    </w:p>
    <w:p>
      <w:pPr>
        <w:spacing w:line="440" w:lineRule="exact"/>
        <w:ind w:firstLine="420" w:firstLineChars="200"/>
        <w:jc w:val="left"/>
        <w:rPr>
          <w:rFonts w:ascii="宋体" w:hAnsi="宋体"/>
          <w:kern w:val="0"/>
          <w:szCs w:val="21"/>
          <w:highlight w:val="none"/>
        </w:rPr>
      </w:pPr>
    </w:p>
    <w:tbl>
      <w:tblPr>
        <w:tblStyle w:val="45"/>
        <w:tblW w:w="7889" w:type="dxa"/>
        <w:tblInd w:w="633" w:type="dxa"/>
        <w:tblLayout w:type="fixed"/>
        <w:tblCellMar>
          <w:top w:w="0" w:type="dxa"/>
          <w:left w:w="108" w:type="dxa"/>
          <w:bottom w:w="0" w:type="dxa"/>
          <w:right w:w="108" w:type="dxa"/>
        </w:tblCellMar>
      </w:tblPr>
      <w:tblGrid>
        <w:gridCol w:w="4045"/>
        <w:gridCol w:w="3844"/>
      </w:tblGrid>
      <w:tr>
        <w:tblPrEx>
          <w:tblCellMar>
            <w:top w:w="0" w:type="dxa"/>
            <w:left w:w="108" w:type="dxa"/>
            <w:bottom w:w="0" w:type="dxa"/>
            <w:right w:w="108" w:type="dxa"/>
          </w:tblCellMar>
        </w:tblPrEx>
        <w:trPr>
          <w:trHeight w:val="600" w:hRule="atLeast"/>
        </w:trPr>
        <w:tc>
          <w:tcPr>
            <w:tcW w:w="4045" w:type="dxa"/>
          </w:tcPr>
          <w:p>
            <w:pPr>
              <w:spacing w:line="440" w:lineRule="exact"/>
              <w:jc w:val="left"/>
              <w:rPr>
                <w:rFonts w:ascii="宋体" w:hAnsi="宋体"/>
                <w:kern w:val="0"/>
                <w:szCs w:val="21"/>
                <w:highlight w:val="none"/>
              </w:rPr>
            </w:pPr>
            <w:r>
              <w:rPr>
                <w:rFonts w:hint="eastAsia" w:ascii="宋体" w:hAnsi="宋体"/>
                <w:kern w:val="0"/>
                <w:szCs w:val="21"/>
                <w:highlight w:val="none"/>
              </w:rPr>
              <w:t>被授权人</w:t>
            </w:r>
            <w:r>
              <w:rPr>
                <w:rFonts w:hint="eastAsia" w:ascii="宋体" w:hAnsi="宋体" w:cs="宋体"/>
                <w:kern w:val="0"/>
                <w:szCs w:val="21"/>
                <w:highlight w:val="none"/>
              </w:rPr>
              <w:t>（</w:t>
            </w:r>
            <w:r>
              <w:rPr>
                <w:rFonts w:ascii="宋体" w:hAnsi="宋体" w:cs="宋体"/>
                <w:kern w:val="0"/>
                <w:szCs w:val="21"/>
                <w:highlight w:val="none"/>
              </w:rPr>
              <w:t>签字</w:t>
            </w:r>
            <w:r>
              <w:rPr>
                <w:rFonts w:hint="eastAsia" w:ascii="宋体" w:hAnsi="宋体" w:cs="宋体"/>
                <w:kern w:val="0"/>
                <w:szCs w:val="21"/>
                <w:highlight w:val="none"/>
              </w:rPr>
              <w:t>或盖章）</w:t>
            </w:r>
            <w:r>
              <w:rPr>
                <w:rFonts w:hint="eastAsia" w:ascii="宋体" w:hAnsi="宋体"/>
                <w:kern w:val="0"/>
                <w:szCs w:val="21"/>
                <w:highlight w:val="none"/>
              </w:rPr>
              <w:t>：</w:t>
            </w:r>
          </w:p>
        </w:tc>
        <w:tc>
          <w:tcPr>
            <w:tcW w:w="3844" w:type="dxa"/>
          </w:tcPr>
          <w:p>
            <w:pPr>
              <w:spacing w:line="440" w:lineRule="exact"/>
              <w:jc w:val="left"/>
              <w:rPr>
                <w:rFonts w:ascii="宋体" w:hAnsi="宋体"/>
                <w:kern w:val="0"/>
                <w:szCs w:val="21"/>
                <w:highlight w:val="none"/>
              </w:rPr>
            </w:pPr>
            <w:r>
              <w:rPr>
                <w:rFonts w:hint="eastAsia" w:ascii="宋体" w:hAnsi="宋体"/>
                <w:kern w:val="0"/>
                <w:szCs w:val="21"/>
                <w:highlight w:val="none"/>
              </w:rPr>
              <w:t>法定代表人</w:t>
            </w:r>
            <w:r>
              <w:rPr>
                <w:rFonts w:hint="eastAsia" w:ascii="宋体" w:hAnsi="宋体" w:cs="宋体"/>
                <w:kern w:val="0"/>
                <w:szCs w:val="21"/>
                <w:highlight w:val="none"/>
              </w:rPr>
              <w:t>（</w:t>
            </w:r>
            <w:r>
              <w:rPr>
                <w:rFonts w:ascii="宋体" w:hAnsi="宋体" w:cs="宋体"/>
                <w:kern w:val="0"/>
                <w:szCs w:val="21"/>
                <w:highlight w:val="none"/>
              </w:rPr>
              <w:t>签字</w:t>
            </w:r>
            <w:r>
              <w:rPr>
                <w:rFonts w:hint="eastAsia" w:ascii="宋体" w:hAnsi="宋体" w:cs="宋体"/>
                <w:kern w:val="0"/>
                <w:szCs w:val="21"/>
                <w:highlight w:val="none"/>
              </w:rPr>
              <w:t>或盖章）</w:t>
            </w:r>
            <w:r>
              <w:rPr>
                <w:rFonts w:hint="eastAsia" w:ascii="宋体" w:hAnsi="宋体"/>
                <w:kern w:val="0"/>
                <w:szCs w:val="21"/>
                <w:highlight w:val="none"/>
              </w:rPr>
              <w:t>：</w:t>
            </w:r>
          </w:p>
        </w:tc>
      </w:tr>
      <w:tr>
        <w:tblPrEx>
          <w:tblCellMar>
            <w:top w:w="0" w:type="dxa"/>
            <w:left w:w="108" w:type="dxa"/>
            <w:bottom w:w="0" w:type="dxa"/>
            <w:right w:w="108" w:type="dxa"/>
          </w:tblCellMar>
        </w:tblPrEx>
        <w:trPr>
          <w:trHeight w:val="600" w:hRule="atLeast"/>
        </w:trPr>
        <w:tc>
          <w:tcPr>
            <w:tcW w:w="4045" w:type="dxa"/>
          </w:tcPr>
          <w:p>
            <w:pPr>
              <w:spacing w:line="440" w:lineRule="exact"/>
              <w:jc w:val="left"/>
              <w:rPr>
                <w:rFonts w:ascii="宋体" w:hAnsi="宋体"/>
                <w:kern w:val="0"/>
                <w:szCs w:val="21"/>
                <w:highlight w:val="none"/>
              </w:rPr>
            </w:pPr>
            <w:r>
              <w:rPr>
                <w:rFonts w:hint="eastAsia" w:ascii="宋体" w:hAnsi="宋体"/>
                <w:kern w:val="0"/>
                <w:szCs w:val="21"/>
                <w:highlight w:val="none"/>
              </w:rPr>
              <w:t>职务：</w:t>
            </w:r>
          </w:p>
        </w:tc>
        <w:tc>
          <w:tcPr>
            <w:tcW w:w="3844" w:type="dxa"/>
          </w:tcPr>
          <w:p>
            <w:pPr>
              <w:spacing w:line="440" w:lineRule="exact"/>
              <w:jc w:val="left"/>
              <w:rPr>
                <w:rFonts w:ascii="宋体" w:hAnsi="宋体"/>
                <w:kern w:val="0"/>
                <w:szCs w:val="21"/>
                <w:highlight w:val="none"/>
              </w:rPr>
            </w:pPr>
            <w:r>
              <w:rPr>
                <w:rFonts w:hint="eastAsia" w:ascii="宋体" w:hAnsi="宋体"/>
                <w:kern w:val="0"/>
                <w:szCs w:val="21"/>
                <w:highlight w:val="none"/>
              </w:rPr>
              <w:t>职务：</w:t>
            </w:r>
          </w:p>
        </w:tc>
      </w:tr>
      <w:tr>
        <w:tblPrEx>
          <w:tblCellMar>
            <w:top w:w="0" w:type="dxa"/>
            <w:left w:w="108" w:type="dxa"/>
            <w:bottom w:w="0" w:type="dxa"/>
            <w:right w:w="108" w:type="dxa"/>
          </w:tblCellMar>
        </w:tblPrEx>
        <w:trPr>
          <w:trHeight w:val="600" w:hRule="atLeast"/>
        </w:trPr>
        <w:tc>
          <w:tcPr>
            <w:tcW w:w="4045" w:type="dxa"/>
          </w:tcPr>
          <w:p>
            <w:pPr>
              <w:spacing w:line="440" w:lineRule="exact"/>
              <w:jc w:val="left"/>
              <w:rPr>
                <w:rFonts w:ascii="宋体" w:hAnsi="宋体"/>
                <w:kern w:val="0"/>
                <w:szCs w:val="21"/>
                <w:highlight w:val="none"/>
              </w:rPr>
            </w:pPr>
            <w:r>
              <w:rPr>
                <w:rFonts w:hint="eastAsia" w:ascii="宋体" w:hAnsi="宋体"/>
                <w:kern w:val="0"/>
                <w:szCs w:val="21"/>
                <w:highlight w:val="none"/>
              </w:rPr>
              <w:t>所在部门：</w:t>
            </w:r>
          </w:p>
        </w:tc>
        <w:tc>
          <w:tcPr>
            <w:tcW w:w="3844" w:type="dxa"/>
          </w:tcPr>
          <w:p>
            <w:pPr>
              <w:spacing w:line="440" w:lineRule="exact"/>
              <w:jc w:val="left"/>
              <w:rPr>
                <w:rFonts w:ascii="宋体" w:hAnsi="宋体"/>
                <w:kern w:val="0"/>
                <w:szCs w:val="21"/>
                <w:highlight w:val="none"/>
              </w:rPr>
            </w:pPr>
          </w:p>
        </w:tc>
      </w:tr>
    </w:tbl>
    <w:p>
      <w:pPr>
        <w:spacing w:line="440" w:lineRule="exact"/>
        <w:ind w:firstLine="480" w:firstLineChars="200"/>
        <w:jc w:val="left"/>
        <w:rPr>
          <w:rFonts w:ascii="宋体" w:hAnsi="宋体"/>
          <w:kern w:val="0"/>
          <w:sz w:val="24"/>
          <w:highlight w:val="none"/>
        </w:rPr>
      </w:pPr>
    </w:p>
    <w:p>
      <w:pPr>
        <w:spacing w:line="440" w:lineRule="exact"/>
        <w:ind w:firstLine="436" w:firstLineChars="200"/>
        <w:jc w:val="left"/>
        <w:rPr>
          <w:rFonts w:ascii="宋体" w:hAnsi="宋体"/>
          <w:kern w:val="0"/>
          <w:szCs w:val="21"/>
          <w:highlight w:val="none"/>
        </w:rPr>
      </w:pPr>
      <w:r>
        <w:rPr>
          <w:rFonts w:hint="eastAsia" w:ascii="宋体" w:hAnsi="宋体"/>
          <w:spacing w:val="4"/>
          <w:szCs w:val="21"/>
          <w:highlight w:val="none"/>
        </w:rPr>
        <w:t>附：</w:t>
      </w:r>
      <w:r>
        <w:rPr>
          <w:rFonts w:hint="eastAsia"/>
          <w:highlight w:val="none"/>
        </w:rPr>
        <w:t>法定代表人身份证明和</w:t>
      </w:r>
      <w:r>
        <w:rPr>
          <w:rFonts w:hint="eastAsia" w:ascii="宋体" w:hAnsi="宋体"/>
          <w:spacing w:val="4"/>
          <w:szCs w:val="21"/>
          <w:highlight w:val="none"/>
        </w:rPr>
        <w:t>法定代表人、被授权人身份证复印件（必须印正反两面的完整信息）。</w:t>
      </w:r>
    </w:p>
    <w:p>
      <w:pPr>
        <w:spacing w:line="440" w:lineRule="exact"/>
        <w:ind w:firstLine="480" w:firstLineChars="200"/>
        <w:jc w:val="left"/>
        <w:rPr>
          <w:rFonts w:ascii="宋体" w:hAnsi="宋体"/>
          <w:kern w:val="0"/>
          <w:sz w:val="24"/>
          <w:szCs w:val="30"/>
          <w:highlight w:val="none"/>
        </w:rPr>
      </w:pPr>
    </w:p>
    <w:p>
      <w:pPr>
        <w:spacing w:line="440" w:lineRule="exact"/>
        <w:ind w:firstLine="480" w:firstLineChars="200"/>
        <w:jc w:val="left"/>
        <w:rPr>
          <w:rFonts w:ascii="宋体" w:hAnsi="宋体"/>
          <w:kern w:val="0"/>
          <w:sz w:val="24"/>
          <w:szCs w:val="30"/>
          <w:highlight w:val="none"/>
        </w:rPr>
      </w:pPr>
    </w:p>
    <w:p>
      <w:pPr>
        <w:spacing w:line="440" w:lineRule="exact"/>
        <w:ind w:firstLine="480" w:firstLineChars="200"/>
        <w:jc w:val="left"/>
        <w:rPr>
          <w:rFonts w:ascii="宋体" w:hAnsi="宋体"/>
          <w:kern w:val="0"/>
          <w:sz w:val="24"/>
          <w:szCs w:val="30"/>
          <w:highlight w:val="none"/>
        </w:rPr>
      </w:pPr>
    </w:p>
    <w:p>
      <w:pPr>
        <w:spacing w:line="440" w:lineRule="exact"/>
        <w:ind w:firstLine="480" w:firstLineChars="200"/>
        <w:jc w:val="left"/>
        <w:rPr>
          <w:rFonts w:ascii="宋体" w:hAnsi="宋体"/>
          <w:kern w:val="0"/>
          <w:sz w:val="24"/>
          <w:highlight w:val="none"/>
        </w:rPr>
      </w:pPr>
    </w:p>
    <w:p>
      <w:pPr>
        <w:spacing w:line="440" w:lineRule="exact"/>
        <w:ind w:firstLine="360" w:firstLineChars="150"/>
        <w:rPr>
          <w:rFonts w:ascii="宋体" w:hAnsi="宋体"/>
          <w:kern w:val="0"/>
          <w:sz w:val="24"/>
          <w:highlight w:val="none"/>
        </w:rPr>
      </w:pPr>
    </w:p>
    <w:p>
      <w:pPr>
        <w:spacing w:line="480" w:lineRule="auto"/>
        <w:ind w:right="210"/>
        <w:jc w:val="right"/>
        <w:rPr>
          <w:rFonts w:ascii="宋体" w:hAnsi="宋体"/>
          <w:kern w:val="0"/>
          <w:szCs w:val="21"/>
          <w:highlight w:val="none"/>
        </w:rPr>
      </w:pPr>
      <w:r>
        <w:rPr>
          <w:rFonts w:hint="eastAsia" w:ascii="宋体" w:hAnsi="宋体"/>
          <w:kern w:val="0"/>
          <w:szCs w:val="21"/>
          <w:highlight w:val="none"/>
        </w:rPr>
        <w:t>供应商名称：（盖单位章）</w:t>
      </w:r>
    </w:p>
    <w:p>
      <w:pPr>
        <w:spacing w:line="440" w:lineRule="exact"/>
        <w:jc w:val="center"/>
        <w:rPr>
          <w:rFonts w:ascii="宋体" w:hAnsi="宋体"/>
          <w:kern w:val="0"/>
          <w:szCs w:val="21"/>
          <w:highlight w:val="none"/>
        </w:rPr>
      </w:pPr>
      <w:r>
        <w:rPr>
          <w:rFonts w:hint="eastAsia" w:ascii="宋体" w:hAnsi="宋体"/>
          <w:kern w:val="0"/>
          <w:szCs w:val="21"/>
          <w:highlight w:val="none"/>
        </w:rPr>
        <w:t>年月日</w:t>
      </w:r>
    </w:p>
    <w:p>
      <w:pPr>
        <w:spacing w:line="440" w:lineRule="exact"/>
        <w:ind w:firstLine="480" w:firstLineChars="200"/>
        <w:rPr>
          <w:rFonts w:ascii="宋体" w:hAnsi="宋体"/>
          <w:kern w:val="0"/>
          <w:sz w:val="24"/>
          <w:highlight w:val="none"/>
        </w:rPr>
      </w:pPr>
    </w:p>
    <w:p>
      <w:pPr>
        <w:spacing w:line="440" w:lineRule="exact"/>
        <w:ind w:firstLine="510"/>
        <w:rPr>
          <w:rFonts w:ascii="宋体" w:hAnsi="宋体"/>
          <w:kern w:val="0"/>
          <w:sz w:val="24"/>
          <w:szCs w:val="30"/>
          <w:highlight w:val="none"/>
        </w:rPr>
      </w:pPr>
    </w:p>
    <w:p>
      <w:pPr>
        <w:spacing w:line="440" w:lineRule="exact"/>
        <w:rPr>
          <w:rFonts w:ascii="宋体" w:hAnsi="宋体"/>
          <w:kern w:val="0"/>
          <w:szCs w:val="21"/>
          <w:highlight w:val="none"/>
        </w:rPr>
      </w:pPr>
    </w:p>
    <w:p>
      <w:pPr>
        <w:spacing w:line="440" w:lineRule="exact"/>
        <w:rPr>
          <w:rFonts w:ascii="宋体" w:hAnsi="宋体"/>
          <w:kern w:val="0"/>
          <w:szCs w:val="21"/>
          <w:highlight w:val="none"/>
        </w:rPr>
      </w:pPr>
    </w:p>
    <w:p>
      <w:pPr>
        <w:spacing w:line="440" w:lineRule="exact"/>
        <w:rPr>
          <w:rFonts w:ascii="宋体" w:hAnsi="宋体"/>
          <w:spacing w:val="4"/>
          <w:szCs w:val="21"/>
          <w:highlight w:val="none"/>
        </w:rPr>
      </w:pPr>
      <w:r>
        <w:rPr>
          <w:rFonts w:hint="eastAsia" w:ascii="宋体" w:hAnsi="宋体"/>
          <w:spacing w:val="4"/>
          <w:szCs w:val="21"/>
          <w:highlight w:val="none"/>
        </w:rPr>
        <w:t>注：</w:t>
      </w:r>
      <w:r>
        <w:rPr>
          <w:rFonts w:hint="eastAsia"/>
          <w:szCs w:val="21"/>
          <w:highlight w:val="none"/>
        </w:rPr>
        <w:t>如果由</w:t>
      </w:r>
      <w:r>
        <w:rPr>
          <w:rFonts w:hint="eastAsia" w:ascii="宋体" w:hAnsi="宋体"/>
          <w:szCs w:val="21"/>
          <w:highlight w:val="none"/>
        </w:rPr>
        <w:t>供应商</w:t>
      </w:r>
      <w:r>
        <w:rPr>
          <w:rFonts w:hint="eastAsia"/>
          <w:szCs w:val="21"/>
          <w:highlight w:val="none"/>
        </w:rPr>
        <w:t>的法定代表人亲自签署</w:t>
      </w:r>
      <w:r>
        <w:rPr>
          <w:rFonts w:hint="eastAsia" w:ascii="宋体" w:hAnsi="宋体" w:cs="宋体"/>
          <w:szCs w:val="21"/>
          <w:highlight w:val="none"/>
        </w:rPr>
        <w:t>磋商响应文件</w:t>
      </w:r>
      <w:r>
        <w:rPr>
          <w:rFonts w:hint="eastAsia"/>
          <w:szCs w:val="21"/>
          <w:highlight w:val="none"/>
        </w:rPr>
        <w:t>，则不需提交</w:t>
      </w:r>
      <w:r>
        <w:rPr>
          <w:rFonts w:hint="eastAsia" w:ascii="宋体" w:hAnsi="宋体" w:cs="宋体"/>
          <w:szCs w:val="21"/>
          <w:highlight w:val="none"/>
        </w:rPr>
        <w:t>法人代表授权书。</w:t>
      </w:r>
    </w:p>
    <w:p>
      <w:pPr>
        <w:spacing w:line="440" w:lineRule="exact"/>
        <w:jc w:val="center"/>
        <w:rPr>
          <w:rFonts w:ascii="宋体" w:hAnsi="宋体"/>
          <w:b/>
          <w:kern w:val="0"/>
          <w:sz w:val="28"/>
          <w:szCs w:val="28"/>
          <w:highlight w:val="none"/>
        </w:rPr>
      </w:pPr>
      <w:r>
        <w:rPr>
          <w:rFonts w:ascii="宋体" w:hAnsi="宋体"/>
          <w:b/>
          <w:kern w:val="0"/>
          <w:sz w:val="36"/>
          <w:szCs w:val="36"/>
          <w:highlight w:val="none"/>
        </w:rPr>
        <w:br w:type="page"/>
      </w:r>
      <w:r>
        <w:rPr>
          <w:rFonts w:hint="eastAsia" w:ascii="宋体" w:hAnsi="宋体"/>
          <w:b/>
          <w:kern w:val="0"/>
          <w:sz w:val="28"/>
          <w:szCs w:val="28"/>
          <w:highlight w:val="none"/>
        </w:rPr>
        <w:t>二、</w:t>
      </w:r>
      <w:r>
        <w:rPr>
          <w:rFonts w:ascii="宋体" w:hAnsi="宋体"/>
          <w:b/>
          <w:kern w:val="0"/>
          <w:sz w:val="28"/>
          <w:szCs w:val="28"/>
          <w:highlight w:val="none"/>
        </w:rPr>
        <w:t>陕西省政府采购供应商</w:t>
      </w:r>
    </w:p>
    <w:p>
      <w:pPr>
        <w:jc w:val="center"/>
        <w:rPr>
          <w:rFonts w:ascii="宋体" w:hAnsi="宋体"/>
          <w:b/>
          <w:kern w:val="0"/>
          <w:sz w:val="28"/>
          <w:szCs w:val="28"/>
          <w:highlight w:val="none"/>
        </w:rPr>
      </w:pPr>
      <w:r>
        <w:rPr>
          <w:rFonts w:ascii="宋体" w:hAnsi="宋体"/>
          <w:b/>
          <w:kern w:val="0"/>
          <w:sz w:val="28"/>
          <w:szCs w:val="28"/>
          <w:highlight w:val="none"/>
        </w:rPr>
        <w:t>拒绝政府采购领域商业贿赂承诺书</w:t>
      </w:r>
    </w:p>
    <w:p>
      <w:pPr>
        <w:widowControl/>
        <w:spacing w:line="408" w:lineRule="auto"/>
        <w:ind w:left="239" w:leftChars="114" w:firstLine="470" w:firstLineChars="196"/>
        <w:jc w:val="left"/>
        <w:rPr>
          <w:rFonts w:ascii="宋体" w:hAnsi="宋体" w:cs="宋体"/>
          <w:kern w:val="0"/>
          <w:sz w:val="24"/>
          <w:highlight w:val="none"/>
        </w:rPr>
      </w:pPr>
    </w:p>
    <w:p>
      <w:pPr>
        <w:widowControl/>
        <w:spacing w:line="408" w:lineRule="auto"/>
        <w:ind w:left="239" w:leftChars="114" w:firstLine="420" w:firstLineChars="200"/>
        <w:jc w:val="left"/>
        <w:rPr>
          <w:rFonts w:ascii="宋体" w:hAnsi="宋体" w:cs="宋体"/>
          <w:kern w:val="0"/>
          <w:szCs w:val="21"/>
          <w:highlight w:val="none"/>
        </w:rPr>
      </w:pPr>
      <w:r>
        <w:rPr>
          <w:rFonts w:ascii="宋体" w:hAnsi="宋体" w:cs="宋体"/>
          <w:kern w:val="0"/>
          <w:szCs w:val="21"/>
          <w:highlight w:val="none"/>
        </w:rPr>
        <w:t>为响应党中央、国务院关于治理政府采购领域商业贿赂行为的号召，我公司在此庄严承诺：</w:t>
      </w:r>
    </w:p>
    <w:p>
      <w:pPr>
        <w:widowControl/>
        <w:spacing w:line="408" w:lineRule="auto"/>
        <w:ind w:left="239" w:leftChars="114" w:firstLine="420" w:firstLineChars="200"/>
        <w:jc w:val="left"/>
        <w:rPr>
          <w:rFonts w:ascii="宋体" w:hAnsi="宋体" w:cs="宋体"/>
          <w:kern w:val="0"/>
          <w:szCs w:val="21"/>
          <w:highlight w:val="none"/>
        </w:rPr>
      </w:pPr>
      <w:r>
        <w:rPr>
          <w:rFonts w:ascii="宋体" w:hAnsi="宋体" w:cs="宋体"/>
          <w:kern w:val="0"/>
          <w:szCs w:val="21"/>
          <w:highlight w:val="none"/>
        </w:rPr>
        <w:t>1、在参与政府采购活动中遵纪守法、诚信经营、公平竞标。</w:t>
      </w:r>
    </w:p>
    <w:p>
      <w:pPr>
        <w:widowControl/>
        <w:spacing w:line="408" w:lineRule="auto"/>
        <w:ind w:left="239" w:leftChars="114" w:firstLine="420" w:firstLineChars="200"/>
        <w:jc w:val="left"/>
        <w:rPr>
          <w:rFonts w:ascii="宋体" w:hAnsi="宋体" w:cs="宋体"/>
          <w:kern w:val="0"/>
          <w:szCs w:val="21"/>
          <w:highlight w:val="none"/>
        </w:rPr>
      </w:pPr>
      <w:r>
        <w:rPr>
          <w:rFonts w:ascii="宋体" w:hAnsi="宋体" w:cs="宋体"/>
          <w:kern w:val="0"/>
          <w:szCs w:val="21"/>
          <w:highlight w:val="none"/>
        </w:rPr>
        <w:t>2、不向政府采购人、采购代理机构和政府采购评审专家进行任何形式的商业贿赂以谋取交易机会。</w:t>
      </w:r>
    </w:p>
    <w:p>
      <w:pPr>
        <w:widowControl/>
        <w:spacing w:line="408" w:lineRule="auto"/>
        <w:ind w:left="239" w:leftChars="114" w:firstLine="420" w:firstLineChars="200"/>
        <w:jc w:val="left"/>
        <w:rPr>
          <w:rFonts w:ascii="宋体" w:hAnsi="宋体" w:cs="宋体"/>
          <w:kern w:val="0"/>
          <w:szCs w:val="21"/>
          <w:highlight w:val="none"/>
        </w:rPr>
      </w:pPr>
      <w:r>
        <w:rPr>
          <w:rFonts w:ascii="宋体" w:hAnsi="宋体" w:cs="宋体"/>
          <w:kern w:val="0"/>
          <w:szCs w:val="21"/>
          <w:highlight w:val="none"/>
        </w:rPr>
        <w:t>3、不向政府采购代理机构和采购人提供虚假资质文件或采用虚假应标方式参与政府采购市场竞争并谋取成交、成交。</w:t>
      </w:r>
    </w:p>
    <w:p>
      <w:pPr>
        <w:widowControl/>
        <w:spacing w:line="408" w:lineRule="auto"/>
        <w:ind w:left="239" w:leftChars="114" w:firstLine="420" w:firstLineChars="200"/>
        <w:jc w:val="left"/>
        <w:rPr>
          <w:rFonts w:ascii="宋体" w:hAnsi="宋体" w:cs="宋体"/>
          <w:kern w:val="0"/>
          <w:szCs w:val="21"/>
          <w:highlight w:val="none"/>
        </w:rPr>
      </w:pPr>
      <w:r>
        <w:rPr>
          <w:rFonts w:ascii="宋体" w:hAnsi="宋体" w:cs="宋体"/>
          <w:kern w:val="0"/>
          <w:szCs w:val="21"/>
          <w:highlight w:val="none"/>
        </w:rPr>
        <w:t>4、不采取“围标、陪标”等商业欺诈手段获得政府采购定单。</w:t>
      </w:r>
    </w:p>
    <w:p>
      <w:pPr>
        <w:widowControl/>
        <w:spacing w:line="408" w:lineRule="auto"/>
        <w:ind w:left="239" w:leftChars="114" w:firstLine="420" w:firstLineChars="200"/>
        <w:jc w:val="left"/>
        <w:rPr>
          <w:rFonts w:ascii="宋体" w:hAnsi="宋体" w:cs="宋体"/>
          <w:kern w:val="0"/>
          <w:szCs w:val="21"/>
          <w:highlight w:val="none"/>
        </w:rPr>
      </w:pPr>
      <w:r>
        <w:rPr>
          <w:rFonts w:ascii="宋体" w:hAnsi="宋体" w:cs="宋体"/>
          <w:kern w:val="0"/>
          <w:szCs w:val="21"/>
          <w:highlight w:val="none"/>
        </w:rPr>
        <w:t>5、不采取不正当手段诋毁、排挤其他供应商。</w:t>
      </w:r>
    </w:p>
    <w:p>
      <w:pPr>
        <w:widowControl/>
        <w:spacing w:line="408" w:lineRule="auto"/>
        <w:ind w:left="239" w:leftChars="114" w:firstLine="420" w:firstLineChars="200"/>
        <w:jc w:val="left"/>
        <w:rPr>
          <w:rFonts w:ascii="宋体" w:hAnsi="宋体" w:cs="宋体"/>
          <w:kern w:val="0"/>
          <w:szCs w:val="21"/>
          <w:highlight w:val="none"/>
        </w:rPr>
      </w:pPr>
      <w:r>
        <w:rPr>
          <w:rFonts w:ascii="宋体" w:hAnsi="宋体" w:cs="宋体"/>
          <w:kern w:val="0"/>
          <w:szCs w:val="21"/>
          <w:highlight w:val="none"/>
        </w:rPr>
        <w:t>6、不在提供商品和服务</w:t>
      </w:r>
      <w:r>
        <w:rPr>
          <w:rFonts w:hint="eastAsia" w:ascii="宋体" w:hAnsi="宋体" w:cs="宋体"/>
          <w:kern w:val="0"/>
          <w:szCs w:val="21"/>
          <w:highlight w:val="none"/>
        </w:rPr>
        <w:t>及工程</w:t>
      </w:r>
      <w:r>
        <w:rPr>
          <w:rFonts w:ascii="宋体" w:hAnsi="宋体" w:cs="宋体"/>
          <w:kern w:val="0"/>
          <w:szCs w:val="21"/>
          <w:highlight w:val="none"/>
        </w:rPr>
        <w:t>时“偷梁换柱、以次充好”损害采购人的合法权益。</w:t>
      </w:r>
    </w:p>
    <w:p>
      <w:pPr>
        <w:widowControl/>
        <w:spacing w:line="408" w:lineRule="auto"/>
        <w:ind w:left="239" w:leftChars="114" w:firstLine="420" w:firstLineChars="200"/>
        <w:jc w:val="left"/>
        <w:rPr>
          <w:rFonts w:ascii="宋体" w:hAnsi="宋体" w:cs="宋体"/>
          <w:kern w:val="0"/>
          <w:szCs w:val="21"/>
          <w:highlight w:val="none"/>
        </w:rPr>
      </w:pPr>
      <w:r>
        <w:rPr>
          <w:rFonts w:ascii="宋体" w:hAnsi="宋体" w:cs="宋体"/>
          <w:kern w:val="0"/>
          <w:szCs w:val="21"/>
          <w:highlight w:val="none"/>
        </w:rPr>
        <w:t>7、不与采购人、采购代理机构政府采购评审专家或其它供应商恶意串通，进行质疑和投诉，维护政府采购市场秩序。</w:t>
      </w:r>
    </w:p>
    <w:p>
      <w:pPr>
        <w:widowControl/>
        <w:spacing w:line="408" w:lineRule="auto"/>
        <w:ind w:left="239" w:leftChars="114" w:firstLine="420" w:firstLineChars="200"/>
        <w:jc w:val="left"/>
        <w:rPr>
          <w:rFonts w:ascii="宋体" w:hAnsi="宋体" w:cs="宋体"/>
          <w:kern w:val="0"/>
          <w:szCs w:val="21"/>
          <w:highlight w:val="none"/>
        </w:rPr>
      </w:pPr>
      <w:r>
        <w:rPr>
          <w:rFonts w:ascii="宋体" w:hAnsi="宋体" w:cs="宋体"/>
          <w:kern w:val="0"/>
          <w:szCs w:val="21"/>
          <w:highlight w:val="none"/>
        </w:rPr>
        <w:t>8、尊重和接受政府采购监督管理部门的监督和政府采购代理机构招标采购要求，承担因违约行为给采购人造成的损失。</w:t>
      </w:r>
    </w:p>
    <w:p>
      <w:pPr>
        <w:widowControl/>
        <w:spacing w:line="408" w:lineRule="auto"/>
        <w:ind w:left="239" w:leftChars="114" w:firstLine="420" w:firstLineChars="200"/>
        <w:jc w:val="left"/>
        <w:rPr>
          <w:rFonts w:ascii="宋体" w:hAnsi="宋体" w:cs="宋体"/>
          <w:kern w:val="0"/>
          <w:szCs w:val="21"/>
          <w:highlight w:val="none"/>
        </w:rPr>
      </w:pPr>
      <w:r>
        <w:rPr>
          <w:rFonts w:ascii="宋体" w:hAnsi="宋体" w:cs="宋体"/>
          <w:kern w:val="0"/>
          <w:szCs w:val="21"/>
          <w:highlight w:val="none"/>
        </w:rPr>
        <w:t>9、不发生其他有悖于政府采购公开、公平、公正和诚信原则的行为。</w:t>
      </w:r>
    </w:p>
    <w:p>
      <w:pPr>
        <w:pStyle w:val="58"/>
        <w:rPr>
          <w:highlight w:val="none"/>
        </w:rPr>
      </w:pPr>
    </w:p>
    <w:p>
      <w:pPr>
        <w:spacing w:before="240" w:beforeLines="100" w:after="120" w:afterLines="50" w:line="360" w:lineRule="auto"/>
        <w:ind w:firstLine="3255" w:firstLineChars="1550"/>
        <w:jc w:val="left"/>
        <w:rPr>
          <w:rFonts w:ascii="宋体" w:hAnsi="宋体" w:cs="宋体"/>
          <w:kern w:val="0"/>
          <w:szCs w:val="21"/>
          <w:highlight w:val="none"/>
        </w:rPr>
      </w:pPr>
      <w:r>
        <w:rPr>
          <w:rFonts w:hint="eastAsia" w:ascii="宋体" w:hAnsi="宋体"/>
          <w:kern w:val="0"/>
          <w:szCs w:val="21"/>
          <w:highlight w:val="none"/>
        </w:rPr>
        <w:t>供应商名称（盖单位章）：</w:t>
      </w:r>
      <w:r>
        <w:rPr>
          <w:rFonts w:hint="eastAsia" w:ascii="宋体" w:hAnsi="宋体" w:cs="宋体"/>
          <w:kern w:val="0"/>
          <w:szCs w:val="21"/>
          <w:highlight w:val="none"/>
          <w:u w:val="single"/>
        </w:rPr>
        <w:t xml:space="preserve">（单位全称）       </w:t>
      </w:r>
    </w:p>
    <w:p>
      <w:pPr>
        <w:spacing w:line="360" w:lineRule="auto"/>
        <w:ind w:firstLine="3360" w:firstLineChars="1600"/>
        <w:rPr>
          <w:rFonts w:ascii="宋体" w:hAnsi="宋体" w:cs="宋体"/>
          <w:kern w:val="0"/>
          <w:szCs w:val="21"/>
          <w:highlight w:val="none"/>
          <w:u w:val="single"/>
        </w:rPr>
      </w:pPr>
      <w:r>
        <w:rPr>
          <w:rFonts w:hint="eastAsia" w:ascii="宋体" w:hAnsi="宋体" w:cs="宋体"/>
          <w:kern w:val="0"/>
          <w:szCs w:val="21"/>
          <w:highlight w:val="none"/>
        </w:rPr>
        <w:t>法定代表人或被授权人（</w:t>
      </w:r>
      <w:r>
        <w:rPr>
          <w:rFonts w:ascii="宋体" w:hAnsi="宋体" w:cs="宋体"/>
          <w:kern w:val="0"/>
          <w:szCs w:val="21"/>
          <w:highlight w:val="none"/>
        </w:rPr>
        <w:t>签字</w:t>
      </w:r>
      <w:r>
        <w:rPr>
          <w:rFonts w:hint="eastAsia" w:ascii="宋体" w:hAnsi="宋体" w:cs="宋体"/>
          <w:kern w:val="0"/>
          <w:szCs w:val="21"/>
          <w:highlight w:val="none"/>
        </w:rPr>
        <w:t>或盖章）</w:t>
      </w:r>
      <w:r>
        <w:rPr>
          <w:rFonts w:ascii="宋体" w:hAnsi="宋体" w:cs="宋体"/>
          <w:kern w:val="0"/>
          <w:szCs w:val="21"/>
          <w:highlight w:val="none"/>
        </w:rPr>
        <w:t>：</w:t>
      </w:r>
    </w:p>
    <w:p>
      <w:pPr>
        <w:spacing w:line="360" w:lineRule="auto"/>
        <w:ind w:firstLine="3360" w:firstLineChars="1600"/>
        <w:jc w:val="right"/>
        <w:rPr>
          <w:rFonts w:ascii="宋体" w:hAnsi="宋体" w:cs="宋体"/>
          <w:kern w:val="0"/>
          <w:sz w:val="24"/>
          <w:highlight w:val="none"/>
        </w:rPr>
      </w:pPr>
      <w:r>
        <w:rPr>
          <w:rFonts w:hint="eastAsia" w:ascii="宋体" w:hAnsi="宋体"/>
          <w:kern w:val="0"/>
          <w:szCs w:val="21"/>
          <w:highlight w:val="none"/>
        </w:rPr>
        <w:t>年月日</w:t>
      </w:r>
    </w:p>
    <w:p>
      <w:pPr>
        <w:spacing w:line="360" w:lineRule="auto"/>
        <w:ind w:left="1"/>
        <w:jc w:val="center"/>
        <w:rPr>
          <w:rFonts w:ascii="宋体" w:hAnsi="宋体"/>
          <w:b/>
          <w:kern w:val="0"/>
          <w:sz w:val="28"/>
          <w:szCs w:val="28"/>
          <w:highlight w:val="none"/>
        </w:rPr>
      </w:pPr>
      <w:r>
        <w:rPr>
          <w:rFonts w:ascii="宋体" w:hAnsi="宋体" w:cs="宋体"/>
          <w:kern w:val="0"/>
          <w:sz w:val="24"/>
          <w:highlight w:val="none"/>
        </w:rPr>
        <w:br w:type="page"/>
      </w:r>
      <w:r>
        <w:rPr>
          <w:rFonts w:hint="eastAsia" w:ascii="宋体" w:hAnsi="宋体"/>
          <w:b/>
          <w:kern w:val="0"/>
          <w:sz w:val="28"/>
          <w:szCs w:val="28"/>
          <w:highlight w:val="none"/>
        </w:rPr>
        <w:t xml:space="preserve">三、证明文件 </w:t>
      </w:r>
    </w:p>
    <w:p>
      <w:pPr>
        <w:spacing w:line="340" w:lineRule="exact"/>
        <w:ind w:left="316" w:hanging="316" w:hangingChars="150"/>
        <w:rPr>
          <w:rFonts w:ascii="宋体" w:hAnsi="宋体"/>
          <w:kern w:val="0"/>
          <w:szCs w:val="21"/>
          <w:highlight w:val="none"/>
        </w:rPr>
      </w:pPr>
      <w:r>
        <w:rPr>
          <w:rFonts w:hint="eastAsia" w:ascii="宋体" w:hAnsi="宋体"/>
          <w:b/>
          <w:szCs w:val="21"/>
          <w:highlight w:val="none"/>
        </w:rPr>
        <w:t>资格证明文件</w:t>
      </w:r>
    </w:p>
    <w:p>
      <w:pPr>
        <w:pStyle w:val="40"/>
        <w:wordWrap w:val="0"/>
        <w:adjustRightInd w:val="0"/>
        <w:snapToGrid w:val="0"/>
        <w:spacing w:before="0" w:beforeAutospacing="0" w:after="0" w:afterAutospacing="0" w:line="360" w:lineRule="auto"/>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1)具有独立承担民事责任能力的法人、其他组织或自然人，并出具合法有效的营业执照或事业单位法人证书等国家规定的相关证明，自然人参与的提供其身份证明；</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2)法定代表人或负责人授权书（附法定代表人或负责人身份证复印件）及被授权人身份证；（法定代表人或负责人直接参加投标只须提供法定代表人或负责人身份证）；</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3)具有建设行政主管部门颁发的水利水电工程施工总承包三级及以上资质；同时具备安全生产许可证并在人员、设备、资金等方面具有相应的施工能力；</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4)拟派项目经理须具备水利水电工程二级及以上建造师资格证及安全生产考核合格证，并提供无在建工程承诺书；</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5)提供2021年或2022年度的财务审计报告（至少包括资产负债表和利润表，成立时间至提交投标文件截止时间不足一年的可提供成立后任意时段的资产负债表），或其基本存款账户开户银行出具的资信证明及基本存款账户开户许可证；</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6)提供投标截止日前近一年内任意一个月的纳税证明或完税证明（任意税种），依法免税的单位应提供相关证明材料；</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7)提供投标截止日前近一年内任意一个月的社会保障资金缴存单据或社保机构开具的社会保险参保缴费情况证明，依法不需要缴纳社会保障资金的单位应提供相关证明材料；</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8)提供具有履行合同所必需的设备和专业技术能力的承诺函；</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9)投标保证金缴纳凭证或担保机构出具的保函；</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10)单位负责人为同一人或者存在直接控股、管理关系的不同供应商，不得参加同一合同项下的政府采购活动；</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11)参加本次政府采购活动前三年内在经营活动中没有重大违纪的书面声明；</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12)不得为“信用中国”网站(http://www.creditchina.gov.cn)列入“失信被执行人或重大税收违法案件当事人名单或政府采购严重违法失信行为记录名单”的供应商；</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13)投标人须在陕西省政府采购（http://www.ccgp-shaanxi.gov.cn/）注册登记加入陕西省政府采购供应商库；</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14)投标人2020年1月1日至今完成一项类似合同业绩，需提供加盖公章的合同复印件；</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15)本项目不接受联合体投标；</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16)本项目专门面向小微企业采购，供应商应为小型、微型企业或监狱企业或残疾人福利性单位，投标时提供：《中小企业声明函》（格式见竞争性磋商文件）。</w:t>
      </w:r>
    </w:p>
    <w:p>
      <w:pPr>
        <w:spacing w:line="440" w:lineRule="exact"/>
        <w:rPr>
          <w:rFonts w:ascii="宋体" w:hAnsi="宋体"/>
          <w:b/>
          <w:kern w:val="0"/>
          <w:szCs w:val="21"/>
          <w:highlight w:val="none"/>
        </w:rPr>
      </w:pPr>
      <w:r>
        <w:rPr>
          <w:rFonts w:hint="eastAsia" w:ascii="宋体" w:hAnsi="宋体"/>
          <w:b/>
          <w:kern w:val="0"/>
          <w:szCs w:val="21"/>
          <w:highlight w:val="none"/>
        </w:rPr>
        <w:t>注：</w:t>
      </w:r>
    </w:p>
    <w:p>
      <w:pPr>
        <w:spacing w:line="340" w:lineRule="exact"/>
        <w:ind w:left="315" w:hanging="315" w:hangingChars="150"/>
        <w:rPr>
          <w:rFonts w:ascii="宋体" w:hAnsi="宋体"/>
          <w:bCs/>
          <w:szCs w:val="21"/>
          <w:highlight w:val="none"/>
        </w:rPr>
      </w:pPr>
      <w:r>
        <w:rPr>
          <w:rFonts w:hint="eastAsia" w:ascii="宋体" w:hAnsi="宋体"/>
          <w:bCs/>
          <w:szCs w:val="21"/>
          <w:highlight w:val="none"/>
        </w:rPr>
        <w:t>1、除注明原件外，均为复印件并须加盖供应商盖单位章。</w:t>
      </w:r>
    </w:p>
    <w:p>
      <w:pPr>
        <w:spacing w:line="340" w:lineRule="exact"/>
        <w:ind w:left="315" w:hanging="315" w:hangingChars="150"/>
        <w:rPr>
          <w:rFonts w:ascii="宋体" w:hAnsi="宋体"/>
          <w:bCs/>
          <w:szCs w:val="21"/>
          <w:highlight w:val="none"/>
        </w:rPr>
      </w:pPr>
      <w:r>
        <w:rPr>
          <w:rFonts w:hint="eastAsia" w:ascii="宋体" w:hAnsi="宋体"/>
          <w:bCs/>
          <w:szCs w:val="21"/>
          <w:highlight w:val="none"/>
        </w:rPr>
        <w:t>2、供应商应按照竞争性磋商文件的要求自行准备以上证明文件并编目、封装。</w:t>
      </w:r>
    </w:p>
    <w:p>
      <w:pPr>
        <w:spacing w:line="340" w:lineRule="exact"/>
        <w:ind w:left="315" w:hanging="315" w:hangingChars="150"/>
        <w:rPr>
          <w:rFonts w:ascii="宋体" w:hAnsi="宋体"/>
          <w:kern w:val="0"/>
          <w:szCs w:val="21"/>
          <w:highlight w:val="none"/>
        </w:rPr>
      </w:pPr>
      <w:r>
        <w:rPr>
          <w:rFonts w:hint="eastAsia" w:ascii="宋体" w:hAnsi="宋体"/>
          <w:bCs/>
          <w:szCs w:val="21"/>
          <w:highlight w:val="none"/>
        </w:rPr>
        <w:t>3、除要求在磋商时一并提交的原件外，其它所有要求在磋商响应文件中提供复印件的文件，在评审过程中，磋商小组可随时要求查验原件，供应商不得拒绝，否则其磋商响应文件将按照无效处理。</w:t>
      </w:r>
    </w:p>
    <w:p>
      <w:pPr>
        <w:spacing w:line="360" w:lineRule="auto"/>
        <w:ind w:left="1"/>
        <w:rPr>
          <w:rFonts w:ascii="宋体" w:hAnsi="宋体"/>
          <w:b/>
          <w:kern w:val="0"/>
          <w:sz w:val="30"/>
          <w:szCs w:val="30"/>
          <w:highlight w:val="none"/>
        </w:rPr>
      </w:pPr>
      <w:r>
        <w:rPr>
          <w:rFonts w:ascii="宋体" w:hAnsi="宋体"/>
          <w:b/>
          <w:kern w:val="0"/>
          <w:sz w:val="30"/>
          <w:szCs w:val="30"/>
          <w:highlight w:val="none"/>
        </w:rPr>
        <w:br w:type="page"/>
      </w:r>
    </w:p>
    <w:p>
      <w:pPr>
        <w:spacing w:line="360" w:lineRule="auto"/>
        <w:ind w:left="1"/>
        <w:jc w:val="left"/>
        <w:rPr>
          <w:rFonts w:ascii="宋体" w:hAnsi="宋体"/>
          <w:b/>
          <w:kern w:val="0"/>
          <w:sz w:val="28"/>
          <w:szCs w:val="28"/>
          <w:highlight w:val="none"/>
        </w:rPr>
      </w:pPr>
      <w:r>
        <w:rPr>
          <w:rFonts w:hint="eastAsia" w:ascii="宋体" w:hAnsi="宋体"/>
          <w:b/>
          <w:kern w:val="0"/>
          <w:sz w:val="28"/>
          <w:szCs w:val="28"/>
          <w:highlight w:val="none"/>
        </w:rPr>
        <w:t>附件1：</w:t>
      </w:r>
    </w:p>
    <w:p>
      <w:pPr>
        <w:spacing w:line="360" w:lineRule="auto"/>
        <w:ind w:left="1"/>
        <w:jc w:val="center"/>
        <w:rPr>
          <w:rFonts w:ascii="宋体" w:hAnsi="宋体"/>
          <w:b/>
          <w:kern w:val="0"/>
          <w:sz w:val="28"/>
          <w:szCs w:val="28"/>
          <w:highlight w:val="none"/>
        </w:rPr>
      </w:pPr>
    </w:p>
    <w:p>
      <w:pPr>
        <w:spacing w:line="360" w:lineRule="auto"/>
        <w:ind w:left="1"/>
        <w:jc w:val="center"/>
        <w:rPr>
          <w:rFonts w:ascii="宋体" w:hAnsi="宋体"/>
          <w:b/>
          <w:kern w:val="0"/>
          <w:sz w:val="36"/>
          <w:szCs w:val="36"/>
          <w:highlight w:val="none"/>
        </w:rPr>
      </w:pPr>
      <w:r>
        <w:rPr>
          <w:rFonts w:hint="eastAsia" w:ascii="宋体" w:hAnsi="宋体"/>
          <w:b/>
          <w:kern w:val="0"/>
          <w:sz w:val="28"/>
          <w:szCs w:val="28"/>
          <w:highlight w:val="none"/>
        </w:rPr>
        <w:t>供应商无重大违法记录的书面声明</w:t>
      </w:r>
    </w:p>
    <w:p>
      <w:pPr>
        <w:spacing w:line="360" w:lineRule="auto"/>
        <w:rPr>
          <w:rFonts w:ascii="宋体"/>
          <w:b/>
          <w:kern w:val="0"/>
          <w:sz w:val="30"/>
          <w:szCs w:val="30"/>
          <w:highlight w:val="none"/>
          <w:u w:val="single"/>
        </w:rPr>
      </w:pPr>
    </w:p>
    <w:p>
      <w:pPr>
        <w:spacing w:before="240" w:beforeLines="100" w:after="120" w:afterLines="50" w:line="360" w:lineRule="auto"/>
        <w:ind w:firstLine="170"/>
        <w:rPr>
          <w:rFonts w:ascii="宋体" w:hAnsi="宋体"/>
          <w:kern w:val="0"/>
          <w:szCs w:val="21"/>
          <w:highlight w:val="none"/>
        </w:rPr>
      </w:pPr>
      <w:r>
        <w:rPr>
          <w:rFonts w:hint="eastAsia" w:ascii="宋体" w:hAnsi="宋体"/>
          <w:kern w:val="0"/>
          <w:szCs w:val="21"/>
          <w:highlight w:val="none"/>
        </w:rPr>
        <w:t>致：（采购人名称）：</w:t>
      </w:r>
    </w:p>
    <w:p>
      <w:pPr>
        <w:spacing w:before="240" w:beforeLines="100" w:after="120" w:afterLines="50" w:line="360" w:lineRule="auto"/>
        <w:ind w:firstLine="170"/>
        <w:rPr>
          <w:rFonts w:ascii="宋体"/>
          <w:kern w:val="0"/>
          <w:szCs w:val="21"/>
          <w:highlight w:val="none"/>
        </w:rPr>
      </w:pPr>
      <w:r>
        <w:rPr>
          <w:rFonts w:hint="eastAsia" w:ascii="宋体" w:hAnsi="宋体"/>
          <w:kern w:val="0"/>
          <w:szCs w:val="21"/>
          <w:highlight w:val="none"/>
        </w:rPr>
        <w:t>（-------公司）为在中华人民共和国境内合法注册并经营的机构。在此郑重声明，我公司在参与本次政府采购活动前</w:t>
      </w:r>
      <w:r>
        <w:rPr>
          <w:rFonts w:ascii="宋体" w:hAnsi="宋体"/>
          <w:kern w:val="0"/>
          <w:szCs w:val="21"/>
          <w:highlight w:val="none"/>
        </w:rPr>
        <w:t>3</w:t>
      </w:r>
      <w:r>
        <w:rPr>
          <w:rFonts w:hint="eastAsia" w:ascii="宋体" w:hAnsi="宋体"/>
          <w:kern w:val="0"/>
          <w:szCs w:val="21"/>
          <w:highlight w:val="none"/>
        </w:rPr>
        <w:t>年内在经营活动中没有重大违法记录。</w:t>
      </w:r>
    </w:p>
    <w:p>
      <w:pPr>
        <w:spacing w:before="240" w:beforeLines="100" w:after="120" w:afterLines="50" w:line="360" w:lineRule="auto"/>
        <w:ind w:firstLine="170"/>
        <w:rPr>
          <w:rFonts w:ascii="宋体"/>
          <w:kern w:val="0"/>
          <w:szCs w:val="21"/>
          <w:highlight w:val="none"/>
        </w:rPr>
      </w:pPr>
    </w:p>
    <w:p>
      <w:pPr>
        <w:spacing w:before="240" w:beforeLines="100" w:after="120" w:afterLines="50" w:line="360" w:lineRule="auto"/>
        <w:ind w:firstLine="170"/>
        <w:rPr>
          <w:rFonts w:ascii="宋体"/>
          <w:kern w:val="0"/>
          <w:szCs w:val="21"/>
          <w:highlight w:val="none"/>
        </w:rPr>
      </w:pPr>
    </w:p>
    <w:p>
      <w:pPr>
        <w:spacing w:before="240" w:beforeLines="100" w:after="120" w:afterLines="50" w:line="360" w:lineRule="auto"/>
        <w:ind w:firstLine="170"/>
        <w:rPr>
          <w:rFonts w:ascii="宋体"/>
          <w:kern w:val="0"/>
          <w:szCs w:val="21"/>
          <w:highlight w:val="none"/>
        </w:rPr>
      </w:pPr>
    </w:p>
    <w:p>
      <w:pPr>
        <w:spacing w:before="240" w:beforeLines="100" w:after="120" w:afterLines="50" w:line="360" w:lineRule="auto"/>
        <w:ind w:firstLine="170"/>
        <w:rPr>
          <w:rFonts w:ascii="宋体"/>
          <w:kern w:val="0"/>
          <w:szCs w:val="21"/>
          <w:highlight w:val="none"/>
        </w:rPr>
      </w:pPr>
    </w:p>
    <w:p>
      <w:pPr>
        <w:spacing w:before="240" w:beforeLines="100" w:after="120" w:afterLines="50" w:line="360" w:lineRule="auto"/>
        <w:ind w:firstLine="2205" w:firstLineChars="1050"/>
        <w:jc w:val="left"/>
        <w:rPr>
          <w:rFonts w:ascii="宋体" w:hAnsi="宋体" w:cs="宋体"/>
          <w:kern w:val="0"/>
          <w:szCs w:val="21"/>
          <w:highlight w:val="none"/>
        </w:rPr>
      </w:pPr>
      <w:r>
        <w:rPr>
          <w:rFonts w:hint="eastAsia" w:ascii="宋体" w:hAnsi="宋体"/>
          <w:kern w:val="0"/>
          <w:szCs w:val="21"/>
          <w:highlight w:val="none"/>
        </w:rPr>
        <w:t>供应商名称（盖单位章）：</w:t>
      </w:r>
      <w:r>
        <w:rPr>
          <w:rFonts w:hint="eastAsia" w:ascii="宋体" w:hAnsi="宋体" w:cs="宋体"/>
          <w:kern w:val="0"/>
          <w:szCs w:val="21"/>
          <w:highlight w:val="none"/>
          <w:u w:val="single"/>
        </w:rPr>
        <w:t xml:space="preserve">（单位全称）  </w:t>
      </w:r>
    </w:p>
    <w:p>
      <w:pPr>
        <w:spacing w:before="240" w:beforeLines="100" w:after="120" w:afterLines="50" w:line="360" w:lineRule="auto"/>
        <w:ind w:firstLine="2205" w:firstLineChars="1050"/>
        <w:jc w:val="left"/>
        <w:rPr>
          <w:rFonts w:ascii="宋体"/>
          <w:kern w:val="0"/>
          <w:szCs w:val="21"/>
          <w:highlight w:val="none"/>
        </w:rPr>
      </w:pPr>
      <w:r>
        <w:rPr>
          <w:rFonts w:hint="eastAsia" w:ascii="宋体" w:hAnsi="宋体" w:cs="宋体"/>
          <w:kern w:val="0"/>
          <w:szCs w:val="21"/>
          <w:highlight w:val="none"/>
        </w:rPr>
        <w:t>法定代表人或被授权人（</w:t>
      </w:r>
      <w:r>
        <w:rPr>
          <w:rFonts w:ascii="宋体" w:hAnsi="宋体" w:cs="宋体"/>
          <w:kern w:val="0"/>
          <w:szCs w:val="21"/>
          <w:highlight w:val="none"/>
        </w:rPr>
        <w:t>签字</w:t>
      </w:r>
      <w:r>
        <w:rPr>
          <w:rFonts w:hint="eastAsia" w:ascii="宋体" w:hAnsi="宋体" w:cs="宋体"/>
          <w:kern w:val="0"/>
          <w:szCs w:val="21"/>
          <w:highlight w:val="none"/>
        </w:rPr>
        <w:t>或盖章）</w:t>
      </w:r>
      <w:r>
        <w:rPr>
          <w:rFonts w:ascii="宋体" w:hAnsi="宋体" w:cs="宋体"/>
          <w:kern w:val="0"/>
          <w:szCs w:val="21"/>
          <w:highlight w:val="none"/>
        </w:rPr>
        <w:t>：</w:t>
      </w:r>
    </w:p>
    <w:p>
      <w:pPr>
        <w:spacing w:line="360" w:lineRule="auto"/>
        <w:ind w:left="1"/>
        <w:jc w:val="center"/>
        <w:rPr>
          <w:rFonts w:ascii="宋体" w:hAnsi="宋体"/>
          <w:kern w:val="0"/>
          <w:sz w:val="24"/>
          <w:highlight w:val="none"/>
        </w:rPr>
      </w:pPr>
      <w:r>
        <w:rPr>
          <w:rFonts w:hint="eastAsia" w:ascii="宋体" w:hAnsi="宋体"/>
          <w:kern w:val="0"/>
          <w:szCs w:val="21"/>
          <w:highlight w:val="none"/>
        </w:rPr>
        <w:t xml:space="preserve">                                         日期：年月日</w:t>
      </w:r>
    </w:p>
    <w:p>
      <w:pPr>
        <w:spacing w:line="360" w:lineRule="auto"/>
        <w:ind w:left="1"/>
        <w:rPr>
          <w:rFonts w:ascii="宋体" w:hAnsi="宋体"/>
          <w:b/>
          <w:kern w:val="0"/>
          <w:sz w:val="36"/>
          <w:szCs w:val="36"/>
          <w:highlight w:val="none"/>
        </w:rPr>
      </w:pPr>
      <w:r>
        <w:rPr>
          <w:rFonts w:ascii="宋体" w:hAnsi="宋体"/>
          <w:kern w:val="0"/>
          <w:sz w:val="24"/>
          <w:highlight w:val="none"/>
        </w:rPr>
        <w:br w:type="page"/>
      </w:r>
    </w:p>
    <w:p>
      <w:pPr>
        <w:spacing w:line="360" w:lineRule="auto"/>
        <w:ind w:left="1"/>
        <w:jc w:val="left"/>
        <w:rPr>
          <w:rFonts w:ascii="宋体" w:hAnsi="宋体"/>
          <w:b/>
          <w:kern w:val="0"/>
          <w:sz w:val="28"/>
          <w:szCs w:val="28"/>
          <w:highlight w:val="none"/>
        </w:rPr>
      </w:pPr>
      <w:r>
        <w:rPr>
          <w:rFonts w:hint="eastAsia" w:ascii="宋体" w:hAnsi="宋体"/>
          <w:b/>
          <w:kern w:val="0"/>
          <w:sz w:val="28"/>
          <w:szCs w:val="28"/>
          <w:highlight w:val="none"/>
        </w:rPr>
        <w:t>附件2：</w:t>
      </w:r>
    </w:p>
    <w:p>
      <w:pPr>
        <w:spacing w:line="360" w:lineRule="auto"/>
        <w:ind w:left="1"/>
        <w:jc w:val="center"/>
        <w:rPr>
          <w:rFonts w:ascii="宋体" w:hAnsi="宋体"/>
          <w:b/>
          <w:kern w:val="0"/>
          <w:sz w:val="28"/>
          <w:szCs w:val="28"/>
          <w:highlight w:val="none"/>
        </w:rPr>
      </w:pPr>
    </w:p>
    <w:p>
      <w:pPr>
        <w:spacing w:before="240" w:beforeLines="100" w:after="240" w:afterLines="100"/>
        <w:jc w:val="center"/>
        <w:rPr>
          <w:rFonts w:ascii="宋体" w:hAnsi="宋体"/>
          <w:b/>
          <w:sz w:val="28"/>
          <w:szCs w:val="28"/>
          <w:highlight w:val="none"/>
        </w:rPr>
      </w:pPr>
      <w:r>
        <w:rPr>
          <w:rFonts w:hint="eastAsia" w:ascii="宋体" w:hAnsi="宋体"/>
          <w:b/>
          <w:sz w:val="28"/>
          <w:szCs w:val="28"/>
          <w:highlight w:val="none"/>
        </w:rPr>
        <w:t>承诺书</w:t>
      </w:r>
    </w:p>
    <w:p>
      <w:pPr>
        <w:spacing w:after="240" w:afterLines="100" w:line="480" w:lineRule="exact"/>
        <w:rPr>
          <w:rFonts w:ascii="宋体" w:hAnsi="宋体"/>
          <w:szCs w:val="21"/>
          <w:highlight w:val="none"/>
        </w:rPr>
      </w:pPr>
      <w:r>
        <w:rPr>
          <w:rFonts w:hint="eastAsia" w:ascii="宋体" w:hAnsi="宋体"/>
          <w:kern w:val="0"/>
          <w:szCs w:val="21"/>
          <w:highlight w:val="none"/>
          <w:u w:val="single"/>
        </w:rPr>
        <w:t>致：（采购人名称）</w:t>
      </w:r>
      <w:r>
        <w:rPr>
          <w:rFonts w:hint="eastAsia" w:ascii="宋体" w:hAnsi="宋体"/>
          <w:szCs w:val="21"/>
          <w:highlight w:val="none"/>
        </w:rPr>
        <w:t>：</w:t>
      </w:r>
    </w:p>
    <w:p>
      <w:pPr>
        <w:spacing w:line="480" w:lineRule="exact"/>
        <w:ind w:firstLine="420" w:firstLineChars="200"/>
        <w:rPr>
          <w:rFonts w:ascii="宋体" w:hAnsi="宋体"/>
          <w:szCs w:val="21"/>
          <w:highlight w:val="none"/>
        </w:rPr>
      </w:pPr>
      <w:r>
        <w:rPr>
          <w:rFonts w:hint="eastAsia" w:ascii="宋体" w:hAnsi="宋体"/>
          <w:szCs w:val="21"/>
          <w:highlight w:val="none"/>
        </w:rPr>
        <w:t>我方在此声明，我方拟派往（项目名称）（以下简称“本工程”）的项目经理</w:t>
      </w:r>
      <w:r>
        <w:rPr>
          <w:rFonts w:hint="eastAsia" w:ascii="宋体" w:hAnsi="宋体"/>
          <w:szCs w:val="21"/>
          <w:highlight w:val="none"/>
          <w:u w:val="single"/>
        </w:rPr>
        <w:t xml:space="preserve">           （项目经理姓名）</w:t>
      </w:r>
      <w:r>
        <w:rPr>
          <w:rFonts w:hint="eastAsia" w:ascii="宋体" w:hAnsi="宋体"/>
          <w:szCs w:val="21"/>
          <w:highlight w:val="none"/>
        </w:rPr>
        <w:t>现阶段没有担任任何在施建设工程项目的项目经理。</w:t>
      </w:r>
    </w:p>
    <w:p>
      <w:pPr>
        <w:spacing w:line="480" w:lineRule="exact"/>
        <w:ind w:firstLine="420" w:firstLineChars="200"/>
        <w:rPr>
          <w:rFonts w:ascii="宋体" w:hAnsi="宋体"/>
          <w:szCs w:val="21"/>
          <w:highlight w:val="none"/>
        </w:rPr>
      </w:pPr>
      <w:r>
        <w:rPr>
          <w:rFonts w:hint="eastAsia" w:ascii="宋体" w:hAnsi="宋体"/>
          <w:szCs w:val="21"/>
          <w:highlight w:val="none"/>
        </w:rPr>
        <w:t>我方保证本次投标所有内容和资料均真实、有效、准确，并愿意承担因我方就此弄虚作假所引起的一切法律后果。</w:t>
      </w:r>
    </w:p>
    <w:p>
      <w:pPr>
        <w:spacing w:line="440" w:lineRule="exact"/>
        <w:ind w:firstLine="420" w:firstLineChars="200"/>
        <w:rPr>
          <w:rFonts w:ascii="宋体" w:hAnsi="宋体"/>
          <w:szCs w:val="21"/>
          <w:highlight w:val="none"/>
        </w:rPr>
      </w:pPr>
    </w:p>
    <w:p>
      <w:pPr>
        <w:spacing w:line="440" w:lineRule="exact"/>
        <w:ind w:firstLine="420" w:firstLineChars="200"/>
        <w:rPr>
          <w:rFonts w:ascii="宋体" w:hAnsi="宋体"/>
          <w:szCs w:val="21"/>
          <w:highlight w:val="none"/>
        </w:rPr>
      </w:pPr>
    </w:p>
    <w:p>
      <w:pPr>
        <w:spacing w:line="440" w:lineRule="exact"/>
        <w:ind w:firstLine="420" w:firstLineChars="200"/>
        <w:rPr>
          <w:rFonts w:ascii="宋体" w:hAnsi="宋体"/>
          <w:szCs w:val="21"/>
          <w:highlight w:val="none"/>
        </w:rPr>
      </w:pPr>
      <w:r>
        <w:rPr>
          <w:rFonts w:hint="eastAsia" w:ascii="宋体" w:hAnsi="宋体"/>
          <w:szCs w:val="21"/>
          <w:highlight w:val="none"/>
        </w:rPr>
        <w:t>特此承诺</w:t>
      </w:r>
    </w:p>
    <w:p>
      <w:pPr>
        <w:spacing w:line="440" w:lineRule="exact"/>
        <w:ind w:firstLine="420" w:firstLineChars="200"/>
        <w:rPr>
          <w:rFonts w:ascii="宋体" w:hAnsi="宋体"/>
          <w:szCs w:val="21"/>
          <w:highlight w:val="none"/>
        </w:rPr>
      </w:pPr>
    </w:p>
    <w:p>
      <w:pPr>
        <w:spacing w:line="440" w:lineRule="exact"/>
        <w:ind w:firstLine="480" w:firstLineChars="200"/>
        <w:rPr>
          <w:rFonts w:ascii="宋体" w:hAnsi="宋体"/>
          <w:sz w:val="24"/>
          <w:highlight w:val="none"/>
        </w:rPr>
      </w:pPr>
    </w:p>
    <w:p>
      <w:pPr>
        <w:spacing w:line="440" w:lineRule="exact"/>
        <w:ind w:firstLine="480" w:firstLineChars="200"/>
        <w:rPr>
          <w:rFonts w:ascii="宋体" w:hAnsi="宋体"/>
          <w:sz w:val="24"/>
          <w:highlight w:val="none"/>
        </w:rPr>
      </w:pPr>
    </w:p>
    <w:p>
      <w:pPr>
        <w:spacing w:line="440" w:lineRule="exact"/>
        <w:ind w:firstLine="480" w:firstLineChars="200"/>
        <w:rPr>
          <w:rFonts w:ascii="宋体" w:hAnsi="宋体"/>
          <w:sz w:val="24"/>
          <w:highlight w:val="none"/>
        </w:rPr>
      </w:pPr>
    </w:p>
    <w:p>
      <w:pPr>
        <w:spacing w:before="240" w:beforeLines="100" w:after="120" w:afterLines="50" w:line="360" w:lineRule="auto"/>
        <w:ind w:firstLine="2100" w:firstLineChars="1000"/>
        <w:jc w:val="left"/>
        <w:rPr>
          <w:rFonts w:ascii="宋体" w:hAnsi="宋体" w:cs="宋体"/>
          <w:kern w:val="0"/>
          <w:szCs w:val="21"/>
          <w:highlight w:val="none"/>
        </w:rPr>
      </w:pPr>
      <w:r>
        <w:rPr>
          <w:rFonts w:hint="eastAsia" w:ascii="宋体" w:hAnsi="宋体"/>
          <w:kern w:val="0"/>
          <w:szCs w:val="21"/>
          <w:highlight w:val="none"/>
        </w:rPr>
        <w:t>供应商名称（盖单位章）：</w:t>
      </w:r>
      <w:r>
        <w:rPr>
          <w:rFonts w:hint="eastAsia" w:ascii="宋体" w:hAnsi="宋体" w:cs="宋体"/>
          <w:kern w:val="0"/>
          <w:szCs w:val="21"/>
          <w:highlight w:val="none"/>
          <w:u w:val="single"/>
        </w:rPr>
        <w:t xml:space="preserve">（单位全称）           </w:t>
      </w:r>
    </w:p>
    <w:p>
      <w:pPr>
        <w:spacing w:before="240" w:beforeLines="100" w:after="120" w:afterLines="50" w:line="360" w:lineRule="auto"/>
        <w:ind w:firstLine="2835" w:firstLineChars="1350"/>
        <w:jc w:val="left"/>
        <w:rPr>
          <w:rFonts w:ascii="宋体"/>
          <w:kern w:val="0"/>
          <w:szCs w:val="21"/>
          <w:highlight w:val="none"/>
        </w:rPr>
      </w:pPr>
      <w:r>
        <w:rPr>
          <w:rFonts w:hint="eastAsia" w:ascii="宋体" w:hAnsi="宋体" w:cs="宋体"/>
          <w:kern w:val="0"/>
          <w:szCs w:val="21"/>
          <w:highlight w:val="none"/>
        </w:rPr>
        <w:t>法定代表人或被授权人（</w:t>
      </w:r>
      <w:r>
        <w:rPr>
          <w:rFonts w:ascii="宋体" w:hAnsi="宋体" w:cs="宋体"/>
          <w:kern w:val="0"/>
          <w:szCs w:val="21"/>
          <w:highlight w:val="none"/>
        </w:rPr>
        <w:t>签字</w:t>
      </w:r>
      <w:r>
        <w:rPr>
          <w:rFonts w:hint="eastAsia" w:ascii="宋体" w:hAnsi="宋体" w:cs="宋体"/>
          <w:kern w:val="0"/>
          <w:szCs w:val="21"/>
          <w:highlight w:val="none"/>
        </w:rPr>
        <w:t>或盖章）</w:t>
      </w:r>
      <w:r>
        <w:rPr>
          <w:rFonts w:ascii="宋体" w:hAnsi="宋体" w:cs="宋体"/>
          <w:kern w:val="0"/>
          <w:szCs w:val="21"/>
          <w:highlight w:val="none"/>
        </w:rPr>
        <w:t>：</w:t>
      </w:r>
    </w:p>
    <w:p>
      <w:pPr>
        <w:widowControl/>
        <w:jc w:val="left"/>
        <w:rPr>
          <w:rFonts w:ascii="宋体" w:hAnsi="宋体"/>
          <w:kern w:val="0"/>
          <w:szCs w:val="21"/>
          <w:highlight w:val="none"/>
        </w:rPr>
      </w:pPr>
      <w:r>
        <w:rPr>
          <w:rFonts w:hint="eastAsia" w:ascii="宋体" w:hAnsi="宋体"/>
          <w:kern w:val="0"/>
          <w:szCs w:val="21"/>
          <w:highlight w:val="none"/>
        </w:rPr>
        <w:t xml:space="preserve">                                         日期：年月日</w:t>
      </w:r>
    </w:p>
    <w:p>
      <w:pPr>
        <w:widowControl/>
        <w:jc w:val="left"/>
        <w:rPr>
          <w:rFonts w:ascii="宋体" w:hAnsi="宋体"/>
          <w:kern w:val="0"/>
          <w:szCs w:val="21"/>
          <w:highlight w:val="none"/>
        </w:rPr>
        <w:sectPr>
          <w:pgSz w:w="11905" w:h="16838"/>
          <w:pgMar w:top="1559" w:right="1757" w:bottom="1984" w:left="1757" w:header="850" w:footer="992" w:gutter="0"/>
          <w:cols w:space="0" w:num="1"/>
          <w:docGrid w:linePitch="312" w:charSpace="0"/>
        </w:sectPr>
      </w:pPr>
      <w:r>
        <w:rPr>
          <w:rFonts w:ascii="宋体" w:hAnsi="宋体"/>
          <w:kern w:val="0"/>
          <w:szCs w:val="21"/>
          <w:highlight w:val="none"/>
        </w:rPr>
        <w:br w:type="page"/>
      </w:r>
    </w:p>
    <w:p>
      <w:pPr>
        <w:spacing w:line="360" w:lineRule="auto"/>
        <w:ind w:left="1"/>
        <w:jc w:val="left"/>
        <w:rPr>
          <w:rFonts w:ascii="宋体" w:hAnsi="宋体"/>
          <w:b/>
          <w:kern w:val="0"/>
          <w:sz w:val="28"/>
          <w:szCs w:val="28"/>
          <w:highlight w:val="none"/>
        </w:rPr>
      </w:pPr>
      <w:r>
        <w:rPr>
          <w:rFonts w:hint="eastAsia" w:ascii="宋体" w:hAnsi="宋体"/>
          <w:b/>
          <w:kern w:val="0"/>
          <w:sz w:val="28"/>
          <w:szCs w:val="28"/>
          <w:highlight w:val="none"/>
        </w:rPr>
        <w:t>附件3：（如有）</w:t>
      </w:r>
    </w:p>
    <w:p>
      <w:pPr>
        <w:rPr>
          <w:highlight w:val="none"/>
        </w:rPr>
      </w:pPr>
    </w:p>
    <w:p>
      <w:pPr>
        <w:jc w:val="center"/>
        <w:rPr>
          <w:rFonts w:ascii="宋体" w:hAnsi="宋体" w:cs="宋体"/>
          <w:b/>
          <w:sz w:val="32"/>
          <w:szCs w:val="32"/>
          <w:highlight w:val="none"/>
        </w:rPr>
      </w:pPr>
      <w:r>
        <w:rPr>
          <w:rFonts w:hint="eastAsia" w:ascii="宋体" w:hAnsi="宋体" w:cs="宋体"/>
          <w:b/>
          <w:sz w:val="32"/>
          <w:szCs w:val="32"/>
          <w:highlight w:val="none"/>
        </w:rPr>
        <w:t>中小企业声明函（工程、服务）</w:t>
      </w:r>
    </w:p>
    <w:p>
      <w:pPr>
        <w:rPr>
          <w:rFonts w:ascii="宋体" w:hAnsi="宋体" w:cs="宋体"/>
          <w:sz w:val="24"/>
          <w:highlight w:val="none"/>
        </w:rPr>
      </w:pPr>
    </w:p>
    <w:p>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宋体" w:hAnsi="宋体" w:cs="宋体"/>
          <w:sz w:val="24"/>
          <w:highlight w:val="none"/>
        </w:rPr>
        <w:t>本公司（联合体）郑重声明，根据《政府采购促进中小企业发展管理办法》</w:t>
      </w:r>
      <w:r>
        <w:rPr>
          <w:rFonts w:hint="eastAsia" w:asciiTheme="minorEastAsia" w:hAnsiTheme="minorEastAsia" w:eastAsiaTheme="minorEastAsia"/>
          <w:color w:val="000000" w:themeColor="text1"/>
          <w:sz w:val="24"/>
          <w:highlight w:val="none"/>
          <w14:textFill>
            <w14:solidFill>
              <w14:schemeClr w14:val="tx1"/>
            </w14:solidFill>
          </w14:textFill>
        </w:rPr>
        <w:t>（财库﹝2020﹞46 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 （标的名称），属于（采购文件中明确的所属行业）行业；制造商为（企业名称），从业人员人，营业收入为万元，资产总额为万元1，属于（中型企业、小型企业、微型企业）；</w:t>
      </w:r>
    </w:p>
    <w:p>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 （标的名称） ，属于（采购文件中明确的所属行业）行业；制造商为（企业名称），从业人员人，营业收入为万元，资产总额为万元，属于（中型企业、小型企业、微型企业）；</w:t>
      </w:r>
    </w:p>
    <w:p>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p>
    <w:p>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本企业对上述声明内容的真实性负责。如有虚假，将依法承担相应责任。</w:t>
      </w:r>
    </w:p>
    <w:p>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企业名称（盖章）：</w:t>
      </w:r>
    </w:p>
    <w:p>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日期：</w:t>
      </w:r>
    </w:p>
    <w:p>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p>
    <w:p>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1从业人员、营业收入、资产总额填报上一年度数据，无上一年度数据的新成立企业可不填报。</w:t>
      </w:r>
    </w:p>
    <w:p>
      <w:pPr>
        <w:pStyle w:val="18"/>
        <w:rPr>
          <w:rFonts w:asciiTheme="minorEastAsia" w:hAnsiTheme="minorEastAsia" w:eastAsiaTheme="minorEastAsia"/>
          <w:color w:val="000000" w:themeColor="text1"/>
          <w:highlight w:val="none"/>
          <w14:textFill>
            <w14:solidFill>
              <w14:schemeClr w14:val="tx1"/>
            </w14:solidFill>
          </w14:textFill>
        </w:rPr>
      </w:pPr>
    </w:p>
    <w:p>
      <w:pPr>
        <w:rPr>
          <w:rFonts w:asciiTheme="minorEastAsia" w:hAnsiTheme="minorEastAsia" w:eastAsiaTheme="minorEastAsia"/>
          <w:color w:val="000000" w:themeColor="text1"/>
          <w:sz w:val="24"/>
          <w:highlight w:val="none"/>
          <w14:textFill>
            <w14:solidFill>
              <w14:schemeClr w14:val="tx1"/>
            </w14:solidFill>
          </w14:textFill>
        </w:rPr>
      </w:pPr>
    </w:p>
    <w:p>
      <w:pPr>
        <w:pStyle w:val="18"/>
        <w:rPr>
          <w:rFonts w:asciiTheme="minorEastAsia" w:hAnsiTheme="minorEastAsia" w:eastAsiaTheme="minorEastAsia"/>
          <w:color w:val="000000" w:themeColor="text1"/>
          <w:highlight w:val="none"/>
          <w14:textFill>
            <w14:solidFill>
              <w14:schemeClr w14:val="tx1"/>
            </w14:solidFill>
          </w14:textFill>
        </w:rPr>
      </w:pPr>
    </w:p>
    <w:p>
      <w:pPr>
        <w:rPr>
          <w:rFonts w:asciiTheme="minorEastAsia" w:hAnsiTheme="minorEastAsia" w:eastAsiaTheme="minorEastAsia"/>
          <w:color w:val="000000" w:themeColor="text1"/>
          <w:sz w:val="24"/>
          <w:highlight w:val="none"/>
          <w14:textFill>
            <w14:solidFill>
              <w14:schemeClr w14:val="tx1"/>
            </w14:solidFill>
          </w14:textFill>
        </w:rPr>
      </w:pPr>
    </w:p>
    <w:p>
      <w:pPr>
        <w:pStyle w:val="18"/>
        <w:rPr>
          <w:rFonts w:asciiTheme="minorEastAsia" w:hAnsiTheme="minorEastAsia" w:eastAsiaTheme="minorEastAsia"/>
          <w:color w:val="000000" w:themeColor="text1"/>
          <w:highlight w:val="none"/>
          <w14:textFill>
            <w14:solidFill>
              <w14:schemeClr w14:val="tx1"/>
            </w14:solidFill>
          </w14:textFill>
        </w:rPr>
      </w:pPr>
    </w:p>
    <w:p>
      <w:pPr>
        <w:rPr>
          <w:rFonts w:asciiTheme="minorEastAsia" w:hAnsiTheme="minorEastAsia" w:eastAsiaTheme="minorEastAsia"/>
          <w:color w:val="000000" w:themeColor="text1"/>
          <w:sz w:val="24"/>
          <w:highlight w:val="none"/>
          <w14:textFill>
            <w14:solidFill>
              <w14:schemeClr w14:val="tx1"/>
            </w14:solidFill>
          </w14:textFill>
        </w:rPr>
      </w:pPr>
    </w:p>
    <w:p>
      <w:pPr>
        <w:pStyle w:val="18"/>
        <w:rPr>
          <w:rFonts w:asciiTheme="minorEastAsia" w:hAnsiTheme="minorEastAsia" w:eastAsiaTheme="minorEastAsia"/>
          <w:color w:val="000000" w:themeColor="text1"/>
          <w:highlight w:val="none"/>
          <w14:textFill>
            <w14:solidFill>
              <w14:schemeClr w14:val="tx1"/>
            </w14:solidFill>
          </w14:textFill>
        </w:rPr>
      </w:pPr>
    </w:p>
    <w:p>
      <w:pPr>
        <w:rPr>
          <w:rFonts w:asciiTheme="minorEastAsia" w:hAnsiTheme="minorEastAsia" w:eastAsiaTheme="minorEastAsia"/>
          <w:color w:val="000000" w:themeColor="text1"/>
          <w:sz w:val="24"/>
          <w:highlight w:val="none"/>
          <w14:textFill>
            <w14:solidFill>
              <w14:schemeClr w14:val="tx1"/>
            </w14:solidFill>
          </w14:textFill>
        </w:rPr>
      </w:pPr>
    </w:p>
    <w:p>
      <w:pPr>
        <w:pStyle w:val="18"/>
        <w:rPr>
          <w:rFonts w:asciiTheme="minorEastAsia" w:hAnsiTheme="minorEastAsia" w:eastAsiaTheme="minorEastAsia"/>
          <w:color w:val="000000" w:themeColor="text1"/>
          <w:highlight w:val="none"/>
          <w14:textFill>
            <w14:solidFill>
              <w14:schemeClr w14:val="tx1"/>
            </w14:solidFill>
          </w14:textFill>
        </w:rPr>
      </w:pPr>
    </w:p>
    <w:p>
      <w:pPr>
        <w:pStyle w:val="58"/>
        <w:rPr>
          <w:b/>
          <w:sz w:val="28"/>
          <w:szCs w:val="28"/>
          <w:highlight w:val="none"/>
        </w:rPr>
      </w:pPr>
      <w:r>
        <w:rPr>
          <w:rFonts w:hint="eastAsia"/>
          <w:b/>
          <w:sz w:val="28"/>
          <w:szCs w:val="28"/>
          <w:highlight w:val="none"/>
        </w:rPr>
        <w:t>附件4：（如有）</w:t>
      </w:r>
    </w:p>
    <w:p>
      <w:pPr>
        <w:spacing w:line="360" w:lineRule="auto"/>
        <w:ind w:firstLine="562" w:firstLineChars="200"/>
        <w:jc w:val="center"/>
        <w:rPr>
          <w:rFonts w:asciiTheme="minorEastAsia" w:hAnsiTheme="minorEastAsia" w:eastAsiaTheme="minorEastAsia" w:cstheme="minorEastAsia"/>
          <w:b/>
          <w:bCs/>
          <w:sz w:val="28"/>
          <w:szCs w:val="28"/>
          <w:highlight w:val="none"/>
        </w:rPr>
      </w:pPr>
    </w:p>
    <w:p>
      <w:pPr>
        <w:spacing w:line="360" w:lineRule="auto"/>
        <w:ind w:firstLine="562" w:firstLineChars="200"/>
        <w:jc w:val="center"/>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残疾人福利性单位声明函（格式）</w:t>
      </w:r>
    </w:p>
    <w:p>
      <w:pPr>
        <w:spacing w:line="360" w:lineRule="auto"/>
        <w:ind w:firstLine="480" w:firstLineChars="200"/>
        <w:rPr>
          <w:rFonts w:asciiTheme="minorEastAsia" w:hAnsiTheme="minorEastAsia" w:eastAsiaTheme="minorEastAsia" w:cstheme="minorEastAsia"/>
          <w:sz w:val="24"/>
          <w:highlight w:val="none"/>
        </w:rPr>
      </w:pP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单位的</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本单位对上述声明的真实性负责。如有虚假，将依法承担相应责任。</w:t>
      </w:r>
    </w:p>
    <w:p>
      <w:pPr>
        <w:spacing w:line="360" w:lineRule="auto"/>
        <w:rPr>
          <w:rFonts w:asciiTheme="minorEastAsia" w:hAnsiTheme="minorEastAsia" w:eastAsiaTheme="minorEastAsia" w:cstheme="minorEastAsia"/>
          <w:sz w:val="24"/>
          <w:highlight w:val="none"/>
        </w:rPr>
      </w:pPr>
    </w:p>
    <w:p>
      <w:pPr>
        <w:spacing w:line="48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单位名称（盖章）：</w:t>
      </w:r>
    </w:p>
    <w:p>
      <w:pPr>
        <w:spacing w:line="48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日  期：</w:t>
      </w:r>
    </w:p>
    <w:p>
      <w:pPr>
        <w:spacing w:line="360" w:lineRule="auto"/>
        <w:ind w:firstLine="480" w:firstLineChars="200"/>
        <w:rPr>
          <w:rFonts w:asciiTheme="minorEastAsia" w:hAnsiTheme="minorEastAsia" w:eastAsiaTheme="minorEastAsia" w:cstheme="minorEastAsia"/>
          <w:sz w:val="24"/>
          <w:highlight w:val="none"/>
        </w:rPr>
      </w:pPr>
    </w:p>
    <w:p>
      <w:pPr>
        <w:spacing w:line="360" w:lineRule="auto"/>
        <w:ind w:firstLine="422" w:firstLineChars="200"/>
        <w:rPr>
          <w:rFonts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rPr>
        <w:t>注：1.供应商应仔细阅读《财政部 民政部 中国残疾人联合会关于促进残疾人就业政府采购政策的通知》，并如实填写本表，符合条件的供应商未按上述要求提供、填写的，评审时不予以考虑。</w:t>
      </w:r>
    </w:p>
    <w:p>
      <w:pPr>
        <w:spacing w:line="360" w:lineRule="auto"/>
        <w:ind w:firstLine="422" w:firstLineChars="200"/>
        <w:rPr>
          <w:rFonts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rPr>
        <w:t>2.如不是该类企业则不需提供此声明函（可删除此页）。</w:t>
      </w:r>
    </w:p>
    <w:p>
      <w:pPr>
        <w:pStyle w:val="18"/>
        <w:spacing w:line="360" w:lineRule="auto"/>
        <w:rPr>
          <w:rFonts w:asciiTheme="minorEastAsia" w:hAnsiTheme="minorEastAsia" w:eastAsiaTheme="minorEastAsia" w:cstheme="minorEastAsia"/>
          <w:b/>
          <w:bCs/>
          <w:highlight w:val="none"/>
        </w:rPr>
      </w:pPr>
    </w:p>
    <w:p>
      <w:pPr>
        <w:pStyle w:val="18"/>
        <w:spacing w:line="360" w:lineRule="auto"/>
        <w:jc w:val="center"/>
        <w:rPr>
          <w:rFonts w:asciiTheme="minorEastAsia" w:hAnsiTheme="minorEastAsia" w:eastAsiaTheme="minorEastAsia" w:cstheme="minorEastAsia"/>
          <w:b/>
          <w:bCs/>
          <w:highlight w:val="none"/>
        </w:rPr>
      </w:pPr>
    </w:p>
    <w:p>
      <w:pPr>
        <w:pStyle w:val="18"/>
        <w:spacing w:line="360" w:lineRule="auto"/>
        <w:jc w:val="center"/>
        <w:rPr>
          <w:rFonts w:asciiTheme="minorEastAsia" w:hAnsiTheme="minorEastAsia" w:eastAsiaTheme="minorEastAsia" w:cstheme="minorEastAsia"/>
          <w:b/>
          <w:bCs/>
          <w:highlight w:val="none"/>
        </w:rPr>
      </w:pPr>
    </w:p>
    <w:p>
      <w:pPr>
        <w:pStyle w:val="18"/>
        <w:spacing w:line="360" w:lineRule="auto"/>
        <w:jc w:val="center"/>
        <w:rPr>
          <w:rFonts w:asciiTheme="minorEastAsia" w:hAnsiTheme="minorEastAsia" w:eastAsiaTheme="minorEastAsia" w:cstheme="minorEastAsia"/>
          <w:b/>
          <w:bCs/>
          <w:highlight w:val="none"/>
        </w:rPr>
      </w:pPr>
    </w:p>
    <w:p>
      <w:pPr>
        <w:pStyle w:val="18"/>
        <w:spacing w:line="360" w:lineRule="auto"/>
        <w:jc w:val="center"/>
        <w:rPr>
          <w:rFonts w:asciiTheme="minorEastAsia" w:hAnsiTheme="minorEastAsia" w:eastAsiaTheme="minorEastAsia" w:cstheme="minorEastAsia"/>
          <w:b/>
          <w:bCs/>
          <w:highlight w:val="none"/>
        </w:rPr>
      </w:pPr>
    </w:p>
    <w:p>
      <w:pPr>
        <w:pStyle w:val="18"/>
        <w:spacing w:line="360" w:lineRule="auto"/>
        <w:jc w:val="center"/>
        <w:rPr>
          <w:rFonts w:asciiTheme="minorEastAsia" w:hAnsiTheme="minorEastAsia" w:eastAsiaTheme="minorEastAsia" w:cstheme="minorEastAsia"/>
          <w:b/>
          <w:bCs/>
          <w:highlight w:val="none"/>
        </w:rPr>
      </w:pPr>
    </w:p>
    <w:p>
      <w:pPr>
        <w:rPr>
          <w:rFonts w:asciiTheme="minorEastAsia" w:hAnsiTheme="minorEastAsia" w:eastAsiaTheme="minorEastAsia" w:cstheme="minorEastAsia"/>
          <w:b/>
          <w:bCs/>
          <w:highlight w:val="none"/>
        </w:rPr>
      </w:pPr>
    </w:p>
    <w:p>
      <w:pPr>
        <w:pStyle w:val="12"/>
        <w:rPr>
          <w:rFonts w:asciiTheme="minorEastAsia" w:hAnsiTheme="minorEastAsia" w:eastAsiaTheme="minorEastAsia" w:cstheme="minorEastAsia"/>
          <w:b/>
          <w:bCs/>
          <w:highlight w:val="none"/>
        </w:rPr>
      </w:pPr>
    </w:p>
    <w:p>
      <w:pPr>
        <w:pStyle w:val="12"/>
        <w:rPr>
          <w:rFonts w:asciiTheme="minorEastAsia" w:hAnsiTheme="minorEastAsia" w:eastAsiaTheme="minorEastAsia" w:cstheme="minorEastAsia"/>
          <w:b/>
          <w:bCs/>
          <w:highlight w:val="none"/>
        </w:rPr>
      </w:pPr>
    </w:p>
    <w:p>
      <w:pPr>
        <w:pStyle w:val="12"/>
        <w:rPr>
          <w:rFonts w:asciiTheme="minorEastAsia" w:hAnsiTheme="minorEastAsia" w:eastAsiaTheme="minorEastAsia" w:cstheme="minorEastAsia"/>
          <w:b/>
          <w:bCs/>
          <w:highlight w:val="none"/>
        </w:rPr>
      </w:pPr>
    </w:p>
    <w:p>
      <w:pPr>
        <w:pStyle w:val="18"/>
        <w:spacing w:line="360" w:lineRule="auto"/>
        <w:rPr>
          <w:rFonts w:asciiTheme="minorEastAsia" w:hAnsiTheme="minorEastAsia" w:eastAsiaTheme="minorEastAsia" w:cstheme="minorEastAsia"/>
          <w:b/>
          <w:bCs/>
          <w:highlight w:val="none"/>
        </w:rPr>
      </w:pPr>
    </w:p>
    <w:p>
      <w:pPr>
        <w:pStyle w:val="58"/>
        <w:rPr>
          <w:b/>
          <w:sz w:val="28"/>
          <w:szCs w:val="28"/>
          <w:highlight w:val="none"/>
        </w:rPr>
      </w:pPr>
      <w:r>
        <w:rPr>
          <w:rFonts w:hint="eastAsia"/>
          <w:b/>
          <w:sz w:val="28"/>
          <w:szCs w:val="28"/>
          <w:highlight w:val="none"/>
        </w:rPr>
        <w:t>附件5：（如有）</w:t>
      </w:r>
    </w:p>
    <w:p>
      <w:pPr>
        <w:rPr>
          <w:rFonts w:asciiTheme="minorEastAsia" w:hAnsiTheme="minorEastAsia" w:eastAsiaTheme="minorEastAsia" w:cstheme="minorEastAsia"/>
          <w:highlight w:val="none"/>
        </w:rPr>
      </w:pPr>
    </w:p>
    <w:p>
      <w:pPr>
        <w:pStyle w:val="18"/>
        <w:spacing w:line="360" w:lineRule="auto"/>
        <w:jc w:val="center"/>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监狱企业证明文件（格式）</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480" w:firstLineChars="200"/>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sz w:val="24"/>
          <w:highlight w:val="none"/>
        </w:rPr>
        <w:t>监狱企业参加政府采购活动时，应当提供由省级以上监狱管理局、戒毒管理局（含新疆生产建设兵团）出具的属于监狱企业的证明文件。</w:t>
      </w:r>
    </w:p>
    <w:p>
      <w:pPr>
        <w:spacing w:before="120" w:beforeLines="50" w:after="240" w:afterLines="100"/>
        <w:rPr>
          <w:rFonts w:asciiTheme="minorEastAsia" w:hAnsiTheme="minorEastAsia" w:eastAsiaTheme="minorEastAsia" w:cstheme="minorEastAsia"/>
          <w:b/>
          <w:bCs/>
          <w:sz w:val="24"/>
          <w:highlight w:val="none"/>
        </w:rPr>
      </w:pPr>
    </w:p>
    <w:p>
      <w:pPr>
        <w:spacing w:before="120" w:beforeLines="50" w:after="240" w:afterLines="100"/>
        <w:rPr>
          <w:rFonts w:asciiTheme="minorEastAsia" w:hAnsiTheme="minorEastAsia" w:eastAsiaTheme="minorEastAsia" w:cstheme="minorEastAsia"/>
          <w:b/>
          <w:bCs/>
          <w:sz w:val="24"/>
          <w:highlight w:val="none"/>
        </w:rPr>
      </w:pPr>
    </w:p>
    <w:p>
      <w:pPr>
        <w:spacing w:before="120" w:beforeLines="50" w:after="240" w:afterLines="100"/>
        <w:rPr>
          <w:rFonts w:asciiTheme="minorEastAsia" w:hAnsiTheme="minorEastAsia" w:eastAsiaTheme="minorEastAsia" w:cstheme="minorEastAsia"/>
          <w:b/>
          <w:bCs/>
          <w:sz w:val="24"/>
          <w:highlight w:val="none"/>
        </w:rPr>
      </w:pPr>
    </w:p>
    <w:p>
      <w:pPr>
        <w:adjustRightInd w:val="0"/>
        <w:snapToGrid w:val="0"/>
        <w:spacing w:line="360" w:lineRule="auto"/>
        <w:rPr>
          <w:rFonts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rPr>
        <w:t>说明：</w:t>
      </w:r>
    </w:p>
    <w:p>
      <w:pPr>
        <w:spacing w:line="360" w:lineRule="auto"/>
        <w:ind w:firstLine="422" w:firstLineChars="200"/>
        <w:rPr>
          <w:rFonts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rPr>
        <w:t>1.如不是该类企业则不需提供证明文件（可删除此页）。</w:t>
      </w:r>
    </w:p>
    <w:p>
      <w:pPr>
        <w:widowControl/>
        <w:rPr>
          <w:rFonts w:asciiTheme="minorEastAsia" w:hAnsiTheme="minorEastAsia" w:eastAsiaTheme="minorEastAsia" w:cstheme="minorEastAsia"/>
          <w:sz w:val="24"/>
          <w:highlight w:val="none"/>
        </w:rPr>
      </w:pPr>
    </w:p>
    <w:p>
      <w:pPr>
        <w:widowControl/>
        <w:rPr>
          <w:rFonts w:asciiTheme="minorEastAsia" w:hAnsiTheme="minorEastAsia" w:eastAsiaTheme="minorEastAsia" w:cstheme="minorEastAsia"/>
          <w:sz w:val="24"/>
          <w:highlight w:val="none"/>
        </w:rPr>
      </w:pPr>
    </w:p>
    <w:p>
      <w:pPr>
        <w:widowControl/>
        <w:rPr>
          <w:rFonts w:asciiTheme="minorEastAsia" w:hAnsiTheme="minorEastAsia" w:eastAsiaTheme="minorEastAsia" w:cstheme="minorEastAsia"/>
          <w:sz w:val="24"/>
          <w:highlight w:val="none"/>
        </w:rPr>
      </w:pPr>
    </w:p>
    <w:p>
      <w:pPr>
        <w:rPr>
          <w:highlight w:val="none"/>
        </w:rPr>
      </w:pPr>
    </w:p>
    <w:p>
      <w:pPr>
        <w:rPr>
          <w:highlight w:val="none"/>
        </w:rPr>
      </w:pPr>
    </w:p>
    <w:p>
      <w:pPr>
        <w:widowControl/>
        <w:jc w:val="left"/>
        <w:rPr>
          <w:rFonts w:ascii="宋体" w:hAnsi="宋体"/>
          <w:b/>
          <w:kern w:val="0"/>
          <w:sz w:val="28"/>
          <w:szCs w:val="28"/>
          <w:highlight w:val="none"/>
        </w:rPr>
      </w:pPr>
    </w:p>
    <w:p>
      <w:pPr>
        <w:spacing w:line="360" w:lineRule="auto"/>
        <w:ind w:left="1"/>
        <w:jc w:val="center"/>
        <w:rPr>
          <w:rFonts w:ascii="宋体" w:hAnsi="宋体"/>
          <w:b/>
          <w:kern w:val="0"/>
          <w:sz w:val="28"/>
          <w:szCs w:val="28"/>
          <w:highlight w:val="none"/>
        </w:rPr>
        <w:sectPr>
          <w:pgSz w:w="11905" w:h="16838"/>
          <w:pgMar w:top="1559" w:right="1757" w:bottom="1984" w:left="1757" w:header="850" w:footer="992" w:gutter="0"/>
          <w:cols w:space="0" w:num="1"/>
          <w:docGrid w:linePitch="312" w:charSpace="0"/>
        </w:sectPr>
      </w:pPr>
    </w:p>
    <w:p>
      <w:pPr>
        <w:spacing w:line="360" w:lineRule="auto"/>
        <w:ind w:left="1"/>
        <w:jc w:val="center"/>
        <w:rPr>
          <w:rFonts w:ascii="宋体" w:hAnsi="宋体"/>
          <w:b/>
          <w:kern w:val="0"/>
          <w:sz w:val="28"/>
          <w:szCs w:val="28"/>
          <w:highlight w:val="none"/>
        </w:rPr>
      </w:pPr>
      <w:r>
        <w:rPr>
          <w:rFonts w:hint="eastAsia" w:ascii="宋体" w:hAnsi="宋体"/>
          <w:b/>
          <w:kern w:val="0"/>
          <w:sz w:val="28"/>
          <w:szCs w:val="28"/>
          <w:highlight w:val="none"/>
        </w:rPr>
        <w:t>四、磋商保证金</w:t>
      </w:r>
    </w:p>
    <w:p>
      <w:pPr>
        <w:spacing w:line="460" w:lineRule="exact"/>
        <w:ind w:firstLine="420" w:firstLineChars="200"/>
        <w:rPr>
          <w:rFonts w:ascii="宋体" w:hAnsi="宋体"/>
          <w:kern w:val="0"/>
          <w:szCs w:val="21"/>
          <w:highlight w:val="none"/>
        </w:rPr>
      </w:pPr>
      <w:r>
        <w:rPr>
          <w:rFonts w:hint="eastAsia" w:ascii="宋体" w:hAnsi="宋体"/>
          <w:kern w:val="0"/>
          <w:szCs w:val="21"/>
          <w:highlight w:val="none"/>
        </w:rPr>
        <w:t>1、磋商保证金金额、提交时间及提交形式请按照“磋商须知前附表”及“磋商须知”中相关规定执行。</w:t>
      </w:r>
    </w:p>
    <w:p>
      <w:pPr>
        <w:spacing w:line="460" w:lineRule="exact"/>
        <w:ind w:firstLine="420" w:firstLineChars="200"/>
        <w:rPr>
          <w:rFonts w:ascii="宋体" w:hAnsi="宋体"/>
          <w:kern w:val="0"/>
          <w:szCs w:val="21"/>
          <w:highlight w:val="none"/>
        </w:rPr>
      </w:pPr>
      <w:r>
        <w:rPr>
          <w:rFonts w:hint="eastAsia" w:ascii="宋体" w:hAnsi="宋体"/>
          <w:kern w:val="0"/>
          <w:szCs w:val="21"/>
          <w:highlight w:val="none"/>
        </w:rPr>
        <w:t>2、磋商保证金转账凭证；或银行保函及代理机构出具的收据；或担保函的复印件并加盖单位盖单位章粘贴如下：</w:t>
      </w:r>
    </w:p>
    <w:p>
      <w:pPr>
        <w:spacing w:line="460" w:lineRule="exact"/>
        <w:ind w:firstLine="420" w:firstLineChars="200"/>
        <w:rPr>
          <w:rFonts w:ascii="宋体" w:hAnsi="宋体"/>
          <w:kern w:val="0"/>
          <w:szCs w:val="21"/>
          <w:highlight w:val="none"/>
        </w:rPr>
      </w:pPr>
      <w:r>
        <w:rPr>
          <w:rFonts w:hint="eastAsia" w:ascii="宋体" w:hAnsi="宋体"/>
          <w:kern w:val="0"/>
          <w:szCs w:val="21"/>
          <w:highlight w:val="none"/>
        </w:rPr>
        <w:t>3、后附供应商基本账户《开户许可证》复印件并加盖单位盖单位章。</w:t>
      </w:r>
    </w:p>
    <w:p>
      <w:pPr>
        <w:spacing w:line="360" w:lineRule="auto"/>
        <w:ind w:left="1"/>
        <w:jc w:val="center"/>
        <w:rPr>
          <w:rFonts w:ascii="宋体" w:hAnsi="宋体"/>
          <w:b/>
          <w:color w:val="FF0000"/>
          <w:kern w:val="0"/>
          <w:sz w:val="36"/>
          <w:szCs w:val="36"/>
          <w:highlight w:val="none"/>
        </w:rPr>
      </w:pPr>
    </w:p>
    <w:p>
      <w:pPr>
        <w:spacing w:line="360" w:lineRule="auto"/>
        <w:ind w:left="1"/>
        <w:rPr>
          <w:rFonts w:ascii="宋体" w:hAnsi="宋体"/>
          <w:kern w:val="0"/>
          <w:sz w:val="24"/>
          <w:highlight w:val="none"/>
        </w:rPr>
      </w:pPr>
    </w:p>
    <w:p>
      <w:pPr>
        <w:spacing w:line="440" w:lineRule="exact"/>
        <w:jc w:val="left"/>
        <w:rPr>
          <w:rFonts w:ascii="宋体" w:hAnsi="宋体"/>
          <w:kern w:val="0"/>
          <w:sz w:val="24"/>
          <w:highlight w:val="none"/>
        </w:rPr>
      </w:pPr>
      <w:r>
        <w:rPr>
          <w:rFonts w:ascii="宋体" w:hAnsi="宋体"/>
          <w:kern w:val="0"/>
          <w:sz w:val="24"/>
          <w:highlight w:val="none"/>
        </w:rPr>
        <w:br w:type="page"/>
      </w:r>
      <w:r>
        <w:rPr>
          <w:rFonts w:hint="eastAsia" w:ascii="宋体" w:hAnsi="宋体"/>
          <w:b/>
          <w:bCs/>
          <w:spacing w:val="4"/>
          <w:szCs w:val="21"/>
          <w:highlight w:val="none"/>
        </w:rPr>
        <w:t>技术和商务部分</w:t>
      </w:r>
    </w:p>
    <w:p>
      <w:pPr>
        <w:spacing w:line="440" w:lineRule="exact"/>
        <w:jc w:val="center"/>
        <w:rPr>
          <w:rFonts w:ascii="宋体" w:hAnsi="宋体"/>
          <w:kern w:val="0"/>
          <w:sz w:val="28"/>
          <w:szCs w:val="28"/>
          <w:highlight w:val="none"/>
        </w:rPr>
      </w:pPr>
      <w:r>
        <w:rPr>
          <w:rFonts w:hint="eastAsia" w:ascii="宋体" w:hAnsi="宋体"/>
          <w:b/>
          <w:kern w:val="0"/>
          <w:sz w:val="28"/>
          <w:szCs w:val="28"/>
          <w:highlight w:val="none"/>
        </w:rPr>
        <w:t>一、磋商报价函</w:t>
      </w:r>
    </w:p>
    <w:p>
      <w:pPr>
        <w:spacing w:line="440" w:lineRule="exact"/>
        <w:jc w:val="left"/>
        <w:rPr>
          <w:rFonts w:ascii="宋体" w:hAnsi="宋体"/>
          <w:kern w:val="0"/>
          <w:sz w:val="24"/>
          <w:highlight w:val="none"/>
        </w:rPr>
      </w:pPr>
    </w:p>
    <w:p>
      <w:pPr>
        <w:spacing w:line="480" w:lineRule="exact"/>
        <w:rPr>
          <w:rFonts w:ascii="宋体" w:hAnsi="宋体"/>
          <w:kern w:val="0"/>
          <w:szCs w:val="21"/>
          <w:highlight w:val="none"/>
        </w:rPr>
      </w:pPr>
      <w:r>
        <w:rPr>
          <w:rFonts w:hint="eastAsia" w:ascii="宋体" w:hAnsi="宋体"/>
          <w:kern w:val="0"/>
          <w:szCs w:val="21"/>
          <w:highlight w:val="none"/>
        </w:rPr>
        <w:t>致：陕西恒瑞项目管理有限公司</w:t>
      </w:r>
    </w:p>
    <w:p>
      <w:pPr>
        <w:spacing w:line="480" w:lineRule="exact"/>
        <w:ind w:firstLine="420" w:firstLineChars="200"/>
        <w:rPr>
          <w:rFonts w:ascii="宋体" w:hAnsi="宋体"/>
          <w:kern w:val="0"/>
          <w:szCs w:val="21"/>
          <w:highlight w:val="none"/>
        </w:rPr>
      </w:pPr>
      <w:r>
        <w:rPr>
          <w:rFonts w:hint="eastAsia" w:ascii="宋体" w:hAnsi="宋体"/>
          <w:kern w:val="0"/>
          <w:szCs w:val="21"/>
          <w:highlight w:val="none"/>
        </w:rPr>
        <w:t>根据贵方为</w:t>
      </w:r>
      <w:r>
        <w:rPr>
          <w:rFonts w:hint="eastAsia" w:ascii="宋体" w:hAnsi="宋体"/>
          <w:kern w:val="0"/>
          <w:szCs w:val="21"/>
          <w:highlight w:val="none"/>
          <w:u w:val="single"/>
        </w:rPr>
        <w:t>（项目名称）</w:t>
      </w:r>
      <w:r>
        <w:rPr>
          <w:rFonts w:hint="eastAsia" w:ascii="宋体" w:hAnsi="宋体"/>
          <w:kern w:val="0"/>
          <w:szCs w:val="21"/>
          <w:highlight w:val="none"/>
        </w:rPr>
        <w:t>项目的竞争性磋商邀请</w:t>
      </w:r>
      <w:r>
        <w:rPr>
          <w:rFonts w:hint="eastAsia" w:ascii="宋体" w:hAnsi="宋体"/>
          <w:kern w:val="0"/>
          <w:szCs w:val="21"/>
          <w:highlight w:val="none"/>
          <w:u w:val="single"/>
        </w:rPr>
        <w:t>(项目编号)</w:t>
      </w:r>
      <w:r>
        <w:rPr>
          <w:rFonts w:hint="eastAsia" w:ascii="宋体" w:hAnsi="宋体"/>
          <w:kern w:val="0"/>
          <w:szCs w:val="21"/>
          <w:highlight w:val="none"/>
        </w:rPr>
        <w:t>，签字代表</w:t>
      </w:r>
      <w:r>
        <w:rPr>
          <w:rFonts w:hint="eastAsia" w:ascii="宋体" w:hAnsi="宋体"/>
          <w:kern w:val="0"/>
          <w:szCs w:val="21"/>
          <w:highlight w:val="none"/>
          <w:u w:val="single"/>
        </w:rPr>
        <w:t xml:space="preserve">  （姓名、职务）  </w:t>
      </w:r>
      <w:r>
        <w:rPr>
          <w:rFonts w:hint="eastAsia" w:ascii="宋体" w:hAnsi="宋体"/>
          <w:kern w:val="0"/>
          <w:szCs w:val="21"/>
          <w:highlight w:val="none"/>
        </w:rPr>
        <w:t>经正式授权并代表供应商</w:t>
      </w:r>
      <w:r>
        <w:rPr>
          <w:rFonts w:hint="eastAsia" w:ascii="宋体" w:hAnsi="宋体"/>
          <w:kern w:val="0"/>
          <w:szCs w:val="21"/>
          <w:highlight w:val="none"/>
          <w:u w:val="single"/>
        </w:rPr>
        <w:t xml:space="preserve"> (供应商名称、地址) </w:t>
      </w:r>
      <w:r>
        <w:rPr>
          <w:rFonts w:hint="eastAsia" w:ascii="宋体" w:hAnsi="宋体"/>
          <w:kern w:val="0"/>
          <w:szCs w:val="21"/>
          <w:highlight w:val="none"/>
        </w:rPr>
        <w:t>提交下述响应文件正本一份及副本两份，并提交磋商保证金，金额为    。</w:t>
      </w:r>
    </w:p>
    <w:p>
      <w:pPr>
        <w:spacing w:line="480" w:lineRule="exact"/>
        <w:ind w:left="545" w:leftChars="251" w:hanging="18" w:hangingChars="9"/>
        <w:rPr>
          <w:rFonts w:ascii="宋体" w:hAnsi="宋体"/>
          <w:kern w:val="0"/>
          <w:szCs w:val="21"/>
          <w:highlight w:val="none"/>
        </w:rPr>
      </w:pPr>
      <w:r>
        <w:rPr>
          <w:rFonts w:hint="eastAsia" w:ascii="宋体" w:hAnsi="宋体"/>
          <w:kern w:val="0"/>
          <w:szCs w:val="21"/>
          <w:highlight w:val="none"/>
        </w:rPr>
        <w:t>我方承诺如下：</w:t>
      </w:r>
    </w:p>
    <w:p>
      <w:pPr>
        <w:numPr>
          <w:ilvl w:val="0"/>
          <w:numId w:val="9"/>
        </w:numPr>
        <w:tabs>
          <w:tab w:val="left" w:pos="2160"/>
        </w:tabs>
        <w:spacing w:line="480" w:lineRule="exact"/>
        <w:ind w:left="360"/>
        <w:rPr>
          <w:rFonts w:ascii="宋体" w:hAnsi="宋体"/>
          <w:kern w:val="0"/>
          <w:szCs w:val="21"/>
          <w:highlight w:val="none"/>
        </w:rPr>
      </w:pPr>
      <w:r>
        <w:rPr>
          <w:rFonts w:hint="eastAsia" w:ascii="宋体" w:hAnsi="宋体"/>
          <w:kern w:val="0"/>
          <w:szCs w:val="21"/>
          <w:highlight w:val="none"/>
        </w:rPr>
        <w:t>磋商总报价详见《磋商报价一览表》。</w:t>
      </w:r>
    </w:p>
    <w:p>
      <w:pPr>
        <w:numPr>
          <w:ilvl w:val="0"/>
          <w:numId w:val="9"/>
        </w:numPr>
        <w:tabs>
          <w:tab w:val="left" w:pos="2160"/>
        </w:tabs>
        <w:spacing w:line="480" w:lineRule="exact"/>
        <w:ind w:firstLine="315" w:firstLineChars="150"/>
        <w:rPr>
          <w:rFonts w:ascii="宋体" w:hAnsi="宋体"/>
          <w:kern w:val="0"/>
          <w:szCs w:val="21"/>
          <w:highlight w:val="none"/>
        </w:rPr>
      </w:pPr>
      <w:r>
        <w:rPr>
          <w:rFonts w:hint="eastAsia" w:ascii="宋体" w:hAnsi="宋体"/>
          <w:kern w:val="0"/>
          <w:szCs w:val="21"/>
          <w:highlight w:val="none"/>
        </w:rPr>
        <w:t>如果成交，我们根据磋商文件的规定，完全履行合同中规定的责任和义务。</w:t>
      </w:r>
    </w:p>
    <w:p>
      <w:pPr>
        <w:tabs>
          <w:tab w:val="left" w:pos="2160"/>
        </w:tabs>
        <w:spacing w:line="480" w:lineRule="exact"/>
        <w:ind w:firstLine="315" w:firstLineChars="150"/>
        <w:rPr>
          <w:rFonts w:ascii="宋体" w:hAnsi="宋体"/>
          <w:kern w:val="0"/>
          <w:szCs w:val="21"/>
          <w:highlight w:val="none"/>
        </w:rPr>
      </w:pPr>
      <w:r>
        <w:rPr>
          <w:rFonts w:hint="eastAsia" w:ascii="宋体" w:hAnsi="宋体"/>
          <w:kern w:val="0"/>
          <w:szCs w:val="21"/>
          <w:highlight w:val="none"/>
        </w:rPr>
        <w:t>（3）我们已详细阅读和审核全部磋商文件（含修改部分，如有的话），及有关附件，我们知道必须放弃提出含糊不清或误解的问题的权利。</w:t>
      </w:r>
    </w:p>
    <w:p>
      <w:pPr>
        <w:tabs>
          <w:tab w:val="left" w:pos="2160"/>
        </w:tabs>
        <w:spacing w:line="480" w:lineRule="exact"/>
        <w:ind w:firstLine="315" w:firstLineChars="150"/>
        <w:rPr>
          <w:rFonts w:ascii="宋体" w:hAnsi="宋体"/>
          <w:kern w:val="0"/>
          <w:szCs w:val="21"/>
          <w:highlight w:val="none"/>
        </w:rPr>
      </w:pPr>
      <w:r>
        <w:rPr>
          <w:rFonts w:hint="eastAsia" w:ascii="宋体" w:hAnsi="宋体"/>
          <w:kern w:val="0"/>
          <w:szCs w:val="21"/>
          <w:highlight w:val="none"/>
        </w:rPr>
        <w:t>（4）我们同意在磋商报价有效期内（自磋商之日起</w:t>
      </w:r>
      <w:r>
        <w:rPr>
          <w:rFonts w:hint="eastAsia" w:ascii="宋体" w:hAnsi="宋体"/>
          <w:kern w:val="0"/>
          <w:szCs w:val="21"/>
          <w:highlight w:val="none"/>
          <w:u w:val="single"/>
        </w:rPr>
        <w:t xml:space="preserve">  90  </w:t>
      </w:r>
      <w:r>
        <w:rPr>
          <w:rFonts w:hint="eastAsia" w:ascii="宋体" w:hAnsi="宋体"/>
          <w:kern w:val="0"/>
          <w:szCs w:val="21"/>
          <w:highlight w:val="none"/>
        </w:rPr>
        <w:t>天内），本磋商报价书对我方具有约束力。</w:t>
      </w:r>
    </w:p>
    <w:p>
      <w:pPr>
        <w:tabs>
          <w:tab w:val="left" w:pos="2160"/>
        </w:tabs>
        <w:spacing w:line="480" w:lineRule="exact"/>
        <w:ind w:firstLine="315" w:firstLineChars="150"/>
        <w:rPr>
          <w:rFonts w:ascii="宋体" w:hAnsi="宋体"/>
          <w:kern w:val="0"/>
          <w:szCs w:val="21"/>
          <w:highlight w:val="none"/>
        </w:rPr>
      </w:pPr>
      <w:r>
        <w:rPr>
          <w:rFonts w:hint="eastAsia" w:ascii="宋体" w:hAnsi="宋体"/>
          <w:kern w:val="0"/>
          <w:szCs w:val="21"/>
          <w:highlight w:val="none"/>
        </w:rPr>
        <w:t>（5）如果在磋商中，我方出现了“磋商须知”中第</w:t>
      </w:r>
      <w:r>
        <w:rPr>
          <w:rFonts w:ascii="宋体" w:hAnsi="宋体"/>
          <w:kern w:val="0"/>
          <w:szCs w:val="21"/>
          <w:highlight w:val="none"/>
        </w:rPr>
        <w:t>1</w:t>
      </w:r>
      <w:r>
        <w:rPr>
          <w:rFonts w:hint="eastAsia" w:ascii="宋体" w:hAnsi="宋体"/>
          <w:kern w:val="0"/>
          <w:szCs w:val="21"/>
          <w:highlight w:val="none"/>
        </w:rPr>
        <w:t>5</w:t>
      </w:r>
      <w:r>
        <w:rPr>
          <w:rFonts w:ascii="宋体" w:hAnsi="宋体"/>
          <w:kern w:val="0"/>
          <w:szCs w:val="21"/>
          <w:highlight w:val="none"/>
        </w:rPr>
        <w:t>.</w:t>
      </w:r>
      <w:r>
        <w:rPr>
          <w:rFonts w:hint="eastAsia" w:ascii="宋体" w:hAnsi="宋体"/>
          <w:kern w:val="0"/>
          <w:szCs w:val="21"/>
          <w:highlight w:val="none"/>
        </w:rPr>
        <w:t>5条规定的不予退还保证金的情形，我们的磋商保证金贵方不予退还。</w:t>
      </w:r>
    </w:p>
    <w:p>
      <w:pPr>
        <w:tabs>
          <w:tab w:val="left" w:pos="2160"/>
        </w:tabs>
        <w:spacing w:line="480" w:lineRule="exact"/>
        <w:ind w:firstLine="315" w:firstLineChars="150"/>
        <w:rPr>
          <w:rFonts w:ascii="宋体" w:hAnsi="宋体"/>
          <w:kern w:val="0"/>
          <w:szCs w:val="21"/>
          <w:highlight w:val="none"/>
        </w:rPr>
      </w:pPr>
      <w:r>
        <w:rPr>
          <w:rFonts w:hint="eastAsia" w:ascii="宋体" w:hAnsi="宋体"/>
          <w:kern w:val="0"/>
          <w:szCs w:val="21"/>
          <w:highlight w:val="none"/>
        </w:rPr>
        <w:t xml:space="preserve">（6）同意提供贵方可能另外要求的与本磋商报价有关的任何证据和资料。 </w:t>
      </w:r>
    </w:p>
    <w:p>
      <w:pPr>
        <w:tabs>
          <w:tab w:val="left" w:pos="2160"/>
        </w:tabs>
        <w:spacing w:line="480" w:lineRule="exact"/>
        <w:ind w:firstLine="315" w:firstLineChars="150"/>
        <w:rPr>
          <w:rFonts w:ascii="宋体" w:hAnsi="宋体"/>
          <w:kern w:val="0"/>
          <w:szCs w:val="21"/>
          <w:highlight w:val="none"/>
        </w:rPr>
      </w:pPr>
      <w:r>
        <w:rPr>
          <w:rFonts w:hint="eastAsia" w:ascii="宋体" w:hAnsi="宋体"/>
          <w:kern w:val="0"/>
          <w:szCs w:val="21"/>
          <w:highlight w:val="none"/>
        </w:rPr>
        <w:t>（7）我们同意，如果成交，向陕西恒瑞项目管理有限公司交纳采购代理服务费。</w:t>
      </w:r>
    </w:p>
    <w:p>
      <w:pPr>
        <w:tabs>
          <w:tab w:val="left" w:pos="2160"/>
        </w:tabs>
        <w:spacing w:line="480" w:lineRule="exact"/>
        <w:ind w:firstLine="315" w:firstLineChars="150"/>
        <w:rPr>
          <w:rFonts w:ascii="宋体" w:hAnsi="宋体"/>
          <w:kern w:val="0"/>
          <w:szCs w:val="21"/>
          <w:highlight w:val="none"/>
        </w:rPr>
      </w:pPr>
      <w:r>
        <w:rPr>
          <w:rFonts w:hint="eastAsia" w:ascii="宋体" w:hAnsi="宋体"/>
          <w:kern w:val="0"/>
          <w:szCs w:val="21"/>
          <w:highlight w:val="none"/>
        </w:rPr>
        <w:t>（8）与本磋商响应有关的一切正式信函请寄：</w:t>
      </w:r>
    </w:p>
    <w:p>
      <w:pPr>
        <w:spacing w:line="480" w:lineRule="exact"/>
        <w:ind w:firstLine="420" w:firstLineChars="200"/>
        <w:rPr>
          <w:rFonts w:ascii="宋体" w:hAnsi="宋体"/>
          <w:kern w:val="0"/>
          <w:szCs w:val="21"/>
          <w:highlight w:val="none"/>
        </w:rPr>
      </w:pPr>
    </w:p>
    <w:p>
      <w:pPr>
        <w:spacing w:line="480" w:lineRule="exact"/>
        <w:ind w:firstLine="420" w:firstLineChars="200"/>
        <w:rPr>
          <w:rFonts w:ascii="宋体" w:hAnsi="宋体"/>
          <w:kern w:val="0"/>
          <w:szCs w:val="21"/>
          <w:highlight w:val="none"/>
        </w:rPr>
      </w:pPr>
      <w:r>
        <w:rPr>
          <w:rFonts w:hint="eastAsia" w:ascii="宋体" w:hAnsi="宋体"/>
          <w:kern w:val="0"/>
          <w:szCs w:val="21"/>
          <w:highlight w:val="none"/>
        </w:rPr>
        <w:t>地  址：                        邮政编码：</w:t>
      </w:r>
    </w:p>
    <w:p>
      <w:pPr>
        <w:spacing w:line="480" w:lineRule="exact"/>
        <w:ind w:firstLine="420" w:firstLineChars="200"/>
        <w:rPr>
          <w:rFonts w:ascii="宋体" w:hAnsi="宋体"/>
          <w:kern w:val="0"/>
          <w:szCs w:val="21"/>
          <w:highlight w:val="none"/>
        </w:rPr>
      </w:pPr>
      <w:r>
        <w:rPr>
          <w:rFonts w:hint="eastAsia" w:ascii="宋体" w:hAnsi="宋体"/>
          <w:kern w:val="0"/>
          <w:szCs w:val="21"/>
          <w:highlight w:val="none"/>
        </w:rPr>
        <w:t>电话/传真：                     电子邮件：</w:t>
      </w:r>
    </w:p>
    <w:p>
      <w:pPr>
        <w:spacing w:line="440" w:lineRule="exact"/>
        <w:rPr>
          <w:rFonts w:ascii="宋体" w:hAnsi="宋体"/>
          <w:kern w:val="0"/>
          <w:szCs w:val="21"/>
          <w:highlight w:val="none"/>
        </w:rPr>
      </w:pPr>
    </w:p>
    <w:p>
      <w:pPr>
        <w:spacing w:line="440" w:lineRule="exact"/>
        <w:ind w:firstLine="315" w:firstLineChars="150"/>
        <w:rPr>
          <w:rFonts w:ascii="宋体" w:hAnsi="宋体"/>
          <w:kern w:val="0"/>
          <w:szCs w:val="21"/>
          <w:highlight w:val="none"/>
        </w:rPr>
      </w:pPr>
      <w:r>
        <w:rPr>
          <w:rFonts w:hint="eastAsia" w:ascii="宋体" w:hAnsi="宋体"/>
          <w:kern w:val="0"/>
          <w:szCs w:val="21"/>
          <w:highlight w:val="none"/>
        </w:rPr>
        <w:t>法定代表人或被授权人（签字或盖章）：</w:t>
      </w:r>
    </w:p>
    <w:p>
      <w:pPr>
        <w:spacing w:line="440" w:lineRule="exact"/>
        <w:ind w:firstLine="315" w:firstLineChars="150"/>
        <w:rPr>
          <w:rFonts w:ascii="宋体" w:hAnsi="宋体"/>
          <w:kern w:val="0"/>
          <w:szCs w:val="21"/>
          <w:highlight w:val="none"/>
        </w:rPr>
      </w:pPr>
      <w:r>
        <w:rPr>
          <w:rFonts w:hint="eastAsia" w:ascii="宋体" w:hAnsi="宋体"/>
          <w:kern w:val="0"/>
          <w:szCs w:val="21"/>
          <w:highlight w:val="none"/>
        </w:rPr>
        <w:t>供应商名称（盖单位章）：</w:t>
      </w:r>
    </w:p>
    <w:p>
      <w:pPr>
        <w:spacing w:before="240" w:line="360" w:lineRule="auto"/>
        <w:ind w:firstLine="315" w:firstLineChars="150"/>
        <w:rPr>
          <w:kern w:val="0"/>
          <w:highlight w:val="none"/>
        </w:rPr>
      </w:pPr>
      <w:r>
        <w:rPr>
          <w:rFonts w:hint="eastAsia" w:ascii="宋体" w:hAnsi="宋体"/>
          <w:kern w:val="0"/>
          <w:szCs w:val="21"/>
          <w:highlight w:val="none"/>
        </w:rPr>
        <w:t>日  期：</w:t>
      </w:r>
      <w:r>
        <w:rPr>
          <w:kern w:val="0"/>
          <w:highlight w:val="none"/>
        </w:rPr>
        <w:br w:type="page"/>
      </w:r>
    </w:p>
    <w:p>
      <w:pPr>
        <w:spacing w:line="480" w:lineRule="auto"/>
        <w:jc w:val="center"/>
        <w:rPr>
          <w:rFonts w:ascii="宋体" w:hAnsi="宋体"/>
          <w:b/>
          <w:kern w:val="0"/>
          <w:sz w:val="28"/>
          <w:szCs w:val="28"/>
          <w:highlight w:val="none"/>
        </w:rPr>
      </w:pPr>
      <w:r>
        <w:rPr>
          <w:rFonts w:hint="eastAsia" w:ascii="宋体" w:hAnsi="宋体"/>
          <w:kern w:val="0"/>
          <w:sz w:val="28"/>
          <w:szCs w:val="28"/>
          <w:highlight w:val="none"/>
        </w:rPr>
        <w:t>二、</w:t>
      </w:r>
      <w:r>
        <w:rPr>
          <w:rFonts w:hint="eastAsia" w:ascii="宋体" w:hAnsi="宋体"/>
          <w:b/>
          <w:kern w:val="0"/>
          <w:sz w:val="28"/>
          <w:szCs w:val="28"/>
          <w:highlight w:val="none"/>
        </w:rPr>
        <w:t>磋商报价表</w:t>
      </w:r>
    </w:p>
    <w:p>
      <w:pPr>
        <w:jc w:val="center"/>
        <w:rPr>
          <w:rFonts w:ascii="宋体" w:hAnsi="宋体"/>
          <w:b/>
          <w:kern w:val="0"/>
          <w:sz w:val="28"/>
          <w:szCs w:val="28"/>
          <w:highlight w:val="none"/>
        </w:rPr>
      </w:pPr>
      <w:r>
        <w:rPr>
          <w:rFonts w:hint="eastAsia" w:ascii="宋体" w:hAnsi="宋体"/>
          <w:b/>
          <w:kern w:val="0"/>
          <w:sz w:val="28"/>
          <w:szCs w:val="28"/>
          <w:highlight w:val="none"/>
        </w:rPr>
        <w:t>2.1磋商报价一览表</w:t>
      </w:r>
    </w:p>
    <w:p>
      <w:pPr>
        <w:rPr>
          <w:rFonts w:ascii="宋体" w:hAnsi="宋体"/>
          <w:kern w:val="0"/>
          <w:szCs w:val="21"/>
          <w:highlight w:val="none"/>
        </w:rPr>
      </w:pPr>
      <w:r>
        <w:rPr>
          <w:rFonts w:hint="eastAsia" w:ascii="宋体" w:hAnsi="宋体"/>
          <w:kern w:val="0"/>
          <w:szCs w:val="21"/>
          <w:highlight w:val="none"/>
        </w:rPr>
        <w:t>供应商名称：  项目编号：</w:t>
      </w:r>
    </w:p>
    <w:tbl>
      <w:tblPr>
        <w:tblStyle w:val="45"/>
        <w:tblW w:w="8520" w:type="dxa"/>
        <w:jc w:val="center"/>
        <w:tblLayout w:type="fixed"/>
        <w:tblCellMar>
          <w:top w:w="0" w:type="dxa"/>
          <w:left w:w="108" w:type="dxa"/>
          <w:bottom w:w="0" w:type="dxa"/>
          <w:right w:w="108" w:type="dxa"/>
        </w:tblCellMar>
      </w:tblPr>
      <w:tblGrid>
        <w:gridCol w:w="2631"/>
        <w:gridCol w:w="5889"/>
      </w:tblGrid>
      <w:tr>
        <w:tblPrEx>
          <w:tblCellMar>
            <w:top w:w="0" w:type="dxa"/>
            <w:left w:w="108" w:type="dxa"/>
            <w:bottom w:w="0" w:type="dxa"/>
            <w:right w:w="108" w:type="dxa"/>
          </w:tblCellMar>
        </w:tblPrEx>
        <w:trPr>
          <w:trHeight w:val="2212" w:hRule="atLeast"/>
          <w:jc w:val="center"/>
        </w:trPr>
        <w:tc>
          <w:tcPr>
            <w:tcW w:w="2631" w:type="dxa"/>
            <w:tcBorders>
              <w:top w:val="single" w:color="auto" w:sz="6" w:space="0"/>
              <w:left w:val="single" w:color="auto" w:sz="6" w:space="0"/>
              <w:bottom w:val="nil"/>
              <w:right w:val="single" w:color="auto" w:sz="6" w:space="0"/>
            </w:tcBorders>
            <w:vAlign w:val="center"/>
          </w:tcPr>
          <w:p>
            <w:pPr>
              <w:tabs>
                <w:tab w:val="left" w:pos="0"/>
                <w:tab w:val="left" w:pos="720"/>
                <w:tab w:val="left" w:pos="1440"/>
                <w:tab w:val="left" w:pos="2160"/>
                <w:tab w:val="left" w:pos="2880"/>
                <w:tab w:val="left" w:pos="3600"/>
                <w:tab w:val="left" w:pos="4320"/>
              </w:tabs>
              <w:autoSpaceDE w:val="0"/>
              <w:autoSpaceDN w:val="0"/>
              <w:spacing w:line="360" w:lineRule="auto"/>
              <w:ind w:left="108"/>
              <w:jc w:val="center"/>
              <w:rPr>
                <w:kern w:val="0"/>
                <w:szCs w:val="21"/>
                <w:highlight w:val="none"/>
                <w:lang w:val="zh-CN"/>
              </w:rPr>
            </w:pPr>
            <w:r>
              <w:rPr>
                <w:rFonts w:hint="eastAsia" w:ascii="宋体" w:hAnsi="宋体"/>
                <w:kern w:val="0"/>
                <w:szCs w:val="21"/>
                <w:highlight w:val="none"/>
                <w:lang w:val="zh-CN"/>
              </w:rPr>
              <w:t>磋商总报价（元）</w:t>
            </w:r>
          </w:p>
        </w:tc>
        <w:tc>
          <w:tcPr>
            <w:tcW w:w="5889" w:type="dxa"/>
            <w:tcBorders>
              <w:top w:val="single" w:color="auto" w:sz="6" w:space="0"/>
              <w:left w:val="single" w:color="auto" w:sz="6" w:space="0"/>
              <w:bottom w:val="single" w:color="auto" w:sz="4" w:space="0"/>
              <w:right w:val="single" w:color="auto" w:sz="6" w:space="0"/>
            </w:tcBorders>
            <w:vAlign w:val="center"/>
          </w:tcPr>
          <w:p>
            <w:pPr>
              <w:tabs>
                <w:tab w:val="left" w:pos="0"/>
                <w:tab w:val="left" w:pos="720"/>
                <w:tab w:val="left" w:pos="1440"/>
                <w:tab w:val="left" w:pos="2160"/>
                <w:tab w:val="left" w:pos="2880"/>
                <w:tab w:val="left" w:pos="3600"/>
                <w:tab w:val="left" w:pos="4320"/>
              </w:tabs>
              <w:autoSpaceDE w:val="0"/>
              <w:autoSpaceDN w:val="0"/>
              <w:spacing w:before="120" w:beforeLines="50" w:line="360" w:lineRule="auto"/>
              <w:rPr>
                <w:kern w:val="0"/>
                <w:szCs w:val="21"/>
                <w:highlight w:val="none"/>
                <w:u w:val="single"/>
                <w:lang w:val="zh-CN"/>
              </w:rPr>
            </w:pPr>
            <w:r>
              <w:rPr>
                <w:rFonts w:hint="eastAsia" w:ascii="宋体" w:hAnsi="宋体"/>
                <w:kern w:val="0"/>
                <w:szCs w:val="21"/>
                <w:highlight w:val="none"/>
                <w:lang w:val="zh-CN"/>
              </w:rPr>
              <w:t>小写：</w:t>
            </w:r>
          </w:p>
          <w:p>
            <w:pPr>
              <w:spacing w:before="120" w:beforeLines="50" w:line="360" w:lineRule="auto"/>
              <w:rPr>
                <w:rFonts w:ascii="宋体" w:hAnsi="宋体"/>
                <w:kern w:val="0"/>
                <w:szCs w:val="21"/>
                <w:highlight w:val="none"/>
                <w:lang w:val="zh-CN"/>
              </w:rPr>
            </w:pPr>
            <w:r>
              <w:rPr>
                <w:rFonts w:hint="eastAsia" w:ascii="宋体" w:hAnsi="宋体"/>
                <w:kern w:val="0"/>
                <w:szCs w:val="21"/>
                <w:highlight w:val="none"/>
                <w:lang w:val="zh-CN"/>
              </w:rPr>
              <w:t>大写：</w:t>
            </w:r>
          </w:p>
          <w:p>
            <w:pPr>
              <w:spacing w:before="120" w:beforeLines="50" w:line="360" w:lineRule="auto"/>
              <w:rPr>
                <w:kern w:val="0"/>
                <w:szCs w:val="21"/>
                <w:highlight w:val="none"/>
                <w:lang w:val="zh-CN"/>
              </w:rPr>
            </w:pPr>
            <w:r>
              <w:rPr>
                <w:rFonts w:hint="eastAsia" w:ascii="宋体" w:hAnsi="宋体"/>
                <w:kern w:val="0"/>
                <w:szCs w:val="21"/>
                <w:highlight w:val="none"/>
              </w:rPr>
              <w:t>注：小数点后保留两位。</w:t>
            </w:r>
          </w:p>
        </w:tc>
      </w:tr>
      <w:tr>
        <w:tblPrEx>
          <w:tblCellMar>
            <w:top w:w="0" w:type="dxa"/>
            <w:left w:w="108" w:type="dxa"/>
            <w:bottom w:w="0" w:type="dxa"/>
            <w:right w:w="108" w:type="dxa"/>
          </w:tblCellMar>
        </w:tblPrEx>
        <w:trPr>
          <w:trHeight w:val="960" w:hRule="atLeast"/>
          <w:jc w:val="center"/>
        </w:trPr>
        <w:tc>
          <w:tcPr>
            <w:tcW w:w="2631" w:type="dxa"/>
            <w:tcBorders>
              <w:top w:val="single" w:color="auto" w:sz="6" w:space="0"/>
              <w:left w:val="single" w:color="auto" w:sz="6" w:space="0"/>
              <w:bottom w:val="nil"/>
              <w:right w:val="single" w:color="auto" w:sz="6" w:space="0"/>
            </w:tcBorders>
            <w:vAlign w:val="center"/>
          </w:tcPr>
          <w:p>
            <w:pPr>
              <w:tabs>
                <w:tab w:val="left" w:pos="0"/>
                <w:tab w:val="left" w:pos="720"/>
                <w:tab w:val="left" w:pos="1440"/>
                <w:tab w:val="left" w:pos="2160"/>
                <w:tab w:val="left" w:pos="2880"/>
                <w:tab w:val="left" w:pos="3600"/>
                <w:tab w:val="left" w:pos="4320"/>
              </w:tabs>
              <w:autoSpaceDE w:val="0"/>
              <w:autoSpaceDN w:val="0"/>
              <w:spacing w:line="360" w:lineRule="auto"/>
              <w:ind w:left="108"/>
              <w:jc w:val="center"/>
              <w:rPr>
                <w:rFonts w:ascii="宋体"/>
                <w:kern w:val="0"/>
                <w:szCs w:val="21"/>
                <w:highlight w:val="none"/>
                <w:lang w:val="zh-CN"/>
              </w:rPr>
            </w:pPr>
            <w:r>
              <w:rPr>
                <w:rFonts w:hint="eastAsia" w:ascii="宋体" w:hAnsi="宋体"/>
                <w:kern w:val="0"/>
                <w:szCs w:val="21"/>
                <w:highlight w:val="none"/>
                <w:lang w:val="zh-CN"/>
              </w:rPr>
              <w:t>工期</w:t>
            </w:r>
          </w:p>
        </w:tc>
        <w:tc>
          <w:tcPr>
            <w:tcW w:w="5889" w:type="dxa"/>
            <w:tcBorders>
              <w:top w:val="single" w:color="auto" w:sz="6" w:space="0"/>
              <w:left w:val="single" w:color="auto" w:sz="6" w:space="0"/>
              <w:bottom w:val="single" w:color="auto" w:sz="4" w:space="0"/>
              <w:right w:val="single" w:color="auto" w:sz="6" w:space="0"/>
            </w:tcBorders>
            <w:vAlign w:val="center"/>
          </w:tcPr>
          <w:p>
            <w:pPr>
              <w:tabs>
                <w:tab w:val="left" w:pos="0"/>
                <w:tab w:val="left" w:pos="720"/>
                <w:tab w:val="left" w:pos="1440"/>
                <w:tab w:val="left" w:pos="2160"/>
                <w:tab w:val="left" w:pos="2880"/>
                <w:tab w:val="left" w:pos="3600"/>
                <w:tab w:val="left" w:pos="4320"/>
              </w:tabs>
              <w:autoSpaceDE w:val="0"/>
              <w:autoSpaceDN w:val="0"/>
              <w:spacing w:line="360" w:lineRule="auto"/>
              <w:rPr>
                <w:kern w:val="0"/>
                <w:szCs w:val="21"/>
                <w:highlight w:val="none"/>
                <w:lang w:val="zh-CN"/>
              </w:rPr>
            </w:pPr>
            <w:r>
              <w:rPr>
                <w:rFonts w:hint="eastAsia"/>
                <w:kern w:val="0"/>
                <w:szCs w:val="21"/>
                <w:highlight w:val="none"/>
                <w:u w:val="single"/>
              </w:rPr>
              <w:t xml:space="preserve">    </w:t>
            </w:r>
            <w:r>
              <w:rPr>
                <w:rFonts w:hint="eastAsia"/>
                <w:kern w:val="0"/>
                <w:szCs w:val="21"/>
                <w:highlight w:val="none"/>
                <w:lang w:val="zh-CN"/>
              </w:rPr>
              <w:t>日历</w:t>
            </w:r>
            <w:r>
              <w:rPr>
                <w:rFonts w:hint="eastAsia"/>
                <w:kern w:val="0"/>
                <w:szCs w:val="21"/>
                <w:highlight w:val="none"/>
              </w:rPr>
              <w:t>天</w:t>
            </w:r>
          </w:p>
        </w:tc>
      </w:tr>
      <w:tr>
        <w:tblPrEx>
          <w:tblCellMar>
            <w:top w:w="0" w:type="dxa"/>
            <w:left w:w="108" w:type="dxa"/>
            <w:bottom w:w="0" w:type="dxa"/>
            <w:right w:w="108" w:type="dxa"/>
          </w:tblCellMar>
        </w:tblPrEx>
        <w:trPr>
          <w:trHeight w:val="960" w:hRule="atLeast"/>
          <w:jc w:val="center"/>
        </w:trPr>
        <w:tc>
          <w:tcPr>
            <w:tcW w:w="2631" w:type="dxa"/>
            <w:tcBorders>
              <w:top w:val="single" w:color="auto" w:sz="6" w:space="0"/>
              <w:left w:val="single" w:color="auto" w:sz="6" w:space="0"/>
              <w:bottom w:val="nil"/>
              <w:right w:val="single" w:color="auto" w:sz="6" w:space="0"/>
            </w:tcBorders>
            <w:vAlign w:val="center"/>
          </w:tcPr>
          <w:p>
            <w:pPr>
              <w:tabs>
                <w:tab w:val="left" w:pos="0"/>
                <w:tab w:val="left" w:pos="720"/>
                <w:tab w:val="left" w:pos="1440"/>
                <w:tab w:val="left" w:pos="2160"/>
                <w:tab w:val="left" w:pos="2880"/>
                <w:tab w:val="left" w:pos="3600"/>
                <w:tab w:val="left" w:pos="4320"/>
              </w:tabs>
              <w:autoSpaceDE w:val="0"/>
              <w:autoSpaceDN w:val="0"/>
              <w:spacing w:line="360" w:lineRule="auto"/>
              <w:ind w:left="108"/>
              <w:jc w:val="center"/>
              <w:rPr>
                <w:rFonts w:ascii="宋体" w:hAnsi="宋体"/>
                <w:kern w:val="0"/>
                <w:szCs w:val="21"/>
                <w:highlight w:val="none"/>
                <w:lang w:val="zh-CN"/>
              </w:rPr>
            </w:pPr>
            <w:r>
              <w:rPr>
                <w:rFonts w:hint="eastAsia" w:ascii="宋体" w:hAnsi="宋体"/>
                <w:kern w:val="0"/>
                <w:szCs w:val="21"/>
                <w:highlight w:val="none"/>
                <w:lang w:val="zh-CN"/>
              </w:rPr>
              <w:t>质量要求</w:t>
            </w:r>
          </w:p>
        </w:tc>
        <w:tc>
          <w:tcPr>
            <w:tcW w:w="5889" w:type="dxa"/>
            <w:tcBorders>
              <w:top w:val="single" w:color="auto" w:sz="6" w:space="0"/>
              <w:left w:val="single" w:color="auto" w:sz="6" w:space="0"/>
              <w:bottom w:val="single" w:color="auto" w:sz="4" w:space="0"/>
              <w:right w:val="single" w:color="auto" w:sz="6" w:space="0"/>
            </w:tcBorders>
            <w:vAlign w:val="center"/>
          </w:tcPr>
          <w:p>
            <w:pPr>
              <w:tabs>
                <w:tab w:val="left" w:pos="0"/>
                <w:tab w:val="left" w:pos="720"/>
                <w:tab w:val="left" w:pos="1440"/>
                <w:tab w:val="left" w:pos="2160"/>
                <w:tab w:val="left" w:pos="2880"/>
                <w:tab w:val="left" w:pos="3600"/>
                <w:tab w:val="left" w:pos="4320"/>
              </w:tabs>
              <w:autoSpaceDE w:val="0"/>
              <w:autoSpaceDN w:val="0"/>
              <w:spacing w:line="360" w:lineRule="auto"/>
              <w:rPr>
                <w:kern w:val="0"/>
                <w:szCs w:val="21"/>
                <w:highlight w:val="none"/>
              </w:rPr>
            </w:pPr>
            <w:r>
              <w:rPr>
                <w:rFonts w:hint="eastAsia" w:ascii="宋体" w:hAnsi="宋体"/>
                <w:kern w:val="0"/>
                <w:szCs w:val="21"/>
                <w:highlight w:val="none"/>
              </w:rPr>
              <w:t>合格</w:t>
            </w:r>
          </w:p>
        </w:tc>
      </w:tr>
      <w:tr>
        <w:tblPrEx>
          <w:tblCellMar>
            <w:top w:w="0" w:type="dxa"/>
            <w:left w:w="108" w:type="dxa"/>
            <w:bottom w:w="0" w:type="dxa"/>
            <w:right w:w="108" w:type="dxa"/>
          </w:tblCellMar>
        </w:tblPrEx>
        <w:trPr>
          <w:trHeight w:val="789" w:hRule="atLeast"/>
          <w:jc w:val="center"/>
        </w:trPr>
        <w:tc>
          <w:tcPr>
            <w:tcW w:w="2631" w:type="dxa"/>
            <w:tcBorders>
              <w:top w:val="single" w:color="auto" w:sz="6" w:space="0"/>
              <w:left w:val="single" w:color="auto" w:sz="6" w:space="0"/>
              <w:bottom w:val="single" w:color="auto" w:sz="6" w:space="0"/>
              <w:right w:val="single" w:color="auto" w:sz="6" w:space="0"/>
            </w:tcBorders>
            <w:vAlign w:val="center"/>
          </w:tcPr>
          <w:p>
            <w:pPr>
              <w:tabs>
                <w:tab w:val="left" w:pos="0"/>
                <w:tab w:val="left" w:pos="720"/>
                <w:tab w:val="left" w:pos="1440"/>
                <w:tab w:val="left" w:pos="2160"/>
                <w:tab w:val="left" w:pos="2880"/>
                <w:tab w:val="left" w:pos="3600"/>
                <w:tab w:val="left" w:pos="4320"/>
              </w:tabs>
              <w:autoSpaceDE w:val="0"/>
              <w:autoSpaceDN w:val="0"/>
              <w:spacing w:line="360" w:lineRule="auto"/>
              <w:ind w:left="108"/>
              <w:jc w:val="center"/>
              <w:rPr>
                <w:kern w:val="0"/>
                <w:szCs w:val="21"/>
                <w:highlight w:val="none"/>
                <w:lang w:val="zh-CN"/>
              </w:rPr>
            </w:pPr>
            <w:r>
              <w:rPr>
                <w:rFonts w:hint="eastAsia" w:ascii="宋体" w:hAnsi="宋体"/>
                <w:kern w:val="0"/>
                <w:szCs w:val="21"/>
                <w:highlight w:val="none"/>
                <w:lang w:val="zh-CN"/>
              </w:rPr>
              <w:t>说明</w:t>
            </w:r>
          </w:p>
        </w:tc>
        <w:tc>
          <w:tcPr>
            <w:tcW w:w="5889" w:type="dxa"/>
            <w:tcBorders>
              <w:top w:val="single" w:color="auto" w:sz="6" w:space="0"/>
              <w:left w:val="single" w:color="auto" w:sz="6" w:space="0"/>
              <w:bottom w:val="single" w:color="auto" w:sz="6" w:space="0"/>
              <w:right w:val="single" w:color="auto" w:sz="6" w:space="0"/>
            </w:tcBorders>
          </w:tcPr>
          <w:p>
            <w:pPr>
              <w:tabs>
                <w:tab w:val="left" w:pos="0"/>
                <w:tab w:val="left" w:pos="720"/>
                <w:tab w:val="left" w:pos="1440"/>
                <w:tab w:val="left" w:pos="2160"/>
                <w:tab w:val="left" w:pos="2880"/>
                <w:tab w:val="left" w:pos="3600"/>
                <w:tab w:val="left" w:pos="4320"/>
              </w:tabs>
              <w:autoSpaceDE w:val="0"/>
              <w:autoSpaceDN w:val="0"/>
              <w:spacing w:line="360" w:lineRule="auto"/>
              <w:rPr>
                <w:kern w:val="0"/>
                <w:szCs w:val="21"/>
                <w:highlight w:val="none"/>
                <w:lang w:val="zh-CN"/>
              </w:rPr>
            </w:pPr>
          </w:p>
        </w:tc>
      </w:tr>
    </w:tbl>
    <w:p>
      <w:pPr>
        <w:rPr>
          <w:rFonts w:ascii="宋体" w:hAnsi="宋体"/>
          <w:kern w:val="0"/>
          <w:szCs w:val="21"/>
          <w:highlight w:val="none"/>
        </w:rPr>
      </w:pPr>
    </w:p>
    <w:p>
      <w:pPr>
        <w:rPr>
          <w:rFonts w:ascii="宋体" w:hAnsi="宋体"/>
          <w:kern w:val="0"/>
          <w:szCs w:val="21"/>
          <w:highlight w:val="none"/>
        </w:rPr>
      </w:pPr>
    </w:p>
    <w:p>
      <w:pPr>
        <w:spacing w:before="240" w:beforeLines="100" w:after="120" w:afterLines="50" w:line="360" w:lineRule="auto"/>
        <w:ind w:firstLine="3255" w:firstLineChars="1550"/>
        <w:jc w:val="left"/>
        <w:rPr>
          <w:rFonts w:ascii="宋体" w:hAnsi="宋体" w:cs="宋体"/>
          <w:kern w:val="0"/>
          <w:szCs w:val="21"/>
          <w:highlight w:val="none"/>
        </w:rPr>
      </w:pPr>
      <w:r>
        <w:rPr>
          <w:rFonts w:hint="eastAsia" w:ascii="宋体" w:hAnsi="宋体"/>
          <w:kern w:val="0"/>
          <w:szCs w:val="21"/>
          <w:highlight w:val="none"/>
        </w:rPr>
        <w:t>供应商名称（盖单位章）：</w:t>
      </w:r>
      <w:r>
        <w:rPr>
          <w:rFonts w:hint="eastAsia" w:ascii="宋体" w:hAnsi="宋体" w:cs="宋体"/>
          <w:kern w:val="0"/>
          <w:szCs w:val="21"/>
          <w:highlight w:val="none"/>
          <w:u w:val="single"/>
        </w:rPr>
        <w:t xml:space="preserve">（单位全称）       </w:t>
      </w:r>
    </w:p>
    <w:p>
      <w:pPr>
        <w:ind w:firstLine="3360" w:firstLineChars="1600"/>
        <w:rPr>
          <w:rFonts w:ascii="宋体" w:hAnsi="宋体" w:cs="宋体"/>
          <w:kern w:val="0"/>
          <w:szCs w:val="21"/>
          <w:highlight w:val="none"/>
          <w:u w:val="single"/>
        </w:rPr>
      </w:pPr>
      <w:r>
        <w:rPr>
          <w:rFonts w:hint="eastAsia" w:ascii="宋体" w:hAnsi="宋体" w:cs="宋体"/>
          <w:kern w:val="0"/>
          <w:szCs w:val="21"/>
          <w:highlight w:val="none"/>
        </w:rPr>
        <w:t>法定代表人或被授权人（</w:t>
      </w:r>
      <w:r>
        <w:rPr>
          <w:rFonts w:ascii="宋体" w:hAnsi="宋体" w:cs="宋体"/>
          <w:kern w:val="0"/>
          <w:szCs w:val="21"/>
          <w:highlight w:val="none"/>
        </w:rPr>
        <w:t>签字</w:t>
      </w:r>
      <w:r>
        <w:rPr>
          <w:rFonts w:hint="eastAsia" w:ascii="宋体" w:hAnsi="宋体" w:cs="宋体"/>
          <w:kern w:val="0"/>
          <w:szCs w:val="21"/>
          <w:highlight w:val="none"/>
        </w:rPr>
        <w:t>或盖章）</w:t>
      </w:r>
      <w:r>
        <w:rPr>
          <w:rFonts w:ascii="宋体" w:hAnsi="宋体" w:cs="宋体"/>
          <w:kern w:val="0"/>
          <w:szCs w:val="21"/>
          <w:highlight w:val="none"/>
        </w:rPr>
        <w:t>：</w:t>
      </w:r>
    </w:p>
    <w:p>
      <w:pPr>
        <w:spacing w:before="240" w:beforeLines="100" w:after="120" w:afterLines="50" w:line="360" w:lineRule="auto"/>
        <w:ind w:firstLine="5775" w:firstLineChars="2750"/>
        <w:jc w:val="left"/>
        <w:rPr>
          <w:rFonts w:ascii="宋体" w:hAnsi="宋体"/>
          <w:kern w:val="0"/>
          <w:szCs w:val="21"/>
          <w:highlight w:val="none"/>
        </w:rPr>
      </w:pPr>
      <w:r>
        <w:rPr>
          <w:rFonts w:hint="eastAsia" w:ascii="宋体" w:hAnsi="宋体"/>
          <w:kern w:val="0"/>
          <w:szCs w:val="21"/>
          <w:highlight w:val="none"/>
        </w:rPr>
        <w:t xml:space="preserve">  日期：年月日</w:t>
      </w:r>
    </w:p>
    <w:p>
      <w:pPr>
        <w:rPr>
          <w:rFonts w:ascii="宋体" w:hAnsi="宋体"/>
          <w:kern w:val="0"/>
          <w:szCs w:val="21"/>
          <w:highlight w:val="none"/>
        </w:rPr>
      </w:pPr>
    </w:p>
    <w:p>
      <w:pPr>
        <w:rPr>
          <w:rFonts w:ascii="宋体" w:hAnsi="宋体"/>
          <w:kern w:val="0"/>
          <w:szCs w:val="21"/>
          <w:highlight w:val="none"/>
        </w:rPr>
      </w:pPr>
    </w:p>
    <w:p>
      <w:pPr>
        <w:rPr>
          <w:rFonts w:ascii="宋体" w:hAnsi="宋体"/>
          <w:kern w:val="0"/>
          <w:szCs w:val="21"/>
          <w:highlight w:val="none"/>
        </w:rPr>
      </w:pPr>
    </w:p>
    <w:p>
      <w:pPr>
        <w:rPr>
          <w:rFonts w:ascii="宋体" w:hAnsi="宋体"/>
          <w:kern w:val="0"/>
          <w:szCs w:val="21"/>
          <w:highlight w:val="none"/>
        </w:rPr>
      </w:pPr>
    </w:p>
    <w:p>
      <w:pPr>
        <w:rPr>
          <w:rFonts w:ascii="宋体" w:hAnsi="宋体"/>
          <w:kern w:val="0"/>
          <w:szCs w:val="21"/>
          <w:highlight w:val="none"/>
        </w:rPr>
      </w:pPr>
    </w:p>
    <w:p>
      <w:pPr>
        <w:rPr>
          <w:rFonts w:ascii="宋体" w:hAnsi="宋体"/>
          <w:kern w:val="0"/>
          <w:sz w:val="24"/>
          <w:highlight w:val="none"/>
        </w:rPr>
      </w:pPr>
    </w:p>
    <w:p>
      <w:pPr>
        <w:jc w:val="center"/>
        <w:rPr>
          <w:rFonts w:ascii="宋体" w:hAnsi="宋体"/>
          <w:b/>
          <w:kern w:val="0"/>
          <w:sz w:val="28"/>
          <w:szCs w:val="28"/>
          <w:highlight w:val="none"/>
        </w:rPr>
      </w:pPr>
      <w:r>
        <w:rPr>
          <w:rFonts w:ascii="宋体" w:hAnsi="宋体"/>
          <w:b/>
          <w:kern w:val="0"/>
          <w:sz w:val="32"/>
          <w:szCs w:val="32"/>
          <w:highlight w:val="none"/>
        </w:rPr>
        <w:br w:type="page"/>
      </w:r>
      <w:r>
        <w:rPr>
          <w:rFonts w:hint="eastAsia" w:ascii="宋体" w:hAnsi="宋体"/>
          <w:b/>
          <w:kern w:val="0"/>
          <w:sz w:val="28"/>
          <w:szCs w:val="28"/>
          <w:highlight w:val="none"/>
        </w:rPr>
        <w:t>2.2</w:t>
      </w:r>
      <w:r>
        <w:rPr>
          <w:rFonts w:hint="eastAsia" w:ascii="宋体" w:hAnsi="宋体"/>
          <w:b/>
          <w:sz w:val="28"/>
          <w:szCs w:val="28"/>
          <w:highlight w:val="none"/>
        </w:rPr>
        <w:t>已标价工程量清单</w:t>
      </w:r>
    </w:p>
    <w:p>
      <w:pPr>
        <w:spacing w:before="240" w:beforeLines="100" w:after="120" w:afterLines="50" w:line="360" w:lineRule="auto"/>
        <w:jc w:val="center"/>
        <w:rPr>
          <w:rFonts w:ascii="宋体" w:hAnsi="宋体"/>
          <w:b/>
          <w:kern w:val="0"/>
          <w:sz w:val="36"/>
          <w:szCs w:val="36"/>
          <w:highlight w:val="none"/>
        </w:rPr>
      </w:pPr>
      <w:r>
        <w:rPr>
          <w:rFonts w:ascii="宋体" w:hAnsi="宋体"/>
          <w:b/>
          <w:kern w:val="0"/>
          <w:sz w:val="36"/>
          <w:szCs w:val="36"/>
          <w:highlight w:val="none"/>
        </w:rPr>
        <w:br w:type="page"/>
      </w:r>
      <w:r>
        <w:rPr>
          <w:rFonts w:hint="eastAsia" w:ascii="宋体" w:hAnsi="宋体"/>
          <w:b/>
          <w:kern w:val="0"/>
          <w:sz w:val="28"/>
          <w:szCs w:val="28"/>
          <w:highlight w:val="none"/>
        </w:rPr>
        <w:t>三、施工组织设计</w:t>
      </w:r>
    </w:p>
    <w:p>
      <w:pPr>
        <w:spacing w:line="440" w:lineRule="exact"/>
        <w:ind w:firstLine="422" w:firstLineChars="200"/>
        <w:rPr>
          <w:rFonts w:ascii="宋体" w:hAnsi="宋体"/>
          <w:b/>
          <w:kern w:val="0"/>
          <w:szCs w:val="21"/>
          <w:highlight w:val="none"/>
        </w:rPr>
      </w:pPr>
      <w:r>
        <w:rPr>
          <w:rFonts w:hint="eastAsia" w:ascii="宋体" w:hAnsi="宋体"/>
          <w:b/>
          <w:kern w:val="0"/>
          <w:szCs w:val="21"/>
          <w:highlight w:val="none"/>
        </w:rPr>
        <w:t>供应商应根据竞争性磋商文件和对现场的设计情况，采用文字并结合图表形式，参考以下要点编制本工程的施工组织设计。包括但不限于以下内容：</w:t>
      </w:r>
    </w:p>
    <w:p>
      <w:pPr>
        <w:spacing w:line="500" w:lineRule="exact"/>
        <w:ind w:left="479"/>
        <w:rPr>
          <w:rFonts w:ascii="宋体" w:hAnsi="宋体"/>
          <w:bCs/>
          <w:kern w:val="0"/>
          <w:szCs w:val="21"/>
          <w:highlight w:val="none"/>
        </w:rPr>
      </w:pPr>
      <w:r>
        <w:rPr>
          <w:rFonts w:hint="eastAsia" w:ascii="宋体" w:hAnsi="宋体"/>
          <w:kern w:val="0"/>
          <w:szCs w:val="21"/>
          <w:highlight w:val="none"/>
        </w:rPr>
        <w:t>1、</w:t>
      </w:r>
      <w:r>
        <w:rPr>
          <w:rFonts w:hint="eastAsia" w:ascii="宋体" w:hAnsi="宋体"/>
          <w:szCs w:val="21"/>
          <w:highlight w:val="none"/>
        </w:rPr>
        <w:t>确保工程质量的技术组织措施</w:t>
      </w:r>
      <w:r>
        <w:rPr>
          <w:rFonts w:hint="eastAsia" w:ascii="宋体" w:hAnsi="宋体"/>
          <w:bCs/>
          <w:kern w:val="0"/>
          <w:szCs w:val="21"/>
          <w:highlight w:val="none"/>
        </w:rPr>
        <w:t>；</w:t>
      </w:r>
    </w:p>
    <w:p>
      <w:pPr>
        <w:spacing w:line="500" w:lineRule="exact"/>
        <w:ind w:left="479"/>
        <w:rPr>
          <w:rFonts w:ascii="宋体" w:hAnsi="宋体"/>
          <w:bCs/>
          <w:kern w:val="0"/>
          <w:szCs w:val="21"/>
          <w:highlight w:val="none"/>
        </w:rPr>
      </w:pPr>
      <w:r>
        <w:rPr>
          <w:rFonts w:hint="eastAsia" w:ascii="宋体" w:hAnsi="宋体"/>
          <w:bCs/>
          <w:kern w:val="0"/>
          <w:szCs w:val="21"/>
          <w:highlight w:val="none"/>
        </w:rPr>
        <w:t>2、</w:t>
      </w:r>
      <w:r>
        <w:rPr>
          <w:rFonts w:hint="eastAsia" w:ascii="宋体" w:hAnsi="宋体"/>
          <w:szCs w:val="21"/>
          <w:highlight w:val="none"/>
        </w:rPr>
        <w:t>确保安全生产的技术组织措施</w:t>
      </w:r>
      <w:r>
        <w:rPr>
          <w:rFonts w:hint="eastAsia" w:ascii="宋体" w:hAnsi="宋体"/>
          <w:bCs/>
          <w:kern w:val="0"/>
          <w:szCs w:val="21"/>
          <w:highlight w:val="none"/>
        </w:rPr>
        <w:t>；</w:t>
      </w:r>
    </w:p>
    <w:p>
      <w:pPr>
        <w:spacing w:line="500" w:lineRule="exact"/>
        <w:ind w:left="479"/>
        <w:rPr>
          <w:rFonts w:ascii="宋体" w:hAnsi="宋体"/>
          <w:bCs/>
          <w:kern w:val="0"/>
          <w:szCs w:val="21"/>
          <w:highlight w:val="none"/>
        </w:rPr>
      </w:pPr>
      <w:r>
        <w:rPr>
          <w:rFonts w:hint="eastAsia" w:ascii="宋体" w:hAnsi="宋体"/>
          <w:bCs/>
          <w:kern w:val="0"/>
          <w:szCs w:val="21"/>
          <w:highlight w:val="none"/>
        </w:rPr>
        <w:t>3、</w:t>
      </w:r>
      <w:r>
        <w:rPr>
          <w:rFonts w:hint="eastAsia" w:ascii="宋体" w:hAnsi="宋体"/>
          <w:szCs w:val="21"/>
          <w:highlight w:val="none"/>
        </w:rPr>
        <w:t>确保文明施工的技术组织措施及环境保护措施</w:t>
      </w:r>
      <w:r>
        <w:rPr>
          <w:rFonts w:hint="eastAsia" w:ascii="宋体" w:hAnsi="宋体"/>
          <w:bCs/>
          <w:kern w:val="0"/>
          <w:szCs w:val="21"/>
          <w:highlight w:val="none"/>
        </w:rPr>
        <w:t>；</w:t>
      </w:r>
    </w:p>
    <w:p>
      <w:pPr>
        <w:tabs>
          <w:tab w:val="left" w:pos="6186"/>
        </w:tabs>
        <w:spacing w:line="500" w:lineRule="exact"/>
        <w:ind w:left="479"/>
        <w:rPr>
          <w:rFonts w:ascii="宋体" w:hAnsi="宋体"/>
          <w:bCs/>
          <w:kern w:val="0"/>
          <w:szCs w:val="21"/>
          <w:highlight w:val="none"/>
        </w:rPr>
      </w:pPr>
      <w:r>
        <w:rPr>
          <w:rFonts w:hint="eastAsia" w:ascii="宋体" w:hAnsi="宋体"/>
          <w:bCs/>
          <w:kern w:val="0"/>
          <w:szCs w:val="21"/>
          <w:highlight w:val="none"/>
        </w:rPr>
        <w:t>4、</w:t>
      </w:r>
      <w:r>
        <w:rPr>
          <w:rFonts w:hint="eastAsia" w:ascii="宋体" w:hAnsi="宋体"/>
          <w:szCs w:val="21"/>
          <w:highlight w:val="none"/>
        </w:rPr>
        <w:t>确保工期的技术组织措施</w:t>
      </w:r>
      <w:r>
        <w:rPr>
          <w:rFonts w:hint="eastAsia" w:ascii="宋体" w:hAnsi="宋体"/>
          <w:bCs/>
          <w:kern w:val="0"/>
          <w:szCs w:val="21"/>
          <w:highlight w:val="none"/>
        </w:rPr>
        <w:t>；</w:t>
      </w:r>
      <w:r>
        <w:rPr>
          <w:rFonts w:ascii="宋体" w:hAnsi="宋体"/>
          <w:bCs/>
          <w:kern w:val="0"/>
          <w:szCs w:val="21"/>
          <w:highlight w:val="none"/>
        </w:rPr>
        <w:tab/>
      </w:r>
    </w:p>
    <w:p>
      <w:pPr>
        <w:spacing w:line="500" w:lineRule="exact"/>
        <w:ind w:left="479"/>
        <w:rPr>
          <w:rFonts w:ascii="宋体" w:hAnsi="宋体"/>
          <w:bCs/>
          <w:kern w:val="0"/>
          <w:szCs w:val="21"/>
          <w:highlight w:val="none"/>
        </w:rPr>
      </w:pPr>
      <w:r>
        <w:rPr>
          <w:rFonts w:hint="eastAsia" w:ascii="宋体" w:hAnsi="宋体"/>
          <w:bCs/>
          <w:kern w:val="0"/>
          <w:szCs w:val="21"/>
          <w:highlight w:val="none"/>
        </w:rPr>
        <w:t>5、</w:t>
      </w:r>
      <w:r>
        <w:rPr>
          <w:rFonts w:hint="eastAsia" w:ascii="宋体" w:hAnsi="宋体"/>
          <w:szCs w:val="21"/>
          <w:highlight w:val="none"/>
        </w:rPr>
        <w:t>项目经理部组成人员</w:t>
      </w:r>
      <w:r>
        <w:rPr>
          <w:rFonts w:hint="eastAsia" w:ascii="宋体" w:hAnsi="宋体"/>
          <w:bCs/>
          <w:kern w:val="0"/>
          <w:szCs w:val="21"/>
          <w:highlight w:val="none"/>
        </w:rPr>
        <w:t>；</w:t>
      </w:r>
    </w:p>
    <w:p>
      <w:pPr>
        <w:spacing w:line="500" w:lineRule="exact"/>
        <w:ind w:left="479"/>
        <w:rPr>
          <w:rFonts w:ascii="宋体" w:hAnsi="宋体"/>
          <w:bCs/>
          <w:kern w:val="0"/>
          <w:szCs w:val="21"/>
          <w:highlight w:val="none"/>
        </w:rPr>
      </w:pPr>
      <w:r>
        <w:rPr>
          <w:rFonts w:hint="eastAsia" w:ascii="宋体" w:hAnsi="宋体"/>
          <w:bCs/>
          <w:kern w:val="0"/>
          <w:szCs w:val="21"/>
          <w:highlight w:val="none"/>
        </w:rPr>
        <w:t>6、</w:t>
      </w:r>
      <w:r>
        <w:rPr>
          <w:rFonts w:hint="eastAsia" w:ascii="宋体" w:hAnsi="宋体"/>
          <w:szCs w:val="21"/>
          <w:highlight w:val="none"/>
        </w:rPr>
        <w:t>主要机械配备和材料投入计划</w:t>
      </w:r>
      <w:r>
        <w:rPr>
          <w:rFonts w:hint="eastAsia" w:ascii="宋体" w:hAnsi="宋体"/>
          <w:bCs/>
          <w:kern w:val="0"/>
          <w:szCs w:val="21"/>
          <w:highlight w:val="none"/>
        </w:rPr>
        <w:t>。</w:t>
      </w:r>
    </w:p>
    <w:p>
      <w:pPr>
        <w:spacing w:line="440" w:lineRule="exact"/>
        <w:ind w:firstLine="420" w:firstLineChars="200"/>
        <w:rPr>
          <w:rFonts w:ascii="宋体" w:hAnsi="宋体"/>
          <w:kern w:val="0"/>
          <w:szCs w:val="21"/>
          <w:highlight w:val="none"/>
        </w:rPr>
      </w:pPr>
    </w:p>
    <w:p>
      <w:pPr>
        <w:spacing w:line="360" w:lineRule="auto"/>
        <w:ind w:firstLine="420" w:firstLineChars="200"/>
        <w:rPr>
          <w:szCs w:val="21"/>
          <w:highlight w:val="none"/>
        </w:rPr>
      </w:pPr>
      <w:r>
        <w:rPr>
          <w:szCs w:val="21"/>
          <w:highlight w:val="none"/>
        </w:rPr>
        <w:t>附</w:t>
      </w:r>
      <w:r>
        <w:rPr>
          <w:rFonts w:hint="eastAsia"/>
          <w:szCs w:val="21"/>
          <w:highlight w:val="none"/>
        </w:rPr>
        <w:t>表</w:t>
      </w:r>
      <w:r>
        <w:rPr>
          <w:szCs w:val="21"/>
          <w:highlight w:val="none"/>
        </w:rPr>
        <w:t>一</w:t>
      </w:r>
      <w:r>
        <w:rPr>
          <w:rFonts w:hint="eastAsia"/>
          <w:szCs w:val="21"/>
          <w:highlight w:val="none"/>
        </w:rPr>
        <w:t>：项目</w:t>
      </w:r>
      <w:r>
        <w:rPr>
          <w:szCs w:val="21"/>
          <w:highlight w:val="none"/>
        </w:rPr>
        <w:t>组织机构</w:t>
      </w:r>
    </w:p>
    <w:p>
      <w:pPr>
        <w:spacing w:line="360" w:lineRule="auto"/>
        <w:ind w:firstLine="420" w:firstLineChars="200"/>
        <w:rPr>
          <w:szCs w:val="21"/>
          <w:highlight w:val="none"/>
        </w:rPr>
      </w:pPr>
      <w:r>
        <w:rPr>
          <w:rFonts w:hint="eastAsia"/>
          <w:szCs w:val="21"/>
          <w:highlight w:val="none"/>
        </w:rPr>
        <w:t>附表二：拟投入本工程的主要施工设备表</w:t>
      </w:r>
    </w:p>
    <w:p>
      <w:pPr>
        <w:spacing w:line="500" w:lineRule="exact"/>
        <w:rPr>
          <w:rFonts w:ascii="宋体" w:hAnsi="宋体"/>
          <w:b/>
          <w:kern w:val="0"/>
          <w:szCs w:val="21"/>
          <w:highlight w:val="none"/>
        </w:rPr>
      </w:pPr>
      <w:r>
        <w:rPr>
          <w:rFonts w:ascii="宋体" w:hAnsi="宋体"/>
          <w:kern w:val="0"/>
          <w:sz w:val="24"/>
          <w:highlight w:val="none"/>
        </w:rPr>
        <w:br w:type="page"/>
      </w:r>
      <w:r>
        <w:rPr>
          <w:rFonts w:hint="eastAsia" w:ascii="宋体" w:hAnsi="宋体"/>
          <w:b/>
          <w:kern w:val="0"/>
          <w:szCs w:val="21"/>
          <w:highlight w:val="none"/>
        </w:rPr>
        <w:t xml:space="preserve">附表一：项目组织机构         </w:t>
      </w:r>
    </w:p>
    <w:p>
      <w:pPr>
        <w:spacing w:after="240" w:afterLines="100" w:line="420" w:lineRule="exact"/>
        <w:rPr>
          <w:rFonts w:ascii="宋体" w:hAnsi="宋体"/>
          <w:b/>
          <w:kern w:val="0"/>
          <w:szCs w:val="21"/>
          <w:highlight w:val="none"/>
        </w:rPr>
      </w:pPr>
      <w:r>
        <w:rPr>
          <w:rFonts w:hint="eastAsia" w:ascii="宋体" w:hAnsi="宋体"/>
          <w:b/>
          <w:kern w:val="0"/>
          <w:szCs w:val="21"/>
          <w:highlight w:val="none"/>
        </w:rPr>
        <w:t>（一）项目管理机构组成表</w:t>
      </w:r>
    </w:p>
    <w:tbl>
      <w:tblPr>
        <w:tblStyle w:val="45"/>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720"/>
        <w:gridCol w:w="876"/>
        <w:gridCol w:w="1356"/>
        <w:gridCol w:w="771"/>
        <w:gridCol w:w="788"/>
        <w:gridCol w:w="850"/>
        <w:gridCol w:w="2127"/>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Merge w:val="restart"/>
            <w:vAlign w:val="center"/>
          </w:tcPr>
          <w:p>
            <w:pPr>
              <w:jc w:val="center"/>
              <w:rPr>
                <w:rFonts w:hAnsi="宋体"/>
                <w:kern w:val="0"/>
                <w:szCs w:val="21"/>
                <w:highlight w:val="none"/>
              </w:rPr>
            </w:pPr>
            <w:r>
              <w:rPr>
                <w:rFonts w:hint="eastAsia" w:hAnsi="宋体"/>
                <w:kern w:val="0"/>
                <w:szCs w:val="21"/>
                <w:highlight w:val="none"/>
              </w:rPr>
              <w:t>职务</w:t>
            </w:r>
          </w:p>
        </w:tc>
        <w:tc>
          <w:tcPr>
            <w:tcW w:w="720" w:type="dxa"/>
            <w:vMerge w:val="restart"/>
            <w:vAlign w:val="center"/>
          </w:tcPr>
          <w:p>
            <w:pPr>
              <w:jc w:val="center"/>
              <w:rPr>
                <w:rFonts w:hAnsi="宋体"/>
                <w:kern w:val="0"/>
                <w:szCs w:val="21"/>
                <w:highlight w:val="none"/>
              </w:rPr>
            </w:pPr>
            <w:r>
              <w:rPr>
                <w:rFonts w:hint="eastAsia" w:hAnsi="宋体"/>
                <w:kern w:val="0"/>
                <w:szCs w:val="21"/>
                <w:highlight w:val="none"/>
              </w:rPr>
              <w:t>姓名</w:t>
            </w:r>
          </w:p>
        </w:tc>
        <w:tc>
          <w:tcPr>
            <w:tcW w:w="876" w:type="dxa"/>
            <w:vMerge w:val="restart"/>
            <w:vAlign w:val="center"/>
          </w:tcPr>
          <w:p>
            <w:pPr>
              <w:jc w:val="center"/>
              <w:rPr>
                <w:rFonts w:hAnsi="宋体"/>
                <w:kern w:val="0"/>
                <w:szCs w:val="21"/>
                <w:highlight w:val="none"/>
              </w:rPr>
            </w:pPr>
            <w:r>
              <w:rPr>
                <w:rFonts w:hint="eastAsia" w:hAnsi="宋体"/>
                <w:kern w:val="0"/>
                <w:szCs w:val="21"/>
                <w:highlight w:val="none"/>
              </w:rPr>
              <w:t>职称</w:t>
            </w:r>
          </w:p>
        </w:tc>
        <w:tc>
          <w:tcPr>
            <w:tcW w:w="5892" w:type="dxa"/>
            <w:gridSpan w:val="5"/>
            <w:vAlign w:val="center"/>
          </w:tcPr>
          <w:p>
            <w:pPr>
              <w:jc w:val="center"/>
              <w:rPr>
                <w:rFonts w:hAnsi="宋体"/>
                <w:kern w:val="0"/>
                <w:szCs w:val="21"/>
                <w:highlight w:val="none"/>
              </w:rPr>
            </w:pPr>
            <w:r>
              <w:rPr>
                <w:rFonts w:hint="eastAsia" w:hAnsi="宋体"/>
                <w:kern w:val="0"/>
                <w:szCs w:val="21"/>
                <w:highlight w:val="none"/>
              </w:rPr>
              <w:t>执业或职业资格证明</w:t>
            </w:r>
          </w:p>
        </w:tc>
        <w:tc>
          <w:tcPr>
            <w:tcW w:w="708" w:type="dxa"/>
            <w:vMerge w:val="restart"/>
            <w:vAlign w:val="center"/>
          </w:tcPr>
          <w:p>
            <w:pPr>
              <w:jc w:val="center"/>
              <w:rPr>
                <w:rFonts w:hAnsi="宋体"/>
                <w:kern w:val="0"/>
                <w:szCs w:val="21"/>
                <w:highlight w:val="none"/>
              </w:rPr>
            </w:pPr>
            <w:r>
              <w:rPr>
                <w:rFonts w:hint="eastAsia" w:hAnsi="宋体"/>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Merge w:val="continue"/>
            <w:vAlign w:val="center"/>
          </w:tcPr>
          <w:p>
            <w:pPr>
              <w:jc w:val="center"/>
              <w:rPr>
                <w:rFonts w:hAnsi="宋体"/>
                <w:kern w:val="0"/>
                <w:szCs w:val="21"/>
                <w:highlight w:val="none"/>
              </w:rPr>
            </w:pPr>
          </w:p>
        </w:tc>
        <w:tc>
          <w:tcPr>
            <w:tcW w:w="720" w:type="dxa"/>
            <w:vMerge w:val="continue"/>
            <w:vAlign w:val="center"/>
          </w:tcPr>
          <w:p>
            <w:pPr>
              <w:jc w:val="center"/>
              <w:rPr>
                <w:rFonts w:hAnsi="宋体"/>
                <w:kern w:val="0"/>
                <w:szCs w:val="21"/>
                <w:highlight w:val="none"/>
              </w:rPr>
            </w:pPr>
          </w:p>
        </w:tc>
        <w:tc>
          <w:tcPr>
            <w:tcW w:w="876" w:type="dxa"/>
            <w:vMerge w:val="continue"/>
            <w:vAlign w:val="center"/>
          </w:tcPr>
          <w:p>
            <w:pPr>
              <w:jc w:val="center"/>
              <w:rPr>
                <w:rFonts w:hAnsi="宋体"/>
                <w:kern w:val="0"/>
                <w:szCs w:val="21"/>
                <w:highlight w:val="none"/>
              </w:rPr>
            </w:pPr>
          </w:p>
        </w:tc>
        <w:tc>
          <w:tcPr>
            <w:tcW w:w="1356" w:type="dxa"/>
            <w:vAlign w:val="center"/>
          </w:tcPr>
          <w:p>
            <w:pPr>
              <w:jc w:val="center"/>
              <w:rPr>
                <w:rFonts w:hAnsi="宋体"/>
                <w:kern w:val="0"/>
                <w:szCs w:val="21"/>
                <w:highlight w:val="none"/>
              </w:rPr>
            </w:pPr>
            <w:r>
              <w:rPr>
                <w:rFonts w:hint="eastAsia" w:hAnsi="宋体"/>
                <w:kern w:val="0"/>
                <w:szCs w:val="21"/>
                <w:highlight w:val="none"/>
              </w:rPr>
              <w:t>证书名称</w:t>
            </w:r>
          </w:p>
        </w:tc>
        <w:tc>
          <w:tcPr>
            <w:tcW w:w="771" w:type="dxa"/>
            <w:vAlign w:val="center"/>
          </w:tcPr>
          <w:p>
            <w:pPr>
              <w:jc w:val="center"/>
              <w:rPr>
                <w:rFonts w:hAnsi="宋体"/>
                <w:kern w:val="0"/>
                <w:szCs w:val="21"/>
                <w:highlight w:val="none"/>
              </w:rPr>
            </w:pPr>
            <w:r>
              <w:rPr>
                <w:rFonts w:hint="eastAsia" w:hAnsi="宋体"/>
                <w:kern w:val="0"/>
                <w:szCs w:val="21"/>
                <w:highlight w:val="none"/>
              </w:rPr>
              <w:t>级别</w:t>
            </w:r>
          </w:p>
        </w:tc>
        <w:tc>
          <w:tcPr>
            <w:tcW w:w="788" w:type="dxa"/>
            <w:vAlign w:val="center"/>
          </w:tcPr>
          <w:p>
            <w:pPr>
              <w:jc w:val="center"/>
              <w:rPr>
                <w:rFonts w:hAnsi="宋体"/>
                <w:kern w:val="0"/>
                <w:szCs w:val="21"/>
                <w:highlight w:val="none"/>
              </w:rPr>
            </w:pPr>
            <w:r>
              <w:rPr>
                <w:rFonts w:hint="eastAsia" w:hAnsi="宋体"/>
                <w:kern w:val="0"/>
                <w:szCs w:val="21"/>
                <w:highlight w:val="none"/>
              </w:rPr>
              <w:t>证号</w:t>
            </w:r>
          </w:p>
        </w:tc>
        <w:tc>
          <w:tcPr>
            <w:tcW w:w="850" w:type="dxa"/>
            <w:vAlign w:val="center"/>
          </w:tcPr>
          <w:p>
            <w:pPr>
              <w:jc w:val="center"/>
              <w:rPr>
                <w:rFonts w:hAnsi="宋体"/>
                <w:kern w:val="0"/>
                <w:szCs w:val="21"/>
                <w:highlight w:val="none"/>
              </w:rPr>
            </w:pPr>
            <w:r>
              <w:rPr>
                <w:rFonts w:hint="eastAsia" w:hAnsi="宋体"/>
                <w:kern w:val="0"/>
                <w:szCs w:val="21"/>
                <w:highlight w:val="none"/>
              </w:rPr>
              <w:t>专业</w:t>
            </w:r>
          </w:p>
        </w:tc>
        <w:tc>
          <w:tcPr>
            <w:tcW w:w="2127" w:type="dxa"/>
            <w:vAlign w:val="center"/>
          </w:tcPr>
          <w:p>
            <w:pPr>
              <w:jc w:val="center"/>
              <w:rPr>
                <w:rFonts w:hAnsi="宋体"/>
                <w:kern w:val="0"/>
                <w:szCs w:val="21"/>
                <w:highlight w:val="none"/>
              </w:rPr>
            </w:pPr>
            <w:r>
              <w:rPr>
                <w:rFonts w:hint="eastAsia" w:hAnsi="宋体"/>
                <w:kern w:val="0"/>
                <w:szCs w:val="21"/>
                <w:highlight w:val="none"/>
              </w:rPr>
              <w:t>近年同类工程经历</w:t>
            </w:r>
          </w:p>
        </w:tc>
        <w:tc>
          <w:tcPr>
            <w:tcW w:w="708" w:type="dxa"/>
            <w:vMerge w:val="continue"/>
            <w:vAlign w:val="center"/>
          </w:tcPr>
          <w:p>
            <w:pPr>
              <w:jc w:val="center"/>
              <w:rPr>
                <w:rFonts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Align w:val="center"/>
          </w:tcPr>
          <w:p>
            <w:pPr>
              <w:jc w:val="center"/>
              <w:rPr>
                <w:rFonts w:hAnsi="宋体"/>
                <w:kern w:val="0"/>
                <w:szCs w:val="21"/>
                <w:highlight w:val="none"/>
              </w:rPr>
            </w:pPr>
          </w:p>
        </w:tc>
        <w:tc>
          <w:tcPr>
            <w:tcW w:w="720" w:type="dxa"/>
            <w:vAlign w:val="center"/>
          </w:tcPr>
          <w:p>
            <w:pPr>
              <w:jc w:val="center"/>
              <w:rPr>
                <w:rFonts w:hAnsi="宋体"/>
                <w:kern w:val="0"/>
                <w:szCs w:val="21"/>
                <w:highlight w:val="none"/>
              </w:rPr>
            </w:pPr>
          </w:p>
        </w:tc>
        <w:tc>
          <w:tcPr>
            <w:tcW w:w="876" w:type="dxa"/>
            <w:vAlign w:val="center"/>
          </w:tcPr>
          <w:p>
            <w:pPr>
              <w:jc w:val="center"/>
              <w:rPr>
                <w:rFonts w:hAnsi="宋体"/>
                <w:kern w:val="0"/>
                <w:szCs w:val="21"/>
                <w:highlight w:val="none"/>
              </w:rPr>
            </w:pPr>
          </w:p>
        </w:tc>
        <w:tc>
          <w:tcPr>
            <w:tcW w:w="1356" w:type="dxa"/>
            <w:vAlign w:val="center"/>
          </w:tcPr>
          <w:p>
            <w:pPr>
              <w:jc w:val="center"/>
              <w:rPr>
                <w:rFonts w:hAnsi="宋体"/>
                <w:kern w:val="0"/>
                <w:szCs w:val="21"/>
                <w:highlight w:val="none"/>
              </w:rPr>
            </w:pPr>
          </w:p>
        </w:tc>
        <w:tc>
          <w:tcPr>
            <w:tcW w:w="771" w:type="dxa"/>
            <w:vAlign w:val="center"/>
          </w:tcPr>
          <w:p>
            <w:pPr>
              <w:jc w:val="center"/>
              <w:rPr>
                <w:rFonts w:hAnsi="宋体"/>
                <w:kern w:val="0"/>
                <w:szCs w:val="21"/>
                <w:highlight w:val="none"/>
              </w:rPr>
            </w:pPr>
          </w:p>
        </w:tc>
        <w:tc>
          <w:tcPr>
            <w:tcW w:w="788" w:type="dxa"/>
            <w:vAlign w:val="center"/>
          </w:tcPr>
          <w:p>
            <w:pPr>
              <w:jc w:val="center"/>
              <w:rPr>
                <w:rFonts w:hAnsi="宋体"/>
                <w:kern w:val="0"/>
                <w:szCs w:val="21"/>
                <w:highlight w:val="none"/>
              </w:rPr>
            </w:pPr>
          </w:p>
        </w:tc>
        <w:tc>
          <w:tcPr>
            <w:tcW w:w="850" w:type="dxa"/>
            <w:vAlign w:val="center"/>
          </w:tcPr>
          <w:p>
            <w:pPr>
              <w:jc w:val="center"/>
              <w:rPr>
                <w:rFonts w:hAnsi="宋体"/>
                <w:kern w:val="0"/>
                <w:szCs w:val="21"/>
                <w:highlight w:val="none"/>
              </w:rPr>
            </w:pPr>
          </w:p>
        </w:tc>
        <w:tc>
          <w:tcPr>
            <w:tcW w:w="2127" w:type="dxa"/>
            <w:vAlign w:val="center"/>
          </w:tcPr>
          <w:p>
            <w:pPr>
              <w:jc w:val="center"/>
              <w:rPr>
                <w:rFonts w:hAnsi="宋体"/>
                <w:kern w:val="0"/>
                <w:szCs w:val="21"/>
                <w:highlight w:val="none"/>
              </w:rPr>
            </w:pPr>
          </w:p>
        </w:tc>
        <w:tc>
          <w:tcPr>
            <w:tcW w:w="708" w:type="dxa"/>
            <w:vAlign w:val="center"/>
          </w:tcPr>
          <w:p>
            <w:pPr>
              <w:jc w:val="center"/>
              <w:rPr>
                <w:rFonts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Align w:val="center"/>
          </w:tcPr>
          <w:p>
            <w:pPr>
              <w:jc w:val="center"/>
              <w:rPr>
                <w:rFonts w:hAnsi="宋体"/>
                <w:kern w:val="0"/>
                <w:szCs w:val="21"/>
                <w:highlight w:val="none"/>
              </w:rPr>
            </w:pPr>
          </w:p>
        </w:tc>
        <w:tc>
          <w:tcPr>
            <w:tcW w:w="720" w:type="dxa"/>
            <w:vAlign w:val="center"/>
          </w:tcPr>
          <w:p>
            <w:pPr>
              <w:jc w:val="center"/>
              <w:rPr>
                <w:rFonts w:hAnsi="宋体"/>
                <w:kern w:val="0"/>
                <w:szCs w:val="21"/>
                <w:highlight w:val="none"/>
              </w:rPr>
            </w:pPr>
          </w:p>
        </w:tc>
        <w:tc>
          <w:tcPr>
            <w:tcW w:w="876" w:type="dxa"/>
            <w:vAlign w:val="center"/>
          </w:tcPr>
          <w:p>
            <w:pPr>
              <w:jc w:val="center"/>
              <w:rPr>
                <w:rFonts w:hAnsi="宋体"/>
                <w:kern w:val="0"/>
                <w:szCs w:val="21"/>
                <w:highlight w:val="none"/>
              </w:rPr>
            </w:pPr>
          </w:p>
        </w:tc>
        <w:tc>
          <w:tcPr>
            <w:tcW w:w="1356" w:type="dxa"/>
            <w:vAlign w:val="center"/>
          </w:tcPr>
          <w:p>
            <w:pPr>
              <w:jc w:val="center"/>
              <w:rPr>
                <w:rFonts w:hAnsi="宋体"/>
                <w:kern w:val="0"/>
                <w:szCs w:val="21"/>
                <w:highlight w:val="none"/>
              </w:rPr>
            </w:pPr>
          </w:p>
        </w:tc>
        <w:tc>
          <w:tcPr>
            <w:tcW w:w="771" w:type="dxa"/>
            <w:vAlign w:val="center"/>
          </w:tcPr>
          <w:p>
            <w:pPr>
              <w:jc w:val="center"/>
              <w:rPr>
                <w:rFonts w:hAnsi="宋体"/>
                <w:kern w:val="0"/>
                <w:szCs w:val="21"/>
                <w:highlight w:val="none"/>
              </w:rPr>
            </w:pPr>
          </w:p>
        </w:tc>
        <w:tc>
          <w:tcPr>
            <w:tcW w:w="788" w:type="dxa"/>
            <w:vAlign w:val="center"/>
          </w:tcPr>
          <w:p>
            <w:pPr>
              <w:jc w:val="center"/>
              <w:rPr>
                <w:rFonts w:hAnsi="宋体"/>
                <w:kern w:val="0"/>
                <w:szCs w:val="21"/>
                <w:highlight w:val="none"/>
              </w:rPr>
            </w:pPr>
          </w:p>
        </w:tc>
        <w:tc>
          <w:tcPr>
            <w:tcW w:w="850" w:type="dxa"/>
            <w:vAlign w:val="center"/>
          </w:tcPr>
          <w:p>
            <w:pPr>
              <w:jc w:val="center"/>
              <w:rPr>
                <w:rFonts w:hAnsi="宋体"/>
                <w:kern w:val="0"/>
                <w:szCs w:val="21"/>
                <w:highlight w:val="none"/>
              </w:rPr>
            </w:pPr>
          </w:p>
        </w:tc>
        <w:tc>
          <w:tcPr>
            <w:tcW w:w="2127" w:type="dxa"/>
            <w:vAlign w:val="center"/>
          </w:tcPr>
          <w:p>
            <w:pPr>
              <w:jc w:val="center"/>
              <w:rPr>
                <w:rFonts w:hAnsi="宋体"/>
                <w:kern w:val="0"/>
                <w:szCs w:val="21"/>
                <w:highlight w:val="none"/>
              </w:rPr>
            </w:pPr>
          </w:p>
        </w:tc>
        <w:tc>
          <w:tcPr>
            <w:tcW w:w="708" w:type="dxa"/>
            <w:vAlign w:val="center"/>
          </w:tcPr>
          <w:p>
            <w:pPr>
              <w:jc w:val="center"/>
              <w:rPr>
                <w:rFonts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Align w:val="center"/>
          </w:tcPr>
          <w:p>
            <w:pPr>
              <w:jc w:val="center"/>
              <w:rPr>
                <w:rFonts w:hAnsi="宋体"/>
                <w:kern w:val="0"/>
                <w:szCs w:val="21"/>
                <w:highlight w:val="none"/>
              </w:rPr>
            </w:pPr>
          </w:p>
        </w:tc>
        <w:tc>
          <w:tcPr>
            <w:tcW w:w="720" w:type="dxa"/>
            <w:vAlign w:val="center"/>
          </w:tcPr>
          <w:p>
            <w:pPr>
              <w:jc w:val="center"/>
              <w:rPr>
                <w:rFonts w:hAnsi="宋体"/>
                <w:kern w:val="0"/>
                <w:szCs w:val="21"/>
                <w:highlight w:val="none"/>
              </w:rPr>
            </w:pPr>
          </w:p>
        </w:tc>
        <w:tc>
          <w:tcPr>
            <w:tcW w:w="876" w:type="dxa"/>
            <w:vAlign w:val="center"/>
          </w:tcPr>
          <w:p>
            <w:pPr>
              <w:jc w:val="center"/>
              <w:rPr>
                <w:rFonts w:hAnsi="宋体"/>
                <w:kern w:val="0"/>
                <w:szCs w:val="21"/>
                <w:highlight w:val="none"/>
              </w:rPr>
            </w:pPr>
          </w:p>
        </w:tc>
        <w:tc>
          <w:tcPr>
            <w:tcW w:w="1356" w:type="dxa"/>
            <w:vAlign w:val="center"/>
          </w:tcPr>
          <w:p>
            <w:pPr>
              <w:jc w:val="center"/>
              <w:rPr>
                <w:rFonts w:hAnsi="宋体"/>
                <w:kern w:val="0"/>
                <w:szCs w:val="21"/>
                <w:highlight w:val="none"/>
              </w:rPr>
            </w:pPr>
          </w:p>
        </w:tc>
        <w:tc>
          <w:tcPr>
            <w:tcW w:w="771" w:type="dxa"/>
            <w:vAlign w:val="center"/>
          </w:tcPr>
          <w:p>
            <w:pPr>
              <w:jc w:val="center"/>
              <w:rPr>
                <w:rFonts w:hAnsi="宋体"/>
                <w:kern w:val="0"/>
                <w:szCs w:val="21"/>
                <w:highlight w:val="none"/>
              </w:rPr>
            </w:pPr>
          </w:p>
        </w:tc>
        <w:tc>
          <w:tcPr>
            <w:tcW w:w="788" w:type="dxa"/>
            <w:vAlign w:val="center"/>
          </w:tcPr>
          <w:p>
            <w:pPr>
              <w:jc w:val="center"/>
              <w:rPr>
                <w:rFonts w:hAnsi="宋体"/>
                <w:kern w:val="0"/>
                <w:szCs w:val="21"/>
                <w:highlight w:val="none"/>
              </w:rPr>
            </w:pPr>
          </w:p>
        </w:tc>
        <w:tc>
          <w:tcPr>
            <w:tcW w:w="850" w:type="dxa"/>
            <w:vAlign w:val="center"/>
          </w:tcPr>
          <w:p>
            <w:pPr>
              <w:jc w:val="center"/>
              <w:rPr>
                <w:rFonts w:hAnsi="宋体"/>
                <w:kern w:val="0"/>
                <w:szCs w:val="21"/>
                <w:highlight w:val="none"/>
              </w:rPr>
            </w:pPr>
          </w:p>
        </w:tc>
        <w:tc>
          <w:tcPr>
            <w:tcW w:w="2127" w:type="dxa"/>
            <w:vAlign w:val="center"/>
          </w:tcPr>
          <w:p>
            <w:pPr>
              <w:jc w:val="center"/>
              <w:rPr>
                <w:rFonts w:hAnsi="宋体"/>
                <w:kern w:val="0"/>
                <w:szCs w:val="21"/>
                <w:highlight w:val="none"/>
              </w:rPr>
            </w:pPr>
          </w:p>
        </w:tc>
        <w:tc>
          <w:tcPr>
            <w:tcW w:w="708" w:type="dxa"/>
            <w:vAlign w:val="center"/>
          </w:tcPr>
          <w:p>
            <w:pPr>
              <w:jc w:val="center"/>
              <w:rPr>
                <w:rFonts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Align w:val="center"/>
          </w:tcPr>
          <w:p>
            <w:pPr>
              <w:jc w:val="center"/>
              <w:rPr>
                <w:rFonts w:hAnsi="宋体"/>
                <w:kern w:val="0"/>
                <w:szCs w:val="21"/>
                <w:highlight w:val="none"/>
              </w:rPr>
            </w:pPr>
          </w:p>
        </w:tc>
        <w:tc>
          <w:tcPr>
            <w:tcW w:w="720" w:type="dxa"/>
            <w:vAlign w:val="center"/>
          </w:tcPr>
          <w:p>
            <w:pPr>
              <w:jc w:val="center"/>
              <w:rPr>
                <w:rFonts w:hAnsi="宋体"/>
                <w:kern w:val="0"/>
                <w:szCs w:val="21"/>
                <w:highlight w:val="none"/>
              </w:rPr>
            </w:pPr>
          </w:p>
        </w:tc>
        <w:tc>
          <w:tcPr>
            <w:tcW w:w="876" w:type="dxa"/>
            <w:vAlign w:val="center"/>
          </w:tcPr>
          <w:p>
            <w:pPr>
              <w:jc w:val="center"/>
              <w:rPr>
                <w:rFonts w:hAnsi="宋体"/>
                <w:kern w:val="0"/>
                <w:szCs w:val="21"/>
                <w:highlight w:val="none"/>
              </w:rPr>
            </w:pPr>
          </w:p>
        </w:tc>
        <w:tc>
          <w:tcPr>
            <w:tcW w:w="1356" w:type="dxa"/>
            <w:vAlign w:val="center"/>
          </w:tcPr>
          <w:p>
            <w:pPr>
              <w:jc w:val="center"/>
              <w:rPr>
                <w:rFonts w:hAnsi="宋体"/>
                <w:kern w:val="0"/>
                <w:szCs w:val="21"/>
                <w:highlight w:val="none"/>
              </w:rPr>
            </w:pPr>
          </w:p>
        </w:tc>
        <w:tc>
          <w:tcPr>
            <w:tcW w:w="771" w:type="dxa"/>
            <w:vAlign w:val="center"/>
          </w:tcPr>
          <w:p>
            <w:pPr>
              <w:jc w:val="center"/>
              <w:rPr>
                <w:rFonts w:hAnsi="宋体"/>
                <w:kern w:val="0"/>
                <w:szCs w:val="21"/>
                <w:highlight w:val="none"/>
              </w:rPr>
            </w:pPr>
          </w:p>
        </w:tc>
        <w:tc>
          <w:tcPr>
            <w:tcW w:w="788" w:type="dxa"/>
            <w:vAlign w:val="center"/>
          </w:tcPr>
          <w:p>
            <w:pPr>
              <w:jc w:val="center"/>
              <w:rPr>
                <w:rFonts w:hAnsi="宋体"/>
                <w:kern w:val="0"/>
                <w:szCs w:val="21"/>
                <w:highlight w:val="none"/>
              </w:rPr>
            </w:pPr>
          </w:p>
        </w:tc>
        <w:tc>
          <w:tcPr>
            <w:tcW w:w="850" w:type="dxa"/>
            <w:vAlign w:val="center"/>
          </w:tcPr>
          <w:p>
            <w:pPr>
              <w:jc w:val="center"/>
              <w:rPr>
                <w:rFonts w:hAnsi="宋体"/>
                <w:kern w:val="0"/>
                <w:szCs w:val="21"/>
                <w:highlight w:val="none"/>
              </w:rPr>
            </w:pPr>
          </w:p>
        </w:tc>
        <w:tc>
          <w:tcPr>
            <w:tcW w:w="2127" w:type="dxa"/>
            <w:vAlign w:val="center"/>
          </w:tcPr>
          <w:p>
            <w:pPr>
              <w:jc w:val="center"/>
              <w:rPr>
                <w:rFonts w:hAnsi="宋体"/>
                <w:kern w:val="0"/>
                <w:szCs w:val="21"/>
                <w:highlight w:val="none"/>
              </w:rPr>
            </w:pPr>
          </w:p>
        </w:tc>
        <w:tc>
          <w:tcPr>
            <w:tcW w:w="708" w:type="dxa"/>
            <w:vAlign w:val="center"/>
          </w:tcPr>
          <w:p>
            <w:pPr>
              <w:jc w:val="center"/>
              <w:rPr>
                <w:rFonts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Align w:val="center"/>
          </w:tcPr>
          <w:p>
            <w:pPr>
              <w:jc w:val="center"/>
              <w:rPr>
                <w:rFonts w:hAnsi="宋体"/>
                <w:kern w:val="0"/>
                <w:szCs w:val="21"/>
                <w:highlight w:val="none"/>
              </w:rPr>
            </w:pPr>
          </w:p>
        </w:tc>
        <w:tc>
          <w:tcPr>
            <w:tcW w:w="720" w:type="dxa"/>
            <w:vAlign w:val="center"/>
          </w:tcPr>
          <w:p>
            <w:pPr>
              <w:jc w:val="center"/>
              <w:rPr>
                <w:rFonts w:hAnsi="宋体"/>
                <w:kern w:val="0"/>
                <w:szCs w:val="21"/>
                <w:highlight w:val="none"/>
              </w:rPr>
            </w:pPr>
          </w:p>
        </w:tc>
        <w:tc>
          <w:tcPr>
            <w:tcW w:w="876" w:type="dxa"/>
            <w:vAlign w:val="center"/>
          </w:tcPr>
          <w:p>
            <w:pPr>
              <w:jc w:val="center"/>
              <w:rPr>
                <w:rFonts w:hAnsi="宋体"/>
                <w:kern w:val="0"/>
                <w:szCs w:val="21"/>
                <w:highlight w:val="none"/>
              </w:rPr>
            </w:pPr>
          </w:p>
        </w:tc>
        <w:tc>
          <w:tcPr>
            <w:tcW w:w="1356" w:type="dxa"/>
            <w:vAlign w:val="center"/>
          </w:tcPr>
          <w:p>
            <w:pPr>
              <w:jc w:val="center"/>
              <w:rPr>
                <w:rFonts w:hAnsi="宋体"/>
                <w:kern w:val="0"/>
                <w:szCs w:val="21"/>
                <w:highlight w:val="none"/>
              </w:rPr>
            </w:pPr>
          </w:p>
        </w:tc>
        <w:tc>
          <w:tcPr>
            <w:tcW w:w="771" w:type="dxa"/>
            <w:vAlign w:val="center"/>
          </w:tcPr>
          <w:p>
            <w:pPr>
              <w:jc w:val="center"/>
              <w:rPr>
                <w:rFonts w:hAnsi="宋体"/>
                <w:kern w:val="0"/>
                <w:szCs w:val="21"/>
                <w:highlight w:val="none"/>
              </w:rPr>
            </w:pPr>
          </w:p>
        </w:tc>
        <w:tc>
          <w:tcPr>
            <w:tcW w:w="788" w:type="dxa"/>
            <w:vAlign w:val="center"/>
          </w:tcPr>
          <w:p>
            <w:pPr>
              <w:jc w:val="center"/>
              <w:rPr>
                <w:rFonts w:hAnsi="宋体"/>
                <w:kern w:val="0"/>
                <w:szCs w:val="21"/>
                <w:highlight w:val="none"/>
              </w:rPr>
            </w:pPr>
          </w:p>
        </w:tc>
        <w:tc>
          <w:tcPr>
            <w:tcW w:w="850" w:type="dxa"/>
            <w:vAlign w:val="center"/>
          </w:tcPr>
          <w:p>
            <w:pPr>
              <w:jc w:val="center"/>
              <w:rPr>
                <w:rFonts w:hAnsi="宋体"/>
                <w:kern w:val="0"/>
                <w:szCs w:val="21"/>
                <w:highlight w:val="none"/>
              </w:rPr>
            </w:pPr>
          </w:p>
        </w:tc>
        <w:tc>
          <w:tcPr>
            <w:tcW w:w="2127" w:type="dxa"/>
            <w:vAlign w:val="center"/>
          </w:tcPr>
          <w:p>
            <w:pPr>
              <w:jc w:val="center"/>
              <w:rPr>
                <w:rFonts w:hAnsi="宋体"/>
                <w:kern w:val="0"/>
                <w:szCs w:val="21"/>
                <w:highlight w:val="none"/>
              </w:rPr>
            </w:pPr>
          </w:p>
        </w:tc>
        <w:tc>
          <w:tcPr>
            <w:tcW w:w="708" w:type="dxa"/>
            <w:vAlign w:val="center"/>
          </w:tcPr>
          <w:p>
            <w:pPr>
              <w:jc w:val="center"/>
              <w:rPr>
                <w:rFonts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Align w:val="center"/>
          </w:tcPr>
          <w:p>
            <w:pPr>
              <w:jc w:val="center"/>
              <w:rPr>
                <w:rFonts w:hAnsi="宋体"/>
                <w:kern w:val="0"/>
                <w:szCs w:val="21"/>
                <w:highlight w:val="none"/>
              </w:rPr>
            </w:pPr>
          </w:p>
        </w:tc>
        <w:tc>
          <w:tcPr>
            <w:tcW w:w="720" w:type="dxa"/>
            <w:vAlign w:val="center"/>
          </w:tcPr>
          <w:p>
            <w:pPr>
              <w:jc w:val="center"/>
              <w:rPr>
                <w:rFonts w:hAnsi="宋体"/>
                <w:kern w:val="0"/>
                <w:szCs w:val="21"/>
                <w:highlight w:val="none"/>
              </w:rPr>
            </w:pPr>
          </w:p>
        </w:tc>
        <w:tc>
          <w:tcPr>
            <w:tcW w:w="876" w:type="dxa"/>
            <w:vAlign w:val="center"/>
          </w:tcPr>
          <w:p>
            <w:pPr>
              <w:jc w:val="center"/>
              <w:rPr>
                <w:rFonts w:hAnsi="宋体"/>
                <w:kern w:val="0"/>
                <w:szCs w:val="21"/>
                <w:highlight w:val="none"/>
              </w:rPr>
            </w:pPr>
          </w:p>
        </w:tc>
        <w:tc>
          <w:tcPr>
            <w:tcW w:w="1356" w:type="dxa"/>
            <w:vAlign w:val="center"/>
          </w:tcPr>
          <w:p>
            <w:pPr>
              <w:jc w:val="center"/>
              <w:rPr>
                <w:rFonts w:hAnsi="宋体"/>
                <w:kern w:val="0"/>
                <w:szCs w:val="21"/>
                <w:highlight w:val="none"/>
              </w:rPr>
            </w:pPr>
          </w:p>
        </w:tc>
        <w:tc>
          <w:tcPr>
            <w:tcW w:w="771" w:type="dxa"/>
            <w:vAlign w:val="center"/>
          </w:tcPr>
          <w:p>
            <w:pPr>
              <w:jc w:val="center"/>
              <w:rPr>
                <w:rFonts w:hAnsi="宋体"/>
                <w:kern w:val="0"/>
                <w:szCs w:val="21"/>
                <w:highlight w:val="none"/>
              </w:rPr>
            </w:pPr>
          </w:p>
        </w:tc>
        <w:tc>
          <w:tcPr>
            <w:tcW w:w="788" w:type="dxa"/>
            <w:vAlign w:val="center"/>
          </w:tcPr>
          <w:p>
            <w:pPr>
              <w:jc w:val="center"/>
              <w:rPr>
                <w:rFonts w:hAnsi="宋体"/>
                <w:kern w:val="0"/>
                <w:szCs w:val="21"/>
                <w:highlight w:val="none"/>
              </w:rPr>
            </w:pPr>
          </w:p>
        </w:tc>
        <w:tc>
          <w:tcPr>
            <w:tcW w:w="850" w:type="dxa"/>
            <w:vAlign w:val="center"/>
          </w:tcPr>
          <w:p>
            <w:pPr>
              <w:jc w:val="center"/>
              <w:rPr>
                <w:rFonts w:hAnsi="宋体"/>
                <w:kern w:val="0"/>
                <w:szCs w:val="21"/>
                <w:highlight w:val="none"/>
              </w:rPr>
            </w:pPr>
          </w:p>
        </w:tc>
        <w:tc>
          <w:tcPr>
            <w:tcW w:w="2127" w:type="dxa"/>
            <w:vAlign w:val="center"/>
          </w:tcPr>
          <w:p>
            <w:pPr>
              <w:jc w:val="center"/>
              <w:rPr>
                <w:rFonts w:hAnsi="宋体"/>
                <w:kern w:val="0"/>
                <w:szCs w:val="21"/>
                <w:highlight w:val="none"/>
              </w:rPr>
            </w:pPr>
          </w:p>
        </w:tc>
        <w:tc>
          <w:tcPr>
            <w:tcW w:w="708" w:type="dxa"/>
            <w:vAlign w:val="center"/>
          </w:tcPr>
          <w:p>
            <w:pPr>
              <w:jc w:val="center"/>
              <w:rPr>
                <w:rFonts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Align w:val="center"/>
          </w:tcPr>
          <w:p>
            <w:pPr>
              <w:jc w:val="center"/>
              <w:rPr>
                <w:rFonts w:hAnsi="宋体"/>
                <w:kern w:val="0"/>
                <w:szCs w:val="21"/>
                <w:highlight w:val="none"/>
              </w:rPr>
            </w:pPr>
          </w:p>
        </w:tc>
        <w:tc>
          <w:tcPr>
            <w:tcW w:w="720" w:type="dxa"/>
            <w:vAlign w:val="center"/>
          </w:tcPr>
          <w:p>
            <w:pPr>
              <w:jc w:val="center"/>
              <w:rPr>
                <w:rFonts w:hAnsi="宋体"/>
                <w:kern w:val="0"/>
                <w:szCs w:val="21"/>
                <w:highlight w:val="none"/>
              </w:rPr>
            </w:pPr>
          </w:p>
        </w:tc>
        <w:tc>
          <w:tcPr>
            <w:tcW w:w="876" w:type="dxa"/>
            <w:vAlign w:val="center"/>
          </w:tcPr>
          <w:p>
            <w:pPr>
              <w:jc w:val="center"/>
              <w:rPr>
                <w:rFonts w:hAnsi="宋体"/>
                <w:kern w:val="0"/>
                <w:szCs w:val="21"/>
                <w:highlight w:val="none"/>
              </w:rPr>
            </w:pPr>
          </w:p>
        </w:tc>
        <w:tc>
          <w:tcPr>
            <w:tcW w:w="1356" w:type="dxa"/>
            <w:vAlign w:val="center"/>
          </w:tcPr>
          <w:p>
            <w:pPr>
              <w:jc w:val="center"/>
              <w:rPr>
                <w:rFonts w:hAnsi="宋体"/>
                <w:kern w:val="0"/>
                <w:szCs w:val="21"/>
                <w:highlight w:val="none"/>
              </w:rPr>
            </w:pPr>
          </w:p>
        </w:tc>
        <w:tc>
          <w:tcPr>
            <w:tcW w:w="771" w:type="dxa"/>
            <w:vAlign w:val="center"/>
          </w:tcPr>
          <w:p>
            <w:pPr>
              <w:jc w:val="center"/>
              <w:rPr>
                <w:rFonts w:hAnsi="宋体"/>
                <w:kern w:val="0"/>
                <w:szCs w:val="21"/>
                <w:highlight w:val="none"/>
              </w:rPr>
            </w:pPr>
          </w:p>
        </w:tc>
        <w:tc>
          <w:tcPr>
            <w:tcW w:w="788" w:type="dxa"/>
            <w:vAlign w:val="center"/>
          </w:tcPr>
          <w:p>
            <w:pPr>
              <w:jc w:val="center"/>
              <w:rPr>
                <w:rFonts w:hAnsi="宋体"/>
                <w:kern w:val="0"/>
                <w:szCs w:val="21"/>
                <w:highlight w:val="none"/>
              </w:rPr>
            </w:pPr>
          </w:p>
        </w:tc>
        <w:tc>
          <w:tcPr>
            <w:tcW w:w="850" w:type="dxa"/>
            <w:vAlign w:val="center"/>
          </w:tcPr>
          <w:p>
            <w:pPr>
              <w:jc w:val="center"/>
              <w:rPr>
                <w:rFonts w:hAnsi="宋体"/>
                <w:kern w:val="0"/>
                <w:szCs w:val="21"/>
                <w:highlight w:val="none"/>
              </w:rPr>
            </w:pPr>
          </w:p>
        </w:tc>
        <w:tc>
          <w:tcPr>
            <w:tcW w:w="2127" w:type="dxa"/>
            <w:vAlign w:val="center"/>
          </w:tcPr>
          <w:p>
            <w:pPr>
              <w:jc w:val="center"/>
              <w:rPr>
                <w:rFonts w:hAnsi="宋体"/>
                <w:kern w:val="0"/>
                <w:szCs w:val="21"/>
                <w:highlight w:val="none"/>
              </w:rPr>
            </w:pPr>
          </w:p>
        </w:tc>
        <w:tc>
          <w:tcPr>
            <w:tcW w:w="708" w:type="dxa"/>
            <w:vAlign w:val="center"/>
          </w:tcPr>
          <w:p>
            <w:pPr>
              <w:jc w:val="center"/>
              <w:rPr>
                <w:rFonts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Align w:val="center"/>
          </w:tcPr>
          <w:p>
            <w:pPr>
              <w:jc w:val="center"/>
              <w:rPr>
                <w:rFonts w:hAnsi="宋体"/>
                <w:kern w:val="0"/>
                <w:szCs w:val="21"/>
                <w:highlight w:val="none"/>
              </w:rPr>
            </w:pPr>
          </w:p>
        </w:tc>
        <w:tc>
          <w:tcPr>
            <w:tcW w:w="720" w:type="dxa"/>
            <w:vAlign w:val="center"/>
          </w:tcPr>
          <w:p>
            <w:pPr>
              <w:jc w:val="center"/>
              <w:rPr>
                <w:rFonts w:hAnsi="宋体"/>
                <w:kern w:val="0"/>
                <w:szCs w:val="21"/>
                <w:highlight w:val="none"/>
              </w:rPr>
            </w:pPr>
          </w:p>
        </w:tc>
        <w:tc>
          <w:tcPr>
            <w:tcW w:w="876" w:type="dxa"/>
            <w:vAlign w:val="center"/>
          </w:tcPr>
          <w:p>
            <w:pPr>
              <w:jc w:val="center"/>
              <w:rPr>
                <w:rFonts w:hAnsi="宋体"/>
                <w:kern w:val="0"/>
                <w:szCs w:val="21"/>
                <w:highlight w:val="none"/>
              </w:rPr>
            </w:pPr>
          </w:p>
        </w:tc>
        <w:tc>
          <w:tcPr>
            <w:tcW w:w="1356" w:type="dxa"/>
            <w:vAlign w:val="center"/>
          </w:tcPr>
          <w:p>
            <w:pPr>
              <w:jc w:val="center"/>
              <w:rPr>
                <w:rFonts w:hAnsi="宋体"/>
                <w:kern w:val="0"/>
                <w:szCs w:val="21"/>
                <w:highlight w:val="none"/>
              </w:rPr>
            </w:pPr>
          </w:p>
        </w:tc>
        <w:tc>
          <w:tcPr>
            <w:tcW w:w="771" w:type="dxa"/>
            <w:vAlign w:val="center"/>
          </w:tcPr>
          <w:p>
            <w:pPr>
              <w:jc w:val="center"/>
              <w:rPr>
                <w:rFonts w:hAnsi="宋体"/>
                <w:kern w:val="0"/>
                <w:szCs w:val="21"/>
                <w:highlight w:val="none"/>
              </w:rPr>
            </w:pPr>
          </w:p>
        </w:tc>
        <w:tc>
          <w:tcPr>
            <w:tcW w:w="788" w:type="dxa"/>
            <w:vAlign w:val="center"/>
          </w:tcPr>
          <w:p>
            <w:pPr>
              <w:jc w:val="center"/>
              <w:rPr>
                <w:rFonts w:hAnsi="宋体"/>
                <w:kern w:val="0"/>
                <w:szCs w:val="21"/>
                <w:highlight w:val="none"/>
              </w:rPr>
            </w:pPr>
          </w:p>
        </w:tc>
        <w:tc>
          <w:tcPr>
            <w:tcW w:w="850" w:type="dxa"/>
            <w:vAlign w:val="center"/>
          </w:tcPr>
          <w:p>
            <w:pPr>
              <w:jc w:val="center"/>
              <w:rPr>
                <w:rFonts w:hAnsi="宋体"/>
                <w:kern w:val="0"/>
                <w:szCs w:val="21"/>
                <w:highlight w:val="none"/>
              </w:rPr>
            </w:pPr>
          </w:p>
        </w:tc>
        <w:tc>
          <w:tcPr>
            <w:tcW w:w="2127" w:type="dxa"/>
            <w:vAlign w:val="center"/>
          </w:tcPr>
          <w:p>
            <w:pPr>
              <w:jc w:val="center"/>
              <w:rPr>
                <w:rFonts w:hAnsi="宋体"/>
                <w:kern w:val="0"/>
                <w:szCs w:val="21"/>
                <w:highlight w:val="none"/>
              </w:rPr>
            </w:pPr>
          </w:p>
        </w:tc>
        <w:tc>
          <w:tcPr>
            <w:tcW w:w="708" w:type="dxa"/>
            <w:vAlign w:val="center"/>
          </w:tcPr>
          <w:p>
            <w:pPr>
              <w:jc w:val="center"/>
              <w:rPr>
                <w:rFonts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Align w:val="center"/>
          </w:tcPr>
          <w:p>
            <w:pPr>
              <w:jc w:val="center"/>
              <w:rPr>
                <w:rFonts w:hAnsi="宋体"/>
                <w:kern w:val="0"/>
                <w:szCs w:val="21"/>
                <w:highlight w:val="none"/>
              </w:rPr>
            </w:pPr>
          </w:p>
        </w:tc>
        <w:tc>
          <w:tcPr>
            <w:tcW w:w="720" w:type="dxa"/>
            <w:vAlign w:val="center"/>
          </w:tcPr>
          <w:p>
            <w:pPr>
              <w:jc w:val="center"/>
              <w:rPr>
                <w:rFonts w:hAnsi="宋体"/>
                <w:kern w:val="0"/>
                <w:szCs w:val="21"/>
                <w:highlight w:val="none"/>
              </w:rPr>
            </w:pPr>
          </w:p>
        </w:tc>
        <w:tc>
          <w:tcPr>
            <w:tcW w:w="876" w:type="dxa"/>
            <w:vAlign w:val="center"/>
          </w:tcPr>
          <w:p>
            <w:pPr>
              <w:jc w:val="center"/>
              <w:rPr>
                <w:rFonts w:hAnsi="宋体"/>
                <w:kern w:val="0"/>
                <w:szCs w:val="21"/>
                <w:highlight w:val="none"/>
              </w:rPr>
            </w:pPr>
          </w:p>
        </w:tc>
        <w:tc>
          <w:tcPr>
            <w:tcW w:w="1356" w:type="dxa"/>
            <w:vAlign w:val="center"/>
          </w:tcPr>
          <w:p>
            <w:pPr>
              <w:jc w:val="center"/>
              <w:rPr>
                <w:rFonts w:hAnsi="宋体"/>
                <w:kern w:val="0"/>
                <w:szCs w:val="21"/>
                <w:highlight w:val="none"/>
              </w:rPr>
            </w:pPr>
          </w:p>
        </w:tc>
        <w:tc>
          <w:tcPr>
            <w:tcW w:w="771" w:type="dxa"/>
            <w:vAlign w:val="center"/>
          </w:tcPr>
          <w:p>
            <w:pPr>
              <w:jc w:val="center"/>
              <w:rPr>
                <w:rFonts w:hAnsi="宋体"/>
                <w:kern w:val="0"/>
                <w:szCs w:val="21"/>
                <w:highlight w:val="none"/>
              </w:rPr>
            </w:pPr>
          </w:p>
        </w:tc>
        <w:tc>
          <w:tcPr>
            <w:tcW w:w="788" w:type="dxa"/>
            <w:vAlign w:val="center"/>
          </w:tcPr>
          <w:p>
            <w:pPr>
              <w:jc w:val="center"/>
              <w:rPr>
                <w:rFonts w:hAnsi="宋体"/>
                <w:kern w:val="0"/>
                <w:szCs w:val="21"/>
                <w:highlight w:val="none"/>
              </w:rPr>
            </w:pPr>
          </w:p>
        </w:tc>
        <w:tc>
          <w:tcPr>
            <w:tcW w:w="850" w:type="dxa"/>
            <w:vAlign w:val="center"/>
          </w:tcPr>
          <w:p>
            <w:pPr>
              <w:jc w:val="center"/>
              <w:rPr>
                <w:rFonts w:hAnsi="宋体"/>
                <w:kern w:val="0"/>
                <w:szCs w:val="21"/>
                <w:highlight w:val="none"/>
              </w:rPr>
            </w:pPr>
          </w:p>
        </w:tc>
        <w:tc>
          <w:tcPr>
            <w:tcW w:w="2127" w:type="dxa"/>
            <w:vAlign w:val="center"/>
          </w:tcPr>
          <w:p>
            <w:pPr>
              <w:jc w:val="center"/>
              <w:rPr>
                <w:rFonts w:hAnsi="宋体"/>
                <w:kern w:val="0"/>
                <w:szCs w:val="21"/>
                <w:highlight w:val="none"/>
              </w:rPr>
            </w:pPr>
          </w:p>
        </w:tc>
        <w:tc>
          <w:tcPr>
            <w:tcW w:w="708" w:type="dxa"/>
            <w:vAlign w:val="center"/>
          </w:tcPr>
          <w:p>
            <w:pPr>
              <w:jc w:val="center"/>
              <w:rPr>
                <w:rFonts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Align w:val="center"/>
          </w:tcPr>
          <w:p>
            <w:pPr>
              <w:jc w:val="center"/>
              <w:rPr>
                <w:rFonts w:hAnsi="宋体"/>
                <w:kern w:val="0"/>
                <w:szCs w:val="21"/>
                <w:highlight w:val="none"/>
              </w:rPr>
            </w:pPr>
          </w:p>
        </w:tc>
        <w:tc>
          <w:tcPr>
            <w:tcW w:w="720" w:type="dxa"/>
            <w:vAlign w:val="center"/>
          </w:tcPr>
          <w:p>
            <w:pPr>
              <w:jc w:val="center"/>
              <w:rPr>
                <w:rFonts w:hAnsi="宋体"/>
                <w:kern w:val="0"/>
                <w:szCs w:val="21"/>
                <w:highlight w:val="none"/>
              </w:rPr>
            </w:pPr>
          </w:p>
        </w:tc>
        <w:tc>
          <w:tcPr>
            <w:tcW w:w="876" w:type="dxa"/>
            <w:vAlign w:val="center"/>
          </w:tcPr>
          <w:p>
            <w:pPr>
              <w:jc w:val="center"/>
              <w:rPr>
                <w:rFonts w:hAnsi="宋体"/>
                <w:kern w:val="0"/>
                <w:szCs w:val="21"/>
                <w:highlight w:val="none"/>
              </w:rPr>
            </w:pPr>
          </w:p>
        </w:tc>
        <w:tc>
          <w:tcPr>
            <w:tcW w:w="1356" w:type="dxa"/>
            <w:vAlign w:val="center"/>
          </w:tcPr>
          <w:p>
            <w:pPr>
              <w:jc w:val="center"/>
              <w:rPr>
                <w:rFonts w:hAnsi="宋体"/>
                <w:kern w:val="0"/>
                <w:szCs w:val="21"/>
                <w:highlight w:val="none"/>
              </w:rPr>
            </w:pPr>
          </w:p>
        </w:tc>
        <w:tc>
          <w:tcPr>
            <w:tcW w:w="771" w:type="dxa"/>
            <w:vAlign w:val="center"/>
          </w:tcPr>
          <w:p>
            <w:pPr>
              <w:jc w:val="center"/>
              <w:rPr>
                <w:rFonts w:hAnsi="宋体"/>
                <w:kern w:val="0"/>
                <w:szCs w:val="21"/>
                <w:highlight w:val="none"/>
              </w:rPr>
            </w:pPr>
          </w:p>
        </w:tc>
        <w:tc>
          <w:tcPr>
            <w:tcW w:w="788" w:type="dxa"/>
            <w:vAlign w:val="center"/>
          </w:tcPr>
          <w:p>
            <w:pPr>
              <w:jc w:val="center"/>
              <w:rPr>
                <w:rFonts w:hAnsi="宋体"/>
                <w:kern w:val="0"/>
                <w:szCs w:val="21"/>
                <w:highlight w:val="none"/>
              </w:rPr>
            </w:pPr>
          </w:p>
        </w:tc>
        <w:tc>
          <w:tcPr>
            <w:tcW w:w="850" w:type="dxa"/>
            <w:vAlign w:val="center"/>
          </w:tcPr>
          <w:p>
            <w:pPr>
              <w:jc w:val="center"/>
              <w:rPr>
                <w:rFonts w:hAnsi="宋体"/>
                <w:kern w:val="0"/>
                <w:szCs w:val="21"/>
                <w:highlight w:val="none"/>
              </w:rPr>
            </w:pPr>
          </w:p>
        </w:tc>
        <w:tc>
          <w:tcPr>
            <w:tcW w:w="2127" w:type="dxa"/>
            <w:vAlign w:val="center"/>
          </w:tcPr>
          <w:p>
            <w:pPr>
              <w:jc w:val="center"/>
              <w:rPr>
                <w:rFonts w:hAnsi="宋体"/>
                <w:kern w:val="0"/>
                <w:szCs w:val="21"/>
                <w:highlight w:val="none"/>
              </w:rPr>
            </w:pPr>
          </w:p>
        </w:tc>
        <w:tc>
          <w:tcPr>
            <w:tcW w:w="708" w:type="dxa"/>
            <w:vAlign w:val="center"/>
          </w:tcPr>
          <w:p>
            <w:pPr>
              <w:jc w:val="center"/>
              <w:rPr>
                <w:rFonts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Align w:val="center"/>
          </w:tcPr>
          <w:p>
            <w:pPr>
              <w:jc w:val="center"/>
              <w:rPr>
                <w:rFonts w:hAnsi="宋体"/>
                <w:kern w:val="0"/>
                <w:szCs w:val="21"/>
                <w:highlight w:val="none"/>
              </w:rPr>
            </w:pPr>
          </w:p>
        </w:tc>
        <w:tc>
          <w:tcPr>
            <w:tcW w:w="720" w:type="dxa"/>
            <w:vAlign w:val="center"/>
          </w:tcPr>
          <w:p>
            <w:pPr>
              <w:jc w:val="center"/>
              <w:rPr>
                <w:rFonts w:hAnsi="宋体"/>
                <w:kern w:val="0"/>
                <w:szCs w:val="21"/>
                <w:highlight w:val="none"/>
              </w:rPr>
            </w:pPr>
          </w:p>
        </w:tc>
        <w:tc>
          <w:tcPr>
            <w:tcW w:w="876" w:type="dxa"/>
            <w:vAlign w:val="center"/>
          </w:tcPr>
          <w:p>
            <w:pPr>
              <w:jc w:val="center"/>
              <w:rPr>
                <w:rFonts w:hAnsi="宋体"/>
                <w:kern w:val="0"/>
                <w:szCs w:val="21"/>
                <w:highlight w:val="none"/>
              </w:rPr>
            </w:pPr>
          </w:p>
        </w:tc>
        <w:tc>
          <w:tcPr>
            <w:tcW w:w="1356" w:type="dxa"/>
            <w:vAlign w:val="center"/>
          </w:tcPr>
          <w:p>
            <w:pPr>
              <w:jc w:val="center"/>
              <w:rPr>
                <w:rFonts w:hAnsi="宋体"/>
                <w:kern w:val="0"/>
                <w:szCs w:val="21"/>
                <w:highlight w:val="none"/>
              </w:rPr>
            </w:pPr>
          </w:p>
        </w:tc>
        <w:tc>
          <w:tcPr>
            <w:tcW w:w="771" w:type="dxa"/>
            <w:vAlign w:val="center"/>
          </w:tcPr>
          <w:p>
            <w:pPr>
              <w:jc w:val="center"/>
              <w:rPr>
                <w:rFonts w:hAnsi="宋体"/>
                <w:kern w:val="0"/>
                <w:szCs w:val="21"/>
                <w:highlight w:val="none"/>
              </w:rPr>
            </w:pPr>
          </w:p>
        </w:tc>
        <w:tc>
          <w:tcPr>
            <w:tcW w:w="788" w:type="dxa"/>
            <w:vAlign w:val="center"/>
          </w:tcPr>
          <w:p>
            <w:pPr>
              <w:jc w:val="center"/>
              <w:rPr>
                <w:rFonts w:hAnsi="宋体"/>
                <w:kern w:val="0"/>
                <w:szCs w:val="21"/>
                <w:highlight w:val="none"/>
              </w:rPr>
            </w:pPr>
          </w:p>
        </w:tc>
        <w:tc>
          <w:tcPr>
            <w:tcW w:w="850" w:type="dxa"/>
            <w:vAlign w:val="center"/>
          </w:tcPr>
          <w:p>
            <w:pPr>
              <w:jc w:val="center"/>
              <w:rPr>
                <w:rFonts w:hAnsi="宋体"/>
                <w:kern w:val="0"/>
                <w:szCs w:val="21"/>
                <w:highlight w:val="none"/>
              </w:rPr>
            </w:pPr>
          </w:p>
        </w:tc>
        <w:tc>
          <w:tcPr>
            <w:tcW w:w="2127" w:type="dxa"/>
            <w:vAlign w:val="center"/>
          </w:tcPr>
          <w:p>
            <w:pPr>
              <w:jc w:val="center"/>
              <w:rPr>
                <w:rFonts w:hAnsi="宋体"/>
                <w:kern w:val="0"/>
                <w:szCs w:val="21"/>
                <w:highlight w:val="none"/>
              </w:rPr>
            </w:pPr>
          </w:p>
        </w:tc>
        <w:tc>
          <w:tcPr>
            <w:tcW w:w="708" w:type="dxa"/>
            <w:vAlign w:val="center"/>
          </w:tcPr>
          <w:p>
            <w:pPr>
              <w:jc w:val="center"/>
              <w:rPr>
                <w:rFonts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Align w:val="center"/>
          </w:tcPr>
          <w:p>
            <w:pPr>
              <w:jc w:val="center"/>
              <w:rPr>
                <w:rFonts w:hAnsi="宋体"/>
                <w:kern w:val="0"/>
                <w:szCs w:val="21"/>
                <w:highlight w:val="none"/>
              </w:rPr>
            </w:pPr>
          </w:p>
        </w:tc>
        <w:tc>
          <w:tcPr>
            <w:tcW w:w="720" w:type="dxa"/>
            <w:vAlign w:val="center"/>
          </w:tcPr>
          <w:p>
            <w:pPr>
              <w:jc w:val="center"/>
              <w:rPr>
                <w:rFonts w:hAnsi="宋体"/>
                <w:kern w:val="0"/>
                <w:szCs w:val="21"/>
                <w:highlight w:val="none"/>
              </w:rPr>
            </w:pPr>
          </w:p>
        </w:tc>
        <w:tc>
          <w:tcPr>
            <w:tcW w:w="876" w:type="dxa"/>
            <w:vAlign w:val="center"/>
          </w:tcPr>
          <w:p>
            <w:pPr>
              <w:jc w:val="center"/>
              <w:rPr>
                <w:rFonts w:hAnsi="宋体"/>
                <w:kern w:val="0"/>
                <w:szCs w:val="21"/>
                <w:highlight w:val="none"/>
              </w:rPr>
            </w:pPr>
          </w:p>
        </w:tc>
        <w:tc>
          <w:tcPr>
            <w:tcW w:w="1356" w:type="dxa"/>
            <w:vAlign w:val="center"/>
          </w:tcPr>
          <w:p>
            <w:pPr>
              <w:jc w:val="center"/>
              <w:rPr>
                <w:rFonts w:hAnsi="宋体"/>
                <w:kern w:val="0"/>
                <w:szCs w:val="21"/>
                <w:highlight w:val="none"/>
              </w:rPr>
            </w:pPr>
          </w:p>
        </w:tc>
        <w:tc>
          <w:tcPr>
            <w:tcW w:w="771" w:type="dxa"/>
            <w:vAlign w:val="center"/>
          </w:tcPr>
          <w:p>
            <w:pPr>
              <w:jc w:val="center"/>
              <w:rPr>
                <w:rFonts w:hAnsi="宋体"/>
                <w:kern w:val="0"/>
                <w:szCs w:val="21"/>
                <w:highlight w:val="none"/>
              </w:rPr>
            </w:pPr>
          </w:p>
        </w:tc>
        <w:tc>
          <w:tcPr>
            <w:tcW w:w="788" w:type="dxa"/>
            <w:vAlign w:val="center"/>
          </w:tcPr>
          <w:p>
            <w:pPr>
              <w:jc w:val="center"/>
              <w:rPr>
                <w:rFonts w:hAnsi="宋体"/>
                <w:kern w:val="0"/>
                <w:szCs w:val="21"/>
                <w:highlight w:val="none"/>
              </w:rPr>
            </w:pPr>
          </w:p>
        </w:tc>
        <w:tc>
          <w:tcPr>
            <w:tcW w:w="850" w:type="dxa"/>
            <w:vAlign w:val="center"/>
          </w:tcPr>
          <w:p>
            <w:pPr>
              <w:jc w:val="center"/>
              <w:rPr>
                <w:rFonts w:hAnsi="宋体"/>
                <w:kern w:val="0"/>
                <w:szCs w:val="21"/>
                <w:highlight w:val="none"/>
              </w:rPr>
            </w:pPr>
          </w:p>
        </w:tc>
        <w:tc>
          <w:tcPr>
            <w:tcW w:w="2127" w:type="dxa"/>
            <w:vAlign w:val="center"/>
          </w:tcPr>
          <w:p>
            <w:pPr>
              <w:jc w:val="center"/>
              <w:rPr>
                <w:rFonts w:hAnsi="宋体"/>
                <w:kern w:val="0"/>
                <w:szCs w:val="21"/>
                <w:highlight w:val="none"/>
              </w:rPr>
            </w:pPr>
          </w:p>
        </w:tc>
        <w:tc>
          <w:tcPr>
            <w:tcW w:w="708" w:type="dxa"/>
            <w:vAlign w:val="center"/>
          </w:tcPr>
          <w:p>
            <w:pPr>
              <w:jc w:val="center"/>
              <w:rPr>
                <w:rFonts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Align w:val="center"/>
          </w:tcPr>
          <w:p>
            <w:pPr>
              <w:jc w:val="center"/>
              <w:rPr>
                <w:rFonts w:hAnsi="宋体"/>
                <w:kern w:val="0"/>
                <w:szCs w:val="21"/>
                <w:highlight w:val="none"/>
              </w:rPr>
            </w:pPr>
          </w:p>
        </w:tc>
        <w:tc>
          <w:tcPr>
            <w:tcW w:w="720" w:type="dxa"/>
            <w:vAlign w:val="center"/>
          </w:tcPr>
          <w:p>
            <w:pPr>
              <w:jc w:val="center"/>
              <w:rPr>
                <w:rFonts w:hAnsi="宋体"/>
                <w:kern w:val="0"/>
                <w:szCs w:val="21"/>
                <w:highlight w:val="none"/>
              </w:rPr>
            </w:pPr>
          </w:p>
        </w:tc>
        <w:tc>
          <w:tcPr>
            <w:tcW w:w="876" w:type="dxa"/>
            <w:vAlign w:val="center"/>
          </w:tcPr>
          <w:p>
            <w:pPr>
              <w:jc w:val="center"/>
              <w:rPr>
                <w:rFonts w:hAnsi="宋体"/>
                <w:kern w:val="0"/>
                <w:szCs w:val="21"/>
                <w:highlight w:val="none"/>
              </w:rPr>
            </w:pPr>
          </w:p>
        </w:tc>
        <w:tc>
          <w:tcPr>
            <w:tcW w:w="1356" w:type="dxa"/>
            <w:vAlign w:val="center"/>
          </w:tcPr>
          <w:p>
            <w:pPr>
              <w:jc w:val="center"/>
              <w:rPr>
                <w:rFonts w:hAnsi="宋体"/>
                <w:kern w:val="0"/>
                <w:szCs w:val="21"/>
                <w:highlight w:val="none"/>
              </w:rPr>
            </w:pPr>
          </w:p>
        </w:tc>
        <w:tc>
          <w:tcPr>
            <w:tcW w:w="771" w:type="dxa"/>
            <w:vAlign w:val="center"/>
          </w:tcPr>
          <w:p>
            <w:pPr>
              <w:jc w:val="center"/>
              <w:rPr>
                <w:rFonts w:hAnsi="宋体"/>
                <w:kern w:val="0"/>
                <w:szCs w:val="21"/>
                <w:highlight w:val="none"/>
              </w:rPr>
            </w:pPr>
          </w:p>
        </w:tc>
        <w:tc>
          <w:tcPr>
            <w:tcW w:w="788" w:type="dxa"/>
            <w:vAlign w:val="center"/>
          </w:tcPr>
          <w:p>
            <w:pPr>
              <w:jc w:val="center"/>
              <w:rPr>
                <w:rFonts w:hAnsi="宋体"/>
                <w:kern w:val="0"/>
                <w:szCs w:val="21"/>
                <w:highlight w:val="none"/>
              </w:rPr>
            </w:pPr>
          </w:p>
        </w:tc>
        <w:tc>
          <w:tcPr>
            <w:tcW w:w="850" w:type="dxa"/>
            <w:vAlign w:val="center"/>
          </w:tcPr>
          <w:p>
            <w:pPr>
              <w:jc w:val="center"/>
              <w:rPr>
                <w:rFonts w:hAnsi="宋体"/>
                <w:kern w:val="0"/>
                <w:szCs w:val="21"/>
                <w:highlight w:val="none"/>
              </w:rPr>
            </w:pPr>
          </w:p>
        </w:tc>
        <w:tc>
          <w:tcPr>
            <w:tcW w:w="2127" w:type="dxa"/>
            <w:vAlign w:val="center"/>
          </w:tcPr>
          <w:p>
            <w:pPr>
              <w:jc w:val="center"/>
              <w:rPr>
                <w:rFonts w:hAnsi="宋体"/>
                <w:kern w:val="0"/>
                <w:szCs w:val="21"/>
                <w:highlight w:val="none"/>
              </w:rPr>
            </w:pPr>
          </w:p>
        </w:tc>
        <w:tc>
          <w:tcPr>
            <w:tcW w:w="708" w:type="dxa"/>
            <w:vAlign w:val="center"/>
          </w:tcPr>
          <w:p>
            <w:pPr>
              <w:jc w:val="center"/>
              <w:rPr>
                <w:rFonts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Align w:val="center"/>
          </w:tcPr>
          <w:p>
            <w:pPr>
              <w:jc w:val="center"/>
              <w:rPr>
                <w:rFonts w:hAnsi="宋体"/>
                <w:kern w:val="0"/>
                <w:szCs w:val="21"/>
                <w:highlight w:val="none"/>
              </w:rPr>
            </w:pPr>
          </w:p>
        </w:tc>
        <w:tc>
          <w:tcPr>
            <w:tcW w:w="720" w:type="dxa"/>
            <w:vAlign w:val="center"/>
          </w:tcPr>
          <w:p>
            <w:pPr>
              <w:jc w:val="center"/>
              <w:rPr>
                <w:rFonts w:hAnsi="宋体"/>
                <w:kern w:val="0"/>
                <w:szCs w:val="21"/>
                <w:highlight w:val="none"/>
              </w:rPr>
            </w:pPr>
          </w:p>
        </w:tc>
        <w:tc>
          <w:tcPr>
            <w:tcW w:w="876" w:type="dxa"/>
            <w:vAlign w:val="center"/>
          </w:tcPr>
          <w:p>
            <w:pPr>
              <w:jc w:val="center"/>
              <w:rPr>
                <w:rFonts w:hAnsi="宋体"/>
                <w:kern w:val="0"/>
                <w:szCs w:val="21"/>
                <w:highlight w:val="none"/>
              </w:rPr>
            </w:pPr>
          </w:p>
        </w:tc>
        <w:tc>
          <w:tcPr>
            <w:tcW w:w="1356" w:type="dxa"/>
            <w:vAlign w:val="center"/>
          </w:tcPr>
          <w:p>
            <w:pPr>
              <w:jc w:val="center"/>
              <w:rPr>
                <w:rFonts w:hAnsi="宋体"/>
                <w:kern w:val="0"/>
                <w:szCs w:val="21"/>
                <w:highlight w:val="none"/>
              </w:rPr>
            </w:pPr>
          </w:p>
        </w:tc>
        <w:tc>
          <w:tcPr>
            <w:tcW w:w="771" w:type="dxa"/>
            <w:vAlign w:val="center"/>
          </w:tcPr>
          <w:p>
            <w:pPr>
              <w:jc w:val="center"/>
              <w:rPr>
                <w:rFonts w:hAnsi="宋体"/>
                <w:kern w:val="0"/>
                <w:szCs w:val="21"/>
                <w:highlight w:val="none"/>
              </w:rPr>
            </w:pPr>
          </w:p>
        </w:tc>
        <w:tc>
          <w:tcPr>
            <w:tcW w:w="788" w:type="dxa"/>
            <w:vAlign w:val="center"/>
          </w:tcPr>
          <w:p>
            <w:pPr>
              <w:jc w:val="center"/>
              <w:rPr>
                <w:rFonts w:hAnsi="宋体"/>
                <w:kern w:val="0"/>
                <w:szCs w:val="21"/>
                <w:highlight w:val="none"/>
              </w:rPr>
            </w:pPr>
          </w:p>
        </w:tc>
        <w:tc>
          <w:tcPr>
            <w:tcW w:w="850" w:type="dxa"/>
            <w:vAlign w:val="center"/>
          </w:tcPr>
          <w:p>
            <w:pPr>
              <w:jc w:val="center"/>
              <w:rPr>
                <w:rFonts w:hAnsi="宋体"/>
                <w:kern w:val="0"/>
                <w:szCs w:val="21"/>
                <w:highlight w:val="none"/>
              </w:rPr>
            </w:pPr>
          </w:p>
        </w:tc>
        <w:tc>
          <w:tcPr>
            <w:tcW w:w="2127" w:type="dxa"/>
            <w:vAlign w:val="center"/>
          </w:tcPr>
          <w:p>
            <w:pPr>
              <w:jc w:val="center"/>
              <w:rPr>
                <w:rFonts w:hAnsi="宋体"/>
                <w:kern w:val="0"/>
                <w:szCs w:val="21"/>
                <w:highlight w:val="none"/>
              </w:rPr>
            </w:pPr>
          </w:p>
        </w:tc>
        <w:tc>
          <w:tcPr>
            <w:tcW w:w="708" w:type="dxa"/>
            <w:vAlign w:val="center"/>
          </w:tcPr>
          <w:p>
            <w:pPr>
              <w:jc w:val="center"/>
              <w:rPr>
                <w:rFonts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Align w:val="center"/>
          </w:tcPr>
          <w:p>
            <w:pPr>
              <w:jc w:val="center"/>
              <w:rPr>
                <w:rFonts w:hAnsi="宋体"/>
                <w:kern w:val="0"/>
                <w:szCs w:val="21"/>
                <w:highlight w:val="none"/>
              </w:rPr>
            </w:pPr>
          </w:p>
        </w:tc>
        <w:tc>
          <w:tcPr>
            <w:tcW w:w="720" w:type="dxa"/>
            <w:vAlign w:val="center"/>
          </w:tcPr>
          <w:p>
            <w:pPr>
              <w:jc w:val="center"/>
              <w:rPr>
                <w:rFonts w:hAnsi="宋体"/>
                <w:kern w:val="0"/>
                <w:szCs w:val="21"/>
                <w:highlight w:val="none"/>
              </w:rPr>
            </w:pPr>
          </w:p>
        </w:tc>
        <w:tc>
          <w:tcPr>
            <w:tcW w:w="876" w:type="dxa"/>
            <w:vAlign w:val="center"/>
          </w:tcPr>
          <w:p>
            <w:pPr>
              <w:jc w:val="center"/>
              <w:rPr>
                <w:rFonts w:hAnsi="宋体"/>
                <w:kern w:val="0"/>
                <w:szCs w:val="21"/>
                <w:highlight w:val="none"/>
              </w:rPr>
            </w:pPr>
          </w:p>
        </w:tc>
        <w:tc>
          <w:tcPr>
            <w:tcW w:w="1356" w:type="dxa"/>
            <w:vAlign w:val="center"/>
          </w:tcPr>
          <w:p>
            <w:pPr>
              <w:jc w:val="center"/>
              <w:rPr>
                <w:rFonts w:hAnsi="宋体"/>
                <w:kern w:val="0"/>
                <w:szCs w:val="21"/>
                <w:highlight w:val="none"/>
              </w:rPr>
            </w:pPr>
          </w:p>
        </w:tc>
        <w:tc>
          <w:tcPr>
            <w:tcW w:w="771" w:type="dxa"/>
            <w:vAlign w:val="center"/>
          </w:tcPr>
          <w:p>
            <w:pPr>
              <w:jc w:val="center"/>
              <w:rPr>
                <w:rFonts w:hAnsi="宋体"/>
                <w:kern w:val="0"/>
                <w:szCs w:val="21"/>
                <w:highlight w:val="none"/>
              </w:rPr>
            </w:pPr>
          </w:p>
        </w:tc>
        <w:tc>
          <w:tcPr>
            <w:tcW w:w="788" w:type="dxa"/>
            <w:vAlign w:val="center"/>
          </w:tcPr>
          <w:p>
            <w:pPr>
              <w:jc w:val="center"/>
              <w:rPr>
                <w:rFonts w:hAnsi="宋体"/>
                <w:kern w:val="0"/>
                <w:szCs w:val="21"/>
                <w:highlight w:val="none"/>
              </w:rPr>
            </w:pPr>
          </w:p>
        </w:tc>
        <w:tc>
          <w:tcPr>
            <w:tcW w:w="850" w:type="dxa"/>
            <w:vAlign w:val="center"/>
          </w:tcPr>
          <w:p>
            <w:pPr>
              <w:jc w:val="center"/>
              <w:rPr>
                <w:rFonts w:hAnsi="宋体"/>
                <w:kern w:val="0"/>
                <w:szCs w:val="21"/>
                <w:highlight w:val="none"/>
              </w:rPr>
            </w:pPr>
          </w:p>
        </w:tc>
        <w:tc>
          <w:tcPr>
            <w:tcW w:w="2127" w:type="dxa"/>
            <w:vAlign w:val="center"/>
          </w:tcPr>
          <w:p>
            <w:pPr>
              <w:jc w:val="center"/>
              <w:rPr>
                <w:rFonts w:hAnsi="宋体"/>
                <w:kern w:val="0"/>
                <w:szCs w:val="21"/>
                <w:highlight w:val="none"/>
              </w:rPr>
            </w:pPr>
          </w:p>
        </w:tc>
        <w:tc>
          <w:tcPr>
            <w:tcW w:w="708" w:type="dxa"/>
            <w:vAlign w:val="center"/>
          </w:tcPr>
          <w:p>
            <w:pPr>
              <w:jc w:val="center"/>
              <w:rPr>
                <w:rFonts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Align w:val="center"/>
          </w:tcPr>
          <w:p>
            <w:pPr>
              <w:jc w:val="center"/>
              <w:rPr>
                <w:rFonts w:hAnsi="宋体"/>
                <w:kern w:val="0"/>
                <w:szCs w:val="21"/>
                <w:highlight w:val="none"/>
              </w:rPr>
            </w:pPr>
          </w:p>
        </w:tc>
        <w:tc>
          <w:tcPr>
            <w:tcW w:w="720" w:type="dxa"/>
            <w:vAlign w:val="center"/>
          </w:tcPr>
          <w:p>
            <w:pPr>
              <w:jc w:val="center"/>
              <w:rPr>
                <w:rFonts w:hAnsi="宋体"/>
                <w:kern w:val="0"/>
                <w:szCs w:val="21"/>
                <w:highlight w:val="none"/>
              </w:rPr>
            </w:pPr>
          </w:p>
        </w:tc>
        <w:tc>
          <w:tcPr>
            <w:tcW w:w="876" w:type="dxa"/>
            <w:vAlign w:val="center"/>
          </w:tcPr>
          <w:p>
            <w:pPr>
              <w:jc w:val="center"/>
              <w:rPr>
                <w:rFonts w:hAnsi="宋体"/>
                <w:kern w:val="0"/>
                <w:szCs w:val="21"/>
                <w:highlight w:val="none"/>
              </w:rPr>
            </w:pPr>
          </w:p>
        </w:tc>
        <w:tc>
          <w:tcPr>
            <w:tcW w:w="1356" w:type="dxa"/>
            <w:vAlign w:val="center"/>
          </w:tcPr>
          <w:p>
            <w:pPr>
              <w:jc w:val="center"/>
              <w:rPr>
                <w:rFonts w:hAnsi="宋体"/>
                <w:kern w:val="0"/>
                <w:szCs w:val="21"/>
                <w:highlight w:val="none"/>
              </w:rPr>
            </w:pPr>
          </w:p>
        </w:tc>
        <w:tc>
          <w:tcPr>
            <w:tcW w:w="771" w:type="dxa"/>
            <w:vAlign w:val="center"/>
          </w:tcPr>
          <w:p>
            <w:pPr>
              <w:jc w:val="center"/>
              <w:rPr>
                <w:rFonts w:hAnsi="宋体"/>
                <w:kern w:val="0"/>
                <w:szCs w:val="21"/>
                <w:highlight w:val="none"/>
              </w:rPr>
            </w:pPr>
          </w:p>
        </w:tc>
        <w:tc>
          <w:tcPr>
            <w:tcW w:w="788" w:type="dxa"/>
            <w:vAlign w:val="center"/>
          </w:tcPr>
          <w:p>
            <w:pPr>
              <w:jc w:val="center"/>
              <w:rPr>
                <w:rFonts w:hAnsi="宋体"/>
                <w:kern w:val="0"/>
                <w:szCs w:val="21"/>
                <w:highlight w:val="none"/>
              </w:rPr>
            </w:pPr>
          </w:p>
        </w:tc>
        <w:tc>
          <w:tcPr>
            <w:tcW w:w="850" w:type="dxa"/>
            <w:vAlign w:val="center"/>
          </w:tcPr>
          <w:p>
            <w:pPr>
              <w:jc w:val="center"/>
              <w:rPr>
                <w:rFonts w:hAnsi="宋体"/>
                <w:kern w:val="0"/>
                <w:szCs w:val="21"/>
                <w:highlight w:val="none"/>
              </w:rPr>
            </w:pPr>
          </w:p>
        </w:tc>
        <w:tc>
          <w:tcPr>
            <w:tcW w:w="2127" w:type="dxa"/>
            <w:vAlign w:val="center"/>
          </w:tcPr>
          <w:p>
            <w:pPr>
              <w:jc w:val="center"/>
              <w:rPr>
                <w:rFonts w:hAnsi="宋体"/>
                <w:kern w:val="0"/>
                <w:szCs w:val="21"/>
                <w:highlight w:val="none"/>
              </w:rPr>
            </w:pPr>
          </w:p>
        </w:tc>
        <w:tc>
          <w:tcPr>
            <w:tcW w:w="708" w:type="dxa"/>
            <w:vAlign w:val="center"/>
          </w:tcPr>
          <w:p>
            <w:pPr>
              <w:jc w:val="center"/>
              <w:rPr>
                <w:rFonts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Align w:val="center"/>
          </w:tcPr>
          <w:p>
            <w:pPr>
              <w:jc w:val="center"/>
              <w:rPr>
                <w:rFonts w:hAnsi="宋体"/>
                <w:kern w:val="0"/>
                <w:szCs w:val="21"/>
                <w:highlight w:val="none"/>
              </w:rPr>
            </w:pPr>
          </w:p>
        </w:tc>
        <w:tc>
          <w:tcPr>
            <w:tcW w:w="720" w:type="dxa"/>
            <w:vAlign w:val="center"/>
          </w:tcPr>
          <w:p>
            <w:pPr>
              <w:jc w:val="center"/>
              <w:rPr>
                <w:rFonts w:hAnsi="宋体"/>
                <w:kern w:val="0"/>
                <w:szCs w:val="21"/>
                <w:highlight w:val="none"/>
              </w:rPr>
            </w:pPr>
          </w:p>
        </w:tc>
        <w:tc>
          <w:tcPr>
            <w:tcW w:w="876" w:type="dxa"/>
            <w:vAlign w:val="center"/>
          </w:tcPr>
          <w:p>
            <w:pPr>
              <w:jc w:val="center"/>
              <w:rPr>
                <w:rFonts w:hAnsi="宋体"/>
                <w:kern w:val="0"/>
                <w:szCs w:val="21"/>
                <w:highlight w:val="none"/>
              </w:rPr>
            </w:pPr>
          </w:p>
        </w:tc>
        <w:tc>
          <w:tcPr>
            <w:tcW w:w="1356" w:type="dxa"/>
            <w:vAlign w:val="center"/>
          </w:tcPr>
          <w:p>
            <w:pPr>
              <w:jc w:val="center"/>
              <w:rPr>
                <w:rFonts w:hAnsi="宋体"/>
                <w:kern w:val="0"/>
                <w:szCs w:val="21"/>
                <w:highlight w:val="none"/>
              </w:rPr>
            </w:pPr>
          </w:p>
        </w:tc>
        <w:tc>
          <w:tcPr>
            <w:tcW w:w="771" w:type="dxa"/>
            <w:vAlign w:val="center"/>
          </w:tcPr>
          <w:p>
            <w:pPr>
              <w:jc w:val="center"/>
              <w:rPr>
                <w:rFonts w:hAnsi="宋体"/>
                <w:kern w:val="0"/>
                <w:szCs w:val="21"/>
                <w:highlight w:val="none"/>
              </w:rPr>
            </w:pPr>
          </w:p>
        </w:tc>
        <w:tc>
          <w:tcPr>
            <w:tcW w:w="788" w:type="dxa"/>
            <w:vAlign w:val="center"/>
          </w:tcPr>
          <w:p>
            <w:pPr>
              <w:jc w:val="center"/>
              <w:rPr>
                <w:rFonts w:hAnsi="宋体"/>
                <w:kern w:val="0"/>
                <w:szCs w:val="21"/>
                <w:highlight w:val="none"/>
              </w:rPr>
            </w:pPr>
          </w:p>
        </w:tc>
        <w:tc>
          <w:tcPr>
            <w:tcW w:w="850" w:type="dxa"/>
            <w:vAlign w:val="center"/>
          </w:tcPr>
          <w:p>
            <w:pPr>
              <w:jc w:val="center"/>
              <w:rPr>
                <w:rFonts w:hAnsi="宋体"/>
                <w:kern w:val="0"/>
                <w:szCs w:val="21"/>
                <w:highlight w:val="none"/>
              </w:rPr>
            </w:pPr>
          </w:p>
        </w:tc>
        <w:tc>
          <w:tcPr>
            <w:tcW w:w="2127" w:type="dxa"/>
            <w:vAlign w:val="center"/>
          </w:tcPr>
          <w:p>
            <w:pPr>
              <w:jc w:val="center"/>
              <w:rPr>
                <w:rFonts w:hAnsi="宋体"/>
                <w:kern w:val="0"/>
                <w:szCs w:val="21"/>
                <w:highlight w:val="none"/>
              </w:rPr>
            </w:pPr>
          </w:p>
        </w:tc>
        <w:tc>
          <w:tcPr>
            <w:tcW w:w="708" w:type="dxa"/>
            <w:vAlign w:val="center"/>
          </w:tcPr>
          <w:p>
            <w:pPr>
              <w:jc w:val="center"/>
              <w:rPr>
                <w:rFonts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Align w:val="center"/>
          </w:tcPr>
          <w:p>
            <w:pPr>
              <w:jc w:val="center"/>
              <w:rPr>
                <w:rFonts w:hAnsi="宋体"/>
                <w:kern w:val="0"/>
                <w:szCs w:val="21"/>
                <w:highlight w:val="none"/>
              </w:rPr>
            </w:pPr>
          </w:p>
        </w:tc>
        <w:tc>
          <w:tcPr>
            <w:tcW w:w="720" w:type="dxa"/>
            <w:vAlign w:val="center"/>
          </w:tcPr>
          <w:p>
            <w:pPr>
              <w:jc w:val="center"/>
              <w:rPr>
                <w:rFonts w:hAnsi="宋体"/>
                <w:kern w:val="0"/>
                <w:szCs w:val="21"/>
                <w:highlight w:val="none"/>
              </w:rPr>
            </w:pPr>
          </w:p>
        </w:tc>
        <w:tc>
          <w:tcPr>
            <w:tcW w:w="876" w:type="dxa"/>
            <w:vAlign w:val="center"/>
          </w:tcPr>
          <w:p>
            <w:pPr>
              <w:jc w:val="center"/>
              <w:rPr>
                <w:rFonts w:hAnsi="宋体"/>
                <w:kern w:val="0"/>
                <w:szCs w:val="21"/>
                <w:highlight w:val="none"/>
              </w:rPr>
            </w:pPr>
          </w:p>
        </w:tc>
        <w:tc>
          <w:tcPr>
            <w:tcW w:w="1356" w:type="dxa"/>
            <w:vAlign w:val="center"/>
          </w:tcPr>
          <w:p>
            <w:pPr>
              <w:jc w:val="center"/>
              <w:rPr>
                <w:rFonts w:hAnsi="宋体"/>
                <w:kern w:val="0"/>
                <w:szCs w:val="21"/>
                <w:highlight w:val="none"/>
              </w:rPr>
            </w:pPr>
          </w:p>
        </w:tc>
        <w:tc>
          <w:tcPr>
            <w:tcW w:w="771" w:type="dxa"/>
            <w:vAlign w:val="center"/>
          </w:tcPr>
          <w:p>
            <w:pPr>
              <w:jc w:val="center"/>
              <w:rPr>
                <w:rFonts w:hAnsi="宋体"/>
                <w:kern w:val="0"/>
                <w:szCs w:val="21"/>
                <w:highlight w:val="none"/>
              </w:rPr>
            </w:pPr>
          </w:p>
        </w:tc>
        <w:tc>
          <w:tcPr>
            <w:tcW w:w="788" w:type="dxa"/>
            <w:vAlign w:val="center"/>
          </w:tcPr>
          <w:p>
            <w:pPr>
              <w:jc w:val="center"/>
              <w:rPr>
                <w:rFonts w:hAnsi="宋体"/>
                <w:kern w:val="0"/>
                <w:szCs w:val="21"/>
                <w:highlight w:val="none"/>
              </w:rPr>
            </w:pPr>
          </w:p>
        </w:tc>
        <w:tc>
          <w:tcPr>
            <w:tcW w:w="850" w:type="dxa"/>
            <w:vAlign w:val="center"/>
          </w:tcPr>
          <w:p>
            <w:pPr>
              <w:jc w:val="center"/>
              <w:rPr>
                <w:rFonts w:hAnsi="宋体"/>
                <w:kern w:val="0"/>
                <w:szCs w:val="21"/>
                <w:highlight w:val="none"/>
              </w:rPr>
            </w:pPr>
          </w:p>
        </w:tc>
        <w:tc>
          <w:tcPr>
            <w:tcW w:w="2127" w:type="dxa"/>
            <w:vAlign w:val="center"/>
          </w:tcPr>
          <w:p>
            <w:pPr>
              <w:jc w:val="center"/>
              <w:rPr>
                <w:rFonts w:hAnsi="宋体"/>
                <w:kern w:val="0"/>
                <w:szCs w:val="21"/>
                <w:highlight w:val="none"/>
              </w:rPr>
            </w:pPr>
          </w:p>
        </w:tc>
        <w:tc>
          <w:tcPr>
            <w:tcW w:w="708" w:type="dxa"/>
            <w:vAlign w:val="center"/>
          </w:tcPr>
          <w:p>
            <w:pPr>
              <w:jc w:val="center"/>
              <w:rPr>
                <w:rFonts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Align w:val="center"/>
          </w:tcPr>
          <w:p>
            <w:pPr>
              <w:jc w:val="center"/>
              <w:rPr>
                <w:rFonts w:hAnsi="宋体"/>
                <w:kern w:val="0"/>
                <w:szCs w:val="21"/>
                <w:highlight w:val="none"/>
              </w:rPr>
            </w:pPr>
          </w:p>
        </w:tc>
        <w:tc>
          <w:tcPr>
            <w:tcW w:w="720" w:type="dxa"/>
            <w:vAlign w:val="center"/>
          </w:tcPr>
          <w:p>
            <w:pPr>
              <w:jc w:val="center"/>
              <w:rPr>
                <w:rFonts w:hAnsi="宋体"/>
                <w:kern w:val="0"/>
                <w:szCs w:val="21"/>
                <w:highlight w:val="none"/>
              </w:rPr>
            </w:pPr>
          </w:p>
        </w:tc>
        <w:tc>
          <w:tcPr>
            <w:tcW w:w="876" w:type="dxa"/>
            <w:vAlign w:val="center"/>
          </w:tcPr>
          <w:p>
            <w:pPr>
              <w:jc w:val="center"/>
              <w:rPr>
                <w:rFonts w:hAnsi="宋体"/>
                <w:kern w:val="0"/>
                <w:szCs w:val="21"/>
                <w:highlight w:val="none"/>
              </w:rPr>
            </w:pPr>
          </w:p>
        </w:tc>
        <w:tc>
          <w:tcPr>
            <w:tcW w:w="1356" w:type="dxa"/>
            <w:vAlign w:val="center"/>
          </w:tcPr>
          <w:p>
            <w:pPr>
              <w:jc w:val="center"/>
              <w:rPr>
                <w:rFonts w:hAnsi="宋体"/>
                <w:kern w:val="0"/>
                <w:szCs w:val="21"/>
                <w:highlight w:val="none"/>
              </w:rPr>
            </w:pPr>
          </w:p>
        </w:tc>
        <w:tc>
          <w:tcPr>
            <w:tcW w:w="771" w:type="dxa"/>
            <w:vAlign w:val="center"/>
          </w:tcPr>
          <w:p>
            <w:pPr>
              <w:jc w:val="center"/>
              <w:rPr>
                <w:rFonts w:hAnsi="宋体"/>
                <w:kern w:val="0"/>
                <w:szCs w:val="21"/>
                <w:highlight w:val="none"/>
              </w:rPr>
            </w:pPr>
          </w:p>
        </w:tc>
        <w:tc>
          <w:tcPr>
            <w:tcW w:w="788" w:type="dxa"/>
            <w:vAlign w:val="center"/>
          </w:tcPr>
          <w:p>
            <w:pPr>
              <w:jc w:val="center"/>
              <w:rPr>
                <w:rFonts w:hAnsi="宋体"/>
                <w:kern w:val="0"/>
                <w:szCs w:val="21"/>
                <w:highlight w:val="none"/>
              </w:rPr>
            </w:pPr>
          </w:p>
        </w:tc>
        <w:tc>
          <w:tcPr>
            <w:tcW w:w="850" w:type="dxa"/>
            <w:vAlign w:val="center"/>
          </w:tcPr>
          <w:p>
            <w:pPr>
              <w:jc w:val="center"/>
              <w:rPr>
                <w:rFonts w:hAnsi="宋体"/>
                <w:kern w:val="0"/>
                <w:szCs w:val="21"/>
                <w:highlight w:val="none"/>
              </w:rPr>
            </w:pPr>
          </w:p>
        </w:tc>
        <w:tc>
          <w:tcPr>
            <w:tcW w:w="2127" w:type="dxa"/>
            <w:vAlign w:val="center"/>
          </w:tcPr>
          <w:p>
            <w:pPr>
              <w:jc w:val="center"/>
              <w:rPr>
                <w:rFonts w:hAnsi="宋体"/>
                <w:kern w:val="0"/>
                <w:szCs w:val="21"/>
                <w:highlight w:val="none"/>
              </w:rPr>
            </w:pPr>
          </w:p>
        </w:tc>
        <w:tc>
          <w:tcPr>
            <w:tcW w:w="708" w:type="dxa"/>
            <w:vAlign w:val="center"/>
          </w:tcPr>
          <w:p>
            <w:pPr>
              <w:jc w:val="center"/>
              <w:rPr>
                <w:rFonts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Align w:val="center"/>
          </w:tcPr>
          <w:p>
            <w:pPr>
              <w:jc w:val="center"/>
              <w:rPr>
                <w:rFonts w:hAnsi="宋体"/>
                <w:kern w:val="0"/>
                <w:szCs w:val="21"/>
                <w:highlight w:val="none"/>
              </w:rPr>
            </w:pPr>
          </w:p>
        </w:tc>
        <w:tc>
          <w:tcPr>
            <w:tcW w:w="720" w:type="dxa"/>
            <w:vAlign w:val="center"/>
          </w:tcPr>
          <w:p>
            <w:pPr>
              <w:jc w:val="center"/>
              <w:rPr>
                <w:rFonts w:hAnsi="宋体"/>
                <w:kern w:val="0"/>
                <w:szCs w:val="21"/>
                <w:highlight w:val="none"/>
              </w:rPr>
            </w:pPr>
          </w:p>
        </w:tc>
        <w:tc>
          <w:tcPr>
            <w:tcW w:w="876" w:type="dxa"/>
            <w:vAlign w:val="center"/>
          </w:tcPr>
          <w:p>
            <w:pPr>
              <w:jc w:val="center"/>
              <w:rPr>
                <w:rFonts w:hAnsi="宋体"/>
                <w:kern w:val="0"/>
                <w:szCs w:val="21"/>
                <w:highlight w:val="none"/>
              </w:rPr>
            </w:pPr>
          </w:p>
        </w:tc>
        <w:tc>
          <w:tcPr>
            <w:tcW w:w="1356" w:type="dxa"/>
            <w:vAlign w:val="center"/>
          </w:tcPr>
          <w:p>
            <w:pPr>
              <w:jc w:val="center"/>
              <w:rPr>
                <w:rFonts w:hAnsi="宋体"/>
                <w:kern w:val="0"/>
                <w:szCs w:val="21"/>
                <w:highlight w:val="none"/>
              </w:rPr>
            </w:pPr>
          </w:p>
        </w:tc>
        <w:tc>
          <w:tcPr>
            <w:tcW w:w="771" w:type="dxa"/>
            <w:vAlign w:val="center"/>
          </w:tcPr>
          <w:p>
            <w:pPr>
              <w:jc w:val="center"/>
              <w:rPr>
                <w:rFonts w:hAnsi="宋体"/>
                <w:kern w:val="0"/>
                <w:szCs w:val="21"/>
                <w:highlight w:val="none"/>
              </w:rPr>
            </w:pPr>
          </w:p>
        </w:tc>
        <w:tc>
          <w:tcPr>
            <w:tcW w:w="788" w:type="dxa"/>
            <w:vAlign w:val="center"/>
          </w:tcPr>
          <w:p>
            <w:pPr>
              <w:jc w:val="center"/>
              <w:rPr>
                <w:rFonts w:hAnsi="宋体"/>
                <w:kern w:val="0"/>
                <w:szCs w:val="21"/>
                <w:highlight w:val="none"/>
              </w:rPr>
            </w:pPr>
          </w:p>
        </w:tc>
        <w:tc>
          <w:tcPr>
            <w:tcW w:w="850" w:type="dxa"/>
            <w:vAlign w:val="center"/>
          </w:tcPr>
          <w:p>
            <w:pPr>
              <w:jc w:val="center"/>
              <w:rPr>
                <w:rFonts w:hAnsi="宋体"/>
                <w:kern w:val="0"/>
                <w:szCs w:val="21"/>
                <w:highlight w:val="none"/>
              </w:rPr>
            </w:pPr>
          </w:p>
        </w:tc>
        <w:tc>
          <w:tcPr>
            <w:tcW w:w="2127" w:type="dxa"/>
            <w:vAlign w:val="center"/>
          </w:tcPr>
          <w:p>
            <w:pPr>
              <w:jc w:val="center"/>
              <w:rPr>
                <w:rFonts w:hAnsi="宋体"/>
                <w:kern w:val="0"/>
                <w:szCs w:val="21"/>
                <w:highlight w:val="none"/>
              </w:rPr>
            </w:pPr>
          </w:p>
        </w:tc>
        <w:tc>
          <w:tcPr>
            <w:tcW w:w="708" w:type="dxa"/>
            <w:vAlign w:val="center"/>
          </w:tcPr>
          <w:p>
            <w:pPr>
              <w:jc w:val="center"/>
              <w:rPr>
                <w:rFonts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Align w:val="center"/>
          </w:tcPr>
          <w:p>
            <w:pPr>
              <w:jc w:val="center"/>
              <w:rPr>
                <w:rFonts w:hAnsi="宋体"/>
                <w:kern w:val="0"/>
                <w:szCs w:val="21"/>
                <w:highlight w:val="none"/>
              </w:rPr>
            </w:pPr>
          </w:p>
        </w:tc>
        <w:tc>
          <w:tcPr>
            <w:tcW w:w="720" w:type="dxa"/>
            <w:vAlign w:val="center"/>
          </w:tcPr>
          <w:p>
            <w:pPr>
              <w:jc w:val="center"/>
              <w:rPr>
                <w:rFonts w:hAnsi="宋体"/>
                <w:kern w:val="0"/>
                <w:szCs w:val="21"/>
                <w:highlight w:val="none"/>
              </w:rPr>
            </w:pPr>
          </w:p>
        </w:tc>
        <w:tc>
          <w:tcPr>
            <w:tcW w:w="876" w:type="dxa"/>
            <w:vAlign w:val="center"/>
          </w:tcPr>
          <w:p>
            <w:pPr>
              <w:jc w:val="center"/>
              <w:rPr>
                <w:rFonts w:hAnsi="宋体"/>
                <w:kern w:val="0"/>
                <w:szCs w:val="21"/>
                <w:highlight w:val="none"/>
              </w:rPr>
            </w:pPr>
          </w:p>
        </w:tc>
        <w:tc>
          <w:tcPr>
            <w:tcW w:w="1356" w:type="dxa"/>
            <w:vAlign w:val="center"/>
          </w:tcPr>
          <w:p>
            <w:pPr>
              <w:jc w:val="center"/>
              <w:rPr>
                <w:rFonts w:hAnsi="宋体"/>
                <w:kern w:val="0"/>
                <w:szCs w:val="21"/>
                <w:highlight w:val="none"/>
              </w:rPr>
            </w:pPr>
          </w:p>
        </w:tc>
        <w:tc>
          <w:tcPr>
            <w:tcW w:w="771" w:type="dxa"/>
            <w:vAlign w:val="center"/>
          </w:tcPr>
          <w:p>
            <w:pPr>
              <w:jc w:val="center"/>
              <w:rPr>
                <w:rFonts w:hAnsi="宋体"/>
                <w:kern w:val="0"/>
                <w:szCs w:val="21"/>
                <w:highlight w:val="none"/>
              </w:rPr>
            </w:pPr>
          </w:p>
        </w:tc>
        <w:tc>
          <w:tcPr>
            <w:tcW w:w="788" w:type="dxa"/>
            <w:vAlign w:val="center"/>
          </w:tcPr>
          <w:p>
            <w:pPr>
              <w:jc w:val="center"/>
              <w:rPr>
                <w:rFonts w:hAnsi="宋体"/>
                <w:kern w:val="0"/>
                <w:szCs w:val="21"/>
                <w:highlight w:val="none"/>
              </w:rPr>
            </w:pPr>
          </w:p>
        </w:tc>
        <w:tc>
          <w:tcPr>
            <w:tcW w:w="850" w:type="dxa"/>
            <w:vAlign w:val="center"/>
          </w:tcPr>
          <w:p>
            <w:pPr>
              <w:jc w:val="center"/>
              <w:rPr>
                <w:rFonts w:hAnsi="宋体"/>
                <w:kern w:val="0"/>
                <w:szCs w:val="21"/>
                <w:highlight w:val="none"/>
              </w:rPr>
            </w:pPr>
          </w:p>
        </w:tc>
        <w:tc>
          <w:tcPr>
            <w:tcW w:w="2127" w:type="dxa"/>
            <w:vAlign w:val="center"/>
          </w:tcPr>
          <w:p>
            <w:pPr>
              <w:jc w:val="center"/>
              <w:rPr>
                <w:rFonts w:hAnsi="宋体"/>
                <w:kern w:val="0"/>
                <w:szCs w:val="21"/>
                <w:highlight w:val="none"/>
              </w:rPr>
            </w:pPr>
          </w:p>
        </w:tc>
        <w:tc>
          <w:tcPr>
            <w:tcW w:w="708" w:type="dxa"/>
            <w:vAlign w:val="center"/>
          </w:tcPr>
          <w:p>
            <w:pPr>
              <w:jc w:val="center"/>
              <w:rPr>
                <w:rFonts w:hAnsi="宋体"/>
                <w:kern w:val="0"/>
                <w:szCs w:val="21"/>
                <w:highlight w:val="none"/>
              </w:rPr>
            </w:pPr>
          </w:p>
        </w:tc>
      </w:tr>
    </w:tbl>
    <w:p>
      <w:pPr>
        <w:spacing w:line="360" w:lineRule="auto"/>
        <w:ind w:firstLine="210" w:firstLineChars="100"/>
        <w:rPr>
          <w:rFonts w:ascii="宋体" w:hAnsi="宋体"/>
          <w:bCs/>
          <w:kern w:val="0"/>
          <w:szCs w:val="21"/>
          <w:highlight w:val="none"/>
        </w:rPr>
      </w:pPr>
    </w:p>
    <w:p>
      <w:pPr>
        <w:spacing w:before="120" w:beforeLines="50" w:after="240" w:afterLines="100" w:line="440" w:lineRule="exact"/>
        <w:rPr>
          <w:rFonts w:ascii="宋体" w:hAnsi="宋体"/>
          <w:b/>
          <w:szCs w:val="21"/>
          <w:highlight w:val="none"/>
        </w:rPr>
      </w:pPr>
      <w:r>
        <w:rPr>
          <w:rFonts w:ascii="宋体" w:hAnsi="宋体"/>
          <w:bCs/>
          <w:kern w:val="0"/>
          <w:szCs w:val="21"/>
          <w:highlight w:val="none"/>
        </w:rPr>
        <w:br w:type="page"/>
      </w:r>
      <w:r>
        <w:rPr>
          <w:rFonts w:hint="eastAsia" w:ascii="宋体" w:hAnsi="宋体"/>
          <w:b/>
          <w:kern w:val="0"/>
          <w:szCs w:val="21"/>
          <w:highlight w:val="none"/>
        </w:rPr>
        <w:t>（二）</w:t>
      </w:r>
      <w:r>
        <w:rPr>
          <w:rFonts w:hint="eastAsia" w:ascii="宋体" w:hAnsi="宋体"/>
          <w:b/>
          <w:szCs w:val="21"/>
          <w:highlight w:val="none"/>
        </w:rPr>
        <w:t>主要人员简历表</w:t>
      </w:r>
    </w:p>
    <w:p>
      <w:pPr>
        <w:spacing w:before="120" w:beforeLines="50" w:after="240" w:afterLines="100" w:line="440" w:lineRule="exact"/>
        <w:rPr>
          <w:rFonts w:ascii="宋体" w:hAnsi="宋体"/>
          <w:b/>
          <w:kern w:val="0"/>
          <w:sz w:val="28"/>
          <w:szCs w:val="28"/>
          <w:highlight w:val="none"/>
        </w:rPr>
      </w:pPr>
      <w:r>
        <w:rPr>
          <w:rFonts w:hint="eastAsia" w:ascii="宋体" w:hAnsi="宋体"/>
          <w:b/>
          <w:szCs w:val="21"/>
          <w:highlight w:val="none"/>
        </w:rPr>
        <w:t>附1：项目经理简历表</w:t>
      </w:r>
    </w:p>
    <w:p>
      <w:pPr>
        <w:spacing w:before="120" w:beforeLines="50" w:after="240" w:afterLines="100" w:line="440" w:lineRule="exact"/>
        <w:ind w:firstLine="525" w:firstLineChars="250"/>
        <w:rPr>
          <w:rFonts w:ascii="宋体" w:hAnsi="宋体"/>
          <w:kern w:val="0"/>
          <w:szCs w:val="21"/>
          <w:highlight w:val="none"/>
        </w:rPr>
      </w:pPr>
      <w:r>
        <w:rPr>
          <w:rFonts w:hint="eastAsia" w:ascii="宋体" w:hAnsi="宋体"/>
          <w:szCs w:val="21"/>
          <w:highlight w:val="none"/>
        </w:rPr>
        <w:t>项目经理附注册证书、安全考核合格证等。</w:t>
      </w:r>
    </w:p>
    <w:tbl>
      <w:tblPr>
        <w:tblStyle w:val="45"/>
        <w:tblW w:w="8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1035"/>
        <w:gridCol w:w="1134"/>
        <w:gridCol w:w="1275"/>
        <w:gridCol w:w="1843"/>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vAlign w:val="center"/>
          </w:tcPr>
          <w:p>
            <w:pPr>
              <w:spacing w:line="360" w:lineRule="exact"/>
              <w:jc w:val="center"/>
              <w:rPr>
                <w:rFonts w:ascii="宋体" w:hAnsi="宋体"/>
                <w:szCs w:val="21"/>
                <w:highlight w:val="none"/>
              </w:rPr>
            </w:pPr>
            <w:r>
              <w:rPr>
                <w:rFonts w:ascii="宋体" w:hAnsi="宋体"/>
                <w:szCs w:val="21"/>
                <w:highlight w:val="none"/>
              </w:rPr>
              <w:t>姓名</w:t>
            </w:r>
          </w:p>
        </w:tc>
        <w:tc>
          <w:tcPr>
            <w:tcW w:w="1035" w:type="dxa"/>
            <w:vAlign w:val="center"/>
          </w:tcPr>
          <w:p>
            <w:pPr>
              <w:spacing w:line="360" w:lineRule="exact"/>
              <w:ind w:firstLine="843"/>
              <w:jc w:val="center"/>
              <w:rPr>
                <w:rFonts w:ascii="宋体" w:hAnsi="宋体"/>
                <w:szCs w:val="21"/>
                <w:highlight w:val="none"/>
              </w:rPr>
            </w:pPr>
          </w:p>
        </w:tc>
        <w:tc>
          <w:tcPr>
            <w:tcW w:w="1134" w:type="dxa"/>
            <w:vAlign w:val="center"/>
          </w:tcPr>
          <w:p>
            <w:pPr>
              <w:spacing w:line="360" w:lineRule="exact"/>
              <w:ind w:hanging="18"/>
              <w:jc w:val="center"/>
              <w:rPr>
                <w:rFonts w:ascii="宋体" w:hAnsi="宋体"/>
                <w:szCs w:val="21"/>
                <w:highlight w:val="none"/>
              </w:rPr>
            </w:pPr>
            <w:r>
              <w:rPr>
                <w:rFonts w:ascii="宋体" w:hAnsi="宋体"/>
                <w:szCs w:val="21"/>
                <w:highlight w:val="none"/>
              </w:rPr>
              <w:t>年龄</w:t>
            </w:r>
          </w:p>
        </w:tc>
        <w:tc>
          <w:tcPr>
            <w:tcW w:w="1275" w:type="dxa"/>
            <w:vAlign w:val="center"/>
          </w:tcPr>
          <w:p>
            <w:pPr>
              <w:spacing w:line="360" w:lineRule="exact"/>
              <w:ind w:firstLine="843"/>
              <w:jc w:val="center"/>
              <w:rPr>
                <w:rFonts w:ascii="宋体" w:hAnsi="宋体"/>
                <w:szCs w:val="21"/>
                <w:highlight w:val="none"/>
              </w:rPr>
            </w:pPr>
          </w:p>
        </w:tc>
        <w:tc>
          <w:tcPr>
            <w:tcW w:w="1843" w:type="dxa"/>
            <w:vAlign w:val="center"/>
          </w:tcPr>
          <w:p>
            <w:pPr>
              <w:spacing w:line="360" w:lineRule="exact"/>
              <w:ind w:hanging="42"/>
              <w:jc w:val="center"/>
              <w:rPr>
                <w:rFonts w:ascii="宋体" w:hAnsi="宋体"/>
                <w:szCs w:val="21"/>
                <w:highlight w:val="none"/>
              </w:rPr>
            </w:pPr>
            <w:r>
              <w:rPr>
                <w:rFonts w:ascii="宋体" w:hAnsi="宋体"/>
                <w:szCs w:val="21"/>
                <w:highlight w:val="none"/>
              </w:rPr>
              <w:t>学历</w:t>
            </w:r>
          </w:p>
        </w:tc>
        <w:tc>
          <w:tcPr>
            <w:tcW w:w="2126" w:type="dxa"/>
            <w:vAlign w:val="center"/>
          </w:tcPr>
          <w:p>
            <w:pPr>
              <w:spacing w:line="360" w:lineRule="exact"/>
              <w:ind w:firstLine="843"/>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vAlign w:val="center"/>
          </w:tcPr>
          <w:p>
            <w:pPr>
              <w:spacing w:line="360" w:lineRule="exact"/>
              <w:jc w:val="center"/>
              <w:rPr>
                <w:rFonts w:ascii="宋体" w:hAnsi="宋体"/>
                <w:szCs w:val="21"/>
                <w:highlight w:val="none"/>
              </w:rPr>
            </w:pPr>
            <w:r>
              <w:rPr>
                <w:rFonts w:ascii="宋体" w:hAnsi="宋体"/>
                <w:szCs w:val="21"/>
                <w:highlight w:val="none"/>
              </w:rPr>
              <w:t>职称</w:t>
            </w:r>
          </w:p>
        </w:tc>
        <w:tc>
          <w:tcPr>
            <w:tcW w:w="1035" w:type="dxa"/>
            <w:vAlign w:val="center"/>
          </w:tcPr>
          <w:p>
            <w:pPr>
              <w:spacing w:line="360" w:lineRule="exact"/>
              <w:ind w:firstLine="843"/>
              <w:jc w:val="center"/>
              <w:rPr>
                <w:rFonts w:ascii="宋体" w:hAnsi="宋体"/>
                <w:szCs w:val="21"/>
                <w:highlight w:val="none"/>
              </w:rPr>
            </w:pPr>
          </w:p>
        </w:tc>
        <w:tc>
          <w:tcPr>
            <w:tcW w:w="1134" w:type="dxa"/>
            <w:vAlign w:val="center"/>
          </w:tcPr>
          <w:p>
            <w:pPr>
              <w:spacing w:line="360" w:lineRule="exact"/>
              <w:ind w:hanging="18"/>
              <w:jc w:val="center"/>
              <w:rPr>
                <w:rFonts w:ascii="宋体" w:hAnsi="宋体"/>
                <w:szCs w:val="21"/>
                <w:highlight w:val="none"/>
              </w:rPr>
            </w:pPr>
            <w:r>
              <w:rPr>
                <w:rFonts w:ascii="宋体" w:hAnsi="宋体"/>
                <w:szCs w:val="21"/>
                <w:highlight w:val="none"/>
              </w:rPr>
              <w:t>职务</w:t>
            </w:r>
          </w:p>
        </w:tc>
        <w:tc>
          <w:tcPr>
            <w:tcW w:w="1275" w:type="dxa"/>
            <w:vAlign w:val="center"/>
          </w:tcPr>
          <w:p>
            <w:pPr>
              <w:spacing w:line="360" w:lineRule="exact"/>
              <w:ind w:firstLine="843"/>
              <w:jc w:val="center"/>
              <w:rPr>
                <w:rFonts w:ascii="宋体" w:hAnsi="宋体"/>
                <w:szCs w:val="21"/>
                <w:highlight w:val="none"/>
              </w:rPr>
            </w:pPr>
          </w:p>
        </w:tc>
        <w:tc>
          <w:tcPr>
            <w:tcW w:w="1843" w:type="dxa"/>
            <w:vAlign w:val="center"/>
          </w:tcPr>
          <w:p>
            <w:pPr>
              <w:spacing w:line="360" w:lineRule="exact"/>
              <w:jc w:val="center"/>
              <w:rPr>
                <w:rFonts w:ascii="宋体" w:hAnsi="宋体"/>
                <w:szCs w:val="21"/>
                <w:highlight w:val="none"/>
              </w:rPr>
            </w:pPr>
            <w:r>
              <w:rPr>
                <w:rFonts w:ascii="宋体" w:hAnsi="宋体"/>
                <w:szCs w:val="21"/>
                <w:highlight w:val="none"/>
              </w:rPr>
              <w:t>拟在</w:t>
            </w:r>
            <w:r>
              <w:rPr>
                <w:rFonts w:hint="eastAsia" w:ascii="宋体" w:hAnsi="宋体"/>
                <w:szCs w:val="21"/>
                <w:highlight w:val="none"/>
              </w:rPr>
              <w:t>项目</w:t>
            </w:r>
            <w:r>
              <w:rPr>
                <w:rFonts w:ascii="宋体" w:hAnsi="宋体"/>
                <w:szCs w:val="21"/>
                <w:highlight w:val="none"/>
              </w:rPr>
              <w:t>任职</w:t>
            </w:r>
          </w:p>
        </w:tc>
        <w:tc>
          <w:tcPr>
            <w:tcW w:w="2126" w:type="dxa"/>
            <w:vAlign w:val="center"/>
          </w:tcPr>
          <w:p>
            <w:pPr>
              <w:spacing w:line="360" w:lineRule="exact"/>
              <w:ind w:hanging="18"/>
              <w:jc w:val="center"/>
              <w:rPr>
                <w:rFonts w:ascii="宋体" w:hAnsi="宋体"/>
                <w:szCs w:val="21"/>
                <w:highlight w:val="none"/>
              </w:rPr>
            </w:pPr>
            <w:r>
              <w:rPr>
                <w:rFonts w:hint="eastAsia" w:ascii="宋体" w:hAnsi="宋体"/>
                <w:szCs w:val="21"/>
                <w:highlight w:val="none"/>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vAlign w:val="center"/>
          </w:tcPr>
          <w:p>
            <w:pPr>
              <w:spacing w:line="360" w:lineRule="exact"/>
              <w:ind w:firstLine="58"/>
              <w:jc w:val="center"/>
              <w:rPr>
                <w:rFonts w:ascii="宋体" w:hAnsi="宋体"/>
                <w:szCs w:val="21"/>
                <w:highlight w:val="none"/>
              </w:rPr>
            </w:pPr>
            <w:r>
              <w:rPr>
                <w:rFonts w:ascii="宋体" w:hAnsi="宋体"/>
                <w:szCs w:val="21"/>
                <w:highlight w:val="none"/>
              </w:rPr>
              <w:t>毕业学校</w:t>
            </w:r>
          </w:p>
        </w:tc>
        <w:tc>
          <w:tcPr>
            <w:tcW w:w="7413" w:type="dxa"/>
            <w:gridSpan w:val="5"/>
            <w:vAlign w:val="center"/>
          </w:tcPr>
          <w:p>
            <w:pPr>
              <w:spacing w:line="360" w:lineRule="exact"/>
              <w:ind w:firstLine="840" w:firstLineChars="400"/>
              <w:rPr>
                <w:rFonts w:ascii="宋体" w:hAnsi="宋体"/>
                <w:szCs w:val="21"/>
                <w:highlight w:val="none"/>
              </w:rPr>
            </w:pPr>
            <w:r>
              <w:rPr>
                <w:rFonts w:ascii="宋体" w:hAnsi="宋体"/>
                <w:szCs w:val="21"/>
                <w:highlight w:val="non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82" w:type="dxa"/>
            <w:gridSpan w:val="6"/>
            <w:vAlign w:val="center"/>
          </w:tcPr>
          <w:p>
            <w:pPr>
              <w:spacing w:line="360" w:lineRule="exact"/>
              <w:jc w:val="center"/>
              <w:rPr>
                <w:rFonts w:ascii="宋体" w:hAnsi="宋体"/>
                <w:szCs w:val="21"/>
                <w:highlight w:val="none"/>
              </w:rPr>
            </w:pPr>
            <w:r>
              <w:rPr>
                <w:rFonts w:ascii="宋体" w:hAnsi="宋体"/>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vAlign w:val="center"/>
          </w:tcPr>
          <w:p>
            <w:pPr>
              <w:spacing w:line="360" w:lineRule="exact"/>
              <w:jc w:val="center"/>
              <w:rPr>
                <w:rFonts w:ascii="宋体" w:hAnsi="宋体"/>
                <w:szCs w:val="21"/>
                <w:highlight w:val="none"/>
              </w:rPr>
            </w:pPr>
            <w:r>
              <w:rPr>
                <w:rFonts w:ascii="宋体" w:hAnsi="宋体"/>
                <w:szCs w:val="21"/>
                <w:highlight w:val="none"/>
              </w:rPr>
              <w:t>时间</w:t>
            </w:r>
          </w:p>
        </w:tc>
        <w:tc>
          <w:tcPr>
            <w:tcW w:w="3444" w:type="dxa"/>
            <w:gridSpan w:val="3"/>
            <w:vAlign w:val="center"/>
          </w:tcPr>
          <w:p>
            <w:pPr>
              <w:spacing w:line="360" w:lineRule="exact"/>
              <w:jc w:val="center"/>
              <w:rPr>
                <w:rFonts w:ascii="宋体" w:hAnsi="宋体"/>
                <w:szCs w:val="21"/>
                <w:highlight w:val="none"/>
              </w:rPr>
            </w:pPr>
            <w:r>
              <w:rPr>
                <w:rFonts w:ascii="宋体" w:hAnsi="宋体"/>
                <w:szCs w:val="21"/>
                <w:highlight w:val="none"/>
              </w:rPr>
              <w:t>参加过的类似项目名称</w:t>
            </w:r>
          </w:p>
        </w:tc>
        <w:tc>
          <w:tcPr>
            <w:tcW w:w="1843" w:type="dxa"/>
            <w:vAlign w:val="center"/>
          </w:tcPr>
          <w:p>
            <w:pPr>
              <w:spacing w:line="360" w:lineRule="exact"/>
              <w:ind w:firstLine="25"/>
              <w:jc w:val="center"/>
              <w:rPr>
                <w:rFonts w:ascii="宋体" w:hAnsi="宋体"/>
                <w:szCs w:val="21"/>
                <w:highlight w:val="none"/>
              </w:rPr>
            </w:pPr>
            <w:r>
              <w:rPr>
                <w:rFonts w:hint="eastAsia" w:ascii="宋体" w:hAnsi="宋体"/>
                <w:szCs w:val="21"/>
                <w:highlight w:val="none"/>
              </w:rPr>
              <w:t>项目</w:t>
            </w:r>
            <w:r>
              <w:rPr>
                <w:rFonts w:ascii="宋体" w:hAnsi="宋体"/>
                <w:szCs w:val="21"/>
                <w:highlight w:val="none"/>
              </w:rPr>
              <w:t>概况说明</w:t>
            </w:r>
          </w:p>
        </w:tc>
        <w:tc>
          <w:tcPr>
            <w:tcW w:w="2126" w:type="dxa"/>
            <w:vAlign w:val="center"/>
          </w:tcPr>
          <w:p>
            <w:pPr>
              <w:spacing w:line="360" w:lineRule="exact"/>
              <w:ind w:hanging="18"/>
              <w:jc w:val="center"/>
              <w:rPr>
                <w:rFonts w:ascii="宋体" w:hAnsi="宋体"/>
                <w:szCs w:val="21"/>
                <w:highlight w:val="none"/>
              </w:rPr>
            </w:pPr>
            <w:r>
              <w:rPr>
                <w:rFonts w:ascii="宋体" w:hAnsi="宋体"/>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69" w:type="dxa"/>
            <w:vAlign w:val="center"/>
          </w:tcPr>
          <w:p>
            <w:pPr>
              <w:spacing w:line="360" w:lineRule="exact"/>
              <w:ind w:firstLine="843"/>
              <w:jc w:val="center"/>
              <w:rPr>
                <w:rFonts w:ascii="宋体" w:hAnsi="宋体"/>
                <w:szCs w:val="21"/>
                <w:highlight w:val="none"/>
              </w:rPr>
            </w:pPr>
          </w:p>
        </w:tc>
        <w:tc>
          <w:tcPr>
            <w:tcW w:w="3444" w:type="dxa"/>
            <w:gridSpan w:val="3"/>
            <w:vAlign w:val="center"/>
          </w:tcPr>
          <w:p>
            <w:pPr>
              <w:spacing w:line="360" w:lineRule="exact"/>
              <w:ind w:firstLine="843"/>
              <w:jc w:val="center"/>
              <w:rPr>
                <w:rFonts w:ascii="宋体" w:hAnsi="宋体"/>
                <w:szCs w:val="21"/>
                <w:highlight w:val="none"/>
              </w:rPr>
            </w:pPr>
          </w:p>
        </w:tc>
        <w:tc>
          <w:tcPr>
            <w:tcW w:w="1843" w:type="dxa"/>
            <w:vAlign w:val="center"/>
          </w:tcPr>
          <w:p>
            <w:pPr>
              <w:spacing w:line="360" w:lineRule="exact"/>
              <w:ind w:firstLine="843"/>
              <w:jc w:val="center"/>
              <w:rPr>
                <w:rFonts w:ascii="宋体" w:hAnsi="宋体"/>
                <w:szCs w:val="21"/>
                <w:highlight w:val="none"/>
              </w:rPr>
            </w:pPr>
          </w:p>
        </w:tc>
        <w:tc>
          <w:tcPr>
            <w:tcW w:w="2126" w:type="dxa"/>
            <w:vAlign w:val="center"/>
          </w:tcPr>
          <w:p>
            <w:pPr>
              <w:spacing w:line="360" w:lineRule="exact"/>
              <w:ind w:firstLine="843"/>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69" w:type="dxa"/>
            <w:vAlign w:val="center"/>
          </w:tcPr>
          <w:p>
            <w:pPr>
              <w:spacing w:line="360" w:lineRule="exact"/>
              <w:ind w:firstLine="843"/>
              <w:jc w:val="center"/>
              <w:rPr>
                <w:rFonts w:ascii="宋体" w:hAnsi="宋体"/>
                <w:szCs w:val="21"/>
                <w:highlight w:val="none"/>
              </w:rPr>
            </w:pPr>
          </w:p>
        </w:tc>
        <w:tc>
          <w:tcPr>
            <w:tcW w:w="3444" w:type="dxa"/>
            <w:gridSpan w:val="3"/>
            <w:vAlign w:val="center"/>
          </w:tcPr>
          <w:p>
            <w:pPr>
              <w:spacing w:line="360" w:lineRule="exact"/>
              <w:ind w:firstLine="843"/>
              <w:jc w:val="center"/>
              <w:rPr>
                <w:rFonts w:ascii="宋体" w:hAnsi="宋体"/>
                <w:szCs w:val="21"/>
                <w:highlight w:val="none"/>
              </w:rPr>
            </w:pPr>
          </w:p>
        </w:tc>
        <w:tc>
          <w:tcPr>
            <w:tcW w:w="1843" w:type="dxa"/>
            <w:vAlign w:val="center"/>
          </w:tcPr>
          <w:p>
            <w:pPr>
              <w:spacing w:line="360" w:lineRule="exact"/>
              <w:ind w:firstLine="843"/>
              <w:jc w:val="center"/>
              <w:rPr>
                <w:rFonts w:ascii="宋体" w:hAnsi="宋体"/>
                <w:szCs w:val="21"/>
                <w:highlight w:val="none"/>
              </w:rPr>
            </w:pPr>
          </w:p>
        </w:tc>
        <w:tc>
          <w:tcPr>
            <w:tcW w:w="2126" w:type="dxa"/>
            <w:vAlign w:val="center"/>
          </w:tcPr>
          <w:p>
            <w:pPr>
              <w:spacing w:line="360" w:lineRule="exact"/>
              <w:ind w:firstLine="843"/>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69" w:type="dxa"/>
            <w:vAlign w:val="center"/>
          </w:tcPr>
          <w:p>
            <w:pPr>
              <w:spacing w:line="360" w:lineRule="exact"/>
              <w:ind w:firstLine="843"/>
              <w:jc w:val="center"/>
              <w:rPr>
                <w:rFonts w:ascii="宋体" w:hAnsi="宋体"/>
                <w:szCs w:val="21"/>
                <w:highlight w:val="none"/>
              </w:rPr>
            </w:pPr>
          </w:p>
        </w:tc>
        <w:tc>
          <w:tcPr>
            <w:tcW w:w="3444" w:type="dxa"/>
            <w:gridSpan w:val="3"/>
            <w:vAlign w:val="center"/>
          </w:tcPr>
          <w:p>
            <w:pPr>
              <w:spacing w:line="360" w:lineRule="exact"/>
              <w:ind w:firstLine="843"/>
              <w:jc w:val="center"/>
              <w:rPr>
                <w:rFonts w:ascii="宋体" w:hAnsi="宋体"/>
                <w:szCs w:val="21"/>
                <w:highlight w:val="none"/>
              </w:rPr>
            </w:pPr>
          </w:p>
        </w:tc>
        <w:tc>
          <w:tcPr>
            <w:tcW w:w="1843" w:type="dxa"/>
            <w:vAlign w:val="center"/>
          </w:tcPr>
          <w:p>
            <w:pPr>
              <w:spacing w:line="360" w:lineRule="exact"/>
              <w:ind w:firstLine="843"/>
              <w:jc w:val="center"/>
              <w:rPr>
                <w:rFonts w:ascii="宋体" w:hAnsi="宋体"/>
                <w:szCs w:val="21"/>
                <w:highlight w:val="none"/>
              </w:rPr>
            </w:pPr>
          </w:p>
        </w:tc>
        <w:tc>
          <w:tcPr>
            <w:tcW w:w="2126" w:type="dxa"/>
            <w:vAlign w:val="center"/>
          </w:tcPr>
          <w:p>
            <w:pPr>
              <w:spacing w:line="360" w:lineRule="exact"/>
              <w:ind w:firstLine="843"/>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69" w:type="dxa"/>
            <w:vAlign w:val="center"/>
          </w:tcPr>
          <w:p>
            <w:pPr>
              <w:spacing w:line="360" w:lineRule="exact"/>
              <w:ind w:firstLine="843"/>
              <w:jc w:val="center"/>
              <w:rPr>
                <w:rFonts w:ascii="宋体" w:hAnsi="宋体"/>
                <w:szCs w:val="21"/>
                <w:highlight w:val="none"/>
              </w:rPr>
            </w:pPr>
          </w:p>
        </w:tc>
        <w:tc>
          <w:tcPr>
            <w:tcW w:w="3444" w:type="dxa"/>
            <w:gridSpan w:val="3"/>
            <w:vAlign w:val="center"/>
          </w:tcPr>
          <w:p>
            <w:pPr>
              <w:spacing w:line="360" w:lineRule="exact"/>
              <w:ind w:firstLine="843"/>
              <w:jc w:val="center"/>
              <w:rPr>
                <w:rFonts w:ascii="宋体" w:hAnsi="宋体"/>
                <w:szCs w:val="21"/>
                <w:highlight w:val="none"/>
              </w:rPr>
            </w:pPr>
          </w:p>
        </w:tc>
        <w:tc>
          <w:tcPr>
            <w:tcW w:w="1843" w:type="dxa"/>
            <w:vAlign w:val="center"/>
          </w:tcPr>
          <w:p>
            <w:pPr>
              <w:spacing w:line="360" w:lineRule="exact"/>
              <w:ind w:firstLine="843"/>
              <w:jc w:val="center"/>
              <w:rPr>
                <w:rFonts w:ascii="宋体" w:hAnsi="宋体"/>
                <w:szCs w:val="21"/>
                <w:highlight w:val="none"/>
              </w:rPr>
            </w:pPr>
          </w:p>
        </w:tc>
        <w:tc>
          <w:tcPr>
            <w:tcW w:w="2126" w:type="dxa"/>
            <w:vAlign w:val="center"/>
          </w:tcPr>
          <w:p>
            <w:pPr>
              <w:spacing w:line="360" w:lineRule="exact"/>
              <w:ind w:firstLine="843"/>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69" w:type="dxa"/>
            <w:vAlign w:val="center"/>
          </w:tcPr>
          <w:p>
            <w:pPr>
              <w:spacing w:line="360" w:lineRule="exact"/>
              <w:ind w:firstLine="843"/>
              <w:jc w:val="center"/>
              <w:rPr>
                <w:rFonts w:ascii="宋体" w:hAnsi="宋体"/>
                <w:szCs w:val="21"/>
                <w:highlight w:val="none"/>
              </w:rPr>
            </w:pPr>
          </w:p>
        </w:tc>
        <w:tc>
          <w:tcPr>
            <w:tcW w:w="3444" w:type="dxa"/>
            <w:gridSpan w:val="3"/>
            <w:vAlign w:val="center"/>
          </w:tcPr>
          <w:p>
            <w:pPr>
              <w:spacing w:line="360" w:lineRule="exact"/>
              <w:ind w:firstLine="843"/>
              <w:jc w:val="center"/>
              <w:rPr>
                <w:rFonts w:ascii="宋体" w:hAnsi="宋体"/>
                <w:szCs w:val="21"/>
                <w:highlight w:val="none"/>
              </w:rPr>
            </w:pPr>
          </w:p>
        </w:tc>
        <w:tc>
          <w:tcPr>
            <w:tcW w:w="1843" w:type="dxa"/>
            <w:vAlign w:val="center"/>
          </w:tcPr>
          <w:p>
            <w:pPr>
              <w:spacing w:line="360" w:lineRule="exact"/>
              <w:ind w:firstLine="843"/>
              <w:jc w:val="center"/>
              <w:rPr>
                <w:rFonts w:ascii="宋体" w:hAnsi="宋体"/>
                <w:szCs w:val="21"/>
                <w:highlight w:val="none"/>
              </w:rPr>
            </w:pPr>
          </w:p>
        </w:tc>
        <w:tc>
          <w:tcPr>
            <w:tcW w:w="2126" w:type="dxa"/>
            <w:vAlign w:val="center"/>
          </w:tcPr>
          <w:p>
            <w:pPr>
              <w:spacing w:line="360" w:lineRule="exact"/>
              <w:ind w:firstLine="843"/>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69" w:type="dxa"/>
            <w:vAlign w:val="center"/>
          </w:tcPr>
          <w:p>
            <w:pPr>
              <w:spacing w:line="360" w:lineRule="exact"/>
              <w:ind w:firstLine="843"/>
              <w:jc w:val="center"/>
              <w:rPr>
                <w:rFonts w:ascii="宋体" w:hAnsi="宋体"/>
                <w:szCs w:val="21"/>
                <w:highlight w:val="none"/>
              </w:rPr>
            </w:pPr>
          </w:p>
        </w:tc>
        <w:tc>
          <w:tcPr>
            <w:tcW w:w="3444" w:type="dxa"/>
            <w:gridSpan w:val="3"/>
            <w:vAlign w:val="center"/>
          </w:tcPr>
          <w:p>
            <w:pPr>
              <w:spacing w:line="360" w:lineRule="exact"/>
              <w:ind w:firstLine="843"/>
              <w:jc w:val="center"/>
              <w:rPr>
                <w:rFonts w:ascii="宋体" w:hAnsi="宋体"/>
                <w:szCs w:val="21"/>
                <w:highlight w:val="none"/>
              </w:rPr>
            </w:pPr>
          </w:p>
        </w:tc>
        <w:tc>
          <w:tcPr>
            <w:tcW w:w="1843" w:type="dxa"/>
            <w:vAlign w:val="center"/>
          </w:tcPr>
          <w:p>
            <w:pPr>
              <w:spacing w:line="360" w:lineRule="exact"/>
              <w:ind w:firstLine="843"/>
              <w:jc w:val="center"/>
              <w:rPr>
                <w:rFonts w:ascii="宋体" w:hAnsi="宋体"/>
                <w:szCs w:val="21"/>
                <w:highlight w:val="none"/>
              </w:rPr>
            </w:pPr>
          </w:p>
        </w:tc>
        <w:tc>
          <w:tcPr>
            <w:tcW w:w="2126" w:type="dxa"/>
            <w:vAlign w:val="center"/>
          </w:tcPr>
          <w:p>
            <w:pPr>
              <w:spacing w:line="360" w:lineRule="exact"/>
              <w:ind w:firstLine="843"/>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69" w:type="dxa"/>
            <w:vAlign w:val="center"/>
          </w:tcPr>
          <w:p>
            <w:pPr>
              <w:spacing w:line="360" w:lineRule="exact"/>
              <w:ind w:firstLine="843"/>
              <w:jc w:val="center"/>
              <w:rPr>
                <w:rFonts w:ascii="宋体" w:hAnsi="宋体"/>
                <w:szCs w:val="21"/>
                <w:highlight w:val="none"/>
              </w:rPr>
            </w:pPr>
          </w:p>
        </w:tc>
        <w:tc>
          <w:tcPr>
            <w:tcW w:w="3444" w:type="dxa"/>
            <w:gridSpan w:val="3"/>
            <w:vAlign w:val="center"/>
          </w:tcPr>
          <w:p>
            <w:pPr>
              <w:spacing w:line="360" w:lineRule="exact"/>
              <w:ind w:firstLine="843"/>
              <w:jc w:val="center"/>
              <w:rPr>
                <w:rFonts w:ascii="宋体" w:hAnsi="宋体"/>
                <w:szCs w:val="21"/>
                <w:highlight w:val="none"/>
              </w:rPr>
            </w:pPr>
          </w:p>
        </w:tc>
        <w:tc>
          <w:tcPr>
            <w:tcW w:w="1843" w:type="dxa"/>
            <w:vAlign w:val="center"/>
          </w:tcPr>
          <w:p>
            <w:pPr>
              <w:spacing w:line="360" w:lineRule="exact"/>
              <w:ind w:firstLine="843"/>
              <w:jc w:val="center"/>
              <w:rPr>
                <w:rFonts w:ascii="宋体" w:hAnsi="宋体"/>
                <w:szCs w:val="21"/>
                <w:highlight w:val="none"/>
              </w:rPr>
            </w:pPr>
          </w:p>
        </w:tc>
        <w:tc>
          <w:tcPr>
            <w:tcW w:w="2126" w:type="dxa"/>
            <w:vAlign w:val="center"/>
          </w:tcPr>
          <w:p>
            <w:pPr>
              <w:spacing w:line="360" w:lineRule="exact"/>
              <w:ind w:firstLine="843"/>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69" w:type="dxa"/>
            <w:vAlign w:val="center"/>
          </w:tcPr>
          <w:p>
            <w:pPr>
              <w:spacing w:line="360" w:lineRule="exact"/>
              <w:ind w:firstLine="843"/>
              <w:jc w:val="center"/>
              <w:rPr>
                <w:rFonts w:ascii="宋体" w:hAnsi="宋体"/>
                <w:szCs w:val="21"/>
                <w:highlight w:val="none"/>
              </w:rPr>
            </w:pPr>
          </w:p>
        </w:tc>
        <w:tc>
          <w:tcPr>
            <w:tcW w:w="3444" w:type="dxa"/>
            <w:gridSpan w:val="3"/>
            <w:vAlign w:val="center"/>
          </w:tcPr>
          <w:p>
            <w:pPr>
              <w:spacing w:line="360" w:lineRule="exact"/>
              <w:ind w:firstLine="843"/>
              <w:jc w:val="center"/>
              <w:rPr>
                <w:rFonts w:ascii="宋体" w:hAnsi="宋体"/>
                <w:szCs w:val="21"/>
                <w:highlight w:val="none"/>
              </w:rPr>
            </w:pPr>
          </w:p>
        </w:tc>
        <w:tc>
          <w:tcPr>
            <w:tcW w:w="1843" w:type="dxa"/>
            <w:vAlign w:val="center"/>
          </w:tcPr>
          <w:p>
            <w:pPr>
              <w:spacing w:line="360" w:lineRule="exact"/>
              <w:ind w:firstLine="843"/>
              <w:jc w:val="center"/>
              <w:rPr>
                <w:rFonts w:ascii="宋体" w:hAnsi="宋体"/>
                <w:szCs w:val="21"/>
                <w:highlight w:val="none"/>
              </w:rPr>
            </w:pPr>
          </w:p>
        </w:tc>
        <w:tc>
          <w:tcPr>
            <w:tcW w:w="2126" w:type="dxa"/>
            <w:vAlign w:val="center"/>
          </w:tcPr>
          <w:p>
            <w:pPr>
              <w:spacing w:line="360" w:lineRule="exact"/>
              <w:ind w:firstLine="843"/>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69" w:type="dxa"/>
            <w:vAlign w:val="center"/>
          </w:tcPr>
          <w:p>
            <w:pPr>
              <w:spacing w:line="360" w:lineRule="exact"/>
              <w:ind w:firstLine="843"/>
              <w:jc w:val="center"/>
              <w:rPr>
                <w:rFonts w:ascii="宋体" w:hAnsi="宋体"/>
                <w:szCs w:val="21"/>
                <w:highlight w:val="none"/>
              </w:rPr>
            </w:pPr>
          </w:p>
        </w:tc>
        <w:tc>
          <w:tcPr>
            <w:tcW w:w="3444" w:type="dxa"/>
            <w:gridSpan w:val="3"/>
            <w:vAlign w:val="center"/>
          </w:tcPr>
          <w:p>
            <w:pPr>
              <w:spacing w:line="360" w:lineRule="exact"/>
              <w:ind w:firstLine="843"/>
              <w:jc w:val="center"/>
              <w:rPr>
                <w:rFonts w:ascii="宋体" w:hAnsi="宋体"/>
                <w:szCs w:val="21"/>
                <w:highlight w:val="none"/>
              </w:rPr>
            </w:pPr>
          </w:p>
        </w:tc>
        <w:tc>
          <w:tcPr>
            <w:tcW w:w="1843" w:type="dxa"/>
            <w:vAlign w:val="center"/>
          </w:tcPr>
          <w:p>
            <w:pPr>
              <w:spacing w:line="360" w:lineRule="exact"/>
              <w:ind w:firstLine="843"/>
              <w:jc w:val="center"/>
              <w:rPr>
                <w:rFonts w:ascii="宋体" w:hAnsi="宋体"/>
                <w:szCs w:val="21"/>
                <w:highlight w:val="none"/>
              </w:rPr>
            </w:pPr>
          </w:p>
        </w:tc>
        <w:tc>
          <w:tcPr>
            <w:tcW w:w="2126" w:type="dxa"/>
            <w:vAlign w:val="center"/>
          </w:tcPr>
          <w:p>
            <w:pPr>
              <w:spacing w:line="360" w:lineRule="exact"/>
              <w:ind w:firstLine="843"/>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69" w:type="dxa"/>
            <w:vAlign w:val="center"/>
          </w:tcPr>
          <w:p>
            <w:pPr>
              <w:spacing w:line="360" w:lineRule="exact"/>
              <w:ind w:firstLine="843"/>
              <w:jc w:val="center"/>
              <w:rPr>
                <w:rFonts w:ascii="宋体" w:hAnsi="宋体"/>
                <w:szCs w:val="21"/>
                <w:highlight w:val="none"/>
              </w:rPr>
            </w:pPr>
          </w:p>
        </w:tc>
        <w:tc>
          <w:tcPr>
            <w:tcW w:w="3444" w:type="dxa"/>
            <w:gridSpan w:val="3"/>
            <w:vAlign w:val="center"/>
          </w:tcPr>
          <w:p>
            <w:pPr>
              <w:spacing w:line="360" w:lineRule="exact"/>
              <w:ind w:firstLine="843"/>
              <w:jc w:val="center"/>
              <w:rPr>
                <w:rFonts w:ascii="宋体" w:hAnsi="宋体"/>
                <w:szCs w:val="21"/>
                <w:highlight w:val="none"/>
              </w:rPr>
            </w:pPr>
          </w:p>
        </w:tc>
        <w:tc>
          <w:tcPr>
            <w:tcW w:w="1843" w:type="dxa"/>
            <w:vAlign w:val="center"/>
          </w:tcPr>
          <w:p>
            <w:pPr>
              <w:spacing w:line="360" w:lineRule="exact"/>
              <w:ind w:firstLine="843"/>
              <w:jc w:val="center"/>
              <w:rPr>
                <w:rFonts w:ascii="宋体" w:hAnsi="宋体"/>
                <w:szCs w:val="21"/>
                <w:highlight w:val="none"/>
              </w:rPr>
            </w:pPr>
          </w:p>
        </w:tc>
        <w:tc>
          <w:tcPr>
            <w:tcW w:w="2126" w:type="dxa"/>
            <w:vAlign w:val="center"/>
          </w:tcPr>
          <w:p>
            <w:pPr>
              <w:spacing w:line="360" w:lineRule="exact"/>
              <w:ind w:firstLine="843"/>
              <w:jc w:val="center"/>
              <w:rPr>
                <w:rFonts w:ascii="宋体" w:hAnsi="宋体"/>
                <w:szCs w:val="21"/>
                <w:highlight w:val="none"/>
              </w:rPr>
            </w:pPr>
          </w:p>
        </w:tc>
      </w:tr>
    </w:tbl>
    <w:p>
      <w:pPr>
        <w:spacing w:line="360" w:lineRule="auto"/>
        <w:ind w:firstLine="210" w:firstLineChars="100"/>
        <w:rPr>
          <w:rFonts w:ascii="宋体" w:hAnsi="宋体"/>
          <w:bCs/>
          <w:kern w:val="0"/>
          <w:szCs w:val="21"/>
          <w:highlight w:val="none"/>
        </w:rPr>
      </w:pPr>
    </w:p>
    <w:p>
      <w:pPr>
        <w:spacing w:line="360" w:lineRule="auto"/>
        <w:ind w:firstLine="211" w:firstLineChars="100"/>
        <w:rPr>
          <w:rFonts w:ascii="宋体" w:hAnsi="宋体"/>
          <w:b/>
          <w:kern w:val="0"/>
          <w:szCs w:val="21"/>
          <w:highlight w:val="none"/>
        </w:rPr>
      </w:pPr>
      <w:r>
        <w:rPr>
          <w:rFonts w:ascii="宋体" w:hAnsi="宋体"/>
          <w:b/>
          <w:szCs w:val="21"/>
          <w:highlight w:val="none"/>
        </w:rPr>
        <w:br w:type="page"/>
      </w:r>
      <w:r>
        <w:rPr>
          <w:rFonts w:hint="eastAsia" w:ascii="宋体" w:hAnsi="宋体"/>
          <w:b/>
          <w:szCs w:val="21"/>
          <w:highlight w:val="none"/>
        </w:rPr>
        <w:t>附2：</w:t>
      </w:r>
      <w:r>
        <w:rPr>
          <w:rFonts w:hint="eastAsia" w:ascii="宋体" w:hAnsi="宋体"/>
          <w:b/>
          <w:kern w:val="0"/>
          <w:szCs w:val="21"/>
          <w:highlight w:val="none"/>
        </w:rPr>
        <w:t>主要项目管理人员简历表</w:t>
      </w:r>
    </w:p>
    <w:p>
      <w:pPr>
        <w:spacing w:line="420" w:lineRule="exact"/>
        <w:ind w:firstLine="420" w:firstLineChars="200"/>
        <w:rPr>
          <w:rFonts w:ascii="宋体" w:hAnsi="宋体"/>
          <w:szCs w:val="21"/>
          <w:highlight w:val="none"/>
        </w:rPr>
      </w:pPr>
      <w:r>
        <w:rPr>
          <w:rFonts w:hint="eastAsia" w:ascii="宋体" w:hAnsi="宋体"/>
          <w:szCs w:val="21"/>
          <w:highlight w:val="none"/>
        </w:rPr>
        <w:t>主要项目管理人员指技术负责人、专职安全生产管理人员等岗位人员。</w:t>
      </w:r>
    </w:p>
    <w:tbl>
      <w:tblPr>
        <w:tblStyle w:val="45"/>
        <w:tblW w:w="8472"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6"/>
        <w:gridCol w:w="4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472" w:type="dxa"/>
            <w:gridSpan w:val="2"/>
            <w:vAlign w:val="center"/>
          </w:tcPr>
          <w:p>
            <w:pPr>
              <w:ind w:firstLine="210" w:firstLineChars="100"/>
              <w:rPr>
                <w:rFonts w:ascii="宋体" w:hAnsi="宋体"/>
                <w:kern w:val="0"/>
                <w:szCs w:val="21"/>
                <w:highlight w:val="none"/>
              </w:rPr>
            </w:pPr>
            <w:r>
              <w:rPr>
                <w:rFonts w:hint="eastAsia" w:ascii="宋体" w:hAnsi="宋体"/>
                <w:kern w:val="0"/>
                <w:szCs w:val="21"/>
                <w:highlight w:val="none"/>
              </w:rPr>
              <w:t>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4236" w:type="dxa"/>
            <w:vAlign w:val="center"/>
          </w:tcPr>
          <w:p>
            <w:pPr>
              <w:ind w:firstLine="210" w:firstLineChars="100"/>
              <w:rPr>
                <w:rFonts w:ascii="宋体" w:hAnsi="宋体"/>
                <w:kern w:val="0"/>
                <w:szCs w:val="21"/>
                <w:highlight w:val="none"/>
              </w:rPr>
            </w:pPr>
            <w:r>
              <w:rPr>
                <w:rFonts w:hint="eastAsia" w:ascii="宋体" w:hAnsi="宋体"/>
                <w:kern w:val="0"/>
                <w:szCs w:val="21"/>
                <w:highlight w:val="none"/>
              </w:rPr>
              <w:t>姓    名</w:t>
            </w:r>
          </w:p>
        </w:tc>
        <w:tc>
          <w:tcPr>
            <w:tcW w:w="4236" w:type="dxa"/>
            <w:vAlign w:val="center"/>
          </w:tcPr>
          <w:p>
            <w:pPr>
              <w:ind w:firstLine="210" w:firstLineChars="100"/>
              <w:rPr>
                <w:rFonts w:ascii="宋体" w:hAnsi="宋体"/>
                <w:kern w:val="0"/>
                <w:szCs w:val="21"/>
                <w:highlight w:val="none"/>
              </w:rPr>
            </w:pPr>
            <w:r>
              <w:rPr>
                <w:rFonts w:hint="eastAsia" w:ascii="宋体" w:hAnsi="宋体"/>
                <w:kern w:val="0"/>
                <w:szCs w:val="21"/>
                <w:highlight w:val="none"/>
              </w:rPr>
              <w:t>年    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236" w:type="dxa"/>
            <w:vAlign w:val="center"/>
          </w:tcPr>
          <w:p>
            <w:pPr>
              <w:ind w:firstLine="210" w:firstLineChars="100"/>
              <w:rPr>
                <w:rFonts w:ascii="宋体" w:hAnsi="宋体"/>
                <w:kern w:val="0"/>
                <w:szCs w:val="21"/>
                <w:highlight w:val="none"/>
              </w:rPr>
            </w:pPr>
            <w:r>
              <w:rPr>
                <w:rFonts w:hint="eastAsia" w:ascii="宋体" w:hAnsi="宋体"/>
                <w:kern w:val="0"/>
                <w:szCs w:val="21"/>
                <w:highlight w:val="none"/>
              </w:rPr>
              <w:t>性    别</w:t>
            </w:r>
          </w:p>
        </w:tc>
        <w:tc>
          <w:tcPr>
            <w:tcW w:w="4236" w:type="dxa"/>
            <w:vAlign w:val="center"/>
          </w:tcPr>
          <w:p>
            <w:pPr>
              <w:ind w:firstLine="210" w:firstLineChars="100"/>
              <w:rPr>
                <w:rFonts w:ascii="宋体" w:hAnsi="宋体"/>
                <w:kern w:val="0"/>
                <w:szCs w:val="21"/>
                <w:highlight w:val="none"/>
              </w:rPr>
            </w:pPr>
            <w:r>
              <w:rPr>
                <w:rFonts w:hint="eastAsia" w:ascii="宋体" w:hAnsi="宋体"/>
                <w:kern w:val="0"/>
                <w:szCs w:val="21"/>
                <w:highlight w:val="none"/>
              </w:rPr>
              <w:t>毕业学校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4236" w:type="dxa"/>
            <w:vAlign w:val="center"/>
          </w:tcPr>
          <w:p>
            <w:pPr>
              <w:ind w:firstLine="210" w:firstLineChars="100"/>
              <w:rPr>
                <w:rFonts w:ascii="宋体" w:hAnsi="宋体"/>
                <w:kern w:val="0"/>
                <w:szCs w:val="21"/>
                <w:highlight w:val="none"/>
              </w:rPr>
            </w:pPr>
            <w:r>
              <w:rPr>
                <w:rFonts w:hint="eastAsia" w:ascii="宋体" w:hAnsi="宋体"/>
                <w:kern w:val="0"/>
                <w:szCs w:val="21"/>
                <w:highlight w:val="none"/>
              </w:rPr>
              <w:t>学历和专业</w:t>
            </w:r>
          </w:p>
        </w:tc>
        <w:tc>
          <w:tcPr>
            <w:tcW w:w="4236" w:type="dxa"/>
            <w:vAlign w:val="center"/>
          </w:tcPr>
          <w:p>
            <w:pPr>
              <w:ind w:firstLine="210" w:firstLineChars="100"/>
              <w:rPr>
                <w:rFonts w:ascii="宋体" w:hAnsi="宋体"/>
                <w:kern w:val="0"/>
                <w:szCs w:val="21"/>
                <w:highlight w:val="none"/>
              </w:rPr>
            </w:pPr>
            <w:r>
              <w:rPr>
                <w:rFonts w:hint="eastAsia" w:ascii="宋体" w:hAnsi="宋体"/>
                <w:kern w:val="0"/>
                <w:szCs w:val="21"/>
                <w:highlight w:val="none"/>
              </w:rPr>
              <w:t>毕业时间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4236" w:type="dxa"/>
            <w:vAlign w:val="center"/>
          </w:tcPr>
          <w:p>
            <w:pPr>
              <w:ind w:firstLine="210" w:firstLineChars="100"/>
              <w:rPr>
                <w:rFonts w:ascii="宋体" w:hAnsi="宋体"/>
                <w:kern w:val="0"/>
                <w:szCs w:val="21"/>
                <w:highlight w:val="none"/>
              </w:rPr>
            </w:pPr>
            <w:r>
              <w:rPr>
                <w:rFonts w:hint="eastAsia" w:ascii="宋体" w:hAnsi="宋体"/>
                <w:kern w:val="0"/>
                <w:szCs w:val="21"/>
                <w:highlight w:val="none"/>
              </w:rPr>
              <w:t>拥有的执业资格</w:t>
            </w:r>
          </w:p>
        </w:tc>
        <w:tc>
          <w:tcPr>
            <w:tcW w:w="4236" w:type="dxa"/>
            <w:vAlign w:val="center"/>
          </w:tcPr>
          <w:p>
            <w:pPr>
              <w:ind w:firstLine="210" w:firstLineChars="100"/>
              <w:rPr>
                <w:rFonts w:ascii="宋体" w:hAnsi="宋体"/>
                <w:kern w:val="0"/>
                <w:szCs w:val="21"/>
                <w:highlight w:val="none"/>
              </w:rPr>
            </w:pPr>
            <w:r>
              <w:rPr>
                <w:rFonts w:hint="eastAsia" w:ascii="宋体" w:hAnsi="宋体"/>
                <w:kern w:val="0"/>
                <w:szCs w:val="21"/>
                <w:highlight w:val="none"/>
              </w:rPr>
              <w:t>专业职称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236" w:type="dxa"/>
            <w:vAlign w:val="center"/>
          </w:tcPr>
          <w:p>
            <w:pPr>
              <w:ind w:firstLine="210" w:firstLineChars="100"/>
              <w:rPr>
                <w:rFonts w:ascii="宋体" w:hAnsi="宋体"/>
                <w:kern w:val="0"/>
                <w:szCs w:val="21"/>
                <w:highlight w:val="none"/>
              </w:rPr>
            </w:pPr>
            <w:r>
              <w:rPr>
                <w:rFonts w:hint="eastAsia" w:ascii="宋体" w:hAnsi="宋体"/>
                <w:kern w:val="0"/>
                <w:szCs w:val="21"/>
                <w:highlight w:val="none"/>
              </w:rPr>
              <w:t>执业资格证书编号</w:t>
            </w:r>
          </w:p>
        </w:tc>
        <w:tc>
          <w:tcPr>
            <w:tcW w:w="4236" w:type="dxa"/>
            <w:vAlign w:val="center"/>
          </w:tcPr>
          <w:p>
            <w:pPr>
              <w:ind w:firstLine="210" w:firstLineChars="100"/>
              <w:rPr>
                <w:rFonts w:ascii="宋体" w:hAnsi="宋体"/>
                <w:kern w:val="0"/>
                <w:szCs w:val="21"/>
                <w:highlight w:val="none"/>
              </w:rPr>
            </w:pPr>
            <w:r>
              <w:rPr>
                <w:rFonts w:hint="eastAsia" w:ascii="宋体" w:hAnsi="宋体"/>
                <w:kern w:val="0"/>
                <w:szCs w:val="21"/>
                <w:highlight w:val="none"/>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3" w:hRule="atLeast"/>
        </w:trPr>
        <w:tc>
          <w:tcPr>
            <w:tcW w:w="8472" w:type="dxa"/>
            <w:gridSpan w:val="2"/>
            <w:vAlign w:val="center"/>
          </w:tcPr>
          <w:p>
            <w:pPr>
              <w:ind w:firstLine="210" w:firstLineChars="100"/>
              <w:rPr>
                <w:rFonts w:ascii="宋体" w:hAnsi="宋体"/>
                <w:kern w:val="0"/>
                <w:szCs w:val="21"/>
                <w:highlight w:val="none"/>
              </w:rPr>
            </w:pPr>
            <w:r>
              <w:rPr>
                <w:rFonts w:hint="eastAsia" w:ascii="宋体" w:hAnsi="宋体"/>
                <w:kern w:val="0"/>
                <w:szCs w:val="21"/>
                <w:highlight w:val="none"/>
              </w:rPr>
              <w:t>主</w:t>
            </w:r>
          </w:p>
          <w:p>
            <w:pPr>
              <w:ind w:firstLine="210" w:firstLineChars="100"/>
              <w:rPr>
                <w:rFonts w:ascii="宋体" w:hAnsi="宋体"/>
                <w:kern w:val="0"/>
                <w:szCs w:val="21"/>
                <w:highlight w:val="none"/>
              </w:rPr>
            </w:pPr>
            <w:r>
              <w:rPr>
                <w:rFonts w:hint="eastAsia" w:ascii="宋体" w:hAnsi="宋体"/>
                <w:kern w:val="0"/>
                <w:szCs w:val="21"/>
                <w:highlight w:val="none"/>
              </w:rPr>
              <w:t>要</w:t>
            </w:r>
          </w:p>
          <w:p>
            <w:pPr>
              <w:ind w:firstLine="210" w:firstLineChars="100"/>
              <w:rPr>
                <w:rFonts w:ascii="宋体" w:hAnsi="宋体"/>
                <w:kern w:val="0"/>
                <w:szCs w:val="21"/>
                <w:highlight w:val="none"/>
              </w:rPr>
            </w:pPr>
            <w:r>
              <w:rPr>
                <w:rFonts w:hint="eastAsia" w:ascii="宋体" w:hAnsi="宋体"/>
                <w:kern w:val="0"/>
                <w:szCs w:val="21"/>
                <w:highlight w:val="none"/>
              </w:rPr>
              <w:t>工</w:t>
            </w:r>
          </w:p>
          <w:p>
            <w:pPr>
              <w:ind w:firstLine="210" w:firstLineChars="100"/>
              <w:rPr>
                <w:rFonts w:ascii="宋体" w:hAnsi="宋体"/>
                <w:kern w:val="0"/>
                <w:szCs w:val="21"/>
                <w:highlight w:val="none"/>
              </w:rPr>
            </w:pPr>
            <w:r>
              <w:rPr>
                <w:rFonts w:hint="eastAsia" w:ascii="宋体" w:hAnsi="宋体"/>
                <w:kern w:val="0"/>
                <w:szCs w:val="21"/>
                <w:highlight w:val="none"/>
              </w:rPr>
              <w:t>作</w:t>
            </w:r>
          </w:p>
          <w:p>
            <w:pPr>
              <w:ind w:firstLine="210" w:firstLineChars="100"/>
              <w:rPr>
                <w:rFonts w:ascii="宋体" w:hAnsi="宋体"/>
                <w:kern w:val="0"/>
                <w:szCs w:val="21"/>
                <w:highlight w:val="none"/>
              </w:rPr>
            </w:pPr>
            <w:r>
              <w:rPr>
                <w:rFonts w:hint="eastAsia" w:ascii="宋体" w:hAnsi="宋体"/>
                <w:kern w:val="0"/>
                <w:szCs w:val="21"/>
                <w:highlight w:val="none"/>
              </w:rPr>
              <w:t>业</w:t>
            </w:r>
          </w:p>
          <w:p>
            <w:pPr>
              <w:ind w:firstLine="210" w:firstLineChars="100"/>
              <w:rPr>
                <w:rFonts w:ascii="宋体" w:hAnsi="宋体"/>
                <w:kern w:val="0"/>
                <w:szCs w:val="21"/>
                <w:highlight w:val="none"/>
              </w:rPr>
            </w:pPr>
            <w:r>
              <w:rPr>
                <w:rFonts w:hint="eastAsia" w:ascii="宋体" w:hAnsi="宋体"/>
                <w:kern w:val="0"/>
                <w:szCs w:val="21"/>
                <w:highlight w:val="none"/>
              </w:rPr>
              <w:t>绩</w:t>
            </w:r>
          </w:p>
          <w:p>
            <w:pPr>
              <w:ind w:firstLine="210" w:firstLineChars="100"/>
              <w:rPr>
                <w:rFonts w:ascii="宋体" w:hAnsi="宋体"/>
                <w:kern w:val="0"/>
                <w:szCs w:val="21"/>
                <w:highlight w:val="none"/>
              </w:rPr>
            </w:pPr>
            <w:r>
              <w:rPr>
                <w:rFonts w:hint="eastAsia" w:ascii="宋体" w:hAnsi="宋体"/>
                <w:kern w:val="0"/>
                <w:szCs w:val="21"/>
                <w:highlight w:val="none"/>
              </w:rPr>
              <w:t>及</w:t>
            </w:r>
          </w:p>
          <w:p>
            <w:pPr>
              <w:ind w:firstLine="210" w:firstLineChars="100"/>
              <w:rPr>
                <w:rFonts w:ascii="宋体" w:hAnsi="宋体"/>
                <w:kern w:val="0"/>
                <w:szCs w:val="21"/>
                <w:highlight w:val="none"/>
              </w:rPr>
            </w:pPr>
            <w:r>
              <w:rPr>
                <w:rFonts w:hint="eastAsia" w:ascii="宋体" w:hAnsi="宋体"/>
                <w:kern w:val="0"/>
                <w:szCs w:val="21"/>
                <w:highlight w:val="none"/>
              </w:rPr>
              <w:t>担</w:t>
            </w:r>
          </w:p>
          <w:p>
            <w:pPr>
              <w:ind w:firstLine="210" w:firstLineChars="100"/>
              <w:rPr>
                <w:rFonts w:ascii="宋体" w:hAnsi="宋体"/>
                <w:kern w:val="0"/>
                <w:szCs w:val="21"/>
                <w:highlight w:val="none"/>
              </w:rPr>
            </w:pPr>
            <w:r>
              <w:rPr>
                <w:rFonts w:hint="eastAsia" w:ascii="宋体" w:hAnsi="宋体"/>
                <w:kern w:val="0"/>
                <w:szCs w:val="21"/>
                <w:highlight w:val="none"/>
              </w:rPr>
              <w:t>任</w:t>
            </w:r>
          </w:p>
          <w:p>
            <w:pPr>
              <w:ind w:firstLine="210" w:firstLineChars="100"/>
              <w:rPr>
                <w:rFonts w:ascii="宋体" w:hAnsi="宋体"/>
                <w:kern w:val="0"/>
                <w:szCs w:val="21"/>
                <w:highlight w:val="none"/>
              </w:rPr>
            </w:pPr>
            <w:r>
              <w:rPr>
                <w:rFonts w:hint="eastAsia" w:ascii="宋体" w:hAnsi="宋体"/>
                <w:kern w:val="0"/>
                <w:szCs w:val="21"/>
                <w:highlight w:val="none"/>
              </w:rPr>
              <w:t>的</w:t>
            </w:r>
          </w:p>
          <w:p>
            <w:pPr>
              <w:ind w:firstLine="210" w:firstLineChars="100"/>
              <w:rPr>
                <w:rFonts w:ascii="宋体" w:hAnsi="宋体"/>
                <w:kern w:val="0"/>
                <w:szCs w:val="21"/>
                <w:highlight w:val="none"/>
              </w:rPr>
            </w:pPr>
            <w:r>
              <w:rPr>
                <w:rFonts w:hint="eastAsia" w:ascii="宋体" w:hAnsi="宋体"/>
                <w:kern w:val="0"/>
                <w:szCs w:val="21"/>
                <w:highlight w:val="none"/>
              </w:rPr>
              <w:t>主</w:t>
            </w:r>
          </w:p>
          <w:p>
            <w:pPr>
              <w:ind w:firstLine="210" w:firstLineChars="100"/>
              <w:rPr>
                <w:rFonts w:ascii="宋体" w:hAnsi="宋体"/>
                <w:kern w:val="0"/>
                <w:szCs w:val="21"/>
                <w:highlight w:val="none"/>
              </w:rPr>
            </w:pPr>
            <w:r>
              <w:rPr>
                <w:rFonts w:hint="eastAsia" w:ascii="宋体" w:hAnsi="宋体"/>
                <w:kern w:val="0"/>
                <w:szCs w:val="21"/>
                <w:highlight w:val="none"/>
              </w:rPr>
              <w:t>要</w:t>
            </w:r>
          </w:p>
          <w:p>
            <w:pPr>
              <w:ind w:firstLine="210" w:firstLineChars="100"/>
              <w:rPr>
                <w:rFonts w:ascii="宋体" w:hAnsi="宋体"/>
                <w:kern w:val="0"/>
                <w:szCs w:val="21"/>
                <w:highlight w:val="none"/>
              </w:rPr>
            </w:pPr>
            <w:r>
              <w:rPr>
                <w:rFonts w:hint="eastAsia" w:ascii="宋体" w:hAnsi="宋体"/>
                <w:kern w:val="0"/>
                <w:szCs w:val="21"/>
                <w:highlight w:val="none"/>
              </w:rPr>
              <w:t>工</w:t>
            </w:r>
          </w:p>
          <w:p>
            <w:pPr>
              <w:ind w:firstLine="210" w:firstLineChars="100"/>
              <w:rPr>
                <w:rFonts w:ascii="宋体" w:hAnsi="宋体"/>
                <w:kern w:val="0"/>
                <w:szCs w:val="21"/>
                <w:highlight w:val="none"/>
              </w:rPr>
            </w:pPr>
            <w:r>
              <w:rPr>
                <w:rFonts w:hint="eastAsia" w:ascii="宋体" w:hAnsi="宋体"/>
                <w:kern w:val="0"/>
                <w:szCs w:val="21"/>
                <w:highlight w:val="none"/>
              </w:rPr>
              <w:t>作</w:t>
            </w:r>
          </w:p>
        </w:tc>
      </w:tr>
    </w:tbl>
    <w:p>
      <w:pPr>
        <w:spacing w:line="440" w:lineRule="exact"/>
        <w:ind w:firstLine="480" w:firstLineChars="200"/>
        <w:rPr>
          <w:rFonts w:ascii="宋体" w:hAnsi="宋体"/>
          <w:kern w:val="0"/>
          <w:sz w:val="24"/>
          <w:highlight w:val="none"/>
        </w:rPr>
      </w:pPr>
    </w:p>
    <w:p>
      <w:pPr>
        <w:spacing w:line="440" w:lineRule="exact"/>
        <w:jc w:val="left"/>
        <w:rPr>
          <w:szCs w:val="21"/>
          <w:highlight w:val="none"/>
        </w:rPr>
      </w:pPr>
      <w:r>
        <w:rPr>
          <w:rFonts w:ascii="宋体" w:hAnsi="宋体"/>
          <w:kern w:val="0"/>
          <w:sz w:val="24"/>
          <w:highlight w:val="none"/>
        </w:rPr>
        <w:br w:type="page"/>
      </w:r>
      <w:r>
        <w:rPr>
          <w:rFonts w:hint="eastAsia" w:ascii="宋体" w:hAnsi="宋体"/>
          <w:b/>
          <w:szCs w:val="21"/>
          <w:highlight w:val="none"/>
        </w:rPr>
        <w:t>附表二：拟投入本工程的主要施工设备表</w:t>
      </w:r>
    </w:p>
    <w:tbl>
      <w:tblPr>
        <w:tblStyle w:val="45"/>
        <w:tblW w:w="8339" w:type="dxa"/>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80"/>
        <w:gridCol w:w="2292"/>
        <w:gridCol w:w="1128"/>
        <w:gridCol w:w="2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9" w:hRule="atLeast"/>
        </w:trPr>
        <w:tc>
          <w:tcPr>
            <w:tcW w:w="828" w:type="dxa"/>
            <w:vAlign w:val="center"/>
          </w:tcPr>
          <w:p>
            <w:pPr>
              <w:jc w:val="center"/>
              <w:rPr>
                <w:rFonts w:ascii="宋体" w:hAnsi="宋体"/>
                <w:szCs w:val="21"/>
                <w:highlight w:val="none"/>
              </w:rPr>
            </w:pPr>
            <w:r>
              <w:rPr>
                <w:rFonts w:hint="eastAsia" w:ascii="宋体" w:hAnsi="宋体"/>
                <w:szCs w:val="21"/>
                <w:highlight w:val="none"/>
              </w:rPr>
              <w:t>序号</w:t>
            </w:r>
          </w:p>
        </w:tc>
        <w:tc>
          <w:tcPr>
            <w:tcW w:w="1980" w:type="dxa"/>
            <w:vAlign w:val="center"/>
          </w:tcPr>
          <w:p>
            <w:pPr>
              <w:jc w:val="center"/>
              <w:rPr>
                <w:rFonts w:ascii="宋体" w:hAnsi="宋体"/>
                <w:szCs w:val="21"/>
                <w:highlight w:val="none"/>
              </w:rPr>
            </w:pPr>
            <w:r>
              <w:rPr>
                <w:rFonts w:hint="eastAsia" w:ascii="宋体" w:hAnsi="宋体"/>
                <w:szCs w:val="21"/>
                <w:highlight w:val="none"/>
              </w:rPr>
              <w:t>仪器或设备名称</w:t>
            </w:r>
          </w:p>
        </w:tc>
        <w:tc>
          <w:tcPr>
            <w:tcW w:w="2292" w:type="dxa"/>
            <w:vAlign w:val="center"/>
          </w:tcPr>
          <w:p>
            <w:pPr>
              <w:jc w:val="center"/>
              <w:rPr>
                <w:rFonts w:ascii="宋体" w:hAnsi="宋体"/>
                <w:szCs w:val="21"/>
                <w:highlight w:val="none"/>
              </w:rPr>
            </w:pPr>
            <w:r>
              <w:rPr>
                <w:rFonts w:hint="eastAsia" w:ascii="宋体" w:hAnsi="宋体"/>
                <w:szCs w:val="21"/>
                <w:highlight w:val="none"/>
              </w:rPr>
              <w:t>型号规格</w:t>
            </w:r>
          </w:p>
        </w:tc>
        <w:tc>
          <w:tcPr>
            <w:tcW w:w="1128" w:type="dxa"/>
            <w:vAlign w:val="center"/>
          </w:tcPr>
          <w:p>
            <w:pPr>
              <w:jc w:val="center"/>
              <w:rPr>
                <w:rFonts w:ascii="宋体" w:hAnsi="宋体"/>
                <w:szCs w:val="21"/>
                <w:highlight w:val="none"/>
              </w:rPr>
            </w:pPr>
            <w:r>
              <w:rPr>
                <w:rFonts w:hint="eastAsia" w:ascii="宋体" w:hAnsi="宋体"/>
                <w:szCs w:val="21"/>
                <w:highlight w:val="none"/>
              </w:rPr>
              <w:t>数量</w:t>
            </w:r>
          </w:p>
        </w:tc>
        <w:tc>
          <w:tcPr>
            <w:tcW w:w="2111" w:type="dxa"/>
            <w:vAlign w:val="center"/>
          </w:tcPr>
          <w:p>
            <w:pPr>
              <w:jc w:val="center"/>
              <w:rPr>
                <w:rFonts w:ascii="宋体" w:hAnsi="宋体"/>
                <w:szCs w:val="21"/>
                <w:highlight w:val="none"/>
              </w:rPr>
            </w:pPr>
            <w:r>
              <w:rPr>
                <w:rFonts w:hint="eastAsia" w:ascii="宋体" w:hAnsi="宋体"/>
                <w:szCs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28" w:type="dxa"/>
          </w:tcPr>
          <w:p>
            <w:pPr>
              <w:rPr>
                <w:rFonts w:ascii="宋体" w:hAnsi="宋体"/>
                <w:szCs w:val="21"/>
                <w:highlight w:val="none"/>
              </w:rPr>
            </w:pPr>
          </w:p>
        </w:tc>
        <w:tc>
          <w:tcPr>
            <w:tcW w:w="1980" w:type="dxa"/>
          </w:tcPr>
          <w:p>
            <w:pPr>
              <w:rPr>
                <w:rFonts w:ascii="宋体" w:hAnsi="宋体"/>
                <w:szCs w:val="21"/>
                <w:highlight w:val="none"/>
              </w:rPr>
            </w:pPr>
          </w:p>
        </w:tc>
        <w:tc>
          <w:tcPr>
            <w:tcW w:w="2292" w:type="dxa"/>
          </w:tcPr>
          <w:p>
            <w:pPr>
              <w:rPr>
                <w:rFonts w:ascii="宋体" w:hAnsi="宋体"/>
                <w:szCs w:val="21"/>
                <w:highlight w:val="none"/>
              </w:rPr>
            </w:pPr>
          </w:p>
        </w:tc>
        <w:tc>
          <w:tcPr>
            <w:tcW w:w="1128" w:type="dxa"/>
          </w:tcPr>
          <w:p>
            <w:pPr>
              <w:rPr>
                <w:rFonts w:ascii="宋体" w:hAnsi="宋体"/>
                <w:szCs w:val="21"/>
                <w:highlight w:val="none"/>
              </w:rPr>
            </w:pPr>
          </w:p>
        </w:tc>
        <w:tc>
          <w:tcPr>
            <w:tcW w:w="2111" w:type="dxa"/>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28" w:type="dxa"/>
          </w:tcPr>
          <w:p>
            <w:pPr>
              <w:rPr>
                <w:rFonts w:ascii="宋体" w:hAnsi="宋体"/>
                <w:szCs w:val="21"/>
                <w:highlight w:val="none"/>
              </w:rPr>
            </w:pPr>
          </w:p>
        </w:tc>
        <w:tc>
          <w:tcPr>
            <w:tcW w:w="1980" w:type="dxa"/>
          </w:tcPr>
          <w:p>
            <w:pPr>
              <w:rPr>
                <w:rFonts w:ascii="宋体" w:hAnsi="宋体"/>
                <w:szCs w:val="21"/>
                <w:highlight w:val="none"/>
              </w:rPr>
            </w:pPr>
          </w:p>
        </w:tc>
        <w:tc>
          <w:tcPr>
            <w:tcW w:w="2292" w:type="dxa"/>
          </w:tcPr>
          <w:p>
            <w:pPr>
              <w:rPr>
                <w:rFonts w:ascii="宋体" w:hAnsi="宋体"/>
                <w:szCs w:val="21"/>
                <w:highlight w:val="none"/>
              </w:rPr>
            </w:pPr>
          </w:p>
        </w:tc>
        <w:tc>
          <w:tcPr>
            <w:tcW w:w="1128" w:type="dxa"/>
          </w:tcPr>
          <w:p>
            <w:pPr>
              <w:rPr>
                <w:rFonts w:ascii="宋体" w:hAnsi="宋体"/>
                <w:szCs w:val="21"/>
                <w:highlight w:val="none"/>
              </w:rPr>
            </w:pPr>
          </w:p>
        </w:tc>
        <w:tc>
          <w:tcPr>
            <w:tcW w:w="2111" w:type="dxa"/>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28" w:type="dxa"/>
          </w:tcPr>
          <w:p>
            <w:pPr>
              <w:rPr>
                <w:rFonts w:ascii="宋体" w:hAnsi="宋体"/>
                <w:szCs w:val="21"/>
                <w:highlight w:val="none"/>
              </w:rPr>
            </w:pPr>
          </w:p>
        </w:tc>
        <w:tc>
          <w:tcPr>
            <w:tcW w:w="1980" w:type="dxa"/>
          </w:tcPr>
          <w:p>
            <w:pPr>
              <w:rPr>
                <w:rFonts w:ascii="宋体" w:hAnsi="宋体"/>
                <w:szCs w:val="21"/>
                <w:highlight w:val="none"/>
              </w:rPr>
            </w:pPr>
          </w:p>
        </w:tc>
        <w:tc>
          <w:tcPr>
            <w:tcW w:w="2292" w:type="dxa"/>
          </w:tcPr>
          <w:p>
            <w:pPr>
              <w:rPr>
                <w:rFonts w:ascii="宋体" w:hAnsi="宋体"/>
                <w:szCs w:val="21"/>
                <w:highlight w:val="none"/>
              </w:rPr>
            </w:pPr>
          </w:p>
        </w:tc>
        <w:tc>
          <w:tcPr>
            <w:tcW w:w="1128" w:type="dxa"/>
          </w:tcPr>
          <w:p>
            <w:pPr>
              <w:rPr>
                <w:rFonts w:ascii="宋体" w:hAnsi="宋体"/>
                <w:szCs w:val="21"/>
                <w:highlight w:val="none"/>
              </w:rPr>
            </w:pPr>
          </w:p>
        </w:tc>
        <w:tc>
          <w:tcPr>
            <w:tcW w:w="2111" w:type="dxa"/>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28" w:type="dxa"/>
          </w:tcPr>
          <w:p>
            <w:pPr>
              <w:rPr>
                <w:rFonts w:ascii="宋体" w:hAnsi="宋体"/>
                <w:szCs w:val="21"/>
                <w:highlight w:val="none"/>
              </w:rPr>
            </w:pPr>
          </w:p>
        </w:tc>
        <w:tc>
          <w:tcPr>
            <w:tcW w:w="1980" w:type="dxa"/>
          </w:tcPr>
          <w:p>
            <w:pPr>
              <w:rPr>
                <w:rFonts w:ascii="宋体" w:hAnsi="宋体"/>
                <w:szCs w:val="21"/>
                <w:highlight w:val="none"/>
              </w:rPr>
            </w:pPr>
          </w:p>
        </w:tc>
        <w:tc>
          <w:tcPr>
            <w:tcW w:w="2292" w:type="dxa"/>
          </w:tcPr>
          <w:p>
            <w:pPr>
              <w:rPr>
                <w:rFonts w:ascii="宋体" w:hAnsi="宋体"/>
                <w:szCs w:val="21"/>
                <w:highlight w:val="none"/>
              </w:rPr>
            </w:pPr>
          </w:p>
        </w:tc>
        <w:tc>
          <w:tcPr>
            <w:tcW w:w="1128" w:type="dxa"/>
          </w:tcPr>
          <w:p>
            <w:pPr>
              <w:rPr>
                <w:rFonts w:ascii="宋体" w:hAnsi="宋体"/>
                <w:szCs w:val="21"/>
                <w:highlight w:val="none"/>
              </w:rPr>
            </w:pPr>
          </w:p>
        </w:tc>
        <w:tc>
          <w:tcPr>
            <w:tcW w:w="2111" w:type="dxa"/>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28" w:type="dxa"/>
          </w:tcPr>
          <w:p>
            <w:pPr>
              <w:rPr>
                <w:rFonts w:ascii="宋体" w:hAnsi="宋体"/>
                <w:szCs w:val="21"/>
                <w:highlight w:val="none"/>
              </w:rPr>
            </w:pPr>
          </w:p>
        </w:tc>
        <w:tc>
          <w:tcPr>
            <w:tcW w:w="1980" w:type="dxa"/>
          </w:tcPr>
          <w:p>
            <w:pPr>
              <w:rPr>
                <w:rFonts w:ascii="宋体" w:hAnsi="宋体"/>
                <w:szCs w:val="21"/>
                <w:highlight w:val="none"/>
              </w:rPr>
            </w:pPr>
          </w:p>
        </w:tc>
        <w:tc>
          <w:tcPr>
            <w:tcW w:w="2292" w:type="dxa"/>
          </w:tcPr>
          <w:p>
            <w:pPr>
              <w:rPr>
                <w:rFonts w:ascii="宋体" w:hAnsi="宋体"/>
                <w:szCs w:val="21"/>
                <w:highlight w:val="none"/>
              </w:rPr>
            </w:pPr>
          </w:p>
        </w:tc>
        <w:tc>
          <w:tcPr>
            <w:tcW w:w="1128" w:type="dxa"/>
          </w:tcPr>
          <w:p>
            <w:pPr>
              <w:rPr>
                <w:rFonts w:ascii="宋体" w:hAnsi="宋体"/>
                <w:szCs w:val="21"/>
                <w:highlight w:val="none"/>
              </w:rPr>
            </w:pPr>
          </w:p>
        </w:tc>
        <w:tc>
          <w:tcPr>
            <w:tcW w:w="2111" w:type="dxa"/>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28" w:type="dxa"/>
          </w:tcPr>
          <w:p>
            <w:pPr>
              <w:rPr>
                <w:rFonts w:ascii="宋体" w:hAnsi="宋体"/>
                <w:szCs w:val="21"/>
                <w:highlight w:val="none"/>
              </w:rPr>
            </w:pPr>
          </w:p>
        </w:tc>
        <w:tc>
          <w:tcPr>
            <w:tcW w:w="1980" w:type="dxa"/>
          </w:tcPr>
          <w:p>
            <w:pPr>
              <w:rPr>
                <w:rFonts w:ascii="宋体" w:hAnsi="宋体"/>
                <w:szCs w:val="21"/>
                <w:highlight w:val="none"/>
              </w:rPr>
            </w:pPr>
          </w:p>
        </w:tc>
        <w:tc>
          <w:tcPr>
            <w:tcW w:w="2292" w:type="dxa"/>
          </w:tcPr>
          <w:p>
            <w:pPr>
              <w:rPr>
                <w:rFonts w:ascii="宋体" w:hAnsi="宋体"/>
                <w:szCs w:val="21"/>
                <w:highlight w:val="none"/>
              </w:rPr>
            </w:pPr>
          </w:p>
        </w:tc>
        <w:tc>
          <w:tcPr>
            <w:tcW w:w="1128" w:type="dxa"/>
          </w:tcPr>
          <w:p>
            <w:pPr>
              <w:rPr>
                <w:rFonts w:ascii="宋体" w:hAnsi="宋体"/>
                <w:szCs w:val="21"/>
                <w:highlight w:val="none"/>
              </w:rPr>
            </w:pPr>
          </w:p>
        </w:tc>
        <w:tc>
          <w:tcPr>
            <w:tcW w:w="2111" w:type="dxa"/>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28" w:type="dxa"/>
          </w:tcPr>
          <w:p>
            <w:pPr>
              <w:rPr>
                <w:rFonts w:ascii="宋体" w:hAnsi="宋体"/>
                <w:szCs w:val="21"/>
                <w:highlight w:val="none"/>
              </w:rPr>
            </w:pPr>
          </w:p>
        </w:tc>
        <w:tc>
          <w:tcPr>
            <w:tcW w:w="1980" w:type="dxa"/>
          </w:tcPr>
          <w:p>
            <w:pPr>
              <w:rPr>
                <w:rFonts w:ascii="宋体" w:hAnsi="宋体"/>
                <w:szCs w:val="21"/>
                <w:highlight w:val="none"/>
              </w:rPr>
            </w:pPr>
          </w:p>
        </w:tc>
        <w:tc>
          <w:tcPr>
            <w:tcW w:w="2292" w:type="dxa"/>
          </w:tcPr>
          <w:p>
            <w:pPr>
              <w:rPr>
                <w:rFonts w:ascii="宋体" w:hAnsi="宋体"/>
                <w:szCs w:val="21"/>
                <w:highlight w:val="none"/>
              </w:rPr>
            </w:pPr>
          </w:p>
        </w:tc>
        <w:tc>
          <w:tcPr>
            <w:tcW w:w="1128" w:type="dxa"/>
          </w:tcPr>
          <w:p>
            <w:pPr>
              <w:rPr>
                <w:rFonts w:ascii="宋体" w:hAnsi="宋体"/>
                <w:szCs w:val="21"/>
                <w:highlight w:val="none"/>
              </w:rPr>
            </w:pPr>
          </w:p>
        </w:tc>
        <w:tc>
          <w:tcPr>
            <w:tcW w:w="2111" w:type="dxa"/>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28" w:type="dxa"/>
          </w:tcPr>
          <w:p>
            <w:pPr>
              <w:rPr>
                <w:rFonts w:ascii="宋体" w:hAnsi="宋体"/>
                <w:szCs w:val="21"/>
                <w:highlight w:val="none"/>
              </w:rPr>
            </w:pPr>
          </w:p>
        </w:tc>
        <w:tc>
          <w:tcPr>
            <w:tcW w:w="1980" w:type="dxa"/>
          </w:tcPr>
          <w:p>
            <w:pPr>
              <w:rPr>
                <w:rFonts w:ascii="宋体" w:hAnsi="宋体"/>
                <w:szCs w:val="21"/>
                <w:highlight w:val="none"/>
              </w:rPr>
            </w:pPr>
          </w:p>
        </w:tc>
        <w:tc>
          <w:tcPr>
            <w:tcW w:w="2292" w:type="dxa"/>
          </w:tcPr>
          <w:p>
            <w:pPr>
              <w:rPr>
                <w:rFonts w:ascii="宋体" w:hAnsi="宋体"/>
                <w:szCs w:val="21"/>
                <w:highlight w:val="none"/>
              </w:rPr>
            </w:pPr>
          </w:p>
        </w:tc>
        <w:tc>
          <w:tcPr>
            <w:tcW w:w="1128" w:type="dxa"/>
          </w:tcPr>
          <w:p>
            <w:pPr>
              <w:rPr>
                <w:rFonts w:ascii="宋体" w:hAnsi="宋体"/>
                <w:szCs w:val="21"/>
                <w:highlight w:val="none"/>
              </w:rPr>
            </w:pPr>
          </w:p>
        </w:tc>
        <w:tc>
          <w:tcPr>
            <w:tcW w:w="2111" w:type="dxa"/>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28" w:type="dxa"/>
          </w:tcPr>
          <w:p>
            <w:pPr>
              <w:rPr>
                <w:rFonts w:ascii="宋体" w:hAnsi="宋体"/>
                <w:szCs w:val="21"/>
                <w:highlight w:val="none"/>
              </w:rPr>
            </w:pPr>
          </w:p>
        </w:tc>
        <w:tc>
          <w:tcPr>
            <w:tcW w:w="1980" w:type="dxa"/>
          </w:tcPr>
          <w:p>
            <w:pPr>
              <w:rPr>
                <w:rFonts w:ascii="宋体" w:hAnsi="宋体"/>
                <w:szCs w:val="21"/>
                <w:highlight w:val="none"/>
              </w:rPr>
            </w:pPr>
          </w:p>
        </w:tc>
        <w:tc>
          <w:tcPr>
            <w:tcW w:w="2292" w:type="dxa"/>
          </w:tcPr>
          <w:p>
            <w:pPr>
              <w:rPr>
                <w:rFonts w:ascii="宋体" w:hAnsi="宋体"/>
                <w:szCs w:val="21"/>
                <w:highlight w:val="none"/>
              </w:rPr>
            </w:pPr>
          </w:p>
        </w:tc>
        <w:tc>
          <w:tcPr>
            <w:tcW w:w="1128" w:type="dxa"/>
          </w:tcPr>
          <w:p>
            <w:pPr>
              <w:rPr>
                <w:rFonts w:ascii="宋体" w:hAnsi="宋体"/>
                <w:szCs w:val="21"/>
                <w:highlight w:val="none"/>
              </w:rPr>
            </w:pPr>
          </w:p>
        </w:tc>
        <w:tc>
          <w:tcPr>
            <w:tcW w:w="2111" w:type="dxa"/>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28" w:type="dxa"/>
          </w:tcPr>
          <w:p>
            <w:pPr>
              <w:rPr>
                <w:rFonts w:ascii="宋体" w:hAnsi="宋体"/>
                <w:szCs w:val="21"/>
                <w:highlight w:val="none"/>
              </w:rPr>
            </w:pPr>
          </w:p>
        </w:tc>
        <w:tc>
          <w:tcPr>
            <w:tcW w:w="1980" w:type="dxa"/>
          </w:tcPr>
          <w:p>
            <w:pPr>
              <w:rPr>
                <w:rFonts w:ascii="宋体" w:hAnsi="宋体"/>
                <w:szCs w:val="21"/>
                <w:highlight w:val="none"/>
              </w:rPr>
            </w:pPr>
          </w:p>
        </w:tc>
        <w:tc>
          <w:tcPr>
            <w:tcW w:w="2292" w:type="dxa"/>
          </w:tcPr>
          <w:p>
            <w:pPr>
              <w:rPr>
                <w:rFonts w:ascii="宋体" w:hAnsi="宋体"/>
                <w:szCs w:val="21"/>
                <w:highlight w:val="none"/>
              </w:rPr>
            </w:pPr>
          </w:p>
        </w:tc>
        <w:tc>
          <w:tcPr>
            <w:tcW w:w="1128" w:type="dxa"/>
          </w:tcPr>
          <w:p>
            <w:pPr>
              <w:rPr>
                <w:rFonts w:ascii="宋体" w:hAnsi="宋体"/>
                <w:szCs w:val="21"/>
                <w:highlight w:val="none"/>
              </w:rPr>
            </w:pPr>
          </w:p>
        </w:tc>
        <w:tc>
          <w:tcPr>
            <w:tcW w:w="2111" w:type="dxa"/>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28" w:type="dxa"/>
          </w:tcPr>
          <w:p>
            <w:pPr>
              <w:rPr>
                <w:rFonts w:ascii="宋体" w:hAnsi="宋体"/>
                <w:szCs w:val="21"/>
                <w:highlight w:val="none"/>
              </w:rPr>
            </w:pPr>
          </w:p>
        </w:tc>
        <w:tc>
          <w:tcPr>
            <w:tcW w:w="1980" w:type="dxa"/>
          </w:tcPr>
          <w:p>
            <w:pPr>
              <w:rPr>
                <w:rFonts w:ascii="宋体" w:hAnsi="宋体"/>
                <w:szCs w:val="21"/>
                <w:highlight w:val="none"/>
              </w:rPr>
            </w:pPr>
          </w:p>
        </w:tc>
        <w:tc>
          <w:tcPr>
            <w:tcW w:w="2292" w:type="dxa"/>
          </w:tcPr>
          <w:p>
            <w:pPr>
              <w:rPr>
                <w:rFonts w:ascii="宋体" w:hAnsi="宋体"/>
                <w:szCs w:val="21"/>
                <w:highlight w:val="none"/>
              </w:rPr>
            </w:pPr>
          </w:p>
        </w:tc>
        <w:tc>
          <w:tcPr>
            <w:tcW w:w="1128" w:type="dxa"/>
          </w:tcPr>
          <w:p>
            <w:pPr>
              <w:rPr>
                <w:rFonts w:ascii="宋体" w:hAnsi="宋体"/>
                <w:szCs w:val="21"/>
                <w:highlight w:val="none"/>
              </w:rPr>
            </w:pPr>
          </w:p>
        </w:tc>
        <w:tc>
          <w:tcPr>
            <w:tcW w:w="2111" w:type="dxa"/>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28" w:type="dxa"/>
          </w:tcPr>
          <w:p>
            <w:pPr>
              <w:rPr>
                <w:rFonts w:ascii="宋体" w:hAnsi="宋体"/>
                <w:szCs w:val="21"/>
                <w:highlight w:val="none"/>
              </w:rPr>
            </w:pPr>
          </w:p>
        </w:tc>
        <w:tc>
          <w:tcPr>
            <w:tcW w:w="1980" w:type="dxa"/>
          </w:tcPr>
          <w:p>
            <w:pPr>
              <w:rPr>
                <w:rFonts w:ascii="宋体" w:hAnsi="宋体"/>
                <w:szCs w:val="21"/>
                <w:highlight w:val="none"/>
              </w:rPr>
            </w:pPr>
          </w:p>
        </w:tc>
        <w:tc>
          <w:tcPr>
            <w:tcW w:w="2292" w:type="dxa"/>
          </w:tcPr>
          <w:p>
            <w:pPr>
              <w:rPr>
                <w:rFonts w:ascii="宋体" w:hAnsi="宋体"/>
                <w:szCs w:val="21"/>
                <w:highlight w:val="none"/>
              </w:rPr>
            </w:pPr>
          </w:p>
        </w:tc>
        <w:tc>
          <w:tcPr>
            <w:tcW w:w="1128" w:type="dxa"/>
          </w:tcPr>
          <w:p>
            <w:pPr>
              <w:rPr>
                <w:rFonts w:ascii="宋体" w:hAnsi="宋体"/>
                <w:szCs w:val="21"/>
                <w:highlight w:val="none"/>
              </w:rPr>
            </w:pPr>
          </w:p>
        </w:tc>
        <w:tc>
          <w:tcPr>
            <w:tcW w:w="2111" w:type="dxa"/>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28" w:type="dxa"/>
          </w:tcPr>
          <w:p>
            <w:pPr>
              <w:rPr>
                <w:rFonts w:ascii="宋体" w:hAnsi="宋体"/>
                <w:szCs w:val="21"/>
                <w:highlight w:val="none"/>
              </w:rPr>
            </w:pPr>
          </w:p>
        </w:tc>
        <w:tc>
          <w:tcPr>
            <w:tcW w:w="1980" w:type="dxa"/>
          </w:tcPr>
          <w:p>
            <w:pPr>
              <w:rPr>
                <w:rFonts w:ascii="宋体" w:hAnsi="宋体"/>
                <w:szCs w:val="21"/>
                <w:highlight w:val="none"/>
              </w:rPr>
            </w:pPr>
          </w:p>
        </w:tc>
        <w:tc>
          <w:tcPr>
            <w:tcW w:w="2292" w:type="dxa"/>
          </w:tcPr>
          <w:p>
            <w:pPr>
              <w:rPr>
                <w:rFonts w:ascii="宋体" w:hAnsi="宋体"/>
                <w:szCs w:val="21"/>
                <w:highlight w:val="none"/>
              </w:rPr>
            </w:pPr>
          </w:p>
        </w:tc>
        <w:tc>
          <w:tcPr>
            <w:tcW w:w="1128" w:type="dxa"/>
          </w:tcPr>
          <w:p>
            <w:pPr>
              <w:rPr>
                <w:rFonts w:ascii="宋体" w:hAnsi="宋体"/>
                <w:szCs w:val="21"/>
                <w:highlight w:val="none"/>
              </w:rPr>
            </w:pPr>
          </w:p>
        </w:tc>
        <w:tc>
          <w:tcPr>
            <w:tcW w:w="2111" w:type="dxa"/>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28" w:type="dxa"/>
          </w:tcPr>
          <w:p>
            <w:pPr>
              <w:rPr>
                <w:rFonts w:ascii="宋体" w:hAnsi="宋体"/>
                <w:szCs w:val="21"/>
                <w:highlight w:val="none"/>
              </w:rPr>
            </w:pPr>
          </w:p>
        </w:tc>
        <w:tc>
          <w:tcPr>
            <w:tcW w:w="1980" w:type="dxa"/>
          </w:tcPr>
          <w:p>
            <w:pPr>
              <w:rPr>
                <w:rFonts w:ascii="宋体" w:hAnsi="宋体"/>
                <w:szCs w:val="21"/>
                <w:highlight w:val="none"/>
              </w:rPr>
            </w:pPr>
          </w:p>
        </w:tc>
        <w:tc>
          <w:tcPr>
            <w:tcW w:w="2292" w:type="dxa"/>
          </w:tcPr>
          <w:p>
            <w:pPr>
              <w:rPr>
                <w:rFonts w:ascii="宋体" w:hAnsi="宋体"/>
                <w:szCs w:val="21"/>
                <w:highlight w:val="none"/>
              </w:rPr>
            </w:pPr>
          </w:p>
        </w:tc>
        <w:tc>
          <w:tcPr>
            <w:tcW w:w="1128" w:type="dxa"/>
          </w:tcPr>
          <w:p>
            <w:pPr>
              <w:rPr>
                <w:rFonts w:ascii="宋体" w:hAnsi="宋体"/>
                <w:szCs w:val="21"/>
                <w:highlight w:val="none"/>
              </w:rPr>
            </w:pPr>
          </w:p>
        </w:tc>
        <w:tc>
          <w:tcPr>
            <w:tcW w:w="2111" w:type="dxa"/>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28" w:type="dxa"/>
          </w:tcPr>
          <w:p>
            <w:pPr>
              <w:rPr>
                <w:rFonts w:ascii="宋体" w:hAnsi="宋体"/>
                <w:szCs w:val="21"/>
                <w:highlight w:val="none"/>
              </w:rPr>
            </w:pPr>
          </w:p>
        </w:tc>
        <w:tc>
          <w:tcPr>
            <w:tcW w:w="1980" w:type="dxa"/>
          </w:tcPr>
          <w:p>
            <w:pPr>
              <w:rPr>
                <w:rFonts w:ascii="宋体" w:hAnsi="宋体"/>
                <w:szCs w:val="21"/>
                <w:highlight w:val="none"/>
              </w:rPr>
            </w:pPr>
          </w:p>
        </w:tc>
        <w:tc>
          <w:tcPr>
            <w:tcW w:w="2292" w:type="dxa"/>
          </w:tcPr>
          <w:p>
            <w:pPr>
              <w:rPr>
                <w:rFonts w:ascii="宋体" w:hAnsi="宋体"/>
                <w:szCs w:val="21"/>
                <w:highlight w:val="none"/>
              </w:rPr>
            </w:pPr>
          </w:p>
        </w:tc>
        <w:tc>
          <w:tcPr>
            <w:tcW w:w="1128" w:type="dxa"/>
          </w:tcPr>
          <w:p>
            <w:pPr>
              <w:rPr>
                <w:rFonts w:ascii="宋体" w:hAnsi="宋体"/>
                <w:szCs w:val="21"/>
                <w:highlight w:val="none"/>
              </w:rPr>
            </w:pPr>
          </w:p>
        </w:tc>
        <w:tc>
          <w:tcPr>
            <w:tcW w:w="2111" w:type="dxa"/>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28" w:type="dxa"/>
          </w:tcPr>
          <w:p>
            <w:pPr>
              <w:rPr>
                <w:rFonts w:ascii="宋体" w:hAnsi="宋体"/>
                <w:szCs w:val="21"/>
                <w:highlight w:val="none"/>
              </w:rPr>
            </w:pPr>
          </w:p>
        </w:tc>
        <w:tc>
          <w:tcPr>
            <w:tcW w:w="1980" w:type="dxa"/>
          </w:tcPr>
          <w:p>
            <w:pPr>
              <w:rPr>
                <w:rFonts w:ascii="宋体" w:hAnsi="宋体"/>
                <w:szCs w:val="21"/>
                <w:highlight w:val="none"/>
              </w:rPr>
            </w:pPr>
          </w:p>
        </w:tc>
        <w:tc>
          <w:tcPr>
            <w:tcW w:w="2292" w:type="dxa"/>
          </w:tcPr>
          <w:p>
            <w:pPr>
              <w:rPr>
                <w:rFonts w:ascii="宋体" w:hAnsi="宋体"/>
                <w:szCs w:val="21"/>
                <w:highlight w:val="none"/>
              </w:rPr>
            </w:pPr>
          </w:p>
        </w:tc>
        <w:tc>
          <w:tcPr>
            <w:tcW w:w="1128" w:type="dxa"/>
          </w:tcPr>
          <w:p>
            <w:pPr>
              <w:rPr>
                <w:rFonts w:ascii="宋体" w:hAnsi="宋体"/>
                <w:szCs w:val="21"/>
                <w:highlight w:val="none"/>
              </w:rPr>
            </w:pPr>
          </w:p>
        </w:tc>
        <w:tc>
          <w:tcPr>
            <w:tcW w:w="2111" w:type="dxa"/>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28" w:type="dxa"/>
          </w:tcPr>
          <w:p>
            <w:pPr>
              <w:rPr>
                <w:rFonts w:ascii="宋体" w:hAnsi="宋体"/>
                <w:szCs w:val="21"/>
                <w:highlight w:val="none"/>
              </w:rPr>
            </w:pPr>
          </w:p>
        </w:tc>
        <w:tc>
          <w:tcPr>
            <w:tcW w:w="1980" w:type="dxa"/>
          </w:tcPr>
          <w:p>
            <w:pPr>
              <w:rPr>
                <w:rFonts w:ascii="宋体" w:hAnsi="宋体"/>
                <w:szCs w:val="21"/>
                <w:highlight w:val="none"/>
              </w:rPr>
            </w:pPr>
          </w:p>
        </w:tc>
        <w:tc>
          <w:tcPr>
            <w:tcW w:w="2292" w:type="dxa"/>
          </w:tcPr>
          <w:p>
            <w:pPr>
              <w:rPr>
                <w:rFonts w:ascii="宋体" w:hAnsi="宋体"/>
                <w:szCs w:val="21"/>
                <w:highlight w:val="none"/>
              </w:rPr>
            </w:pPr>
          </w:p>
        </w:tc>
        <w:tc>
          <w:tcPr>
            <w:tcW w:w="1128" w:type="dxa"/>
          </w:tcPr>
          <w:p>
            <w:pPr>
              <w:rPr>
                <w:rFonts w:ascii="宋体" w:hAnsi="宋体"/>
                <w:szCs w:val="21"/>
                <w:highlight w:val="none"/>
              </w:rPr>
            </w:pPr>
          </w:p>
        </w:tc>
        <w:tc>
          <w:tcPr>
            <w:tcW w:w="2111" w:type="dxa"/>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28" w:type="dxa"/>
          </w:tcPr>
          <w:p>
            <w:pPr>
              <w:rPr>
                <w:rFonts w:ascii="宋体" w:hAnsi="宋体"/>
                <w:szCs w:val="21"/>
                <w:highlight w:val="none"/>
              </w:rPr>
            </w:pPr>
          </w:p>
        </w:tc>
        <w:tc>
          <w:tcPr>
            <w:tcW w:w="1980" w:type="dxa"/>
          </w:tcPr>
          <w:p>
            <w:pPr>
              <w:rPr>
                <w:rFonts w:ascii="宋体" w:hAnsi="宋体"/>
                <w:szCs w:val="21"/>
                <w:highlight w:val="none"/>
              </w:rPr>
            </w:pPr>
          </w:p>
        </w:tc>
        <w:tc>
          <w:tcPr>
            <w:tcW w:w="2292" w:type="dxa"/>
          </w:tcPr>
          <w:p>
            <w:pPr>
              <w:rPr>
                <w:rFonts w:ascii="宋体" w:hAnsi="宋体"/>
                <w:szCs w:val="21"/>
                <w:highlight w:val="none"/>
              </w:rPr>
            </w:pPr>
          </w:p>
        </w:tc>
        <w:tc>
          <w:tcPr>
            <w:tcW w:w="1128" w:type="dxa"/>
          </w:tcPr>
          <w:p>
            <w:pPr>
              <w:rPr>
                <w:rFonts w:ascii="宋体" w:hAnsi="宋体"/>
                <w:szCs w:val="21"/>
                <w:highlight w:val="none"/>
              </w:rPr>
            </w:pPr>
          </w:p>
        </w:tc>
        <w:tc>
          <w:tcPr>
            <w:tcW w:w="2111" w:type="dxa"/>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28" w:type="dxa"/>
          </w:tcPr>
          <w:p>
            <w:pPr>
              <w:rPr>
                <w:rFonts w:ascii="宋体" w:hAnsi="宋体"/>
                <w:szCs w:val="21"/>
                <w:highlight w:val="none"/>
              </w:rPr>
            </w:pPr>
          </w:p>
        </w:tc>
        <w:tc>
          <w:tcPr>
            <w:tcW w:w="1980" w:type="dxa"/>
          </w:tcPr>
          <w:p>
            <w:pPr>
              <w:rPr>
                <w:rFonts w:ascii="宋体" w:hAnsi="宋体"/>
                <w:szCs w:val="21"/>
                <w:highlight w:val="none"/>
              </w:rPr>
            </w:pPr>
          </w:p>
        </w:tc>
        <w:tc>
          <w:tcPr>
            <w:tcW w:w="2292" w:type="dxa"/>
          </w:tcPr>
          <w:p>
            <w:pPr>
              <w:rPr>
                <w:rFonts w:ascii="宋体" w:hAnsi="宋体"/>
                <w:szCs w:val="21"/>
                <w:highlight w:val="none"/>
              </w:rPr>
            </w:pPr>
          </w:p>
        </w:tc>
        <w:tc>
          <w:tcPr>
            <w:tcW w:w="1128" w:type="dxa"/>
          </w:tcPr>
          <w:p>
            <w:pPr>
              <w:rPr>
                <w:rFonts w:ascii="宋体" w:hAnsi="宋体"/>
                <w:szCs w:val="21"/>
                <w:highlight w:val="none"/>
              </w:rPr>
            </w:pPr>
          </w:p>
        </w:tc>
        <w:tc>
          <w:tcPr>
            <w:tcW w:w="2111" w:type="dxa"/>
          </w:tcPr>
          <w:p>
            <w:pPr>
              <w:rPr>
                <w:rFonts w:ascii="宋体" w:hAnsi="宋体"/>
                <w:szCs w:val="21"/>
                <w:highlight w:val="none"/>
              </w:rPr>
            </w:pPr>
          </w:p>
        </w:tc>
      </w:tr>
    </w:tbl>
    <w:p>
      <w:pPr>
        <w:spacing w:line="440" w:lineRule="exact"/>
        <w:ind w:firstLine="480" w:firstLineChars="200"/>
        <w:rPr>
          <w:rFonts w:ascii="宋体" w:hAnsi="宋体"/>
          <w:kern w:val="0"/>
          <w:sz w:val="24"/>
          <w:highlight w:val="none"/>
        </w:rPr>
      </w:pPr>
    </w:p>
    <w:p>
      <w:pPr>
        <w:spacing w:line="440" w:lineRule="exact"/>
        <w:jc w:val="center"/>
        <w:rPr>
          <w:rFonts w:ascii="宋体" w:hAnsi="宋体"/>
          <w:kern w:val="0"/>
          <w:sz w:val="24"/>
          <w:highlight w:val="none"/>
        </w:rPr>
      </w:pPr>
    </w:p>
    <w:p>
      <w:pPr>
        <w:pStyle w:val="3"/>
        <w:spacing w:before="120" w:after="120" w:line="400" w:lineRule="exact"/>
        <w:rPr>
          <w:rFonts w:ascii="宋体" w:hAnsi="宋体"/>
          <w:kern w:val="0"/>
          <w:sz w:val="24"/>
          <w:highlight w:val="none"/>
        </w:rPr>
      </w:pPr>
    </w:p>
    <w:p>
      <w:pPr>
        <w:snapToGrid w:val="0"/>
        <w:spacing w:line="480" w:lineRule="auto"/>
        <w:jc w:val="left"/>
        <w:rPr>
          <w:rFonts w:ascii="宋体" w:hAnsi="宋体"/>
          <w:highlight w:val="none"/>
        </w:rPr>
      </w:pPr>
      <w:r>
        <w:rPr>
          <w:rFonts w:ascii="宋体" w:hAnsi="宋体"/>
          <w:highlight w:val="none"/>
        </w:rPr>
        <w:t>附件</w:t>
      </w:r>
      <w:r>
        <w:rPr>
          <w:rFonts w:hint="eastAsia" w:ascii="宋体" w:hAnsi="宋体"/>
          <w:highlight w:val="none"/>
        </w:rPr>
        <w:t>：</w:t>
      </w:r>
    </w:p>
    <w:p>
      <w:pPr>
        <w:spacing w:line="360" w:lineRule="auto"/>
        <w:ind w:firstLine="211"/>
        <w:jc w:val="center"/>
        <w:rPr>
          <w:rFonts w:ascii="宋体" w:hAnsi="宋体"/>
          <w:b/>
          <w:sz w:val="32"/>
          <w:szCs w:val="32"/>
          <w:highlight w:val="none"/>
        </w:rPr>
      </w:pPr>
      <w:r>
        <w:rPr>
          <w:rFonts w:hint="eastAsia" w:ascii="宋体" w:hAnsi="宋体"/>
          <w:b/>
          <w:sz w:val="32"/>
          <w:szCs w:val="32"/>
          <w:highlight w:val="none"/>
        </w:rPr>
        <w:t>磋商报价（最终）</w:t>
      </w:r>
    </w:p>
    <w:p>
      <w:pPr>
        <w:spacing w:line="360" w:lineRule="auto"/>
        <w:ind w:firstLine="211"/>
        <w:jc w:val="center"/>
        <w:rPr>
          <w:rFonts w:ascii="宋体" w:hAnsi="宋体"/>
          <w:b/>
          <w:sz w:val="24"/>
          <w:highlight w:val="none"/>
        </w:rPr>
      </w:pPr>
    </w:p>
    <w:p>
      <w:pPr>
        <w:spacing w:line="360" w:lineRule="auto"/>
        <w:ind w:firstLine="720" w:firstLineChars="300"/>
        <w:rPr>
          <w:rFonts w:ascii="宋体" w:hAnsi="宋体"/>
          <w:sz w:val="24"/>
          <w:highlight w:val="none"/>
        </w:rPr>
      </w:pPr>
      <w:r>
        <w:rPr>
          <w:rFonts w:hint="eastAsia" w:ascii="宋体" w:hAnsi="宋体"/>
          <w:sz w:val="24"/>
          <w:highlight w:val="none"/>
        </w:rPr>
        <w:t xml:space="preserve">项目名称：                                               </w:t>
      </w:r>
    </w:p>
    <w:tbl>
      <w:tblPr>
        <w:tblStyle w:val="45"/>
        <w:tblW w:w="8520" w:type="dxa"/>
        <w:jc w:val="center"/>
        <w:tblLayout w:type="fixed"/>
        <w:tblCellMar>
          <w:top w:w="0" w:type="dxa"/>
          <w:left w:w="108" w:type="dxa"/>
          <w:bottom w:w="0" w:type="dxa"/>
          <w:right w:w="108" w:type="dxa"/>
        </w:tblCellMar>
      </w:tblPr>
      <w:tblGrid>
        <w:gridCol w:w="2631"/>
        <w:gridCol w:w="5889"/>
      </w:tblGrid>
      <w:tr>
        <w:tblPrEx>
          <w:tblCellMar>
            <w:top w:w="0" w:type="dxa"/>
            <w:left w:w="108" w:type="dxa"/>
            <w:bottom w:w="0" w:type="dxa"/>
            <w:right w:w="108" w:type="dxa"/>
          </w:tblCellMar>
        </w:tblPrEx>
        <w:trPr>
          <w:trHeight w:val="2212" w:hRule="atLeast"/>
          <w:jc w:val="center"/>
        </w:trPr>
        <w:tc>
          <w:tcPr>
            <w:tcW w:w="2631" w:type="dxa"/>
            <w:tcBorders>
              <w:top w:val="single" w:color="auto" w:sz="6" w:space="0"/>
              <w:left w:val="single" w:color="auto" w:sz="6" w:space="0"/>
              <w:bottom w:val="nil"/>
              <w:right w:val="single" w:color="auto" w:sz="6" w:space="0"/>
            </w:tcBorders>
            <w:vAlign w:val="center"/>
          </w:tcPr>
          <w:p>
            <w:pPr>
              <w:tabs>
                <w:tab w:val="left" w:pos="0"/>
                <w:tab w:val="left" w:pos="720"/>
                <w:tab w:val="left" w:pos="1440"/>
                <w:tab w:val="left" w:pos="2160"/>
                <w:tab w:val="left" w:pos="2880"/>
                <w:tab w:val="left" w:pos="3600"/>
                <w:tab w:val="left" w:pos="4320"/>
              </w:tabs>
              <w:autoSpaceDE w:val="0"/>
              <w:autoSpaceDN w:val="0"/>
              <w:spacing w:line="360" w:lineRule="auto"/>
              <w:ind w:left="108"/>
              <w:jc w:val="center"/>
              <w:rPr>
                <w:kern w:val="0"/>
                <w:szCs w:val="21"/>
                <w:highlight w:val="none"/>
                <w:lang w:val="zh-CN"/>
              </w:rPr>
            </w:pPr>
            <w:r>
              <w:rPr>
                <w:rFonts w:hint="eastAsia" w:ascii="宋体" w:hAnsi="宋体"/>
                <w:kern w:val="0"/>
                <w:szCs w:val="21"/>
                <w:highlight w:val="none"/>
                <w:lang w:val="zh-CN"/>
              </w:rPr>
              <w:t>磋商总报价（元）</w:t>
            </w:r>
          </w:p>
        </w:tc>
        <w:tc>
          <w:tcPr>
            <w:tcW w:w="5889" w:type="dxa"/>
            <w:tcBorders>
              <w:top w:val="single" w:color="auto" w:sz="6" w:space="0"/>
              <w:left w:val="single" w:color="auto" w:sz="6" w:space="0"/>
              <w:bottom w:val="single" w:color="auto" w:sz="4" w:space="0"/>
              <w:right w:val="single" w:color="auto" w:sz="6" w:space="0"/>
            </w:tcBorders>
            <w:vAlign w:val="center"/>
          </w:tcPr>
          <w:p>
            <w:pPr>
              <w:tabs>
                <w:tab w:val="left" w:pos="0"/>
                <w:tab w:val="left" w:pos="720"/>
                <w:tab w:val="left" w:pos="1440"/>
                <w:tab w:val="left" w:pos="2160"/>
                <w:tab w:val="left" w:pos="2880"/>
                <w:tab w:val="left" w:pos="3600"/>
                <w:tab w:val="left" w:pos="4320"/>
              </w:tabs>
              <w:autoSpaceDE w:val="0"/>
              <w:autoSpaceDN w:val="0"/>
              <w:spacing w:before="120" w:beforeLines="50" w:line="360" w:lineRule="auto"/>
              <w:rPr>
                <w:kern w:val="0"/>
                <w:szCs w:val="21"/>
                <w:highlight w:val="none"/>
                <w:u w:val="single"/>
                <w:lang w:val="zh-CN"/>
              </w:rPr>
            </w:pPr>
            <w:r>
              <w:rPr>
                <w:rFonts w:hint="eastAsia" w:ascii="宋体" w:hAnsi="宋体"/>
                <w:kern w:val="0"/>
                <w:szCs w:val="21"/>
                <w:highlight w:val="none"/>
                <w:lang w:val="zh-CN"/>
              </w:rPr>
              <w:t>小写：</w:t>
            </w:r>
          </w:p>
          <w:p>
            <w:pPr>
              <w:spacing w:before="120" w:beforeLines="50" w:line="360" w:lineRule="auto"/>
              <w:rPr>
                <w:rFonts w:ascii="宋体" w:hAnsi="宋体"/>
                <w:kern w:val="0"/>
                <w:szCs w:val="21"/>
                <w:highlight w:val="none"/>
                <w:lang w:val="zh-CN"/>
              </w:rPr>
            </w:pPr>
            <w:r>
              <w:rPr>
                <w:rFonts w:hint="eastAsia" w:ascii="宋体" w:hAnsi="宋体"/>
                <w:kern w:val="0"/>
                <w:szCs w:val="21"/>
                <w:highlight w:val="none"/>
                <w:lang w:val="zh-CN"/>
              </w:rPr>
              <w:t>大写：</w:t>
            </w:r>
          </w:p>
          <w:p>
            <w:pPr>
              <w:spacing w:before="120" w:beforeLines="50" w:line="360" w:lineRule="auto"/>
              <w:rPr>
                <w:kern w:val="0"/>
                <w:szCs w:val="21"/>
                <w:highlight w:val="none"/>
                <w:lang w:val="zh-CN"/>
              </w:rPr>
            </w:pPr>
            <w:r>
              <w:rPr>
                <w:rFonts w:hint="eastAsia" w:ascii="宋体" w:hAnsi="宋体"/>
                <w:kern w:val="0"/>
                <w:szCs w:val="21"/>
                <w:highlight w:val="none"/>
              </w:rPr>
              <w:t>注：小数点后保留两位。</w:t>
            </w:r>
          </w:p>
        </w:tc>
      </w:tr>
      <w:tr>
        <w:tblPrEx>
          <w:tblCellMar>
            <w:top w:w="0" w:type="dxa"/>
            <w:left w:w="108" w:type="dxa"/>
            <w:bottom w:w="0" w:type="dxa"/>
            <w:right w:w="108" w:type="dxa"/>
          </w:tblCellMar>
        </w:tblPrEx>
        <w:trPr>
          <w:trHeight w:val="960" w:hRule="atLeast"/>
          <w:jc w:val="center"/>
        </w:trPr>
        <w:tc>
          <w:tcPr>
            <w:tcW w:w="2631" w:type="dxa"/>
            <w:tcBorders>
              <w:top w:val="single" w:color="auto" w:sz="6" w:space="0"/>
              <w:left w:val="single" w:color="auto" w:sz="6" w:space="0"/>
              <w:bottom w:val="nil"/>
              <w:right w:val="single" w:color="auto" w:sz="6" w:space="0"/>
            </w:tcBorders>
            <w:vAlign w:val="center"/>
          </w:tcPr>
          <w:p>
            <w:pPr>
              <w:tabs>
                <w:tab w:val="left" w:pos="0"/>
                <w:tab w:val="left" w:pos="720"/>
                <w:tab w:val="left" w:pos="1440"/>
                <w:tab w:val="left" w:pos="2160"/>
                <w:tab w:val="left" w:pos="2880"/>
                <w:tab w:val="left" w:pos="3600"/>
                <w:tab w:val="left" w:pos="4320"/>
              </w:tabs>
              <w:autoSpaceDE w:val="0"/>
              <w:autoSpaceDN w:val="0"/>
              <w:spacing w:line="360" w:lineRule="auto"/>
              <w:ind w:left="108"/>
              <w:jc w:val="center"/>
              <w:rPr>
                <w:rFonts w:ascii="宋体"/>
                <w:kern w:val="0"/>
                <w:szCs w:val="21"/>
                <w:highlight w:val="none"/>
                <w:lang w:val="zh-CN"/>
              </w:rPr>
            </w:pPr>
            <w:r>
              <w:rPr>
                <w:rFonts w:hint="eastAsia" w:ascii="宋体" w:hAnsi="宋体"/>
                <w:kern w:val="0"/>
                <w:szCs w:val="21"/>
                <w:highlight w:val="none"/>
                <w:lang w:val="zh-CN"/>
              </w:rPr>
              <w:t>工期</w:t>
            </w:r>
          </w:p>
        </w:tc>
        <w:tc>
          <w:tcPr>
            <w:tcW w:w="5889" w:type="dxa"/>
            <w:tcBorders>
              <w:top w:val="single" w:color="auto" w:sz="6" w:space="0"/>
              <w:left w:val="single" w:color="auto" w:sz="6" w:space="0"/>
              <w:bottom w:val="single" w:color="auto" w:sz="4" w:space="0"/>
              <w:right w:val="single" w:color="auto" w:sz="6" w:space="0"/>
            </w:tcBorders>
            <w:vAlign w:val="center"/>
          </w:tcPr>
          <w:p>
            <w:pPr>
              <w:tabs>
                <w:tab w:val="left" w:pos="0"/>
                <w:tab w:val="left" w:pos="720"/>
                <w:tab w:val="left" w:pos="1440"/>
                <w:tab w:val="left" w:pos="2160"/>
                <w:tab w:val="left" w:pos="2880"/>
                <w:tab w:val="left" w:pos="3600"/>
                <w:tab w:val="left" w:pos="4320"/>
              </w:tabs>
              <w:autoSpaceDE w:val="0"/>
              <w:autoSpaceDN w:val="0"/>
              <w:spacing w:line="360" w:lineRule="auto"/>
              <w:rPr>
                <w:kern w:val="0"/>
                <w:szCs w:val="21"/>
                <w:highlight w:val="none"/>
                <w:lang w:val="zh-CN"/>
              </w:rPr>
            </w:pPr>
            <w:r>
              <w:rPr>
                <w:rFonts w:hint="eastAsia"/>
                <w:kern w:val="0"/>
                <w:szCs w:val="21"/>
                <w:highlight w:val="none"/>
                <w:u w:val="single"/>
              </w:rPr>
              <w:t xml:space="preserve">    </w:t>
            </w:r>
            <w:r>
              <w:rPr>
                <w:rFonts w:hint="eastAsia"/>
                <w:kern w:val="0"/>
                <w:szCs w:val="21"/>
                <w:highlight w:val="none"/>
                <w:lang w:val="zh-CN"/>
              </w:rPr>
              <w:t>日历日</w:t>
            </w:r>
          </w:p>
        </w:tc>
      </w:tr>
      <w:tr>
        <w:tblPrEx>
          <w:tblCellMar>
            <w:top w:w="0" w:type="dxa"/>
            <w:left w:w="108" w:type="dxa"/>
            <w:bottom w:w="0" w:type="dxa"/>
            <w:right w:w="108" w:type="dxa"/>
          </w:tblCellMar>
        </w:tblPrEx>
        <w:trPr>
          <w:trHeight w:val="960" w:hRule="atLeast"/>
          <w:jc w:val="center"/>
        </w:trPr>
        <w:tc>
          <w:tcPr>
            <w:tcW w:w="2631" w:type="dxa"/>
            <w:tcBorders>
              <w:top w:val="single" w:color="auto" w:sz="6" w:space="0"/>
              <w:left w:val="single" w:color="auto" w:sz="6" w:space="0"/>
              <w:bottom w:val="nil"/>
              <w:right w:val="single" w:color="auto" w:sz="6" w:space="0"/>
            </w:tcBorders>
            <w:vAlign w:val="center"/>
          </w:tcPr>
          <w:p>
            <w:pPr>
              <w:tabs>
                <w:tab w:val="left" w:pos="0"/>
                <w:tab w:val="left" w:pos="720"/>
                <w:tab w:val="left" w:pos="1440"/>
                <w:tab w:val="left" w:pos="2160"/>
                <w:tab w:val="left" w:pos="2880"/>
                <w:tab w:val="left" w:pos="3600"/>
                <w:tab w:val="left" w:pos="4320"/>
              </w:tabs>
              <w:autoSpaceDE w:val="0"/>
              <w:autoSpaceDN w:val="0"/>
              <w:spacing w:line="360" w:lineRule="auto"/>
              <w:ind w:left="108"/>
              <w:jc w:val="center"/>
              <w:rPr>
                <w:rFonts w:ascii="宋体" w:hAnsi="宋体"/>
                <w:kern w:val="0"/>
                <w:szCs w:val="21"/>
                <w:highlight w:val="none"/>
                <w:lang w:val="zh-CN"/>
              </w:rPr>
            </w:pPr>
            <w:r>
              <w:rPr>
                <w:rFonts w:hint="eastAsia" w:ascii="宋体" w:hAnsi="宋体"/>
                <w:kern w:val="0"/>
                <w:szCs w:val="21"/>
                <w:highlight w:val="none"/>
                <w:lang w:val="zh-CN"/>
              </w:rPr>
              <w:t>质量要求</w:t>
            </w:r>
          </w:p>
        </w:tc>
        <w:tc>
          <w:tcPr>
            <w:tcW w:w="5889" w:type="dxa"/>
            <w:tcBorders>
              <w:top w:val="single" w:color="auto" w:sz="6" w:space="0"/>
              <w:left w:val="single" w:color="auto" w:sz="6" w:space="0"/>
              <w:bottom w:val="single" w:color="auto" w:sz="4" w:space="0"/>
              <w:right w:val="single" w:color="auto" w:sz="6" w:space="0"/>
            </w:tcBorders>
            <w:vAlign w:val="center"/>
          </w:tcPr>
          <w:p>
            <w:pPr>
              <w:tabs>
                <w:tab w:val="left" w:pos="0"/>
                <w:tab w:val="left" w:pos="720"/>
                <w:tab w:val="left" w:pos="1440"/>
                <w:tab w:val="left" w:pos="2160"/>
                <w:tab w:val="left" w:pos="2880"/>
                <w:tab w:val="left" w:pos="3600"/>
                <w:tab w:val="left" w:pos="4320"/>
              </w:tabs>
              <w:autoSpaceDE w:val="0"/>
              <w:autoSpaceDN w:val="0"/>
              <w:spacing w:line="360" w:lineRule="auto"/>
              <w:rPr>
                <w:kern w:val="0"/>
                <w:szCs w:val="21"/>
                <w:highlight w:val="none"/>
              </w:rPr>
            </w:pPr>
            <w:r>
              <w:rPr>
                <w:rFonts w:hint="eastAsia" w:ascii="宋体" w:hAnsi="宋体"/>
                <w:kern w:val="0"/>
                <w:szCs w:val="21"/>
                <w:highlight w:val="none"/>
              </w:rPr>
              <w:t>合格</w:t>
            </w:r>
          </w:p>
        </w:tc>
      </w:tr>
      <w:tr>
        <w:tblPrEx>
          <w:tblCellMar>
            <w:top w:w="0" w:type="dxa"/>
            <w:left w:w="108" w:type="dxa"/>
            <w:bottom w:w="0" w:type="dxa"/>
            <w:right w:w="108" w:type="dxa"/>
          </w:tblCellMar>
        </w:tblPrEx>
        <w:trPr>
          <w:trHeight w:val="789" w:hRule="atLeast"/>
          <w:jc w:val="center"/>
        </w:trPr>
        <w:tc>
          <w:tcPr>
            <w:tcW w:w="2631" w:type="dxa"/>
            <w:tcBorders>
              <w:top w:val="single" w:color="auto" w:sz="6" w:space="0"/>
              <w:left w:val="single" w:color="auto" w:sz="6" w:space="0"/>
              <w:bottom w:val="single" w:color="auto" w:sz="6" w:space="0"/>
              <w:right w:val="single" w:color="auto" w:sz="6" w:space="0"/>
            </w:tcBorders>
            <w:vAlign w:val="center"/>
          </w:tcPr>
          <w:p>
            <w:pPr>
              <w:tabs>
                <w:tab w:val="left" w:pos="0"/>
                <w:tab w:val="left" w:pos="720"/>
                <w:tab w:val="left" w:pos="1440"/>
                <w:tab w:val="left" w:pos="2160"/>
                <w:tab w:val="left" w:pos="2880"/>
                <w:tab w:val="left" w:pos="3600"/>
                <w:tab w:val="left" w:pos="4320"/>
              </w:tabs>
              <w:autoSpaceDE w:val="0"/>
              <w:autoSpaceDN w:val="0"/>
              <w:spacing w:line="360" w:lineRule="auto"/>
              <w:ind w:left="108"/>
              <w:jc w:val="center"/>
              <w:rPr>
                <w:kern w:val="0"/>
                <w:szCs w:val="21"/>
                <w:highlight w:val="none"/>
                <w:lang w:val="zh-CN"/>
              </w:rPr>
            </w:pPr>
            <w:r>
              <w:rPr>
                <w:rFonts w:hint="eastAsia" w:ascii="宋体" w:hAnsi="宋体"/>
                <w:kern w:val="0"/>
                <w:szCs w:val="21"/>
                <w:highlight w:val="none"/>
              </w:rPr>
              <w:t>备注</w:t>
            </w:r>
          </w:p>
        </w:tc>
        <w:tc>
          <w:tcPr>
            <w:tcW w:w="5889" w:type="dxa"/>
            <w:tcBorders>
              <w:top w:val="single" w:color="auto" w:sz="6" w:space="0"/>
              <w:left w:val="single" w:color="auto" w:sz="6" w:space="0"/>
              <w:bottom w:val="single" w:color="auto" w:sz="6" w:space="0"/>
              <w:right w:val="single" w:color="auto" w:sz="6" w:space="0"/>
            </w:tcBorders>
          </w:tcPr>
          <w:p>
            <w:pPr>
              <w:tabs>
                <w:tab w:val="left" w:pos="0"/>
                <w:tab w:val="left" w:pos="720"/>
                <w:tab w:val="left" w:pos="1440"/>
                <w:tab w:val="left" w:pos="2160"/>
                <w:tab w:val="left" w:pos="2880"/>
                <w:tab w:val="left" w:pos="3600"/>
                <w:tab w:val="left" w:pos="4320"/>
              </w:tabs>
              <w:autoSpaceDE w:val="0"/>
              <w:autoSpaceDN w:val="0"/>
              <w:spacing w:line="360" w:lineRule="auto"/>
              <w:rPr>
                <w:kern w:val="0"/>
                <w:szCs w:val="21"/>
                <w:highlight w:val="none"/>
                <w:lang w:val="zh-CN"/>
              </w:rPr>
            </w:pPr>
          </w:p>
        </w:tc>
      </w:tr>
    </w:tbl>
    <w:p>
      <w:pPr>
        <w:spacing w:line="360" w:lineRule="auto"/>
        <w:rPr>
          <w:rFonts w:ascii="宋体" w:hAnsi="宋体"/>
          <w:sz w:val="24"/>
          <w:highlight w:val="none"/>
        </w:rPr>
      </w:pPr>
    </w:p>
    <w:p>
      <w:pPr>
        <w:spacing w:line="360" w:lineRule="auto"/>
        <w:ind w:firstLine="480" w:firstLineChars="200"/>
        <w:rPr>
          <w:rFonts w:ascii="宋体" w:hAnsi="宋体"/>
          <w:sz w:val="24"/>
          <w:highlight w:val="none"/>
        </w:rPr>
      </w:pPr>
      <w:r>
        <w:rPr>
          <w:rFonts w:hint="eastAsia" w:ascii="宋体" w:hAnsi="宋体"/>
          <w:sz w:val="24"/>
          <w:highlight w:val="none"/>
        </w:rPr>
        <w:t xml:space="preserve">投标人名称：（公章）                        </w:t>
      </w:r>
    </w:p>
    <w:p>
      <w:pPr>
        <w:spacing w:line="360" w:lineRule="auto"/>
        <w:ind w:firstLine="211"/>
        <w:rPr>
          <w:rFonts w:ascii="宋体" w:hAnsi="宋体"/>
          <w:sz w:val="24"/>
          <w:highlight w:val="none"/>
        </w:rPr>
      </w:pPr>
    </w:p>
    <w:p>
      <w:pPr>
        <w:spacing w:line="360" w:lineRule="auto"/>
        <w:rPr>
          <w:rFonts w:ascii="宋体" w:hAnsi="宋体"/>
          <w:sz w:val="24"/>
          <w:highlight w:val="none"/>
        </w:rPr>
      </w:pPr>
    </w:p>
    <w:p>
      <w:pPr>
        <w:spacing w:line="360" w:lineRule="auto"/>
        <w:ind w:firstLine="480" w:firstLineChars="200"/>
        <w:rPr>
          <w:rFonts w:ascii="宋体" w:hAnsi="宋体"/>
          <w:sz w:val="24"/>
          <w:highlight w:val="none"/>
        </w:rPr>
      </w:pPr>
      <w:r>
        <w:rPr>
          <w:rFonts w:hint="eastAsia" w:ascii="宋体" w:hAnsi="宋体"/>
          <w:sz w:val="24"/>
          <w:highlight w:val="none"/>
        </w:rPr>
        <w:t>法定代表人或被授权人签字或盖章：</w:t>
      </w:r>
    </w:p>
    <w:p>
      <w:pPr>
        <w:spacing w:line="360" w:lineRule="auto"/>
        <w:rPr>
          <w:rFonts w:ascii="宋体" w:hAnsi="宋体"/>
          <w:sz w:val="24"/>
          <w:highlight w:val="none"/>
        </w:rPr>
      </w:pPr>
    </w:p>
    <w:p>
      <w:pPr>
        <w:spacing w:line="360" w:lineRule="auto"/>
        <w:ind w:firstLine="480" w:firstLineChars="200"/>
        <w:rPr>
          <w:rFonts w:ascii="宋体" w:hAnsi="宋体"/>
          <w:sz w:val="24"/>
          <w:highlight w:val="none"/>
        </w:rPr>
      </w:pPr>
      <w:r>
        <w:rPr>
          <w:rFonts w:hint="eastAsia" w:ascii="宋体" w:hAnsi="宋体"/>
          <w:sz w:val="24"/>
          <w:highlight w:val="none"/>
        </w:rPr>
        <w:t>日期：    年    月    日</w:t>
      </w:r>
    </w:p>
    <w:p>
      <w:pPr>
        <w:snapToGrid w:val="0"/>
        <w:ind w:firstLine="422" w:firstLineChars="200"/>
        <w:jc w:val="center"/>
        <w:rPr>
          <w:highlight w:val="none"/>
        </w:rPr>
        <w:sectPr>
          <w:pgSz w:w="11905" w:h="16838"/>
          <w:pgMar w:top="1559" w:right="1757" w:bottom="1984" w:left="1757" w:header="850" w:footer="992" w:gutter="0"/>
          <w:cols w:space="0" w:num="1"/>
          <w:docGrid w:linePitch="312" w:charSpace="0"/>
        </w:sectPr>
      </w:pPr>
      <w:r>
        <w:rPr>
          <w:rFonts w:hint="eastAsia" w:ascii="宋体" w:hAnsi="宋体"/>
          <w:b/>
          <w:highlight w:val="none"/>
        </w:rPr>
        <w:t>注：此表格由授权代表现场填写，投标人可以在投标前打印后盖章随身携带。（防止投标单位在现场填写中出现错误，投标人根据需要可准备多份）</w:t>
      </w:r>
      <w:r>
        <w:rPr>
          <w:rFonts w:ascii="宋体" w:hAnsi="宋体"/>
          <w:color w:val="FF0000"/>
          <w:kern w:val="0"/>
          <w:sz w:val="24"/>
          <w:highlight w:val="none"/>
        </w:rPr>
        <w:br w:type="page"/>
      </w:r>
      <w:bookmarkStart w:id="991" w:name="_Toc1186"/>
      <w:r>
        <w:rPr>
          <w:rFonts w:hint="eastAsia" w:ascii="宋体" w:hAnsi="宋体"/>
          <w:kern w:val="0"/>
          <w:sz w:val="32"/>
          <w:szCs w:val="32"/>
          <w:highlight w:val="none"/>
        </w:rPr>
        <w:t xml:space="preserve">第五章  </w:t>
      </w:r>
      <w:bookmarkEnd w:id="991"/>
      <w:r>
        <w:rPr>
          <w:rFonts w:hint="eastAsia" w:ascii="宋体" w:hAnsi="宋体"/>
          <w:kern w:val="0"/>
          <w:sz w:val="32"/>
          <w:szCs w:val="32"/>
          <w:highlight w:val="none"/>
        </w:rPr>
        <w:t>工程量清单</w:t>
      </w:r>
      <w:bookmarkStart w:id="992" w:name="_Toc26292"/>
    </w:p>
    <w:tbl>
      <w:tblPr>
        <w:tblStyle w:val="45"/>
        <w:tblW w:w="9122" w:type="dxa"/>
        <w:tblInd w:w="93" w:type="dxa"/>
        <w:tblLayout w:type="autofit"/>
        <w:tblCellMar>
          <w:top w:w="0" w:type="dxa"/>
          <w:left w:w="108" w:type="dxa"/>
          <w:bottom w:w="0" w:type="dxa"/>
          <w:right w:w="108" w:type="dxa"/>
        </w:tblCellMar>
      </w:tblPr>
      <w:tblGrid>
        <w:gridCol w:w="756"/>
        <w:gridCol w:w="2556"/>
        <w:gridCol w:w="578"/>
        <w:gridCol w:w="1322"/>
        <w:gridCol w:w="1554"/>
        <w:gridCol w:w="1554"/>
        <w:gridCol w:w="802"/>
      </w:tblGrid>
      <w:tr>
        <w:tblPrEx>
          <w:tblCellMar>
            <w:top w:w="0" w:type="dxa"/>
            <w:left w:w="108" w:type="dxa"/>
            <w:bottom w:w="0" w:type="dxa"/>
            <w:right w:w="108" w:type="dxa"/>
          </w:tblCellMar>
        </w:tblPrEx>
        <w:trPr>
          <w:trHeight w:val="560" w:hRule="atLeast"/>
        </w:trPr>
        <w:tc>
          <w:tcPr>
            <w:tcW w:w="9122" w:type="dxa"/>
            <w:gridSpan w:val="7"/>
            <w:tcBorders>
              <w:top w:val="nil"/>
              <w:left w:val="nil"/>
              <w:bottom w:val="nil"/>
              <w:right w:val="nil"/>
            </w:tcBorders>
            <w:shd w:val="clear" w:color="auto" w:fill="auto"/>
            <w:noWrap/>
            <w:vAlign w:val="center"/>
          </w:tcPr>
          <w:p>
            <w:pPr>
              <w:widowControl/>
              <w:jc w:val="center"/>
              <w:textAlignment w:val="center"/>
              <w:rPr>
                <w:rFonts w:ascii="宋体" w:hAnsi="宋体" w:cs="宋体"/>
                <w:b/>
                <w:bCs/>
                <w:color w:val="000000"/>
                <w:sz w:val="30"/>
                <w:szCs w:val="30"/>
                <w:highlight w:val="none"/>
              </w:rPr>
            </w:pPr>
            <w:r>
              <w:rPr>
                <w:rFonts w:hint="eastAsia" w:ascii="宋体" w:hAnsi="宋体" w:cs="宋体"/>
                <w:b/>
                <w:bCs/>
                <w:color w:val="000000"/>
                <w:kern w:val="0"/>
                <w:sz w:val="30"/>
                <w:szCs w:val="30"/>
                <w:highlight w:val="none"/>
                <w:lang w:bidi="ar"/>
              </w:rPr>
              <w:t>分组工程量清单报价表</w:t>
            </w:r>
          </w:p>
        </w:tc>
      </w:tr>
      <w:tr>
        <w:tblPrEx>
          <w:tblCellMar>
            <w:top w:w="0" w:type="dxa"/>
            <w:left w:w="108" w:type="dxa"/>
            <w:bottom w:w="0" w:type="dxa"/>
            <w:right w:w="108" w:type="dxa"/>
          </w:tblCellMar>
        </w:tblPrEx>
        <w:trPr>
          <w:trHeight w:val="560" w:hRule="atLeast"/>
        </w:trPr>
        <w:tc>
          <w:tcPr>
            <w:tcW w:w="0" w:type="auto"/>
            <w:gridSpan w:val="7"/>
            <w:tcBorders>
              <w:top w:val="nil"/>
              <w:left w:val="nil"/>
              <w:bottom w:val="nil"/>
              <w:right w:val="nil"/>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合同编号：</w:t>
            </w:r>
          </w:p>
        </w:tc>
      </w:tr>
      <w:tr>
        <w:tblPrEx>
          <w:tblCellMar>
            <w:top w:w="0" w:type="dxa"/>
            <w:left w:w="108" w:type="dxa"/>
            <w:bottom w:w="0" w:type="dxa"/>
            <w:right w:w="108" w:type="dxa"/>
          </w:tblCellMar>
        </w:tblPrEx>
        <w:trPr>
          <w:trHeight w:val="560" w:hRule="atLeast"/>
        </w:trPr>
        <w:tc>
          <w:tcPr>
            <w:tcW w:w="3700" w:type="dxa"/>
            <w:gridSpan w:val="3"/>
            <w:tcBorders>
              <w:top w:val="nil"/>
              <w:left w:val="nil"/>
              <w:bottom w:val="nil"/>
              <w:right w:val="nil"/>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工程名称：山阳县户家塬镇桃园村抗旱应急水源工程</w:t>
            </w:r>
          </w:p>
        </w:tc>
        <w:tc>
          <w:tcPr>
            <w:tcW w:w="5422" w:type="dxa"/>
            <w:gridSpan w:val="4"/>
            <w:tcBorders>
              <w:top w:val="nil"/>
              <w:left w:val="nil"/>
              <w:bottom w:val="nil"/>
              <w:right w:val="nil"/>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标段名称：</w:t>
            </w:r>
          </w:p>
        </w:tc>
      </w:tr>
      <w:tr>
        <w:tblPrEx>
          <w:tblCellMar>
            <w:top w:w="0" w:type="dxa"/>
            <w:left w:w="108" w:type="dxa"/>
            <w:bottom w:w="0" w:type="dxa"/>
            <w:right w:w="108" w:type="dxa"/>
          </w:tblCellMar>
        </w:tblPrEx>
        <w:trPr>
          <w:trHeight w:val="354" w:hRule="atLeast"/>
        </w:trPr>
        <w:tc>
          <w:tcPr>
            <w:tcW w:w="3700" w:type="dxa"/>
            <w:gridSpan w:val="3"/>
            <w:tcBorders>
              <w:top w:val="nil"/>
              <w:left w:val="nil"/>
              <w:bottom w:val="nil"/>
              <w:right w:val="nil"/>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组号： 1</w:t>
            </w:r>
          </w:p>
        </w:tc>
        <w:tc>
          <w:tcPr>
            <w:tcW w:w="5422" w:type="dxa"/>
            <w:gridSpan w:val="4"/>
            <w:tcBorders>
              <w:top w:val="nil"/>
              <w:left w:val="nil"/>
              <w:bottom w:val="nil"/>
              <w:right w:val="nil"/>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分组名称： 后槽组</w:t>
            </w:r>
          </w:p>
        </w:tc>
      </w:tr>
      <w:tr>
        <w:tblPrEx>
          <w:tblCellMar>
            <w:top w:w="0" w:type="dxa"/>
            <w:left w:w="108" w:type="dxa"/>
            <w:bottom w:w="0" w:type="dxa"/>
            <w:right w:w="108" w:type="dxa"/>
          </w:tblCellMar>
        </w:tblPrEx>
        <w:trPr>
          <w:trHeight w:val="3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工程数量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合计（元）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备注</w:t>
            </w: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1.1</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机井工程（油房湾水源）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1.1.1</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机械打井（一次成井含井管、滤料）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m</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1.1.2</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泵房（4m*4m方形）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16</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1.2</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100m3高位水池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1.2.1</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土方开挖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m³</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397.45</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1.2.2</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土石方回填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m³</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241.65</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1.2.3</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闸阀井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座</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1.2.4</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C25混凝土盖板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m³</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8</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1.2.5</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C25混凝土池底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m³</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14</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1.2.6</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C25混凝土池壁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m³</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28.8</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1.2.7</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C20混凝土垫层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m³</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5</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1.2.8</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钢筋制安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t</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6.7</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1.2.9</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模板制安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304.3</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1.2.10</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其他(管件及附件等)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项</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1.2.11</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M10砂浆抹面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130</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1.3</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输配水管道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1.3.1</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管槽土方开挖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m³</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528</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1.3.2</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管槽石方开挖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m³</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132</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1.3.3</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管槽土方回填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m³</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660</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1.3.4</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φ90PE输水管材（1.6MPa）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m</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1.3.5</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管件费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Arial"/>
                <w:color w:val="000000"/>
                <w:sz w:val="18"/>
                <w:szCs w:val="18"/>
                <w:highlight w:val="none"/>
              </w:rPr>
            </w:pPr>
            <w:r>
              <w:rPr>
                <w:rFonts w:hint="eastAsia" w:cs="Arial"/>
                <w:color w:val="000000"/>
                <w:sz w:val="18"/>
                <w:szCs w:val="18"/>
                <w:highlight w:val="none"/>
              </w:rPr>
              <w:t>48048</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6.00</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1.3.6</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管道安装费Φ90PE输水管铺设（1.6MPa）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Arial"/>
                <w:color w:val="000000"/>
                <w:sz w:val="18"/>
                <w:szCs w:val="18"/>
                <w:highlight w:val="none"/>
              </w:rPr>
            </w:pPr>
            <w:r>
              <w:rPr>
                <w:rFonts w:hint="eastAsia" w:cs="Arial"/>
                <w:color w:val="000000"/>
                <w:sz w:val="18"/>
                <w:szCs w:val="18"/>
                <w:highlight w:val="none"/>
              </w:rPr>
              <w:t>48048</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45.00</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1.3.7</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C20砼（路面凿除）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m³</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60</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1.3.8</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C20砼（路面恢复）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300</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1.3.9</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C20砼（支墩）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m³</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1.88</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1.3.10</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C20砼（镇墩）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m³</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1.3.11</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闸阀井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座</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560" w:hRule="atLeast"/>
        </w:trPr>
        <w:tc>
          <w:tcPr>
            <w:tcW w:w="0" w:type="auto"/>
            <w:gridSpan w:val="7"/>
            <w:tcBorders>
              <w:top w:val="nil"/>
              <w:left w:val="nil"/>
              <w:bottom w:val="nil"/>
              <w:right w:val="nil"/>
            </w:tcBorders>
            <w:shd w:val="clear" w:color="auto" w:fill="auto"/>
            <w:noWrap/>
            <w:vAlign w:val="center"/>
          </w:tcPr>
          <w:p>
            <w:pPr>
              <w:widowControl/>
              <w:jc w:val="center"/>
              <w:textAlignment w:val="center"/>
              <w:rPr>
                <w:rFonts w:ascii="宋体" w:hAnsi="宋体" w:cs="宋体"/>
                <w:b/>
                <w:bCs/>
                <w:color w:val="000000"/>
                <w:sz w:val="30"/>
                <w:szCs w:val="30"/>
                <w:highlight w:val="none"/>
              </w:rPr>
            </w:pPr>
            <w:r>
              <w:rPr>
                <w:rFonts w:hint="eastAsia" w:ascii="宋体" w:hAnsi="宋体" w:cs="宋体"/>
                <w:b/>
                <w:bCs/>
                <w:color w:val="000000"/>
                <w:kern w:val="0"/>
                <w:sz w:val="30"/>
                <w:szCs w:val="30"/>
                <w:highlight w:val="none"/>
                <w:lang w:bidi="ar"/>
              </w:rPr>
              <w:t>分组工程量清单报价表</w:t>
            </w:r>
          </w:p>
        </w:tc>
      </w:tr>
      <w:tr>
        <w:tblPrEx>
          <w:tblCellMar>
            <w:top w:w="0" w:type="dxa"/>
            <w:left w:w="108" w:type="dxa"/>
            <w:bottom w:w="0" w:type="dxa"/>
            <w:right w:w="108" w:type="dxa"/>
          </w:tblCellMar>
        </w:tblPrEx>
        <w:trPr>
          <w:trHeight w:val="560" w:hRule="atLeast"/>
        </w:trPr>
        <w:tc>
          <w:tcPr>
            <w:tcW w:w="0" w:type="auto"/>
            <w:gridSpan w:val="7"/>
            <w:tcBorders>
              <w:top w:val="nil"/>
              <w:left w:val="nil"/>
              <w:bottom w:val="nil"/>
              <w:right w:val="nil"/>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合同编号：</w:t>
            </w:r>
          </w:p>
        </w:tc>
      </w:tr>
      <w:tr>
        <w:tblPrEx>
          <w:tblCellMar>
            <w:top w:w="0" w:type="dxa"/>
            <w:left w:w="108" w:type="dxa"/>
            <w:bottom w:w="0" w:type="dxa"/>
            <w:right w:w="108" w:type="dxa"/>
          </w:tblCellMar>
        </w:tblPrEx>
        <w:trPr>
          <w:trHeight w:val="560" w:hRule="atLeast"/>
        </w:trPr>
        <w:tc>
          <w:tcPr>
            <w:tcW w:w="3700" w:type="dxa"/>
            <w:gridSpan w:val="3"/>
            <w:tcBorders>
              <w:top w:val="nil"/>
              <w:left w:val="nil"/>
              <w:bottom w:val="nil"/>
              <w:right w:val="nil"/>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工程名称：山阳县户家塬镇桃园村抗旱应急水源工程</w:t>
            </w:r>
          </w:p>
        </w:tc>
        <w:tc>
          <w:tcPr>
            <w:tcW w:w="5422" w:type="dxa"/>
            <w:gridSpan w:val="4"/>
            <w:tcBorders>
              <w:top w:val="nil"/>
              <w:left w:val="nil"/>
              <w:bottom w:val="nil"/>
              <w:right w:val="nil"/>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标段名称：</w:t>
            </w:r>
          </w:p>
        </w:tc>
      </w:tr>
      <w:tr>
        <w:tblPrEx>
          <w:tblCellMar>
            <w:top w:w="0" w:type="dxa"/>
            <w:left w:w="108" w:type="dxa"/>
            <w:bottom w:w="0" w:type="dxa"/>
            <w:right w:w="108" w:type="dxa"/>
          </w:tblCellMar>
        </w:tblPrEx>
        <w:trPr>
          <w:trHeight w:val="354" w:hRule="atLeast"/>
        </w:trPr>
        <w:tc>
          <w:tcPr>
            <w:tcW w:w="3700" w:type="dxa"/>
            <w:gridSpan w:val="3"/>
            <w:tcBorders>
              <w:top w:val="nil"/>
              <w:left w:val="nil"/>
              <w:bottom w:val="nil"/>
              <w:right w:val="nil"/>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组号： 2</w:t>
            </w:r>
          </w:p>
        </w:tc>
        <w:tc>
          <w:tcPr>
            <w:tcW w:w="5422" w:type="dxa"/>
            <w:gridSpan w:val="4"/>
            <w:tcBorders>
              <w:top w:val="nil"/>
              <w:left w:val="nil"/>
              <w:bottom w:val="nil"/>
              <w:right w:val="nil"/>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分组名称： 麻地湾、柳家咀组</w:t>
            </w:r>
          </w:p>
        </w:tc>
      </w:tr>
      <w:tr>
        <w:tblPrEx>
          <w:tblCellMar>
            <w:top w:w="0" w:type="dxa"/>
            <w:left w:w="108" w:type="dxa"/>
            <w:bottom w:w="0" w:type="dxa"/>
            <w:right w:w="108" w:type="dxa"/>
          </w:tblCellMar>
        </w:tblPrEx>
        <w:trPr>
          <w:trHeight w:val="3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工程数量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合计（元）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备注</w:t>
            </w: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2.1</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机井工程（左家沟口水源）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2.1.1</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机械打井（一次成井含井管、滤料）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m</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2.1.2</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泵房（4m*4m方形）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16</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2.2</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150m3高位水池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2.2.1</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土方开挖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m³</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432.05</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2.2.2</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土石方回填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m³</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224.25</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2.2.3</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闸阀井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座</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2.2.4</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C25混凝土盖板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m³</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9.6</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2.2.5</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C25混凝土池底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m³</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13.3</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2.2.6</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C25混凝土池壁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m³</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28.4</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2.2.7</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C25混凝土支柱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m³</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0.9</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2.2.8</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C20混凝土垫层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m³</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5.6</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2.2.9</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钢筋制安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t</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5.9</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2.2.10</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模板制安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334.4</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2.2.11</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其他(管件及附件等)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项</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2.2.12</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M10砂浆抹面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165</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2.3</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输配水管道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2.3.1</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管槽土方开挖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m³</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968</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2.3.2</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管槽石方开挖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m³</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242</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2.3.3</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管槽土方回填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m³</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1210</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2.3.4</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φ90PE输水管材（1.6MPa）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m</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2.3.5</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φ90PE配水管材（1.0MPa）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m</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2.3.6</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管件费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101618</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6.00</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2.3.7</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管道安装费 Φ90PE输水管道铺设（1.6MPa）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40040</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45.00</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2.3.8</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管道安装费 Φ90PE输水管道铺设（1.0MPa）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61578</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45.00</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2.3.9</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C20砼（路面凿除）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m³</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120</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2.3.10</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C20砼（路面恢复）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600</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2.3.11</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C20砼（支墩）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m³</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3.13</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2.3.12</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C20砼（镇墩）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m³</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7</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2.3.13</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闸阀井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座</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7</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560" w:hRule="atLeast"/>
        </w:trPr>
        <w:tc>
          <w:tcPr>
            <w:tcW w:w="0" w:type="auto"/>
            <w:gridSpan w:val="7"/>
            <w:tcBorders>
              <w:top w:val="nil"/>
              <w:left w:val="nil"/>
              <w:bottom w:val="nil"/>
              <w:right w:val="nil"/>
            </w:tcBorders>
            <w:shd w:val="clear" w:color="auto" w:fill="auto"/>
            <w:noWrap/>
            <w:vAlign w:val="center"/>
          </w:tcPr>
          <w:p>
            <w:pPr>
              <w:widowControl/>
              <w:jc w:val="center"/>
              <w:textAlignment w:val="center"/>
              <w:rPr>
                <w:rFonts w:ascii="宋体" w:hAnsi="宋体" w:cs="宋体"/>
                <w:b/>
                <w:bCs/>
                <w:color w:val="000000"/>
                <w:sz w:val="30"/>
                <w:szCs w:val="30"/>
                <w:highlight w:val="none"/>
              </w:rPr>
            </w:pPr>
            <w:r>
              <w:rPr>
                <w:rFonts w:hint="eastAsia" w:ascii="宋体" w:hAnsi="宋体" w:cs="宋体"/>
                <w:b/>
                <w:bCs/>
                <w:color w:val="000000"/>
                <w:kern w:val="0"/>
                <w:sz w:val="30"/>
                <w:szCs w:val="30"/>
                <w:highlight w:val="none"/>
                <w:lang w:bidi="ar"/>
              </w:rPr>
              <w:t>分组工程量清单报价表</w:t>
            </w:r>
          </w:p>
        </w:tc>
      </w:tr>
      <w:tr>
        <w:tblPrEx>
          <w:tblCellMar>
            <w:top w:w="0" w:type="dxa"/>
            <w:left w:w="108" w:type="dxa"/>
            <w:bottom w:w="0" w:type="dxa"/>
            <w:right w:w="108" w:type="dxa"/>
          </w:tblCellMar>
        </w:tblPrEx>
        <w:trPr>
          <w:trHeight w:val="560" w:hRule="atLeast"/>
        </w:trPr>
        <w:tc>
          <w:tcPr>
            <w:tcW w:w="0" w:type="auto"/>
            <w:gridSpan w:val="7"/>
            <w:tcBorders>
              <w:top w:val="nil"/>
              <w:left w:val="nil"/>
              <w:bottom w:val="nil"/>
              <w:right w:val="nil"/>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合同编号：</w:t>
            </w:r>
          </w:p>
        </w:tc>
      </w:tr>
      <w:tr>
        <w:tblPrEx>
          <w:tblCellMar>
            <w:top w:w="0" w:type="dxa"/>
            <w:left w:w="108" w:type="dxa"/>
            <w:bottom w:w="0" w:type="dxa"/>
            <w:right w:w="108" w:type="dxa"/>
          </w:tblCellMar>
        </w:tblPrEx>
        <w:trPr>
          <w:trHeight w:val="560" w:hRule="atLeast"/>
        </w:trPr>
        <w:tc>
          <w:tcPr>
            <w:tcW w:w="3700" w:type="dxa"/>
            <w:gridSpan w:val="3"/>
            <w:tcBorders>
              <w:top w:val="nil"/>
              <w:left w:val="nil"/>
              <w:bottom w:val="nil"/>
              <w:right w:val="nil"/>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工程名称：山阳县户家塬镇桃园村抗旱应急水源工程</w:t>
            </w:r>
          </w:p>
        </w:tc>
        <w:tc>
          <w:tcPr>
            <w:tcW w:w="5422" w:type="dxa"/>
            <w:gridSpan w:val="4"/>
            <w:tcBorders>
              <w:top w:val="nil"/>
              <w:left w:val="nil"/>
              <w:bottom w:val="nil"/>
              <w:right w:val="nil"/>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标段名称：</w:t>
            </w:r>
          </w:p>
        </w:tc>
      </w:tr>
      <w:tr>
        <w:tblPrEx>
          <w:tblCellMar>
            <w:top w:w="0" w:type="dxa"/>
            <w:left w:w="108" w:type="dxa"/>
            <w:bottom w:w="0" w:type="dxa"/>
            <w:right w:w="108" w:type="dxa"/>
          </w:tblCellMar>
        </w:tblPrEx>
        <w:trPr>
          <w:trHeight w:val="354" w:hRule="atLeast"/>
        </w:trPr>
        <w:tc>
          <w:tcPr>
            <w:tcW w:w="3700" w:type="dxa"/>
            <w:gridSpan w:val="3"/>
            <w:tcBorders>
              <w:top w:val="nil"/>
              <w:left w:val="nil"/>
              <w:bottom w:val="nil"/>
              <w:right w:val="nil"/>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组号： 3</w:t>
            </w:r>
          </w:p>
        </w:tc>
        <w:tc>
          <w:tcPr>
            <w:tcW w:w="5422" w:type="dxa"/>
            <w:gridSpan w:val="4"/>
            <w:tcBorders>
              <w:top w:val="nil"/>
              <w:left w:val="nil"/>
              <w:bottom w:val="nil"/>
              <w:right w:val="nil"/>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分组名称： 后槽组</w:t>
            </w:r>
          </w:p>
        </w:tc>
      </w:tr>
      <w:tr>
        <w:tblPrEx>
          <w:tblCellMar>
            <w:top w:w="0" w:type="dxa"/>
            <w:left w:w="108" w:type="dxa"/>
            <w:bottom w:w="0" w:type="dxa"/>
            <w:right w:w="108" w:type="dxa"/>
          </w:tblCellMar>
        </w:tblPrEx>
        <w:trPr>
          <w:trHeight w:val="3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工程数量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合计（元）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备注</w:t>
            </w: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3.1</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机井工程（油房湾水源）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3.1.1</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自动上水控制系统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套</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3.1.2</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潜水泵175QJ20-195/15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3.1.3</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控制箱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套</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3.1.4</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电缆（YJV-3×10+1×4-0.6/1KV）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m</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200</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3.1.5</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照明灯具及配线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套</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560" w:hRule="atLeast"/>
        </w:trPr>
        <w:tc>
          <w:tcPr>
            <w:tcW w:w="0" w:type="auto"/>
            <w:gridSpan w:val="7"/>
            <w:tcBorders>
              <w:top w:val="nil"/>
              <w:left w:val="nil"/>
              <w:bottom w:val="nil"/>
              <w:right w:val="nil"/>
            </w:tcBorders>
            <w:shd w:val="clear" w:color="auto" w:fill="auto"/>
            <w:noWrap/>
            <w:vAlign w:val="center"/>
          </w:tcPr>
          <w:p>
            <w:pPr>
              <w:widowControl/>
              <w:jc w:val="center"/>
              <w:textAlignment w:val="center"/>
              <w:rPr>
                <w:rFonts w:ascii="宋体" w:hAnsi="宋体" w:cs="宋体"/>
                <w:b/>
                <w:bCs/>
                <w:color w:val="000000"/>
                <w:sz w:val="30"/>
                <w:szCs w:val="30"/>
                <w:highlight w:val="none"/>
              </w:rPr>
            </w:pPr>
            <w:r>
              <w:rPr>
                <w:rFonts w:hint="eastAsia" w:ascii="宋体" w:hAnsi="宋体" w:cs="宋体"/>
                <w:b/>
                <w:bCs/>
                <w:color w:val="000000"/>
                <w:kern w:val="0"/>
                <w:sz w:val="30"/>
                <w:szCs w:val="30"/>
                <w:highlight w:val="none"/>
                <w:lang w:bidi="ar"/>
              </w:rPr>
              <w:t>分组工程量清单报价表</w:t>
            </w:r>
          </w:p>
        </w:tc>
      </w:tr>
      <w:tr>
        <w:tblPrEx>
          <w:tblCellMar>
            <w:top w:w="0" w:type="dxa"/>
            <w:left w:w="108" w:type="dxa"/>
            <w:bottom w:w="0" w:type="dxa"/>
            <w:right w:w="108" w:type="dxa"/>
          </w:tblCellMar>
        </w:tblPrEx>
        <w:trPr>
          <w:trHeight w:val="560" w:hRule="atLeast"/>
        </w:trPr>
        <w:tc>
          <w:tcPr>
            <w:tcW w:w="0" w:type="auto"/>
            <w:gridSpan w:val="7"/>
            <w:tcBorders>
              <w:top w:val="nil"/>
              <w:left w:val="nil"/>
              <w:bottom w:val="nil"/>
              <w:right w:val="nil"/>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合同编号：</w:t>
            </w:r>
          </w:p>
        </w:tc>
      </w:tr>
      <w:tr>
        <w:tblPrEx>
          <w:tblCellMar>
            <w:top w:w="0" w:type="dxa"/>
            <w:left w:w="108" w:type="dxa"/>
            <w:bottom w:w="0" w:type="dxa"/>
            <w:right w:w="108" w:type="dxa"/>
          </w:tblCellMar>
        </w:tblPrEx>
        <w:trPr>
          <w:trHeight w:val="560" w:hRule="atLeast"/>
        </w:trPr>
        <w:tc>
          <w:tcPr>
            <w:tcW w:w="3700" w:type="dxa"/>
            <w:gridSpan w:val="3"/>
            <w:tcBorders>
              <w:top w:val="nil"/>
              <w:left w:val="nil"/>
              <w:bottom w:val="nil"/>
              <w:right w:val="nil"/>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工程名称：山阳县户家塬镇桃园村抗旱应急水源工程</w:t>
            </w:r>
          </w:p>
        </w:tc>
        <w:tc>
          <w:tcPr>
            <w:tcW w:w="5422" w:type="dxa"/>
            <w:gridSpan w:val="4"/>
            <w:tcBorders>
              <w:top w:val="nil"/>
              <w:left w:val="nil"/>
              <w:bottom w:val="nil"/>
              <w:right w:val="nil"/>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标段名称：</w:t>
            </w:r>
          </w:p>
        </w:tc>
      </w:tr>
      <w:tr>
        <w:tblPrEx>
          <w:tblCellMar>
            <w:top w:w="0" w:type="dxa"/>
            <w:left w:w="108" w:type="dxa"/>
            <w:bottom w:w="0" w:type="dxa"/>
            <w:right w:w="108" w:type="dxa"/>
          </w:tblCellMar>
        </w:tblPrEx>
        <w:trPr>
          <w:trHeight w:val="354" w:hRule="atLeast"/>
        </w:trPr>
        <w:tc>
          <w:tcPr>
            <w:tcW w:w="3700" w:type="dxa"/>
            <w:gridSpan w:val="3"/>
            <w:tcBorders>
              <w:top w:val="nil"/>
              <w:left w:val="nil"/>
              <w:bottom w:val="nil"/>
              <w:right w:val="nil"/>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组号： 4</w:t>
            </w:r>
          </w:p>
        </w:tc>
        <w:tc>
          <w:tcPr>
            <w:tcW w:w="5422" w:type="dxa"/>
            <w:gridSpan w:val="4"/>
            <w:tcBorders>
              <w:top w:val="nil"/>
              <w:left w:val="nil"/>
              <w:bottom w:val="nil"/>
              <w:right w:val="nil"/>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分组名称： 麻地湾、柳家咀组</w:t>
            </w:r>
          </w:p>
        </w:tc>
      </w:tr>
      <w:tr>
        <w:tblPrEx>
          <w:tblCellMar>
            <w:top w:w="0" w:type="dxa"/>
            <w:left w:w="108" w:type="dxa"/>
            <w:bottom w:w="0" w:type="dxa"/>
            <w:right w:w="108" w:type="dxa"/>
          </w:tblCellMar>
        </w:tblPrEx>
        <w:trPr>
          <w:trHeight w:val="3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工程数量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合计（元）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备注</w:t>
            </w: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4.1</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机井工程（左家沟口水源）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4.1.1</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自动上水控制系统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套</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4.1.2</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潜水泵1750J20-130/10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4.1.3</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控制箱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套</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4.1.4</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电缆（YJV-3×6+1×4-0.6/1KV）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m</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200</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4.1.5</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照明灯具及配线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套</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560" w:hRule="atLeast"/>
        </w:trPr>
        <w:tc>
          <w:tcPr>
            <w:tcW w:w="0" w:type="auto"/>
            <w:gridSpan w:val="7"/>
            <w:tcBorders>
              <w:top w:val="nil"/>
              <w:left w:val="nil"/>
              <w:bottom w:val="nil"/>
              <w:right w:val="nil"/>
            </w:tcBorders>
            <w:shd w:val="clear" w:color="auto" w:fill="auto"/>
            <w:noWrap/>
            <w:vAlign w:val="center"/>
          </w:tcPr>
          <w:p>
            <w:pPr>
              <w:widowControl/>
              <w:jc w:val="center"/>
              <w:textAlignment w:val="center"/>
              <w:rPr>
                <w:rFonts w:ascii="宋体" w:hAnsi="宋体" w:cs="宋体"/>
                <w:b/>
                <w:bCs/>
                <w:color w:val="000000"/>
                <w:sz w:val="30"/>
                <w:szCs w:val="30"/>
                <w:highlight w:val="none"/>
              </w:rPr>
            </w:pPr>
            <w:r>
              <w:rPr>
                <w:rFonts w:hint="eastAsia" w:ascii="宋体" w:hAnsi="宋体" w:cs="宋体"/>
                <w:b/>
                <w:bCs/>
                <w:color w:val="000000"/>
                <w:kern w:val="0"/>
                <w:sz w:val="30"/>
                <w:szCs w:val="30"/>
                <w:highlight w:val="none"/>
                <w:lang w:bidi="ar"/>
              </w:rPr>
              <w:t>分组工程量清单报价表</w:t>
            </w:r>
          </w:p>
        </w:tc>
      </w:tr>
      <w:tr>
        <w:tblPrEx>
          <w:tblCellMar>
            <w:top w:w="0" w:type="dxa"/>
            <w:left w:w="108" w:type="dxa"/>
            <w:bottom w:w="0" w:type="dxa"/>
            <w:right w:w="108" w:type="dxa"/>
          </w:tblCellMar>
        </w:tblPrEx>
        <w:trPr>
          <w:trHeight w:val="560" w:hRule="atLeast"/>
        </w:trPr>
        <w:tc>
          <w:tcPr>
            <w:tcW w:w="0" w:type="auto"/>
            <w:gridSpan w:val="7"/>
            <w:tcBorders>
              <w:top w:val="nil"/>
              <w:left w:val="nil"/>
              <w:bottom w:val="nil"/>
              <w:right w:val="nil"/>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合同编号：</w:t>
            </w:r>
          </w:p>
        </w:tc>
      </w:tr>
      <w:tr>
        <w:tblPrEx>
          <w:tblCellMar>
            <w:top w:w="0" w:type="dxa"/>
            <w:left w:w="108" w:type="dxa"/>
            <w:bottom w:w="0" w:type="dxa"/>
            <w:right w:w="108" w:type="dxa"/>
          </w:tblCellMar>
        </w:tblPrEx>
        <w:trPr>
          <w:trHeight w:val="560" w:hRule="atLeast"/>
        </w:trPr>
        <w:tc>
          <w:tcPr>
            <w:tcW w:w="3700" w:type="dxa"/>
            <w:gridSpan w:val="3"/>
            <w:tcBorders>
              <w:top w:val="nil"/>
              <w:left w:val="nil"/>
              <w:bottom w:val="nil"/>
              <w:right w:val="nil"/>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工程名称：山阳县户家塬镇桃园村抗旱应急水源工程</w:t>
            </w:r>
          </w:p>
        </w:tc>
        <w:tc>
          <w:tcPr>
            <w:tcW w:w="5422" w:type="dxa"/>
            <w:gridSpan w:val="4"/>
            <w:tcBorders>
              <w:top w:val="nil"/>
              <w:left w:val="nil"/>
              <w:bottom w:val="nil"/>
              <w:right w:val="nil"/>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标段名称：</w:t>
            </w:r>
          </w:p>
        </w:tc>
      </w:tr>
      <w:tr>
        <w:tblPrEx>
          <w:tblCellMar>
            <w:top w:w="0" w:type="dxa"/>
            <w:left w:w="108" w:type="dxa"/>
            <w:bottom w:w="0" w:type="dxa"/>
            <w:right w:w="108" w:type="dxa"/>
          </w:tblCellMar>
        </w:tblPrEx>
        <w:trPr>
          <w:trHeight w:val="354" w:hRule="atLeast"/>
        </w:trPr>
        <w:tc>
          <w:tcPr>
            <w:tcW w:w="3700" w:type="dxa"/>
            <w:gridSpan w:val="3"/>
            <w:tcBorders>
              <w:top w:val="nil"/>
              <w:left w:val="nil"/>
              <w:bottom w:val="nil"/>
              <w:right w:val="nil"/>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组号： 5</w:t>
            </w:r>
          </w:p>
        </w:tc>
        <w:tc>
          <w:tcPr>
            <w:tcW w:w="5422" w:type="dxa"/>
            <w:gridSpan w:val="4"/>
            <w:tcBorders>
              <w:top w:val="nil"/>
              <w:left w:val="nil"/>
              <w:bottom w:val="nil"/>
              <w:right w:val="nil"/>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分组名称： 材料二次搬运费（暂定价3w）</w:t>
            </w:r>
          </w:p>
        </w:tc>
      </w:tr>
      <w:tr>
        <w:tblPrEx>
          <w:tblCellMar>
            <w:top w:w="0" w:type="dxa"/>
            <w:left w:w="108" w:type="dxa"/>
            <w:bottom w:w="0" w:type="dxa"/>
            <w:right w:w="108" w:type="dxa"/>
          </w:tblCellMar>
        </w:tblPrEx>
        <w:trPr>
          <w:trHeight w:val="3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工程数量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合计（元）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备注</w:t>
            </w: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5</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材料二次搬运费（暂定价3w）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项</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30000.00</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30000.00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560" w:hRule="atLeast"/>
        </w:trPr>
        <w:tc>
          <w:tcPr>
            <w:tcW w:w="0" w:type="auto"/>
            <w:gridSpan w:val="7"/>
            <w:tcBorders>
              <w:top w:val="nil"/>
              <w:left w:val="nil"/>
              <w:bottom w:val="nil"/>
              <w:right w:val="nil"/>
            </w:tcBorders>
            <w:shd w:val="clear" w:color="auto" w:fill="auto"/>
            <w:noWrap/>
            <w:vAlign w:val="center"/>
          </w:tcPr>
          <w:p>
            <w:pPr>
              <w:widowControl/>
              <w:jc w:val="center"/>
              <w:textAlignment w:val="center"/>
              <w:rPr>
                <w:rFonts w:ascii="宋体" w:hAnsi="宋体" w:cs="宋体"/>
                <w:b/>
                <w:bCs/>
                <w:color w:val="000000"/>
                <w:sz w:val="30"/>
                <w:szCs w:val="30"/>
                <w:highlight w:val="none"/>
              </w:rPr>
            </w:pPr>
            <w:r>
              <w:rPr>
                <w:rFonts w:hint="eastAsia" w:ascii="宋体" w:hAnsi="宋体" w:cs="宋体"/>
                <w:b/>
                <w:bCs/>
                <w:color w:val="000000"/>
                <w:kern w:val="0"/>
                <w:sz w:val="30"/>
                <w:szCs w:val="30"/>
                <w:highlight w:val="none"/>
                <w:lang w:bidi="ar"/>
              </w:rPr>
              <w:t>分组工程量清单报价表</w:t>
            </w:r>
          </w:p>
        </w:tc>
      </w:tr>
      <w:tr>
        <w:tblPrEx>
          <w:tblCellMar>
            <w:top w:w="0" w:type="dxa"/>
            <w:left w:w="108" w:type="dxa"/>
            <w:bottom w:w="0" w:type="dxa"/>
            <w:right w:w="108" w:type="dxa"/>
          </w:tblCellMar>
        </w:tblPrEx>
        <w:trPr>
          <w:trHeight w:val="560" w:hRule="atLeast"/>
        </w:trPr>
        <w:tc>
          <w:tcPr>
            <w:tcW w:w="0" w:type="auto"/>
            <w:gridSpan w:val="7"/>
            <w:tcBorders>
              <w:top w:val="nil"/>
              <w:left w:val="nil"/>
              <w:bottom w:val="nil"/>
              <w:right w:val="nil"/>
            </w:tcBorders>
            <w:shd w:val="clear" w:color="auto" w:fill="auto"/>
            <w:noWrap/>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合同编号：</w:t>
            </w:r>
          </w:p>
        </w:tc>
      </w:tr>
      <w:tr>
        <w:tblPrEx>
          <w:tblCellMar>
            <w:top w:w="0" w:type="dxa"/>
            <w:left w:w="108" w:type="dxa"/>
            <w:bottom w:w="0" w:type="dxa"/>
            <w:right w:w="108" w:type="dxa"/>
          </w:tblCellMar>
        </w:tblPrEx>
        <w:trPr>
          <w:trHeight w:val="560" w:hRule="atLeast"/>
        </w:trPr>
        <w:tc>
          <w:tcPr>
            <w:tcW w:w="3700" w:type="dxa"/>
            <w:gridSpan w:val="3"/>
            <w:tcBorders>
              <w:top w:val="nil"/>
              <w:left w:val="nil"/>
              <w:bottom w:val="nil"/>
              <w:right w:val="nil"/>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工程名称：山阳县户家塬镇桃园村抗旱应急水源工程</w:t>
            </w:r>
          </w:p>
        </w:tc>
        <w:tc>
          <w:tcPr>
            <w:tcW w:w="5422" w:type="dxa"/>
            <w:gridSpan w:val="4"/>
            <w:tcBorders>
              <w:top w:val="nil"/>
              <w:left w:val="nil"/>
              <w:bottom w:val="nil"/>
              <w:right w:val="nil"/>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标段名称：</w:t>
            </w:r>
          </w:p>
        </w:tc>
      </w:tr>
      <w:tr>
        <w:tblPrEx>
          <w:tblCellMar>
            <w:top w:w="0" w:type="dxa"/>
            <w:left w:w="108" w:type="dxa"/>
            <w:bottom w:w="0" w:type="dxa"/>
            <w:right w:w="108" w:type="dxa"/>
          </w:tblCellMar>
        </w:tblPrEx>
        <w:trPr>
          <w:trHeight w:val="354" w:hRule="atLeast"/>
        </w:trPr>
        <w:tc>
          <w:tcPr>
            <w:tcW w:w="3700" w:type="dxa"/>
            <w:gridSpan w:val="3"/>
            <w:tcBorders>
              <w:top w:val="nil"/>
              <w:left w:val="nil"/>
              <w:bottom w:val="nil"/>
              <w:right w:val="nil"/>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组号： 6</w:t>
            </w:r>
          </w:p>
        </w:tc>
        <w:tc>
          <w:tcPr>
            <w:tcW w:w="5422" w:type="dxa"/>
            <w:gridSpan w:val="4"/>
            <w:tcBorders>
              <w:top w:val="nil"/>
              <w:left w:val="nil"/>
              <w:bottom w:val="nil"/>
              <w:right w:val="nil"/>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分组名称： 其他施工临时工程</w:t>
            </w:r>
          </w:p>
        </w:tc>
      </w:tr>
      <w:tr>
        <w:tblPrEx>
          <w:tblCellMar>
            <w:top w:w="0" w:type="dxa"/>
            <w:left w:w="108" w:type="dxa"/>
            <w:bottom w:w="0" w:type="dxa"/>
            <w:right w:w="108" w:type="dxa"/>
          </w:tblCellMar>
        </w:tblPrEx>
        <w:trPr>
          <w:trHeight w:val="3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工程数量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合计（元）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备注</w:t>
            </w: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其他施工临时工程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2.00</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r>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highlight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highlight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highlight w:val="none"/>
              </w:rPr>
            </w:pPr>
          </w:p>
        </w:tc>
      </w:tr>
    </w:tbl>
    <w:p>
      <w:pPr>
        <w:rPr>
          <w:highlight w:val="none"/>
        </w:rPr>
        <w:sectPr>
          <w:pgSz w:w="11905" w:h="16838"/>
          <w:pgMar w:top="1559" w:right="1757" w:bottom="1984" w:left="1757" w:header="850" w:footer="992" w:gutter="0"/>
          <w:cols w:space="0" w:num="1"/>
          <w:docGrid w:linePitch="312" w:charSpace="0"/>
        </w:sectPr>
      </w:pPr>
    </w:p>
    <w:p>
      <w:pPr>
        <w:pStyle w:val="3"/>
        <w:spacing w:before="120" w:after="120" w:line="400" w:lineRule="exact"/>
        <w:jc w:val="center"/>
        <w:rPr>
          <w:rFonts w:ascii="宋体" w:hAnsi="宋体"/>
          <w:kern w:val="0"/>
          <w:sz w:val="32"/>
          <w:szCs w:val="32"/>
          <w:highlight w:val="none"/>
        </w:rPr>
      </w:pPr>
      <w:r>
        <w:rPr>
          <w:rFonts w:hint="eastAsia" w:ascii="宋体" w:hAnsi="宋体"/>
          <w:kern w:val="0"/>
          <w:sz w:val="32"/>
          <w:szCs w:val="32"/>
          <w:highlight w:val="none"/>
        </w:rPr>
        <w:t>第六章 评审方法</w:t>
      </w:r>
      <w:bookmarkEnd w:id="992"/>
    </w:p>
    <w:p>
      <w:pPr>
        <w:tabs>
          <w:tab w:val="left" w:pos="360"/>
        </w:tabs>
        <w:spacing w:line="360" w:lineRule="auto"/>
        <w:rPr>
          <w:rFonts w:ascii="宋体" w:hAnsi="宋体"/>
          <w:b/>
          <w:spacing w:val="4"/>
          <w:szCs w:val="21"/>
          <w:highlight w:val="none"/>
        </w:rPr>
      </w:pPr>
      <w:r>
        <w:rPr>
          <w:rFonts w:hint="eastAsia" w:ascii="宋体" w:hAnsi="宋体"/>
          <w:b/>
          <w:spacing w:val="4"/>
          <w:szCs w:val="21"/>
          <w:highlight w:val="none"/>
        </w:rPr>
        <w:t>一．评审方法</w:t>
      </w:r>
    </w:p>
    <w:p>
      <w:pPr>
        <w:widowControl/>
        <w:spacing w:line="360" w:lineRule="auto"/>
        <w:ind w:firstLine="420" w:firstLineChars="200"/>
        <w:jc w:val="left"/>
        <w:rPr>
          <w:rFonts w:ascii="宋体" w:hAnsi="宋体"/>
          <w:szCs w:val="21"/>
          <w:highlight w:val="none"/>
        </w:rPr>
      </w:pPr>
      <w:r>
        <w:rPr>
          <w:rFonts w:ascii="宋体" w:hAnsi="宋体"/>
          <w:szCs w:val="21"/>
          <w:highlight w:val="none"/>
        </w:rPr>
        <w:t>按照《中华人民共和国政府采购法》</w:t>
      </w:r>
      <w:r>
        <w:rPr>
          <w:rFonts w:hint="eastAsia" w:ascii="宋体" w:hAnsi="宋体"/>
          <w:szCs w:val="21"/>
          <w:highlight w:val="none"/>
        </w:rPr>
        <w:t>、中华人民共和国2015年第658号国务院令--《中华人民共和国政府采购法实施条例》、</w:t>
      </w:r>
      <w:r>
        <w:rPr>
          <w:rFonts w:hint="eastAsia" w:ascii="宋体" w:hAnsi="宋体"/>
          <w:bCs/>
          <w:szCs w:val="21"/>
          <w:highlight w:val="none"/>
        </w:rPr>
        <w:t>财库〔2015〕124号财政部关于政府采购竞争性磋商采购方式管理暂行办法有关问题的补充通知</w:t>
      </w:r>
      <w:r>
        <w:rPr>
          <w:rFonts w:hint="eastAsia" w:ascii="宋体" w:hAnsi="宋体" w:cs="宋体"/>
          <w:kern w:val="0"/>
          <w:szCs w:val="21"/>
          <w:highlight w:val="none"/>
        </w:rPr>
        <w:t>的规定</w:t>
      </w:r>
      <w:r>
        <w:rPr>
          <w:rFonts w:hint="eastAsia" w:ascii="宋体" w:hAnsi="宋体"/>
          <w:szCs w:val="21"/>
          <w:highlight w:val="none"/>
        </w:rPr>
        <w:t>，磋商小组采用综合评分法对提交最后报价的供应商的响应文件和最后报价进行综合评分，按照评审得分由高到低顺序推荐3名成交候选供应商。采购代理机构依法组建磋商小组，磋商小组3人，由采购人1人和其他相关方面专家2人组成，小组成员由采购人在陕西省政府采购专家库中随机抽取。磋商小组负责对具备实质性响应的投标文件进行评估和比较。</w:t>
      </w:r>
    </w:p>
    <w:p>
      <w:pPr>
        <w:spacing w:line="360" w:lineRule="auto"/>
        <w:rPr>
          <w:rFonts w:ascii="宋体" w:hAnsi="宋体"/>
          <w:b/>
          <w:spacing w:val="4"/>
          <w:szCs w:val="21"/>
          <w:highlight w:val="none"/>
        </w:rPr>
      </w:pPr>
      <w:r>
        <w:rPr>
          <w:rFonts w:hint="eastAsia" w:ascii="宋体" w:hAnsi="宋体"/>
          <w:b/>
          <w:spacing w:val="4"/>
          <w:szCs w:val="21"/>
          <w:highlight w:val="none"/>
        </w:rPr>
        <w:t>二．评审程序</w:t>
      </w:r>
    </w:p>
    <w:p>
      <w:pPr>
        <w:widowControl/>
        <w:spacing w:line="360" w:lineRule="auto"/>
        <w:ind w:firstLine="422" w:firstLineChars="200"/>
        <w:jc w:val="left"/>
        <w:rPr>
          <w:rFonts w:ascii="宋体" w:hAnsi="宋体"/>
          <w:b/>
          <w:szCs w:val="21"/>
          <w:highlight w:val="none"/>
        </w:rPr>
      </w:pPr>
      <w:r>
        <w:rPr>
          <w:rFonts w:hint="eastAsia" w:ascii="宋体" w:hAnsi="宋体"/>
          <w:b/>
          <w:szCs w:val="21"/>
          <w:highlight w:val="none"/>
        </w:rPr>
        <w:t>1、响应文件审查</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审查分为资格性检查和符合性检查。分别按照以下内容对磋商响应文件进行检查，一项不合格即按照无效响应处理。</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响应文件审查合格的为实质性响应磋商文件要求的供应商。</w:t>
      </w:r>
    </w:p>
    <w:tbl>
      <w:tblPr>
        <w:tblStyle w:val="45"/>
        <w:tblW w:w="9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870"/>
        <w:gridCol w:w="1755"/>
        <w:gridCol w:w="6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blHeader/>
          <w:jc w:val="center"/>
        </w:trPr>
        <w:tc>
          <w:tcPr>
            <w:tcW w:w="1707" w:type="dxa"/>
            <w:gridSpan w:val="2"/>
            <w:vAlign w:val="center"/>
          </w:tcPr>
          <w:p>
            <w:pPr>
              <w:spacing w:line="360" w:lineRule="auto"/>
              <w:jc w:val="center"/>
              <w:rPr>
                <w:rFonts w:ascii="宋体" w:hAnsi="宋体"/>
                <w:b/>
                <w:szCs w:val="21"/>
                <w:highlight w:val="none"/>
              </w:rPr>
            </w:pPr>
            <w:r>
              <w:rPr>
                <w:rFonts w:hint="eastAsia" w:ascii="宋体" w:hAnsi="宋体"/>
                <w:b/>
                <w:szCs w:val="21"/>
                <w:highlight w:val="none"/>
              </w:rPr>
              <w:t>条款号</w:t>
            </w:r>
          </w:p>
        </w:tc>
        <w:tc>
          <w:tcPr>
            <w:tcW w:w="1755" w:type="dxa"/>
            <w:vAlign w:val="center"/>
          </w:tcPr>
          <w:p>
            <w:pPr>
              <w:spacing w:line="360" w:lineRule="auto"/>
              <w:jc w:val="center"/>
              <w:rPr>
                <w:rFonts w:ascii="宋体" w:hAnsi="宋体"/>
                <w:b/>
                <w:szCs w:val="21"/>
                <w:highlight w:val="none"/>
              </w:rPr>
            </w:pPr>
            <w:r>
              <w:rPr>
                <w:rFonts w:hint="eastAsia" w:ascii="宋体" w:hAnsi="宋体"/>
                <w:b/>
                <w:szCs w:val="21"/>
                <w:highlight w:val="none"/>
              </w:rPr>
              <w:t>评审因素</w:t>
            </w:r>
          </w:p>
        </w:tc>
        <w:tc>
          <w:tcPr>
            <w:tcW w:w="6169" w:type="dxa"/>
            <w:vAlign w:val="center"/>
          </w:tcPr>
          <w:p>
            <w:pPr>
              <w:spacing w:line="360" w:lineRule="auto"/>
              <w:jc w:val="center"/>
              <w:rPr>
                <w:rFonts w:ascii="宋体" w:hAnsi="宋体"/>
                <w:b/>
                <w:szCs w:val="21"/>
                <w:highlight w:val="none"/>
              </w:rPr>
            </w:pPr>
            <w:r>
              <w:rPr>
                <w:rFonts w:hint="eastAsia" w:ascii="宋体" w:hAnsi="宋体"/>
                <w:b/>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37" w:type="dxa"/>
            <w:vAlign w:val="center"/>
          </w:tcPr>
          <w:p>
            <w:pPr>
              <w:spacing w:line="360" w:lineRule="auto"/>
              <w:jc w:val="center"/>
              <w:rPr>
                <w:rFonts w:ascii="宋体" w:hAnsi="宋体"/>
                <w:szCs w:val="21"/>
                <w:highlight w:val="none"/>
              </w:rPr>
            </w:pPr>
            <w:r>
              <w:rPr>
                <w:rFonts w:hint="eastAsia" w:ascii="宋体" w:hAnsi="宋体"/>
                <w:szCs w:val="21"/>
                <w:highlight w:val="none"/>
              </w:rPr>
              <w:t>1.1</w:t>
            </w:r>
          </w:p>
        </w:tc>
        <w:tc>
          <w:tcPr>
            <w:tcW w:w="8794" w:type="dxa"/>
            <w:gridSpan w:val="3"/>
            <w:vAlign w:val="center"/>
          </w:tcPr>
          <w:p>
            <w:pPr>
              <w:spacing w:line="360" w:lineRule="auto"/>
              <w:jc w:val="center"/>
              <w:rPr>
                <w:rFonts w:ascii="宋体" w:hAnsi="宋体"/>
                <w:szCs w:val="21"/>
                <w:highlight w:val="none"/>
              </w:rPr>
            </w:pPr>
            <w:r>
              <w:rPr>
                <w:rFonts w:hint="eastAsia" w:ascii="宋体" w:hAnsi="宋体"/>
                <w:szCs w:val="21"/>
                <w:highlight w:val="none"/>
              </w:rPr>
              <w:t>初步评审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837" w:type="dxa"/>
            <w:vAlign w:val="center"/>
          </w:tcPr>
          <w:p>
            <w:pPr>
              <w:spacing w:line="360" w:lineRule="auto"/>
              <w:jc w:val="center"/>
              <w:rPr>
                <w:rFonts w:ascii="宋体" w:hAnsi="宋体"/>
                <w:szCs w:val="21"/>
                <w:highlight w:val="none"/>
              </w:rPr>
            </w:pPr>
            <w:r>
              <w:rPr>
                <w:rFonts w:hint="eastAsia" w:ascii="宋体" w:hAnsi="宋体"/>
                <w:szCs w:val="21"/>
                <w:highlight w:val="none"/>
              </w:rPr>
              <w:t>1.1.1</w:t>
            </w:r>
          </w:p>
        </w:tc>
        <w:tc>
          <w:tcPr>
            <w:tcW w:w="870" w:type="dxa"/>
            <w:vAlign w:val="center"/>
          </w:tcPr>
          <w:p>
            <w:pPr>
              <w:spacing w:line="360" w:lineRule="auto"/>
              <w:jc w:val="center"/>
              <w:rPr>
                <w:rFonts w:ascii="宋体" w:hAnsi="宋体"/>
                <w:szCs w:val="21"/>
                <w:highlight w:val="none"/>
              </w:rPr>
            </w:pPr>
            <w:r>
              <w:rPr>
                <w:rFonts w:hint="eastAsia" w:ascii="宋体" w:hAnsi="宋体"/>
                <w:szCs w:val="21"/>
                <w:highlight w:val="none"/>
              </w:rPr>
              <w:t>资格评审标准</w:t>
            </w:r>
          </w:p>
        </w:tc>
        <w:tc>
          <w:tcPr>
            <w:tcW w:w="1755" w:type="dxa"/>
            <w:vAlign w:val="center"/>
          </w:tcPr>
          <w:p>
            <w:pPr>
              <w:spacing w:line="540" w:lineRule="exact"/>
              <w:jc w:val="center"/>
              <w:rPr>
                <w:rFonts w:ascii="宋体" w:hAnsi="宋体" w:cs="仿宋_GB2312"/>
                <w:kern w:val="0"/>
                <w:szCs w:val="21"/>
                <w:highlight w:val="none"/>
              </w:rPr>
            </w:pPr>
            <w:r>
              <w:rPr>
                <w:rFonts w:hint="eastAsia" w:ascii="宋体" w:hAnsi="宋体" w:cs="仿宋_GB2312"/>
                <w:kern w:val="0"/>
                <w:szCs w:val="21"/>
                <w:highlight w:val="none"/>
              </w:rPr>
              <w:t>资格要求</w:t>
            </w:r>
          </w:p>
        </w:tc>
        <w:tc>
          <w:tcPr>
            <w:tcW w:w="6169" w:type="dxa"/>
            <w:vAlign w:val="center"/>
          </w:tcPr>
          <w:p>
            <w:pPr>
              <w:autoSpaceDE w:val="0"/>
              <w:autoSpaceDN w:val="0"/>
              <w:spacing w:line="360" w:lineRule="auto"/>
              <w:jc w:val="left"/>
              <w:rPr>
                <w:rFonts w:ascii="宋体" w:hAnsi="宋体" w:cs="仿宋_GB2312"/>
                <w:kern w:val="0"/>
                <w:szCs w:val="21"/>
                <w:highlight w:val="none"/>
              </w:rPr>
            </w:pPr>
            <w:r>
              <w:rPr>
                <w:rFonts w:hint="eastAsia" w:ascii="宋体" w:hAnsi="宋体" w:cs="仿宋_GB2312"/>
                <w:kern w:val="0"/>
                <w:szCs w:val="21"/>
                <w:highlight w:val="none"/>
              </w:rPr>
              <w:t>符合《中华人民共和国政府采购法》第二十二条的规定的前提下满足以下要求：</w:t>
            </w:r>
          </w:p>
          <w:p>
            <w:pPr>
              <w:autoSpaceDE w:val="0"/>
              <w:autoSpaceDN w:val="0"/>
              <w:spacing w:line="360" w:lineRule="auto"/>
              <w:jc w:val="left"/>
              <w:rPr>
                <w:rFonts w:ascii="宋体" w:hAnsi="宋体" w:cs="仿宋_GB2312"/>
                <w:kern w:val="0"/>
                <w:szCs w:val="21"/>
                <w:highlight w:val="none"/>
              </w:rPr>
            </w:pPr>
            <w:r>
              <w:rPr>
                <w:rFonts w:ascii="宋体" w:hAnsi="宋体" w:cs="仿宋_GB2312"/>
                <w:kern w:val="0"/>
                <w:szCs w:val="21"/>
                <w:highlight w:val="none"/>
              </w:rPr>
              <w:t>(一)具有独立承担民事责任的能力;</w:t>
            </w:r>
          </w:p>
          <w:p>
            <w:pPr>
              <w:autoSpaceDE w:val="0"/>
              <w:autoSpaceDN w:val="0"/>
              <w:spacing w:line="360" w:lineRule="auto"/>
              <w:jc w:val="left"/>
              <w:rPr>
                <w:rFonts w:ascii="宋体" w:hAnsi="宋体" w:cs="仿宋_GB2312"/>
                <w:kern w:val="0"/>
                <w:szCs w:val="21"/>
                <w:highlight w:val="none"/>
              </w:rPr>
            </w:pPr>
            <w:r>
              <w:rPr>
                <w:rFonts w:ascii="宋体" w:hAnsi="宋体" w:cs="仿宋_GB2312"/>
                <w:kern w:val="0"/>
                <w:szCs w:val="21"/>
                <w:highlight w:val="none"/>
              </w:rPr>
              <w:t>(二)具有良好的商业信誉和健全的财务会计制度;</w:t>
            </w:r>
          </w:p>
          <w:p>
            <w:pPr>
              <w:autoSpaceDE w:val="0"/>
              <w:autoSpaceDN w:val="0"/>
              <w:spacing w:line="360" w:lineRule="auto"/>
              <w:jc w:val="left"/>
              <w:rPr>
                <w:rFonts w:ascii="宋体" w:hAnsi="宋体" w:cs="仿宋_GB2312"/>
                <w:kern w:val="0"/>
                <w:szCs w:val="21"/>
                <w:highlight w:val="none"/>
              </w:rPr>
            </w:pPr>
            <w:r>
              <w:rPr>
                <w:rFonts w:ascii="宋体" w:hAnsi="宋体" w:cs="仿宋_GB2312"/>
                <w:kern w:val="0"/>
                <w:szCs w:val="21"/>
                <w:highlight w:val="none"/>
              </w:rPr>
              <w:t>(三)具有履行合同所必需的设备和专业技术能力;</w:t>
            </w:r>
          </w:p>
          <w:p>
            <w:pPr>
              <w:autoSpaceDE w:val="0"/>
              <w:autoSpaceDN w:val="0"/>
              <w:spacing w:line="360" w:lineRule="auto"/>
              <w:jc w:val="left"/>
              <w:rPr>
                <w:rFonts w:ascii="宋体" w:hAnsi="宋体" w:cs="仿宋_GB2312"/>
                <w:kern w:val="0"/>
                <w:szCs w:val="21"/>
                <w:highlight w:val="none"/>
              </w:rPr>
            </w:pPr>
            <w:r>
              <w:rPr>
                <w:rFonts w:ascii="宋体" w:hAnsi="宋体" w:cs="仿宋_GB2312"/>
                <w:kern w:val="0"/>
                <w:szCs w:val="21"/>
                <w:highlight w:val="none"/>
              </w:rPr>
              <w:t>(四)有依法缴纳税收和社会保障资金的良好记录;</w:t>
            </w:r>
          </w:p>
          <w:p>
            <w:pPr>
              <w:autoSpaceDE w:val="0"/>
              <w:autoSpaceDN w:val="0"/>
              <w:spacing w:line="360" w:lineRule="auto"/>
              <w:jc w:val="left"/>
              <w:rPr>
                <w:rFonts w:ascii="宋体" w:hAnsi="宋体" w:cs="仿宋_GB2312"/>
                <w:kern w:val="0"/>
                <w:szCs w:val="21"/>
                <w:highlight w:val="none"/>
              </w:rPr>
            </w:pPr>
            <w:r>
              <w:rPr>
                <w:rFonts w:ascii="宋体" w:hAnsi="宋体" w:cs="仿宋_GB2312"/>
                <w:kern w:val="0"/>
                <w:szCs w:val="21"/>
                <w:highlight w:val="none"/>
              </w:rPr>
              <w:t>(五)参加政府采购活动前三年内，在经营活动中没有重大违法记录;</w:t>
            </w:r>
          </w:p>
          <w:p>
            <w:pPr>
              <w:autoSpaceDE w:val="0"/>
              <w:autoSpaceDN w:val="0"/>
              <w:spacing w:line="360" w:lineRule="auto"/>
              <w:jc w:val="left"/>
              <w:rPr>
                <w:rFonts w:ascii="宋体" w:hAnsi="宋体" w:cs="仿宋_GB2312"/>
                <w:kern w:val="0"/>
                <w:szCs w:val="21"/>
                <w:highlight w:val="none"/>
              </w:rPr>
            </w:pPr>
            <w:r>
              <w:rPr>
                <w:rFonts w:ascii="宋体" w:hAnsi="宋体" w:cs="仿宋_GB2312"/>
                <w:kern w:val="0"/>
                <w:szCs w:val="21"/>
                <w:highlight w:val="none"/>
              </w:rPr>
              <w:t>(六)法律、行政法规规定的其他条件。</w:t>
            </w:r>
          </w:p>
          <w:p>
            <w:pPr>
              <w:autoSpaceDE w:val="0"/>
              <w:autoSpaceDN w:val="0"/>
              <w:spacing w:line="360" w:lineRule="auto"/>
              <w:jc w:val="left"/>
              <w:rPr>
                <w:highlight w:val="none"/>
              </w:rPr>
            </w:pPr>
            <w:r>
              <w:rPr>
                <w:rFonts w:ascii="宋体" w:hAnsi="宋体" w:cs="仿宋_GB2312"/>
                <w:kern w:val="0"/>
                <w:szCs w:val="21"/>
                <w:highlight w:val="none"/>
              </w:rPr>
              <w:t>采购人可以根据采购项目的特殊要求，规定</w:t>
            </w:r>
            <w:r>
              <w:rPr>
                <w:rFonts w:hint="eastAsia" w:ascii="宋体" w:hAnsi="宋体" w:cs="仿宋_GB2312"/>
                <w:kern w:val="0"/>
                <w:szCs w:val="21"/>
                <w:highlight w:val="none"/>
              </w:rPr>
              <w:t>投标人</w:t>
            </w:r>
            <w:r>
              <w:rPr>
                <w:rFonts w:ascii="宋体" w:hAnsi="宋体" w:cs="仿宋_GB2312"/>
                <w:kern w:val="0"/>
                <w:szCs w:val="21"/>
                <w:highlight w:val="none"/>
              </w:rPr>
              <w:t>的特定条件，但不得以不合理的条件对</w:t>
            </w:r>
            <w:r>
              <w:rPr>
                <w:rFonts w:hint="eastAsia" w:ascii="宋体" w:hAnsi="宋体" w:cs="仿宋_GB2312"/>
                <w:kern w:val="0"/>
                <w:szCs w:val="21"/>
                <w:highlight w:val="none"/>
              </w:rPr>
              <w:t>投标人</w:t>
            </w:r>
            <w:r>
              <w:rPr>
                <w:rFonts w:ascii="宋体" w:hAnsi="宋体" w:cs="仿宋_GB2312"/>
                <w:kern w:val="0"/>
                <w:szCs w:val="21"/>
                <w:highlight w:val="none"/>
              </w:rPr>
              <w:t>实行差别待遇或者歧视待遇。</w:t>
            </w:r>
          </w:p>
          <w:p>
            <w:pPr>
              <w:pStyle w:val="40"/>
              <w:wordWrap w:val="0"/>
              <w:adjustRightInd w:val="0"/>
              <w:snapToGrid w:val="0"/>
              <w:spacing w:before="0" w:beforeAutospacing="0" w:after="0" w:afterAutospacing="0" w:line="360" w:lineRule="auto"/>
              <w:jc w:val="both"/>
              <w:rPr>
                <w:rFonts w:cs="仿宋_GB2312"/>
                <w:szCs w:val="21"/>
                <w:highlight w:val="none"/>
              </w:rPr>
            </w:pPr>
            <w:r>
              <w:rPr>
                <w:rFonts w:hint="eastAsia" w:asciiTheme="minorEastAsia" w:hAnsiTheme="minorEastAsia" w:eastAsiaTheme="minorEastAsia" w:cstheme="minorEastAsia"/>
                <w:sz w:val="21"/>
                <w:szCs w:val="21"/>
                <w:highlight w:val="none"/>
                <w:shd w:val="clear" w:color="auto" w:fill="FFFFFF"/>
              </w:rPr>
              <w:t>1)具有独立承担民事责任能力的法人、其他组织或自然人，并出具合法有效的营业执照或事业单位法人证书等国家规定的相关证明，自然人参与的提供其身份证明；</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2)法定代表人或负责人授权书（附法定代表人或负责人身份证复印件）及被授权人身份证；（法定代表人或负责人直接参加投标只须提供法定代表人或负责人身份证）；</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3)具有建设行政主管部门颁发的水利水电工程施工总承包三级及以上资质；同时具备安全生产许可证并在人员、设备、资金等方面具有相应的施工能力；</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4)拟派项目经理须具备水利水电工程二级及以上建造师资格证及安全生产考核合格证，并提供无在建工程承诺书；</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5)提供2021年或2022年度的财务审计报告（至少包括资产负债表和利润表，成立时间至提交投标文件截止时间不足一年的可提供成立后任意时段的资产负债表），或其基本存款账户开户银行出具的资信证明及基本存款账户开户许可证；</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6)提供投标截止日前近一年内任意一个月的纳税证明或完税证明（任意税种），依法免税的单位应提供相关证明材料；</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7)提供投标截止日前近一年内任意一个月的社会保障资金缴存单据或社保机构开具的社会保险参保缴费情况证明，依法不需要缴纳社会保障资金的单位应提供相关证明材料；</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8)提供具有履行合同所必需的设备和专业技术能力的承诺函；</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9)投标保证金缴纳凭证或担保机构出具的保函；</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10)单位负责人为同一人或者存在直接控股、管理关系的不同供应商，不得参加同一合同项下的政府采购活动；</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11)参加本次政府采购活动前三年内在经营活动中没有重大违纪的书面声明；</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12)不得为“信用中国”网站(http://www.creditchina.gov.cn)列入“失信被执行人或重大税收违法案件当事人名单或政府采购严重违法失信行为记录名单”的供应商；</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13)投标人须在陕西省政府采购（http://www.ccgp-shaanxi.gov.cn/）注册登记加入陕西省政府采购供应商库；</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14)投标人2020年1月1日至今完成一项类似合同业绩，需提供加盖公章的合同复印件；</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15)本项目不接受联合体投标；</w:t>
            </w:r>
            <w:r>
              <w:rPr>
                <w:rFonts w:hint="eastAsia" w:asciiTheme="minorEastAsia" w:hAnsiTheme="minorEastAsia" w:eastAsiaTheme="minorEastAsia" w:cstheme="minorEastAsia"/>
                <w:sz w:val="21"/>
                <w:szCs w:val="21"/>
                <w:highlight w:val="none"/>
                <w:shd w:val="clear" w:color="auto" w:fill="FFFFFF"/>
              </w:rPr>
              <w:br w:type="textWrapping"/>
            </w:r>
            <w:r>
              <w:rPr>
                <w:rFonts w:hint="eastAsia" w:asciiTheme="minorEastAsia" w:hAnsiTheme="minorEastAsia" w:eastAsiaTheme="minorEastAsia" w:cstheme="minorEastAsia"/>
                <w:sz w:val="21"/>
                <w:szCs w:val="21"/>
                <w:highlight w:val="none"/>
                <w:shd w:val="clear" w:color="auto" w:fill="FFFFFF"/>
              </w:rPr>
              <w:t>16)本项目专门面向小微企业采购，供应商应为小型、微型企业或监狱企业或残疾人福利性单位，投标时提供：《中小企业声明函》（格式见竞争性磋商文件）。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7" w:type="dxa"/>
            <w:vMerge w:val="restart"/>
            <w:vAlign w:val="center"/>
          </w:tcPr>
          <w:p>
            <w:pPr>
              <w:spacing w:line="360" w:lineRule="auto"/>
              <w:jc w:val="center"/>
              <w:rPr>
                <w:rFonts w:ascii="宋体" w:hAnsi="宋体"/>
                <w:szCs w:val="21"/>
                <w:highlight w:val="none"/>
              </w:rPr>
            </w:pPr>
            <w:r>
              <w:rPr>
                <w:rFonts w:hint="eastAsia" w:ascii="宋体" w:hAnsi="宋体"/>
                <w:szCs w:val="21"/>
                <w:highlight w:val="none"/>
              </w:rPr>
              <w:t>1.1.2</w:t>
            </w:r>
          </w:p>
        </w:tc>
        <w:tc>
          <w:tcPr>
            <w:tcW w:w="870" w:type="dxa"/>
            <w:vMerge w:val="restart"/>
            <w:vAlign w:val="center"/>
          </w:tcPr>
          <w:p>
            <w:pPr>
              <w:spacing w:line="360" w:lineRule="auto"/>
              <w:jc w:val="center"/>
              <w:rPr>
                <w:rFonts w:ascii="宋体" w:hAnsi="宋体"/>
                <w:szCs w:val="21"/>
                <w:highlight w:val="none"/>
              </w:rPr>
            </w:pPr>
            <w:r>
              <w:rPr>
                <w:rFonts w:hint="eastAsia" w:ascii="宋体" w:hAnsi="宋体"/>
                <w:szCs w:val="21"/>
                <w:highlight w:val="none"/>
              </w:rPr>
              <w:t>形式评</w:t>
            </w:r>
          </w:p>
          <w:p>
            <w:pPr>
              <w:spacing w:line="360" w:lineRule="auto"/>
              <w:jc w:val="center"/>
              <w:rPr>
                <w:rFonts w:ascii="宋体" w:hAnsi="宋体"/>
                <w:szCs w:val="21"/>
                <w:highlight w:val="none"/>
              </w:rPr>
            </w:pPr>
            <w:r>
              <w:rPr>
                <w:rFonts w:hint="eastAsia" w:ascii="宋体" w:hAnsi="宋体"/>
                <w:szCs w:val="21"/>
                <w:highlight w:val="none"/>
              </w:rPr>
              <w:t>审标准</w:t>
            </w:r>
          </w:p>
        </w:tc>
        <w:tc>
          <w:tcPr>
            <w:tcW w:w="1755" w:type="dxa"/>
            <w:vAlign w:val="center"/>
          </w:tcPr>
          <w:p>
            <w:pPr>
              <w:jc w:val="center"/>
              <w:rPr>
                <w:rFonts w:ascii="宋体" w:hAnsi="宋体"/>
                <w:szCs w:val="21"/>
                <w:highlight w:val="none"/>
              </w:rPr>
            </w:pPr>
            <w:r>
              <w:rPr>
                <w:rFonts w:hint="eastAsia" w:ascii="宋体" w:hAnsi="宋体"/>
                <w:szCs w:val="21"/>
                <w:highlight w:val="none"/>
              </w:rPr>
              <w:t>投标人名称</w:t>
            </w:r>
          </w:p>
        </w:tc>
        <w:tc>
          <w:tcPr>
            <w:tcW w:w="6169" w:type="dxa"/>
            <w:vAlign w:val="center"/>
          </w:tcPr>
          <w:p>
            <w:pPr>
              <w:rPr>
                <w:rFonts w:ascii="宋体" w:hAnsi="宋体"/>
                <w:szCs w:val="21"/>
                <w:highlight w:val="none"/>
              </w:rPr>
            </w:pPr>
            <w:r>
              <w:rPr>
                <w:rFonts w:hint="eastAsia" w:ascii="宋体" w:hAnsi="宋体"/>
                <w:szCs w:val="21"/>
                <w:highlight w:val="none"/>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37" w:type="dxa"/>
            <w:vMerge w:val="continue"/>
            <w:vAlign w:val="center"/>
          </w:tcPr>
          <w:p>
            <w:pPr>
              <w:spacing w:line="360" w:lineRule="auto"/>
              <w:jc w:val="center"/>
              <w:rPr>
                <w:rFonts w:ascii="宋体" w:hAnsi="宋体"/>
                <w:szCs w:val="21"/>
                <w:highlight w:val="none"/>
              </w:rPr>
            </w:pPr>
          </w:p>
        </w:tc>
        <w:tc>
          <w:tcPr>
            <w:tcW w:w="870" w:type="dxa"/>
            <w:vMerge w:val="continue"/>
            <w:vAlign w:val="center"/>
          </w:tcPr>
          <w:p>
            <w:pPr>
              <w:spacing w:line="360" w:lineRule="auto"/>
              <w:jc w:val="center"/>
              <w:rPr>
                <w:rFonts w:ascii="宋体" w:hAnsi="宋体"/>
                <w:szCs w:val="21"/>
                <w:highlight w:val="none"/>
              </w:rPr>
            </w:pPr>
          </w:p>
        </w:tc>
        <w:tc>
          <w:tcPr>
            <w:tcW w:w="1755" w:type="dxa"/>
            <w:vAlign w:val="center"/>
          </w:tcPr>
          <w:p>
            <w:pPr>
              <w:jc w:val="center"/>
              <w:rPr>
                <w:rFonts w:ascii="宋体" w:hAnsi="宋体"/>
                <w:szCs w:val="21"/>
                <w:highlight w:val="none"/>
              </w:rPr>
            </w:pPr>
            <w:r>
              <w:rPr>
                <w:rFonts w:hint="eastAsia" w:ascii="宋体" w:hAnsi="宋体"/>
                <w:szCs w:val="21"/>
                <w:highlight w:val="none"/>
              </w:rPr>
              <w:t>投标函签字盖章</w:t>
            </w:r>
          </w:p>
        </w:tc>
        <w:tc>
          <w:tcPr>
            <w:tcW w:w="6169" w:type="dxa"/>
            <w:vAlign w:val="center"/>
          </w:tcPr>
          <w:p>
            <w:pPr>
              <w:rPr>
                <w:rFonts w:ascii="宋体" w:hAnsi="宋体"/>
                <w:szCs w:val="21"/>
                <w:highlight w:val="none"/>
              </w:rPr>
            </w:pPr>
            <w:r>
              <w:rPr>
                <w:rFonts w:hint="eastAsia" w:ascii="宋体" w:hAnsi="宋体"/>
                <w:szCs w:val="21"/>
                <w:highlight w:val="none"/>
              </w:rPr>
              <w:t>由法定代表人或其授权代理人签字或盖章并加盖公章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37" w:type="dxa"/>
            <w:vMerge w:val="continue"/>
            <w:vAlign w:val="center"/>
          </w:tcPr>
          <w:p>
            <w:pPr>
              <w:spacing w:line="360" w:lineRule="auto"/>
              <w:jc w:val="center"/>
              <w:rPr>
                <w:rFonts w:ascii="宋体" w:hAnsi="宋体"/>
                <w:szCs w:val="21"/>
                <w:highlight w:val="none"/>
              </w:rPr>
            </w:pPr>
          </w:p>
        </w:tc>
        <w:tc>
          <w:tcPr>
            <w:tcW w:w="870" w:type="dxa"/>
            <w:vMerge w:val="continue"/>
            <w:vAlign w:val="center"/>
          </w:tcPr>
          <w:p>
            <w:pPr>
              <w:spacing w:line="360" w:lineRule="auto"/>
              <w:jc w:val="center"/>
              <w:rPr>
                <w:rFonts w:ascii="宋体" w:hAnsi="宋体"/>
                <w:szCs w:val="21"/>
                <w:highlight w:val="none"/>
              </w:rPr>
            </w:pPr>
          </w:p>
        </w:tc>
        <w:tc>
          <w:tcPr>
            <w:tcW w:w="1755" w:type="dxa"/>
            <w:vAlign w:val="center"/>
          </w:tcPr>
          <w:p>
            <w:pPr>
              <w:autoSpaceDE w:val="0"/>
              <w:autoSpaceDN w:val="0"/>
              <w:jc w:val="center"/>
              <w:rPr>
                <w:rFonts w:ascii="宋体" w:hAnsi="宋体" w:cs="仿宋_GB2312"/>
                <w:kern w:val="0"/>
                <w:szCs w:val="21"/>
                <w:highlight w:val="none"/>
              </w:rPr>
            </w:pPr>
            <w:r>
              <w:rPr>
                <w:rFonts w:hint="eastAsia" w:ascii="宋体" w:hAnsi="宋体" w:cs="仿宋_GB2312"/>
                <w:kern w:val="0"/>
                <w:szCs w:val="21"/>
                <w:highlight w:val="none"/>
              </w:rPr>
              <w:t>投标文件格式</w:t>
            </w:r>
          </w:p>
        </w:tc>
        <w:tc>
          <w:tcPr>
            <w:tcW w:w="6169" w:type="dxa"/>
            <w:vAlign w:val="center"/>
          </w:tcPr>
          <w:p>
            <w:pPr>
              <w:autoSpaceDE w:val="0"/>
              <w:autoSpaceDN w:val="0"/>
              <w:rPr>
                <w:rFonts w:ascii="宋体" w:hAnsi="宋体" w:cs="仿宋_GB2312"/>
                <w:kern w:val="0"/>
                <w:szCs w:val="21"/>
                <w:highlight w:val="none"/>
              </w:rPr>
            </w:pPr>
            <w:r>
              <w:rPr>
                <w:rFonts w:hint="eastAsia" w:ascii="宋体" w:hAnsi="宋体" w:cs="仿宋_GB2312"/>
                <w:kern w:val="0"/>
                <w:szCs w:val="21"/>
                <w:highlight w:val="none"/>
              </w:rPr>
              <w:t>符合第四章“磋商响应文件格式”的要求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37" w:type="dxa"/>
            <w:vMerge w:val="continue"/>
            <w:vAlign w:val="center"/>
          </w:tcPr>
          <w:p>
            <w:pPr>
              <w:spacing w:line="360" w:lineRule="auto"/>
              <w:jc w:val="center"/>
              <w:rPr>
                <w:rFonts w:ascii="宋体" w:hAnsi="宋体"/>
                <w:szCs w:val="21"/>
                <w:highlight w:val="none"/>
              </w:rPr>
            </w:pPr>
          </w:p>
        </w:tc>
        <w:tc>
          <w:tcPr>
            <w:tcW w:w="870" w:type="dxa"/>
            <w:vMerge w:val="continue"/>
            <w:vAlign w:val="center"/>
          </w:tcPr>
          <w:p>
            <w:pPr>
              <w:spacing w:line="360" w:lineRule="auto"/>
              <w:jc w:val="center"/>
              <w:rPr>
                <w:rFonts w:ascii="宋体" w:hAnsi="宋体"/>
                <w:szCs w:val="21"/>
                <w:highlight w:val="none"/>
              </w:rPr>
            </w:pPr>
          </w:p>
        </w:tc>
        <w:tc>
          <w:tcPr>
            <w:tcW w:w="1755" w:type="dxa"/>
            <w:vAlign w:val="center"/>
          </w:tcPr>
          <w:p>
            <w:pPr>
              <w:jc w:val="center"/>
              <w:rPr>
                <w:rFonts w:ascii="宋体" w:hAnsi="宋体"/>
                <w:szCs w:val="21"/>
                <w:highlight w:val="none"/>
              </w:rPr>
            </w:pPr>
            <w:r>
              <w:rPr>
                <w:rFonts w:hint="eastAsia" w:ascii="宋体" w:hAnsi="宋体"/>
                <w:szCs w:val="21"/>
                <w:highlight w:val="none"/>
              </w:rPr>
              <w:t>报价唯一</w:t>
            </w:r>
          </w:p>
        </w:tc>
        <w:tc>
          <w:tcPr>
            <w:tcW w:w="6169" w:type="dxa"/>
            <w:vAlign w:val="center"/>
          </w:tcPr>
          <w:p>
            <w:pPr>
              <w:rPr>
                <w:rFonts w:ascii="宋体" w:hAnsi="宋体"/>
                <w:szCs w:val="21"/>
                <w:highlight w:val="none"/>
              </w:rPr>
            </w:pPr>
            <w:r>
              <w:rPr>
                <w:rFonts w:hint="eastAsia" w:ascii="宋体" w:hAnsi="宋体"/>
                <w:szCs w:val="21"/>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37" w:type="dxa"/>
            <w:vMerge w:val="restart"/>
            <w:vAlign w:val="center"/>
          </w:tcPr>
          <w:p>
            <w:pPr>
              <w:spacing w:line="360" w:lineRule="auto"/>
              <w:jc w:val="center"/>
              <w:rPr>
                <w:rFonts w:ascii="宋体" w:hAnsi="宋体"/>
                <w:szCs w:val="21"/>
                <w:highlight w:val="none"/>
              </w:rPr>
            </w:pPr>
            <w:r>
              <w:rPr>
                <w:rFonts w:hint="eastAsia" w:ascii="宋体" w:hAnsi="宋体"/>
                <w:szCs w:val="21"/>
                <w:highlight w:val="none"/>
              </w:rPr>
              <w:t>1.1.3</w:t>
            </w:r>
          </w:p>
        </w:tc>
        <w:tc>
          <w:tcPr>
            <w:tcW w:w="870" w:type="dxa"/>
            <w:vMerge w:val="restart"/>
            <w:vAlign w:val="center"/>
          </w:tcPr>
          <w:p>
            <w:pPr>
              <w:spacing w:line="360" w:lineRule="auto"/>
              <w:jc w:val="center"/>
              <w:rPr>
                <w:rFonts w:ascii="宋体" w:hAnsi="宋体"/>
                <w:szCs w:val="21"/>
                <w:highlight w:val="none"/>
              </w:rPr>
            </w:pPr>
            <w:r>
              <w:rPr>
                <w:rFonts w:hint="eastAsia" w:ascii="宋体" w:hAnsi="宋体"/>
                <w:szCs w:val="21"/>
                <w:highlight w:val="none"/>
              </w:rPr>
              <w:t>响应性</w:t>
            </w:r>
          </w:p>
          <w:p>
            <w:pPr>
              <w:spacing w:line="360" w:lineRule="auto"/>
              <w:jc w:val="center"/>
              <w:rPr>
                <w:rFonts w:ascii="宋体" w:hAnsi="宋体"/>
                <w:szCs w:val="21"/>
                <w:highlight w:val="none"/>
              </w:rPr>
            </w:pPr>
            <w:r>
              <w:rPr>
                <w:rFonts w:hint="eastAsia" w:ascii="宋体" w:hAnsi="宋体"/>
                <w:szCs w:val="21"/>
                <w:highlight w:val="none"/>
              </w:rPr>
              <w:t>评审</w:t>
            </w:r>
          </w:p>
          <w:p>
            <w:pPr>
              <w:spacing w:line="360" w:lineRule="auto"/>
              <w:jc w:val="center"/>
              <w:rPr>
                <w:rFonts w:ascii="宋体" w:hAnsi="宋体"/>
                <w:szCs w:val="21"/>
                <w:highlight w:val="none"/>
              </w:rPr>
            </w:pPr>
            <w:r>
              <w:rPr>
                <w:rFonts w:hint="eastAsia" w:ascii="宋体" w:hAnsi="宋体"/>
                <w:szCs w:val="21"/>
                <w:highlight w:val="none"/>
              </w:rPr>
              <w:t>标准</w:t>
            </w:r>
          </w:p>
        </w:tc>
        <w:tc>
          <w:tcPr>
            <w:tcW w:w="1755" w:type="dxa"/>
            <w:vAlign w:val="center"/>
          </w:tcPr>
          <w:p>
            <w:pPr>
              <w:jc w:val="center"/>
              <w:rPr>
                <w:rFonts w:ascii="宋体" w:hAnsi="宋体"/>
                <w:szCs w:val="21"/>
                <w:highlight w:val="none"/>
              </w:rPr>
            </w:pPr>
            <w:r>
              <w:rPr>
                <w:rFonts w:hint="eastAsia" w:ascii="宋体" w:hAnsi="宋体"/>
                <w:szCs w:val="21"/>
                <w:highlight w:val="none"/>
              </w:rPr>
              <w:t>投标内容</w:t>
            </w:r>
          </w:p>
        </w:tc>
        <w:tc>
          <w:tcPr>
            <w:tcW w:w="6169" w:type="dxa"/>
            <w:vAlign w:val="center"/>
          </w:tcPr>
          <w:p>
            <w:pPr>
              <w:rPr>
                <w:rFonts w:ascii="宋体" w:hAnsi="宋体"/>
                <w:szCs w:val="21"/>
                <w:highlight w:val="none"/>
              </w:rPr>
            </w:pPr>
            <w:r>
              <w:rPr>
                <w:rFonts w:hint="eastAsia" w:ascii="宋体" w:hAnsi="宋体"/>
                <w:szCs w:val="21"/>
                <w:highlight w:val="none"/>
              </w:rPr>
              <w:t>符合第二章“投标须知前附表”第31.3项规定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37" w:type="dxa"/>
            <w:vMerge w:val="continue"/>
            <w:vAlign w:val="center"/>
          </w:tcPr>
          <w:p>
            <w:pPr>
              <w:spacing w:line="360" w:lineRule="auto"/>
              <w:jc w:val="center"/>
              <w:rPr>
                <w:rFonts w:ascii="宋体" w:hAnsi="宋体"/>
                <w:szCs w:val="21"/>
                <w:highlight w:val="none"/>
              </w:rPr>
            </w:pPr>
          </w:p>
        </w:tc>
        <w:tc>
          <w:tcPr>
            <w:tcW w:w="870" w:type="dxa"/>
            <w:vMerge w:val="continue"/>
            <w:vAlign w:val="center"/>
          </w:tcPr>
          <w:p>
            <w:pPr>
              <w:spacing w:line="360" w:lineRule="auto"/>
              <w:jc w:val="center"/>
              <w:rPr>
                <w:rFonts w:ascii="宋体" w:hAnsi="宋体"/>
                <w:szCs w:val="21"/>
                <w:highlight w:val="none"/>
              </w:rPr>
            </w:pPr>
          </w:p>
        </w:tc>
        <w:tc>
          <w:tcPr>
            <w:tcW w:w="1755" w:type="dxa"/>
            <w:vAlign w:val="center"/>
          </w:tcPr>
          <w:p>
            <w:pPr>
              <w:jc w:val="center"/>
              <w:rPr>
                <w:rFonts w:ascii="宋体" w:hAnsi="宋体"/>
                <w:szCs w:val="21"/>
                <w:highlight w:val="none"/>
              </w:rPr>
            </w:pPr>
            <w:r>
              <w:rPr>
                <w:rFonts w:hint="eastAsia" w:ascii="宋体" w:hAnsi="宋体"/>
                <w:szCs w:val="21"/>
                <w:highlight w:val="none"/>
              </w:rPr>
              <w:t>工期</w:t>
            </w:r>
          </w:p>
        </w:tc>
        <w:tc>
          <w:tcPr>
            <w:tcW w:w="6169" w:type="dxa"/>
            <w:vAlign w:val="center"/>
          </w:tcPr>
          <w:p>
            <w:pPr>
              <w:rPr>
                <w:rFonts w:ascii="宋体" w:hAnsi="宋体"/>
                <w:szCs w:val="21"/>
                <w:highlight w:val="none"/>
              </w:rPr>
            </w:pPr>
            <w:r>
              <w:rPr>
                <w:rFonts w:hint="eastAsia" w:ascii="宋体" w:hAnsi="宋体"/>
                <w:szCs w:val="21"/>
                <w:highlight w:val="none"/>
              </w:rPr>
              <w:t>符合第二章“投标须知前附表”第31.1项规定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37" w:type="dxa"/>
            <w:vMerge w:val="continue"/>
            <w:vAlign w:val="center"/>
          </w:tcPr>
          <w:p>
            <w:pPr>
              <w:spacing w:line="360" w:lineRule="auto"/>
              <w:jc w:val="center"/>
              <w:rPr>
                <w:rFonts w:ascii="宋体" w:hAnsi="宋体"/>
                <w:szCs w:val="21"/>
                <w:highlight w:val="none"/>
              </w:rPr>
            </w:pPr>
          </w:p>
        </w:tc>
        <w:tc>
          <w:tcPr>
            <w:tcW w:w="870" w:type="dxa"/>
            <w:vMerge w:val="continue"/>
            <w:vAlign w:val="center"/>
          </w:tcPr>
          <w:p>
            <w:pPr>
              <w:spacing w:line="360" w:lineRule="auto"/>
              <w:jc w:val="center"/>
              <w:rPr>
                <w:rFonts w:ascii="宋体" w:hAnsi="宋体"/>
                <w:szCs w:val="21"/>
                <w:highlight w:val="none"/>
              </w:rPr>
            </w:pPr>
          </w:p>
        </w:tc>
        <w:tc>
          <w:tcPr>
            <w:tcW w:w="1755" w:type="dxa"/>
            <w:vAlign w:val="center"/>
          </w:tcPr>
          <w:p>
            <w:pPr>
              <w:jc w:val="center"/>
              <w:rPr>
                <w:rFonts w:ascii="宋体" w:hAnsi="宋体"/>
                <w:szCs w:val="21"/>
                <w:highlight w:val="none"/>
              </w:rPr>
            </w:pPr>
            <w:r>
              <w:rPr>
                <w:rFonts w:hint="eastAsia" w:ascii="宋体" w:hAnsi="宋体"/>
                <w:szCs w:val="21"/>
                <w:highlight w:val="none"/>
              </w:rPr>
              <w:t>工程质量</w:t>
            </w:r>
          </w:p>
        </w:tc>
        <w:tc>
          <w:tcPr>
            <w:tcW w:w="6169" w:type="dxa"/>
            <w:vAlign w:val="center"/>
          </w:tcPr>
          <w:p>
            <w:pPr>
              <w:rPr>
                <w:rFonts w:ascii="宋体" w:hAnsi="宋体"/>
                <w:szCs w:val="21"/>
                <w:highlight w:val="none"/>
              </w:rPr>
            </w:pPr>
            <w:r>
              <w:rPr>
                <w:rFonts w:hint="eastAsia" w:ascii="宋体" w:hAnsi="宋体"/>
                <w:szCs w:val="21"/>
                <w:highlight w:val="none"/>
              </w:rPr>
              <w:t>符合第二章“投标须知前附表”第31.2项规定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837" w:type="dxa"/>
            <w:vMerge w:val="continue"/>
            <w:vAlign w:val="center"/>
          </w:tcPr>
          <w:p>
            <w:pPr>
              <w:spacing w:line="360" w:lineRule="auto"/>
              <w:jc w:val="center"/>
              <w:rPr>
                <w:rFonts w:ascii="宋体" w:hAnsi="宋体"/>
                <w:szCs w:val="21"/>
                <w:highlight w:val="none"/>
              </w:rPr>
            </w:pPr>
          </w:p>
        </w:tc>
        <w:tc>
          <w:tcPr>
            <w:tcW w:w="870" w:type="dxa"/>
            <w:vMerge w:val="continue"/>
            <w:vAlign w:val="center"/>
          </w:tcPr>
          <w:p>
            <w:pPr>
              <w:spacing w:line="360" w:lineRule="auto"/>
              <w:jc w:val="center"/>
              <w:rPr>
                <w:rFonts w:ascii="宋体" w:hAnsi="宋体"/>
                <w:szCs w:val="21"/>
                <w:highlight w:val="none"/>
              </w:rPr>
            </w:pPr>
          </w:p>
        </w:tc>
        <w:tc>
          <w:tcPr>
            <w:tcW w:w="1755" w:type="dxa"/>
            <w:vAlign w:val="center"/>
          </w:tcPr>
          <w:p>
            <w:pPr>
              <w:jc w:val="center"/>
              <w:rPr>
                <w:rFonts w:ascii="宋体" w:hAnsi="宋体"/>
                <w:szCs w:val="21"/>
                <w:highlight w:val="none"/>
              </w:rPr>
            </w:pPr>
            <w:r>
              <w:rPr>
                <w:rFonts w:hint="eastAsia" w:ascii="宋体" w:hAnsi="宋体"/>
                <w:szCs w:val="21"/>
                <w:highlight w:val="none"/>
              </w:rPr>
              <w:t>投标有效期</w:t>
            </w:r>
          </w:p>
        </w:tc>
        <w:tc>
          <w:tcPr>
            <w:tcW w:w="6169" w:type="dxa"/>
            <w:vAlign w:val="center"/>
          </w:tcPr>
          <w:p>
            <w:pPr>
              <w:rPr>
                <w:rFonts w:ascii="宋体" w:hAnsi="宋体"/>
                <w:szCs w:val="21"/>
                <w:highlight w:val="none"/>
              </w:rPr>
            </w:pPr>
            <w:r>
              <w:rPr>
                <w:rFonts w:hint="eastAsia" w:ascii="宋体" w:hAnsi="宋体"/>
                <w:szCs w:val="21"/>
                <w:highlight w:val="none"/>
              </w:rPr>
              <w:t>符合第二章“投标须知前附表”第16.1项规定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37" w:type="dxa"/>
            <w:vMerge w:val="continue"/>
            <w:vAlign w:val="center"/>
          </w:tcPr>
          <w:p>
            <w:pPr>
              <w:spacing w:line="360" w:lineRule="auto"/>
              <w:jc w:val="center"/>
              <w:rPr>
                <w:rFonts w:ascii="宋体" w:hAnsi="宋体"/>
                <w:szCs w:val="21"/>
                <w:highlight w:val="none"/>
              </w:rPr>
            </w:pPr>
          </w:p>
        </w:tc>
        <w:tc>
          <w:tcPr>
            <w:tcW w:w="870" w:type="dxa"/>
            <w:vMerge w:val="continue"/>
            <w:vAlign w:val="center"/>
          </w:tcPr>
          <w:p>
            <w:pPr>
              <w:spacing w:line="360" w:lineRule="auto"/>
              <w:jc w:val="center"/>
              <w:rPr>
                <w:rFonts w:ascii="宋体" w:hAnsi="宋体"/>
                <w:szCs w:val="21"/>
                <w:highlight w:val="none"/>
              </w:rPr>
            </w:pPr>
          </w:p>
        </w:tc>
        <w:tc>
          <w:tcPr>
            <w:tcW w:w="1755" w:type="dxa"/>
            <w:vAlign w:val="center"/>
          </w:tcPr>
          <w:p>
            <w:pPr>
              <w:jc w:val="center"/>
              <w:rPr>
                <w:rFonts w:ascii="宋体" w:hAnsi="宋体"/>
                <w:szCs w:val="21"/>
                <w:highlight w:val="none"/>
              </w:rPr>
            </w:pPr>
            <w:r>
              <w:rPr>
                <w:rFonts w:hint="eastAsia" w:ascii="宋体" w:hAnsi="宋体"/>
                <w:szCs w:val="21"/>
                <w:highlight w:val="none"/>
              </w:rPr>
              <w:t>投标保证金</w:t>
            </w:r>
          </w:p>
        </w:tc>
        <w:tc>
          <w:tcPr>
            <w:tcW w:w="6169" w:type="dxa"/>
            <w:vAlign w:val="center"/>
          </w:tcPr>
          <w:p>
            <w:pPr>
              <w:rPr>
                <w:rFonts w:ascii="宋体" w:hAnsi="宋体"/>
                <w:szCs w:val="21"/>
                <w:highlight w:val="none"/>
              </w:rPr>
            </w:pPr>
            <w:r>
              <w:rPr>
                <w:rFonts w:hint="eastAsia" w:ascii="宋体" w:hAnsi="宋体"/>
                <w:szCs w:val="21"/>
                <w:highlight w:val="none"/>
              </w:rPr>
              <w:t>符合第二章“投标须知前附表”第15.1项规定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7" w:type="dxa"/>
            <w:vMerge w:val="continue"/>
            <w:vAlign w:val="center"/>
          </w:tcPr>
          <w:p>
            <w:pPr>
              <w:spacing w:line="360" w:lineRule="auto"/>
              <w:jc w:val="center"/>
              <w:rPr>
                <w:rFonts w:ascii="宋体" w:hAnsi="宋体"/>
                <w:szCs w:val="21"/>
                <w:highlight w:val="none"/>
              </w:rPr>
            </w:pPr>
          </w:p>
        </w:tc>
        <w:tc>
          <w:tcPr>
            <w:tcW w:w="870" w:type="dxa"/>
            <w:vMerge w:val="continue"/>
            <w:vAlign w:val="center"/>
          </w:tcPr>
          <w:p>
            <w:pPr>
              <w:spacing w:line="360" w:lineRule="auto"/>
              <w:jc w:val="center"/>
              <w:rPr>
                <w:rFonts w:ascii="宋体" w:hAnsi="宋体"/>
                <w:szCs w:val="21"/>
                <w:highlight w:val="none"/>
              </w:rPr>
            </w:pPr>
          </w:p>
        </w:tc>
        <w:tc>
          <w:tcPr>
            <w:tcW w:w="1755" w:type="dxa"/>
            <w:vAlign w:val="center"/>
          </w:tcPr>
          <w:p>
            <w:pPr>
              <w:jc w:val="center"/>
              <w:rPr>
                <w:rFonts w:ascii="宋体" w:hAnsi="宋体"/>
                <w:szCs w:val="21"/>
                <w:highlight w:val="none"/>
              </w:rPr>
            </w:pPr>
            <w:r>
              <w:rPr>
                <w:rFonts w:hint="eastAsia" w:ascii="宋体" w:hAnsi="宋体"/>
                <w:szCs w:val="21"/>
                <w:highlight w:val="none"/>
              </w:rPr>
              <w:t>权利义务</w:t>
            </w:r>
          </w:p>
        </w:tc>
        <w:tc>
          <w:tcPr>
            <w:tcW w:w="6169" w:type="dxa"/>
            <w:vAlign w:val="center"/>
          </w:tcPr>
          <w:p>
            <w:pPr>
              <w:rPr>
                <w:rFonts w:ascii="宋体" w:hAnsi="宋体"/>
                <w:szCs w:val="21"/>
                <w:highlight w:val="none"/>
              </w:rPr>
            </w:pPr>
            <w:r>
              <w:rPr>
                <w:rFonts w:hint="eastAsia" w:ascii="宋体" w:hAnsi="宋体"/>
                <w:szCs w:val="21"/>
                <w:highlight w:val="none"/>
              </w:rPr>
              <w:t>投标函附录中的响应表符合或优于竞争性磋商文件的相关规定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37" w:type="dxa"/>
            <w:vMerge w:val="continue"/>
            <w:vAlign w:val="center"/>
          </w:tcPr>
          <w:p>
            <w:pPr>
              <w:spacing w:line="360" w:lineRule="auto"/>
              <w:jc w:val="center"/>
              <w:rPr>
                <w:rFonts w:ascii="宋体" w:hAnsi="宋体"/>
                <w:szCs w:val="21"/>
                <w:highlight w:val="none"/>
              </w:rPr>
            </w:pPr>
          </w:p>
        </w:tc>
        <w:tc>
          <w:tcPr>
            <w:tcW w:w="870" w:type="dxa"/>
            <w:vMerge w:val="continue"/>
            <w:vAlign w:val="center"/>
          </w:tcPr>
          <w:p>
            <w:pPr>
              <w:spacing w:line="360" w:lineRule="auto"/>
              <w:jc w:val="center"/>
              <w:rPr>
                <w:rFonts w:ascii="宋体" w:hAnsi="宋体"/>
                <w:szCs w:val="21"/>
                <w:highlight w:val="none"/>
              </w:rPr>
            </w:pPr>
          </w:p>
        </w:tc>
        <w:tc>
          <w:tcPr>
            <w:tcW w:w="1755" w:type="dxa"/>
            <w:vAlign w:val="center"/>
          </w:tcPr>
          <w:p>
            <w:pPr>
              <w:jc w:val="center"/>
              <w:rPr>
                <w:rFonts w:ascii="宋体" w:hAnsi="宋体"/>
                <w:szCs w:val="21"/>
                <w:highlight w:val="none"/>
              </w:rPr>
            </w:pPr>
            <w:r>
              <w:rPr>
                <w:rFonts w:hint="eastAsia" w:ascii="宋体" w:hAnsi="宋体"/>
                <w:szCs w:val="21"/>
                <w:highlight w:val="none"/>
              </w:rPr>
              <w:t>投标价格</w:t>
            </w:r>
          </w:p>
        </w:tc>
        <w:tc>
          <w:tcPr>
            <w:tcW w:w="6169" w:type="dxa"/>
            <w:vAlign w:val="center"/>
          </w:tcPr>
          <w:p>
            <w:pPr>
              <w:rPr>
                <w:rFonts w:ascii="宋体" w:hAnsi="宋体"/>
                <w:szCs w:val="21"/>
                <w:highlight w:val="none"/>
              </w:rPr>
            </w:pPr>
            <w:r>
              <w:rPr>
                <w:rFonts w:hint="eastAsia" w:ascii="宋体" w:hAnsi="宋体"/>
                <w:kern w:val="0"/>
                <w:szCs w:val="21"/>
                <w:highlight w:val="none"/>
              </w:rPr>
              <w:t>投标报价不得高于最高限价</w:t>
            </w:r>
          </w:p>
        </w:tc>
      </w:tr>
    </w:tbl>
    <w:p>
      <w:pPr>
        <w:spacing w:line="360" w:lineRule="auto"/>
        <w:ind w:left="901" w:leftChars="228" w:hanging="422" w:hangingChars="200"/>
        <w:rPr>
          <w:rFonts w:ascii="宋体" w:hAnsi="宋体" w:cs="宋体"/>
          <w:b/>
          <w:kern w:val="0"/>
          <w:szCs w:val="21"/>
          <w:highlight w:val="none"/>
        </w:rPr>
      </w:pPr>
    </w:p>
    <w:p>
      <w:pPr>
        <w:spacing w:line="360" w:lineRule="auto"/>
        <w:ind w:left="901" w:leftChars="228" w:hanging="422" w:hangingChars="200"/>
        <w:rPr>
          <w:rFonts w:ascii="宋体" w:hAnsi="宋体" w:cs="宋体"/>
          <w:b/>
          <w:kern w:val="0"/>
          <w:szCs w:val="21"/>
          <w:highlight w:val="none"/>
        </w:rPr>
      </w:pPr>
      <w:r>
        <w:rPr>
          <w:rFonts w:hint="eastAsia" w:ascii="宋体" w:hAnsi="宋体" w:cs="宋体"/>
          <w:b/>
          <w:kern w:val="0"/>
          <w:szCs w:val="21"/>
          <w:highlight w:val="none"/>
        </w:rPr>
        <w:t>2、对报价明显偏低的审查</w:t>
      </w:r>
    </w:p>
    <w:p>
      <w:pPr>
        <w:widowControl/>
        <w:spacing w:line="360" w:lineRule="auto"/>
        <w:ind w:firstLine="420" w:firstLineChars="200"/>
        <w:jc w:val="left"/>
        <w:rPr>
          <w:rFonts w:ascii="宋体" w:hAnsi="宋体"/>
          <w:szCs w:val="21"/>
          <w:highlight w:val="none"/>
        </w:rPr>
      </w:pPr>
      <w:r>
        <w:rPr>
          <w:rFonts w:hint="eastAsia" w:ascii="宋体" w:hAnsi="宋体" w:cs="宋体"/>
          <w:kern w:val="0"/>
          <w:szCs w:val="21"/>
          <w:highlight w:val="none"/>
        </w:rPr>
        <w:t>磋商小组认为</w:t>
      </w:r>
      <w:r>
        <w:rPr>
          <w:rFonts w:hint="eastAsia" w:ascii="宋体" w:hAnsi="宋体"/>
          <w:szCs w:val="21"/>
          <w:highlight w:val="none"/>
        </w:rPr>
        <w:t>供应商</w:t>
      </w:r>
      <w:r>
        <w:rPr>
          <w:rFonts w:hint="eastAsia" w:ascii="宋体" w:hAnsi="宋体" w:cs="宋体"/>
          <w:kern w:val="0"/>
          <w:szCs w:val="21"/>
          <w:highlight w:val="none"/>
        </w:rPr>
        <w:t>的报价明显低于其他通过响应文件审查</w:t>
      </w:r>
      <w:r>
        <w:rPr>
          <w:rFonts w:hint="eastAsia" w:ascii="宋体" w:hAnsi="宋体"/>
          <w:szCs w:val="21"/>
          <w:highlight w:val="none"/>
        </w:rPr>
        <w:t>供应商</w:t>
      </w:r>
      <w:r>
        <w:rPr>
          <w:rFonts w:hint="eastAsia" w:ascii="宋体" w:hAnsi="宋体" w:cs="宋体"/>
          <w:kern w:val="0"/>
          <w:szCs w:val="21"/>
          <w:highlight w:val="none"/>
        </w:rPr>
        <w:t>的报价，有可能影响服务质量或者不能诚信履约的，应当要求其在磋商现场合理的时间内提供书面说明，必要时提交相关证明材料；</w:t>
      </w:r>
      <w:r>
        <w:rPr>
          <w:rFonts w:hint="eastAsia" w:ascii="宋体" w:hAnsi="宋体"/>
          <w:szCs w:val="21"/>
          <w:highlight w:val="none"/>
        </w:rPr>
        <w:t>供应商</w:t>
      </w:r>
      <w:r>
        <w:rPr>
          <w:rFonts w:hint="eastAsia" w:ascii="宋体" w:hAnsi="宋体" w:cs="宋体"/>
          <w:kern w:val="0"/>
          <w:szCs w:val="21"/>
          <w:highlight w:val="none"/>
        </w:rPr>
        <w:t>不能证明其报价合理性的，磋商小组应当将其作为无效磋商处理。</w:t>
      </w:r>
    </w:p>
    <w:p>
      <w:pPr>
        <w:widowControl/>
        <w:spacing w:line="360" w:lineRule="auto"/>
        <w:ind w:firstLine="422" w:firstLineChars="200"/>
        <w:jc w:val="left"/>
        <w:rPr>
          <w:rFonts w:ascii="宋体" w:hAnsi="宋体"/>
          <w:b/>
          <w:szCs w:val="21"/>
          <w:highlight w:val="none"/>
        </w:rPr>
      </w:pPr>
      <w:r>
        <w:rPr>
          <w:rFonts w:hint="eastAsia" w:ascii="宋体" w:hAnsi="宋体"/>
          <w:b/>
          <w:szCs w:val="21"/>
          <w:highlight w:val="none"/>
        </w:rPr>
        <w:t>3、澄清有关问题</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3.1对于可能出现的磋商报价不一致和文字文本差异按以下方法确认更正。</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3.1.1磋商时，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3.1.2磋商小组将按照上述原则修正响应文件中的磋商报价，修正后的价格对供应商具有约束力。如果供应商不接受修正后的价格，其响应按照无效处理。</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3.2对于响应文件中的非重大偏离，如果出现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w:t>
      </w:r>
    </w:p>
    <w:p>
      <w:pPr>
        <w:widowControl/>
        <w:spacing w:line="360" w:lineRule="auto"/>
        <w:ind w:firstLine="422" w:firstLineChars="200"/>
        <w:jc w:val="left"/>
        <w:rPr>
          <w:rFonts w:ascii="宋体" w:hAnsi="宋体"/>
          <w:b/>
          <w:szCs w:val="21"/>
          <w:highlight w:val="none"/>
        </w:rPr>
      </w:pPr>
      <w:r>
        <w:rPr>
          <w:rFonts w:hint="eastAsia" w:ascii="宋体" w:hAnsi="宋体"/>
          <w:b/>
          <w:szCs w:val="21"/>
          <w:highlight w:val="none"/>
        </w:rPr>
        <w:t>4、磋商小组逐一与实质性响应磋商文件要求的供应商进行磋商。</w:t>
      </w:r>
    </w:p>
    <w:p>
      <w:pPr>
        <w:widowControl/>
        <w:spacing w:line="360" w:lineRule="auto"/>
        <w:ind w:firstLine="422" w:firstLineChars="200"/>
        <w:jc w:val="left"/>
        <w:rPr>
          <w:rFonts w:ascii="宋体" w:hAnsi="宋体"/>
          <w:b/>
          <w:szCs w:val="21"/>
          <w:highlight w:val="none"/>
        </w:rPr>
      </w:pPr>
      <w:r>
        <w:rPr>
          <w:rFonts w:hint="eastAsia" w:ascii="宋体" w:hAnsi="宋体"/>
          <w:b/>
          <w:szCs w:val="21"/>
          <w:highlight w:val="none"/>
        </w:rPr>
        <w:t>5、政策性价格优惠折扣规定</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经初审并磋商之后，对于所有满足磋商文件全部实质性要求并按照规定提交了最终报价的响应文件，按照以下规则进行评审价格的确定。</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5.1政策性价格优惠折扣规定</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5.1.1供应商为小型和微型企业、监狱企业、残疾人福利性单位的评审价计算规则：</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5.1.1.1供应商为非联合体磋商的情况：</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其评审价</w:t>
      </w:r>
      <w:r>
        <w:rPr>
          <w:rFonts w:ascii="宋体" w:hAnsi="宋体"/>
          <w:szCs w:val="21"/>
          <w:highlight w:val="none"/>
        </w:rPr>
        <w:t>=</w:t>
      </w:r>
      <w:r>
        <w:rPr>
          <w:rFonts w:hint="eastAsia" w:ascii="宋体" w:hAnsi="宋体"/>
          <w:szCs w:val="21"/>
          <w:highlight w:val="none"/>
        </w:rPr>
        <w:t>磋商最终报价</w:t>
      </w:r>
      <w:r>
        <w:rPr>
          <w:rFonts w:ascii="宋体" w:hAnsi="宋体"/>
          <w:szCs w:val="21"/>
          <w:highlight w:val="none"/>
        </w:rPr>
        <w:t>*</w:t>
      </w: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5.1.1.2供应商为联合体磋商且联合协议中约定小型、微型企业、监狱企业、残疾人福利性单位的协议合同金额占到联合体协议合同总金额30％以上的情况：</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其评审价</w:t>
      </w:r>
      <w:r>
        <w:rPr>
          <w:rFonts w:ascii="宋体" w:hAnsi="宋体"/>
          <w:szCs w:val="21"/>
          <w:highlight w:val="none"/>
        </w:rPr>
        <w:t>=</w:t>
      </w:r>
      <w:r>
        <w:rPr>
          <w:rFonts w:hint="eastAsia" w:ascii="宋体" w:hAnsi="宋体"/>
          <w:szCs w:val="21"/>
          <w:highlight w:val="none"/>
        </w:rPr>
        <w:t>磋商最终报价</w:t>
      </w:r>
      <w:r>
        <w:rPr>
          <w:rFonts w:ascii="宋体" w:hAnsi="宋体"/>
          <w:szCs w:val="21"/>
          <w:highlight w:val="none"/>
        </w:rPr>
        <w:t>*</w:t>
      </w:r>
      <w:r>
        <w:rPr>
          <w:rFonts w:hint="eastAsia" w:ascii="宋体" w:hAnsi="宋体"/>
          <w:szCs w:val="21"/>
          <w:highlight w:val="none"/>
        </w:rPr>
        <w:t>（</w:t>
      </w:r>
      <w:r>
        <w:rPr>
          <w:rFonts w:ascii="宋体" w:hAnsi="宋体"/>
          <w:szCs w:val="21"/>
          <w:highlight w:val="none"/>
        </w:rPr>
        <w:t>1-2%</w:t>
      </w:r>
      <w:r>
        <w:rPr>
          <w:rFonts w:hint="eastAsia"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5.1.1.3所报服务涉及提供的所有产品进入 “节能产品政府采购清单” （且产品的国家节能产品认证证书在有效期内）的，其评审价=磋商最终报价*（1-3%）；（不是所有产品的不享受此项优惠）</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 xml:space="preserve">5.1.1.4所报服务涉及提供的所有产品进入“环境标志产品政府采购清单”（且产品的中国环境标志产品认证证书在有效期内）的，其评审价=磋商最终报价*（1-3%）；（不是所有产品的不享受此项优惠）    </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5.2确认为小微企业（含小型、微型企业，下同）投标的，应当同时符合以下条件：</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5.2.1符合国务院有关部门根据企业从业人员、营业收入、资产总额等指标制定的中小企业划型标准（工信部联企业〔2011〕300号）；</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5.2.2提供本企业的服务，或者提供其他小微企业承担的服务。</w:t>
      </w:r>
      <w:bookmarkStart w:id="993" w:name="OLE_LINK1"/>
      <w:bookmarkStart w:id="994" w:name="OLE_LINK9"/>
      <w:r>
        <w:rPr>
          <w:rFonts w:hint="eastAsia" w:ascii="宋体" w:hAnsi="宋体"/>
          <w:szCs w:val="21"/>
          <w:highlight w:val="none"/>
        </w:rPr>
        <w:t>本项所称服务不包括使用大型企业注册商标的服务。</w:t>
      </w:r>
      <w:bookmarkEnd w:id="993"/>
      <w:bookmarkEnd w:id="994"/>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5.2.3磋商时须提供“中小企业声明函”和相关证明文件。</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5.3确认为监狱企业磋商的，应当同时符合以下条件：</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5.3.1符合（财库[2014]68号）文件规定的</w:t>
      </w:r>
      <w:r>
        <w:rPr>
          <w:rFonts w:ascii="宋体" w:hAnsi="宋体"/>
          <w:szCs w:val="21"/>
          <w:highlight w:val="none"/>
        </w:rPr>
        <w:t>监狱企业</w:t>
      </w:r>
      <w:r>
        <w:rPr>
          <w:rFonts w:hint="eastAsia" w:ascii="宋体" w:hAnsi="宋体"/>
          <w:szCs w:val="21"/>
          <w:highlight w:val="none"/>
        </w:rPr>
        <w:t>，提供本企业的服务。</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5.3.2磋商时须</w:t>
      </w:r>
      <w:r>
        <w:rPr>
          <w:rFonts w:ascii="宋体" w:hAnsi="宋体"/>
          <w:szCs w:val="21"/>
          <w:highlight w:val="none"/>
        </w:rPr>
        <w:t>提供由省级以上监狱管理局、戒毒管理局（含新疆生产建设兵团）出具的属于监狱企业的证明文件。</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5.4确认为残疾人福利性单位投标的，应当同时符合以下条件：</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5.4.1符合（财库[2017]141号）文件规定的残疾人福利性单位，提供本单位的服务（以</w:t>
      </w:r>
      <w:bookmarkStart w:id="995" w:name="_GoBack"/>
      <w:bookmarkEnd w:id="995"/>
      <w:r>
        <w:rPr>
          <w:rFonts w:hint="eastAsia" w:ascii="宋体" w:hAnsi="宋体"/>
          <w:szCs w:val="21"/>
          <w:highlight w:val="none"/>
        </w:rPr>
        <w:t>下简称产品），或者提供其他残疾人福利性单位承担的服务（不包括使用非残疾人福利性单位注册商标的服务）。</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5.4.2磋商</w:t>
      </w:r>
      <w:r>
        <w:rPr>
          <w:rFonts w:ascii="宋体" w:hAnsi="宋体"/>
          <w:szCs w:val="21"/>
          <w:highlight w:val="none"/>
        </w:rPr>
        <w:t>时</w:t>
      </w:r>
      <w:r>
        <w:rPr>
          <w:rFonts w:hint="eastAsia" w:ascii="宋体" w:hAnsi="宋体"/>
          <w:szCs w:val="21"/>
          <w:highlight w:val="none"/>
        </w:rPr>
        <w:t>须提供《残疾人福利性单位声明函》，并对声明的真实性负责。</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5.4.3供应商提供的《残疾人福利性单位声明函》与事实不符的，依照《政府采购法》第七十七条第一款的规定追究法律责任。</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5.5符合（财库[2019]27号）文件规定的供应商提供产品或供应商：</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5.5.1供应商提供产品为贫困地区农副产品的评审价计算规则：其评审价</w:t>
      </w:r>
      <w:r>
        <w:rPr>
          <w:rFonts w:ascii="宋体" w:hAnsi="宋体"/>
          <w:szCs w:val="21"/>
          <w:highlight w:val="none"/>
        </w:rPr>
        <w:t>=</w:t>
      </w:r>
      <w:r>
        <w:rPr>
          <w:rFonts w:hint="eastAsia" w:ascii="宋体" w:hAnsi="宋体"/>
          <w:szCs w:val="21"/>
          <w:highlight w:val="none"/>
        </w:rPr>
        <w:t>磋商最终报价</w:t>
      </w:r>
      <w:r>
        <w:rPr>
          <w:rFonts w:ascii="宋体" w:hAnsi="宋体"/>
          <w:szCs w:val="21"/>
          <w:highlight w:val="none"/>
        </w:rPr>
        <w:t>*</w:t>
      </w: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5</w:t>
      </w:r>
      <w:r>
        <w:rPr>
          <w:rFonts w:ascii="宋体" w:hAnsi="宋体"/>
          <w:szCs w:val="21"/>
          <w:highlight w:val="none"/>
        </w:rPr>
        <w:t>%</w:t>
      </w:r>
      <w:r>
        <w:rPr>
          <w:rFonts w:hint="eastAsia"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5.5.1.1贫困地区农副产品是指832个国家级贫困县域内注册的企业、农民专业合作社、家庭农场等出产的农副产品。</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5.5.2供应商为物业公司提供物业服务的评审价计算规则：其评审价</w:t>
      </w:r>
      <w:r>
        <w:rPr>
          <w:rFonts w:ascii="宋体" w:hAnsi="宋体"/>
          <w:szCs w:val="21"/>
          <w:highlight w:val="none"/>
        </w:rPr>
        <w:t>=</w:t>
      </w:r>
      <w:r>
        <w:rPr>
          <w:rFonts w:hint="eastAsia" w:ascii="宋体" w:hAnsi="宋体"/>
          <w:szCs w:val="21"/>
          <w:highlight w:val="none"/>
        </w:rPr>
        <w:t>磋商最终报价</w:t>
      </w:r>
      <w:r>
        <w:rPr>
          <w:rFonts w:ascii="宋体" w:hAnsi="宋体"/>
          <w:szCs w:val="21"/>
          <w:highlight w:val="none"/>
        </w:rPr>
        <w:t>*</w:t>
      </w: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5</w:t>
      </w:r>
      <w:r>
        <w:rPr>
          <w:rFonts w:ascii="宋体" w:hAnsi="宋体"/>
          <w:szCs w:val="21"/>
          <w:highlight w:val="none"/>
        </w:rPr>
        <w:t>%</w:t>
      </w:r>
      <w:r>
        <w:rPr>
          <w:rFonts w:hint="eastAsia"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5.5.2.1采购物业服务的，有条件的应当优先采购注册地在832个国家级贫困县域内，且聘用建档立卡贫困人员物业公司提供的物业服务。对注册地在832个国家级贫困县域内，且聘用建档立卡贫困人员达到公司员工（含服务外包用工）30%以上的物业公司提供的物业服务。</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5.6对于不享受以上政策性优惠价格调整的，其评审价=按照以上3.1条款修正后的磋商总价。</w:t>
      </w:r>
    </w:p>
    <w:p>
      <w:pPr>
        <w:widowControl/>
        <w:spacing w:line="360" w:lineRule="auto"/>
        <w:ind w:firstLine="422" w:firstLineChars="200"/>
        <w:jc w:val="left"/>
        <w:rPr>
          <w:rFonts w:ascii="宋体" w:hAnsi="宋体"/>
          <w:b/>
          <w:szCs w:val="21"/>
          <w:highlight w:val="none"/>
        </w:rPr>
      </w:pPr>
      <w:r>
        <w:rPr>
          <w:rFonts w:hint="eastAsia" w:ascii="宋体" w:hAnsi="宋体"/>
          <w:b/>
          <w:szCs w:val="21"/>
          <w:highlight w:val="none"/>
        </w:rPr>
        <w:t>6、比较与评价：</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经初审并磋商之后，对于所有满足磋商文件全部实质性要求并按照规定提交了最终报价的响应文件，由磋商小组各成员按照下列《评审因素及量化指标分解表》规定的内容独立进行综合比较，评价打分。</w:t>
      </w:r>
    </w:p>
    <w:p>
      <w:pPr>
        <w:pStyle w:val="38"/>
        <w:spacing w:line="360" w:lineRule="auto"/>
        <w:ind w:firstLine="482" w:firstLineChars="200"/>
        <w:rPr>
          <w:rFonts w:cs="宋体"/>
          <w:b/>
          <w:sz w:val="24"/>
          <w:szCs w:val="24"/>
          <w:highlight w:val="none"/>
        </w:rPr>
      </w:pPr>
      <w:r>
        <w:rPr>
          <w:rFonts w:hint="eastAsia" w:cs="宋体"/>
          <w:b/>
          <w:sz w:val="24"/>
          <w:szCs w:val="24"/>
          <w:highlight w:val="none"/>
        </w:rPr>
        <w:t>磋商响应报价说明：</w:t>
      </w:r>
    </w:p>
    <w:p>
      <w:pPr>
        <w:pStyle w:val="38"/>
        <w:spacing w:line="360" w:lineRule="auto"/>
        <w:ind w:firstLine="482" w:firstLineChars="200"/>
        <w:rPr>
          <w:rFonts w:cs="宋体"/>
          <w:b/>
          <w:sz w:val="24"/>
          <w:szCs w:val="24"/>
          <w:highlight w:val="none"/>
          <w:lang w:val="zh-CN"/>
        </w:rPr>
      </w:pPr>
      <w:r>
        <w:rPr>
          <w:rFonts w:hint="eastAsia" w:cs="宋体"/>
          <w:b/>
          <w:sz w:val="24"/>
          <w:szCs w:val="24"/>
          <w:highlight w:val="none"/>
          <w:lang w:val="zh-CN"/>
        </w:rPr>
        <w:t>（1）本次磋商谈判第二轮报价为最终报价；</w:t>
      </w:r>
      <w:r>
        <w:rPr>
          <w:rFonts w:hint="eastAsia" w:cs="宋体"/>
          <w:b/>
          <w:sz w:val="24"/>
          <w:szCs w:val="24"/>
          <w:highlight w:val="none"/>
        </w:rPr>
        <w:t>且不得超过第一次报价，</w:t>
      </w:r>
      <w:r>
        <w:rPr>
          <w:rFonts w:hint="eastAsia" w:cs="宋体"/>
          <w:b/>
          <w:sz w:val="24"/>
          <w:szCs w:val="24"/>
          <w:highlight w:val="none"/>
          <w:lang w:val="zh-CN"/>
        </w:rPr>
        <w:t>该最终报价应按报价的格式内容填写，各供应商在最终报价时，应对该最终报价加盖供应商红色公章，且由法定代表人或授权代表人签字。</w:t>
      </w:r>
    </w:p>
    <w:p>
      <w:pPr>
        <w:pStyle w:val="5"/>
        <w:ind w:firstLine="420"/>
        <w:rPr>
          <w:highlight w:val="none"/>
        </w:rPr>
      </w:pPr>
      <w:r>
        <w:rPr>
          <w:rFonts w:hint="eastAsia" w:cs="宋体"/>
          <w:sz w:val="24"/>
          <w:szCs w:val="24"/>
          <w:highlight w:val="none"/>
          <w:lang w:val="zh-CN"/>
        </w:rPr>
        <w:t>（</w:t>
      </w:r>
      <w:r>
        <w:rPr>
          <w:rFonts w:cs="宋体"/>
          <w:sz w:val="24"/>
          <w:szCs w:val="24"/>
          <w:highlight w:val="none"/>
          <w:lang w:val="zh-CN"/>
        </w:rPr>
        <w:t>2</w:t>
      </w:r>
      <w:r>
        <w:rPr>
          <w:rFonts w:hint="eastAsia" w:cs="宋体"/>
          <w:sz w:val="24"/>
          <w:szCs w:val="24"/>
          <w:highlight w:val="none"/>
          <w:lang w:val="zh-CN"/>
        </w:rPr>
        <w:t>）磋商谈判过程中，每轮谈判结束时均不公开各供应商的报价。</w:t>
      </w:r>
    </w:p>
    <w:p>
      <w:pPr>
        <w:widowControl/>
        <w:spacing w:line="360" w:lineRule="auto"/>
        <w:ind w:firstLine="422" w:firstLineChars="200"/>
        <w:jc w:val="left"/>
        <w:rPr>
          <w:rFonts w:ascii="宋体" w:hAnsi="宋体"/>
          <w:b/>
          <w:szCs w:val="21"/>
          <w:highlight w:val="none"/>
        </w:rPr>
      </w:pPr>
      <w:r>
        <w:rPr>
          <w:rFonts w:hint="eastAsia" w:ascii="宋体" w:hAnsi="宋体"/>
          <w:b/>
          <w:szCs w:val="21"/>
          <w:highlight w:val="none"/>
        </w:rPr>
        <w:t>7、推荐成交候选供应商名单</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汇总磋商小组成员对每个供应商的综合得分，按照评审得分由高到低顺序推荐3名成交候选供应商。</w:t>
      </w:r>
    </w:p>
    <w:p>
      <w:pPr>
        <w:autoSpaceDE w:val="0"/>
        <w:autoSpaceDN w:val="0"/>
        <w:adjustRightInd w:val="0"/>
        <w:spacing w:line="360" w:lineRule="auto"/>
        <w:ind w:right="6"/>
        <w:jc w:val="center"/>
        <w:rPr>
          <w:b/>
          <w:kern w:val="0"/>
          <w:sz w:val="28"/>
          <w:szCs w:val="28"/>
          <w:highlight w:val="none"/>
        </w:rPr>
      </w:pPr>
      <w:r>
        <w:rPr>
          <w:rFonts w:ascii="宋体" w:hAnsi="宋体"/>
          <w:szCs w:val="21"/>
          <w:highlight w:val="none"/>
        </w:rPr>
        <w:br w:type="page"/>
      </w:r>
      <w:r>
        <w:rPr>
          <w:rFonts w:hint="eastAsia"/>
          <w:b/>
          <w:kern w:val="0"/>
          <w:sz w:val="28"/>
          <w:szCs w:val="28"/>
          <w:highlight w:val="none"/>
        </w:rPr>
        <w:t>评审因素量化赋分表</w:t>
      </w:r>
    </w:p>
    <w:bookmarkEnd w:id="990"/>
    <w:tbl>
      <w:tblPr>
        <w:tblStyle w:val="45"/>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6"/>
        <w:gridCol w:w="815"/>
        <w:gridCol w:w="6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546" w:type="dxa"/>
            <w:vAlign w:val="center"/>
          </w:tcPr>
          <w:p>
            <w:pPr>
              <w:adjustRightInd w:val="0"/>
              <w:snapToGrid w:val="0"/>
              <w:jc w:val="center"/>
              <w:rPr>
                <w:rFonts w:ascii="宋体" w:hAnsi="宋体"/>
                <w:b/>
                <w:bCs/>
                <w:kern w:val="0"/>
                <w:szCs w:val="21"/>
                <w:highlight w:val="none"/>
              </w:rPr>
            </w:pPr>
            <w:r>
              <w:rPr>
                <w:rFonts w:hint="eastAsia" w:ascii="宋体" w:hAnsi="宋体"/>
                <w:b/>
                <w:bCs/>
                <w:kern w:val="0"/>
                <w:szCs w:val="21"/>
                <w:highlight w:val="none"/>
              </w:rPr>
              <w:t>评标内容</w:t>
            </w:r>
          </w:p>
        </w:tc>
        <w:tc>
          <w:tcPr>
            <w:tcW w:w="815" w:type="dxa"/>
            <w:vAlign w:val="center"/>
          </w:tcPr>
          <w:p>
            <w:pPr>
              <w:adjustRightInd w:val="0"/>
              <w:snapToGrid w:val="0"/>
              <w:jc w:val="center"/>
              <w:rPr>
                <w:rFonts w:ascii="宋体" w:hAnsi="宋体"/>
                <w:b/>
                <w:bCs/>
                <w:kern w:val="0"/>
                <w:szCs w:val="21"/>
                <w:highlight w:val="none"/>
              </w:rPr>
            </w:pPr>
            <w:r>
              <w:rPr>
                <w:rFonts w:hint="eastAsia" w:ascii="宋体" w:hAnsi="宋体"/>
                <w:b/>
                <w:bCs/>
                <w:kern w:val="0"/>
                <w:szCs w:val="21"/>
                <w:highlight w:val="none"/>
              </w:rPr>
              <w:t>分数</w:t>
            </w:r>
          </w:p>
        </w:tc>
        <w:tc>
          <w:tcPr>
            <w:tcW w:w="6757" w:type="dxa"/>
            <w:vAlign w:val="center"/>
          </w:tcPr>
          <w:p>
            <w:pPr>
              <w:adjustRightInd w:val="0"/>
              <w:snapToGrid w:val="0"/>
              <w:jc w:val="center"/>
              <w:rPr>
                <w:rFonts w:ascii="宋体" w:hAnsi="宋体"/>
                <w:b/>
                <w:bCs/>
                <w:kern w:val="0"/>
                <w:szCs w:val="21"/>
                <w:highlight w:val="none"/>
              </w:rPr>
            </w:pPr>
            <w:r>
              <w:rPr>
                <w:rFonts w:hint="eastAsia" w:ascii="宋体" w:hAnsi="宋体"/>
                <w:b/>
                <w:bCs/>
                <w:kern w:val="0"/>
                <w:szCs w:val="21"/>
                <w:highlight w:val="none"/>
              </w:rPr>
              <w:t>评标原则与标准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jc w:val="center"/>
        </w:trPr>
        <w:tc>
          <w:tcPr>
            <w:tcW w:w="1546" w:type="dxa"/>
            <w:vAlign w:val="center"/>
          </w:tcPr>
          <w:p>
            <w:pPr>
              <w:spacing w:line="360" w:lineRule="auto"/>
              <w:rPr>
                <w:rFonts w:ascii="宋体" w:hAnsi="宋体"/>
                <w:kern w:val="0"/>
                <w:szCs w:val="21"/>
                <w:highlight w:val="none"/>
              </w:rPr>
            </w:pPr>
            <w:r>
              <w:rPr>
                <w:rFonts w:hint="eastAsia" w:ascii="宋体" w:hAnsi="宋体"/>
                <w:kern w:val="0"/>
                <w:szCs w:val="21"/>
                <w:highlight w:val="none"/>
              </w:rPr>
              <w:t>投标报价</w:t>
            </w:r>
          </w:p>
        </w:tc>
        <w:tc>
          <w:tcPr>
            <w:tcW w:w="815" w:type="dxa"/>
            <w:vAlign w:val="center"/>
          </w:tcPr>
          <w:p>
            <w:pPr>
              <w:spacing w:line="360" w:lineRule="auto"/>
              <w:rPr>
                <w:rFonts w:ascii="宋体" w:hAnsi="宋体"/>
                <w:kern w:val="0"/>
                <w:szCs w:val="21"/>
                <w:highlight w:val="none"/>
              </w:rPr>
            </w:pPr>
            <w:r>
              <w:rPr>
                <w:rFonts w:hint="eastAsia"/>
                <w:highlight w:val="none"/>
              </w:rPr>
              <w:t>40分</w:t>
            </w:r>
          </w:p>
        </w:tc>
        <w:tc>
          <w:tcPr>
            <w:tcW w:w="6757" w:type="dxa"/>
            <w:vAlign w:val="center"/>
          </w:tcPr>
          <w:p>
            <w:pPr>
              <w:spacing w:line="360" w:lineRule="auto"/>
              <w:rPr>
                <w:highlight w:val="none"/>
              </w:rPr>
            </w:pPr>
            <w:r>
              <w:rPr>
                <w:rFonts w:hint="eastAsia"/>
                <w:highlight w:val="none"/>
              </w:rPr>
              <w:t>以入评投标人的投标总报价的算术平均值作为评审基准价（当有效投标报价≥5个时，去掉一个最高报价、去掉一个最低报价后计算算术平均值作为评审基准价）。若投标报价等于评审基准价时得满分40分；与该基准价比较，每增加1％扣2分,每减少1％扣1分，扣完为止。增减不足1%时，按插值法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546" w:type="dxa"/>
            <w:vMerge w:val="restart"/>
            <w:vAlign w:val="center"/>
          </w:tcPr>
          <w:p>
            <w:pPr>
              <w:spacing w:line="360" w:lineRule="auto"/>
              <w:rPr>
                <w:rFonts w:ascii="宋体" w:hAnsi="宋体"/>
                <w:kern w:val="0"/>
                <w:szCs w:val="21"/>
                <w:highlight w:val="none"/>
              </w:rPr>
            </w:pPr>
            <w:r>
              <w:rPr>
                <w:rFonts w:hint="eastAsia" w:ascii="宋体" w:hAnsi="宋体"/>
                <w:kern w:val="0"/>
                <w:szCs w:val="21"/>
                <w:highlight w:val="none"/>
              </w:rPr>
              <w:t>技术部分</w:t>
            </w:r>
          </w:p>
          <w:p>
            <w:pPr>
              <w:spacing w:line="360" w:lineRule="auto"/>
              <w:rPr>
                <w:rFonts w:ascii="宋体" w:hAnsi="宋体"/>
                <w:kern w:val="0"/>
                <w:szCs w:val="21"/>
                <w:highlight w:val="none"/>
              </w:rPr>
            </w:pPr>
            <w:r>
              <w:rPr>
                <w:rFonts w:hint="eastAsia" w:ascii="宋体" w:hAnsi="宋体"/>
                <w:kern w:val="0"/>
                <w:szCs w:val="21"/>
                <w:highlight w:val="none"/>
              </w:rPr>
              <w:t>（51分）</w:t>
            </w:r>
          </w:p>
        </w:tc>
        <w:tc>
          <w:tcPr>
            <w:tcW w:w="815" w:type="dxa"/>
            <w:vAlign w:val="center"/>
          </w:tcPr>
          <w:p>
            <w:pPr>
              <w:spacing w:line="360" w:lineRule="auto"/>
              <w:rPr>
                <w:highlight w:val="none"/>
              </w:rPr>
            </w:pPr>
            <w:r>
              <w:rPr>
                <w:rFonts w:hint="eastAsia"/>
                <w:highlight w:val="none"/>
              </w:rPr>
              <w:t>5分</w:t>
            </w:r>
          </w:p>
        </w:tc>
        <w:tc>
          <w:tcPr>
            <w:tcW w:w="6757" w:type="dxa"/>
            <w:vAlign w:val="center"/>
          </w:tcPr>
          <w:p>
            <w:pPr>
              <w:spacing w:line="360" w:lineRule="auto"/>
              <w:rPr>
                <w:highlight w:val="none"/>
              </w:rPr>
            </w:pPr>
            <w:r>
              <w:rPr>
                <w:rFonts w:hint="eastAsia"/>
                <w:highlight w:val="none"/>
              </w:rPr>
              <w:t>1、确保工程质量的技术组织措施；（2-5分）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546" w:type="dxa"/>
            <w:vMerge w:val="continue"/>
            <w:vAlign w:val="center"/>
          </w:tcPr>
          <w:p>
            <w:pPr>
              <w:spacing w:line="360" w:lineRule="auto"/>
              <w:rPr>
                <w:rFonts w:ascii="宋体" w:hAnsi="宋体"/>
                <w:kern w:val="0"/>
                <w:szCs w:val="21"/>
                <w:highlight w:val="none"/>
              </w:rPr>
            </w:pPr>
          </w:p>
        </w:tc>
        <w:tc>
          <w:tcPr>
            <w:tcW w:w="815" w:type="dxa"/>
            <w:vAlign w:val="center"/>
          </w:tcPr>
          <w:p>
            <w:pPr>
              <w:spacing w:line="360" w:lineRule="auto"/>
              <w:rPr>
                <w:highlight w:val="none"/>
              </w:rPr>
            </w:pPr>
            <w:r>
              <w:rPr>
                <w:rFonts w:hint="eastAsia"/>
                <w:highlight w:val="none"/>
              </w:rPr>
              <w:t>5分</w:t>
            </w:r>
          </w:p>
        </w:tc>
        <w:tc>
          <w:tcPr>
            <w:tcW w:w="6757" w:type="dxa"/>
            <w:vAlign w:val="center"/>
          </w:tcPr>
          <w:p>
            <w:pPr>
              <w:spacing w:line="360" w:lineRule="auto"/>
              <w:rPr>
                <w:highlight w:val="none"/>
              </w:rPr>
            </w:pPr>
            <w:r>
              <w:rPr>
                <w:rFonts w:hint="eastAsia"/>
                <w:highlight w:val="none"/>
              </w:rPr>
              <w:t>2、确保安全生产的技术组织措施；（2-5分））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546" w:type="dxa"/>
            <w:vMerge w:val="continue"/>
            <w:vAlign w:val="center"/>
          </w:tcPr>
          <w:p>
            <w:pPr>
              <w:spacing w:line="360" w:lineRule="auto"/>
              <w:rPr>
                <w:rFonts w:ascii="宋体" w:hAnsi="宋体"/>
                <w:kern w:val="0"/>
                <w:szCs w:val="21"/>
                <w:highlight w:val="none"/>
              </w:rPr>
            </w:pPr>
          </w:p>
        </w:tc>
        <w:tc>
          <w:tcPr>
            <w:tcW w:w="815" w:type="dxa"/>
            <w:vAlign w:val="center"/>
          </w:tcPr>
          <w:p>
            <w:pPr>
              <w:spacing w:line="360" w:lineRule="auto"/>
              <w:rPr>
                <w:highlight w:val="none"/>
              </w:rPr>
            </w:pPr>
            <w:r>
              <w:rPr>
                <w:rFonts w:hint="eastAsia"/>
                <w:highlight w:val="none"/>
              </w:rPr>
              <w:t>5分</w:t>
            </w:r>
          </w:p>
        </w:tc>
        <w:tc>
          <w:tcPr>
            <w:tcW w:w="6757" w:type="dxa"/>
            <w:vAlign w:val="center"/>
          </w:tcPr>
          <w:p>
            <w:pPr>
              <w:spacing w:line="360" w:lineRule="auto"/>
              <w:rPr>
                <w:highlight w:val="none"/>
              </w:rPr>
            </w:pPr>
            <w:r>
              <w:rPr>
                <w:rFonts w:hint="eastAsia"/>
                <w:highlight w:val="none"/>
              </w:rPr>
              <w:t>3、确保文明施工组织措施及施工现场扬尘污染防治措施；（2-5分）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546" w:type="dxa"/>
            <w:vMerge w:val="continue"/>
            <w:vAlign w:val="center"/>
          </w:tcPr>
          <w:p>
            <w:pPr>
              <w:spacing w:line="360" w:lineRule="auto"/>
              <w:rPr>
                <w:rFonts w:ascii="宋体" w:hAnsi="宋体"/>
                <w:kern w:val="0"/>
                <w:szCs w:val="21"/>
                <w:highlight w:val="none"/>
              </w:rPr>
            </w:pPr>
          </w:p>
        </w:tc>
        <w:tc>
          <w:tcPr>
            <w:tcW w:w="815" w:type="dxa"/>
            <w:vAlign w:val="center"/>
          </w:tcPr>
          <w:p>
            <w:pPr>
              <w:spacing w:line="360" w:lineRule="auto"/>
              <w:rPr>
                <w:highlight w:val="none"/>
              </w:rPr>
            </w:pPr>
            <w:r>
              <w:rPr>
                <w:rFonts w:hint="eastAsia"/>
                <w:highlight w:val="none"/>
              </w:rPr>
              <w:t>5分</w:t>
            </w:r>
          </w:p>
        </w:tc>
        <w:tc>
          <w:tcPr>
            <w:tcW w:w="6757" w:type="dxa"/>
            <w:vAlign w:val="center"/>
          </w:tcPr>
          <w:p>
            <w:pPr>
              <w:spacing w:line="360" w:lineRule="auto"/>
              <w:rPr>
                <w:highlight w:val="none"/>
              </w:rPr>
            </w:pPr>
            <w:r>
              <w:rPr>
                <w:rFonts w:hint="eastAsia"/>
                <w:highlight w:val="none"/>
              </w:rPr>
              <w:t>4、确保工期的技术组织措施；（2-5分）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546" w:type="dxa"/>
            <w:vMerge w:val="continue"/>
            <w:vAlign w:val="center"/>
          </w:tcPr>
          <w:p>
            <w:pPr>
              <w:spacing w:line="360" w:lineRule="auto"/>
              <w:rPr>
                <w:rFonts w:ascii="宋体" w:hAnsi="宋体"/>
                <w:kern w:val="0"/>
                <w:szCs w:val="21"/>
                <w:highlight w:val="none"/>
              </w:rPr>
            </w:pPr>
          </w:p>
        </w:tc>
        <w:tc>
          <w:tcPr>
            <w:tcW w:w="815" w:type="dxa"/>
            <w:vAlign w:val="center"/>
          </w:tcPr>
          <w:p>
            <w:pPr>
              <w:spacing w:line="360" w:lineRule="auto"/>
              <w:rPr>
                <w:highlight w:val="none"/>
              </w:rPr>
            </w:pPr>
            <w:r>
              <w:rPr>
                <w:rFonts w:hint="eastAsia"/>
                <w:highlight w:val="none"/>
              </w:rPr>
              <w:t>10分</w:t>
            </w:r>
          </w:p>
        </w:tc>
        <w:tc>
          <w:tcPr>
            <w:tcW w:w="6757" w:type="dxa"/>
            <w:vAlign w:val="center"/>
          </w:tcPr>
          <w:p>
            <w:pPr>
              <w:spacing w:line="360" w:lineRule="auto"/>
              <w:rPr>
                <w:highlight w:val="none"/>
              </w:rPr>
            </w:pPr>
            <w:r>
              <w:rPr>
                <w:rFonts w:hint="eastAsia"/>
                <w:highlight w:val="none"/>
              </w:rPr>
              <w:t>5、施工方案；（3-10分）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546" w:type="dxa"/>
            <w:vMerge w:val="continue"/>
            <w:vAlign w:val="center"/>
          </w:tcPr>
          <w:p>
            <w:pPr>
              <w:spacing w:line="360" w:lineRule="auto"/>
              <w:rPr>
                <w:rFonts w:ascii="宋体" w:hAnsi="宋体"/>
                <w:kern w:val="0"/>
                <w:szCs w:val="21"/>
                <w:highlight w:val="none"/>
              </w:rPr>
            </w:pPr>
          </w:p>
        </w:tc>
        <w:tc>
          <w:tcPr>
            <w:tcW w:w="815" w:type="dxa"/>
            <w:vAlign w:val="center"/>
          </w:tcPr>
          <w:p>
            <w:pPr>
              <w:spacing w:line="360" w:lineRule="auto"/>
              <w:rPr>
                <w:highlight w:val="none"/>
              </w:rPr>
            </w:pPr>
            <w:r>
              <w:rPr>
                <w:rFonts w:hint="eastAsia"/>
                <w:highlight w:val="none"/>
              </w:rPr>
              <w:t>5分</w:t>
            </w:r>
          </w:p>
        </w:tc>
        <w:tc>
          <w:tcPr>
            <w:tcW w:w="6757" w:type="dxa"/>
            <w:vAlign w:val="center"/>
          </w:tcPr>
          <w:p>
            <w:pPr>
              <w:spacing w:line="360" w:lineRule="auto"/>
              <w:rPr>
                <w:highlight w:val="none"/>
              </w:rPr>
            </w:pPr>
            <w:r>
              <w:rPr>
                <w:rFonts w:hint="eastAsia"/>
                <w:highlight w:val="none"/>
              </w:rPr>
              <w:t>6、施工材料投入计划和机械设备配备计划；（2-5分）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546" w:type="dxa"/>
            <w:vMerge w:val="continue"/>
            <w:vAlign w:val="center"/>
          </w:tcPr>
          <w:p>
            <w:pPr>
              <w:spacing w:line="360" w:lineRule="auto"/>
              <w:rPr>
                <w:rFonts w:ascii="宋体" w:hAnsi="宋体"/>
                <w:kern w:val="0"/>
                <w:szCs w:val="21"/>
                <w:highlight w:val="none"/>
              </w:rPr>
            </w:pPr>
          </w:p>
        </w:tc>
        <w:tc>
          <w:tcPr>
            <w:tcW w:w="815" w:type="dxa"/>
            <w:vAlign w:val="center"/>
          </w:tcPr>
          <w:p>
            <w:pPr>
              <w:spacing w:line="360" w:lineRule="auto"/>
              <w:rPr>
                <w:highlight w:val="none"/>
              </w:rPr>
            </w:pPr>
            <w:r>
              <w:rPr>
                <w:rFonts w:hint="eastAsia"/>
                <w:highlight w:val="none"/>
              </w:rPr>
              <w:t>2分</w:t>
            </w:r>
          </w:p>
        </w:tc>
        <w:tc>
          <w:tcPr>
            <w:tcW w:w="6757" w:type="dxa"/>
            <w:vAlign w:val="center"/>
          </w:tcPr>
          <w:p>
            <w:pPr>
              <w:spacing w:line="360" w:lineRule="auto"/>
              <w:rPr>
                <w:highlight w:val="none"/>
              </w:rPr>
            </w:pPr>
            <w:r>
              <w:rPr>
                <w:rFonts w:hint="eastAsia"/>
                <w:highlight w:val="none"/>
              </w:rPr>
              <w:t>7、施工进度表或施工网络图或横道图；（1-2分）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546" w:type="dxa"/>
            <w:vMerge w:val="continue"/>
            <w:vAlign w:val="center"/>
          </w:tcPr>
          <w:p>
            <w:pPr>
              <w:spacing w:line="360" w:lineRule="auto"/>
              <w:rPr>
                <w:rFonts w:ascii="宋体" w:hAnsi="宋体"/>
                <w:kern w:val="0"/>
                <w:szCs w:val="21"/>
                <w:highlight w:val="none"/>
              </w:rPr>
            </w:pPr>
          </w:p>
        </w:tc>
        <w:tc>
          <w:tcPr>
            <w:tcW w:w="815" w:type="dxa"/>
            <w:vAlign w:val="center"/>
          </w:tcPr>
          <w:p>
            <w:pPr>
              <w:spacing w:line="360" w:lineRule="auto"/>
              <w:rPr>
                <w:highlight w:val="none"/>
              </w:rPr>
            </w:pPr>
            <w:r>
              <w:rPr>
                <w:rFonts w:hint="eastAsia"/>
                <w:highlight w:val="none"/>
              </w:rPr>
              <w:t>3分</w:t>
            </w:r>
          </w:p>
        </w:tc>
        <w:tc>
          <w:tcPr>
            <w:tcW w:w="6757" w:type="dxa"/>
            <w:vAlign w:val="center"/>
          </w:tcPr>
          <w:p>
            <w:pPr>
              <w:spacing w:line="360" w:lineRule="auto"/>
              <w:rPr>
                <w:highlight w:val="none"/>
              </w:rPr>
            </w:pPr>
            <w:r>
              <w:rPr>
                <w:rFonts w:hint="eastAsia"/>
                <w:highlight w:val="none"/>
              </w:rPr>
              <w:t>8、项目经理部组成（包括项目经理、技术负责人、施工员、安全员、质量员、资料员）；（1-3分）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546" w:type="dxa"/>
            <w:vMerge w:val="continue"/>
            <w:vAlign w:val="center"/>
          </w:tcPr>
          <w:p>
            <w:pPr>
              <w:spacing w:line="360" w:lineRule="auto"/>
              <w:rPr>
                <w:rFonts w:ascii="宋体" w:hAnsi="宋体"/>
                <w:kern w:val="0"/>
                <w:szCs w:val="21"/>
                <w:highlight w:val="none"/>
              </w:rPr>
            </w:pPr>
          </w:p>
        </w:tc>
        <w:tc>
          <w:tcPr>
            <w:tcW w:w="815" w:type="dxa"/>
            <w:vAlign w:val="center"/>
          </w:tcPr>
          <w:p>
            <w:pPr>
              <w:spacing w:line="360" w:lineRule="auto"/>
              <w:rPr>
                <w:highlight w:val="none"/>
              </w:rPr>
            </w:pPr>
            <w:r>
              <w:rPr>
                <w:rFonts w:hint="eastAsia"/>
                <w:highlight w:val="none"/>
              </w:rPr>
              <w:t>3分</w:t>
            </w:r>
          </w:p>
        </w:tc>
        <w:tc>
          <w:tcPr>
            <w:tcW w:w="6757" w:type="dxa"/>
            <w:vAlign w:val="center"/>
          </w:tcPr>
          <w:p>
            <w:pPr>
              <w:spacing w:line="360" w:lineRule="auto"/>
              <w:rPr>
                <w:highlight w:val="none"/>
              </w:rPr>
            </w:pPr>
            <w:r>
              <w:rPr>
                <w:rFonts w:hint="eastAsia"/>
                <w:highlight w:val="none"/>
              </w:rPr>
              <w:t>9、劳动力投入计划；（1-3分）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546" w:type="dxa"/>
            <w:vMerge w:val="continue"/>
            <w:vAlign w:val="center"/>
          </w:tcPr>
          <w:p>
            <w:pPr>
              <w:spacing w:line="360" w:lineRule="auto"/>
              <w:rPr>
                <w:rFonts w:ascii="宋体" w:hAnsi="宋体"/>
                <w:kern w:val="0"/>
                <w:szCs w:val="21"/>
                <w:highlight w:val="none"/>
              </w:rPr>
            </w:pPr>
          </w:p>
        </w:tc>
        <w:tc>
          <w:tcPr>
            <w:tcW w:w="815" w:type="dxa"/>
            <w:vAlign w:val="center"/>
          </w:tcPr>
          <w:p>
            <w:pPr>
              <w:spacing w:line="360" w:lineRule="auto"/>
              <w:rPr>
                <w:highlight w:val="none"/>
              </w:rPr>
            </w:pPr>
            <w:r>
              <w:rPr>
                <w:rFonts w:hint="eastAsia"/>
                <w:highlight w:val="none"/>
              </w:rPr>
              <w:t>5分</w:t>
            </w:r>
          </w:p>
        </w:tc>
        <w:tc>
          <w:tcPr>
            <w:tcW w:w="6757" w:type="dxa"/>
            <w:vAlign w:val="center"/>
          </w:tcPr>
          <w:p>
            <w:pPr>
              <w:spacing w:line="360" w:lineRule="auto"/>
              <w:rPr>
                <w:highlight w:val="none"/>
              </w:rPr>
            </w:pPr>
            <w:r>
              <w:rPr>
                <w:rFonts w:hint="eastAsia"/>
                <w:highlight w:val="none"/>
              </w:rPr>
              <w:t>10、新技术、新产品、新工艺、新材料应用；（2-5分）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546" w:type="dxa"/>
            <w:vMerge w:val="continue"/>
            <w:vAlign w:val="center"/>
          </w:tcPr>
          <w:p>
            <w:pPr>
              <w:spacing w:line="360" w:lineRule="auto"/>
              <w:rPr>
                <w:rFonts w:ascii="宋体" w:hAnsi="宋体"/>
                <w:kern w:val="0"/>
                <w:szCs w:val="21"/>
                <w:highlight w:val="none"/>
              </w:rPr>
            </w:pPr>
          </w:p>
        </w:tc>
        <w:tc>
          <w:tcPr>
            <w:tcW w:w="815" w:type="dxa"/>
            <w:vAlign w:val="center"/>
          </w:tcPr>
          <w:p>
            <w:pPr>
              <w:spacing w:line="360" w:lineRule="auto"/>
              <w:rPr>
                <w:highlight w:val="none"/>
              </w:rPr>
            </w:pPr>
            <w:r>
              <w:rPr>
                <w:rFonts w:hint="eastAsia"/>
                <w:highlight w:val="none"/>
              </w:rPr>
              <w:t>3分</w:t>
            </w:r>
          </w:p>
        </w:tc>
        <w:tc>
          <w:tcPr>
            <w:tcW w:w="6757" w:type="dxa"/>
            <w:vAlign w:val="center"/>
          </w:tcPr>
          <w:p>
            <w:pPr>
              <w:spacing w:line="360" w:lineRule="auto"/>
              <w:rPr>
                <w:highlight w:val="none"/>
              </w:rPr>
            </w:pPr>
            <w:r>
              <w:rPr>
                <w:rFonts w:hint="eastAsia"/>
                <w:highlight w:val="none"/>
              </w:rPr>
              <w:t>11、施工现场平面布置图。（1-3分）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1546" w:type="dxa"/>
            <w:vAlign w:val="center"/>
          </w:tcPr>
          <w:p>
            <w:pPr>
              <w:spacing w:line="360" w:lineRule="auto"/>
              <w:rPr>
                <w:rFonts w:ascii="宋体" w:hAnsi="宋体"/>
                <w:kern w:val="0"/>
                <w:szCs w:val="21"/>
                <w:highlight w:val="none"/>
              </w:rPr>
            </w:pPr>
            <w:r>
              <w:rPr>
                <w:rFonts w:hint="eastAsia" w:ascii="宋体" w:hAnsi="宋体"/>
                <w:kern w:val="0"/>
                <w:szCs w:val="21"/>
                <w:highlight w:val="none"/>
              </w:rPr>
              <w:t>业绩（9分）</w:t>
            </w:r>
          </w:p>
        </w:tc>
        <w:tc>
          <w:tcPr>
            <w:tcW w:w="815" w:type="dxa"/>
            <w:vAlign w:val="center"/>
          </w:tcPr>
          <w:p>
            <w:pPr>
              <w:spacing w:line="360" w:lineRule="auto"/>
              <w:rPr>
                <w:highlight w:val="none"/>
              </w:rPr>
            </w:pPr>
            <w:r>
              <w:rPr>
                <w:rFonts w:hint="eastAsia"/>
                <w:highlight w:val="none"/>
              </w:rPr>
              <w:t>9分</w:t>
            </w:r>
          </w:p>
        </w:tc>
        <w:tc>
          <w:tcPr>
            <w:tcW w:w="6757" w:type="dxa"/>
            <w:vAlign w:val="center"/>
          </w:tcPr>
          <w:p>
            <w:pPr>
              <w:spacing w:line="360" w:lineRule="auto"/>
              <w:rPr>
                <w:highlight w:val="none"/>
              </w:rPr>
            </w:pPr>
            <w:r>
              <w:rPr>
                <w:rFonts w:hint="eastAsia"/>
                <w:highlight w:val="none"/>
              </w:rPr>
              <w:t>具有2018年1月至投标截止之日的类似项目业绩合同，投标文件中附业绩证明合同复印件加盖单位公章（业绩以中标通知书或协议书以及竣工报告为准）,每个业绩计3分，满分9分。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2" w:hRule="atLeast"/>
          <w:jc w:val="center"/>
        </w:trPr>
        <w:tc>
          <w:tcPr>
            <w:tcW w:w="9118" w:type="dxa"/>
            <w:gridSpan w:val="3"/>
            <w:vAlign w:val="center"/>
          </w:tcPr>
          <w:p>
            <w:pPr>
              <w:spacing w:line="360" w:lineRule="auto"/>
              <w:rPr>
                <w:rFonts w:ascii="宋体" w:hAnsi="宋体"/>
                <w:szCs w:val="21"/>
                <w:highlight w:val="none"/>
              </w:rPr>
            </w:pPr>
            <w:r>
              <w:rPr>
                <w:rFonts w:hint="eastAsia" w:ascii="宋体" w:hAnsi="宋体"/>
                <w:szCs w:val="21"/>
                <w:highlight w:val="none"/>
              </w:rPr>
              <w:t>1）磋商小组各成员独立打分。</w:t>
            </w:r>
          </w:p>
          <w:p>
            <w:pPr>
              <w:spacing w:line="360" w:lineRule="auto"/>
              <w:rPr>
                <w:rFonts w:ascii="宋体" w:hAnsi="宋体"/>
                <w:szCs w:val="21"/>
                <w:highlight w:val="none"/>
              </w:rPr>
            </w:pPr>
            <w:r>
              <w:rPr>
                <w:rFonts w:hint="eastAsia" w:ascii="宋体" w:hAnsi="宋体"/>
                <w:szCs w:val="21"/>
                <w:highlight w:val="none"/>
              </w:rPr>
              <w:t>2）评委打分超过得分界限或未按本表规定赋分时，该评委的打分作废，不计入汇总分。</w:t>
            </w:r>
          </w:p>
          <w:p>
            <w:pPr>
              <w:spacing w:line="360" w:lineRule="auto"/>
              <w:rPr>
                <w:rFonts w:ascii="宋体" w:hAnsi="宋体"/>
                <w:szCs w:val="21"/>
                <w:highlight w:val="none"/>
              </w:rPr>
            </w:pPr>
            <w:r>
              <w:rPr>
                <w:rFonts w:hint="eastAsia" w:ascii="宋体" w:hAnsi="宋体"/>
                <w:szCs w:val="21"/>
                <w:highlight w:val="none"/>
              </w:rPr>
              <w:t>3）若出现综合得分相同的，按磋商报价由低到高顺序排列名次；得分且磋商报价相同的，按施工组织设计得分顺序确定成交人。</w:t>
            </w:r>
          </w:p>
          <w:p>
            <w:pPr>
              <w:spacing w:line="360" w:lineRule="auto"/>
              <w:rPr>
                <w:rFonts w:ascii="宋体" w:hAnsi="宋体"/>
                <w:szCs w:val="21"/>
                <w:highlight w:val="none"/>
              </w:rPr>
            </w:pPr>
            <w:r>
              <w:rPr>
                <w:rFonts w:hint="eastAsia" w:ascii="宋体" w:hAnsi="宋体"/>
                <w:szCs w:val="21"/>
                <w:highlight w:val="none"/>
              </w:rPr>
              <w:t>4）各种计算采用插入法，数字均保留一位小数，第二位“四舍五入”。</w:t>
            </w:r>
          </w:p>
        </w:tc>
      </w:tr>
    </w:tbl>
    <w:p>
      <w:pPr>
        <w:spacing w:line="360" w:lineRule="auto"/>
        <w:rPr>
          <w:kern w:val="0"/>
          <w:highlight w:val="none"/>
        </w:rPr>
      </w:pPr>
    </w:p>
    <w:sectPr>
      <w:pgSz w:w="11905" w:h="16838"/>
      <w:pgMar w:top="1559" w:right="1757" w:bottom="1984" w:left="1757" w:header="850"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altName w:val="微软雅黑"/>
    <w:panose1 w:val="02010600040101010101"/>
    <w:charset w:val="86"/>
    <w:family w:val="auto"/>
    <w:pitch w:val="default"/>
    <w:sig w:usb0="00000000" w:usb1="00000000" w:usb2="00000010" w:usb3="00000000" w:csb0="0004009F" w:csb1="00000000"/>
  </w:font>
  <w:font w:name="Arial">
    <w:panose1 w:val="020B0604020202020204"/>
    <w:charset w:val="00"/>
    <w:family w:val="swiss"/>
    <w:pitch w:val="default"/>
    <w:sig w:usb0="E0002EFF" w:usb1="C000785B"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MS Sans Serif">
    <w:altName w:val="Consolas"/>
    <w:panose1 w:val="020B0500000000000000"/>
    <w:charset w:val="00"/>
    <w:family w:val="decorative"/>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Ђˎ̥">
    <w:altName w:val="Tahoma"/>
    <w:panose1 w:val="00000000000000000000"/>
    <w:charset w:val="00"/>
    <w:family w:val="auto"/>
    <w:pitch w:val="default"/>
    <w:sig w:usb0="00000000" w:usb1="00000000" w:usb2="00000000" w:usb3="00000000" w:csb0="00040001" w:csb1="00000000"/>
  </w:font>
  <w:font w:name="宋?">
    <w:altName w:val="Times New Roman"/>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Bodoni MT">
    <w:altName w:val="Segoe Print"/>
    <w:panose1 w:val="00000000000000000000"/>
    <w:charset w:val="00"/>
    <w:family w:val="roman"/>
    <w:pitch w:val="default"/>
    <w:sig w:usb0="00000000" w:usb1="00000000" w:usb2="00000000" w:usb3="00000000" w:csb0="20000001" w:csb1="00000000"/>
  </w:font>
  <w:font w:name="方正大标宋简体">
    <w:altName w:val="微软雅黑"/>
    <w:panose1 w:val="02010601030101010101"/>
    <w:charset w:val="86"/>
    <w:family w:val="auto"/>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ˎ̥">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top w:val="dashDotStroked" w:color="auto" w:sz="24" w:space="1"/>
      </w:pBdr>
      <w:jc w:val="both"/>
      <w:rPr>
        <w:rFonts w:ascii="宋体" w:hAnsi="宋体"/>
        <w:b/>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9"/>
                          </w:pPr>
                          <w:r>
                            <w:fldChar w:fldCharType="begin"/>
                          </w:r>
                          <w:r>
                            <w:instrText xml:space="preserve"> PAGE  \* MERGEFORMAT </w:instrText>
                          </w:r>
                          <w:r>
                            <w:fldChar w:fldCharType="separate"/>
                          </w:r>
                          <w:r>
                            <w:t>91</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bc5d3NABAACqAwAADgAAAAAAAAABACAAAAAeAQAAZHJz&#10;L2Uyb0RvYy54bWxQSwUGAAAAAAYABgBZAQAAYAU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91</w:t>
                    </w:r>
                    <w:r>
                      <w:fldChar w:fldCharType="end"/>
                    </w:r>
                  </w:p>
                </w:txbxContent>
              </v:textbox>
            </v:shape>
          </w:pict>
        </mc:Fallback>
      </mc:AlternateContent>
    </w:r>
    <w:r>
      <w:rPr>
        <w:rFonts w:hint="eastAsia" w:ascii="宋体" w:hAnsi="宋体"/>
        <w:b/>
      </w:rPr>
      <w:t>陕西恒瑞项目管理有限公司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top w:val="dashDotStroked" w:color="auto" w:sz="24" w:space="1"/>
      </w:pBdr>
      <w:tabs>
        <w:tab w:val="center" w:pos="6979"/>
        <w:tab w:val="clear" w:pos="4153"/>
      </w:tabs>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194945</wp:posOffset>
              </wp:positionV>
              <wp:extent cx="114935" cy="320675"/>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14935" cy="320675"/>
                      </a:xfrm>
                      <a:prstGeom prst="rect">
                        <a:avLst/>
                      </a:prstGeom>
                      <a:noFill/>
                      <a:ln>
                        <a:noFill/>
                      </a:ln>
                      <a:effectLst/>
                    </wps:spPr>
                    <wps:txbx>
                      <w:txbxContent>
                        <w:p>
                          <w:pPr>
                            <w:pStyle w:val="29"/>
                          </w:pPr>
                          <w:r>
                            <w:fldChar w:fldCharType="begin"/>
                          </w:r>
                          <w:r>
                            <w:instrText xml:space="preserve"> PAGE  \* MERGEFORMAT </w:instrText>
                          </w:r>
                          <w:r>
                            <w:fldChar w:fldCharType="separate"/>
                          </w:r>
                          <w:r>
                            <w:t>121</w:t>
                          </w:r>
                          <w:r>
                            <w:fldChar w:fldCharType="end"/>
                          </w:r>
                        </w:p>
                      </w:txbxContent>
                    </wps:txbx>
                    <wps:bodyPr wrap="none" lIns="0" tIns="0" rIns="0" bIns="0" upright="1"/>
                  </wps:wsp>
                </a:graphicData>
              </a:graphic>
            </wp:anchor>
          </w:drawing>
        </mc:Choice>
        <mc:Fallback>
          <w:pict>
            <v:shape id="文本框 1028" o:spid="_x0000_s1026" o:spt="202" type="#_x0000_t202" style="position:absolute;left:0pt;margin-top:15.35pt;height:25.25pt;width:9.05pt;mso-position-horizontal:center;mso-position-horizontal-relative:margin;mso-wrap-style:none;z-index:251660288;mso-width-relative:page;mso-height-relative:page;" filled="f" stroked="f" coordsize="21600,21600" o:gfxdata="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Zuidy0gAAAAUBAAAPAAAAAAAAAAEAIAAAACIAAABkcnMvZG93bnJl&#10;di54bWxQSwECFAAUAAAACACHTuJAtXNGVcoBAACOAwAADgAAAAAAAAABACAAAAAhAQAAZHJzL2Uy&#10;b0RvYy54bWxQSwUGAAAAAAYABgBZAQAAXQUAAAAA&#10;">
              <v:fill on="f" focussize="0,0"/>
              <v:stroke on="f"/>
              <v:imagedata o:title=""/>
              <o:lock v:ext="edit" aspectratio="f"/>
              <v:textbox inset="0mm,0mm,0mm,0mm">
                <w:txbxContent>
                  <w:p>
                    <w:pPr>
                      <w:pStyle w:val="29"/>
                    </w:pPr>
                    <w:r>
                      <w:fldChar w:fldCharType="begin"/>
                    </w:r>
                    <w:r>
                      <w:instrText xml:space="preserve"> PAGE  \* MERGEFORMAT </w:instrText>
                    </w:r>
                    <w:r>
                      <w:fldChar w:fldCharType="separate"/>
                    </w:r>
                    <w:r>
                      <w:t>121</w:t>
                    </w:r>
                    <w:r>
                      <w:fldChar w:fldCharType="end"/>
                    </w:r>
                  </w:p>
                </w:txbxContent>
              </v:textbox>
            </v:shape>
          </w:pict>
        </mc:Fallback>
      </mc:AlternateContent>
    </w:r>
    <w:r>
      <w:rPr>
        <w:rFonts w:hint="eastAsia" w:ascii="宋体" w:hAnsi="宋体"/>
        <w:b/>
      </w:rPr>
      <w:t>陕西恒瑞项目管理有限公司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auto" w:sz="24" w:space="1"/>
      </w:pBdr>
      <w:jc w:val="center"/>
      <w:rPr>
        <w:rFonts w:ascii="宋体" w:hAnsi="宋体"/>
        <w:b/>
        <w:sz w:val="15"/>
        <w:szCs w:val="18"/>
      </w:rPr>
    </w:pPr>
    <w:r>
      <w:rPr>
        <w:rFonts w:hint="eastAsia" w:ascii="宋体" w:hAnsi="宋体"/>
        <w:b/>
        <w:sz w:val="15"/>
        <w:szCs w:val="18"/>
      </w:rPr>
      <w:t>山阳县户家塬镇桃园村抗旱应急水源工程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453712"/>
    <w:multiLevelType w:val="singleLevel"/>
    <w:tmpl w:val="BA453712"/>
    <w:lvl w:ilvl="0" w:tentative="0">
      <w:start w:val="3"/>
      <w:numFmt w:val="chineseCounting"/>
      <w:suff w:val="space"/>
      <w:lvlText w:val="第%1章"/>
      <w:lvlJc w:val="left"/>
      <w:rPr>
        <w:rFonts w:hint="eastAsia"/>
      </w:rPr>
    </w:lvl>
  </w:abstractNum>
  <w:abstractNum w:abstractNumId="1">
    <w:nsid w:val="E51E0B0C"/>
    <w:multiLevelType w:val="singleLevel"/>
    <w:tmpl w:val="E51E0B0C"/>
    <w:lvl w:ilvl="0" w:tentative="0">
      <w:start w:val="1"/>
      <w:numFmt w:val="decimal"/>
      <w:suff w:val="nothing"/>
      <w:lvlText w:val="%1、"/>
      <w:lvlJc w:val="left"/>
    </w:lvl>
  </w:abstractNum>
  <w:abstractNum w:abstractNumId="2">
    <w:nsid w:val="F23F14D3"/>
    <w:multiLevelType w:val="singleLevel"/>
    <w:tmpl w:val="F23F14D3"/>
    <w:lvl w:ilvl="0" w:tentative="0">
      <w:start w:val="1"/>
      <w:numFmt w:val="decimal"/>
      <w:suff w:val="nothing"/>
      <w:lvlText w:val="%1）"/>
      <w:lvlJc w:val="left"/>
    </w:lvl>
  </w:abstractNum>
  <w:abstractNum w:abstractNumId="3">
    <w:nsid w:val="00000006"/>
    <w:multiLevelType w:val="singleLevel"/>
    <w:tmpl w:val="00000006"/>
    <w:lvl w:ilvl="0" w:tentative="0">
      <w:start w:val="1"/>
      <w:numFmt w:val="decimal"/>
      <w:suff w:val="nothing"/>
      <w:lvlText w:val="（%1）"/>
      <w:lvlJc w:val="left"/>
    </w:lvl>
  </w:abstractNum>
  <w:abstractNum w:abstractNumId="4">
    <w:nsid w:val="2A9141A7"/>
    <w:multiLevelType w:val="multilevel"/>
    <w:tmpl w:val="2A9141A7"/>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1774699"/>
    <w:multiLevelType w:val="multilevel"/>
    <w:tmpl w:val="41774699"/>
    <w:lvl w:ilvl="0" w:tentative="0">
      <w:start w:val="5"/>
      <w:numFmt w:val="bullet"/>
      <w:lvlText w:val="□"/>
      <w:lvlJc w:val="left"/>
      <w:pPr>
        <w:ind w:left="720" w:hanging="360"/>
      </w:pPr>
      <w:rPr>
        <w:rFonts w:hint="eastAsia" w:ascii="宋体" w:hAnsi="宋体" w:eastAsia="宋体"/>
        <w:u w:val="none"/>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6">
    <w:nsid w:val="42707588"/>
    <w:multiLevelType w:val="multilevel"/>
    <w:tmpl w:val="42707588"/>
    <w:lvl w:ilvl="0" w:tentative="0">
      <w:start w:val="2"/>
      <w:numFmt w:val="japaneseCounting"/>
      <w:lvlText w:val="（%1）"/>
      <w:lvlJc w:val="left"/>
      <w:pPr>
        <w:ind w:left="1960" w:hanging="720"/>
      </w:pPr>
      <w:rPr>
        <w:rFonts w:hint="default"/>
        <w:sz w:val="21"/>
        <w:szCs w:val="21"/>
      </w:rPr>
    </w:lvl>
    <w:lvl w:ilvl="1" w:tentative="0">
      <w:start w:val="1"/>
      <w:numFmt w:val="lowerLetter"/>
      <w:lvlText w:val="%2)"/>
      <w:lvlJc w:val="left"/>
      <w:pPr>
        <w:ind w:left="2080" w:hanging="420"/>
      </w:pPr>
    </w:lvl>
    <w:lvl w:ilvl="2" w:tentative="0">
      <w:start w:val="1"/>
      <w:numFmt w:val="lowerRoman"/>
      <w:lvlText w:val="%3."/>
      <w:lvlJc w:val="right"/>
      <w:pPr>
        <w:ind w:left="2500" w:hanging="420"/>
      </w:pPr>
    </w:lvl>
    <w:lvl w:ilvl="3" w:tentative="0">
      <w:start w:val="1"/>
      <w:numFmt w:val="decimal"/>
      <w:lvlText w:val="%4."/>
      <w:lvlJc w:val="left"/>
      <w:pPr>
        <w:ind w:left="2920" w:hanging="420"/>
      </w:pPr>
    </w:lvl>
    <w:lvl w:ilvl="4" w:tentative="0">
      <w:start w:val="1"/>
      <w:numFmt w:val="lowerLetter"/>
      <w:lvlText w:val="%5)"/>
      <w:lvlJc w:val="left"/>
      <w:pPr>
        <w:ind w:left="3340" w:hanging="420"/>
      </w:pPr>
    </w:lvl>
    <w:lvl w:ilvl="5" w:tentative="0">
      <w:start w:val="1"/>
      <w:numFmt w:val="lowerRoman"/>
      <w:lvlText w:val="%6."/>
      <w:lvlJc w:val="right"/>
      <w:pPr>
        <w:ind w:left="3760" w:hanging="420"/>
      </w:pPr>
    </w:lvl>
    <w:lvl w:ilvl="6" w:tentative="0">
      <w:start w:val="1"/>
      <w:numFmt w:val="decimal"/>
      <w:lvlText w:val="%7."/>
      <w:lvlJc w:val="left"/>
      <w:pPr>
        <w:ind w:left="4180" w:hanging="420"/>
      </w:pPr>
    </w:lvl>
    <w:lvl w:ilvl="7" w:tentative="0">
      <w:start w:val="1"/>
      <w:numFmt w:val="lowerLetter"/>
      <w:lvlText w:val="%8)"/>
      <w:lvlJc w:val="left"/>
      <w:pPr>
        <w:ind w:left="4600" w:hanging="420"/>
      </w:pPr>
    </w:lvl>
    <w:lvl w:ilvl="8" w:tentative="0">
      <w:start w:val="1"/>
      <w:numFmt w:val="lowerRoman"/>
      <w:lvlText w:val="%9."/>
      <w:lvlJc w:val="right"/>
      <w:pPr>
        <w:ind w:left="5020" w:hanging="420"/>
      </w:pPr>
    </w:lvl>
  </w:abstractNum>
  <w:abstractNum w:abstractNumId="7">
    <w:nsid w:val="5A1FC88D"/>
    <w:multiLevelType w:val="singleLevel"/>
    <w:tmpl w:val="5A1FC88D"/>
    <w:lvl w:ilvl="0" w:tentative="0">
      <w:start w:val="1"/>
      <w:numFmt w:val="decimal"/>
      <w:suff w:val="nothing"/>
      <w:lvlText w:val="（%1）"/>
      <w:lvlJc w:val="left"/>
      <w:rPr>
        <w:rFonts w:ascii="宋体" w:hAnsi="宋体" w:eastAsia="宋体" w:cs="Times New Roman"/>
      </w:rPr>
    </w:lvl>
  </w:abstractNum>
  <w:abstractNum w:abstractNumId="8">
    <w:nsid w:val="5AE16787"/>
    <w:multiLevelType w:val="singleLevel"/>
    <w:tmpl w:val="5AE16787"/>
    <w:lvl w:ilvl="0" w:tentative="0">
      <w:start w:val="1"/>
      <w:numFmt w:val="decimalEnclosedCircleChinese"/>
      <w:suff w:val="nothing"/>
      <w:lvlText w:val="%1　"/>
      <w:lvlJc w:val="left"/>
      <w:pPr>
        <w:ind w:left="0" w:firstLine="400"/>
      </w:pPr>
      <w:rPr>
        <w:rFonts w:hint="eastAsia"/>
      </w:rPr>
    </w:lvl>
  </w:abstractNum>
  <w:num w:numId="1">
    <w:abstractNumId w:val="1"/>
  </w:num>
  <w:num w:numId="2">
    <w:abstractNumId w:val="4"/>
  </w:num>
  <w:num w:numId="3">
    <w:abstractNumId w:val="0"/>
  </w:num>
  <w:num w:numId="4">
    <w:abstractNumId w:val="3"/>
  </w:num>
  <w:num w:numId="5">
    <w:abstractNumId w:val="5"/>
  </w:num>
  <w:num w:numId="6">
    <w:abstractNumId w:val="2"/>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0YzgwZDFmMDc4YzYyMDE1MTUwNTlkOWY4OWE5ODAifQ=="/>
  </w:docVars>
  <w:rsids>
    <w:rsidRoot w:val="006C772F"/>
    <w:rsid w:val="00001614"/>
    <w:rsid w:val="00001CC1"/>
    <w:rsid w:val="00002E53"/>
    <w:rsid w:val="00003E59"/>
    <w:rsid w:val="00003F80"/>
    <w:rsid w:val="000053B3"/>
    <w:rsid w:val="000054AC"/>
    <w:rsid w:val="000059D0"/>
    <w:rsid w:val="000079AB"/>
    <w:rsid w:val="00011615"/>
    <w:rsid w:val="00012FB0"/>
    <w:rsid w:val="00016281"/>
    <w:rsid w:val="0001794D"/>
    <w:rsid w:val="00023FE6"/>
    <w:rsid w:val="00024085"/>
    <w:rsid w:val="000247EC"/>
    <w:rsid w:val="00025905"/>
    <w:rsid w:val="00027F77"/>
    <w:rsid w:val="00035D5D"/>
    <w:rsid w:val="00035DEC"/>
    <w:rsid w:val="0003604B"/>
    <w:rsid w:val="00036DFC"/>
    <w:rsid w:val="000376AD"/>
    <w:rsid w:val="0004351D"/>
    <w:rsid w:val="000440B4"/>
    <w:rsid w:val="00044658"/>
    <w:rsid w:val="000451D8"/>
    <w:rsid w:val="0004549C"/>
    <w:rsid w:val="00045F01"/>
    <w:rsid w:val="000507BB"/>
    <w:rsid w:val="000508DE"/>
    <w:rsid w:val="0005237A"/>
    <w:rsid w:val="000534B1"/>
    <w:rsid w:val="00053760"/>
    <w:rsid w:val="00053ED2"/>
    <w:rsid w:val="00055320"/>
    <w:rsid w:val="00055342"/>
    <w:rsid w:val="00055468"/>
    <w:rsid w:val="00055AC6"/>
    <w:rsid w:val="00056D3D"/>
    <w:rsid w:val="00057531"/>
    <w:rsid w:val="000601BA"/>
    <w:rsid w:val="00060635"/>
    <w:rsid w:val="000615C3"/>
    <w:rsid w:val="00063105"/>
    <w:rsid w:val="00064B4A"/>
    <w:rsid w:val="000650FC"/>
    <w:rsid w:val="00066FD7"/>
    <w:rsid w:val="00067342"/>
    <w:rsid w:val="00067CF4"/>
    <w:rsid w:val="00070F62"/>
    <w:rsid w:val="00071CBE"/>
    <w:rsid w:val="000727E4"/>
    <w:rsid w:val="00072866"/>
    <w:rsid w:val="00073B7E"/>
    <w:rsid w:val="00075E22"/>
    <w:rsid w:val="00075ED4"/>
    <w:rsid w:val="00076451"/>
    <w:rsid w:val="0007716E"/>
    <w:rsid w:val="0007754A"/>
    <w:rsid w:val="000816F2"/>
    <w:rsid w:val="0008285D"/>
    <w:rsid w:val="0008361B"/>
    <w:rsid w:val="00083DF1"/>
    <w:rsid w:val="00085BA4"/>
    <w:rsid w:val="000862A0"/>
    <w:rsid w:val="000873F1"/>
    <w:rsid w:val="000910BD"/>
    <w:rsid w:val="00091739"/>
    <w:rsid w:val="00091C74"/>
    <w:rsid w:val="00092194"/>
    <w:rsid w:val="0009243F"/>
    <w:rsid w:val="00092AC0"/>
    <w:rsid w:val="00093808"/>
    <w:rsid w:val="00094097"/>
    <w:rsid w:val="00094D28"/>
    <w:rsid w:val="0009502B"/>
    <w:rsid w:val="00095A6D"/>
    <w:rsid w:val="00096CCC"/>
    <w:rsid w:val="00096E4C"/>
    <w:rsid w:val="000974D4"/>
    <w:rsid w:val="000A08B8"/>
    <w:rsid w:val="000A0F3C"/>
    <w:rsid w:val="000A291D"/>
    <w:rsid w:val="000A2E8F"/>
    <w:rsid w:val="000A3364"/>
    <w:rsid w:val="000A39F1"/>
    <w:rsid w:val="000A3D4B"/>
    <w:rsid w:val="000A6451"/>
    <w:rsid w:val="000A645B"/>
    <w:rsid w:val="000B024A"/>
    <w:rsid w:val="000B030A"/>
    <w:rsid w:val="000B21B2"/>
    <w:rsid w:val="000B2BC3"/>
    <w:rsid w:val="000B3A91"/>
    <w:rsid w:val="000B44F8"/>
    <w:rsid w:val="000B4755"/>
    <w:rsid w:val="000B4ACB"/>
    <w:rsid w:val="000B4B9A"/>
    <w:rsid w:val="000C230D"/>
    <w:rsid w:val="000C327D"/>
    <w:rsid w:val="000C4807"/>
    <w:rsid w:val="000C596F"/>
    <w:rsid w:val="000D05DC"/>
    <w:rsid w:val="000D21A1"/>
    <w:rsid w:val="000D3A0E"/>
    <w:rsid w:val="000D3EA1"/>
    <w:rsid w:val="000D3F5F"/>
    <w:rsid w:val="000D41E7"/>
    <w:rsid w:val="000D65C2"/>
    <w:rsid w:val="000D6B43"/>
    <w:rsid w:val="000E00F4"/>
    <w:rsid w:val="000E2499"/>
    <w:rsid w:val="000E4BA4"/>
    <w:rsid w:val="000E5C78"/>
    <w:rsid w:val="000E794A"/>
    <w:rsid w:val="000E7C8C"/>
    <w:rsid w:val="000E7CC3"/>
    <w:rsid w:val="000F00A6"/>
    <w:rsid w:val="000F0E93"/>
    <w:rsid w:val="000F1082"/>
    <w:rsid w:val="000F1C13"/>
    <w:rsid w:val="000F2A6F"/>
    <w:rsid w:val="000F4ABB"/>
    <w:rsid w:val="000F4D5D"/>
    <w:rsid w:val="000F7545"/>
    <w:rsid w:val="000F7FCE"/>
    <w:rsid w:val="00100742"/>
    <w:rsid w:val="00101E47"/>
    <w:rsid w:val="00103804"/>
    <w:rsid w:val="00103A3F"/>
    <w:rsid w:val="00103A68"/>
    <w:rsid w:val="00104DA5"/>
    <w:rsid w:val="00105AD1"/>
    <w:rsid w:val="0010793D"/>
    <w:rsid w:val="00110369"/>
    <w:rsid w:val="00110E3F"/>
    <w:rsid w:val="001125A7"/>
    <w:rsid w:val="001125BF"/>
    <w:rsid w:val="00112672"/>
    <w:rsid w:val="00112B0E"/>
    <w:rsid w:val="00112CDC"/>
    <w:rsid w:val="001130BB"/>
    <w:rsid w:val="00113C4C"/>
    <w:rsid w:val="00113DFA"/>
    <w:rsid w:val="00115577"/>
    <w:rsid w:val="001167F6"/>
    <w:rsid w:val="00116D1F"/>
    <w:rsid w:val="001175AC"/>
    <w:rsid w:val="001211E5"/>
    <w:rsid w:val="0012267B"/>
    <w:rsid w:val="001230F1"/>
    <w:rsid w:val="00123BD3"/>
    <w:rsid w:val="00123D7F"/>
    <w:rsid w:val="00124346"/>
    <w:rsid w:val="001248CB"/>
    <w:rsid w:val="00124A8A"/>
    <w:rsid w:val="00124BB5"/>
    <w:rsid w:val="00124BD1"/>
    <w:rsid w:val="00125641"/>
    <w:rsid w:val="0012678F"/>
    <w:rsid w:val="00130147"/>
    <w:rsid w:val="001328B3"/>
    <w:rsid w:val="001337DD"/>
    <w:rsid w:val="0013768F"/>
    <w:rsid w:val="0014155E"/>
    <w:rsid w:val="00143AEC"/>
    <w:rsid w:val="001441C9"/>
    <w:rsid w:val="00144885"/>
    <w:rsid w:val="00145436"/>
    <w:rsid w:val="001457E3"/>
    <w:rsid w:val="00146E33"/>
    <w:rsid w:val="0015198D"/>
    <w:rsid w:val="00152FE8"/>
    <w:rsid w:val="00152FFA"/>
    <w:rsid w:val="00156084"/>
    <w:rsid w:val="00156B3E"/>
    <w:rsid w:val="00157518"/>
    <w:rsid w:val="00157E4E"/>
    <w:rsid w:val="001610D1"/>
    <w:rsid w:val="00161CCF"/>
    <w:rsid w:val="00162087"/>
    <w:rsid w:val="00163265"/>
    <w:rsid w:val="00163D8D"/>
    <w:rsid w:val="00163E6E"/>
    <w:rsid w:val="0017068A"/>
    <w:rsid w:val="00170856"/>
    <w:rsid w:val="00170BB7"/>
    <w:rsid w:val="00171958"/>
    <w:rsid w:val="001741F1"/>
    <w:rsid w:val="00176772"/>
    <w:rsid w:val="001776E4"/>
    <w:rsid w:val="001800DB"/>
    <w:rsid w:val="001801C7"/>
    <w:rsid w:val="001803EB"/>
    <w:rsid w:val="00181C92"/>
    <w:rsid w:val="00182272"/>
    <w:rsid w:val="001830A0"/>
    <w:rsid w:val="00185223"/>
    <w:rsid w:val="00185AE2"/>
    <w:rsid w:val="00187406"/>
    <w:rsid w:val="00187B7E"/>
    <w:rsid w:val="00187F41"/>
    <w:rsid w:val="0019018E"/>
    <w:rsid w:val="00190A0C"/>
    <w:rsid w:val="00191D7D"/>
    <w:rsid w:val="001938C1"/>
    <w:rsid w:val="00193AD8"/>
    <w:rsid w:val="00193FC6"/>
    <w:rsid w:val="0019669F"/>
    <w:rsid w:val="00196F16"/>
    <w:rsid w:val="0019756D"/>
    <w:rsid w:val="00197E7A"/>
    <w:rsid w:val="001A005D"/>
    <w:rsid w:val="001A3D1B"/>
    <w:rsid w:val="001A5014"/>
    <w:rsid w:val="001A55AF"/>
    <w:rsid w:val="001A6E16"/>
    <w:rsid w:val="001A6EAE"/>
    <w:rsid w:val="001A7A0C"/>
    <w:rsid w:val="001B0AB1"/>
    <w:rsid w:val="001B1DF7"/>
    <w:rsid w:val="001B1F87"/>
    <w:rsid w:val="001B5EF9"/>
    <w:rsid w:val="001B6958"/>
    <w:rsid w:val="001C0E87"/>
    <w:rsid w:val="001C32E3"/>
    <w:rsid w:val="001C3D1D"/>
    <w:rsid w:val="001C44AF"/>
    <w:rsid w:val="001C45C1"/>
    <w:rsid w:val="001C4781"/>
    <w:rsid w:val="001C485F"/>
    <w:rsid w:val="001C5329"/>
    <w:rsid w:val="001C5A84"/>
    <w:rsid w:val="001C78EE"/>
    <w:rsid w:val="001C7BC5"/>
    <w:rsid w:val="001D0197"/>
    <w:rsid w:val="001D170B"/>
    <w:rsid w:val="001D2BF7"/>
    <w:rsid w:val="001D34AE"/>
    <w:rsid w:val="001D35D3"/>
    <w:rsid w:val="001D410E"/>
    <w:rsid w:val="001D5DC4"/>
    <w:rsid w:val="001D66FC"/>
    <w:rsid w:val="001E0322"/>
    <w:rsid w:val="001E15B6"/>
    <w:rsid w:val="001E181B"/>
    <w:rsid w:val="001E2562"/>
    <w:rsid w:val="001E40A8"/>
    <w:rsid w:val="001E506B"/>
    <w:rsid w:val="001E592E"/>
    <w:rsid w:val="001E5E65"/>
    <w:rsid w:val="001E5F21"/>
    <w:rsid w:val="001E6826"/>
    <w:rsid w:val="001E754B"/>
    <w:rsid w:val="001E7945"/>
    <w:rsid w:val="001E7D57"/>
    <w:rsid w:val="001E7F25"/>
    <w:rsid w:val="001F2071"/>
    <w:rsid w:val="001F24F2"/>
    <w:rsid w:val="001F3A9F"/>
    <w:rsid w:val="001F4E4B"/>
    <w:rsid w:val="001F5364"/>
    <w:rsid w:val="002002C8"/>
    <w:rsid w:val="002006F5"/>
    <w:rsid w:val="002007B8"/>
    <w:rsid w:val="00200C8F"/>
    <w:rsid w:val="00201937"/>
    <w:rsid w:val="00201CE4"/>
    <w:rsid w:val="00202216"/>
    <w:rsid w:val="0020683D"/>
    <w:rsid w:val="00206B39"/>
    <w:rsid w:val="0021166E"/>
    <w:rsid w:val="0021383E"/>
    <w:rsid w:val="00213AEC"/>
    <w:rsid w:val="00215D45"/>
    <w:rsid w:val="00216DDB"/>
    <w:rsid w:val="00221AA7"/>
    <w:rsid w:val="002222A8"/>
    <w:rsid w:val="00222A02"/>
    <w:rsid w:val="00222CEC"/>
    <w:rsid w:val="00224C84"/>
    <w:rsid w:val="00225CF8"/>
    <w:rsid w:val="002264EB"/>
    <w:rsid w:val="00231DBC"/>
    <w:rsid w:val="002325C2"/>
    <w:rsid w:val="00232C8C"/>
    <w:rsid w:val="00234469"/>
    <w:rsid w:val="0023508C"/>
    <w:rsid w:val="00236378"/>
    <w:rsid w:val="00236B26"/>
    <w:rsid w:val="00240823"/>
    <w:rsid w:val="00240B9C"/>
    <w:rsid w:val="002435F6"/>
    <w:rsid w:val="0024377C"/>
    <w:rsid w:val="002446F0"/>
    <w:rsid w:val="0024504D"/>
    <w:rsid w:val="00245276"/>
    <w:rsid w:val="00245F66"/>
    <w:rsid w:val="002465D5"/>
    <w:rsid w:val="00246E0B"/>
    <w:rsid w:val="00247480"/>
    <w:rsid w:val="00247DBD"/>
    <w:rsid w:val="00250965"/>
    <w:rsid w:val="0025099A"/>
    <w:rsid w:val="002509E5"/>
    <w:rsid w:val="00250E52"/>
    <w:rsid w:val="002535D8"/>
    <w:rsid w:val="00253891"/>
    <w:rsid w:val="00254742"/>
    <w:rsid w:val="00256DF3"/>
    <w:rsid w:val="00260461"/>
    <w:rsid w:val="00260AEA"/>
    <w:rsid w:val="00262C00"/>
    <w:rsid w:val="0026472C"/>
    <w:rsid w:val="00264AE4"/>
    <w:rsid w:val="00264EFD"/>
    <w:rsid w:val="00267757"/>
    <w:rsid w:val="0027264C"/>
    <w:rsid w:val="00272A16"/>
    <w:rsid w:val="00272ECB"/>
    <w:rsid w:val="002743CF"/>
    <w:rsid w:val="00276208"/>
    <w:rsid w:val="00276AAA"/>
    <w:rsid w:val="00277DF9"/>
    <w:rsid w:val="00277E86"/>
    <w:rsid w:val="00280384"/>
    <w:rsid w:val="00280702"/>
    <w:rsid w:val="00280E16"/>
    <w:rsid w:val="00282263"/>
    <w:rsid w:val="00286735"/>
    <w:rsid w:val="00286BF4"/>
    <w:rsid w:val="00291BCF"/>
    <w:rsid w:val="00291D31"/>
    <w:rsid w:val="00292350"/>
    <w:rsid w:val="00295BEE"/>
    <w:rsid w:val="00297F05"/>
    <w:rsid w:val="002A0218"/>
    <w:rsid w:val="002A1704"/>
    <w:rsid w:val="002A3095"/>
    <w:rsid w:val="002A459B"/>
    <w:rsid w:val="002A50F4"/>
    <w:rsid w:val="002A541F"/>
    <w:rsid w:val="002A6142"/>
    <w:rsid w:val="002A640D"/>
    <w:rsid w:val="002A70D0"/>
    <w:rsid w:val="002A762D"/>
    <w:rsid w:val="002B020E"/>
    <w:rsid w:val="002B1D4E"/>
    <w:rsid w:val="002B2CF2"/>
    <w:rsid w:val="002B59A4"/>
    <w:rsid w:val="002B7897"/>
    <w:rsid w:val="002C13EF"/>
    <w:rsid w:val="002C1409"/>
    <w:rsid w:val="002C1EEF"/>
    <w:rsid w:val="002C29D7"/>
    <w:rsid w:val="002C3A6B"/>
    <w:rsid w:val="002C3CB3"/>
    <w:rsid w:val="002C72A1"/>
    <w:rsid w:val="002C789E"/>
    <w:rsid w:val="002C7BE2"/>
    <w:rsid w:val="002D2351"/>
    <w:rsid w:val="002D2B02"/>
    <w:rsid w:val="002D3FF7"/>
    <w:rsid w:val="002D40AC"/>
    <w:rsid w:val="002D5C94"/>
    <w:rsid w:val="002D5FA1"/>
    <w:rsid w:val="002D6579"/>
    <w:rsid w:val="002D68D6"/>
    <w:rsid w:val="002D70E3"/>
    <w:rsid w:val="002E204A"/>
    <w:rsid w:val="002E218E"/>
    <w:rsid w:val="002E22FB"/>
    <w:rsid w:val="002E274D"/>
    <w:rsid w:val="002E2A83"/>
    <w:rsid w:val="002E393E"/>
    <w:rsid w:val="002E4CF8"/>
    <w:rsid w:val="002E5258"/>
    <w:rsid w:val="002E5525"/>
    <w:rsid w:val="002E6C07"/>
    <w:rsid w:val="002F14FD"/>
    <w:rsid w:val="002F1731"/>
    <w:rsid w:val="002F180F"/>
    <w:rsid w:val="002F26B8"/>
    <w:rsid w:val="002F3FE5"/>
    <w:rsid w:val="002F593E"/>
    <w:rsid w:val="002F594F"/>
    <w:rsid w:val="002F6A61"/>
    <w:rsid w:val="003018FF"/>
    <w:rsid w:val="00302ADF"/>
    <w:rsid w:val="00303204"/>
    <w:rsid w:val="0030474C"/>
    <w:rsid w:val="00304971"/>
    <w:rsid w:val="0030502E"/>
    <w:rsid w:val="003074CB"/>
    <w:rsid w:val="00310859"/>
    <w:rsid w:val="00310A4B"/>
    <w:rsid w:val="003121F3"/>
    <w:rsid w:val="003133E6"/>
    <w:rsid w:val="00313D64"/>
    <w:rsid w:val="00314059"/>
    <w:rsid w:val="00314D86"/>
    <w:rsid w:val="003163CA"/>
    <w:rsid w:val="00317324"/>
    <w:rsid w:val="00317645"/>
    <w:rsid w:val="00322BA4"/>
    <w:rsid w:val="00323089"/>
    <w:rsid w:val="00323690"/>
    <w:rsid w:val="00324E45"/>
    <w:rsid w:val="00325CB2"/>
    <w:rsid w:val="00330AC0"/>
    <w:rsid w:val="00332307"/>
    <w:rsid w:val="00332E81"/>
    <w:rsid w:val="00332FCC"/>
    <w:rsid w:val="003331B2"/>
    <w:rsid w:val="00336634"/>
    <w:rsid w:val="00340047"/>
    <w:rsid w:val="0034078D"/>
    <w:rsid w:val="00341D23"/>
    <w:rsid w:val="00342191"/>
    <w:rsid w:val="00342E02"/>
    <w:rsid w:val="00343565"/>
    <w:rsid w:val="00344656"/>
    <w:rsid w:val="00344B60"/>
    <w:rsid w:val="00345ADD"/>
    <w:rsid w:val="003463DE"/>
    <w:rsid w:val="00346654"/>
    <w:rsid w:val="0034696B"/>
    <w:rsid w:val="0035070A"/>
    <w:rsid w:val="00350CB3"/>
    <w:rsid w:val="00351BA6"/>
    <w:rsid w:val="00354989"/>
    <w:rsid w:val="00355C9B"/>
    <w:rsid w:val="00355E14"/>
    <w:rsid w:val="003572C1"/>
    <w:rsid w:val="00357CBA"/>
    <w:rsid w:val="00357F2B"/>
    <w:rsid w:val="003601DC"/>
    <w:rsid w:val="003601FB"/>
    <w:rsid w:val="003632A6"/>
    <w:rsid w:val="00364126"/>
    <w:rsid w:val="00366323"/>
    <w:rsid w:val="00367C1A"/>
    <w:rsid w:val="00367E99"/>
    <w:rsid w:val="003719D5"/>
    <w:rsid w:val="00371A7B"/>
    <w:rsid w:val="00373C36"/>
    <w:rsid w:val="003752B2"/>
    <w:rsid w:val="003755EB"/>
    <w:rsid w:val="00375E48"/>
    <w:rsid w:val="003761C0"/>
    <w:rsid w:val="0037700A"/>
    <w:rsid w:val="003777D6"/>
    <w:rsid w:val="00377A2A"/>
    <w:rsid w:val="003803A6"/>
    <w:rsid w:val="00381894"/>
    <w:rsid w:val="003827C1"/>
    <w:rsid w:val="00383EAB"/>
    <w:rsid w:val="0038494F"/>
    <w:rsid w:val="003858C6"/>
    <w:rsid w:val="00386AE8"/>
    <w:rsid w:val="00387827"/>
    <w:rsid w:val="0038795E"/>
    <w:rsid w:val="00391AF6"/>
    <w:rsid w:val="0039214C"/>
    <w:rsid w:val="003929C3"/>
    <w:rsid w:val="00392EDB"/>
    <w:rsid w:val="00393B46"/>
    <w:rsid w:val="00395025"/>
    <w:rsid w:val="00395705"/>
    <w:rsid w:val="00395878"/>
    <w:rsid w:val="003966AA"/>
    <w:rsid w:val="00396CBB"/>
    <w:rsid w:val="00396DCC"/>
    <w:rsid w:val="003A0348"/>
    <w:rsid w:val="003A267F"/>
    <w:rsid w:val="003A37A8"/>
    <w:rsid w:val="003A5F4B"/>
    <w:rsid w:val="003A670E"/>
    <w:rsid w:val="003B05BA"/>
    <w:rsid w:val="003B0F51"/>
    <w:rsid w:val="003B10CF"/>
    <w:rsid w:val="003B2187"/>
    <w:rsid w:val="003B50C1"/>
    <w:rsid w:val="003B56FD"/>
    <w:rsid w:val="003B5CFB"/>
    <w:rsid w:val="003B6973"/>
    <w:rsid w:val="003B7C45"/>
    <w:rsid w:val="003C1A12"/>
    <w:rsid w:val="003C2C15"/>
    <w:rsid w:val="003C2CE3"/>
    <w:rsid w:val="003C2E12"/>
    <w:rsid w:val="003C4A92"/>
    <w:rsid w:val="003C5056"/>
    <w:rsid w:val="003C68E1"/>
    <w:rsid w:val="003C7424"/>
    <w:rsid w:val="003C7B0C"/>
    <w:rsid w:val="003D09FD"/>
    <w:rsid w:val="003D1503"/>
    <w:rsid w:val="003D77D5"/>
    <w:rsid w:val="003E00BE"/>
    <w:rsid w:val="003E1C3F"/>
    <w:rsid w:val="003E42A1"/>
    <w:rsid w:val="003E5371"/>
    <w:rsid w:val="003F12CB"/>
    <w:rsid w:val="003F2F59"/>
    <w:rsid w:val="003F5A37"/>
    <w:rsid w:val="003F761B"/>
    <w:rsid w:val="003F7C77"/>
    <w:rsid w:val="0040186E"/>
    <w:rsid w:val="0040305A"/>
    <w:rsid w:val="00404F5A"/>
    <w:rsid w:val="0040543B"/>
    <w:rsid w:val="004058AD"/>
    <w:rsid w:val="00405912"/>
    <w:rsid w:val="00406933"/>
    <w:rsid w:val="00406978"/>
    <w:rsid w:val="00407E28"/>
    <w:rsid w:val="0041022A"/>
    <w:rsid w:val="004104EF"/>
    <w:rsid w:val="00410706"/>
    <w:rsid w:val="00411DC9"/>
    <w:rsid w:val="0041249C"/>
    <w:rsid w:val="00414408"/>
    <w:rsid w:val="004160EC"/>
    <w:rsid w:val="004169CB"/>
    <w:rsid w:val="00420819"/>
    <w:rsid w:val="004234D5"/>
    <w:rsid w:val="00426567"/>
    <w:rsid w:val="00427ABC"/>
    <w:rsid w:val="004303CD"/>
    <w:rsid w:val="00433AC6"/>
    <w:rsid w:val="00434787"/>
    <w:rsid w:val="00434AB4"/>
    <w:rsid w:val="004351C9"/>
    <w:rsid w:val="0043669F"/>
    <w:rsid w:val="00436E5A"/>
    <w:rsid w:val="004374F2"/>
    <w:rsid w:val="00441BC3"/>
    <w:rsid w:val="00441E5C"/>
    <w:rsid w:val="004423B9"/>
    <w:rsid w:val="00442A29"/>
    <w:rsid w:val="004439B5"/>
    <w:rsid w:val="00443DB7"/>
    <w:rsid w:val="00444008"/>
    <w:rsid w:val="0044597B"/>
    <w:rsid w:val="0044608E"/>
    <w:rsid w:val="0045473D"/>
    <w:rsid w:val="00457DBE"/>
    <w:rsid w:val="00460B71"/>
    <w:rsid w:val="00462209"/>
    <w:rsid w:val="00462684"/>
    <w:rsid w:val="004636BE"/>
    <w:rsid w:val="00463E5E"/>
    <w:rsid w:val="0046424D"/>
    <w:rsid w:val="00465E9B"/>
    <w:rsid w:val="0046610A"/>
    <w:rsid w:val="004662AD"/>
    <w:rsid w:val="00466514"/>
    <w:rsid w:val="00467A73"/>
    <w:rsid w:val="004718F4"/>
    <w:rsid w:val="00473DD3"/>
    <w:rsid w:val="00474284"/>
    <w:rsid w:val="00475307"/>
    <w:rsid w:val="004763CF"/>
    <w:rsid w:val="0047661B"/>
    <w:rsid w:val="00476862"/>
    <w:rsid w:val="00477859"/>
    <w:rsid w:val="00480552"/>
    <w:rsid w:val="004813FC"/>
    <w:rsid w:val="00481A99"/>
    <w:rsid w:val="00482178"/>
    <w:rsid w:val="00484AE4"/>
    <w:rsid w:val="00484C46"/>
    <w:rsid w:val="00484FB4"/>
    <w:rsid w:val="00487A3C"/>
    <w:rsid w:val="00490C68"/>
    <w:rsid w:val="00494E88"/>
    <w:rsid w:val="004957E4"/>
    <w:rsid w:val="004978E0"/>
    <w:rsid w:val="004A0478"/>
    <w:rsid w:val="004A04A4"/>
    <w:rsid w:val="004A07C3"/>
    <w:rsid w:val="004A1DE1"/>
    <w:rsid w:val="004A2637"/>
    <w:rsid w:val="004A35A6"/>
    <w:rsid w:val="004A4DC7"/>
    <w:rsid w:val="004A4F0D"/>
    <w:rsid w:val="004A5CE9"/>
    <w:rsid w:val="004A6D17"/>
    <w:rsid w:val="004A7B56"/>
    <w:rsid w:val="004A7F9B"/>
    <w:rsid w:val="004B0959"/>
    <w:rsid w:val="004B0DF3"/>
    <w:rsid w:val="004B1835"/>
    <w:rsid w:val="004B1EF7"/>
    <w:rsid w:val="004B3B54"/>
    <w:rsid w:val="004B634A"/>
    <w:rsid w:val="004B689A"/>
    <w:rsid w:val="004C0258"/>
    <w:rsid w:val="004C0800"/>
    <w:rsid w:val="004C0B7C"/>
    <w:rsid w:val="004C1280"/>
    <w:rsid w:val="004C2DF7"/>
    <w:rsid w:val="004C37B0"/>
    <w:rsid w:val="004C44A3"/>
    <w:rsid w:val="004C4522"/>
    <w:rsid w:val="004C4631"/>
    <w:rsid w:val="004C571E"/>
    <w:rsid w:val="004C76FB"/>
    <w:rsid w:val="004C7F52"/>
    <w:rsid w:val="004D0EE9"/>
    <w:rsid w:val="004D2F4B"/>
    <w:rsid w:val="004D52D8"/>
    <w:rsid w:val="004D6350"/>
    <w:rsid w:val="004E100E"/>
    <w:rsid w:val="004E10CB"/>
    <w:rsid w:val="004E3B43"/>
    <w:rsid w:val="004E3BC9"/>
    <w:rsid w:val="004E68CA"/>
    <w:rsid w:val="004E7EE4"/>
    <w:rsid w:val="004F0F80"/>
    <w:rsid w:val="004F1077"/>
    <w:rsid w:val="004F2568"/>
    <w:rsid w:val="004F4C81"/>
    <w:rsid w:val="004F6B59"/>
    <w:rsid w:val="004F7BC8"/>
    <w:rsid w:val="004F7C33"/>
    <w:rsid w:val="00501E34"/>
    <w:rsid w:val="00503236"/>
    <w:rsid w:val="00503786"/>
    <w:rsid w:val="005037B5"/>
    <w:rsid w:val="00506C95"/>
    <w:rsid w:val="0050736C"/>
    <w:rsid w:val="00507A8C"/>
    <w:rsid w:val="00510D1A"/>
    <w:rsid w:val="00514E86"/>
    <w:rsid w:val="005153BD"/>
    <w:rsid w:val="00515DF1"/>
    <w:rsid w:val="00516307"/>
    <w:rsid w:val="00516548"/>
    <w:rsid w:val="00516570"/>
    <w:rsid w:val="0051725D"/>
    <w:rsid w:val="005203CF"/>
    <w:rsid w:val="00520898"/>
    <w:rsid w:val="005209FE"/>
    <w:rsid w:val="0052429B"/>
    <w:rsid w:val="005250C0"/>
    <w:rsid w:val="005275AF"/>
    <w:rsid w:val="00530CF7"/>
    <w:rsid w:val="0053221E"/>
    <w:rsid w:val="00532AC8"/>
    <w:rsid w:val="00533192"/>
    <w:rsid w:val="00534C53"/>
    <w:rsid w:val="005402E3"/>
    <w:rsid w:val="005406B9"/>
    <w:rsid w:val="00541094"/>
    <w:rsid w:val="00542B61"/>
    <w:rsid w:val="00543620"/>
    <w:rsid w:val="00546062"/>
    <w:rsid w:val="005471F2"/>
    <w:rsid w:val="00552524"/>
    <w:rsid w:val="00552655"/>
    <w:rsid w:val="00552711"/>
    <w:rsid w:val="0055320F"/>
    <w:rsid w:val="00554351"/>
    <w:rsid w:val="0055469E"/>
    <w:rsid w:val="00555C22"/>
    <w:rsid w:val="00555F31"/>
    <w:rsid w:val="005561B7"/>
    <w:rsid w:val="00560EAB"/>
    <w:rsid w:val="00561D00"/>
    <w:rsid w:val="0056249D"/>
    <w:rsid w:val="005630D8"/>
    <w:rsid w:val="00564738"/>
    <w:rsid w:val="00564F65"/>
    <w:rsid w:val="00565A30"/>
    <w:rsid w:val="00570312"/>
    <w:rsid w:val="0057076A"/>
    <w:rsid w:val="00570EC4"/>
    <w:rsid w:val="00573A18"/>
    <w:rsid w:val="0057470E"/>
    <w:rsid w:val="00574F30"/>
    <w:rsid w:val="005754F1"/>
    <w:rsid w:val="00575633"/>
    <w:rsid w:val="00575C74"/>
    <w:rsid w:val="005764F1"/>
    <w:rsid w:val="0057696B"/>
    <w:rsid w:val="00580A22"/>
    <w:rsid w:val="00580DAA"/>
    <w:rsid w:val="00581D60"/>
    <w:rsid w:val="00581D73"/>
    <w:rsid w:val="00584CE5"/>
    <w:rsid w:val="0058520B"/>
    <w:rsid w:val="0058533E"/>
    <w:rsid w:val="005871E0"/>
    <w:rsid w:val="00587B88"/>
    <w:rsid w:val="00587E69"/>
    <w:rsid w:val="00587E9C"/>
    <w:rsid w:val="005913AD"/>
    <w:rsid w:val="005929FC"/>
    <w:rsid w:val="005939E6"/>
    <w:rsid w:val="00593E09"/>
    <w:rsid w:val="00594145"/>
    <w:rsid w:val="00594A99"/>
    <w:rsid w:val="00596710"/>
    <w:rsid w:val="00596901"/>
    <w:rsid w:val="00597D10"/>
    <w:rsid w:val="00597F3D"/>
    <w:rsid w:val="005A19AA"/>
    <w:rsid w:val="005A1A42"/>
    <w:rsid w:val="005A3E17"/>
    <w:rsid w:val="005A41A1"/>
    <w:rsid w:val="005A4AE8"/>
    <w:rsid w:val="005B0C53"/>
    <w:rsid w:val="005B1EE7"/>
    <w:rsid w:val="005B31C7"/>
    <w:rsid w:val="005B33BB"/>
    <w:rsid w:val="005B56A0"/>
    <w:rsid w:val="005B7A56"/>
    <w:rsid w:val="005C0F96"/>
    <w:rsid w:val="005C1D35"/>
    <w:rsid w:val="005C2034"/>
    <w:rsid w:val="005C48D7"/>
    <w:rsid w:val="005D1F0F"/>
    <w:rsid w:val="005D3905"/>
    <w:rsid w:val="005D3962"/>
    <w:rsid w:val="005D49F3"/>
    <w:rsid w:val="005D4E13"/>
    <w:rsid w:val="005D68C5"/>
    <w:rsid w:val="005D7917"/>
    <w:rsid w:val="005E078E"/>
    <w:rsid w:val="005E0FD0"/>
    <w:rsid w:val="005E0FEA"/>
    <w:rsid w:val="005E50C0"/>
    <w:rsid w:val="005E5942"/>
    <w:rsid w:val="005E5DA8"/>
    <w:rsid w:val="005E6163"/>
    <w:rsid w:val="005F0B9B"/>
    <w:rsid w:val="005F0D50"/>
    <w:rsid w:val="005F1106"/>
    <w:rsid w:val="005F27FD"/>
    <w:rsid w:val="005F2DB3"/>
    <w:rsid w:val="005F36DC"/>
    <w:rsid w:val="005F4F3D"/>
    <w:rsid w:val="005F669B"/>
    <w:rsid w:val="005F7C04"/>
    <w:rsid w:val="005F7CE6"/>
    <w:rsid w:val="0060248B"/>
    <w:rsid w:val="006051A7"/>
    <w:rsid w:val="00605388"/>
    <w:rsid w:val="0060599E"/>
    <w:rsid w:val="006077C9"/>
    <w:rsid w:val="00607A3B"/>
    <w:rsid w:val="00610D74"/>
    <w:rsid w:val="006178C2"/>
    <w:rsid w:val="006232D1"/>
    <w:rsid w:val="00624207"/>
    <w:rsid w:val="006256B3"/>
    <w:rsid w:val="0062603D"/>
    <w:rsid w:val="0062609A"/>
    <w:rsid w:val="006273F1"/>
    <w:rsid w:val="0063082F"/>
    <w:rsid w:val="006312AE"/>
    <w:rsid w:val="0063227B"/>
    <w:rsid w:val="006332D9"/>
    <w:rsid w:val="0063525F"/>
    <w:rsid w:val="006355EC"/>
    <w:rsid w:val="00636ADA"/>
    <w:rsid w:val="00637AA6"/>
    <w:rsid w:val="006400A5"/>
    <w:rsid w:val="0064217A"/>
    <w:rsid w:val="00642818"/>
    <w:rsid w:val="00644035"/>
    <w:rsid w:val="00647673"/>
    <w:rsid w:val="00647C99"/>
    <w:rsid w:val="0065004C"/>
    <w:rsid w:val="0065023B"/>
    <w:rsid w:val="00650771"/>
    <w:rsid w:val="006515A6"/>
    <w:rsid w:val="00653E7F"/>
    <w:rsid w:val="00656E46"/>
    <w:rsid w:val="00657B71"/>
    <w:rsid w:val="00657BD7"/>
    <w:rsid w:val="0066085A"/>
    <w:rsid w:val="00661DC6"/>
    <w:rsid w:val="00661E64"/>
    <w:rsid w:val="006639A9"/>
    <w:rsid w:val="00671120"/>
    <w:rsid w:val="00672025"/>
    <w:rsid w:val="0067442F"/>
    <w:rsid w:val="00674861"/>
    <w:rsid w:val="00676F0F"/>
    <w:rsid w:val="00677BE1"/>
    <w:rsid w:val="006802D8"/>
    <w:rsid w:val="00682690"/>
    <w:rsid w:val="006835EB"/>
    <w:rsid w:val="006849FF"/>
    <w:rsid w:val="00686757"/>
    <w:rsid w:val="00686D87"/>
    <w:rsid w:val="006903E6"/>
    <w:rsid w:val="0069270B"/>
    <w:rsid w:val="006946B4"/>
    <w:rsid w:val="006A01D7"/>
    <w:rsid w:val="006A1014"/>
    <w:rsid w:val="006A1C4B"/>
    <w:rsid w:val="006A21BC"/>
    <w:rsid w:val="006A2279"/>
    <w:rsid w:val="006A30B9"/>
    <w:rsid w:val="006A7BC6"/>
    <w:rsid w:val="006B3E95"/>
    <w:rsid w:val="006B488A"/>
    <w:rsid w:val="006B4B2E"/>
    <w:rsid w:val="006B5E2F"/>
    <w:rsid w:val="006C08B4"/>
    <w:rsid w:val="006C2737"/>
    <w:rsid w:val="006C52AA"/>
    <w:rsid w:val="006C617C"/>
    <w:rsid w:val="006C6906"/>
    <w:rsid w:val="006C7376"/>
    <w:rsid w:val="006C74F3"/>
    <w:rsid w:val="006C772F"/>
    <w:rsid w:val="006C77EB"/>
    <w:rsid w:val="006D3FE9"/>
    <w:rsid w:val="006D4112"/>
    <w:rsid w:val="006D43D2"/>
    <w:rsid w:val="006D4BE9"/>
    <w:rsid w:val="006E12B7"/>
    <w:rsid w:val="006E34CD"/>
    <w:rsid w:val="006F552F"/>
    <w:rsid w:val="006F5DB1"/>
    <w:rsid w:val="006F6CB8"/>
    <w:rsid w:val="006F71B9"/>
    <w:rsid w:val="006F76A0"/>
    <w:rsid w:val="00700968"/>
    <w:rsid w:val="00700F68"/>
    <w:rsid w:val="00703C61"/>
    <w:rsid w:val="007048D4"/>
    <w:rsid w:val="0070496D"/>
    <w:rsid w:val="00704B24"/>
    <w:rsid w:val="00706FF5"/>
    <w:rsid w:val="007074C5"/>
    <w:rsid w:val="00710A94"/>
    <w:rsid w:val="007117BE"/>
    <w:rsid w:val="00711DDA"/>
    <w:rsid w:val="00711F16"/>
    <w:rsid w:val="00712CEE"/>
    <w:rsid w:val="007131D3"/>
    <w:rsid w:val="00713F3B"/>
    <w:rsid w:val="007170B2"/>
    <w:rsid w:val="007177DE"/>
    <w:rsid w:val="0071795D"/>
    <w:rsid w:val="00720042"/>
    <w:rsid w:val="00720AD1"/>
    <w:rsid w:val="00722BDF"/>
    <w:rsid w:val="00723142"/>
    <w:rsid w:val="0072457E"/>
    <w:rsid w:val="00725705"/>
    <w:rsid w:val="00730E6D"/>
    <w:rsid w:val="00733794"/>
    <w:rsid w:val="00734BFB"/>
    <w:rsid w:val="00736C5D"/>
    <w:rsid w:val="007373F7"/>
    <w:rsid w:val="007377BC"/>
    <w:rsid w:val="00740676"/>
    <w:rsid w:val="00740CAF"/>
    <w:rsid w:val="0074163B"/>
    <w:rsid w:val="0074206F"/>
    <w:rsid w:val="00742D59"/>
    <w:rsid w:val="00743F18"/>
    <w:rsid w:val="0074425E"/>
    <w:rsid w:val="00744B19"/>
    <w:rsid w:val="00744BF4"/>
    <w:rsid w:val="00745858"/>
    <w:rsid w:val="0075063E"/>
    <w:rsid w:val="00756552"/>
    <w:rsid w:val="00756A5A"/>
    <w:rsid w:val="007572C2"/>
    <w:rsid w:val="00764A60"/>
    <w:rsid w:val="007658F5"/>
    <w:rsid w:val="007728B1"/>
    <w:rsid w:val="00772B13"/>
    <w:rsid w:val="00774877"/>
    <w:rsid w:val="007759E8"/>
    <w:rsid w:val="00775A76"/>
    <w:rsid w:val="00775C4D"/>
    <w:rsid w:val="00776A88"/>
    <w:rsid w:val="00777D92"/>
    <w:rsid w:val="007865D3"/>
    <w:rsid w:val="00786B32"/>
    <w:rsid w:val="00787CB3"/>
    <w:rsid w:val="00790852"/>
    <w:rsid w:val="0079778F"/>
    <w:rsid w:val="00797E64"/>
    <w:rsid w:val="007A05D5"/>
    <w:rsid w:val="007A06AA"/>
    <w:rsid w:val="007A122C"/>
    <w:rsid w:val="007A2B1A"/>
    <w:rsid w:val="007A4430"/>
    <w:rsid w:val="007A4617"/>
    <w:rsid w:val="007A4D1B"/>
    <w:rsid w:val="007B37C2"/>
    <w:rsid w:val="007B3BBC"/>
    <w:rsid w:val="007B40C1"/>
    <w:rsid w:val="007B4856"/>
    <w:rsid w:val="007B53DF"/>
    <w:rsid w:val="007B59A4"/>
    <w:rsid w:val="007B5F11"/>
    <w:rsid w:val="007B5FE5"/>
    <w:rsid w:val="007B6FEF"/>
    <w:rsid w:val="007B7F1B"/>
    <w:rsid w:val="007C0397"/>
    <w:rsid w:val="007C218E"/>
    <w:rsid w:val="007C2AC2"/>
    <w:rsid w:val="007C3465"/>
    <w:rsid w:val="007C3F65"/>
    <w:rsid w:val="007D1FAE"/>
    <w:rsid w:val="007D23BA"/>
    <w:rsid w:val="007D318D"/>
    <w:rsid w:val="007D3517"/>
    <w:rsid w:val="007D3F26"/>
    <w:rsid w:val="007D4C63"/>
    <w:rsid w:val="007D4D73"/>
    <w:rsid w:val="007D500C"/>
    <w:rsid w:val="007D5647"/>
    <w:rsid w:val="007D748E"/>
    <w:rsid w:val="007E14E0"/>
    <w:rsid w:val="007E26B6"/>
    <w:rsid w:val="007E2F77"/>
    <w:rsid w:val="007E32D8"/>
    <w:rsid w:val="007E34B2"/>
    <w:rsid w:val="007E399E"/>
    <w:rsid w:val="007E3CE3"/>
    <w:rsid w:val="007E3D02"/>
    <w:rsid w:val="007E5CBA"/>
    <w:rsid w:val="007E5F59"/>
    <w:rsid w:val="007E60A9"/>
    <w:rsid w:val="007E7230"/>
    <w:rsid w:val="007F1178"/>
    <w:rsid w:val="007F2F69"/>
    <w:rsid w:val="007F300C"/>
    <w:rsid w:val="007F365E"/>
    <w:rsid w:val="007F5121"/>
    <w:rsid w:val="007F535F"/>
    <w:rsid w:val="007F6304"/>
    <w:rsid w:val="00800593"/>
    <w:rsid w:val="00800851"/>
    <w:rsid w:val="00804322"/>
    <w:rsid w:val="00804B0B"/>
    <w:rsid w:val="00806EC0"/>
    <w:rsid w:val="00810F09"/>
    <w:rsid w:val="0081130A"/>
    <w:rsid w:val="00811EF2"/>
    <w:rsid w:val="008122B6"/>
    <w:rsid w:val="00812DBF"/>
    <w:rsid w:val="00813584"/>
    <w:rsid w:val="00813FC0"/>
    <w:rsid w:val="008159E6"/>
    <w:rsid w:val="00816904"/>
    <w:rsid w:val="008175AB"/>
    <w:rsid w:val="00820558"/>
    <w:rsid w:val="008220B4"/>
    <w:rsid w:val="008329E2"/>
    <w:rsid w:val="008347F8"/>
    <w:rsid w:val="00835E41"/>
    <w:rsid w:val="00835F9C"/>
    <w:rsid w:val="008366BD"/>
    <w:rsid w:val="008371ED"/>
    <w:rsid w:val="00837A4B"/>
    <w:rsid w:val="00840F78"/>
    <w:rsid w:val="0084132A"/>
    <w:rsid w:val="0084159C"/>
    <w:rsid w:val="0084233F"/>
    <w:rsid w:val="00843191"/>
    <w:rsid w:val="0084382B"/>
    <w:rsid w:val="008463AC"/>
    <w:rsid w:val="00846907"/>
    <w:rsid w:val="0085183E"/>
    <w:rsid w:val="00852166"/>
    <w:rsid w:val="00852B4B"/>
    <w:rsid w:val="0085485E"/>
    <w:rsid w:val="00855F0F"/>
    <w:rsid w:val="00856751"/>
    <w:rsid w:val="0085694C"/>
    <w:rsid w:val="008570CD"/>
    <w:rsid w:val="00857BF3"/>
    <w:rsid w:val="0086012F"/>
    <w:rsid w:val="00860A45"/>
    <w:rsid w:val="00861978"/>
    <w:rsid w:val="00861AFD"/>
    <w:rsid w:val="00863DB7"/>
    <w:rsid w:val="00863FB9"/>
    <w:rsid w:val="00865E62"/>
    <w:rsid w:val="00866495"/>
    <w:rsid w:val="00867F1E"/>
    <w:rsid w:val="0087275C"/>
    <w:rsid w:val="00873716"/>
    <w:rsid w:val="008755D6"/>
    <w:rsid w:val="008773B3"/>
    <w:rsid w:val="00877732"/>
    <w:rsid w:val="008805BC"/>
    <w:rsid w:val="00881A7F"/>
    <w:rsid w:val="00882E1A"/>
    <w:rsid w:val="00882F93"/>
    <w:rsid w:val="008833D8"/>
    <w:rsid w:val="00883472"/>
    <w:rsid w:val="00884071"/>
    <w:rsid w:val="008851A3"/>
    <w:rsid w:val="00886D4A"/>
    <w:rsid w:val="00887FE2"/>
    <w:rsid w:val="008900FD"/>
    <w:rsid w:val="00890B36"/>
    <w:rsid w:val="00890B4A"/>
    <w:rsid w:val="00894E66"/>
    <w:rsid w:val="00895247"/>
    <w:rsid w:val="00896273"/>
    <w:rsid w:val="00896551"/>
    <w:rsid w:val="00896BC1"/>
    <w:rsid w:val="00897236"/>
    <w:rsid w:val="0089770F"/>
    <w:rsid w:val="00897BEA"/>
    <w:rsid w:val="00897F47"/>
    <w:rsid w:val="008A0DE2"/>
    <w:rsid w:val="008A149E"/>
    <w:rsid w:val="008A1B07"/>
    <w:rsid w:val="008A3065"/>
    <w:rsid w:val="008A41E5"/>
    <w:rsid w:val="008A4461"/>
    <w:rsid w:val="008A4A83"/>
    <w:rsid w:val="008A4B5C"/>
    <w:rsid w:val="008A5180"/>
    <w:rsid w:val="008A6D8F"/>
    <w:rsid w:val="008B3A14"/>
    <w:rsid w:val="008B44E1"/>
    <w:rsid w:val="008B47C3"/>
    <w:rsid w:val="008B692E"/>
    <w:rsid w:val="008B7B46"/>
    <w:rsid w:val="008B7EE3"/>
    <w:rsid w:val="008C53C7"/>
    <w:rsid w:val="008D03C2"/>
    <w:rsid w:val="008D047B"/>
    <w:rsid w:val="008D06B9"/>
    <w:rsid w:val="008D1AF2"/>
    <w:rsid w:val="008D1F97"/>
    <w:rsid w:val="008D2862"/>
    <w:rsid w:val="008D2BE6"/>
    <w:rsid w:val="008D3603"/>
    <w:rsid w:val="008D4382"/>
    <w:rsid w:val="008D530A"/>
    <w:rsid w:val="008D7B1C"/>
    <w:rsid w:val="008D7C6F"/>
    <w:rsid w:val="008E074C"/>
    <w:rsid w:val="008E1C98"/>
    <w:rsid w:val="008E5C81"/>
    <w:rsid w:val="008E6B3A"/>
    <w:rsid w:val="008F0FCA"/>
    <w:rsid w:val="008F13C4"/>
    <w:rsid w:val="008F1F1D"/>
    <w:rsid w:val="008F262F"/>
    <w:rsid w:val="008F3FF1"/>
    <w:rsid w:val="008F5118"/>
    <w:rsid w:val="008F5780"/>
    <w:rsid w:val="008F7668"/>
    <w:rsid w:val="008F7E6C"/>
    <w:rsid w:val="00901721"/>
    <w:rsid w:val="009018D7"/>
    <w:rsid w:val="009028F9"/>
    <w:rsid w:val="00903A56"/>
    <w:rsid w:val="009044BF"/>
    <w:rsid w:val="00905C93"/>
    <w:rsid w:val="00906A98"/>
    <w:rsid w:val="00907B88"/>
    <w:rsid w:val="009100B5"/>
    <w:rsid w:val="009104CB"/>
    <w:rsid w:val="00910E44"/>
    <w:rsid w:val="0091227F"/>
    <w:rsid w:val="00912E75"/>
    <w:rsid w:val="009141E2"/>
    <w:rsid w:val="00914917"/>
    <w:rsid w:val="0091527C"/>
    <w:rsid w:val="0091527F"/>
    <w:rsid w:val="00916D45"/>
    <w:rsid w:val="00917D07"/>
    <w:rsid w:val="009205F4"/>
    <w:rsid w:val="0092269B"/>
    <w:rsid w:val="009232D6"/>
    <w:rsid w:val="009271AB"/>
    <w:rsid w:val="009302B3"/>
    <w:rsid w:val="0093128A"/>
    <w:rsid w:val="00932EA8"/>
    <w:rsid w:val="009338A7"/>
    <w:rsid w:val="00933F00"/>
    <w:rsid w:val="009358CA"/>
    <w:rsid w:val="009359C7"/>
    <w:rsid w:val="00936897"/>
    <w:rsid w:val="0093772D"/>
    <w:rsid w:val="00937CAD"/>
    <w:rsid w:val="00940391"/>
    <w:rsid w:val="00940A78"/>
    <w:rsid w:val="00941C21"/>
    <w:rsid w:val="00943D68"/>
    <w:rsid w:val="009464F3"/>
    <w:rsid w:val="009477FC"/>
    <w:rsid w:val="00950175"/>
    <w:rsid w:val="009520C0"/>
    <w:rsid w:val="009537ED"/>
    <w:rsid w:val="00953EEA"/>
    <w:rsid w:val="0095430F"/>
    <w:rsid w:val="00954423"/>
    <w:rsid w:val="00955AFF"/>
    <w:rsid w:val="00955F51"/>
    <w:rsid w:val="00957406"/>
    <w:rsid w:val="00962F54"/>
    <w:rsid w:val="009637BE"/>
    <w:rsid w:val="00964CFD"/>
    <w:rsid w:val="00965CEE"/>
    <w:rsid w:val="00966CB8"/>
    <w:rsid w:val="0097190F"/>
    <w:rsid w:val="00971AB1"/>
    <w:rsid w:val="00972309"/>
    <w:rsid w:val="009729F7"/>
    <w:rsid w:val="00973216"/>
    <w:rsid w:val="0097359E"/>
    <w:rsid w:val="00975065"/>
    <w:rsid w:val="009751DB"/>
    <w:rsid w:val="009759CA"/>
    <w:rsid w:val="00976CFC"/>
    <w:rsid w:val="00980BCA"/>
    <w:rsid w:val="009853FE"/>
    <w:rsid w:val="00985C2D"/>
    <w:rsid w:val="00985C4B"/>
    <w:rsid w:val="00985D70"/>
    <w:rsid w:val="009860AF"/>
    <w:rsid w:val="0098705E"/>
    <w:rsid w:val="00987C0A"/>
    <w:rsid w:val="00990705"/>
    <w:rsid w:val="009921E1"/>
    <w:rsid w:val="00992DFD"/>
    <w:rsid w:val="0099312E"/>
    <w:rsid w:val="0099395F"/>
    <w:rsid w:val="009950C3"/>
    <w:rsid w:val="00997244"/>
    <w:rsid w:val="00997575"/>
    <w:rsid w:val="00997BB5"/>
    <w:rsid w:val="009A1AD4"/>
    <w:rsid w:val="009A316D"/>
    <w:rsid w:val="009A3179"/>
    <w:rsid w:val="009A3E6D"/>
    <w:rsid w:val="009A6416"/>
    <w:rsid w:val="009B010D"/>
    <w:rsid w:val="009B0B5B"/>
    <w:rsid w:val="009B0D6C"/>
    <w:rsid w:val="009B35CD"/>
    <w:rsid w:val="009B5537"/>
    <w:rsid w:val="009B620F"/>
    <w:rsid w:val="009B7D18"/>
    <w:rsid w:val="009C005D"/>
    <w:rsid w:val="009C17F5"/>
    <w:rsid w:val="009C3BF5"/>
    <w:rsid w:val="009C3F06"/>
    <w:rsid w:val="009C596E"/>
    <w:rsid w:val="009C5E89"/>
    <w:rsid w:val="009C653C"/>
    <w:rsid w:val="009C6606"/>
    <w:rsid w:val="009C6F40"/>
    <w:rsid w:val="009C7006"/>
    <w:rsid w:val="009D13D1"/>
    <w:rsid w:val="009D14AC"/>
    <w:rsid w:val="009D3E57"/>
    <w:rsid w:val="009D4B5A"/>
    <w:rsid w:val="009D595F"/>
    <w:rsid w:val="009D609F"/>
    <w:rsid w:val="009D7B9F"/>
    <w:rsid w:val="009E142F"/>
    <w:rsid w:val="009E15B9"/>
    <w:rsid w:val="009E1A54"/>
    <w:rsid w:val="009E1C9C"/>
    <w:rsid w:val="009E2877"/>
    <w:rsid w:val="009E5AB0"/>
    <w:rsid w:val="009E670E"/>
    <w:rsid w:val="009E7152"/>
    <w:rsid w:val="009F0CC3"/>
    <w:rsid w:val="009F1581"/>
    <w:rsid w:val="009F324B"/>
    <w:rsid w:val="009F364F"/>
    <w:rsid w:val="009F4BCE"/>
    <w:rsid w:val="009F73E7"/>
    <w:rsid w:val="00A00A7E"/>
    <w:rsid w:val="00A00C56"/>
    <w:rsid w:val="00A026E7"/>
    <w:rsid w:val="00A03461"/>
    <w:rsid w:val="00A03CD7"/>
    <w:rsid w:val="00A06C78"/>
    <w:rsid w:val="00A111DB"/>
    <w:rsid w:val="00A2094F"/>
    <w:rsid w:val="00A20989"/>
    <w:rsid w:val="00A217D9"/>
    <w:rsid w:val="00A21DE9"/>
    <w:rsid w:val="00A22A35"/>
    <w:rsid w:val="00A242CE"/>
    <w:rsid w:val="00A24A42"/>
    <w:rsid w:val="00A24ED4"/>
    <w:rsid w:val="00A25064"/>
    <w:rsid w:val="00A254B6"/>
    <w:rsid w:val="00A25A85"/>
    <w:rsid w:val="00A25C77"/>
    <w:rsid w:val="00A279F8"/>
    <w:rsid w:val="00A310A9"/>
    <w:rsid w:val="00A31F0F"/>
    <w:rsid w:val="00A323CC"/>
    <w:rsid w:val="00A32DD0"/>
    <w:rsid w:val="00A33749"/>
    <w:rsid w:val="00A3450E"/>
    <w:rsid w:val="00A36070"/>
    <w:rsid w:val="00A36195"/>
    <w:rsid w:val="00A37B17"/>
    <w:rsid w:val="00A43E1A"/>
    <w:rsid w:val="00A44E5C"/>
    <w:rsid w:val="00A456E4"/>
    <w:rsid w:val="00A458F8"/>
    <w:rsid w:val="00A5065D"/>
    <w:rsid w:val="00A53298"/>
    <w:rsid w:val="00A53E83"/>
    <w:rsid w:val="00A56257"/>
    <w:rsid w:val="00A577E7"/>
    <w:rsid w:val="00A57CA1"/>
    <w:rsid w:val="00A60525"/>
    <w:rsid w:val="00A60A63"/>
    <w:rsid w:val="00A61523"/>
    <w:rsid w:val="00A61D95"/>
    <w:rsid w:val="00A61EFE"/>
    <w:rsid w:val="00A62425"/>
    <w:rsid w:val="00A62837"/>
    <w:rsid w:val="00A62E0B"/>
    <w:rsid w:val="00A63B15"/>
    <w:rsid w:val="00A6556B"/>
    <w:rsid w:val="00A65AAF"/>
    <w:rsid w:val="00A65FBA"/>
    <w:rsid w:val="00A66028"/>
    <w:rsid w:val="00A66B09"/>
    <w:rsid w:val="00A70CE1"/>
    <w:rsid w:val="00A70F72"/>
    <w:rsid w:val="00A71F62"/>
    <w:rsid w:val="00A71F7F"/>
    <w:rsid w:val="00A7329F"/>
    <w:rsid w:val="00A73953"/>
    <w:rsid w:val="00A73A51"/>
    <w:rsid w:val="00A73DD9"/>
    <w:rsid w:val="00A73E94"/>
    <w:rsid w:val="00A75BD4"/>
    <w:rsid w:val="00A8045A"/>
    <w:rsid w:val="00A804EA"/>
    <w:rsid w:val="00A80744"/>
    <w:rsid w:val="00A83979"/>
    <w:rsid w:val="00A8429F"/>
    <w:rsid w:val="00A85F8D"/>
    <w:rsid w:val="00A87FC6"/>
    <w:rsid w:val="00A905BD"/>
    <w:rsid w:val="00A919ED"/>
    <w:rsid w:val="00A944FB"/>
    <w:rsid w:val="00A95000"/>
    <w:rsid w:val="00A9617B"/>
    <w:rsid w:val="00A969FB"/>
    <w:rsid w:val="00A96F3D"/>
    <w:rsid w:val="00A9774C"/>
    <w:rsid w:val="00AA15FF"/>
    <w:rsid w:val="00AA3002"/>
    <w:rsid w:val="00AA351B"/>
    <w:rsid w:val="00AA352A"/>
    <w:rsid w:val="00AB038B"/>
    <w:rsid w:val="00AB0935"/>
    <w:rsid w:val="00AB0CE9"/>
    <w:rsid w:val="00AB118D"/>
    <w:rsid w:val="00AB197F"/>
    <w:rsid w:val="00AB49B5"/>
    <w:rsid w:val="00AB4EDC"/>
    <w:rsid w:val="00AB5C08"/>
    <w:rsid w:val="00AB5E8A"/>
    <w:rsid w:val="00AB6228"/>
    <w:rsid w:val="00AB6972"/>
    <w:rsid w:val="00AB6F9C"/>
    <w:rsid w:val="00AB7168"/>
    <w:rsid w:val="00AB7664"/>
    <w:rsid w:val="00AC03D3"/>
    <w:rsid w:val="00AC149C"/>
    <w:rsid w:val="00AC2687"/>
    <w:rsid w:val="00AC53D3"/>
    <w:rsid w:val="00AD061B"/>
    <w:rsid w:val="00AD1B89"/>
    <w:rsid w:val="00AD3BEF"/>
    <w:rsid w:val="00AD3DA7"/>
    <w:rsid w:val="00AD3E9B"/>
    <w:rsid w:val="00AD5936"/>
    <w:rsid w:val="00AD5A2E"/>
    <w:rsid w:val="00AD70EE"/>
    <w:rsid w:val="00AD7984"/>
    <w:rsid w:val="00AE064A"/>
    <w:rsid w:val="00AE1B7B"/>
    <w:rsid w:val="00AE1E36"/>
    <w:rsid w:val="00AE3363"/>
    <w:rsid w:val="00AE4256"/>
    <w:rsid w:val="00AE568D"/>
    <w:rsid w:val="00AE6CB9"/>
    <w:rsid w:val="00AF04EA"/>
    <w:rsid w:val="00AF4180"/>
    <w:rsid w:val="00AF4A0E"/>
    <w:rsid w:val="00AF6930"/>
    <w:rsid w:val="00AF6A10"/>
    <w:rsid w:val="00B005D3"/>
    <w:rsid w:val="00B00E0D"/>
    <w:rsid w:val="00B00E9E"/>
    <w:rsid w:val="00B01EF4"/>
    <w:rsid w:val="00B01FAB"/>
    <w:rsid w:val="00B022CF"/>
    <w:rsid w:val="00B02F8D"/>
    <w:rsid w:val="00B039DF"/>
    <w:rsid w:val="00B03DDB"/>
    <w:rsid w:val="00B04367"/>
    <w:rsid w:val="00B04C40"/>
    <w:rsid w:val="00B04C68"/>
    <w:rsid w:val="00B05E56"/>
    <w:rsid w:val="00B06320"/>
    <w:rsid w:val="00B068E8"/>
    <w:rsid w:val="00B07EA3"/>
    <w:rsid w:val="00B108D0"/>
    <w:rsid w:val="00B10984"/>
    <w:rsid w:val="00B11FB8"/>
    <w:rsid w:val="00B121A5"/>
    <w:rsid w:val="00B12419"/>
    <w:rsid w:val="00B133E5"/>
    <w:rsid w:val="00B137DD"/>
    <w:rsid w:val="00B17B06"/>
    <w:rsid w:val="00B17BF8"/>
    <w:rsid w:val="00B21CD0"/>
    <w:rsid w:val="00B227D9"/>
    <w:rsid w:val="00B24456"/>
    <w:rsid w:val="00B272B0"/>
    <w:rsid w:val="00B2796C"/>
    <w:rsid w:val="00B30256"/>
    <w:rsid w:val="00B309E3"/>
    <w:rsid w:val="00B339FE"/>
    <w:rsid w:val="00B34839"/>
    <w:rsid w:val="00B36801"/>
    <w:rsid w:val="00B36DE7"/>
    <w:rsid w:val="00B370CC"/>
    <w:rsid w:val="00B37112"/>
    <w:rsid w:val="00B40928"/>
    <w:rsid w:val="00B41AF3"/>
    <w:rsid w:val="00B42BA7"/>
    <w:rsid w:val="00B42D6E"/>
    <w:rsid w:val="00B4400D"/>
    <w:rsid w:val="00B44837"/>
    <w:rsid w:val="00B4629F"/>
    <w:rsid w:val="00B468E9"/>
    <w:rsid w:val="00B47174"/>
    <w:rsid w:val="00B477A8"/>
    <w:rsid w:val="00B503E0"/>
    <w:rsid w:val="00B5074E"/>
    <w:rsid w:val="00B50912"/>
    <w:rsid w:val="00B50FE6"/>
    <w:rsid w:val="00B5156F"/>
    <w:rsid w:val="00B53851"/>
    <w:rsid w:val="00B549FF"/>
    <w:rsid w:val="00B56528"/>
    <w:rsid w:val="00B5653B"/>
    <w:rsid w:val="00B571D5"/>
    <w:rsid w:val="00B577EA"/>
    <w:rsid w:val="00B61FCB"/>
    <w:rsid w:val="00B6312A"/>
    <w:rsid w:val="00B6607D"/>
    <w:rsid w:val="00B674D2"/>
    <w:rsid w:val="00B6767D"/>
    <w:rsid w:val="00B70A22"/>
    <w:rsid w:val="00B70DD5"/>
    <w:rsid w:val="00B712EB"/>
    <w:rsid w:val="00B71E62"/>
    <w:rsid w:val="00B73387"/>
    <w:rsid w:val="00B73E28"/>
    <w:rsid w:val="00B73F45"/>
    <w:rsid w:val="00B74E4F"/>
    <w:rsid w:val="00B75A6C"/>
    <w:rsid w:val="00B770B7"/>
    <w:rsid w:val="00B8129C"/>
    <w:rsid w:val="00B822BD"/>
    <w:rsid w:val="00B82FF5"/>
    <w:rsid w:val="00B83E25"/>
    <w:rsid w:val="00B87477"/>
    <w:rsid w:val="00B87E40"/>
    <w:rsid w:val="00B91F48"/>
    <w:rsid w:val="00B928A0"/>
    <w:rsid w:val="00B930FC"/>
    <w:rsid w:val="00B94026"/>
    <w:rsid w:val="00B945EB"/>
    <w:rsid w:val="00B94CFF"/>
    <w:rsid w:val="00B94D40"/>
    <w:rsid w:val="00B94D98"/>
    <w:rsid w:val="00B95C25"/>
    <w:rsid w:val="00B9674B"/>
    <w:rsid w:val="00B96C71"/>
    <w:rsid w:val="00B97A76"/>
    <w:rsid w:val="00BA11CF"/>
    <w:rsid w:val="00BA244E"/>
    <w:rsid w:val="00BA2590"/>
    <w:rsid w:val="00BA336B"/>
    <w:rsid w:val="00BA3430"/>
    <w:rsid w:val="00BA39BA"/>
    <w:rsid w:val="00BA3FFC"/>
    <w:rsid w:val="00BA5250"/>
    <w:rsid w:val="00BA7261"/>
    <w:rsid w:val="00BA73F6"/>
    <w:rsid w:val="00BB1107"/>
    <w:rsid w:val="00BB14F1"/>
    <w:rsid w:val="00BB2F88"/>
    <w:rsid w:val="00BB5F55"/>
    <w:rsid w:val="00BC011C"/>
    <w:rsid w:val="00BC04A7"/>
    <w:rsid w:val="00BC157D"/>
    <w:rsid w:val="00BC20F1"/>
    <w:rsid w:val="00BC27EB"/>
    <w:rsid w:val="00BC372F"/>
    <w:rsid w:val="00BC67A4"/>
    <w:rsid w:val="00BC7157"/>
    <w:rsid w:val="00BD00BF"/>
    <w:rsid w:val="00BD04A0"/>
    <w:rsid w:val="00BD06A2"/>
    <w:rsid w:val="00BD37B6"/>
    <w:rsid w:val="00BD4C14"/>
    <w:rsid w:val="00BD50B5"/>
    <w:rsid w:val="00BD7E3D"/>
    <w:rsid w:val="00BE07BB"/>
    <w:rsid w:val="00BE114B"/>
    <w:rsid w:val="00BE16B8"/>
    <w:rsid w:val="00BE4EF6"/>
    <w:rsid w:val="00BE767D"/>
    <w:rsid w:val="00BE7A12"/>
    <w:rsid w:val="00BF07D3"/>
    <w:rsid w:val="00BF18DB"/>
    <w:rsid w:val="00BF575C"/>
    <w:rsid w:val="00BF6F16"/>
    <w:rsid w:val="00BF7136"/>
    <w:rsid w:val="00BF736E"/>
    <w:rsid w:val="00C00249"/>
    <w:rsid w:val="00C0130B"/>
    <w:rsid w:val="00C0191E"/>
    <w:rsid w:val="00C03F65"/>
    <w:rsid w:val="00C0465D"/>
    <w:rsid w:val="00C046C9"/>
    <w:rsid w:val="00C0578E"/>
    <w:rsid w:val="00C063CB"/>
    <w:rsid w:val="00C074C7"/>
    <w:rsid w:val="00C10CD9"/>
    <w:rsid w:val="00C12146"/>
    <w:rsid w:val="00C12364"/>
    <w:rsid w:val="00C124E8"/>
    <w:rsid w:val="00C125A6"/>
    <w:rsid w:val="00C1457B"/>
    <w:rsid w:val="00C14EE7"/>
    <w:rsid w:val="00C154BB"/>
    <w:rsid w:val="00C22D88"/>
    <w:rsid w:val="00C23802"/>
    <w:rsid w:val="00C25DF4"/>
    <w:rsid w:val="00C2662C"/>
    <w:rsid w:val="00C2674B"/>
    <w:rsid w:val="00C2731E"/>
    <w:rsid w:val="00C30380"/>
    <w:rsid w:val="00C30A50"/>
    <w:rsid w:val="00C3423D"/>
    <w:rsid w:val="00C34802"/>
    <w:rsid w:val="00C36649"/>
    <w:rsid w:val="00C3763A"/>
    <w:rsid w:val="00C42D9A"/>
    <w:rsid w:val="00C42E6B"/>
    <w:rsid w:val="00C431E3"/>
    <w:rsid w:val="00C45A3D"/>
    <w:rsid w:val="00C45D02"/>
    <w:rsid w:val="00C46263"/>
    <w:rsid w:val="00C46D57"/>
    <w:rsid w:val="00C50889"/>
    <w:rsid w:val="00C558A6"/>
    <w:rsid w:val="00C56B7F"/>
    <w:rsid w:val="00C65EB9"/>
    <w:rsid w:val="00C665F1"/>
    <w:rsid w:val="00C6667E"/>
    <w:rsid w:val="00C66C71"/>
    <w:rsid w:val="00C67B02"/>
    <w:rsid w:val="00C70F24"/>
    <w:rsid w:val="00C71118"/>
    <w:rsid w:val="00C71A9A"/>
    <w:rsid w:val="00C72E40"/>
    <w:rsid w:val="00C72F85"/>
    <w:rsid w:val="00C738A7"/>
    <w:rsid w:val="00C7538B"/>
    <w:rsid w:val="00C76359"/>
    <w:rsid w:val="00C76558"/>
    <w:rsid w:val="00C76566"/>
    <w:rsid w:val="00C77E44"/>
    <w:rsid w:val="00C814A2"/>
    <w:rsid w:val="00C83F65"/>
    <w:rsid w:val="00C85418"/>
    <w:rsid w:val="00C861A9"/>
    <w:rsid w:val="00C86718"/>
    <w:rsid w:val="00C873E5"/>
    <w:rsid w:val="00C901D9"/>
    <w:rsid w:val="00C910E9"/>
    <w:rsid w:val="00C92B31"/>
    <w:rsid w:val="00C92DF3"/>
    <w:rsid w:val="00C93DD9"/>
    <w:rsid w:val="00C955A6"/>
    <w:rsid w:val="00C95A25"/>
    <w:rsid w:val="00C95F84"/>
    <w:rsid w:val="00CA0465"/>
    <w:rsid w:val="00CA1955"/>
    <w:rsid w:val="00CA3589"/>
    <w:rsid w:val="00CA3B0F"/>
    <w:rsid w:val="00CA4FE7"/>
    <w:rsid w:val="00CA65E8"/>
    <w:rsid w:val="00CA674A"/>
    <w:rsid w:val="00CA6F27"/>
    <w:rsid w:val="00CB05AE"/>
    <w:rsid w:val="00CB148D"/>
    <w:rsid w:val="00CB1845"/>
    <w:rsid w:val="00CB2765"/>
    <w:rsid w:val="00CB2A78"/>
    <w:rsid w:val="00CB3A44"/>
    <w:rsid w:val="00CB422D"/>
    <w:rsid w:val="00CB4695"/>
    <w:rsid w:val="00CB5B83"/>
    <w:rsid w:val="00CB7486"/>
    <w:rsid w:val="00CB7948"/>
    <w:rsid w:val="00CC106E"/>
    <w:rsid w:val="00CC11FA"/>
    <w:rsid w:val="00CC1683"/>
    <w:rsid w:val="00CC1797"/>
    <w:rsid w:val="00CC24E9"/>
    <w:rsid w:val="00CC2E82"/>
    <w:rsid w:val="00CC4206"/>
    <w:rsid w:val="00CC4FBD"/>
    <w:rsid w:val="00CC7AC7"/>
    <w:rsid w:val="00CD0403"/>
    <w:rsid w:val="00CD0670"/>
    <w:rsid w:val="00CD3579"/>
    <w:rsid w:val="00CD378D"/>
    <w:rsid w:val="00CD405A"/>
    <w:rsid w:val="00CD4ABD"/>
    <w:rsid w:val="00CD561E"/>
    <w:rsid w:val="00CD5A91"/>
    <w:rsid w:val="00CE29D9"/>
    <w:rsid w:val="00CE439B"/>
    <w:rsid w:val="00CE5A40"/>
    <w:rsid w:val="00CE7301"/>
    <w:rsid w:val="00CE76C1"/>
    <w:rsid w:val="00CF01C0"/>
    <w:rsid w:val="00CF0D0D"/>
    <w:rsid w:val="00CF182B"/>
    <w:rsid w:val="00CF22FC"/>
    <w:rsid w:val="00CF2E3D"/>
    <w:rsid w:val="00CF4317"/>
    <w:rsid w:val="00CF6FDC"/>
    <w:rsid w:val="00D02BFC"/>
    <w:rsid w:val="00D033AA"/>
    <w:rsid w:val="00D0435B"/>
    <w:rsid w:val="00D04D04"/>
    <w:rsid w:val="00D06CC4"/>
    <w:rsid w:val="00D117A6"/>
    <w:rsid w:val="00D11D09"/>
    <w:rsid w:val="00D12161"/>
    <w:rsid w:val="00D13EA7"/>
    <w:rsid w:val="00D14DA4"/>
    <w:rsid w:val="00D14DAB"/>
    <w:rsid w:val="00D1684B"/>
    <w:rsid w:val="00D17F2A"/>
    <w:rsid w:val="00D26EA6"/>
    <w:rsid w:val="00D325BA"/>
    <w:rsid w:val="00D32743"/>
    <w:rsid w:val="00D34893"/>
    <w:rsid w:val="00D34A65"/>
    <w:rsid w:val="00D35140"/>
    <w:rsid w:val="00D35571"/>
    <w:rsid w:val="00D357D9"/>
    <w:rsid w:val="00D35950"/>
    <w:rsid w:val="00D35B13"/>
    <w:rsid w:val="00D36AC3"/>
    <w:rsid w:val="00D36CFC"/>
    <w:rsid w:val="00D3781F"/>
    <w:rsid w:val="00D4023E"/>
    <w:rsid w:val="00D41D1A"/>
    <w:rsid w:val="00D43DF1"/>
    <w:rsid w:val="00D43E30"/>
    <w:rsid w:val="00D43FF0"/>
    <w:rsid w:val="00D457BB"/>
    <w:rsid w:val="00D46C37"/>
    <w:rsid w:val="00D47C18"/>
    <w:rsid w:val="00D50CEC"/>
    <w:rsid w:val="00D512C9"/>
    <w:rsid w:val="00D530A4"/>
    <w:rsid w:val="00D53495"/>
    <w:rsid w:val="00D57267"/>
    <w:rsid w:val="00D6083B"/>
    <w:rsid w:val="00D6090F"/>
    <w:rsid w:val="00D63064"/>
    <w:rsid w:val="00D6320B"/>
    <w:rsid w:val="00D644D7"/>
    <w:rsid w:val="00D64BC8"/>
    <w:rsid w:val="00D6728F"/>
    <w:rsid w:val="00D67CC0"/>
    <w:rsid w:val="00D70958"/>
    <w:rsid w:val="00D71BD7"/>
    <w:rsid w:val="00D72AF2"/>
    <w:rsid w:val="00D73E8C"/>
    <w:rsid w:val="00D7475B"/>
    <w:rsid w:val="00D75496"/>
    <w:rsid w:val="00D754AE"/>
    <w:rsid w:val="00D75FB5"/>
    <w:rsid w:val="00D77573"/>
    <w:rsid w:val="00D77F37"/>
    <w:rsid w:val="00D80337"/>
    <w:rsid w:val="00D805CC"/>
    <w:rsid w:val="00D82C05"/>
    <w:rsid w:val="00D83533"/>
    <w:rsid w:val="00D83B8C"/>
    <w:rsid w:val="00D8629B"/>
    <w:rsid w:val="00D873DC"/>
    <w:rsid w:val="00D906AB"/>
    <w:rsid w:val="00D925D2"/>
    <w:rsid w:val="00D92D07"/>
    <w:rsid w:val="00D92DA1"/>
    <w:rsid w:val="00D92E61"/>
    <w:rsid w:val="00D9330A"/>
    <w:rsid w:val="00D9489B"/>
    <w:rsid w:val="00D94EA4"/>
    <w:rsid w:val="00D96689"/>
    <w:rsid w:val="00DA183A"/>
    <w:rsid w:val="00DA2C08"/>
    <w:rsid w:val="00DA3773"/>
    <w:rsid w:val="00DA49BD"/>
    <w:rsid w:val="00DA57ED"/>
    <w:rsid w:val="00DA623D"/>
    <w:rsid w:val="00DA6F2F"/>
    <w:rsid w:val="00DB064E"/>
    <w:rsid w:val="00DB0D36"/>
    <w:rsid w:val="00DB12E9"/>
    <w:rsid w:val="00DB2867"/>
    <w:rsid w:val="00DB2973"/>
    <w:rsid w:val="00DB2E38"/>
    <w:rsid w:val="00DB351C"/>
    <w:rsid w:val="00DB3930"/>
    <w:rsid w:val="00DB44A5"/>
    <w:rsid w:val="00DB4D7A"/>
    <w:rsid w:val="00DB5442"/>
    <w:rsid w:val="00DB6B31"/>
    <w:rsid w:val="00DB730C"/>
    <w:rsid w:val="00DC1850"/>
    <w:rsid w:val="00DC6A95"/>
    <w:rsid w:val="00DC7F8F"/>
    <w:rsid w:val="00DD1AD4"/>
    <w:rsid w:val="00DD1EB9"/>
    <w:rsid w:val="00DD4A61"/>
    <w:rsid w:val="00DD693F"/>
    <w:rsid w:val="00DD6A52"/>
    <w:rsid w:val="00DD7856"/>
    <w:rsid w:val="00DE0C91"/>
    <w:rsid w:val="00DE382C"/>
    <w:rsid w:val="00DE393A"/>
    <w:rsid w:val="00DE3E22"/>
    <w:rsid w:val="00DE4D19"/>
    <w:rsid w:val="00DE4F86"/>
    <w:rsid w:val="00DE71E4"/>
    <w:rsid w:val="00DF1166"/>
    <w:rsid w:val="00DF274C"/>
    <w:rsid w:val="00DF4405"/>
    <w:rsid w:val="00DF6505"/>
    <w:rsid w:val="00E00ACC"/>
    <w:rsid w:val="00E02D46"/>
    <w:rsid w:val="00E062F1"/>
    <w:rsid w:val="00E0678F"/>
    <w:rsid w:val="00E071A5"/>
    <w:rsid w:val="00E0724F"/>
    <w:rsid w:val="00E12DBC"/>
    <w:rsid w:val="00E132AB"/>
    <w:rsid w:val="00E135E1"/>
    <w:rsid w:val="00E15463"/>
    <w:rsid w:val="00E161E3"/>
    <w:rsid w:val="00E16BBD"/>
    <w:rsid w:val="00E1793F"/>
    <w:rsid w:val="00E17E74"/>
    <w:rsid w:val="00E2098A"/>
    <w:rsid w:val="00E20A72"/>
    <w:rsid w:val="00E21D20"/>
    <w:rsid w:val="00E21DC6"/>
    <w:rsid w:val="00E23EEB"/>
    <w:rsid w:val="00E259B9"/>
    <w:rsid w:val="00E25AC7"/>
    <w:rsid w:val="00E25B8B"/>
    <w:rsid w:val="00E2617F"/>
    <w:rsid w:val="00E26D03"/>
    <w:rsid w:val="00E3101B"/>
    <w:rsid w:val="00E3131C"/>
    <w:rsid w:val="00E352F2"/>
    <w:rsid w:val="00E3604D"/>
    <w:rsid w:val="00E42ABA"/>
    <w:rsid w:val="00E43445"/>
    <w:rsid w:val="00E50B6E"/>
    <w:rsid w:val="00E50C00"/>
    <w:rsid w:val="00E51795"/>
    <w:rsid w:val="00E53E47"/>
    <w:rsid w:val="00E55288"/>
    <w:rsid w:val="00E55C98"/>
    <w:rsid w:val="00E55D01"/>
    <w:rsid w:val="00E56237"/>
    <w:rsid w:val="00E563EF"/>
    <w:rsid w:val="00E56CF6"/>
    <w:rsid w:val="00E575B7"/>
    <w:rsid w:val="00E57CDC"/>
    <w:rsid w:val="00E61533"/>
    <w:rsid w:val="00E632BF"/>
    <w:rsid w:val="00E6433C"/>
    <w:rsid w:val="00E64CAD"/>
    <w:rsid w:val="00E64FD4"/>
    <w:rsid w:val="00E65A69"/>
    <w:rsid w:val="00E6667B"/>
    <w:rsid w:val="00E66CFE"/>
    <w:rsid w:val="00E67059"/>
    <w:rsid w:val="00E70272"/>
    <w:rsid w:val="00E70471"/>
    <w:rsid w:val="00E71B30"/>
    <w:rsid w:val="00E723D4"/>
    <w:rsid w:val="00E72738"/>
    <w:rsid w:val="00E73ABE"/>
    <w:rsid w:val="00E7655A"/>
    <w:rsid w:val="00E77646"/>
    <w:rsid w:val="00E77AEB"/>
    <w:rsid w:val="00E77B58"/>
    <w:rsid w:val="00E82592"/>
    <w:rsid w:val="00E83CB9"/>
    <w:rsid w:val="00E84115"/>
    <w:rsid w:val="00E8434B"/>
    <w:rsid w:val="00E8463F"/>
    <w:rsid w:val="00E84D81"/>
    <w:rsid w:val="00E85597"/>
    <w:rsid w:val="00E85DF8"/>
    <w:rsid w:val="00E85E0A"/>
    <w:rsid w:val="00E8636B"/>
    <w:rsid w:val="00E86F38"/>
    <w:rsid w:val="00E87060"/>
    <w:rsid w:val="00E87FA5"/>
    <w:rsid w:val="00E91373"/>
    <w:rsid w:val="00E91561"/>
    <w:rsid w:val="00E9165F"/>
    <w:rsid w:val="00E917BE"/>
    <w:rsid w:val="00E95849"/>
    <w:rsid w:val="00E96A2C"/>
    <w:rsid w:val="00EA0439"/>
    <w:rsid w:val="00EA092D"/>
    <w:rsid w:val="00EA2F37"/>
    <w:rsid w:val="00EA37F7"/>
    <w:rsid w:val="00EB1B02"/>
    <w:rsid w:val="00EB23FE"/>
    <w:rsid w:val="00EB5C0E"/>
    <w:rsid w:val="00EB6DCF"/>
    <w:rsid w:val="00EB7122"/>
    <w:rsid w:val="00EB7B10"/>
    <w:rsid w:val="00EC00C9"/>
    <w:rsid w:val="00EC1FDE"/>
    <w:rsid w:val="00EC2176"/>
    <w:rsid w:val="00EC3147"/>
    <w:rsid w:val="00EC6635"/>
    <w:rsid w:val="00ED08C3"/>
    <w:rsid w:val="00ED0CFD"/>
    <w:rsid w:val="00ED5EF0"/>
    <w:rsid w:val="00EE0BA8"/>
    <w:rsid w:val="00EE16BD"/>
    <w:rsid w:val="00EE1AE2"/>
    <w:rsid w:val="00EE219A"/>
    <w:rsid w:val="00EE3BAA"/>
    <w:rsid w:val="00EE5D9B"/>
    <w:rsid w:val="00EF0763"/>
    <w:rsid w:val="00EF15EE"/>
    <w:rsid w:val="00EF1F90"/>
    <w:rsid w:val="00EF21A7"/>
    <w:rsid w:val="00EF257D"/>
    <w:rsid w:val="00EF2EB1"/>
    <w:rsid w:val="00EF4DB2"/>
    <w:rsid w:val="00EF547A"/>
    <w:rsid w:val="00EF5DE3"/>
    <w:rsid w:val="00EF6E2D"/>
    <w:rsid w:val="00EF7611"/>
    <w:rsid w:val="00F011A2"/>
    <w:rsid w:val="00F020CB"/>
    <w:rsid w:val="00F02931"/>
    <w:rsid w:val="00F033E6"/>
    <w:rsid w:val="00F03E18"/>
    <w:rsid w:val="00F04FE7"/>
    <w:rsid w:val="00F05028"/>
    <w:rsid w:val="00F06CAA"/>
    <w:rsid w:val="00F10DA0"/>
    <w:rsid w:val="00F11EA7"/>
    <w:rsid w:val="00F13278"/>
    <w:rsid w:val="00F13362"/>
    <w:rsid w:val="00F13720"/>
    <w:rsid w:val="00F13850"/>
    <w:rsid w:val="00F13AA4"/>
    <w:rsid w:val="00F13CE9"/>
    <w:rsid w:val="00F13CEE"/>
    <w:rsid w:val="00F148B8"/>
    <w:rsid w:val="00F151C9"/>
    <w:rsid w:val="00F15360"/>
    <w:rsid w:val="00F15A4B"/>
    <w:rsid w:val="00F15B2E"/>
    <w:rsid w:val="00F15CA3"/>
    <w:rsid w:val="00F15EC4"/>
    <w:rsid w:val="00F1735E"/>
    <w:rsid w:val="00F17EBF"/>
    <w:rsid w:val="00F239F2"/>
    <w:rsid w:val="00F24235"/>
    <w:rsid w:val="00F24691"/>
    <w:rsid w:val="00F279B3"/>
    <w:rsid w:val="00F312AE"/>
    <w:rsid w:val="00F31DBB"/>
    <w:rsid w:val="00F32CD4"/>
    <w:rsid w:val="00F33B61"/>
    <w:rsid w:val="00F352D3"/>
    <w:rsid w:val="00F364BC"/>
    <w:rsid w:val="00F37817"/>
    <w:rsid w:val="00F44674"/>
    <w:rsid w:val="00F45799"/>
    <w:rsid w:val="00F464D8"/>
    <w:rsid w:val="00F512D2"/>
    <w:rsid w:val="00F52D96"/>
    <w:rsid w:val="00F53112"/>
    <w:rsid w:val="00F545C2"/>
    <w:rsid w:val="00F545FF"/>
    <w:rsid w:val="00F566C8"/>
    <w:rsid w:val="00F606AD"/>
    <w:rsid w:val="00F617A9"/>
    <w:rsid w:val="00F62BCE"/>
    <w:rsid w:val="00F65971"/>
    <w:rsid w:val="00F701FC"/>
    <w:rsid w:val="00F7267C"/>
    <w:rsid w:val="00F7417B"/>
    <w:rsid w:val="00F766E1"/>
    <w:rsid w:val="00F76D90"/>
    <w:rsid w:val="00F800C0"/>
    <w:rsid w:val="00F81FE8"/>
    <w:rsid w:val="00F82076"/>
    <w:rsid w:val="00F84D8C"/>
    <w:rsid w:val="00F850B1"/>
    <w:rsid w:val="00F86745"/>
    <w:rsid w:val="00F87C72"/>
    <w:rsid w:val="00F90D26"/>
    <w:rsid w:val="00F9136C"/>
    <w:rsid w:val="00F914A4"/>
    <w:rsid w:val="00F951D5"/>
    <w:rsid w:val="00F95E18"/>
    <w:rsid w:val="00F96A5A"/>
    <w:rsid w:val="00FA0E57"/>
    <w:rsid w:val="00FA1497"/>
    <w:rsid w:val="00FA351D"/>
    <w:rsid w:val="00FA467B"/>
    <w:rsid w:val="00FA4DDA"/>
    <w:rsid w:val="00FA6717"/>
    <w:rsid w:val="00FB0122"/>
    <w:rsid w:val="00FB0D15"/>
    <w:rsid w:val="00FB0EDC"/>
    <w:rsid w:val="00FB13E8"/>
    <w:rsid w:val="00FB1715"/>
    <w:rsid w:val="00FB2C11"/>
    <w:rsid w:val="00FB3E31"/>
    <w:rsid w:val="00FB755B"/>
    <w:rsid w:val="00FB7619"/>
    <w:rsid w:val="00FB7694"/>
    <w:rsid w:val="00FB7A41"/>
    <w:rsid w:val="00FC025D"/>
    <w:rsid w:val="00FC2942"/>
    <w:rsid w:val="00FC392F"/>
    <w:rsid w:val="00FC3C03"/>
    <w:rsid w:val="00FC40C1"/>
    <w:rsid w:val="00FC5E93"/>
    <w:rsid w:val="00FC66C2"/>
    <w:rsid w:val="00FD0916"/>
    <w:rsid w:val="00FD0F37"/>
    <w:rsid w:val="00FD12DA"/>
    <w:rsid w:val="00FD14D3"/>
    <w:rsid w:val="00FD1A35"/>
    <w:rsid w:val="00FD34CB"/>
    <w:rsid w:val="00FD7264"/>
    <w:rsid w:val="00FD7EEE"/>
    <w:rsid w:val="00FE08C6"/>
    <w:rsid w:val="00FE5186"/>
    <w:rsid w:val="00FE5465"/>
    <w:rsid w:val="00FE6528"/>
    <w:rsid w:val="00FE66BE"/>
    <w:rsid w:val="00FE68B5"/>
    <w:rsid w:val="00FF0697"/>
    <w:rsid w:val="00FF0DC1"/>
    <w:rsid w:val="00FF1EF1"/>
    <w:rsid w:val="00FF4394"/>
    <w:rsid w:val="00FF4715"/>
    <w:rsid w:val="00FF66BB"/>
    <w:rsid w:val="00FF7A33"/>
    <w:rsid w:val="014D1FB4"/>
    <w:rsid w:val="017A3CF8"/>
    <w:rsid w:val="01A40593"/>
    <w:rsid w:val="01BE6F1D"/>
    <w:rsid w:val="01E67A46"/>
    <w:rsid w:val="02234FDE"/>
    <w:rsid w:val="02ED68C9"/>
    <w:rsid w:val="036D5F9D"/>
    <w:rsid w:val="037F0122"/>
    <w:rsid w:val="038A2F8A"/>
    <w:rsid w:val="040C6786"/>
    <w:rsid w:val="04D57694"/>
    <w:rsid w:val="055045DC"/>
    <w:rsid w:val="0716033A"/>
    <w:rsid w:val="0755193C"/>
    <w:rsid w:val="07585546"/>
    <w:rsid w:val="085678A3"/>
    <w:rsid w:val="08AA3AA1"/>
    <w:rsid w:val="09BF3EC8"/>
    <w:rsid w:val="0A244AEA"/>
    <w:rsid w:val="0BE734AB"/>
    <w:rsid w:val="0C011CB0"/>
    <w:rsid w:val="0DAB3456"/>
    <w:rsid w:val="0FCD0313"/>
    <w:rsid w:val="11567EC5"/>
    <w:rsid w:val="11751456"/>
    <w:rsid w:val="11AE7705"/>
    <w:rsid w:val="11E804C0"/>
    <w:rsid w:val="13595EAF"/>
    <w:rsid w:val="13A975A8"/>
    <w:rsid w:val="16F143A1"/>
    <w:rsid w:val="172F16D3"/>
    <w:rsid w:val="17A94699"/>
    <w:rsid w:val="17FE4804"/>
    <w:rsid w:val="180266F9"/>
    <w:rsid w:val="18D04F81"/>
    <w:rsid w:val="19520625"/>
    <w:rsid w:val="198933AE"/>
    <w:rsid w:val="1A8E580B"/>
    <w:rsid w:val="1AF21C26"/>
    <w:rsid w:val="1B16333E"/>
    <w:rsid w:val="1B4134A0"/>
    <w:rsid w:val="1B4F10B4"/>
    <w:rsid w:val="1BFE51A1"/>
    <w:rsid w:val="1D047F7D"/>
    <w:rsid w:val="1E3B70B8"/>
    <w:rsid w:val="204B1EC4"/>
    <w:rsid w:val="225278E7"/>
    <w:rsid w:val="22552422"/>
    <w:rsid w:val="22FD2227"/>
    <w:rsid w:val="2382074E"/>
    <w:rsid w:val="23963804"/>
    <w:rsid w:val="240A56D1"/>
    <w:rsid w:val="242247D0"/>
    <w:rsid w:val="245A4441"/>
    <w:rsid w:val="24C80703"/>
    <w:rsid w:val="26791340"/>
    <w:rsid w:val="26F36DB0"/>
    <w:rsid w:val="26FB1E80"/>
    <w:rsid w:val="27E21496"/>
    <w:rsid w:val="29124199"/>
    <w:rsid w:val="291D566D"/>
    <w:rsid w:val="2A2F7E3C"/>
    <w:rsid w:val="2A9D79DE"/>
    <w:rsid w:val="2AA44A58"/>
    <w:rsid w:val="2B49664F"/>
    <w:rsid w:val="2B5548A8"/>
    <w:rsid w:val="2BBA45B8"/>
    <w:rsid w:val="2C2A2C18"/>
    <w:rsid w:val="2C7D1E04"/>
    <w:rsid w:val="2DDC16BE"/>
    <w:rsid w:val="2EFE1F0B"/>
    <w:rsid w:val="2FCE2CA3"/>
    <w:rsid w:val="31FA1189"/>
    <w:rsid w:val="31FF69C9"/>
    <w:rsid w:val="32690EE2"/>
    <w:rsid w:val="32A7333B"/>
    <w:rsid w:val="330B11CA"/>
    <w:rsid w:val="331356EF"/>
    <w:rsid w:val="33323658"/>
    <w:rsid w:val="3360766A"/>
    <w:rsid w:val="33A1247D"/>
    <w:rsid w:val="33DB773D"/>
    <w:rsid w:val="34104A3D"/>
    <w:rsid w:val="35E7528A"/>
    <w:rsid w:val="36484E32"/>
    <w:rsid w:val="36610AC1"/>
    <w:rsid w:val="366472FE"/>
    <w:rsid w:val="366C316B"/>
    <w:rsid w:val="368C2F70"/>
    <w:rsid w:val="36F02A38"/>
    <w:rsid w:val="3735480E"/>
    <w:rsid w:val="38373410"/>
    <w:rsid w:val="38595A24"/>
    <w:rsid w:val="398959FD"/>
    <w:rsid w:val="39D0643B"/>
    <w:rsid w:val="39FD5F33"/>
    <w:rsid w:val="3A0353FD"/>
    <w:rsid w:val="3B91248B"/>
    <w:rsid w:val="3BFC1F41"/>
    <w:rsid w:val="3DE040BB"/>
    <w:rsid w:val="3E9D3A65"/>
    <w:rsid w:val="3EA51AC3"/>
    <w:rsid w:val="3EAE5A4E"/>
    <w:rsid w:val="3F9F14C8"/>
    <w:rsid w:val="406E5603"/>
    <w:rsid w:val="40BF3F42"/>
    <w:rsid w:val="41095675"/>
    <w:rsid w:val="419E1C43"/>
    <w:rsid w:val="41D94D43"/>
    <w:rsid w:val="41E8368B"/>
    <w:rsid w:val="42E64A6D"/>
    <w:rsid w:val="43A24815"/>
    <w:rsid w:val="4462024D"/>
    <w:rsid w:val="456670A6"/>
    <w:rsid w:val="458A2DBC"/>
    <w:rsid w:val="46847A8B"/>
    <w:rsid w:val="468962FF"/>
    <w:rsid w:val="46DB09FA"/>
    <w:rsid w:val="470618CE"/>
    <w:rsid w:val="472924B7"/>
    <w:rsid w:val="473E0C7B"/>
    <w:rsid w:val="48093384"/>
    <w:rsid w:val="48855E26"/>
    <w:rsid w:val="48967C7F"/>
    <w:rsid w:val="49075930"/>
    <w:rsid w:val="49CE3422"/>
    <w:rsid w:val="4A003601"/>
    <w:rsid w:val="4A0F6F8F"/>
    <w:rsid w:val="4ACD5C32"/>
    <w:rsid w:val="4C2D652C"/>
    <w:rsid w:val="4C324C2A"/>
    <w:rsid w:val="4C746921"/>
    <w:rsid w:val="4E30022D"/>
    <w:rsid w:val="4E5120F5"/>
    <w:rsid w:val="4F015652"/>
    <w:rsid w:val="4F22516D"/>
    <w:rsid w:val="50A0328E"/>
    <w:rsid w:val="50D46660"/>
    <w:rsid w:val="51197105"/>
    <w:rsid w:val="53151A89"/>
    <w:rsid w:val="53520433"/>
    <w:rsid w:val="53D50D4B"/>
    <w:rsid w:val="54663987"/>
    <w:rsid w:val="55B5139F"/>
    <w:rsid w:val="55BB4700"/>
    <w:rsid w:val="55C51B4A"/>
    <w:rsid w:val="55C57133"/>
    <w:rsid w:val="55D00072"/>
    <w:rsid w:val="564D23D3"/>
    <w:rsid w:val="58F4181D"/>
    <w:rsid w:val="59386366"/>
    <w:rsid w:val="5A144EB5"/>
    <w:rsid w:val="5A2A14E3"/>
    <w:rsid w:val="5C480E38"/>
    <w:rsid w:val="5CA2120C"/>
    <w:rsid w:val="5CE823E5"/>
    <w:rsid w:val="5E362010"/>
    <w:rsid w:val="5E5A2036"/>
    <w:rsid w:val="5EBC25BC"/>
    <w:rsid w:val="5F165C6A"/>
    <w:rsid w:val="5FCD5997"/>
    <w:rsid w:val="600A5BC2"/>
    <w:rsid w:val="604B2FF2"/>
    <w:rsid w:val="618374CC"/>
    <w:rsid w:val="62866F2C"/>
    <w:rsid w:val="64540CA7"/>
    <w:rsid w:val="646733EF"/>
    <w:rsid w:val="64E142B3"/>
    <w:rsid w:val="650F5FF7"/>
    <w:rsid w:val="65543EC6"/>
    <w:rsid w:val="65640A91"/>
    <w:rsid w:val="6580527A"/>
    <w:rsid w:val="65DF7AB1"/>
    <w:rsid w:val="65F57E21"/>
    <w:rsid w:val="66232E2C"/>
    <w:rsid w:val="67277FC8"/>
    <w:rsid w:val="67E34213"/>
    <w:rsid w:val="68667A87"/>
    <w:rsid w:val="686F1B2A"/>
    <w:rsid w:val="68BF2482"/>
    <w:rsid w:val="68D23B12"/>
    <w:rsid w:val="69193EBA"/>
    <w:rsid w:val="69AF24F6"/>
    <w:rsid w:val="69E64075"/>
    <w:rsid w:val="6A8A0497"/>
    <w:rsid w:val="6AD22B6B"/>
    <w:rsid w:val="6B4B082E"/>
    <w:rsid w:val="6C070036"/>
    <w:rsid w:val="6C880EAB"/>
    <w:rsid w:val="6D675AAB"/>
    <w:rsid w:val="6D6A197A"/>
    <w:rsid w:val="6E243A7C"/>
    <w:rsid w:val="6F3152F5"/>
    <w:rsid w:val="6F383A5A"/>
    <w:rsid w:val="6F3E7AF8"/>
    <w:rsid w:val="6F5A05B0"/>
    <w:rsid w:val="6F9C5E29"/>
    <w:rsid w:val="6FF5442D"/>
    <w:rsid w:val="709F21DB"/>
    <w:rsid w:val="70C9429C"/>
    <w:rsid w:val="71776FD6"/>
    <w:rsid w:val="71CA1EA1"/>
    <w:rsid w:val="722F0678"/>
    <w:rsid w:val="72640CC0"/>
    <w:rsid w:val="727C7557"/>
    <w:rsid w:val="72C37BEA"/>
    <w:rsid w:val="733C7B6A"/>
    <w:rsid w:val="7480542C"/>
    <w:rsid w:val="74E44A88"/>
    <w:rsid w:val="765364CF"/>
    <w:rsid w:val="776526A8"/>
    <w:rsid w:val="78053FE1"/>
    <w:rsid w:val="789B0F16"/>
    <w:rsid w:val="7A783FA4"/>
    <w:rsid w:val="7AAF208A"/>
    <w:rsid w:val="7B8805DE"/>
    <w:rsid w:val="7C6501A0"/>
    <w:rsid w:val="7C7878F2"/>
    <w:rsid w:val="7E6A06DE"/>
    <w:rsid w:val="7F427C3D"/>
    <w:rsid w:val="7F942F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9" w:semiHidden="0" w:name="heading 3"/>
    <w:lsdException w:qFormat="1" w:unhideWhenUsed="0" w:uiPriority="9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2"/>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83"/>
    <w:qFormat/>
    <w:uiPriority w:val="0"/>
    <w:pPr>
      <w:tabs>
        <w:tab w:val="left" w:pos="576"/>
      </w:tabs>
      <w:spacing w:before="260" w:after="260"/>
      <w:ind w:left="576" w:hanging="576"/>
      <w:jc w:val="left"/>
      <w:outlineLvl w:val="1"/>
    </w:pPr>
    <w:rPr>
      <w:rFonts w:ascii="华文细黑" w:hAnsi="Arial" w:eastAsia="华文细黑" w:cs="Arial Unicode MS"/>
      <w:b/>
      <w:bCs/>
      <w:kern w:val="0"/>
      <w:sz w:val="44"/>
      <w:szCs w:val="32"/>
    </w:rPr>
  </w:style>
  <w:style w:type="paragraph" w:styleId="2">
    <w:name w:val="heading 3"/>
    <w:basedOn w:val="1"/>
    <w:next w:val="1"/>
    <w:link w:val="85"/>
    <w:qFormat/>
    <w:uiPriority w:val="99"/>
    <w:pPr>
      <w:keepNext/>
      <w:keepLines/>
      <w:spacing w:before="260" w:after="260" w:line="416" w:lineRule="auto"/>
      <w:outlineLvl w:val="2"/>
    </w:pPr>
    <w:rPr>
      <w:b/>
      <w:bCs/>
      <w:sz w:val="32"/>
      <w:szCs w:val="32"/>
    </w:rPr>
  </w:style>
  <w:style w:type="paragraph" w:styleId="5">
    <w:name w:val="heading 4"/>
    <w:basedOn w:val="1"/>
    <w:next w:val="1"/>
    <w:link w:val="64"/>
    <w:qFormat/>
    <w:uiPriority w:val="9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70"/>
    <w:qFormat/>
    <w:uiPriority w:val="0"/>
    <w:pPr>
      <w:keepNext/>
      <w:keepLines/>
      <w:spacing w:before="280" w:after="290" w:line="376" w:lineRule="auto"/>
      <w:outlineLvl w:val="4"/>
    </w:pPr>
    <w:rPr>
      <w:b/>
      <w:bCs/>
      <w:sz w:val="28"/>
      <w:szCs w:val="28"/>
    </w:rPr>
  </w:style>
  <w:style w:type="paragraph" w:styleId="7">
    <w:name w:val="heading 6"/>
    <w:basedOn w:val="1"/>
    <w:next w:val="1"/>
    <w:link w:val="65"/>
    <w:qFormat/>
    <w:uiPriority w:val="0"/>
    <w:pPr>
      <w:keepNext/>
      <w:keepLines/>
      <w:spacing w:before="240" w:after="64" w:line="317" w:lineRule="auto"/>
      <w:outlineLvl w:val="5"/>
    </w:pPr>
    <w:rPr>
      <w:rFonts w:ascii="Cambria" w:hAnsi="Cambria"/>
      <w:b/>
      <w:bCs/>
      <w:sz w:val="24"/>
    </w:rPr>
  </w:style>
  <w:style w:type="paragraph" w:styleId="8">
    <w:name w:val="heading 7"/>
    <w:basedOn w:val="1"/>
    <w:next w:val="1"/>
    <w:link w:val="63"/>
    <w:qFormat/>
    <w:uiPriority w:val="0"/>
    <w:pPr>
      <w:keepNext/>
      <w:keepLines/>
      <w:spacing w:before="240" w:after="64" w:line="317" w:lineRule="auto"/>
      <w:outlineLvl w:val="6"/>
    </w:pPr>
    <w:rPr>
      <w:rFonts w:ascii="Calibri" w:hAnsi="Calibri"/>
      <w:b/>
      <w:bCs/>
      <w:sz w:val="24"/>
    </w:rPr>
  </w:style>
  <w:style w:type="paragraph" w:styleId="9">
    <w:name w:val="heading 8"/>
    <w:basedOn w:val="1"/>
    <w:next w:val="1"/>
    <w:link w:val="71"/>
    <w:qFormat/>
    <w:uiPriority w:val="0"/>
    <w:pPr>
      <w:keepNext/>
      <w:keepLines/>
      <w:spacing w:before="240" w:after="64" w:line="317" w:lineRule="auto"/>
      <w:outlineLvl w:val="7"/>
    </w:pPr>
    <w:rPr>
      <w:rFonts w:ascii="Cambria" w:hAnsi="Cambria"/>
      <w:sz w:val="24"/>
    </w:rPr>
  </w:style>
  <w:style w:type="paragraph" w:styleId="10">
    <w:name w:val="heading 9"/>
    <w:basedOn w:val="1"/>
    <w:next w:val="1"/>
    <w:link w:val="77"/>
    <w:qFormat/>
    <w:uiPriority w:val="0"/>
    <w:pPr>
      <w:keepNext/>
      <w:keepLines/>
      <w:spacing w:before="240" w:after="64" w:line="317" w:lineRule="auto"/>
      <w:outlineLvl w:val="8"/>
    </w:pPr>
    <w:rPr>
      <w:rFonts w:ascii="Cambria" w:hAnsi="Cambria"/>
      <w:szCs w:val="21"/>
    </w:rPr>
  </w:style>
  <w:style w:type="character" w:default="1" w:styleId="47">
    <w:name w:val="Default Paragraph Font"/>
    <w:semiHidden/>
    <w:unhideWhenUsed/>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2520" w:leftChars="1200"/>
    </w:pPr>
    <w:rPr>
      <w:rFonts w:ascii="Calibri" w:hAnsi="Calibri"/>
      <w:szCs w:val="22"/>
    </w:rPr>
  </w:style>
  <w:style w:type="paragraph" w:styleId="12">
    <w:name w:val="Normal Indent"/>
    <w:basedOn w:val="1"/>
    <w:qFormat/>
    <w:uiPriority w:val="0"/>
    <w:pPr>
      <w:adjustRightInd w:val="0"/>
      <w:spacing w:line="360" w:lineRule="atLeast"/>
      <w:ind w:firstLine="482"/>
      <w:textAlignment w:val="baseline"/>
    </w:pPr>
    <w:rPr>
      <w:kern w:val="0"/>
      <w:sz w:val="24"/>
      <w:szCs w:val="20"/>
    </w:r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81"/>
    <w:qFormat/>
    <w:uiPriority w:val="99"/>
    <w:pPr>
      <w:shd w:val="clear" w:color="auto" w:fill="000080"/>
    </w:pPr>
    <w:rPr>
      <w:kern w:val="0"/>
      <w:sz w:val="20"/>
      <w:shd w:val="clear" w:color="auto" w:fill="000080"/>
    </w:rPr>
  </w:style>
  <w:style w:type="paragraph" w:styleId="15">
    <w:name w:val="toa heading"/>
    <w:basedOn w:val="1"/>
    <w:next w:val="1"/>
    <w:qFormat/>
    <w:uiPriority w:val="0"/>
    <w:rPr>
      <w:rFonts w:ascii="Arial" w:hAnsi="Arial"/>
      <w:sz w:val="24"/>
    </w:rPr>
  </w:style>
  <w:style w:type="paragraph" w:styleId="16">
    <w:name w:val="annotation text"/>
    <w:basedOn w:val="1"/>
    <w:link w:val="66"/>
    <w:qFormat/>
    <w:uiPriority w:val="0"/>
    <w:pPr>
      <w:jc w:val="left"/>
    </w:pPr>
    <w:rPr>
      <w:szCs w:val="22"/>
    </w:rPr>
  </w:style>
  <w:style w:type="paragraph" w:styleId="17">
    <w:name w:val="Body Text 3"/>
    <w:basedOn w:val="1"/>
    <w:link w:val="125"/>
    <w:qFormat/>
    <w:uiPriority w:val="99"/>
    <w:pPr>
      <w:spacing w:line="480" w:lineRule="exact"/>
    </w:pPr>
    <w:rPr>
      <w:rFonts w:ascii="宋体" w:hAnsi="宋体"/>
      <w:sz w:val="24"/>
      <w:szCs w:val="20"/>
    </w:rPr>
  </w:style>
  <w:style w:type="paragraph" w:styleId="18">
    <w:name w:val="Body Text"/>
    <w:basedOn w:val="1"/>
    <w:next w:val="1"/>
    <w:link w:val="61"/>
    <w:qFormat/>
    <w:uiPriority w:val="0"/>
    <w:pPr>
      <w:widowControl/>
      <w:jc w:val="left"/>
    </w:pPr>
    <w:rPr>
      <w:kern w:val="0"/>
      <w:sz w:val="24"/>
      <w:szCs w:val="20"/>
    </w:rPr>
  </w:style>
  <w:style w:type="paragraph" w:styleId="19">
    <w:name w:val="Body Text Indent"/>
    <w:basedOn w:val="1"/>
    <w:link w:val="126"/>
    <w:qFormat/>
    <w:uiPriority w:val="0"/>
    <w:pPr>
      <w:spacing w:after="120"/>
      <w:ind w:left="420" w:leftChars="200"/>
    </w:pPr>
  </w:style>
  <w:style w:type="paragraph" w:styleId="20">
    <w:name w:val="Block Text"/>
    <w:basedOn w:val="1"/>
    <w:qFormat/>
    <w:uiPriority w:val="0"/>
    <w:pPr>
      <w:adjustRightInd w:val="0"/>
      <w:ind w:left="420" w:right="33"/>
      <w:jc w:val="left"/>
      <w:textAlignment w:val="baseline"/>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39"/>
    <w:pPr>
      <w:tabs>
        <w:tab w:val="right" w:leader="dot" w:pos="8296"/>
      </w:tabs>
      <w:ind w:left="1050" w:leftChars="500"/>
    </w:pPr>
    <w:rPr>
      <w:rFonts w:ascii="Calibri" w:hAnsi="Calibri"/>
      <w:szCs w:val="22"/>
    </w:rPr>
  </w:style>
  <w:style w:type="paragraph" w:styleId="23">
    <w:name w:val="toc 3"/>
    <w:basedOn w:val="1"/>
    <w:next w:val="1"/>
    <w:qFormat/>
    <w:uiPriority w:val="39"/>
    <w:pPr>
      <w:ind w:left="840" w:leftChars="400"/>
    </w:pPr>
  </w:style>
  <w:style w:type="paragraph" w:styleId="24">
    <w:name w:val="Plain Text"/>
    <w:basedOn w:val="1"/>
    <w:link w:val="62"/>
    <w:qFormat/>
    <w:uiPriority w:val="99"/>
    <w:rPr>
      <w:rFonts w:ascii="宋体" w:hAnsi="Courier New" w:cs="Courier New"/>
      <w:szCs w:val="21"/>
    </w:rPr>
  </w:style>
  <w:style w:type="paragraph" w:styleId="25">
    <w:name w:val="toc 8"/>
    <w:basedOn w:val="1"/>
    <w:next w:val="1"/>
    <w:qFormat/>
    <w:uiPriority w:val="39"/>
    <w:pPr>
      <w:ind w:left="2940" w:leftChars="1400"/>
    </w:pPr>
    <w:rPr>
      <w:rFonts w:ascii="Calibri" w:hAnsi="Calibri"/>
      <w:szCs w:val="22"/>
    </w:rPr>
  </w:style>
  <w:style w:type="paragraph" w:styleId="26">
    <w:name w:val="Date"/>
    <w:basedOn w:val="1"/>
    <w:next w:val="1"/>
    <w:link w:val="127"/>
    <w:qFormat/>
    <w:uiPriority w:val="99"/>
    <w:pPr>
      <w:ind w:left="100" w:leftChars="2500"/>
    </w:pPr>
  </w:style>
  <w:style w:type="paragraph" w:styleId="27">
    <w:name w:val="Body Text Indent 2"/>
    <w:basedOn w:val="1"/>
    <w:link w:val="212"/>
    <w:qFormat/>
    <w:uiPriority w:val="0"/>
    <w:pPr>
      <w:spacing w:after="120" w:line="480" w:lineRule="auto"/>
      <w:ind w:left="420" w:leftChars="200"/>
    </w:pPr>
  </w:style>
  <w:style w:type="paragraph" w:styleId="28">
    <w:name w:val="Balloon Text"/>
    <w:basedOn w:val="1"/>
    <w:link w:val="129"/>
    <w:qFormat/>
    <w:uiPriority w:val="99"/>
    <w:rPr>
      <w:sz w:val="18"/>
      <w:szCs w:val="18"/>
    </w:rPr>
  </w:style>
  <w:style w:type="paragraph" w:styleId="29">
    <w:name w:val="footer"/>
    <w:basedOn w:val="1"/>
    <w:link w:val="87"/>
    <w:qFormat/>
    <w:uiPriority w:val="0"/>
    <w:pPr>
      <w:tabs>
        <w:tab w:val="center" w:pos="4153"/>
        <w:tab w:val="right" w:pos="8306"/>
      </w:tabs>
      <w:snapToGrid w:val="0"/>
      <w:jc w:val="left"/>
    </w:pPr>
    <w:rPr>
      <w:sz w:val="18"/>
      <w:szCs w:val="18"/>
    </w:rPr>
  </w:style>
  <w:style w:type="paragraph" w:styleId="30">
    <w:name w:val="header"/>
    <w:basedOn w:val="1"/>
    <w:link w:val="86"/>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99"/>
    <w:pPr>
      <w:tabs>
        <w:tab w:val="right" w:leader="dot" w:pos="9060"/>
      </w:tabs>
      <w:spacing w:line="480" w:lineRule="auto"/>
    </w:pPr>
    <w:rPr>
      <w:rFonts w:ascii="宋体" w:hAnsi="宋体"/>
      <w:color w:val="FF0000"/>
      <w:sz w:val="24"/>
    </w:rPr>
  </w:style>
  <w:style w:type="paragraph" w:styleId="32">
    <w:name w:val="toc 4"/>
    <w:basedOn w:val="1"/>
    <w:next w:val="1"/>
    <w:qFormat/>
    <w:uiPriority w:val="39"/>
    <w:pPr>
      <w:ind w:left="1260" w:leftChars="600"/>
    </w:pPr>
  </w:style>
  <w:style w:type="paragraph" w:styleId="33">
    <w:name w:val="Subtitle"/>
    <w:basedOn w:val="1"/>
    <w:next w:val="1"/>
    <w:link w:val="72"/>
    <w:qFormat/>
    <w:uiPriority w:val="0"/>
    <w:pPr>
      <w:spacing w:before="240" w:after="60" w:line="312" w:lineRule="auto"/>
      <w:jc w:val="center"/>
      <w:outlineLvl w:val="1"/>
    </w:pPr>
    <w:rPr>
      <w:rFonts w:ascii="Cambria" w:hAnsi="Cambria"/>
      <w:b/>
      <w:bCs/>
      <w:kern w:val="28"/>
      <w:sz w:val="32"/>
      <w:szCs w:val="32"/>
    </w:rPr>
  </w:style>
  <w:style w:type="paragraph" w:styleId="34">
    <w:name w:val="toc 6"/>
    <w:basedOn w:val="1"/>
    <w:next w:val="1"/>
    <w:qFormat/>
    <w:uiPriority w:val="39"/>
    <w:pPr>
      <w:ind w:left="2100" w:leftChars="1000"/>
    </w:pPr>
    <w:rPr>
      <w:rFonts w:ascii="Calibri" w:hAnsi="Calibri"/>
      <w:szCs w:val="22"/>
    </w:rPr>
  </w:style>
  <w:style w:type="paragraph" w:styleId="35">
    <w:name w:val="Body Text Indent 3"/>
    <w:basedOn w:val="1"/>
    <w:link w:val="214"/>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6">
    <w:name w:val="toc 2"/>
    <w:basedOn w:val="1"/>
    <w:next w:val="1"/>
    <w:qFormat/>
    <w:uiPriority w:val="39"/>
    <w:pPr>
      <w:ind w:left="420" w:leftChars="200"/>
    </w:pPr>
    <w:rPr>
      <w:rFonts w:ascii="宋体"/>
      <w:b/>
      <w:sz w:val="28"/>
      <w:szCs w:val="20"/>
    </w:rPr>
  </w:style>
  <w:style w:type="paragraph" w:styleId="37">
    <w:name w:val="toc 9"/>
    <w:basedOn w:val="1"/>
    <w:next w:val="1"/>
    <w:qFormat/>
    <w:uiPriority w:val="39"/>
    <w:pPr>
      <w:ind w:left="3360" w:leftChars="1600"/>
    </w:pPr>
    <w:rPr>
      <w:rFonts w:ascii="Calibri" w:hAnsi="Calibri"/>
      <w:szCs w:val="22"/>
    </w:rPr>
  </w:style>
  <w:style w:type="paragraph" w:styleId="38">
    <w:name w:val="Body Text 2"/>
    <w:basedOn w:val="1"/>
    <w:link w:val="213"/>
    <w:qFormat/>
    <w:uiPriority w:val="0"/>
    <w:pPr>
      <w:spacing w:after="120" w:line="480" w:lineRule="auto"/>
    </w:pPr>
    <w:rPr>
      <w:rFonts w:ascii="Calibri" w:hAnsi="Calibri"/>
      <w:szCs w:val="20"/>
    </w:rPr>
  </w:style>
  <w:style w:type="paragraph" w:styleId="39">
    <w:name w:val="HTML Preformatted"/>
    <w:basedOn w:val="1"/>
    <w:link w:val="13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0">
    <w:name w:val="Normal (Web)"/>
    <w:basedOn w:val="1"/>
    <w:qFormat/>
    <w:uiPriority w:val="0"/>
    <w:pPr>
      <w:widowControl/>
      <w:spacing w:before="100" w:beforeAutospacing="1" w:after="100" w:afterAutospacing="1"/>
      <w:jc w:val="left"/>
    </w:pPr>
    <w:rPr>
      <w:rFonts w:ascii="宋体" w:hAnsi="宋体"/>
      <w:kern w:val="0"/>
      <w:sz w:val="24"/>
    </w:rPr>
  </w:style>
  <w:style w:type="paragraph" w:styleId="41">
    <w:name w:val="index 1"/>
    <w:basedOn w:val="1"/>
    <w:next w:val="1"/>
    <w:qFormat/>
    <w:uiPriority w:val="0"/>
    <w:pPr>
      <w:spacing w:line="360" w:lineRule="auto"/>
      <w:jc w:val="center"/>
    </w:pPr>
    <w:rPr>
      <w:rFonts w:eastAsia="仿宋_GB2312"/>
      <w:sz w:val="28"/>
      <w:szCs w:val="28"/>
    </w:rPr>
  </w:style>
  <w:style w:type="paragraph" w:styleId="42">
    <w:name w:val="Title"/>
    <w:basedOn w:val="1"/>
    <w:next w:val="1"/>
    <w:link w:val="60"/>
    <w:qFormat/>
    <w:uiPriority w:val="0"/>
    <w:pPr>
      <w:spacing w:before="240" w:after="60"/>
      <w:jc w:val="center"/>
      <w:outlineLvl w:val="0"/>
    </w:pPr>
    <w:rPr>
      <w:rFonts w:ascii="Cambria" w:hAnsi="Cambria"/>
      <w:b/>
      <w:bCs/>
      <w:sz w:val="32"/>
      <w:szCs w:val="32"/>
    </w:rPr>
  </w:style>
  <w:style w:type="paragraph" w:styleId="43">
    <w:name w:val="annotation subject"/>
    <w:basedOn w:val="16"/>
    <w:next w:val="16"/>
    <w:link w:val="124"/>
    <w:qFormat/>
    <w:uiPriority w:val="0"/>
    <w:rPr>
      <w:rFonts w:ascii="宋体"/>
      <w:b/>
      <w:bCs/>
      <w:sz w:val="28"/>
    </w:rPr>
  </w:style>
  <w:style w:type="paragraph" w:styleId="44">
    <w:name w:val="Body Text First Indent"/>
    <w:basedOn w:val="18"/>
    <w:link w:val="438"/>
    <w:unhideWhenUsed/>
    <w:qFormat/>
    <w:uiPriority w:val="0"/>
    <w:pPr>
      <w:widowControl w:val="0"/>
      <w:spacing w:after="120"/>
      <w:ind w:firstLine="420" w:firstLineChars="100"/>
      <w:jc w:val="both"/>
    </w:pPr>
    <w:rPr>
      <w:rFonts w:ascii="宋体"/>
      <w:kern w:val="2"/>
      <w:sz w:val="18"/>
      <w:szCs w:val="18"/>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qFormat/>
    <w:uiPriority w:val="0"/>
    <w:rPr>
      <w:b/>
      <w:bCs/>
    </w:rPr>
  </w:style>
  <w:style w:type="character" w:styleId="49">
    <w:name w:val="page number"/>
    <w:basedOn w:val="47"/>
    <w:qFormat/>
    <w:uiPriority w:val="0"/>
  </w:style>
  <w:style w:type="character" w:styleId="50">
    <w:name w:val="FollowedHyperlink"/>
    <w:basedOn w:val="47"/>
    <w:qFormat/>
    <w:uiPriority w:val="99"/>
    <w:rPr>
      <w:color w:val="296FBE"/>
      <w:u w:val="none"/>
    </w:rPr>
  </w:style>
  <w:style w:type="character" w:styleId="51">
    <w:name w:val="Emphasis"/>
    <w:qFormat/>
    <w:uiPriority w:val="0"/>
    <w:rPr>
      <w:i/>
      <w:iCs/>
    </w:rPr>
  </w:style>
  <w:style w:type="character" w:styleId="52">
    <w:name w:val="HTML Definition"/>
    <w:basedOn w:val="47"/>
    <w:qFormat/>
    <w:uiPriority w:val="0"/>
  </w:style>
  <w:style w:type="character" w:styleId="53">
    <w:name w:val="HTML Variable"/>
    <w:basedOn w:val="47"/>
    <w:qFormat/>
    <w:uiPriority w:val="0"/>
  </w:style>
  <w:style w:type="character" w:styleId="54">
    <w:name w:val="Hyperlink"/>
    <w:basedOn w:val="47"/>
    <w:qFormat/>
    <w:uiPriority w:val="99"/>
    <w:rPr>
      <w:color w:val="296FBE"/>
      <w:u w:val="none"/>
    </w:rPr>
  </w:style>
  <w:style w:type="character" w:styleId="55">
    <w:name w:val="HTML Code"/>
    <w:basedOn w:val="47"/>
    <w:qFormat/>
    <w:uiPriority w:val="0"/>
    <w:rPr>
      <w:rFonts w:ascii="微软雅黑" w:hAnsi="微软雅黑" w:eastAsia="微软雅黑" w:cs="微软雅黑"/>
      <w:sz w:val="20"/>
    </w:rPr>
  </w:style>
  <w:style w:type="character" w:styleId="56">
    <w:name w:val="annotation reference"/>
    <w:qFormat/>
    <w:uiPriority w:val="0"/>
    <w:rPr>
      <w:sz w:val="21"/>
      <w:szCs w:val="21"/>
    </w:rPr>
  </w:style>
  <w:style w:type="character" w:styleId="57">
    <w:name w:val="HTML Cite"/>
    <w:basedOn w:val="47"/>
    <w:qFormat/>
    <w:uiPriority w:val="0"/>
  </w:style>
  <w:style w:type="paragraph" w:customStyle="1" w:styleId="58">
    <w:name w:val="BodyText"/>
    <w:basedOn w:val="1"/>
    <w:next w:val="1"/>
    <w:qFormat/>
    <w:uiPriority w:val="0"/>
    <w:pPr>
      <w:widowControl/>
      <w:spacing w:after="120"/>
      <w:jc w:val="left"/>
      <w:textAlignment w:val="baseline"/>
    </w:pPr>
    <w:rPr>
      <w:rFonts w:ascii="宋体" w:hAnsi="宋体"/>
      <w:kern w:val="0"/>
      <w:sz w:val="24"/>
    </w:rPr>
  </w:style>
  <w:style w:type="paragraph" w:customStyle="1" w:styleId="5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60">
    <w:name w:val="标题 Char"/>
    <w:link w:val="42"/>
    <w:qFormat/>
    <w:uiPriority w:val="10"/>
    <w:rPr>
      <w:rFonts w:ascii="Cambria" w:hAnsi="Cambria"/>
      <w:b/>
      <w:bCs/>
      <w:kern w:val="2"/>
      <w:sz w:val="32"/>
      <w:szCs w:val="32"/>
      <w:lang w:bidi="ar-SA"/>
    </w:rPr>
  </w:style>
  <w:style w:type="character" w:customStyle="1" w:styleId="61">
    <w:name w:val="正文文本 Char"/>
    <w:link w:val="18"/>
    <w:qFormat/>
    <w:uiPriority w:val="99"/>
    <w:rPr>
      <w:rFonts w:eastAsia="宋体"/>
      <w:sz w:val="24"/>
      <w:lang w:val="en-US" w:eastAsia="zh-CN" w:bidi="ar-SA"/>
    </w:rPr>
  </w:style>
  <w:style w:type="character" w:customStyle="1" w:styleId="62">
    <w:name w:val="纯文本 Char"/>
    <w:link w:val="24"/>
    <w:qFormat/>
    <w:uiPriority w:val="99"/>
    <w:rPr>
      <w:rFonts w:ascii="宋体" w:hAnsi="Courier New" w:eastAsia="宋体" w:cs="Courier New"/>
      <w:kern w:val="2"/>
      <w:sz w:val="21"/>
      <w:szCs w:val="21"/>
      <w:lang w:val="en-US" w:eastAsia="zh-CN" w:bidi="ar-SA"/>
    </w:rPr>
  </w:style>
  <w:style w:type="character" w:customStyle="1" w:styleId="63">
    <w:name w:val="标题 7 Char"/>
    <w:link w:val="8"/>
    <w:qFormat/>
    <w:uiPriority w:val="0"/>
    <w:rPr>
      <w:rFonts w:ascii="Calibri" w:hAnsi="Calibri" w:eastAsia="宋体"/>
      <w:b/>
      <w:bCs/>
      <w:kern w:val="2"/>
      <w:sz w:val="24"/>
      <w:szCs w:val="24"/>
      <w:lang w:val="en-US" w:eastAsia="zh-CN" w:bidi="ar-SA"/>
    </w:rPr>
  </w:style>
  <w:style w:type="character" w:customStyle="1" w:styleId="64">
    <w:name w:val="标题 4 Char"/>
    <w:link w:val="5"/>
    <w:qFormat/>
    <w:uiPriority w:val="99"/>
    <w:rPr>
      <w:rFonts w:ascii="Arial" w:hAnsi="Arial" w:eastAsia="黑体"/>
      <w:b/>
      <w:bCs/>
      <w:kern w:val="2"/>
      <w:sz w:val="28"/>
      <w:szCs w:val="28"/>
      <w:lang w:val="en-US" w:eastAsia="zh-CN" w:bidi="ar-SA"/>
    </w:rPr>
  </w:style>
  <w:style w:type="character" w:customStyle="1" w:styleId="65">
    <w:name w:val="标题 6 Char"/>
    <w:link w:val="7"/>
    <w:qFormat/>
    <w:uiPriority w:val="0"/>
    <w:rPr>
      <w:rFonts w:ascii="Cambria" w:hAnsi="Cambria" w:eastAsia="宋体"/>
      <w:b/>
      <w:bCs/>
      <w:kern w:val="2"/>
      <w:sz w:val="24"/>
      <w:szCs w:val="24"/>
      <w:lang w:val="en-US" w:eastAsia="zh-CN" w:bidi="ar-SA"/>
    </w:rPr>
  </w:style>
  <w:style w:type="character" w:customStyle="1" w:styleId="66">
    <w:name w:val="批注文字 Char"/>
    <w:link w:val="16"/>
    <w:qFormat/>
    <w:uiPriority w:val="0"/>
    <w:rPr>
      <w:kern w:val="2"/>
      <w:sz w:val="21"/>
      <w:szCs w:val="22"/>
      <w:lang w:bidi="ar-SA"/>
    </w:rPr>
  </w:style>
  <w:style w:type="character" w:customStyle="1" w:styleId="67">
    <w:name w:val="Char Char1"/>
    <w:qFormat/>
    <w:uiPriority w:val="0"/>
    <w:rPr>
      <w:rFonts w:ascii="宋体" w:hAnsi="Courier New" w:eastAsia="宋体" w:cs="Courier New"/>
      <w:kern w:val="2"/>
      <w:sz w:val="21"/>
      <w:szCs w:val="21"/>
      <w:lang w:val="en-US" w:eastAsia="zh-CN" w:bidi="ar-SA"/>
    </w:rPr>
  </w:style>
  <w:style w:type="character" w:customStyle="1" w:styleId="68">
    <w:name w:val="引用 Char"/>
    <w:link w:val="69"/>
    <w:qFormat/>
    <w:uiPriority w:val="0"/>
    <w:rPr>
      <w:i/>
      <w:iCs/>
      <w:color w:val="000000"/>
      <w:kern w:val="2"/>
      <w:sz w:val="21"/>
      <w:szCs w:val="22"/>
      <w:lang w:bidi="ar-SA"/>
    </w:rPr>
  </w:style>
  <w:style w:type="paragraph" w:styleId="69">
    <w:name w:val="Quote"/>
    <w:basedOn w:val="1"/>
    <w:next w:val="1"/>
    <w:link w:val="68"/>
    <w:qFormat/>
    <w:uiPriority w:val="0"/>
    <w:rPr>
      <w:i/>
      <w:iCs/>
      <w:color w:val="000000"/>
      <w:szCs w:val="22"/>
    </w:rPr>
  </w:style>
  <w:style w:type="character" w:customStyle="1" w:styleId="70">
    <w:name w:val="标题 5 Char"/>
    <w:link w:val="6"/>
    <w:qFormat/>
    <w:uiPriority w:val="0"/>
    <w:rPr>
      <w:rFonts w:eastAsia="宋体"/>
      <w:b/>
      <w:bCs/>
      <w:kern w:val="2"/>
      <w:sz w:val="28"/>
      <w:szCs w:val="28"/>
      <w:lang w:val="en-US" w:eastAsia="zh-CN" w:bidi="ar-SA"/>
    </w:rPr>
  </w:style>
  <w:style w:type="character" w:customStyle="1" w:styleId="71">
    <w:name w:val="标题 8 Char"/>
    <w:link w:val="9"/>
    <w:qFormat/>
    <w:uiPriority w:val="0"/>
    <w:rPr>
      <w:rFonts w:ascii="Cambria" w:hAnsi="Cambria" w:eastAsia="宋体"/>
      <w:kern w:val="2"/>
      <w:sz w:val="24"/>
      <w:szCs w:val="24"/>
      <w:lang w:val="en-US" w:eastAsia="zh-CN" w:bidi="ar-SA"/>
    </w:rPr>
  </w:style>
  <w:style w:type="character" w:customStyle="1" w:styleId="72">
    <w:name w:val="副标题 Char"/>
    <w:link w:val="33"/>
    <w:qFormat/>
    <w:uiPriority w:val="0"/>
    <w:rPr>
      <w:rFonts w:ascii="Cambria" w:hAnsi="Cambria"/>
      <w:b/>
      <w:bCs/>
      <w:kern w:val="28"/>
      <w:sz w:val="32"/>
      <w:szCs w:val="32"/>
      <w:lang w:bidi="ar-SA"/>
    </w:rPr>
  </w:style>
  <w:style w:type="character" w:customStyle="1" w:styleId="73">
    <w:name w:val="明显引用 Char"/>
    <w:link w:val="74"/>
    <w:qFormat/>
    <w:uiPriority w:val="0"/>
    <w:rPr>
      <w:b/>
      <w:bCs/>
      <w:i/>
      <w:iCs/>
      <w:color w:val="4F81BD"/>
      <w:kern w:val="2"/>
      <w:sz w:val="21"/>
      <w:szCs w:val="22"/>
      <w:lang w:bidi="ar-SA"/>
    </w:rPr>
  </w:style>
  <w:style w:type="paragraph" w:styleId="74">
    <w:name w:val="Intense Quote"/>
    <w:basedOn w:val="1"/>
    <w:next w:val="1"/>
    <w:link w:val="73"/>
    <w:qFormat/>
    <w:uiPriority w:val="0"/>
    <w:pPr>
      <w:pBdr>
        <w:bottom w:val="single" w:color="4F81BD" w:sz="4" w:space="4"/>
      </w:pBdr>
      <w:spacing w:before="200" w:after="280"/>
      <w:ind w:left="936" w:right="936"/>
    </w:pPr>
    <w:rPr>
      <w:b/>
      <w:bCs/>
      <w:i/>
      <w:iCs/>
      <w:color w:val="4F81BD"/>
      <w:szCs w:val="22"/>
    </w:rPr>
  </w:style>
  <w:style w:type="character" w:customStyle="1" w:styleId="75">
    <w:name w:val="标题5 Char Char"/>
    <w:link w:val="76"/>
    <w:qFormat/>
    <w:uiPriority w:val="0"/>
    <w:rPr>
      <w:rFonts w:ascii="Arial" w:hAnsi="Arial"/>
      <w:b/>
      <w:bCs/>
      <w:sz w:val="24"/>
      <w:szCs w:val="32"/>
      <w:lang w:bidi="ar-SA"/>
    </w:rPr>
  </w:style>
  <w:style w:type="paragraph" w:customStyle="1" w:styleId="76">
    <w:name w:val="标题5"/>
    <w:basedOn w:val="2"/>
    <w:link w:val="75"/>
    <w:qFormat/>
    <w:uiPriority w:val="0"/>
    <w:pPr>
      <w:spacing w:line="413" w:lineRule="auto"/>
    </w:pPr>
    <w:rPr>
      <w:rFonts w:ascii="Arial" w:hAnsi="Arial"/>
      <w:kern w:val="0"/>
      <w:sz w:val="24"/>
    </w:rPr>
  </w:style>
  <w:style w:type="character" w:customStyle="1" w:styleId="77">
    <w:name w:val="标题 9 Char"/>
    <w:link w:val="10"/>
    <w:qFormat/>
    <w:uiPriority w:val="0"/>
    <w:rPr>
      <w:rFonts w:ascii="Cambria" w:hAnsi="Cambria" w:eastAsia="宋体"/>
      <w:kern w:val="2"/>
      <w:sz w:val="21"/>
      <w:szCs w:val="21"/>
      <w:lang w:val="en-US" w:eastAsia="zh-CN" w:bidi="ar-SA"/>
    </w:rPr>
  </w:style>
  <w:style w:type="character" w:customStyle="1" w:styleId="78">
    <w:name w:val="标题4 Char Char"/>
    <w:link w:val="79"/>
    <w:qFormat/>
    <w:uiPriority w:val="0"/>
    <w:rPr>
      <w:rFonts w:ascii="Arial" w:hAnsi="Arial"/>
      <w:b/>
      <w:bCs/>
      <w:sz w:val="24"/>
      <w:szCs w:val="32"/>
      <w:lang w:bidi="ar-SA"/>
    </w:rPr>
  </w:style>
  <w:style w:type="paragraph" w:customStyle="1" w:styleId="79">
    <w:name w:val="标题4"/>
    <w:basedOn w:val="4"/>
    <w:next w:val="21"/>
    <w:link w:val="78"/>
    <w:qFormat/>
    <w:uiPriority w:val="0"/>
    <w:pPr>
      <w:keepNext/>
      <w:keepLines/>
      <w:tabs>
        <w:tab w:val="clear" w:pos="576"/>
      </w:tabs>
      <w:spacing w:line="413" w:lineRule="auto"/>
      <w:ind w:left="0" w:firstLine="0"/>
      <w:jc w:val="both"/>
    </w:pPr>
    <w:rPr>
      <w:rFonts w:ascii="Arial" w:eastAsia="宋体" w:cs="Times New Roman"/>
      <w:sz w:val="24"/>
    </w:rPr>
  </w:style>
  <w:style w:type="character" w:customStyle="1" w:styleId="80">
    <w:name w:val="apple-converted-space"/>
    <w:basedOn w:val="47"/>
    <w:qFormat/>
    <w:uiPriority w:val="0"/>
  </w:style>
  <w:style w:type="character" w:customStyle="1" w:styleId="81">
    <w:name w:val="文档结构图 Char"/>
    <w:link w:val="14"/>
    <w:qFormat/>
    <w:uiPriority w:val="99"/>
    <w:rPr>
      <w:szCs w:val="24"/>
      <w:shd w:val="clear" w:color="auto" w:fill="000080"/>
      <w:lang w:bidi="ar-SA"/>
    </w:rPr>
  </w:style>
  <w:style w:type="character" w:customStyle="1" w:styleId="82">
    <w:name w:val="标题 1 Char"/>
    <w:link w:val="3"/>
    <w:qFormat/>
    <w:uiPriority w:val="99"/>
    <w:rPr>
      <w:rFonts w:eastAsia="宋体"/>
      <w:b/>
      <w:bCs/>
      <w:kern w:val="44"/>
      <w:sz w:val="44"/>
      <w:szCs w:val="44"/>
      <w:lang w:val="en-US" w:eastAsia="zh-CN" w:bidi="ar-SA"/>
    </w:rPr>
  </w:style>
  <w:style w:type="character" w:customStyle="1" w:styleId="83">
    <w:name w:val="标题 2 Char"/>
    <w:link w:val="4"/>
    <w:qFormat/>
    <w:uiPriority w:val="9"/>
    <w:rPr>
      <w:rFonts w:ascii="华文细黑" w:hAnsi="Arial" w:eastAsia="华文细黑" w:cs="Arial Unicode MS"/>
      <w:b/>
      <w:bCs/>
      <w:sz w:val="44"/>
      <w:szCs w:val="32"/>
      <w:lang w:val="en-US" w:eastAsia="zh-CN" w:bidi="ar-SA"/>
    </w:rPr>
  </w:style>
  <w:style w:type="character" w:customStyle="1" w:styleId="84">
    <w:name w:val="browse_class"/>
    <w:basedOn w:val="47"/>
    <w:qFormat/>
    <w:uiPriority w:val="0"/>
  </w:style>
  <w:style w:type="character" w:customStyle="1" w:styleId="85">
    <w:name w:val="标题 3 Char"/>
    <w:link w:val="2"/>
    <w:qFormat/>
    <w:uiPriority w:val="99"/>
    <w:rPr>
      <w:rFonts w:eastAsia="宋体"/>
      <w:b/>
      <w:bCs/>
      <w:kern w:val="2"/>
      <w:sz w:val="32"/>
      <w:szCs w:val="32"/>
      <w:lang w:val="en-US" w:eastAsia="zh-CN" w:bidi="ar-SA"/>
    </w:rPr>
  </w:style>
  <w:style w:type="character" w:customStyle="1" w:styleId="86">
    <w:name w:val="页眉 Char"/>
    <w:link w:val="30"/>
    <w:qFormat/>
    <w:uiPriority w:val="99"/>
    <w:rPr>
      <w:rFonts w:eastAsia="宋体"/>
      <w:kern w:val="2"/>
      <w:sz w:val="18"/>
      <w:szCs w:val="18"/>
      <w:lang w:val="en-US" w:eastAsia="zh-CN" w:bidi="ar-SA"/>
    </w:rPr>
  </w:style>
  <w:style w:type="character" w:customStyle="1" w:styleId="87">
    <w:name w:val="页脚 Char"/>
    <w:link w:val="29"/>
    <w:qFormat/>
    <w:locked/>
    <w:uiPriority w:val="0"/>
    <w:rPr>
      <w:rFonts w:eastAsia="宋体"/>
      <w:kern w:val="2"/>
      <w:sz w:val="18"/>
      <w:szCs w:val="18"/>
      <w:lang w:val="en-US" w:eastAsia="zh-CN" w:bidi="ar-SA"/>
    </w:rPr>
  </w:style>
  <w:style w:type="paragraph" w:customStyle="1" w:styleId="88">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Char Char Char Char Char Char Char Char Char Char"/>
    <w:basedOn w:val="1"/>
    <w:qFormat/>
    <w:uiPriority w:val="0"/>
    <w:pPr>
      <w:adjustRightInd w:val="0"/>
      <w:spacing w:line="312" w:lineRule="atLeast"/>
      <w:textAlignment w:val="baseline"/>
    </w:pPr>
    <w:rPr>
      <w:b/>
      <w:bCs/>
      <w:kern w:val="0"/>
      <w:sz w:val="36"/>
      <w:szCs w:val="32"/>
    </w:rPr>
  </w:style>
  <w:style w:type="paragraph" w:customStyle="1" w:styleId="90">
    <w:name w:val="Char2"/>
    <w:basedOn w:val="1"/>
    <w:qFormat/>
    <w:uiPriority w:val="0"/>
    <w:rPr>
      <w:rFonts w:ascii="Tahoma" w:hAnsi="Tahoma"/>
      <w:sz w:val="24"/>
      <w:szCs w:val="20"/>
    </w:rPr>
  </w:style>
  <w:style w:type="paragraph" w:customStyle="1" w:styleId="91">
    <w:name w:val="Char1"/>
    <w:basedOn w:val="1"/>
    <w:qFormat/>
    <w:uiPriority w:val="0"/>
    <w:pPr>
      <w:spacing w:after="160" w:line="240" w:lineRule="exact"/>
    </w:pPr>
  </w:style>
  <w:style w:type="paragraph" w:customStyle="1" w:styleId="92">
    <w:name w:val="Char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3">
    <w:name w:val="Char Char2"/>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94">
    <w:name w:val="Char Char Char"/>
    <w:basedOn w:val="1"/>
    <w:qFormat/>
    <w:uiPriority w:val="0"/>
    <w:pPr>
      <w:widowControl/>
      <w:spacing w:after="160" w:line="240" w:lineRule="exact"/>
      <w:jc w:val="left"/>
    </w:pPr>
  </w:style>
  <w:style w:type="paragraph" w:customStyle="1" w:styleId="95">
    <w:name w:val="Char Char Char Char"/>
    <w:basedOn w:val="1"/>
    <w:qFormat/>
    <w:uiPriority w:val="0"/>
    <w:pPr>
      <w:adjustRightInd w:val="0"/>
      <w:spacing w:line="440" w:lineRule="exact"/>
    </w:pPr>
    <w:rPr>
      <w:rFonts w:ascii="宋体"/>
      <w:kern w:val="0"/>
      <w:sz w:val="28"/>
      <w:szCs w:val="27"/>
    </w:rPr>
  </w:style>
  <w:style w:type="paragraph" w:customStyle="1" w:styleId="96">
    <w:name w:val="Blockquote"/>
    <w:basedOn w:val="1"/>
    <w:link w:val="185"/>
    <w:qFormat/>
    <w:uiPriority w:val="0"/>
    <w:pPr>
      <w:autoSpaceDE w:val="0"/>
      <w:autoSpaceDN w:val="0"/>
      <w:adjustRightInd w:val="0"/>
      <w:spacing w:before="100" w:after="100"/>
      <w:ind w:left="360" w:right="360"/>
      <w:jc w:val="left"/>
    </w:pPr>
    <w:rPr>
      <w:kern w:val="0"/>
      <w:sz w:val="24"/>
      <w:szCs w:val="20"/>
    </w:rPr>
  </w:style>
  <w:style w:type="paragraph" w:customStyle="1" w:styleId="97">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Char Char Char Char Char1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9">
    <w:name w:val="样式2"/>
    <w:basedOn w:val="1"/>
    <w:link w:val="190"/>
    <w:qFormat/>
    <w:uiPriority w:val="0"/>
    <w:pPr>
      <w:pBdr>
        <w:top w:val="thinThickSmallGap" w:color="auto" w:sz="24" w:space="1"/>
      </w:pBdr>
      <w:tabs>
        <w:tab w:val="center" w:pos="4153"/>
        <w:tab w:val="right" w:pos="8306"/>
      </w:tabs>
      <w:snapToGrid w:val="0"/>
      <w:jc w:val="center"/>
    </w:pPr>
    <w:rPr>
      <w:rFonts w:ascii="宋体" w:hAnsi="宋体"/>
      <w:b/>
      <w:szCs w:val="21"/>
    </w:rPr>
  </w:style>
  <w:style w:type="paragraph" w:customStyle="1" w:styleId="100">
    <w:name w:val="样式1"/>
    <w:basedOn w:val="1"/>
    <w:link w:val="193"/>
    <w:qFormat/>
    <w:uiPriority w:val="0"/>
    <w:pPr>
      <w:pBdr>
        <w:bottom w:val="single" w:color="auto" w:sz="6" w:space="1"/>
      </w:pBdr>
      <w:tabs>
        <w:tab w:val="center" w:pos="4153"/>
        <w:tab w:val="right" w:pos="8306"/>
      </w:tabs>
      <w:snapToGrid w:val="0"/>
      <w:jc w:val="left"/>
    </w:pPr>
    <w:rPr>
      <w:rFonts w:ascii="宋体" w:hAnsi="宋体"/>
      <w:sz w:val="18"/>
      <w:szCs w:val="21"/>
    </w:rPr>
  </w:style>
  <w:style w:type="paragraph" w:customStyle="1" w:styleId="101">
    <w:name w:val="Char Char1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2">
    <w:name w:val="默认段落字体 Para Char Char Char Char Char Char Char Char Char1 Char Char Char Char"/>
    <w:basedOn w:val="1"/>
    <w:qFormat/>
    <w:uiPriority w:val="0"/>
    <w:pPr>
      <w:adjustRightInd w:val="0"/>
      <w:spacing w:line="312" w:lineRule="atLeast"/>
      <w:textAlignment w:val="baseline"/>
    </w:pPr>
  </w:style>
  <w:style w:type="character" w:customStyle="1" w:styleId="103">
    <w:name w:val="browse_class&gt;span"/>
    <w:basedOn w:val="47"/>
    <w:qFormat/>
    <w:uiPriority w:val="0"/>
    <w:rPr>
      <w:shd w:val="clear" w:color="auto" w:fill="F8F8F8"/>
    </w:rPr>
  </w:style>
  <w:style w:type="character" w:customStyle="1" w:styleId="104">
    <w:name w:val="drapbtn"/>
    <w:basedOn w:val="47"/>
    <w:qFormat/>
    <w:uiPriority w:val="0"/>
  </w:style>
  <w:style w:type="character" w:customStyle="1" w:styleId="105">
    <w:name w:val="browse_class&gt;label"/>
    <w:basedOn w:val="47"/>
    <w:qFormat/>
    <w:uiPriority w:val="0"/>
    <w:rPr>
      <w:shd w:val="clear" w:color="auto" w:fill="F8F8F8"/>
    </w:rPr>
  </w:style>
  <w:style w:type="character" w:customStyle="1" w:styleId="106">
    <w:name w:val="biggerthanmax"/>
    <w:basedOn w:val="47"/>
    <w:qFormat/>
    <w:uiPriority w:val="0"/>
    <w:rPr>
      <w:shd w:val="clear" w:color="auto" w:fill="FFFF00"/>
    </w:rPr>
  </w:style>
  <w:style w:type="character" w:customStyle="1" w:styleId="107">
    <w:name w:val="hilite6"/>
    <w:basedOn w:val="47"/>
    <w:qFormat/>
    <w:uiPriority w:val="0"/>
    <w:rPr>
      <w:color w:val="FFFFFF"/>
      <w:shd w:val="clear" w:color="auto" w:fill="666677"/>
    </w:rPr>
  </w:style>
  <w:style w:type="character" w:customStyle="1" w:styleId="108">
    <w:name w:val="cdropleft"/>
    <w:basedOn w:val="47"/>
    <w:qFormat/>
    <w:uiPriority w:val="0"/>
  </w:style>
  <w:style w:type="character" w:customStyle="1" w:styleId="109">
    <w:name w:val="browse_class&gt;input"/>
    <w:basedOn w:val="47"/>
    <w:qFormat/>
    <w:uiPriority w:val="0"/>
    <w:rPr>
      <w:shd w:val="clear" w:color="auto" w:fill="F8F8F8"/>
    </w:rPr>
  </w:style>
  <w:style w:type="character" w:customStyle="1" w:styleId="110">
    <w:name w:val="token-input-delete-token"/>
    <w:basedOn w:val="47"/>
    <w:qFormat/>
    <w:uiPriority w:val="0"/>
    <w:rPr>
      <w:color w:val="FFFFFF"/>
    </w:rPr>
  </w:style>
  <w:style w:type="character" w:customStyle="1" w:styleId="111">
    <w:name w:val="ico1654"/>
    <w:basedOn w:val="47"/>
    <w:qFormat/>
    <w:uiPriority w:val="0"/>
  </w:style>
  <w:style w:type="character" w:customStyle="1" w:styleId="112">
    <w:name w:val="w32"/>
    <w:basedOn w:val="47"/>
    <w:qFormat/>
    <w:uiPriority w:val="0"/>
  </w:style>
  <w:style w:type="character" w:customStyle="1" w:styleId="113">
    <w:name w:val="design_class"/>
    <w:basedOn w:val="47"/>
    <w:qFormat/>
    <w:uiPriority w:val="0"/>
  </w:style>
  <w:style w:type="character" w:customStyle="1" w:styleId="114">
    <w:name w:val="button"/>
    <w:basedOn w:val="47"/>
    <w:qFormat/>
    <w:uiPriority w:val="0"/>
  </w:style>
  <w:style w:type="character" w:customStyle="1" w:styleId="115">
    <w:name w:val="tmpztreemove_arrow"/>
    <w:basedOn w:val="47"/>
    <w:qFormat/>
    <w:uiPriority w:val="0"/>
  </w:style>
  <w:style w:type="character" w:customStyle="1" w:styleId="116">
    <w:name w:val="cdropright"/>
    <w:basedOn w:val="47"/>
    <w:qFormat/>
    <w:uiPriority w:val="0"/>
  </w:style>
  <w:style w:type="character" w:customStyle="1" w:styleId="117">
    <w:name w:val="active12"/>
    <w:basedOn w:val="47"/>
    <w:qFormat/>
    <w:uiPriority w:val="0"/>
    <w:rPr>
      <w:color w:val="00FF00"/>
      <w:shd w:val="clear" w:color="auto" w:fill="111111"/>
    </w:rPr>
  </w:style>
  <w:style w:type="character" w:customStyle="1" w:styleId="118">
    <w:name w:val="cy"/>
    <w:basedOn w:val="47"/>
    <w:qFormat/>
    <w:uiPriority w:val="0"/>
  </w:style>
  <w:style w:type="character" w:customStyle="1" w:styleId="119">
    <w:name w:val="pagechatarealistclose_box"/>
    <w:basedOn w:val="47"/>
    <w:qFormat/>
    <w:uiPriority w:val="0"/>
  </w:style>
  <w:style w:type="character" w:customStyle="1" w:styleId="120">
    <w:name w:val="pagechatarealistclose_box1"/>
    <w:basedOn w:val="47"/>
    <w:qFormat/>
    <w:uiPriority w:val="0"/>
  </w:style>
  <w:style w:type="character" w:customStyle="1" w:styleId="121">
    <w:name w:val="xdrichtextbox2"/>
    <w:basedOn w:val="47"/>
    <w:qFormat/>
    <w:uiPriority w:val="0"/>
  </w:style>
  <w:style w:type="character" w:customStyle="1" w:styleId="122">
    <w:name w:val="edit_class"/>
    <w:basedOn w:val="47"/>
    <w:qFormat/>
    <w:uiPriority w:val="0"/>
  </w:style>
  <w:style w:type="character" w:customStyle="1" w:styleId="123">
    <w:name w:val="ico1655"/>
    <w:basedOn w:val="47"/>
    <w:qFormat/>
    <w:uiPriority w:val="0"/>
  </w:style>
  <w:style w:type="character" w:customStyle="1" w:styleId="124">
    <w:name w:val="批注主题 Char"/>
    <w:basedOn w:val="66"/>
    <w:link w:val="43"/>
    <w:qFormat/>
    <w:uiPriority w:val="99"/>
    <w:rPr>
      <w:rFonts w:ascii="宋体"/>
      <w:b/>
      <w:bCs/>
      <w:kern w:val="2"/>
      <w:sz w:val="28"/>
      <w:szCs w:val="22"/>
      <w:lang w:bidi="ar-SA"/>
    </w:rPr>
  </w:style>
  <w:style w:type="character" w:customStyle="1" w:styleId="125">
    <w:name w:val="正文文本 3 Char"/>
    <w:basedOn w:val="47"/>
    <w:link w:val="17"/>
    <w:qFormat/>
    <w:uiPriority w:val="99"/>
    <w:rPr>
      <w:rFonts w:ascii="宋体" w:hAnsi="宋体"/>
      <w:kern w:val="2"/>
      <w:sz w:val="24"/>
    </w:rPr>
  </w:style>
  <w:style w:type="character" w:customStyle="1" w:styleId="126">
    <w:name w:val="正文文本缩进 Char"/>
    <w:basedOn w:val="47"/>
    <w:link w:val="19"/>
    <w:qFormat/>
    <w:uiPriority w:val="99"/>
    <w:rPr>
      <w:kern w:val="2"/>
      <w:sz w:val="21"/>
      <w:szCs w:val="24"/>
    </w:rPr>
  </w:style>
  <w:style w:type="character" w:customStyle="1" w:styleId="127">
    <w:name w:val="日期 Char"/>
    <w:basedOn w:val="47"/>
    <w:link w:val="26"/>
    <w:qFormat/>
    <w:uiPriority w:val="99"/>
    <w:rPr>
      <w:kern w:val="2"/>
      <w:sz w:val="21"/>
      <w:szCs w:val="24"/>
    </w:rPr>
  </w:style>
  <w:style w:type="character" w:customStyle="1" w:styleId="128">
    <w:name w:val="正文文本缩进 2 Char"/>
    <w:basedOn w:val="47"/>
    <w:qFormat/>
    <w:uiPriority w:val="99"/>
    <w:rPr>
      <w:rFonts w:ascii="宋体" w:hAnsi="宋体" w:eastAsia="宋体" w:cs="Times New Roman"/>
      <w:sz w:val="24"/>
      <w:szCs w:val="24"/>
    </w:rPr>
  </w:style>
  <w:style w:type="character" w:customStyle="1" w:styleId="129">
    <w:name w:val="批注框文本 Char"/>
    <w:basedOn w:val="47"/>
    <w:link w:val="28"/>
    <w:qFormat/>
    <w:uiPriority w:val="99"/>
    <w:rPr>
      <w:kern w:val="2"/>
      <w:sz w:val="18"/>
      <w:szCs w:val="18"/>
    </w:rPr>
  </w:style>
  <w:style w:type="character" w:customStyle="1" w:styleId="130">
    <w:name w:val="正文文本缩进 3 Char"/>
    <w:basedOn w:val="47"/>
    <w:qFormat/>
    <w:uiPriority w:val="99"/>
    <w:rPr>
      <w:kern w:val="2"/>
      <w:sz w:val="16"/>
      <w:szCs w:val="16"/>
    </w:rPr>
  </w:style>
  <w:style w:type="character" w:customStyle="1" w:styleId="131">
    <w:name w:val="正文文本 2 Char"/>
    <w:basedOn w:val="47"/>
    <w:qFormat/>
    <w:uiPriority w:val="0"/>
    <w:rPr>
      <w:kern w:val="2"/>
      <w:sz w:val="21"/>
      <w:szCs w:val="24"/>
    </w:rPr>
  </w:style>
  <w:style w:type="character" w:customStyle="1" w:styleId="132">
    <w:name w:val="HTML 预设格式 Char"/>
    <w:basedOn w:val="47"/>
    <w:link w:val="39"/>
    <w:qFormat/>
    <w:uiPriority w:val="0"/>
    <w:rPr>
      <w:rFonts w:ascii="Arial" w:hAnsi="Arial" w:cs="Arial"/>
      <w:sz w:val="24"/>
      <w:szCs w:val="24"/>
    </w:rPr>
  </w:style>
  <w:style w:type="paragraph" w:customStyle="1" w:styleId="133">
    <w:name w:val="目录"/>
    <w:basedOn w:val="1"/>
    <w:qFormat/>
    <w:uiPriority w:val="99"/>
    <w:pPr>
      <w:widowControl/>
      <w:spacing w:line="480" w:lineRule="exact"/>
      <w:jc w:val="center"/>
    </w:pPr>
    <w:rPr>
      <w:rFonts w:ascii="宋体" w:hAnsi="宋体"/>
      <w:b/>
      <w:kern w:val="0"/>
      <w:sz w:val="36"/>
      <w:szCs w:val="20"/>
    </w:rPr>
  </w:style>
  <w:style w:type="paragraph" w:customStyle="1" w:styleId="134">
    <w:name w:val="p0"/>
    <w:basedOn w:val="1"/>
    <w:qFormat/>
    <w:uiPriority w:val="99"/>
    <w:pPr>
      <w:widowControl/>
      <w:spacing w:line="480" w:lineRule="exact"/>
    </w:pPr>
    <w:rPr>
      <w:rFonts w:ascii="宋体" w:hAnsi="宋体"/>
      <w:kern w:val="0"/>
      <w:sz w:val="24"/>
      <w:szCs w:val="21"/>
    </w:rPr>
  </w:style>
  <w:style w:type="paragraph" w:customStyle="1" w:styleId="135">
    <w:name w:val="样式 标题 2 + Times New Roman 四号 非加粗 段前: 5 磅 段后: 0 磅 行距: 固定值 20..."/>
    <w:basedOn w:val="4"/>
    <w:qFormat/>
    <w:uiPriority w:val="0"/>
    <w:pPr>
      <w:keepNext/>
      <w:keepLines/>
      <w:tabs>
        <w:tab w:val="clear" w:pos="576"/>
      </w:tabs>
      <w:spacing w:before="100" w:after="0" w:line="400" w:lineRule="exact"/>
      <w:ind w:left="0" w:firstLine="0"/>
      <w:jc w:val="both"/>
    </w:pPr>
    <w:rPr>
      <w:rFonts w:ascii="Times New Roman" w:hAnsi="Times New Roman" w:eastAsia="宋体" w:cs="宋体"/>
      <w:b w:val="0"/>
      <w:bCs w:val="0"/>
      <w:kern w:val="2"/>
      <w:sz w:val="28"/>
      <w:szCs w:val="20"/>
    </w:rPr>
  </w:style>
  <w:style w:type="paragraph" w:customStyle="1" w:styleId="136">
    <w:name w:val="样式 标题 3 + (中文) 黑体 小四 非加粗 段前: 7.8 磅 段后: 0 磅 行距: 固定值 20 磅"/>
    <w:basedOn w:val="2"/>
    <w:qFormat/>
    <w:uiPriority w:val="0"/>
    <w:pPr>
      <w:adjustRightInd w:val="0"/>
      <w:spacing w:before="0" w:after="0" w:line="400" w:lineRule="exact"/>
      <w:jc w:val="center"/>
    </w:pPr>
    <w:rPr>
      <w:rFonts w:ascii="宋体" w:hAnsi="宋体" w:eastAsia="黑体" w:cs="宋体"/>
      <w:b w:val="0"/>
      <w:bCs w:val="0"/>
      <w:sz w:val="24"/>
      <w:szCs w:val="20"/>
    </w:rPr>
  </w:style>
  <w:style w:type="paragraph" w:customStyle="1" w:styleId="137">
    <w:name w:val="_Style 16"/>
    <w:qFormat/>
    <w:uiPriority w:val="99"/>
    <w:pPr>
      <w:widowControl w:val="0"/>
      <w:jc w:val="center"/>
    </w:pPr>
    <w:rPr>
      <w:rFonts w:ascii="Calibri" w:hAnsi="Calibri" w:eastAsia="宋体" w:cs="Times New Roman"/>
      <w:kern w:val="2"/>
      <w:sz w:val="21"/>
      <w:szCs w:val="24"/>
      <w:lang w:val="en-US" w:eastAsia="zh-CN" w:bidi="ar-SA"/>
    </w:rPr>
  </w:style>
  <w:style w:type="character" w:customStyle="1" w:styleId="138">
    <w:name w:val="纯文本 Char1"/>
    <w:semiHidden/>
    <w:qFormat/>
    <w:uiPriority w:val="99"/>
    <w:rPr>
      <w:rFonts w:ascii="宋体" w:hAnsi="Courier New" w:cs="Courier New"/>
      <w:kern w:val="2"/>
      <w:sz w:val="21"/>
      <w:szCs w:val="21"/>
    </w:rPr>
  </w:style>
  <w:style w:type="character" w:customStyle="1" w:styleId="139">
    <w:name w:val="Char Char3"/>
    <w:qFormat/>
    <w:uiPriority w:val="0"/>
    <w:rPr>
      <w:rFonts w:ascii="宋体" w:hAnsi="Courier New" w:eastAsia="宋体" w:cs="Courier New"/>
      <w:kern w:val="2"/>
      <w:sz w:val="21"/>
      <w:szCs w:val="21"/>
      <w:lang w:val="en-US" w:eastAsia="zh-CN" w:bidi="ar-SA"/>
    </w:rPr>
  </w:style>
  <w:style w:type="paragraph" w:customStyle="1" w:styleId="140">
    <w:name w:val="正文2"/>
    <w:basedOn w:val="1"/>
    <w:qFormat/>
    <w:uiPriority w:val="0"/>
    <w:pPr>
      <w:keepLines/>
      <w:widowControl/>
      <w:snapToGrid w:val="0"/>
      <w:spacing w:beforeLines="70" w:afterLines="70" w:line="360" w:lineRule="exact"/>
      <w:ind w:left="1247"/>
    </w:pPr>
    <w:rPr>
      <w:rFonts w:ascii="Calibri" w:hAnsi="Calibri" w:cs="Arial"/>
      <w:spacing w:val="30"/>
    </w:rPr>
  </w:style>
  <w:style w:type="paragraph" w:customStyle="1" w:styleId="141">
    <w:name w:val="附件"/>
    <w:qFormat/>
    <w:uiPriority w:val="0"/>
    <w:pPr>
      <w:adjustRightInd w:val="0"/>
      <w:snapToGrid w:val="0"/>
      <w:ind w:left="1247"/>
      <w:outlineLvl w:val="2"/>
    </w:pPr>
    <w:rPr>
      <w:rFonts w:ascii="Calibri" w:hAnsi="Calibri" w:eastAsia="宋体" w:cs="Times New Roman"/>
      <w:spacing w:val="30"/>
      <w:sz w:val="24"/>
      <w:szCs w:val="24"/>
      <w:lang w:val="en-US" w:eastAsia="zh-CN" w:bidi="ar-SA"/>
    </w:rPr>
  </w:style>
  <w:style w:type="paragraph" w:customStyle="1" w:styleId="142">
    <w:name w:val="编号1"/>
    <w:qFormat/>
    <w:uiPriority w:val="0"/>
    <w:pPr>
      <w:keepLines/>
      <w:overflowPunct w:val="0"/>
      <w:autoSpaceDE w:val="0"/>
      <w:autoSpaceDN w:val="0"/>
      <w:snapToGrid w:val="0"/>
      <w:spacing w:beforeLines="70" w:afterLines="70" w:line="360" w:lineRule="exact"/>
      <w:jc w:val="both"/>
    </w:pPr>
    <w:rPr>
      <w:rFonts w:ascii="Calibri" w:hAnsi="Calibri" w:eastAsia="宋体" w:cs="Times New Roman"/>
      <w:spacing w:val="30"/>
      <w:sz w:val="24"/>
      <w:szCs w:val="24"/>
      <w:lang w:val="en-GB" w:eastAsia="zh-CN" w:bidi="ar-SA"/>
    </w:rPr>
  </w:style>
  <w:style w:type="paragraph" w:customStyle="1" w:styleId="143">
    <w:name w:val="Char Char Char Char Char Char Char Char"/>
    <w:basedOn w:val="1"/>
    <w:qFormat/>
    <w:uiPriority w:val="0"/>
    <w:pPr>
      <w:adjustRightInd w:val="0"/>
      <w:spacing w:line="440" w:lineRule="exact"/>
    </w:pPr>
    <w:rPr>
      <w:rFonts w:ascii="宋体"/>
      <w:kern w:val="0"/>
      <w:sz w:val="28"/>
      <w:szCs w:val="27"/>
    </w:rPr>
  </w:style>
  <w:style w:type="paragraph" w:customStyle="1" w:styleId="144">
    <w:name w:val="TOC 标题1"/>
    <w:basedOn w:val="3"/>
    <w:next w:val="1"/>
    <w:qFormat/>
    <w:uiPriority w:val="0"/>
    <w:pPr>
      <w:outlineLvl w:val="9"/>
    </w:pPr>
  </w:style>
  <w:style w:type="character" w:customStyle="1" w:styleId="145">
    <w:name w:val="明显引用 Char1"/>
    <w:basedOn w:val="47"/>
    <w:qFormat/>
    <w:uiPriority w:val="0"/>
    <w:rPr>
      <w:rFonts w:ascii="Calibri" w:hAnsi="Calibri" w:eastAsia="宋体" w:cs="Times New Roman"/>
      <w:b/>
      <w:bCs/>
      <w:i/>
      <w:iCs/>
      <w:color w:val="4F81BD"/>
      <w:kern w:val="0"/>
      <w:sz w:val="20"/>
      <w:szCs w:val="20"/>
    </w:rPr>
  </w:style>
  <w:style w:type="character" w:customStyle="1" w:styleId="146">
    <w:name w:val="书籍标题1"/>
    <w:qFormat/>
    <w:uiPriority w:val="0"/>
    <w:rPr>
      <w:b/>
      <w:bCs/>
      <w:smallCaps/>
      <w:spacing w:val="5"/>
    </w:rPr>
  </w:style>
  <w:style w:type="character" w:customStyle="1" w:styleId="147">
    <w:name w:val="明显强调1"/>
    <w:qFormat/>
    <w:uiPriority w:val="0"/>
    <w:rPr>
      <w:b/>
      <w:bCs/>
      <w:i/>
      <w:iCs/>
      <w:color w:val="4F81BD"/>
    </w:rPr>
  </w:style>
  <w:style w:type="character" w:customStyle="1" w:styleId="148">
    <w:name w:val="textcontents"/>
    <w:qFormat/>
    <w:uiPriority w:val="0"/>
    <w:rPr>
      <w:rFonts w:cs="Times New Roman"/>
    </w:rPr>
  </w:style>
  <w:style w:type="character" w:customStyle="1" w:styleId="149">
    <w:name w:val="不明显强调1"/>
    <w:qFormat/>
    <w:uiPriority w:val="0"/>
    <w:rPr>
      <w:i/>
      <w:iCs/>
      <w:color w:val="808080"/>
    </w:rPr>
  </w:style>
  <w:style w:type="character" w:customStyle="1" w:styleId="150">
    <w:name w:val="不明显参考1"/>
    <w:qFormat/>
    <w:uiPriority w:val="0"/>
    <w:rPr>
      <w:smallCaps/>
      <w:color w:val="C0504D"/>
      <w:u w:val="single"/>
    </w:rPr>
  </w:style>
  <w:style w:type="character" w:customStyle="1" w:styleId="151">
    <w:name w:val="日期 Char1"/>
    <w:qFormat/>
    <w:uiPriority w:val="99"/>
    <w:rPr>
      <w:kern w:val="2"/>
      <w:sz w:val="21"/>
      <w:szCs w:val="22"/>
    </w:rPr>
  </w:style>
  <w:style w:type="character" w:customStyle="1" w:styleId="152">
    <w:name w:val="正文文本 Char1"/>
    <w:qFormat/>
    <w:uiPriority w:val="0"/>
    <w:rPr>
      <w:kern w:val="2"/>
      <w:sz w:val="21"/>
      <w:szCs w:val="22"/>
    </w:rPr>
  </w:style>
  <w:style w:type="character" w:customStyle="1" w:styleId="153">
    <w:name w:val="批注主题 Char1"/>
    <w:qFormat/>
    <w:uiPriority w:val="0"/>
    <w:rPr>
      <w:b/>
      <w:bCs/>
      <w:kern w:val="2"/>
      <w:sz w:val="21"/>
      <w:szCs w:val="22"/>
    </w:rPr>
  </w:style>
  <w:style w:type="character" w:customStyle="1" w:styleId="154">
    <w:name w:val="批注文字 Char Char"/>
    <w:qFormat/>
    <w:uiPriority w:val="0"/>
    <w:rPr>
      <w:rFonts w:ascii="宋体" w:hAnsi="Times New Roman" w:eastAsia="宋体" w:cs="Times New Roman"/>
      <w:sz w:val="28"/>
      <w:szCs w:val="20"/>
    </w:rPr>
  </w:style>
  <w:style w:type="character" w:customStyle="1" w:styleId="155">
    <w:name w:val="明显参考1"/>
    <w:qFormat/>
    <w:uiPriority w:val="0"/>
    <w:rPr>
      <w:b/>
      <w:bCs/>
      <w:smallCaps/>
      <w:color w:val="C0504D"/>
      <w:spacing w:val="5"/>
      <w:u w:val="single"/>
    </w:rPr>
  </w:style>
  <w:style w:type="character" w:customStyle="1" w:styleId="156">
    <w:name w:val="批注框文本 Char1"/>
    <w:qFormat/>
    <w:uiPriority w:val="99"/>
    <w:rPr>
      <w:kern w:val="2"/>
      <w:sz w:val="18"/>
      <w:szCs w:val="18"/>
    </w:rPr>
  </w:style>
  <w:style w:type="character" w:customStyle="1" w:styleId="157">
    <w:name w:val="引用 Char1"/>
    <w:basedOn w:val="47"/>
    <w:qFormat/>
    <w:uiPriority w:val="0"/>
    <w:rPr>
      <w:rFonts w:ascii="Calibri" w:hAnsi="Calibri" w:eastAsia="宋体" w:cs="Times New Roman"/>
      <w:i/>
      <w:iCs/>
      <w:color w:val="000000"/>
      <w:kern w:val="0"/>
      <w:sz w:val="20"/>
      <w:szCs w:val="20"/>
    </w:rPr>
  </w:style>
  <w:style w:type="character" w:customStyle="1" w:styleId="158">
    <w:name w:val="文档结构图 Char1"/>
    <w:qFormat/>
    <w:uiPriority w:val="99"/>
    <w:rPr>
      <w:rFonts w:ascii="宋体"/>
      <w:kern w:val="2"/>
      <w:sz w:val="18"/>
      <w:szCs w:val="18"/>
    </w:rPr>
  </w:style>
  <w:style w:type="paragraph" w:styleId="159">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160">
    <w:name w:val="副标题 Char1"/>
    <w:qFormat/>
    <w:uiPriority w:val="0"/>
    <w:rPr>
      <w:rFonts w:ascii="Cambria" w:hAnsi="Cambria" w:cs="Times New Roman"/>
      <w:b/>
      <w:bCs/>
      <w:kern w:val="28"/>
      <w:sz w:val="32"/>
      <w:szCs w:val="32"/>
    </w:rPr>
  </w:style>
  <w:style w:type="character" w:customStyle="1" w:styleId="161">
    <w:name w:val="标题 Char1"/>
    <w:qFormat/>
    <w:uiPriority w:val="0"/>
    <w:rPr>
      <w:rFonts w:ascii="Cambria" w:hAnsi="Cambria" w:cs="Times New Roman"/>
      <w:b/>
      <w:bCs/>
      <w:kern w:val="2"/>
      <w:sz w:val="32"/>
      <w:szCs w:val="32"/>
    </w:rPr>
  </w:style>
  <w:style w:type="paragraph" w:styleId="162">
    <w:name w:val="List Paragraph"/>
    <w:basedOn w:val="1"/>
    <w:qFormat/>
    <w:uiPriority w:val="0"/>
    <w:pPr>
      <w:ind w:firstLine="420" w:firstLineChars="200"/>
    </w:pPr>
    <w:rPr>
      <w:rFonts w:ascii="Calibri" w:hAnsi="Calibri"/>
      <w:szCs w:val="22"/>
    </w:rPr>
  </w:style>
  <w:style w:type="character" w:customStyle="1" w:styleId="163">
    <w:name w:val="文档结构图 Char2"/>
    <w:qFormat/>
    <w:uiPriority w:val="0"/>
    <w:rPr>
      <w:rFonts w:ascii="宋体"/>
      <w:kern w:val="2"/>
      <w:sz w:val="18"/>
      <w:szCs w:val="18"/>
    </w:rPr>
  </w:style>
  <w:style w:type="paragraph" w:customStyle="1" w:styleId="164">
    <w:name w:val="修订1"/>
    <w:qFormat/>
    <w:uiPriority w:val="0"/>
    <w:rPr>
      <w:rFonts w:ascii="Times New Roman" w:hAnsi="Times New Roman" w:eastAsia="宋体" w:cs="Times New Roman"/>
      <w:kern w:val="2"/>
      <w:sz w:val="21"/>
      <w:szCs w:val="24"/>
      <w:lang w:val="en-US" w:eastAsia="zh-CN" w:bidi="ar-SA"/>
    </w:rPr>
  </w:style>
  <w:style w:type="paragraph" w:customStyle="1" w:styleId="165">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66">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67">
    <w:name w:val="Char Char1 Char Char"/>
    <w:basedOn w:val="1"/>
    <w:qFormat/>
    <w:uiPriority w:val="0"/>
    <w:rPr>
      <w:szCs w:val="20"/>
    </w:rPr>
  </w:style>
  <w:style w:type="character" w:customStyle="1" w:styleId="168">
    <w:name w:val="消息标题标签"/>
    <w:qFormat/>
    <w:uiPriority w:val="0"/>
    <w:rPr>
      <w:rFonts w:ascii="Arial Black" w:hAnsi="Arial Black" w:eastAsia="黑体"/>
      <w:b/>
      <w:sz w:val="18"/>
      <w:lang w:eastAsia="zh-CN"/>
    </w:rPr>
  </w:style>
  <w:style w:type="character" w:customStyle="1" w:styleId="169">
    <w:name w:val="日期 Char2"/>
    <w:qFormat/>
    <w:uiPriority w:val="0"/>
    <w:rPr>
      <w:rFonts w:ascii="宋体" w:hAnsi="Times New Roman"/>
      <w:sz w:val="28"/>
    </w:rPr>
  </w:style>
  <w:style w:type="character" w:customStyle="1" w:styleId="170">
    <w:name w:val="Char Char31"/>
    <w:qFormat/>
    <w:uiPriority w:val="0"/>
    <w:rPr>
      <w:rFonts w:ascii="宋体" w:hAnsi="Courier New" w:eastAsia="宋体" w:cs="Courier New"/>
      <w:kern w:val="2"/>
      <w:sz w:val="21"/>
      <w:szCs w:val="21"/>
      <w:lang w:val="en-US" w:eastAsia="zh-CN" w:bidi="ar-SA"/>
    </w:rPr>
  </w:style>
  <w:style w:type="character" w:customStyle="1" w:styleId="171">
    <w:name w:val="Char Char1 Char Char Char Char Char Char Char Char Char Char"/>
    <w:link w:val="172"/>
    <w:qFormat/>
    <w:uiPriority w:val="0"/>
    <w:rPr>
      <w:rFonts w:ascii="Verdana" w:hAnsi="Verdana" w:eastAsia="仿宋_GB2312"/>
      <w:sz w:val="24"/>
      <w:lang w:eastAsia="en-US"/>
    </w:rPr>
  </w:style>
  <w:style w:type="paragraph" w:customStyle="1" w:styleId="172">
    <w:name w:val="Char Char1 Char Char Char Char Char Char Char Char Char"/>
    <w:basedOn w:val="1"/>
    <w:link w:val="17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3">
    <w:name w:val="批注框文本 Char2"/>
    <w:qFormat/>
    <w:uiPriority w:val="0"/>
    <w:rPr>
      <w:rFonts w:ascii="宋体" w:hAnsi="Times New Roman"/>
      <w:sz w:val="18"/>
      <w:szCs w:val="18"/>
    </w:rPr>
  </w:style>
  <w:style w:type="character" w:customStyle="1" w:styleId="174">
    <w:name w:val="Char Char Char Char Char Char Char Char Char"/>
    <w:qFormat/>
    <w:uiPriority w:val="0"/>
    <w:rPr>
      <w:sz w:val="18"/>
      <w:szCs w:val="18"/>
    </w:rPr>
  </w:style>
  <w:style w:type="character" w:customStyle="1" w:styleId="175">
    <w:name w:val="页眉 Char1"/>
    <w:qFormat/>
    <w:uiPriority w:val="0"/>
    <w:rPr>
      <w:rFonts w:eastAsia="宋体"/>
      <w:kern w:val="2"/>
      <w:sz w:val="18"/>
      <w:szCs w:val="18"/>
      <w:lang w:val="en-US" w:eastAsia="zh-CN" w:bidi="ar-SA"/>
    </w:rPr>
  </w:style>
  <w:style w:type="character" w:customStyle="1" w:styleId="176">
    <w:name w:val="正文文本 Char2"/>
    <w:qFormat/>
    <w:uiPriority w:val="99"/>
    <w:rPr>
      <w:rFonts w:ascii="Times New Roman" w:hAnsi="Times New Roman"/>
    </w:rPr>
  </w:style>
  <w:style w:type="character" w:customStyle="1" w:styleId="177">
    <w:name w:val="批注主题 Char2"/>
    <w:qFormat/>
    <w:uiPriority w:val="99"/>
    <w:rPr>
      <w:rFonts w:ascii="宋体" w:hAnsi="Times New Roman"/>
      <w:b/>
      <w:bCs/>
      <w:sz w:val="28"/>
    </w:rPr>
  </w:style>
  <w:style w:type="character" w:customStyle="1" w:styleId="178">
    <w:name w:val="ꌢ 2 Char Char"/>
    <w:link w:val="179"/>
    <w:qFormat/>
    <w:uiPriority w:val="0"/>
    <w:rPr>
      <w:rFonts w:ascii="Arial" w:hAnsi="Arial"/>
      <w:b/>
      <w:bCs/>
    </w:rPr>
  </w:style>
  <w:style w:type="paragraph" w:customStyle="1" w:styleId="179">
    <w:name w:val="ꌢ 2"/>
    <w:basedOn w:val="1"/>
    <w:link w:val="178"/>
    <w:qFormat/>
    <w:uiPriority w:val="0"/>
    <w:pPr>
      <w:widowControl/>
    </w:pPr>
    <w:rPr>
      <w:rFonts w:ascii="Arial" w:hAnsi="Arial"/>
      <w:b/>
      <w:bCs/>
      <w:kern w:val="0"/>
      <w:sz w:val="20"/>
      <w:szCs w:val="20"/>
    </w:rPr>
  </w:style>
  <w:style w:type="character" w:customStyle="1" w:styleId="180">
    <w:name w:val="标题 2 Char1"/>
    <w:qFormat/>
    <w:uiPriority w:val="0"/>
    <w:rPr>
      <w:rFonts w:ascii="Cambria" w:hAnsi="Cambria" w:eastAsia="宋体" w:cs="Times New Roman"/>
      <w:b/>
      <w:bCs/>
      <w:kern w:val="2"/>
      <w:sz w:val="32"/>
      <w:szCs w:val="32"/>
    </w:rPr>
  </w:style>
  <w:style w:type="character" w:customStyle="1" w:styleId="181">
    <w:name w:val="rili11"/>
    <w:qFormat/>
    <w:uiPriority w:val="0"/>
    <w:rPr>
      <w:sz w:val="21"/>
      <w:szCs w:val="21"/>
    </w:rPr>
  </w:style>
  <w:style w:type="character" w:customStyle="1" w:styleId="182">
    <w:name w:val="Char Char27"/>
    <w:qFormat/>
    <w:uiPriority w:val="0"/>
    <w:rPr>
      <w:rFonts w:eastAsia="Arial Unicode MS"/>
      <w:kern w:val="2"/>
      <w:sz w:val="28"/>
      <w:szCs w:val="24"/>
      <w:lang w:val="en-US" w:eastAsia="zh-CN" w:bidi="ar-SA"/>
    </w:rPr>
  </w:style>
  <w:style w:type="character" w:customStyle="1" w:styleId="183">
    <w:name w:val="标题 6 Char1"/>
    <w:qFormat/>
    <w:uiPriority w:val="0"/>
    <w:rPr>
      <w:rFonts w:ascii="Cambria" w:hAnsi="Cambria" w:eastAsia="宋体" w:cs="Times New Roman"/>
      <w:b/>
      <w:bCs/>
      <w:kern w:val="2"/>
      <w:sz w:val="24"/>
      <w:szCs w:val="24"/>
    </w:rPr>
  </w:style>
  <w:style w:type="character" w:customStyle="1" w:styleId="184">
    <w:name w:val="apple-style-span"/>
    <w:basedOn w:val="47"/>
    <w:qFormat/>
    <w:uiPriority w:val="0"/>
  </w:style>
  <w:style w:type="character" w:customStyle="1" w:styleId="185">
    <w:name w:val="Blockquote Char Char"/>
    <w:link w:val="96"/>
    <w:qFormat/>
    <w:uiPriority w:val="0"/>
    <w:rPr>
      <w:sz w:val="24"/>
    </w:rPr>
  </w:style>
  <w:style w:type="character" w:customStyle="1" w:styleId="186">
    <w:name w:val="z-窗体顶端 Char1"/>
    <w:qFormat/>
    <w:uiPriority w:val="0"/>
    <w:rPr>
      <w:rFonts w:ascii="Arial" w:hAnsi="Arial" w:cs="Arial"/>
      <w:vanish/>
      <w:kern w:val="2"/>
      <w:sz w:val="16"/>
      <w:szCs w:val="16"/>
    </w:rPr>
  </w:style>
  <w:style w:type="character" w:customStyle="1" w:styleId="187">
    <w:name w:val="批注文字 Char1"/>
    <w:qFormat/>
    <w:uiPriority w:val="99"/>
    <w:rPr>
      <w:kern w:val="2"/>
      <w:sz w:val="21"/>
      <w:szCs w:val="22"/>
    </w:rPr>
  </w:style>
  <w:style w:type="character" w:customStyle="1" w:styleId="188">
    <w:name w:val="z-窗体底端 Char1"/>
    <w:qFormat/>
    <w:uiPriority w:val="0"/>
    <w:rPr>
      <w:rFonts w:ascii="Arial" w:hAnsi="Arial" w:cs="Arial"/>
      <w:vanish/>
      <w:kern w:val="2"/>
      <w:sz w:val="16"/>
      <w:szCs w:val="16"/>
    </w:rPr>
  </w:style>
  <w:style w:type="character" w:customStyle="1" w:styleId="189">
    <w:name w:val="标题 1 Char1"/>
    <w:qFormat/>
    <w:uiPriority w:val="0"/>
    <w:rPr>
      <w:b/>
      <w:bCs/>
      <w:kern w:val="44"/>
      <w:sz w:val="44"/>
      <w:szCs w:val="44"/>
    </w:rPr>
  </w:style>
  <w:style w:type="character" w:customStyle="1" w:styleId="190">
    <w:name w:val="样式2 Char"/>
    <w:link w:val="99"/>
    <w:qFormat/>
    <w:uiPriority w:val="0"/>
    <w:rPr>
      <w:rFonts w:ascii="宋体" w:hAnsi="宋体"/>
      <w:b/>
      <w:kern w:val="2"/>
      <w:sz w:val="21"/>
      <w:szCs w:val="21"/>
    </w:rPr>
  </w:style>
  <w:style w:type="character" w:customStyle="1" w:styleId="191">
    <w:name w:val="z-窗体底端 Char"/>
    <w:qFormat/>
    <w:uiPriority w:val="0"/>
    <w:rPr>
      <w:rFonts w:ascii="Arial" w:hAnsi="Arial" w:cs="Arial"/>
      <w:vanish/>
      <w:kern w:val="2"/>
      <w:sz w:val="16"/>
      <w:szCs w:val="16"/>
    </w:rPr>
  </w:style>
  <w:style w:type="paragraph" w:customStyle="1" w:styleId="192">
    <w:name w:val="z-窗体底端1"/>
    <w:basedOn w:val="1"/>
    <w:next w:val="1"/>
    <w:link w:val="231"/>
    <w:qFormat/>
    <w:uiPriority w:val="0"/>
    <w:pPr>
      <w:pBdr>
        <w:top w:val="single" w:color="auto" w:sz="6" w:space="1"/>
      </w:pBdr>
      <w:jc w:val="center"/>
    </w:pPr>
    <w:rPr>
      <w:rFonts w:ascii="Arial" w:hAnsi="Arial" w:cs="Arial"/>
      <w:vanish/>
      <w:sz w:val="16"/>
      <w:szCs w:val="16"/>
    </w:rPr>
  </w:style>
  <w:style w:type="character" w:customStyle="1" w:styleId="193">
    <w:name w:val="样式1 Char"/>
    <w:link w:val="100"/>
    <w:qFormat/>
    <w:uiPriority w:val="0"/>
    <w:rPr>
      <w:rFonts w:ascii="宋体" w:hAnsi="宋体"/>
      <w:kern w:val="2"/>
      <w:sz w:val="18"/>
      <w:szCs w:val="21"/>
    </w:rPr>
  </w:style>
  <w:style w:type="character" w:customStyle="1" w:styleId="194">
    <w:name w:val="标题 9 Char1"/>
    <w:qFormat/>
    <w:uiPriority w:val="0"/>
    <w:rPr>
      <w:rFonts w:ascii="Cambria" w:hAnsi="Cambria" w:eastAsia="宋体" w:cs="Times New Roman"/>
      <w:kern w:val="2"/>
      <w:sz w:val="21"/>
      <w:szCs w:val="21"/>
    </w:rPr>
  </w:style>
  <w:style w:type="character" w:customStyle="1" w:styleId="195">
    <w:name w:val="z-窗体顶端 Char"/>
    <w:qFormat/>
    <w:uiPriority w:val="0"/>
    <w:rPr>
      <w:rFonts w:ascii="Arial" w:hAnsi="Arial" w:cs="Arial"/>
      <w:vanish/>
      <w:kern w:val="2"/>
      <w:sz w:val="16"/>
      <w:szCs w:val="16"/>
    </w:rPr>
  </w:style>
  <w:style w:type="paragraph" w:customStyle="1" w:styleId="196">
    <w:name w:val="z-窗体顶端1"/>
    <w:basedOn w:val="1"/>
    <w:next w:val="1"/>
    <w:link w:val="347"/>
    <w:qFormat/>
    <w:uiPriority w:val="0"/>
    <w:pPr>
      <w:pBdr>
        <w:bottom w:val="single" w:color="auto" w:sz="6" w:space="1"/>
      </w:pBdr>
      <w:jc w:val="center"/>
    </w:pPr>
    <w:rPr>
      <w:rFonts w:ascii="Arial" w:hAnsi="Arial" w:cs="Arial"/>
      <w:vanish/>
      <w:sz w:val="16"/>
      <w:szCs w:val="16"/>
    </w:rPr>
  </w:style>
  <w:style w:type="character" w:customStyle="1" w:styleId="197">
    <w:name w:val="ҳŻ"/>
    <w:link w:val="198"/>
    <w:qFormat/>
    <w:uiPriority w:val="0"/>
    <w:rPr>
      <w:rFonts w:ascii="Arial" w:hAnsi="Arial" w:cs="Arial"/>
      <w:sz w:val="32"/>
      <w:szCs w:val="32"/>
    </w:rPr>
  </w:style>
  <w:style w:type="paragraph" w:customStyle="1" w:styleId="198">
    <w:name w:val="ҳŠChar1"/>
    <w:basedOn w:val="1"/>
    <w:link w:val="197"/>
    <w:qFormat/>
    <w:uiPriority w:val="0"/>
    <w:pPr>
      <w:keepNext/>
      <w:widowControl/>
      <w:spacing w:after="120" w:line="400" w:lineRule="atLeast"/>
      <w:jc w:val="center"/>
    </w:pPr>
    <w:rPr>
      <w:rFonts w:ascii="Arial" w:hAnsi="Arial" w:cs="Arial"/>
      <w:kern w:val="0"/>
      <w:sz w:val="32"/>
      <w:szCs w:val="32"/>
    </w:rPr>
  </w:style>
  <w:style w:type="character" w:customStyle="1" w:styleId="199">
    <w:name w:val="标题 8 Char1"/>
    <w:qFormat/>
    <w:uiPriority w:val="0"/>
    <w:rPr>
      <w:rFonts w:ascii="Cambria" w:hAnsi="Cambria" w:eastAsia="宋体" w:cs="Times New Roman"/>
      <w:kern w:val="2"/>
      <w:sz w:val="24"/>
      <w:szCs w:val="24"/>
    </w:rPr>
  </w:style>
  <w:style w:type="character" w:customStyle="1" w:styleId="200">
    <w:name w:val="ꌢ 3 Char Char"/>
    <w:link w:val="201"/>
    <w:qFormat/>
    <w:uiPriority w:val="0"/>
    <w:rPr>
      <w:rFonts w:ascii="Ђˎ̥" w:hAnsi="Ђˎ̥"/>
      <w:b/>
      <w:bCs/>
    </w:rPr>
  </w:style>
  <w:style w:type="paragraph" w:customStyle="1" w:styleId="201">
    <w:name w:val="ꌢ 3"/>
    <w:basedOn w:val="1"/>
    <w:link w:val="200"/>
    <w:qFormat/>
    <w:uiPriority w:val="0"/>
    <w:pPr>
      <w:widowControl/>
    </w:pPr>
    <w:rPr>
      <w:rFonts w:ascii="Ђˎ̥" w:hAnsi="Ђˎ̥"/>
      <w:b/>
      <w:bCs/>
      <w:kern w:val="0"/>
      <w:sz w:val="20"/>
      <w:szCs w:val="20"/>
    </w:rPr>
  </w:style>
  <w:style w:type="character" w:customStyle="1" w:styleId="202">
    <w:name w:val="标题 4 Char1"/>
    <w:qFormat/>
    <w:uiPriority w:val="0"/>
    <w:rPr>
      <w:rFonts w:ascii="Cambria" w:hAnsi="Cambria" w:eastAsia="宋体" w:cs="Times New Roman"/>
      <w:b/>
      <w:bCs/>
      <w:kern w:val="2"/>
      <w:sz w:val="28"/>
      <w:szCs w:val="28"/>
    </w:rPr>
  </w:style>
  <w:style w:type="character" w:customStyle="1" w:styleId="203">
    <w:name w:val="Blockquote Char Char Char"/>
    <w:qFormat/>
    <w:uiPriority w:val="0"/>
    <w:rPr>
      <w:sz w:val="24"/>
    </w:rPr>
  </w:style>
  <w:style w:type="character" w:customStyle="1" w:styleId="204">
    <w:name w:val="标题 3 Char1"/>
    <w:qFormat/>
    <w:uiPriority w:val="0"/>
    <w:rPr>
      <w:rFonts w:eastAsia="宋体"/>
      <w:b/>
      <w:bCs/>
      <w:kern w:val="2"/>
      <w:sz w:val="21"/>
      <w:szCs w:val="21"/>
      <w:lang w:val="en-US" w:eastAsia="zh-CN" w:bidi="ar-SA"/>
    </w:rPr>
  </w:style>
  <w:style w:type="character" w:customStyle="1" w:styleId="205">
    <w:name w:val="副标题 Char2"/>
    <w:qFormat/>
    <w:uiPriority w:val="0"/>
    <w:rPr>
      <w:rFonts w:ascii="Cambria" w:hAnsi="Cambria" w:cs="Times New Roman"/>
      <w:b/>
      <w:bCs/>
      <w:kern w:val="28"/>
      <w:sz w:val="32"/>
      <w:szCs w:val="32"/>
    </w:rPr>
  </w:style>
  <w:style w:type="character" w:customStyle="1" w:styleId="206">
    <w:name w:val="正文文本 2 Char1"/>
    <w:qFormat/>
    <w:uiPriority w:val="0"/>
    <w:rPr>
      <w:kern w:val="2"/>
      <w:sz w:val="21"/>
      <w:szCs w:val="24"/>
    </w:rPr>
  </w:style>
  <w:style w:type="character" w:customStyle="1" w:styleId="207">
    <w:name w:val="标题 7 Char1"/>
    <w:qFormat/>
    <w:uiPriority w:val="0"/>
    <w:rPr>
      <w:b/>
      <w:bCs/>
      <w:kern w:val="2"/>
      <w:sz w:val="24"/>
      <w:szCs w:val="24"/>
    </w:rPr>
  </w:style>
  <w:style w:type="character" w:customStyle="1" w:styleId="208">
    <w:name w:val="标题 5 Char1"/>
    <w:qFormat/>
    <w:uiPriority w:val="0"/>
    <w:rPr>
      <w:b/>
      <w:bCs/>
      <w:kern w:val="2"/>
      <w:sz w:val="28"/>
      <w:szCs w:val="28"/>
    </w:rPr>
  </w:style>
  <w:style w:type="character" w:customStyle="1" w:styleId="209">
    <w:name w:val="页脚 Char1"/>
    <w:qFormat/>
    <w:uiPriority w:val="99"/>
    <w:rPr>
      <w:kern w:val="2"/>
      <w:sz w:val="18"/>
      <w:szCs w:val="18"/>
    </w:rPr>
  </w:style>
  <w:style w:type="character" w:customStyle="1" w:styleId="210">
    <w:name w:val="tpc_content1"/>
    <w:qFormat/>
    <w:uiPriority w:val="0"/>
    <w:rPr>
      <w:sz w:val="20"/>
      <w:szCs w:val="20"/>
    </w:rPr>
  </w:style>
  <w:style w:type="character" w:customStyle="1" w:styleId="211">
    <w:name w:val="页眉 Char2"/>
    <w:qFormat/>
    <w:uiPriority w:val="99"/>
    <w:rPr>
      <w:kern w:val="2"/>
      <w:sz w:val="18"/>
      <w:szCs w:val="18"/>
    </w:rPr>
  </w:style>
  <w:style w:type="character" w:customStyle="1" w:styleId="212">
    <w:name w:val="正文文本缩进 2 Char1"/>
    <w:link w:val="27"/>
    <w:qFormat/>
    <w:uiPriority w:val="0"/>
    <w:rPr>
      <w:kern w:val="2"/>
      <w:sz w:val="21"/>
      <w:szCs w:val="24"/>
    </w:rPr>
  </w:style>
  <w:style w:type="character" w:customStyle="1" w:styleId="213">
    <w:name w:val="正文文本 2 Char2"/>
    <w:link w:val="38"/>
    <w:qFormat/>
    <w:uiPriority w:val="0"/>
    <w:rPr>
      <w:rFonts w:ascii="Calibri" w:hAnsi="Calibri"/>
      <w:kern w:val="2"/>
      <w:sz w:val="21"/>
    </w:rPr>
  </w:style>
  <w:style w:type="character" w:customStyle="1" w:styleId="214">
    <w:name w:val="正文文本缩进 3 Char1"/>
    <w:link w:val="35"/>
    <w:qFormat/>
    <w:uiPriority w:val="99"/>
    <w:rPr>
      <w:rFonts w:ascii="宋体" w:hAnsi="MS Sans Serif"/>
      <w:color w:val="000000"/>
      <w:kern w:val="2"/>
      <w:sz w:val="24"/>
      <w:szCs w:val="24"/>
    </w:rPr>
  </w:style>
  <w:style w:type="paragraph" w:customStyle="1" w:styleId="215">
    <w:name w:val="Char21"/>
    <w:basedOn w:val="1"/>
    <w:qFormat/>
    <w:uiPriority w:val="0"/>
    <w:rPr>
      <w:szCs w:val="20"/>
    </w:rPr>
  </w:style>
  <w:style w:type="paragraph" w:customStyle="1" w:styleId="216">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4"/>
    </w:rPr>
  </w:style>
  <w:style w:type="paragraph" w:customStyle="1" w:styleId="217">
    <w:name w:val="xl142"/>
    <w:basedOn w:val="1"/>
    <w:qFormat/>
    <w:uiPriority w:val="0"/>
    <w:pPr>
      <w:widowControl/>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21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1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20">
    <w:name w:val="xl67"/>
    <w:basedOn w:val="1"/>
    <w:qFormat/>
    <w:uiPriority w:val="0"/>
    <w:pPr>
      <w:widowControl/>
      <w:pBdr>
        <w:top w:val="single" w:color="auto" w:sz="4" w:space="0"/>
      </w:pBdr>
      <w:spacing w:before="100" w:beforeAutospacing="1" w:after="100" w:afterAutospacing="1"/>
      <w:jc w:val="left"/>
    </w:pPr>
    <w:rPr>
      <w:rFonts w:ascii="宋体" w:hAnsi="宋体" w:cs="宋体"/>
      <w:kern w:val="0"/>
      <w:sz w:val="18"/>
      <w:szCs w:val="18"/>
    </w:rPr>
  </w:style>
  <w:style w:type="paragraph" w:customStyle="1" w:styleId="22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22">
    <w:name w:val="Char Char1 Char Char Char Char Char Char 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3">
    <w:name w:val="Char Char3 Char Char Char Char Char Char Char Char Char Char"/>
    <w:basedOn w:val="1"/>
    <w:qFormat/>
    <w:uiPriority w:val="0"/>
    <w:pPr>
      <w:widowControl/>
      <w:spacing w:after="160" w:line="240" w:lineRule="exact"/>
      <w:jc w:val="left"/>
    </w:pPr>
    <w:rPr>
      <w:snapToGrid w:val="0"/>
      <w:kern w:val="21"/>
      <w:szCs w:val="21"/>
    </w:rPr>
  </w:style>
  <w:style w:type="paragraph" w:customStyle="1" w:styleId="224">
    <w:name w:val="xl3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25">
    <w:name w:val="列出段落4"/>
    <w:basedOn w:val="1"/>
    <w:unhideWhenUsed/>
    <w:qFormat/>
    <w:uiPriority w:val="99"/>
    <w:pPr>
      <w:ind w:firstLine="420" w:firstLineChars="200"/>
    </w:pPr>
    <w:rPr>
      <w:szCs w:val="22"/>
    </w:rPr>
  </w:style>
  <w:style w:type="paragraph" w:customStyle="1" w:styleId="22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27">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4"/>
    </w:rPr>
  </w:style>
  <w:style w:type="paragraph" w:customStyle="1" w:styleId="228">
    <w:name w:val="xl149"/>
    <w:basedOn w:val="1"/>
    <w:qFormat/>
    <w:uiPriority w:val="0"/>
    <w:pPr>
      <w:widowControl/>
      <w:shd w:val="clear" w:color="FFFFFF" w:fill="FFFFFF"/>
      <w:spacing w:before="100" w:beforeAutospacing="1" w:after="100" w:afterAutospacing="1"/>
      <w:jc w:val="left"/>
      <w:textAlignment w:val="center"/>
    </w:pPr>
    <w:rPr>
      <w:rFonts w:ascii="宋体" w:hAnsi="宋体" w:cs="宋体"/>
      <w:color w:val="000000"/>
      <w:kern w:val="0"/>
      <w:sz w:val="24"/>
    </w:rPr>
  </w:style>
  <w:style w:type="paragraph" w:customStyle="1" w:styleId="229">
    <w:name w:val="xl3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30">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31">
    <w:name w:val="z-窗体底端 Char2"/>
    <w:link w:val="192"/>
    <w:qFormat/>
    <w:uiPriority w:val="0"/>
    <w:rPr>
      <w:rFonts w:ascii="Arial" w:hAnsi="Arial" w:cs="Arial"/>
      <w:vanish/>
      <w:kern w:val="2"/>
      <w:sz w:val="16"/>
      <w:szCs w:val="16"/>
    </w:rPr>
  </w:style>
  <w:style w:type="paragraph" w:customStyle="1" w:styleId="232">
    <w:name w:val="_Style 19"/>
    <w:basedOn w:val="1"/>
    <w:qFormat/>
    <w:uiPriority w:val="0"/>
    <w:pPr>
      <w:spacing w:line="360" w:lineRule="auto"/>
    </w:pPr>
    <w:rPr>
      <w:rFonts w:ascii="仿宋_GB2312" w:eastAsia="仿宋_GB2312"/>
      <w:b/>
      <w:sz w:val="32"/>
      <w:szCs w:val="32"/>
    </w:rPr>
  </w:style>
  <w:style w:type="paragraph" w:customStyle="1" w:styleId="233">
    <w:name w:val="Char Char3 Char Char Char Char"/>
    <w:basedOn w:val="1"/>
    <w:qFormat/>
    <w:uiPriority w:val="0"/>
    <w:pPr>
      <w:widowControl/>
      <w:spacing w:after="160" w:line="240" w:lineRule="exact"/>
      <w:jc w:val="left"/>
    </w:pPr>
    <w:rPr>
      <w:snapToGrid w:val="0"/>
      <w:kern w:val="21"/>
      <w:szCs w:val="21"/>
    </w:rPr>
  </w:style>
  <w:style w:type="paragraph" w:customStyle="1" w:styleId="234">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4"/>
    </w:rPr>
  </w:style>
  <w:style w:type="paragraph" w:customStyle="1" w:styleId="235">
    <w:name w:val="xl138"/>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236">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37">
    <w:name w:val="xl87"/>
    <w:basedOn w:val="1"/>
    <w:qFormat/>
    <w:uiPriority w:val="0"/>
    <w:pPr>
      <w:widowControl/>
      <w:shd w:val="clear" w:color="FFFFFF" w:fill="FFFFFF"/>
      <w:spacing w:before="100" w:beforeAutospacing="1" w:after="100" w:afterAutospacing="1"/>
      <w:jc w:val="left"/>
      <w:textAlignment w:val="center"/>
    </w:pPr>
    <w:rPr>
      <w:rFonts w:ascii="宋体" w:hAnsi="宋体" w:cs="宋体"/>
      <w:color w:val="000000"/>
      <w:kern w:val="0"/>
      <w:sz w:val="24"/>
    </w:rPr>
  </w:style>
  <w:style w:type="paragraph" w:customStyle="1" w:styleId="238">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18"/>
      <w:szCs w:val="18"/>
    </w:rPr>
  </w:style>
  <w:style w:type="paragraph" w:customStyle="1" w:styleId="239">
    <w:name w:val="Char Char Char Char Char"/>
    <w:basedOn w:val="1"/>
    <w:qFormat/>
    <w:uiPriority w:val="0"/>
    <w:pPr>
      <w:adjustRightInd w:val="0"/>
      <w:spacing w:line="440" w:lineRule="exact"/>
    </w:pPr>
    <w:rPr>
      <w:rFonts w:ascii="宋体"/>
      <w:kern w:val="0"/>
      <w:sz w:val="28"/>
      <w:szCs w:val="27"/>
    </w:rPr>
  </w:style>
  <w:style w:type="paragraph" w:customStyle="1" w:styleId="240">
    <w:name w:val="xl135"/>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241">
    <w:name w:val="Char Char Char Char Char1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243">
    <w:name w:val="xl129"/>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244">
    <w:name w:val="xl141"/>
    <w:basedOn w:val="1"/>
    <w:qFormat/>
    <w:uiPriority w:val="0"/>
    <w:pPr>
      <w:widowControl/>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245">
    <w:name w:val="Char Char12 Char Char Char Char Char Char Char Char"/>
    <w:basedOn w:val="1"/>
    <w:qFormat/>
    <w:uiPriority w:val="0"/>
    <w:rPr>
      <w:szCs w:val="20"/>
    </w:rPr>
  </w:style>
  <w:style w:type="paragraph" w:customStyle="1" w:styleId="24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4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18"/>
      <w:szCs w:val="18"/>
    </w:rPr>
  </w:style>
  <w:style w:type="paragraph" w:customStyle="1" w:styleId="248">
    <w:name w:val="xl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993300"/>
      <w:kern w:val="0"/>
      <w:sz w:val="18"/>
      <w:szCs w:val="18"/>
    </w:rPr>
  </w:style>
  <w:style w:type="paragraph" w:customStyle="1" w:styleId="249">
    <w:name w:val="xl150"/>
    <w:basedOn w:val="1"/>
    <w:qFormat/>
    <w:uiPriority w:val="0"/>
    <w:pPr>
      <w:widowControl/>
      <w:shd w:val="clear" w:color="FFFFFF" w:fill="FFFFFF"/>
      <w:spacing w:before="100" w:beforeAutospacing="1" w:after="100" w:afterAutospacing="1"/>
      <w:jc w:val="left"/>
      <w:textAlignment w:val="center"/>
    </w:pPr>
    <w:rPr>
      <w:rFonts w:ascii="宋体" w:hAnsi="宋体" w:cs="宋体"/>
      <w:color w:val="000000"/>
      <w:kern w:val="0"/>
      <w:sz w:val="24"/>
    </w:rPr>
  </w:style>
  <w:style w:type="paragraph" w:customStyle="1" w:styleId="250">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251">
    <w:name w:val="xl7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18"/>
      <w:szCs w:val="18"/>
    </w:rPr>
  </w:style>
  <w:style w:type="paragraph" w:customStyle="1" w:styleId="252">
    <w:name w:val="Char2 Char Char Char"/>
    <w:basedOn w:val="1"/>
    <w:qFormat/>
    <w:uiPriority w:val="0"/>
    <w:rPr>
      <w:rFonts w:ascii="仿宋_GB2312"/>
      <w:b/>
      <w:sz w:val="30"/>
      <w:szCs w:val="32"/>
    </w:rPr>
  </w:style>
  <w:style w:type="paragraph" w:customStyle="1" w:styleId="253">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254">
    <w:name w:val="Char11"/>
    <w:basedOn w:val="1"/>
    <w:qFormat/>
    <w:uiPriority w:val="0"/>
    <w:pPr>
      <w:spacing w:after="160" w:line="240" w:lineRule="exact"/>
    </w:pPr>
  </w:style>
  <w:style w:type="paragraph" w:customStyle="1" w:styleId="255">
    <w:name w:val="xl90"/>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cs="宋体"/>
      <w:color w:val="000000"/>
      <w:kern w:val="0"/>
      <w:sz w:val="24"/>
    </w:rPr>
  </w:style>
  <w:style w:type="paragraph" w:customStyle="1" w:styleId="256">
    <w:name w:val="xl120"/>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center"/>
    </w:pPr>
    <w:rPr>
      <w:rFonts w:ascii="宋体" w:hAnsi="宋体" w:cs="宋体"/>
      <w:kern w:val="0"/>
      <w:sz w:val="20"/>
      <w:szCs w:val="20"/>
    </w:rPr>
  </w:style>
  <w:style w:type="paragraph" w:customStyle="1" w:styleId="257">
    <w:name w:val="xl7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58">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5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4"/>
    </w:rPr>
  </w:style>
  <w:style w:type="paragraph" w:customStyle="1" w:styleId="26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61">
    <w:name w:val="xl130"/>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textAlignment w:val="center"/>
    </w:pPr>
    <w:rPr>
      <w:rFonts w:ascii="宋体" w:hAnsi="宋体" w:cs="宋体"/>
      <w:color w:val="000000"/>
      <w:kern w:val="0"/>
      <w:sz w:val="20"/>
      <w:szCs w:val="20"/>
    </w:rPr>
  </w:style>
  <w:style w:type="paragraph" w:customStyle="1" w:styleId="262">
    <w:name w:val="Char Char Char Char Char Char Char"/>
    <w:basedOn w:val="1"/>
    <w:qFormat/>
    <w:uiPriority w:val="0"/>
    <w:rPr>
      <w:rFonts w:ascii="Tahoma" w:hAnsi="Tahoma"/>
      <w:sz w:val="24"/>
      <w:szCs w:val="20"/>
    </w:rPr>
  </w:style>
  <w:style w:type="paragraph" w:customStyle="1" w:styleId="263">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64">
    <w:name w:val="xl89"/>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265">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 w:val="18"/>
      <w:szCs w:val="18"/>
    </w:rPr>
  </w:style>
  <w:style w:type="paragraph" w:customStyle="1" w:styleId="266">
    <w:name w:val="Char Char1 Char Char1"/>
    <w:basedOn w:val="1"/>
    <w:qFormat/>
    <w:uiPriority w:val="0"/>
    <w:rPr>
      <w:szCs w:val="20"/>
    </w:rPr>
  </w:style>
  <w:style w:type="paragraph" w:customStyle="1" w:styleId="26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6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69">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4"/>
    </w:rPr>
  </w:style>
  <w:style w:type="paragraph" w:customStyle="1" w:styleId="27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C0C0C0"/>
      <w:kern w:val="0"/>
      <w:sz w:val="18"/>
      <w:szCs w:val="18"/>
    </w:rPr>
  </w:style>
  <w:style w:type="paragraph" w:customStyle="1" w:styleId="271">
    <w:name w:val="xl137"/>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cs="宋体"/>
      <w:color w:val="000000"/>
      <w:kern w:val="0"/>
      <w:sz w:val="20"/>
      <w:szCs w:val="20"/>
    </w:rPr>
  </w:style>
  <w:style w:type="paragraph" w:customStyle="1" w:styleId="27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73">
    <w:name w:val="xl148"/>
    <w:basedOn w:val="1"/>
    <w:qFormat/>
    <w:uiPriority w:val="0"/>
    <w:pPr>
      <w:widowControl/>
      <w:shd w:val="clear" w:color="FFFFFF" w:fill="FFFFFF"/>
      <w:spacing w:before="100" w:beforeAutospacing="1" w:after="100" w:afterAutospacing="1"/>
      <w:jc w:val="left"/>
      <w:textAlignment w:val="center"/>
    </w:pPr>
    <w:rPr>
      <w:rFonts w:ascii="宋体" w:hAnsi="宋体" w:cs="宋体"/>
      <w:color w:val="000000"/>
      <w:kern w:val="0"/>
      <w:sz w:val="24"/>
    </w:rPr>
  </w:style>
  <w:style w:type="paragraph" w:customStyle="1" w:styleId="274">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7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4"/>
    </w:rPr>
  </w:style>
  <w:style w:type="paragraph" w:customStyle="1" w:styleId="27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78">
    <w:name w:val="正文11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79">
    <w:name w:val="Char Char21"/>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280">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281">
    <w:name w:val="xl126"/>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right"/>
      <w:textAlignment w:val="center"/>
    </w:pPr>
    <w:rPr>
      <w:rFonts w:ascii="宋体" w:hAnsi="宋体" w:cs="宋体"/>
      <w:kern w:val="0"/>
      <w:sz w:val="20"/>
      <w:szCs w:val="20"/>
    </w:rPr>
  </w:style>
  <w:style w:type="paragraph" w:customStyle="1" w:styleId="28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8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8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8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86">
    <w:name w:val="xl6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87">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18"/>
      <w:szCs w:val="18"/>
    </w:rPr>
  </w:style>
  <w:style w:type="paragraph" w:customStyle="1" w:styleId="288">
    <w:name w:val="列出段落1"/>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289">
    <w:name w:val="font6"/>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290">
    <w:name w:val="正文 + 宋体"/>
    <w:basedOn w:val="1"/>
    <w:qFormat/>
    <w:uiPriority w:val="0"/>
    <w:pPr>
      <w:autoSpaceDE w:val="0"/>
      <w:autoSpaceDN w:val="0"/>
      <w:adjustRightInd w:val="0"/>
      <w:spacing w:line="429" w:lineRule="exact"/>
      <w:ind w:left="108"/>
    </w:pPr>
    <w:rPr>
      <w:rFonts w:ascii="宋体" w:hAnsi="宋体" w:cs="宋?"/>
      <w:color w:val="000000"/>
      <w:w w:val="97"/>
      <w:kern w:val="0"/>
      <w:szCs w:val="21"/>
    </w:rPr>
  </w:style>
  <w:style w:type="paragraph" w:customStyle="1" w:styleId="2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92">
    <w:name w:val="Char Char Char1"/>
    <w:basedOn w:val="1"/>
    <w:qFormat/>
    <w:uiPriority w:val="0"/>
    <w:pPr>
      <w:widowControl/>
      <w:spacing w:after="160" w:line="240" w:lineRule="exact"/>
      <w:jc w:val="left"/>
    </w:pPr>
  </w:style>
  <w:style w:type="paragraph" w:customStyle="1" w:styleId="293">
    <w:name w:val="Char Char1 Char Char Char Char Char Char"/>
    <w:basedOn w:val="1"/>
    <w:qFormat/>
    <w:uiPriority w:val="0"/>
    <w:pPr>
      <w:widowControl/>
      <w:adjustRightInd w:val="0"/>
      <w:snapToGrid w:val="0"/>
      <w:spacing w:line="360" w:lineRule="auto"/>
      <w:ind w:firstLine="601"/>
    </w:pPr>
    <w:rPr>
      <w:rFonts w:ascii="宋体" w:hAnsi="宋体"/>
      <w:color w:val="000000"/>
      <w:kern w:val="0"/>
      <w:sz w:val="24"/>
    </w:rPr>
  </w:style>
  <w:style w:type="paragraph" w:customStyle="1" w:styleId="294">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4"/>
    </w:rPr>
  </w:style>
  <w:style w:type="paragraph" w:customStyle="1" w:styleId="295">
    <w:name w:val="Char Char1 Char Char Char Char"/>
    <w:basedOn w:val="1"/>
    <w:qFormat/>
    <w:uiPriority w:val="0"/>
    <w:pPr>
      <w:adjustRightInd w:val="0"/>
      <w:spacing w:line="440" w:lineRule="exact"/>
    </w:pPr>
    <w:rPr>
      <w:rFonts w:ascii="宋体"/>
      <w:kern w:val="0"/>
      <w:sz w:val="28"/>
      <w:szCs w:val="27"/>
    </w:rPr>
  </w:style>
  <w:style w:type="paragraph" w:customStyle="1" w:styleId="296">
    <w:name w:val="Char Char1 Char Char Char Char Char Char Char"/>
    <w:basedOn w:val="1"/>
    <w:qFormat/>
    <w:uiPriority w:val="0"/>
    <w:pPr>
      <w:adjustRightInd w:val="0"/>
      <w:spacing w:line="440" w:lineRule="exact"/>
    </w:pPr>
    <w:rPr>
      <w:rFonts w:ascii="宋体"/>
      <w:kern w:val="0"/>
      <w:sz w:val="28"/>
      <w:szCs w:val="27"/>
    </w:rPr>
  </w:style>
  <w:style w:type="paragraph" w:customStyle="1" w:styleId="29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4"/>
    </w:rPr>
  </w:style>
  <w:style w:type="paragraph" w:customStyle="1" w:styleId="298">
    <w:name w:val="font8"/>
    <w:basedOn w:val="1"/>
    <w:qFormat/>
    <w:uiPriority w:val="0"/>
    <w:pPr>
      <w:widowControl/>
      <w:spacing w:before="100" w:beforeAutospacing="1" w:after="100" w:afterAutospacing="1"/>
      <w:jc w:val="left"/>
    </w:pPr>
    <w:rPr>
      <w:rFonts w:ascii="宋体" w:hAnsi="宋体" w:cs="宋体"/>
      <w:color w:val="FF0000"/>
      <w:kern w:val="0"/>
      <w:sz w:val="18"/>
      <w:szCs w:val="18"/>
    </w:rPr>
  </w:style>
  <w:style w:type="paragraph" w:customStyle="1" w:styleId="29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0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01">
    <w:name w:val="xl123"/>
    <w:basedOn w:val="1"/>
    <w:qFormat/>
    <w:uiPriority w:val="0"/>
    <w:pPr>
      <w:widowControl/>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30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303">
    <w:name w:val="xl83"/>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cs="宋体"/>
      <w:color w:val="000000"/>
      <w:kern w:val="0"/>
      <w:sz w:val="24"/>
    </w:rPr>
  </w:style>
  <w:style w:type="paragraph" w:customStyle="1" w:styleId="304">
    <w:name w:val="xl121"/>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center"/>
    </w:pPr>
    <w:rPr>
      <w:rFonts w:ascii="宋体" w:hAnsi="宋体" w:cs="宋体"/>
      <w:kern w:val="0"/>
      <w:sz w:val="20"/>
      <w:szCs w:val="20"/>
    </w:rPr>
  </w:style>
  <w:style w:type="paragraph" w:customStyle="1" w:styleId="30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306">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307">
    <w:name w:val="xl91"/>
    <w:basedOn w:val="1"/>
    <w:qFormat/>
    <w:uiPriority w:val="0"/>
    <w:pPr>
      <w:widowControl/>
      <w:pBdr>
        <w:top w:val="single" w:color="000000" w:sz="4" w:space="0"/>
        <w:left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cs="宋体"/>
      <w:color w:val="000000"/>
      <w:kern w:val="0"/>
      <w:sz w:val="24"/>
    </w:rPr>
  </w:style>
  <w:style w:type="paragraph" w:customStyle="1" w:styleId="308">
    <w:name w:val="xl7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09">
    <w:name w:val="xl92"/>
    <w:basedOn w:val="1"/>
    <w:qFormat/>
    <w:uiPriority w:val="0"/>
    <w:pPr>
      <w:widowControl/>
      <w:spacing w:before="100" w:beforeAutospacing="1" w:after="100" w:afterAutospacing="1"/>
      <w:jc w:val="left"/>
    </w:pPr>
    <w:rPr>
      <w:rFonts w:ascii="宋体" w:hAnsi="宋体" w:cs="宋体"/>
      <w:kern w:val="0"/>
      <w:sz w:val="24"/>
    </w:rPr>
  </w:style>
  <w:style w:type="paragraph" w:customStyle="1" w:styleId="310">
    <w:name w:val="AOBodyTxt"/>
    <w:basedOn w:val="1"/>
    <w:next w:val="1"/>
    <w:qFormat/>
    <w:uiPriority w:val="0"/>
    <w:pPr>
      <w:widowControl/>
      <w:spacing w:before="240" w:line="260" w:lineRule="atLeast"/>
    </w:pPr>
    <w:rPr>
      <w:kern w:val="0"/>
      <w:sz w:val="22"/>
      <w:szCs w:val="20"/>
      <w:lang w:val="en-GB" w:eastAsia="en-US"/>
    </w:rPr>
  </w:style>
  <w:style w:type="paragraph" w:customStyle="1" w:styleId="311">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12">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18"/>
      <w:szCs w:val="18"/>
    </w:rPr>
  </w:style>
  <w:style w:type="paragraph" w:customStyle="1" w:styleId="313">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14">
    <w:name w:val="xl146"/>
    <w:basedOn w:val="1"/>
    <w:qFormat/>
    <w:uiPriority w:val="0"/>
    <w:pPr>
      <w:widowControl/>
      <w:pBdr>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15">
    <w:name w:val="xl132"/>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textAlignment w:val="center"/>
    </w:pPr>
    <w:rPr>
      <w:rFonts w:ascii="宋体" w:hAnsi="宋体" w:cs="宋体"/>
      <w:color w:val="000000"/>
      <w:kern w:val="0"/>
      <w:sz w:val="20"/>
      <w:szCs w:val="20"/>
    </w:rPr>
  </w:style>
  <w:style w:type="paragraph" w:customStyle="1" w:styleId="316">
    <w:name w:val="xl29"/>
    <w:basedOn w:val="1"/>
    <w:qFormat/>
    <w:uiPriority w:val="0"/>
    <w:pPr>
      <w:widowControl/>
      <w:pBdr>
        <w:bottom w:val="single" w:color="auto" w:sz="4" w:space="0"/>
      </w:pBdr>
      <w:spacing w:before="100" w:beforeAutospacing="1" w:after="100" w:afterAutospacing="1"/>
      <w:jc w:val="left"/>
    </w:pPr>
    <w:rPr>
      <w:rFonts w:ascii="宋体" w:hAnsi="宋体" w:cs="宋体"/>
      <w:b/>
      <w:bCs/>
      <w:kern w:val="0"/>
      <w:sz w:val="24"/>
    </w:rPr>
  </w:style>
  <w:style w:type="paragraph" w:customStyle="1" w:styleId="317">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 w:val="18"/>
      <w:szCs w:val="18"/>
    </w:rPr>
  </w:style>
  <w:style w:type="paragraph" w:customStyle="1" w:styleId="318">
    <w:name w:val="xl136"/>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319">
    <w:name w:val="Char1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20">
    <w:name w:val="xl6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1">
    <w:name w:val="表头"/>
    <w:basedOn w:val="1"/>
    <w:qFormat/>
    <w:uiPriority w:val="0"/>
    <w:pPr>
      <w:spacing w:line="360" w:lineRule="auto"/>
      <w:jc w:val="center"/>
    </w:pPr>
    <w:rPr>
      <w:rFonts w:ascii="黑体" w:eastAsia="黑体"/>
      <w:kern w:val="0"/>
      <w:sz w:val="24"/>
      <w:szCs w:val="20"/>
    </w:rPr>
  </w:style>
  <w:style w:type="paragraph" w:customStyle="1" w:styleId="322">
    <w:name w:val="xl122"/>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3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24">
    <w:name w:val="Char Char Char Char Char Char Char Char1"/>
    <w:basedOn w:val="1"/>
    <w:qFormat/>
    <w:uiPriority w:val="0"/>
    <w:pPr>
      <w:adjustRightInd w:val="0"/>
      <w:spacing w:line="440" w:lineRule="exact"/>
    </w:pPr>
    <w:rPr>
      <w:rFonts w:ascii="宋体"/>
      <w:kern w:val="0"/>
      <w:sz w:val="28"/>
      <w:szCs w:val="27"/>
    </w:rPr>
  </w:style>
  <w:style w:type="paragraph" w:customStyle="1" w:styleId="325">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326">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C0C0C0"/>
      <w:kern w:val="0"/>
      <w:sz w:val="18"/>
      <w:szCs w:val="18"/>
    </w:rPr>
  </w:style>
  <w:style w:type="paragraph" w:customStyle="1" w:styleId="327">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18"/>
      <w:szCs w:val="18"/>
    </w:rPr>
  </w:style>
  <w:style w:type="paragraph" w:customStyle="1" w:styleId="328">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2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C0C0C0"/>
      <w:kern w:val="0"/>
      <w:sz w:val="20"/>
      <w:szCs w:val="20"/>
    </w:rPr>
  </w:style>
  <w:style w:type="paragraph" w:customStyle="1" w:styleId="330">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18"/>
      <w:szCs w:val="18"/>
    </w:rPr>
  </w:style>
  <w:style w:type="paragraph" w:customStyle="1" w:styleId="331">
    <w:name w:val="Char Char1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32">
    <w:name w:val="xl145"/>
    <w:basedOn w:val="1"/>
    <w:qFormat/>
    <w:uiPriority w:val="0"/>
    <w:pPr>
      <w:widowControl/>
      <w:pBdr>
        <w:top w:val="single" w:color="000000" w:sz="4" w:space="0"/>
        <w:left w:val="single" w:color="000000" w:sz="4" w:space="0"/>
        <w:bottom w:val="single" w:color="000000" w:sz="4" w:space="0"/>
      </w:pBdr>
      <w:shd w:val="clear" w:color="FFFFFF" w:fill="FFFFFF"/>
      <w:spacing w:before="100" w:beforeAutospacing="1" w:after="100" w:afterAutospacing="1"/>
      <w:jc w:val="right"/>
      <w:textAlignment w:val="center"/>
    </w:pPr>
    <w:rPr>
      <w:rFonts w:ascii="宋体" w:hAnsi="宋体" w:cs="宋体"/>
      <w:color w:val="000000"/>
      <w:kern w:val="0"/>
      <w:sz w:val="20"/>
      <w:szCs w:val="20"/>
    </w:rPr>
  </w:style>
  <w:style w:type="paragraph" w:customStyle="1" w:styleId="333">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34">
    <w:name w:val="xl139"/>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cs="宋体"/>
      <w:color w:val="000000"/>
      <w:kern w:val="0"/>
      <w:sz w:val="20"/>
      <w:szCs w:val="20"/>
    </w:rPr>
  </w:style>
  <w:style w:type="paragraph" w:customStyle="1" w:styleId="335">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36">
    <w:name w:val="表格文字"/>
    <w:basedOn w:val="1"/>
    <w:qFormat/>
    <w:uiPriority w:val="0"/>
    <w:pPr>
      <w:adjustRightInd w:val="0"/>
      <w:spacing w:line="420" w:lineRule="atLeast"/>
      <w:jc w:val="left"/>
      <w:textAlignment w:val="baseline"/>
    </w:pPr>
    <w:rPr>
      <w:kern w:val="0"/>
      <w:szCs w:val="20"/>
    </w:rPr>
  </w:style>
  <w:style w:type="paragraph" w:customStyle="1" w:styleId="337">
    <w:name w:val="xl147"/>
    <w:basedOn w:val="1"/>
    <w:qFormat/>
    <w:uiPriority w:val="0"/>
    <w:pPr>
      <w:widowControl/>
      <w:shd w:val="clear" w:color="FFFFFF" w:fill="FFFFFF"/>
      <w:spacing w:before="100" w:beforeAutospacing="1" w:after="100" w:afterAutospacing="1"/>
      <w:jc w:val="left"/>
      <w:textAlignment w:val="center"/>
    </w:pPr>
    <w:rPr>
      <w:rFonts w:ascii="宋体" w:hAnsi="宋体" w:cs="宋体"/>
      <w:color w:val="000000"/>
      <w:kern w:val="0"/>
      <w:sz w:val="24"/>
    </w:rPr>
  </w:style>
  <w:style w:type="paragraph" w:customStyle="1" w:styleId="33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39">
    <w:name w:val="格式1"/>
    <w:next w:val="1"/>
    <w:qFormat/>
    <w:uiPriority w:val="0"/>
    <w:pPr>
      <w:keepNext/>
      <w:widowControl w:val="0"/>
      <w:adjustRightInd w:val="0"/>
      <w:snapToGrid w:val="0"/>
      <w:spacing w:before="156" w:line="440" w:lineRule="exact"/>
      <w:jc w:val="both"/>
      <w:outlineLvl w:val="3"/>
    </w:pPr>
    <w:rPr>
      <w:rFonts w:ascii="Times New Roman" w:hAnsi="Times New Roman" w:eastAsia="宋体" w:cs="Times New Roman"/>
      <w:b/>
      <w:bCs/>
      <w:sz w:val="24"/>
      <w:szCs w:val="24"/>
      <w:lang w:val="en-US" w:eastAsia="zh-CN" w:bidi="ar-SA"/>
    </w:rPr>
  </w:style>
  <w:style w:type="paragraph" w:customStyle="1" w:styleId="34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41">
    <w:name w:val="xl144"/>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right"/>
      <w:textAlignment w:val="center"/>
    </w:pPr>
    <w:rPr>
      <w:rFonts w:ascii="宋体" w:hAnsi="宋体" w:cs="宋体"/>
      <w:color w:val="000000"/>
      <w:kern w:val="0"/>
      <w:sz w:val="20"/>
      <w:szCs w:val="20"/>
    </w:rPr>
  </w:style>
  <w:style w:type="paragraph" w:customStyle="1" w:styleId="342">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43">
    <w:name w:val="Char Char Char Char Char Char Char Char Char Char Char Char Char Char Char1 Char"/>
    <w:basedOn w:val="1"/>
    <w:qFormat/>
    <w:uiPriority w:val="0"/>
    <w:pPr>
      <w:adjustRightInd w:val="0"/>
      <w:spacing w:line="312" w:lineRule="atLeast"/>
      <w:textAlignment w:val="baseline"/>
    </w:pPr>
    <w:rPr>
      <w:b/>
      <w:bCs/>
      <w:kern w:val="0"/>
      <w:sz w:val="36"/>
      <w:szCs w:val="32"/>
    </w:rPr>
  </w:style>
  <w:style w:type="paragraph" w:customStyle="1" w:styleId="344">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18"/>
      <w:szCs w:val="18"/>
    </w:rPr>
  </w:style>
  <w:style w:type="paragraph" w:customStyle="1" w:styleId="345">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 w:val="18"/>
      <w:szCs w:val="18"/>
    </w:rPr>
  </w:style>
  <w:style w:type="paragraph" w:customStyle="1" w:styleId="346">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993300"/>
      <w:kern w:val="0"/>
      <w:sz w:val="18"/>
      <w:szCs w:val="18"/>
    </w:rPr>
  </w:style>
  <w:style w:type="character" w:customStyle="1" w:styleId="347">
    <w:name w:val="z-窗体顶端 Char2"/>
    <w:link w:val="196"/>
    <w:qFormat/>
    <w:uiPriority w:val="0"/>
    <w:rPr>
      <w:rFonts w:ascii="Arial" w:hAnsi="Arial" w:cs="Arial"/>
      <w:vanish/>
      <w:kern w:val="2"/>
      <w:sz w:val="16"/>
      <w:szCs w:val="16"/>
    </w:rPr>
  </w:style>
  <w:style w:type="paragraph" w:customStyle="1" w:styleId="348">
    <w:name w:val="列出段落3"/>
    <w:basedOn w:val="1"/>
    <w:unhideWhenUsed/>
    <w:qFormat/>
    <w:uiPriority w:val="99"/>
    <w:pPr>
      <w:ind w:firstLine="420" w:firstLineChars="200"/>
    </w:pPr>
    <w:rPr>
      <w:szCs w:val="22"/>
    </w:rPr>
  </w:style>
  <w:style w:type="paragraph" w:customStyle="1" w:styleId="34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50">
    <w:name w:val="xl85"/>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351">
    <w:name w:val="xl3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5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53">
    <w:name w:val="xl134"/>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right"/>
      <w:textAlignment w:val="center"/>
    </w:pPr>
    <w:rPr>
      <w:rFonts w:ascii="宋体" w:hAnsi="宋体" w:cs="宋体"/>
      <w:color w:val="000000"/>
      <w:kern w:val="0"/>
      <w:sz w:val="20"/>
      <w:szCs w:val="20"/>
    </w:rPr>
  </w:style>
  <w:style w:type="paragraph" w:customStyle="1" w:styleId="354">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18"/>
      <w:szCs w:val="18"/>
    </w:rPr>
  </w:style>
  <w:style w:type="paragraph" w:customStyle="1" w:styleId="355">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5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57">
    <w:name w:val="特点"/>
    <w:basedOn w:val="1"/>
    <w:next w:val="20"/>
    <w:qFormat/>
    <w:uiPriority w:val="0"/>
    <w:pPr>
      <w:spacing w:after="120"/>
      <w:ind w:left="1440" w:leftChars="700" w:right="1440" w:rightChars="700"/>
    </w:pPr>
    <w:rPr>
      <w:szCs w:val="21"/>
    </w:rPr>
  </w:style>
  <w:style w:type="paragraph" w:customStyle="1" w:styleId="358">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59">
    <w:name w:val="xl3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60">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4"/>
    </w:rPr>
  </w:style>
  <w:style w:type="paragraph" w:customStyle="1" w:styleId="361">
    <w:name w:val="xl140"/>
    <w:basedOn w:val="1"/>
    <w:qFormat/>
    <w:uiPriority w:val="0"/>
    <w:pPr>
      <w:widowControl/>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362">
    <w:name w:val="xl30"/>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36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64">
    <w:name w:val="Char Char1 Char Char Char Char Char Char Char Char Char 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65">
    <w:name w:val="格式2"/>
    <w:qFormat/>
    <w:uiPriority w:val="0"/>
    <w:pPr>
      <w:widowControl w:val="0"/>
      <w:adjustRightInd w:val="0"/>
      <w:snapToGrid w:val="0"/>
      <w:spacing w:before="50" w:line="440" w:lineRule="exact"/>
      <w:jc w:val="both"/>
    </w:pPr>
    <w:rPr>
      <w:rFonts w:ascii="Times New Roman" w:hAnsi="Times New Roman" w:eastAsia="宋体" w:cs="Times New Roman"/>
      <w:sz w:val="24"/>
      <w:szCs w:val="24"/>
      <w:lang w:val="en-US" w:eastAsia="zh-CN" w:bidi="ar-SA"/>
    </w:rPr>
  </w:style>
  <w:style w:type="paragraph" w:customStyle="1" w:styleId="366">
    <w:name w:val="Char Char Char Char Char Char Char Char Char Char1"/>
    <w:basedOn w:val="1"/>
    <w:qFormat/>
    <w:uiPriority w:val="0"/>
    <w:pPr>
      <w:adjustRightInd w:val="0"/>
      <w:spacing w:line="312" w:lineRule="atLeast"/>
      <w:textAlignment w:val="baseline"/>
    </w:pPr>
    <w:rPr>
      <w:b/>
      <w:bCs/>
      <w:kern w:val="0"/>
      <w:sz w:val="36"/>
      <w:szCs w:val="32"/>
    </w:rPr>
  </w:style>
  <w:style w:type="paragraph" w:customStyle="1" w:styleId="367">
    <w:name w:val="xl143"/>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cs="宋体"/>
      <w:color w:val="000000"/>
      <w:kern w:val="0"/>
      <w:sz w:val="24"/>
    </w:rPr>
  </w:style>
  <w:style w:type="paragraph" w:customStyle="1" w:styleId="368">
    <w:name w:val="_Style 67"/>
    <w:basedOn w:val="1"/>
    <w:qFormat/>
    <w:uiPriority w:val="0"/>
    <w:pPr>
      <w:widowControl/>
      <w:spacing w:after="160" w:line="240" w:lineRule="exact"/>
      <w:jc w:val="left"/>
    </w:pPr>
  </w:style>
  <w:style w:type="paragraph" w:customStyle="1" w:styleId="369">
    <w:name w:val="xl133"/>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370">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71">
    <w:name w:val="xl84"/>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372">
    <w:name w:val="xl127"/>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textAlignment w:val="center"/>
    </w:pPr>
    <w:rPr>
      <w:rFonts w:ascii="宋体" w:hAnsi="宋体" w:cs="宋体"/>
      <w:kern w:val="0"/>
      <w:sz w:val="20"/>
      <w:szCs w:val="20"/>
    </w:rPr>
  </w:style>
  <w:style w:type="paragraph" w:customStyle="1" w:styleId="373">
    <w:name w:val="Char Char Char Char Char Char Char1"/>
    <w:basedOn w:val="1"/>
    <w:qFormat/>
    <w:uiPriority w:val="0"/>
    <w:rPr>
      <w:rFonts w:ascii="仿宋_GB2312" w:eastAsia="仿宋_GB2312"/>
      <w:b/>
      <w:sz w:val="32"/>
      <w:szCs w:val="32"/>
    </w:rPr>
  </w:style>
  <w:style w:type="paragraph" w:customStyle="1" w:styleId="37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7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76">
    <w:name w:val="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77">
    <w:name w:val="xl124"/>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cs="宋体"/>
      <w:color w:val="000000"/>
      <w:kern w:val="0"/>
      <w:sz w:val="20"/>
      <w:szCs w:val="20"/>
    </w:rPr>
  </w:style>
  <w:style w:type="paragraph" w:customStyle="1" w:styleId="378">
    <w:name w:val="font7"/>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379">
    <w:name w:val="正文1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80">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81">
    <w:name w:val="xl131"/>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right"/>
      <w:textAlignment w:val="center"/>
    </w:pPr>
    <w:rPr>
      <w:rFonts w:ascii="宋体" w:hAnsi="宋体" w:cs="宋体"/>
      <w:color w:val="000000"/>
      <w:kern w:val="0"/>
      <w:sz w:val="20"/>
      <w:szCs w:val="20"/>
    </w:rPr>
  </w:style>
  <w:style w:type="paragraph" w:customStyle="1" w:styleId="38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83">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84">
    <w:name w:val="xl7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18"/>
      <w:szCs w:val="18"/>
    </w:rPr>
  </w:style>
  <w:style w:type="paragraph" w:customStyle="1" w:styleId="385">
    <w:name w:val="xl93"/>
    <w:basedOn w:val="1"/>
    <w:qFormat/>
    <w:uiPriority w:val="0"/>
    <w:pPr>
      <w:widowControl/>
      <w:shd w:val="clear" w:color="FFFFFF" w:fill="FFFFFF"/>
      <w:spacing w:before="100" w:beforeAutospacing="1" w:after="100" w:afterAutospacing="1"/>
      <w:jc w:val="right"/>
      <w:textAlignment w:val="center"/>
    </w:pPr>
    <w:rPr>
      <w:rFonts w:ascii="宋体" w:hAnsi="宋体" w:cs="宋体"/>
      <w:color w:val="000000"/>
      <w:kern w:val="0"/>
      <w:sz w:val="24"/>
    </w:rPr>
  </w:style>
  <w:style w:type="paragraph" w:customStyle="1" w:styleId="386">
    <w:name w:val="_Style 108"/>
    <w:basedOn w:val="1"/>
    <w:qFormat/>
    <w:uiPriority w:val="0"/>
    <w:pPr>
      <w:widowControl/>
      <w:spacing w:after="160" w:line="240" w:lineRule="exact"/>
      <w:jc w:val="left"/>
    </w:pPr>
  </w:style>
  <w:style w:type="paragraph" w:customStyle="1" w:styleId="387">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88">
    <w:name w:val="无间隔1"/>
    <w:qFormat/>
    <w:uiPriority w:val="1"/>
    <w:pPr>
      <w:widowControl w:val="0"/>
    </w:pPr>
    <w:rPr>
      <w:rFonts w:ascii="Calibri" w:hAnsi="Calibri" w:eastAsia="宋体" w:cs="Times New Roman"/>
      <w:kern w:val="2"/>
      <w:sz w:val="21"/>
      <w:szCs w:val="22"/>
      <w:lang w:val="en-US" w:eastAsia="zh-CN" w:bidi="ar-SA"/>
    </w:rPr>
  </w:style>
  <w:style w:type="table" w:customStyle="1" w:styleId="389">
    <w:name w:val="网格型1"/>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90">
    <w:name w:val="TOC 标题2"/>
    <w:basedOn w:val="3"/>
    <w:next w:val="1"/>
    <w:qFormat/>
    <w:uiPriority w:val="0"/>
    <w:pPr>
      <w:outlineLvl w:val="9"/>
    </w:pPr>
  </w:style>
  <w:style w:type="character" w:customStyle="1" w:styleId="391">
    <w:name w:val="书籍标题2"/>
    <w:qFormat/>
    <w:uiPriority w:val="0"/>
    <w:rPr>
      <w:b/>
      <w:bCs/>
      <w:smallCaps/>
      <w:spacing w:val="5"/>
    </w:rPr>
  </w:style>
  <w:style w:type="character" w:customStyle="1" w:styleId="392">
    <w:name w:val="明显强调2"/>
    <w:qFormat/>
    <w:uiPriority w:val="0"/>
    <w:rPr>
      <w:b/>
      <w:bCs/>
      <w:i/>
      <w:iCs/>
      <w:color w:val="4F81BD"/>
    </w:rPr>
  </w:style>
  <w:style w:type="character" w:customStyle="1" w:styleId="393">
    <w:name w:val="不明显强调2"/>
    <w:qFormat/>
    <w:uiPriority w:val="0"/>
    <w:rPr>
      <w:i/>
      <w:iCs/>
      <w:color w:val="808080"/>
    </w:rPr>
  </w:style>
  <w:style w:type="character" w:customStyle="1" w:styleId="394">
    <w:name w:val="不明显参考2"/>
    <w:qFormat/>
    <w:uiPriority w:val="0"/>
    <w:rPr>
      <w:smallCaps/>
      <w:color w:val="C0504D"/>
      <w:u w:val="single"/>
    </w:rPr>
  </w:style>
  <w:style w:type="character" w:customStyle="1" w:styleId="395">
    <w:name w:val="明显参考2"/>
    <w:qFormat/>
    <w:uiPriority w:val="0"/>
    <w:rPr>
      <w:b/>
      <w:bCs/>
      <w:smallCaps/>
      <w:color w:val="C0504D"/>
      <w:spacing w:val="5"/>
      <w:u w:val="single"/>
    </w:rPr>
  </w:style>
  <w:style w:type="paragraph" w:customStyle="1" w:styleId="396">
    <w:name w:val="修订2"/>
    <w:qFormat/>
    <w:uiPriority w:val="0"/>
    <w:rPr>
      <w:rFonts w:ascii="Times New Roman" w:hAnsi="Times New Roman" w:eastAsia="宋体" w:cs="Times New Roman"/>
      <w:kern w:val="2"/>
      <w:sz w:val="21"/>
      <w:szCs w:val="24"/>
      <w:lang w:val="en-US" w:eastAsia="zh-CN" w:bidi="ar-SA"/>
    </w:rPr>
  </w:style>
  <w:style w:type="table" w:customStyle="1" w:styleId="397">
    <w:name w:val="网格型2"/>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98">
    <w:name w:val="书籍标题21"/>
    <w:qFormat/>
    <w:uiPriority w:val="0"/>
    <w:rPr>
      <w:b/>
      <w:bCs/>
      <w:smallCaps/>
      <w:spacing w:val="5"/>
    </w:rPr>
  </w:style>
  <w:style w:type="character" w:customStyle="1" w:styleId="399">
    <w:name w:val="明显参考21"/>
    <w:qFormat/>
    <w:uiPriority w:val="0"/>
    <w:rPr>
      <w:b/>
      <w:bCs/>
      <w:smallCaps/>
      <w:color w:val="C0504D"/>
      <w:spacing w:val="5"/>
      <w:u w:val="single"/>
    </w:rPr>
  </w:style>
  <w:style w:type="character" w:customStyle="1" w:styleId="400">
    <w:name w:val="不明显强调21"/>
    <w:qFormat/>
    <w:uiPriority w:val="0"/>
    <w:rPr>
      <w:i/>
      <w:iCs/>
      <w:color w:val="808080"/>
    </w:rPr>
  </w:style>
  <w:style w:type="character" w:customStyle="1" w:styleId="401">
    <w:name w:val="不明显参考21"/>
    <w:qFormat/>
    <w:uiPriority w:val="0"/>
    <w:rPr>
      <w:smallCaps/>
      <w:color w:val="C0504D"/>
      <w:u w:val="single"/>
    </w:rPr>
  </w:style>
  <w:style w:type="character" w:customStyle="1" w:styleId="402">
    <w:name w:val="明显强调21"/>
    <w:qFormat/>
    <w:uiPriority w:val="0"/>
    <w:rPr>
      <w:b/>
      <w:bCs/>
      <w:i/>
      <w:iCs/>
      <w:color w:val="4F81BD"/>
    </w:rPr>
  </w:style>
  <w:style w:type="character" w:customStyle="1" w:styleId="403">
    <w:name w:val="正文文本缩进 Char1"/>
    <w:semiHidden/>
    <w:qFormat/>
    <w:uiPriority w:val="99"/>
    <w:rPr>
      <w:rFonts w:ascii="宋体" w:hAnsi="宋体"/>
      <w:kern w:val="2"/>
      <w:sz w:val="24"/>
      <w:szCs w:val="24"/>
    </w:rPr>
  </w:style>
  <w:style w:type="character" w:customStyle="1" w:styleId="404">
    <w:name w:val="正文文本 3 Char1"/>
    <w:semiHidden/>
    <w:qFormat/>
    <w:uiPriority w:val="99"/>
    <w:rPr>
      <w:rFonts w:ascii="宋体" w:hAnsi="宋体"/>
      <w:kern w:val="2"/>
      <w:sz w:val="16"/>
      <w:szCs w:val="16"/>
    </w:rPr>
  </w:style>
  <w:style w:type="character" w:customStyle="1" w:styleId="405">
    <w:name w:val="文档结构图 Char3"/>
    <w:semiHidden/>
    <w:qFormat/>
    <w:uiPriority w:val="0"/>
    <w:rPr>
      <w:rFonts w:ascii="Microsoft YaHei UI" w:hAnsi="宋体" w:eastAsia="Microsoft YaHei UI"/>
      <w:kern w:val="2"/>
      <w:sz w:val="18"/>
      <w:szCs w:val="18"/>
    </w:rPr>
  </w:style>
  <w:style w:type="character" w:customStyle="1" w:styleId="406">
    <w:name w:val="标题 Char2"/>
    <w:qFormat/>
    <w:uiPriority w:val="0"/>
    <w:rPr>
      <w:rFonts w:ascii="Calibri Light" w:hAnsi="Calibri Light" w:cs="Times New Roman"/>
      <w:b/>
      <w:bCs/>
      <w:kern w:val="2"/>
      <w:sz w:val="32"/>
      <w:szCs w:val="32"/>
    </w:rPr>
  </w:style>
  <w:style w:type="character" w:customStyle="1" w:styleId="407">
    <w:name w:val="纯文本 Char2"/>
    <w:semiHidden/>
    <w:qFormat/>
    <w:uiPriority w:val="0"/>
    <w:rPr>
      <w:rFonts w:ascii="宋体" w:hAnsi="Courier New" w:cs="Courier New"/>
      <w:kern w:val="2"/>
      <w:sz w:val="21"/>
      <w:szCs w:val="21"/>
    </w:rPr>
  </w:style>
  <w:style w:type="paragraph" w:customStyle="1" w:styleId="408">
    <w:name w:val="TOC 标题21"/>
    <w:basedOn w:val="3"/>
    <w:next w:val="1"/>
    <w:qFormat/>
    <w:uiPriority w:val="0"/>
    <w:pPr>
      <w:outlineLvl w:val="9"/>
    </w:pPr>
  </w:style>
  <w:style w:type="character" w:customStyle="1" w:styleId="409">
    <w:name w:val="引用 Char2"/>
    <w:qFormat/>
    <w:uiPriority w:val="0"/>
    <w:rPr>
      <w:rFonts w:ascii="宋体" w:hAnsi="宋体"/>
      <w:i/>
      <w:iCs/>
      <w:color w:val="404040"/>
      <w:kern w:val="2"/>
      <w:sz w:val="24"/>
      <w:szCs w:val="24"/>
    </w:rPr>
  </w:style>
  <w:style w:type="paragraph" w:customStyle="1" w:styleId="410">
    <w:name w:val="修订21"/>
    <w:qFormat/>
    <w:uiPriority w:val="0"/>
    <w:rPr>
      <w:rFonts w:ascii="Times New Roman" w:hAnsi="Times New Roman" w:eastAsia="宋体" w:cs="Times New Roman"/>
      <w:kern w:val="2"/>
      <w:sz w:val="21"/>
      <w:szCs w:val="24"/>
      <w:lang w:val="en-US" w:eastAsia="zh-CN" w:bidi="ar-SA"/>
    </w:rPr>
  </w:style>
  <w:style w:type="character" w:customStyle="1" w:styleId="411">
    <w:name w:val="明显引用 Char2"/>
    <w:qFormat/>
    <w:uiPriority w:val="0"/>
    <w:rPr>
      <w:rFonts w:ascii="宋体" w:hAnsi="宋体"/>
      <w:i/>
      <w:iCs/>
      <w:color w:val="5B9BD5"/>
      <w:kern w:val="2"/>
      <w:sz w:val="24"/>
      <w:szCs w:val="24"/>
    </w:rPr>
  </w:style>
  <w:style w:type="table" w:customStyle="1" w:styleId="412">
    <w:name w:val="网格型3"/>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13">
    <w:name w:val="网格型4"/>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14">
    <w:name w:val="标题 2 字符1"/>
    <w:qFormat/>
    <w:uiPriority w:val="0"/>
    <w:rPr>
      <w:rFonts w:ascii="Cambria" w:hAnsi="Cambria"/>
      <w:b/>
      <w:bCs/>
      <w:kern w:val="2"/>
      <w:sz w:val="32"/>
      <w:szCs w:val="32"/>
    </w:rPr>
  </w:style>
  <w:style w:type="character" w:customStyle="1" w:styleId="415">
    <w:name w:val="样式 标题 1 + 宋体 小四 Char"/>
    <w:link w:val="416"/>
    <w:qFormat/>
    <w:locked/>
    <w:uiPriority w:val="99"/>
    <w:rPr>
      <w:rFonts w:ascii="宋体" w:hAnsi="宋体"/>
      <w:b/>
      <w:bCs/>
      <w:kern w:val="44"/>
      <w:sz w:val="44"/>
      <w:szCs w:val="44"/>
    </w:rPr>
  </w:style>
  <w:style w:type="paragraph" w:customStyle="1" w:styleId="416">
    <w:name w:val="样式 标题 1 + 宋体 小四"/>
    <w:basedOn w:val="3"/>
    <w:link w:val="415"/>
    <w:qFormat/>
    <w:uiPriority w:val="99"/>
    <w:pPr>
      <w:spacing w:line="576" w:lineRule="auto"/>
    </w:pPr>
    <w:rPr>
      <w:rFonts w:ascii="宋体" w:hAnsi="宋体"/>
    </w:rPr>
  </w:style>
  <w:style w:type="character" w:customStyle="1" w:styleId="417">
    <w:name w:val="Plain Text Char"/>
    <w:qFormat/>
    <w:locked/>
    <w:uiPriority w:val="99"/>
    <w:rPr>
      <w:rFonts w:hint="eastAsia" w:ascii="宋体" w:hAnsi="Courier New" w:eastAsia="宋体"/>
      <w:kern w:val="2"/>
      <w:sz w:val="21"/>
      <w:lang w:val="en-US" w:eastAsia="zh-CN"/>
    </w:rPr>
  </w:style>
  <w:style w:type="paragraph" w:customStyle="1" w:styleId="418">
    <w:name w:val="_Style 28"/>
    <w:basedOn w:val="1"/>
    <w:qFormat/>
    <w:uiPriority w:val="0"/>
  </w:style>
  <w:style w:type="paragraph" w:customStyle="1" w:styleId="419">
    <w:name w:val="Char4"/>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20">
    <w:name w:val="Char Char1 Char Char Char Char Char Char Char Char Char Char Char 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21">
    <w:name w:val="Char Char Char2"/>
    <w:basedOn w:val="1"/>
    <w:qFormat/>
    <w:uiPriority w:val="0"/>
    <w:pPr>
      <w:widowControl/>
      <w:spacing w:after="160" w:line="240" w:lineRule="exact"/>
      <w:jc w:val="left"/>
    </w:pPr>
  </w:style>
  <w:style w:type="paragraph" w:customStyle="1" w:styleId="422">
    <w:name w:val="Char Char Char Char Char1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23">
    <w:name w:val="Char Char Char Char Char Char Char Char Char Char2"/>
    <w:basedOn w:val="1"/>
    <w:qFormat/>
    <w:uiPriority w:val="0"/>
    <w:pPr>
      <w:adjustRightInd w:val="0"/>
      <w:spacing w:line="312" w:lineRule="atLeast"/>
      <w:textAlignment w:val="baseline"/>
    </w:pPr>
    <w:rPr>
      <w:b/>
      <w:bCs/>
      <w:kern w:val="0"/>
      <w:sz w:val="36"/>
      <w:szCs w:val="32"/>
    </w:rPr>
  </w:style>
  <w:style w:type="paragraph" w:customStyle="1" w:styleId="424">
    <w:name w:val="Char12"/>
    <w:basedOn w:val="1"/>
    <w:qFormat/>
    <w:uiPriority w:val="0"/>
    <w:pPr>
      <w:spacing w:after="160" w:line="240" w:lineRule="exact"/>
    </w:pPr>
  </w:style>
  <w:style w:type="paragraph" w:customStyle="1" w:styleId="425">
    <w:name w:val="_Style 11"/>
    <w:basedOn w:val="1"/>
    <w:qFormat/>
    <w:uiPriority w:val="0"/>
  </w:style>
  <w:style w:type="paragraph" w:customStyle="1" w:styleId="426">
    <w:name w:val="Char Char Char Char Char Char Char2"/>
    <w:basedOn w:val="1"/>
    <w:qFormat/>
    <w:uiPriority w:val="0"/>
    <w:pPr>
      <w:widowControl/>
      <w:snapToGrid w:val="0"/>
      <w:spacing w:after="160" w:line="360" w:lineRule="auto"/>
      <w:jc w:val="left"/>
    </w:pPr>
    <w:rPr>
      <w:szCs w:val="20"/>
    </w:rPr>
  </w:style>
  <w:style w:type="character" w:customStyle="1" w:styleId="427">
    <w:name w:val="Char Char11"/>
    <w:qFormat/>
    <w:uiPriority w:val="0"/>
    <w:rPr>
      <w:rFonts w:ascii="Cambria" w:hAnsi="Cambria" w:eastAsia="宋体"/>
      <w:b/>
      <w:bCs/>
      <w:kern w:val="2"/>
      <w:sz w:val="32"/>
      <w:szCs w:val="32"/>
      <w:lang w:val="en-US" w:eastAsia="zh-CN" w:bidi="ar-SA"/>
    </w:rPr>
  </w:style>
  <w:style w:type="character" w:customStyle="1" w:styleId="428">
    <w:name w:val="标题 3 字符1"/>
    <w:qFormat/>
    <w:uiPriority w:val="0"/>
    <w:rPr>
      <w:rFonts w:eastAsia="宋体"/>
      <w:b/>
      <w:bCs/>
      <w:kern w:val="2"/>
      <w:sz w:val="32"/>
      <w:szCs w:val="32"/>
      <w:lang w:val="en-US" w:eastAsia="zh-CN" w:bidi="ar-SA"/>
    </w:rPr>
  </w:style>
  <w:style w:type="character" w:customStyle="1" w:styleId="429">
    <w:name w:val="批注文字 字符1"/>
    <w:qFormat/>
    <w:uiPriority w:val="0"/>
    <w:rPr>
      <w:kern w:val="2"/>
      <w:sz w:val="21"/>
      <w:szCs w:val="24"/>
    </w:rPr>
  </w:style>
  <w:style w:type="character" w:customStyle="1" w:styleId="430">
    <w:name w:val="正文文本缩进 3 字符1"/>
    <w:qFormat/>
    <w:uiPriority w:val="0"/>
    <w:rPr>
      <w:kern w:val="2"/>
      <w:sz w:val="16"/>
      <w:szCs w:val="16"/>
    </w:rPr>
  </w:style>
  <w:style w:type="character" w:customStyle="1" w:styleId="431">
    <w:name w:val="Char Char8"/>
    <w:qFormat/>
    <w:uiPriority w:val="0"/>
    <w:rPr>
      <w:rFonts w:ascii="Cambria" w:hAnsi="Cambria" w:eastAsia="宋体"/>
      <w:b/>
      <w:bCs/>
      <w:kern w:val="2"/>
      <w:sz w:val="32"/>
      <w:szCs w:val="32"/>
      <w:lang w:val="en-US" w:eastAsia="zh-CN" w:bidi="ar-SA"/>
    </w:rPr>
  </w:style>
  <w:style w:type="character" w:customStyle="1" w:styleId="432">
    <w:name w:val="页脚 字符1"/>
    <w:qFormat/>
    <w:uiPriority w:val="99"/>
    <w:rPr>
      <w:kern w:val="2"/>
      <w:sz w:val="18"/>
      <w:szCs w:val="24"/>
    </w:rPr>
  </w:style>
  <w:style w:type="character" w:customStyle="1" w:styleId="433">
    <w:name w:val="msonormal"/>
    <w:basedOn w:val="47"/>
    <w:qFormat/>
    <w:uiPriority w:val="0"/>
  </w:style>
  <w:style w:type="character" w:customStyle="1" w:styleId="434">
    <w:name w:val="bg_error"/>
    <w:qFormat/>
    <w:uiPriority w:val="0"/>
    <w:rPr>
      <w:color w:val="000000"/>
      <w:sz w:val="18"/>
      <w:szCs w:val="18"/>
    </w:rPr>
  </w:style>
  <w:style w:type="character" w:customStyle="1" w:styleId="435">
    <w:name w:val="页眉 字符"/>
    <w:qFormat/>
    <w:uiPriority w:val="0"/>
    <w:rPr>
      <w:rFonts w:eastAsia="宋体"/>
      <w:kern w:val="2"/>
      <w:sz w:val="18"/>
      <w:szCs w:val="24"/>
      <w:lang w:val="en-US" w:eastAsia="zh-CN" w:bidi="ar-SA"/>
    </w:rPr>
  </w:style>
  <w:style w:type="character" w:customStyle="1" w:styleId="436">
    <w:name w:val="正文首行缩进 Char1"/>
    <w:qFormat/>
    <w:uiPriority w:val="0"/>
    <w:rPr>
      <w:rFonts w:ascii="宋体"/>
      <w:kern w:val="2"/>
      <w:sz w:val="18"/>
      <w:szCs w:val="18"/>
    </w:rPr>
  </w:style>
  <w:style w:type="character" w:customStyle="1" w:styleId="437">
    <w:name w:val="正文文本 字符1"/>
    <w:qFormat/>
    <w:uiPriority w:val="0"/>
    <w:rPr>
      <w:rFonts w:eastAsia="宋体"/>
      <w:kern w:val="2"/>
      <w:sz w:val="21"/>
      <w:szCs w:val="24"/>
      <w:lang w:val="en-US" w:eastAsia="zh-CN" w:bidi="ar-SA"/>
    </w:rPr>
  </w:style>
  <w:style w:type="character" w:customStyle="1" w:styleId="438">
    <w:name w:val="正文首行缩进 Char"/>
    <w:basedOn w:val="61"/>
    <w:link w:val="44"/>
    <w:qFormat/>
    <w:uiPriority w:val="99"/>
    <w:rPr>
      <w:rFonts w:eastAsia="宋体"/>
      <w:kern w:val="2"/>
      <w:sz w:val="21"/>
      <w:szCs w:val="24"/>
      <w:lang w:val="en-US" w:eastAsia="zh-CN" w:bidi="ar-SA"/>
    </w:rPr>
  </w:style>
  <w:style w:type="character" w:customStyle="1" w:styleId="439">
    <w:name w:val="Char Char22"/>
    <w:qFormat/>
    <w:uiPriority w:val="0"/>
    <w:rPr>
      <w:rFonts w:eastAsia="宋体"/>
      <w:kern w:val="2"/>
      <w:sz w:val="21"/>
      <w:szCs w:val="24"/>
      <w:lang w:val="en-US" w:eastAsia="zh-CN" w:bidi="ar-SA"/>
    </w:rPr>
  </w:style>
  <w:style w:type="character" w:customStyle="1" w:styleId="440">
    <w:name w:val="标题 4 字符1"/>
    <w:qFormat/>
    <w:uiPriority w:val="0"/>
    <w:rPr>
      <w:rFonts w:ascii="Arial" w:hAnsi="Arial" w:eastAsia="黑体"/>
      <w:b/>
      <w:bCs/>
      <w:kern w:val="2"/>
      <w:sz w:val="28"/>
      <w:szCs w:val="28"/>
      <w:lang w:val="en-US" w:eastAsia="zh-CN" w:bidi="ar-SA"/>
    </w:rPr>
  </w:style>
  <w:style w:type="character" w:customStyle="1" w:styleId="441">
    <w:name w:val="Comment Text Char"/>
    <w:qFormat/>
    <w:uiPriority w:val="0"/>
    <w:rPr>
      <w:rFonts w:eastAsia="宋体" w:cs="Times New Roman"/>
      <w:kern w:val="2"/>
      <w:sz w:val="24"/>
      <w:szCs w:val="24"/>
      <w:lang w:val="en-US" w:eastAsia="zh-CN" w:bidi="ar-SA"/>
    </w:rPr>
  </w:style>
  <w:style w:type="character" w:customStyle="1" w:styleId="442">
    <w:name w:val="正文文本缩进 2 字符"/>
    <w:qFormat/>
    <w:uiPriority w:val="0"/>
    <w:rPr>
      <w:kern w:val="2"/>
      <w:sz w:val="21"/>
      <w:szCs w:val="24"/>
    </w:rPr>
  </w:style>
  <w:style w:type="character" w:customStyle="1" w:styleId="443">
    <w:name w:val="文档结构图 字符"/>
    <w:qFormat/>
    <w:uiPriority w:val="0"/>
    <w:rPr>
      <w:kern w:val="2"/>
      <w:sz w:val="21"/>
      <w:szCs w:val="24"/>
      <w:shd w:val="clear" w:color="auto" w:fill="000080"/>
    </w:rPr>
  </w:style>
  <w:style w:type="character" w:customStyle="1" w:styleId="444">
    <w:name w:val="正文文本 字符"/>
    <w:qFormat/>
    <w:uiPriority w:val="0"/>
    <w:rPr>
      <w:rFonts w:eastAsia="宋体"/>
      <w:kern w:val="2"/>
      <w:sz w:val="21"/>
      <w:szCs w:val="24"/>
      <w:lang w:val="en-US" w:eastAsia="zh-CN" w:bidi="ar-SA"/>
    </w:rPr>
  </w:style>
  <w:style w:type="character" w:customStyle="1" w:styleId="445">
    <w:name w:val="批注框文本 字符1"/>
    <w:qFormat/>
    <w:uiPriority w:val="0"/>
    <w:rPr>
      <w:kern w:val="2"/>
      <w:sz w:val="18"/>
      <w:szCs w:val="18"/>
    </w:rPr>
  </w:style>
  <w:style w:type="character" w:customStyle="1" w:styleId="446">
    <w:name w:val="正文文本 3 字符"/>
    <w:semiHidden/>
    <w:qFormat/>
    <w:uiPriority w:val="99"/>
    <w:rPr>
      <w:kern w:val="2"/>
      <w:sz w:val="16"/>
      <w:szCs w:val="16"/>
    </w:rPr>
  </w:style>
  <w:style w:type="character" w:customStyle="1" w:styleId="447">
    <w:name w:val="nor"/>
    <w:qFormat/>
    <w:uiPriority w:val="0"/>
    <w:rPr>
      <w:color w:val="000000"/>
    </w:rPr>
  </w:style>
  <w:style w:type="character" w:customStyle="1" w:styleId="448">
    <w:name w:val="正文文本缩进 字符"/>
    <w:qFormat/>
    <w:uiPriority w:val="0"/>
    <w:rPr>
      <w:kern w:val="2"/>
      <w:sz w:val="21"/>
      <w:szCs w:val="24"/>
    </w:rPr>
  </w:style>
  <w:style w:type="character" w:customStyle="1" w:styleId="449">
    <w:name w:val="Char Char81"/>
    <w:qFormat/>
    <w:uiPriority w:val="0"/>
    <w:rPr>
      <w:rFonts w:ascii="Cambria" w:hAnsi="Cambria" w:eastAsia="宋体"/>
      <w:b/>
      <w:bCs/>
      <w:kern w:val="2"/>
      <w:sz w:val="32"/>
      <w:szCs w:val="32"/>
      <w:lang w:val="en-US" w:eastAsia="zh-CN" w:bidi="ar-SA"/>
    </w:rPr>
  </w:style>
  <w:style w:type="character" w:customStyle="1" w:styleId="450">
    <w:name w:val="批注主题 字符1"/>
    <w:qFormat/>
    <w:uiPriority w:val="0"/>
    <w:rPr>
      <w:b/>
      <w:bCs/>
      <w:kern w:val="2"/>
      <w:sz w:val="21"/>
      <w:szCs w:val="24"/>
    </w:rPr>
  </w:style>
  <w:style w:type="character" w:customStyle="1" w:styleId="451">
    <w:name w:val="日期 字符1"/>
    <w:qFormat/>
    <w:uiPriority w:val="0"/>
    <w:rPr>
      <w:kern w:val="2"/>
      <w:sz w:val="21"/>
      <w:szCs w:val="24"/>
    </w:rPr>
  </w:style>
  <w:style w:type="character" w:customStyle="1" w:styleId="452">
    <w:name w:val="文档结构图 字符1"/>
    <w:qFormat/>
    <w:uiPriority w:val="0"/>
    <w:rPr>
      <w:kern w:val="2"/>
      <w:sz w:val="21"/>
      <w:szCs w:val="24"/>
      <w:shd w:val="clear" w:color="auto" w:fill="000080"/>
    </w:rPr>
  </w:style>
  <w:style w:type="character" w:customStyle="1" w:styleId="453">
    <w:name w:val="正文首行缩进 字符"/>
    <w:qFormat/>
    <w:uiPriority w:val="0"/>
  </w:style>
  <w:style w:type="character" w:customStyle="1" w:styleId="454">
    <w:name w:val="标题 1 字符1"/>
    <w:qFormat/>
    <w:uiPriority w:val="0"/>
    <w:rPr>
      <w:rFonts w:eastAsia="宋体"/>
      <w:b/>
      <w:bCs/>
      <w:kern w:val="44"/>
      <w:sz w:val="44"/>
      <w:szCs w:val="44"/>
      <w:lang w:val="en-US" w:eastAsia="zh-CN" w:bidi="ar-SA"/>
    </w:rPr>
  </w:style>
  <w:style w:type="character" w:customStyle="1" w:styleId="455">
    <w:name w:val="日期 字符"/>
    <w:qFormat/>
    <w:uiPriority w:val="0"/>
    <w:rPr>
      <w:kern w:val="2"/>
      <w:sz w:val="21"/>
      <w:szCs w:val="24"/>
    </w:rPr>
  </w:style>
  <w:style w:type="character" w:customStyle="1" w:styleId="456">
    <w:name w:val="标题 3 字符"/>
    <w:qFormat/>
    <w:uiPriority w:val="0"/>
    <w:rPr>
      <w:rFonts w:eastAsia="宋体"/>
      <w:b/>
      <w:bCs/>
      <w:kern w:val="2"/>
      <w:sz w:val="32"/>
      <w:szCs w:val="32"/>
      <w:lang w:val="en-US" w:eastAsia="zh-CN" w:bidi="ar-SA"/>
    </w:rPr>
  </w:style>
  <w:style w:type="character" w:customStyle="1" w:styleId="457">
    <w:name w:val="Heading 3 Char"/>
    <w:qFormat/>
    <w:uiPriority w:val="0"/>
    <w:rPr>
      <w:rFonts w:eastAsia="宋体" w:cs="Times New Roman"/>
      <w:b/>
      <w:bCs/>
      <w:kern w:val="2"/>
      <w:sz w:val="32"/>
      <w:szCs w:val="32"/>
      <w:lang w:val="en-US" w:eastAsia="zh-CN" w:bidi="ar-SA"/>
    </w:rPr>
  </w:style>
  <w:style w:type="character" w:customStyle="1" w:styleId="458">
    <w:name w:val="正文文本缩进 3 字符"/>
    <w:qFormat/>
    <w:uiPriority w:val="0"/>
    <w:rPr>
      <w:kern w:val="2"/>
      <w:sz w:val="16"/>
      <w:szCs w:val="16"/>
    </w:rPr>
  </w:style>
  <w:style w:type="character" w:customStyle="1" w:styleId="459">
    <w:name w:val="批注文字 字符"/>
    <w:qFormat/>
    <w:uiPriority w:val="0"/>
    <w:rPr>
      <w:rFonts w:eastAsia="宋体"/>
      <w:kern w:val="2"/>
      <w:sz w:val="21"/>
      <w:szCs w:val="24"/>
      <w:lang w:val="en-US" w:eastAsia="zh-CN" w:bidi="ar-SA"/>
    </w:rPr>
  </w:style>
  <w:style w:type="character" w:customStyle="1" w:styleId="460">
    <w:name w:val="标题 1 字符"/>
    <w:qFormat/>
    <w:uiPriority w:val="0"/>
    <w:rPr>
      <w:rFonts w:eastAsia="宋体"/>
      <w:b/>
      <w:bCs/>
      <w:kern w:val="44"/>
      <w:sz w:val="44"/>
      <w:szCs w:val="44"/>
      <w:lang w:val="en-US" w:eastAsia="zh-CN" w:bidi="ar-SA"/>
    </w:rPr>
  </w:style>
  <w:style w:type="character" w:customStyle="1" w:styleId="461">
    <w:name w:val="标题 2 字符"/>
    <w:qFormat/>
    <w:uiPriority w:val="0"/>
    <w:rPr>
      <w:rFonts w:ascii="Cambria" w:hAnsi="Cambria" w:eastAsia="宋体"/>
      <w:b/>
      <w:bCs/>
      <w:kern w:val="2"/>
      <w:sz w:val="32"/>
      <w:szCs w:val="32"/>
      <w:lang w:val="en-US" w:eastAsia="zh-CN" w:bidi="ar-SA"/>
    </w:rPr>
  </w:style>
  <w:style w:type="character" w:customStyle="1" w:styleId="462">
    <w:name w:val="页眉 字符1"/>
    <w:qFormat/>
    <w:uiPriority w:val="0"/>
    <w:rPr>
      <w:rFonts w:eastAsia="宋体"/>
      <w:kern w:val="2"/>
      <w:sz w:val="18"/>
      <w:szCs w:val="24"/>
      <w:lang w:val="en-US" w:eastAsia="zh-CN" w:bidi="ar-SA"/>
    </w:rPr>
  </w:style>
  <w:style w:type="character" w:customStyle="1" w:styleId="463">
    <w:name w:val="正文文本 3 字符1"/>
    <w:qFormat/>
    <w:uiPriority w:val="99"/>
    <w:rPr>
      <w:kern w:val="2"/>
      <w:sz w:val="16"/>
      <w:szCs w:val="16"/>
    </w:rPr>
  </w:style>
  <w:style w:type="character" w:customStyle="1" w:styleId="464">
    <w:name w:val="正文文本缩进 字符1"/>
    <w:qFormat/>
    <w:uiPriority w:val="0"/>
    <w:rPr>
      <w:kern w:val="2"/>
      <w:sz w:val="21"/>
      <w:szCs w:val="24"/>
    </w:rPr>
  </w:style>
  <w:style w:type="character" w:customStyle="1" w:styleId="465">
    <w:name w:val="页脚 字符"/>
    <w:qFormat/>
    <w:uiPriority w:val="99"/>
    <w:rPr>
      <w:kern w:val="2"/>
      <w:sz w:val="18"/>
      <w:szCs w:val="24"/>
    </w:rPr>
  </w:style>
  <w:style w:type="character" w:customStyle="1" w:styleId="466">
    <w:name w:val="标题 4 字符"/>
    <w:qFormat/>
    <w:uiPriority w:val="0"/>
    <w:rPr>
      <w:rFonts w:ascii="Arial" w:hAnsi="Arial" w:eastAsia="黑体"/>
      <w:b/>
      <w:bCs/>
      <w:kern w:val="2"/>
      <w:sz w:val="28"/>
      <w:szCs w:val="28"/>
      <w:lang w:val="en-US" w:eastAsia="zh-CN" w:bidi="ar-SA"/>
    </w:rPr>
  </w:style>
  <w:style w:type="character" w:customStyle="1" w:styleId="467">
    <w:name w:val="标题 字符1"/>
    <w:qFormat/>
    <w:uiPriority w:val="0"/>
    <w:rPr>
      <w:rFonts w:ascii="Cambria" w:hAnsi="Cambria"/>
      <w:b/>
      <w:bCs/>
      <w:kern w:val="2"/>
      <w:sz w:val="32"/>
      <w:szCs w:val="32"/>
    </w:rPr>
  </w:style>
  <w:style w:type="character" w:customStyle="1" w:styleId="468">
    <w:name w:val="标题 字符"/>
    <w:qFormat/>
    <w:uiPriority w:val="0"/>
    <w:rPr>
      <w:rFonts w:ascii="Cambria" w:hAnsi="Cambria"/>
      <w:b/>
      <w:bCs/>
      <w:kern w:val="2"/>
      <w:sz w:val="32"/>
      <w:szCs w:val="32"/>
    </w:rPr>
  </w:style>
  <w:style w:type="character" w:customStyle="1" w:styleId="469">
    <w:name w:val="批注框文本 字符"/>
    <w:qFormat/>
    <w:uiPriority w:val="0"/>
    <w:rPr>
      <w:kern w:val="2"/>
      <w:sz w:val="18"/>
      <w:szCs w:val="18"/>
    </w:rPr>
  </w:style>
  <w:style w:type="character" w:customStyle="1" w:styleId="470">
    <w:name w:val="批注主题 字符"/>
    <w:qFormat/>
    <w:uiPriority w:val="0"/>
    <w:rPr>
      <w:rFonts w:eastAsia="宋体"/>
      <w:b/>
      <w:bCs/>
      <w:kern w:val="2"/>
      <w:sz w:val="21"/>
      <w:szCs w:val="24"/>
      <w:lang w:val="en-US" w:eastAsia="zh-CN" w:bidi="ar-SA"/>
    </w:rPr>
  </w:style>
  <w:style w:type="character" w:customStyle="1" w:styleId="471">
    <w:name w:val="纯文本 字符1"/>
    <w:qFormat/>
    <w:uiPriority w:val="0"/>
    <w:rPr>
      <w:rFonts w:ascii="宋体" w:hAnsi="Courier New" w:cs="Courier New"/>
      <w:kern w:val="2"/>
      <w:sz w:val="21"/>
      <w:szCs w:val="21"/>
    </w:rPr>
  </w:style>
  <w:style w:type="character" w:customStyle="1" w:styleId="472">
    <w:name w:val="bg_right"/>
    <w:qFormat/>
    <w:uiPriority w:val="0"/>
    <w:rPr>
      <w:color w:val="5A8F00"/>
      <w:sz w:val="24"/>
      <w:szCs w:val="24"/>
    </w:rPr>
  </w:style>
  <w:style w:type="character" w:customStyle="1" w:styleId="473">
    <w:name w:val="Char Char111"/>
    <w:qFormat/>
    <w:uiPriority w:val="0"/>
    <w:rPr>
      <w:rFonts w:ascii="Cambria" w:hAnsi="Cambria" w:eastAsia="宋体"/>
      <w:b/>
      <w:bCs/>
      <w:kern w:val="2"/>
      <w:sz w:val="32"/>
      <w:szCs w:val="32"/>
      <w:lang w:val="en-US" w:eastAsia="zh-CN" w:bidi="ar-SA"/>
    </w:rPr>
  </w:style>
  <w:style w:type="character" w:customStyle="1" w:styleId="474">
    <w:name w:val="纯文本 字符"/>
    <w:qFormat/>
    <w:uiPriority w:val="0"/>
    <w:rPr>
      <w:rFonts w:ascii="宋体" w:hAnsi="Courier New" w:cs="Courier New"/>
      <w:kern w:val="2"/>
      <w:sz w:val="21"/>
      <w:szCs w:val="21"/>
    </w:rPr>
  </w:style>
  <w:style w:type="paragraph" w:customStyle="1" w:styleId="475">
    <w:name w:val="Char Char12"/>
    <w:basedOn w:val="1"/>
    <w:qFormat/>
    <w:uiPriority w:val="0"/>
    <w:rPr>
      <w:rFonts w:ascii="Bodoni MT" w:hAnsi="Bodoni MT"/>
    </w:rPr>
  </w:style>
  <w:style w:type="paragraph" w:customStyle="1" w:styleId="476">
    <w:name w:val="修订3"/>
    <w:qFormat/>
    <w:uiPriority w:val="0"/>
    <w:rPr>
      <w:rFonts w:ascii="Times New Roman" w:hAnsi="Times New Roman" w:eastAsia="宋体" w:cs="Times New Roman"/>
      <w:kern w:val="2"/>
      <w:sz w:val="21"/>
      <w:szCs w:val="24"/>
      <w:lang w:val="en-US" w:eastAsia="zh-CN" w:bidi="ar-SA"/>
    </w:rPr>
  </w:style>
  <w:style w:type="paragraph" w:customStyle="1" w:styleId="477">
    <w:name w:val="Char Char Char Char Char Char Char Char Char Char Char1 Char Char Char Char Char Char Char Char Char Char Char Char"/>
    <w:basedOn w:val="1"/>
    <w:qFormat/>
    <w:uiPriority w:val="0"/>
    <w:rPr>
      <w:szCs w:val="20"/>
    </w:rPr>
  </w:style>
  <w:style w:type="paragraph" w:customStyle="1" w:styleId="478">
    <w:name w:val="Char Char Char Char1"/>
    <w:basedOn w:val="14"/>
    <w:qFormat/>
    <w:uiPriority w:val="0"/>
    <w:rPr>
      <w:kern w:val="2"/>
      <w:sz w:val="21"/>
    </w:rPr>
  </w:style>
  <w:style w:type="paragraph" w:customStyle="1" w:styleId="479">
    <w:name w:val="TOC 标题3"/>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0">
    <w:name w:val="修订4"/>
    <w:hidden/>
    <w:unhideWhenUsed/>
    <w:qFormat/>
    <w:uiPriority w:val="99"/>
    <w:rPr>
      <w:rFonts w:ascii="Times New Roman" w:hAnsi="Times New Roman" w:eastAsia="宋体" w:cs="Times New Roman"/>
      <w:kern w:val="2"/>
      <w:sz w:val="21"/>
      <w:szCs w:val="24"/>
      <w:lang w:val="en-US" w:eastAsia="zh-CN" w:bidi="ar-SA"/>
    </w:rPr>
  </w:style>
  <w:style w:type="character" w:customStyle="1" w:styleId="481">
    <w:name w:val="phone"/>
    <w:basedOn w:val="47"/>
    <w:qFormat/>
    <w:uiPriority w:val="0"/>
    <w:rPr>
      <w:color w:val="FF8833"/>
      <w:sz w:val="18"/>
      <w:szCs w:val="18"/>
    </w:rPr>
  </w:style>
  <w:style w:type="character" w:customStyle="1" w:styleId="482">
    <w:name w:val="beforeinfotext"/>
    <w:basedOn w:val="47"/>
    <w:qFormat/>
    <w:uiPriority w:val="0"/>
    <w:rPr>
      <w:color w:val="666666"/>
    </w:rPr>
  </w:style>
  <w:style w:type="character" w:customStyle="1" w:styleId="483">
    <w:name w:val="span-long"/>
    <w:basedOn w:val="47"/>
    <w:qFormat/>
    <w:uiPriority w:val="0"/>
  </w:style>
  <w:style w:type="character" w:customStyle="1" w:styleId="484">
    <w:name w:val="number"/>
    <w:basedOn w:val="47"/>
    <w:qFormat/>
    <w:uiPriority w:val="0"/>
    <w:rPr>
      <w:color w:val="FF8833"/>
      <w:sz w:val="18"/>
      <w:szCs w:val="18"/>
    </w:rPr>
  </w:style>
  <w:style w:type="character" w:customStyle="1" w:styleId="485">
    <w:name w:val="stclosebtn"/>
    <w:basedOn w:val="47"/>
    <w:qFormat/>
    <w:uiPriority w:val="0"/>
  </w:style>
  <w:style w:type="character" w:customStyle="1" w:styleId="486">
    <w:name w:val="proollist"/>
    <w:basedOn w:val="47"/>
    <w:qFormat/>
    <w:uiPriority w:val="0"/>
  </w:style>
  <w:style w:type="character" w:customStyle="1" w:styleId="487">
    <w:name w:val="input-direction"/>
    <w:basedOn w:val="47"/>
    <w:qFormat/>
    <w:uiPriority w:val="0"/>
    <w:rPr>
      <w:color w:val="FF6600"/>
    </w:rPr>
  </w:style>
  <w:style w:type="character" w:customStyle="1" w:styleId="488">
    <w:name w:val="button2"/>
    <w:basedOn w:val="47"/>
    <w:qFormat/>
    <w:uiPriority w:val="0"/>
  </w:style>
  <w:style w:type="character" w:customStyle="1" w:styleId="489">
    <w:name w:val="hilite"/>
    <w:basedOn w:val="47"/>
    <w:qFormat/>
    <w:uiPriority w:val="0"/>
    <w:rPr>
      <w:color w:val="FFFFFF"/>
      <w:shd w:val="clear" w:color="auto" w:fill="666677"/>
    </w:rPr>
  </w:style>
  <w:style w:type="character" w:customStyle="1" w:styleId="490">
    <w:name w:val="active"/>
    <w:basedOn w:val="47"/>
    <w:qFormat/>
    <w:uiPriority w:val="0"/>
    <w:rPr>
      <w:color w:val="00FF00"/>
      <w:shd w:val="clear" w:color="auto" w:fill="000000"/>
    </w:rPr>
  </w:style>
  <w:style w:type="character" w:customStyle="1" w:styleId="491">
    <w:name w:val="active6"/>
    <w:basedOn w:val="47"/>
    <w:qFormat/>
    <w:uiPriority w:val="0"/>
    <w:rPr>
      <w:color w:val="00FF00"/>
      <w:shd w:val="clear" w:color="auto" w:fill="000000"/>
    </w:rPr>
  </w:style>
  <w:style w:type="character" w:customStyle="1" w:styleId="492">
    <w:name w:val="active5"/>
    <w:basedOn w:val="47"/>
    <w:qFormat/>
    <w:uiPriority w:val="0"/>
    <w:rPr>
      <w:color w:val="00FF00"/>
      <w:shd w:val="clear" w:color="auto" w:fill="000000"/>
    </w:rPr>
  </w:style>
  <w:style w:type="paragraph" w:customStyle="1" w:styleId="493">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494">
    <w:name w:val="样式10"/>
    <w:basedOn w:val="1"/>
    <w:qFormat/>
    <w:uiPriority w:val="0"/>
    <w:pPr>
      <w:tabs>
        <w:tab w:val="left" w:pos="420"/>
        <w:tab w:val="left" w:pos="1152"/>
      </w:tabs>
      <w:ind w:left="420"/>
      <w:jc w:val="left"/>
    </w:pPr>
    <w:rPr>
      <w:rFonts w:ascii="宋体" w:hAnsi="宋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1.bin"/><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6.wmf"/><Relationship Id="rId16" Type="http://schemas.openxmlformats.org/officeDocument/2006/relationships/oleObject" Target="embeddings/oleObject5.bin"/><Relationship Id="rId15" Type="http://schemas.openxmlformats.org/officeDocument/2006/relationships/image" Target="media/image5.wmf"/><Relationship Id="rId14" Type="http://schemas.openxmlformats.org/officeDocument/2006/relationships/oleObject" Target="embeddings/oleObject4.bin"/><Relationship Id="rId13" Type="http://schemas.openxmlformats.org/officeDocument/2006/relationships/image" Target="media/image4.wmf"/><Relationship Id="rId12" Type="http://schemas.openxmlformats.org/officeDocument/2006/relationships/oleObject" Target="embeddings/oleObject3.bin"/><Relationship Id="rId11" Type="http://schemas.openxmlformats.org/officeDocument/2006/relationships/image" Target="media/image3.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81BAEB-603E-4347-93B1-E0695DB17BB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129</Pages>
  <Words>86739</Words>
  <Characters>91687</Characters>
  <Lines>706</Lines>
  <Paragraphs>198</Paragraphs>
  <TotalTime>30</TotalTime>
  <ScaleCrop>false</ScaleCrop>
  <LinksUpToDate>false</LinksUpToDate>
  <CharactersWithSpaces>94598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2023-03-21T09:45:00Z</dcterms:created>
  <dc:creator>NTKO</dc:creator>
  <cp:lastModifiedBy>Administrator</cp:lastModifiedBy>
  <cp:lastPrinted>2018-05-31T07:57:00Z</cp:lastPrinted>
  <dcterms:modified xsi:type="dcterms:W3CDTF">2023-04-04T00:37:44Z</dcterms:modified>
  <dc:title>(招标项目名称)                 标段施工</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CEBD5EBACCB44E1183E9348DE936594B</vt:lpwstr>
  </property>
</Properties>
</file>