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340" w:after="330" w:line="576" w:lineRule="auto"/>
        <w:jc w:val="center"/>
        <w:outlineLvl w:val="0"/>
        <w:rPr>
          <w:rFonts w:hint="eastAsia" w:ascii="宋体" w:hAnsi="宋体" w:eastAsia="黑体" w:cs="Times New Roman"/>
          <w:b/>
          <w:bCs/>
          <w:kern w:val="44"/>
          <w:sz w:val="36"/>
          <w:szCs w:val="44"/>
          <w:lang w:val="en-US" w:eastAsia="zh-CN" w:bidi="ar-SA"/>
        </w:rPr>
      </w:pPr>
      <w:bookmarkStart w:id="11" w:name="_GoBack"/>
      <w:bookmarkEnd w:id="11"/>
      <w:r>
        <w:rPr>
          <w:rFonts w:hint="eastAsia" w:ascii="宋体" w:hAnsi="宋体" w:eastAsia="黑体" w:cs="Times New Roman"/>
          <w:b/>
          <w:bCs/>
          <w:kern w:val="44"/>
          <w:sz w:val="36"/>
          <w:szCs w:val="44"/>
          <w:lang w:val="en-US" w:eastAsia="zh-CN" w:bidi="ar-SA"/>
        </w:rPr>
        <w:t xml:space="preserve"> 招标项目要求</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241" w:leftChars="0" w:hanging="241" w:hangingChars="100"/>
        <w:textAlignment w:val="auto"/>
        <w:rPr>
          <w:rFonts w:hint="eastAsia" w:ascii="宋体" w:hAnsi="宋体" w:eastAsia="宋体" w:cs="宋体"/>
          <w:b/>
          <w:bCs/>
          <w:i w:val="0"/>
          <w:kern w:val="44"/>
          <w:sz w:val="24"/>
          <w:szCs w:val="24"/>
          <w:lang w:val="en-US" w:eastAsia="zh-CN" w:bidi="ar-SA"/>
        </w:rPr>
      </w:pPr>
      <w:bookmarkStart w:id="0" w:name="_Toc111640148"/>
      <w:bookmarkStart w:id="1" w:name="_Toc1074299730"/>
      <w:bookmarkStart w:id="2" w:name="_Toc8769"/>
      <w:bookmarkStart w:id="3" w:name="_Toc102838720"/>
      <w:bookmarkStart w:id="4" w:name="_Toc18019"/>
      <w:bookmarkStart w:id="5" w:name="_Toc2283"/>
      <w:bookmarkStart w:id="6" w:name="_Toc111641376"/>
      <w:r>
        <w:rPr>
          <w:rFonts w:hint="eastAsia" w:ascii="宋体" w:hAnsi="宋体" w:eastAsia="宋体" w:cs="宋体"/>
          <w:b/>
          <w:bCs/>
          <w:i w:val="0"/>
          <w:kern w:val="44"/>
          <w:sz w:val="24"/>
          <w:szCs w:val="24"/>
          <w:lang w:val="en-US" w:eastAsia="zh-CN" w:bidi="ar-SA"/>
        </w:rPr>
        <w:t>一、服务要求</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本项目以服务实战为导向，提升柞水县公安局</w:t>
      </w:r>
      <w:r>
        <w:rPr>
          <w:rFonts w:hint="eastAsia" w:ascii="宋体" w:hAnsi="宋体" w:eastAsia="宋体" w:cs="宋体"/>
          <w:b/>
          <w:bCs/>
          <w:sz w:val="24"/>
          <w:szCs w:val="24"/>
          <w:lang w:val="en-US" w:eastAsia="zh-CN"/>
        </w:rPr>
        <w:t>全域管控服务能力、指令流转服务能力、线索要情分析服务能力、指挥调度服务能力</w:t>
      </w:r>
      <w:r>
        <w:rPr>
          <w:rFonts w:hint="eastAsia" w:ascii="宋体" w:hAnsi="宋体" w:eastAsia="宋体" w:cs="宋体"/>
          <w:sz w:val="24"/>
          <w:szCs w:val="24"/>
          <w:lang w:val="en-US" w:eastAsia="zh-CN"/>
        </w:rPr>
        <w:t>，着力打造形成“风险防控全面精准、决策指挥高效顺畅、警务数据融合共享、警种优势合成作战、网上网下同步应对”的新型警务运行模式，推动风险防控从被动响应向主动预防转变、指挥决策从经验驱动向数据驱动转变、安全治理从人力密集向科技集约转变、侦查破案从循迹追踪向精准发力转变，实现公安机关战斗力的跨越式发展，打造安全可知、安全可测、安全可控的新时代智慧警务。</w:t>
      </w:r>
      <w:bookmarkEnd w:id="0"/>
      <w:bookmarkEnd w:id="1"/>
      <w:bookmarkEnd w:id="2"/>
      <w:bookmarkEnd w:id="3"/>
      <w:bookmarkEnd w:id="4"/>
      <w:bookmarkEnd w:id="5"/>
      <w:bookmarkEnd w:id="6"/>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i w:val="0"/>
          <w:kern w:val="44"/>
          <w:sz w:val="24"/>
          <w:szCs w:val="24"/>
          <w:lang w:val="en-US" w:eastAsia="zh-CN" w:bidi="ar-SA"/>
        </w:rPr>
        <w:t>二、服务内容</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sz w:val="24"/>
          <w:szCs w:val="24"/>
          <w:lang w:val="en-US" w:eastAsia="zh-CN"/>
        </w:rPr>
      </w:pPr>
      <w:bookmarkStart w:id="7" w:name="_Toc12244"/>
      <w:bookmarkStart w:id="8" w:name="_Toc2006"/>
      <w:bookmarkStart w:id="9" w:name="_Toc29242"/>
      <w:r>
        <w:rPr>
          <w:rFonts w:hint="eastAsia" w:ascii="宋体" w:hAnsi="宋体" w:eastAsia="宋体" w:cs="宋体"/>
          <w:b/>
          <w:bCs/>
          <w:sz w:val="24"/>
          <w:szCs w:val="24"/>
          <w:lang w:val="en-US" w:eastAsia="zh-CN"/>
        </w:rPr>
        <w:t>1、全域管控</w:t>
      </w:r>
      <w:bookmarkEnd w:id="7"/>
      <w:bookmarkEnd w:id="8"/>
      <w:bookmarkEnd w:id="9"/>
      <w:r>
        <w:rPr>
          <w:rFonts w:hint="eastAsia" w:ascii="宋体" w:hAnsi="宋体" w:eastAsia="宋体" w:cs="宋体"/>
          <w:b/>
          <w:bCs/>
          <w:sz w:val="24"/>
          <w:szCs w:val="24"/>
          <w:lang w:val="en-US" w:eastAsia="zh-CN"/>
        </w:rPr>
        <w:t>服务</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以各警种、各部门、各地数据资源为基础，以可能影响国家安全和社会稳定的重点人员群体为对象，以横向到边、纵向到底的联动应用体系为支撑，以大数据智能化应用手段为辅助，</w:t>
      </w:r>
      <w:r>
        <w:rPr>
          <w:rFonts w:hint="eastAsia" w:ascii="宋体" w:hAnsi="宋体" w:eastAsia="宋体" w:cs="宋体"/>
          <w:sz w:val="24"/>
          <w:szCs w:val="24"/>
          <w:lang w:val="en-US" w:eastAsia="zh-CN"/>
        </w:rPr>
        <w:t>提供</w:t>
      </w:r>
      <w:r>
        <w:rPr>
          <w:rFonts w:hint="eastAsia" w:ascii="宋体" w:hAnsi="宋体" w:eastAsia="宋体" w:cs="宋体"/>
          <w:sz w:val="24"/>
          <w:szCs w:val="24"/>
        </w:rPr>
        <w:t>精准布控、全域监测、多维预警、联动处置为一体的重点关注人员群体监测管控</w:t>
      </w:r>
      <w:r>
        <w:rPr>
          <w:rFonts w:hint="eastAsia" w:ascii="宋体" w:hAnsi="宋体" w:eastAsia="宋体" w:cs="宋体"/>
          <w:sz w:val="24"/>
          <w:szCs w:val="24"/>
          <w:lang w:val="en-US" w:eastAsia="zh-CN"/>
        </w:rPr>
        <w:t>服务。需配置相应支撑硬件，以实现如下服务要求。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kern w:val="2"/>
          <w:sz w:val="24"/>
          <w:szCs w:val="24"/>
          <w:lang w:val="en-US" w:eastAsia="zh-CN" w:bidi="ar-SA"/>
        </w:rPr>
        <w:t>（1）</w:t>
      </w:r>
      <w:r>
        <w:rPr>
          <w:rFonts w:hint="eastAsia" w:ascii="宋体" w:hAnsi="宋体" w:eastAsia="宋体" w:cs="宋体"/>
          <w:b/>
          <w:bCs/>
          <w:sz w:val="24"/>
          <w:szCs w:val="24"/>
          <w:lang w:eastAsia="zh-CN"/>
        </w:rPr>
        <w:t>对象管理</w:t>
      </w:r>
      <w:r>
        <w:rPr>
          <w:rFonts w:hint="eastAsia" w:ascii="宋体" w:hAnsi="宋体" w:eastAsia="宋体" w:cs="宋体"/>
          <w:b/>
          <w:bCs/>
          <w:sz w:val="24"/>
          <w:szCs w:val="24"/>
          <w:lang w:val="en-US" w:eastAsia="zh-CN"/>
        </w:rPr>
        <w:t>服务</w:t>
      </w:r>
      <w:r>
        <w:rPr>
          <w:rFonts w:hint="eastAsia" w:ascii="宋体" w:hAnsi="宋体" w:eastAsia="宋体" w:cs="宋体"/>
          <w:b/>
          <w:bCs/>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本地人员管理</w:t>
      </w:r>
      <w:r>
        <w:rPr>
          <w:rFonts w:hint="eastAsia" w:ascii="宋体" w:hAnsi="宋体" w:eastAsia="宋体" w:cs="宋体"/>
          <w:sz w:val="24"/>
          <w:szCs w:val="24"/>
          <w:lang w:val="en-US" w:eastAsia="zh-CN"/>
        </w:rPr>
        <w:t>服务</w:t>
      </w:r>
      <w:r>
        <w:rPr>
          <w:rFonts w:hint="eastAsia" w:ascii="宋体" w:hAnsi="宋体" w:eastAsia="宋体" w:cs="宋体"/>
          <w:sz w:val="24"/>
          <w:szCs w:val="24"/>
          <w:lang w:eastAsia="zh-CN"/>
        </w:rPr>
        <w:t>：针对本地自行关注的人员，提供人员信息采集、人员信息维护、管辖调整、撤销管控、近况登记、加入群体、人员布控、人员续控、撤销布控、人员档案等</w:t>
      </w:r>
      <w:r>
        <w:rPr>
          <w:rFonts w:hint="eastAsia" w:ascii="宋体" w:hAnsi="宋体" w:eastAsia="宋体" w:cs="宋体"/>
          <w:sz w:val="24"/>
          <w:szCs w:val="24"/>
          <w:lang w:val="en-US" w:eastAsia="zh-CN"/>
        </w:rPr>
        <w:t>服务</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重点人员管理</w:t>
      </w:r>
      <w:r>
        <w:rPr>
          <w:rFonts w:hint="eastAsia" w:ascii="宋体" w:hAnsi="宋体" w:eastAsia="宋体" w:cs="宋体"/>
          <w:sz w:val="24"/>
          <w:szCs w:val="24"/>
          <w:lang w:val="en-US" w:eastAsia="zh-CN"/>
        </w:rPr>
        <w:t>服务</w:t>
      </w:r>
      <w:r>
        <w:rPr>
          <w:rFonts w:hint="eastAsia" w:ascii="宋体" w:hAnsi="宋体" w:eastAsia="宋体" w:cs="宋体"/>
          <w:sz w:val="24"/>
          <w:szCs w:val="24"/>
          <w:lang w:eastAsia="zh-CN"/>
        </w:rPr>
        <w:t>：针对接入部下发重点人进行管理，提供重点人员查询、人员停控申请</w:t>
      </w:r>
      <w:r>
        <w:rPr>
          <w:rFonts w:hint="eastAsia" w:ascii="宋体" w:hAnsi="宋体" w:eastAsia="宋体" w:cs="宋体"/>
          <w:sz w:val="24"/>
          <w:szCs w:val="24"/>
          <w:lang w:val="en-US" w:eastAsia="zh-CN"/>
        </w:rPr>
        <w:t>服务</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关注群体管理</w:t>
      </w:r>
      <w:r>
        <w:rPr>
          <w:rFonts w:hint="eastAsia" w:ascii="宋体" w:hAnsi="宋体" w:eastAsia="宋体" w:cs="宋体"/>
          <w:sz w:val="24"/>
          <w:szCs w:val="24"/>
          <w:lang w:val="en-US" w:eastAsia="zh-CN"/>
        </w:rPr>
        <w:t>服务</w:t>
      </w:r>
      <w:r>
        <w:rPr>
          <w:rFonts w:hint="eastAsia" w:ascii="宋体" w:hAnsi="宋体" w:eastAsia="宋体" w:cs="宋体"/>
          <w:sz w:val="24"/>
          <w:szCs w:val="24"/>
          <w:lang w:eastAsia="zh-CN"/>
        </w:rPr>
        <w:t>：对所有关注的群体进行统一管理，对关注群体进行新增、编辑、撤销等操作，同时可以记录该群涉及的案事件及大事记等。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sz w:val="24"/>
          <w:szCs w:val="24"/>
          <w:lang w:val="en-US" w:eastAsia="zh-CN"/>
        </w:rPr>
        <w:t>对象布控服务</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以人、车、像作为布控要素，提供实名布控、车辆布控、人像布控等多维对象布控，实现对布控对象行踪轨迹的布控查询与比对预警服务。对纳入同一分组的布控人员进行集中管理服务。</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用户自身所有布控申请任务进行集中归档统计，对未完成布控申请的申请单草稿内容进行二次编辑后发起申请，对用户之前所有添加收藏的布控对象进行集中汇总展示。</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（3）统一审批服务</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不同类型的申请任务和不同级别发起的申请任务进行单一审批和批量审批操作，提供对待审批任务、已审批任务、已退回任务的归档展示、查询、详情查看。同时，针对本地关注人员，构建与本地关注人相关审批事项的统一审批入口，对所有与本地关注人员相关的审批事项进行集中汇总查阅及审批。</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（4）预警处置服务</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预警指令生成规则生成不同类别的特定指令，并根据预警指令分发规则发送给相应单位进行研判或处置反馈，包括最新预警、布控对象预警、重点人员预警、本地人员预警、技侦布控预警、防控圈预警、在逃人员预警。支持预警生成、预警签收、预警反馈、预警查询操作，实现对预警信息的闭环操作。</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（5）统一查询服务</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提供用户对单个布控对象和群组布控对象的预警轨迹信息查询，快速掌握布控对象的预警轨迹动态，展现当下预警轨迹和历史预警轨迹信息，实现布控对象预警轨迹的精确查询，辅助用户轨迹分析研判服务。</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（6）统计分析服务</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分散的数据进行聚合、统计、关联、重组，结合用户关注重点封装“数据统计视窗服务”、“数据分析视窗服务”，激活数据价值，突显数据服能力，辅助研判分析，赋能实战应用，主要是对布控对象总数、本地布控对象数、异地布控对象数、比中轨迹总数、轨迹涉及人员数、预警指令总数、预警涉及人员数等用户关注的数据及信息进行统计分析，以柱状图、折线图、饼状图等方式进行可视化展现分析，包含布控情况概要、我的关注数据统计、预警趋势分析、最新预警、布控对象类别统计、布控要素统计、比中轨迹分类统计、活跃对象TOP10、各单位布控情况、联控人员进京/进本地趋势等。</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（7）管控服务</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对象采集服务，实现人员信息采集接入，并对外提供对象采集服务接口；通过对象档案功能提供对象档案服务，包括人员档案服务接口、群体档案服务接口；通过对审批流程配置，对外提供管控审批服务；通过管控对象服务，实现对采集的人员、接入的对象、布控的对象进行整合，并对外提供管控对象服务接口；通过多维布控服务，提供人、车、像等要素布控请求服务接口、布控结果服务接口，实现与相关布控手段的对接；通过布控轨迹服务，对外提供比中轨迹推送服务接口、比中轨迹获取服务接口；通过预警规则模型配置，提供管控预警服务；通过管控指令服务，对外提供管控指令签收服务接口、管控指令处置反馈服务接口，实现管控指令签收与反馈服务。</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2、指令流转服务</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统一的指令接入接口，实现了全局跨警种之间的指令下发、审核/审批、签收和处置反馈等服务。通过多种指令模板，用户可以通过选定所需模板实现指令的快速下发，用户可以全程监督指令流转以及完成情况，并对指令进行考核。需配置相应支撑硬件，以实现如下服务要求。</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（1）指令申请/审批/下发/签收服务</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户可根据实际场景需要，自行选取模板库中提供的指令类型对应模板进行指令申请操作,同时，依据不同用户的权限可以进行指令审批、退回等操作，经过领导审批之后的指令即正式发布，正式发布后指令自动流转至事先选定的指令签收单位，指令签收单位可在该模块的指令列表实现指令签收操作，在指令签收单位在签收指令后，需要对指令中的内容要求进行核实或处置，核实或处置完毕后将向指令发起单位反馈核实或处置情况。</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（2）指令处置反馈与归档服务</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指令签收单位对签收指令的内容进行核实或处置，核实或处置完毕后向指令发起单位反馈核实或处置情况。同时通过对归档规则进行校验以及研判民警身份进行校验后，可发起对指令的归档操作，完成流程闭环。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3、</w:t>
      </w:r>
      <w:r>
        <w:rPr>
          <w:rFonts w:hint="eastAsia" w:ascii="宋体" w:hAnsi="宋体" w:eastAsia="宋体" w:cs="宋体"/>
          <w:b/>
          <w:bCs/>
          <w:sz w:val="24"/>
          <w:szCs w:val="24"/>
          <w:lang w:val="en-US" w:eastAsia="zh-CN"/>
        </w:rPr>
        <w:t>线索要情分析服务</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将公安情指中心要情、线索信息管理，为情报线索、要情提供报送、接收、处理、反馈、汇总、查询统一展示等流转管理服务。需配置相应支撑硬件，以实现如下服务要求。</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（1）要情管理服务</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用于对各类要情相关信息进行统一汇聚、分类管理、流转处置以及日常刊物的快速生成，具体包括要情签收、要情关联、要情处理、要情退回、要情上报等服务。实现对下级上报的重要紧急事件、重大预警信息及约稿信息等类型的要情进行签收流转，辅助用户分析研判。</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（2）线索管理服务</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对各类线索进行统一管理、录入、上报、处置及反馈服务。通过对</w:t>
      </w:r>
      <w:bookmarkStart w:id="10" w:name="_Toc6742"/>
      <w:r>
        <w:rPr>
          <w:rFonts w:hint="eastAsia" w:ascii="宋体" w:hAnsi="宋体" w:eastAsia="宋体" w:cs="宋体"/>
          <w:sz w:val="24"/>
          <w:szCs w:val="24"/>
          <w:lang w:val="en-US" w:eastAsia="zh-CN"/>
        </w:rPr>
        <w:t>线索录入</w:t>
      </w:r>
      <w:bookmarkEnd w:id="10"/>
      <w:r>
        <w:rPr>
          <w:rFonts w:hint="eastAsia" w:ascii="宋体" w:hAnsi="宋体" w:eastAsia="宋体" w:cs="宋体"/>
          <w:sz w:val="24"/>
          <w:szCs w:val="24"/>
          <w:lang w:val="en-US" w:eastAsia="zh-CN"/>
        </w:rPr>
        <w:t>，方便用户快速生成需要流转上报的线索信息；通过对信息补全，辅助用户对线索涉及人员进行进一步的分析研判；通过对线索上报，用户可以根据实际情况选择将线索信息流转到其他警种协助核查或直接上报上级处置，并反馈核查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（3）</w:t>
      </w:r>
      <w:r>
        <w:rPr>
          <w:rFonts w:hint="eastAsia" w:ascii="宋体" w:hAnsi="宋体" w:eastAsia="宋体" w:cs="宋体"/>
          <w:b/>
          <w:bCs/>
          <w:sz w:val="24"/>
          <w:szCs w:val="24"/>
          <w:lang w:val="en-US" w:eastAsia="zh-CN"/>
        </w:rPr>
        <w:t>要素管理服务</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根据要素提取规则自动对正文中涉及的要素进行提取，实现对常见要素种类的特征识别和归并，做到案情发生时对案情的简化分析，而对于</w:t>
      </w:r>
      <w:r>
        <w:rPr>
          <w:rFonts w:hint="eastAsia" w:ascii="宋体" w:hAnsi="宋体" w:eastAsia="宋体" w:cs="宋体"/>
          <w:sz w:val="24"/>
          <w:szCs w:val="24"/>
        </w:rPr>
        <w:t>信息正文中未涉及的要素信息，用户可以根据实际工作需要进行手动增加相关要素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从而实现对要素进行统一管理服务</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kern w:val="2"/>
          <w:sz w:val="24"/>
          <w:szCs w:val="24"/>
          <w:lang w:val="en-US" w:eastAsia="zh-CN" w:bidi="ar-SA"/>
        </w:rPr>
        <w:t>4、</w:t>
      </w:r>
      <w:r>
        <w:rPr>
          <w:rFonts w:hint="eastAsia" w:ascii="宋体" w:hAnsi="宋体" w:eastAsia="宋体" w:cs="宋体"/>
          <w:b/>
          <w:sz w:val="24"/>
          <w:szCs w:val="24"/>
          <w:lang w:val="en-US" w:eastAsia="zh-CN"/>
        </w:rPr>
        <w:t>指挥调度服务</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通过对人、车、执法记录仪及雪亮视频采集的数据进行融合，实现数据一览，指令下发，人员调度，对讲调度，视频调度服务。服务系统能够实时监控和控制各类资源和任务的状态，能够集成和共享不同数据源消息，能够直观展示资源信息，调用接入的视频数据，方便决策者进行现场情况查看和指挥调度。需配置相应支撑硬件，以实现如下服务要求。</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围栏预警：实现对所有执法记录仪、GPS的实时位置进行上图，并通过对人和车划定围栏，来实现动态监测预警。</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综合数据：以可视化地图的方式显示人、车、设备所在位置，重要场所信息等内容，并实时状态查看和实时终端信息统计。</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视频查看：整合人员，车辆及雪亮视频设备在地图上统一展示，可点击查看视频内容，可回看视频历史，支持在视频画面中标记内容推送至警员或者作战指挥人员。</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资源调度：实现对所有人员进行自定义分组，进行组内单个人员或者整体资源指挥调度。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（2）</w:t>
      </w:r>
      <w:r>
        <w:rPr>
          <w:rFonts w:hint="eastAsia" w:ascii="宋体" w:hAnsi="宋体" w:eastAsia="宋体" w:cs="宋体"/>
          <w:b w:val="0"/>
          <w:bCs/>
          <w:i w:val="0"/>
          <w:iCs w:val="0"/>
          <w:color w:val="000000"/>
          <w:kern w:val="0"/>
          <w:sz w:val="24"/>
          <w:szCs w:val="24"/>
          <w:u w:val="none"/>
          <w:lang w:val="en-US" w:eastAsia="zh-CN" w:bidi="ar"/>
        </w:rPr>
        <w:t>指挥调度数据采集服务</w:t>
      </w:r>
    </w:p>
    <w:tbl>
      <w:tblPr>
        <w:tblStyle w:val="6"/>
        <w:tblW w:w="92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975"/>
        <w:gridCol w:w="6058"/>
        <w:gridCol w:w="750"/>
        <w:gridCol w:w="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名称</w:t>
            </w:r>
          </w:p>
        </w:tc>
        <w:tc>
          <w:tcPr>
            <w:tcW w:w="6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技术参数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数量</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车载定位取证服务</w:t>
            </w:r>
          </w:p>
        </w:tc>
        <w:tc>
          <w:tcPr>
            <w:tcW w:w="6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视频:≥1440P高清摄像头，支持对角≥153°水平≥128°大广角；</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2、音频:麦克风语音采集(支持语音对讲)，扬声器音频输出；</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3、卫星定位:模块支持GPS/BD，支持时间速度等信息视频OSD叠加；</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4、无线通讯:内置Wi-Fi模块，支持Wi-Fi热点，连接手机APP4G；</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5、通讯:支持4G模块国内全网通，Micro SIM卡插槽；</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6、录像存储:支持双TF卡存储，单卡最大支持256GB，循环录像，无缝连接不漏秒；</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7、手机APP:支持视频实时查看、录像回放和参数设置等；</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8,平台对接:支持JT808、JT1078音视频协议;支持JT905协议，支持实时上传视频、录像回放、经纬度和速度等信息上传；</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9、G-sensor: 内置六轴陀螺仪传感器，车辆发生碰撞或剧烈振动时启动紧急录像，紧急录像备份锁定；</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w:t>
            </w:r>
            <w:r>
              <w:rPr>
                <w:rFonts w:hint="eastAsia" w:ascii="宋体" w:hAnsi="宋体" w:cs="宋体"/>
                <w:b w:val="0"/>
                <w:bCs w:val="0"/>
                <w:i w:val="0"/>
                <w:iCs w:val="0"/>
                <w:color w:val="000000"/>
                <w:kern w:val="0"/>
                <w:sz w:val="24"/>
                <w:szCs w:val="24"/>
                <w:u w:val="none"/>
                <w:lang w:val="en-US" w:eastAsia="zh-CN" w:bidi="ar"/>
              </w:rPr>
              <w:t>0</w:t>
            </w:r>
            <w:r>
              <w:rPr>
                <w:rFonts w:hint="eastAsia" w:ascii="宋体" w:hAnsi="宋体" w:eastAsia="宋体" w:cs="宋体"/>
                <w:b w:val="0"/>
                <w:bCs w:val="0"/>
                <w:i w:val="0"/>
                <w:iCs w:val="0"/>
                <w:color w:val="000000"/>
                <w:kern w:val="0"/>
                <w:sz w:val="24"/>
                <w:szCs w:val="24"/>
                <w:u w:val="none"/>
                <w:lang w:val="en-US" w:eastAsia="zh-CN" w:bidi="ar"/>
              </w:rPr>
              <w:t>、≥4路摄像头输入:支持720P TVI摄像头；</w:t>
            </w:r>
          </w:p>
          <w:p>
            <w:pPr>
              <w:pStyle w:val="3"/>
              <w:keepNext w:val="0"/>
              <w:keepLines w:val="0"/>
              <w:pageBreakBefore w:val="0"/>
              <w:numPr>
                <w:ilvl w:val="0"/>
                <w:numId w:val="0"/>
              </w:numPr>
              <w:kinsoku/>
              <w:wordWrap/>
              <w:overflowPunct/>
              <w:topLinePunct w:val="0"/>
              <w:autoSpaceDE/>
              <w:autoSpaceDN/>
              <w:bidi w:val="0"/>
              <w:adjustRightInd/>
              <w:snapToGrid/>
              <w:spacing w:line="360" w:lineRule="auto"/>
              <w:jc w:val="left"/>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11</w:t>
            </w:r>
            <w:r>
              <w:rPr>
                <w:rFonts w:hint="eastAsia" w:ascii="宋体" w:hAnsi="宋体" w:eastAsia="宋体" w:cs="宋体"/>
                <w:b w:val="0"/>
                <w:bCs w:val="0"/>
                <w:sz w:val="24"/>
                <w:szCs w:val="24"/>
                <w:lang w:val="en-US" w:eastAsia="zh-CN"/>
              </w:rPr>
              <w:t>、含配套存储卡，</w:t>
            </w:r>
            <w:r>
              <w:rPr>
                <w:rFonts w:hint="eastAsia" w:ascii="宋体" w:hAnsi="宋体" w:eastAsia="宋体" w:cs="宋体"/>
                <w:b w:val="0"/>
                <w:bCs w:val="0"/>
                <w:i w:val="0"/>
                <w:iCs w:val="0"/>
                <w:color w:val="000000"/>
                <w:kern w:val="0"/>
                <w:sz w:val="24"/>
                <w:szCs w:val="24"/>
                <w:u w:val="none"/>
                <w:lang w:val="en-US" w:eastAsia="zh-CN" w:bidi="ar"/>
              </w:rPr>
              <w:t>卡内存≥64G。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10</w:t>
            </w:r>
          </w:p>
        </w:tc>
        <w:tc>
          <w:tcPr>
            <w:tcW w:w="76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移动执法数据采集服务</w:t>
            </w:r>
          </w:p>
        </w:tc>
        <w:tc>
          <w:tcPr>
            <w:tcW w:w="6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操作系统：Android 7.0或以上；</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2、执法记录仪外形尺寸≤110*65*25mm；</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3、屏幕≥3.0英寸触摸屏；内核≥8核;网络类型同时支持移动、联通、电信4G；蓝牙支持EDR，BT版本4.2；</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4、存储≥RAM:2G，TF：≥32G，最大拓展≥256GB</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具备NFC功能；支持北斗+GPS定位；</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5、≥7个物理按键，录音/录像/拍照/终端文件标/PTT/SOS/电源键；电池≥3000mAh，支持不关机更换电池；</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6、外壳防护≥IP68；</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7、摄像头配置≥3个摄像头：主摄像头，辅摄像头，屏幕同侧人像摄像头;红外灯具备激光灯；具备白测试信号时最大亮度450cd/㎡；</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8、视场角检验≥110°（所有分辨率下）；电池工作时间应满足连续摄录时间≥10h；跌落高度≥2000mm；夜视有效拍摄距离≥有效距离≥3m，能看清人物面部特征；视频性能≥800线（1920*1080）；</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9、对执法记录仪的主要部件进行耐久性试验，电源开关≥3000 次、快门≥ 10000 次、液晶显示及开关 ≥2000 次、可动部件≥ 3000 次、模式选择开关≥ 3000 次、USB 接口及连接线≥1000 次，试验后应能正常工作；</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10、设备公网对讲时，机器接收到的最大音量声压级实测值≥100dB；打开电池盖屏幕自动提示功能；</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11、支持座充，机身有座充触电，支持座充充电；</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12、可实现触摸屏上操作切换分组对讲，对讲集群分组通话功能。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移动执法终端数据采集服务</w:t>
            </w:r>
          </w:p>
        </w:tc>
        <w:tc>
          <w:tcPr>
            <w:tcW w:w="6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1、显示屏≥19寸液晶显示屏，屏幕分辨率≥1280*1024；</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2、存储≥16T企业级硬盘，支持扩展；</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3、最少可同时接入≥20台执法记录仪；硬盘位≥4；</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外形尺寸≤490mm x 380mm x1500mm(长*宽*高）；</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5、当执法记录仪接入时，应能获取执法记录仪的产品序号和警号，并查验该产品序号与警号是否进行了关联配置，如未关联，应能通过管理员密码验证和关联配置完成注册；</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6、应能自动采集已注册的执法记录仪的视音频、音频、照片和日志等数据，应能验证采集站采集到的数据与执法记录仪存储的原始数据一致性，并保证采集的数据应能正常浏览；</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7、应能浏览已采集的视音频、音频、照片和日志功能；</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8、应能对已采集的的视音频、音频、照片和日志等数据依据执法记录仪产品序号、警号、时间、文件类型及执法记录仪重点标记的文件等一种或多条进行查询；</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9、应能自动或手动上传视音频、音频、照片和日志或索引等数据到管理服务器，应能设置自动上传时间；</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10、应能自动或手动清空已完成数据上传的执法记录仪内部数据；</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11、执法数据采集设备在接入能力满负荷条件下的平均单路数据采集速率≥3MB/s；</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12、设备应具有冗余备份功能，当有一块磁盘出现故障或被拔出，不应影响数据的正常写入，已存储的数据不应丢失；</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 xml:space="preserve">13、设备运行软件应能实现本地升级或通过管理软件服务器远程升级；在正常工作条件下的工作噪声≤50Db(A)；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14、可接收与显示从数据管理软件发布的文字与图片信息，并可将信息下发至接入的执法记录仪；</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15、执法数据采集设备工作时的泄露电流≤1mA；MTBF平均故障间隔时间≥10000小时，满足GB.T/ 5080.7-1986规范要求。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综合应用平台</w:t>
            </w:r>
          </w:p>
        </w:tc>
        <w:tc>
          <w:tcPr>
            <w:tcW w:w="6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1、支持对讲功能：点对点对讲、组对讲、话权申请\抢占\释放、人员抢占\释放；</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2、支持云眼功能：PC端查看终端实时视频并可保存在存储服务器或PC端；最大支持16路并发；</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3、支持GIS功能：PC端在GIS上查看终端当前位置、历史轨迹；</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4、支持SOS功能：PC端生成告警记录，应答后打开终端云眼，并可与终端临时点对点对讲；</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5、支持4G回传文件管理功能：PC端可查看管理终端4G回传的文件；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6、应用服务器配置≥：2.4G *1/32G*1/ 8T SATA/双口千兆/ 550W。</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会议视频数据采集服务</w:t>
            </w:r>
          </w:p>
        </w:tc>
        <w:tc>
          <w:tcPr>
            <w:tcW w:w="6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1、采用高品质 CMOS图像传感器，最高分辨率支持4K@60fps，输出帧率高达60帧/秒；呈现清晰逼真的超高清视频，生动地展现人物的表情和动作，可提供超一流的清晰度和分辨率的图像质量；</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2、双码流：USB可以支持主码流、子码流同时输出,可以同时满足近端及远端的需求；</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3、光学变倍镜头：采用≥12X光学变焦80.4°广角镜头、25X光学变焦59.2°广角镜头、31X光学变焦59°广角镜头；</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4、丰富完善的接口：支持HDMI2.0、SDI、USB 2.0、LAN，HDMI、USB、LAN可同时输出4K音视频；</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5、自动聚焦技术：先进的自动聚焦算法使得镜头快速、准确、稳定地完成自动聚焦；</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6、低噪声高信噪比：低噪声CMOS有效地保证了画面的超高信噪比。采用先进的3D降噪技术，进一步降低了噪声，同时又能确保图像清晰度；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r>
    </w:tbl>
    <w:p>
      <w:pPr>
        <w:pStyle w:val="3"/>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柞水县公安局“情指行”一体化合成作战中心装饰装修</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柞水县公安局“情指行”一体化合成作战中心位于柞水县公安局四楼，其套内面积约为150m²（12.50m×12.0m），吊顶高度约为3.34米，主要为旧功能区（详见附件）改造，需要对原有部分设施进行改造，并按要求做相应的装饰装修，主要要求如下：</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1、整体布局：整体分为指挥中心区（含办公坐席区、接警区）、茶水间、休息室；</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2、拆除工程：拆除原有矿棉板吊顶及灯具、原休息室石膏板隔墙、墙面腻子及踢脚线。</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3、间隔工程：改造休息室1间、新建茶水间1间，匀采用地面到天花75系列轻钢龙骨隔墙（双面单层阻燃板基础），墙面内嵌10mm厚钢化玻璃窗（含不锈钢边框）。</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4、墙面工程：墙面采用水性腻子粉打底，面层使用乳胶漆饰面滚涂2-3遍；墙面开槽安装LED硅条灯带；安装不锈钢踢脚线；定制暖气片散热板。</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5、地面工程：接警台区域原有木质地板保护性拆除，地面开槽、铺设插座线路及弱电线至接警台各工位，地面恢复后铺设原有木质地板。</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吊顶工程：异形叠级造型吊顶，采用38系列轻钢龙骨框架，阻燃防火板作为吊顶基层，基层外敷设阻燃防火石膏板，定制窗帘盒。吊顶面层使用腻子打底，乳胶漆封面处理。吊顶设计圆型软膜灯箱、LED条形灯及LED灯带组成。</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7、门窗工程：拆除原有窗帘，供应及安装布窗帘和纱窗帘；安装石材窗台；原有2套暖气片移位至用户指定地点。</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8、照明线路铺设及开关、灯具安装工程：</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（1）照明支路铺设：2.0KBG穿线管与2.5平方阻燃塑铜线（含线管暗埋，墙面开槽与恢复等），铺设距离总计约260m。</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（2）插座支路铺设：2.0KBG穿线管与4平方阻燃塑铜线（含线管暗埋，墙面与地面开槽、恢复等），铺设距离总计约260m。</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（3）主线缆支路铺设：2.0KBG穿线管与6平方阻燃塑铜线（含线管暗埋，地面与墙面开槽、恢复等），铺设距离总计约12m。</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（4）配电箱移位：原有1套配电箱拆除、移位至用户指定地点进行重新安装。</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（5）开关、灯具：</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双头斗胆灯（2*10w）：7套</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LED线条灯（30mm）：81米</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单控照明开关面板2个，双控照明开关面板2个</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硅胶灯条（20mm*20mm，含光源）：23米</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86型接线盒：16个</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T5灯管（≥14W）：62米</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五孔带开关插座：12个</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9、弱电线路改造</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弱电线路铺设：2.5KBG穿线管与六类网线（每根线管穿线≤三根，含线管暗埋，地面与墙面开槽、恢复等），铺设铺设距离总计约50m。</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其它配套设施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操作台：定制操作台2组放置于接警区，每组规格为（±10mm）：4800mm*750mm*800mm/5工位，亚克力桌面挡板（含灯带），桌子前挡板带定制亚克力字+警徽，台面采用25MM厚E1级环保板，侧板采用密度板，表面环保喷漆，具有耐磨、耐湿热、易清洗等特点；配套办公椅10把，高弹植绒特网面转椅，≥125°靠背后仰调节，坐高可调节，大曲面可调节头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lang w:val="en-US" w:eastAsia="zh-CN"/>
        </w:rPr>
        <w:t>办公桌椅：定制办公桌1张，规格为1200mm*600mm*750mm（±10mm），采用实木颗粒板面，表面经防腐处理；配套办公椅1把，高弹植绒特网面转椅，≥125°靠背后仰调节，坐高可调节，大曲面可调节头枕。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（3）休闲桌椅组合：定制休闲桌椅1套，其中休闲桌1张，桌面采用优质生态板面，直径为Φ900mm（±5mm）,结构体采用优质冷轧钢材质，表面经防锈防腐蚀处理，标配4把椅子。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（4）饮水机：配置2台下置式温热型多重防干烧饮水机，放置于休息室与茶水间。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（5）应用终端：配置2台性能≥I7/16G/1T+256固态/4G独显/23.8寸液晶显示器/鼠标、键盘的应用终端；配置3台性能≥I5/8G/128G+1T/集显/23.8寸显示器/鼠标键盘的应用终端。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（6）连接线缆：购置6条≥15米HDMI线缆（含线缆铺设），用于应用终端与原有大屏显示系统连接。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11、其它要求：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（1）需对现场现有设施（办公坐席、LED显示大屏等）做好成品保护工作。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Courier New"/>
          <w:szCs w:val="20"/>
          <w:lang w:val="en-US" w:eastAsia="zh-CN"/>
        </w:rPr>
      </w:pPr>
      <w:r>
        <w:rPr>
          <w:rFonts w:hint="eastAsia" w:ascii="宋体" w:hAnsi="宋体" w:eastAsia="宋体" w:cs="宋体"/>
          <w:sz w:val="24"/>
          <w:szCs w:val="24"/>
          <w:lang w:val="en-US" w:eastAsia="zh-CN"/>
        </w:rPr>
        <w:t>（2）整体布局合理，空间与色彩搭配协调等。</w:t>
      </w:r>
    </w:p>
    <w:p>
      <w:pPr>
        <w:rPr>
          <w:rFonts w:hint="eastAsia"/>
          <w:lang w:val="en-US" w:eastAsia="zh-CN"/>
        </w:rPr>
      </w:pPr>
      <w:r>
        <w:rPr>
          <w:rFonts w:hint="eastAsia"/>
          <w:lang w:val="en-US" w:eastAsia="zh-CN"/>
        </w:rPr>
        <w:br w:type="page"/>
      </w:r>
    </w:p>
    <w:p>
      <w:pPr>
        <w:bidi w:val="0"/>
        <w:ind w:left="240" w:leftChars="0" w:hanging="240" w:hangingChars="100"/>
        <w:jc w:val="left"/>
        <w:rPr>
          <w:rFonts w:hint="eastAsia"/>
          <w:lang w:val="en-US" w:eastAsia="zh-CN"/>
        </w:rPr>
      </w:pPr>
      <w:r>
        <w:rPr>
          <w:rFonts w:hint="eastAsia"/>
          <w:lang w:val="en-US" w:eastAsia="zh-CN"/>
        </w:rPr>
        <w:t>附件：平面示意图</w:t>
      </w:r>
    </w:p>
    <w:p>
      <w:pPr>
        <w:bidi w:val="0"/>
        <w:ind w:left="240" w:leftChars="0" w:hanging="240" w:hangingChars="100"/>
        <w:jc w:val="left"/>
        <w:rPr>
          <w:rFonts w:hint="eastAsia"/>
          <w:lang w:val="en-US" w:eastAsia="zh-CN"/>
        </w:rPr>
      </w:pPr>
      <w:r>
        <w:rPr>
          <w:rFonts w:hint="default"/>
          <w:lang w:val="en-US" w:eastAsia="zh-CN"/>
        </w:rPr>
        <w:drawing>
          <wp:inline distT="0" distB="0" distL="114300" distR="114300">
            <wp:extent cx="5685790" cy="5713095"/>
            <wp:effectExtent l="0" t="0" r="10160" b="1905"/>
            <wp:docPr id="4" name="图片 4" descr="柞水公安局-模型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柞水公安局-模型_00"/>
                    <pic:cNvPicPr>
                      <a:picLocks noChangeAspect="1"/>
                    </pic:cNvPicPr>
                  </pic:nvPicPr>
                  <pic:blipFill>
                    <a:blip r:embed="rId5">
                      <a:lum bright="-18000" contrast="36000"/>
                    </a:blip>
                    <a:srcRect l="20109" t="7472" r="20666" b="8339"/>
                    <a:stretch>
                      <a:fillRect/>
                    </a:stretch>
                  </pic:blipFill>
                  <pic:spPr>
                    <a:xfrm>
                      <a:off x="0" y="0"/>
                      <a:ext cx="5685790" cy="5713095"/>
                    </a:xfrm>
                    <a:prstGeom prst="rect">
                      <a:avLst/>
                    </a:prstGeom>
                  </pic:spPr>
                </pic:pic>
              </a:graphicData>
            </a:graphic>
          </wp:inline>
        </w:drawing>
      </w:r>
    </w:p>
    <w:p/>
    <w:sectPr>
      <w:footerReference r:id="rId3" w:type="default"/>
      <w:pgSz w:w="11906" w:h="16838"/>
      <w:pgMar w:top="1417" w:right="1417" w:bottom="1417" w:left="1417" w:header="851" w:footer="992" w:gutter="0"/>
      <w:pgNumType w:fmt="decimal"/>
      <w:cols w:space="0" w:num="1"/>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ind w:right="540" w:firstLine="48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B1D88"/>
    <w:multiLevelType w:val="singleLevel"/>
    <w:tmpl w:val="821B1D88"/>
    <w:lvl w:ilvl="0" w:tentative="0">
      <w:start w:val="1"/>
      <w:numFmt w:val="decimal"/>
      <w:suff w:val="nothing"/>
      <w:lvlText w:val="%1、"/>
      <w:lvlJc w:val="left"/>
    </w:lvl>
  </w:abstractNum>
  <w:abstractNum w:abstractNumId="1">
    <w:nsid w:val="FDDF7481"/>
    <w:multiLevelType w:val="singleLevel"/>
    <w:tmpl w:val="FDDF7481"/>
    <w:lvl w:ilvl="0" w:tentative="0">
      <w:start w:val="1"/>
      <w:numFmt w:val="decimal"/>
      <w:suff w:val="nothing"/>
      <w:lvlText w:val="%1、"/>
      <w:lvlJc w:val="left"/>
    </w:lvl>
  </w:abstractNum>
  <w:abstractNum w:abstractNumId="2">
    <w:nsid w:val="23BD92BE"/>
    <w:multiLevelType w:val="singleLevel"/>
    <w:tmpl w:val="23BD92BE"/>
    <w:lvl w:ilvl="0" w:tentative="0">
      <w:start w:val="4"/>
      <w:numFmt w:val="decimal"/>
      <w:suff w:val="nothing"/>
      <w:lvlText w:val="%1、"/>
      <w:lvlJc w:val="left"/>
    </w:lvl>
  </w:abstractNum>
  <w:abstractNum w:abstractNumId="3">
    <w:nsid w:val="7C7DB0F3"/>
    <w:multiLevelType w:val="singleLevel"/>
    <w:tmpl w:val="7C7DB0F3"/>
    <w:lvl w:ilvl="0" w:tentative="0">
      <w:start w:val="10"/>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ZTRiODVhY2EwNDAzMjExNDhkMzcxYTQwODAzYTAifQ=="/>
  </w:docVars>
  <w:rsids>
    <w:rsidRoot w:val="00000000"/>
    <w:rsid w:val="116A2EED"/>
    <w:rsid w:val="18694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Heading1"/>
    <w:basedOn w:val="1"/>
    <w:next w:val="1"/>
    <w:autoRedefine/>
    <w:qFormat/>
    <w:uiPriority w:val="0"/>
    <w:pPr>
      <w:keepNext/>
      <w:keepLines/>
      <w:spacing w:before="340" w:after="330" w:line="578" w:lineRule="auto"/>
      <w:jc w:val="both"/>
      <w:textAlignment w:val="baseline"/>
    </w:pPr>
    <w:rPr>
      <w:rFonts w:ascii="Times New Roman" w:hAnsi="Times New Roman" w:eastAsia="宋体" w:cs="Times New Roman"/>
      <w:b/>
      <w:bCs/>
      <w:kern w:val="44"/>
      <w:sz w:val="44"/>
      <w:szCs w:val="44"/>
      <w:lang w:val="en-US" w:eastAsia="zh-CN" w:bidi="ar-SA"/>
    </w:rPr>
  </w:style>
  <w:style w:type="paragraph" w:styleId="3">
    <w:name w:val="Body Text"/>
    <w:basedOn w:val="1"/>
    <w:next w:val="1"/>
    <w:qFormat/>
    <w:uiPriority w:val="0"/>
    <w:pPr>
      <w:spacing w:after="120"/>
    </w:pPr>
    <w:rPr>
      <w:rFonts w:ascii="Times New Roman" w:hAnsi="Times New Roman"/>
      <w:sz w:val="28"/>
      <w:szCs w:val="22"/>
    </w:rPr>
  </w:style>
  <w:style w:type="paragraph" w:styleId="4">
    <w:name w:val="footer"/>
    <w:basedOn w:val="1"/>
    <w:next w:val="3"/>
    <w:qFormat/>
    <w:uiPriority w:val="0"/>
    <w:pPr>
      <w:tabs>
        <w:tab w:val="center" w:pos="4153"/>
        <w:tab w:val="right" w:pos="8306"/>
      </w:tabs>
      <w:snapToGrid w:val="0"/>
      <w:jc w:val="left"/>
    </w:pPr>
    <w:rPr>
      <w:rFonts w:ascii="Times New Roman" w:hAnsi="Times New Roman"/>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2021-06-07T06:19:00Z</dcterms:created>
  <dc:creator>Administrator</dc:creator>
  <cp:lastModifiedBy>曹国霞</cp:lastModifiedBy>
  <dcterms:modified xsi:type="dcterms:W3CDTF">2024-01-10T01:27:16Z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D85216A3A38949B3AEC63270E6F57EA1</vt:lpwstr>
  </property>
</Properties>
</file>