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color w:val="auto"/>
          <w:kern w:val="1"/>
          <w:sz w:val="30"/>
          <w:szCs w:val="30"/>
          <w:highlight w:val="yellow"/>
          <w:lang w:eastAsia="zh-CN"/>
        </w:rPr>
      </w:pPr>
      <w:r>
        <w:rPr>
          <w:rFonts w:hint="eastAsia"/>
          <w:b/>
          <w:bCs/>
          <w:color w:val="auto"/>
          <w:kern w:val="1"/>
          <w:sz w:val="32"/>
          <w:szCs w:val="32"/>
          <w:highlight w:val="none"/>
          <w:lang w:eastAsia="zh-CN"/>
        </w:rPr>
        <w:t>采购内容及要求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1、项目名称：园办范围内砂石资源处置第三方评估服务采购项目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 xml:space="preserve">采购人：西咸新区丝路经济带能源金融贸易区管理办公室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ZCSP-西咸新区本级-2023-00328</w:t>
      </w:r>
      <w:r>
        <w:rPr>
          <w:rFonts w:hint="eastAsia" w:ascii="宋体" w:hAnsi="宋体" w:eastAsia="宋体" w:cs="宋体"/>
          <w:color w:val="auto"/>
          <w:sz w:val="24"/>
          <w:szCs w:val="24"/>
          <w:highlight w:val="none"/>
          <w:lang w:val="en-US" w:eastAsia="zh-CN"/>
        </w:rPr>
        <w:t>（XYZB2023-092）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4、服务期：自合同签订之日起1年。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5、服务地点：西咸新区丝路经济带能源金融贸易区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6、服务质量标准：达到国家相关规范、行业标准及采购人考核要求</w:t>
      </w:r>
    </w:p>
    <w:p>
      <w:p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二、采购内容及要求</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（一）采购内容</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本项目采购内容如下：</w:t>
      </w:r>
    </w:p>
    <w:tbl>
      <w:tblPr>
        <w:tblStyle w:val="6"/>
        <w:tblW w:w="8939"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656"/>
        <w:gridCol w:w="1500"/>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3786" w:type="dxa"/>
            <w:gridSpan w:val="2"/>
            <w:noWrap w:val="0"/>
            <w:vAlign w:val="center"/>
          </w:tcPr>
          <w:p>
            <w:pPr>
              <w:spacing w:line="28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包号</w:t>
            </w:r>
          </w:p>
        </w:tc>
        <w:tc>
          <w:tcPr>
            <w:tcW w:w="1500" w:type="dxa"/>
            <w:noWrap w:val="0"/>
            <w:vAlign w:val="center"/>
          </w:tcPr>
          <w:p>
            <w:pPr>
              <w:spacing w:line="28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预算金额</w:t>
            </w:r>
          </w:p>
          <w:p>
            <w:pPr>
              <w:spacing w:line="280" w:lineRule="exact"/>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（元）</w:t>
            </w:r>
          </w:p>
        </w:tc>
        <w:tc>
          <w:tcPr>
            <w:tcW w:w="3653" w:type="dxa"/>
            <w:noWrap w:val="0"/>
            <w:vAlign w:val="center"/>
          </w:tcPr>
          <w:p>
            <w:pPr>
              <w:spacing w:line="28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1130" w:type="dxa"/>
            <w:noWrap w:val="0"/>
            <w:vAlign w:val="center"/>
          </w:tcPr>
          <w:p>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合同包1</w:t>
            </w:r>
          </w:p>
        </w:tc>
        <w:tc>
          <w:tcPr>
            <w:tcW w:w="2656" w:type="dxa"/>
            <w:noWrap w:val="0"/>
            <w:vAlign w:val="center"/>
          </w:tcPr>
          <w:p>
            <w:pPr>
              <w:spacing w:line="28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园办范围内砂石资源处置第三方评估机</w:t>
            </w:r>
            <w:r>
              <w:rPr>
                <w:rFonts w:hint="eastAsia" w:cs="Times New Roman"/>
                <w:color w:val="auto"/>
                <w:highlight w:val="none"/>
                <w:lang w:val="en-US" w:eastAsia="zh-CN"/>
              </w:rPr>
              <w:t>构</w:t>
            </w:r>
            <w:r>
              <w:rPr>
                <w:rFonts w:hint="eastAsia" w:ascii="Times New Roman" w:hAnsi="Times New Roman" w:eastAsia="宋体" w:cs="Times New Roman"/>
                <w:color w:val="auto"/>
                <w:highlight w:val="none"/>
                <w:lang w:val="en-US" w:eastAsia="zh-CN"/>
              </w:rPr>
              <w:t>Ⅰ</w:t>
            </w:r>
          </w:p>
        </w:tc>
        <w:tc>
          <w:tcPr>
            <w:tcW w:w="1500" w:type="dxa"/>
            <w:noWrap w:val="0"/>
            <w:vAlign w:val="center"/>
          </w:tcPr>
          <w:p>
            <w:pPr>
              <w:spacing w:line="280" w:lineRule="exact"/>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￥200,000.00</w:t>
            </w:r>
          </w:p>
        </w:tc>
        <w:tc>
          <w:tcPr>
            <w:tcW w:w="3653" w:type="dxa"/>
            <w:noWrap w:val="0"/>
            <w:vAlign w:val="center"/>
          </w:tcPr>
          <w:p>
            <w:pPr>
              <w:spacing w:line="280" w:lineRule="exact"/>
              <w:jc w:val="center"/>
              <w:rPr>
                <w:rFonts w:hint="default" w:ascii="Times New Roman" w:hAnsi="Times New Roman" w:eastAsia="宋体" w:cs="Times New Roman"/>
                <w:b w:val="0"/>
                <w:bCs w:val="0"/>
                <w:color w:val="auto"/>
                <w:highlight w:val="yellow"/>
                <w:lang w:val="en-US" w:eastAsia="zh-CN"/>
              </w:rPr>
            </w:pPr>
            <w:r>
              <w:rPr>
                <w:rFonts w:hint="eastAsia" w:ascii="Times New Roman" w:hAnsi="Times New Roman" w:eastAsia="宋体" w:cs="Times New Roman"/>
                <w:color w:val="auto"/>
                <w:highlight w:val="none"/>
                <w:lang w:val="en-US" w:eastAsia="zh-CN"/>
              </w:rPr>
              <w:t>对园办范围内砂石资源处置进行评估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1130" w:type="dxa"/>
            <w:noWrap w:val="0"/>
            <w:vAlign w:val="center"/>
          </w:tcPr>
          <w:p>
            <w:pPr>
              <w:spacing w:line="28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合同包</w:t>
            </w:r>
            <w:r>
              <w:rPr>
                <w:rFonts w:hint="eastAsia" w:cs="Times New Roman"/>
                <w:color w:val="auto"/>
                <w:highlight w:val="none"/>
                <w:lang w:val="en-US" w:eastAsia="zh-CN"/>
              </w:rPr>
              <w:t>2</w:t>
            </w:r>
          </w:p>
        </w:tc>
        <w:tc>
          <w:tcPr>
            <w:tcW w:w="2656" w:type="dxa"/>
            <w:noWrap w:val="0"/>
            <w:vAlign w:val="center"/>
          </w:tcPr>
          <w:p>
            <w:pPr>
              <w:spacing w:line="28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园办范围内砂石资源处置第三方评估机</w:t>
            </w:r>
            <w:r>
              <w:rPr>
                <w:rFonts w:hint="eastAsia" w:cs="Times New Roman"/>
                <w:color w:val="auto"/>
                <w:highlight w:val="none"/>
                <w:lang w:val="en-US" w:eastAsia="zh-CN"/>
              </w:rPr>
              <w:t>构</w:t>
            </w:r>
            <w:r>
              <w:rPr>
                <w:rFonts w:hint="eastAsia" w:ascii="Times New Roman" w:hAnsi="Times New Roman" w:eastAsia="宋体" w:cs="Times New Roman"/>
                <w:color w:val="auto"/>
                <w:highlight w:val="none"/>
                <w:lang w:val="en-US" w:eastAsia="zh-CN"/>
              </w:rPr>
              <w:t>Ⅱ</w:t>
            </w:r>
          </w:p>
        </w:tc>
        <w:tc>
          <w:tcPr>
            <w:tcW w:w="1500" w:type="dxa"/>
            <w:noWrap w:val="0"/>
            <w:vAlign w:val="center"/>
          </w:tcPr>
          <w:p>
            <w:pPr>
              <w:spacing w:line="280" w:lineRule="exact"/>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￥200,000.00</w:t>
            </w:r>
          </w:p>
        </w:tc>
        <w:tc>
          <w:tcPr>
            <w:tcW w:w="3653" w:type="dxa"/>
            <w:noWrap w:val="0"/>
            <w:vAlign w:val="center"/>
          </w:tcPr>
          <w:p>
            <w:pPr>
              <w:spacing w:line="280" w:lineRule="exact"/>
              <w:jc w:val="center"/>
              <w:rPr>
                <w:rFonts w:hint="eastAsia" w:ascii="Times New Roman" w:hAnsi="Times New Roman" w:eastAsia="宋体" w:cs="Times New Roman"/>
                <w:b w:val="0"/>
                <w:bCs w:val="0"/>
                <w:color w:val="auto"/>
                <w:highlight w:val="yellow"/>
                <w:lang w:val="en-US" w:eastAsia="zh-CN"/>
              </w:rPr>
            </w:pPr>
            <w:r>
              <w:rPr>
                <w:rFonts w:hint="eastAsia" w:ascii="Times New Roman" w:hAnsi="Times New Roman" w:eastAsia="宋体" w:cs="Times New Roman"/>
                <w:color w:val="auto"/>
                <w:highlight w:val="none"/>
                <w:lang w:val="en-US" w:eastAsia="zh-CN"/>
              </w:rPr>
              <w:t>对园办范围内砂石资源处置进行评估</w:t>
            </w:r>
          </w:p>
        </w:tc>
      </w:tr>
    </w:tbl>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注：为保证项目顺利实施，供应商可同时参与本项目两个包的磋商采购，磋商小组按照合同包1、合同</w:t>
      </w:r>
      <w:r>
        <w:rPr>
          <w:rFonts w:hint="eastAsia" w:ascii="宋体" w:hAnsi="宋体" w:cs="Times New Roman"/>
          <w:b/>
          <w:bCs w:val="0"/>
          <w:color w:val="auto"/>
          <w:sz w:val="24"/>
          <w:szCs w:val="22"/>
          <w:highlight w:val="none"/>
          <w:lang w:val="en-US" w:eastAsia="zh-CN"/>
        </w:rPr>
        <w:t>包</w:t>
      </w:r>
      <w:r>
        <w:rPr>
          <w:rFonts w:hint="eastAsia" w:ascii="宋体" w:hAnsi="宋体" w:eastAsia="宋体" w:cs="Times New Roman"/>
          <w:b/>
          <w:bCs w:val="0"/>
          <w:color w:val="auto"/>
          <w:sz w:val="24"/>
          <w:szCs w:val="22"/>
          <w:highlight w:val="none"/>
          <w:lang w:val="en-US" w:eastAsia="zh-CN"/>
        </w:rPr>
        <w:t>2的顺序进行评审。在磋商评审过程中，若供应商被推荐为合同包1的第一成交候选人，则在合同包2的评审时不再推荐为第一成交候选人。</w:t>
      </w:r>
    </w:p>
    <w:p>
      <w:pPr>
        <w:spacing w:line="360" w:lineRule="auto"/>
        <w:ind w:firstLine="482" w:firstLineChars="200"/>
        <w:outlineLvl w:val="0"/>
        <w:rPr>
          <w:rFonts w:hint="default"/>
          <w:color w:val="auto"/>
          <w:highlight w:val="none"/>
          <w:lang w:val="en-US"/>
        </w:rPr>
      </w:pPr>
      <w:r>
        <w:rPr>
          <w:rFonts w:hint="eastAsia" w:ascii="宋体" w:hAnsi="宋体" w:eastAsia="宋体" w:cs="Times New Roman"/>
          <w:b/>
          <w:bCs w:val="0"/>
          <w:color w:val="auto"/>
          <w:sz w:val="24"/>
          <w:szCs w:val="22"/>
          <w:highlight w:val="none"/>
          <w:lang w:val="en-US" w:eastAsia="zh-CN"/>
        </w:rPr>
        <w:t>（二）服务技术要求及工作机制</w:t>
      </w:r>
    </w:p>
    <w:p>
      <w:p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1、评估服务机构</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（1）</w:t>
      </w:r>
      <w:r>
        <w:rPr>
          <w:rFonts w:hint="eastAsia" w:ascii="宋体" w:hAnsi="宋体" w:eastAsia="宋体" w:cs="Times New Roman"/>
          <w:bCs/>
          <w:color w:val="auto"/>
          <w:sz w:val="24"/>
          <w:szCs w:val="22"/>
          <w:highlight w:val="none"/>
          <w:lang w:val="en-US" w:eastAsia="zh-CN"/>
        </w:rPr>
        <w:t>服务机构数量：2家。</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（2）</w:t>
      </w:r>
      <w:r>
        <w:rPr>
          <w:rFonts w:hint="eastAsia" w:ascii="宋体" w:hAnsi="宋体" w:eastAsia="宋体" w:cs="Times New Roman"/>
          <w:bCs/>
          <w:color w:val="auto"/>
          <w:sz w:val="24"/>
          <w:szCs w:val="22"/>
          <w:highlight w:val="none"/>
          <w:lang w:val="en-US" w:eastAsia="zh-CN"/>
        </w:rPr>
        <w:t>评估进场方式：采用“背靠背”方式，分别开展评估工作，分别出具评估报告。</w:t>
      </w:r>
    </w:p>
    <w:p>
      <w:pPr>
        <w:spacing w:line="360" w:lineRule="auto"/>
        <w:ind w:firstLine="480" w:firstLineChars="200"/>
        <w:outlineLvl w:val="0"/>
        <w:rPr>
          <w:rFonts w:hint="eastAsia" w:ascii="宋体" w:hAnsi="宋体" w:eastAsia="宋体" w:cs="宋体"/>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（3）评估结果运用：</w:t>
      </w:r>
      <w:r>
        <w:rPr>
          <w:rFonts w:hint="eastAsia" w:ascii="宋体" w:hAnsi="宋体" w:eastAsia="宋体" w:cs="Times New Roman"/>
          <w:b w:val="0"/>
          <w:bCs/>
          <w:color w:val="auto"/>
          <w:sz w:val="24"/>
          <w:szCs w:val="22"/>
          <w:highlight w:val="none"/>
          <w:lang w:val="en-US" w:eastAsia="zh-CN"/>
        </w:rPr>
        <w:t>针对同一项目由2家评估单位分别出具评估报告，采购人以2家评估单位评估值最低者作为最终确认的评估值。</w:t>
      </w:r>
    </w:p>
    <w:p>
      <w:p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2、工作机制</w:t>
      </w:r>
    </w:p>
    <w:p>
      <w:pPr>
        <w:spacing w:line="360" w:lineRule="auto"/>
        <w:ind w:firstLine="480"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选定的评估服务机构需服从管理，严格按照行业规定确保结果准确，能按照时限要求，及时准确出具报告，否则取消服务资格。</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四</w:t>
      </w:r>
      <w:r>
        <w:rPr>
          <w:rFonts w:hint="eastAsia" w:ascii="宋体" w:hAnsi="宋体" w:eastAsia="宋体" w:cs="Times New Roman"/>
          <w:b/>
          <w:bCs w:val="0"/>
          <w:color w:val="auto"/>
          <w:sz w:val="24"/>
          <w:szCs w:val="22"/>
          <w:highlight w:val="none"/>
          <w:lang w:val="zh-CN" w:eastAsia="zh-CN"/>
        </w:rPr>
        <w:t>、</w:t>
      </w:r>
      <w:r>
        <w:rPr>
          <w:rFonts w:hint="eastAsia" w:ascii="宋体" w:hAnsi="宋体" w:eastAsia="宋体" w:cs="Times New Roman"/>
          <w:b/>
          <w:bCs w:val="0"/>
          <w:color w:val="auto"/>
          <w:sz w:val="24"/>
          <w:szCs w:val="22"/>
          <w:highlight w:val="none"/>
          <w:lang w:val="en-US" w:eastAsia="zh-CN"/>
        </w:rPr>
        <w:t>依据及技术标准</w:t>
      </w:r>
    </w:p>
    <w:p>
      <w:pPr>
        <w:spacing w:line="360" w:lineRule="auto"/>
        <w:ind w:firstLine="480" w:firstLineChars="200"/>
        <w:outlineLvl w:val="0"/>
        <w:rPr>
          <w:rFonts w:hint="eastAsia" w:ascii="宋体" w:hAnsi="宋体" w:eastAsia="宋体" w:cs="Times New Roman"/>
          <w:bCs/>
          <w:color w:val="auto"/>
          <w:sz w:val="24"/>
          <w:szCs w:val="22"/>
          <w:highlight w:val="none"/>
          <w:lang w:val="zh-CN" w:eastAsia="zh-CN"/>
        </w:rPr>
      </w:pPr>
      <w:r>
        <w:rPr>
          <w:rFonts w:hint="eastAsia" w:ascii="宋体" w:hAnsi="宋体" w:eastAsia="宋体" w:cs="Times New Roman"/>
          <w:bCs/>
          <w:color w:val="auto"/>
          <w:sz w:val="24"/>
          <w:szCs w:val="22"/>
          <w:highlight w:val="none"/>
          <w:lang w:val="en-US" w:eastAsia="zh-CN"/>
        </w:rPr>
        <w:t>1、</w:t>
      </w:r>
      <w:r>
        <w:rPr>
          <w:rFonts w:hint="eastAsia" w:ascii="宋体" w:hAnsi="宋体" w:eastAsia="宋体" w:cs="Times New Roman"/>
          <w:bCs/>
          <w:color w:val="auto"/>
          <w:sz w:val="24"/>
          <w:szCs w:val="22"/>
          <w:highlight w:val="none"/>
          <w:lang w:val="zh-CN" w:eastAsia="zh-CN"/>
        </w:rPr>
        <w:t>《</w:t>
      </w:r>
      <w:r>
        <w:rPr>
          <w:rFonts w:hint="eastAsia" w:ascii="宋体" w:hAnsi="宋体" w:eastAsia="宋体" w:cs="Times New Roman"/>
          <w:bCs/>
          <w:color w:val="auto"/>
          <w:sz w:val="24"/>
          <w:szCs w:val="22"/>
          <w:highlight w:val="none"/>
          <w:lang w:val="en-US" w:eastAsia="zh-CN"/>
        </w:rPr>
        <w:t>中华人民共和国资产评估法</w:t>
      </w:r>
      <w:r>
        <w:rPr>
          <w:rFonts w:hint="eastAsia" w:ascii="宋体" w:hAnsi="宋体" w:eastAsia="宋体" w:cs="Times New Roman"/>
          <w:bCs/>
          <w:color w:val="auto"/>
          <w:sz w:val="24"/>
          <w:szCs w:val="22"/>
          <w:highlight w:val="none"/>
          <w:lang w:val="zh-CN" w:eastAsia="zh-CN"/>
        </w:rPr>
        <w:t>》；</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2、《中华人民共和国拍卖法》；</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3、《资产评估报告基本内容与格式的暂行规定》（财政部财评字（1999）91号）；</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4、《资产评估基本准则》（财资［2017］43号）；</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5、《资产评估职业道德准则》（中评协［2017］30号）；</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6、《资产评估执业准则—资产评估程序》（中评协［2018］36号）；</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7、《资产评估执业准则—资产评估报告》（中评协［2018］35号）；</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8、《资产评估机构业务质量控制指南》（中评协［2017］46号）；</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9、国家、行业和地方其他有关资产评估的技术规范、规程、标准。</w:t>
      </w:r>
    </w:p>
    <w:p>
      <w:pPr>
        <w:numPr>
          <w:ilvl w:val="0"/>
          <w:numId w:val="0"/>
        </w:num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五、报价要求</w:t>
      </w:r>
    </w:p>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1、按照《转发国家发展改革委、财政部关于发布&lt;资产评估收费管理办法&gt;的通知》（陕价行发〔2011〕152号）的规定，由供应商根据项目实际情况并结合市场行情自主报价（</w:t>
      </w:r>
      <w:r>
        <w:rPr>
          <w:rFonts w:hint="eastAsia" w:ascii="宋体" w:hAnsi="宋体" w:cs="Times New Roman"/>
          <w:b w:val="0"/>
          <w:bCs/>
          <w:color w:val="auto"/>
          <w:sz w:val="24"/>
          <w:szCs w:val="22"/>
          <w:highlight w:val="none"/>
          <w:lang w:val="en-US" w:eastAsia="zh-CN"/>
        </w:rPr>
        <w:t>折扣率</w:t>
      </w:r>
      <w:r>
        <w:rPr>
          <w:rFonts w:hint="eastAsia" w:ascii="宋体" w:hAnsi="宋体" w:eastAsia="宋体" w:cs="Times New Roman"/>
          <w:b w:val="0"/>
          <w:bCs/>
          <w:color w:val="auto"/>
          <w:sz w:val="24"/>
          <w:szCs w:val="22"/>
          <w:highlight w:val="none"/>
          <w:lang w:val="en-US" w:eastAsia="zh-CN"/>
        </w:rPr>
        <w:t>）。</w:t>
      </w:r>
    </w:p>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2、</w:t>
      </w:r>
      <w:r>
        <w:rPr>
          <w:rFonts w:hint="eastAsia" w:ascii="宋体" w:hAnsi="宋体" w:cs="Times New Roman"/>
          <w:b w:val="0"/>
          <w:bCs/>
          <w:color w:val="auto"/>
          <w:sz w:val="24"/>
          <w:szCs w:val="22"/>
          <w:highlight w:val="none"/>
          <w:lang w:val="en-US" w:eastAsia="zh-CN"/>
        </w:rPr>
        <w:t>最高</w:t>
      </w:r>
      <w:r>
        <w:rPr>
          <w:rFonts w:hint="eastAsia" w:ascii="宋体" w:hAnsi="宋体" w:eastAsia="宋体" w:cs="Times New Roman"/>
          <w:b w:val="0"/>
          <w:bCs/>
          <w:color w:val="auto"/>
          <w:sz w:val="24"/>
          <w:szCs w:val="22"/>
          <w:highlight w:val="none"/>
          <w:lang w:val="en-US" w:eastAsia="zh-CN"/>
        </w:rPr>
        <w:t>限价</w:t>
      </w:r>
    </w:p>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（1）国家发改委、财政部关于发布《资产评估收费管理办法》陕价行发〔2011〕152号的通知</w:t>
      </w:r>
      <w:r>
        <w:rPr>
          <w:rFonts w:hint="eastAsia" w:ascii="宋体" w:hAnsi="宋体" w:cs="Times New Roman"/>
          <w:b w:val="0"/>
          <w:bCs/>
          <w:color w:val="auto"/>
          <w:sz w:val="24"/>
          <w:szCs w:val="22"/>
          <w:highlight w:val="none"/>
          <w:lang w:val="en-US" w:eastAsia="zh-CN"/>
        </w:rPr>
        <w:t>，陕西省计件</w:t>
      </w:r>
      <w:r>
        <w:rPr>
          <w:rFonts w:hint="eastAsia" w:ascii="宋体" w:hAnsi="宋体" w:eastAsia="宋体" w:cs="Times New Roman"/>
          <w:b w:val="0"/>
          <w:bCs/>
          <w:color w:val="auto"/>
          <w:sz w:val="24"/>
          <w:szCs w:val="22"/>
          <w:highlight w:val="none"/>
          <w:lang w:val="en-US" w:eastAsia="zh-CN"/>
        </w:rPr>
        <w:t>收费标准如下：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4553"/>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81"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档次</w:t>
            </w:r>
          </w:p>
        </w:tc>
        <w:tc>
          <w:tcPr>
            <w:tcW w:w="4840"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计费额度（万元）</w:t>
            </w:r>
          </w:p>
        </w:tc>
        <w:tc>
          <w:tcPr>
            <w:tcW w:w="2693"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差额计费率（‰）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81"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1</w:t>
            </w:r>
          </w:p>
        </w:tc>
        <w:tc>
          <w:tcPr>
            <w:tcW w:w="4840"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100以下（含100）</w:t>
            </w:r>
          </w:p>
        </w:tc>
        <w:tc>
          <w:tcPr>
            <w:tcW w:w="2693"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81"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2</w:t>
            </w:r>
          </w:p>
        </w:tc>
        <w:tc>
          <w:tcPr>
            <w:tcW w:w="4840"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100以上—1000（含1000）</w:t>
            </w:r>
          </w:p>
        </w:tc>
        <w:tc>
          <w:tcPr>
            <w:tcW w:w="2693"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81"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3</w:t>
            </w:r>
          </w:p>
        </w:tc>
        <w:tc>
          <w:tcPr>
            <w:tcW w:w="4840"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1000以上—5000（含5000）</w:t>
            </w:r>
          </w:p>
        </w:tc>
        <w:tc>
          <w:tcPr>
            <w:tcW w:w="2693" w:type="dxa"/>
            <w:vAlign w:val="center"/>
          </w:tcPr>
          <w:p>
            <w:pPr>
              <w:jc w:val="center"/>
              <w:rPr>
                <w:rFonts w:hint="eastAsia" w:ascii="宋体" w:hAnsi="宋体" w:eastAsia="宋体" w:cs="Times New Roman"/>
                <w:b w:val="0"/>
                <w:bCs/>
                <w:color w:val="auto"/>
                <w:sz w:val="24"/>
                <w:szCs w:val="22"/>
                <w:highlight w:val="none"/>
                <w:vertAlign w:val="baseline"/>
                <w:lang w:val="en-US" w:eastAsia="zh-CN"/>
              </w:rPr>
            </w:pPr>
            <w:r>
              <w:rPr>
                <w:rFonts w:hint="eastAsia" w:ascii="宋体" w:hAnsi="宋体" w:cs="宋体"/>
                <w:b w:val="0"/>
                <w:bCs/>
                <w:color w:val="auto"/>
                <w:sz w:val="24"/>
                <w:szCs w:val="24"/>
                <w:highlight w:val="none"/>
              </w:rPr>
              <w:t>1.6</w:t>
            </w:r>
          </w:p>
        </w:tc>
      </w:tr>
    </w:tbl>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（2）</w:t>
      </w:r>
      <w:r>
        <w:rPr>
          <w:rFonts w:hint="eastAsia" w:ascii="宋体" w:hAnsi="宋体" w:eastAsia="宋体" w:cs="Times New Roman"/>
          <w:b/>
          <w:bCs w:val="0"/>
          <w:color w:val="auto"/>
          <w:sz w:val="24"/>
          <w:szCs w:val="22"/>
          <w:highlight w:val="none"/>
          <w:lang w:val="en-US" w:eastAsia="zh-CN"/>
        </w:rPr>
        <w:t>砂石</w:t>
      </w:r>
      <w:r>
        <w:rPr>
          <w:rFonts w:hint="eastAsia" w:ascii="宋体" w:hAnsi="宋体" w:cs="Times New Roman"/>
          <w:b/>
          <w:bCs w:val="0"/>
          <w:color w:val="auto"/>
          <w:sz w:val="24"/>
          <w:szCs w:val="22"/>
          <w:highlight w:val="none"/>
          <w:lang w:val="en-US" w:eastAsia="zh-CN"/>
        </w:rPr>
        <w:t>资源</w:t>
      </w:r>
      <w:r>
        <w:rPr>
          <w:rFonts w:hint="eastAsia" w:ascii="宋体" w:hAnsi="宋体" w:eastAsia="宋体" w:cs="Times New Roman"/>
          <w:b/>
          <w:bCs w:val="0"/>
          <w:color w:val="auto"/>
          <w:sz w:val="24"/>
          <w:szCs w:val="22"/>
          <w:highlight w:val="none"/>
          <w:lang w:val="en-US" w:eastAsia="zh-CN"/>
        </w:rPr>
        <w:t>处置评估</w:t>
      </w:r>
      <w:r>
        <w:rPr>
          <w:rFonts w:hint="eastAsia" w:ascii="宋体" w:hAnsi="宋体" w:cs="Times New Roman"/>
          <w:b/>
          <w:bCs w:val="0"/>
          <w:color w:val="auto"/>
          <w:sz w:val="24"/>
          <w:szCs w:val="22"/>
          <w:highlight w:val="none"/>
          <w:lang w:val="en-US" w:eastAsia="zh-CN"/>
        </w:rPr>
        <w:t>报价（折扣率）</w:t>
      </w:r>
      <w:r>
        <w:rPr>
          <w:rFonts w:hint="eastAsia" w:ascii="宋体" w:hAnsi="宋体" w:eastAsia="宋体" w:cs="Times New Roman"/>
          <w:b/>
          <w:bCs w:val="0"/>
          <w:color w:val="auto"/>
          <w:sz w:val="24"/>
          <w:szCs w:val="22"/>
          <w:highlight w:val="none"/>
          <w:lang w:val="en-US" w:eastAsia="zh-CN"/>
        </w:rPr>
        <w:t>限价</w:t>
      </w:r>
      <w:r>
        <w:rPr>
          <w:rFonts w:hint="eastAsia" w:ascii="宋体" w:hAnsi="宋体" w:cs="Times New Roman"/>
          <w:b/>
          <w:bCs w:val="0"/>
          <w:color w:val="auto"/>
          <w:sz w:val="24"/>
          <w:szCs w:val="22"/>
          <w:highlight w:val="none"/>
          <w:lang w:val="en-US" w:eastAsia="zh-CN"/>
        </w:rPr>
        <w:t>：</w:t>
      </w:r>
      <w:r>
        <w:rPr>
          <w:rFonts w:hint="eastAsia" w:ascii="宋体" w:hAnsi="宋体" w:eastAsia="宋体" w:cs="Times New Roman"/>
          <w:b w:val="0"/>
          <w:bCs/>
          <w:color w:val="auto"/>
          <w:sz w:val="24"/>
          <w:szCs w:val="22"/>
          <w:highlight w:val="none"/>
          <w:lang w:val="en-US" w:eastAsia="zh-CN"/>
        </w:rPr>
        <w:t>为陕价行发〔2011〕152号规定计件收费标准</w:t>
      </w:r>
      <w:r>
        <w:rPr>
          <w:rFonts w:hint="eastAsia" w:ascii="宋体" w:hAnsi="宋体" w:cs="Times New Roman"/>
          <w:b w:val="0"/>
          <w:bCs/>
          <w:color w:val="auto"/>
          <w:sz w:val="24"/>
          <w:szCs w:val="22"/>
          <w:highlight w:val="none"/>
          <w:lang w:val="en-US" w:eastAsia="zh-CN"/>
        </w:rPr>
        <w:t>的30%（即3.0折）</w:t>
      </w:r>
      <w:r>
        <w:rPr>
          <w:rFonts w:hint="eastAsia" w:ascii="宋体" w:hAnsi="宋体" w:eastAsia="宋体" w:cs="Times New Roman"/>
          <w:b w:val="0"/>
          <w:bCs/>
          <w:color w:val="auto"/>
          <w:sz w:val="24"/>
          <w:szCs w:val="22"/>
          <w:highlight w:val="none"/>
          <w:lang w:val="en-US" w:eastAsia="zh-CN"/>
        </w:rPr>
        <w:t>。</w:t>
      </w:r>
    </w:p>
    <w:p>
      <w:pPr>
        <w:numPr>
          <w:ilvl w:val="0"/>
          <w:numId w:val="0"/>
        </w:num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cs="Times New Roman"/>
          <w:b/>
          <w:bCs w:val="0"/>
          <w:color w:val="auto"/>
          <w:sz w:val="24"/>
          <w:szCs w:val="22"/>
          <w:highlight w:val="none"/>
          <w:lang w:val="en-US" w:eastAsia="zh-CN"/>
        </w:rPr>
        <w:t>（3）</w:t>
      </w:r>
      <w:r>
        <w:rPr>
          <w:rFonts w:hint="eastAsia" w:ascii="宋体" w:hAnsi="宋体" w:eastAsia="宋体" w:cs="Times New Roman"/>
          <w:b/>
          <w:bCs w:val="0"/>
          <w:color w:val="auto"/>
          <w:sz w:val="24"/>
          <w:szCs w:val="22"/>
          <w:highlight w:val="none"/>
          <w:lang w:val="en-US" w:eastAsia="zh-CN"/>
        </w:rPr>
        <w:t>供应商的砂石</w:t>
      </w:r>
      <w:r>
        <w:rPr>
          <w:rFonts w:hint="eastAsia" w:ascii="宋体" w:hAnsi="宋体" w:cs="Times New Roman"/>
          <w:b/>
          <w:bCs w:val="0"/>
          <w:color w:val="auto"/>
          <w:sz w:val="24"/>
          <w:szCs w:val="22"/>
          <w:highlight w:val="none"/>
          <w:lang w:val="en-US" w:eastAsia="zh-CN"/>
        </w:rPr>
        <w:t>资源</w:t>
      </w:r>
      <w:r>
        <w:rPr>
          <w:rFonts w:hint="eastAsia" w:ascii="宋体" w:hAnsi="宋体" w:eastAsia="宋体" w:cs="Times New Roman"/>
          <w:b/>
          <w:bCs w:val="0"/>
          <w:color w:val="auto"/>
          <w:sz w:val="24"/>
          <w:szCs w:val="22"/>
          <w:highlight w:val="none"/>
          <w:lang w:val="en-US" w:eastAsia="zh-CN"/>
        </w:rPr>
        <w:t>处置评估报价（</w:t>
      </w:r>
      <w:r>
        <w:rPr>
          <w:rFonts w:hint="eastAsia" w:ascii="宋体" w:hAnsi="宋体" w:cs="Times New Roman"/>
          <w:b/>
          <w:bCs w:val="0"/>
          <w:color w:val="auto"/>
          <w:sz w:val="24"/>
          <w:szCs w:val="22"/>
          <w:highlight w:val="none"/>
          <w:lang w:val="en-US" w:eastAsia="zh-CN"/>
        </w:rPr>
        <w:t>折扣率</w:t>
      </w:r>
      <w:r>
        <w:rPr>
          <w:rFonts w:hint="eastAsia" w:ascii="宋体" w:hAnsi="宋体" w:eastAsia="宋体" w:cs="Times New Roman"/>
          <w:b/>
          <w:bCs w:val="0"/>
          <w:color w:val="auto"/>
          <w:sz w:val="24"/>
          <w:szCs w:val="22"/>
          <w:highlight w:val="none"/>
          <w:lang w:val="en-US" w:eastAsia="zh-CN"/>
        </w:rPr>
        <w:t>）不得超过</w:t>
      </w:r>
      <w:r>
        <w:rPr>
          <w:rFonts w:hint="eastAsia" w:ascii="宋体" w:hAnsi="宋体" w:cs="Times New Roman"/>
          <w:b/>
          <w:bCs w:val="0"/>
          <w:color w:val="auto"/>
          <w:sz w:val="24"/>
          <w:szCs w:val="22"/>
          <w:highlight w:val="none"/>
          <w:lang w:val="en-US" w:eastAsia="zh-CN"/>
        </w:rPr>
        <w:t>上述折扣率</w:t>
      </w:r>
      <w:r>
        <w:rPr>
          <w:rFonts w:hint="eastAsia" w:ascii="宋体" w:hAnsi="宋体" w:eastAsia="宋体" w:cs="Times New Roman"/>
          <w:b/>
          <w:bCs w:val="0"/>
          <w:color w:val="auto"/>
          <w:sz w:val="24"/>
          <w:szCs w:val="22"/>
          <w:highlight w:val="none"/>
          <w:lang w:val="en-US" w:eastAsia="zh-CN"/>
        </w:rPr>
        <w:t>限价</w:t>
      </w:r>
      <w:r>
        <w:rPr>
          <w:rFonts w:hint="eastAsia" w:ascii="宋体" w:hAnsi="宋体" w:cs="Times New Roman"/>
          <w:b/>
          <w:bCs w:val="0"/>
          <w:color w:val="auto"/>
          <w:sz w:val="24"/>
          <w:szCs w:val="22"/>
          <w:highlight w:val="none"/>
          <w:lang w:val="en-US" w:eastAsia="zh-CN"/>
        </w:rPr>
        <w:t>（30%）</w:t>
      </w:r>
      <w:r>
        <w:rPr>
          <w:rFonts w:hint="eastAsia" w:ascii="宋体" w:hAnsi="宋体" w:eastAsia="宋体" w:cs="Times New Roman"/>
          <w:b/>
          <w:bCs w:val="0"/>
          <w:color w:val="auto"/>
          <w:sz w:val="24"/>
          <w:szCs w:val="22"/>
          <w:highlight w:val="none"/>
          <w:lang w:val="en-US" w:eastAsia="zh-CN"/>
        </w:rPr>
        <w:t>，否则按无效文件处理。</w:t>
      </w:r>
    </w:p>
    <w:p>
      <w:pPr>
        <w:numPr>
          <w:ilvl w:val="0"/>
          <w:numId w:val="0"/>
        </w:numPr>
        <w:spacing w:line="360" w:lineRule="auto"/>
        <w:ind w:firstLine="480" w:firstLineChars="200"/>
        <w:outlineLvl w:val="0"/>
        <w:rPr>
          <w:rFonts w:hint="default"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3、砂石</w:t>
      </w:r>
      <w:r>
        <w:rPr>
          <w:rFonts w:hint="eastAsia" w:ascii="宋体" w:hAnsi="宋体" w:cs="Times New Roman"/>
          <w:b w:val="0"/>
          <w:bCs/>
          <w:color w:val="auto"/>
          <w:sz w:val="24"/>
          <w:szCs w:val="22"/>
          <w:highlight w:val="none"/>
          <w:lang w:val="en-US" w:eastAsia="zh-CN"/>
        </w:rPr>
        <w:t>资源</w:t>
      </w:r>
      <w:r>
        <w:rPr>
          <w:rFonts w:hint="eastAsia" w:ascii="宋体" w:hAnsi="宋体" w:eastAsia="宋体" w:cs="Times New Roman"/>
          <w:b w:val="0"/>
          <w:bCs/>
          <w:color w:val="auto"/>
          <w:sz w:val="24"/>
          <w:szCs w:val="22"/>
          <w:highlight w:val="none"/>
          <w:lang w:val="en-US" w:eastAsia="zh-CN"/>
        </w:rPr>
        <w:t>处置评估</w:t>
      </w:r>
      <w:r>
        <w:rPr>
          <w:rFonts w:hint="eastAsia" w:ascii="宋体" w:hAnsi="宋体" w:cs="Times New Roman"/>
          <w:b w:val="0"/>
          <w:bCs/>
          <w:color w:val="auto"/>
          <w:sz w:val="24"/>
          <w:szCs w:val="22"/>
          <w:highlight w:val="none"/>
          <w:lang w:val="en-US" w:eastAsia="zh-CN"/>
        </w:rPr>
        <w:t>费用</w:t>
      </w:r>
      <w:r>
        <w:rPr>
          <w:rFonts w:hint="eastAsia" w:ascii="宋体" w:hAnsi="宋体" w:eastAsia="宋体" w:cs="Times New Roman"/>
          <w:b w:val="0"/>
          <w:bCs/>
          <w:color w:val="auto"/>
          <w:sz w:val="24"/>
          <w:szCs w:val="22"/>
          <w:highlight w:val="none"/>
          <w:lang w:val="en-US" w:eastAsia="zh-CN"/>
        </w:rPr>
        <w:t>计算</w:t>
      </w:r>
    </w:p>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砂石处置评估费用=经采购人确认的评审项目评估值</w:t>
      </w:r>
      <w:r>
        <w:rPr>
          <w:rFonts w:hint="default" w:ascii="宋体" w:hAnsi="宋体" w:eastAsia="宋体" w:cs="Times New Roman"/>
          <w:b w:val="0"/>
          <w:bCs/>
          <w:color w:val="auto"/>
          <w:sz w:val="24"/>
          <w:szCs w:val="22"/>
          <w:highlight w:val="none"/>
          <w:lang w:val="en-US" w:eastAsia="zh-CN"/>
        </w:rPr>
        <w:t>×</w:t>
      </w:r>
      <w:r>
        <w:rPr>
          <w:rFonts w:hint="eastAsia" w:ascii="宋体" w:hAnsi="宋体" w:eastAsia="宋体" w:cs="Times New Roman"/>
          <w:b w:val="0"/>
          <w:bCs/>
          <w:color w:val="auto"/>
          <w:sz w:val="24"/>
          <w:szCs w:val="22"/>
          <w:highlight w:val="none"/>
          <w:lang w:val="en-US" w:eastAsia="zh-CN"/>
        </w:rPr>
        <w:t>相应</w:t>
      </w:r>
      <w:r>
        <w:rPr>
          <w:rFonts w:hint="eastAsia" w:ascii="宋体" w:hAnsi="宋体" w:cs="Times New Roman"/>
          <w:b w:val="0"/>
          <w:bCs/>
          <w:color w:val="auto"/>
          <w:sz w:val="24"/>
          <w:szCs w:val="22"/>
          <w:highlight w:val="none"/>
          <w:lang w:val="en-US" w:eastAsia="zh-CN"/>
        </w:rPr>
        <w:t>计件收费标准</w:t>
      </w:r>
      <w:r>
        <w:rPr>
          <w:rFonts w:hint="default" w:ascii="宋体" w:hAnsi="宋体" w:eastAsia="宋体" w:cs="Times New Roman"/>
          <w:b w:val="0"/>
          <w:bCs/>
          <w:color w:val="auto"/>
          <w:sz w:val="24"/>
          <w:szCs w:val="22"/>
          <w:highlight w:val="none"/>
          <w:lang w:val="en-US" w:eastAsia="zh-CN"/>
        </w:rPr>
        <w:t>×</w:t>
      </w:r>
      <w:r>
        <w:rPr>
          <w:rFonts w:hint="eastAsia" w:ascii="宋体" w:hAnsi="宋体" w:cs="Times New Roman"/>
          <w:b w:val="0"/>
          <w:bCs/>
          <w:color w:val="auto"/>
          <w:sz w:val="24"/>
          <w:szCs w:val="22"/>
          <w:highlight w:val="none"/>
          <w:lang w:val="en-US" w:eastAsia="zh-CN"/>
        </w:rPr>
        <w:t>折扣率</w:t>
      </w:r>
      <w:r>
        <w:rPr>
          <w:rFonts w:hint="eastAsia" w:ascii="宋体" w:hAnsi="宋体" w:eastAsia="宋体" w:cs="Times New Roman"/>
          <w:b w:val="0"/>
          <w:bCs/>
          <w:color w:val="auto"/>
          <w:sz w:val="24"/>
          <w:szCs w:val="22"/>
          <w:highlight w:val="none"/>
          <w:lang w:val="en-US" w:eastAsia="zh-CN"/>
        </w:rPr>
        <w:t>，</w:t>
      </w:r>
      <w:r>
        <w:rPr>
          <w:rFonts w:hint="eastAsia" w:ascii="宋体" w:hAnsi="宋体"/>
          <w:color w:val="auto"/>
          <w:sz w:val="24"/>
          <w:szCs w:val="24"/>
          <w:highlight w:val="none"/>
          <w:lang w:eastAsia="zh-CN"/>
        </w:rPr>
        <w:t>最终总结算金额不超过本项目</w:t>
      </w:r>
      <w:r>
        <w:rPr>
          <w:rFonts w:hint="eastAsia" w:ascii="宋体" w:hAnsi="宋体"/>
          <w:color w:val="auto"/>
          <w:sz w:val="24"/>
          <w:szCs w:val="24"/>
          <w:highlight w:val="none"/>
          <w:lang w:val="en-US" w:eastAsia="zh-CN"/>
        </w:rPr>
        <w:t>各包</w:t>
      </w:r>
      <w:r>
        <w:rPr>
          <w:rFonts w:hint="eastAsia" w:ascii="宋体" w:hAnsi="宋体"/>
          <w:color w:val="auto"/>
          <w:sz w:val="24"/>
          <w:szCs w:val="24"/>
          <w:highlight w:val="none"/>
          <w:lang w:eastAsia="zh-CN"/>
        </w:rPr>
        <w:t>预算。</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六、成果要求</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1、成果文件提交时间</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成交供应商在受领具体的项目评估任务后，应及时</w:t>
      </w:r>
      <w:r>
        <w:rPr>
          <w:rFonts w:hint="eastAsia" w:ascii="宋体" w:hAnsi="宋体" w:eastAsia="宋体" w:cs="Times New Roman"/>
          <w:bCs/>
          <w:color w:val="auto"/>
          <w:sz w:val="24"/>
          <w:szCs w:val="22"/>
          <w:highlight w:val="none"/>
          <w:lang w:val="zh-CN" w:eastAsia="zh-CN"/>
        </w:rPr>
        <w:t>与</w:t>
      </w:r>
      <w:r>
        <w:rPr>
          <w:rFonts w:hint="eastAsia" w:ascii="宋体" w:hAnsi="宋体" w:eastAsia="宋体" w:cs="Times New Roman"/>
          <w:bCs/>
          <w:color w:val="auto"/>
          <w:sz w:val="24"/>
          <w:szCs w:val="22"/>
          <w:highlight w:val="none"/>
          <w:lang w:val="en-US" w:eastAsia="zh-CN"/>
        </w:rPr>
        <w:t>采购人</w:t>
      </w:r>
      <w:r>
        <w:rPr>
          <w:rFonts w:hint="eastAsia" w:ascii="宋体" w:hAnsi="宋体" w:eastAsia="宋体" w:cs="Times New Roman"/>
          <w:bCs/>
          <w:color w:val="auto"/>
          <w:sz w:val="24"/>
          <w:szCs w:val="22"/>
          <w:highlight w:val="none"/>
          <w:lang w:val="zh-CN" w:eastAsia="zh-CN"/>
        </w:rPr>
        <w:t>联系</w:t>
      </w:r>
      <w:r>
        <w:rPr>
          <w:rFonts w:hint="eastAsia" w:ascii="宋体" w:hAnsi="宋体" w:eastAsia="宋体" w:cs="Times New Roman"/>
          <w:bCs/>
          <w:color w:val="auto"/>
          <w:sz w:val="24"/>
          <w:szCs w:val="22"/>
          <w:highlight w:val="none"/>
          <w:lang w:val="en-US" w:eastAsia="zh-CN"/>
        </w:rPr>
        <w:t>并进行现场勘查工作，并于</w:t>
      </w:r>
      <w:r>
        <w:rPr>
          <w:rFonts w:hint="eastAsia" w:ascii="宋体" w:hAnsi="宋体" w:eastAsia="宋体" w:cs="Times New Roman"/>
          <w:bCs/>
          <w:color w:val="auto"/>
          <w:sz w:val="24"/>
          <w:szCs w:val="22"/>
          <w:highlight w:val="none"/>
          <w:lang w:val="zh-CN" w:eastAsia="zh-CN"/>
        </w:rPr>
        <w:t>接到</w:t>
      </w:r>
      <w:r>
        <w:rPr>
          <w:rFonts w:hint="eastAsia" w:ascii="宋体" w:hAnsi="宋体" w:eastAsia="宋体" w:cs="Times New Roman"/>
          <w:bCs/>
          <w:color w:val="auto"/>
          <w:sz w:val="24"/>
          <w:szCs w:val="22"/>
          <w:highlight w:val="none"/>
          <w:lang w:val="en-US" w:eastAsia="zh-CN"/>
        </w:rPr>
        <w:t>具体</w:t>
      </w:r>
      <w:r>
        <w:rPr>
          <w:rFonts w:hint="eastAsia" w:ascii="宋体" w:hAnsi="宋体" w:eastAsia="宋体" w:cs="Times New Roman"/>
          <w:bCs/>
          <w:color w:val="auto"/>
          <w:sz w:val="24"/>
          <w:szCs w:val="22"/>
          <w:highlight w:val="none"/>
          <w:lang w:val="zh-CN" w:eastAsia="zh-CN"/>
        </w:rPr>
        <w:t>项目委托通知</w:t>
      </w:r>
      <w:r>
        <w:rPr>
          <w:rFonts w:hint="eastAsia" w:ascii="宋体" w:hAnsi="宋体" w:eastAsia="宋体" w:cs="Times New Roman"/>
          <w:bCs/>
          <w:color w:val="auto"/>
          <w:sz w:val="24"/>
          <w:szCs w:val="22"/>
          <w:highlight w:val="none"/>
          <w:lang w:val="en-US" w:eastAsia="zh-CN"/>
        </w:rPr>
        <w:t>后</w:t>
      </w:r>
      <w:r>
        <w:rPr>
          <w:rFonts w:hint="eastAsia" w:ascii="宋体" w:hAnsi="宋体" w:eastAsia="宋体" w:cs="Times New Roman"/>
          <w:bCs/>
          <w:color w:val="auto"/>
          <w:sz w:val="24"/>
          <w:szCs w:val="22"/>
          <w:highlight w:val="none"/>
          <w:lang w:val="zh-CN" w:eastAsia="zh-CN"/>
        </w:rPr>
        <w:t>10个工作日内</w:t>
      </w:r>
      <w:r>
        <w:rPr>
          <w:rFonts w:hint="eastAsia" w:ascii="宋体" w:hAnsi="宋体" w:eastAsia="宋体" w:cs="Times New Roman"/>
          <w:bCs/>
          <w:color w:val="auto"/>
          <w:sz w:val="24"/>
          <w:szCs w:val="22"/>
          <w:highlight w:val="none"/>
          <w:lang w:val="en-US" w:eastAsia="zh-CN"/>
        </w:rPr>
        <w:t>向采购人提交砂石评估报告初稿。</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成交供应商须在砂石评估报告初稿经采购人审核确认通过后7日内，向采购人提交正式砂石评估报告。</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2、成果文件份数：砂石评估报告一式伍份</w:t>
      </w:r>
      <w:r>
        <w:rPr>
          <w:rFonts w:hint="eastAsia" w:ascii="宋体" w:hAnsi="宋体" w:eastAsia="宋体" w:cs="Times New Roman"/>
          <w:bCs/>
          <w:color w:val="auto"/>
          <w:sz w:val="24"/>
          <w:szCs w:val="22"/>
          <w:highlight w:val="none"/>
          <w:lang w:val="zh-CN" w:eastAsia="zh-CN"/>
        </w:rPr>
        <w:t>。</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3、</w:t>
      </w:r>
      <w:r>
        <w:rPr>
          <w:rFonts w:hint="eastAsia" w:ascii="宋体" w:hAnsi="宋体" w:eastAsia="宋体" w:cs="Times New Roman"/>
          <w:bCs/>
          <w:color w:val="auto"/>
          <w:sz w:val="24"/>
          <w:szCs w:val="22"/>
          <w:highlight w:val="none"/>
          <w:lang w:val="zh-CN" w:eastAsia="zh-CN"/>
        </w:rPr>
        <w:t>成果</w:t>
      </w:r>
      <w:r>
        <w:rPr>
          <w:rFonts w:hint="eastAsia" w:ascii="宋体" w:hAnsi="宋体" w:eastAsia="宋体" w:cs="Times New Roman"/>
          <w:bCs/>
          <w:color w:val="auto"/>
          <w:sz w:val="24"/>
          <w:szCs w:val="22"/>
          <w:highlight w:val="none"/>
          <w:lang w:val="en-US" w:eastAsia="zh-CN"/>
        </w:rPr>
        <w:t>文件须满足采购人的各项要求及指标，具备</w:t>
      </w:r>
      <w:r>
        <w:rPr>
          <w:rFonts w:hint="eastAsia" w:ascii="宋体" w:hAnsi="宋体" w:eastAsia="宋体" w:cs="Times New Roman"/>
          <w:bCs/>
          <w:color w:val="auto"/>
          <w:sz w:val="24"/>
          <w:szCs w:val="22"/>
          <w:highlight w:val="none"/>
          <w:lang w:val="zh-CN" w:eastAsia="zh-CN"/>
        </w:rPr>
        <w:t>科学性、合理性、准确性，</w:t>
      </w:r>
      <w:r>
        <w:rPr>
          <w:rFonts w:hint="eastAsia" w:ascii="宋体" w:hAnsi="宋体" w:eastAsia="宋体" w:cs="Times New Roman"/>
          <w:bCs/>
          <w:color w:val="auto"/>
          <w:sz w:val="24"/>
          <w:szCs w:val="22"/>
          <w:highlight w:val="none"/>
          <w:lang w:val="en-US" w:eastAsia="zh-CN"/>
        </w:rPr>
        <w:t>同时须</w:t>
      </w:r>
      <w:r>
        <w:rPr>
          <w:rFonts w:hint="eastAsia" w:ascii="宋体" w:hAnsi="宋体" w:eastAsia="宋体" w:cs="Times New Roman"/>
          <w:bCs/>
          <w:color w:val="auto"/>
          <w:sz w:val="24"/>
          <w:szCs w:val="22"/>
          <w:highlight w:val="none"/>
          <w:lang w:val="zh-CN" w:eastAsia="zh-CN"/>
        </w:rPr>
        <w:t>符合</w:t>
      </w:r>
      <w:r>
        <w:rPr>
          <w:rFonts w:hint="eastAsia" w:ascii="宋体" w:hAnsi="宋体" w:eastAsia="宋体" w:cs="Times New Roman"/>
          <w:bCs/>
          <w:color w:val="auto"/>
          <w:sz w:val="24"/>
          <w:szCs w:val="22"/>
          <w:highlight w:val="none"/>
          <w:lang w:val="en-US" w:eastAsia="zh-CN"/>
        </w:rPr>
        <w:t>评估行业的</w:t>
      </w:r>
      <w:r>
        <w:rPr>
          <w:rFonts w:hint="eastAsia" w:ascii="宋体" w:hAnsi="宋体" w:eastAsia="宋体" w:cs="Times New Roman"/>
          <w:bCs/>
          <w:color w:val="auto"/>
          <w:sz w:val="24"/>
          <w:szCs w:val="22"/>
          <w:highlight w:val="none"/>
          <w:lang w:val="zh-CN" w:eastAsia="zh-CN"/>
        </w:rPr>
        <w:t>国家、陕西省、西安市</w:t>
      </w:r>
      <w:r>
        <w:rPr>
          <w:rFonts w:hint="eastAsia" w:ascii="宋体" w:hAnsi="宋体" w:eastAsia="宋体" w:cs="Times New Roman"/>
          <w:bCs/>
          <w:color w:val="auto"/>
          <w:sz w:val="24"/>
          <w:szCs w:val="22"/>
          <w:highlight w:val="none"/>
          <w:lang w:val="en-US" w:eastAsia="zh-CN"/>
        </w:rPr>
        <w:t>的法律法规</w:t>
      </w:r>
      <w:r>
        <w:rPr>
          <w:rFonts w:hint="eastAsia" w:ascii="宋体" w:hAnsi="宋体" w:eastAsia="宋体" w:cs="Times New Roman"/>
          <w:bCs/>
          <w:color w:val="auto"/>
          <w:sz w:val="24"/>
          <w:szCs w:val="22"/>
          <w:highlight w:val="none"/>
          <w:lang w:val="zh-CN" w:eastAsia="zh-CN"/>
        </w:rPr>
        <w:t>、政策、规范性文件要求，</w:t>
      </w:r>
      <w:r>
        <w:rPr>
          <w:rFonts w:hint="eastAsia" w:ascii="宋体" w:hAnsi="宋体" w:eastAsia="宋体" w:cs="Times New Roman"/>
          <w:bCs/>
          <w:color w:val="auto"/>
          <w:sz w:val="24"/>
          <w:szCs w:val="22"/>
          <w:highlight w:val="none"/>
          <w:lang w:val="en-US" w:eastAsia="zh-CN"/>
        </w:rPr>
        <w:t>并达到</w:t>
      </w:r>
      <w:r>
        <w:rPr>
          <w:rFonts w:hint="eastAsia" w:ascii="宋体" w:hAnsi="宋体" w:eastAsia="宋体" w:cs="Times New Roman"/>
          <w:bCs/>
          <w:color w:val="auto"/>
          <w:sz w:val="24"/>
          <w:szCs w:val="22"/>
          <w:highlight w:val="none"/>
          <w:lang w:val="zh-CN" w:eastAsia="zh-CN"/>
        </w:rPr>
        <w:t>审查审批</w:t>
      </w:r>
      <w:r>
        <w:rPr>
          <w:rFonts w:hint="eastAsia" w:ascii="宋体" w:hAnsi="宋体" w:eastAsia="宋体" w:cs="Times New Roman"/>
          <w:bCs/>
          <w:color w:val="auto"/>
          <w:sz w:val="24"/>
          <w:szCs w:val="22"/>
          <w:highlight w:val="none"/>
          <w:lang w:val="en-US" w:eastAsia="zh-CN"/>
        </w:rPr>
        <w:t>及备案监管</w:t>
      </w:r>
      <w:r>
        <w:rPr>
          <w:rFonts w:hint="eastAsia" w:ascii="宋体" w:hAnsi="宋体" w:eastAsia="宋体" w:cs="Times New Roman"/>
          <w:bCs/>
          <w:color w:val="auto"/>
          <w:sz w:val="24"/>
          <w:szCs w:val="22"/>
          <w:highlight w:val="none"/>
          <w:lang w:val="zh-CN" w:eastAsia="zh-CN"/>
        </w:rPr>
        <w:t>要求。</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4、</w:t>
      </w:r>
      <w:r>
        <w:rPr>
          <w:rFonts w:hint="eastAsia" w:ascii="宋体" w:hAnsi="宋体" w:eastAsia="宋体" w:cs="Times New Roman"/>
          <w:bCs/>
          <w:color w:val="auto"/>
          <w:sz w:val="24"/>
          <w:szCs w:val="22"/>
          <w:highlight w:val="none"/>
          <w:lang w:val="zh-CN" w:eastAsia="zh-CN"/>
        </w:rPr>
        <w:t>其它内容以采购人要求及双方签订的合同中规定内容为准。</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七、人员及团队要求</w:t>
      </w:r>
    </w:p>
    <w:p>
      <w:pPr>
        <w:spacing w:line="360" w:lineRule="auto"/>
        <w:ind w:firstLine="480" w:firstLineChars="200"/>
        <w:outlineLvl w:val="0"/>
        <w:rPr>
          <w:rFonts w:hint="eastAsia" w:ascii="宋体" w:hAnsi="宋体" w:eastAsia="宋体" w:cs="Times New Roman"/>
          <w:bCs/>
          <w:color w:val="auto"/>
          <w:sz w:val="24"/>
          <w:szCs w:val="22"/>
          <w:highlight w:val="none"/>
          <w:lang w:val="zh-CN" w:eastAsia="zh-CN"/>
        </w:rPr>
      </w:pPr>
      <w:r>
        <w:rPr>
          <w:rFonts w:hint="eastAsia" w:ascii="宋体" w:hAnsi="宋体" w:eastAsia="宋体" w:cs="宋体"/>
          <w:bCs/>
          <w:color w:val="auto"/>
          <w:sz w:val="24"/>
          <w:szCs w:val="22"/>
          <w:highlight w:val="none"/>
          <w:lang w:val="en-US" w:eastAsia="zh-CN"/>
        </w:rPr>
        <w:t>1、</w:t>
      </w:r>
      <w:r>
        <w:rPr>
          <w:rFonts w:hint="eastAsia" w:ascii="宋体" w:hAnsi="宋体" w:eastAsia="宋体" w:cs="Times New Roman"/>
          <w:bCs/>
          <w:color w:val="auto"/>
          <w:sz w:val="24"/>
          <w:szCs w:val="22"/>
          <w:highlight w:val="none"/>
          <w:lang w:val="en-US" w:eastAsia="zh-CN"/>
        </w:rPr>
        <w:t>项目负责人要求：项目负责人具有有效的资产评估师职业资格证书</w:t>
      </w:r>
      <w:r>
        <w:rPr>
          <w:rFonts w:hint="eastAsia" w:ascii="宋体" w:hAnsi="宋体" w:eastAsia="宋体" w:cs="Times New Roman"/>
          <w:bCs/>
          <w:color w:val="auto"/>
          <w:sz w:val="24"/>
          <w:szCs w:val="22"/>
          <w:highlight w:val="none"/>
          <w:lang w:val="zh-CN" w:eastAsia="zh-CN"/>
        </w:rPr>
        <w:t>。</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2、</w:t>
      </w:r>
      <w:r>
        <w:rPr>
          <w:rFonts w:hint="eastAsia" w:ascii="宋体" w:hAnsi="宋体" w:eastAsia="宋体" w:cs="Times New Roman"/>
          <w:bCs/>
          <w:color w:val="auto"/>
          <w:sz w:val="24"/>
          <w:szCs w:val="22"/>
          <w:highlight w:val="none"/>
          <w:lang w:val="en-US" w:eastAsia="zh-CN"/>
        </w:rPr>
        <w:t>供应商为本项目组建的服务团队成员在整个服务期限内，非经采购人书面同意，不得更换和缩减。</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3、</w:t>
      </w:r>
      <w:r>
        <w:rPr>
          <w:rFonts w:hint="eastAsia" w:ascii="宋体" w:hAnsi="宋体" w:eastAsia="宋体" w:cs="Times New Roman"/>
          <w:bCs/>
          <w:color w:val="auto"/>
          <w:sz w:val="24"/>
          <w:szCs w:val="22"/>
          <w:highlight w:val="none"/>
          <w:lang w:val="en-US" w:eastAsia="zh-CN"/>
        </w:rPr>
        <w:t>供应商须对其服务团队成员在进场及现场评估过程中的人身及财产安全负全部责任。</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八、其他</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1、服务成果验收：服务期满或完成服务成果后，采购人应对服务的成果进行详细而全面的检查。采购人有权限根据检查结果要求成交供应商立即更换或者提出索赔要求。</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2、评估费用根据实际发生的工作量（甲方确认）据实结算。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RlN2I1MDE3NmQ4ODFmNDM0ZTY2NDhmMWIyNDQifQ=="/>
  </w:docVars>
  <w:rsids>
    <w:rsidRoot w:val="4F31484B"/>
    <w:rsid w:val="4F31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toc 8"/>
    <w:basedOn w:val="1"/>
    <w:next w:val="1"/>
    <w:qFormat/>
    <w:uiPriority w:val="39"/>
    <w:pPr>
      <w:ind w:left="2940" w:leftChars="1400"/>
    </w:pPr>
    <w:rPr>
      <w:szCs w:val="24"/>
    </w:rPr>
  </w:style>
  <w:style w:type="paragraph" w:styleId="4">
    <w:name w:val="Plain Text"/>
    <w:basedOn w:val="1"/>
    <w:qFormat/>
    <w:uiPriority w:val="0"/>
    <w:rPr>
      <w:rFonts w:ascii="宋体" w:hAnsi="Courier New"/>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2023-06-14T09:26:00Z</dcterms:created>
  <dc:creator>时间指针</dc:creator>
  <cp:lastModifiedBy>时间指针</cp:lastModifiedBy>
  <dcterms:modified xsi:type="dcterms:W3CDTF">2023-06-14T09:26:51Z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5FCDEF727D06459EB8BE7C8E9EA538D6_11</vt:lpwstr>
  </property>
</Properties>
</file>