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bCs/>
          <w:color w:val="auto"/>
          <w:kern w:val="1"/>
          <w:sz w:val="30"/>
          <w:szCs w:val="30"/>
          <w:highlight w:val="yellow"/>
          <w:lang w:eastAsia="zh-CN"/>
        </w:rPr>
      </w:pPr>
      <w:r>
        <w:rPr>
          <w:rFonts w:hint="eastAsia"/>
          <w:b/>
          <w:bCs/>
          <w:color w:val="auto"/>
          <w:kern w:val="1"/>
          <w:sz w:val="32"/>
          <w:szCs w:val="32"/>
          <w:highlight w:val="none"/>
          <w:lang w:eastAsia="zh-CN"/>
        </w:rPr>
        <w:t>采购内容及要求</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1、项目名称：园办范围内砂石资源处置第三方测量服务采购项目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 xml:space="preserve">采购人：西咸新区丝路经济带能源金融贸易区管理办公室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项目编号：</w:t>
      </w:r>
      <w:r>
        <w:rPr>
          <w:rFonts w:hint="eastAsia" w:ascii="宋体" w:hAnsi="宋体" w:cs="宋体"/>
          <w:color w:val="auto"/>
          <w:sz w:val="24"/>
          <w:szCs w:val="24"/>
          <w:highlight w:val="none"/>
          <w:lang w:val="en-US" w:eastAsia="zh-CN"/>
        </w:rPr>
        <w:t>ZCSP-西咸新区本级-2023-00327</w:t>
      </w:r>
      <w:r>
        <w:rPr>
          <w:rFonts w:hint="eastAsia" w:ascii="宋体" w:hAnsi="宋体" w:eastAsia="宋体" w:cs="宋体"/>
          <w:color w:val="auto"/>
          <w:sz w:val="24"/>
          <w:szCs w:val="24"/>
          <w:highlight w:val="none"/>
          <w:lang w:val="en-US" w:eastAsia="zh-CN"/>
        </w:rPr>
        <w:t>（XYZB2023-091）</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 xml:space="preserve">4、服务期：自合同签订之日起1年。                          </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5、服务地点：西咸新区丝路经济带能源金融贸易区管理办公室</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6、服务质量标准：达到国家相关规范、行业标准及采购人考核要求</w:t>
      </w:r>
    </w:p>
    <w:p>
      <w:pPr>
        <w:spacing w:line="360" w:lineRule="auto"/>
        <w:ind w:firstLine="482" w:firstLineChars="200"/>
        <w:outlineLvl w:val="0"/>
        <w:rPr>
          <w:rFonts w:hint="eastAsia"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二、采购内容及要求</w:t>
      </w:r>
    </w:p>
    <w:p>
      <w:pPr>
        <w:spacing w:line="360" w:lineRule="auto"/>
        <w:ind w:firstLine="482" w:firstLineChars="200"/>
        <w:outlineLvl w:val="0"/>
        <w:rPr>
          <w:rFonts w:hint="default"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（一）采购内容</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本项目采购内容如下：</w:t>
      </w:r>
    </w:p>
    <w:tbl>
      <w:tblPr>
        <w:tblStyle w:val="6"/>
        <w:tblW w:w="8738"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604"/>
        <w:gridCol w:w="1373"/>
        <w:gridCol w:w="2138"/>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3632" w:type="dxa"/>
            <w:gridSpan w:val="2"/>
            <w:noWrap w:val="0"/>
            <w:vAlign w:val="center"/>
          </w:tcPr>
          <w:p>
            <w:pPr>
              <w:spacing w:line="28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包号</w:t>
            </w:r>
          </w:p>
        </w:tc>
        <w:tc>
          <w:tcPr>
            <w:tcW w:w="1373" w:type="dxa"/>
            <w:noWrap w:val="0"/>
            <w:vAlign w:val="center"/>
          </w:tcPr>
          <w:p>
            <w:pPr>
              <w:spacing w:line="28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预算金额</w:t>
            </w:r>
          </w:p>
          <w:p>
            <w:pPr>
              <w:spacing w:line="280" w:lineRule="exact"/>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lang w:val="en-US" w:eastAsia="zh-CN"/>
              </w:rPr>
              <w:t>（元）</w:t>
            </w:r>
          </w:p>
        </w:tc>
        <w:tc>
          <w:tcPr>
            <w:tcW w:w="2138" w:type="dxa"/>
            <w:noWrap w:val="0"/>
            <w:vAlign w:val="center"/>
          </w:tcPr>
          <w:p>
            <w:pPr>
              <w:spacing w:line="28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lang w:val="en-US" w:eastAsia="zh-CN"/>
              </w:rPr>
              <w:t>工作内容</w:t>
            </w:r>
          </w:p>
        </w:tc>
        <w:tc>
          <w:tcPr>
            <w:tcW w:w="1595" w:type="dxa"/>
            <w:noWrap w:val="0"/>
            <w:vAlign w:val="center"/>
          </w:tcPr>
          <w:p>
            <w:pPr>
              <w:spacing w:line="28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暂定测量</w:t>
            </w:r>
          </w:p>
          <w:p>
            <w:pPr>
              <w:spacing w:line="28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点位数（个）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8" w:hRule="exact"/>
        </w:trPr>
        <w:tc>
          <w:tcPr>
            <w:tcW w:w="1028" w:type="dxa"/>
            <w:noWrap w:val="0"/>
            <w:vAlign w:val="center"/>
          </w:tcPr>
          <w:p>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合同包1</w:t>
            </w:r>
          </w:p>
        </w:tc>
        <w:tc>
          <w:tcPr>
            <w:tcW w:w="2604" w:type="dxa"/>
            <w:noWrap w:val="0"/>
            <w:vAlign w:val="center"/>
          </w:tcPr>
          <w:p>
            <w:pPr>
              <w:spacing w:line="280" w:lineRule="exact"/>
              <w:jc w:val="center"/>
              <w:rPr>
                <w:rFonts w:hint="default" w:ascii="Times New Roman" w:hAnsi="Times New Roman" w:eastAsia="宋体" w:cs="Times New Roman"/>
                <w:color w:val="auto"/>
                <w:szCs w:val="22"/>
                <w:highlight w:val="none"/>
                <w:lang w:val="en-US" w:eastAsia="zh-CN"/>
              </w:rPr>
            </w:pPr>
            <w:r>
              <w:rPr>
                <w:rFonts w:hint="eastAsia"/>
                <w:color w:val="auto"/>
                <w:highlight w:val="none"/>
                <w:lang w:val="en-US" w:eastAsia="zh-CN"/>
              </w:rPr>
              <w:t>园办范围内砂石资源处置第三方测量机构</w:t>
            </w:r>
            <w:r>
              <w:rPr>
                <w:rFonts w:hint="eastAsia" w:ascii="宋体" w:hAnsi="宋体" w:eastAsia="宋体" w:cs="宋体"/>
                <w:color w:val="auto"/>
                <w:szCs w:val="21"/>
                <w:highlight w:val="none"/>
                <w:lang w:val="en-US" w:eastAsia="zh-CN"/>
              </w:rPr>
              <w:t>Ⅰ</w:t>
            </w:r>
          </w:p>
        </w:tc>
        <w:tc>
          <w:tcPr>
            <w:tcW w:w="1373" w:type="dxa"/>
            <w:noWrap w:val="0"/>
            <w:vAlign w:val="center"/>
          </w:tcPr>
          <w:p>
            <w:pPr>
              <w:spacing w:line="280" w:lineRule="exact"/>
              <w:jc w:val="center"/>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￥300,000.00</w:t>
            </w:r>
          </w:p>
        </w:tc>
        <w:tc>
          <w:tcPr>
            <w:tcW w:w="2138" w:type="dxa"/>
            <w:noWrap w:val="0"/>
            <w:vAlign w:val="center"/>
          </w:tcPr>
          <w:p>
            <w:pPr>
              <w:spacing w:line="280" w:lineRule="exact"/>
              <w:jc w:val="center"/>
              <w:rPr>
                <w:rFonts w:hint="eastAsia"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highlight w:val="none"/>
                <w:lang w:val="en-US" w:eastAsia="zh-CN"/>
              </w:rPr>
              <w:t>对园办范围内砂石资源处置进行</w:t>
            </w:r>
            <w:r>
              <w:rPr>
                <w:rFonts w:hint="default" w:ascii="Times New Roman" w:hAnsi="Times New Roman" w:eastAsia="宋体" w:cs="Times New Roman"/>
                <w:color w:val="auto"/>
                <w:highlight w:val="none"/>
                <w:lang w:val="en-US" w:eastAsia="zh-CN"/>
              </w:rPr>
              <w:t>测绘</w:t>
            </w:r>
          </w:p>
        </w:tc>
        <w:tc>
          <w:tcPr>
            <w:tcW w:w="1595" w:type="dxa"/>
            <w:noWrap w:val="0"/>
            <w:vAlign w:val="center"/>
          </w:tcPr>
          <w:p>
            <w:pPr>
              <w:spacing w:line="280" w:lineRule="exact"/>
              <w:jc w:val="center"/>
              <w:rPr>
                <w:rFonts w:hint="default"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trPr>
        <w:tc>
          <w:tcPr>
            <w:tcW w:w="1028" w:type="dxa"/>
            <w:noWrap w:val="0"/>
            <w:vAlign w:val="center"/>
          </w:tcPr>
          <w:p>
            <w:pPr>
              <w:spacing w:line="280" w:lineRule="exact"/>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合同包</w:t>
            </w:r>
            <w:r>
              <w:rPr>
                <w:rFonts w:hint="eastAsia" w:cs="Times New Roman"/>
                <w:color w:val="auto"/>
                <w:highlight w:val="none"/>
                <w:lang w:val="en-US" w:eastAsia="zh-CN"/>
              </w:rPr>
              <w:t>2</w:t>
            </w:r>
          </w:p>
        </w:tc>
        <w:tc>
          <w:tcPr>
            <w:tcW w:w="2604" w:type="dxa"/>
            <w:noWrap w:val="0"/>
            <w:vAlign w:val="center"/>
          </w:tcPr>
          <w:p>
            <w:pPr>
              <w:spacing w:line="280" w:lineRule="exact"/>
              <w:jc w:val="center"/>
              <w:rPr>
                <w:rFonts w:hint="eastAsia" w:ascii="Times New Roman" w:hAnsi="Times New Roman" w:eastAsia="宋体" w:cs="Times New Roman"/>
                <w:color w:val="auto"/>
                <w:szCs w:val="22"/>
                <w:highlight w:val="none"/>
                <w:lang w:val="en-US" w:eastAsia="zh-CN"/>
              </w:rPr>
            </w:pPr>
            <w:r>
              <w:rPr>
                <w:rFonts w:hint="eastAsia"/>
                <w:color w:val="auto"/>
                <w:highlight w:val="none"/>
                <w:lang w:val="en-US" w:eastAsia="zh-CN"/>
              </w:rPr>
              <w:t>园办范围内砂石资源处置第三方复测测量机构</w:t>
            </w:r>
            <w:r>
              <w:rPr>
                <w:rFonts w:hint="eastAsia" w:ascii="宋体" w:hAnsi="宋体" w:eastAsia="宋体" w:cs="宋体"/>
                <w:color w:val="auto"/>
                <w:szCs w:val="21"/>
                <w:highlight w:val="none"/>
                <w:lang w:val="en-US" w:eastAsia="zh-CN"/>
              </w:rPr>
              <w:t>Ⅱ</w:t>
            </w:r>
          </w:p>
        </w:tc>
        <w:tc>
          <w:tcPr>
            <w:tcW w:w="1373" w:type="dxa"/>
            <w:noWrap w:val="0"/>
            <w:vAlign w:val="center"/>
          </w:tcPr>
          <w:p>
            <w:pPr>
              <w:spacing w:line="280" w:lineRule="exact"/>
              <w:jc w:val="center"/>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￥300,000.00</w:t>
            </w:r>
          </w:p>
        </w:tc>
        <w:tc>
          <w:tcPr>
            <w:tcW w:w="2138" w:type="dxa"/>
            <w:noWrap w:val="0"/>
            <w:vAlign w:val="center"/>
          </w:tcPr>
          <w:p>
            <w:pPr>
              <w:spacing w:line="280" w:lineRule="exact"/>
              <w:jc w:val="center"/>
              <w:rPr>
                <w:rFonts w:hint="default"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highlight w:val="none"/>
                <w:lang w:val="en-US" w:eastAsia="zh-CN"/>
              </w:rPr>
              <w:t>对园办范围内砂石资源处置进行</w:t>
            </w:r>
            <w:r>
              <w:rPr>
                <w:rFonts w:hint="eastAsia" w:cs="Times New Roman"/>
                <w:color w:val="auto"/>
                <w:highlight w:val="none"/>
                <w:lang w:val="en-US" w:eastAsia="zh-CN"/>
              </w:rPr>
              <w:t>复测</w:t>
            </w:r>
          </w:p>
        </w:tc>
        <w:tc>
          <w:tcPr>
            <w:tcW w:w="1595" w:type="dxa"/>
            <w:noWrap w:val="0"/>
            <w:vAlign w:val="center"/>
          </w:tcPr>
          <w:p>
            <w:pPr>
              <w:spacing w:line="280" w:lineRule="exact"/>
              <w:jc w:val="center"/>
              <w:rPr>
                <w:rFonts w:hint="default"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20000</w:t>
            </w:r>
          </w:p>
        </w:tc>
      </w:tr>
    </w:tbl>
    <w:p>
      <w:pPr>
        <w:spacing w:line="360" w:lineRule="auto"/>
        <w:ind w:firstLine="482" w:firstLineChars="200"/>
        <w:outlineLvl w:val="0"/>
        <w:rPr>
          <w:rFonts w:hint="default"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注：为保证项目顺利实施，供应商可同时参与本项目两个包的磋商采购，磋商小组按照合同包1、合同</w:t>
      </w:r>
      <w:r>
        <w:rPr>
          <w:rFonts w:hint="eastAsia" w:ascii="宋体" w:hAnsi="宋体" w:cs="Times New Roman"/>
          <w:b/>
          <w:bCs w:val="0"/>
          <w:color w:val="auto"/>
          <w:sz w:val="24"/>
          <w:szCs w:val="22"/>
          <w:highlight w:val="none"/>
          <w:lang w:val="en-US" w:eastAsia="zh-CN"/>
        </w:rPr>
        <w:t>包</w:t>
      </w:r>
      <w:r>
        <w:rPr>
          <w:rFonts w:hint="eastAsia" w:ascii="宋体" w:hAnsi="宋体" w:eastAsia="宋体" w:cs="Times New Roman"/>
          <w:b/>
          <w:bCs w:val="0"/>
          <w:color w:val="auto"/>
          <w:sz w:val="24"/>
          <w:szCs w:val="22"/>
          <w:highlight w:val="none"/>
          <w:lang w:val="en-US" w:eastAsia="zh-CN"/>
        </w:rPr>
        <w:t>2的顺序进行评审。在磋商评审过程中，若供应商被推荐为合同包1的第一成交候选人，则在合同包2的评审时不再推荐为第一成交候选人。</w:t>
      </w:r>
    </w:p>
    <w:p>
      <w:pPr>
        <w:spacing w:line="360" w:lineRule="auto"/>
        <w:ind w:firstLine="482" w:firstLineChars="200"/>
        <w:outlineLvl w:val="0"/>
        <w:rPr>
          <w:rFonts w:hint="default"/>
          <w:color w:val="auto"/>
          <w:highlight w:val="none"/>
          <w:lang w:val="en-US"/>
        </w:rPr>
      </w:pPr>
      <w:r>
        <w:rPr>
          <w:rFonts w:hint="eastAsia" w:ascii="宋体" w:hAnsi="宋体" w:eastAsia="宋体" w:cs="Times New Roman"/>
          <w:b/>
          <w:bCs w:val="0"/>
          <w:color w:val="auto"/>
          <w:sz w:val="24"/>
          <w:szCs w:val="22"/>
          <w:highlight w:val="none"/>
          <w:lang w:val="en-US" w:eastAsia="zh-CN"/>
        </w:rPr>
        <w:t>（二）服务技术要求及工作机制</w:t>
      </w:r>
    </w:p>
    <w:p>
      <w:pPr>
        <w:spacing w:line="360" w:lineRule="auto"/>
        <w:ind w:firstLine="482" w:firstLineChars="200"/>
        <w:outlineLvl w:val="0"/>
        <w:rPr>
          <w:rFonts w:hint="eastAsia"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1、测量服务机构</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宋体"/>
          <w:bCs/>
          <w:color w:val="auto"/>
          <w:sz w:val="24"/>
          <w:szCs w:val="22"/>
          <w:highlight w:val="none"/>
          <w:lang w:val="en-US" w:eastAsia="zh-CN"/>
        </w:rPr>
        <w:t>（1）</w:t>
      </w:r>
      <w:r>
        <w:rPr>
          <w:rFonts w:hint="eastAsia" w:ascii="宋体" w:hAnsi="宋体" w:eastAsia="宋体" w:cs="Times New Roman"/>
          <w:bCs/>
          <w:color w:val="auto"/>
          <w:sz w:val="24"/>
          <w:szCs w:val="22"/>
          <w:highlight w:val="none"/>
          <w:lang w:val="en-US" w:eastAsia="zh-CN"/>
        </w:rPr>
        <w:t>服务机构数量：2家。</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宋体"/>
          <w:bCs/>
          <w:color w:val="auto"/>
          <w:sz w:val="24"/>
          <w:szCs w:val="22"/>
          <w:highlight w:val="none"/>
          <w:lang w:val="en-US" w:eastAsia="zh-CN"/>
        </w:rPr>
        <w:t>（2）</w:t>
      </w:r>
      <w:r>
        <w:rPr>
          <w:rFonts w:hint="eastAsia" w:ascii="宋体" w:hAnsi="宋体" w:eastAsia="宋体" w:cs="Times New Roman"/>
          <w:bCs/>
          <w:color w:val="auto"/>
          <w:sz w:val="24"/>
          <w:szCs w:val="22"/>
          <w:highlight w:val="none"/>
          <w:lang w:val="en-US" w:eastAsia="zh-CN"/>
        </w:rPr>
        <w:t>测量进场方式：采用“背靠背”方式，分别开展</w:t>
      </w:r>
      <w:r>
        <w:rPr>
          <w:rFonts w:hint="eastAsia" w:ascii="宋体" w:hAnsi="宋体" w:cs="Times New Roman"/>
          <w:bCs/>
          <w:color w:val="auto"/>
          <w:sz w:val="24"/>
          <w:szCs w:val="22"/>
          <w:highlight w:val="none"/>
          <w:lang w:val="en-US" w:eastAsia="zh-CN"/>
        </w:rPr>
        <w:t>测量</w:t>
      </w:r>
      <w:r>
        <w:rPr>
          <w:rFonts w:hint="eastAsia" w:ascii="宋体" w:hAnsi="宋体" w:eastAsia="宋体" w:cs="Times New Roman"/>
          <w:bCs/>
          <w:color w:val="auto"/>
          <w:sz w:val="24"/>
          <w:szCs w:val="22"/>
          <w:highlight w:val="none"/>
          <w:lang w:val="en-US" w:eastAsia="zh-CN"/>
        </w:rPr>
        <w:t>工作，分别出具</w:t>
      </w:r>
      <w:r>
        <w:rPr>
          <w:rFonts w:hint="eastAsia" w:ascii="宋体" w:hAnsi="宋体" w:cs="Times New Roman"/>
          <w:bCs/>
          <w:color w:val="auto"/>
          <w:sz w:val="24"/>
          <w:szCs w:val="22"/>
          <w:highlight w:val="none"/>
          <w:lang w:val="en-US" w:eastAsia="zh-CN"/>
        </w:rPr>
        <w:t>测量</w:t>
      </w:r>
      <w:r>
        <w:rPr>
          <w:rFonts w:hint="eastAsia" w:ascii="宋体" w:hAnsi="宋体" w:eastAsia="宋体" w:cs="Times New Roman"/>
          <w:bCs/>
          <w:color w:val="auto"/>
          <w:sz w:val="24"/>
          <w:szCs w:val="22"/>
          <w:highlight w:val="none"/>
          <w:lang w:val="en-US" w:eastAsia="zh-CN"/>
        </w:rPr>
        <w:t>报告。</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宋体"/>
          <w:bCs/>
          <w:color w:val="auto"/>
          <w:sz w:val="24"/>
          <w:szCs w:val="22"/>
          <w:highlight w:val="none"/>
          <w:lang w:val="en-US" w:eastAsia="zh-CN"/>
        </w:rPr>
        <w:t>（3）</w:t>
      </w:r>
      <w:r>
        <w:rPr>
          <w:rFonts w:hint="eastAsia" w:ascii="宋体" w:hAnsi="宋体" w:cs="Times New Roman"/>
          <w:bCs/>
          <w:color w:val="auto"/>
          <w:sz w:val="24"/>
          <w:szCs w:val="22"/>
          <w:highlight w:val="none"/>
          <w:lang w:val="en-US" w:eastAsia="zh-CN"/>
        </w:rPr>
        <w:t>测量结果运用：如2家测量服务机构的结果相对误差在</w:t>
      </w:r>
      <w:r>
        <w:rPr>
          <w:rFonts w:hint="eastAsia" w:ascii="宋体" w:hAnsi="宋体" w:cs="Times New Roman"/>
          <w:bCs/>
          <w:color w:val="7030A0"/>
          <w:sz w:val="24"/>
          <w:szCs w:val="22"/>
          <w:highlight w:val="none"/>
          <w:lang w:val="en-US" w:eastAsia="zh-CN"/>
        </w:rPr>
        <w:t>5%以内，</w:t>
      </w:r>
      <w:r>
        <w:rPr>
          <w:rFonts w:hint="eastAsia" w:ascii="宋体" w:hAnsi="宋体" w:cs="Times New Roman"/>
          <w:bCs/>
          <w:color w:val="auto"/>
          <w:sz w:val="24"/>
          <w:szCs w:val="22"/>
          <w:highlight w:val="none"/>
          <w:lang w:val="en-US" w:eastAsia="zh-CN"/>
        </w:rPr>
        <w:t>测量值运用2家测量服务机构测量结果的平均值；如2家测量服务机构的结果相对误差在</w:t>
      </w:r>
      <w:r>
        <w:rPr>
          <w:rFonts w:hint="eastAsia" w:ascii="宋体" w:hAnsi="宋体" w:cs="Times New Roman"/>
          <w:bCs/>
          <w:color w:val="7030A0"/>
          <w:sz w:val="24"/>
          <w:szCs w:val="22"/>
          <w:highlight w:val="none"/>
          <w:lang w:val="en-US" w:eastAsia="zh-CN"/>
        </w:rPr>
        <w:t>5%以上</w:t>
      </w:r>
      <w:r>
        <w:rPr>
          <w:rFonts w:hint="eastAsia" w:ascii="宋体" w:hAnsi="宋体" w:cs="Times New Roman"/>
          <w:bCs/>
          <w:color w:val="auto"/>
          <w:sz w:val="24"/>
          <w:szCs w:val="22"/>
          <w:highlight w:val="none"/>
          <w:lang w:val="en-US" w:eastAsia="zh-CN"/>
        </w:rPr>
        <w:t>，需现场核实重新测量。</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宋体"/>
          <w:bCs/>
          <w:color w:val="auto"/>
          <w:sz w:val="24"/>
          <w:szCs w:val="22"/>
          <w:highlight w:val="none"/>
          <w:lang w:val="en-US" w:eastAsia="zh-CN"/>
        </w:rPr>
        <w:t>（4）</w:t>
      </w:r>
      <w:r>
        <w:rPr>
          <w:rFonts w:hint="eastAsia" w:ascii="宋体" w:hAnsi="宋体" w:eastAsia="宋体" w:cs="Times New Roman"/>
          <w:bCs/>
          <w:color w:val="auto"/>
          <w:sz w:val="24"/>
          <w:szCs w:val="22"/>
          <w:highlight w:val="none"/>
          <w:lang w:val="en-US" w:eastAsia="zh-CN"/>
        </w:rPr>
        <w:t>测量要求：</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1）砂石堆放场类型</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先对场地堆放前原始地坪标高进行5米*5米方格网测量；待砂石堆放完毕时进行现状砂堆测量，两次数据内业解析后，2家测量公司分别计算砂石堆放方量。</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2）测量单位与复测单位的点位数，点位数数量相差10%以内，符合作业要求，甲方予以确认。点位数数量相差10%以外，需现场核实重新测量，且第一次的测量点位数不予确认。</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3）就地公开拍卖类型</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①场地现状要求</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按照“应清尽清”的原则，除项目建设需保留的临时出入道路外，项目建设单位需对拟“优先竞得”处置砂石资源的项目场地砂层以上的土进行揭除清运，使项目场地内的砂石层面裸露至95%以上，达到测量条件。</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②测量技术要求</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对项目场地内的砂石层面地坪标高进行5米*5米方格网测量，现场内遗留的少量土层根据断层现状直接核减；以项目建设单位提供正式的基坑开挖图纸（建设部审核通过）为计算范围线；根据项目建设单位提供正式的地质勘探报告（建设部审核通过）中探孔的砂层标高数据核减表面砂石层以下的夹层泥带量；最后进行内业解析，计算基坑内砂石资源储量。</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表面砂石层以下的夹层泥带量核减方法：由于地勘报告不能完全显示地下夹层泥带分布及方量，为确保测量的砂石资源储量值误差控制在最小范围内，要求测量服务机构地勘报告中具体探孔个数除以基坑开挖范围得出单个孔位辐射面积，各个孔位夹层泥带上线标高及下线标高之差分别乘以辐射面积，之和为核减的夹层泥带方量。</w:t>
      </w:r>
    </w:p>
    <w:p>
      <w:pPr>
        <w:spacing w:line="360" w:lineRule="auto"/>
        <w:ind w:firstLine="482" w:firstLineChars="200"/>
        <w:outlineLvl w:val="0"/>
        <w:rPr>
          <w:rFonts w:hint="eastAsia"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2、工作机制</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选定的测量服务机构需服从管理，严格按照行业规定确保结果准确，能按照时限要求，及时准确出具报告，否则取消服务资格。</w:t>
      </w:r>
    </w:p>
    <w:p>
      <w:pPr>
        <w:spacing w:line="360" w:lineRule="auto"/>
        <w:ind w:firstLine="482" w:firstLineChars="200"/>
        <w:outlineLvl w:val="0"/>
        <w:rPr>
          <w:rFonts w:hint="default"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四</w:t>
      </w:r>
      <w:r>
        <w:rPr>
          <w:rFonts w:hint="eastAsia" w:ascii="宋体" w:hAnsi="宋体" w:eastAsia="宋体" w:cs="Times New Roman"/>
          <w:b/>
          <w:bCs w:val="0"/>
          <w:color w:val="auto"/>
          <w:sz w:val="24"/>
          <w:szCs w:val="22"/>
          <w:highlight w:val="none"/>
          <w:lang w:val="zh-CN" w:eastAsia="zh-CN"/>
        </w:rPr>
        <w:t>、</w:t>
      </w:r>
      <w:r>
        <w:rPr>
          <w:rFonts w:hint="eastAsia" w:ascii="宋体" w:hAnsi="宋体" w:eastAsia="宋体" w:cs="Times New Roman"/>
          <w:b/>
          <w:bCs w:val="0"/>
          <w:color w:val="auto"/>
          <w:sz w:val="24"/>
          <w:szCs w:val="22"/>
          <w:highlight w:val="none"/>
          <w:lang w:val="en-US" w:eastAsia="zh-CN"/>
        </w:rPr>
        <w:t>依据及技术标准</w:t>
      </w:r>
    </w:p>
    <w:p>
      <w:pPr>
        <w:spacing w:line="360" w:lineRule="auto"/>
        <w:ind w:firstLine="480" w:firstLineChars="200"/>
        <w:outlineLvl w:val="0"/>
        <w:rPr>
          <w:rFonts w:hint="eastAsia" w:ascii="宋体" w:hAnsi="宋体" w:eastAsia="宋体" w:cs="宋体"/>
          <w:bCs/>
          <w:color w:val="auto"/>
          <w:sz w:val="24"/>
          <w:szCs w:val="22"/>
          <w:highlight w:val="none"/>
          <w:lang w:val="zh-CN" w:eastAsia="zh-CN"/>
        </w:rPr>
      </w:pPr>
      <w:r>
        <w:rPr>
          <w:rFonts w:hint="eastAsia" w:ascii="宋体" w:hAnsi="宋体" w:eastAsia="宋体" w:cs="Times New Roman"/>
          <w:bCs/>
          <w:color w:val="auto"/>
          <w:sz w:val="24"/>
          <w:szCs w:val="22"/>
          <w:highlight w:val="none"/>
          <w:lang w:val="en-US" w:eastAsia="zh-CN"/>
        </w:rPr>
        <w:t>1、</w:t>
      </w:r>
      <w:r>
        <w:rPr>
          <w:rFonts w:hint="eastAsia" w:ascii="宋体" w:hAnsi="宋体" w:eastAsia="宋体" w:cs="Times New Roman"/>
          <w:bCs/>
          <w:color w:val="auto"/>
          <w:sz w:val="24"/>
          <w:szCs w:val="22"/>
          <w:highlight w:val="none"/>
          <w:lang w:val="zh-CN" w:eastAsia="zh-CN"/>
        </w:rPr>
        <w:t>《</w:t>
      </w:r>
      <w:r>
        <w:rPr>
          <w:rFonts w:hint="eastAsia" w:ascii="宋体" w:hAnsi="宋体" w:eastAsia="宋体" w:cs="Times New Roman"/>
          <w:bCs/>
          <w:color w:val="auto"/>
          <w:sz w:val="24"/>
          <w:szCs w:val="22"/>
          <w:highlight w:val="none"/>
          <w:lang w:val="en-US" w:eastAsia="zh-CN"/>
        </w:rPr>
        <w:t>中华人民共和国测绘法</w:t>
      </w:r>
      <w:r>
        <w:rPr>
          <w:rFonts w:hint="eastAsia" w:ascii="宋体" w:hAnsi="宋体" w:eastAsia="宋体" w:cs="Times New Roman"/>
          <w:bCs/>
          <w:color w:val="auto"/>
          <w:sz w:val="24"/>
          <w:szCs w:val="22"/>
          <w:highlight w:val="none"/>
          <w:lang w:val="zh-CN" w:eastAsia="zh-CN"/>
        </w:rPr>
        <w:t>》；</w:t>
      </w:r>
    </w:p>
    <w:p>
      <w:pPr>
        <w:spacing w:line="360" w:lineRule="auto"/>
        <w:ind w:firstLine="480" w:firstLineChars="200"/>
        <w:outlineLvl w:val="0"/>
        <w:rPr>
          <w:rFonts w:hint="eastAsia" w:ascii="宋体" w:hAnsi="宋体" w:eastAsia="宋体" w:cs="Times New Roman"/>
          <w:bCs/>
          <w:color w:val="auto"/>
          <w:sz w:val="24"/>
          <w:szCs w:val="22"/>
          <w:highlight w:val="none"/>
          <w:lang w:val="zh-CN" w:eastAsia="zh-CN"/>
        </w:rPr>
      </w:pPr>
      <w:r>
        <w:rPr>
          <w:rFonts w:hint="eastAsia" w:ascii="宋体" w:hAnsi="宋体" w:eastAsia="宋体" w:cs="宋体"/>
          <w:bCs/>
          <w:color w:val="auto"/>
          <w:sz w:val="24"/>
          <w:szCs w:val="22"/>
          <w:highlight w:val="none"/>
          <w:lang w:val="en-US" w:eastAsia="zh-CN"/>
        </w:rPr>
        <w:t>2、</w:t>
      </w:r>
      <w:r>
        <w:rPr>
          <w:rFonts w:hint="eastAsia" w:ascii="宋体" w:hAnsi="宋体" w:eastAsia="宋体" w:cs="Times New Roman"/>
          <w:bCs/>
          <w:color w:val="auto"/>
          <w:sz w:val="24"/>
          <w:szCs w:val="22"/>
          <w:highlight w:val="none"/>
          <w:lang w:val="zh-CN" w:eastAsia="zh-CN"/>
        </w:rPr>
        <w:t>《城市测量规范》CJJ/T 8-2011；</w:t>
      </w:r>
    </w:p>
    <w:p>
      <w:pPr>
        <w:spacing w:line="360" w:lineRule="auto"/>
        <w:ind w:firstLine="480" w:firstLineChars="200"/>
        <w:outlineLvl w:val="0"/>
        <w:rPr>
          <w:rFonts w:hint="eastAsia" w:ascii="宋体" w:hAnsi="宋体" w:eastAsia="宋体" w:cs="Times New Roman"/>
          <w:bCs/>
          <w:color w:val="auto"/>
          <w:sz w:val="24"/>
          <w:szCs w:val="22"/>
          <w:highlight w:val="none"/>
          <w:lang w:val="zh-CN" w:eastAsia="zh-CN"/>
        </w:rPr>
      </w:pPr>
      <w:r>
        <w:rPr>
          <w:rFonts w:hint="eastAsia" w:ascii="宋体" w:hAnsi="宋体" w:eastAsia="宋体" w:cs="Times New Roman"/>
          <w:bCs/>
          <w:color w:val="auto"/>
          <w:sz w:val="24"/>
          <w:szCs w:val="22"/>
          <w:highlight w:val="none"/>
          <w:lang w:val="en-US" w:eastAsia="zh-CN"/>
        </w:rPr>
        <w:t>3、</w:t>
      </w:r>
      <w:r>
        <w:rPr>
          <w:rFonts w:hint="eastAsia" w:ascii="宋体" w:hAnsi="宋体" w:eastAsia="宋体" w:cs="Times New Roman"/>
          <w:bCs/>
          <w:color w:val="auto"/>
          <w:sz w:val="24"/>
          <w:szCs w:val="22"/>
          <w:highlight w:val="none"/>
          <w:lang w:val="zh-CN" w:eastAsia="zh-CN"/>
        </w:rPr>
        <w:t>《1</w:t>
      </w:r>
      <w:r>
        <w:rPr>
          <w:rFonts w:hint="eastAsia" w:ascii="宋体" w:hAnsi="宋体" w:eastAsia="宋体" w:cs="Times New Roman"/>
          <w:bCs/>
          <w:color w:val="auto"/>
          <w:sz w:val="24"/>
          <w:szCs w:val="22"/>
          <w:highlight w:val="none"/>
          <w:lang w:val="en-US" w:eastAsia="zh-CN"/>
        </w:rPr>
        <w:t>:</w:t>
      </w:r>
      <w:r>
        <w:rPr>
          <w:rFonts w:hint="eastAsia" w:ascii="宋体" w:hAnsi="宋体" w:eastAsia="宋体" w:cs="Times New Roman"/>
          <w:bCs/>
          <w:color w:val="auto"/>
          <w:sz w:val="24"/>
          <w:szCs w:val="22"/>
          <w:highlight w:val="none"/>
          <w:lang w:val="zh-CN" w:eastAsia="zh-CN"/>
        </w:rPr>
        <w:t>500</w:t>
      </w:r>
      <w:r>
        <w:rPr>
          <w:rFonts w:hint="eastAsia" w:ascii="宋体" w:hAnsi="宋体" w:eastAsia="宋体" w:cs="Times New Roman"/>
          <w:bCs/>
          <w:color w:val="auto"/>
          <w:sz w:val="24"/>
          <w:szCs w:val="22"/>
          <w:highlight w:val="none"/>
          <w:lang w:val="en-US" w:eastAsia="zh-CN"/>
        </w:rPr>
        <w:t xml:space="preserve"> </w:t>
      </w:r>
      <w:r>
        <w:rPr>
          <w:rFonts w:hint="eastAsia" w:ascii="宋体" w:hAnsi="宋体" w:eastAsia="宋体" w:cs="Times New Roman"/>
          <w:bCs/>
          <w:color w:val="auto"/>
          <w:sz w:val="24"/>
          <w:szCs w:val="22"/>
          <w:highlight w:val="none"/>
          <w:lang w:val="zh-CN" w:eastAsia="zh-CN"/>
        </w:rPr>
        <w:t xml:space="preserve"> 1</w:t>
      </w:r>
      <w:r>
        <w:rPr>
          <w:rFonts w:hint="eastAsia" w:ascii="宋体" w:hAnsi="宋体" w:eastAsia="宋体" w:cs="Times New Roman"/>
          <w:bCs/>
          <w:color w:val="auto"/>
          <w:sz w:val="24"/>
          <w:szCs w:val="22"/>
          <w:highlight w:val="none"/>
          <w:lang w:val="en-US" w:eastAsia="zh-CN"/>
        </w:rPr>
        <w:t>:</w:t>
      </w:r>
      <w:r>
        <w:rPr>
          <w:rFonts w:hint="eastAsia" w:ascii="宋体" w:hAnsi="宋体" w:eastAsia="宋体" w:cs="Times New Roman"/>
          <w:bCs/>
          <w:color w:val="auto"/>
          <w:sz w:val="24"/>
          <w:szCs w:val="22"/>
          <w:highlight w:val="none"/>
          <w:lang w:val="zh-CN" w:eastAsia="zh-CN"/>
        </w:rPr>
        <w:t>1000 1</w:t>
      </w:r>
      <w:r>
        <w:rPr>
          <w:rFonts w:hint="eastAsia" w:ascii="宋体" w:hAnsi="宋体" w:eastAsia="宋体" w:cs="Times New Roman"/>
          <w:bCs/>
          <w:color w:val="auto"/>
          <w:sz w:val="24"/>
          <w:szCs w:val="22"/>
          <w:highlight w:val="none"/>
          <w:lang w:val="en-US" w:eastAsia="zh-CN"/>
        </w:rPr>
        <w:t>:</w:t>
      </w:r>
      <w:r>
        <w:rPr>
          <w:rFonts w:hint="eastAsia" w:ascii="宋体" w:hAnsi="宋体" w:eastAsia="宋体" w:cs="Times New Roman"/>
          <w:bCs/>
          <w:color w:val="auto"/>
          <w:sz w:val="24"/>
          <w:szCs w:val="22"/>
          <w:highlight w:val="none"/>
          <w:lang w:val="zh-CN" w:eastAsia="zh-CN"/>
        </w:rPr>
        <w:t>2000地形图图式》</w:t>
      </w:r>
      <w:r>
        <w:rPr>
          <w:rFonts w:hint="eastAsia" w:ascii="宋体" w:hAnsi="宋体" w:eastAsia="宋体" w:cs="Times New Roman"/>
          <w:bCs/>
          <w:color w:val="auto"/>
          <w:sz w:val="24"/>
          <w:szCs w:val="22"/>
          <w:highlight w:val="none"/>
          <w:lang w:val="zh-CN" w:eastAsia="zh-CN"/>
        </w:rPr>
        <w:tab/>
      </w:r>
      <w:r>
        <w:rPr>
          <w:rFonts w:hint="eastAsia" w:ascii="宋体" w:hAnsi="宋体" w:eastAsia="宋体" w:cs="Times New Roman"/>
          <w:bCs/>
          <w:color w:val="auto"/>
          <w:sz w:val="24"/>
          <w:szCs w:val="22"/>
          <w:highlight w:val="none"/>
          <w:lang w:val="zh-CN" w:eastAsia="zh-CN"/>
        </w:rPr>
        <w:t>GB/T20257.1-2007；</w:t>
      </w:r>
    </w:p>
    <w:p>
      <w:pPr>
        <w:spacing w:line="360" w:lineRule="auto"/>
        <w:ind w:firstLine="480" w:firstLineChars="200"/>
        <w:outlineLvl w:val="0"/>
        <w:rPr>
          <w:rFonts w:hint="eastAsia" w:ascii="宋体" w:hAnsi="宋体" w:eastAsia="宋体" w:cs="Times New Roman"/>
          <w:bCs/>
          <w:color w:val="auto"/>
          <w:sz w:val="24"/>
          <w:szCs w:val="22"/>
          <w:highlight w:val="none"/>
          <w:lang w:val="zh-CN" w:eastAsia="zh-CN"/>
        </w:rPr>
      </w:pPr>
      <w:r>
        <w:rPr>
          <w:rFonts w:hint="eastAsia" w:ascii="宋体" w:hAnsi="宋体" w:eastAsia="宋体" w:cs="Times New Roman"/>
          <w:bCs/>
          <w:color w:val="auto"/>
          <w:sz w:val="24"/>
          <w:szCs w:val="22"/>
          <w:highlight w:val="none"/>
          <w:lang w:val="en-US" w:eastAsia="zh-CN"/>
        </w:rPr>
        <w:t>4、</w:t>
      </w:r>
      <w:r>
        <w:rPr>
          <w:rFonts w:hint="eastAsia" w:ascii="宋体" w:hAnsi="宋体" w:eastAsia="宋体" w:cs="Times New Roman"/>
          <w:bCs/>
          <w:color w:val="auto"/>
          <w:sz w:val="24"/>
          <w:szCs w:val="22"/>
          <w:highlight w:val="none"/>
          <w:lang w:val="zh-CN" w:eastAsia="zh-CN"/>
        </w:rPr>
        <w:t>《工程测量规范》GB 50026-2007；</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5、</w:t>
      </w:r>
      <w:r>
        <w:rPr>
          <w:rFonts w:hint="eastAsia" w:ascii="宋体" w:hAnsi="宋体" w:eastAsia="宋体" w:cs="Times New Roman"/>
          <w:bCs/>
          <w:color w:val="auto"/>
          <w:sz w:val="24"/>
          <w:szCs w:val="22"/>
          <w:highlight w:val="none"/>
          <w:lang w:val="zh-CN" w:eastAsia="zh-CN"/>
        </w:rPr>
        <w:t>《全球定位系统（GPS）测量规范》</w:t>
      </w:r>
      <w:r>
        <w:rPr>
          <w:rFonts w:hint="eastAsia" w:ascii="宋体" w:hAnsi="宋体" w:eastAsia="宋体" w:cs="Times New Roman"/>
          <w:bCs/>
          <w:color w:val="auto"/>
          <w:sz w:val="24"/>
          <w:szCs w:val="22"/>
          <w:highlight w:val="none"/>
          <w:lang w:val="zh-CN" w:eastAsia="zh-CN"/>
        </w:rPr>
        <w:tab/>
      </w:r>
      <w:r>
        <w:rPr>
          <w:rFonts w:hint="eastAsia" w:ascii="宋体" w:hAnsi="宋体" w:eastAsia="宋体" w:cs="Times New Roman"/>
          <w:bCs/>
          <w:color w:val="auto"/>
          <w:sz w:val="24"/>
          <w:szCs w:val="22"/>
          <w:highlight w:val="none"/>
          <w:lang w:val="zh-CN" w:eastAsia="zh-CN"/>
        </w:rPr>
        <w:t>GB/T 18314-2009；</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6、</w:t>
      </w:r>
      <w:r>
        <w:rPr>
          <w:rFonts w:hint="eastAsia" w:ascii="宋体" w:hAnsi="宋体" w:eastAsia="宋体" w:cs="Times New Roman"/>
          <w:bCs/>
          <w:color w:val="auto"/>
          <w:sz w:val="24"/>
          <w:szCs w:val="22"/>
          <w:highlight w:val="none"/>
          <w:lang w:val="zh-CN" w:eastAsia="zh-CN"/>
        </w:rPr>
        <w:t>《全球定位系统实时动态测量(RTK)技术规范》CH/T 2009-2010；</w:t>
      </w:r>
    </w:p>
    <w:p>
      <w:pPr>
        <w:spacing w:line="360" w:lineRule="auto"/>
        <w:ind w:firstLine="480" w:firstLineChars="200"/>
        <w:outlineLvl w:val="0"/>
        <w:rPr>
          <w:rFonts w:hint="eastAsia"/>
          <w:color w:val="auto"/>
          <w:highlight w:val="none"/>
          <w:lang w:val="zh-CN" w:eastAsia="zh-CN"/>
        </w:rPr>
      </w:pPr>
      <w:r>
        <w:rPr>
          <w:rFonts w:hint="eastAsia" w:ascii="宋体" w:hAnsi="宋体" w:eastAsia="宋体" w:cs="Times New Roman"/>
          <w:bCs/>
          <w:color w:val="auto"/>
          <w:sz w:val="24"/>
          <w:szCs w:val="22"/>
          <w:highlight w:val="none"/>
          <w:lang w:val="en-US" w:eastAsia="zh-CN"/>
        </w:rPr>
        <w:t>7、</w:t>
      </w:r>
      <w:r>
        <w:rPr>
          <w:rFonts w:hint="eastAsia" w:ascii="宋体" w:hAnsi="宋体" w:eastAsia="宋体" w:cs="Times New Roman"/>
          <w:bCs/>
          <w:color w:val="auto"/>
          <w:sz w:val="24"/>
          <w:szCs w:val="22"/>
          <w:highlight w:val="none"/>
          <w:lang w:val="zh-CN" w:eastAsia="zh-CN"/>
        </w:rPr>
        <w:t>《测绘成果质量检查与验收》GB T24356-2009；</w:t>
      </w:r>
    </w:p>
    <w:p>
      <w:pPr>
        <w:numPr>
          <w:ilvl w:val="0"/>
          <w:numId w:val="0"/>
        </w:numPr>
        <w:spacing w:line="360" w:lineRule="auto"/>
        <w:ind w:firstLine="480" w:firstLineChars="200"/>
        <w:outlineLvl w:val="0"/>
        <w:rPr>
          <w:rFonts w:hint="eastAsia" w:ascii="宋体" w:hAnsi="宋体" w:eastAsia="宋体" w:cs="Times New Roman"/>
          <w:b w:val="0"/>
          <w:bCs/>
          <w:color w:val="auto"/>
          <w:sz w:val="24"/>
          <w:szCs w:val="22"/>
          <w:highlight w:val="none"/>
          <w:lang w:val="zh-CN" w:eastAsia="zh-CN"/>
        </w:rPr>
      </w:pPr>
      <w:r>
        <w:rPr>
          <w:rFonts w:hint="eastAsia" w:ascii="宋体" w:hAnsi="宋体" w:eastAsia="宋体" w:cs="Times New Roman"/>
          <w:b w:val="0"/>
          <w:bCs/>
          <w:color w:val="auto"/>
          <w:sz w:val="24"/>
          <w:szCs w:val="22"/>
          <w:highlight w:val="none"/>
          <w:lang w:val="en-US" w:eastAsia="zh-CN"/>
        </w:rPr>
        <w:t>8、 国家、行业和地方其他有关测绘测量的技术规范、规程、标准。</w:t>
      </w:r>
    </w:p>
    <w:p>
      <w:pPr>
        <w:numPr>
          <w:ilvl w:val="0"/>
          <w:numId w:val="0"/>
        </w:numPr>
        <w:spacing w:line="360" w:lineRule="auto"/>
        <w:ind w:firstLine="482" w:firstLineChars="200"/>
        <w:outlineLvl w:val="0"/>
        <w:rPr>
          <w:rFonts w:hint="eastAsia"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五、报价要求及限价标准</w:t>
      </w:r>
    </w:p>
    <w:p>
      <w:pPr>
        <w:numPr>
          <w:ilvl w:val="0"/>
          <w:numId w:val="0"/>
        </w:numPr>
        <w:spacing w:line="360" w:lineRule="auto"/>
        <w:ind w:firstLine="480" w:firstLineChars="200"/>
        <w:outlineLvl w:val="0"/>
        <w:rPr>
          <w:rFonts w:hint="eastAsia" w:ascii="宋体" w:hAnsi="宋体" w:eastAsia="宋体" w:cs="Times New Roman"/>
          <w:b w:val="0"/>
          <w:bCs/>
          <w:color w:val="auto"/>
          <w:sz w:val="24"/>
          <w:szCs w:val="22"/>
          <w:highlight w:val="none"/>
          <w:lang w:val="en-US" w:eastAsia="zh-CN"/>
        </w:rPr>
      </w:pPr>
      <w:r>
        <w:rPr>
          <w:rFonts w:hint="eastAsia" w:ascii="宋体" w:hAnsi="宋体" w:eastAsia="宋体" w:cs="Times New Roman"/>
          <w:b w:val="0"/>
          <w:bCs/>
          <w:color w:val="auto"/>
          <w:sz w:val="24"/>
          <w:szCs w:val="22"/>
          <w:highlight w:val="none"/>
          <w:lang w:val="en-US" w:eastAsia="zh-CN"/>
        </w:rPr>
        <w:t>1、报价要求：砂石处置第三方测绘报价按照国家测绘局颁布</w:t>
      </w:r>
      <w:r>
        <w:rPr>
          <w:rFonts w:hint="eastAsia" w:ascii="宋体" w:hAnsi="宋体" w:cs="Times New Roman"/>
          <w:b w:val="0"/>
          <w:bCs/>
          <w:color w:val="auto"/>
          <w:sz w:val="24"/>
          <w:szCs w:val="22"/>
          <w:highlight w:val="none"/>
          <w:lang w:val="en-US" w:eastAsia="zh-CN"/>
        </w:rPr>
        <w:t>的</w:t>
      </w:r>
      <w:r>
        <w:rPr>
          <w:rFonts w:hint="eastAsia" w:ascii="宋体" w:hAnsi="宋体" w:eastAsia="宋体" w:cs="Times New Roman"/>
          <w:b w:val="0"/>
          <w:bCs/>
          <w:color w:val="auto"/>
          <w:sz w:val="24"/>
          <w:szCs w:val="22"/>
          <w:highlight w:val="none"/>
          <w:lang w:val="en-US" w:eastAsia="zh-CN"/>
        </w:rPr>
        <w:t>《测绘工程产品价格》（2002版）收费标准，由供应商根据项目实际情况并结合市场行情自主报价。</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2、限价标准：砂场处置测绘报价限价为15元/点位，供应商的砂场处置测绘总报价不得超过各包预算，否则按无效文件处理。</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3、砂石处置测量费用计算</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砂石处置测量费用=实际测量点位数</w:t>
      </w:r>
      <w:r>
        <w:rPr>
          <w:rFonts w:hint="default" w:ascii="宋体" w:hAnsi="宋体" w:eastAsia="宋体" w:cs="Times New Roman"/>
          <w:bCs/>
          <w:color w:val="auto"/>
          <w:sz w:val="24"/>
          <w:szCs w:val="22"/>
          <w:highlight w:val="none"/>
          <w:lang w:val="en-US" w:eastAsia="zh-CN"/>
        </w:rPr>
        <w:t>×</w:t>
      </w:r>
      <w:r>
        <w:rPr>
          <w:rFonts w:hint="eastAsia" w:ascii="宋体" w:hAnsi="宋体" w:eastAsia="宋体" w:cs="Times New Roman"/>
          <w:bCs/>
          <w:color w:val="auto"/>
          <w:sz w:val="24"/>
          <w:szCs w:val="22"/>
          <w:highlight w:val="none"/>
          <w:lang w:val="en-US" w:eastAsia="zh-CN"/>
        </w:rPr>
        <w:t>测量单价，最终总结算金额不超过本项目各包采购预算。</w:t>
      </w:r>
    </w:p>
    <w:p>
      <w:pPr>
        <w:spacing w:line="360" w:lineRule="auto"/>
        <w:ind w:firstLine="482" w:firstLineChars="200"/>
        <w:outlineLvl w:val="0"/>
        <w:rPr>
          <w:rFonts w:hint="default"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六、成果要求</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1、成果文件提交时间</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成交供应商在受领具体的项目测绘任务后，应及时</w:t>
      </w:r>
      <w:r>
        <w:rPr>
          <w:rFonts w:hint="eastAsia" w:ascii="宋体" w:hAnsi="宋体" w:eastAsia="宋体" w:cs="Times New Roman"/>
          <w:bCs/>
          <w:color w:val="auto"/>
          <w:sz w:val="24"/>
          <w:szCs w:val="22"/>
          <w:highlight w:val="none"/>
          <w:lang w:val="zh-CN" w:eastAsia="zh-CN"/>
        </w:rPr>
        <w:t>与</w:t>
      </w:r>
      <w:r>
        <w:rPr>
          <w:rFonts w:hint="eastAsia" w:ascii="宋体" w:hAnsi="宋体" w:eastAsia="宋体" w:cs="Times New Roman"/>
          <w:bCs/>
          <w:color w:val="auto"/>
          <w:sz w:val="24"/>
          <w:szCs w:val="22"/>
          <w:highlight w:val="none"/>
          <w:lang w:val="en-US" w:eastAsia="zh-CN"/>
        </w:rPr>
        <w:t>采购人</w:t>
      </w:r>
      <w:r>
        <w:rPr>
          <w:rFonts w:hint="eastAsia" w:ascii="宋体" w:hAnsi="宋体" w:eastAsia="宋体" w:cs="Times New Roman"/>
          <w:bCs/>
          <w:color w:val="auto"/>
          <w:sz w:val="24"/>
          <w:szCs w:val="22"/>
          <w:highlight w:val="none"/>
          <w:lang w:val="zh-CN" w:eastAsia="zh-CN"/>
        </w:rPr>
        <w:t>联系</w:t>
      </w:r>
      <w:r>
        <w:rPr>
          <w:rFonts w:hint="eastAsia" w:ascii="宋体" w:hAnsi="宋体" w:eastAsia="宋体" w:cs="Times New Roman"/>
          <w:bCs/>
          <w:color w:val="auto"/>
          <w:sz w:val="24"/>
          <w:szCs w:val="22"/>
          <w:highlight w:val="none"/>
          <w:lang w:val="en-US" w:eastAsia="zh-CN"/>
        </w:rPr>
        <w:t>并进行现场勘查工作，并于</w:t>
      </w:r>
      <w:r>
        <w:rPr>
          <w:rFonts w:hint="eastAsia" w:ascii="宋体" w:hAnsi="宋体" w:eastAsia="宋体" w:cs="Times New Roman"/>
          <w:bCs/>
          <w:color w:val="auto"/>
          <w:sz w:val="24"/>
          <w:szCs w:val="22"/>
          <w:highlight w:val="none"/>
          <w:lang w:val="zh-CN" w:eastAsia="zh-CN"/>
        </w:rPr>
        <w:t>接到</w:t>
      </w:r>
      <w:r>
        <w:rPr>
          <w:rFonts w:hint="eastAsia" w:ascii="宋体" w:hAnsi="宋体" w:eastAsia="宋体" w:cs="Times New Roman"/>
          <w:bCs/>
          <w:color w:val="auto"/>
          <w:sz w:val="24"/>
          <w:szCs w:val="22"/>
          <w:highlight w:val="none"/>
          <w:lang w:val="en-US" w:eastAsia="zh-CN"/>
        </w:rPr>
        <w:t>具体</w:t>
      </w:r>
      <w:r>
        <w:rPr>
          <w:rFonts w:hint="eastAsia" w:ascii="宋体" w:hAnsi="宋体" w:eastAsia="宋体" w:cs="Times New Roman"/>
          <w:bCs/>
          <w:color w:val="auto"/>
          <w:sz w:val="24"/>
          <w:szCs w:val="22"/>
          <w:highlight w:val="none"/>
          <w:lang w:val="zh-CN" w:eastAsia="zh-CN"/>
        </w:rPr>
        <w:t>项目委托通知</w:t>
      </w:r>
      <w:r>
        <w:rPr>
          <w:rFonts w:hint="eastAsia" w:ascii="宋体" w:hAnsi="宋体" w:eastAsia="宋体" w:cs="Times New Roman"/>
          <w:bCs/>
          <w:color w:val="auto"/>
          <w:sz w:val="24"/>
          <w:szCs w:val="22"/>
          <w:highlight w:val="none"/>
          <w:lang w:val="en-US" w:eastAsia="zh-CN"/>
        </w:rPr>
        <w:t>后</w:t>
      </w:r>
      <w:r>
        <w:rPr>
          <w:rFonts w:hint="eastAsia" w:ascii="宋体" w:hAnsi="宋体" w:eastAsia="宋体" w:cs="Times New Roman"/>
          <w:bCs/>
          <w:color w:val="auto"/>
          <w:sz w:val="24"/>
          <w:szCs w:val="22"/>
          <w:highlight w:val="none"/>
          <w:lang w:val="zh-CN" w:eastAsia="zh-CN"/>
        </w:rPr>
        <w:t>10个工作日内</w:t>
      </w:r>
      <w:r>
        <w:rPr>
          <w:rFonts w:hint="eastAsia" w:ascii="宋体" w:hAnsi="宋体" w:eastAsia="宋体" w:cs="Times New Roman"/>
          <w:bCs/>
          <w:color w:val="auto"/>
          <w:sz w:val="24"/>
          <w:szCs w:val="22"/>
          <w:highlight w:val="none"/>
          <w:lang w:val="en-US" w:eastAsia="zh-CN"/>
        </w:rPr>
        <w:t>向采购人提交砂石测绘报告初稿。</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成交供应商须在砂石测绘报告初稿经采购人审核确认通过后7日内，向采购人提交正式砂石测绘报告。</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2、成果文件份数：砂石测绘报告一式伍份</w:t>
      </w:r>
      <w:r>
        <w:rPr>
          <w:rFonts w:hint="eastAsia" w:ascii="宋体" w:hAnsi="宋体" w:eastAsia="宋体" w:cs="Times New Roman"/>
          <w:bCs/>
          <w:color w:val="auto"/>
          <w:sz w:val="24"/>
          <w:szCs w:val="22"/>
          <w:highlight w:val="none"/>
          <w:lang w:val="zh-CN" w:eastAsia="zh-CN"/>
        </w:rPr>
        <w:t>。</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3、</w:t>
      </w:r>
      <w:r>
        <w:rPr>
          <w:rFonts w:hint="eastAsia" w:ascii="宋体" w:hAnsi="宋体" w:eastAsia="宋体" w:cs="Times New Roman"/>
          <w:bCs/>
          <w:color w:val="auto"/>
          <w:sz w:val="24"/>
          <w:szCs w:val="22"/>
          <w:highlight w:val="none"/>
          <w:lang w:val="zh-CN" w:eastAsia="zh-CN"/>
        </w:rPr>
        <w:t>成果</w:t>
      </w:r>
      <w:r>
        <w:rPr>
          <w:rFonts w:hint="eastAsia" w:ascii="宋体" w:hAnsi="宋体" w:eastAsia="宋体" w:cs="Times New Roman"/>
          <w:bCs/>
          <w:color w:val="auto"/>
          <w:sz w:val="24"/>
          <w:szCs w:val="22"/>
          <w:highlight w:val="none"/>
          <w:lang w:val="en-US" w:eastAsia="zh-CN"/>
        </w:rPr>
        <w:t>文件须满足采购人的各项要求及指标，具备</w:t>
      </w:r>
      <w:r>
        <w:rPr>
          <w:rFonts w:hint="eastAsia" w:ascii="宋体" w:hAnsi="宋体" w:eastAsia="宋体" w:cs="Times New Roman"/>
          <w:bCs/>
          <w:color w:val="auto"/>
          <w:sz w:val="24"/>
          <w:szCs w:val="22"/>
          <w:highlight w:val="none"/>
          <w:lang w:val="zh-CN" w:eastAsia="zh-CN"/>
        </w:rPr>
        <w:t>科学性、合理性、准确性，</w:t>
      </w:r>
      <w:r>
        <w:rPr>
          <w:rFonts w:hint="eastAsia" w:ascii="宋体" w:hAnsi="宋体" w:eastAsia="宋体" w:cs="Times New Roman"/>
          <w:bCs/>
          <w:color w:val="auto"/>
          <w:sz w:val="24"/>
          <w:szCs w:val="22"/>
          <w:highlight w:val="none"/>
          <w:lang w:val="en-US" w:eastAsia="zh-CN"/>
        </w:rPr>
        <w:t>同时须</w:t>
      </w:r>
      <w:r>
        <w:rPr>
          <w:rFonts w:hint="eastAsia" w:ascii="宋体" w:hAnsi="宋体" w:eastAsia="宋体" w:cs="Times New Roman"/>
          <w:bCs/>
          <w:color w:val="auto"/>
          <w:sz w:val="24"/>
          <w:szCs w:val="22"/>
          <w:highlight w:val="none"/>
          <w:lang w:val="zh-CN" w:eastAsia="zh-CN"/>
        </w:rPr>
        <w:t>符合</w:t>
      </w:r>
      <w:r>
        <w:rPr>
          <w:rFonts w:hint="eastAsia" w:ascii="宋体" w:hAnsi="宋体" w:eastAsia="宋体" w:cs="Times New Roman"/>
          <w:bCs/>
          <w:color w:val="auto"/>
          <w:sz w:val="24"/>
          <w:szCs w:val="22"/>
          <w:highlight w:val="none"/>
          <w:lang w:val="en-US" w:eastAsia="zh-CN"/>
        </w:rPr>
        <w:t>测绘行业的</w:t>
      </w:r>
      <w:r>
        <w:rPr>
          <w:rFonts w:hint="eastAsia" w:ascii="宋体" w:hAnsi="宋体" w:eastAsia="宋体" w:cs="Times New Roman"/>
          <w:bCs/>
          <w:color w:val="auto"/>
          <w:sz w:val="24"/>
          <w:szCs w:val="22"/>
          <w:highlight w:val="none"/>
          <w:lang w:val="zh-CN" w:eastAsia="zh-CN"/>
        </w:rPr>
        <w:t>国家、陕西省、西安市</w:t>
      </w:r>
      <w:r>
        <w:rPr>
          <w:rFonts w:hint="eastAsia" w:ascii="宋体" w:hAnsi="宋体" w:eastAsia="宋体" w:cs="Times New Roman"/>
          <w:bCs/>
          <w:color w:val="auto"/>
          <w:sz w:val="24"/>
          <w:szCs w:val="22"/>
          <w:highlight w:val="none"/>
          <w:lang w:val="en-US" w:eastAsia="zh-CN"/>
        </w:rPr>
        <w:t>的法律法规</w:t>
      </w:r>
      <w:r>
        <w:rPr>
          <w:rFonts w:hint="eastAsia" w:ascii="宋体" w:hAnsi="宋体" w:eastAsia="宋体" w:cs="Times New Roman"/>
          <w:bCs/>
          <w:color w:val="auto"/>
          <w:sz w:val="24"/>
          <w:szCs w:val="22"/>
          <w:highlight w:val="none"/>
          <w:lang w:val="zh-CN" w:eastAsia="zh-CN"/>
        </w:rPr>
        <w:t>、政策、规范性文件要求，</w:t>
      </w:r>
      <w:r>
        <w:rPr>
          <w:rFonts w:hint="eastAsia" w:ascii="宋体" w:hAnsi="宋体" w:eastAsia="宋体" w:cs="Times New Roman"/>
          <w:bCs/>
          <w:color w:val="auto"/>
          <w:sz w:val="24"/>
          <w:szCs w:val="22"/>
          <w:highlight w:val="none"/>
          <w:lang w:val="en-US" w:eastAsia="zh-CN"/>
        </w:rPr>
        <w:t>并达到</w:t>
      </w:r>
      <w:r>
        <w:rPr>
          <w:rFonts w:hint="eastAsia" w:ascii="宋体" w:hAnsi="宋体" w:eastAsia="宋体" w:cs="Times New Roman"/>
          <w:bCs/>
          <w:color w:val="auto"/>
          <w:sz w:val="24"/>
          <w:szCs w:val="22"/>
          <w:highlight w:val="none"/>
          <w:lang w:val="zh-CN" w:eastAsia="zh-CN"/>
        </w:rPr>
        <w:t>审查审批</w:t>
      </w:r>
      <w:r>
        <w:rPr>
          <w:rFonts w:hint="eastAsia" w:ascii="宋体" w:hAnsi="宋体" w:eastAsia="宋体" w:cs="Times New Roman"/>
          <w:bCs/>
          <w:color w:val="auto"/>
          <w:sz w:val="24"/>
          <w:szCs w:val="22"/>
          <w:highlight w:val="none"/>
          <w:lang w:val="en-US" w:eastAsia="zh-CN"/>
        </w:rPr>
        <w:t>及备案监管</w:t>
      </w:r>
      <w:r>
        <w:rPr>
          <w:rFonts w:hint="eastAsia" w:ascii="宋体" w:hAnsi="宋体" w:eastAsia="宋体" w:cs="Times New Roman"/>
          <w:bCs/>
          <w:color w:val="auto"/>
          <w:sz w:val="24"/>
          <w:szCs w:val="22"/>
          <w:highlight w:val="none"/>
          <w:lang w:val="zh-CN" w:eastAsia="zh-CN"/>
        </w:rPr>
        <w:t>要求。</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4、</w:t>
      </w:r>
      <w:r>
        <w:rPr>
          <w:rFonts w:hint="eastAsia" w:ascii="宋体" w:hAnsi="宋体" w:eastAsia="宋体" w:cs="Times New Roman"/>
          <w:bCs/>
          <w:color w:val="auto"/>
          <w:sz w:val="24"/>
          <w:szCs w:val="22"/>
          <w:highlight w:val="none"/>
          <w:lang w:val="zh-CN" w:eastAsia="zh-CN"/>
        </w:rPr>
        <w:t>其它内容以采购人要求及双方签订的合同中规定内容为准。</w:t>
      </w:r>
    </w:p>
    <w:p>
      <w:pPr>
        <w:spacing w:line="360" w:lineRule="auto"/>
        <w:ind w:firstLine="482" w:firstLineChars="200"/>
        <w:outlineLvl w:val="0"/>
        <w:rPr>
          <w:rFonts w:hint="default"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七、人员及团队要求</w:t>
      </w:r>
    </w:p>
    <w:p>
      <w:pPr>
        <w:spacing w:line="360" w:lineRule="auto"/>
        <w:ind w:firstLine="480" w:firstLineChars="200"/>
        <w:outlineLvl w:val="0"/>
        <w:rPr>
          <w:rFonts w:hint="eastAsia" w:ascii="宋体" w:hAnsi="宋体" w:eastAsia="宋体" w:cs="Times New Roman"/>
          <w:bCs/>
          <w:color w:val="auto"/>
          <w:sz w:val="24"/>
          <w:szCs w:val="22"/>
          <w:highlight w:val="none"/>
          <w:lang w:val="zh-CN" w:eastAsia="zh-CN"/>
        </w:rPr>
      </w:pPr>
      <w:r>
        <w:rPr>
          <w:rFonts w:hint="eastAsia" w:ascii="宋体" w:hAnsi="宋体" w:eastAsia="宋体" w:cs="宋体"/>
          <w:bCs/>
          <w:color w:val="auto"/>
          <w:sz w:val="24"/>
          <w:szCs w:val="22"/>
          <w:highlight w:val="none"/>
          <w:lang w:val="en-US" w:eastAsia="zh-CN"/>
        </w:rPr>
        <w:t>1、</w:t>
      </w:r>
      <w:r>
        <w:rPr>
          <w:rFonts w:hint="eastAsia" w:ascii="宋体" w:hAnsi="宋体" w:eastAsia="宋体" w:cs="Times New Roman"/>
          <w:bCs/>
          <w:color w:val="auto"/>
          <w:sz w:val="24"/>
          <w:szCs w:val="22"/>
          <w:highlight w:val="none"/>
          <w:lang w:val="en-US" w:eastAsia="zh-CN"/>
        </w:rPr>
        <w:t>项目负责人要求：项目负责人具有有效的注册测绘师证书。</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宋体"/>
          <w:bCs/>
          <w:color w:val="auto"/>
          <w:sz w:val="24"/>
          <w:szCs w:val="22"/>
          <w:highlight w:val="none"/>
          <w:lang w:val="en-US" w:eastAsia="zh-CN"/>
        </w:rPr>
        <w:t>2、</w:t>
      </w:r>
      <w:r>
        <w:rPr>
          <w:rFonts w:hint="eastAsia" w:ascii="宋体" w:hAnsi="宋体" w:eastAsia="宋体" w:cs="Times New Roman"/>
          <w:bCs/>
          <w:color w:val="auto"/>
          <w:sz w:val="24"/>
          <w:szCs w:val="22"/>
          <w:highlight w:val="none"/>
          <w:lang w:val="en-US" w:eastAsia="zh-CN"/>
        </w:rPr>
        <w:t>供应商为本项目组建的服务团队成员在整个服务期限内，非经采购人书面同意，不得更换和缩减。</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宋体"/>
          <w:bCs/>
          <w:color w:val="auto"/>
          <w:sz w:val="24"/>
          <w:szCs w:val="22"/>
          <w:highlight w:val="none"/>
          <w:lang w:val="en-US" w:eastAsia="zh-CN"/>
        </w:rPr>
        <w:t>3、</w:t>
      </w:r>
      <w:r>
        <w:rPr>
          <w:rFonts w:hint="eastAsia" w:ascii="宋体" w:hAnsi="宋体" w:eastAsia="宋体" w:cs="Times New Roman"/>
          <w:bCs/>
          <w:color w:val="auto"/>
          <w:sz w:val="24"/>
          <w:szCs w:val="22"/>
          <w:highlight w:val="none"/>
          <w:lang w:val="en-US" w:eastAsia="zh-CN"/>
        </w:rPr>
        <w:t>供应商须对其服务团队成员在进场及现场测量测绘过程中的人身及财产安全负全部责任。</w:t>
      </w:r>
    </w:p>
    <w:p>
      <w:pPr>
        <w:spacing w:line="360" w:lineRule="auto"/>
        <w:ind w:firstLine="482" w:firstLineChars="200"/>
        <w:outlineLvl w:val="0"/>
        <w:rPr>
          <w:rFonts w:hint="default"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八、其他</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1、服务成果验收</w:t>
      </w:r>
      <w:bookmarkStart w:id="0" w:name="_Toc408046841"/>
      <w:r>
        <w:rPr>
          <w:rFonts w:hint="eastAsia" w:ascii="宋体" w:hAnsi="宋体" w:eastAsia="宋体" w:cs="Times New Roman"/>
          <w:bCs/>
          <w:color w:val="auto"/>
          <w:sz w:val="24"/>
          <w:szCs w:val="22"/>
          <w:highlight w:val="none"/>
          <w:lang w:val="en-US" w:eastAsia="zh-CN"/>
        </w:rPr>
        <w:t>：服务期满或完成服务成果后，采购人应对服务的成果进行详细而全面的检查。采购人有权限根据检查结果要求成交供应商立即更换或者提出索赔要求。</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2、测绘费用根据实际发生的工作量（甲方确认）据实结算。</w:t>
      </w:r>
      <w:bookmarkEnd w:id="0"/>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mRlN2I1MDE3NmQ4ODFmNDM0ZTY2NDhmMWIyNDQifQ=="/>
  </w:docVars>
  <w:rsids>
    <w:rsidRoot w:val="01691475"/>
    <w:rsid w:val="0169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toc 8"/>
    <w:basedOn w:val="1"/>
    <w:next w:val="1"/>
    <w:qFormat/>
    <w:uiPriority w:val="39"/>
    <w:pPr>
      <w:ind w:left="2940" w:leftChars="1400"/>
    </w:pPr>
    <w:rPr>
      <w:szCs w:val="24"/>
    </w:rPr>
  </w:style>
  <w:style w:type="paragraph" w:styleId="4">
    <w:name w:val="Plain Text"/>
    <w:basedOn w:val="1"/>
    <w:qFormat/>
    <w:uiPriority w:val="0"/>
    <w:rPr>
      <w:rFonts w:ascii="宋体" w:hAnsi="Courier New"/>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2023-06-14T09:10:00Z</dcterms:created>
  <dc:creator>时间指针</dc:creator>
  <cp:lastModifiedBy>时间指针</cp:lastModifiedBy>
  <dcterms:modified xsi:type="dcterms:W3CDTF">2023-06-14T09:10:36Z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84EF3113B87B4653BDBAF5D9082FCCC7_11</vt:lpwstr>
  </property>
</Properties>
</file>