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pageBreakBefore/>
        <w:numPr>
          <w:numId w:val="0"/>
        </w:numPr>
        <w:spacing w:beforeLines="50" w:afterLines="50"/>
        <w:ind w:leftChars="0"/>
        <w:jc w:val="center"/>
        <w:rPr>
          <w:rFonts w:hint="eastAsia" w:ascii="仿宋" w:hAnsi="仿宋" w:eastAsia="仿宋" w:cs="仿宋"/>
          <w:bCs/>
          <w:sz w:val="36"/>
          <w:szCs w:val="36"/>
          <w:highlight w:val="none"/>
        </w:rPr>
      </w:pPr>
      <w:bookmarkStart w:id="0" w:name="_Toc23405"/>
      <w:bookmarkStart w:id="1" w:name="_Toc8501"/>
      <w:r>
        <w:rPr>
          <w:rFonts w:hint="eastAsia" w:ascii="仿宋" w:hAnsi="仿宋" w:eastAsia="仿宋" w:cs="仿宋"/>
          <w:bCs/>
          <w:sz w:val="36"/>
          <w:szCs w:val="36"/>
          <w:highlight w:val="none"/>
          <w:lang w:val="en-US" w:eastAsia="zh-CN"/>
        </w:rPr>
        <w:t>采购</w:t>
      </w:r>
      <w:r>
        <w:rPr>
          <w:rFonts w:hint="eastAsia" w:ascii="仿宋" w:hAnsi="仿宋" w:eastAsia="仿宋" w:cs="仿宋"/>
          <w:bCs/>
          <w:sz w:val="36"/>
          <w:szCs w:val="36"/>
          <w:highlight w:val="none"/>
        </w:rPr>
        <w:t>内容及技术要求</w:t>
      </w:r>
      <w:bookmarkEnd w:id="0"/>
      <w:bookmarkEnd w:id="1"/>
    </w:p>
    <w:p>
      <w:pPr>
        <w:tabs>
          <w:tab w:val="left" w:pos="7159"/>
        </w:tabs>
        <w:spacing w:line="360" w:lineRule="auto"/>
        <w:ind w:firstLine="480" w:firstLineChars="200"/>
        <w:rPr>
          <w:rFonts w:hint="eastAsia" w:ascii="仿宋_GB2312" w:hAnsi="仿宋_GB2312" w:eastAsia="仿宋_GB2312" w:cs="仿宋_GB2312"/>
          <w:sz w:val="24"/>
          <w:szCs w:val="24"/>
          <w:highlight w:val="none"/>
        </w:rPr>
      </w:pPr>
      <w:bookmarkStart w:id="2" w:name="_Toc511810917"/>
      <w:r>
        <w:rPr>
          <w:rFonts w:hint="eastAsia" w:ascii="仿宋_GB2312" w:hAnsi="仿宋_GB2312" w:eastAsia="仿宋_GB2312" w:cs="仿宋_GB2312"/>
          <w:sz w:val="24"/>
          <w:szCs w:val="24"/>
          <w:highlight w:val="none"/>
        </w:rPr>
        <w:t>一、项目背景</w:t>
      </w:r>
      <w:bookmarkEnd w:id="2"/>
      <w:r>
        <w:rPr>
          <w:rFonts w:hint="eastAsia" w:ascii="仿宋_GB2312" w:hAnsi="仿宋_GB2312" w:eastAsia="仿宋_GB2312" w:cs="仿宋_GB2312"/>
          <w:sz w:val="24"/>
          <w:szCs w:val="24"/>
          <w:highlight w:val="none"/>
        </w:rPr>
        <w:tab/>
      </w:r>
    </w:p>
    <w:p>
      <w:pPr>
        <w:spacing w:line="360" w:lineRule="auto"/>
        <w:ind w:firstLine="480" w:firstLineChars="200"/>
        <w:rPr>
          <w:rFonts w:hint="eastAsia" w:ascii="仿宋_GB2312" w:hAnsi="仿宋_GB2312" w:eastAsia="仿宋_GB2312" w:cs="仿宋_GB2312"/>
          <w:color w:val="auto"/>
          <w:sz w:val="24"/>
          <w:szCs w:val="24"/>
          <w:highlight w:val="none"/>
        </w:rPr>
      </w:pPr>
      <w:bookmarkStart w:id="3" w:name="_Toc12198_WPSOffice_Level2"/>
      <w:r>
        <w:rPr>
          <w:rFonts w:hint="eastAsia" w:ascii="仿宋_GB2312" w:hAnsi="仿宋_GB2312" w:eastAsia="仿宋_GB2312" w:cs="仿宋_GB2312"/>
          <w:color w:val="auto"/>
          <w:sz w:val="24"/>
          <w:szCs w:val="24"/>
          <w:highlight w:val="none"/>
        </w:rPr>
        <w:t>根据《陕西省 2020年巩固"散乱污"工业企业整治成果专项行动方案》《陕西省西咸新区贯彻落实第二轮省生态环境保护督察报告反馈问题整改方案》</w:t>
      </w:r>
      <w:r>
        <w:rPr>
          <w:rFonts w:hint="eastAsia" w:ascii="仿宋_GB2312" w:hAnsi="仿宋_GB2312" w:eastAsia="仿宋_GB2312" w:cs="仿宋_GB2312"/>
          <w:color w:val="auto"/>
          <w:sz w:val="24"/>
          <w:szCs w:val="24"/>
          <w:highlight w:val="none"/>
          <w:lang w:val="en-US" w:eastAsia="zh-CN"/>
        </w:rPr>
        <w:t>等文件</w:t>
      </w:r>
      <w:r>
        <w:rPr>
          <w:rFonts w:hint="eastAsia" w:ascii="仿宋_GB2312" w:hAnsi="仿宋_GB2312" w:eastAsia="仿宋_GB2312" w:cs="仿宋_GB2312"/>
          <w:color w:val="auto"/>
          <w:sz w:val="24"/>
          <w:szCs w:val="24"/>
          <w:highlight w:val="none"/>
        </w:rPr>
        <w:t>精神，要求</w:t>
      </w:r>
      <w:r>
        <w:rPr>
          <w:rFonts w:hint="eastAsia" w:ascii="仿宋_GB2312" w:hAnsi="仿宋_GB2312" w:eastAsia="仿宋_GB2312" w:cs="仿宋_GB2312"/>
          <w:color w:val="auto"/>
          <w:sz w:val="24"/>
          <w:szCs w:val="24"/>
          <w:highlight w:val="none"/>
          <w:lang w:val="en-US" w:eastAsia="zh-CN"/>
        </w:rPr>
        <w:t>巩固辖区“散乱污”工业企业清零成果，严防死守，坚决防止“死灰复燃”；</w:t>
      </w:r>
      <w:r>
        <w:rPr>
          <w:rFonts w:hint="eastAsia" w:ascii="仿宋_GB2312" w:hAnsi="仿宋_GB2312" w:eastAsia="仿宋_GB2312" w:cs="仿宋_GB2312"/>
          <w:color w:val="auto"/>
          <w:sz w:val="24"/>
          <w:szCs w:val="24"/>
          <w:highlight w:val="none"/>
        </w:rPr>
        <w:t>对 2017年以来完成整治任务的"散乱污"企业</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回头看</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实行全覆盖，不遗漏一户，</w:t>
      </w:r>
      <w:r>
        <w:rPr>
          <w:rFonts w:hint="eastAsia" w:ascii="仿宋_GB2312" w:hAnsi="仿宋_GB2312" w:eastAsia="仿宋_GB2312" w:cs="仿宋_GB2312"/>
          <w:color w:val="auto"/>
          <w:sz w:val="24"/>
          <w:szCs w:val="24"/>
          <w:highlight w:val="none"/>
          <w:lang w:val="en-US" w:eastAsia="zh-CN"/>
        </w:rPr>
        <w:t>发现一户，整治一户，要求立行立改，长期坚持“散乱污”整治成效</w:t>
      </w:r>
      <w:r>
        <w:rPr>
          <w:rFonts w:hint="eastAsia" w:ascii="仿宋_GB2312" w:hAnsi="仿宋_GB2312" w:eastAsia="仿宋_GB2312" w:cs="仿宋_GB2312"/>
          <w:color w:val="auto"/>
          <w:sz w:val="24"/>
          <w:szCs w:val="24"/>
          <w:highlight w:val="none"/>
        </w:rPr>
        <w:t>。目前，由于人员紧缺，很难做到全面核实、督查、监管，影响工作的推进和落实。故拟申请引入第三方服务机构</w:t>
      </w:r>
      <w:r>
        <w:rPr>
          <w:rFonts w:hint="eastAsia" w:ascii="仿宋_GB2312" w:hAnsi="仿宋_GB2312" w:eastAsia="仿宋_GB2312" w:cs="仿宋_GB2312"/>
          <w:color w:val="auto"/>
          <w:sz w:val="24"/>
          <w:szCs w:val="24"/>
          <w:highlight w:val="none"/>
          <w:lang w:val="en-US" w:eastAsia="zh-CN"/>
        </w:rPr>
        <w:t>针对</w:t>
      </w:r>
      <w:r>
        <w:rPr>
          <w:rFonts w:hint="eastAsia" w:ascii="仿宋_GB2312" w:hAnsi="仿宋_GB2312" w:eastAsia="仿宋_GB2312" w:cs="仿宋_GB2312"/>
          <w:color w:val="auto"/>
          <w:sz w:val="24"/>
          <w:szCs w:val="24"/>
          <w:highlight w:val="none"/>
        </w:rPr>
        <w:t>新区2017年以来</w:t>
      </w:r>
      <w:r>
        <w:rPr>
          <w:rFonts w:hint="eastAsia" w:ascii="仿宋_GB2312" w:hAnsi="仿宋_GB2312" w:eastAsia="仿宋_GB2312" w:cs="仿宋_GB2312"/>
          <w:color w:val="auto"/>
          <w:sz w:val="24"/>
          <w:szCs w:val="24"/>
          <w:highlight w:val="none"/>
          <w:lang w:val="en-US" w:eastAsia="zh-CN"/>
        </w:rPr>
        <w:t>摸排整治的4486户</w:t>
      </w:r>
      <w:r>
        <w:rPr>
          <w:rFonts w:hint="eastAsia" w:ascii="仿宋_GB2312" w:hAnsi="仿宋_GB2312" w:eastAsia="仿宋_GB2312" w:cs="仿宋_GB2312"/>
          <w:color w:val="auto"/>
          <w:sz w:val="24"/>
          <w:szCs w:val="24"/>
          <w:highlight w:val="none"/>
        </w:rPr>
        <w:t xml:space="preserve">"散乱污" </w:t>
      </w:r>
      <w:r>
        <w:rPr>
          <w:rFonts w:hint="eastAsia" w:ascii="仿宋_GB2312" w:hAnsi="仿宋_GB2312" w:eastAsia="仿宋_GB2312" w:cs="仿宋_GB2312"/>
          <w:color w:val="auto"/>
          <w:sz w:val="24"/>
          <w:szCs w:val="24"/>
          <w:highlight w:val="none"/>
          <w:lang w:val="en-US" w:eastAsia="zh-CN"/>
        </w:rPr>
        <w:t>企业，通过</w:t>
      </w:r>
      <w:r>
        <w:rPr>
          <w:rFonts w:hint="eastAsia" w:ascii="仿宋_GB2312" w:hAnsi="仿宋_GB2312" w:eastAsia="仿宋_GB2312" w:cs="仿宋_GB2312"/>
          <w:color w:val="auto"/>
          <w:sz w:val="24"/>
          <w:szCs w:val="24"/>
          <w:highlight w:val="none"/>
        </w:rPr>
        <w:t>明察暗访、抽样督查、台账动态管理、落实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回头看”</w:t>
      </w:r>
      <w:r>
        <w:rPr>
          <w:rFonts w:hint="eastAsia" w:ascii="仿宋_GB2312" w:hAnsi="仿宋_GB2312" w:eastAsia="仿宋_GB2312" w:cs="仿宋_GB2312"/>
          <w:color w:val="auto"/>
          <w:sz w:val="24"/>
          <w:szCs w:val="24"/>
          <w:highlight w:val="none"/>
        </w:rPr>
        <w:t>督查整改情况</w:t>
      </w:r>
      <w:r>
        <w:rPr>
          <w:rFonts w:hint="eastAsia" w:ascii="仿宋_GB2312" w:hAnsi="仿宋_GB2312" w:eastAsia="仿宋_GB2312" w:cs="仿宋_GB2312"/>
          <w:color w:val="auto"/>
          <w:sz w:val="24"/>
          <w:szCs w:val="24"/>
          <w:highlight w:val="none"/>
          <w:lang w:val="en-US" w:eastAsia="zh-CN"/>
        </w:rPr>
        <w:t>等，开展</w:t>
      </w:r>
      <w:r>
        <w:rPr>
          <w:rFonts w:hint="eastAsia" w:ascii="仿宋_GB2312" w:hAnsi="仿宋_GB2312" w:eastAsia="仿宋_GB2312" w:cs="仿宋_GB2312"/>
          <w:color w:val="auto"/>
          <w:sz w:val="24"/>
          <w:szCs w:val="24"/>
          <w:highlight w:val="none"/>
        </w:rPr>
        <w:t>"散乱污"企业整治全面</w:t>
      </w:r>
      <w:r>
        <w:rPr>
          <w:rFonts w:hint="eastAsia" w:ascii="仿宋_GB2312" w:hAnsi="仿宋_GB2312" w:eastAsia="仿宋_GB2312" w:cs="仿宋_GB2312"/>
          <w:color w:val="auto"/>
          <w:sz w:val="24"/>
          <w:szCs w:val="24"/>
          <w:highlight w:val="none"/>
          <w:lang w:val="en-US" w:eastAsia="zh-CN"/>
        </w:rPr>
        <w:t>工作</w:t>
      </w:r>
      <w:r>
        <w:rPr>
          <w:rFonts w:hint="eastAsia" w:ascii="仿宋_GB2312" w:hAnsi="仿宋_GB2312" w:eastAsia="仿宋_GB2312" w:cs="仿宋_GB2312"/>
          <w:color w:val="auto"/>
          <w:sz w:val="24"/>
          <w:szCs w:val="24"/>
          <w:highlight w:val="none"/>
        </w:rPr>
        <w:t>，做到辖区内"散乱污"企业动态清零</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防止“死灰复燃”</w:t>
      </w:r>
      <w:r>
        <w:rPr>
          <w:rFonts w:hint="eastAsia" w:ascii="仿宋_GB2312" w:hAnsi="仿宋_GB2312" w:eastAsia="仿宋_GB2312" w:cs="仿宋_GB2312"/>
          <w:color w:val="auto"/>
          <w:sz w:val="24"/>
          <w:szCs w:val="24"/>
          <w:highlight w:val="none"/>
        </w:rPr>
        <w:t>。</w:t>
      </w:r>
    </w:p>
    <w:bookmarkEnd w:id="3"/>
    <w:p>
      <w:pPr>
        <w:spacing w:line="360" w:lineRule="auto"/>
        <w:ind w:firstLine="240" w:firstLineChars="100"/>
        <w:rPr>
          <w:rFonts w:hint="eastAsia" w:ascii="仿宋_GB2312" w:hAnsi="仿宋_GB2312" w:eastAsia="仿宋_GB2312" w:cs="仿宋_GB2312"/>
          <w:sz w:val="24"/>
          <w:szCs w:val="24"/>
          <w:highlight w:val="none"/>
        </w:rPr>
      </w:pPr>
      <w:bookmarkStart w:id="4" w:name="bookmark10"/>
      <w:r>
        <w:rPr>
          <w:rFonts w:hint="eastAsia" w:ascii="仿宋_GB2312" w:hAnsi="仿宋_GB2312" w:eastAsia="仿宋_GB2312" w:cs="仿宋_GB2312"/>
          <w:sz w:val="24"/>
          <w:szCs w:val="24"/>
          <w:highlight w:val="none"/>
        </w:rPr>
        <w:t>二、商务要求</w:t>
      </w:r>
    </w:p>
    <w:p>
      <w:pPr>
        <w:spacing w:line="36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1、服务周期：</w:t>
      </w:r>
      <w:r>
        <w:rPr>
          <w:rFonts w:hint="eastAsia" w:ascii="仿宋_GB2312" w:hAnsi="仿宋_GB2312" w:eastAsia="仿宋_GB2312" w:cs="仿宋_GB2312"/>
          <w:sz w:val="24"/>
          <w:szCs w:val="24"/>
          <w:highlight w:val="none"/>
          <w:lang w:val="en-US" w:eastAsia="zh-CN"/>
        </w:rPr>
        <w:t>一年</w:t>
      </w:r>
      <w:r>
        <w:rPr>
          <w:rFonts w:hint="eastAsia" w:ascii="仿宋_GB2312" w:hAnsi="仿宋_GB2312" w:eastAsia="仿宋_GB2312" w:cs="仿宋_GB2312"/>
          <w:sz w:val="24"/>
          <w:szCs w:val="24"/>
          <w:highlight w:val="none"/>
        </w:rPr>
        <w:t>。</w:t>
      </w:r>
    </w:p>
    <w:p>
      <w:pPr>
        <w:spacing w:line="36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2、质量标准：达到国家现行法律法规及行业要求合格标准。</w:t>
      </w:r>
    </w:p>
    <w:p>
      <w:pPr>
        <w:spacing w:line="36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3、付款方式：</w:t>
      </w:r>
    </w:p>
    <w:p>
      <w:pPr>
        <w:spacing w:line="360" w:lineRule="auto"/>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3.1合同签订后7个工作日内支付50%，服务期满后剩余50%一次性付清；</w:t>
      </w:r>
    </w:p>
    <w:p>
      <w:pPr>
        <w:spacing w:line="360" w:lineRule="auto"/>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3.2本合同为固定总价合同，包括编制费、人员费、会务费等；</w:t>
      </w:r>
    </w:p>
    <w:p>
      <w:pPr>
        <w:spacing w:line="360" w:lineRule="auto"/>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3.3与本合同项目相关的所有费用，不因任何因素调整合同总价；</w:t>
      </w:r>
    </w:p>
    <w:p>
      <w:pPr>
        <w:spacing w:line="360" w:lineRule="auto"/>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3.4</w:t>
      </w:r>
      <w:r>
        <w:rPr>
          <w:rFonts w:hint="eastAsia" w:ascii="仿宋_GB2312" w:hAnsi="仿宋_GB2312" w:eastAsia="仿宋_GB2312" w:cs="仿宋_GB2312"/>
          <w:sz w:val="24"/>
          <w:szCs w:val="22"/>
          <w:highlight w:val="none"/>
        </w:rPr>
        <w:t>如有特殊情况，付款方式与采购人协商解决。</w:t>
      </w:r>
      <w:r>
        <w:rPr>
          <w:rFonts w:hint="eastAsia" w:ascii="仿宋_GB2312" w:hAnsi="仿宋_GB2312" w:eastAsia="仿宋_GB2312" w:cs="仿宋_GB2312"/>
          <w:sz w:val="24"/>
          <w:highlight w:val="none"/>
        </w:rPr>
        <w:t xml:space="preserve"> </w:t>
      </w:r>
    </w:p>
    <w:p>
      <w:pPr>
        <w:spacing w:line="360" w:lineRule="auto"/>
        <w:ind w:firstLine="240" w:firstLineChars="1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三、服务内容</w:t>
      </w:r>
    </w:p>
    <w:bookmarkEnd w:id="4"/>
    <w:p>
      <w:pPr>
        <w:spacing w:line="360" w:lineRule="auto"/>
        <w:ind w:firstLine="480" w:firstLineChars="200"/>
        <w:rPr>
          <w:rFonts w:hint="eastAsia" w:ascii="仿宋_GB2312" w:hAnsi="仿宋_GB2312" w:eastAsia="仿宋_GB2312" w:cs="仿宋_GB2312"/>
          <w:sz w:val="24"/>
          <w:szCs w:val="24"/>
          <w:highlight w:val="none"/>
          <w:lang w:bidi="ar"/>
        </w:rPr>
      </w:pPr>
      <w:r>
        <w:rPr>
          <w:rFonts w:hint="eastAsia" w:ascii="仿宋_GB2312" w:hAnsi="仿宋_GB2312" w:eastAsia="仿宋_GB2312" w:cs="仿宋_GB2312"/>
          <w:sz w:val="24"/>
          <w:szCs w:val="24"/>
          <w:highlight w:val="none"/>
          <w:lang w:bidi="ar"/>
        </w:rPr>
        <w:t>1、根据陕西省“散乱污”工业企业整治标准，以治“污”为重点，具有固定设施，有污染排放的规模以下的工业企业进行分类整治；巩固散乱污整治成效，发现一户整治一户，确保动态清零。</w:t>
      </w:r>
    </w:p>
    <w:p>
      <w:pPr>
        <w:spacing w:line="360" w:lineRule="auto"/>
        <w:ind w:firstLine="480" w:firstLineChars="200"/>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sz w:val="24"/>
          <w:szCs w:val="24"/>
          <w:highlight w:val="none"/>
          <w:lang w:val="en-US" w:eastAsia="zh-CN" w:bidi="ar"/>
        </w:rPr>
        <w:t>2</w:t>
      </w:r>
      <w:r>
        <w:rPr>
          <w:rFonts w:hint="eastAsia" w:ascii="仿宋_GB2312" w:hAnsi="仿宋_GB2312" w:eastAsia="仿宋_GB2312" w:cs="仿宋_GB2312"/>
          <w:sz w:val="24"/>
          <w:szCs w:val="24"/>
          <w:highlight w:val="none"/>
          <w:lang w:bidi="ar"/>
        </w:rPr>
        <w:t>、 成立</w:t>
      </w:r>
      <w:r>
        <w:rPr>
          <w:rFonts w:hint="eastAsia" w:ascii="仿宋_GB2312" w:hAnsi="仿宋_GB2312" w:eastAsia="仿宋_GB2312" w:cs="仿宋_GB2312"/>
          <w:sz w:val="24"/>
          <w:szCs w:val="24"/>
          <w:highlight w:val="none"/>
          <w:lang w:val="en-US" w:eastAsia="zh-CN" w:bidi="ar"/>
        </w:rPr>
        <w:t>散乱污</w:t>
      </w:r>
      <w:r>
        <w:rPr>
          <w:rFonts w:hint="eastAsia" w:ascii="仿宋_GB2312" w:hAnsi="仿宋_GB2312" w:eastAsia="仿宋_GB2312" w:cs="仿宋_GB2312"/>
          <w:sz w:val="24"/>
          <w:szCs w:val="24"/>
          <w:highlight w:val="none"/>
          <w:lang w:bidi="ar"/>
        </w:rPr>
        <w:t>工作组，一组负责台账管理，一组负责外出检查，以新城</w:t>
      </w:r>
      <w:r>
        <w:rPr>
          <w:rFonts w:hint="eastAsia" w:ascii="仿宋_GB2312" w:hAnsi="仿宋_GB2312" w:eastAsia="仿宋_GB2312" w:cs="仿宋_GB2312"/>
          <w:sz w:val="24"/>
          <w:szCs w:val="24"/>
          <w:highlight w:val="none"/>
          <w:lang w:val="en-US" w:eastAsia="zh-CN" w:bidi="ar"/>
        </w:rPr>
        <w:t>、街办</w:t>
      </w:r>
      <w:r>
        <w:rPr>
          <w:rFonts w:hint="eastAsia" w:ascii="仿宋_GB2312" w:hAnsi="仿宋_GB2312" w:eastAsia="仿宋_GB2312" w:cs="仿宋_GB2312"/>
          <w:sz w:val="24"/>
          <w:szCs w:val="24"/>
          <w:highlight w:val="none"/>
          <w:lang w:bidi="ar"/>
        </w:rPr>
        <w:t>为单位，对区域内散乱污企业进行督查及暗访，并且每户企业要有照片留底</w:t>
      </w:r>
      <w:r>
        <w:rPr>
          <w:rFonts w:hint="eastAsia" w:ascii="仿宋_GB2312" w:hAnsi="仿宋_GB2312" w:eastAsia="仿宋_GB2312" w:cs="仿宋_GB2312"/>
          <w:sz w:val="24"/>
          <w:szCs w:val="24"/>
          <w:highlight w:val="none"/>
          <w:lang w:eastAsia="zh-CN" w:bidi="ar"/>
        </w:rPr>
        <w:t>，</w:t>
      </w:r>
      <w:r>
        <w:rPr>
          <w:rFonts w:hint="eastAsia" w:ascii="仿宋_GB2312" w:hAnsi="仿宋_GB2312" w:eastAsia="仿宋_GB2312" w:cs="仿宋_GB2312"/>
          <w:sz w:val="24"/>
          <w:szCs w:val="24"/>
          <w:highlight w:val="none"/>
          <w:lang w:val="en-US" w:eastAsia="zh-CN" w:bidi="ar"/>
        </w:rPr>
        <w:t>形成佐证材料</w:t>
      </w:r>
      <w:r>
        <w:rPr>
          <w:rFonts w:hint="eastAsia" w:ascii="仿宋_GB2312" w:hAnsi="仿宋_GB2312" w:eastAsia="仿宋_GB2312" w:cs="仿宋_GB2312"/>
          <w:sz w:val="24"/>
          <w:szCs w:val="24"/>
          <w:highlight w:val="none"/>
          <w:lang w:eastAsia="zh-CN" w:bidi="ar"/>
        </w:rPr>
        <w:t>（</w:t>
      </w:r>
      <w:r>
        <w:rPr>
          <w:rFonts w:hint="eastAsia" w:ascii="仿宋_GB2312" w:hAnsi="仿宋_GB2312" w:eastAsia="仿宋_GB2312" w:cs="仿宋_GB2312"/>
          <w:sz w:val="24"/>
          <w:szCs w:val="24"/>
          <w:highlight w:val="none"/>
          <w:lang w:bidi="ar"/>
        </w:rPr>
        <w:t>周末突发情况，要配合进行临时检查</w:t>
      </w:r>
      <w:r>
        <w:rPr>
          <w:rFonts w:hint="eastAsia" w:ascii="仿宋_GB2312" w:hAnsi="仿宋_GB2312" w:eastAsia="仿宋_GB2312" w:cs="仿宋_GB2312"/>
          <w:sz w:val="24"/>
          <w:szCs w:val="24"/>
          <w:highlight w:val="none"/>
          <w:lang w:eastAsia="zh-CN" w:bidi="ar"/>
        </w:rPr>
        <w:t>）</w:t>
      </w:r>
      <w:r>
        <w:rPr>
          <w:rFonts w:hint="eastAsia" w:ascii="仿宋_GB2312" w:hAnsi="仿宋_GB2312" w:eastAsia="仿宋_GB2312" w:cs="仿宋_GB2312"/>
          <w:sz w:val="24"/>
          <w:szCs w:val="24"/>
          <w:highlight w:val="none"/>
          <w:lang w:bidi="ar"/>
        </w:rPr>
        <w:t>。工作小组人员要求</w:t>
      </w:r>
      <w:r>
        <w:rPr>
          <w:rFonts w:hint="eastAsia" w:ascii="仿宋_GB2312" w:hAnsi="仿宋_GB2312" w:eastAsia="仿宋_GB2312" w:cs="仿宋_GB2312"/>
          <w:sz w:val="24"/>
          <w:szCs w:val="24"/>
          <w:highlight w:val="none"/>
          <w:lang w:val="en-US" w:eastAsia="zh-CN" w:bidi="ar"/>
        </w:rPr>
        <w:t>掌握大气污染防治法律法规等环保知识，</w:t>
      </w:r>
      <w:r>
        <w:rPr>
          <w:rFonts w:hint="eastAsia" w:ascii="仿宋_GB2312" w:hAnsi="仿宋_GB2312" w:eastAsia="仿宋_GB2312" w:cs="仿宋_GB2312"/>
          <w:sz w:val="24"/>
          <w:szCs w:val="24"/>
          <w:highlight w:val="none"/>
          <w:lang w:bidi="ar"/>
        </w:rPr>
        <w:t>会熟练使用各类办公软件及相关线上治理平</w:t>
      </w:r>
      <w:r>
        <w:rPr>
          <w:rFonts w:hint="eastAsia" w:ascii="仿宋_GB2312" w:hAnsi="仿宋_GB2312" w:eastAsia="仿宋_GB2312" w:cs="仿宋_GB2312"/>
          <w:color w:val="auto"/>
          <w:sz w:val="24"/>
          <w:szCs w:val="24"/>
          <w:highlight w:val="none"/>
          <w:lang w:val="en-US" w:eastAsia="zh-CN"/>
        </w:rPr>
        <w:t>台；相关餐费、交通费、通讯费等由投标方考虑，满足项目要求为准。</w:t>
      </w:r>
    </w:p>
    <w:p>
      <w:pPr>
        <w:spacing w:line="360" w:lineRule="auto"/>
        <w:ind w:firstLine="480" w:firstLineChars="200"/>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建立2022-2023年西咸新区“散乱污”工业企业名录库，设计制作散乱污检查情况报表（附照片）；发布各新城散乱污基本检查情况，具体问题情况，有益经验分享等工作通报；收集整理清单内4486家企业及新增企业台账及底册，每周汇总更新各新城“回头看”台账，以市级要求上报相关数据台账及佐证资料。</w:t>
      </w:r>
    </w:p>
    <w:p>
      <w:pPr>
        <w:spacing w:line="360" w:lineRule="auto"/>
        <w:ind w:firstLine="480" w:firstLineChars="200"/>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4、针对中省市各级环保督察，做好迎检工作，包括按照要求选取点位，提供佐证材料，应对环保督察“回头看”反馈问题，第一时间处理，件件有回复，事事有回音，确保整改落实到位。</w:t>
      </w:r>
    </w:p>
    <w:p>
      <w:pPr>
        <w:spacing w:line="360" w:lineRule="auto"/>
        <w:ind w:firstLine="480" w:firstLineChars="200"/>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5、外勤巡查人员对</w:t>
      </w:r>
      <w:bookmarkStart w:id="5" w:name="_GoBack"/>
      <w:bookmarkEnd w:id="5"/>
      <w:r>
        <w:rPr>
          <w:rFonts w:hint="eastAsia" w:ascii="仿宋_GB2312" w:hAnsi="仿宋_GB2312" w:eastAsia="仿宋_GB2312" w:cs="仿宋_GB2312"/>
          <w:color w:val="auto"/>
          <w:sz w:val="24"/>
          <w:szCs w:val="24"/>
          <w:highlight w:val="none"/>
          <w:lang w:val="en-US" w:eastAsia="zh-CN"/>
        </w:rPr>
        <w:t>辖区内4486家关停取缔类散乱污企业进行“回头看”工作，督察督导各新城散乱污企业，暗访及督察“回头看”在册已整治的企业，落实散乱污回头看过程中新发现存在问题的企业整改情况并核实整治进展情况，对存在问题和“死灰复燃”的企业进行综合研判，并跟进督办问题散乱污企业整治情况，最终进行验收。</w:t>
      </w:r>
    </w:p>
    <w:p>
      <w:pPr>
        <w:spacing w:line="360" w:lineRule="auto"/>
        <w:ind w:firstLine="480" w:firstLineChars="200"/>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6、“检查车辆及人员费用由投标方负责”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xYWE2ZDQ4ZDhjODAxMWQ0MmYxYzI5YmJhYWI5ZGUifQ=="/>
  </w:docVars>
  <w:rsids>
    <w:rsidRoot w:val="096C085F"/>
    <w:rsid w:val="096C0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24"/>
      <w:lang w:val="en-US" w:eastAsia="zh-CN" w:bidi="ar-SA"/>
    </w:rPr>
  </w:style>
  <w:style w:type="paragraph" w:styleId="4">
    <w:name w:val="heading 1"/>
    <w:basedOn w:val="1"/>
    <w:next w:val="1"/>
    <w:qFormat/>
    <w:uiPriority w:val="0"/>
    <w:pPr>
      <w:keepNext/>
      <w:outlineLvl w:val="0"/>
    </w:pPr>
    <w:rPr>
      <w:rFonts w:ascii="仿宋_GB2312" w:hAnsi="宋体" w:eastAsia="仿宋_GB2312"/>
      <w:b/>
      <w:kern w:val="2"/>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next w:val="1"/>
    <w:qFormat/>
    <w:uiPriority w:val="0"/>
    <w:pPr>
      <w:spacing w:after="120"/>
    </w:pPr>
    <w:rPr>
      <w:rFonts w:ascii="Times New Roman"/>
      <w:kern w:val="2"/>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2023-06-02T11:30:00Z</dcterms:created>
  <dc:creator>小洁</dc:creator>
  <cp:lastModifiedBy>小洁</cp:lastModifiedBy>
  <dcterms:modified xsi:type="dcterms:W3CDTF">2023-06-02T11:31:29Z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2AB0CAF029024671A069F8DCFD7F8BCB_11</vt:lpwstr>
  </property>
</Properties>
</file>