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66" w:beforeLines="50" w:after="166" w:afterLines="50" w:line="360" w:lineRule="auto"/>
        <w:jc w:val="center"/>
        <w:rPr>
          <w:rFonts w:hint="eastAsia" w:ascii="仿宋" w:hAnsi="仿宋" w:eastAsia="仿宋" w:cs="仿宋"/>
          <w:color w:val="auto"/>
          <w:highlight w:val="none"/>
        </w:rPr>
      </w:pPr>
      <w:r>
        <w:rPr>
          <w:rFonts w:hint="eastAsia" w:ascii="仿宋" w:hAnsi="仿宋" w:eastAsia="仿宋" w:cs="仿宋"/>
          <w:color w:val="auto"/>
          <w:sz w:val="44"/>
          <w:szCs w:val="44"/>
          <w:highlight w:val="none"/>
        </w:rPr>
        <w:t>采购内容及技术要求</w:t>
      </w:r>
    </w:p>
    <w:p>
      <w:pPr>
        <w:spacing w:line="360" w:lineRule="auto"/>
        <w:rPr>
          <w:rFonts w:hint="default" w:ascii="仿宋" w:hAnsi="仿宋" w:eastAsia="仿宋" w:cs="仿宋"/>
          <w:b/>
          <w:bCs/>
          <w:color w:val="auto"/>
          <w:spacing w:val="4"/>
          <w:sz w:val="24"/>
          <w:szCs w:val="24"/>
          <w:lang w:val="en-US" w:eastAsia="zh-CN"/>
        </w:rPr>
      </w:pPr>
      <w:r>
        <w:rPr>
          <w:rFonts w:hint="eastAsia" w:ascii="仿宋" w:hAnsi="仿宋" w:eastAsia="仿宋" w:cs="仿宋"/>
          <w:b/>
          <w:bCs/>
          <w:color w:val="auto"/>
          <w:spacing w:val="4"/>
          <w:sz w:val="24"/>
          <w:szCs w:val="24"/>
          <w:lang w:val="en-US" w:eastAsia="zh-CN"/>
        </w:rPr>
        <w:t>一、项目概况</w:t>
      </w:r>
    </w:p>
    <w:p>
      <w:pPr>
        <w:numPr>
          <w:ilvl w:val="0"/>
          <w:numId w:val="0"/>
        </w:numPr>
        <w:spacing w:line="360" w:lineRule="auto"/>
        <w:ind w:firstLine="496" w:firstLineChars="200"/>
        <w:rPr>
          <w:rFonts w:hint="eastAsia" w:ascii="仿宋" w:hAnsi="仿宋" w:eastAsia="仿宋" w:cs="仿宋"/>
          <w:b w:val="0"/>
          <w:bCs w:val="0"/>
          <w:color w:val="auto"/>
          <w:spacing w:val="4"/>
          <w:sz w:val="24"/>
          <w:szCs w:val="24"/>
          <w:lang w:val="en-US" w:eastAsia="zh-CN"/>
        </w:rPr>
      </w:pPr>
      <w:r>
        <w:rPr>
          <w:rFonts w:hint="eastAsia" w:ascii="仿宋" w:hAnsi="仿宋" w:eastAsia="仿宋" w:cs="仿宋"/>
          <w:b w:val="0"/>
          <w:bCs w:val="0"/>
          <w:color w:val="auto"/>
          <w:spacing w:val="4"/>
          <w:sz w:val="24"/>
          <w:szCs w:val="24"/>
          <w:lang w:val="en-US" w:eastAsia="zh-CN"/>
        </w:rPr>
        <w:t>为做好新区本级各部门办公及会议饮用水保障，经对目前市场饮用水品类和价格进行充分调研后，现拟开展2023年度(2023年7月1日-2024年6月30日)办公饮用水采购。参照往年用水量、用水价格及新区人员的实际情况，2023年度预计办公饮用水费用为56万元。</w:t>
      </w:r>
    </w:p>
    <w:p>
      <w:pPr>
        <w:numPr>
          <w:ilvl w:val="0"/>
          <w:numId w:val="0"/>
        </w:numPr>
        <w:spacing w:line="360" w:lineRule="auto"/>
        <w:ind w:firstLine="498" w:firstLineChars="200"/>
        <w:rPr>
          <w:rFonts w:hint="eastAsia" w:ascii="仿宋" w:hAnsi="仿宋" w:eastAsia="仿宋" w:cs="仿宋"/>
          <w:b/>
          <w:bCs/>
          <w:color w:val="auto"/>
          <w:spacing w:val="4"/>
          <w:sz w:val="24"/>
          <w:szCs w:val="24"/>
          <w:lang w:val="en-US" w:eastAsia="zh-CN"/>
        </w:rPr>
      </w:pPr>
      <w:r>
        <w:rPr>
          <w:rFonts w:hint="eastAsia" w:ascii="仿宋" w:hAnsi="仿宋" w:eastAsia="仿宋" w:cs="仿宋"/>
          <w:b/>
          <w:bCs/>
          <w:color w:val="auto"/>
          <w:spacing w:val="4"/>
          <w:sz w:val="24"/>
          <w:szCs w:val="24"/>
          <w:lang w:val="en-US" w:eastAsia="zh-CN"/>
        </w:rPr>
        <w:t>二、技术要求</w:t>
      </w:r>
    </w:p>
    <w:p>
      <w:pPr>
        <w:numPr>
          <w:ilvl w:val="0"/>
          <w:numId w:val="0"/>
        </w:numPr>
        <w:spacing w:line="360" w:lineRule="auto"/>
        <w:ind w:firstLine="496" w:firstLineChars="200"/>
        <w:rPr>
          <w:rFonts w:hint="default" w:ascii="仿宋" w:hAnsi="仿宋" w:eastAsia="仿宋" w:cs="仿宋"/>
          <w:color w:val="auto"/>
          <w:spacing w:val="4"/>
          <w:sz w:val="24"/>
          <w:szCs w:val="24"/>
          <w:lang w:val="en-US" w:eastAsia="zh-CN"/>
        </w:rPr>
      </w:pPr>
      <w:r>
        <w:rPr>
          <w:rFonts w:hint="eastAsia" w:ascii="仿宋" w:hAnsi="仿宋" w:eastAsia="仿宋" w:cs="仿宋"/>
          <w:color w:val="auto"/>
          <w:spacing w:val="4"/>
          <w:sz w:val="24"/>
          <w:szCs w:val="24"/>
          <w:lang w:val="en-US" w:eastAsia="zh-CN"/>
        </w:rPr>
        <w:t>满足饮用水使用标准及需求</w:t>
      </w:r>
    </w:p>
    <w:p>
      <w:pPr>
        <w:numPr>
          <w:ilvl w:val="0"/>
          <w:numId w:val="0"/>
        </w:numPr>
        <w:spacing w:line="360" w:lineRule="auto"/>
        <w:ind w:firstLine="498" w:firstLineChars="200"/>
        <w:rPr>
          <w:rFonts w:hint="default" w:ascii="仿宋" w:hAnsi="仿宋" w:eastAsia="仿宋" w:cs="仿宋"/>
          <w:b/>
          <w:bCs/>
          <w:color w:val="auto"/>
          <w:spacing w:val="4"/>
          <w:sz w:val="24"/>
          <w:szCs w:val="24"/>
          <w:lang w:val="en-US" w:eastAsia="zh-CN"/>
        </w:rPr>
      </w:pPr>
      <w:r>
        <w:rPr>
          <w:rFonts w:hint="eastAsia" w:ascii="仿宋" w:hAnsi="仿宋" w:eastAsia="仿宋" w:cs="仿宋"/>
          <w:b/>
          <w:bCs/>
          <w:color w:val="auto"/>
          <w:spacing w:val="4"/>
          <w:sz w:val="24"/>
          <w:szCs w:val="24"/>
          <w:lang w:val="en-US" w:eastAsia="zh-CN"/>
        </w:rPr>
        <w:t>三、需提供的品目</w:t>
      </w:r>
    </w:p>
    <w:tbl>
      <w:tblPr>
        <w:tblStyle w:val="1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8"/>
        <w:gridCol w:w="3419"/>
        <w:gridCol w:w="3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bCs w:val="0"/>
                <w:color w:val="000000"/>
                <w:kern w:val="2"/>
                <w:sz w:val="24"/>
                <w:szCs w:val="24"/>
                <w:highlight w:val="none"/>
                <w:vertAlign w:val="baseline"/>
                <w:lang w:val="en-US" w:eastAsia="zh-CN" w:bidi="ar-SA"/>
              </w:rPr>
            </w:pPr>
            <w:r>
              <w:rPr>
                <w:rFonts w:hint="eastAsia" w:ascii="仿宋" w:hAnsi="仿宋" w:eastAsia="仿宋" w:cs="仿宋"/>
                <w:b/>
                <w:bCs w:val="0"/>
                <w:color w:val="000000"/>
                <w:kern w:val="2"/>
                <w:sz w:val="24"/>
                <w:szCs w:val="24"/>
                <w:highlight w:val="none"/>
                <w:vertAlign w:val="baseline"/>
                <w:lang w:val="en-US" w:eastAsia="zh-CN" w:bidi="ar-SA"/>
              </w:rPr>
              <w:t>序号</w:t>
            </w:r>
          </w:p>
        </w:tc>
        <w:tc>
          <w:tcPr>
            <w:tcW w:w="2007"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bCs w:val="0"/>
                <w:color w:val="000000"/>
                <w:kern w:val="2"/>
                <w:sz w:val="24"/>
                <w:szCs w:val="24"/>
                <w:highlight w:val="none"/>
                <w:vertAlign w:val="baseline"/>
                <w:lang w:val="en-US" w:eastAsia="zh-CN" w:bidi="ar-SA"/>
              </w:rPr>
            </w:pPr>
            <w:r>
              <w:rPr>
                <w:rFonts w:hint="eastAsia" w:ascii="仿宋" w:hAnsi="仿宋" w:eastAsia="仿宋" w:cs="仿宋"/>
                <w:b/>
                <w:bCs w:val="0"/>
                <w:color w:val="000000"/>
                <w:kern w:val="2"/>
                <w:sz w:val="24"/>
                <w:szCs w:val="24"/>
                <w:highlight w:val="none"/>
                <w:vertAlign w:val="baseline"/>
                <w:lang w:val="en-US" w:eastAsia="zh-CN" w:bidi="ar-SA"/>
              </w:rPr>
              <w:t>品目</w:t>
            </w:r>
          </w:p>
        </w:tc>
        <w:tc>
          <w:tcPr>
            <w:tcW w:w="1842"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bCs w:val="0"/>
                <w:color w:val="000000"/>
                <w:kern w:val="2"/>
                <w:sz w:val="24"/>
                <w:szCs w:val="24"/>
                <w:highlight w:val="none"/>
                <w:vertAlign w:val="baseline"/>
                <w:lang w:val="en-US" w:eastAsia="zh-CN" w:bidi="ar-SA"/>
              </w:rPr>
            </w:pPr>
            <w:r>
              <w:rPr>
                <w:rFonts w:hint="eastAsia" w:ascii="仿宋" w:hAnsi="仿宋" w:eastAsia="仿宋" w:cs="仿宋"/>
                <w:b/>
                <w:bCs w:val="0"/>
                <w:color w:val="000000"/>
                <w:kern w:val="2"/>
                <w:sz w:val="24"/>
                <w:szCs w:val="24"/>
                <w:highlight w:val="none"/>
                <w:vertAlign w:val="baseline"/>
                <w:lang w:val="en-US" w:eastAsia="zh-CN" w:bidi="ar-SA"/>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color w:val="000000"/>
                <w:kern w:val="2"/>
                <w:sz w:val="24"/>
                <w:szCs w:val="24"/>
                <w:highlight w:val="none"/>
                <w:vertAlign w:val="baseline"/>
                <w:lang w:val="en-US" w:eastAsia="zh-CN" w:bidi="ar-SA"/>
              </w:rPr>
            </w:pPr>
            <w:r>
              <w:rPr>
                <w:rFonts w:hint="eastAsia" w:ascii="仿宋" w:hAnsi="仿宋" w:eastAsia="仿宋" w:cs="仿宋"/>
                <w:b w:val="0"/>
                <w:bCs/>
                <w:color w:val="000000"/>
                <w:kern w:val="2"/>
                <w:sz w:val="24"/>
                <w:szCs w:val="24"/>
                <w:highlight w:val="none"/>
                <w:vertAlign w:val="baseline"/>
                <w:lang w:val="en-US" w:eastAsia="zh-CN" w:bidi="ar-SA"/>
              </w:rPr>
              <w:t>1</w:t>
            </w:r>
          </w:p>
        </w:tc>
        <w:tc>
          <w:tcPr>
            <w:tcW w:w="3839" w:type="dxa"/>
            <w:noWrap w:val="0"/>
            <w:vAlign w:val="center"/>
          </w:tcPr>
          <w:p>
            <w:pPr>
              <w:keepNext w:val="0"/>
              <w:keepLines w:val="0"/>
              <w:widowControl/>
              <w:suppressLineNumbers w:val="0"/>
              <w:jc w:val="center"/>
              <w:textAlignment w:val="center"/>
              <w:rPr>
                <w:rFonts w:hint="eastAsia" w:ascii="仿宋" w:hAnsi="仿宋" w:eastAsia="仿宋" w:cs="仿宋"/>
                <w:b w:val="0"/>
                <w:bCs/>
                <w:color w:val="000000"/>
                <w:kern w:val="2"/>
                <w:sz w:val="24"/>
                <w:szCs w:val="24"/>
                <w:highlight w:val="none"/>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瓶装纯净水</w:t>
            </w:r>
          </w:p>
        </w:tc>
        <w:tc>
          <w:tcPr>
            <w:tcW w:w="3524" w:type="dxa"/>
            <w:noWrap w:val="0"/>
            <w:vAlign w:val="center"/>
          </w:tcPr>
          <w:p>
            <w:pPr>
              <w:keepNext w:val="0"/>
              <w:keepLines w:val="0"/>
              <w:widowControl/>
              <w:suppressLineNumbers w:val="0"/>
              <w:jc w:val="center"/>
              <w:textAlignment w:val="center"/>
              <w:rPr>
                <w:rFonts w:hint="eastAsia" w:ascii="仿宋" w:hAnsi="仿宋" w:eastAsia="仿宋" w:cs="仿宋"/>
                <w:b w:val="0"/>
                <w:bCs/>
                <w:color w:val="000000"/>
                <w:kern w:val="2"/>
                <w:sz w:val="24"/>
                <w:szCs w:val="24"/>
                <w:highlight w:val="none"/>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箱（330ml/瓶*24）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color w:val="000000"/>
                <w:kern w:val="2"/>
                <w:sz w:val="24"/>
                <w:szCs w:val="24"/>
                <w:highlight w:val="none"/>
                <w:vertAlign w:val="baseline"/>
                <w:lang w:val="en-US" w:eastAsia="zh-CN" w:bidi="ar-SA"/>
              </w:rPr>
            </w:pPr>
            <w:r>
              <w:rPr>
                <w:rFonts w:hint="eastAsia" w:ascii="仿宋" w:hAnsi="仿宋" w:eastAsia="仿宋" w:cs="仿宋"/>
                <w:b w:val="0"/>
                <w:bCs/>
                <w:color w:val="000000"/>
                <w:kern w:val="2"/>
                <w:sz w:val="24"/>
                <w:szCs w:val="24"/>
                <w:highlight w:val="none"/>
                <w:vertAlign w:val="baseline"/>
                <w:lang w:val="en-US" w:eastAsia="zh-CN" w:bidi="ar-SA"/>
              </w:rPr>
              <w:t>2</w:t>
            </w:r>
          </w:p>
        </w:tc>
        <w:tc>
          <w:tcPr>
            <w:tcW w:w="3839" w:type="dxa"/>
            <w:noWrap w:val="0"/>
            <w:vAlign w:val="center"/>
          </w:tcPr>
          <w:p>
            <w:pPr>
              <w:keepNext w:val="0"/>
              <w:keepLines w:val="0"/>
              <w:widowControl/>
              <w:suppressLineNumbers w:val="0"/>
              <w:jc w:val="center"/>
              <w:textAlignment w:val="center"/>
              <w:rPr>
                <w:rFonts w:hint="eastAsia" w:ascii="仿宋" w:hAnsi="仿宋" w:eastAsia="仿宋" w:cs="仿宋"/>
                <w:b w:val="0"/>
                <w:bCs/>
                <w:color w:val="000000"/>
                <w:kern w:val="2"/>
                <w:sz w:val="24"/>
                <w:szCs w:val="24"/>
                <w:highlight w:val="none"/>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瓶装天然泉水</w:t>
            </w:r>
          </w:p>
        </w:tc>
        <w:tc>
          <w:tcPr>
            <w:tcW w:w="3524" w:type="dxa"/>
            <w:noWrap w:val="0"/>
            <w:vAlign w:val="center"/>
          </w:tcPr>
          <w:p>
            <w:pPr>
              <w:keepNext w:val="0"/>
              <w:keepLines w:val="0"/>
              <w:widowControl/>
              <w:suppressLineNumbers w:val="0"/>
              <w:jc w:val="center"/>
              <w:textAlignment w:val="center"/>
              <w:rPr>
                <w:rFonts w:hint="eastAsia" w:ascii="仿宋" w:hAnsi="仿宋" w:eastAsia="仿宋" w:cs="仿宋"/>
                <w:b w:val="0"/>
                <w:bCs/>
                <w:color w:val="000000"/>
                <w:kern w:val="2"/>
                <w:sz w:val="24"/>
                <w:szCs w:val="24"/>
                <w:highlight w:val="none"/>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箱（330ml/瓶*24）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color w:val="000000"/>
                <w:kern w:val="2"/>
                <w:sz w:val="24"/>
                <w:szCs w:val="24"/>
                <w:highlight w:val="none"/>
                <w:vertAlign w:val="baseline"/>
                <w:lang w:val="en-US" w:eastAsia="zh-CN" w:bidi="ar-SA"/>
              </w:rPr>
            </w:pPr>
            <w:r>
              <w:rPr>
                <w:rFonts w:hint="eastAsia" w:ascii="仿宋" w:hAnsi="仿宋" w:eastAsia="仿宋" w:cs="仿宋"/>
                <w:b w:val="0"/>
                <w:bCs/>
                <w:color w:val="000000"/>
                <w:kern w:val="2"/>
                <w:sz w:val="24"/>
                <w:szCs w:val="24"/>
                <w:highlight w:val="none"/>
                <w:vertAlign w:val="baseline"/>
                <w:lang w:val="en-US" w:eastAsia="zh-CN" w:bidi="ar-SA"/>
              </w:rPr>
              <w:t>3</w:t>
            </w:r>
          </w:p>
        </w:tc>
        <w:tc>
          <w:tcPr>
            <w:tcW w:w="3839" w:type="dxa"/>
            <w:noWrap w:val="0"/>
            <w:vAlign w:val="center"/>
          </w:tcPr>
          <w:p>
            <w:pPr>
              <w:keepNext w:val="0"/>
              <w:keepLines w:val="0"/>
              <w:widowControl/>
              <w:suppressLineNumbers w:val="0"/>
              <w:jc w:val="center"/>
              <w:textAlignment w:val="center"/>
              <w:rPr>
                <w:rFonts w:hint="eastAsia" w:ascii="仿宋" w:hAnsi="仿宋" w:eastAsia="仿宋" w:cs="仿宋"/>
                <w:b w:val="0"/>
                <w:bCs/>
                <w:color w:val="000000"/>
                <w:kern w:val="2"/>
                <w:sz w:val="24"/>
                <w:szCs w:val="24"/>
                <w:highlight w:val="none"/>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桶装纯净水</w:t>
            </w:r>
          </w:p>
        </w:tc>
        <w:tc>
          <w:tcPr>
            <w:tcW w:w="3524" w:type="dxa"/>
            <w:noWrap w:val="0"/>
            <w:vAlign w:val="center"/>
          </w:tcPr>
          <w:p>
            <w:pPr>
              <w:keepNext w:val="0"/>
              <w:keepLines w:val="0"/>
              <w:widowControl/>
              <w:suppressLineNumbers w:val="0"/>
              <w:jc w:val="center"/>
              <w:textAlignment w:val="center"/>
              <w:rPr>
                <w:rFonts w:hint="eastAsia" w:ascii="仿宋" w:hAnsi="仿宋" w:eastAsia="仿宋" w:cs="仿宋"/>
                <w:b w:val="0"/>
                <w:bCs/>
                <w:color w:val="000000"/>
                <w:kern w:val="2"/>
                <w:sz w:val="24"/>
                <w:szCs w:val="24"/>
                <w:highlight w:val="none"/>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18.9L/桶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15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color w:val="000000"/>
                <w:kern w:val="2"/>
                <w:sz w:val="24"/>
                <w:szCs w:val="24"/>
                <w:highlight w:val="none"/>
                <w:vertAlign w:val="baseline"/>
                <w:lang w:val="en-US" w:eastAsia="zh-CN" w:bidi="ar-SA"/>
              </w:rPr>
            </w:pPr>
            <w:r>
              <w:rPr>
                <w:rFonts w:hint="eastAsia" w:ascii="仿宋" w:hAnsi="仿宋" w:eastAsia="仿宋" w:cs="仿宋"/>
                <w:b w:val="0"/>
                <w:bCs/>
                <w:color w:val="000000"/>
                <w:kern w:val="2"/>
                <w:sz w:val="24"/>
                <w:szCs w:val="24"/>
                <w:highlight w:val="none"/>
                <w:vertAlign w:val="baseline"/>
                <w:lang w:val="en-US" w:eastAsia="zh-CN" w:bidi="ar-SA"/>
              </w:rPr>
              <w:t>4</w:t>
            </w:r>
          </w:p>
        </w:tc>
        <w:tc>
          <w:tcPr>
            <w:tcW w:w="3839" w:type="dxa"/>
            <w:noWrap w:val="0"/>
            <w:vAlign w:val="center"/>
          </w:tcPr>
          <w:p>
            <w:pPr>
              <w:keepNext w:val="0"/>
              <w:keepLines w:val="0"/>
              <w:widowControl/>
              <w:suppressLineNumbers w:val="0"/>
              <w:jc w:val="center"/>
              <w:textAlignment w:val="center"/>
              <w:rPr>
                <w:rFonts w:hint="eastAsia" w:ascii="仿宋" w:hAnsi="仿宋" w:eastAsia="仿宋" w:cs="仿宋"/>
                <w:b w:val="0"/>
                <w:bCs/>
                <w:color w:val="000000"/>
                <w:kern w:val="2"/>
                <w:sz w:val="24"/>
                <w:szCs w:val="24"/>
                <w:highlight w:val="none"/>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桶装天然泉水</w:t>
            </w:r>
          </w:p>
        </w:tc>
        <w:tc>
          <w:tcPr>
            <w:tcW w:w="3524" w:type="dxa"/>
            <w:noWrap w:val="0"/>
            <w:vAlign w:val="center"/>
          </w:tcPr>
          <w:p>
            <w:pPr>
              <w:keepNext w:val="0"/>
              <w:keepLines w:val="0"/>
              <w:widowControl/>
              <w:suppressLineNumbers w:val="0"/>
              <w:jc w:val="center"/>
              <w:textAlignment w:val="center"/>
              <w:rPr>
                <w:rFonts w:hint="eastAsia" w:ascii="仿宋" w:hAnsi="仿宋" w:eastAsia="仿宋" w:cs="仿宋"/>
                <w:b w:val="0"/>
                <w:bCs/>
                <w:color w:val="000000"/>
                <w:kern w:val="2"/>
                <w:sz w:val="24"/>
                <w:szCs w:val="24"/>
                <w:highlight w:val="none"/>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箱（4.5L/桶*2）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color w:val="000000"/>
                <w:kern w:val="2"/>
                <w:sz w:val="24"/>
                <w:szCs w:val="24"/>
                <w:highlight w:val="none"/>
                <w:vertAlign w:val="baseline"/>
                <w:lang w:val="en-US" w:eastAsia="zh-CN" w:bidi="ar-SA"/>
              </w:rPr>
            </w:pPr>
            <w:r>
              <w:rPr>
                <w:rFonts w:hint="eastAsia" w:ascii="仿宋" w:hAnsi="仿宋" w:eastAsia="仿宋" w:cs="仿宋"/>
                <w:b w:val="0"/>
                <w:bCs/>
                <w:color w:val="000000"/>
                <w:kern w:val="2"/>
                <w:sz w:val="24"/>
                <w:szCs w:val="24"/>
                <w:highlight w:val="none"/>
                <w:vertAlign w:val="baseline"/>
                <w:lang w:val="en-US" w:eastAsia="zh-CN" w:bidi="ar-SA"/>
              </w:rPr>
              <w:t>5</w:t>
            </w:r>
          </w:p>
        </w:tc>
        <w:tc>
          <w:tcPr>
            <w:tcW w:w="3839" w:type="dxa"/>
            <w:noWrap w:val="0"/>
            <w:vAlign w:val="center"/>
          </w:tcPr>
          <w:p>
            <w:pPr>
              <w:keepNext w:val="0"/>
              <w:keepLines w:val="0"/>
              <w:widowControl/>
              <w:suppressLineNumbers w:val="0"/>
              <w:jc w:val="center"/>
              <w:textAlignment w:val="center"/>
              <w:rPr>
                <w:rFonts w:hint="eastAsia" w:ascii="仿宋" w:hAnsi="仿宋" w:eastAsia="仿宋" w:cs="仿宋"/>
                <w:b w:val="0"/>
                <w:bCs/>
                <w:color w:val="000000"/>
                <w:kern w:val="2"/>
                <w:sz w:val="24"/>
                <w:szCs w:val="24"/>
                <w:highlight w:val="none"/>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桶装富硒水</w:t>
            </w:r>
          </w:p>
        </w:tc>
        <w:tc>
          <w:tcPr>
            <w:tcW w:w="3524" w:type="dxa"/>
            <w:noWrap w:val="0"/>
            <w:vAlign w:val="center"/>
          </w:tcPr>
          <w:p>
            <w:pPr>
              <w:keepNext w:val="0"/>
              <w:keepLines w:val="0"/>
              <w:widowControl/>
              <w:suppressLineNumbers w:val="0"/>
              <w:jc w:val="center"/>
              <w:textAlignment w:val="center"/>
              <w:rPr>
                <w:rFonts w:hint="eastAsia" w:ascii="仿宋" w:hAnsi="仿宋" w:eastAsia="仿宋" w:cs="仿宋"/>
                <w:b w:val="0"/>
                <w:bCs/>
                <w:color w:val="000000"/>
                <w:kern w:val="2"/>
                <w:sz w:val="24"/>
                <w:szCs w:val="24"/>
                <w:highlight w:val="none"/>
                <w:vertAlign w:val="baseli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箱（4.5L/桶*2）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color w:val="000000"/>
                <w:kern w:val="2"/>
                <w:sz w:val="24"/>
                <w:szCs w:val="24"/>
                <w:highlight w:val="none"/>
                <w:vertAlign w:val="baseline"/>
                <w:lang w:val="en-US" w:eastAsia="zh-CN" w:bidi="ar-SA"/>
              </w:rPr>
            </w:pPr>
            <w:r>
              <w:rPr>
                <w:rFonts w:hint="eastAsia" w:ascii="仿宋" w:hAnsi="仿宋" w:eastAsia="仿宋" w:cs="仿宋"/>
                <w:b w:val="0"/>
                <w:bCs/>
                <w:color w:val="000000"/>
                <w:kern w:val="2"/>
                <w:sz w:val="24"/>
                <w:szCs w:val="24"/>
                <w:highlight w:val="none"/>
                <w:vertAlign w:val="baseline"/>
                <w:lang w:val="en-US" w:eastAsia="zh-CN" w:bidi="ar-SA"/>
              </w:rPr>
              <w:t>6</w:t>
            </w:r>
          </w:p>
        </w:tc>
        <w:tc>
          <w:tcPr>
            <w:tcW w:w="3839" w:type="dxa"/>
            <w:noWrap w:val="0"/>
            <w:vAlign w:val="center"/>
          </w:tcPr>
          <w:p>
            <w:pPr>
              <w:keepNext w:val="0"/>
              <w:keepLines w:val="0"/>
              <w:widowControl/>
              <w:suppressLineNumbers w:val="0"/>
              <w:jc w:val="center"/>
              <w:textAlignment w:val="center"/>
              <w:rPr>
                <w:rFonts w:hint="eastAsia" w:ascii="仿宋" w:hAnsi="仿宋" w:eastAsia="仿宋" w:cs="仿宋"/>
                <w:b w:val="0"/>
                <w:bCs/>
                <w:color w:val="000000"/>
                <w:kern w:val="2"/>
                <w:sz w:val="24"/>
                <w:szCs w:val="24"/>
                <w:highlight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桶装天然泉水</w:t>
            </w:r>
          </w:p>
        </w:tc>
        <w:tc>
          <w:tcPr>
            <w:tcW w:w="3524" w:type="dxa"/>
            <w:noWrap w:val="0"/>
            <w:vAlign w:val="center"/>
          </w:tcPr>
          <w:p>
            <w:pPr>
              <w:keepNext w:val="0"/>
              <w:keepLines w:val="0"/>
              <w:widowControl/>
              <w:suppressLineNumbers w:val="0"/>
              <w:jc w:val="center"/>
              <w:textAlignment w:val="center"/>
              <w:rPr>
                <w:rFonts w:hint="eastAsia" w:ascii="仿宋" w:hAnsi="仿宋" w:eastAsia="仿宋" w:cs="仿宋"/>
                <w:b w:val="0"/>
                <w:bCs/>
                <w:color w:val="000000"/>
                <w:kern w:val="2"/>
                <w:sz w:val="24"/>
                <w:szCs w:val="24"/>
                <w:highlight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箱（16.8L/桶*2）</w:t>
            </w:r>
          </w:p>
        </w:tc>
      </w:tr>
    </w:tbl>
    <w:p>
      <w:pPr>
        <w:rPr>
          <w:rFonts w:hint="eastAsia" w:ascii="仿宋" w:hAnsi="仿宋" w:eastAsia="仿宋" w:cs="仿宋"/>
          <w:b/>
          <w:color w:val="000000"/>
          <w:kern w:val="2"/>
          <w:sz w:val="24"/>
          <w:szCs w:val="24"/>
          <w:highlight w:val="none"/>
          <w:lang w:val="en-US" w:eastAsia="zh-CN" w:bidi="ar-SA"/>
        </w:rPr>
      </w:pPr>
    </w:p>
    <w:p>
      <w:pPr>
        <w:numPr>
          <w:ilvl w:val="0"/>
          <w:numId w:val="0"/>
        </w:numPr>
        <w:spacing w:line="360" w:lineRule="auto"/>
        <w:ind w:firstLine="498" w:firstLineChars="200"/>
        <w:rPr>
          <w:rFonts w:hint="default" w:ascii="仿宋" w:hAnsi="仿宋" w:eastAsia="仿宋" w:cs="仿宋"/>
          <w:b/>
          <w:bCs/>
          <w:color w:val="auto"/>
          <w:spacing w:val="4"/>
          <w:sz w:val="24"/>
          <w:szCs w:val="24"/>
          <w:lang w:val="en-US" w:eastAsia="zh-CN"/>
        </w:rPr>
      </w:pPr>
      <w:r>
        <w:rPr>
          <w:rFonts w:hint="eastAsia" w:ascii="仿宋" w:hAnsi="仿宋" w:eastAsia="仿宋" w:cs="仿宋"/>
          <w:b/>
          <w:bCs/>
          <w:color w:val="auto"/>
          <w:spacing w:val="4"/>
          <w:sz w:val="24"/>
          <w:szCs w:val="24"/>
          <w:lang w:val="en-US" w:eastAsia="zh-CN"/>
        </w:rPr>
        <w:t xml:space="preserve">四、服务要求       </w:t>
      </w:r>
    </w:p>
    <w:p>
      <w:pPr>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b/>
          <w:bCs/>
          <w:lang w:val="en-US" w:eastAsia="zh-CN"/>
        </w:rPr>
      </w:pPr>
      <w:r>
        <w:rPr>
          <w:rFonts w:hint="eastAsia" w:ascii="仿宋" w:hAnsi="仿宋" w:eastAsia="仿宋" w:cs="仿宋"/>
          <w:lang w:val="en-US" w:eastAsia="zh-CN"/>
        </w:rPr>
        <w:t>1、服务期内提供数台台式或立式温热水饮水机和饮用水桶（饮水机、周转水桶、瓶盖、热缩膜等包装材料须有国家相关部门颁发的产品合格证、相关安全和卫生要求，以及国家相应的产品质量标准，提供相关证明材料）。</w:t>
      </w:r>
    </w:p>
    <w:p>
      <w:pPr>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lang w:val="en-US" w:eastAsia="zh-CN"/>
        </w:rPr>
      </w:pPr>
      <w:r>
        <w:rPr>
          <w:rFonts w:hint="eastAsia" w:ascii="仿宋" w:hAnsi="仿宋" w:eastAsia="仿宋" w:cs="仿宋"/>
          <w:lang w:val="en-US" w:eastAsia="zh-CN"/>
        </w:rPr>
        <w:t>2、有供水单位的服务电话，服务须周到迅速。自接到电话1小时内须按时按量及时送水到采购人指定地点。节假日正常供水，不另行收费。免费配送至采购人指定地点，一定周期内提供免费清洗服务。免费维修、更换饮水设备，有具体的售后要求。</w:t>
      </w:r>
    </w:p>
    <w:p>
      <w:pPr>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lang w:val="en-US" w:eastAsia="zh-CN"/>
        </w:rPr>
      </w:pPr>
      <w:r>
        <w:rPr>
          <w:rFonts w:hint="eastAsia" w:ascii="仿宋" w:hAnsi="仿宋" w:eastAsia="仿宋" w:cs="仿宋"/>
          <w:lang w:val="en-US" w:eastAsia="zh-CN"/>
        </w:rPr>
        <w:t>3、供水报价：服务期间不得改变价格</w:t>
      </w:r>
    </w:p>
    <w:p>
      <w:pPr>
        <w:pStyle w:val="10"/>
        <w:keepNext w:val="0"/>
        <w:keepLines w:val="0"/>
        <w:pageBreakBefore w:val="0"/>
        <w:widowControl/>
        <w:kinsoku/>
        <w:wordWrap/>
        <w:overflowPunct/>
        <w:topLinePunct w:val="0"/>
        <w:autoSpaceDE/>
        <w:autoSpaceDN/>
        <w:bidi w:val="0"/>
        <w:adjustRightInd/>
        <w:snapToGrid/>
        <w:spacing w:before="0" w:beforeAutospacing="0" w:after="360" w:afterAutospacing="0" w:line="360" w:lineRule="auto"/>
        <w:textAlignment w:val="auto"/>
        <w:rPr>
          <w:rFonts w:hint="eastAsia" w:ascii="仿宋" w:hAnsi="仿宋" w:eastAsia="仿宋" w:cs="仿宋"/>
          <w:b/>
          <w:bCs/>
          <w:color w:val="000000"/>
        </w:rPr>
      </w:pPr>
      <w:r>
        <w:rPr>
          <w:rFonts w:hint="eastAsia" w:ascii="仿宋" w:hAnsi="仿宋" w:eastAsia="仿宋" w:cs="仿宋"/>
          <w:b/>
          <w:bCs/>
          <w:color w:val="000000"/>
        </w:rPr>
        <w:br w:type="page"/>
      </w:r>
      <w:r>
        <w:rPr>
          <w:rFonts w:hint="eastAsia" w:ascii="仿宋" w:hAnsi="仿宋" w:eastAsia="仿宋" w:cs="仿宋"/>
          <w:b/>
          <w:bCs/>
          <w:color w:val="000000"/>
        </w:rPr>
        <w:t>附：《食品安全国家标准 包装饮用水》(GB19298-2014)</w:t>
      </w:r>
    </w:p>
    <w:p>
      <w:pPr>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ascii="仿宋" w:hAnsi="仿宋" w:eastAsia="仿宋" w:cs="仿宋"/>
          <w:b/>
          <w:bCs/>
          <w:lang w:val="en-US" w:eastAsia="zh-CN"/>
        </w:rPr>
      </w:pPr>
      <w:r>
        <w:rPr>
          <w:rFonts w:hint="eastAsia" w:ascii="仿宋" w:hAnsi="仿宋" w:eastAsia="仿宋" w:cs="仿宋"/>
          <w:b/>
          <w:bCs/>
          <w:lang w:val="en-US" w:eastAsia="zh-CN"/>
        </w:rPr>
        <w:t>一、制定情况</w:t>
      </w:r>
    </w:p>
    <w:p>
      <w:pPr>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lang w:val="en-US" w:eastAsia="zh-CN"/>
        </w:rPr>
      </w:pPr>
      <w:r>
        <w:rPr>
          <w:rFonts w:hint="eastAsia" w:ascii="仿宋" w:hAnsi="仿宋" w:eastAsia="仿宋" w:cs="仿宋"/>
          <w:lang w:val="en-US" w:eastAsia="zh-CN"/>
        </w:rPr>
        <w:t>该标准由国家卫生计生委于2014年12月24日批准发布，自2015年5月24日起实施，标准中对包装饮用水的标签标识要求(4.1和4.2)自2016年1月1日起实施。</w:t>
      </w:r>
    </w:p>
    <w:p>
      <w:pPr>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ascii="仿宋" w:hAnsi="仿宋" w:eastAsia="仿宋" w:cs="仿宋"/>
          <w:b/>
          <w:bCs/>
          <w:lang w:val="en-US" w:eastAsia="zh-CN"/>
        </w:rPr>
      </w:pPr>
      <w:r>
        <w:rPr>
          <w:rFonts w:hint="eastAsia" w:ascii="仿宋" w:hAnsi="仿宋" w:eastAsia="仿宋" w:cs="仿宋"/>
          <w:b/>
          <w:bCs/>
          <w:lang w:val="en-US" w:eastAsia="zh-CN"/>
        </w:rPr>
        <w:t>二、关于标准适用范围</w:t>
      </w:r>
    </w:p>
    <w:p>
      <w:pPr>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lang w:val="en-US" w:eastAsia="zh-CN"/>
        </w:rPr>
      </w:pPr>
      <w:r>
        <w:rPr>
          <w:rFonts w:hint="eastAsia" w:ascii="仿宋" w:hAnsi="仿宋" w:eastAsia="仿宋" w:cs="仿宋"/>
          <w:lang w:val="en-US" w:eastAsia="zh-CN"/>
        </w:rPr>
        <w:t>本标准适用于直接饮用的包装饮用水，即:密封于符合食品安全标准和相关规定的包装容器中，可供直接饮用的水，不适用于饮用天然矿泉水。天然矿泉水将另行修订《食品安全国家标准饮用天然矿泉水》(GB 8537)。</w:t>
      </w:r>
    </w:p>
    <w:p>
      <w:pPr>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ascii="仿宋" w:hAnsi="仿宋" w:eastAsia="仿宋" w:cs="仿宋"/>
          <w:b/>
          <w:bCs/>
          <w:lang w:val="en-US" w:eastAsia="zh-CN"/>
        </w:rPr>
      </w:pPr>
      <w:r>
        <w:rPr>
          <w:rFonts w:hint="eastAsia" w:ascii="仿宋" w:hAnsi="仿宋" w:eastAsia="仿宋" w:cs="仿宋"/>
          <w:b/>
          <w:bCs/>
          <w:lang w:val="en-US" w:eastAsia="zh-CN"/>
        </w:rPr>
        <w:t>三、关于原料要求</w:t>
      </w:r>
    </w:p>
    <w:p>
      <w:pPr>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lang w:val="en-US" w:eastAsia="zh-CN"/>
        </w:rPr>
      </w:pPr>
      <w:r>
        <w:rPr>
          <w:rFonts w:hint="eastAsia" w:ascii="仿宋" w:hAnsi="仿宋" w:eastAsia="仿宋" w:cs="仿宋"/>
          <w:lang w:val="en-US" w:eastAsia="zh-CN"/>
        </w:rPr>
        <w:t>包装饮用水的原料有两种主要来源:一是公共供水系统，二是非公共供水系统的水源。非公共供水系统的水源又可分为地表水和地下水。</w:t>
      </w:r>
    </w:p>
    <w:p>
      <w:pPr>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lang w:val="en-US" w:eastAsia="zh-CN"/>
        </w:rPr>
      </w:pPr>
      <w:r>
        <w:rPr>
          <w:rFonts w:hint="eastAsia" w:ascii="仿宋" w:hAnsi="仿宋" w:eastAsia="仿宋" w:cs="仿宋"/>
          <w:lang w:val="en-US" w:eastAsia="zh-CN"/>
        </w:rPr>
        <w:t>来自于公共供水系统的水源，应符合《生活饮用水卫生标准》(GB 5749)的要求。</w:t>
      </w:r>
    </w:p>
    <w:p>
      <w:pPr>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lang w:val="en-US" w:eastAsia="zh-CN"/>
        </w:rPr>
      </w:pPr>
      <w:r>
        <w:rPr>
          <w:rFonts w:hint="eastAsia" w:ascii="仿宋" w:hAnsi="仿宋" w:eastAsia="仿宋" w:cs="仿宋"/>
          <w:lang w:val="en-US" w:eastAsia="zh-CN"/>
        </w:rPr>
        <w:t>来自于非公共供水系统的水源，应分别符合GB 5749中对生活饮用水水源水质卫生的要求，即:采用地表水为水源时应符合《地表水环境质量标准》(GB 3838)的要求，采用地下水为水源时应符合《地下水质量标准》(GB/T 14848)要求。这些非公共供水系统的源水经处理后，其水质应达到GB 5749的要求，再进入生产包装饮用水的后续加工工序。由于非公共供水系统的源水经处理后，pH值一般不会发生变化，食品加工用水可以参照《地表水环境质量标准》(GB 3838)或《地下水质量标准》(GB/T 14848)的pH值执行。</w:t>
      </w:r>
    </w:p>
    <w:p>
      <w:pPr>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ascii="仿宋" w:hAnsi="仿宋" w:eastAsia="仿宋" w:cs="仿宋"/>
          <w:b/>
          <w:bCs/>
          <w:lang w:val="en-US" w:eastAsia="zh-CN"/>
        </w:rPr>
      </w:pPr>
      <w:r>
        <w:rPr>
          <w:rFonts w:hint="eastAsia" w:ascii="仿宋" w:hAnsi="仿宋" w:eastAsia="仿宋" w:cs="仿宋"/>
          <w:b/>
          <w:bCs/>
          <w:lang w:val="en-US" w:eastAsia="zh-CN"/>
        </w:rPr>
        <w:t>四、关于“添加食品添加剂用于调节口味”的标识规定</w:t>
      </w:r>
    </w:p>
    <w:p>
      <w:pPr>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lang w:val="en-US" w:eastAsia="zh-CN"/>
        </w:rPr>
      </w:pPr>
      <w:r>
        <w:rPr>
          <w:rFonts w:hint="eastAsia" w:ascii="仿宋" w:hAnsi="仿宋" w:eastAsia="仿宋" w:cs="仿宋"/>
          <w:lang w:val="en-US" w:eastAsia="zh-CN"/>
        </w:rPr>
        <w:t>根据《食品安全国家标准 食品添加剂使用标准》(GB2760-2014)，当添加使用硫酸镁、硫酸锌、氯化钙、氯化钾等食品添加剂用于调节口味时，需在产品名称的邻近位置标示“添加食品添加剂用于调节口味”等类似字样。对仅使用加工助剂(如氮气)的，按照《食品安全国家标准预包装食品标签通则》(GB7718-2011)规定，可不标示加工助剂，也不需标识“添加食品添加剂用于调节口味”等类似字样。</w:t>
      </w:r>
    </w:p>
    <w:p>
      <w:pPr>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ascii="仿宋" w:hAnsi="仿宋" w:eastAsia="仿宋" w:cs="仿宋"/>
          <w:b/>
          <w:bCs/>
          <w:lang w:val="en-US" w:eastAsia="zh-CN"/>
        </w:rPr>
      </w:pPr>
      <w:r>
        <w:rPr>
          <w:rFonts w:hint="eastAsia" w:ascii="仿宋" w:hAnsi="仿宋" w:eastAsia="仿宋" w:cs="仿宋"/>
          <w:b/>
          <w:bCs/>
          <w:lang w:val="en-US" w:eastAsia="zh-CN"/>
        </w:rPr>
        <w:t>五、关于包装饮用水的名称</w:t>
      </w:r>
    </w:p>
    <w:p>
      <w:pPr>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lang w:val="en-US" w:eastAsia="zh-CN"/>
        </w:rPr>
      </w:pPr>
      <w:r>
        <w:rPr>
          <w:rFonts w:hint="eastAsia" w:ascii="仿宋" w:hAnsi="仿宋" w:eastAsia="仿宋" w:cs="仿宋"/>
          <w:lang w:val="en-US" w:eastAsia="zh-CN"/>
        </w:rPr>
        <w:t>包装饮用水的名称应当真实、科学，不得以水以外的一种或若干种成分来命名包装饮用水。包装饮用水的标签标识应符合《食品安全国家标准预包装食品包装通则》(GB 7718)的规定，应清晰、醒目、持久，使消费者购买时易于辨认和识读。包装饮用水的产品名称不得标注“活化水”、“小分子团水”、“功能水”、“能量水”以及其他不科学的内容。</w:t>
      </w:r>
    </w:p>
    <w:p>
      <w:pPr>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ascii="仿宋" w:hAnsi="仿宋" w:eastAsia="仿宋" w:cs="仿宋"/>
          <w:b/>
          <w:bCs/>
          <w:lang w:val="en-US" w:eastAsia="zh-CN"/>
        </w:rPr>
      </w:pPr>
      <w:r>
        <w:rPr>
          <w:rFonts w:hint="eastAsia" w:ascii="仿宋" w:hAnsi="仿宋" w:eastAsia="仿宋" w:cs="仿宋"/>
          <w:b/>
          <w:bCs/>
          <w:lang w:val="en-US" w:eastAsia="zh-CN"/>
        </w:rPr>
        <w:t>六、关于微生物指标</w:t>
      </w:r>
    </w:p>
    <w:p>
      <w:pPr>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lang w:val="en-US" w:eastAsia="zh-CN"/>
        </w:rPr>
      </w:pPr>
      <w:r>
        <w:rPr>
          <w:rFonts w:hint="eastAsia" w:ascii="仿宋" w:hAnsi="仿宋" w:eastAsia="仿宋" w:cs="仿宋"/>
          <w:lang w:val="en-US" w:eastAsia="zh-CN"/>
        </w:rPr>
        <w:t>本标准保留了大肠菌群指标，新增了铜绿假单胞菌指标，不再保留菌落总数、霉菌和酵母计数、金黄色葡萄球菌、沙门氏菌及志贺氏菌指标。</w:t>
      </w:r>
    </w:p>
    <w:p>
      <w:pPr>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lang w:val="en-US" w:eastAsia="zh-CN"/>
        </w:rPr>
      </w:pPr>
      <w:r>
        <w:rPr>
          <w:rFonts w:hint="eastAsia" w:ascii="仿宋" w:hAnsi="仿宋" w:eastAsia="仿宋" w:cs="仿宋"/>
          <w:lang w:val="en-US" w:eastAsia="zh-CN"/>
        </w:rPr>
        <w:t>菌落总数、霉菌、酵母属于卫生指示菌，一般情况下不会影响公众健康，而过度控制卫生指示菌和杀菌可能导致饮用水中溴酸盐含量升高，构成健康风险。</w:t>
      </w:r>
    </w:p>
    <w:p>
      <w:pPr>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lang w:val="en-US" w:eastAsia="zh-CN"/>
        </w:rPr>
      </w:pPr>
      <w:r>
        <w:rPr>
          <w:rFonts w:hint="eastAsia" w:ascii="仿宋" w:hAnsi="仿宋" w:eastAsia="仿宋" w:cs="仿宋"/>
          <w:lang w:val="en-US" w:eastAsia="zh-CN"/>
        </w:rPr>
        <w:t>目前，国际食品法典委员会(CAC)、国际食品微生物标准委员会(ICMSF)、国际瓶装水协会(IBWA)、美国、澳大利亚和欧盟等相关标准法规中，未对包装饮用水设立卫生指示菌指标。我委正在组织起草《食品安全国家标准 包装饮用水生产卫生规范》，将通过生产加工过程控制，加强对卫生指示菌的监测和管理。因此，本标准不再保留上述指标。</w:t>
      </w:r>
    </w:p>
    <w:p>
      <w:pPr>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lang w:val="en-US" w:eastAsia="zh-CN"/>
        </w:rPr>
      </w:pPr>
      <w:r>
        <w:rPr>
          <w:rFonts w:hint="eastAsia" w:ascii="仿宋" w:hAnsi="仿宋" w:eastAsia="仿宋" w:cs="仿宋"/>
          <w:lang w:val="en-US" w:eastAsia="zh-CN"/>
        </w:rPr>
        <w:t>依据饮用水检测结果和CAC、ICMSF及我国相关标准，本标准保留了大肠菌群指标，增加了条件致病菌--铜绿假单胞菌(又称绿脓杆菌)指标。由于国际上没有饮用水中金黄色葡萄球菌、沙门氏菌及志贺氏菌指标，且尚无充分科学依据，本标准不再保留。</w:t>
      </w:r>
    </w:p>
    <w:p>
      <w:pPr>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ascii="仿宋" w:hAnsi="仿宋" w:eastAsia="仿宋" w:cs="仿宋"/>
          <w:b/>
          <w:bCs/>
          <w:lang w:val="en-US" w:eastAsia="zh-CN"/>
        </w:rPr>
      </w:pPr>
      <w:r>
        <w:rPr>
          <w:rFonts w:hint="eastAsia" w:ascii="仿宋" w:hAnsi="仿宋" w:eastAsia="仿宋" w:cs="仿宋"/>
          <w:b/>
          <w:bCs/>
          <w:lang w:val="en-US" w:eastAsia="zh-CN"/>
        </w:rPr>
        <w:t>七、关于标签标识的实施</w:t>
      </w:r>
    </w:p>
    <w:p>
      <w:pPr>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仿宋" w:hAnsi="仿宋" w:eastAsia="仿宋" w:cs="仿宋"/>
          <w:lang w:val="en-US" w:eastAsia="zh-CN"/>
        </w:rPr>
      </w:pPr>
      <w:r>
        <w:rPr>
          <w:rFonts w:hint="eastAsia" w:ascii="仿宋" w:hAnsi="仿宋" w:eastAsia="仿宋" w:cs="仿宋"/>
          <w:lang w:val="en-US" w:eastAsia="zh-CN"/>
        </w:rPr>
        <w:t>本标准对包装饮用水的标签标识要求(4.1和4.2)自2016年1月1日起实施。2016年1月1日以后生产的包装饮用水的标签标识应当符合《食品安全国家标准包装饮用水》(GB19298-2014)要求，在此以前生产的包装饮用水可以继续销售至保质期为止。</w:t>
      </w:r>
    </w:p>
    <w:p>
      <w:pPr>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ascii="仿宋" w:hAnsi="仿宋" w:eastAsia="仿宋" w:cs="仿宋"/>
          <w:b/>
          <w:bCs/>
          <w:lang w:val="en-US" w:eastAsia="zh-CN"/>
        </w:rPr>
      </w:pPr>
      <w:r>
        <w:rPr>
          <w:rFonts w:hint="eastAsia" w:ascii="仿宋" w:hAnsi="仿宋" w:eastAsia="仿宋" w:cs="仿宋"/>
          <w:b/>
          <w:bCs/>
          <w:lang w:val="en-US" w:eastAsia="zh-CN"/>
        </w:rPr>
        <w:t>八、关于桶装水的周转桶的标签</w:t>
      </w:r>
    </w:p>
    <w:p>
      <w:pPr>
        <w:rPr>
          <w:rFonts w:hint="default"/>
          <w:lang w:val="en-US" w:eastAsia="zh-CN"/>
        </w:rPr>
      </w:pPr>
      <w:r>
        <w:rPr>
          <w:rFonts w:hint="eastAsia" w:ascii="仿宋" w:hAnsi="仿宋" w:eastAsia="仿宋" w:cs="仿宋"/>
          <w:lang w:val="en-US" w:eastAsia="zh-CN"/>
        </w:rPr>
        <w:t>自2016年1月1日起，桶装水周转桶的标签应符合本标准的规定。对于将不符合本标准规定的产品名称直接注塑凸印或漆印在桶身上的周转桶，对名称进行更正(如通过桶口套标的方式)后允许使用至2016年12月31日，并在产品保质期内销售。</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yYzgyZjY0NWUxMzEyZGY2NDc2YWM5ZTQxZjAyODYifQ=="/>
  </w:docVars>
  <w:rsids>
    <w:rsidRoot w:val="00000000"/>
    <w:rsid w:val="260465C2"/>
    <w:rsid w:val="42340D8E"/>
    <w:rsid w:val="5BAA657D"/>
    <w:rsid w:val="602D349C"/>
    <w:rsid w:val="6427662C"/>
    <w:rsid w:val="73ED2CB3"/>
    <w:rsid w:val="760E6F1C"/>
    <w:rsid w:val="7C275681"/>
    <w:rsid w:val="7C465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jc w:val="center"/>
      <w:outlineLvl w:val="0"/>
    </w:pPr>
    <w:rPr>
      <w:rFonts w:ascii="Calibri" w:hAnsi="Calibri" w:eastAsia="宋体" w:cs="Times New Roman"/>
      <w:b/>
      <w:kern w:val="44"/>
      <w:sz w:val="36"/>
    </w:rPr>
  </w:style>
  <w:style w:type="paragraph" w:styleId="5">
    <w:name w:val="heading 2"/>
    <w:basedOn w:val="1"/>
    <w:next w:val="1"/>
    <w:qFormat/>
    <w:uiPriority w:val="9"/>
    <w:pPr>
      <w:keepNext/>
      <w:keepLines/>
      <w:widowControl/>
      <w:spacing w:before="260" w:beforeLines="0" w:after="260" w:afterLines="0"/>
      <w:ind w:left="284"/>
      <w:jc w:val="left"/>
      <w:outlineLvl w:val="1"/>
    </w:pPr>
    <w:rPr>
      <w:rFonts w:ascii="Arial" w:hAnsi="Arial"/>
      <w:b/>
      <w:bCs/>
      <w:sz w:val="28"/>
      <w:szCs w:val="32"/>
    </w:rPr>
  </w:style>
  <w:style w:type="paragraph" w:styleId="6">
    <w:name w:val="heading 3"/>
    <w:basedOn w:val="1"/>
    <w:next w:val="1"/>
    <w:qFormat/>
    <w:uiPriority w:val="0"/>
    <w:pPr>
      <w:keepNext/>
      <w:keepLines/>
      <w:spacing w:before="120" w:beforeLines="0" w:after="120" w:afterLines="0" w:line="360" w:lineRule="auto"/>
      <w:ind w:firstLine="200" w:firstLineChars="200"/>
      <w:outlineLvl w:val="2"/>
    </w:pPr>
    <w:rPr>
      <w:rFonts w:eastAsia="黑体"/>
      <w:b/>
      <w:bCs/>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spacing w:line="300" w:lineRule="auto"/>
      <w:ind w:firstLine="420" w:firstLineChars="200"/>
    </w:pPr>
    <w:rPr>
      <w:rFonts w:ascii="Times New Roman"/>
      <w:kern w:val="2"/>
      <w:sz w:val="21"/>
      <w:szCs w:val="24"/>
    </w:rPr>
  </w:style>
  <w:style w:type="paragraph" w:styleId="3">
    <w:name w:val="toc 4"/>
    <w:basedOn w:val="1"/>
    <w:next w:val="1"/>
    <w:unhideWhenUsed/>
    <w:qFormat/>
    <w:uiPriority w:val="39"/>
    <w:pPr>
      <w:ind w:left="1260" w:leftChars="600"/>
    </w:pPr>
  </w:style>
  <w:style w:type="paragraph" w:styleId="7">
    <w:name w:val="annotation text"/>
    <w:basedOn w:val="1"/>
    <w:qFormat/>
    <w:uiPriority w:val="99"/>
    <w:pPr>
      <w:jc w:val="left"/>
    </w:pPr>
    <w:rPr>
      <w:rFonts w:ascii="Times New Roman"/>
      <w:kern w:val="2"/>
      <w:sz w:val="21"/>
      <w:szCs w:val="24"/>
    </w:rPr>
  </w:style>
  <w:style w:type="paragraph" w:styleId="8">
    <w:name w:val="Body Text"/>
    <w:basedOn w:val="1"/>
    <w:next w:val="1"/>
    <w:qFormat/>
    <w:uiPriority w:val="0"/>
    <w:pPr>
      <w:spacing w:after="120" w:afterLines="0"/>
    </w:pPr>
    <w:rPr>
      <w:rFonts w:ascii="Times New Roman"/>
      <w:kern w:val="2"/>
      <w:sz w:val="21"/>
    </w:rPr>
  </w:style>
  <w:style w:type="paragraph" w:styleId="9">
    <w:name w:val="Plain Text"/>
    <w:basedOn w:val="1"/>
    <w:qFormat/>
    <w:uiPriority w:val="0"/>
    <w:rPr>
      <w:rFonts w:hAnsi="Courier New"/>
      <w:kern w:val="2"/>
      <w:sz w:val="21"/>
    </w:rPr>
  </w:style>
  <w:style w:type="paragraph" w:styleId="10">
    <w:name w:val="Normal (Web)"/>
    <w:basedOn w:val="1"/>
    <w:qFormat/>
    <w:uiPriority w:val="0"/>
    <w:pPr>
      <w:widowControl/>
      <w:spacing w:before="100" w:beforeLines="0" w:beforeAutospacing="1" w:after="100" w:afterLines="0" w:afterAutospacing="1"/>
      <w:jc w:val="left"/>
    </w:pPr>
    <w:rPr>
      <w:rFonts w:ascii="宋体" w:hAnsi="宋体"/>
      <w:kern w:val="0"/>
      <w:sz w:val="24"/>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2288</Words>
  <Characters>2383</Characters>
  <Lines>0</Lines>
  <Paragraphs>0</Paragraphs>
  <TotalTime>0</TotalTime>
  <ScaleCrop>false</ScaleCrop>
  <LinksUpToDate>false</LinksUpToDate>
  <CharactersWithSpaces>2389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2023-04-10T06:31:00Z</dcterms:created>
  <dc:creator>Administrator</dc:creator>
  <cp:lastModifiedBy>Legion</cp:lastModifiedBy>
  <dcterms:modified xsi:type="dcterms:W3CDTF">2023-06-06T08:45:26Z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61787B3AE01A4CB996D6C7E21CC30AF9_12</vt:lpwstr>
  </property>
</Properties>
</file>