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hint="eastAsia" w:ascii="宋体" w:hAnsi="宋体"/>
          <w:b/>
          <w:bCs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highlight w:val="none"/>
          <w:lang w:val="zh-CN" w:eastAsia="zh-CN" w:bidi="ar-SA"/>
        </w:rPr>
        <w:t>采购</w:t>
      </w:r>
      <w:r>
        <w:rPr>
          <w:rFonts w:hint="eastAsia" w:ascii="宋体" w:hAnsi="宋体" w:cs="宋体"/>
          <w:b/>
          <w:bCs/>
          <w:kern w:val="2"/>
          <w:sz w:val="32"/>
          <w:szCs w:val="32"/>
          <w:highlight w:val="none"/>
          <w:lang w:val="en-US" w:eastAsia="zh-CN" w:bidi="ar-SA"/>
        </w:rPr>
        <w:t>需求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为提升园区人气、丰富辖区市民精神文化生活,助力夜经济发展和南北绿廊项目开业预热，拟于7月下旬在南北绿廊组织开展一场市民文化节活动，向社会、向企业、向市民呈现金湾科创区二期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Hans"/>
        </w:rPr>
        <w:t>南北绿廊及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金湾时代广场项目建设的效率与品质，展现区域教育、配套，为市民举办-场互动参与性强、趣味体验丰富的主题活动，丰富周边市民生活体验，打开南北绿廊投用全新界面。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bidi w:val="0"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highlight w:val="none"/>
          <w:lang w:val="en-US" w:eastAsia="zh-CN"/>
        </w:rPr>
        <w:t>服务内容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第一部分：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市民文化节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/>
        </w:rPr>
        <w:t>系列活动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整体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策划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活动整体策划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设计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及方案撰写，活动主题策划，全程活动策划、活动内容设计、活动动线设计、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活动装置设计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整体活动进度推进与工作排期。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策划内容包括但不限于：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前宣地推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礼品派发不少于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份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地下商业街区与地上草坪区域联动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打卡活动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不少于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、开放剪彩仪式、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一万平方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夏日露营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区域互动装置填充不少于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项互动装置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创意活动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亲子活动、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不低于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幅艺术作品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展览展出、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地下商业街区与地上草坪区域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活动氛围营造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dp点不少于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活动相关物料画面规划与设计，氛围活动设计等所有活动相关的策划与设计，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总体策划方案符合采购内容要求，思路清晰、内容详实、活动丰富、执行力强，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活动形式及内容需丰富多样，符合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西咸新区丝路经济带能源金融贸易区管理办公室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要求，贴合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政府公益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形象，突显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热闹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氛围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和现代品味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第二部分：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市民文化节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/>
        </w:rPr>
        <w:t>系列活动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的执行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落地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活动整体把控，包括主活动环节、整体氛围营造及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其它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互动环节的统筹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活动内容的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监控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进度把控及调性把控。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落地执行，活动流程及环节的制定，活动中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乐队歌手邀请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，活动相关物料的制作与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舞台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搭建，活动所需互动装置、美陈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布置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以及活动现场人力配备，场外人力配备及相关杂项等。启动仪式现场布置，活动外围氛围布置符合主题，具有美感，考虑启动仪式形式的整体协调性。启动仪式流程规划合理、环节清楚、内容丰富、主题突出。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安全保障，确保活动现场人员、活动参与人员的安全保障，活动秩序维护及突发情况应急保障。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TW" w:eastAsia="zh-TW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TW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TW" w:eastAsia="zh-TW"/>
        </w:rPr>
        <w:t>活动中应保证其策划设计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内容、制作成果、品牌权益等未侵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TW" w:eastAsia="zh-TW"/>
        </w:rPr>
        <w:t>犯第三方合法权益，内容未违反法律法规规定。 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TW" w:eastAsia="zh-TW"/>
        </w:rPr>
        <w:t>第三部分：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市民文化节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/>
        </w:rPr>
        <w:t>系列活动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TW" w:eastAsia="zh-TW"/>
        </w:rPr>
        <w:t>的宣传推广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活动前期预热和宣传推广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前期主题地推活动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活动期间画面拍摄和后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期宣传推广，搭建图片直播和视频直播平台，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地推部分含摄影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位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Hans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摄像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位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活动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现场配备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位航拍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Hans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位摄像师和2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位摄像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及云直播平台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，并提供活动视频拍摄和剪辑，包括设计制作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地推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视频和精彩花絮视频。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注：以上三部分内容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主要涉及南北绿廊地下空间和地上空间，同时包括金融一路和东岭绿地，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最终以采购人确定地点为准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bidi w:val="0"/>
        <w:spacing w:line="560" w:lineRule="exact"/>
        <w:ind w:left="0" w:leftChars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highlight w:val="none"/>
          <w:lang w:val="zh-TW" w:eastAsia="zh-CN"/>
        </w:rPr>
        <w:t>活动安排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活动时间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自合同签订之日起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45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Hans"/>
        </w:rPr>
        <w:t>个自然日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Hans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TW"/>
        </w:rPr>
        <w:t>（最终以采购人确定的时间为准）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topLinePunct w:val="0"/>
        <w:autoSpaceDE/>
        <w:bidi w:val="0"/>
        <w:adjustRightInd w:val="0"/>
        <w:snapToGrid w:val="0"/>
        <w:spacing w:line="560" w:lineRule="exact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活动地点：金湾科创区二期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Hans"/>
        </w:rPr>
        <w:t>南北绿廊及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zh-TW" w:eastAsia="zh-TW"/>
        </w:rPr>
        <w:t>金湾时代广场及周边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0149C"/>
    <w:multiLevelType w:val="singleLevel"/>
    <w:tmpl w:val="921014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YjQxZmY4MWQ0ZWY2YTZhOTY1MTMyMDgzMmE0NmEifQ=="/>
  </w:docVars>
  <w:rsids>
    <w:rsidRoot w:val="23D4340D"/>
    <w:rsid w:val="23D4340D"/>
    <w:rsid w:val="4D2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1054</Words>
  <Characters>1074</Characters>
  <Lines>0</Lines>
  <Paragraphs>0</Paragraphs>
  <TotalTime>0</TotalTime>
  <ScaleCrop>false</ScaleCrop>
  <LinksUpToDate>false</LinksUpToDate>
  <CharactersWithSpaces>1075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2023-07-12T11:45:00Z</dcterms:created>
  <dc:creator>123</dc:creator>
  <cp:lastModifiedBy>123</cp:lastModifiedBy>
  <dcterms:modified xsi:type="dcterms:W3CDTF">2023-07-13T06:50:18Z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C2A7EC410D0542A0A9BF00E9EA3E3D0E_11</vt:lpwstr>
  </property>
</Properties>
</file>