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1"/>
        </w:numPr>
        <w:spacing w:before="0" w:after="0"/>
        <w:jc w:val="center"/>
        <w:rPr>
          <w:rFonts w:hint="eastAsia" w:ascii="宋体" w:hAnsi="宋体" w:eastAsia="宋体"/>
          <w:sz w:val="44"/>
          <w:szCs w:val="44"/>
        </w:rPr>
      </w:pPr>
      <w:r>
        <w:rPr>
          <w:rFonts w:hint="eastAsia" w:ascii="宋体" w:hAnsi="宋体" w:eastAsia="宋体"/>
          <w:sz w:val="44"/>
          <w:szCs w:val="44"/>
        </w:rPr>
        <w:t>采购需求</w:t>
      </w:r>
    </w:p>
    <w:p>
      <w:pPr>
        <w:pStyle w:val="3"/>
        <w:numPr>
          <w:ilvl w:val="0"/>
          <w:numId w:val="0"/>
        </w:numPr>
        <w:rPr>
          <w:rFonts w:hint="eastAsia"/>
        </w:rPr>
      </w:pPr>
    </w:p>
    <w:p>
      <w:pPr>
        <w:numPr>
          <w:ilvl w:val="0"/>
          <w:numId w:val="2"/>
        </w:numPr>
        <w:spacing w:line="360" w:lineRule="auto"/>
        <w:ind w:firstLine="422" w:firstLineChars="200"/>
        <w:rPr>
          <w:rFonts w:hint="eastAsia" w:ascii="宋体" w:hAnsi="宋体" w:cs="宋体"/>
          <w:sz w:val="21"/>
          <w:szCs w:val="21"/>
        </w:rPr>
      </w:pPr>
      <w:r>
        <w:rPr>
          <w:rFonts w:hint="eastAsia" w:ascii="宋体" w:hAnsi="宋体" w:cs="宋体"/>
          <w:b/>
          <w:bCs/>
          <w:sz w:val="21"/>
          <w:szCs w:val="21"/>
        </w:rPr>
        <w:t>项目名称：</w:t>
      </w:r>
      <w:r>
        <w:rPr>
          <w:rFonts w:hint="eastAsia" w:ascii="宋体" w:hAnsi="宋体" w:cs="宋体"/>
          <w:b/>
          <w:bCs/>
          <w:sz w:val="21"/>
          <w:szCs w:val="21"/>
          <w:lang w:val="en-US" w:eastAsia="zh-CN"/>
        </w:rPr>
        <w:t>陕西省西咸新区沣河综合治理Ⅱ期（西汉高速-G310国道段）PPP项目结算审核</w:t>
      </w:r>
      <w:r>
        <w:rPr>
          <w:rFonts w:hint="eastAsia" w:ascii="宋体" w:hAnsi="宋体" w:cs="宋体"/>
          <w:sz w:val="21"/>
          <w:szCs w:val="21"/>
        </w:rPr>
        <w:t xml:space="preserve"> </w:t>
      </w:r>
    </w:p>
    <w:p>
      <w:pPr>
        <w:spacing w:line="360" w:lineRule="auto"/>
        <w:ind w:firstLine="422" w:firstLineChars="200"/>
        <w:rPr>
          <w:rFonts w:hint="eastAsia" w:ascii="宋体" w:hAnsi="宋体" w:eastAsia="宋体" w:cs="宋体"/>
          <w:sz w:val="21"/>
          <w:szCs w:val="21"/>
          <w:highlight w:val="none"/>
        </w:rPr>
      </w:pPr>
      <w:r>
        <w:rPr>
          <w:rFonts w:hint="eastAsia" w:ascii="宋体" w:hAnsi="宋体" w:cs="宋体"/>
          <w:b/>
          <w:bCs/>
          <w:sz w:val="21"/>
          <w:szCs w:val="21"/>
          <w:highlight w:val="none"/>
        </w:rPr>
        <w:t>2</w:t>
      </w:r>
      <w:r>
        <w:rPr>
          <w:rFonts w:hint="eastAsia" w:ascii="宋体" w:hAnsi="宋体" w:eastAsia="宋体" w:cs="宋体"/>
          <w:b/>
          <w:bCs/>
          <w:sz w:val="21"/>
          <w:szCs w:val="21"/>
          <w:highlight w:val="none"/>
        </w:rPr>
        <w:t>、服务地点：</w:t>
      </w:r>
      <w:r>
        <w:rPr>
          <w:rFonts w:hint="eastAsia" w:ascii="宋体" w:hAnsi="宋体" w:eastAsia="宋体" w:cs="宋体"/>
          <w:sz w:val="21"/>
          <w:szCs w:val="21"/>
          <w:highlight w:val="none"/>
          <w:lang w:eastAsia="zh-CN"/>
        </w:rPr>
        <w:t>采购人指定地点</w:t>
      </w:r>
      <w:r>
        <w:rPr>
          <w:rFonts w:hint="eastAsia" w:ascii="宋体" w:hAnsi="宋体" w:eastAsia="宋体" w:cs="宋体"/>
          <w:sz w:val="21"/>
          <w:szCs w:val="21"/>
          <w:highlight w:val="none"/>
        </w:rPr>
        <w:t>。</w:t>
      </w:r>
    </w:p>
    <w:p>
      <w:pPr>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3、服务期：</w:t>
      </w:r>
      <w:r>
        <w:rPr>
          <w:rFonts w:hint="eastAsia" w:ascii="宋体" w:hAnsi="宋体" w:eastAsia="宋体" w:cs="宋体"/>
          <w:b w:val="0"/>
          <w:bCs/>
          <w:color w:val="auto"/>
          <w:sz w:val="21"/>
          <w:szCs w:val="21"/>
          <w:highlight w:val="none"/>
          <w:shd w:val="clear" w:color="auto" w:fill="FFFFFF"/>
          <w:lang w:val="en-US" w:eastAsia="zh-CN"/>
        </w:rPr>
        <w:t xml:space="preserve"> 自资料接收齐全1年。</w:t>
      </w:r>
    </w:p>
    <w:p>
      <w:pPr>
        <w:spacing w:line="360" w:lineRule="auto"/>
        <w:ind w:firstLine="422" w:firstLineChars="200"/>
        <w:rPr>
          <w:rFonts w:hint="eastAsia" w:ascii="宋体" w:hAnsi="宋体" w:eastAsia="宋体" w:cs="宋体"/>
          <w:sz w:val="21"/>
          <w:szCs w:val="21"/>
          <w:highlight w:val="none"/>
        </w:rPr>
      </w:pPr>
      <w:r>
        <w:rPr>
          <w:rFonts w:hint="eastAsia" w:ascii="宋体" w:hAnsi="宋体" w:eastAsia="宋体" w:cs="宋体"/>
          <w:b/>
          <w:bCs/>
          <w:sz w:val="21"/>
          <w:szCs w:val="21"/>
          <w:highlight w:val="none"/>
          <w:lang w:val="en-US" w:eastAsia="zh-CN"/>
        </w:rPr>
        <w:t>4</w:t>
      </w:r>
      <w:r>
        <w:rPr>
          <w:rFonts w:hint="eastAsia" w:ascii="宋体" w:hAnsi="宋体" w:eastAsia="宋体" w:cs="宋体"/>
          <w:b/>
          <w:bCs/>
          <w:sz w:val="21"/>
          <w:szCs w:val="21"/>
          <w:highlight w:val="none"/>
        </w:rPr>
        <w:t>、费率限价：</w:t>
      </w:r>
      <w:r>
        <w:rPr>
          <w:rFonts w:hint="eastAsia" w:ascii="宋体" w:hAnsi="宋体" w:eastAsia="宋体" w:cs="宋体"/>
          <w:b/>
          <w:bCs/>
          <w:sz w:val="21"/>
          <w:szCs w:val="21"/>
          <w:highlight w:val="none"/>
          <w:lang w:val="en-US" w:eastAsia="zh-CN"/>
        </w:rPr>
        <w:t>基本审核费率0.85‰；审核成果费率2.5%</w:t>
      </w:r>
      <w:r>
        <w:rPr>
          <w:rFonts w:hint="eastAsia" w:ascii="宋体" w:hAnsi="宋体" w:eastAsia="宋体" w:cs="宋体"/>
          <w:sz w:val="21"/>
          <w:szCs w:val="21"/>
          <w:highlight w:val="none"/>
        </w:rPr>
        <w:t xml:space="preserve">  </w:t>
      </w:r>
    </w:p>
    <w:p>
      <w:pPr>
        <w:spacing w:line="360" w:lineRule="auto"/>
        <w:ind w:firstLine="422" w:firstLineChars="200"/>
        <w:rPr>
          <w:rFonts w:hint="default" w:ascii="宋体" w:hAnsi="宋体" w:eastAsia="宋体" w:cs="宋体"/>
          <w:b/>
          <w:bCs/>
          <w:color w:val="000000"/>
          <w:sz w:val="21"/>
          <w:szCs w:val="21"/>
          <w:highlight w:val="none"/>
          <w:lang w:val="en-US" w:eastAsia="zh-CN"/>
        </w:rPr>
      </w:pPr>
      <w:r>
        <w:rPr>
          <w:rFonts w:hint="eastAsia" w:ascii="宋体" w:hAnsi="宋体" w:eastAsia="宋体" w:cs="宋体"/>
          <w:b/>
          <w:bCs/>
          <w:sz w:val="21"/>
          <w:szCs w:val="21"/>
          <w:highlight w:val="none"/>
          <w:lang w:val="en-US" w:eastAsia="zh-CN"/>
        </w:rPr>
        <w:t>5</w:t>
      </w:r>
      <w:r>
        <w:rPr>
          <w:rFonts w:hint="eastAsia" w:ascii="宋体" w:hAnsi="宋体" w:eastAsia="宋体" w:cs="宋体"/>
          <w:b/>
          <w:bCs/>
          <w:sz w:val="21"/>
          <w:szCs w:val="21"/>
          <w:highlight w:val="none"/>
        </w:rPr>
        <w:t>、价    格：</w:t>
      </w:r>
    </w:p>
    <w:p>
      <w:pPr>
        <w:spacing w:line="360" w:lineRule="auto"/>
        <w:ind w:firstLine="420" w:firstLineChars="200"/>
        <w:jc w:val="left"/>
        <w:rPr>
          <w:rFonts w:hint="eastAsia" w:ascii="宋体" w:hAnsi="宋体" w:cs="宋体"/>
          <w:color w:val="000000"/>
          <w:sz w:val="21"/>
          <w:szCs w:val="21"/>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、自主填报，但不得超出</w:t>
      </w:r>
      <w:r>
        <w:rPr>
          <w:rFonts w:hint="eastAsia" w:ascii="宋体" w:hAnsi="宋体" w:cs="宋体"/>
          <w:color w:val="000000"/>
          <w:sz w:val="21"/>
          <w:szCs w:val="21"/>
        </w:rPr>
        <w:t>本项目的</w:t>
      </w:r>
      <w:r>
        <w:rPr>
          <w:rFonts w:hint="eastAsia" w:ascii="宋体" w:hAnsi="宋体" w:cs="宋体"/>
          <w:color w:val="000000"/>
          <w:sz w:val="21"/>
          <w:szCs w:val="21"/>
          <w:lang w:eastAsia="zh-CN"/>
        </w:rPr>
        <w:t>费率</w:t>
      </w:r>
      <w:r>
        <w:rPr>
          <w:rFonts w:hint="eastAsia" w:ascii="宋体" w:hAnsi="宋体" w:cs="宋体"/>
          <w:color w:val="000000"/>
          <w:sz w:val="21"/>
          <w:szCs w:val="21"/>
        </w:rPr>
        <w:t>限价及采购预算。如超出，将按照无效投标处理。</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color w:val="000000"/>
          <w:sz w:val="21"/>
          <w:szCs w:val="21"/>
          <w:lang w:val="en-US" w:eastAsia="zh-CN"/>
        </w:rPr>
        <w:t>5</w:t>
      </w:r>
      <w:r>
        <w:rPr>
          <w:rFonts w:hint="eastAsia" w:ascii="宋体" w:hAnsi="宋体" w:cs="宋体"/>
          <w:color w:val="000000"/>
          <w:sz w:val="21"/>
          <w:szCs w:val="21"/>
        </w:rPr>
        <w:t>.</w:t>
      </w:r>
      <w:r>
        <w:rPr>
          <w:rFonts w:hint="eastAsia" w:ascii="宋体" w:hAnsi="宋体" w:cs="宋体"/>
          <w:color w:val="000000"/>
          <w:sz w:val="21"/>
          <w:szCs w:val="21"/>
          <w:lang w:val="en-US" w:eastAsia="zh-CN"/>
        </w:rPr>
        <w:t>2</w:t>
      </w:r>
      <w:r>
        <w:rPr>
          <w:rFonts w:hint="eastAsia" w:ascii="宋体" w:hAnsi="宋体" w:cs="宋体"/>
          <w:color w:val="000000"/>
          <w:sz w:val="21"/>
          <w:szCs w:val="21"/>
        </w:rPr>
        <w:t>、</w:t>
      </w:r>
      <w:r>
        <w:rPr>
          <w:rFonts w:hint="eastAsia" w:ascii="宋体" w:hAnsi="宋体" w:eastAsia="宋体" w:cs="宋体"/>
          <w:color w:val="auto"/>
          <w:sz w:val="21"/>
          <w:szCs w:val="21"/>
          <w:lang w:eastAsia="zh-CN"/>
        </w:rPr>
        <w:t>招标</w:t>
      </w:r>
      <w:r>
        <w:rPr>
          <w:rFonts w:hint="eastAsia" w:ascii="宋体" w:hAnsi="宋体" w:eastAsia="宋体" w:cs="宋体"/>
          <w:color w:val="auto"/>
          <w:sz w:val="21"/>
          <w:szCs w:val="21"/>
        </w:rPr>
        <w:t>报价（费率）指完成本次采购内容所需的全部费用,包括供应商完成本项目所需的直接费、间接费、利润、税金及其它相关的一切费用。包括但不限于：人工费、设备费、管理费、验收费、采购代理服务费、利润和税金等全部费用。在提供服务的过程中的任何遗漏，均由成交供应商免费提供，采购人将不再支付任何费用</w:t>
      </w:r>
      <w:r>
        <w:rPr>
          <w:rFonts w:hint="eastAsia" w:ascii="宋体" w:hAnsi="宋体" w:eastAsia="宋体" w:cs="宋体"/>
          <w:color w:val="auto"/>
          <w:sz w:val="21"/>
          <w:szCs w:val="21"/>
          <w:lang w:val="en-US" w:eastAsia="zh-CN"/>
        </w:rPr>
        <w:t>。</w:t>
      </w:r>
    </w:p>
    <w:p>
      <w:pPr>
        <w:adjustRightInd w:val="0"/>
        <w:snapToGrid w:val="0"/>
        <w:spacing w:line="360" w:lineRule="auto"/>
        <w:ind w:firstLine="422" w:firstLineChars="200"/>
        <w:rPr>
          <w:rFonts w:hint="eastAsia" w:ascii="宋体" w:hAnsi="宋体" w:cs="宋体"/>
          <w:b/>
          <w:bCs/>
          <w:sz w:val="21"/>
          <w:szCs w:val="21"/>
          <w:highlight w:val="none"/>
        </w:rPr>
      </w:pPr>
      <w:r>
        <w:rPr>
          <w:rFonts w:hint="eastAsia" w:ascii="宋体" w:hAnsi="宋体" w:cs="宋体"/>
          <w:b/>
          <w:bCs/>
          <w:sz w:val="21"/>
          <w:szCs w:val="21"/>
          <w:highlight w:val="none"/>
          <w:lang w:val="en-US" w:eastAsia="zh-CN"/>
        </w:rPr>
        <w:t>6</w:t>
      </w:r>
      <w:r>
        <w:rPr>
          <w:rFonts w:hint="eastAsia" w:ascii="宋体" w:hAnsi="宋体" w:cs="宋体"/>
          <w:b/>
          <w:bCs/>
          <w:sz w:val="21"/>
          <w:szCs w:val="21"/>
          <w:highlight w:val="none"/>
        </w:rPr>
        <w:t>、付款方式：</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b w:val="0"/>
          <w:bCs w:val="0"/>
          <w:i w:val="0"/>
          <w:iCs w:val="0"/>
          <w:color w:val="000000"/>
          <w:sz w:val="21"/>
          <w:szCs w:val="21"/>
          <w:highlight w:val="none"/>
          <w:lang w:val="en-US" w:eastAsia="zh-CN"/>
        </w:rPr>
        <w:t>(1)</w:t>
      </w:r>
      <w:r>
        <w:rPr>
          <w:rFonts w:hint="eastAsia" w:ascii="宋体" w:hAnsi="宋体" w:eastAsia="宋体" w:cs="宋体"/>
          <w:sz w:val="21"/>
          <w:szCs w:val="21"/>
        </w:rPr>
        <w:t>付款原则：造价咨询完成，经甲方确认并出具报告后，甲方支付全部费用。</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b w:val="0"/>
          <w:bCs w:val="0"/>
          <w:i w:val="0"/>
          <w:iCs w:val="0"/>
          <w:color w:val="000000"/>
          <w:sz w:val="21"/>
          <w:szCs w:val="21"/>
          <w:highlight w:val="none"/>
          <w:lang w:val="en-US" w:eastAsia="zh-CN"/>
        </w:rPr>
        <w:t>(2)</w:t>
      </w:r>
      <w:r>
        <w:rPr>
          <w:rFonts w:hint="eastAsia" w:ascii="宋体" w:hAnsi="宋体" w:eastAsia="宋体" w:cs="宋体"/>
          <w:sz w:val="21"/>
          <w:szCs w:val="21"/>
        </w:rPr>
        <w:t>阶段性付款：若因甲方进度原因需要乙方分段出具咨询报告,则经甲方同意后,可按照分段咨询结果同比例支付乙方咨询费用。</w:t>
      </w:r>
    </w:p>
    <w:p>
      <w:pPr>
        <w:adjustRightInd w:val="0"/>
        <w:snapToGrid w:val="0"/>
        <w:spacing w:line="360" w:lineRule="auto"/>
        <w:ind w:firstLine="420" w:firstLineChars="200"/>
        <w:rPr>
          <w:rFonts w:hint="eastAsia" w:ascii="宋体" w:hAnsi="宋体" w:cs="宋体"/>
          <w:b/>
          <w:bCs/>
          <w:sz w:val="21"/>
          <w:szCs w:val="21"/>
          <w:highlight w:val="none"/>
          <w:lang w:val="en-US" w:eastAsia="zh-CN"/>
        </w:rPr>
      </w:pPr>
      <w:r>
        <w:rPr>
          <w:rFonts w:hint="eastAsia" w:ascii="宋体" w:hAnsi="宋体" w:eastAsia="宋体" w:cs="宋体"/>
          <w:b w:val="0"/>
          <w:bCs w:val="0"/>
          <w:i w:val="0"/>
          <w:iCs w:val="0"/>
          <w:color w:val="000000"/>
          <w:sz w:val="21"/>
          <w:szCs w:val="21"/>
          <w:highlight w:val="none"/>
          <w:lang w:val="en-US" w:eastAsia="zh-CN"/>
        </w:rPr>
        <w:t>(3)</w:t>
      </w:r>
      <w:r>
        <w:rPr>
          <w:rFonts w:hint="eastAsia" w:ascii="宋体" w:hAnsi="宋体" w:eastAsia="宋体" w:cs="宋体"/>
          <w:sz w:val="21"/>
          <w:szCs w:val="21"/>
        </w:rPr>
        <w:t>甲方付款前15个工作日，乙方必须提供符合中国法律规定的增值税普通发票，否则，甲方有权延迟付款，且不承担违约责任。</w:t>
      </w:r>
    </w:p>
    <w:p>
      <w:pPr>
        <w:spacing w:line="360" w:lineRule="auto"/>
        <w:ind w:firstLine="422" w:firstLineChars="200"/>
        <w:rPr>
          <w:rFonts w:hint="default" w:ascii="宋体" w:hAnsi="宋体" w:cs="宋体"/>
          <w:sz w:val="21"/>
          <w:szCs w:val="21"/>
          <w:highlight w:val="none"/>
          <w:lang w:val="en-US" w:eastAsia="zh-CN"/>
        </w:rPr>
      </w:pPr>
      <w:r>
        <w:rPr>
          <w:rFonts w:hint="eastAsia" w:ascii="宋体" w:hAnsi="宋体" w:cs="宋体"/>
          <w:b/>
          <w:bCs/>
          <w:sz w:val="21"/>
          <w:szCs w:val="21"/>
          <w:highlight w:val="none"/>
          <w:lang w:val="en-US" w:eastAsia="zh-CN"/>
        </w:rPr>
        <w:t>7、项目概况：</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1、项目概况：</w:t>
      </w:r>
      <w:r>
        <w:rPr>
          <w:rFonts w:hint="eastAsia" w:ascii="宋体" w:hAnsi="宋体" w:eastAsia="宋体" w:cs="宋体"/>
          <w:sz w:val="21"/>
          <w:szCs w:val="21"/>
          <w:lang w:val="en-US" w:eastAsia="zh-CN"/>
        </w:rPr>
        <w:t>项目南起西汉高速沣河桥，北至G310国道段，治理河道长度约8.7km。项目建设内容：改建右岸堤防 7.9km,堤顶道路7.9km;岸坡防护7.5km;新建挡水坝1座，坝高3.5m,坝长102m,蓄水量为220万m3,形成水面面积49万m²;景观工程：配套景观绿化工程1923亩(不含水域面积)。</w:t>
      </w:r>
    </w:p>
    <w:p>
      <w:pPr>
        <w:spacing w:line="360" w:lineRule="auto"/>
        <w:ind w:firstLine="420" w:firstLineChars="200"/>
        <w:rPr>
          <w:rFonts w:hint="eastAsia" w:ascii="宋体" w:hAnsi="宋体" w:eastAsia="宋体" w:cs="宋体"/>
          <w:b w:val="0"/>
          <w:bCs w:val="0"/>
          <w:sz w:val="21"/>
          <w:szCs w:val="21"/>
          <w:highlight w:val="none"/>
          <w:lang w:val="en-US" w:eastAsia="zh-CN"/>
        </w:rPr>
      </w:pPr>
      <w:r>
        <w:rPr>
          <w:rFonts w:hint="eastAsia" w:ascii="宋体" w:hAnsi="宋体" w:eastAsia="宋体" w:cs="宋体"/>
          <w:sz w:val="21"/>
          <w:szCs w:val="21"/>
        </w:rPr>
        <w:t>2、送审项目金额：</w:t>
      </w:r>
      <w:r>
        <w:rPr>
          <w:rFonts w:hint="eastAsia" w:ascii="宋体" w:hAnsi="宋体" w:eastAsia="宋体" w:cs="宋体"/>
          <w:sz w:val="21"/>
          <w:szCs w:val="21"/>
          <w:lang w:val="en-US" w:eastAsia="zh-CN"/>
        </w:rPr>
        <w:t>82000</w:t>
      </w:r>
      <w:r>
        <w:rPr>
          <w:rFonts w:hint="eastAsia" w:ascii="宋体" w:hAnsi="宋体" w:eastAsia="宋体" w:cs="宋体"/>
          <w:sz w:val="21"/>
          <w:szCs w:val="21"/>
        </w:rPr>
        <w:t>万元</w:t>
      </w:r>
      <w:r>
        <w:rPr>
          <w:rFonts w:hint="eastAsia" w:ascii="宋体" w:hAnsi="宋体" w:eastAsia="宋体" w:cs="宋体"/>
          <w:sz w:val="21"/>
          <w:szCs w:val="21"/>
          <w:lang w:eastAsia="zh-CN"/>
        </w:rPr>
        <w:t>。</w:t>
      </w:r>
    </w:p>
    <w:p>
      <w:pPr>
        <w:spacing w:line="360" w:lineRule="auto"/>
        <w:ind w:firstLine="422" w:firstLineChars="200"/>
        <w:rPr>
          <w:rFonts w:hint="eastAsia" w:ascii="宋体" w:hAnsi="宋体" w:eastAsia="宋体" w:cs="宋体"/>
          <w:b/>
          <w:bCs/>
          <w:color w:val="000000"/>
          <w:sz w:val="21"/>
          <w:szCs w:val="21"/>
          <w:lang w:eastAsia="zh-CN"/>
        </w:rPr>
      </w:pPr>
      <w:r>
        <w:rPr>
          <w:rFonts w:hint="eastAsia" w:ascii="宋体" w:hAnsi="宋体" w:cs="宋体"/>
          <w:b/>
          <w:bCs/>
          <w:sz w:val="21"/>
          <w:szCs w:val="21"/>
          <w:highlight w:val="none"/>
          <w:lang w:val="en-US" w:eastAsia="zh-CN"/>
        </w:rPr>
        <w:t>8</w:t>
      </w:r>
      <w:r>
        <w:rPr>
          <w:rFonts w:hint="eastAsia" w:ascii="宋体" w:hAnsi="宋体" w:cs="宋体"/>
          <w:b/>
          <w:bCs/>
          <w:sz w:val="21"/>
          <w:szCs w:val="21"/>
          <w:highlight w:val="none"/>
        </w:rPr>
        <w:t>、</w:t>
      </w:r>
      <w:r>
        <w:rPr>
          <w:rFonts w:hint="eastAsia" w:ascii="宋体" w:hAnsi="宋体" w:eastAsia="宋体" w:cs="宋体"/>
          <w:b/>
          <w:bCs/>
          <w:color w:val="000000"/>
          <w:sz w:val="21"/>
          <w:szCs w:val="21"/>
        </w:rPr>
        <w:t>质量</w:t>
      </w:r>
      <w:r>
        <w:rPr>
          <w:rFonts w:hint="eastAsia" w:ascii="宋体" w:hAnsi="宋体" w:eastAsia="宋体" w:cs="宋体"/>
          <w:b/>
          <w:bCs/>
          <w:color w:val="000000"/>
          <w:sz w:val="21"/>
          <w:szCs w:val="21"/>
          <w:lang w:eastAsia="zh-CN"/>
        </w:rPr>
        <w:t>要求</w:t>
      </w:r>
    </w:p>
    <w:p>
      <w:pPr>
        <w:tabs>
          <w:tab w:val="left" w:pos="498"/>
        </w:tabs>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严格执行并落实国家和省、市以及西咸新区沣东新城管理委员会关于预结算的编审质量管理等相关制度。本着为政府</w:t>
      </w:r>
      <w:r>
        <w:rPr>
          <w:rFonts w:hint="eastAsia" w:ascii="宋体" w:hAnsi="宋体" w:eastAsia="宋体" w:cs="宋体"/>
          <w:sz w:val="21"/>
          <w:szCs w:val="21"/>
          <w:lang w:eastAsia="zh-CN"/>
        </w:rPr>
        <w:t>合</w:t>
      </w:r>
      <w:r>
        <w:rPr>
          <w:rFonts w:hint="eastAsia" w:ascii="宋体" w:hAnsi="宋体" w:eastAsia="宋体" w:cs="宋体"/>
          <w:sz w:val="21"/>
          <w:szCs w:val="21"/>
        </w:rPr>
        <w:t>理节约投资的原则，科学、客观、公正地开展工程</w:t>
      </w:r>
      <w:r>
        <w:rPr>
          <w:rFonts w:hint="eastAsia" w:ascii="宋体" w:hAnsi="宋体" w:eastAsia="宋体" w:cs="宋体"/>
          <w:sz w:val="21"/>
          <w:szCs w:val="21"/>
          <w:lang w:eastAsia="zh-CN"/>
        </w:rPr>
        <w:t>结算</w:t>
      </w:r>
      <w:r>
        <w:rPr>
          <w:rFonts w:hint="eastAsia" w:ascii="宋体" w:hAnsi="宋体" w:eastAsia="宋体" w:cs="宋体"/>
          <w:sz w:val="21"/>
          <w:szCs w:val="21"/>
        </w:rPr>
        <w:t>审核工作；应按采购人的要求，按时按质提供报告，对报告的真实性、准确性负责，并负有保密责任。</w:t>
      </w:r>
    </w:p>
    <w:p>
      <w:pPr>
        <w:tabs>
          <w:tab w:val="left" w:pos="498"/>
        </w:tabs>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严格执行相关法规和文件，按照计价规范、市场价格信息、相关的管理制度进行计价，成果文件中的量、价、费准确、合规、合理。</w:t>
      </w:r>
    </w:p>
    <w:p>
      <w:pPr>
        <w:tabs>
          <w:tab w:val="left" w:pos="498"/>
        </w:tabs>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对图纸等不明确的地方应及时提出，保证资料完善。</w:t>
      </w:r>
    </w:p>
    <w:p>
      <w:pPr>
        <w:tabs>
          <w:tab w:val="left" w:pos="498"/>
        </w:tabs>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供应商应当对审核工作质量负责，采购人有权请第三方对供应商的成果文件进行复核，乙方应当无条件配核对、更正等相关工作。</w:t>
      </w:r>
    </w:p>
    <w:p>
      <w:pPr>
        <w:tabs>
          <w:tab w:val="left" w:pos="498"/>
        </w:tabs>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向采购人提供工作底稿，要求工作底稿准确（严格按照国家现行规定计算）、规范，与成果文件保持一致。</w:t>
      </w:r>
    </w:p>
    <w:p>
      <w:pPr>
        <w:tabs>
          <w:tab w:val="left" w:pos="498"/>
        </w:tabs>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成交供应商应独立完成工作任务，不得以任何形式将工作任务再委托其他机构。</w:t>
      </w:r>
    </w:p>
    <w:p>
      <w:pPr>
        <w:tabs>
          <w:tab w:val="left" w:pos="498"/>
        </w:tabs>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成交供应商应建立严格的项目档案管理制度，完整、准确、真实地反映和记录项目评审的情况，做好各类资料的归集、存档和保管工作。</w:t>
      </w:r>
    </w:p>
    <w:p>
      <w:pPr>
        <w:tabs>
          <w:tab w:val="left" w:pos="498"/>
        </w:tabs>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为项目的顺利执行，项目负责人必需为本项目的主要业务联系人。</w:t>
      </w:r>
    </w:p>
    <w:p>
      <w:pPr>
        <w:tabs>
          <w:tab w:val="left" w:pos="498"/>
        </w:tabs>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为保证服务质量及服务的时效性，成交供应商应当建立、健全投诉及服务保障体系，保障体系应当包含处理相关事项的人员及分工、响应时间及投诉处理等内容。</w:t>
      </w:r>
    </w:p>
    <w:p>
      <w:pPr>
        <w:tabs>
          <w:tab w:val="left" w:pos="498"/>
        </w:tabs>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成交供应商承担工程量清单、招标最高限价、预算编制委托业务后，不得再接受同项目的结算委托。</w:t>
      </w:r>
    </w:p>
    <w:p>
      <w:pPr>
        <w:spacing w:line="360" w:lineRule="auto"/>
        <w:rPr>
          <w:rFonts w:hint="eastAsia" w:ascii="宋体" w:hAnsi="宋体" w:cs="宋体"/>
          <w:sz w:val="21"/>
          <w:szCs w:val="21"/>
          <w:lang w:val="en-US" w:eastAsia="zh-CN"/>
        </w:rPr>
      </w:pPr>
      <w:r>
        <w:rPr>
          <w:rFonts w:hint="eastAsia" w:ascii="宋体" w:hAnsi="宋体" w:eastAsia="宋体" w:cs="宋体"/>
          <w:color w:val="000000"/>
          <w:sz w:val="21"/>
          <w:szCs w:val="21"/>
          <w:lang w:val="en-US" w:eastAsia="zh-CN"/>
        </w:rPr>
        <w:t xml:space="preserve">    </w:t>
      </w:r>
      <w:r>
        <w:rPr>
          <w:rFonts w:hint="eastAsia" w:ascii="宋体" w:hAnsi="宋体" w:eastAsia="宋体" w:cs="宋体"/>
          <w:b/>
          <w:bCs/>
          <w:color w:val="000000"/>
          <w:sz w:val="21"/>
          <w:szCs w:val="21"/>
          <w:lang w:val="en-US" w:eastAsia="zh-CN"/>
        </w:rPr>
        <w:t>9、核对纪律</w:t>
      </w:r>
    </w:p>
    <w:p>
      <w:pPr>
        <w:pStyle w:val="6"/>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为促进项目核对工作高效、有序开展，避免核对过程中出现推诿、进度延迟等现象，现将咨询项目核对工作纪律规定如下：</w:t>
      </w:r>
    </w:p>
    <w:p>
      <w:pPr>
        <w:pStyle w:val="6"/>
        <w:spacing w:line="360" w:lineRule="auto"/>
        <w:ind w:firstLine="420" w:firstLineChars="200"/>
        <w:jc w:val="both"/>
        <w:rPr>
          <w:rFonts w:hint="eastAsia" w:ascii="宋体" w:hAnsi="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项目核对期间核对人员的工作时间原则上为每天上午9:00-12:00，下午 14:00-17:50。核对期间，核对人员须在财政投资评审中心项目负责人处签到和签退，时间分别为每天上午9:00前和下午17:50后，收尾项目的签退时间根据实际情况确定。</w:t>
      </w:r>
    </w:p>
    <w:p>
      <w:pPr>
        <w:pStyle w:val="6"/>
        <w:spacing w:line="360" w:lineRule="auto"/>
        <w:ind w:firstLine="420" w:firstLineChars="200"/>
        <w:jc w:val="both"/>
        <w:rPr>
          <w:rFonts w:hint="eastAsia" w:ascii="宋体" w:hAnsi="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项目核对地点和开始时间由财政投资评审中心项目负责人负责提前安排并通知各单位，各单位须按时到达指定地点开展核对工作。同时，各单位在核对前须提供规范、有效的工作底稿。</w:t>
      </w:r>
    </w:p>
    <w:p>
      <w:pPr>
        <w:pStyle w:val="6"/>
        <w:spacing w:line="360" w:lineRule="auto"/>
        <w:ind w:firstLine="420" w:firstLineChars="200"/>
        <w:jc w:val="both"/>
        <w:rPr>
          <w:rFonts w:hint="eastAsia" w:ascii="宋体" w:hAnsi="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核对工作开始后原则上不得中断，直至核对结束并达成一致，确需中断核对工作的，需提前一天商财政投资评审中心项目负责人并经同意后方可中断，若有违反，按缺席处理。</w:t>
      </w:r>
    </w:p>
    <w:p>
      <w:pPr>
        <w:pStyle w:val="6"/>
        <w:spacing w:line="360" w:lineRule="auto"/>
        <w:ind w:firstLine="420" w:firstLineChars="200"/>
        <w:jc w:val="both"/>
        <w:rPr>
          <w:rFonts w:hint="eastAsia" w:ascii="宋体" w:hAnsi="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cs="宋体"/>
          <w:sz w:val="21"/>
          <w:szCs w:val="21"/>
          <w:lang w:val="en-US" w:eastAsia="zh-CN"/>
        </w:rPr>
        <w:t>核对期间严禁核对人员处理与本项目核对工作无关的事宜，一经发现，按缺席处理。</w:t>
      </w:r>
    </w:p>
    <w:p>
      <w:pPr>
        <w:pStyle w:val="6"/>
        <w:spacing w:line="360" w:lineRule="auto"/>
        <w:ind w:firstLine="420" w:firstLineChars="200"/>
        <w:jc w:val="both"/>
        <w:rPr>
          <w:rFonts w:hint="eastAsia" w:ascii="宋体" w:hAnsi="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cs="宋体"/>
          <w:sz w:val="21"/>
          <w:szCs w:val="21"/>
          <w:lang w:val="en-US" w:eastAsia="zh-CN"/>
        </w:rPr>
        <w:t>核对人员（含劳动同及资质注册）应为本单位人员（委托方有权对核对人员信息进行核查处理），且均须具备相应专业资格和技能，因核对人员缺乏相应专业资格和技能，而导致核对工作无法正常开展的，按缺席处理，相关单位应更换合格人员开展核对工作。非甲方要求，在整个结算核对过程中不允许乙方更换核对人员。</w:t>
      </w:r>
    </w:p>
    <w:p>
      <w:pPr>
        <w:pStyle w:val="6"/>
        <w:spacing w:line="360" w:lineRule="auto"/>
        <w:ind w:firstLine="420" w:firstLineChars="200"/>
        <w:jc w:val="both"/>
        <w:rPr>
          <w:rFonts w:hint="eastAsia" w:ascii="宋体" w:hAnsi="宋体"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cs="宋体"/>
          <w:sz w:val="21"/>
          <w:szCs w:val="21"/>
          <w:lang w:val="en-US" w:eastAsia="zh-CN"/>
        </w:rPr>
        <w:t>财政投资评审中心不提供核对所需设备，由核对单位自行解决（插线板原则上由参与核对的施工单位携带）。</w:t>
      </w:r>
    </w:p>
    <w:p>
      <w:pPr>
        <w:pStyle w:val="6"/>
        <w:spacing w:line="360" w:lineRule="auto"/>
        <w:ind w:firstLine="420" w:firstLineChars="200"/>
        <w:jc w:val="both"/>
        <w:rPr>
          <w:rFonts w:hint="eastAsia" w:ascii="宋体" w:hAnsi="宋体" w:cs="宋体"/>
          <w:sz w:val="21"/>
          <w:szCs w:val="21"/>
          <w:lang w:val="en-US" w:eastAsia="zh-CN"/>
        </w:rPr>
      </w:pPr>
      <w:r>
        <w:rPr>
          <w:rFonts w:hint="eastAsia" w:ascii="宋体" w:hAnsi="宋体" w:eastAsia="宋体" w:cs="宋体"/>
          <w:sz w:val="21"/>
          <w:szCs w:val="21"/>
          <w:lang w:val="en-US" w:eastAsia="zh-CN"/>
        </w:rPr>
        <w:t>(7)</w:t>
      </w:r>
      <w:r>
        <w:rPr>
          <w:rFonts w:hint="eastAsia" w:ascii="宋体" w:hAnsi="宋体" w:cs="宋体"/>
          <w:sz w:val="21"/>
          <w:szCs w:val="21"/>
          <w:lang w:val="en-US" w:eastAsia="zh-CN"/>
        </w:rPr>
        <w:t>核对人员须自觉遵守沣东新城管委会各项规章制度。核对中，核对人员需保持工作环境整洁卫生，穿着大方得体，严禁浓妆艳抹或着奇装异服；严禁在办公区域出现大声喧哗、抽烟等不文明行为；严禁出现诋毁、谩骂、威胁等过激行为。同时，核对人员须爱惜公共财产，文明使用，若有毁损照价赔偿。</w:t>
      </w:r>
    </w:p>
    <w:p>
      <w:pPr>
        <w:pStyle w:val="6"/>
        <w:spacing w:line="360" w:lineRule="auto"/>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ascii="宋体" w:hAnsi="宋体" w:cs="宋体"/>
          <w:sz w:val="21"/>
          <w:szCs w:val="21"/>
          <w:lang w:val="en-US" w:eastAsia="zh-CN"/>
        </w:rPr>
        <w:t>造价咨询单位与施工（投资）单位对本规定签字盖章后方可开展核对工</w:t>
      </w:r>
      <w:r>
        <w:rPr>
          <w:rFonts w:hint="eastAsia" w:ascii="宋体" w:hAnsi="宋体" w:eastAsia="宋体" w:cs="宋体"/>
          <w:sz w:val="21"/>
          <w:szCs w:val="21"/>
          <w:lang w:val="en-US" w:eastAsia="zh-CN"/>
        </w:rPr>
        <w:t>作，未经上述程序核对工作不得开展。</w:t>
      </w:r>
    </w:p>
    <w:p>
      <w:pPr>
        <w:pStyle w:val="6"/>
        <w:spacing w:line="360" w:lineRule="auto"/>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(9)完全遵守评审中心核对纪律，业务核对过程中保证核对工作 的连续性。</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10</w:t>
      </w:r>
      <w:r>
        <w:rPr>
          <w:rFonts w:hint="eastAsia" w:ascii="宋体" w:hAnsi="宋体" w:eastAsia="宋体" w:cs="宋体"/>
          <w:b/>
          <w:bCs/>
          <w:sz w:val="21"/>
          <w:szCs w:val="21"/>
        </w:rPr>
        <w:t>、奖罚标准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核对期间核对人员出现迟到、早退等情况，处以罚款人民币300 元/人/次；出现缺席情况处以罚款人民币 500 元/人/次。各被罚单位应及时缴纳罚款，不及时缴纳者从其应付款中双倍扣罚。屡次出现上述情形的予以累加计算，并予通报批评。</w:t>
      </w:r>
    </w:p>
    <w:p>
      <w:r>
        <w:rPr>
          <w:rFonts w:hint="eastAsia" w:ascii="宋体" w:hAnsi="宋体" w:eastAsia="宋体" w:cs="宋体"/>
          <w:sz w:val="21"/>
          <w:szCs w:val="21"/>
          <w:lang w:val="en-US" w:eastAsia="zh-CN"/>
        </w:rPr>
        <w:t>(2)</w:t>
      </w:r>
      <w:r>
        <w:rPr>
          <w:rFonts w:hint="eastAsia" w:ascii="宋体" w:hAnsi="宋体" w:eastAsia="宋体" w:cs="宋体"/>
          <w:sz w:val="21"/>
          <w:szCs w:val="21"/>
        </w:rPr>
        <w:t>对在项目核对期间认真遵守核对纪律且表现优秀的核对人员，财政投资评审中心可予相应奖励。</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8BB975"/>
    <w:multiLevelType w:val="singleLevel"/>
    <w:tmpl w:val="BD8BB975"/>
    <w:lvl w:ilvl="0" w:tentative="0">
      <w:start w:val="1"/>
      <w:numFmt w:val="decimal"/>
      <w:suff w:val="nothing"/>
      <w:lvlText w:val="%1、"/>
      <w:lvlJc w:val="left"/>
    </w:lvl>
  </w:abstractNum>
  <w:abstractNum w:abstractNumId="1">
    <w:nsid w:val="D6D438A8"/>
    <w:multiLevelType w:val="singleLevel"/>
    <w:tmpl w:val="D6D438A8"/>
    <w:lvl w:ilvl="0" w:tentative="0">
      <w:start w:val="5"/>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jNWJhNGM1NjAxNTM0Y2VlNWIwOTNiNmE3NDAxNWYifQ=="/>
  </w:docVars>
  <w:rsids>
    <w:rsidRoot w:val="6AC8067D"/>
    <w:rsid w:val="6AC80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spacing w:before="260" w:after="260" w:line="500" w:lineRule="exact"/>
      <w:outlineLvl w:val="1"/>
    </w:pPr>
    <w:rPr>
      <w:rFonts w:ascii="Arial" w:hAnsi="Arial" w:eastAsia="黑体"/>
      <w:b/>
      <w:sz w:val="28"/>
      <w:szCs w:val="20"/>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Indent"/>
    <w:basedOn w:val="1"/>
    <w:uiPriority w:val="0"/>
    <w:pPr>
      <w:ind w:firstLine="420"/>
    </w:pPr>
    <w:rPr>
      <w:szCs w:val="20"/>
    </w:rPr>
  </w:style>
  <w:style w:type="paragraph" w:customStyle="1" w:styleId="6">
    <w:name w:val="BodyText"/>
    <w:basedOn w:val="1"/>
    <w:next w:val="1"/>
    <w:qFormat/>
    <w:uiPriority w:val="0"/>
    <w:pPr>
      <w:jc w:val="center"/>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2023-09-20T06:11:00Z</dcterms:created>
  <dc:creator>江迪洲</dc:creator>
  <cp:lastModifiedBy>江迪洲</cp:lastModifiedBy>
  <dcterms:modified xsi:type="dcterms:W3CDTF">2023-09-20T06:11:44Z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197B98CBBB6C42C8A5D80EFEDFA6BDF6_11</vt:lpwstr>
  </property>
</Properties>
</file>