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after="156" w:afterLines="50" w:line="360" w:lineRule="auto"/>
        <w:rPr>
          <w:rFonts w:hint="eastAsia" w:ascii="仿宋" w:hAnsi="仿宋" w:eastAsia="仿宋" w:cs="仿宋"/>
          <w:bCs/>
          <w:szCs w:val="36"/>
          <w:highlight w:val="none"/>
        </w:rPr>
      </w:pPr>
      <w:r>
        <w:rPr>
          <w:rFonts w:hint="eastAsia" w:ascii="仿宋" w:hAnsi="仿宋" w:eastAsia="仿宋" w:cs="仿宋"/>
          <w:bCs/>
          <w:szCs w:val="36"/>
          <w:highlight w:val="none"/>
        </w:rPr>
        <w:t>采购内容及技术要求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2" w:firstLineChars="200"/>
        <w:jc w:val="left"/>
        <w:textAlignment w:val="auto"/>
        <w:rPr>
          <w:rFonts w:hint="eastAsia" w:ascii="仿宋" w:hAnsi="仿宋" w:eastAsia="仿宋" w:cs="仿宋"/>
          <w:b/>
          <w:bCs/>
          <w:sz w:val="24"/>
          <w:szCs w:val="24"/>
        </w:rPr>
      </w:pPr>
      <w:r>
        <w:rPr>
          <w:rFonts w:hint="eastAsia" w:ascii="仿宋" w:hAnsi="仿宋" w:eastAsia="仿宋" w:cs="仿宋"/>
          <w:b/>
          <w:bCs/>
          <w:sz w:val="24"/>
          <w:szCs w:val="24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sz w:val="24"/>
          <w:szCs w:val="24"/>
        </w:rPr>
        <w:t>、项目内容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将新河入沣西水质自动监测站向新河河堤外迁移约50m，新建站房基础、采水及排水系统。开展新河入沣西和新河西宝老线水质自动监测站运维服务（合同签订之日起两年），对pH、CODcr、氨氮、总磷、总氮等分析仪器进行维保，保证在线监测系统正常运行，数据定期上传至沣西新城环保监管平台。运维工作具体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1.确保在线监测系统正常运行。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2.主要和附属构筑物及标识标牌完好无损。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3.开展对监测站pH、CODcr、氨氮、总磷、总氮等分析仪器自动监测的手工比对。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4.每周至少巡视监测站1次，并做好巡查记录。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5.每月对pH、CODcr、氨氮、总磷、总氮等分析仪器进样管路、测量电极等部件进行清洗。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6.每月检查pH、CODcr、氨氮、总磷、总氮等分析仪器的零点、标准，超过国家相关规范要求，及时进行校准。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7.配合相关部门做好定期水质检测、抽检工作。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8.日常运维的其他相关工作。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9.根据运维需要合理配备维护管理人员，人员配备应包括专业技术人员如技术负责人，运行维护人员，负责现场操作、设备仪器维护、突发事件的协助处理、电气设备的维护与保养、水质分析等其他相关工作，且运行期间要求做到持证上岗（持有相应的运营管理和运营操作岗位培训合格证书等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二</w:t>
      </w:r>
      <w:r>
        <w:rPr>
          <w:rFonts w:hint="eastAsia" w:ascii="仿宋" w:hAnsi="仿宋" w:eastAsia="仿宋" w:cs="仿宋"/>
          <w:sz w:val="24"/>
          <w:szCs w:val="24"/>
        </w:rPr>
        <w:t>、项目预算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</w:rPr>
        <w:t>总预算65万元，费用包括监测站迁移费、监测站用地租赁费用、水费、电费、网费、药剂费、人工费、自行监测费、税费、设备维修费等一切保证水质自动监测站正常运行的费用。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default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三、服务期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仿宋" w:hAnsi="仿宋" w:eastAsia="仿宋" w:cs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自入场运维之</w:t>
      </w:r>
      <w:bookmarkStart w:id="0" w:name="_GoBack"/>
      <w:bookmarkEnd w:id="0"/>
      <w:r>
        <w:rPr>
          <w:rFonts w:hint="eastAsia" w:ascii="仿宋" w:hAnsi="仿宋" w:eastAsia="仿宋" w:cs="仿宋"/>
          <w:sz w:val="24"/>
          <w:szCs w:val="24"/>
        </w:rPr>
        <w:t>日起两年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U1MjA4MDE1M2UyNDQ5OTZmNTY2MzZkYzY2NjJiOTQifQ=="/>
  </w:docVars>
  <w:rsids>
    <w:rsidRoot w:val="4F84293C"/>
    <w:rsid w:val="1FB301BA"/>
    <w:rsid w:val="4F84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ascii="Calibri" w:hAnsi="Calibri" w:eastAsia="宋体" w:cs="Times New Roman"/>
      <w:b/>
      <w:kern w:val="44"/>
      <w:sz w:val="36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/>
    </w:pPr>
    <w:rPr>
      <w:rFonts w:ascii="Times New Roman"/>
      <w:kern w:val="2"/>
      <w:sz w:val="21"/>
    </w:rPr>
  </w:style>
  <w:style w:type="paragraph" w:styleId="4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594</Words>
  <Characters>626</Characters>
  <Lines>0</Lines>
  <Paragraphs>0</Paragraphs>
  <TotalTime>0</TotalTime>
  <ScaleCrop>false</ScaleCrop>
  <LinksUpToDate>false</LinksUpToDate>
  <CharactersWithSpaces>627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2023-06-01T02:28:00Z</dcterms:created>
  <dc:creator>Legion</dc:creator>
  <cp:lastModifiedBy>Legion</cp:lastModifiedBy>
  <dcterms:modified xsi:type="dcterms:W3CDTF">2023-06-01T08:55:56Z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DD1DA3B1D64C43A5B730DB2BF0703F5C_11</vt:lpwstr>
  </property>
</Properties>
</file>