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33" w:beforeLines="100" w:after="333" w:afterLines="100" w:line="360" w:lineRule="auto"/>
        <w:jc w:val="center"/>
        <w:rPr>
          <w:rFonts w:hint="eastAsia" w:ascii="仿宋" w:hAnsi="仿宋" w:eastAsia="仿宋" w:cs="仿宋"/>
          <w:highlight w:val="none"/>
        </w:rPr>
      </w:pPr>
      <w:r>
        <w:rPr>
          <w:rFonts w:hint="eastAsia" w:ascii="仿宋" w:hAnsi="仿宋" w:eastAsia="仿宋" w:cs="仿宋"/>
          <w:color w:val="000000"/>
          <w:sz w:val="36"/>
          <w:szCs w:val="36"/>
          <w:highlight w:val="none"/>
        </w:rPr>
        <w:t>采购内容及服务要求</w:t>
      </w:r>
      <w:bookmarkStart w:id="0" w:name="_Toc317530110"/>
    </w:p>
    <w:bookmarkEnd w:id="0"/>
    <w:p>
      <w:pPr>
        <w:numPr>
          <w:ilvl w:val="0"/>
          <w:numId w:val="1"/>
        </w:numPr>
        <w:spacing w:line="360" w:lineRule="auto"/>
        <w:rPr>
          <w:rFonts w:hint="eastAsia" w:ascii="仿宋" w:hAnsi="仿宋" w:eastAsia="仿宋" w:cs="仿宋"/>
          <w:b/>
          <w:bCs/>
          <w:szCs w:val="24"/>
          <w:highlight w:val="none"/>
        </w:rPr>
      </w:pPr>
      <w:r>
        <w:rPr>
          <w:rFonts w:hint="eastAsia" w:ascii="仿宋" w:hAnsi="仿宋" w:eastAsia="仿宋" w:cs="仿宋"/>
          <w:b/>
          <w:bCs/>
          <w:szCs w:val="24"/>
          <w:highlight w:val="none"/>
        </w:rPr>
        <w:t>项目概况：</w:t>
      </w:r>
    </w:p>
    <w:p>
      <w:pPr>
        <w:pStyle w:val="7"/>
        <w:spacing w:line="360" w:lineRule="auto"/>
        <w:ind w:firstLine="480"/>
        <w:jc w:val="left"/>
        <w:rPr>
          <w:rFonts w:hint="eastAsia" w:ascii="仿宋" w:hAnsi="仿宋" w:eastAsia="仿宋" w:cs="仿宋"/>
          <w:highlight w:val="none"/>
        </w:rPr>
      </w:pPr>
      <w:r>
        <w:rPr>
          <w:rFonts w:hint="eastAsia" w:ascii="仿宋" w:hAnsi="仿宋" w:eastAsia="仿宋" w:cs="仿宋"/>
          <w:szCs w:val="24"/>
          <w:highlight w:val="none"/>
        </w:rPr>
        <w:t>秦汉新城总规划面积302.2平方公里，建设用地50平方公里。新城范围内历史文化资源极为丰富，共有各级文物保护单位191处，国家级文物保护单位11处，遗址保护区面积104平方公里。本次计划对辖区开发建设用地中10000亩进行文物考古发掘。</w:t>
      </w:r>
    </w:p>
    <w:p>
      <w:pPr>
        <w:numPr>
          <w:ilvl w:val="0"/>
          <w:numId w:val="1"/>
        </w:numPr>
        <w:spacing w:line="360" w:lineRule="auto"/>
        <w:rPr>
          <w:rFonts w:hint="eastAsia" w:ascii="仿宋" w:hAnsi="仿宋" w:eastAsia="仿宋" w:cs="仿宋"/>
          <w:b/>
          <w:bCs/>
          <w:szCs w:val="24"/>
          <w:highlight w:val="none"/>
        </w:rPr>
      </w:pPr>
      <w:r>
        <w:rPr>
          <w:rFonts w:hint="eastAsia" w:ascii="仿宋" w:hAnsi="仿宋" w:eastAsia="仿宋" w:cs="仿宋"/>
          <w:b/>
          <w:bCs/>
          <w:szCs w:val="24"/>
          <w:highlight w:val="none"/>
        </w:rPr>
        <w:t>商务要求：</w:t>
      </w:r>
    </w:p>
    <w:p>
      <w:pPr>
        <w:pStyle w:val="4"/>
        <w:spacing w:line="360" w:lineRule="auto"/>
        <w:ind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bCs/>
          <w:sz w:val="24"/>
          <w:szCs w:val="24"/>
          <w:highlight w:val="none"/>
        </w:rPr>
        <w:t>服务期</w:t>
      </w:r>
      <w:r>
        <w:rPr>
          <w:rFonts w:hint="eastAsia" w:ascii="仿宋" w:hAnsi="仿宋" w:eastAsia="仿宋" w:cs="仿宋"/>
          <w:sz w:val="24"/>
          <w:szCs w:val="24"/>
          <w:highlight w:val="none"/>
        </w:rPr>
        <w:t>：自合同签订之日</w:t>
      </w:r>
      <w:r>
        <w:rPr>
          <w:rFonts w:hint="eastAsia" w:ascii="仿宋" w:hAnsi="仿宋" w:eastAsia="仿宋" w:cs="仿宋"/>
          <w:sz w:val="24"/>
          <w:szCs w:val="24"/>
          <w:highlight w:val="none"/>
          <w:lang w:eastAsia="zh-CN"/>
        </w:rPr>
        <w:t>1年</w:t>
      </w:r>
      <w:r>
        <w:rPr>
          <w:rFonts w:hint="eastAsia" w:ascii="仿宋" w:hAnsi="仿宋" w:eastAsia="仿宋" w:cs="仿宋"/>
          <w:sz w:val="24"/>
          <w:szCs w:val="24"/>
          <w:highlight w:val="none"/>
        </w:rPr>
        <w:t>（若在服务期限内所承接的项目未实施结束，服务期顺延至项目实施结束之日至）；</w:t>
      </w:r>
    </w:p>
    <w:p>
      <w:pP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b/>
          <w:bCs/>
          <w:szCs w:val="24"/>
          <w:highlight w:val="none"/>
        </w:rPr>
        <w:t>取费依据</w:t>
      </w:r>
      <w:r>
        <w:rPr>
          <w:rFonts w:hint="eastAsia" w:ascii="仿宋" w:hAnsi="仿宋" w:eastAsia="仿宋" w:cs="仿宋"/>
          <w:szCs w:val="24"/>
          <w:highlight w:val="none"/>
        </w:rPr>
        <w:t>：根据《中华人民共和国文物保护法》及国家计委、财政部、文物局颁发的《考古调查、勘探、发掘、经费预算定额管理办法》（[90]文物字第248号）规定，结合陕西省地区的实际情况，制订取费标准，进行项目预算。</w:t>
      </w:r>
    </w:p>
    <w:p>
      <w:pPr>
        <w:spacing w:line="360" w:lineRule="auto"/>
        <w:ind w:firstLine="482" w:firstLineChars="200"/>
        <w:rPr>
          <w:rFonts w:hint="eastAsia" w:ascii="仿宋" w:hAnsi="仿宋" w:eastAsia="仿宋" w:cs="仿宋"/>
          <w:szCs w:val="24"/>
          <w:highlight w:val="none"/>
        </w:rPr>
      </w:pPr>
      <w:r>
        <w:rPr>
          <w:rFonts w:hint="eastAsia" w:ascii="仿宋" w:hAnsi="仿宋" w:eastAsia="仿宋" w:cs="仿宋"/>
          <w:b/>
          <w:bCs/>
          <w:szCs w:val="24"/>
          <w:highlight w:val="none"/>
        </w:rPr>
        <w:t>付款方式</w:t>
      </w:r>
      <w:r>
        <w:rPr>
          <w:rFonts w:hint="eastAsia" w:ascii="仿宋" w:hAnsi="仿宋" w:eastAsia="仿宋" w:cs="仿宋"/>
          <w:szCs w:val="24"/>
          <w:highlight w:val="none"/>
        </w:rPr>
        <w:t>：付款采用银行转账方式，合同签订后每满三个月后5个工作日内依据项目文堪报告及文物旅游局核定现场实际发掘量经政府投资管理局审定后计算进行最终结算。</w:t>
      </w:r>
    </w:p>
    <w:p>
      <w:pPr>
        <w:spacing w:line="360" w:lineRule="auto"/>
        <w:rPr>
          <w:rFonts w:hint="eastAsia" w:ascii="仿宋" w:hAnsi="仿宋" w:eastAsia="仿宋" w:cs="仿宋"/>
          <w:b/>
          <w:bCs/>
          <w:szCs w:val="24"/>
          <w:highlight w:val="none"/>
        </w:rPr>
      </w:pPr>
      <w:r>
        <w:rPr>
          <w:rFonts w:hint="eastAsia" w:ascii="仿宋" w:hAnsi="仿宋" w:eastAsia="仿宋" w:cs="仿宋"/>
          <w:szCs w:val="24"/>
          <w:highlight w:val="none"/>
        </w:rPr>
        <w:t>三、</w:t>
      </w:r>
      <w:r>
        <w:rPr>
          <w:rFonts w:hint="eastAsia" w:ascii="仿宋" w:hAnsi="仿宋" w:eastAsia="仿宋" w:cs="仿宋"/>
          <w:b/>
          <w:bCs/>
          <w:szCs w:val="24"/>
          <w:highlight w:val="none"/>
        </w:rPr>
        <w:t>技术要求：</w:t>
      </w:r>
    </w:p>
    <w:p>
      <w:pPr>
        <w:pStyle w:val="8"/>
        <w:numPr>
          <w:ilvl w:val="0"/>
          <w:numId w:val="2"/>
        </w:numPr>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按照国家文物局颁布的《田野考古操作规程》及相关法律法规进行发掘。</w:t>
      </w:r>
    </w:p>
    <w:p>
      <w:pPr>
        <w:pStyle w:val="8"/>
        <w:numPr>
          <w:ilvl w:val="0"/>
          <w:numId w:val="2"/>
        </w:numPr>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发掘须达到但不限于下列现行主要的中华人民共和国以及省、市或行业的沉降观测技术标准或规范的要求：（1）《中华人民共和国文物保护法》（2）《中华人民共和国文物保护法实施条例》（3）《陕西省文物保护条例》（4）《田野考古工作规程》（5）其他相关资料等。</w:t>
      </w:r>
    </w:p>
    <w:p>
      <w:pPr>
        <w:pStyle w:val="8"/>
        <w:numPr>
          <w:ilvl w:val="0"/>
          <w:numId w:val="2"/>
        </w:numPr>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投标人对本项目及所处区域的文物发掘熟悉。具有对关键性问题的把握及解决方案、突发事件处理方案及安全预案的经验。</w:t>
      </w:r>
    </w:p>
    <w:p>
      <w:pPr>
        <w:pStyle w:val="8"/>
        <w:numPr>
          <w:ilvl w:val="0"/>
          <w:numId w:val="2"/>
        </w:numPr>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发掘过程中，投标人应采取合理措施，确保文物的安全。</w:t>
      </w:r>
    </w:p>
    <w:p>
      <w:pPr>
        <w:pStyle w:val="8"/>
        <w:numPr>
          <w:ilvl w:val="0"/>
          <w:numId w:val="2"/>
        </w:numPr>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考古发掘工作结束后7-15个工作日内向招标人出具《文物发掘报告》伍份，提交的成果文件必须符合国家、行业及陕西省相关标准、规范的规定，还需满足国家、行业、陕西省相关行政主管部门项目审批要求及招标人需求。</w:t>
      </w:r>
    </w:p>
    <w:p>
      <w:pPr>
        <w:spacing w:line="360" w:lineRule="auto"/>
        <w:rPr>
          <w:rFonts w:hint="eastAsia" w:ascii="仿宋" w:hAnsi="仿宋" w:eastAsia="仿宋" w:cs="仿宋"/>
          <w:b/>
          <w:bCs/>
          <w:szCs w:val="24"/>
          <w:highlight w:val="none"/>
        </w:rPr>
      </w:pPr>
      <w:r>
        <w:rPr>
          <w:rFonts w:hint="eastAsia" w:ascii="仿宋" w:hAnsi="仿宋" w:eastAsia="仿宋" w:cs="仿宋"/>
          <w:b/>
          <w:bCs/>
          <w:szCs w:val="24"/>
          <w:highlight w:val="none"/>
        </w:rPr>
        <w:t>四、安全要求：</w:t>
      </w:r>
    </w:p>
    <w:p>
      <w:pPr>
        <w:pStyle w:val="8"/>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1、投标人应对自身安全负责，要遵守国家的相关安全规定。投标人应严格执行《考古工地安全协议》的相关要求，遵守考古工地的安全规定，确保考古工地的施工安全、人员安全和文物安全。</w:t>
      </w:r>
    </w:p>
    <w:p>
      <w:pPr>
        <w:pStyle w:val="8"/>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pPr>
        <w:pStyle w:val="8"/>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3、投标人在考古发掘工作中对发现的古遗址、古墓葬等地下文物古迹负有看管保护的责任，并对相关信息负有保密的责任。</w:t>
      </w:r>
    </w:p>
    <w:p>
      <w:pPr>
        <w:pStyle w:val="8"/>
        <w:spacing w:line="360" w:lineRule="auto"/>
        <w:ind w:firstLine="480"/>
        <w:jc w:val="left"/>
        <w:rPr>
          <w:rFonts w:hint="eastAsia" w:ascii="仿宋" w:hAnsi="仿宋" w:eastAsia="仿宋" w:cs="仿宋"/>
          <w:highlight w:val="none"/>
        </w:rPr>
      </w:pPr>
      <w:r>
        <w:rPr>
          <w:rFonts w:hint="eastAsia" w:ascii="仿宋" w:hAnsi="仿宋" w:eastAsia="仿宋" w:cs="仿宋"/>
          <w:highlight w:val="none"/>
        </w:rPr>
        <w:t>4、投标人考古驻地的所有工作人员、财物、设备、设施以及暂存文物标本的文物库房等的安全保卫工作由投标人全权负责。驻地暂存文物和标本的临时文物库房，必须符合有关存放文物的安全要求。</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894DC"/>
    <w:multiLevelType w:val="singleLevel"/>
    <w:tmpl w:val="5D6894DC"/>
    <w:lvl w:ilvl="0" w:tentative="0">
      <w:start w:val="1"/>
      <w:numFmt w:val="chineseCounting"/>
      <w:suff w:val="nothing"/>
      <w:lvlText w:val="%1、"/>
      <w:lvlJc w:val="left"/>
    </w:lvl>
  </w:abstractNum>
  <w:abstractNum w:abstractNumId="1">
    <w:nsid w:val="5D689D53"/>
    <w:multiLevelType w:val="singleLevel"/>
    <w:tmpl w:val="5D689D5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DM3ZTU5ZjJhOTQzYzg2MGYxN2RmYWNhYjllOTkifQ=="/>
  </w:docVars>
  <w:rsids>
    <w:rsidRoot w:val="23900A98"/>
    <w:rsid w:val="23900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rPr>
      <w:rFonts w:ascii="Times New Roman"/>
      <w:kern w:val="2"/>
      <w:sz w:val="21"/>
    </w:rPr>
  </w:style>
  <w:style w:type="paragraph" w:customStyle="1" w:styleId="7">
    <w:name w:val="列出段落1"/>
    <w:basedOn w:val="1"/>
    <w:qFormat/>
    <w:uiPriority w:val="0"/>
    <w:pPr>
      <w:ind w:firstLine="420" w:firstLineChars="200"/>
    </w:p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2023-04-06T08:59:00Z</dcterms:created>
  <dc:creator>Administrator</dc:creator>
  <cp:lastModifiedBy>Administrator</cp:lastModifiedBy>
  <dcterms:modified xsi:type="dcterms:W3CDTF">2023-04-06T08:59:48Z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383D2E3CB4194576A2338A715CEFE090_11</vt:lpwstr>
  </property>
</Properties>
</file>