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cs="宋体"/>
          <w:b/>
          <w:sz w:val="28"/>
          <w:szCs w:val="28"/>
          <w:highlight w:val="none"/>
        </w:rPr>
      </w:pPr>
    </w:p>
    <w:p>
      <w:pPr>
        <w:spacing w:line="360" w:lineRule="auto"/>
        <w:jc w:val="both"/>
        <w:rPr>
          <w:rFonts w:hint="eastAsia" w:ascii="宋体" w:hAnsi="宋体" w:cs="宋体"/>
          <w:b/>
          <w:sz w:val="44"/>
          <w:szCs w:val="44"/>
          <w:highlight w:val="none"/>
        </w:rPr>
      </w:pPr>
      <w:r>
        <w:rPr>
          <w:rFonts w:hint="eastAsia" w:ascii="宋体" w:hAnsi="宋体" w:cs="宋体"/>
          <w:b/>
          <w:sz w:val="44"/>
          <w:szCs w:val="44"/>
          <w:highlight w:val="none"/>
        </w:rPr>
        <w:t xml:space="preserve"> </w:t>
      </w:r>
    </w:p>
    <w:p>
      <w:pPr>
        <w:spacing w:line="360" w:lineRule="auto"/>
        <w:jc w:val="center"/>
        <w:rPr>
          <w:rFonts w:hint="eastAsia" w:eastAsia="宋体"/>
          <w:highlight w:val="none"/>
          <w:lang w:eastAsia="zh-CN"/>
        </w:rPr>
      </w:pPr>
      <w:r>
        <w:rPr>
          <w:rFonts w:hint="eastAsia" w:ascii="宋体" w:hAnsi="宋体" w:cs="宋体"/>
          <w:b/>
          <w:sz w:val="36"/>
          <w:szCs w:val="36"/>
          <w:highlight w:val="none"/>
          <w:lang w:val="en-US" w:eastAsia="zh-CN"/>
        </w:rPr>
        <w:t xml:space="preserve">秦汉新城渭河福银高速桥至横桥段滩面区域绿化养护 </w:t>
      </w:r>
      <w:r>
        <w:rPr>
          <w:rFonts w:hint="eastAsia" w:ascii="宋体" w:hAnsi="宋体" w:cs="宋体"/>
          <w:b/>
          <w:sz w:val="44"/>
          <w:szCs w:val="44"/>
          <w:highlight w:val="none"/>
          <w:lang w:val="en-US" w:eastAsia="zh-CN"/>
        </w:rPr>
        <w:t xml:space="preserve"> </w:t>
      </w:r>
    </w:p>
    <w:p>
      <w:pPr>
        <w:spacing w:line="360" w:lineRule="auto"/>
        <w:jc w:val="center"/>
        <w:rPr>
          <w:rFonts w:hint="eastAsia" w:ascii="宋体" w:hAnsi="宋体" w:cs="宋体"/>
          <w:b/>
          <w:sz w:val="44"/>
          <w:szCs w:val="44"/>
          <w:highlight w:val="none"/>
        </w:rPr>
      </w:pPr>
    </w:p>
    <w:p>
      <w:pPr>
        <w:pStyle w:val="16"/>
        <w:rPr>
          <w:rFonts w:hint="eastAsia"/>
          <w:highlight w:val="none"/>
        </w:rPr>
      </w:pPr>
    </w:p>
    <w:p>
      <w:pPr>
        <w:spacing w:line="360" w:lineRule="auto"/>
        <w:ind w:right="33"/>
        <w:rPr>
          <w:rFonts w:hint="eastAsia" w:ascii="宋体" w:hAnsi="宋体" w:cs="宋体"/>
          <w:color w:val="000000"/>
          <w:sz w:val="22"/>
          <w:highlight w:val="none"/>
        </w:rPr>
      </w:pPr>
    </w:p>
    <w:p>
      <w:pPr>
        <w:widowControl/>
        <w:tabs>
          <w:tab w:val="left" w:pos="3828"/>
        </w:tabs>
        <w:autoSpaceDE w:val="0"/>
        <w:autoSpaceDN w:val="0"/>
        <w:jc w:val="center"/>
        <w:textAlignment w:val="bottom"/>
        <w:rPr>
          <w:rFonts w:hint="eastAsia" w:ascii="宋体" w:hAnsi="宋体" w:eastAsia="宋体" w:cs="宋体"/>
          <w:b/>
          <w:color w:val="000000"/>
          <w:spacing w:val="66"/>
          <w:kern w:val="0"/>
          <w:sz w:val="72"/>
          <w:szCs w:val="112"/>
          <w:highlight w:val="none"/>
          <w:lang w:eastAsia="zh-CN"/>
          <w14:shadow w14:blurRad="50800" w14:dist="38100" w14:dir="2700000" w14:sx="100000" w14:sy="100000" w14:kx="0" w14:ky="0" w14:algn="tl">
            <w14:srgbClr w14:val="000000">
              <w14:alpha w14:val="60000"/>
            </w14:srgbClr>
          </w14:shadow>
        </w:rPr>
      </w:pPr>
      <w:r>
        <w:rPr>
          <w:rFonts w:hint="eastAsia" w:ascii="宋体" w:hAnsi="宋体" w:cs="宋体"/>
          <w:b/>
          <w:color w:val="000000"/>
          <w:spacing w:val="66"/>
          <w:kern w:val="0"/>
          <w:sz w:val="72"/>
          <w:szCs w:val="112"/>
          <w:highlight w:val="none"/>
          <w:lang w:eastAsia="zh-CN"/>
        </w:rPr>
        <w:t>招标文件</w:t>
      </w:r>
    </w:p>
    <w:p>
      <w:pPr>
        <w:spacing w:before="120" w:beforeLines="50"/>
        <w:jc w:val="center"/>
        <w:rPr>
          <w:rFonts w:hint="eastAsia"/>
          <w:b/>
          <w:bCs/>
          <w:sz w:val="40"/>
          <w:szCs w:val="40"/>
          <w:highlight w:val="none"/>
        </w:rPr>
      </w:pPr>
      <w:bookmarkStart w:id="0" w:name="_Toc23193"/>
      <w:r>
        <w:rPr>
          <w:rFonts w:hint="eastAsia"/>
          <w:b/>
          <w:bCs/>
          <w:sz w:val="40"/>
          <w:szCs w:val="40"/>
          <w:highlight w:val="none"/>
        </w:rPr>
        <w:t>（</w:t>
      </w:r>
      <w:r>
        <w:rPr>
          <w:rFonts w:hint="eastAsia"/>
          <w:b/>
          <w:bCs/>
          <w:sz w:val="40"/>
          <w:szCs w:val="40"/>
          <w:highlight w:val="none"/>
          <w:lang w:val="en-US" w:eastAsia="zh-CN"/>
        </w:rPr>
        <w:t>项目</w:t>
      </w:r>
      <w:r>
        <w:rPr>
          <w:rFonts w:hint="eastAsia" w:cs="Times New Roman"/>
          <w:b/>
          <w:bCs/>
          <w:sz w:val="40"/>
          <w:szCs w:val="40"/>
          <w:highlight w:val="none"/>
          <w:lang w:val="en-US" w:eastAsia="zh-CN"/>
        </w:rPr>
        <w:t>编号：</w:t>
      </w:r>
      <w:r>
        <w:rPr>
          <w:rFonts w:hint="eastAsia" w:cs="Times New Roman"/>
          <w:b/>
          <w:bCs/>
          <w:sz w:val="40"/>
          <w:szCs w:val="40"/>
          <w:highlight w:val="none"/>
          <w:lang w:eastAsia="zh-CN"/>
        </w:rPr>
        <w:t>RXCG-2023017</w:t>
      </w:r>
      <w:r>
        <w:rPr>
          <w:rFonts w:hint="eastAsia" w:ascii="Times New Roman" w:hAnsi="Times New Roman" w:eastAsia="宋体" w:cs="Times New Roman"/>
          <w:b/>
          <w:bCs/>
          <w:sz w:val="40"/>
          <w:szCs w:val="40"/>
          <w:highlight w:val="none"/>
        </w:rPr>
        <w:t>）</w:t>
      </w:r>
      <w:bookmarkEnd w:id="0"/>
    </w:p>
    <w:p>
      <w:pPr>
        <w:pStyle w:val="16"/>
        <w:rPr>
          <w:rFonts w:hint="eastAsia"/>
          <w:b/>
          <w:bCs/>
          <w:sz w:val="40"/>
          <w:szCs w:val="40"/>
          <w:highlight w:val="none"/>
        </w:rPr>
      </w:pPr>
      <w:r>
        <w:rPr>
          <w:rFonts w:hint="eastAsia" w:ascii="黑体" w:hAnsi="Times New Roman" w:eastAsia="黑体" w:cs="Times New Roman"/>
          <w:b/>
          <w:sz w:val="32"/>
          <w:szCs w:val="32"/>
          <w:highlight w:val="none"/>
          <w:lang w:val="en-US" w:eastAsia="zh-CN"/>
        </w:rPr>
        <w:drawing>
          <wp:anchor distT="0" distB="0" distL="114300" distR="114300" simplePos="0" relativeHeight="251660288" behindDoc="0" locked="0" layoutInCell="1" allowOverlap="1">
            <wp:simplePos x="0" y="0"/>
            <wp:positionH relativeFrom="column">
              <wp:posOffset>1696085</wp:posOffset>
            </wp:positionH>
            <wp:positionV relativeFrom="paragraph">
              <wp:posOffset>152400</wp:posOffset>
            </wp:positionV>
            <wp:extent cx="2238375" cy="1922145"/>
            <wp:effectExtent l="0" t="0" r="9525" b="19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2238375" cy="1922145"/>
                    </a:xfrm>
                    <a:prstGeom prst="rect">
                      <a:avLst/>
                    </a:prstGeom>
                    <a:noFill/>
                    <a:ln>
                      <a:noFill/>
                    </a:ln>
                  </pic:spPr>
                </pic:pic>
              </a:graphicData>
            </a:graphic>
          </wp:anchor>
        </w:drawing>
      </w:r>
    </w:p>
    <w:p>
      <w:pPr>
        <w:rPr>
          <w:rFonts w:hint="eastAsia"/>
          <w:b/>
          <w:bCs/>
          <w:sz w:val="40"/>
          <w:szCs w:val="40"/>
          <w:highlight w:val="none"/>
        </w:rPr>
      </w:pPr>
    </w:p>
    <w:p>
      <w:pPr>
        <w:pStyle w:val="16"/>
        <w:rPr>
          <w:rFonts w:hint="eastAsia"/>
          <w:b/>
          <w:bCs/>
          <w:sz w:val="40"/>
          <w:szCs w:val="40"/>
          <w:highlight w:val="none"/>
        </w:rPr>
      </w:pPr>
    </w:p>
    <w:p>
      <w:pPr>
        <w:pStyle w:val="17"/>
        <w:rPr>
          <w:rFonts w:hint="eastAsia"/>
          <w:highlight w:val="none"/>
        </w:rPr>
      </w:pPr>
    </w:p>
    <w:p>
      <w:pPr>
        <w:rPr>
          <w:rFonts w:hint="eastAsia"/>
          <w:b/>
          <w:bCs/>
          <w:sz w:val="40"/>
          <w:szCs w:val="40"/>
          <w:highlight w:val="none"/>
        </w:rPr>
      </w:pPr>
    </w:p>
    <w:p>
      <w:pPr>
        <w:pStyle w:val="24"/>
        <w:rPr>
          <w:rFonts w:hint="eastAsia"/>
          <w:highlight w:val="none"/>
        </w:rPr>
      </w:pPr>
    </w:p>
    <w:p>
      <w:pPr>
        <w:pStyle w:val="24"/>
        <w:rPr>
          <w:rFonts w:hint="eastAsia"/>
          <w:highlight w:val="none"/>
        </w:rPr>
      </w:pPr>
    </w:p>
    <w:p>
      <w:pPr>
        <w:pStyle w:val="24"/>
        <w:rPr>
          <w:rFonts w:hint="eastAsia"/>
          <w:highlight w:val="none"/>
        </w:rPr>
      </w:pPr>
    </w:p>
    <w:p>
      <w:pPr>
        <w:spacing w:before="120" w:beforeLines="50" w:after="120" w:afterLines="50" w:line="600" w:lineRule="exact"/>
        <w:jc w:val="both"/>
        <w:rPr>
          <w:rFonts w:hint="eastAsia" w:ascii="宋体" w:hAnsi="宋体" w:cs="宋体"/>
          <w:b/>
          <w:bCs/>
          <w:color w:val="000000"/>
          <w:sz w:val="32"/>
          <w:szCs w:val="32"/>
          <w:highlight w:val="none"/>
          <w:lang w:val="es-ES"/>
        </w:rPr>
      </w:pPr>
    </w:p>
    <w:p>
      <w:pPr>
        <w:pStyle w:val="16"/>
        <w:rPr>
          <w:rFonts w:hint="eastAsia"/>
          <w:highlight w:val="none"/>
          <w:lang w:val="es-ES"/>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ind w:firstLine="1606" w:firstLineChars="500"/>
        <w:jc w:val="both"/>
        <w:textAlignment w:val="auto"/>
        <w:rPr>
          <w:rFonts w:hint="default" w:ascii="宋体" w:hAnsi="宋体" w:eastAsia="宋体" w:cs="宋体"/>
          <w:b/>
          <w:bCs/>
          <w:color w:val="000000"/>
          <w:sz w:val="32"/>
          <w:szCs w:val="32"/>
          <w:highlight w:val="none"/>
          <w:u w:val="single"/>
          <w:lang w:val="en-US" w:eastAsia="zh-CN"/>
        </w:rPr>
      </w:pPr>
      <w:r>
        <w:rPr>
          <w:rFonts w:hint="eastAsia" w:ascii="宋体" w:hAnsi="宋体" w:cs="宋体"/>
          <w:b/>
          <w:bCs/>
          <w:color w:val="000000"/>
          <w:sz w:val="32"/>
          <w:szCs w:val="32"/>
          <w:highlight w:val="none"/>
          <w:lang w:val="en-US" w:eastAsia="zh-CN"/>
        </w:rPr>
        <w:t>采购人：</w:t>
      </w:r>
      <w:r>
        <w:rPr>
          <w:rFonts w:hint="eastAsia" w:ascii="宋体" w:hAnsi="宋体" w:cs="宋体"/>
          <w:b/>
          <w:bCs/>
          <w:color w:val="000000"/>
          <w:sz w:val="32"/>
          <w:szCs w:val="32"/>
          <w:highlight w:val="none"/>
          <w:u w:val="single"/>
          <w:lang w:val="es-ES" w:eastAsia="zh-CN"/>
        </w:rPr>
        <w:t>陕西省西咸新区秦汉新城综合行政执法支队</w:t>
      </w:r>
      <w:r>
        <w:rPr>
          <w:rFonts w:hint="eastAsia" w:ascii="宋体" w:hAnsi="宋体" w:cs="宋体"/>
          <w:b/>
          <w:bCs/>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jc w:val="center"/>
        <w:textAlignment w:val="auto"/>
        <w:rPr>
          <w:rFonts w:hint="default" w:ascii="宋体" w:hAnsi="宋体" w:eastAsia="宋体" w:cs="宋体"/>
          <w:b/>
          <w:bCs/>
          <w:color w:val="000000"/>
          <w:sz w:val="32"/>
          <w:szCs w:val="32"/>
          <w:highlight w:val="none"/>
          <w:u w:val="single"/>
          <w:lang w:val="en-US" w:eastAsia="zh-CN"/>
        </w:rPr>
      </w:pPr>
      <w:r>
        <w:rPr>
          <w:rFonts w:hint="eastAsia" w:ascii="宋体" w:hAnsi="宋体" w:cs="宋体"/>
          <w:b/>
          <w:bCs/>
          <w:color w:val="000000"/>
          <w:sz w:val="32"/>
          <w:szCs w:val="32"/>
          <w:highlight w:val="none"/>
          <w:lang w:val="en-US" w:eastAsia="zh-CN"/>
        </w:rPr>
        <w:t xml:space="preserve">  </w:t>
      </w:r>
      <w:r>
        <w:rPr>
          <w:rFonts w:hint="eastAsia" w:ascii="宋体" w:hAnsi="宋体" w:cs="宋体"/>
          <w:b/>
          <w:bCs/>
          <w:color w:val="000000"/>
          <w:sz w:val="32"/>
          <w:szCs w:val="32"/>
          <w:highlight w:val="none"/>
          <w:lang w:val="es-ES"/>
        </w:rPr>
        <w:t>采购代理机构：</w:t>
      </w:r>
      <w:r>
        <w:rPr>
          <w:rFonts w:hint="eastAsia" w:ascii="宋体" w:hAnsi="宋体" w:cs="宋体"/>
          <w:b/>
          <w:bCs/>
          <w:color w:val="000000"/>
          <w:sz w:val="32"/>
          <w:szCs w:val="32"/>
          <w:highlight w:val="none"/>
          <w:u w:val="single"/>
          <w:lang w:val="es-ES" w:eastAsia="zh-CN"/>
        </w:rPr>
        <w:t>瑞信国际项目管理有限公司</w:t>
      </w:r>
      <w:r>
        <w:rPr>
          <w:rFonts w:hint="eastAsia" w:ascii="宋体" w:hAnsi="宋体" w:cs="宋体"/>
          <w:b/>
          <w:bCs/>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480" w:lineRule="auto"/>
        <w:jc w:val="center"/>
        <w:textAlignment w:val="auto"/>
        <w:rPr>
          <w:rFonts w:hint="eastAsia" w:ascii="宋体" w:hAnsi="宋体" w:cs="宋体"/>
          <w:b/>
          <w:bCs/>
          <w:sz w:val="32"/>
          <w:szCs w:val="32"/>
          <w:highlight w:val="none"/>
          <w:lang w:val="zh-CN"/>
        </w:rPr>
        <w:sectPr>
          <w:headerReference r:id="rId3" w:type="default"/>
          <w:footerReference r:id="rId4" w:type="default"/>
          <w:pgSz w:w="11923" w:h="16860"/>
          <w:pgMar w:top="1417" w:right="1417" w:bottom="1417" w:left="1417" w:header="850" w:footer="907" w:gutter="0"/>
          <w:pgBorders>
            <w:top w:val="none" w:sz="0" w:space="0"/>
            <w:left w:val="none" w:sz="0" w:space="0"/>
            <w:bottom w:val="thinThickSmallGap" w:color="auto" w:sz="24" w:space="1"/>
            <w:right w:val="none" w:sz="0" w:space="0"/>
          </w:pgBorders>
          <w:pgNumType w:start="1"/>
          <w:cols w:space="720" w:num="1"/>
        </w:sectPr>
      </w:pPr>
      <w:r>
        <w:rPr>
          <w:rFonts w:hint="eastAsia" w:ascii="宋体" w:hAnsi="宋体" w:cs="宋体"/>
          <w:b/>
          <w:bCs/>
          <w:color w:val="000000"/>
          <w:sz w:val="32"/>
          <w:szCs w:val="32"/>
          <w:highlight w:val="none"/>
          <w:lang w:val="es-ES"/>
        </w:rPr>
        <w:t>二〇二</w:t>
      </w:r>
      <w:r>
        <w:rPr>
          <w:rFonts w:hint="eastAsia" w:ascii="宋体" w:hAnsi="宋体" w:cs="宋体"/>
          <w:b/>
          <w:bCs/>
          <w:color w:val="000000"/>
          <w:sz w:val="32"/>
          <w:szCs w:val="32"/>
          <w:highlight w:val="none"/>
          <w:lang w:val="en-US" w:eastAsia="zh-CN"/>
        </w:rPr>
        <w:t>三</w:t>
      </w:r>
      <w:r>
        <w:rPr>
          <w:rFonts w:hint="eastAsia" w:ascii="宋体" w:hAnsi="宋体" w:cs="宋体"/>
          <w:b/>
          <w:bCs/>
          <w:color w:val="000000"/>
          <w:sz w:val="32"/>
          <w:szCs w:val="32"/>
          <w:highlight w:val="none"/>
          <w:lang w:val="es-ES"/>
        </w:rPr>
        <w:t>年</w:t>
      </w:r>
      <w:r>
        <w:rPr>
          <w:rFonts w:hint="eastAsia" w:ascii="宋体" w:hAnsi="宋体" w:cs="宋体"/>
          <w:b/>
          <w:bCs/>
          <w:color w:val="000000"/>
          <w:sz w:val="32"/>
          <w:szCs w:val="32"/>
          <w:highlight w:val="none"/>
          <w:lang w:val="en-US" w:eastAsia="zh-CN"/>
        </w:rPr>
        <w:t>五</w:t>
      </w:r>
      <w:r>
        <w:rPr>
          <w:rFonts w:hint="eastAsia" w:ascii="宋体" w:hAnsi="宋体" w:cs="宋体"/>
          <w:b/>
          <w:bCs/>
          <w:color w:val="000000"/>
          <w:sz w:val="32"/>
          <w:szCs w:val="32"/>
          <w:highlight w:val="none"/>
          <w:lang w:val="es-ES"/>
        </w:rPr>
        <w:t>月</w:t>
      </w:r>
      <w:bookmarkStart w:id="1" w:name="_Toc18166"/>
      <w:bookmarkStart w:id="2" w:name="_Toc196474972"/>
    </w:p>
    <w:p>
      <w:pPr>
        <w:pStyle w:val="32"/>
        <w:tabs>
          <w:tab w:val="right" w:leader="dot" w:pos="9458"/>
        </w:tabs>
        <w:spacing w:line="600" w:lineRule="exact"/>
        <w:ind w:left="0" w:leftChars="0"/>
        <w:jc w:val="center"/>
        <w:rPr>
          <w:rFonts w:hint="eastAsia" w:ascii="宋体" w:hAnsi="宋体" w:cs="宋体"/>
          <w:b/>
          <w:bCs/>
          <w:sz w:val="48"/>
          <w:szCs w:val="48"/>
          <w:highlight w:val="none"/>
          <w:lang w:val="zh-CN"/>
        </w:rPr>
      </w:pPr>
      <w:r>
        <w:rPr>
          <w:rFonts w:hint="eastAsia" w:ascii="宋体" w:hAnsi="宋体" w:cs="宋体"/>
          <w:b/>
          <w:bCs/>
          <w:sz w:val="48"/>
          <w:szCs w:val="48"/>
          <w:highlight w:val="none"/>
          <w:lang w:val="zh-CN"/>
        </w:rPr>
        <w:t>目   录</w:t>
      </w:r>
      <w:bookmarkEnd w:id="1"/>
    </w:p>
    <w:p>
      <w:pPr>
        <w:pStyle w:val="32"/>
        <w:tabs>
          <w:tab w:val="right" w:leader="dot" w:pos="9458"/>
        </w:tabs>
        <w:spacing w:line="600" w:lineRule="exact"/>
        <w:ind w:left="0" w:leftChars="0"/>
        <w:jc w:val="center"/>
        <w:rPr>
          <w:rFonts w:hint="eastAsia" w:ascii="宋体" w:hAnsi="宋体" w:cs="宋体"/>
          <w:bCs/>
          <w:kern w:val="2"/>
          <w:sz w:val="24"/>
          <w:szCs w:val="24"/>
          <w:highlight w:val="none"/>
          <w:lang w:val="en-US" w:eastAsia="zh-CN" w:bidi="ar-SA"/>
        </w:rPr>
      </w:pPr>
      <w:r>
        <w:rPr>
          <w:rFonts w:hint="eastAsia" w:cs="宋体"/>
          <w:sz w:val="24"/>
          <w:highlight w:val="none"/>
        </w:rPr>
        <w:fldChar w:fldCharType="begin"/>
      </w:r>
      <w:r>
        <w:rPr>
          <w:rFonts w:hint="eastAsia" w:cs="宋体"/>
          <w:sz w:val="24"/>
          <w:highlight w:val="none"/>
        </w:rPr>
        <w:instrText xml:space="preserve">TOC \o "1-1" \h \u </w:instrText>
      </w:r>
      <w:r>
        <w:rPr>
          <w:rFonts w:hint="eastAsia" w:cs="宋体"/>
          <w:sz w:val="24"/>
          <w:highlight w:val="none"/>
        </w:rPr>
        <w:fldChar w:fldCharType="separate"/>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_Toc18036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第一章  招标公告</w:t>
      </w:r>
      <w:r>
        <w:rPr>
          <w:highlight w:val="none"/>
        </w:rPr>
        <w:tab/>
      </w:r>
      <w:r>
        <w:rPr>
          <w:highlight w:val="none"/>
        </w:rPr>
        <w:fldChar w:fldCharType="begin"/>
      </w:r>
      <w:r>
        <w:rPr>
          <w:highlight w:val="none"/>
        </w:rPr>
        <w:instrText xml:space="preserve"> PAGEREF _Toc18036 </w:instrText>
      </w:r>
      <w:r>
        <w:rPr>
          <w:highlight w:val="none"/>
        </w:rPr>
        <w:fldChar w:fldCharType="separate"/>
      </w:r>
      <w:r>
        <w:rPr>
          <w:highlight w:val="none"/>
        </w:rPr>
        <w:t>1</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_Toc3308 </w:instrText>
      </w:r>
      <w:r>
        <w:rPr>
          <w:rFonts w:hint="eastAsia" w:ascii="宋体" w:hAnsi="宋体" w:cs="宋体"/>
          <w:bCs w:val="0"/>
          <w:highlight w:val="none"/>
        </w:rPr>
        <w:fldChar w:fldCharType="separate"/>
      </w:r>
      <w:r>
        <w:rPr>
          <w:rFonts w:hint="eastAsia" w:ascii="宋体" w:hAnsi="宋体" w:eastAsia="宋体" w:cs="宋体"/>
          <w:bCs/>
          <w:szCs w:val="36"/>
          <w:highlight w:val="none"/>
        </w:rPr>
        <w:t xml:space="preserve">第二章  </w:t>
      </w:r>
      <w:r>
        <w:rPr>
          <w:rFonts w:hint="eastAsia" w:cs="宋体"/>
          <w:bCs/>
          <w:szCs w:val="36"/>
          <w:highlight w:val="none"/>
          <w:lang w:eastAsia="zh-CN"/>
        </w:rPr>
        <w:t>投标供应商</w:t>
      </w:r>
      <w:r>
        <w:rPr>
          <w:rFonts w:hint="eastAsia" w:ascii="宋体" w:hAnsi="宋体" w:eastAsia="宋体" w:cs="宋体"/>
          <w:bCs/>
          <w:szCs w:val="36"/>
          <w:highlight w:val="none"/>
        </w:rPr>
        <w:t>须知</w:t>
      </w:r>
      <w:r>
        <w:rPr>
          <w:highlight w:val="none"/>
        </w:rPr>
        <w:tab/>
      </w:r>
      <w:r>
        <w:rPr>
          <w:rFonts w:hint="eastAsia"/>
          <w:highlight w:val="none"/>
          <w:lang w:val="en-US" w:eastAsia="zh-CN"/>
        </w:rPr>
        <w:t>6</w:t>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_Toc22431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第三章  评标办法</w:t>
      </w:r>
      <w:r>
        <w:rPr>
          <w:highlight w:val="none"/>
        </w:rPr>
        <w:tab/>
      </w:r>
      <w:r>
        <w:rPr>
          <w:highlight w:val="none"/>
        </w:rPr>
        <w:fldChar w:fldCharType="begin"/>
      </w:r>
      <w:r>
        <w:rPr>
          <w:highlight w:val="none"/>
        </w:rPr>
        <w:instrText xml:space="preserve"> PAGEREF _Toc22431 </w:instrText>
      </w:r>
      <w:r>
        <w:rPr>
          <w:highlight w:val="none"/>
        </w:rPr>
        <w:fldChar w:fldCharType="separate"/>
      </w:r>
      <w:r>
        <w:rPr>
          <w:highlight w:val="none"/>
        </w:rPr>
        <w:t>28</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_Toc18083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第四章  采购内容及技术要求</w:t>
      </w:r>
      <w:r>
        <w:rPr>
          <w:highlight w:val="none"/>
        </w:rPr>
        <w:tab/>
      </w:r>
      <w:r>
        <w:rPr>
          <w:highlight w:val="none"/>
        </w:rPr>
        <w:fldChar w:fldCharType="begin"/>
      </w:r>
      <w:r>
        <w:rPr>
          <w:highlight w:val="none"/>
        </w:rPr>
        <w:instrText xml:space="preserve"> PAGEREF _Toc18083 </w:instrText>
      </w:r>
      <w:r>
        <w:rPr>
          <w:highlight w:val="none"/>
        </w:rPr>
        <w:fldChar w:fldCharType="separate"/>
      </w:r>
      <w:r>
        <w:rPr>
          <w:highlight w:val="none"/>
        </w:rPr>
        <w:t>42</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_Toc20463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第五章  合同格式与主要条款</w:t>
      </w:r>
      <w:r>
        <w:rPr>
          <w:highlight w:val="none"/>
        </w:rPr>
        <w:tab/>
      </w:r>
      <w:r>
        <w:rPr>
          <w:highlight w:val="none"/>
        </w:rPr>
        <w:fldChar w:fldCharType="begin"/>
      </w:r>
      <w:r>
        <w:rPr>
          <w:highlight w:val="none"/>
        </w:rPr>
        <w:instrText xml:space="preserve"> PAGEREF _Toc20463 </w:instrText>
      </w:r>
      <w:r>
        <w:rPr>
          <w:highlight w:val="none"/>
        </w:rPr>
        <w:fldChar w:fldCharType="separate"/>
      </w:r>
      <w:r>
        <w:rPr>
          <w:highlight w:val="none"/>
        </w:rPr>
        <w:t>55</w:t>
      </w:r>
      <w:r>
        <w:rPr>
          <w:highlight w:val="none"/>
        </w:rPr>
        <w:fldChar w:fldCharType="end"/>
      </w:r>
      <w:r>
        <w:rPr>
          <w:rFonts w:hint="eastAsia" w:ascii="宋体" w:hAnsi="宋体" w:cs="宋体"/>
          <w:bCs w:val="0"/>
          <w:highlight w:val="none"/>
        </w:rPr>
        <w:fldChar w:fldCharType="end"/>
      </w:r>
    </w:p>
    <w:p>
      <w:pPr>
        <w:pStyle w:val="29"/>
        <w:tabs>
          <w:tab w:val="right" w:leader="dot" w:pos="9089"/>
          <w:tab w:val="clear" w:pos="8280"/>
          <w:tab w:val="clear" w:pos="9360"/>
        </w:tabs>
        <w:spacing w:line="480" w:lineRule="auto"/>
        <w:ind w:left="0" w:leftChars="0" w:firstLine="0" w:firstLineChars="0"/>
        <w:jc w:val="left"/>
        <w:rPr>
          <w:highlight w:val="none"/>
        </w:rPr>
      </w:pPr>
      <w:r>
        <w:rPr>
          <w:rFonts w:hint="eastAsia" w:ascii="宋体" w:hAnsi="宋体" w:cs="宋体"/>
          <w:bCs w:val="0"/>
          <w:highlight w:val="none"/>
        </w:rPr>
        <w:fldChar w:fldCharType="begin"/>
      </w:r>
      <w:r>
        <w:rPr>
          <w:rFonts w:hint="eastAsia" w:ascii="宋体" w:hAnsi="宋体" w:cs="宋体"/>
          <w:bCs w:val="0"/>
          <w:highlight w:val="none"/>
        </w:rPr>
        <w:instrText xml:space="preserve"> HYPERLINK \l _Toc9715 </w:instrText>
      </w:r>
      <w:r>
        <w:rPr>
          <w:rFonts w:hint="eastAsia" w:ascii="宋体" w:hAnsi="宋体" w:cs="宋体"/>
          <w:bCs w:val="0"/>
          <w:highlight w:val="none"/>
        </w:rPr>
        <w:fldChar w:fldCharType="separate"/>
      </w:r>
      <w:r>
        <w:rPr>
          <w:rFonts w:hint="eastAsia" w:ascii="宋体" w:hAnsi="宋体" w:eastAsia="宋体" w:cs="宋体"/>
          <w:bCs/>
          <w:szCs w:val="36"/>
          <w:highlight w:val="none"/>
        </w:rPr>
        <w:t>第六章  投标文件格式</w:t>
      </w:r>
      <w:r>
        <w:rPr>
          <w:highlight w:val="none"/>
        </w:rPr>
        <w:tab/>
      </w:r>
      <w:r>
        <w:rPr>
          <w:highlight w:val="none"/>
        </w:rPr>
        <w:fldChar w:fldCharType="begin"/>
      </w:r>
      <w:r>
        <w:rPr>
          <w:highlight w:val="none"/>
        </w:rPr>
        <w:instrText xml:space="preserve"> PAGEREF _Toc9715 </w:instrText>
      </w:r>
      <w:r>
        <w:rPr>
          <w:highlight w:val="none"/>
        </w:rPr>
        <w:fldChar w:fldCharType="separate"/>
      </w:r>
      <w:r>
        <w:rPr>
          <w:highlight w:val="none"/>
        </w:rPr>
        <w:t>71</w:t>
      </w:r>
      <w:r>
        <w:rPr>
          <w:highlight w:val="none"/>
        </w:rPr>
        <w:fldChar w:fldCharType="end"/>
      </w:r>
      <w:r>
        <w:rPr>
          <w:rFonts w:hint="eastAsia" w:ascii="宋体" w:hAnsi="宋体" w:cs="宋体"/>
          <w:bCs w:val="0"/>
          <w:highlight w:val="none"/>
        </w:rPr>
        <w:fldChar w:fldCharType="end"/>
      </w:r>
    </w:p>
    <w:p>
      <w:pPr>
        <w:tabs>
          <w:tab w:val="right" w:leader="dot" w:pos="9458"/>
        </w:tabs>
        <w:spacing w:line="600" w:lineRule="exact"/>
        <w:ind w:left="0" w:leftChars="0"/>
        <w:jc w:val="center"/>
        <w:rPr>
          <w:rFonts w:hint="eastAsia" w:ascii="宋体" w:hAnsi="宋体" w:cs="宋体"/>
          <w:szCs w:val="21"/>
          <w:highlight w:val="none"/>
        </w:rPr>
      </w:pPr>
      <w:r>
        <w:rPr>
          <w:rFonts w:hint="eastAsia" w:ascii="宋体" w:hAnsi="宋体" w:cs="宋体"/>
          <w:bCs/>
          <w:sz w:val="24"/>
          <w:highlight w:val="none"/>
        </w:rPr>
        <w:fldChar w:fldCharType="end"/>
      </w: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Cs w:val="21"/>
          <w:highlight w:val="none"/>
        </w:rPr>
      </w:pPr>
    </w:p>
    <w:p>
      <w:pPr>
        <w:pStyle w:val="32"/>
        <w:tabs>
          <w:tab w:val="right" w:leader="dot" w:pos="9458"/>
        </w:tabs>
        <w:spacing w:line="600" w:lineRule="exact"/>
        <w:ind w:left="0" w:leftChars="0"/>
        <w:rPr>
          <w:rFonts w:hint="eastAsia" w:ascii="宋体" w:hAnsi="宋体" w:cs="宋体"/>
          <w:sz w:val="36"/>
          <w:szCs w:val="36"/>
          <w:highlight w:val="none"/>
        </w:rPr>
      </w:pPr>
      <w:bookmarkStart w:id="3" w:name="_Toc204055778"/>
      <w:bookmarkStart w:id="4" w:name="_Toc222740105"/>
    </w:p>
    <w:p>
      <w:pPr>
        <w:rPr>
          <w:rFonts w:hint="eastAsia" w:ascii="宋体" w:hAnsi="宋体" w:cs="宋体"/>
          <w:sz w:val="36"/>
          <w:szCs w:val="36"/>
          <w:highlight w:val="none"/>
        </w:rPr>
      </w:pPr>
    </w:p>
    <w:p>
      <w:pPr>
        <w:rPr>
          <w:rFonts w:hint="eastAsia" w:ascii="宋体" w:hAnsi="宋体" w:cs="宋体"/>
          <w:sz w:val="36"/>
          <w:szCs w:val="36"/>
          <w:highlight w:val="none"/>
        </w:rPr>
      </w:pPr>
    </w:p>
    <w:p>
      <w:pPr>
        <w:rPr>
          <w:rFonts w:hint="eastAsia" w:ascii="宋体" w:hAnsi="宋体" w:cs="宋体"/>
          <w:sz w:val="36"/>
          <w:szCs w:val="36"/>
          <w:highlight w:val="none"/>
        </w:rPr>
      </w:pPr>
    </w:p>
    <w:p>
      <w:pPr>
        <w:pStyle w:val="4"/>
        <w:numPr>
          <w:ilvl w:val="0"/>
          <w:numId w:val="0"/>
        </w:numPr>
        <w:spacing w:before="200" w:after="200"/>
        <w:jc w:val="both"/>
        <w:rPr>
          <w:rFonts w:hint="eastAsia" w:ascii="宋体" w:hAnsi="宋体" w:eastAsia="宋体" w:cs="宋体"/>
          <w:b/>
          <w:bCs/>
          <w:sz w:val="36"/>
          <w:szCs w:val="36"/>
          <w:highlight w:val="none"/>
        </w:rPr>
        <w:sectPr>
          <w:pgSz w:w="11923" w:h="16860"/>
          <w:pgMar w:top="1417" w:right="1417" w:bottom="1417" w:left="1417" w:header="850" w:footer="907" w:gutter="0"/>
          <w:pgBorders>
            <w:top w:val="none" w:sz="0" w:space="0"/>
            <w:left w:val="none" w:sz="0" w:space="0"/>
            <w:bottom w:val="thinThickSmallGap" w:color="auto" w:sz="24" w:space="1"/>
            <w:right w:val="none" w:sz="0" w:space="0"/>
          </w:pgBorders>
          <w:pgNumType w:start="1"/>
          <w:cols w:space="720" w:num="1"/>
        </w:sectPr>
      </w:pPr>
    </w:p>
    <w:bookmarkEnd w:id="2"/>
    <w:bookmarkEnd w:id="3"/>
    <w:bookmarkEnd w:id="4"/>
    <w:p>
      <w:pPr>
        <w:pStyle w:val="3"/>
        <w:numPr>
          <w:ilvl w:val="0"/>
          <w:numId w:val="0"/>
        </w:numPr>
        <w:rPr>
          <w:rFonts w:hint="eastAsia" w:ascii="宋体" w:hAnsi="宋体" w:eastAsia="宋体" w:cs="宋体"/>
          <w:b/>
          <w:bCs/>
          <w:sz w:val="36"/>
          <w:szCs w:val="36"/>
          <w:highlight w:val="none"/>
        </w:rPr>
      </w:pPr>
      <w:bookmarkStart w:id="5" w:name="_Toc18036"/>
      <w:r>
        <w:rPr>
          <w:rFonts w:hint="eastAsia" w:ascii="宋体" w:hAnsi="宋体" w:eastAsia="宋体" w:cs="宋体"/>
          <w:b/>
          <w:bCs/>
          <w:sz w:val="36"/>
          <w:szCs w:val="36"/>
          <w:highlight w:val="none"/>
        </w:rPr>
        <w:t>第一章  招标公告</w:t>
      </w:r>
      <w:bookmarkEnd w:id="5"/>
    </w:p>
    <w:p>
      <w:pPr>
        <w:spacing w:line="500" w:lineRule="exact"/>
        <w:jc w:val="center"/>
        <w:rPr>
          <w:rFonts w:hint="eastAsia" w:ascii="宋体" w:hAnsi="宋体" w:eastAsia="宋体" w:cs="宋体"/>
          <w:color w:val="333333"/>
          <w:sz w:val="28"/>
          <w:szCs w:val="28"/>
          <w:highlight w:val="none"/>
          <w:vertAlign w:val="baseline"/>
          <w:lang w:val="en-US" w:eastAsia="zh-CN"/>
        </w:rPr>
      </w:pPr>
      <w:bookmarkStart w:id="6" w:name="_Toc404444231"/>
      <w:r>
        <w:rPr>
          <w:rFonts w:hint="eastAsia" w:ascii="宋体" w:hAnsi="宋体" w:cs="宋体"/>
          <w:b/>
          <w:sz w:val="28"/>
          <w:szCs w:val="28"/>
          <w:highlight w:val="none"/>
          <w:lang w:val="en-US" w:eastAsia="zh-CN"/>
        </w:rPr>
        <w:t>陕西省西咸新区秦汉新城综合行政执法支队秦汉新城渭河福银高速桥至横桥段滩面区域绿化养护</w:t>
      </w:r>
      <w:r>
        <w:rPr>
          <w:rFonts w:hint="eastAsia" w:ascii="宋体" w:hAnsi="宋体" w:eastAsia="宋体" w:cs="宋体"/>
          <w:b/>
          <w:kern w:val="2"/>
          <w:sz w:val="28"/>
          <w:szCs w:val="28"/>
          <w:highlight w:val="none"/>
          <w:lang w:val="en-US" w:eastAsia="zh-CN" w:bidi="ar-SA"/>
        </w:rPr>
        <w:t>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5" w:type="dxa"/>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项目概况</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秦汉新城渭河福银高速桥至横桥段滩面区域绿化养护招标项目的潜在投标人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应在全国公共资源交易平台（陕西省·西咸新区）自行下载获取招标文件，并于2023年</w:t>
            </w: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月</w:t>
            </w:r>
            <w:r>
              <w:rPr>
                <w:rFonts w:hint="eastAsia" w:cs="宋体"/>
                <w:i w:val="0"/>
                <w:iCs w:val="0"/>
                <w:caps w:val="0"/>
                <w:color w:val="333333"/>
                <w:spacing w:val="0"/>
                <w:sz w:val="21"/>
                <w:szCs w:val="21"/>
                <w:highlight w:val="none"/>
                <w:shd w:val="clear" w:fill="FFFFFF"/>
                <w:vertAlign w:val="baseline"/>
                <w:lang w:val="en-US" w:eastAsia="zh-CN"/>
              </w:rPr>
              <w:t>26</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日</w:t>
            </w:r>
            <w:r>
              <w:rPr>
                <w:rFonts w:hint="eastAsia" w:cs="宋体"/>
                <w:i w:val="0"/>
                <w:iCs w:val="0"/>
                <w:caps w:val="0"/>
                <w:color w:val="333333"/>
                <w:spacing w:val="0"/>
                <w:sz w:val="21"/>
                <w:szCs w:val="21"/>
                <w:highlight w:val="none"/>
                <w:shd w:val="clear" w:fill="FFFFFF"/>
                <w:vertAlign w:val="baseline"/>
                <w:lang w:val="en-US" w:eastAsia="zh-CN"/>
              </w:rPr>
              <w:t>9</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时</w:t>
            </w:r>
            <w:r>
              <w:rPr>
                <w:rFonts w:hint="eastAsia" w:cs="宋体"/>
                <w:i w:val="0"/>
                <w:iCs w:val="0"/>
                <w:caps w:val="0"/>
                <w:color w:val="333333"/>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分（北京时间）前递交投标文件。</w:t>
            </w:r>
          </w:p>
        </w:tc>
      </w:tr>
    </w:tbl>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b/>
          <w:bCs/>
          <w:i w:val="0"/>
          <w:iCs w:val="0"/>
          <w:caps w:val="0"/>
          <w:color w:val="333333"/>
          <w:spacing w:val="0"/>
          <w:sz w:val="21"/>
          <w:szCs w:val="21"/>
          <w:highlight w:val="none"/>
          <w:shd w:val="clear" w:fill="FFFFFF"/>
          <w:vertAlign w:val="baseline"/>
        </w:rPr>
      </w:pPr>
      <w:r>
        <w:rPr>
          <w:rFonts w:hint="eastAsia" w:ascii="宋体" w:hAnsi="宋体" w:eastAsia="宋体" w:cs="宋体"/>
          <w:b/>
          <w:bCs/>
          <w:i w:val="0"/>
          <w:iCs w:val="0"/>
          <w:caps w:val="0"/>
          <w:color w:val="333333"/>
          <w:spacing w:val="0"/>
          <w:sz w:val="21"/>
          <w:szCs w:val="21"/>
          <w:highlight w:val="none"/>
          <w:shd w:val="clear" w:fill="FFFFFF"/>
          <w:vertAlign w:val="baseline"/>
        </w:rPr>
        <w:t>一、项目基本情况</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项目编号：</w:t>
      </w:r>
      <w:r>
        <w:rPr>
          <w:rFonts w:hint="eastAsia" w:cs="宋体"/>
          <w:i w:val="0"/>
          <w:iCs w:val="0"/>
          <w:caps w:val="0"/>
          <w:color w:val="333333"/>
          <w:spacing w:val="0"/>
          <w:sz w:val="21"/>
          <w:szCs w:val="21"/>
          <w:highlight w:val="none"/>
          <w:shd w:val="clear" w:fill="FFFFFF"/>
          <w:vertAlign w:val="baseline"/>
          <w:lang w:eastAsia="zh-CN"/>
        </w:rPr>
        <w:t>RXCG-2023017</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项目名称：</w:t>
      </w:r>
      <w:r>
        <w:rPr>
          <w:rFonts w:hint="eastAsia" w:cs="宋体"/>
          <w:i w:val="0"/>
          <w:iCs w:val="0"/>
          <w:caps w:val="0"/>
          <w:color w:val="333333"/>
          <w:spacing w:val="0"/>
          <w:sz w:val="21"/>
          <w:szCs w:val="21"/>
          <w:highlight w:val="none"/>
          <w:shd w:val="clear" w:fill="FFFFFF"/>
          <w:vertAlign w:val="baseline"/>
          <w:lang w:val="en-US" w:eastAsia="zh-CN"/>
        </w:rPr>
        <w:t>秦汉新城渭河福银高速桥至横桥段滩面区域绿化养护</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采购方式：公开招标</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预算金额：</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11840400.00</w:t>
      </w:r>
      <w:r>
        <w:rPr>
          <w:rFonts w:hint="eastAsia" w:ascii="宋体" w:hAnsi="宋体" w:eastAsia="宋体" w:cs="宋体"/>
          <w:i w:val="0"/>
          <w:iCs w:val="0"/>
          <w:caps w:val="0"/>
          <w:color w:val="333333"/>
          <w:spacing w:val="0"/>
          <w:sz w:val="21"/>
          <w:szCs w:val="21"/>
          <w:highlight w:val="none"/>
          <w:shd w:val="clear" w:fill="FFFFFF"/>
          <w:vertAlign w:val="baseline"/>
        </w:rPr>
        <w:t>元</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采购需求：</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w:t>
      </w:r>
      <w:r>
        <w:rPr>
          <w:rFonts w:hint="eastAsia" w:cs="宋体"/>
          <w:i w:val="0"/>
          <w:iCs w:val="0"/>
          <w:caps w:val="0"/>
          <w:color w:val="333333"/>
          <w:spacing w:val="0"/>
          <w:sz w:val="21"/>
          <w:szCs w:val="21"/>
          <w:highlight w:val="none"/>
          <w:shd w:val="clear" w:fill="FFFFFF"/>
          <w:vertAlign w:val="baseline"/>
          <w:lang w:val="en-US" w:eastAsia="zh-CN"/>
        </w:rPr>
        <w:t>1</w:t>
      </w:r>
      <w:r>
        <w:rPr>
          <w:rFonts w:hint="eastAsia" w:ascii="宋体" w:hAnsi="宋体" w:eastAsia="宋体" w:cs="宋体"/>
          <w:i w:val="0"/>
          <w:iCs w:val="0"/>
          <w:caps w:val="0"/>
          <w:color w:val="333333"/>
          <w:spacing w:val="0"/>
          <w:sz w:val="21"/>
          <w:szCs w:val="21"/>
          <w:highlight w:val="none"/>
          <w:shd w:val="clear" w:fill="FFFFFF"/>
          <w:vertAlign w:val="baseline"/>
        </w:rPr>
        <w:t>(</w:t>
      </w:r>
      <w:r>
        <w:rPr>
          <w:rFonts w:hint="eastAsia" w:cs="宋体"/>
          <w:i w:val="0"/>
          <w:iCs w:val="0"/>
          <w:caps w:val="0"/>
          <w:color w:val="333333"/>
          <w:spacing w:val="0"/>
          <w:sz w:val="21"/>
          <w:szCs w:val="21"/>
          <w:highlight w:val="none"/>
          <w:shd w:val="clear" w:fill="FFFFFF"/>
          <w:vertAlign w:val="baseline"/>
          <w:lang w:val="en-US" w:eastAsia="zh-CN"/>
        </w:rPr>
        <w:t>秦汉新城渭河福银高速桥至横桥段滩面区域绿化养护</w:t>
      </w:r>
      <w:r>
        <w:rPr>
          <w:rFonts w:hint="eastAsia" w:ascii="宋体" w:hAnsi="宋体" w:eastAsia="宋体" w:cs="宋体"/>
          <w:i w:val="0"/>
          <w:iCs w:val="0"/>
          <w:caps w:val="0"/>
          <w:color w:val="333333"/>
          <w:spacing w:val="0"/>
          <w:sz w:val="21"/>
          <w:szCs w:val="21"/>
          <w:highlight w:val="none"/>
          <w:shd w:val="clear" w:fill="FFFFFF"/>
          <w:vertAlign w:val="baseline"/>
        </w:rPr>
        <w:t>):</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合同包预算金额：</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11840400.00</w:t>
      </w:r>
      <w:r>
        <w:rPr>
          <w:rFonts w:hint="eastAsia" w:ascii="宋体" w:hAnsi="宋体" w:eastAsia="宋体" w:cs="宋体"/>
          <w:i w:val="0"/>
          <w:iCs w:val="0"/>
          <w:caps w:val="0"/>
          <w:color w:val="333333"/>
          <w:spacing w:val="0"/>
          <w:sz w:val="21"/>
          <w:szCs w:val="21"/>
          <w:highlight w:val="none"/>
          <w:shd w:val="clear" w:fill="FFFFFF"/>
          <w:vertAlign w:val="baseline"/>
        </w:rPr>
        <w:t>元</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合同包最高限价：11,840,400.00元</w:t>
      </w:r>
    </w:p>
    <w:tbl>
      <w:tblPr>
        <w:tblStyle w:val="39"/>
        <w:tblpPr w:leftFromText="180" w:rightFromText="180" w:vertAnchor="text" w:horzAnchor="page" w:tblpX="1624" w:tblpY="246"/>
        <w:tblOverlap w:val="never"/>
        <w:tblW w:w="94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6"/>
        <w:gridCol w:w="1129"/>
        <w:gridCol w:w="2048"/>
        <w:gridCol w:w="984"/>
        <w:gridCol w:w="1355"/>
        <w:gridCol w:w="1500"/>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1" w:hRule="atLeast"/>
          <w:tblHeader/>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b/>
                <w:bCs/>
                <w:sz w:val="21"/>
                <w:szCs w:val="21"/>
                <w:highlight w:val="none"/>
                <w:lang w:val="en-US"/>
              </w:rPr>
            </w:pPr>
            <w:r>
              <w:rPr>
                <w:rFonts w:hint="eastAsia" w:ascii="宋体" w:hAnsi="宋体" w:eastAsia="宋体" w:cs="宋体"/>
                <w:b/>
                <w:bCs/>
                <w:kern w:val="0"/>
                <w:sz w:val="21"/>
                <w:szCs w:val="21"/>
                <w:highlight w:val="none"/>
                <w:lang w:val="en-US" w:eastAsia="zh-CN" w:bidi="ar"/>
              </w:rPr>
              <w:t>品目号</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品目名称</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采购标的</w:t>
            </w:r>
          </w:p>
        </w:tc>
        <w:tc>
          <w:tcPr>
            <w:tcW w:w="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（单位）</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b/>
                <w:bCs/>
                <w:kern w:val="0"/>
                <w:sz w:val="21"/>
                <w:szCs w:val="21"/>
                <w:highlight w:val="none"/>
                <w:lang w:val="en-US" w:eastAsia="zh-CN" w:bidi="ar"/>
              </w:rPr>
            </w:pPr>
            <w:r>
              <w:rPr>
                <w:rFonts w:hint="default" w:ascii="宋体" w:hAnsi="宋体" w:eastAsia="宋体" w:cs="宋体"/>
                <w:b/>
                <w:bCs/>
                <w:kern w:val="0"/>
                <w:sz w:val="21"/>
                <w:szCs w:val="21"/>
                <w:highlight w:val="none"/>
                <w:lang w:val="en-US" w:eastAsia="zh-CN" w:bidi="ar"/>
              </w:rPr>
              <w:t>品目预算(元)</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0" w:hRule="atLeast"/>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bidi="ar"/>
              </w:rPr>
              <w:t>1</w:t>
            </w:r>
            <w:r>
              <w:rPr>
                <w:rFonts w:hint="eastAsia" w:ascii="宋体" w:hAnsi="宋体" w:eastAsia="宋体" w:cs="宋体"/>
                <w:kern w:val="0"/>
                <w:sz w:val="21"/>
                <w:szCs w:val="21"/>
                <w:highlight w:val="none"/>
                <w:lang w:val="en-US" w:eastAsia="zh-CN" w:bidi="ar"/>
              </w:rPr>
              <w:t>-1</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园林绿化管理服务</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both"/>
              <w:textAlignment w:val="center"/>
              <w:rPr>
                <w:rFonts w:hint="eastAsia" w:ascii="宋体" w:hAnsi="宋体" w:eastAsia="微软雅黑"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为确保绿化养护工作有序衔接，拟对秦汉新城渭河福银高速桥至横桥段滩面区域，待接收绿化养护区域统一购买第三方服务，项目包含基础绿化养护及零星应急工程等</w:t>
            </w:r>
            <w:r>
              <w:rPr>
                <w:rFonts w:hint="eastAsia" w:ascii="宋体" w:hAnsi="宋体" w:eastAsia="微软雅黑" w:cs="宋体"/>
                <w:kern w:val="0"/>
                <w:sz w:val="21"/>
                <w:szCs w:val="21"/>
                <w:highlight w:val="none"/>
                <w:lang w:val="en-US" w:eastAsia="zh-CN" w:bidi="ar"/>
              </w:rPr>
              <w:tab/>
            </w:r>
          </w:p>
        </w:tc>
        <w:tc>
          <w:tcPr>
            <w:tcW w:w="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1(项)</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w:t>
            </w:r>
            <w:r>
              <w:rPr>
                <w:rFonts w:hint="eastAsia" w:ascii="宋体" w:hAnsi="宋体" w:cs="宋体"/>
                <w:kern w:val="0"/>
                <w:sz w:val="21"/>
                <w:szCs w:val="21"/>
                <w:highlight w:val="none"/>
                <w:lang w:val="en-US" w:eastAsia="zh-CN" w:bidi="ar"/>
              </w:rPr>
              <w:t>采购</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11840400.00</w:t>
            </w:r>
          </w:p>
        </w:tc>
        <w:tc>
          <w:tcPr>
            <w:tcW w:w="1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11840400.00</w:t>
            </w:r>
          </w:p>
        </w:tc>
      </w:tr>
    </w:tbl>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20" w:firstLineChars="20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本合同包不接受联合体投标</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20" w:firstLineChars="20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合同履行期限：</w:t>
      </w:r>
      <w:r>
        <w:rPr>
          <w:rFonts w:hint="eastAsia" w:ascii="宋体" w:hAnsi="宋体" w:eastAsia="宋体" w:cs="宋体"/>
          <w:i w:val="0"/>
          <w:iCs w:val="0"/>
          <w:caps w:val="0"/>
          <w:color w:val="333333"/>
          <w:spacing w:val="0"/>
          <w:sz w:val="21"/>
          <w:szCs w:val="21"/>
          <w:highlight w:val="none"/>
          <w:shd w:val="clear" w:fill="FFFFFF"/>
          <w:vertAlign w:val="baseline"/>
        </w:rPr>
        <w:t>自合同签订之日起</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三</w:t>
      </w:r>
      <w:r>
        <w:rPr>
          <w:rFonts w:hint="eastAsia" w:ascii="宋体" w:hAnsi="宋体" w:eastAsia="宋体" w:cs="宋体"/>
          <w:i w:val="0"/>
          <w:iCs w:val="0"/>
          <w:caps w:val="0"/>
          <w:color w:val="333333"/>
          <w:spacing w:val="0"/>
          <w:sz w:val="21"/>
          <w:szCs w:val="21"/>
          <w:highlight w:val="none"/>
          <w:shd w:val="clear" w:fill="FFFFFF"/>
          <w:vertAlign w:val="baseline"/>
        </w:rPr>
        <w:t>年</w:t>
      </w:r>
      <w:r>
        <w:rPr>
          <w:rFonts w:hint="eastAsia" w:ascii="宋体" w:hAnsi="宋体" w:eastAsia="宋体" w:cs="宋体"/>
          <w:i w:val="0"/>
          <w:iCs w:val="0"/>
          <w:caps w:val="0"/>
          <w:color w:val="333333"/>
          <w:spacing w:val="0"/>
          <w:sz w:val="21"/>
          <w:szCs w:val="21"/>
          <w:highlight w:val="none"/>
          <w:shd w:val="clear" w:fill="FFFFFF"/>
          <w:vertAlign w:val="baseline"/>
          <w:lang w:eastAsia="zh-CN"/>
        </w:rPr>
        <w:t>（合同为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每</w:t>
      </w:r>
      <w:r>
        <w:rPr>
          <w:rFonts w:hint="eastAsia" w:ascii="宋体" w:hAnsi="宋体" w:eastAsia="宋体" w:cs="宋体"/>
          <w:i w:val="0"/>
          <w:iCs w:val="0"/>
          <w:caps w:val="0"/>
          <w:color w:val="333333"/>
          <w:spacing w:val="0"/>
          <w:sz w:val="21"/>
          <w:szCs w:val="21"/>
          <w:highlight w:val="none"/>
          <w:shd w:val="clear" w:fill="FFFFFF"/>
          <w:vertAlign w:val="baseline"/>
          <w:lang w:eastAsia="zh-CN"/>
        </w:rPr>
        <w:t>年签订</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一次，服务期一年</w:t>
      </w:r>
      <w:r>
        <w:rPr>
          <w:rFonts w:hint="eastAsia" w:ascii="宋体" w:hAnsi="宋体" w:eastAsia="宋体" w:cs="宋体"/>
          <w:i w:val="0"/>
          <w:iCs w:val="0"/>
          <w:caps w:val="0"/>
          <w:color w:val="333333"/>
          <w:spacing w:val="0"/>
          <w:sz w:val="21"/>
          <w:szCs w:val="21"/>
          <w:highlight w:val="none"/>
          <w:shd w:val="clear" w:fill="FFFFFF"/>
          <w:vertAlign w:val="baseline"/>
          <w:lang w:eastAsia="zh-CN"/>
        </w:rPr>
        <w:t>，服务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在服务期内达不到采购人要求的，采购人有权更换服务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b/>
          <w:bCs/>
          <w:i w:val="0"/>
          <w:iCs w:val="0"/>
          <w:caps w:val="0"/>
          <w:color w:val="333333"/>
          <w:spacing w:val="0"/>
          <w:sz w:val="21"/>
          <w:szCs w:val="21"/>
          <w:highlight w:val="none"/>
          <w:shd w:val="clear" w:fill="FFFFFF"/>
          <w:vertAlign w:val="baseline"/>
        </w:rPr>
      </w:pPr>
      <w:r>
        <w:rPr>
          <w:rFonts w:hint="eastAsia" w:ascii="宋体" w:hAnsi="宋体" w:eastAsia="宋体" w:cs="宋体"/>
          <w:b/>
          <w:bCs/>
          <w:i w:val="0"/>
          <w:iCs w:val="0"/>
          <w:caps w:val="0"/>
          <w:color w:val="333333"/>
          <w:spacing w:val="0"/>
          <w:sz w:val="21"/>
          <w:szCs w:val="21"/>
          <w:highlight w:val="none"/>
          <w:shd w:val="clear" w:fill="FFFFFF"/>
          <w:vertAlign w:val="baseline"/>
        </w:rPr>
        <w:t>二、申请人的资格要求：</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1.满足《中华人民共和国政府采购法》第二十二条规定;</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2.落实政府采购政策需满足的资格要求：</w:t>
      </w:r>
    </w:p>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合同包</w:t>
      </w:r>
      <w:r>
        <w:rPr>
          <w:rFonts w:hint="eastAsia" w:cs="宋体"/>
          <w:i w:val="0"/>
          <w:iCs w:val="0"/>
          <w:caps w:val="0"/>
          <w:color w:val="333333"/>
          <w:spacing w:val="0"/>
          <w:sz w:val="21"/>
          <w:szCs w:val="21"/>
          <w:highlight w:val="none"/>
          <w:shd w:val="clear" w:fill="FFFFFF"/>
          <w:vertAlign w:val="baseline"/>
          <w:lang w:val="en-US" w:eastAsia="zh-CN"/>
        </w:rPr>
        <w:t>1</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w:t>
      </w:r>
      <w:r>
        <w:rPr>
          <w:rFonts w:hint="eastAsia" w:cs="宋体"/>
          <w:i w:val="0"/>
          <w:iCs w:val="0"/>
          <w:caps w:val="0"/>
          <w:color w:val="333333"/>
          <w:spacing w:val="0"/>
          <w:sz w:val="21"/>
          <w:szCs w:val="21"/>
          <w:highlight w:val="none"/>
          <w:shd w:val="clear" w:fill="FFFFFF"/>
          <w:vertAlign w:val="baseline"/>
          <w:lang w:val="en-US" w:eastAsia="zh-CN"/>
        </w:rPr>
        <w:t>秦汉新城渭河福银高速桥至横桥段滩面区域绿化养护</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)落实政府采购政策需满足的资格要求如下:本项目专门面向中小企业采购，仅限符合《政府采购促进中小企业发展暂行办法》（财库〔2020〕46号）条件的中小企业参与，</w:t>
      </w:r>
      <w:r>
        <w:rPr>
          <w:rFonts w:hint="eastAsia" w:cs="宋体"/>
          <w:i w:val="0"/>
          <w:iCs w:val="0"/>
          <w:caps w:val="0"/>
          <w:color w:val="333333"/>
          <w:spacing w:val="0"/>
          <w:sz w:val="21"/>
          <w:szCs w:val="21"/>
          <w:highlight w:val="none"/>
          <w:shd w:val="clear" w:fill="FFFFFF"/>
          <w:vertAlign w:val="baseline"/>
          <w:lang w:val="en-US" w:eastAsia="zh-CN"/>
        </w:rPr>
        <w:t>投标</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3.本项目的特定资格要求：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合同包</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秦汉新城渭河福银高速桥至横桥段滩面区域绿化养护</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)特定资格要求如下:</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法定代表人直接参加投标的，须提供法定代表人身份证明及身份证扫描件；法定代表人授权他人参加投标的，须提供法定代表人授权委托书（附法定代表人、被授权人身份证扫描件），自然人提供其身份证扫描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2</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投标供应商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不得在</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“中国执行信息公开网”网站（http://zxgk.court.gov.cn/）</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中被列入失信被执行人、不得在“信用中国”网站（www.creditchina.gov.cn）被列为重大税收违法案件当事人，</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三、获取招标文件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时间：2023年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日至2023年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日，每天上午08:00:00至12:00:00，下午12:00:00至18:00:00（北京时间,法定节假日除外）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途径</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：全国公共资源交易平台（陕西省·西咸新区）（http://xxxq.sxggzyjy.cn/）自行下载</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方式：在线获取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售价：</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0元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四、提交投标文件截止时间、开标时间和地点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时间：2023年</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月</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26</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日</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时</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30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分</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00</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秒（北京时间）</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提交投标文件地点：全国公共资源交易平台（陕西省·西咸新区）（http://xxxq.sxggzyjy.cn/）网上</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电子</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递交</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开标地点：全国公共资源交易中心（陕西省.西咸新区）平台不见面开标系统</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五、公告期限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自本公告发布之日起5个工作日。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SA"/>
        </w:rPr>
        <w:t>六、其他补充事宜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1.</w:t>
      </w:r>
      <w: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t>投标供应商</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须于招标文件获取时间内在全国公共资源交易平台（陕西省·西咸新区）（http:/</w:t>
      </w:r>
      <w:r>
        <w:rPr>
          <w:rFonts w:hint="eastAsia" w:ascii="宋体" w:hAnsi="宋体" w:eastAsia="宋体" w:cs="宋体"/>
          <w:b w:val="0"/>
          <w:bCs/>
          <w:sz w:val="21"/>
          <w:szCs w:val="21"/>
          <w:highlight w:val="none"/>
          <w:lang w:val="en-US" w:eastAsia="zh-CN"/>
        </w:rPr>
        <w:t>/xxxq.sxggzyjy.cn/）登陆后进行投标确认，并自行下载电子招标文件，逾期下载通道将关闭</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未及时下载招标文件影响后续开评标活动的，由此产生的后果由其自行承担。</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2.本次开标采用“不见面开标”方式。“不见面开标大厅”登录方式：全国公共资源交易平台（陕西省西咸新区）-电子交易平台-西咸新区公共资源交易平台不见面开标系统。电子</w:t>
      </w:r>
      <w:r>
        <w:rPr>
          <w:rFonts w:hint="eastAsia" w:ascii="宋体" w:hAnsi="宋体" w:cs="宋体"/>
          <w:b w:val="0"/>
          <w:bCs/>
          <w:sz w:val="21"/>
          <w:szCs w:val="21"/>
          <w:highlight w:val="none"/>
          <w:lang w:val="en-US" w:eastAsia="zh-CN"/>
        </w:rPr>
        <w:t>投标文件</w:t>
      </w:r>
      <w:r>
        <w:rPr>
          <w:rFonts w:hint="eastAsia" w:ascii="宋体" w:hAnsi="宋体" w:eastAsia="宋体" w:cs="宋体"/>
          <w:b w:val="0"/>
          <w:bCs/>
          <w:sz w:val="21"/>
          <w:szCs w:val="21"/>
          <w:highlight w:val="none"/>
          <w:lang w:val="en-US" w:eastAsia="zh-CN"/>
        </w:rPr>
        <w:t>在截止时间前签章加密上传至全国公共资源交易平台</w:t>
      </w:r>
      <w:r>
        <w:rPr>
          <w:rFonts w:hint="eastAsia" w:ascii="宋体" w:hAnsi="宋体" w:eastAsia="宋体" w:cs="宋体"/>
          <w:b w:val="0"/>
          <w:bCs/>
          <w:i w:val="0"/>
          <w:iCs w:val="0"/>
          <w:caps w:val="0"/>
          <w:color w:val="333333"/>
          <w:spacing w:val="0"/>
          <w:kern w:val="0"/>
          <w:sz w:val="21"/>
          <w:szCs w:val="21"/>
          <w:highlight w:val="none"/>
          <w:shd w:val="clear" w:fill="FFFFFF"/>
          <w:vertAlign w:val="baseline"/>
          <w:lang w:val="en-US" w:eastAsia="zh-CN" w:bidi="ar-SA"/>
        </w:rPr>
        <w:t>（陕西省·西咸新区）</w:t>
      </w:r>
      <w:r>
        <w:rPr>
          <w:rFonts w:hint="eastAsia" w:ascii="宋体" w:hAnsi="宋体" w:eastAsia="宋体" w:cs="宋体"/>
          <w:b w:val="0"/>
          <w:bCs/>
          <w:sz w:val="21"/>
          <w:szCs w:val="21"/>
          <w:highlight w:val="none"/>
          <w:lang w:val="en-US" w:eastAsia="zh-CN"/>
        </w:rPr>
        <w:t>。因</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自身设施故障或自身原因导致无法完成投标的，由</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自行承担后果。</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为了保证远程不见面开标顺利进行，</w:t>
      </w:r>
      <w:r>
        <w:rPr>
          <w:rFonts w:hint="eastAsia" w:ascii="宋体" w:hAnsi="宋体" w:cs="宋体"/>
          <w:b w:val="0"/>
          <w:bCs/>
          <w:sz w:val="21"/>
          <w:szCs w:val="21"/>
          <w:highlight w:val="none"/>
          <w:lang w:val="en-US" w:eastAsia="zh-CN"/>
        </w:rPr>
        <w:t>投投标供应商需使用配备相关设备的电脑提前一小时登录不见面开标大厅</w:t>
      </w:r>
      <w:r>
        <w:rPr>
          <w:rFonts w:hint="eastAsia" w:ascii="宋体" w:hAnsi="宋体" w:eastAsia="宋体" w:cs="宋体"/>
          <w:b w:val="0"/>
          <w:bCs/>
          <w:sz w:val="21"/>
          <w:szCs w:val="21"/>
          <w:highlight w:val="none"/>
          <w:lang w:val="en-US" w:eastAsia="zh-CN"/>
        </w:rPr>
        <w:t>。关于使用不见面开标方式的相关事项详见</w:t>
      </w:r>
      <w:r>
        <w:rPr>
          <w:rFonts w:hint="eastAsia" w:ascii="宋体" w:hAnsi="宋体" w:eastAsia="宋体" w:cs="宋体"/>
          <w:b w:val="0"/>
          <w:bCs/>
          <w:spacing w:val="-28"/>
          <w:sz w:val="21"/>
          <w:szCs w:val="21"/>
          <w:highlight w:val="none"/>
          <w:lang w:val="en-US" w:eastAsia="zh-CN"/>
        </w:rPr>
        <w:t>“http://xxxq.sxggzyjy.cn/xwzx/002002/20210721/d7421699-e891-4f40-b441-dccc415e05b3.html”</w:t>
      </w:r>
      <w:r>
        <w:rPr>
          <w:rFonts w:hint="eastAsia" w:ascii="宋体" w:hAnsi="宋体" w:eastAsia="宋体" w:cs="宋体"/>
          <w:b w:val="0"/>
          <w:bCs/>
          <w:sz w:val="21"/>
          <w:szCs w:val="21"/>
          <w:highlight w:val="none"/>
          <w:lang w:val="en-US" w:eastAsia="zh-CN"/>
        </w:rPr>
        <w:t>，技术咨询电</w:t>
      </w:r>
      <w:r>
        <w:rPr>
          <w:rFonts w:hint="eastAsia" w:ascii="宋体" w:hAnsi="宋体" w:eastAsia="宋体" w:cs="宋体"/>
          <w:b w:val="0"/>
          <w:bCs/>
          <w:spacing w:val="-17"/>
          <w:sz w:val="21"/>
          <w:szCs w:val="21"/>
          <w:highlight w:val="none"/>
          <w:lang w:val="en-US" w:eastAsia="zh-CN"/>
        </w:rPr>
        <w:t>话：4009980000。</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须按照陕西省财政厅《关于政府采购</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注册登记有关事项的通知》中的要求，通过陕西省政府采购网（http://www.ccgp-shaanxi.gov.cn/）注册登记加入陕西省政府采购</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库。</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.办理CA锁方式：</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初次使用交易平台，需前往陕西省数字证书认证中心股份有限公司办理 CA 锁，办理地址及咨询电话如下： 西安市高新三路九号信息岗大厦一层 101 室 咨询电话：4006369888； 西安市长安北路 14 号省体育公寓 B 座一楼 咨询电话：029-88661241； 西安市凤城九路海博广场 A 座 1707 室 咨询电话：</w:t>
      </w:r>
      <w:r>
        <w:rPr>
          <w:rFonts w:hint="eastAsia" w:ascii="宋体" w:hAnsi="宋体" w:cs="宋体"/>
          <w:b w:val="0"/>
          <w:bCs/>
          <w:sz w:val="21"/>
          <w:szCs w:val="21"/>
          <w:highlight w:val="none"/>
          <w:lang w:val="en-US" w:eastAsia="zh-CN"/>
        </w:rPr>
        <w:t>029-89608985</w:t>
      </w:r>
      <w:r>
        <w:rPr>
          <w:rFonts w:hint="eastAsia" w:ascii="宋体" w:hAnsi="宋体" w:eastAsia="宋体" w:cs="宋体"/>
          <w:b w:val="0"/>
          <w:bCs/>
          <w:sz w:val="21"/>
          <w:szCs w:val="21"/>
          <w:highlight w:val="none"/>
          <w:lang w:val="en-US" w:eastAsia="zh-CN"/>
        </w:rPr>
        <w:t>。</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7</w:t>
      </w:r>
      <w:r>
        <w:rPr>
          <w:rFonts w:hint="eastAsia" w:ascii="宋体" w:hAnsi="宋体" w:eastAsia="宋体" w:cs="宋体"/>
          <w:b w:val="0"/>
          <w:bCs/>
          <w:sz w:val="21"/>
          <w:szCs w:val="21"/>
          <w:highlight w:val="none"/>
          <w:lang w:val="en-US" w:eastAsia="zh-CN"/>
        </w:rPr>
        <w:t>.本项目需要落实的政府采购政策：</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1）.《政府采购促进中小企业发展管理办法》（财库〔2020〕46号）；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630" w:leftChars="200" w:right="0" w:rightChars="0" w:hanging="210" w:hanging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2）.《财政部司法部关于政府采购支持监狱企业发展有关问题的通知》（财库〔2014〕68号）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630" w:leftChars="200" w:right="0" w:rightChars="0" w:hanging="210" w:hangingChars="1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3）.《财政部民政部中国残疾人联合会关于促进残疾人就业政府采购政策的通知》（财库〔2017〕141号）；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4）.《财政部 国家发展改革委关于印发(节能产品政府采购实施意见)的通知》(财库〔2004〕185号)；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5）.《国务院办公厅关于建立政府强制采购节能产品制度的通知》(国办发〔2007〕51号)；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6）.《财政部环保总局关于环境标志产品政府采购实施的意见》(财库〔2006〕90号)；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7）.《财政部发展改革委生态环境部市场监管总局关于调整优化节能产品、环境标志产品政府采购执行机制的通知》（财库〔2019〕9号）；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8）.《财政部农业农村部国家乡村振兴局关于运用政府采购政策支持乡村产业振兴的通知》（财库〔2021〕19号）；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9）.《关于进一步加强政府绿色采购有关问题的通知》（陕财办采〔2021〕29 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10）.《陕西省财政厅关于印发陕西省中小企业政府采购信用融资办法》（陕财办采〔2018〕23号）；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en-US" w:eastAsia="zh-CN"/>
        </w:rPr>
        <w:t>）《陕西省财政厅关于加快推进我省中小企业政府采购信用融资工作的通知》（陕财办采〔2020〕15号）；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）.《关于进一步加大政府采购支持中小企业力度的通知》（财库〔2022〕19号）。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）.陕西省财政厅关于进一步加大政府采购支持中小企业力度的通知（陕财办采〔2022〕5号）；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）.陕西省财政厅关于落实政府采购支持中小企业政策有关事项的通知 （陕财办采函〔2022〕10号）；</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）.其他需要落实的政府采购政策</w:t>
      </w:r>
      <w:r>
        <w:rPr>
          <w:rFonts w:hint="eastAsia" w:ascii="宋体" w:hAnsi="宋体" w:cs="宋体"/>
          <w:b w:val="0"/>
          <w:bCs/>
          <w:sz w:val="21"/>
          <w:szCs w:val="21"/>
          <w:highlight w:val="none"/>
          <w:lang w:val="en-US" w:eastAsia="zh-CN"/>
        </w:rPr>
        <w:t>。</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七、对本次招标提出询问，请按以下方式联系。</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1.釆购人信息</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名称：陕西省西咸新区秦汉新城综合行政执法支队</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地址：陕西省西咸新区秦汉新城兰池大道中段</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联系方式：</w:t>
      </w:r>
      <w:r>
        <w:rPr>
          <w:rFonts w:hint="eastAsia" w:ascii="宋体" w:hAnsi="宋体" w:cs="宋体"/>
          <w:b w:val="0"/>
          <w:bCs/>
          <w:sz w:val="21"/>
          <w:szCs w:val="21"/>
          <w:highlight w:val="none"/>
          <w:lang w:val="en-US" w:eastAsia="zh-CN"/>
        </w:rPr>
        <w:t>029-33185034</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2.采购代理机构信息</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名称：瑞信国际项目管理有限公司</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地址：陕西省西安市文景路中段150号文景广场C座22楼</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联系方式：029-89609851</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3.项目联系方式</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项目联系人：杨玲</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电话：18229033555</w:t>
      </w: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420" w:firstLineChars="200"/>
        <w:textAlignment w:val="auto"/>
        <w:rPr>
          <w:rFonts w:hint="eastAsia" w:ascii="宋体" w:hAnsi="宋体" w:eastAsia="宋体" w:cs="宋体"/>
          <w:b w:val="0"/>
          <w:bCs/>
          <w:sz w:val="21"/>
          <w:szCs w:val="21"/>
          <w:highlight w:val="none"/>
          <w:lang w:val="en-US" w:eastAsia="zh-CN"/>
        </w:rPr>
      </w:pPr>
    </w:p>
    <w:p>
      <w:pPr>
        <w:pStyle w:val="3"/>
        <w:numPr>
          <w:ilvl w:val="0"/>
          <w:numId w:val="0"/>
        </w:numPr>
        <w:rPr>
          <w:rFonts w:hint="eastAsia" w:ascii="宋体" w:hAnsi="宋体" w:eastAsia="宋体" w:cs="宋体"/>
          <w:b/>
          <w:bCs/>
          <w:sz w:val="36"/>
          <w:szCs w:val="36"/>
          <w:highlight w:val="none"/>
        </w:rPr>
      </w:pPr>
      <w:bookmarkStart w:id="7" w:name="_Toc222740108"/>
      <w:bookmarkStart w:id="8" w:name="_Toc3308"/>
      <w:bookmarkStart w:id="9" w:name="_Toc204055781"/>
      <w:bookmarkStart w:id="10" w:name="_Toc196474973"/>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投标供应商</w:t>
      </w:r>
      <w:r>
        <w:rPr>
          <w:rFonts w:hint="eastAsia" w:ascii="宋体" w:hAnsi="宋体" w:eastAsia="宋体" w:cs="宋体"/>
          <w:b/>
          <w:bCs/>
          <w:sz w:val="36"/>
          <w:szCs w:val="36"/>
          <w:highlight w:val="none"/>
        </w:rPr>
        <w:t>须知</w:t>
      </w:r>
      <w:bookmarkEnd w:id="7"/>
      <w:bookmarkEnd w:id="8"/>
      <w:bookmarkEnd w:id="9"/>
      <w:bookmarkEnd w:id="10"/>
    </w:p>
    <w:p>
      <w:pPr>
        <w:spacing w:before="120" w:beforeLines="50" w:after="120" w:afterLines="50"/>
        <w:jc w:val="center"/>
        <w:rPr>
          <w:rFonts w:hint="eastAsia"/>
          <w:highlight w:val="none"/>
        </w:rPr>
      </w:pPr>
      <w:bookmarkStart w:id="11" w:name="_Toc222740109"/>
      <w:r>
        <w:rPr>
          <w:rFonts w:hint="eastAsia"/>
          <w:b/>
          <w:bCs/>
          <w:sz w:val="32"/>
          <w:szCs w:val="32"/>
          <w:highlight w:val="none"/>
          <w:lang w:eastAsia="zh-CN"/>
        </w:rPr>
        <w:t>投标供应商</w:t>
      </w:r>
      <w:r>
        <w:rPr>
          <w:rFonts w:hint="eastAsia"/>
          <w:b/>
          <w:bCs/>
          <w:sz w:val="32"/>
          <w:szCs w:val="32"/>
          <w:highlight w:val="none"/>
        </w:rPr>
        <w:t>须知前附表</w:t>
      </w:r>
      <w:bookmarkEnd w:id="11"/>
    </w:p>
    <w:tbl>
      <w:tblPr>
        <w:tblStyle w:val="39"/>
        <w:tblW w:w="10095" w:type="dxa"/>
        <w:tblInd w:w="-35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6"/>
        <w:gridCol w:w="2876"/>
        <w:gridCol w:w="64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top"/>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序号</w:t>
            </w:r>
          </w:p>
        </w:tc>
        <w:tc>
          <w:tcPr>
            <w:tcW w:w="2876" w:type="dxa"/>
            <w:noWrap w:val="0"/>
            <w:vAlign w:val="top"/>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条款名称</w:t>
            </w:r>
          </w:p>
        </w:tc>
        <w:tc>
          <w:tcPr>
            <w:tcW w:w="6473" w:type="dxa"/>
            <w:noWrap w:val="0"/>
            <w:vAlign w:val="center"/>
          </w:tcPr>
          <w:p>
            <w:pPr>
              <w:spacing w:line="400" w:lineRule="exact"/>
              <w:jc w:val="center"/>
              <w:rPr>
                <w:rFonts w:hint="eastAsia" w:ascii="宋体" w:hAnsi="宋体" w:cs="宋体"/>
                <w:b/>
                <w:szCs w:val="21"/>
                <w:highlight w:val="none"/>
              </w:rPr>
            </w:pPr>
            <w:r>
              <w:rPr>
                <w:rFonts w:hint="eastAsia" w:ascii="宋体" w:hAnsi="宋体" w:cs="宋体"/>
                <w:b/>
                <w:szCs w:val="21"/>
                <w:highlight w:val="none"/>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2876" w:type="dxa"/>
            <w:noWrap w:val="0"/>
            <w:vAlign w:val="center"/>
          </w:tcPr>
          <w:p>
            <w:pPr>
              <w:spacing w:line="400" w:lineRule="exact"/>
              <w:jc w:val="center"/>
              <w:rPr>
                <w:rFonts w:hint="eastAsia" w:ascii="宋体" w:hAnsi="宋体" w:cs="宋体"/>
                <w:b/>
                <w:szCs w:val="21"/>
                <w:highlight w:val="none"/>
              </w:rPr>
            </w:pPr>
            <w:r>
              <w:rPr>
                <w:rFonts w:hint="eastAsia" w:ascii="宋体" w:hAnsi="宋体" w:cs="宋体"/>
                <w:szCs w:val="21"/>
                <w:highlight w:val="none"/>
              </w:rPr>
              <w:t>采购人</w:t>
            </w:r>
          </w:p>
        </w:tc>
        <w:tc>
          <w:tcPr>
            <w:tcW w:w="6473" w:type="dxa"/>
            <w:noWrap w:val="0"/>
            <w:vAlign w:val="center"/>
          </w:tcPr>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 xml:space="preserve">名称：陕西省西咸新区秦汉新城综合行政执法支队 </w:t>
            </w:r>
          </w:p>
          <w:p>
            <w:pPr>
              <w:spacing w:line="400" w:lineRule="exact"/>
              <w:rPr>
                <w:rFonts w:hint="eastAsia" w:ascii="宋体" w:hAnsi="宋体"/>
                <w:sz w:val="21"/>
                <w:szCs w:val="21"/>
                <w:highlight w:val="none"/>
              </w:rPr>
            </w:pPr>
            <w:r>
              <w:rPr>
                <w:rFonts w:hint="eastAsia" w:ascii="宋体" w:hAnsi="宋体" w:cs="宋体"/>
                <w:szCs w:val="21"/>
                <w:highlight w:val="none"/>
                <w:shd w:val="clear" w:color="auto" w:fill="FFFFFF"/>
                <w:lang w:eastAsia="zh-CN"/>
              </w:rPr>
              <w:t>地址：</w:t>
            </w:r>
            <w:r>
              <w:rPr>
                <w:rFonts w:hint="eastAsia" w:ascii="宋体" w:hAnsi="宋体"/>
                <w:sz w:val="21"/>
                <w:szCs w:val="21"/>
                <w:highlight w:val="none"/>
              </w:rPr>
              <w:t xml:space="preserve">兰池大道中段兰池大厦 </w:t>
            </w:r>
          </w:p>
          <w:p>
            <w:pPr>
              <w:spacing w:line="400" w:lineRule="exact"/>
              <w:rPr>
                <w:rFonts w:hint="default"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lang w:eastAsia="zh-CN"/>
              </w:rPr>
              <w:t>联系人：</w:t>
            </w:r>
            <w:r>
              <w:rPr>
                <w:rFonts w:hint="eastAsia" w:ascii="宋体" w:hAnsi="宋体" w:cs="宋体"/>
                <w:szCs w:val="21"/>
                <w:highlight w:val="none"/>
                <w:shd w:val="clear" w:color="auto" w:fill="FFFFFF"/>
                <w:lang w:val="en-US" w:eastAsia="zh-CN"/>
              </w:rPr>
              <w:t>曹工</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电话：</w:t>
            </w:r>
            <w:r>
              <w:rPr>
                <w:rFonts w:hint="eastAsia" w:ascii="宋体" w:hAnsi="宋体" w:cs="宋体"/>
                <w:b w:val="0"/>
                <w:bCs/>
                <w:sz w:val="21"/>
                <w:szCs w:val="21"/>
                <w:highlight w:val="none"/>
                <w:lang w:val="en-US" w:eastAsia="zh-CN"/>
              </w:rPr>
              <w:t>029-33185034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采购代理机构</w:t>
            </w:r>
          </w:p>
        </w:tc>
        <w:tc>
          <w:tcPr>
            <w:tcW w:w="6473" w:type="dxa"/>
            <w:noWrap w:val="0"/>
            <w:vAlign w:val="center"/>
          </w:tcPr>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名  称：瑞信国际项目管理有限公司</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地  址：陕西省西安市文景路中段150号文景广场C座22楼</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联系人：杨玲</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电话/传真：029-89609851</w:t>
            </w:r>
          </w:p>
          <w:p>
            <w:pPr>
              <w:spacing w:line="400" w:lineRule="exact"/>
              <w:rPr>
                <w:rFonts w:hint="eastAsia" w:ascii="宋体" w:hAnsi="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电子邮箱：59091527@qq.com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0"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采购项目名称</w:t>
            </w:r>
          </w:p>
        </w:tc>
        <w:tc>
          <w:tcPr>
            <w:tcW w:w="6473" w:type="dxa"/>
            <w:noWrap w:val="0"/>
            <w:vAlign w:val="center"/>
          </w:tcPr>
          <w:p>
            <w:pPr>
              <w:spacing w:line="400" w:lineRule="exact"/>
              <w:jc w:val="both"/>
              <w:rPr>
                <w:rFonts w:hint="default" w:ascii="宋体" w:hAnsi="宋体" w:eastAsia="宋体" w:cs="宋体"/>
                <w:szCs w:val="21"/>
                <w:highlight w:val="none"/>
                <w:lang w:val="en-US" w:eastAsia="zh-CN"/>
              </w:rPr>
            </w:pPr>
            <w:r>
              <w:rPr>
                <w:rFonts w:hint="eastAsia" w:ascii="宋体" w:hAnsi="宋体" w:cs="宋体"/>
                <w:sz w:val="21"/>
                <w:szCs w:val="21"/>
                <w:highlight w:val="none"/>
                <w:lang w:eastAsia="zh-CN"/>
              </w:rPr>
              <w:t>秦汉新城渭河福银高速桥至横桥段滩面区域绿化养护</w:t>
            </w:r>
            <w:r>
              <w:rPr>
                <w:rFonts w:hint="eastAsia" w:ascii="宋体" w:hAnsi="宋体" w:cs="宋体"/>
                <w:sz w:val="21"/>
                <w:szCs w:val="21"/>
                <w:highlight w:val="non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采购项目</w:t>
            </w:r>
            <w:r>
              <w:rPr>
                <w:rFonts w:hint="eastAsia" w:ascii="宋体" w:hAnsi="宋体" w:cs="宋体"/>
                <w:szCs w:val="21"/>
                <w:highlight w:val="none"/>
              </w:rPr>
              <w:t>编号</w:t>
            </w:r>
          </w:p>
        </w:tc>
        <w:tc>
          <w:tcPr>
            <w:tcW w:w="6473" w:type="dxa"/>
            <w:noWrap w:val="0"/>
            <w:vAlign w:val="center"/>
          </w:tcPr>
          <w:p>
            <w:pPr>
              <w:spacing w:line="400" w:lineRule="exact"/>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RXCG-2023017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采购预算</w:t>
            </w:r>
          </w:p>
        </w:tc>
        <w:tc>
          <w:tcPr>
            <w:tcW w:w="6473" w:type="dxa"/>
            <w:noWrap w:val="0"/>
            <w:vAlign w:val="center"/>
          </w:tcPr>
          <w:p>
            <w:pPr>
              <w:spacing w:line="400" w:lineRule="exact"/>
              <w:jc w:val="both"/>
              <w:rPr>
                <w:rFonts w:hint="default"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
              </w:rPr>
              <w:t>11840400</w:t>
            </w:r>
            <w:r>
              <w:rPr>
                <w:rFonts w:hint="eastAsia" w:ascii="宋体" w:hAnsi="宋体" w:cs="宋体"/>
                <w:kern w:val="0"/>
                <w:sz w:val="21"/>
                <w:szCs w:val="21"/>
                <w:highlight w:val="none"/>
                <w:lang w:val="en-US" w:eastAsia="zh-CN" w:bidi="ar"/>
              </w:rPr>
              <w:t>.00</w:t>
            </w:r>
            <w:r>
              <w:rPr>
                <w:rFonts w:hint="eastAsia" w:ascii="宋体" w:hAnsi="宋体" w:eastAsia="宋体" w:cs="宋体"/>
                <w:sz w:val="21"/>
                <w:szCs w:val="21"/>
                <w:highlight w:val="none"/>
                <w:lang w:val="en-US" w:eastAsia="zh-CN"/>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6</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采购项目用途</w:t>
            </w:r>
          </w:p>
        </w:tc>
        <w:tc>
          <w:tcPr>
            <w:tcW w:w="6473" w:type="dxa"/>
            <w:noWrap w:val="0"/>
            <w:vAlign w:val="center"/>
          </w:tcPr>
          <w:p>
            <w:pPr>
              <w:spacing w:line="400" w:lineRule="exact"/>
              <w:jc w:val="left"/>
              <w:rPr>
                <w:rFonts w:hint="eastAsia" w:ascii="宋体" w:hAnsi="宋体" w:cs="宋体"/>
                <w:szCs w:val="21"/>
                <w:highlight w:val="none"/>
              </w:rPr>
            </w:pPr>
            <w:r>
              <w:rPr>
                <w:rFonts w:hint="eastAsia" w:ascii="宋体" w:hAnsi="宋体" w:eastAsia="宋体" w:cs="宋体"/>
                <w:kern w:val="0"/>
                <w:sz w:val="21"/>
                <w:szCs w:val="21"/>
                <w:highlight w:val="none"/>
                <w:lang w:val="en-US" w:eastAsia="zh-CN" w:bidi="ar"/>
              </w:rPr>
              <w:t>园林绿化管理服务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7</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采购方式</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8</w:t>
            </w:r>
          </w:p>
        </w:tc>
        <w:tc>
          <w:tcPr>
            <w:tcW w:w="287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是否专门面向中小企业</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color w:val="auto"/>
                <w:sz w:val="21"/>
                <w:szCs w:val="21"/>
                <w:highlight w:val="none"/>
              </w:rPr>
              <w:t>本项目专门面向中小企业采购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9</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采购内容</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 w:val="21"/>
                <w:szCs w:val="21"/>
                <w:highlight w:val="none"/>
                <w:lang w:eastAsia="zh-CN"/>
              </w:rPr>
              <w:t>秦汉新城渭河福银高速桥至横桥段滩面区域绿化养护</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zh-CN" w:eastAsia="zh-CN"/>
              </w:rPr>
              <w:t>具体</w:t>
            </w:r>
            <w:r>
              <w:rPr>
                <w:rFonts w:hint="eastAsia" w:ascii="Times New Roman" w:hAnsi="Times New Roman" w:eastAsia="宋体" w:cs="Times New Roman"/>
                <w:highlight w:val="none"/>
                <w:lang w:val="en-US" w:eastAsia="zh-CN"/>
              </w:rPr>
              <w:t>采购</w:t>
            </w:r>
            <w:r>
              <w:rPr>
                <w:rFonts w:hint="eastAsia" w:cs="Times New Roman"/>
                <w:highlight w:val="none"/>
                <w:lang w:val="en-US" w:eastAsia="zh-CN"/>
              </w:rPr>
              <w:t>项目包含内容</w:t>
            </w:r>
            <w:r>
              <w:rPr>
                <w:rFonts w:hint="eastAsia" w:ascii="Times New Roman" w:hAnsi="Times New Roman" w:eastAsia="宋体" w:cs="Times New Roman"/>
                <w:highlight w:val="none"/>
                <w:lang w:val="zh-CN" w:eastAsia="zh-CN"/>
              </w:rPr>
              <w:t>及</w:t>
            </w:r>
            <w:r>
              <w:rPr>
                <w:rFonts w:hint="eastAsia" w:ascii="Times New Roman" w:hAnsi="Times New Roman" w:eastAsia="宋体" w:cs="Times New Roman"/>
                <w:highlight w:val="none"/>
                <w:lang w:val="en-US" w:eastAsia="zh-CN"/>
              </w:rPr>
              <w:t>要求</w:t>
            </w:r>
            <w:r>
              <w:rPr>
                <w:rFonts w:hint="eastAsia" w:ascii="Times New Roman" w:hAnsi="Times New Roman" w:eastAsia="宋体" w:cs="Times New Roman"/>
                <w:highlight w:val="none"/>
                <w:lang w:val="zh-CN" w:eastAsia="zh-CN"/>
              </w:rPr>
              <w:t>详见招标文件第四章。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p>
        </w:tc>
        <w:tc>
          <w:tcPr>
            <w:tcW w:w="2876" w:type="dxa"/>
            <w:noWrap w:val="0"/>
            <w:vAlign w:val="center"/>
          </w:tcPr>
          <w:p>
            <w:pPr>
              <w:spacing w:line="400" w:lineRule="exact"/>
              <w:jc w:val="center"/>
              <w:rPr>
                <w:rFonts w:hint="eastAsia" w:ascii="宋体" w:hAnsi="宋体" w:cs="宋体"/>
                <w:highlight w:val="none"/>
              </w:rPr>
            </w:pPr>
            <w:r>
              <w:rPr>
                <w:rFonts w:hint="eastAsia" w:ascii="宋体" w:hAnsi="宋体" w:cs="宋体"/>
                <w:szCs w:val="21"/>
                <w:highlight w:val="none"/>
              </w:rPr>
              <w:t>项目地点</w:t>
            </w:r>
          </w:p>
        </w:tc>
        <w:tc>
          <w:tcPr>
            <w:tcW w:w="6473" w:type="dxa"/>
            <w:noWrap w:val="0"/>
            <w:vAlign w:val="center"/>
          </w:tcPr>
          <w:p>
            <w:pPr>
              <w:spacing w:line="400" w:lineRule="exact"/>
              <w:rPr>
                <w:rFonts w:hint="eastAsia" w:ascii="宋体" w:hAnsi="宋体" w:cs="宋体"/>
                <w:highlight w:val="none"/>
              </w:rPr>
            </w:pPr>
            <w:r>
              <w:rPr>
                <w:rFonts w:hint="eastAsia" w:ascii="宋体" w:hAnsi="宋体" w:cs="宋体"/>
                <w:highlight w:val="none"/>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7" w:hRule="atLeast"/>
        </w:trPr>
        <w:tc>
          <w:tcPr>
            <w:tcW w:w="746" w:type="dxa"/>
            <w:noWrap w:val="0"/>
            <w:vAlign w:val="center"/>
          </w:tcPr>
          <w:p>
            <w:pPr>
              <w:spacing w:line="40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2876" w:type="dxa"/>
            <w:noWrap w:val="0"/>
            <w:vAlign w:val="center"/>
          </w:tcPr>
          <w:p>
            <w:pPr>
              <w:spacing w:line="400" w:lineRule="exact"/>
              <w:jc w:val="center"/>
              <w:rPr>
                <w:rFonts w:hint="eastAsia" w:ascii="宋体" w:hAnsi="宋体" w:cs="宋体"/>
                <w:highlight w:val="none"/>
              </w:rPr>
            </w:pPr>
            <w:r>
              <w:rPr>
                <w:rFonts w:hint="eastAsia" w:ascii="宋体" w:hAnsi="宋体" w:cs="宋体"/>
                <w:szCs w:val="21"/>
                <w:highlight w:val="none"/>
              </w:rPr>
              <w:t>服务期限</w:t>
            </w:r>
          </w:p>
        </w:tc>
        <w:tc>
          <w:tcPr>
            <w:tcW w:w="6473" w:type="dxa"/>
            <w:noWrap w:val="0"/>
            <w:vAlign w:val="center"/>
          </w:tcPr>
          <w:p>
            <w:pPr>
              <w:spacing w:line="400" w:lineRule="exact"/>
              <w:rPr>
                <w:rFonts w:hint="eastAsia" w:ascii="宋体" w:hAnsi="宋体" w:cs="宋体"/>
                <w:highlight w:val="none"/>
              </w:rPr>
            </w:pPr>
            <w:r>
              <w:rPr>
                <w:rFonts w:hint="eastAsia" w:ascii="宋体" w:hAnsi="宋体" w:eastAsia="宋体" w:cs="宋体"/>
                <w:highlight w:val="none"/>
              </w:rPr>
              <w:t>自合同签订之日起</w:t>
            </w:r>
            <w:r>
              <w:rPr>
                <w:rFonts w:hint="eastAsia" w:ascii="宋体" w:hAnsi="宋体" w:eastAsia="宋体" w:cs="宋体"/>
                <w:highlight w:val="none"/>
                <w:lang w:val="en-US" w:eastAsia="zh-CN"/>
              </w:rPr>
              <w:t>三</w:t>
            </w:r>
            <w:r>
              <w:rPr>
                <w:rFonts w:hint="eastAsia" w:ascii="宋体" w:hAnsi="宋体" w:eastAsia="宋体" w:cs="宋体"/>
                <w:highlight w:val="none"/>
              </w:rPr>
              <w:t>年</w:t>
            </w:r>
            <w:r>
              <w:rPr>
                <w:rFonts w:hint="eastAsia" w:ascii="宋体" w:hAnsi="宋体" w:eastAsia="宋体" w:cs="宋体"/>
                <w:highlight w:val="none"/>
                <w:lang w:eastAsia="zh-CN"/>
              </w:rPr>
              <w:t>，（合同为</w:t>
            </w:r>
            <w:r>
              <w:rPr>
                <w:rFonts w:hint="eastAsia" w:ascii="宋体" w:hAnsi="宋体" w:eastAsia="宋体" w:cs="宋体"/>
                <w:highlight w:val="none"/>
                <w:lang w:val="en-US" w:eastAsia="zh-CN"/>
              </w:rPr>
              <w:t>每</w:t>
            </w:r>
            <w:r>
              <w:rPr>
                <w:rFonts w:hint="eastAsia" w:ascii="宋体" w:hAnsi="宋体" w:eastAsia="宋体" w:cs="宋体"/>
                <w:highlight w:val="none"/>
                <w:lang w:eastAsia="zh-CN"/>
              </w:rPr>
              <w:t>年签订</w:t>
            </w:r>
            <w:r>
              <w:rPr>
                <w:rFonts w:hint="eastAsia" w:ascii="宋体" w:hAnsi="宋体" w:eastAsia="宋体" w:cs="宋体"/>
                <w:highlight w:val="none"/>
                <w:lang w:val="en-US" w:eastAsia="zh-CN"/>
              </w:rPr>
              <w:t>一次，服务期一年</w:t>
            </w:r>
            <w:r>
              <w:rPr>
                <w:rFonts w:hint="eastAsia" w:ascii="宋体" w:hAnsi="宋体" w:eastAsia="宋体" w:cs="宋体"/>
                <w:highlight w:val="none"/>
                <w:lang w:eastAsia="zh-CN"/>
              </w:rPr>
              <w:t>，服务供应商在服务期内达不到采购人要求的，采购人有权更换服务供应商）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7"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2</w:t>
            </w:r>
          </w:p>
        </w:tc>
        <w:tc>
          <w:tcPr>
            <w:tcW w:w="287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服务标准</w:t>
            </w:r>
          </w:p>
        </w:tc>
        <w:tc>
          <w:tcPr>
            <w:tcW w:w="6473" w:type="dxa"/>
            <w:noWrap w:val="0"/>
            <w:vAlign w:val="center"/>
          </w:tcPr>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达到</w:t>
            </w:r>
            <w:r>
              <w:rPr>
                <w:rFonts w:hint="eastAsia" w:ascii="宋体" w:hAnsi="宋体" w:eastAsia="宋体" w:cs="宋体"/>
                <w:szCs w:val="21"/>
                <w:highlight w:val="none"/>
                <w:lang w:val="en-US" w:eastAsia="zh-CN"/>
              </w:rPr>
              <w:t>“合格”标准及</w:t>
            </w:r>
            <w:r>
              <w:rPr>
                <w:rFonts w:hint="eastAsia" w:ascii="宋体" w:hAnsi="宋体" w:cs="宋体"/>
                <w:szCs w:val="21"/>
                <w:highlight w:val="none"/>
                <w:lang w:val="en-US" w:eastAsia="zh-CN"/>
              </w:rPr>
              <w:t>满足</w:t>
            </w:r>
            <w:r>
              <w:rPr>
                <w:rFonts w:hint="eastAsia" w:ascii="宋体" w:hAnsi="宋体" w:eastAsia="宋体" w:cs="宋体"/>
                <w:szCs w:val="21"/>
                <w:highlight w:val="none"/>
                <w:lang w:val="en-US" w:eastAsia="zh-CN"/>
              </w:rPr>
              <w:t>第四章“</w:t>
            </w:r>
            <w:r>
              <w:rPr>
                <w:rFonts w:hint="eastAsia" w:ascii="宋体" w:hAnsi="宋体" w:cs="宋体"/>
                <w:szCs w:val="21"/>
                <w:highlight w:val="none"/>
                <w:lang w:val="en-US" w:eastAsia="zh-CN"/>
              </w:rPr>
              <w:t>采购内容及技术要求</w:t>
            </w:r>
            <w:r>
              <w:rPr>
                <w:rFonts w:hint="eastAsia" w:ascii="宋体" w:hAnsi="宋体" w:eastAsia="宋体" w:cs="宋体"/>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74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资格证明文件</w:t>
            </w:r>
          </w:p>
        </w:tc>
        <w:tc>
          <w:tcPr>
            <w:tcW w:w="6473" w:type="dxa"/>
            <w:noWrap w:val="0"/>
            <w:vAlign w:val="center"/>
          </w:tcPr>
          <w:p>
            <w:pPr>
              <w:spacing w:line="400" w:lineRule="exact"/>
              <w:rPr>
                <w:rFonts w:hint="eastAsia" w:ascii="宋体" w:hAnsi="宋体" w:eastAsia="宋体" w:cs="宋体"/>
                <w:highlight w:val="none"/>
                <w:lang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满足《中华人民共和国政府采购法》第二十二条的规定</w:t>
            </w:r>
            <w:r>
              <w:rPr>
                <w:rFonts w:hint="eastAsia" w:ascii="宋体" w:hAnsi="宋体" w:eastAsia="宋体" w:cs="宋体"/>
                <w:highlight w:val="none"/>
                <w:lang w:eastAsia="zh-CN"/>
              </w:rPr>
              <w:t>：</w:t>
            </w:r>
          </w:p>
          <w:p>
            <w:pPr>
              <w:spacing w:line="40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rPr>
                <w:rFonts w:hint="eastAsia" w:ascii="宋体" w:hAnsi="宋体" w:eastAsia="宋体" w:cs="宋体"/>
                <w:highlight w:val="none"/>
                <w:lang w:val="en-US" w:eastAsia="zh-CN"/>
              </w:rPr>
            </w:pPr>
            <w:r>
              <w:rPr>
                <w:rFonts w:hint="eastAsia" w:ascii="宋体" w:hAnsi="宋体" w:cs="宋体"/>
                <w:highlight w:val="none"/>
                <w:lang w:val="en-US" w:eastAsia="zh-CN"/>
              </w:rPr>
              <w:t>(2)投标供应商提供</w:t>
            </w:r>
            <w:r>
              <w:rPr>
                <w:rFonts w:hint="eastAsia" w:ascii="宋体" w:hAnsi="宋体" w:eastAsia="宋体" w:cs="宋体"/>
                <w:highlight w:val="none"/>
                <w:lang w:val="en-US" w:eastAsia="zh-CN"/>
              </w:rPr>
              <w:t>基本资</w:t>
            </w:r>
            <w:r>
              <w:rPr>
                <w:rFonts w:hint="eastAsia" w:ascii="宋体" w:hAnsi="宋体" w:eastAsia="宋体" w:cs="宋体"/>
                <w:highlight w:val="none"/>
              </w:rPr>
              <w:t>格条件承诺函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以下</w:t>
            </w:r>
            <w:r>
              <w:rPr>
                <w:rFonts w:hint="default" w:ascii="宋体" w:hAnsi="宋体" w:eastAsia="宋体" w:cs="宋体"/>
                <w:highlight w:val="none"/>
                <w:lang w:eastAsia="zh-CN"/>
              </w:rPr>
              <w:t>①</w:t>
            </w:r>
            <w:r>
              <w:rPr>
                <w:rFonts w:hint="eastAsia" w:ascii="宋体" w:hAnsi="宋体" w:eastAsia="宋体" w:cs="宋体"/>
                <w:highlight w:val="none"/>
                <w:lang w:val="en-US" w:eastAsia="zh-CN"/>
              </w:rPr>
              <w:t>-</w:t>
            </w:r>
            <w:r>
              <w:rPr>
                <w:rFonts w:hint="eastAsia" w:ascii="宋体" w:hAnsi="宋体" w:eastAsia="宋体" w:cs="宋体"/>
                <w:highlight w:val="none"/>
                <w:lang w:eastAsia="zh-CN"/>
              </w:rPr>
              <w:t>④</w:t>
            </w:r>
            <w:r>
              <w:rPr>
                <w:rFonts w:hint="eastAsia" w:ascii="宋体" w:hAnsi="宋体" w:eastAsia="宋体" w:cs="宋体"/>
                <w:highlight w:val="none"/>
                <w:lang w:val="en-US" w:eastAsia="zh-CN"/>
              </w:rPr>
              <w:t>条要求的相关材料供应商可提供</w:t>
            </w:r>
            <w:r>
              <w:rPr>
                <w:rFonts w:hint="eastAsia" w:ascii="宋体" w:hAnsi="宋体" w:eastAsia="宋体" w:cs="宋体"/>
                <w:highlight w:val="none"/>
              </w:rPr>
              <w:t>《基本资格条件承诺函》</w:t>
            </w:r>
            <w:r>
              <w:rPr>
                <w:rFonts w:hint="eastAsia" w:ascii="宋体" w:hAnsi="宋体" w:eastAsia="宋体" w:cs="宋体"/>
                <w:highlight w:val="none"/>
                <w:lang w:val="en-US" w:eastAsia="zh-CN"/>
              </w:rPr>
              <w:t>替代，</w:t>
            </w:r>
            <w:r>
              <w:rPr>
                <w:rFonts w:hint="eastAsia" w:ascii="宋体" w:hAnsi="宋体" w:eastAsia="宋体" w:cs="宋体"/>
                <w:highlight w:val="none"/>
              </w:rPr>
              <w:t>供应商应对</w:t>
            </w:r>
            <w:r>
              <w:rPr>
                <w:rFonts w:hint="eastAsia" w:ascii="宋体" w:hAnsi="宋体" w:eastAsia="宋体" w:cs="宋体"/>
                <w:highlight w:val="none"/>
                <w:lang w:val="en-US" w:eastAsia="zh-CN"/>
              </w:rPr>
              <w:t>其资格信用</w:t>
            </w:r>
            <w:r>
              <w:rPr>
                <w:rFonts w:hint="eastAsia" w:ascii="宋体" w:hAnsi="宋体" w:eastAsia="宋体" w:cs="宋体"/>
                <w:highlight w:val="none"/>
              </w:rPr>
              <w:t>承诺内容的真实性、合法性、有效性负责。</w:t>
            </w:r>
            <w:r>
              <w:rPr>
                <w:rFonts w:hint="eastAsia" w:ascii="宋体" w:hAnsi="宋体" w:eastAsia="宋体" w:cs="宋体"/>
                <w:highlight w:val="none"/>
                <w:lang w:val="en-US" w:eastAsia="zh-CN"/>
              </w:rPr>
              <w:t>如做出虚假承诺，视同</w:t>
            </w:r>
            <w:r>
              <w:rPr>
                <w:rFonts w:hint="eastAsia" w:ascii="宋体" w:hAnsi="宋体" w:eastAsia="宋体" w:cs="宋体"/>
                <w:highlight w:val="none"/>
              </w:rPr>
              <w:t>“提供虚假材料谋取中标</w:t>
            </w:r>
            <w:r>
              <w:rPr>
                <w:rFonts w:hint="eastAsia" w:ascii="宋体" w:hAnsi="宋体" w:eastAsia="宋体" w:cs="宋体"/>
                <w:highlight w:val="none"/>
                <w:lang w:val="en-US" w:eastAsia="zh-CN"/>
              </w:rPr>
              <w:t>(</w:t>
            </w:r>
            <w:r>
              <w:rPr>
                <w:rFonts w:hint="eastAsia" w:ascii="宋体" w:hAnsi="宋体" w:eastAsia="宋体" w:cs="宋体"/>
                <w:highlight w:val="none"/>
              </w:rPr>
              <w:t>成交</w:t>
            </w:r>
            <w:r>
              <w:rPr>
                <w:rFonts w:hint="eastAsia" w:ascii="宋体" w:hAnsi="宋体" w:eastAsia="宋体" w:cs="宋体"/>
                <w:highlight w:val="none"/>
                <w:lang w:val="en-US" w:eastAsia="zh-CN"/>
              </w:rPr>
              <w:t>)</w:t>
            </w:r>
            <w:r>
              <w:rPr>
                <w:rFonts w:hint="eastAsia" w:ascii="宋体" w:hAnsi="宋体" w:eastAsia="宋体" w:cs="宋体"/>
                <w:highlight w:val="none"/>
              </w:rPr>
              <w:t>”的违法行为，</w:t>
            </w:r>
            <w:r>
              <w:rPr>
                <w:rFonts w:hint="eastAsia" w:ascii="宋体" w:hAnsi="宋体" w:eastAsia="宋体" w:cs="宋体"/>
                <w:highlight w:val="none"/>
                <w:lang w:val="en-US" w:eastAsia="zh-CN"/>
              </w:rPr>
              <w:t>经调查核实后，按照</w:t>
            </w:r>
            <w:r>
              <w:rPr>
                <w:rFonts w:hint="eastAsia" w:ascii="宋体" w:hAnsi="宋体" w:eastAsia="宋体" w:cs="宋体"/>
                <w:highlight w:val="none"/>
              </w:rPr>
              <w:t>《中华人民共和国政府采购法》等法律法规追究相应责任。承诺函格式详情见招标文件第六章</w:t>
            </w:r>
            <w:r>
              <w:rPr>
                <w:rFonts w:hint="eastAsia" w:ascii="宋体" w:hAnsi="宋体" w:eastAsia="宋体" w:cs="宋体"/>
                <w:highlight w:val="none"/>
                <w:lang w:val="en-US" w:eastAsia="zh-CN"/>
              </w:rPr>
              <w:t>投标</w:t>
            </w:r>
            <w:r>
              <w:rPr>
                <w:rFonts w:hint="eastAsia" w:ascii="宋体" w:hAnsi="宋体" w:eastAsia="宋体" w:cs="宋体"/>
                <w:highlight w:val="none"/>
              </w:rPr>
              <w:t>文件格式。不提供《基本资格条件承诺函》的</w:t>
            </w:r>
            <w:r>
              <w:rPr>
                <w:rFonts w:hint="eastAsia" w:ascii="宋体" w:hAnsi="宋体" w:cs="宋体"/>
                <w:highlight w:val="none"/>
                <w:lang w:val="en-US" w:eastAsia="zh-CN"/>
              </w:rPr>
              <w:t>投标供应商</w:t>
            </w:r>
            <w:r>
              <w:rPr>
                <w:rFonts w:hint="eastAsia" w:ascii="宋体" w:hAnsi="宋体" w:eastAsia="宋体" w:cs="宋体"/>
                <w:highlight w:val="none"/>
              </w:rPr>
              <w:t>需提交如下资格证明文件</w:t>
            </w:r>
            <w:r>
              <w:rPr>
                <w:rFonts w:hint="eastAsia" w:ascii="宋体" w:hAnsi="宋体" w:eastAsia="宋体" w:cs="宋体"/>
                <w:highlight w:val="none"/>
                <w:lang w:eastAsia="zh-CN"/>
              </w:rPr>
              <w:t>：</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①</w:t>
            </w:r>
            <w:r>
              <w:rPr>
                <w:rFonts w:hint="eastAsia" w:ascii="宋体" w:hAnsi="宋体" w:eastAsia="宋体" w:cs="宋体"/>
                <w:highlight w:val="none"/>
                <w:lang w:eastAsia="zh-CN"/>
              </w:rPr>
              <w:t>良好的财务状况：提供2021年度或2022年度的财务审计报告（至少包括资产负债表和利润表，成立时间至提交</w:t>
            </w:r>
            <w:r>
              <w:rPr>
                <w:rFonts w:hint="eastAsia" w:ascii="宋体" w:hAnsi="宋体" w:eastAsia="宋体" w:cs="宋体"/>
                <w:highlight w:val="none"/>
                <w:lang w:val="en-US" w:eastAsia="zh-CN"/>
              </w:rPr>
              <w:t>响应</w:t>
            </w:r>
            <w:r>
              <w:rPr>
                <w:rFonts w:hint="eastAsia" w:ascii="宋体" w:hAnsi="宋体" w:eastAsia="宋体" w:cs="宋体"/>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②</w:t>
            </w:r>
            <w:r>
              <w:rPr>
                <w:rFonts w:hint="eastAsia" w:ascii="宋体" w:hAnsi="宋体" w:eastAsia="宋体" w:cs="宋体"/>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rPr>
                <w:rFonts w:hint="eastAsia" w:ascii="宋体" w:hAnsi="宋体" w:eastAsia="宋体" w:cs="宋体"/>
                <w:highlight w:val="none"/>
                <w:lang w:eastAsia="zh-CN"/>
              </w:rPr>
            </w:pPr>
            <w:r>
              <w:rPr>
                <w:rFonts w:hint="default" w:ascii="宋体" w:hAnsi="宋体" w:eastAsia="宋体" w:cs="宋体"/>
                <w:highlight w:val="none"/>
                <w:lang w:eastAsia="zh-CN"/>
              </w:rPr>
              <w:t>③</w:t>
            </w:r>
            <w:r>
              <w:rPr>
                <w:rFonts w:hint="eastAsia" w:ascii="宋体" w:hAnsi="宋体" w:eastAsia="宋体" w:cs="宋体"/>
                <w:highlight w:val="none"/>
                <w:lang w:eastAsia="zh-CN"/>
              </w:rPr>
              <w:t>具备履行合同所必需的设备和专业技术能力；</w:t>
            </w:r>
          </w:p>
          <w:p>
            <w:pPr>
              <w:spacing w:line="400" w:lineRule="exact"/>
              <w:rPr>
                <w:rFonts w:hint="eastAsia" w:ascii="宋体" w:hAnsi="宋体" w:eastAsia="宋体" w:cs="宋体"/>
                <w:highlight w:val="none"/>
                <w:lang w:eastAsia="zh-CN"/>
              </w:rPr>
            </w:pPr>
            <w:r>
              <w:rPr>
                <w:rFonts w:hint="eastAsia" w:ascii="宋体" w:hAnsi="宋体" w:eastAsia="宋体" w:cs="宋体"/>
                <w:highlight w:val="none"/>
                <w:lang w:eastAsia="zh-CN"/>
              </w:rPr>
              <w:t>④参加本次政府采购活动前三年内，在经营活动中没有重大违法记录的书面声明。</w:t>
            </w:r>
          </w:p>
          <w:p>
            <w:pPr>
              <w:spacing w:line="400" w:lineRule="exact"/>
              <w:rPr>
                <w:rFonts w:hint="eastAsia"/>
                <w:highlight w:val="none"/>
                <w:lang w:val="en-US" w:eastAsia="zh-CN"/>
              </w:rPr>
            </w:pPr>
            <w:r>
              <w:rPr>
                <w:rFonts w:hint="eastAsia"/>
                <w:highlight w:val="none"/>
                <w:lang w:val="en-US" w:eastAsia="zh-CN"/>
              </w:rPr>
              <w:t>2.落实政府采购政策需满足的资格要求；</w:t>
            </w:r>
          </w:p>
          <w:p>
            <w:pPr>
              <w:spacing w:line="400" w:lineRule="exact"/>
              <w:rPr>
                <w:rFonts w:hint="eastAsia"/>
                <w:highlight w:val="none"/>
                <w:lang w:val="en-US" w:eastAsia="zh-CN"/>
              </w:rPr>
            </w:pPr>
            <w:r>
              <w:rPr>
                <w:rFonts w:hint="eastAsia"/>
                <w:highlight w:val="none"/>
                <w:lang w:val="en-US" w:eastAsia="zh-CN"/>
              </w:rPr>
              <w:t>本项目专门面向中小企业采购，仅限符合《政府采购促进中小企业发展暂行办法》（财库〔2020〕46号）条件的中小企业参与，投标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spacing w:line="400" w:lineRule="exact"/>
              <w:rPr>
                <w:rFonts w:hint="eastAsia"/>
                <w:highlight w:val="none"/>
                <w:lang w:eastAsia="zh-CN"/>
              </w:rPr>
            </w:pPr>
            <w:r>
              <w:rPr>
                <w:rFonts w:hint="eastAsia"/>
                <w:highlight w:val="none"/>
                <w:lang w:val="en-US" w:eastAsia="zh-CN"/>
              </w:rPr>
              <w:t>3.</w:t>
            </w:r>
            <w:r>
              <w:rPr>
                <w:rFonts w:hint="eastAsia"/>
                <w:highlight w:val="none"/>
                <w:lang w:eastAsia="zh-CN"/>
              </w:rPr>
              <w:t>本项目的特定资格要求：</w:t>
            </w:r>
          </w:p>
          <w:p>
            <w:pPr>
              <w:spacing w:line="400" w:lineRule="exact"/>
              <w:rPr>
                <w:rFonts w:hint="eastAsia"/>
                <w:highlight w:val="none"/>
                <w:lang w:val="en-US" w:eastAsia="zh-CN"/>
              </w:rPr>
            </w:pPr>
            <w:r>
              <w:rPr>
                <w:rFonts w:hint="eastAsia"/>
                <w:highlight w:val="none"/>
                <w:lang w:val="en-US" w:eastAsia="zh-CN"/>
              </w:rPr>
              <w:t>（1）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rPr>
                <w:rFonts w:hint="eastAsia"/>
                <w:highlight w:val="none"/>
                <w:lang w:val="en-US" w:eastAsia="zh-CN"/>
              </w:rPr>
            </w:pPr>
            <w:r>
              <w:rPr>
                <w:rFonts w:hint="eastAsia"/>
                <w:highlight w:val="none"/>
                <w:lang w:val="en-US" w:eastAsia="zh-CN"/>
              </w:rPr>
              <w:t>（2）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rPr>
                <w:rFonts w:hint="eastAsia"/>
                <w:highlight w:val="none"/>
                <w:lang w:val="en-US" w:eastAsia="zh-CN"/>
              </w:rPr>
            </w:pPr>
            <w:r>
              <w:rPr>
                <w:rFonts w:hint="eastAsia"/>
                <w:highlight w:val="none"/>
                <w:lang w:val="en-US" w:eastAsia="zh-CN"/>
              </w:rPr>
              <w:t>（3）本项目不接受联合体投标。</w:t>
            </w:r>
          </w:p>
          <w:p>
            <w:pPr>
              <w:spacing w:line="400" w:lineRule="exact"/>
              <w:rPr>
                <w:rFonts w:hint="eastAsia"/>
                <w:b/>
                <w:bCs/>
                <w:highlight w:val="none"/>
                <w:lang w:val="en-US" w:eastAsia="zh-CN"/>
              </w:rPr>
            </w:pPr>
            <w:r>
              <w:rPr>
                <w:rFonts w:hint="eastAsia"/>
                <w:b/>
                <w:bCs/>
                <w:highlight w:val="none"/>
                <w:lang w:val="en-US" w:eastAsia="zh-CN"/>
              </w:rPr>
              <w:t>注：上述资格证明文件为必备资格，缺项或者符合性、有效性、合法性审查不合格的，按无效投标文件处理。资格审查时以投标文件中所附证明材料和现场相关网站查询为准（信用中国、中国执行信息公开网、中国政府采购网查询结果，由代理机构进行查询并留存）。</w:t>
            </w:r>
          </w:p>
          <w:p>
            <w:pPr>
              <w:spacing w:line="400" w:lineRule="exact"/>
              <w:rPr>
                <w:rFonts w:hint="eastAsia"/>
                <w:highlight w:val="none"/>
                <w:lang w:val="en-US" w:eastAsia="zh-CN"/>
              </w:rPr>
            </w:pPr>
            <w:r>
              <w:rPr>
                <w:rFonts w:hint="eastAsia"/>
                <w:highlight w:val="none"/>
                <w:lang w:val="en-US" w:eastAsia="zh-CN"/>
              </w:rPr>
              <w:t>依据财库〔2016〕125号《关于在政府采购活动中查询及使用信用记录有关问题的通知》的规定，投标供应商信用信息查询具体规定如下：</w:t>
            </w:r>
          </w:p>
          <w:p>
            <w:pPr>
              <w:spacing w:line="400" w:lineRule="exact"/>
              <w:rPr>
                <w:rFonts w:hint="eastAsia"/>
                <w:highlight w:val="none"/>
              </w:rPr>
            </w:pPr>
            <w:r>
              <w:rPr>
                <w:rFonts w:hint="eastAsia"/>
                <w:highlight w:val="none"/>
                <w:lang w:val="en-US" w:eastAsia="zh-CN"/>
              </w:rPr>
              <w:t>企业信用：投标供应商通过“信用中国”网站(www.creditchina.gov.cn)和中国政府采购网(www.ccgp.gov.cn) 查询相关主体信用记录，查询节点应在采购文件发售期至投标截止时间之间。（投标供应商可将“信用中国”、“中国执行信息公开网”网站（http://zxgk.court.gov.cn/）“中国政府采购网”网页查询截图加盖投标供应商红色公章附在投标文件中，采购人、采购代理机构有权对各投标供应商信用记录情况进行甄别查询，并对查询结果予以截图留存。对被列入失信被执行人、重大税收违法案件当事人、政府采购严重违法失信行为记录名单的投标供应商将被拒绝参与本次政府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p>
        </w:tc>
        <w:tc>
          <w:tcPr>
            <w:tcW w:w="2876" w:type="dxa"/>
            <w:noWrap w:val="0"/>
            <w:vAlign w:val="top"/>
          </w:tcPr>
          <w:p>
            <w:pPr>
              <w:spacing w:line="400" w:lineRule="exact"/>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 xml:space="preserve">不接受。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3"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现场踏勘及答疑</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napToGrid w:val="0"/>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提出询问和质疑的时间</w:t>
            </w:r>
          </w:p>
        </w:tc>
        <w:tc>
          <w:tcPr>
            <w:tcW w:w="6473" w:type="dxa"/>
            <w:noWrap w:val="0"/>
            <w:vAlign w:val="center"/>
          </w:tcPr>
          <w:p>
            <w:pPr>
              <w:spacing w:line="400" w:lineRule="exact"/>
              <w:rPr>
                <w:rFonts w:hint="eastAsia" w:ascii="宋体" w:hAnsi="宋体" w:cs="宋体"/>
                <w:snapToGrid w:val="0"/>
                <w:szCs w:val="21"/>
                <w:highlight w:val="none"/>
              </w:rPr>
            </w:pPr>
            <w:r>
              <w:rPr>
                <w:rFonts w:hint="eastAsia" w:ascii="宋体" w:hAnsi="宋体" w:cs="宋体"/>
                <w:snapToGrid w:val="0"/>
                <w:szCs w:val="21"/>
                <w:highlight w:val="none"/>
              </w:rPr>
              <w:t>已经购买</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的</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对</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有询问或者质疑的，可以在本项目</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公告期限届满之日起7个工作日内，以书面形式（陕西省政府采购网上政府采购</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质疑函范本）</w:t>
            </w:r>
            <w:r>
              <w:rPr>
                <w:rFonts w:hint="eastAsia" w:ascii="宋体" w:hAnsi="宋体" w:cs="宋体"/>
                <w:snapToGrid w:val="0"/>
                <w:color w:val="000000"/>
                <w:szCs w:val="21"/>
                <w:highlight w:val="none"/>
              </w:rPr>
              <w:t>一次性向采购代理机构提出，</w:t>
            </w:r>
            <w:r>
              <w:rPr>
                <w:rFonts w:hint="eastAsia" w:ascii="宋体" w:hAnsi="宋体" w:cs="宋体"/>
                <w:snapToGrid w:val="0"/>
                <w:szCs w:val="21"/>
                <w:highlight w:val="none"/>
              </w:rPr>
              <w:t>在此之后提出的询问和质疑均为无效，采购代理机构不予受理。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7</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采购代理机构答疑的时间</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napToGrid w:val="0"/>
                <w:szCs w:val="21"/>
                <w:highlight w:val="none"/>
              </w:rPr>
              <w:t>对于</w:t>
            </w:r>
            <w:r>
              <w:rPr>
                <w:rFonts w:hint="eastAsia" w:ascii="宋体" w:hAnsi="宋体" w:cs="宋体"/>
                <w:snapToGrid w:val="0"/>
                <w:szCs w:val="21"/>
                <w:highlight w:val="none"/>
                <w:lang w:eastAsia="zh-CN"/>
              </w:rPr>
              <w:t>投标供应商</w:t>
            </w:r>
            <w:r>
              <w:rPr>
                <w:rFonts w:hint="eastAsia" w:ascii="宋体" w:hAnsi="宋体" w:cs="宋体"/>
                <w:snapToGrid w:val="0"/>
                <w:szCs w:val="21"/>
                <w:highlight w:val="none"/>
              </w:rPr>
              <w:t>在规定时间内依法提出的询问和质疑，采购代理机构将在3个工作日内答复询问，7个工作日内答复质疑。若对</w:t>
            </w:r>
            <w:r>
              <w:rPr>
                <w:rFonts w:hint="eastAsia" w:ascii="宋体" w:hAnsi="宋体" w:cs="宋体"/>
                <w:snapToGrid w:val="0"/>
                <w:szCs w:val="21"/>
                <w:highlight w:val="none"/>
                <w:lang w:eastAsia="zh-CN"/>
              </w:rPr>
              <w:t>招标文件</w:t>
            </w:r>
            <w:r>
              <w:rPr>
                <w:rFonts w:hint="eastAsia" w:ascii="宋体" w:hAnsi="宋体" w:cs="宋体"/>
                <w:snapToGrid w:val="0"/>
                <w:szCs w:val="21"/>
                <w:highlight w:val="none"/>
              </w:rPr>
              <w:t>做出实质性变动，则按照相关规定延长投标截止时间。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18</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90个日历日（从提交投标文件截止之日算起）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19</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转包与分包履约</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不得转包。若分包中标人在合同签订之前必须征得采购人同意（详见</w:t>
            </w:r>
            <w:r>
              <w:rPr>
                <w:rFonts w:hint="eastAsia" w:ascii="宋体" w:hAnsi="宋体" w:cs="宋体"/>
                <w:szCs w:val="21"/>
                <w:highlight w:val="none"/>
                <w:lang w:eastAsia="zh-CN"/>
              </w:rPr>
              <w:t>投标供应商</w:t>
            </w:r>
            <w:r>
              <w:rPr>
                <w:rFonts w:hint="eastAsia" w:ascii="宋体" w:hAnsi="宋体" w:cs="宋体"/>
                <w:szCs w:val="21"/>
                <w:highlight w:val="none"/>
              </w:rPr>
              <w:t>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投标保证金金额及递交时间</w:t>
            </w:r>
          </w:p>
        </w:tc>
        <w:tc>
          <w:tcPr>
            <w:tcW w:w="6473" w:type="dxa"/>
            <w:noWrap w:val="0"/>
            <w:vAlign w:val="center"/>
          </w:tcPr>
          <w:p>
            <w:pPr>
              <w:spacing w:line="400" w:lineRule="exact"/>
              <w:rPr>
                <w:rFonts w:hint="eastAsia" w:ascii="宋体" w:hAnsi="宋体" w:cs="宋体"/>
                <w:szCs w:val="21"/>
                <w:highlight w:val="none"/>
              </w:rPr>
            </w:pPr>
            <w:r>
              <w:rPr>
                <w:rFonts w:hint="eastAsia" w:cs="Times New Roman"/>
                <w:spacing w:val="0"/>
                <w:sz w:val="21"/>
                <w:szCs w:val="21"/>
                <w:highlight w:val="none"/>
                <w:lang w:eastAsia="zh-CN"/>
              </w:rPr>
              <w:t>本项目免收</w:t>
            </w:r>
            <w:r>
              <w:rPr>
                <w:rFonts w:hint="eastAsia" w:ascii="宋体" w:hAnsi="宋体"/>
                <w:spacing w:val="0"/>
                <w:sz w:val="21"/>
                <w:szCs w:val="21"/>
                <w:highlight w:val="none"/>
                <w:lang w:eastAsia="zh-CN"/>
              </w:rPr>
              <w:t>投标</w:t>
            </w:r>
            <w:r>
              <w:rPr>
                <w:rFonts w:hint="eastAsia" w:cs="Times New Roman"/>
                <w:spacing w:val="0"/>
                <w:sz w:val="21"/>
                <w:szCs w:val="21"/>
                <w:highlight w:val="none"/>
                <w:lang w:eastAsia="zh-CN"/>
              </w:rPr>
              <w:t>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招标文件</w:t>
            </w:r>
            <w:r>
              <w:rPr>
                <w:rFonts w:hint="eastAsia" w:ascii="宋体" w:hAnsi="宋体" w:cs="宋体"/>
                <w:szCs w:val="21"/>
                <w:highlight w:val="none"/>
              </w:rPr>
              <w:t>发售</w:t>
            </w:r>
          </w:p>
        </w:tc>
        <w:tc>
          <w:tcPr>
            <w:tcW w:w="6473" w:type="dxa"/>
            <w:noWrap w:val="0"/>
            <w:vAlign w:val="center"/>
          </w:tcPr>
          <w:p>
            <w:pPr>
              <w:snapToGrid w:val="0"/>
              <w:spacing w:line="400" w:lineRule="exact"/>
              <w:ind w:left="630" w:hanging="630" w:hangingChars="300"/>
              <w:jc w:val="both"/>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日至202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日（节假日除外），</w:t>
            </w:r>
          </w:p>
          <w:p>
            <w:pPr>
              <w:snapToGrid w:val="0"/>
              <w:spacing w:line="400" w:lineRule="exact"/>
              <w:ind w:left="630" w:hanging="630" w:hangingChars="300"/>
              <w:jc w:val="both"/>
              <w:rPr>
                <w:rFonts w:hint="eastAsia" w:ascii="宋体" w:hAnsi="宋体" w:cs="宋体"/>
                <w:szCs w:val="21"/>
                <w:highlight w:val="none"/>
              </w:rPr>
            </w:pPr>
            <w:r>
              <w:rPr>
                <w:rFonts w:hint="eastAsia" w:ascii="宋体" w:hAnsi="宋体" w:cs="宋体"/>
                <w:szCs w:val="21"/>
                <w:highlight w:val="none"/>
              </w:rPr>
              <w:t>上午：</w:t>
            </w:r>
            <w:r>
              <w:rPr>
                <w:rFonts w:hint="eastAsia" w:ascii="宋体" w:hAnsi="宋体" w:cs="宋体"/>
                <w:szCs w:val="21"/>
                <w:highlight w:val="none"/>
                <w:lang w:val="en-US" w:eastAsia="zh-CN"/>
              </w:rPr>
              <w:t>8</w:t>
            </w:r>
            <w:r>
              <w:rPr>
                <w:rFonts w:hint="eastAsia" w:ascii="宋体" w:hAnsi="宋体" w:cs="宋体"/>
                <w:szCs w:val="21"/>
                <w:highlight w:val="none"/>
              </w:rPr>
              <w:t>:00-1</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0，下午</w:t>
            </w:r>
            <w:r>
              <w:rPr>
                <w:rFonts w:hint="eastAsia" w:ascii="宋体" w:hAnsi="宋体" w:cs="宋体"/>
                <w:szCs w:val="21"/>
                <w:highlight w:val="none"/>
                <w:lang w:val="en-US" w:eastAsia="zh-CN"/>
              </w:rPr>
              <w:t>12</w:t>
            </w:r>
            <w:r>
              <w:rPr>
                <w:rFonts w:hint="eastAsia" w:ascii="宋体" w:hAnsi="宋体" w:cs="宋体"/>
                <w:szCs w:val="21"/>
                <w:highlight w:val="none"/>
              </w:rPr>
              <w:t>:00-1</w:t>
            </w:r>
            <w:r>
              <w:rPr>
                <w:rFonts w:hint="eastAsia" w:ascii="宋体" w:hAnsi="宋体" w:cs="宋体"/>
                <w:szCs w:val="21"/>
                <w:highlight w:val="none"/>
                <w:lang w:val="en-US" w:eastAsia="zh-CN"/>
              </w:rPr>
              <w:t>8</w:t>
            </w:r>
            <w:r>
              <w:rPr>
                <w:rFonts w:hint="eastAsia" w:ascii="宋体" w:hAnsi="宋体" w:cs="宋体"/>
                <w:szCs w:val="21"/>
                <w:highlight w:val="none"/>
              </w:rPr>
              <w:t>:00。</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eastAsia="宋体" w:cs="宋体"/>
                <w:b w:val="0"/>
                <w:bCs/>
                <w:sz w:val="21"/>
                <w:szCs w:val="21"/>
                <w:highlight w:val="none"/>
                <w:lang w:val="en-US" w:eastAsia="zh-CN"/>
              </w:rPr>
              <w:t>全国公共资源交易平台</w:t>
            </w:r>
            <w:r>
              <w:rPr>
                <w:rFonts w:hint="eastAsia" w:ascii="宋体" w:hAnsi="宋体" w:eastAsia="宋体" w:cs="宋体"/>
                <w:b w:val="0"/>
                <w:bCs/>
                <w:i w:val="0"/>
                <w:iCs w:val="0"/>
                <w:caps w:val="0"/>
                <w:color w:val="333333"/>
                <w:spacing w:val="0"/>
                <w:kern w:val="0"/>
                <w:sz w:val="21"/>
                <w:szCs w:val="21"/>
                <w:highlight w:val="none"/>
                <w:shd w:val="clear" w:fill="FFFFFF"/>
                <w:vertAlign w:val="baseline"/>
                <w:lang w:val="en-US" w:eastAsia="zh-CN" w:bidi="ar-SA"/>
              </w:rPr>
              <w:t>（陕西省·西咸新区）</w:t>
            </w:r>
            <w:r>
              <w:rPr>
                <w:rFonts w:hint="eastAsia" w:ascii="宋体" w:hAnsi="宋体" w:cs="宋体"/>
                <w:szCs w:val="21"/>
                <w:highlight w:val="none"/>
              </w:rPr>
              <w:t>平台免费下载</w:t>
            </w:r>
            <w:r>
              <w:rPr>
                <w:rFonts w:hint="eastAsia" w:ascii="宋体" w:hAnsi="宋体" w:cs="宋体"/>
                <w:szCs w:val="21"/>
                <w:highlight w:val="none"/>
                <w:lang w:eastAsia="zh-CN"/>
              </w:rPr>
              <w:t>招标文件</w:t>
            </w:r>
            <w:r>
              <w:rPr>
                <w:rFonts w:hint="eastAsia" w:ascii="宋体" w:hAnsi="宋体" w:cs="宋体"/>
                <w:szCs w:val="21"/>
                <w:highlight w:val="none"/>
                <w:lang w:val="en-US" w:eastAsia="zh-CN"/>
              </w:rPr>
              <w:t>电子版</w:t>
            </w:r>
            <w:r>
              <w:rPr>
                <w:rFonts w:hint="eastAsia" w:ascii="宋体" w:hAnsi="宋体" w:cs="宋体"/>
                <w:szCs w:val="21"/>
                <w:highlight w:val="none"/>
                <w:shd w:val="clear" w:color="auto" w:fill="FFFFFF"/>
              </w:rPr>
              <w:t>。</w:t>
            </w:r>
          </w:p>
          <w:p>
            <w:pPr>
              <w:spacing w:line="400" w:lineRule="exact"/>
              <w:rPr>
                <w:rFonts w:hint="eastAsia" w:ascii="宋体" w:hAnsi="宋体" w:cs="宋体"/>
                <w:szCs w:val="21"/>
                <w:highlight w:val="none"/>
              </w:rPr>
            </w:pPr>
            <w:r>
              <w:rPr>
                <w:rFonts w:hint="eastAsia" w:ascii="宋体" w:hAnsi="宋体" w:cs="宋体"/>
                <w:szCs w:val="21"/>
                <w:highlight w:val="none"/>
                <w:lang w:eastAsia="zh-CN"/>
              </w:rPr>
              <w:t>招标文件</w:t>
            </w:r>
            <w:r>
              <w:rPr>
                <w:rFonts w:hint="eastAsia" w:ascii="宋体" w:hAnsi="宋体" w:cs="宋体"/>
                <w:szCs w:val="21"/>
                <w:highlight w:val="none"/>
              </w:rPr>
              <w:t>售价：</w:t>
            </w:r>
            <w:r>
              <w:rPr>
                <w:rFonts w:hint="eastAsia" w:ascii="宋体" w:hAnsi="宋体" w:cs="宋体"/>
                <w:szCs w:val="21"/>
                <w:highlight w:val="none"/>
                <w:lang w:val="en-US" w:eastAsia="zh-CN"/>
              </w:rPr>
              <w:t>0元</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876" w:type="dxa"/>
            <w:noWrap w:val="0"/>
            <w:vAlign w:val="center"/>
          </w:tcPr>
          <w:p>
            <w:pPr>
              <w:spacing w:line="40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w:t>
            </w:r>
          </w:p>
        </w:tc>
        <w:tc>
          <w:tcPr>
            <w:tcW w:w="6473" w:type="dxa"/>
            <w:noWrap w:val="0"/>
            <w:vAlign w:val="center"/>
          </w:tcPr>
          <w:p>
            <w:pPr>
              <w:pStyle w:val="16"/>
              <w:spacing w:line="360" w:lineRule="auto"/>
              <w:jc w:val="both"/>
              <w:rPr>
                <w:rFonts w:hint="eastAsia"/>
                <w:highlight w:val="none"/>
                <w:lang w:val="en-US" w:eastAsia="zh-CN"/>
              </w:rPr>
            </w:pPr>
            <w:r>
              <w:rPr>
                <w:rFonts w:hint="eastAsia"/>
                <w:highlight w:val="none"/>
                <w:lang w:val="en-US" w:eastAsia="zh-CN"/>
              </w:rPr>
              <w:t>1.最高投标限价：</w:t>
            </w:r>
          </w:p>
          <w:p>
            <w:pPr>
              <w:pStyle w:val="16"/>
              <w:spacing w:line="360" w:lineRule="auto"/>
              <w:ind w:firstLine="420" w:firstLineChars="200"/>
              <w:jc w:val="both"/>
              <w:rPr>
                <w:rFonts w:hint="eastAsia"/>
                <w:highlight w:val="none"/>
                <w:lang w:val="en-US" w:eastAsia="zh-CN"/>
              </w:rPr>
            </w:pPr>
            <w:r>
              <w:rPr>
                <w:rFonts w:hint="eastAsia"/>
                <w:highlight w:val="none"/>
                <w:lang w:val="en-US" w:eastAsia="zh-CN"/>
              </w:rPr>
              <w:t>1）二级养护区域：全费用综合单价限价为9元/平方米·年；</w:t>
            </w:r>
          </w:p>
          <w:p>
            <w:pPr>
              <w:pStyle w:val="16"/>
              <w:spacing w:line="360" w:lineRule="auto"/>
              <w:jc w:val="both"/>
              <w:rPr>
                <w:rFonts w:hint="eastAsia"/>
                <w:highlight w:val="none"/>
                <w:lang w:val="en-US" w:eastAsia="zh-CN"/>
              </w:rPr>
            </w:pPr>
            <w:r>
              <w:rPr>
                <w:rFonts w:hint="eastAsia" w:ascii="宋体" w:hAnsi="宋体"/>
                <w:color w:val="auto"/>
                <w:kern w:val="10"/>
                <w:szCs w:val="21"/>
                <w:highlight w:val="none"/>
                <w:lang w:val="en-US" w:eastAsia="zh-CN"/>
              </w:rPr>
              <w:t>2.绿地面积</w:t>
            </w:r>
            <w:r>
              <w:rPr>
                <w:rFonts w:hint="eastAsia" w:ascii="宋体" w:hAnsi="宋体"/>
                <w:color w:val="auto"/>
                <w:kern w:val="10"/>
                <w:szCs w:val="21"/>
                <w:highlight w:val="none"/>
              </w:rPr>
              <w:t>为近似数量，与实际准确数量可能会有出入，各</w:t>
            </w:r>
            <w:r>
              <w:rPr>
                <w:rFonts w:hint="eastAsia" w:ascii="宋体" w:hAnsi="宋体"/>
                <w:color w:val="auto"/>
                <w:kern w:val="10"/>
                <w:szCs w:val="21"/>
                <w:highlight w:val="none"/>
                <w:lang w:eastAsia="zh-CN"/>
              </w:rPr>
              <w:t>投标供应商</w:t>
            </w:r>
            <w:r>
              <w:rPr>
                <w:rFonts w:hint="eastAsia" w:ascii="宋体" w:hAnsi="宋体"/>
                <w:color w:val="auto"/>
                <w:kern w:val="10"/>
                <w:szCs w:val="21"/>
                <w:highlight w:val="none"/>
              </w:rPr>
              <w:t>在投标报价时应予以充分考虑，</w:t>
            </w:r>
            <w:r>
              <w:rPr>
                <w:rFonts w:hint="eastAsia" w:ascii="宋体" w:hAnsi="宋体"/>
                <w:color w:val="auto"/>
                <w:kern w:val="10"/>
                <w:szCs w:val="21"/>
                <w:highlight w:val="none"/>
                <w:lang w:eastAsia="zh-CN"/>
              </w:rPr>
              <w:t>投标供应商</w:t>
            </w:r>
            <w:r>
              <w:rPr>
                <w:rFonts w:hint="eastAsia" w:ascii="宋体" w:hAnsi="宋体"/>
                <w:color w:val="auto"/>
                <w:kern w:val="10"/>
                <w:szCs w:val="21"/>
                <w:highlight w:val="none"/>
              </w:rPr>
              <w:t>如有需要自行组织现场踏勘，以充分了解项目实施位置、项目实施范围、周边情况及任何其他足以影响报价的情况，任何因忽视或误解现场情况而导致的索赔或经费申请将不予受理。</w:t>
            </w:r>
            <w:r>
              <w:rPr>
                <w:rFonts w:hint="eastAsia"/>
                <w:highlight w:val="none"/>
                <w:lang w:val="en-US" w:eastAsia="zh-CN"/>
              </w:rPr>
              <w:t>最终年养护费用依据实际进场复测实际绿地养护面积与中标的全费用综合单价相乘所得。</w:t>
            </w:r>
          </w:p>
          <w:p>
            <w:pPr>
              <w:pStyle w:val="16"/>
              <w:spacing w:line="360" w:lineRule="auto"/>
              <w:jc w:val="both"/>
              <w:rPr>
                <w:rFonts w:hint="eastAsia"/>
                <w:highlight w:val="none"/>
                <w:lang w:val="en-US" w:eastAsia="zh-CN"/>
              </w:rPr>
            </w:pPr>
            <w:r>
              <w:rPr>
                <w:rFonts w:hint="eastAsia"/>
                <w:highlight w:val="none"/>
                <w:lang w:val="en-US" w:eastAsia="zh-CN"/>
              </w:rPr>
              <w:t>3.本项目采用固定全费用综合单价方式， 投标总报价不得超过采购预算，综合单价报价不得超过最高限价单价，否则按无效投标处理。</w:t>
            </w:r>
          </w:p>
          <w:p>
            <w:pPr>
              <w:pStyle w:val="16"/>
              <w:spacing w:line="360" w:lineRule="auto"/>
              <w:jc w:val="both"/>
              <w:rPr>
                <w:rFonts w:hint="eastAsia"/>
                <w:highlight w:val="none"/>
                <w:lang w:val="en-US" w:eastAsia="zh-CN"/>
              </w:rPr>
            </w:pPr>
            <w:r>
              <w:rPr>
                <w:rFonts w:hint="eastAsia"/>
                <w:highlight w:val="none"/>
                <w:lang w:val="en-US" w:eastAsia="zh-CN"/>
              </w:rPr>
              <w:t>4.各投标供应商根据招标文件的规定，结合企业自身管理水平及市场行情自主报价。</w:t>
            </w:r>
          </w:p>
          <w:p>
            <w:pPr>
              <w:pStyle w:val="16"/>
              <w:spacing w:line="360" w:lineRule="auto"/>
              <w:jc w:val="both"/>
              <w:rPr>
                <w:rFonts w:hint="eastAsia"/>
                <w:highlight w:val="none"/>
                <w:lang w:val="en-US" w:eastAsia="zh-CN"/>
              </w:rPr>
            </w:pPr>
            <w:r>
              <w:rPr>
                <w:rFonts w:hint="eastAsia"/>
                <w:highlight w:val="none"/>
                <w:lang w:val="en-US" w:eastAsia="zh-CN"/>
              </w:rPr>
              <w:t>5.凡因投标供应商对招标文件阅读疏忽或误解，或因对现场、环境、市场行情等了解不清而造成的后果和风险，由各投标供应商自己负责； 如投标供应商因此而提出索赔或服务期延长，采购人将不予批准。</w:t>
            </w:r>
          </w:p>
          <w:p>
            <w:pPr>
              <w:pStyle w:val="16"/>
              <w:spacing w:line="360" w:lineRule="auto"/>
              <w:jc w:val="both"/>
              <w:rPr>
                <w:rFonts w:hint="default"/>
                <w:highlight w:val="none"/>
                <w:lang w:val="en-US" w:eastAsia="zh-CN"/>
              </w:rPr>
            </w:pPr>
            <w:r>
              <w:rPr>
                <w:rFonts w:hint="eastAsia"/>
                <w:highlight w:val="none"/>
                <w:lang w:val="en-US" w:eastAsia="zh-CN"/>
              </w:rPr>
              <w:t>6.投标报价中应充分考虑本项目的各项内容，包括完成项目所发生的人工费、服务费、管理费、利润、聘请专家咨询费、税金以及合同包含的所有风险、责任等所有费用，投标供应商漏报或不报，采购人或采购代理机构将视为有关费用已包括在投标报价中而不予支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23</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投标文件份数</w:t>
            </w:r>
          </w:p>
        </w:tc>
        <w:tc>
          <w:tcPr>
            <w:tcW w:w="6473" w:type="dxa"/>
            <w:noWrap w:val="0"/>
            <w:vAlign w:val="center"/>
          </w:tcPr>
          <w:p>
            <w:pPr>
              <w:spacing w:line="400" w:lineRule="exact"/>
              <w:rPr>
                <w:rFonts w:hint="eastAsia" w:ascii="宋体" w:hAnsi="宋体" w:cs="宋体"/>
                <w:szCs w:val="21"/>
                <w:highlight w:val="none"/>
              </w:rPr>
            </w:pPr>
            <w:r>
              <w:rPr>
                <w:rFonts w:hint="eastAsia"/>
                <w:sz w:val="21"/>
                <w:szCs w:val="21"/>
                <w:highlight w:val="none"/>
                <w:lang w:val="en-US" w:eastAsia="zh-CN"/>
              </w:rPr>
              <w:t>本项目采用不见面开标，投标供应商无需提供纸质版投标文件</w:t>
            </w:r>
            <w:r>
              <w:rPr>
                <w:rFonts w:hint="eastAsia"/>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24</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投标文件提交地点</w:t>
            </w:r>
          </w:p>
          <w:p>
            <w:pPr>
              <w:spacing w:line="400" w:lineRule="exact"/>
              <w:jc w:val="center"/>
              <w:rPr>
                <w:rFonts w:hint="eastAsia" w:ascii="宋体" w:hAnsi="宋体" w:cs="宋体"/>
                <w:szCs w:val="21"/>
                <w:highlight w:val="none"/>
              </w:rPr>
            </w:pPr>
            <w:r>
              <w:rPr>
                <w:rFonts w:hint="eastAsia" w:ascii="宋体" w:hAnsi="宋体" w:cs="宋体"/>
                <w:szCs w:val="21"/>
                <w:highlight w:val="none"/>
              </w:rPr>
              <w:t>及截止时间</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w:t>
            </w:r>
            <w:r>
              <w:rPr>
                <w:rFonts w:hint="eastAsia" w:ascii="宋体" w:hAnsi="宋体" w:cs="宋体"/>
                <w:szCs w:val="21"/>
                <w:highlight w:val="none"/>
                <w:lang w:eastAsia="zh-CN"/>
              </w:rPr>
              <w:t>上</w:t>
            </w:r>
            <w:r>
              <w:rPr>
                <w:rFonts w:hint="eastAsia" w:ascii="宋体" w:hAnsi="宋体" w:cs="宋体"/>
                <w:szCs w:val="21"/>
                <w:highlight w:val="none"/>
              </w:rPr>
              <w:t>午</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p>
          <w:p>
            <w:pPr>
              <w:tabs>
                <w:tab w:val="left" w:pos="9720"/>
              </w:tabs>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b/>
                <w:bCs/>
                <w:sz w:val="21"/>
                <w:szCs w:val="21"/>
                <w:highlight w:val="none"/>
                <w:lang w:val="en-US" w:eastAsia="zh-CN"/>
              </w:rPr>
              <w:t>电子投标文件上传至全国公共资源交易中心（陕西省.西咸新区）平台</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color w:val="000000"/>
                <w:szCs w:val="21"/>
                <w:highlight w:val="none"/>
                <w:lang w:val="en-US" w:eastAsia="zh-CN"/>
              </w:rPr>
              <w:t>25</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开标</w:t>
            </w:r>
          </w:p>
        </w:tc>
        <w:tc>
          <w:tcPr>
            <w:tcW w:w="6473" w:type="dxa"/>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w:t>
            </w:r>
            <w:r>
              <w:rPr>
                <w:rFonts w:hint="eastAsia" w:ascii="宋体" w:hAnsi="宋体" w:cs="宋体"/>
                <w:szCs w:val="21"/>
                <w:highlight w:val="none"/>
                <w:lang w:eastAsia="zh-CN"/>
              </w:rPr>
              <w:t>上</w:t>
            </w:r>
            <w:r>
              <w:rPr>
                <w:rFonts w:hint="eastAsia" w:ascii="宋体" w:hAnsi="宋体" w:cs="宋体"/>
                <w:szCs w:val="21"/>
                <w:highlight w:val="none"/>
              </w:rPr>
              <w:t>午</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p>
          <w:p>
            <w:pPr>
              <w:spacing w:line="400" w:lineRule="exact"/>
              <w:rPr>
                <w:rFonts w:hint="eastAsia" w:ascii="宋体" w:hAnsi="宋体" w:cs="宋体"/>
                <w:szCs w:val="21"/>
                <w:highlight w:val="none"/>
              </w:rPr>
            </w:pPr>
            <w:r>
              <w:rPr>
                <w:rFonts w:hint="eastAsia" w:ascii="宋体" w:hAnsi="宋体" w:cs="宋体"/>
                <w:szCs w:val="21"/>
                <w:highlight w:val="none"/>
              </w:rPr>
              <w:t>地  点：</w:t>
            </w:r>
            <w:r>
              <w:rPr>
                <w:rFonts w:hint="eastAsia" w:ascii="宋体" w:hAnsi="宋体"/>
                <w:b/>
                <w:bCs/>
                <w:sz w:val="21"/>
                <w:szCs w:val="21"/>
                <w:highlight w:val="none"/>
                <w:lang w:val="en-US" w:eastAsia="zh-CN"/>
              </w:rPr>
              <w:t>全国公共资源交易中心（陕西省.西咸新区）平台不见面开标系统</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color w:val="000000"/>
                <w:szCs w:val="21"/>
                <w:highlight w:val="none"/>
                <w:lang w:val="en-US" w:eastAsia="zh-CN"/>
              </w:rPr>
              <w:t>26</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color w:val="000000"/>
                <w:kern w:val="0"/>
                <w:szCs w:val="21"/>
                <w:highlight w:val="none"/>
              </w:rPr>
              <w:t>评标委员会的组建</w:t>
            </w:r>
          </w:p>
        </w:tc>
        <w:tc>
          <w:tcPr>
            <w:tcW w:w="6473" w:type="dxa"/>
            <w:noWrap w:val="0"/>
            <w:vAlign w:val="center"/>
          </w:tcPr>
          <w:p>
            <w:pPr>
              <w:widowControl/>
              <w:spacing w:line="400" w:lineRule="exact"/>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评标委员会构成：</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7</w:t>
            </w:r>
            <w:r>
              <w:rPr>
                <w:rFonts w:hint="eastAsia" w:ascii="宋体" w:hAnsi="宋体" w:cs="宋体"/>
                <w:color w:val="000000"/>
                <w:kern w:val="0"/>
                <w:szCs w:val="21"/>
                <w:highlight w:val="none"/>
              </w:rPr>
              <w:t>人，其中采购人代表</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2</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人，专家</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5</w:t>
            </w:r>
            <w:r>
              <w:rPr>
                <w:rFonts w:hint="eastAsia" w:ascii="宋体" w:hAnsi="宋体" w:cs="宋体"/>
                <w:color w:val="000000"/>
                <w:kern w:val="0"/>
                <w:szCs w:val="21"/>
                <w:highlight w:val="none"/>
              </w:rPr>
              <w:t>人。</w:t>
            </w:r>
          </w:p>
          <w:p>
            <w:pPr>
              <w:spacing w:line="400" w:lineRule="exact"/>
              <w:rPr>
                <w:rFonts w:hint="eastAsia" w:ascii="宋体" w:hAnsi="宋体" w:cs="宋体"/>
                <w:szCs w:val="21"/>
                <w:highlight w:val="none"/>
              </w:rPr>
            </w:pPr>
            <w:r>
              <w:rPr>
                <w:rFonts w:hint="eastAsia" w:ascii="宋体" w:hAnsi="宋体" w:cs="宋体"/>
                <w:color w:val="000000"/>
                <w:kern w:val="0"/>
                <w:szCs w:val="21"/>
                <w:highlight w:val="none"/>
              </w:rPr>
              <w:t>评标专家确定方式：评标前在</w:t>
            </w:r>
            <w:r>
              <w:rPr>
                <w:rFonts w:hint="eastAsia" w:ascii="宋体" w:hAnsi="宋体" w:cs="宋体"/>
                <w:kern w:val="0"/>
                <w:szCs w:val="21"/>
                <w:highlight w:val="none"/>
              </w:rPr>
              <w:t>陕西政府采购专家库</w:t>
            </w:r>
            <w:r>
              <w:rPr>
                <w:rFonts w:hint="eastAsia" w:ascii="宋体" w:hAnsi="宋体" w:cs="宋体"/>
                <w:color w:val="000000"/>
                <w:kern w:val="0"/>
                <w:szCs w:val="21"/>
                <w:highlight w:val="none"/>
              </w:rPr>
              <w:t>中随机抽取技术、经济方面的专家。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27</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是否授权评标委员会</w:t>
            </w:r>
          </w:p>
          <w:p>
            <w:pPr>
              <w:spacing w:line="400" w:lineRule="exact"/>
              <w:jc w:val="center"/>
              <w:rPr>
                <w:rFonts w:hint="eastAsia" w:ascii="宋体" w:hAnsi="宋体" w:cs="宋体"/>
                <w:color w:val="000000"/>
                <w:kern w:val="0"/>
                <w:szCs w:val="21"/>
                <w:highlight w:val="none"/>
              </w:rPr>
            </w:pPr>
            <w:r>
              <w:rPr>
                <w:rFonts w:hint="eastAsia" w:ascii="宋体" w:hAnsi="宋体" w:cs="宋体"/>
                <w:szCs w:val="21"/>
                <w:highlight w:val="none"/>
              </w:rPr>
              <w:t>确定中标单位</w:t>
            </w:r>
          </w:p>
        </w:tc>
        <w:tc>
          <w:tcPr>
            <w:tcW w:w="6473" w:type="dxa"/>
            <w:noWrap w:val="0"/>
            <w:vAlign w:val="center"/>
          </w:tcPr>
          <w:p>
            <w:pPr>
              <w:spacing w:line="400" w:lineRule="exact"/>
              <w:rPr>
                <w:rFonts w:hint="eastAsia" w:ascii="宋体" w:hAnsi="宋体" w:cs="宋体"/>
                <w:color w:val="000000"/>
                <w:kern w:val="0"/>
                <w:szCs w:val="21"/>
                <w:highlight w:val="none"/>
              </w:rPr>
            </w:pPr>
            <w:r>
              <w:rPr>
                <w:rFonts w:hint="eastAsia" w:ascii="宋体" w:hAnsi="宋体" w:cs="宋体"/>
                <w:color w:val="000000"/>
                <w:szCs w:val="21"/>
                <w:highlight w:val="none"/>
              </w:rPr>
              <w:t>否,推荐3家中标候选人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lang w:val="en-US" w:eastAsia="zh-CN"/>
              </w:rPr>
              <w:t>28</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color w:val="000000"/>
                <w:szCs w:val="21"/>
                <w:highlight w:val="none"/>
              </w:rPr>
              <w:t>公示期</w:t>
            </w:r>
          </w:p>
        </w:tc>
        <w:tc>
          <w:tcPr>
            <w:tcW w:w="6473" w:type="dxa"/>
            <w:noWrap w:val="0"/>
            <w:vAlign w:val="center"/>
          </w:tcPr>
          <w:p>
            <w:pPr>
              <w:widowControl/>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公示媒介：陕西</w:t>
            </w:r>
            <w:r>
              <w:rPr>
                <w:rFonts w:hint="eastAsia" w:ascii="宋体" w:hAnsi="宋体" w:cs="宋体"/>
                <w:color w:val="000000"/>
                <w:szCs w:val="21"/>
                <w:highlight w:val="none"/>
                <w:lang w:eastAsia="zh-CN"/>
              </w:rPr>
              <w:t>省</w:t>
            </w:r>
            <w:r>
              <w:rPr>
                <w:rFonts w:hint="eastAsia" w:ascii="宋体" w:hAnsi="宋体" w:cs="宋体"/>
                <w:color w:val="000000"/>
                <w:szCs w:val="21"/>
                <w:highlight w:val="none"/>
              </w:rPr>
              <w:t>政府采购网、《全国公共资源交易平台（陕西省·西咸新区）》。</w:t>
            </w:r>
          </w:p>
          <w:p>
            <w:pPr>
              <w:spacing w:line="400" w:lineRule="exact"/>
              <w:rPr>
                <w:rFonts w:hint="eastAsia" w:ascii="宋体" w:hAnsi="宋体" w:cs="宋体"/>
                <w:szCs w:val="21"/>
                <w:highlight w:val="none"/>
              </w:rPr>
            </w:pPr>
            <w:r>
              <w:rPr>
                <w:rFonts w:hint="eastAsia" w:ascii="宋体" w:hAnsi="宋体" w:cs="宋体"/>
                <w:szCs w:val="21"/>
                <w:highlight w:val="none"/>
              </w:rPr>
              <w:t>公 示 期：1个工作日。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29</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付款方式</w:t>
            </w:r>
          </w:p>
        </w:tc>
        <w:tc>
          <w:tcPr>
            <w:tcW w:w="6473" w:type="dxa"/>
            <w:noWrap w:val="0"/>
            <w:vAlign w:val="center"/>
          </w:tcPr>
          <w:p>
            <w:pPr>
              <w:spacing w:line="400" w:lineRule="exac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使用单位与</w:t>
            </w:r>
            <w:r>
              <w:rPr>
                <w:rFonts w:hint="eastAsia" w:ascii="宋体" w:hAnsi="宋体" w:cs="宋体"/>
                <w:szCs w:val="21"/>
                <w:highlight w:val="none"/>
                <w:shd w:val="clear" w:color="auto" w:fill="FFFFFF"/>
                <w:lang w:eastAsia="zh-CN"/>
              </w:rPr>
              <w:t>中标</w:t>
            </w:r>
            <w:r>
              <w:rPr>
                <w:rFonts w:hint="eastAsia" w:ascii="宋体" w:hAnsi="宋体" w:cs="宋体"/>
                <w:szCs w:val="21"/>
                <w:highlight w:val="none"/>
                <w:shd w:val="clear" w:color="auto" w:fill="FFFFFF"/>
              </w:rPr>
              <w:t>单位根据具体项目合同约定进行</w:t>
            </w:r>
            <w:r>
              <w:rPr>
                <w:rFonts w:hint="eastAsia" w:ascii="宋体" w:hAnsi="宋体" w:cs="宋体"/>
                <w:szCs w:val="21"/>
                <w:highlight w:val="none"/>
                <w:shd w:val="clear" w:color="auto" w:fill="FFFFFF"/>
                <w:lang w:val="en-US" w:eastAsia="zh-CN"/>
              </w:rPr>
              <w:t>支付</w:t>
            </w:r>
            <w:r>
              <w:rPr>
                <w:rFonts w:hint="eastAsia" w:ascii="宋体" w:hAnsi="宋体" w:cs="宋体"/>
                <w:szCs w:val="21"/>
                <w:highlight w:val="none"/>
                <w:shd w:val="clear" w:color="auto" w:fill="FFFFFF"/>
              </w:rPr>
              <w:t>结算。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67"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2876" w:type="dxa"/>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采购代理服务费</w:t>
            </w:r>
          </w:p>
        </w:tc>
        <w:tc>
          <w:tcPr>
            <w:tcW w:w="6473" w:type="dxa"/>
            <w:noWrap w:val="0"/>
            <w:vAlign w:val="center"/>
          </w:tcPr>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服务费参照《国家计委关于印发&lt;招标代理服务收费管理暂行办法&gt;的通知》（计价格[2002]1980号）规定标准和（发改办价格[2003]857号）、发改价格[2011]534 号</w:t>
            </w:r>
            <w:r>
              <w:rPr>
                <w:rFonts w:hint="eastAsia" w:cs="宋体"/>
                <w:color w:val="000000"/>
                <w:kern w:val="0"/>
                <w:sz w:val="21"/>
                <w:szCs w:val="21"/>
                <w:highlight w:val="none"/>
                <w:lang w:val="en-US" w:eastAsia="zh-CN" w:bidi="ar-SA"/>
              </w:rPr>
              <w:t>文件规定下浮53.3%后</w:t>
            </w:r>
            <w:r>
              <w:rPr>
                <w:rFonts w:hint="eastAsia" w:ascii="宋体" w:hAnsi="宋体" w:eastAsia="宋体" w:cs="宋体"/>
                <w:color w:val="000000"/>
                <w:kern w:val="0"/>
                <w:sz w:val="21"/>
                <w:szCs w:val="21"/>
                <w:highlight w:val="none"/>
                <w:lang w:val="en-US" w:eastAsia="zh-CN" w:bidi="ar-SA"/>
              </w:rPr>
              <w:t>计取，由</w:t>
            </w:r>
            <w:r>
              <w:rPr>
                <w:rFonts w:hint="eastAsia" w:ascii="宋体" w:hAnsi="宋体" w:eastAsia="宋体" w:cs="宋体"/>
                <w:b w:val="0"/>
                <w:bCs w:val="0"/>
                <w:color w:val="000000"/>
                <w:kern w:val="2"/>
                <w:sz w:val="21"/>
                <w:szCs w:val="21"/>
                <w:highlight w:val="none"/>
                <w:lang w:val="en-US" w:eastAsia="zh-CN" w:bidi="ar-SA"/>
              </w:rPr>
              <w:t>中标人在领取中标通知书前向采购代理机构一次性支付。</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招标代理服务费专用户：</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开户名称：瑞信国际项目管理有限公司</w:t>
            </w:r>
          </w:p>
          <w:p>
            <w:pPr>
              <w:pStyle w:val="150"/>
              <w:spacing w:before="98" w:line="328" w:lineRule="auto"/>
              <w:ind w:right="97"/>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开户银行：交通银行股份有限公司咸阳分行</w:t>
            </w:r>
          </w:p>
          <w:p>
            <w:pPr>
              <w:pStyle w:val="150"/>
              <w:spacing w:before="98" w:line="328" w:lineRule="auto"/>
              <w:ind w:right="97"/>
              <w:jc w:val="both"/>
              <w:rPr>
                <w:rFonts w:hint="eastAsia" w:cs="宋体"/>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账    号：6140 6000 0018 1702 83871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27" w:hRule="atLeast"/>
        </w:trPr>
        <w:tc>
          <w:tcPr>
            <w:tcW w:w="746" w:type="dxa"/>
            <w:noWrap w:val="0"/>
            <w:vAlign w:val="center"/>
          </w:tcPr>
          <w:p>
            <w:pPr>
              <w:spacing w:line="400" w:lineRule="exact"/>
              <w:jc w:val="center"/>
              <w:rPr>
                <w:rFonts w:hint="default" w:ascii="宋体" w:hAnsi="宋体" w:cs="宋体"/>
                <w:szCs w:val="21"/>
                <w:highlight w:val="none"/>
                <w:lang w:val="en-US" w:eastAsia="zh-CN"/>
              </w:rPr>
            </w:pPr>
            <w:bookmarkStart w:id="12" w:name="_Toc222740110"/>
            <w:r>
              <w:rPr>
                <w:rFonts w:hint="eastAsia" w:ascii="宋体" w:hAnsi="宋体" w:cs="宋体"/>
                <w:szCs w:val="21"/>
                <w:highlight w:val="none"/>
                <w:lang w:val="en-US" w:eastAsia="zh-CN"/>
              </w:rPr>
              <w:t>31</w:t>
            </w:r>
          </w:p>
        </w:tc>
        <w:tc>
          <w:tcPr>
            <w:tcW w:w="2876" w:type="dxa"/>
            <w:noWrap w:val="0"/>
            <w:vAlign w:val="center"/>
          </w:tcPr>
          <w:p>
            <w:pPr>
              <w:spacing w:line="400" w:lineRule="exact"/>
              <w:jc w:val="center"/>
              <w:rPr>
                <w:rFonts w:hint="default" w:ascii="宋体" w:hAnsi="宋体" w:cs="宋体"/>
                <w:szCs w:val="21"/>
                <w:highlight w:val="none"/>
                <w:lang w:val="en-US"/>
              </w:rPr>
            </w:pPr>
            <w:r>
              <w:rPr>
                <w:rFonts w:hint="eastAsia" w:ascii="宋体" w:hAnsi="宋体" w:eastAsia="宋体" w:cs="宋体"/>
                <w:b w:val="0"/>
                <w:bCs/>
                <w:sz w:val="21"/>
                <w:szCs w:val="21"/>
                <w:highlight w:val="none"/>
                <w:lang w:val="en-US" w:eastAsia="zh-CN"/>
              </w:rPr>
              <w:t>不继续参与项目投标</w:t>
            </w:r>
            <w:r>
              <w:rPr>
                <w:rFonts w:hint="eastAsia" w:ascii="宋体" w:hAnsi="宋体" w:cs="宋体"/>
                <w:b w:val="0"/>
                <w:bCs/>
                <w:sz w:val="21"/>
                <w:szCs w:val="21"/>
                <w:highlight w:val="none"/>
                <w:lang w:val="en-US" w:eastAsia="zh-CN"/>
              </w:rPr>
              <w:t>的供应商</w:t>
            </w:r>
          </w:p>
        </w:tc>
        <w:tc>
          <w:tcPr>
            <w:tcW w:w="6473" w:type="dxa"/>
            <w:noWrap w:val="0"/>
            <w:vAlign w:val="center"/>
          </w:tcPr>
          <w:p>
            <w:pPr>
              <w:pStyle w:val="1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90" w:lineRule="exact"/>
              <w:ind w:left="0" w:leftChars="0" w:right="0" w:rightChars="0" w:firstLine="0" w:firstLineChars="0"/>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根据《西咸新区财政局关于促进政府采购公平竞争优化营商环境的通知》（陕西咸财函〔2021〕359号），</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登记免费领取采购文件的，如不参与项目投标，应在递交响应文件截止时间前一日以书面形式告知采购代理机构。否则采购代理机构可以向财政部门反映情况并提供相应的佐证。</w:t>
            </w:r>
            <w:r>
              <w:rPr>
                <w:rFonts w:hint="eastAsia" w:ascii="宋体" w:hAnsi="宋体" w:cs="宋体"/>
                <w:b w:val="0"/>
                <w:bCs/>
                <w:sz w:val="21"/>
                <w:szCs w:val="21"/>
                <w:highlight w:val="none"/>
                <w:lang w:val="en-US" w:eastAsia="zh-CN"/>
              </w:rPr>
              <w:t>投标供应商</w:t>
            </w:r>
            <w:r>
              <w:rPr>
                <w:rFonts w:hint="eastAsia" w:ascii="宋体" w:hAnsi="宋体" w:eastAsia="宋体" w:cs="宋体"/>
                <w:b w:val="0"/>
                <w:bCs/>
                <w:sz w:val="21"/>
                <w:szCs w:val="21"/>
                <w:highlight w:val="none"/>
                <w:lang w:val="en-US" w:eastAsia="zh-CN"/>
              </w:rPr>
              <w:t>一年内累计出现三次该情形，将被监管部门记录为失信行为。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27" w:hRule="atLeast"/>
        </w:trPr>
        <w:tc>
          <w:tcPr>
            <w:tcW w:w="746" w:type="dxa"/>
            <w:noWrap w:val="0"/>
            <w:vAlign w:val="center"/>
          </w:tcPr>
          <w:p>
            <w:pPr>
              <w:spacing w:line="40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876" w:type="dxa"/>
            <w:noWrap w:val="0"/>
            <w:vAlign w:val="center"/>
          </w:tcPr>
          <w:p>
            <w:pPr>
              <w:spacing w:line="360" w:lineRule="auto"/>
              <w:jc w:val="center"/>
              <w:rPr>
                <w:rFonts w:hint="default" w:ascii="宋体" w:hAnsi="宋体" w:eastAsia="宋体" w:cs="宋体"/>
                <w:b w:val="0"/>
                <w:bCs/>
                <w:sz w:val="21"/>
                <w:szCs w:val="21"/>
                <w:highlight w:val="none"/>
                <w:lang w:val="en-US" w:eastAsia="zh-CN"/>
              </w:rPr>
            </w:pPr>
            <w:r>
              <w:rPr>
                <w:rFonts w:hint="eastAsia" w:ascii="宋体" w:hAnsi="宋体" w:cs="宋体"/>
                <w:szCs w:val="21"/>
                <w:highlight w:val="none"/>
                <w:lang w:val="en-US" w:eastAsia="zh-CN"/>
              </w:rPr>
              <w:t>不见面开标注意事项</w:t>
            </w:r>
          </w:p>
        </w:tc>
        <w:tc>
          <w:tcPr>
            <w:tcW w:w="6473" w:type="dxa"/>
            <w:noWrap w:val="0"/>
            <w:vAlign w:val="center"/>
          </w:tcPr>
          <w:p>
            <w:pPr>
              <w:spacing w:line="360" w:lineRule="auto"/>
              <w:rPr>
                <w:rFonts w:ascii="宋体" w:hAnsi="宋体" w:cs="宋体"/>
                <w:szCs w:val="21"/>
                <w:highlight w:val="none"/>
              </w:rPr>
            </w:pPr>
            <w:r>
              <w:rPr>
                <w:rFonts w:hint="eastAsia" w:ascii="宋体" w:hAnsi="宋体" w:cs="宋体"/>
                <w:szCs w:val="21"/>
                <w:highlight w:val="none"/>
              </w:rPr>
              <w:t>1.本项目采用不见面开标，不见面开标大厅登录方式：全国公共资源交易中心（陕西省.西咸新区）</w:t>
            </w:r>
            <w:r>
              <w:rPr>
                <w:rFonts w:ascii="宋体" w:hAnsi="宋体" w:cs="宋体"/>
                <w:szCs w:val="21"/>
                <w:highlight w:val="none"/>
              </w:rPr>
              <w:t>→</w:t>
            </w:r>
            <w:r>
              <w:rPr>
                <w:rFonts w:hint="eastAsia" w:ascii="宋体" w:hAnsi="宋体" w:cs="宋体"/>
                <w:szCs w:val="21"/>
                <w:highlight w:val="none"/>
              </w:rPr>
              <w:t>电子交易平台</w:t>
            </w:r>
            <w:r>
              <w:rPr>
                <w:rFonts w:ascii="宋体" w:hAnsi="宋体" w:cs="宋体"/>
                <w:szCs w:val="21"/>
                <w:highlight w:val="none"/>
              </w:rPr>
              <w:t>→</w:t>
            </w:r>
            <w:r>
              <w:rPr>
                <w:rFonts w:hint="eastAsia" w:ascii="宋体" w:hAnsi="宋体" w:cs="宋体"/>
                <w:szCs w:val="21"/>
                <w:highlight w:val="none"/>
              </w:rPr>
              <w:t>西咸新区公共资源交易中心不见面开标系统。开标当日</w:t>
            </w:r>
            <w:r>
              <w:rPr>
                <w:rFonts w:hint="eastAsia" w:ascii="宋体" w:hAnsi="宋体" w:cs="宋体"/>
                <w:szCs w:val="21"/>
                <w:highlight w:val="none"/>
                <w:lang w:val="en-US" w:eastAsia="zh-CN"/>
              </w:rPr>
              <w:t>投标</w:t>
            </w:r>
            <w:r>
              <w:rPr>
                <w:rFonts w:hint="eastAsia" w:ascii="宋体" w:hAnsi="宋体" w:cs="宋体"/>
                <w:szCs w:val="21"/>
                <w:highlight w:val="none"/>
              </w:rPr>
              <w:t>供应商不必抵达开标现场，通过西咸新区公共资源交易中心不见面开标系统参加</w:t>
            </w:r>
            <w:r>
              <w:rPr>
                <w:rFonts w:hint="eastAsia" w:ascii="宋体" w:hAnsi="宋体" w:cs="宋体"/>
                <w:szCs w:val="21"/>
                <w:highlight w:val="none"/>
                <w:lang w:val="en-US" w:eastAsia="zh-CN"/>
              </w:rPr>
              <w:t>开标</w:t>
            </w:r>
            <w:r>
              <w:rPr>
                <w:rFonts w:hint="eastAsia" w:ascii="宋体" w:hAnsi="宋体" w:cs="宋体"/>
                <w:szCs w:val="21"/>
                <w:highlight w:val="none"/>
              </w:rPr>
              <w:t>会议，并根据需要使用不见面开标系统与现场采购人进行互动交流、澄清、质疑活动。各</w:t>
            </w:r>
            <w:r>
              <w:rPr>
                <w:rFonts w:hint="eastAsia" w:ascii="宋体" w:hAnsi="宋体" w:cs="宋体"/>
                <w:szCs w:val="21"/>
                <w:highlight w:val="none"/>
                <w:lang w:val="en-US" w:eastAsia="zh-CN"/>
              </w:rPr>
              <w:t>投标</w:t>
            </w:r>
            <w:r>
              <w:rPr>
                <w:rFonts w:hint="eastAsia" w:ascii="宋体" w:hAnsi="宋体" w:cs="宋体"/>
                <w:szCs w:val="21"/>
                <w:highlight w:val="none"/>
              </w:rPr>
              <w:t>供应商可在全国公共资源交易中心（陕西省.西咸新区）下载供应商不见面开标操作手册。</w:t>
            </w:r>
            <w:r>
              <w:rPr>
                <w:rFonts w:hint="eastAsia" w:ascii="宋体" w:hAnsi="宋体" w:eastAsia="宋体" w:cs="宋体"/>
                <w:b w:val="0"/>
                <w:bCs/>
                <w:spacing w:val="-28"/>
                <w:sz w:val="21"/>
                <w:szCs w:val="21"/>
                <w:highlight w:val="none"/>
                <w:lang w:val="en-US" w:eastAsia="zh-CN"/>
              </w:rPr>
              <w:t>“http://xxxq.sxggzyjy.cn/xwzx/002002/20210721/d7421699-e891-4f40-b441-dccc415e05b3.html”</w:t>
            </w:r>
            <w:r>
              <w:rPr>
                <w:rFonts w:hint="eastAsia" w:ascii="宋体" w:hAnsi="宋体" w:cs="宋体"/>
                <w:b w:val="0"/>
                <w:bCs/>
                <w:spacing w:val="-28"/>
                <w:sz w:val="21"/>
                <w:szCs w:val="21"/>
                <w:highlight w:val="none"/>
                <w:lang w:val="en-US" w:eastAsia="zh-CN"/>
              </w:rPr>
              <w:t>。</w:t>
            </w:r>
          </w:p>
          <w:p>
            <w:pPr>
              <w:spacing w:line="360" w:lineRule="auto"/>
              <w:rPr>
                <w:rFonts w:ascii="宋体" w:hAnsi="宋体" w:cs="宋体"/>
                <w:szCs w:val="21"/>
                <w:highlight w:val="none"/>
              </w:rPr>
            </w:pPr>
            <w:r>
              <w:rPr>
                <w:rFonts w:hint="eastAsia" w:ascii="宋体" w:hAnsi="宋体" w:cs="宋体"/>
                <w:szCs w:val="21"/>
                <w:highlight w:val="none"/>
              </w:rPr>
              <w:t>2.投标文件提交截止时间前，采购人及代理机构提前进入西咸新区公共资源交易中心不见面开标系统，播放测试音频，开启直播等功能，各供应商务需在开标前在线签到。</w:t>
            </w:r>
          </w:p>
          <w:p>
            <w:pPr>
              <w:spacing w:line="360" w:lineRule="auto"/>
              <w:rPr>
                <w:rFonts w:ascii="宋体" w:hAnsi="宋体" w:cs="宋体"/>
                <w:szCs w:val="21"/>
                <w:highlight w:val="none"/>
              </w:rPr>
            </w:pPr>
            <w:r>
              <w:rPr>
                <w:rFonts w:hint="eastAsia" w:ascii="宋体" w:hAnsi="宋体" w:cs="宋体"/>
                <w:szCs w:val="21"/>
                <w:highlight w:val="none"/>
              </w:rPr>
              <w:t>3.本项目无须提交纸质版投标文件，投标供应商应根据</w:t>
            </w:r>
            <w:r>
              <w:rPr>
                <w:rFonts w:hint="eastAsia" w:ascii="宋体" w:hAnsi="宋体" w:cs="宋体"/>
                <w:szCs w:val="21"/>
                <w:highlight w:val="none"/>
                <w:lang w:val="en-US" w:eastAsia="zh-CN"/>
              </w:rPr>
              <w:t>招标</w:t>
            </w:r>
            <w:r>
              <w:rPr>
                <w:rFonts w:hint="eastAsia" w:ascii="宋体" w:hAnsi="宋体" w:cs="宋体"/>
                <w:szCs w:val="21"/>
                <w:highlight w:val="none"/>
              </w:rPr>
              <w:t>文件的要求使用电子交易平台提供的标书制作工具完成电子投标响应文件的编制、签章和加密（加密和解密须用同一数字认证证书），并在投标截止时间前完成电子投标文件的上传，确保上传的电子投标文件的完整性、准确性及保密性。</w:t>
            </w:r>
          </w:p>
          <w:p>
            <w:pPr>
              <w:spacing w:line="360" w:lineRule="auto"/>
              <w:rPr>
                <w:rFonts w:ascii="宋体" w:hAnsi="宋体" w:cs="宋体"/>
                <w:szCs w:val="21"/>
                <w:highlight w:val="none"/>
              </w:rPr>
            </w:pPr>
            <w:r>
              <w:rPr>
                <w:rFonts w:hint="eastAsia" w:ascii="宋体" w:hAnsi="宋体" w:cs="宋体"/>
                <w:szCs w:val="21"/>
                <w:highlight w:val="none"/>
              </w:rPr>
              <w:t>4.各投标供应商需要实时在线观看音视频直播并及时互动，未按时加入系统或未在线参加互动的，视为放弃标书解密和对开标评标全过程质疑、澄清、答辩的</w:t>
            </w:r>
            <w:r>
              <w:rPr>
                <w:rFonts w:hint="eastAsia" w:ascii="宋体" w:hAnsi="宋体" w:cs="宋体"/>
                <w:szCs w:val="21"/>
                <w:highlight w:val="none"/>
                <w:lang w:val="en-US" w:eastAsia="zh-CN"/>
              </w:rPr>
              <w:t>权力</w:t>
            </w:r>
            <w:r>
              <w:rPr>
                <w:rFonts w:hint="eastAsia" w:ascii="宋体" w:hAnsi="宋体" w:cs="宋体"/>
                <w:szCs w:val="21"/>
                <w:highlight w:val="none"/>
              </w:rPr>
              <w:t>，并承担由此产生的相应后果。</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5.开标评标过程中，参与远程互动的</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供应商应为同一人，在否决投标、澄清、质疑等特殊情况下需要互动时，</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供应商一端参与互动的人员只能是供应商的法定代表人或委托人，供应商不得以不承认互动人员的资格或身份等为借口推脱，</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供应商自行承担随意更换人员所导致的一切后果。</w:t>
            </w:r>
          </w:p>
          <w:p>
            <w:pPr>
              <w:spacing w:line="360" w:lineRule="auto"/>
              <w:rPr>
                <w:rFonts w:hint="eastAsia" w:ascii="宋体" w:hAnsi="宋体" w:eastAsia="宋体" w:cs="宋体"/>
                <w:b w:val="0"/>
                <w:bCs/>
                <w:sz w:val="21"/>
                <w:szCs w:val="21"/>
                <w:highlight w:val="none"/>
                <w:lang w:val="en-US" w:eastAsia="zh-CN"/>
              </w:rPr>
            </w:pPr>
            <w:r>
              <w:rPr>
                <w:rFonts w:hint="eastAsia" w:ascii="宋体" w:hAnsi="宋体" w:eastAsia="宋体" w:cs="宋体"/>
                <w:szCs w:val="21"/>
                <w:highlight w:val="none"/>
              </w:rPr>
              <w:t>6.如因</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供应商自身原因无法进入不见面开标系统解密、或解密失败</w:t>
            </w:r>
            <w:r>
              <w:rPr>
                <w:rFonts w:hint="eastAsia" w:ascii="宋体" w:hAnsi="宋体" w:eastAsia="宋体" w:cs="宋体"/>
                <w:highlight w:val="none"/>
                <w:lang w:val="en-US" w:eastAsia="zh-CN"/>
              </w:rPr>
              <w:t>或解密超时</w:t>
            </w:r>
            <w:r>
              <w:rPr>
                <w:rFonts w:hint="eastAsia" w:ascii="宋体" w:hAnsi="宋体" w:eastAsia="宋体" w:cs="宋体"/>
                <w:szCs w:val="21"/>
                <w:highlight w:val="none"/>
              </w:rPr>
              <w:t>的，按无效</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3" w:hRule="atLeast"/>
        </w:trPr>
        <w:tc>
          <w:tcPr>
            <w:tcW w:w="746" w:type="dxa"/>
            <w:noWrap w:val="0"/>
            <w:vAlign w:val="center"/>
          </w:tcPr>
          <w:p>
            <w:pPr>
              <w:spacing w:line="40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33</w:t>
            </w:r>
          </w:p>
        </w:tc>
        <w:tc>
          <w:tcPr>
            <w:tcW w:w="2876" w:type="dxa"/>
            <w:noWrap w:val="0"/>
            <w:vAlign w:val="center"/>
          </w:tcPr>
          <w:p>
            <w:pPr>
              <w:spacing w:line="400" w:lineRule="exact"/>
              <w:jc w:val="center"/>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电子投标文件编制、递交等要求</w:t>
            </w:r>
          </w:p>
        </w:tc>
        <w:tc>
          <w:tcPr>
            <w:tcW w:w="6473" w:type="dxa"/>
            <w:noWrap w:val="0"/>
            <w:vAlign w:val="center"/>
          </w:tcPr>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电子招标文件下载：投标供应商须于招标文件获取时间内在全国公共资源交易平台（陕西省·西咸新区）（http://xxxq.sxggzyjy.cn/）登陆后进行投标确认，并自行下载电子招标文件，逾期下载通道将关闭，未及时下载招标文件影响后续开评标活动的，由此产生的后果由其自行承担。注意：该项目如有变更文件，则应点击“项目流程&gt;答疑文件下载”下载更新后的电子招标文件，使用旧版电子招标文件制作的电子投标文件，系统将拒绝接收。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2.电 子 投 标 文 件制作 。 投 标 人 须 在 “ 陕 西 省 公 共 资 源 交 易 中 心 平 台 （http://www.sxggzyjy.cn/）”的“服务指南”栏目“下载专区”中，免费下载 “陕西省公共资源交易平台政府采购电子标书制作工具”，并使用该客户端制作扩展名为“.SXSTF”的电子投标文件。编制电子投标文件时，投标供应商应使用最新发布的电子招标文件及专用制作工具进行编制。并使用数字认证证书（CA 锁）对电子投标文件进行签章、加密、递交及开标时解密等相关招投标事宜。如因投标供应商自身原因造成未能解密、解密失败或解密超时，按无效投标</w:t>
            </w:r>
            <w:r>
              <w:rPr>
                <w:rFonts w:hint="eastAsia" w:ascii="宋体" w:hAnsi="宋体" w:cs="宋体"/>
                <w:szCs w:val="21"/>
                <w:highlight w:val="none"/>
              </w:rPr>
              <w:t>处理</w:t>
            </w:r>
            <w:r>
              <w:rPr>
                <w:rFonts w:hint="eastAsia" w:ascii="宋体" w:hAnsi="宋体" w:cs="宋体"/>
                <w:szCs w:val="21"/>
                <w:highlight w:val="none"/>
                <w:lang w:val="en-US" w:eastAsia="zh-CN"/>
              </w:rPr>
              <w:t>。（注：投标人应在开标前 1个小时内进行电子签到）。电子投标文件在编制过程中，如有技术性问题，请先翻阅操作手册，或致电软件开发商。技术支持热线： 4009980000。</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3.电子投标文件递交。登录全国公共资源交易平台（陕西省·西咸新区） （http://xxxq.sxggzyjy.cn/），选择“电子交易平台-陕西政府采购交易系统- 陕西省西咸新区公共资源交易平台-供应商”进行登录，登录后选择“交易乙方” 身份进入，选择“上传响应文件”菜单页面，上传加密的电子投标文件。上传成功后，电子化平台将予以记录。在招标文件规定时间未上传投标文件或上传投标文件失败的，系统将拒绝接收。</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4.发布结果公示后，中标单位应向采购人提交一正一副2本，书籍（胶装）方式装订的纸质投标文件（与电子文件内容一致）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46" w:type="dxa"/>
            <w:noWrap w:val="0"/>
            <w:vAlign w:val="center"/>
          </w:tcPr>
          <w:p>
            <w:pPr>
              <w:spacing w:line="4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34</w:t>
            </w:r>
          </w:p>
        </w:tc>
        <w:tc>
          <w:tcPr>
            <w:tcW w:w="2876" w:type="dxa"/>
            <w:noWrap w:val="0"/>
            <w:vAlign w:val="center"/>
          </w:tcPr>
          <w:p>
            <w:pPr>
              <w:spacing w:line="400" w:lineRule="exact"/>
              <w:jc w:val="center"/>
              <w:rPr>
                <w:rFonts w:hint="eastAsia" w:ascii="宋体" w:hAnsi="宋体" w:eastAsia="宋体" w:cs="宋体"/>
                <w:b w:val="0"/>
                <w:bCs w:val="0"/>
                <w:color w:val="000000"/>
                <w:szCs w:val="21"/>
                <w:highlight w:val="none"/>
                <w:lang w:eastAsia="zh-CN"/>
              </w:rPr>
            </w:pPr>
            <w:r>
              <w:rPr>
                <w:rFonts w:hint="eastAsia" w:ascii="宋体" w:hAnsi="宋体" w:eastAsia="宋体" w:cs="宋体"/>
                <w:b w:val="0"/>
                <w:bCs w:val="0"/>
                <w:color w:val="000000"/>
                <w:szCs w:val="21"/>
                <w:highlight w:val="none"/>
                <w:lang w:val="en-US" w:eastAsia="zh-CN"/>
              </w:rPr>
              <w:t>本项目</w:t>
            </w:r>
            <w:r>
              <w:rPr>
                <w:rFonts w:hint="eastAsia" w:ascii="宋体" w:hAnsi="宋体" w:eastAsia="宋体" w:cs="宋体"/>
                <w:b w:val="0"/>
                <w:bCs w:val="0"/>
                <w:color w:val="000000"/>
                <w:szCs w:val="21"/>
                <w:highlight w:val="none"/>
                <w:lang w:eastAsia="zh-CN"/>
              </w:rPr>
              <w:t>所属行业</w:t>
            </w:r>
          </w:p>
        </w:tc>
        <w:tc>
          <w:tcPr>
            <w:tcW w:w="6473" w:type="dxa"/>
            <w:noWrap w:val="0"/>
            <w:vAlign w:val="center"/>
          </w:tcPr>
          <w:p>
            <w:pPr>
              <w:spacing w:line="400" w:lineRule="exact"/>
              <w:jc w:val="left"/>
              <w:rPr>
                <w:rFonts w:hint="eastAsia" w:ascii="宋体" w:hAnsi="宋体" w:eastAsia="宋体" w:cs="宋体"/>
                <w:b w:val="0"/>
                <w:bCs w:val="0"/>
                <w:color w:val="000000"/>
                <w:szCs w:val="21"/>
                <w:highlight w:val="none"/>
                <w:lang w:eastAsia="zh-CN"/>
              </w:rPr>
            </w:pPr>
            <w:r>
              <w:rPr>
                <w:rFonts w:hint="eastAsia" w:ascii="宋体" w:hAnsi="宋体" w:eastAsia="宋体" w:cs="宋体"/>
                <w:b w:val="0"/>
                <w:bCs w:val="0"/>
                <w:color w:val="000000"/>
                <w:szCs w:val="21"/>
                <w:highlight w:val="none"/>
                <w:lang w:val="en-US" w:eastAsia="zh-CN"/>
              </w:rPr>
              <w:t>按照《政府采购促进中小企业发展管理办法》（财库〔2020〕46号）规定和《中小企业划型标准规定》（工信部联企业〔2011〕300号，本项目采购标的所属行业为：</w:t>
            </w:r>
            <w:r>
              <w:rPr>
                <w:rFonts w:hint="eastAsia" w:ascii="宋体" w:hAnsi="宋体" w:eastAsia="宋体" w:cs="宋体"/>
                <w:b/>
                <w:bCs/>
                <w:color w:val="000000"/>
                <w:szCs w:val="21"/>
                <w:highlight w:val="none"/>
                <w:lang w:eastAsia="zh-CN"/>
              </w:rPr>
              <w:t>其他未列明行业</w:t>
            </w:r>
            <w:r>
              <w:rPr>
                <w:rFonts w:hint="eastAsia" w:ascii="宋体" w:hAnsi="宋体" w:eastAsia="宋体" w:cs="宋体"/>
                <w:b w:val="0"/>
                <w:bCs w:val="0"/>
                <w:color w:val="000000"/>
                <w:szCs w:val="21"/>
                <w:highlight w:val="none"/>
                <w:lang w:val="en-US" w:eastAsia="zh-CN"/>
              </w:rPr>
              <w:t>。</w:t>
            </w:r>
          </w:p>
        </w:tc>
      </w:tr>
      <w:bookmarkEnd w:id="6"/>
    </w:tbl>
    <w:p>
      <w:pPr>
        <w:autoSpaceDE w:val="0"/>
        <w:autoSpaceDN w:val="0"/>
        <w:adjustRightInd w:val="0"/>
        <w:spacing w:line="500" w:lineRule="exact"/>
        <w:ind w:right="6"/>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cs="宋体"/>
          <w:b/>
          <w:bCs/>
          <w:sz w:val="28"/>
          <w:szCs w:val="28"/>
          <w:highlight w:val="none"/>
          <w:lang w:eastAsia="zh-CN"/>
        </w:rPr>
        <w:t>投标供应商</w:t>
      </w:r>
      <w:r>
        <w:rPr>
          <w:rFonts w:hint="eastAsia" w:ascii="宋体" w:hAnsi="宋体" w:eastAsia="宋体" w:cs="宋体"/>
          <w:b/>
          <w:bCs/>
          <w:sz w:val="28"/>
          <w:szCs w:val="28"/>
          <w:highlight w:val="none"/>
        </w:rPr>
        <w:t>须知</w:t>
      </w:r>
      <w:bookmarkEnd w:id="12"/>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一、总则</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1、适用范围</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本</w:t>
      </w:r>
      <w:r>
        <w:rPr>
          <w:rFonts w:hint="eastAsia" w:ascii="宋体" w:hAnsi="宋体" w:eastAsia="宋体" w:cs="宋体"/>
          <w:highlight w:val="none"/>
          <w:lang w:eastAsia="zh-CN"/>
        </w:rPr>
        <w:t>招标文件</w:t>
      </w:r>
      <w:r>
        <w:rPr>
          <w:rFonts w:hint="eastAsia" w:ascii="宋体" w:hAnsi="宋体" w:eastAsia="宋体" w:cs="宋体"/>
          <w:highlight w:val="none"/>
        </w:rPr>
        <w:t>仅适用于本次公开招标所叙述的</w:t>
      </w:r>
      <w:r>
        <w:rPr>
          <w:rFonts w:hint="eastAsia" w:ascii="宋体" w:hAnsi="宋体" w:cs="宋体"/>
          <w:highlight w:val="none"/>
          <w:lang w:val="en-US" w:eastAsia="zh-CN"/>
        </w:rPr>
        <w:t>绿化养护</w:t>
      </w:r>
      <w:r>
        <w:rPr>
          <w:rFonts w:hint="eastAsia" w:ascii="宋体" w:hAnsi="宋体" w:eastAsia="宋体" w:cs="宋体"/>
          <w:highlight w:val="none"/>
        </w:rPr>
        <w:t>服务项目采购活动。</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2、名词解释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  “采购人”系指依法进行政府采购的国家机关、事业单位、团体组织。本次招标的采购人是</w:t>
      </w:r>
      <w:r>
        <w:rPr>
          <w:rFonts w:hint="eastAsia" w:ascii="宋体" w:hAnsi="宋体" w:eastAsia="宋体" w:cs="宋体"/>
          <w:b w:val="0"/>
          <w:bCs/>
          <w:sz w:val="21"/>
          <w:szCs w:val="21"/>
          <w:highlight w:val="none"/>
          <w:lang w:val="en-US" w:eastAsia="zh-CN"/>
        </w:rPr>
        <w:t>陕西省西咸新区秦汉新城综合行政执法支队</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2.2  “采购代理机构”系指根据采购人的委托依法办理招标事宜的代理机构。本次招标的采购代理机构是</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2.3  “</w:t>
      </w:r>
      <w:r>
        <w:rPr>
          <w:rFonts w:hint="eastAsia" w:ascii="宋体" w:hAnsi="宋体" w:cs="宋体"/>
          <w:highlight w:val="none"/>
          <w:lang w:eastAsia="zh-CN"/>
        </w:rPr>
        <w:t>投标供应商</w:t>
      </w:r>
      <w:r>
        <w:rPr>
          <w:rFonts w:hint="eastAsia" w:ascii="宋体" w:hAnsi="宋体" w:eastAsia="宋体" w:cs="宋体"/>
          <w:highlight w:val="none"/>
        </w:rPr>
        <w:t>”系指</w:t>
      </w:r>
      <w:r>
        <w:rPr>
          <w:rFonts w:hint="eastAsia" w:ascii="宋体" w:hAnsi="宋体" w:eastAsia="宋体" w:cs="宋体"/>
          <w:highlight w:val="none"/>
          <w:lang w:val="en-US" w:eastAsia="zh-CN"/>
        </w:rPr>
        <w:t>领取</w:t>
      </w:r>
      <w:r>
        <w:rPr>
          <w:rFonts w:hint="eastAsia" w:ascii="宋体" w:hAnsi="宋体" w:eastAsia="宋体" w:cs="宋体"/>
          <w:highlight w:val="none"/>
        </w:rPr>
        <w:t>了</w:t>
      </w:r>
      <w:r>
        <w:rPr>
          <w:rFonts w:hint="eastAsia" w:ascii="宋体" w:hAnsi="宋体" w:eastAsia="宋体" w:cs="宋体"/>
          <w:highlight w:val="none"/>
          <w:lang w:eastAsia="zh-CN"/>
        </w:rPr>
        <w:t>招标文件、</w:t>
      </w:r>
      <w:r>
        <w:rPr>
          <w:rFonts w:hint="eastAsia" w:ascii="宋体" w:hAnsi="宋体" w:eastAsia="宋体" w:cs="宋体"/>
          <w:highlight w:val="none"/>
          <w:lang w:val="zh-CN"/>
        </w:rPr>
        <w:t>响应招标、参加投标竞争的法人、其他组织或者自然人。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4</w:t>
      </w:r>
      <w:r>
        <w:rPr>
          <w:rFonts w:hint="eastAsia" w:ascii="宋体" w:hAnsi="宋体" w:eastAsia="宋体" w:cs="宋体"/>
          <w:highlight w:val="none"/>
        </w:rPr>
        <w:t xml:space="preserve">  “服务”系指</w:t>
      </w:r>
      <w:r>
        <w:rPr>
          <w:rFonts w:hint="eastAsia" w:ascii="宋体" w:hAnsi="宋体" w:eastAsia="宋体" w:cs="宋体"/>
          <w:highlight w:val="none"/>
          <w:lang w:eastAsia="zh-CN"/>
        </w:rPr>
        <w:t>招标文件</w:t>
      </w:r>
      <w:r>
        <w:rPr>
          <w:rFonts w:hint="eastAsia" w:ascii="宋体" w:hAnsi="宋体" w:eastAsia="宋体" w:cs="宋体"/>
          <w:highlight w:val="none"/>
        </w:rPr>
        <w:t>规定</w:t>
      </w:r>
      <w:r>
        <w:rPr>
          <w:rFonts w:hint="eastAsia" w:ascii="宋体" w:hAnsi="宋体" w:cs="宋体"/>
          <w:highlight w:val="none"/>
          <w:lang w:eastAsia="zh-CN"/>
        </w:rPr>
        <w:t>投标供应商</w:t>
      </w:r>
      <w:r>
        <w:rPr>
          <w:rFonts w:hint="eastAsia" w:ascii="宋体" w:hAnsi="宋体" w:eastAsia="宋体" w:cs="宋体"/>
          <w:highlight w:val="none"/>
        </w:rPr>
        <w:t>须承担的</w:t>
      </w:r>
      <w:r>
        <w:rPr>
          <w:rFonts w:hint="eastAsia" w:ascii="宋体" w:hAnsi="宋体" w:cs="宋体"/>
          <w:highlight w:val="none"/>
          <w:lang w:val="en-US" w:eastAsia="zh-CN"/>
        </w:rPr>
        <w:t>绿化养护服务及</w:t>
      </w:r>
      <w:r>
        <w:rPr>
          <w:rFonts w:hint="eastAsia" w:ascii="宋体" w:hAnsi="宋体" w:eastAsia="宋体" w:cs="宋体"/>
          <w:highlight w:val="none"/>
        </w:rPr>
        <w:t>有关运输、保险、</w:t>
      </w:r>
      <w:r>
        <w:rPr>
          <w:rFonts w:hint="eastAsia" w:ascii="宋体" w:hAnsi="宋体" w:cs="宋体"/>
          <w:highlight w:val="none"/>
          <w:lang w:val="en-US" w:eastAsia="zh-CN"/>
        </w:rPr>
        <w:t>售后、零星应急工程</w:t>
      </w:r>
      <w:r>
        <w:rPr>
          <w:rFonts w:hint="eastAsia" w:ascii="宋体" w:hAnsi="宋体" w:eastAsia="宋体" w:cs="宋体"/>
          <w:highlight w:val="none"/>
        </w:rPr>
        <w:t>以及其他使</w:t>
      </w:r>
      <w:r>
        <w:rPr>
          <w:rFonts w:hint="eastAsia" w:ascii="宋体" w:hAnsi="宋体" w:cs="宋体"/>
          <w:highlight w:val="none"/>
          <w:lang w:val="en-US" w:eastAsia="zh-CN"/>
        </w:rPr>
        <w:t>项目</w:t>
      </w:r>
      <w:r>
        <w:rPr>
          <w:rFonts w:hint="eastAsia" w:ascii="宋体" w:hAnsi="宋体" w:eastAsia="宋体" w:cs="宋体"/>
          <w:highlight w:val="none"/>
        </w:rPr>
        <w:t>正常</w:t>
      </w:r>
      <w:r>
        <w:rPr>
          <w:rFonts w:hint="eastAsia" w:ascii="宋体" w:hAnsi="宋体" w:cs="宋体"/>
          <w:highlight w:val="none"/>
          <w:lang w:val="en-US" w:eastAsia="zh-CN"/>
        </w:rPr>
        <w:t>管理</w:t>
      </w:r>
      <w:r>
        <w:rPr>
          <w:rFonts w:hint="eastAsia" w:ascii="宋体" w:hAnsi="宋体" w:eastAsia="宋体" w:cs="宋体"/>
          <w:highlight w:val="none"/>
        </w:rPr>
        <w:t>所必需的义务。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5</w:t>
      </w:r>
      <w:r>
        <w:rPr>
          <w:rFonts w:hint="eastAsia" w:ascii="宋体" w:hAnsi="宋体" w:eastAsia="宋体" w:cs="宋体"/>
          <w:highlight w:val="none"/>
        </w:rPr>
        <w:t xml:space="preserve">  节能产品或者环保产品是指财政部发布的《节能产品政府采购清单》或者《环境标志产品政府采购清单》的产品。</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6</w:t>
      </w:r>
      <w:r>
        <w:rPr>
          <w:rFonts w:hint="eastAsia" w:ascii="宋体" w:hAnsi="宋体" w:eastAsia="宋体" w:cs="宋体"/>
          <w:highlight w:val="none"/>
        </w:rPr>
        <w:t xml:space="preserve">  进口产品是指通过中国海关报关验放进入中国境内且产自关境外的产品，详见《政府采购进口产品管理办法》(财库[2007]119号)。</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val="en-US" w:eastAsia="zh-CN"/>
        </w:rPr>
        <w:t>7</w:t>
      </w:r>
      <w:r>
        <w:rPr>
          <w:rFonts w:hint="eastAsia" w:ascii="宋体" w:hAnsi="宋体" w:eastAsia="宋体" w:cs="宋体"/>
          <w:highlight w:val="none"/>
        </w:rPr>
        <w:t xml:space="preserve">  中小企业是指符合《工业和信息化部、国家统计局、国家发展和改革委员会、财政部关于印发中小企业划型标准规定的通知》（工信部联企业[2011]300号）规定的对中小企业的划分标准的企业。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8</w:t>
      </w:r>
      <w:r>
        <w:rPr>
          <w:rFonts w:hint="eastAsia" w:ascii="宋体" w:hAnsi="宋体" w:eastAsia="宋体" w:cs="宋体"/>
          <w:highlight w:val="none"/>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9</w:t>
      </w:r>
      <w:r>
        <w:rPr>
          <w:rFonts w:hint="eastAsia" w:ascii="宋体" w:hAnsi="宋体" w:eastAsia="宋体" w:cs="宋体"/>
          <w:highlight w:val="none"/>
        </w:rPr>
        <w:t xml:space="preserve"> 残疾人福利性单位是指符合《财政部民政部中国残疾人联合会关于促进残疾人就业政府采购政策的通知》（财库{2017}141号）的企业。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cs="宋体"/>
          <w:highlight w:val="none"/>
          <w:lang w:val="en-US" w:eastAsia="zh-CN"/>
        </w:rPr>
        <w:t>0</w:t>
      </w:r>
      <w:r>
        <w:rPr>
          <w:rFonts w:hint="eastAsia" w:ascii="宋体" w:hAnsi="宋体" w:eastAsia="宋体" w:cs="宋体"/>
          <w:highlight w:val="none"/>
        </w:rPr>
        <w:t xml:space="preserve"> 《财政部 发展改革委 生态环境部 市场监管总局关于调整优化节能产品、环境标志产品政府采购执行机制的通知》（财库〔2019〕9号）。</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cs="宋体"/>
          <w:highlight w:val="none"/>
          <w:lang w:val="en-US" w:eastAsia="zh-CN"/>
        </w:rPr>
        <w:t>1</w:t>
      </w:r>
      <w:r>
        <w:rPr>
          <w:rFonts w:hint="eastAsia" w:ascii="宋体" w:hAnsi="宋体" w:eastAsia="宋体" w:cs="宋体"/>
          <w:highlight w:val="none"/>
        </w:rPr>
        <w:t>《财政部 国务院扶贫办关于运用政府采购政策支持脱贫攻坚的通知》（财库〔2019〕27号）。</w:t>
      </w:r>
    </w:p>
    <w:p>
      <w:pPr>
        <w:keepLines w:val="0"/>
        <w:pageBreakBefore w:val="0"/>
        <w:widowControl w:val="0"/>
        <w:kinsoku/>
        <w:wordWrap/>
        <w:overflowPunct/>
        <w:topLinePunct w:val="0"/>
        <w:bidi w:val="0"/>
        <w:snapToGrid/>
        <w:spacing w:before="240" w:after="120" w:line="500" w:lineRule="exact"/>
        <w:jc w:val="left"/>
        <w:textAlignment w:val="auto"/>
        <w:outlineLvl w:val="2"/>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3、合格的</w:t>
      </w:r>
      <w:r>
        <w:rPr>
          <w:rFonts w:hint="eastAsia" w:ascii="宋体" w:hAnsi="宋体" w:cs="宋体"/>
          <w:b/>
          <w:bCs/>
          <w:kern w:val="0"/>
          <w:sz w:val="24"/>
          <w:highlight w:val="none"/>
          <w:lang w:eastAsia="zh-CN"/>
        </w:rPr>
        <w:t>投标供应商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  合格的</w:t>
      </w:r>
      <w:r>
        <w:rPr>
          <w:rFonts w:hint="eastAsia" w:ascii="宋体" w:hAnsi="宋体" w:cs="宋体"/>
          <w:highlight w:val="none"/>
          <w:lang w:eastAsia="zh-CN"/>
        </w:rPr>
        <w:t>投标供应商</w:t>
      </w:r>
      <w:r>
        <w:rPr>
          <w:rFonts w:hint="eastAsia" w:ascii="宋体" w:hAnsi="宋体" w:eastAsia="宋体" w:cs="宋体"/>
          <w:highlight w:val="none"/>
        </w:rPr>
        <w:t>应具备以下条件：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（1）具备且满足“招标公告”</w:t>
      </w:r>
      <w:r>
        <w:rPr>
          <w:rFonts w:hint="eastAsia" w:ascii="宋体" w:hAnsi="宋体" w:cs="宋体"/>
          <w:szCs w:val="21"/>
          <w:highlight w:val="none"/>
          <w:lang w:eastAsia="zh-CN"/>
        </w:rPr>
        <w:t>投标供应商</w:t>
      </w:r>
      <w:r>
        <w:rPr>
          <w:rFonts w:hint="eastAsia" w:ascii="宋体" w:hAnsi="宋体" w:eastAsia="宋体" w:cs="宋体"/>
          <w:szCs w:val="21"/>
          <w:highlight w:val="none"/>
        </w:rPr>
        <w:t>资格</w:t>
      </w:r>
      <w:r>
        <w:rPr>
          <w:rFonts w:hint="eastAsia" w:ascii="宋体" w:hAnsi="宋体" w:eastAsia="宋体" w:cs="宋体"/>
          <w:highlight w:val="none"/>
        </w:rPr>
        <w:t>要求的；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（2）在招标公告指定路径成功下载</w:t>
      </w:r>
      <w:r>
        <w:rPr>
          <w:rFonts w:hint="eastAsia" w:ascii="宋体" w:hAnsi="宋体" w:eastAsia="宋体" w:cs="宋体"/>
          <w:highlight w:val="none"/>
          <w:lang w:eastAsia="zh-CN"/>
        </w:rPr>
        <w:t>招标文件</w:t>
      </w:r>
      <w:r>
        <w:rPr>
          <w:rFonts w:hint="eastAsia" w:ascii="宋体" w:hAnsi="宋体" w:cs="宋体"/>
          <w:highlight w:val="none"/>
          <w:lang w:val="en-US" w:eastAsia="zh-CN"/>
        </w:rPr>
        <w:t>的</w:t>
      </w:r>
      <w:r>
        <w:rPr>
          <w:rFonts w:hint="eastAsia" w:ascii="宋体" w:hAnsi="宋体" w:eastAsia="宋体" w:cs="宋体"/>
          <w:highlight w:val="none"/>
        </w:rPr>
        <w:t>；</w:t>
      </w:r>
    </w:p>
    <w:p>
      <w:pPr>
        <w:keepLines w:val="0"/>
        <w:pageBreakBefore w:val="0"/>
        <w:widowControl w:val="0"/>
        <w:tabs>
          <w:tab w:val="left" w:pos="7665"/>
        </w:tabs>
        <w:kinsoku/>
        <w:wordWrap/>
        <w:overflowPunct/>
        <w:topLinePunct w:val="0"/>
        <w:bidi w:val="0"/>
        <w:snapToGrid/>
        <w:spacing w:line="5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3</w:t>
      </w:r>
      <w:r>
        <w:rPr>
          <w:rFonts w:hint="eastAsia" w:ascii="宋体" w:hAnsi="宋体" w:eastAsia="宋体" w:cs="宋体"/>
          <w:highlight w:val="none"/>
        </w:rPr>
        <w:t>）</w:t>
      </w:r>
      <w:r>
        <w:rPr>
          <w:rFonts w:hint="eastAsia" w:ascii="宋体" w:hAnsi="宋体" w:eastAsia="宋体" w:cs="宋体"/>
          <w:szCs w:val="21"/>
          <w:highlight w:val="none"/>
        </w:rPr>
        <w:t>参加政府采购活动前三年内，在经营活动中没有重大违法纪录；</w:t>
      </w:r>
    </w:p>
    <w:p>
      <w:pPr>
        <w:keepLines w:val="0"/>
        <w:pageBreakBefore w:val="0"/>
        <w:widowControl w:val="0"/>
        <w:tabs>
          <w:tab w:val="left" w:pos="7665"/>
        </w:tabs>
        <w:kinsoku/>
        <w:wordWrap/>
        <w:overflowPunct/>
        <w:topLinePunct w:val="0"/>
        <w:bidi w:val="0"/>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highlight w:val="none"/>
        </w:rPr>
        <w:t>中华人民共和国法律、行政法规规定的其他条件（见</w:t>
      </w:r>
      <w:r>
        <w:rPr>
          <w:rFonts w:hint="eastAsia" w:ascii="宋体" w:hAnsi="宋体" w:cs="宋体"/>
          <w:highlight w:val="none"/>
          <w:lang w:eastAsia="zh-CN"/>
        </w:rPr>
        <w:t>投标供应商</w:t>
      </w:r>
      <w:r>
        <w:rPr>
          <w:rFonts w:hint="eastAsia" w:ascii="宋体" w:hAnsi="宋体" w:eastAsia="宋体" w:cs="宋体"/>
          <w:highlight w:val="none"/>
        </w:rPr>
        <w:t>须知前附表）；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3.2  </w:t>
      </w:r>
      <w:r>
        <w:rPr>
          <w:rFonts w:hint="eastAsia" w:ascii="宋体" w:hAnsi="宋体" w:cs="宋体"/>
          <w:highlight w:val="none"/>
          <w:lang w:eastAsia="zh-CN"/>
        </w:rPr>
        <w:t>投标供应商</w:t>
      </w:r>
      <w:r>
        <w:rPr>
          <w:rFonts w:hint="eastAsia" w:ascii="宋体" w:hAnsi="宋体" w:eastAsia="宋体" w:cs="宋体"/>
          <w:highlight w:val="none"/>
        </w:rPr>
        <w:t>不得直接或间接地与</w:t>
      </w:r>
      <w:r>
        <w:rPr>
          <w:rFonts w:hint="eastAsia" w:ascii="宋体" w:hAnsi="宋体" w:cs="宋体"/>
          <w:highlight w:val="none"/>
          <w:lang w:val="en-US" w:eastAsia="zh-CN"/>
        </w:rPr>
        <w:t>采购人及</w:t>
      </w:r>
      <w:r>
        <w:rPr>
          <w:rFonts w:hint="eastAsia" w:ascii="宋体" w:hAnsi="宋体" w:eastAsia="宋体" w:cs="宋体"/>
          <w:highlight w:val="none"/>
        </w:rPr>
        <w:t>采购</w:t>
      </w:r>
      <w:r>
        <w:rPr>
          <w:rFonts w:hint="eastAsia" w:ascii="宋体" w:hAnsi="宋体" w:cs="宋体"/>
          <w:highlight w:val="none"/>
          <w:lang w:val="en-US" w:eastAsia="zh-CN"/>
        </w:rPr>
        <w:t>代理</w:t>
      </w:r>
      <w:r>
        <w:rPr>
          <w:rFonts w:hint="eastAsia" w:ascii="宋体" w:hAnsi="宋体" w:eastAsia="宋体" w:cs="宋体"/>
          <w:highlight w:val="none"/>
        </w:rPr>
        <w:t>单位有任何关联，亦不得是招标采购单位的附属机构。如果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在投标中隐瞒了上述关系，则该投标无效。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3.3  单位负责人为同一人或者存在直接控股、管理关系的不同</w:t>
      </w:r>
      <w:r>
        <w:rPr>
          <w:rFonts w:hint="eastAsia" w:ascii="宋体" w:hAnsi="宋体" w:cs="宋体"/>
          <w:highlight w:val="none"/>
          <w:lang w:eastAsia="zh-CN"/>
        </w:rPr>
        <w:t>投标供应商</w:t>
      </w:r>
      <w:r>
        <w:rPr>
          <w:rFonts w:hint="eastAsia" w:ascii="宋体" w:hAnsi="宋体" w:eastAsia="宋体" w:cs="宋体"/>
          <w:highlight w:val="none"/>
        </w:rPr>
        <w:t>，不得参加</w:t>
      </w:r>
      <w:r>
        <w:rPr>
          <w:rFonts w:hint="eastAsia" w:ascii="宋体" w:hAnsi="宋体" w:eastAsia="宋体" w:cs="宋体"/>
          <w:highlight w:val="none"/>
          <w:lang w:val="zh-CN"/>
        </w:rPr>
        <w:t>同一项目同一</w:t>
      </w:r>
      <w:r>
        <w:rPr>
          <w:rFonts w:hint="eastAsia" w:ascii="宋体" w:hAnsi="宋体" w:eastAsia="宋体" w:cs="宋体"/>
          <w:highlight w:val="none"/>
          <w:lang w:val="en-US" w:eastAsia="zh-CN"/>
        </w:rPr>
        <w:t>标段</w:t>
      </w:r>
      <w:r>
        <w:rPr>
          <w:rFonts w:hint="eastAsia" w:ascii="宋体" w:hAnsi="宋体" w:eastAsia="宋体" w:cs="宋体"/>
          <w:highlight w:val="none"/>
        </w:rPr>
        <w:t>项下的投标。如果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在投标中隐瞒了上述关系，则该投标无效。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3.4  为本采购项目提供整体设计、规范编制或者项目管理、监理、检测等服务的</w:t>
      </w:r>
      <w:r>
        <w:rPr>
          <w:rFonts w:hint="eastAsia" w:ascii="宋体" w:hAnsi="宋体" w:cs="宋体"/>
          <w:highlight w:val="none"/>
          <w:lang w:eastAsia="zh-CN"/>
        </w:rPr>
        <w:t>投标供应商</w:t>
      </w:r>
      <w:r>
        <w:rPr>
          <w:rFonts w:hint="eastAsia" w:ascii="宋体" w:hAnsi="宋体" w:eastAsia="宋体" w:cs="宋体"/>
          <w:highlight w:val="none"/>
        </w:rPr>
        <w:t>，不得再参加本采购项目的投标。如果</w:t>
      </w:r>
      <w:r>
        <w:rPr>
          <w:rFonts w:hint="eastAsia" w:ascii="宋体" w:hAnsi="宋体" w:cs="宋体"/>
          <w:highlight w:val="none"/>
          <w:lang w:eastAsia="zh-CN"/>
        </w:rPr>
        <w:t>投标供应商</w:t>
      </w:r>
      <w:r>
        <w:rPr>
          <w:rFonts w:hint="eastAsia" w:ascii="宋体" w:hAnsi="宋体" w:eastAsia="宋体" w:cs="宋体"/>
          <w:highlight w:val="none"/>
        </w:rPr>
        <w:t>在投标中隐瞒了上述事实，则该投标无效。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3.5  如果在</w:t>
      </w:r>
      <w:r>
        <w:rPr>
          <w:rFonts w:hint="eastAsia" w:ascii="宋体" w:hAnsi="宋体" w:eastAsia="宋体" w:cs="宋体"/>
          <w:highlight w:val="none"/>
          <w:lang w:eastAsia="zh-CN"/>
        </w:rPr>
        <w:t>招标文件</w:t>
      </w:r>
      <w:r>
        <w:rPr>
          <w:rFonts w:hint="eastAsia" w:ascii="宋体" w:hAnsi="宋体" w:eastAsia="宋体" w:cs="宋体"/>
          <w:highlight w:val="none"/>
        </w:rPr>
        <w:t>中接受联合体投标（见</w:t>
      </w:r>
      <w:r>
        <w:rPr>
          <w:rFonts w:hint="eastAsia" w:ascii="宋体" w:hAnsi="宋体" w:cs="宋体"/>
          <w:highlight w:val="none"/>
          <w:lang w:eastAsia="zh-CN"/>
        </w:rPr>
        <w:t>投标供应商</w:t>
      </w:r>
      <w:r>
        <w:rPr>
          <w:rFonts w:hint="eastAsia" w:ascii="宋体" w:hAnsi="宋体" w:eastAsia="宋体" w:cs="宋体"/>
          <w:highlight w:val="none"/>
        </w:rPr>
        <w:t>须知前附表），则两个以上</w:t>
      </w:r>
      <w:r>
        <w:rPr>
          <w:rFonts w:hint="eastAsia" w:ascii="宋体" w:hAnsi="宋体" w:cs="宋体"/>
          <w:highlight w:val="none"/>
          <w:lang w:eastAsia="zh-CN"/>
        </w:rPr>
        <w:t>投标供应商</w:t>
      </w:r>
      <w:r>
        <w:rPr>
          <w:rFonts w:hint="eastAsia" w:ascii="宋体" w:hAnsi="宋体" w:eastAsia="宋体" w:cs="宋体"/>
          <w:highlight w:val="none"/>
        </w:rPr>
        <w:t>可以组成一个投标联合体，以一个</w:t>
      </w:r>
      <w:r>
        <w:rPr>
          <w:rFonts w:hint="eastAsia" w:ascii="宋体" w:hAnsi="宋体" w:cs="宋体"/>
          <w:highlight w:val="none"/>
          <w:lang w:eastAsia="zh-CN"/>
        </w:rPr>
        <w:t>投标供应商</w:t>
      </w:r>
      <w:r>
        <w:rPr>
          <w:rFonts w:hint="eastAsia" w:ascii="宋体" w:hAnsi="宋体" w:eastAsia="宋体" w:cs="宋体"/>
          <w:highlight w:val="none"/>
        </w:rPr>
        <w:t>的身份投标。以联合体形式参加投标的，联合体各方均应当符合政府采购法第二十二条第一款规定的条件。采购人根据采购项目的特殊要求规定</w:t>
      </w:r>
      <w:r>
        <w:rPr>
          <w:rFonts w:hint="eastAsia" w:ascii="宋体" w:hAnsi="宋体" w:cs="宋体"/>
          <w:highlight w:val="none"/>
          <w:lang w:eastAsia="zh-CN"/>
        </w:rPr>
        <w:t>投标供应商</w:t>
      </w:r>
      <w:r>
        <w:rPr>
          <w:rFonts w:hint="eastAsia" w:ascii="宋体" w:hAnsi="宋体" w:eastAsia="宋体" w:cs="宋体"/>
          <w:highlight w:val="none"/>
        </w:rPr>
        <w:t>特定条件的，联合体各方中至少应当有一方符合采购人规定的特定条件。联合体中有同类资质的</w:t>
      </w:r>
      <w:r>
        <w:rPr>
          <w:rFonts w:hint="eastAsia" w:ascii="宋体" w:hAnsi="宋体" w:cs="宋体"/>
          <w:highlight w:val="none"/>
          <w:lang w:eastAsia="zh-CN"/>
        </w:rPr>
        <w:t>投标供应商</w:t>
      </w:r>
      <w:r>
        <w:rPr>
          <w:rFonts w:hint="eastAsia" w:ascii="宋体" w:hAnsi="宋体" w:eastAsia="宋体" w:cs="宋体"/>
          <w:highlight w:val="none"/>
        </w:rPr>
        <w:t>按照联合体分工承担相同工作的，按照资质等级较低的</w:t>
      </w:r>
      <w:r>
        <w:rPr>
          <w:rFonts w:hint="eastAsia" w:ascii="宋体" w:hAnsi="宋体" w:cs="宋体"/>
          <w:highlight w:val="none"/>
          <w:lang w:eastAsia="zh-CN"/>
        </w:rPr>
        <w:t>投标供应商</w:t>
      </w:r>
      <w:r>
        <w:rPr>
          <w:rFonts w:hint="eastAsia" w:ascii="宋体" w:hAnsi="宋体" w:eastAsia="宋体" w:cs="宋体"/>
          <w:highlight w:val="none"/>
        </w:rPr>
        <w:t>确定资质等级。</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否则，其相关投标均为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 “信用中国”（www.creditchina.gov.cn）</w:t>
      </w:r>
      <w:r>
        <w:rPr>
          <w:rFonts w:hint="eastAsia" w:ascii="宋体" w:hAnsi="宋体" w:eastAsia="宋体" w:cs="宋体"/>
          <w:highlight w:val="none"/>
          <w:lang w:eastAsia="zh-CN"/>
        </w:rPr>
        <w:t>、</w:t>
      </w:r>
      <w:r>
        <w:rPr>
          <w:rFonts w:hint="eastAsia" w:ascii="宋体" w:hAnsi="宋体" w:eastAsia="宋体" w:cs="宋体"/>
          <w:highlight w:val="none"/>
        </w:rPr>
        <w:t>“中国执行信息公开网”及“中国政府采购网”（www.ccgp.gov.cn）为</w:t>
      </w:r>
      <w:r>
        <w:rPr>
          <w:rFonts w:hint="eastAsia" w:ascii="宋体" w:hAnsi="宋体" w:cs="宋体"/>
          <w:highlight w:val="none"/>
          <w:lang w:eastAsia="zh-CN"/>
        </w:rPr>
        <w:t>投标供应商</w:t>
      </w:r>
      <w:r>
        <w:rPr>
          <w:rFonts w:hint="eastAsia" w:ascii="宋体" w:hAnsi="宋体" w:eastAsia="宋体" w:cs="宋体"/>
          <w:highlight w:val="none"/>
        </w:rPr>
        <w:t>信用信息查询渠道，如果</w:t>
      </w:r>
      <w:r>
        <w:rPr>
          <w:rFonts w:hint="eastAsia" w:ascii="宋体" w:hAnsi="宋体" w:cs="宋体"/>
          <w:highlight w:val="none"/>
          <w:lang w:eastAsia="zh-CN"/>
        </w:rPr>
        <w:t>投标供应商</w:t>
      </w:r>
      <w:r>
        <w:rPr>
          <w:rFonts w:hint="eastAsia" w:ascii="宋体" w:hAnsi="宋体" w:eastAsia="宋体" w:cs="宋体"/>
          <w:highlight w:val="none"/>
        </w:rPr>
        <w:t>被查实在投标截止日前已列入失信被执行人，重大税收违法案件当事人名单、政府采购严重违法失信行为记录名单，</w:t>
      </w:r>
      <w:r>
        <w:rPr>
          <w:rFonts w:hint="eastAsia" w:ascii="宋体" w:hAnsi="宋体" w:eastAsia="宋体" w:cs="宋体"/>
          <w:b/>
          <w:bCs/>
          <w:highlight w:val="none"/>
        </w:rPr>
        <w:t>其投标为无效。</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3.7 </w:t>
      </w:r>
      <w:r>
        <w:rPr>
          <w:rFonts w:hint="eastAsia" w:ascii="宋体" w:hAnsi="宋体" w:cs="宋体"/>
          <w:highlight w:val="none"/>
          <w:lang w:eastAsia="zh-CN"/>
        </w:rPr>
        <w:t>投标供应商</w:t>
      </w:r>
      <w:r>
        <w:rPr>
          <w:rFonts w:hint="eastAsia" w:ascii="宋体" w:hAnsi="宋体" w:eastAsia="宋体" w:cs="宋体"/>
          <w:highlight w:val="none"/>
        </w:rPr>
        <w:t>必须按</w:t>
      </w:r>
      <w:r>
        <w:rPr>
          <w:rFonts w:hint="eastAsia" w:ascii="宋体" w:hAnsi="宋体" w:eastAsia="宋体" w:cs="宋体"/>
          <w:highlight w:val="none"/>
          <w:lang w:eastAsia="zh-CN"/>
        </w:rPr>
        <w:t>招标文件</w:t>
      </w:r>
      <w:r>
        <w:rPr>
          <w:rFonts w:hint="eastAsia" w:ascii="宋体" w:hAnsi="宋体" w:eastAsia="宋体" w:cs="宋体"/>
          <w:highlight w:val="none"/>
        </w:rPr>
        <w:t>的要求在指定渠道</w:t>
      </w:r>
      <w:r>
        <w:rPr>
          <w:rFonts w:hint="eastAsia" w:ascii="宋体" w:hAnsi="宋体" w:cs="宋体"/>
          <w:highlight w:val="none"/>
          <w:lang w:val="en-US" w:eastAsia="zh-CN"/>
        </w:rPr>
        <w:t>投标确认并</w:t>
      </w:r>
      <w:r>
        <w:rPr>
          <w:rFonts w:hint="eastAsia" w:ascii="宋体" w:hAnsi="宋体" w:eastAsia="宋体" w:cs="宋体"/>
          <w:highlight w:val="none"/>
        </w:rPr>
        <w:t>下载</w:t>
      </w:r>
      <w:r>
        <w:rPr>
          <w:rFonts w:hint="eastAsia" w:ascii="宋体" w:hAnsi="宋体" w:eastAsia="宋体" w:cs="宋体"/>
          <w:highlight w:val="none"/>
          <w:lang w:eastAsia="zh-CN"/>
        </w:rPr>
        <w:t>招标文件</w:t>
      </w:r>
      <w:r>
        <w:rPr>
          <w:rFonts w:hint="eastAsia" w:ascii="宋体" w:hAnsi="宋体" w:eastAsia="宋体" w:cs="宋体"/>
          <w:highlight w:val="none"/>
        </w:rPr>
        <w:t>；方可参加投标。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4、投标文件内容的真实性</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应保证其投标文件中所提供的所有有关投标的资料、信息是真实的，并且来源于合法的渠道。因投标文件中所提供的有关投标的资料、信息不真实，或者其来源不合法而导致的所有法律责任，由</w:t>
      </w:r>
      <w:r>
        <w:rPr>
          <w:rFonts w:hint="eastAsia" w:ascii="宋体" w:hAnsi="宋体" w:cs="宋体"/>
          <w:highlight w:val="none"/>
          <w:lang w:eastAsia="zh-CN"/>
        </w:rPr>
        <w:t>投标供应商</w:t>
      </w:r>
      <w:r>
        <w:rPr>
          <w:rFonts w:hint="eastAsia" w:ascii="宋体" w:hAnsi="宋体" w:eastAsia="宋体" w:cs="宋体"/>
          <w:highlight w:val="none"/>
        </w:rPr>
        <w:t>自行承担。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5、招标过程的监督和管理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同级人民政府财政部门及有关部门依法履行对招标过程的监督管理职责。</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6、费用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应承担所有与编写和提交投标文件有关的费用，无论投标过程中的做法和结果如何，采购人和采购代理机构在任何情况下均无义务和责任承担这些费用。</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lang w:eastAsia="zh-CN"/>
        </w:rPr>
      </w:pPr>
      <w:r>
        <w:rPr>
          <w:rFonts w:hint="eastAsia" w:ascii="宋体" w:hAnsi="宋体" w:eastAsia="宋体" w:cs="宋体"/>
          <w:b/>
          <w:bCs/>
          <w:sz w:val="28"/>
          <w:highlight w:val="none"/>
        </w:rPr>
        <w:t>二、</w:t>
      </w:r>
      <w:r>
        <w:rPr>
          <w:rFonts w:hint="eastAsia" w:ascii="宋体" w:hAnsi="宋体" w:eastAsia="宋体" w:cs="宋体"/>
          <w:b/>
          <w:bCs/>
          <w:sz w:val="28"/>
          <w:highlight w:val="none"/>
          <w:lang w:eastAsia="zh-CN"/>
        </w:rPr>
        <w:t>招标文件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7、</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的构成</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7.1  </w:t>
      </w:r>
      <w:r>
        <w:rPr>
          <w:rFonts w:hint="eastAsia" w:ascii="宋体" w:hAnsi="宋体" w:eastAsia="宋体" w:cs="宋体"/>
          <w:highlight w:val="none"/>
          <w:lang w:eastAsia="zh-CN"/>
        </w:rPr>
        <w:t>招标文件</w:t>
      </w:r>
      <w:r>
        <w:rPr>
          <w:rFonts w:hint="eastAsia" w:ascii="宋体" w:hAnsi="宋体" w:eastAsia="宋体" w:cs="宋体"/>
          <w:highlight w:val="none"/>
        </w:rPr>
        <w:t>是</w:t>
      </w:r>
      <w:r>
        <w:rPr>
          <w:rFonts w:hint="eastAsia" w:ascii="宋体" w:hAnsi="宋体" w:cs="宋体"/>
          <w:highlight w:val="none"/>
          <w:lang w:eastAsia="zh-CN"/>
        </w:rPr>
        <w:t>投标供应商</w:t>
      </w:r>
      <w:r>
        <w:rPr>
          <w:rFonts w:hint="eastAsia" w:ascii="宋体" w:hAnsi="宋体" w:eastAsia="宋体" w:cs="宋体"/>
          <w:highlight w:val="none"/>
        </w:rPr>
        <w:t>准备投标文件和参加开标会议的依据，同时也是评标的重要依据。</w:t>
      </w:r>
      <w:r>
        <w:rPr>
          <w:rFonts w:hint="eastAsia" w:ascii="宋体" w:hAnsi="宋体" w:eastAsia="宋体" w:cs="宋体"/>
          <w:highlight w:val="none"/>
          <w:lang w:eastAsia="zh-CN"/>
        </w:rPr>
        <w:t>招标文件</w:t>
      </w:r>
      <w:r>
        <w:rPr>
          <w:rFonts w:hint="eastAsia" w:ascii="宋体" w:hAnsi="宋体" w:eastAsia="宋体" w:cs="宋体"/>
          <w:highlight w:val="none"/>
        </w:rPr>
        <w:t>用以阐明采购项目所需的资质、技术、服务及报价等要求、招标投标程序、评标办法与标准、有关规定和注意事项以及合同主要条款等。本</w:t>
      </w:r>
      <w:r>
        <w:rPr>
          <w:rFonts w:hint="eastAsia" w:ascii="宋体" w:hAnsi="宋体" w:eastAsia="宋体" w:cs="宋体"/>
          <w:highlight w:val="none"/>
          <w:lang w:eastAsia="zh-CN"/>
        </w:rPr>
        <w:t>招标文件</w:t>
      </w:r>
      <w:r>
        <w:rPr>
          <w:rFonts w:hint="eastAsia" w:ascii="宋体" w:hAnsi="宋体" w:eastAsia="宋体" w:cs="宋体"/>
          <w:highlight w:val="none"/>
        </w:rPr>
        <w:t>包括以下内容：</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（1）招标公告；  </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eastAsia="宋体" w:cs="宋体"/>
          <w:highlight w:val="none"/>
          <w:lang w:eastAsia="zh-CN"/>
        </w:rPr>
        <w:t>投标供应商</w:t>
      </w:r>
      <w:r>
        <w:rPr>
          <w:rFonts w:hint="eastAsia" w:ascii="宋体" w:hAnsi="宋体" w:eastAsia="宋体" w:cs="宋体"/>
          <w:highlight w:val="none"/>
        </w:rPr>
        <w:t>须知；</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（3）评标办法；</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（4）采购内容及技术要求；</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    （5）合同</w:t>
      </w:r>
      <w:r>
        <w:rPr>
          <w:rFonts w:hint="eastAsia" w:ascii="宋体" w:hAnsi="宋体" w:eastAsia="宋体" w:cs="宋体"/>
          <w:highlight w:val="none"/>
          <w:lang w:eastAsia="zh-CN"/>
        </w:rPr>
        <w:t>格式与主要</w:t>
      </w:r>
      <w:r>
        <w:rPr>
          <w:rFonts w:hint="eastAsia" w:ascii="宋体" w:hAnsi="宋体" w:eastAsia="宋体" w:cs="宋体"/>
          <w:highlight w:val="none"/>
        </w:rPr>
        <w:t>条款；</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rPr>
        <w:t>（6）投标文件格式。</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7.2  </w:t>
      </w:r>
      <w:r>
        <w:rPr>
          <w:rFonts w:hint="eastAsia" w:ascii="宋体" w:hAnsi="宋体" w:cs="宋体"/>
          <w:highlight w:val="none"/>
          <w:lang w:eastAsia="zh-CN"/>
        </w:rPr>
        <w:t>投标供应商</w:t>
      </w:r>
      <w:r>
        <w:rPr>
          <w:rFonts w:hint="eastAsia" w:ascii="宋体" w:hAnsi="宋体" w:eastAsia="宋体" w:cs="宋体"/>
          <w:highlight w:val="none"/>
        </w:rPr>
        <w:t>应认真阅读和充分理解</w:t>
      </w:r>
      <w:r>
        <w:rPr>
          <w:rFonts w:hint="eastAsia" w:ascii="宋体" w:hAnsi="宋体" w:eastAsia="宋体" w:cs="宋体"/>
          <w:highlight w:val="none"/>
          <w:lang w:eastAsia="zh-CN"/>
        </w:rPr>
        <w:t>招标文件</w:t>
      </w:r>
      <w:r>
        <w:rPr>
          <w:rFonts w:hint="eastAsia" w:ascii="宋体" w:hAnsi="宋体" w:eastAsia="宋体" w:cs="宋体"/>
          <w:highlight w:val="none"/>
        </w:rPr>
        <w:t>中所有的事项、格式条款和规范要求。如果</w:t>
      </w:r>
      <w:r>
        <w:rPr>
          <w:rFonts w:hint="eastAsia" w:ascii="宋体" w:hAnsi="宋体" w:cs="宋体"/>
          <w:highlight w:val="none"/>
          <w:lang w:eastAsia="zh-CN"/>
        </w:rPr>
        <w:t>投标供应商</w:t>
      </w:r>
      <w:r>
        <w:rPr>
          <w:rFonts w:hint="eastAsia" w:ascii="宋体" w:hAnsi="宋体" w:eastAsia="宋体" w:cs="宋体"/>
          <w:highlight w:val="none"/>
        </w:rPr>
        <w:t>没有按照</w:t>
      </w:r>
      <w:r>
        <w:rPr>
          <w:rFonts w:hint="eastAsia" w:ascii="宋体" w:hAnsi="宋体" w:eastAsia="宋体" w:cs="宋体"/>
          <w:highlight w:val="none"/>
          <w:lang w:eastAsia="zh-CN"/>
        </w:rPr>
        <w:t>招标文件</w:t>
      </w:r>
      <w:r>
        <w:rPr>
          <w:rFonts w:hint="eastAsia" w:ascii="宋体" w:hAnsi="宋体" w:eastAsia="宋体" w:cs="宋体"/>
          <w:highlight w:val="none"/>
        </w:rPr>
        <w:t>要求提交全部资料，或者投标文件没有对</w:t>
      </w:r>
      <w:r>
        <w:rPr>
          <w:rFonts w:hint="eastAsia" w:ascii="宋体" w:hAnsi="宋体" w:eastAsia="宋体" w:cs="宋体"/>
          <w:highlight w:val="none"/>
          <w:lang w:eastAsia="zh-CN"/>
        </w:rPr>
        <w:t>招标文件</w:t>
      </w:r>
      <w:r>
        <w:rPr>
          <w:rFonts w:hint="eastAsia" w:ascii="宋体" w:hAnsi="宋体" w:eastAsia="宋体" w:cs="宋体"/>
          <w:highlight w:val="none"/>
        </w:rPr>
        <w:t>在各方面都做出实质性响应，由此带来的不利于</w:t>
      </w:r>
      <w:r>
        <w:rPr>
          <w:rFonts w:hint="eastAsia" w:ascii="宋体" w:hAnsi="宋体" w:cs="宋体"/>
          <w:highlight w:val="none"/>
          <w:lang w:eastAsia="zh-CN"/>
        </w:rPr>
        <w:t>投标供应商</w:t>
      </w:r>
      <w:r>
        <w:rPr>
          <w:rFonts w:hint="eastAsia" w:ascii="宋体" w:hAnsi="宋体" w:eastAsia="宋体" w:cs="宋体"/>
          <w:highlight w:val="none"/>
        </w:rPr>
        <w:t>的评标结果，其风险由</w:t>
      </w:r>
      <w:r>
        <w:rPr>
          <w:rFonts w:hint="eastAsia" w:ascii="宋体" w:hAnsi="宋体" w:cs="宋体"/>
          <w:highlight w:val="none"/>
          <w:lang w:eastAsia="zh-CN"/>
        </w:rPr>
        <w:t>投标供应商</w:t>
      </w:r>
      <w:r>
        <w:rPr>
          <w:rFonts w:hint="eastAsia" w:ascii="宋体" w:hAnsi="宋体" w:eastAsia="宋体" w:cs="宋体"/>
          <w:highlight w:val="none"/>
        </w:rPr>
        <w:t>承担。</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7.3  本</w:t>
      </w:r>
      <w:r>
        <w:rPr>
          <w:rFonts w:hint="eastAsia" w:ascii="宋体" w:hAnsi="宋体" w:eastAsia="宋体" w:cs="宋体"/>
          <w:highlight w:val="none"/>
          <w:lang w:eastAsia="zh-CN"/>
        </w:rPr>
        <w:t>招标文件</w:t>
      </w:r>
      <w:r>
        <w:rPr>
          <w:rFonts w:hint="eastAsia" w:ascii="宋体" w:hAnsi="宋体" w:eastAsia="宋体" w:cs="宋体"/>
          <w:highlight w:val="none"/>
        </w:rPr>
        <w:t>的解释权归</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8、</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的澄清和修改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8.1  在投标截止时间前，采购人或者采购代理机构无论出于何种原因，可以对</w:t>
      </w:r>
      <w:r>
        <w:rPr>
          <w:rFonts w:hint="eastAsia" w:ascii="宋体" w:hAnsi="宋体" w:eastAsia="宋体" w:cs="宋体"/>
          <w:highlight w:val="none"/>
          <w:lang w:eastAsia="zh-CN"/>
        </w:rPr>
        <w:t>招标文件</w:t>
      </w:r>
      <w:r>
        <w:rPr>
          <w:rFonts w:hint="eastAsia" w:ascii="宋体" w:hAnsi="宋体" w:eastAsia="宋体" w:cs="宋体"/>
          <w:highlight w:val="none"/>
        </w:rPr>
        <w:t>进行澄</w:t>
      </w:r>
      <w:r>
        <w:rPr>
          <w:rFonts w:hint="eastAsia" w:ascii="宋体" w:hAnsi="宋体" w:cs="宋体"/>
          <w:highlight w:val="none"/>
          <w:lang w:val="en-US" w:eastAsia="zh-CN"/>
        </w:rPr>
        <w:t>清或者修改，但不得修改采购标的和资格条件。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8.2  采购人或者采购代理机构如果对已发出的</w:t>
      </w:r>
      <w:r>
        <w:rPr>
          <w:rFonts w:hint="eastAsia" w:ascii="宋体" w:hAnsi="宋体" w:eastAsia="宋体" w:cs="宋体"/>
          <w:highlight w:val="none"/>
          <w:lang w:eastAsia="zh-CN"/>
        </w:rPr>
        <w:t>招标文件</w:t>
      </w:r>
      <w:r>
        <w:rPr>
          <w:rFonts w:hint="eastAsia" w:ascii="宋体" w:hAnsi="宋体" w:eastAsia="宋体" w:cs="宋体"/>
          <w:highlight w:val="none"/>
        </w:rPr>
        <w:t>进行澄清或者修改，将在</w:t>
      </w:r>
      <w:r>
        <w:rPr>
          <w:rFonts w:hint="eastAsia" w:ascii="宋体" w:hAnsi="宋体" w:eastAsia="宋体" w:cs="宋体"/>
          <w:highlight w:val="none"/>
          <w:lang w:eastAsia="zh-CN"/>
        </w:rPr>
        <w:t>招标文件</w:t>
      </w:r>
      <w:r>
        <w:rPr>
          <w:rFonts w:hint="eastAsia" w:ascii="宋体" w:hAnsi="宋体" w:eastAsia="宋体" w:cs="宋体"/>
          <w:highlight w:val="none"/>
        </w:rPr>
        <w:t>要求提交投标文件截止时间15日前，</w:t>
      </w:r>
      <w:r>
        <w:rPr>
          <w:rFonts w:hint="eastAsia" w:ascii="宋体" w:hAnsi="宋体" w:cs="宋体"/>
          <w:highlight w:val="none"/>
          <w:lang w:val="en-US" w:eastAsia="zh-CN"/>
        </w:rPr>
        <w:t>在</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w:t>
      </w:r>
      <w:r>
        <w:rPr>
          <w:rFonts w:hint="eastAsia" w:ascii="宋体" w:hAnsi="宋体" w:eastAsia="宋体" w:cs="宋体"/>
          <w:highlight w:val="none"/>
        </w:rPr>
        <w:t>将澄清或者修改的内容通知所有</w:t>
      </w:r>
      <w:r>
        <w:rPr>
          <w:rFonts w:hint="eastAsia" w:ascii="宋体" w:hAnsi="宋体" w:cs="宋体"/>
          <w:highlight w:val="none"/>
          <w:lang w:val="en-US" w:eastAsia="zh-CN"/>
        </w:rPr>
        <w:t>投标确认并获取了招标文件</w:t>
      </w:r>
      <w:r>
        <w:rPr>
          <w:rFonts w:hint="eastAsia" w:ascii="宋体" w:hAnsi="宋体" w:eastAsia="宋体" w:cs="宋体"/>
          <w:highlight w:val="none"/>
        </w:rPr>
        <w:t>的</w:t>
      </w:r>
      <w:r>
        <w:rPr>
          <w:rFonts w:hint="eastAsia" w:ascii="宋体" w:hAnsi="宋体" w:cs="宋体"/>
          <w:highlight w:val="none"/>
          <w:lang w:eastAsia="zh-CN"/>
        </w:rPr>
        <w:t>投标供应商</w:t>
      </w:r>
      <w:r>
        <w:rPr>
          <w:rFonts w:hint="eastAsia" w:ascii="宋体" w:hAnsi="宋体" w:eastAsia="宋体" w:cs="宋体"/>
          <w:highlight w:val="none"/>
        </w:rPr>
        <w:t>，同时在原信息发布媒体上发布更正公告。该澄清或者修改的内容为</w:t>
      </w:r>
      <w:r>
        <w:rPr>
          <w:rFonts w:hint="eastAsia" w:ascii="宋体" w:hAnsi="宋体" w:eastAsia="宋体" w:cs="宋体"/>
          <w:highlight w:val="none"/>
          <w:lang w:eastAsia="zh-CN"/>
        </w:rPr>
        <w:t>招标文件</w:t>
      </w:r>
      <w:r>
        <w:rPr>
          <w:rFonts w:hint="eastAsia" w:ascii="宋体" w:hAnsi="宋体" w:eastAsia="宋体" w:cs="宋体"/>
          <w:highlight w:val="none"/>
        </w:rPr>
        <w:t>的组成部分。</w:t>
      </w:r>
      <w:r>
        <w:rPr>
          <w:rFonts w:hint="eastAsia" w:ascii="宋体" w:hAnsi="宋体" w:cs="宋体"/>
          <w:highlight w:val="none"/>
          <w:lang w:eastAsia="zh-CN"/>
        </w:rPr>
        <w:t>投标供应商</w:t>
      </w:r>
      <w:r>
        <w:rPr>
          <w:rFonts w:hint="eastAsia" w:ascii="宋体" w:hAnsi="宋体" w:eastAsia="宋体" w:cs="宋体"/>
          <w:highlight w:val="none"/>
        </w:rPr>
        <w:t>在收到上述通知后，应立即以书面形式（传真或邮件）向采购代理机构确认。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8.3  </w:t>
      </w:r>
      <w:r>
        <w:rPr>
          <w:rFonts w:hint="eastAsia" w:ascii="宋体" w:hAnsi="宋体" w:eastAsia="宋体" w:cs="宋体"/>
          <w:highlight w:val="none"/>
          <w:lang w:eastAsia="zh-CN"/>
        </w:rPr>
        <w:t>招标文件</w:t>
      </w:r>
      <w:r>
        <w:rPr>
          <w:rFonts w:hint="eastAsia" w:ascii="宋体" w:hAnsi="宋体" w:eastAsia="宋体" w:cs="宋体"/>
          <w:highlight w:val="none"/>
        </w:rPr>
        <w:t>的澄清或修改内容均以</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全国公共资源交易平台（陕西省.西咸新区）网上发布</w:t>
      </w:r>
      <w:r>
        <w:rPr>
          <w:rFonts w:hint="eastAsia" w:ascii="宋体" w:hAnsi="宋体" w:eastAsia="宋体" w:cs="宋体"/>
          <w:highlight w:val="none"/>
        </w:rPr>
        <w:t>的内容为准。当</w:t>
      </w:r>
      <w:r>
        <w:rPr>
          <w:rFonts w:hint="eastAsia" w:ascii="宋体" w:hAnsi="宋体" w:eastAsia="宋体" w:cs="宋体"/>
          <w:highlight w:val="none"/>
          <w:lang w:eastAsia="zh-CN"/>
        </w:rPr>
        <w:t>招标文件</w:t>
      </w:r>
      <w:r>
        <w:rPr>
          <w:rFonts w:hint="eastAsia" w:ascii="宋体" w:hAnsi="宋体" w:eastAsia="宋体" w:cs="宋体"/>
          <w:highlight w:val="none"/>
        </w:rPr>
        <w:t>的澄清、修改、补充等在同一内容的表述上不一致时，以最后发出的文件为准。所有补充文件将作为</w:t>
      </w:r>
      <w:r>
        <w:rPr>
          <w:rFonts w:hint="eastAsia" w:ascii="宋体" w:hAnsi="宋体" w:eastAsia="宋体" w:cs="宋体"/>
          <w:highlight w:val="none"/>
          <w:lang w:eastAsia="zh-CN"/>
        </w:rPr>
        <w:t>招标文件</w:t>
      </w:r>
      <w:r>
        <w:rPr>
          <w:rFonts w:hint="eastAsia" w:ascii="宋体" w:hAnsi="宋体" w:eastAsia="宋体" w:cs="宋体"/>
          <w:highlight w:val="none"/>
        </w:rPr>
        <w:t>的组成部分，对所有</w:t>
      </w:r>
      <w:r>
        <w:rPr>
          <w:rFonts w:hint="eastAsia" w:ascii="宋体" w:hAnsi="宋体" w:cs="宋体"/>
          <w:highlight w:val="none"/>
          <w:lang w:eastAsia="zh-CN"/>
        </w:rPr>
        <w:t>投标供应商</w:t>
      </w:r>
      <w:r>
        <w:rPr>
          <w:rFonts w:hint="eastAsia" w:ascii="宋体" w:hAnsi="宋体" w:eastAsia="宋体" w:cs="宋体"/>
          <w:highlight w:val="none"/>
        </w:rPr>
        <w:t>具有约束力。</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8.4  投标截止时间和开标时间的延长：在投标截止时间3日前，采购代理机构可以视采购具体情况，延长投标截止时间和开标时间。延长投标截止时间和开标时间将在财政部门指定的媒体上发布变更公告，同时将变更时间书面通知所有购买</w:t>
      </w:r>
      <w:r>
        <w:rPr>
          <w:rFonts w:hint="eastAsia" w:ascii="宋体" w:hAnsi="宋体" w:eastAsia="宋体" w:cs="宋体"/>
          <w:highlight w:val="none"/>
          <w:lang w:eastAsia="zh-CN"/>
        </w:rPr>
        <w:t>招标文件</w:t>
      </w:r>
      <w:r>
        <w:rPr>
          <w:rFonts w:hint="eastAsia" w:ascii="宋体" w:hAnsi="宋体" w:eastAsia="宋体" w:cs="宋体"/>
          <w:highlight w:val="none"/>
        </w:rPr>
        <w:t>的单位。</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已经</w:t>
      </w:r>
      <w:r>
        <w:rPr>
          <w:rFonts w:hint="eastAsia" w:ascii="宋体" w:hAnsi="宋体" w:eastAsia="宋体" w:cs="宋体"/>
          <w:highlight w:val="none"/>
          <w:lang w:val="en-US" w:eastAsia="zh-CN"/>
        </w:rPr>
        <w:t>下载</w:t>
      </w:r>
      <w:r>
        <w:rPr>
          <w:rFonts w:hint="eastAsia" w:ascii="宋体" w:hAnsi="宋体" w:eastAsia="宋体" w:cs="宋体"/>
          <w:highlight w:val="none"/>
        </w:rPr>
        <w:t>招标文件的</w:t>
      </w:r>
      <w:r>
        <w:rPr>
          <w:rFonts w:hint="eastAsia" w:ascii="宋体" w:hAnsi="宋体" w:cs="宋体"/>
          <w:highlight w:val="none"/>
          <w:lang w:eastAsia="zh-CN"/>
        </w:rPr>
        <w:t>投标供应商</w:t>
      </w:r>
      <w:r>
        <w:rPr>
          <w:rFonts w:hint="eastAsia" w:ascii="宋体" w:hAnsi="宋体" w:eastAsia="宋体" w:cs="宋体"/>
          <w:highlight w:val="none"/>
        </w:rPr>
        <w:t>对招标文件有疑问的，均应在</w:t>
      </w:r>
      <w:r>
        <w:rPr>
          <w:rFonts w:hint="eastAsia" w:ascii="宋体" w:hAnsi="宋体" w:eastAsia="宋体" w:cs="宋体"/>
          <w:highlight w:val="none"/>
          <w:lang w:val="en-US" w:eastAsia="zh-CN"/>
        </w:rPr>
        <w:t>下载</w:t>
      </w:r>
      <w:r>
        <w:rPr>
          <w:rFonts w:hint="eastAsia" w:ascii="宋体" w:hAnsi="宋体" w:eastAsia="宋体" w:cs="宋体"/>
          <w:highlight w:val="none"/>
        </w:rPr>
        <w:t>招标文件后7个工作日内以书面形式向采购代理机构提出。采购代理机构视情况采用适当方式予以澄清或以书面形式予以答复，涉及变更的内容在原信息发布媒体上发布变更公告，并</w:t>
      </w:r>
      <w:r>
        <w:rPr>
          <w:rFonts w:hint="eastAsia" w:ascii="宋体" w:hAnsi="宋体" w:eastAsia="宋体" w:cs="宋体"/>
          <w:highlight w:val="none"/>
          <w:lang w:val="en-US" w:eastAsia="zh-CN"/>
        </w:rPr>
        <w:t>在</w:t>
      </w: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SA"/>
        </w:rPr>
        <w:t>全国公共资源交易平台（陕西省.西咸新区）网上</w:t>
      </w:r>
      <w:r>
        <w:rPr>
          <w:rFonts w:hint="eastAsia" w:ascii="宋体" w:hAnsi="宋体" w:eastAsia="宋体" w:cs="宋体"/>
          <w:highlight w:val="none"/>
          <w:lang w:val="en-US" w:eastAsia="zh-CN"/>
        </w:rPr>
        <w:t>公布</w:t>
      </w:r>
      <w:r>
        <w:rPr>
          <w:rFonts w:hint="eastAsia" w:ascii="宋体" w:hAnsi="宋体" w:eastAsia="宋体" w:cs="宋体"/>
          <w:highlight w:val="none"/>
        </w:rPr>
        <w:t>，且作为招标文件的组成部分。</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highlight w:val="none"/>
        </w:rPr>
      </w:pPr>
      <w:r>
        <w:rPr>
          <w:rFonts w:hint="eastAsia" w:ascii="宋体" w:hAnsi="宋体" w:eastAsia="宋体" w:cs="宋体"/>
          <w:highlight w:val="none"/>
          <w:lang w:val="en-US" w:eastAsia="zh-CN"/>
        </w:rPr>
        <w:t>8.6</w:t>
      </w:r>
      <w:r>
        <w:rPr>
          <w:rFonts w:hint="eastAsia" w:ascii="宋体" w:hAnsi="宋体" w:cs="宋体"/>
          <w:highlight w:val="none"/>
          <w:lang w:eastAsia="zh-CN"/>
        </w:rPr>
        <w:t>投标供应商</w:t>
      </w:r>
      <w:r>
        <w:rPr>
          <w:rFonts w:hint="eastAsia" w:ascii="宋体" w:hAnsi="宋体" w:eastAsia="宋体" w:cs="宋体"/>
          <w:highlight w:val="none"/>
        </w:rPr>
        <w:t>在收到上述通知后，应立即向采购代理机构回函确认。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9、答疑会和现场考察</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9.1  根据采购项目和具体情况，采购代理机构认为有必要，可以组织召开标前答疑会，或投标单位可根据自身情况及需要，自行组织踏勘。答疑会或进行现场踏勘的时间，采购人将以书面形式通知所有</w:t>
      </w:r>
      <w:r>
        <w:rPr>
          <w:rFonts w:hint="eastAsia" w:ascii="宋体" w:hAnsi="宋体" w:cs="宋体"/>
          <w:highlight w:val="none"/>
          <w:lang w:eastAsia="zh-CN"/>
        </w:rPr>
        <w:t>获取了招标文件</w:t>
      </w:r>
      <w:r>
        <w:rPr>
          <w:rFonts w:hint="eastAsia" w:ascii="宋体" w:hAnsi="宋体" w:eastAsia="宋体" w:cs="宋体"/>
          <w:highlight w:val="none"/>
        </w:rPr>
        <w:t>的</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9.2  </w:t>
      </w:r>
      <w:r>
        <w:rPr>
          <w:rFonts w:hint="eastAsia" w:ascii="宋体" w:hAnsi="宋体" w:cs="宋体"/>
          <w:highlight w:val="none"/>
          <w:lang w:eastAsia="zh-CN"/>
        </w:rPr>
        <w:t>投标供应商</w:t>
      </w:r>
      <w:r>
        <w:rPr>
          <w:rFonts w:hint="eastAsia" w:ascii="宋体" w:hAnsi="宋体" w:eastAsia="宋体" w:cs="宋体"/>
          <w:highlight w:val="none"/>
        </w:rPr>
        <w:t>踏勘现场所发生的一切费用由</w:t>
      </w:r>
      <w:r>
        <w:rPr>
          <w:rFonts w:hint="eastAsia" w:ascii="宋体" w:hAnsi="宋体" w:cs="宋体"/>
          <w:highlight w:val="none"/>
          <w:lang w:eastAsia="zh-CN"/>
        </w:rPr>
        <w:t>投标供应商</w:t>
      </w:r>
      <w:r>
        <w:rPr>
          <w:rFonts w:hint="eastAsia" w:ascii="宋体" w:hAnsi="宋体" w:eastAsia="宋体" w:cs="宋体"/>
          <w:highlight w:val="none"/>
        </w:rPr>
        <w:t>自己承担。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9.3  采购人向</w:t>
      </w:r>
      <w:r>
        <w:rPr>
          <w:rFonts w:hint="eastAsia" w:ascii="宋体" w:hAnsi="宋体" w:cs="宋体"/>
          <w:highlight w:val="none"/>
          <w:lang w:eastAsia="zh-CN"/>
        </w:rPr>
        <w:t>投标供应商</w:t>
      </w:r>
      <w:r>
        <w:rPr>
          <w:rFonts w:hint="eastAsia" w:ascii="宋体" w:hAnsi="宋体" w:eastAsia="宋体" w:cs="宋体"/>
          <w:highlight w:val="none"/>
        </w:rPr>
        <w:t>提供的有关现场的数据和资料，是采购人现有的能被</w:t>
      </w:r>
      <w:r>
        <w:rPr>
          <w:rFonts w:hint="eastAsia" w:ascii="宋体" w:hAnsi="宋体" w:cs="宋体"/>
          <w:highlight w:val="none"/>
          <w:lang w:eastAsia="zh-CN"/>
        </w:rPr>
        <w:t>投标供应商</w:t>
      </w:r>
      <w:r>
        <w:rPr>
          <w:rFonts w:hint="eastAsia" w:ascii="宋体" w:hAnsi="宋体" w:eastAsia="宋体" w:cs="宋体"/>
          <w:highlight w:val="none"/>
        </w:rPr>
        <w:t>利用的资料，采购人对</w:t>
      </w:r>
      <w:r>
        <w:rPr>
          <w:rFonts w:hint="eastAsia" w:ascii="宋体" w:hAnsi="宋体" w:cs="宋体"/>
          <w:highlight w:val="none"/>
          <w:lang w:eastAsia="zh-CN"/>
        </w:rPr>
        <w:t>投标供应商</w:t>
      </w:r>
      <w:r>
        <w:rPr>
          <w:rFonts w:hint="eastAsia" w:ascii="宋体" w:hAnsi="宋体" w:eastAsia="宋体" w:cs="宋体"/>
          <w:highlight w:val="none"/>
        </w:rPr>
        <w:t>做出的任何推论、理解和结论均不负责任。一旦中标，中标人不得以任何借口，提出额外补偿，或延长合同期限的要求。</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三、投标文件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10、投标文件编制的原则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10.1  </w:t>
      </w:r>
      <w:r>
        <w:rPr>
          <w:rFonts w:hint="eastAsia" w:ascii="宋体" w:hAnsi="宋体" w:cs="宋体"/>
          <w:highlight w:val="none"/>
          <w:lang w:eastAsia="zh-CN"/>
        </w:rPr>
        <w:t>投标供应商</w:t>
      </w:r>
      <w:r>
        <w:rPr>
          <w:rFonts w:hint="eastAsia" w:ascii="宋体" w:hAnsi="宋体" w:eastAsia="宋体" w:cs="宋体"/>
          <w:highlight w:val="none"/>
        </w:rPr>
        <w:t>应在认真阅读</w:t>
      </w:r>
      <w:r>
        <w:rPr>
          <w:rFonts w:hint="eastAsia" w:ascii="宋体" w:hAnsi="宋体" w:eastAsia="宋体" w:cs="宋体"/>
          <w:highlight w:val="none"/>
          <w:lang w:eastAsia="zh-CN"/>
        </w:rPr>
        <w:t>招标文件</w:t>
      </w:r>
      <w:r>
        <w:rPr>
          <w:rFonts w:hint="eastAsia" w:ascii="宋体" w:hAnsi="宋体" w:eastAsia="宋体" w:cs="宋体"/>
          <w:highlight w:val="none"/>
        </w:rPr>
        <w:t>所有内容的基础上，按照</w:t>
      </w:r>
      <w:r>
        <w:rPr>
          <w:rFonts w:hint="eastAsia" w:ascii="宋体" w:hAnsi="宋体" w:eastAsia="宋体" w:cs="宋体"/>
          <w:highlight w:val="none"/>
          <w:lang w:eastAsia="zh-CN"/>
        </w:rPr>
        <w:t>招标文件</w:t>
      </w:r>
      <w:r>
        <w:rPr>
          <w:rFonts w:hint="eastAsia" w:ascii="宋体" w:hAnsi="宋体" w:eastAsia="宋体" w:cs="宋体"/>
          <w:highlight w:val="none"/>
        </w:rPr>
        <w:t>的要求编制完整的投标文件。</w:t>
      </w:r>
      <w:r>
        <w:rPr>
          <w:rFonts w:hint="eastAsia" w:ascii="宋体" w:hAnsi="宋体" w:eastAsia="宋体" w:cs="宋体"/>
          <w:highlight w:val="none"/>
          <w:lang w:eastAsia="zh-CN"/>
        </w:rPr>
        <w:t>招标文件</w:t>
      </w:r>
      <w:r>
        <w:rPr>
          <w:rFonts w:hint="eastAsia" w:ascii="宋体" w:hAnsi="宋体" w:eastAsia="宋体" w:cs="宋体"/>
          <w:highlight w:val="none"/>
        </w:rPr>
        <w:t>中对投标文件格式有要求的，应按格式逐项填写内容，不准有空项；无相应内容可填的项应填写“无”、“没有相应指标”等明确的回答文字。投标文件中留有空项的，将被视为不完整响应的投标文件，其投标将有可能被拒绝。</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10.2  </w:t>
      </w:r>
      <w:r>
        <w:rPr>
          <w:rFonts w:hint="eastAsia" w:ascii="宋体" w:hAnsi="宋体" w:cs="宋体"/>
          <w:highlight w:val="none"/>
          <w:lang w:eastAsia="zh-CN"/>
        </w:rPr>
        <w:t>投标供应商</w:t>
      </w:r>
      <w:r>
        <w:rPr>
          <w:rFonts w:hint="eastAsia" w:ascii="宋体" w:hAnsi="宋体" w:eastAsia="宋体" w:cs="宋体"/>
          <w:highlight w:val="none"/>
        </w:rPr>
        <w:t>必须保证投标文件所提供的全部资料真实可靠，并接受对其中任何资料进一步审查的要求。</w:t>
      </w:r>
      <w:r>
        <w:rPr>
          <w:rFonts w:hint="eastAsia" w:ascii="宋体" w:hAnsi="宋体" w:cs="宋体"/>
          <w:highlight w:val="none"/>
          <w:lang w:eastAsia="zh-CN"/>
        </w:rPr>
        <w:t>投标供应商</w:t>
      </w:r>
      <w:r>
        <w:rPr>
          <w:rFonts w:hint="eastAsia" w:ascii="宋体" w:hAnsi="宋体" w:eastAsia="宋体" w:cs="宋体"/>
          <w:highlight w:val="none"/>
        </w:rPr>
        <w:t>在政府采购过程中提供不真实的材料，无论其材料是否重要，采购人均有权拒绝，并取消其投标资格，</w:t>
      </w:r>
      <w:r>
        <w:rPr>
          <w:rFonts w:hint="eastAsia" w:ascii="宋体" w:hAnsi="宋体" w:cs="宋体"/>
          <w:highlight w:val="none"/>
          <w:lang w:eastAsia="zh-CN"/>
        </w:rPr>
        <w:t>投标供应商</w:t>
      </w:r>
      <w:r>
        <w:rPr>
          <w:rFonts w:hint="eastAsia" w:ascii="宋体" w:hAnsi="宋体" w:eastAsia="宋体" w:cs="宋体"/>
          <w:highlight w:val="none"/>
        </w:rPr>
        <w:t>需承担相应的后果及法律责任。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10.3  投标文件须对</w:t>
      </w:r>
      <w:r>
        <w:rPr>
          <w:rFonts w:hint="eastAsia" w:ascii="宋体" w:hAnsi="宋体" w:eastAsia="宋体" w:cs="宋体"/>
          <w:highlight w:val="none"/>
          <w:lang w:eastAsia="zh-CN"/>
        </w:rPr>
        <w:t>招标文件</w:t>
      </w:r>
      <w:r>
        <w:rPr>
          <w:rFonts w:hint="eastAsia" w:ascii="宋体" w:hAnsi="宋体" w:eastAsia="宋体" w:cs="宋体"/>
          <w:highlight w:val="none"/>
        </w:rPr>
        <w:t>中的内容做出实质性和完整的响应，否则其投标将被拒绝。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11、投标文件的语言</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11.1  </w:t>
      </w:r>
      <w:r>
        <w:rPr>
          <w:rFonts w:hint="eastAsia" w:ascii="宋体" w:hAnsi="宋体" w:cs="宋体"/>
          <w:highlight w:val="none"/>
          <w:lang w:eastAsia="zh-CN"/>
        </w:rPr>
        <w:t>投标供应商</w:t>
      </w:r>
      <w:r>
        <w:rPr>
          <w:rFonts w:hint="eastAsia" w:ascii="宋体" w:hAnsi="宋体" w:eastAsia="宋体" w:cs="宋体"/>
          <w:highlight w:val="none"/>
        </w:rPr>
        <w:t>提交的投标文件和往来信件均须使用中文书写。投标文件中如附有外文资料，必须逐一对应翻译成中文并加盖</w:t>
      </w:r>
      <w:r>
        <w:rPr>
          <w:rFonts w:hint="eastAsia" w:ascii="宋体" w:hAnsi="宋体" w:cs="宋体"/>
          <w:highlight w:val="none"/>
          <w:lang w:eastAsia="zh-CN"/>
        </w:rPr>
        <w:t>投标供应商</w:t>
      </w:r>
      <w:r>
        <w:rPr>
          <w:rFonts w:hint="eastAsia" w:ascii="宋体" w:hAnsi="宋体" w:eastAsia="宋体" w:cs="宋体"/>
          <w:highlight w:val="none"/>
        </w:rPr>
        <w:t>公章后附在相关外文资料后面，否则，</w:t>
      </w:r>
      <w:r>
        <w:rPr>
          <w:rFonts w:hint="eastAsia" w:ascii="宋体" w:hAnsi="宋体" w:cs="宋体"/>
          <w:highlight w:val="none"/>
          <w:lang w:eastAsia="zh-CN"/>
        </w:rPr>
        <w:t>投标供应商</w:t>
      </w:r>
      <w:r>
        <w:rPr>
          <w:rFonts w:hint="eastAsia" w:ascii="宋体" w:hAnsi="宋体" w:eastAsia="宋体" w:cs="宋体"/>
          <w:highlight w:val="none"/>
        </w:rPr>
        <w:t>的投标文件将作为无效投标文件处理。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11.2  翻译的中文资料与外文资料如果出现差异和矛盾时，以中文为准。但不能故意错误翻译，否则，</w:t>
      </w:r>
      <w:r>
        <w:rPr>
          <w:rFonts w:hint="eastAsia" w:ascii="宋体" w:hAnsi="宋体" w:cs="宋体"/>
          <w:highlight w:val="none"/>
          <w:lang w:eastAsia="zh-CN"/>
        </w:rPr>
        <w:t>投标供应商</w:t>
      </w:r>
      <w:r>
        <w:rPr>
          <w:rFonts w:hint="eastAsia" w:ascii="宋体" w:hAnsi="宋体" w:eastAsia="宋体" w:cs="宋体"/>
          <w:highlight w:val="none"/>
        </w:rPr>
        <w:t>的投标文件将作为无效投标处理。必要时采购人可以要求</w:t>
      </w:r>
      <w:r>
        <w:rPr>
          <w:rFonts w:hint="eastAsia" w:ascii="宋体" w:hAnsi="宋体" w:cs="宋体"/>
          <w:highlight w:val="none"/>
          <w:lang w:eastAsia="zh-CN"/>
        </w:rPr>
        <w:t>投标供应商</w:t>
      </w:r>
      <w:r>
        <w:rPr>
          <w:rFonts w:hint="eastAsia" w:ascii="宋体" w:hAnsi="宋体" w:eastAsia="宋体" w:cs="宋体"/>
          <w:highlight w:val="none"/>
        </w:rPr>
        <w:t>提供附有公证书的中文翻译文件或者与原版文件签章相一致的中文翻译文件。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12、计量单位</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除技术规格及要求中另有规定外，本次采购项目下的投标均采用国家法定的计量单位。</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default" w:ascii="宋体" w:hAnsi="宋体" w:eastAsia="宋体" w:cs="宋体"/>
          <w:b/>
          <w:bCs/>
          <w:kern w:val="0"/>
          <w:sz w:val="24"/>
          <w:highlight w:val="none"/>
          <w:lang w:val="en-US" w:eastAsia="zh-CN"/>
        </w:rPr>
      </w:pPr>
      <w:r>
        <w:rPr>
          <w:rFonts w:hint="eastAsia" w:ascii="宋体" w:hAnsi="宋体" w:eastAsia="宋体" w:cs="宋体"/>
          <w:b/>
          <w:bCs/>
          <w:kern w:val="0"/>
          <w:sz w:val="24"/>
          <w:highlight w:val="none"/>
        </w:rPr>
        <w:t>13、投标</w:t>
      </w:r>
      <w:r>
        <w:rPr>
          <w:rFonts w:hint="eastAsia" w:ascii="宋体" w:hAnsi="宋体" w:eastAsia="宋体" w:cs="宋体"/>
          <w:b/>
          <w:bCs/>
          <w:kern w:val="0"/>
          <w:sz w:val="24"/>
          <w:highlight w:val="none"/>
          <w:lang w:eastAsia="zh-CN"/>
        </w:rPr>
        <w:t>报价</w:t>
      </w:r>
      <w:r>
        <w:rPr>
          <w:rFonts w:hint="eastAsia" w:ascii="宋体" w:hAnsi="宋体" w:cs="宋体"/>
          <w:b/>
          <w:bCs/>
          <w:kern w:val="0"/>
          <w:sz w:val="24"/>
          <w:highlight w:val="none"/>
          <w:lang w:val="en-US" w:eastAsia="zh-CN"/>
        </w:rPr>
        <w:t>方式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highlight w:val="none"/>
        </w:rPr>
      </w:pPr>
      <w:r>
        <w:rPr>
          <w:rFonts w:hint="eastAsia" w:ascii="宋体" w:hAnsi="宋体" w:eastAsia="宋体" w:cs="宋体"/>
          <w:b/>
          <w:bCs/>
          <w:highlight w:val="none"/>
        </w:rPr>
        <w:t xml:space="preserve">    </w:t>
      </w:r>
      <w:r>
        <w:rPr>
          <w:rFonts w:hint="eastAsia" w:ascii="宋体" w:hAnsi="宋体" w:eastAsia="宋体" w:cs="宋体"/>
          <w:highlight w:val="none"/>
          <w:lang w:val="en-US" w:eastAsia="zh-CN"/>
        </w:rPr>
        <w:t>本项目报价方式采用</w:t>
      </w:r>
      <w:r>
        <w:rPr>
          <w:rFonts w:hint="eastAsia" w:ascii="宋体" w:hAnsi="宋体" w:cs="宋体"/>
          <w:highlight w:val="none"/>
          <w:lang w:val="en-US" w:eastAsia="zh-CN"/>
        </w:rPr>
        <w:t>固定全费用综合单价</w:t>
      </w:r>
      <w:r>
        <w:rPr>
          <w:rFonts w:hint="eastAsia" w:ascii="宋体" w:hAnsi="宋体" w:eastAsia="宋体" w:cs="宋体"/>
          <w:highlight w:val="none"/>
          <w:lang w:val="en-US" w:eastAsia="zh-CN"/>
        </w:rPr>
        <w:t>报价方式。</w:t>
      </w:r>
      <w:r>
        <w:rPr>
          <w:rFonts w:hint="eastAsia" w:ascii="宋体" w:hAnsi="宋体" w:eastAsia="宋体" w:cs="宋体"/>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14、知识产权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14.1  </w:t>
      </w:r>
      <w:r>
        <w:rPr>
          <w:rFonts w:hint="eastAsia" w:ascii="宋体" w:hAnsi="宋体" w:cs="宋体"/>
          <w:highlight w:val="none"/>
          <w:lang w:eastAsia="zh-CN"/>
        </w:rPr>
        <w:t>投标供应商</w:t>
      </w:r>
      <w:r>
        <w:rPr>
          <w:rFonts w:hint="eastAsia" w:ascii="宋体" w:hAnsi="宋体" w:eastAsia="宋体" w:cs="宋体"/>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highlight w:val="none"/>
          <w:lang w:eastAsia="zh-CN"/>
        </w:rPr>
        <w:t>投标供应商</w:t>
      </w:r>
      <w:r>
        <w:rPr>
          <w:rFonts w:hint="eastAsia" w:ascii="宋体" w:hAnsi="宋体" w:eastAsia="宋体" w:cs="宋体"/>
          <w:highlight w:val="none"/>
        </w:rPr>
        <w:t>承担所有相关责任。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14.2  采购人享有本项目实施过程中产生的知识成果及知识产权。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14.3  </w:t>
      </w:r>
      <w:r>
        <w:rPr>
          <w:rFonts w:hint="eastAsia" w:ascii="宋体" w:hAnsi="宋体" w:cs="宋体"/>
          <w:highlight w:val="none"/>
          <w:lang w:eastAsia="zh-CN"/>
        </w:rPr>
        <w:t>投标供应商</w:t>
      </w:r>
      <w:r>
        <w:rPr>
          <w:rFonts w:hint="eastAsia" w:ascii="宋体" w:hAnsi="宋体" w:eastAsia="宋体" w:cs="宋体"/>
          <w:highlight w:val="none"/>
        </w:rPr>
        <w:t>如欲在项目实施过程中采用自有知识成果，需在投标文件中声明，并提供相关知识产权证明文件。使用该知识成果后，</w:t>
      </w:r>
      <w:r>
        <w:rPr>
          <w:rFonts w:hint="eastAsia" w:ascii="宋体" w:hAnsi="宋体" w:cs="宋体"/>
          <w:highlight w:val="none"/>
          <w:lang w:eastAsia="zh-CN"/>
        </w:rPr>
        <w:t>投标供应商</w:t>
      </w:r>
      <w:r>
        <w:rPr>
          <w:rFonts w:hint="eastAsia" w:ascii="宋体" w:hAnsi="宋体" w:eastAsia="宋体" w:cs="宋体"/>
          <w:highlight w:val="none"/>
        </w:rPr>
        <w:t>需提供开发接口和开发手册等技术文档，并承诺提供无限期技术支持，采购人享有永久使用权。</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14.4  如采用</w:t>
      </w:r>
      <w:r>
        <w:rPr>
          <w:rFonts w:hint="eastAsia" w:ascii="宋体" w:hAnsi="宋体" w:cs="宋体"/>
          <w:highlight w:val="none"/>
          <w:lang w:eastAsia="zh-CN"/>
        </w:rPr>
        <w:t>投标供应商</w:t>
      </w:r>
      <w:r>
        <w:rPr>
          <w:rFonts w:hint="eastAsia" w:ascii="宋体" w:hAnsi="宋体" w:eastAsia="宋体" w:cs="宋体"/>
          <w:highlight w:val="none"/>
        </w:rPr>
        <w:t>所不拥有的知识产权，则在投标报价中必须包括合法获取该知识产权的相关费用。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15、投标文件的组成</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15.1 各</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应根据</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要求编制投标文件。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15.2 投标文件包括：</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投标函</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开标一览表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(3)报价分项表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资格证明文件</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lang w:eastAsia="zh-CN"/>
        </w:rPr>
        <w:t>供应商概况</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lang w:eastAsia="zh-CN"/>
        </w:rPr>
        <w:t>供应商参加政府采购活动承诺书</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lang w:eastAsia="zh-CN"/>
        </w:rPr>
        <w:t>投标</w:t>
      </w:r>
      <w:r>
        <w:rPr>
          <w:rFonts w:hint="eastAsia" w:ascii="宋体" w:hAnsi="宋体" w:cs="宋体"/>
          <w:highlight w:val="none"/>
          <w:lang w:val="en-US" w:eastAsia="zh-CN"/>
        </w:rPr>
        <w:t>技术</w:t>
      </w:r>
      <w:r>
        <w:rPr>
          <w:rFonts w:hint="eastAsia" w:ascii="宋体" w:hAnsi="宋体" w:eastAsia="宋体" w:cs="宋体"/>
          <w:highlight w:val="none"/>
          <w:lang w:eastAsia="zh-CN"/>
        </w:rPr>
        <w:t>方案</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ascii="宋体" w:hAnsi="宋体" w:cs="宋体"/>
          <w:highlight w:val="none"/>
          <w:lang w:val="en-US" w:eastAsia="zh-CN"/>
        </w:rPr>
        <w:t>8</w:t>
      </w:r>
      <w:r>
        <w:rPr>
          <w:rFonts w:hint="eastAsia" w:ascii="宋体" w:hAnsi="宋体" w:eastAsia="宋体" w:cs="宋体"/>
          <w:highlight w:val="none"/>
          <w:lang w:val="en-US" w:eastAsia="zh-CN"/>
        </w:rPr>
        <w:t>)企业业绩</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(9)技术偏离表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(10)商务偏离表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highlight w:val="none"/>
          <w:lang w:eastAsia="zh-CN"/>
        </w:rPr>
      </w:pPr>
      <w:r>
        <w:rPr>
          <w:rFonts w:hint="eastAsia" w:ascii="宋体" w:hAnsi="宋体" w:eastAsia="宋体" w:cs="宋体"/>
          <w:highlight w:val="none"/>
          <w:lang w:val="en-US" w:eastAsia="zh-CN"/>
        </w:rPr>
        <w:t>(11)投标供应商认为需提交的其他资料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b/>
          <w:bCs/>
          <w:kern w:val="0"/>
          <w:sz w:val="24"/>
          <w:highlight w:val="none"/>
        </w:rPr>
        <w:t>16、投标报价</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 xml:space="preserve">16.1 </w:t>
      </w:r>
      <w:r>
        <w:rPr>
          <w:rFonts w:hint="eastAsia" w:ascii="宋体" w:hAnsi="宋体" w:eastAsia="宋体" w:cs="宋体"/>
          <w:highlight w:val="none"/>
          <w:lang w:val="en-US" w:eastAsia="zh-CN"/>
        </w:rPr>
        <w:t>投标报价要求：详见</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须知前附表。</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16.2 </w:t>
      </w:r>
      <w:r>
        <w:rPr>
          <w:rFonts w:hint="eastAsia" w:ascii="宋体" w:hAnsi="宋体" w:cs="宋体"/>
          <w:highlight w:val="none"/>
          <w:lang w:eastAsia="zh-CN"/>
        </w:rPr>
        <w:t>投标供应商</w:t>
      </w:r>
      <w:r>
        <w:rPr>
          <w:rFonts w:hint="eastAsia" w:ascii="宋体" w:hAnsi="宋体" w:eastAsia="宋体" w:cs="宋体"/>
          <w:highlight w:val="none"/>
        </w:rPr>
        <w:t>应在投标文件中的投标报价表上标明对本次招标提供服务的单价或总价。任何有选择的报价将不予接受，每项服务只允许有一个报价</w:t>
      </w:r>
      <w:r>
        <w:rPr>
          <w:rFonts w:hint="eastAsia" w:ascii="宋体" w:hAnsi="宋体" w:eastAsia="宋体" w:cs="宋体"/>
          <w:highlight w:val="none"/>
          <w:lang w:eastAsia="zh-CN"/>
        </w:rPr>
        <w:t>；</w:t>
      </w:r>
      <w:r>
        <w:rPr>
          <w:rFonts w:hint="eastAsia" w:ascii="宋体" w:hAnsi="宋体" w:eastAsia="宋体" w:cs="宋体"/>
          <w:highlight w:val="none"/>
          <w:lang w:val="zh-CN"/>
        </w:rPr>
        <w:t>不接受备选方案</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16.3 合同履行期间，受托人有义务为采购人提供</w:t>
      </w:r>
      <w:r>
        <w:rPr>
          <w:rFonts w:hint="eastAsia" w:ascii="宋体" w:hAnsi="宋体" w:cs="宋体"/>
          <w:highlight w:val="none"/>
          <w:lang w:val="en-US" w:eastAsia="zh-CN"/>
        </w:rPr>
        <w:t>管理服务及相关服务</w:t>
      </w:r>
      <w:r>
        <w:rPr>
          <w:rFonts w:hint="eastAsia" w:ascii="宋体" w:hAnsi="宋体" w:eastAsia="宋体" w:cs="宋体"/>
          <w:highlight w:val="none"/>
        </w:rPr>
        <w:t>；合同履行期间和期满后，受托人有义务配合采购人接受各种监督检查。</w:t>
      </w:r>
    </w:p>
    <w:p>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cs="宋体"/>
          <w:highlight w:val="none"/>
          <w:lang w:eastAsia="zh-CN"/>
        </w:rPr>
        <w:t>投标供应商</w:t>
      </w:r>
      <w:r>
        <w:rPr>
          <w:rFonts w:hint="eastAsia" w:ascii="宋体" w:hAnsi="宋体" w:eastAsia="宋体" w:cs="宋体"/>
          <w:highlight w:val="none"/>
        </w:rPr>
        <w:t>所报的</w:t>
      </w:r>
      <w:r>
        <w:rPr>
          <w:rFonts w:hint="eastAsia" w:ascii="宋体" w:hAnsi="宋体" w:cs="宋体"/>
          <w:highlight w:val="none"/>
          <w:lang w:val="en-US" w:eastAsia="zh-CN"/>
        </w:rPr>
        <w:t>单价</w:t>
      </w:r>
      <w:r>
        <w:rPr>
          <w:rFonts w:hint="eastAsia" w:ascii="宋体" w:hAnsi="宋体" w:eastAsia="宋体" w:cs="宋体"/>
          <w:highlight w:val="none"/>
        </w:rPr>
        <w:t>应为履行合同的</w:t>
      </w:r>
      <w:r>
        <w:rPr>
          <w:rFonts w:hint="eastAsia" w:ascii="宋体" w:hAnsi="宋体" w:cs="宋体"/>
          <w:highlight w:val="none"/>
          <w:lang w:val="en-US" w:eastAsia="zh-CN"/>
        </w:rPr>
        <w:t>全费用综合单价</w:t>
      </w:r>
      <w:r>
        <w:rPr>
          <w:rFonts w:hint="eastAsia" w:ascii="宋体" w:hAnsi="宋体" w:eastAsia="宋体" w:cs="宋体"/>
          <w:highlight w:val="none"/>
        </w:rPr>
        <w:t>，不得以任何理由予以变更。任何包含价格调整要求的投标，将被认为是非响应性投标而予以拒绝。若因国家政策调整合同价格应在合同中约定。</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17、证明</w:t>
      </w:r>
      <w:r>
        <w:rPr>
          <w:rFonts w:hint="eastAsia" w:ascii="宋体" w:hAnsi="宋体" w:cs="宋体"/>
          <w:b/>
          <w:bCs/>
          <w:kern w:val="0"/>
          <w:sz w:val="24"/>
          <w:highlight w:val="none"/>
          <w:lang w:eastAsia="zh-CN"/>
        </w:rPr>
        <w:t>投标供应商</w:t>
      </w:r>
      <w:r>
        <w:rPr>
          <w:rFonts w:hint="eastAsia" w:ascii="宋体" w:hAnsi="宋体" w:eastAsia="宋体" w:cs="宋体"/>
          <w:b/>
          <w:bCs/>
          <w:kern w:val="0"/>
          <w:sz w:val="24"/>
          <w:highlight w:val="none"/>
        </w:rPr>
        <w:t>资格的证明文件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17.1  </w:t>
      </w:r>
      <w:r>
        <w:rPr>
          <w:rFonts w:hint="eastAsia" w:ascii="宋体" w:hAnsi="宋体" w:cs="宋体"/>
          <w:highlight w:val="none"/>
          <w:lang w:eastAsia="zh-CN"/>
        </w:rPr>
        <w:t>投标供应商</w:t>
      </w:r>
      <w:r>
        <w:rPr>
          <w:rFonts w:hint="eastAsia" w:ascii="宋体" w:hAnsi="宋体" w:eastAsia="宋体" w:cs="宋体"/>
          <w:highlight w:val="none"/>
        </w:rPr>
        <w:t>须按</w:t>
      </w:r>
      <w:r>
        <w:rPr>
          <w:rFonts w:hint="eastAsia" w:ascii="宋体" w:hAnsi="宋体" w:eastAsia="宋体" w:cs="宋体"/>
          <w:highlight w:val="none"/>
          <w:lang w:eastAsia="zh-CN"/>
        </w:rPr>
        <w:t>招标文件</w:t>
      </w:r>
      <w:r>
        <w:rPr>
          <w:rFonts w:hint="eastAsia" w:ascii="宋体" w:hAnsi="宋体" w:eastAsia="宋体" w:cs="宋体"/>
          <w:highlight w:val="none"/>
        </w:rPr>
        <w:t>“</w:t>
      </w:r>
      <w:r>
        <w:rPr>
          <w:rFonts w:hint="eastAsia" w:ascii="宋体" w:hAnsi="宋体" w:cs="宋体"/>
          <w:highlight w:val="none"/>
          <w:lang w:eastAsia="zh-CN"/>
        </w:rPr>
        <w:t>投标供应商</w:t>
      </w:r>
      <w:r>
        <w:rPr>
          <w:rFonts w:hint="eastAsia" w:ascii="宋体" w:hAnsi="宋体" w:eastAsia="宋体" w:cs="宋体"/>
          <w:highlight w:val="none"/>
        </w:rPr>
        <w:t>须知前附表”的要求，在投标文件中提交合格的资格证明文件加盖公章的</w:t>
      </w:r>
      <w:r>
        <w:rPr>
          <w:rFonts w:hint="eastAsia" w:ascii="宋体" w:hAnsi="宋体" w:cs="宋体"/>
          <w:highlight w:val="none"/>
          <w:lang w:val="en-US" w:eastAsia="zh-CN"/>
        </w:rPr>
        <w:t>扫描</w:t>
      </w:r>
      <w:r>
        <w:rPr>
          <w:rFonts w:hint="eastAsia" w:ascii="宋体" w:hAnsi="宋体" w:eastAsia="宋体" w:cs="宋体"/>
          <w:highlight w:val="none"/>
        </w:rPr>
        <w:t>件，以证明其有资格参加投标和中标后有履行合同的能力，并作为其投标文件的一部分。如果资格证明文件不全或不合格的，其投标将按无效投标文件处理。</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17.2  </w:t>
      </w:r>
      <w:r>
        <w:rPr>
          <w:rFonts w:hint="eastAsia" w:ascii="宋体" w:hAnsi="宋体" w:cs="宋体"/>
          <w:highlight w:val="none"/>
          <w:lang w:eastAsia="zh-CN"/>
        </w:rPr>
        <w:t>投标供应商</w:t>
      </w:r>
      <w:r>
        <w:rPr>
          <w:rFonts w:hint="eastAsia" w:ascii="宋体" w:hAnsi="宋体" w:eastAsia="宋体" w:cs="宋体"/>
          <w:highlight w:val="none"/>
        </w:rPr>
        <w:t>还应按照</w:t>
      </w:r>
      <w:r>
        <w:rPr>
          <w:rFonts w:hint="eastAsia" w:ascii="宋体" w:hAnsi="宋体" w:eastAsia="宋体" w:cs="宋体"/>
          <w:highlight w:val="none"/>
          <w:lang w:eastAsia="zh-CN"/>
        </w:rPr>
        <w:t>招标文件</w:t>
      </w:r>
      <w:r>
        <w:rPr>
          <w:rFonts w:hint="eastAsia" w:ascii="宋体" w:hAnsi="宋体" w:eastAsia="宋体" w:cs="宋体"/>
          <w:highlight w:val="none"/>
        </w:rPr>
        <w:t>“</w:t>
      </w:r>
      <w:r>
        <w:rPr>
          <w:rFonts w:hint="eastAsia" w:ascii="宋体" w:hAnsi="宋体" w:cs="宋体"/>
          <w:highlight w:val="none"/>
          <w:lang w:eastAsia="zh-CN"/>
        </w:rPr>
        <w:t>投标供应商</w:t>
      </w:r>
      <w:r>
        <w:rPr>
          <w:rFonts w:hint="eastAsia" w:ascii="宋体" w:hAnsi="宋体" w:eastAsia="宋体" w:cs="宋体"/>
          <w:highlight w:val="none"/>
        </w:rPr>
        <w:t>须知前附表”的要求，提交其他的证明其实力、信誉、业绩等的证明文件。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17.3  如果“</w:t>
      </w:r>
      <w:r>
        <w:rPr>
          <w:rFonts w:hint="eastAsia" w:ascii="宋体" w:hAnsi="宋体" w:cs="宋体"/>
          <w:highlight w:val="none"/>
          <w:lang w:eastAsia="zh-CN"/>
        </w:rPr>
        <w:t>投标供应商</w:t>
      </w:r>
      <w:r>
        <w:rPr>
          <w:rFonts w:hint="eastAsia" w:ascii="宋体" w:hAnsi="宋体" w:eastAsia="宋体" w:cs="宋体"/>
          <w:highlight w:val="none"/>
        </w:rPr>
        <w:t>须知前附表”有要求，</w:t>
      </w:r>
      <w:r>
        <w:rPr>
          <w:rFonts w:hint="eastAsia" w:ascii="宋体" w:hAnsi="宋体" w:cs="宋体"/>
          <w:highlight w:val="none"/>
          <w:lang w:eastAsia="zh-CN"/>
        </w:rPr>
        <w:t>投标供应商</w:t>
      </w:r>
      <w:r>
        <w:rPr>
          <w:rFonts w:hint="eastAsia" w:ascii="宋体" w:hAnsi="宋体" w:eastAsia="宋体" w:cs="宋体"/>
          <w:highlight w:val="none"/>
        </w:rPr>
        <w:t>还应按照要求提交资格或其他证明文件的原件。如果未能提供原件或者提供原件不全的，其投标按照无效投标处理。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18、证明服务的合格性和符合</w:t>
      </w:r>
      <w:r>
        <w:rPr>
          <w:rFonts w:hint="eastAsia" w:ascii="宋体" w:hAnsi="宋体" w:eastAsia="宋体" w:cs="宋体"/>
          <w:b/>
          <w:bCs/>
          <w:kern w:val="0"/>
          <w:sz w:val="24"/>
          <w:highlight w:val="none"/>
          <w:lang w:eastAsia="zh-CN"/>
        </w:rPr>
        <w:t>招标文件</w:t>
      </w:r>
      <w:r>
        <w:rPr>
          <w:rFonts w:hint="eastAsia" w:ascii="宋体" w:hAnsi="宋体" w:eastAsia="宋体" w:cs="宋体"/>
          <w:b/>
          <w:bCs/>
          <w:kern w:val="0"/>
          <w:sz w:val="24"/>
          <w:highlight w:val="none"/>
        </w:rPr>
        <w:t>规定的文件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18.1 </w:t>
      </w:r>
      <w:r>
        <w:rPr>
          <w:rFonts w:hint="eastAsia" w:ascii="宋体" w:hAnsi="宋体" w:cs="宋体"/>
          <w:highlight w:val="none"/>
          <w:lang w:eastAsia="zh-CN"/>
        </w:rPr>
        <w:t>投标供应商</w:t>
      </w:r>
      <w:r>
        <w:rPr>
          <w:rFonts w:hint="eastAsia" w:ascii="宋体" w:hAnsi="宋体" w:eastAsia="宋体" w:cs="宋体"/>
          <w:highlight w:val="none"/>
        </w:rPr>
        <w:t>应在投标文件中提交所提供服务满足</w:t>
      </w:r>
      <w:r>
        <w:rPr>
          <w:rFonts w:hint="eastAsia" w:ascii="宋体" w:hAnsi="宋体" w:eastAsia="宋体" w:cs="宋体"/>
          <w:highlight w:val="none"/>
          <w:lang w:eastAsia="zh-CN"/>
        </w:rPr>
        <w:t>招标文件</w:t>
      </w:r>
      <w:r>
        <w:rPr>
          <w:rFonts w:hint="eastAsia" w:ascii="宋体" w:hAnsi="宋体" w:eastAsia="宋体" w:cs="宋体"/>
          <w:highlight w:val="none"/>
        </w:rPr>
        <w:t>要求并符合国家法律法规、行业管理部门要求的其他强制性标准的证明文件。缺少证明文件或证明文件不合格的响应文件，与</w:t>
      </w:r>
      <w:r>
        <w:rPr>
          <w:rFonts w:hint="eastAsia" w:ascii="宋体" w:hAnsi="宋体" w:eastAsia="宋体" w:cs="宋体"/>
          <w:highlight w:val="none"/>
          <w:lang w:eastAsia="zh-CN"/>
        </w:rPr>
        <w:t>招标文件</w:t>
      </w:r>
      <w:r>
        <w:rPr>
          <w:rFonts w:hint="eastAsia" w:ascii="宋体" w:hAnsi="宋体" w:eastAsia="宋体" w:cs="宋体"/>
          <w:highlight w:val="none"/>
        </w:rPr>
        <w:t>要求有重大偏离的投标文件，不符合国家法律法规、行业管理部门要求的其他强制性标准的投标文件将按照无效处理。</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18.2 证明服务与</w:t>
      </w:r>
      <w:r>
        <w:rPr>
          <w:rFonts w:hint="eastAsia" w:ascii="宋体" w:hAnsi="宋体" w:eastAsia="宋体" w:cs="宋体"/>
          <w:highlight w:val="none"/>
          <w:lang w:eastAsia="zh-CN"/>
        </w:rPr>
        <w:t>招标文件</w:t>
      </w:r>
      <w:r>
        <w:rPr>
          <w:rFonts w:hint="eastAsia" w:ascii="宋体" w:hAnsi="宋体" w:eastAsia="宋体" w:cs="宋体"/>
          <w:highlight w:val="none"/>
        </w:rPr>
        <w:t>的要求相一致的文件，它可以是文字资料、图表、数据、证书、业主证明等，包括：</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 对</w:t>
      </w:r>
      <w:r>
        <w:rPr>
          <w:rFonts w:hint="eastAsia" w:ascii="宋体" w:hAnsi="宋体" w:eastAsia="宋体" w:cs="宋体"/>
          <w:highlight w:val="none"/>
          <w:lang w:eastAsia="zh-CN"/>
        </w:rPr>
        <w:t>招标文件</w:t>
      </w:r>
      <w:r>
        <w:rPr>
          <w:rFonts w:hint="eastAsia" w:ascii="宋体" w:hAnsi="宋体" w:eastAsia="宋体" w:cs="宋体"/>
          <w:highlight w:val="none"/>
        </w:rPr>
        <w:t>提出的技术要求和商务要求进行应答，说明所提供的服务对投标要求的技术和商务要求是否做出了实质性响应；</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 服务内容、服务程序和实施方案的详细说明。</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19、享受政府采购政策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19.1  所投产品符合政府采购强制采购政策的，实行强制采购。</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19.2  符合政府采购优先采购政策的，所投产品属于“节能产品、环境标志产品政府采购品目清单”中品目的产品，该清单可在中国政府采购网（http://www.ccgp.gov.cn/）上查找；采购的产品属于品目清单范围的，</w:t>
      </w:r>
      <w:r>
        <w:rPr>
          <w:rFonts w:hint="eastAsia" w:ascii="宋体" w:hAnsi="宋体" w:cs="宋体"/>
          <w:highlight w:val="none"/>
          <w:lang w:eastAsia="zh-CN"/>
        </w:rPr>
        <w:t>投标供应商</w:t>
      </w:r>
      <w:r>
        <w:rPr>
          <w:rFonts w:hint="eastAsia" w:ascii="宋体" w:hAnsi="宋体" w:eastAsia="宋体" w:cs="宋体"/>
          <w:highlight w:val="none"/>
        </w:rPr>
        <w:t>应当依据国家确定的认证机构出具的、处于有效期之内的节能产品、环境标志产品认证证书。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19.3  </w:t>
      </w:r>
      <w:r>
        <w:rPr>
          <w:rFonts w:hint="eastAsia" w:ascii="宋体" w:hAnsi="宋体" w:cs="宋体"/>
          <w:highlight w:val="none"/>
          <w:lang w:eastAsia="zh-CN"/>
        </w:rPr>
        <w:t>投标供应商</w:t>
      </w:r>
      <w:r>
        <w:rPr>
          <w:rFonts w:hint="eastAsia" w:ascii="宋体" w:hAnsi="宋体" w:eastAsia="宋体" w:cs="宋体"/>
          <w:highlight w:val="none"/>
        </w:rPr>
        <w:t>享受支持中小型企业发展政策优惠的，可以同时享受节能产品、环境标志产品优先采购政策。依照《财政部、司法部关于政府采购支持监狱企业发展有关问题的通知》（财库〔2014〕68号）之规定，监狱企业参加政府采购活动时，视同中小企业。同一项目中部分产品属于优先采购政策的，评审时只对该部分产品实行优先采购。</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（1）参加政府采购活动的中小企业应当提供《中小企业声明函》（见投标文件格式），不提供的或提供有瑕疵的，在评审时不享受政府采购优惠政策。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（2）组成联合体的大中型企业与联合体中的中小企业之间不得存在投资关系；</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（3）参加政府采购活动的监狱企业应当提供由省级以上监狱管理局、戒毒管理局出具的属于监狱企业的证明文件，不提供的不视为中小企业。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（4）参加政府采购活动的残疾人福利性单位应当提供《残疾人福利性单位声明函》（详见文件格式，）不提供的或提供有瑕疵的，在评审时不享受政府采购优惠政策。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20、投标保证金</w:t>
      </w:r>
    </w:p>
    <w:p>
      <w:pPr>
        <w:pStyle w:val="16"/>
        <w:keepLines w:val="0"/>
        <w:pageBreakBefore w:val="0"/>
        <w:widowControl w:val="0"/>
        <w:kinsoku/>
        <w:wordWrap/>
        <w:overflowPunct/>
        <w:topLinePunct w:val="0"/>
        <w:bidi w:val="0"/>
        <w:snapToGrid/>
        <w:spacing w:before="133" w:line="500" w:lineRule="exact"/>
        <w:ind w:firstLine="420" w:firstLineChars="200"/>
        <w:jc w:val="both"/>
        <w:textAlignment w:val="auto"/>
        <w:rPr>
          <w:rFonts w:hint="eastAsia" w:ascii="宋体" w:hAnsi="宋体" w:eastAsia="宋体" w:cs="宋体"/>
          <w:color w:val="000000"/>
          <w:highlight w:val="none"/>
        </w:rPr>
      </w:pPr>
      <w:r>
        <w:rPr>
          <w:rFonts w:hint="eastAsia" w:ascii="宋体" w:hAnsi="宋体" w:eastAsia="宋体" w:cs="宋体"/>
          <w:highlight w:val="none"/>
        </w:rPr>
        <w:t>本项目不提交投标保证金。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21、投标有效期</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21.1  投标有效期见</w:t>
      </w:r>
      <w:r>
        <w:rPr>
          <w:rFonts w:hint="eastAsia" w:ascii="宋体" w:hAnsi="宋体" w:cs="宋体"/>
          <w:highlight w:val="none"/>
          <w:lang w:eastAsia="zh-CN"/>
        </w:rPr>
        <w:t>投标供应商</w:t>
      </w:r>
      <w:r>
        <w:rPr>
          <w:rFonts w:hint="eastAsia" w:ascii="宋体" w:hAnsi="宋体" w:eastAsia="宋体" w:cs="宋体"/>
          <w:highlight w:val="none"/>
        </w:rPr>
        <w:t>须知前附表。投标有效期短于此规定期限的投标，将被拒绝。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21.2  特殊情况下，采购代理机构可于投标有效期满之前要求</w:t>
      </w:r>
      <w:r>
        <w:rPr>
          <w:rFonts w:hint="eastAsia" w:ascii="宋体" w:hAnsi="宋体" w:cs="宋体"/>
          <w:highlight w:val="none"/>
          <w:lang w:eastAsia="zh-CN"/>
        </w:rPr>
        <w:t>投标供应商</w:t>
      </w:r>
      <w:r>
        <w:rPr>
          <w:rFonts w:hint="eastAsia" w:ascii="宋体" w:hAnsi="宋体" w:eastAsia="宋体" w:cs="宋体"/>
          <w:highlight w:val="none"/>
        </w:rPr>
        <w:t>同意延长有效期，要求与答复均应为书面形式。</w:t>
      </w:r>
      <w:r>
        <w:rPr>
          <w:rFonts w:hint="eastAsia" w:ascii="宋体" w:hAnsi="宋体" w:cs="宋体"/>
          <w:highlight w:val="none"/>
          <w:lang w:eastAsia="zh-CN"/>
        </w:rPr>
        <w:t>投标供应商</w:t>
      </w:r>
      <w:r>
        <w:rPr>
          <w:rFonts w:hint="eastAsia" w:ascii="宋体" w:hAnsi="宋体" w:eastAsia="宋体" w:cs="宋体"/>
          <w:highlight w:val="none"/>
        </w:rPr>
        <w:t>可以拒绝上述要求，其投标保证金不被没收。拒绝延长投标有效期的</w:t>
      </w:r>
      <w:r>
        <w:rPr>
          <w:rFonts w:hint="eastAsia" w:ascii="宋体" w:hAnsi="宋体" w:cs="宋体"/>
          <w:highlight w:val="none"/>
          <w:lang w:eastAsia="zh-CN"/>
        </w:rPr>
        <w:t>投标供应商</w:t>
      </w:r>
      <w:r>
        <w:rPr>
          <w:rFonts w:hint="eastAsia" w:ascii="宋体" w:hAnsi="宋体" w:eastAsia="宋体" w:cs="宋体"/>
          <w:highlight w:val="none"/>
        </w:rPr>
        <w:t>不得再参与该项目后续采购活动。同意延长投标有效期的</w:t>
      </w:r>
      <w:r>
        <w:rPr>
          <w:rFonts w:hint="eastAsia" w:ascii="宋体" w:hAnsi="宋体" w:cs="宋体"/>
          <w:highlight w:val="none"/>
          <w:lang w:eastAsia="zh-CN"/>
        </w:rPr>
        <w:t>投标供应商</w:t>
      </w:r>
      <w:r>
        <w:rPr>
          <w:rFonts w:hint="eastAsia" w:ascii="宋体" w:hAnsi="宋体" w:eastAsia="宋体" w:cs="宋体"/>
          <w:highlight w:val="none"/>
        </w:rPr>
        <w:t>不能修改其投标文件，关于投标保证金的有关规定在延长的投标有效期内继续有效。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22、投标文件的制作和签署</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22.1</w:t>
      </w:r>
      <w:r>
        <w:rPr>
          <w:rFonts w:hint="eastAsia" w:ascii="宋体" w:hAnsi="宋体" w:eastAsia="宋体" w:cs="宋体"/>
          <w:highlight w:val="none"/>
          <w:lang w:val="en-US" w:eastAsia="zh-CN"/>
        </w:rPr>
        <w:t>投标</w:t>
      </w:r>
      <w:r>
        <w:rPr>
          <w:rFonts w:hint="eastAsia" w:ascii="宋体" w:hAnsi="宋体" w:eastAsia="宋体" w:cs="宋体"/>
          <w:highlight w:val="none"/>
        </w:rPr>
        <w:t>文件应按第六章“</w:t>
      </w:r>
      <w:r>
        <w:rPr>
          <w:rFonts w:hint="eastAsia" w:ascii="宋体" w:hAnsi="宋体" w:eastAsia="宋体" w:cs="宋体"/>
          <w:highlight w:val="none"/>
          <w:lang w:val="en-US" w:eastAsia="zh-CN"/>
        </w:rPr>
        <w:t>投标</w:t>
      </w:r>
      <w:r>
        <w:rPr>
          <w:rFonts w:hint="eastAsia" w:ascii="宋体" w:hAnsi="宋体" w:eastAsia="宋体" w:cs="宋体"/>
          <w:highlight w:val="none"/>
        </w:rPr>
        <w:t>文件格式”进行编写，如有必要，可以增加附页，作为</w:t>
      </w:r>
      <w:r>
        <w:rPr>
          <w:rFonts w:hint="eastAsia" w:ascii="宋体" w:hAnsi="宋体" w:eastAsia="宋体" w:cs="宋体"/>
          <w:highlight w:val="none"/>
          <w:lang w:val="en-US" w:eastAsia="zh-CN"/>
        </w:rPr>
        <w:t>投标</w:t>
      </w:r>
      <w:r>
        <w:rPr>
          <w:rFonts w:hint="eastAsia" w:ascii="宋体" w:hAnsi="宋体" w:eastAsia="宋体" w:cs="宋体"/>
          <w:highlight w:val="none"/>
        </w:rPr>
        <w:t>文件的组成部分。其中，投标函附录在满足</w:t>
      </w:r>
      <w:r>
        <w:rPr>
          <w:rFonts w:hint="eastAsia" w:ascii="宋体" w:hAnsi="宋体" w:eastAsia="宋体" w:cs="宋体"/>
          <w:highlight w:val="none"/>
          <w:lang w:val="en-US" w:eastAsia="zh-CN"/>
        </w:rPr>
        <w:t>招标</w:t>
      </w:r>
      <w:r>
        <w:rPr>
          <w:rFonts w:hint="eastAsia" w:ascii="宋体" w:hAnsi="宋体" w:eastAsia="宋体" w:cs="宋体"/>
          <w:highlight w:val="none"/>
        </w:rPr>
        <w:t>文件实质性要求的基础上，可以提出比</w:t>
      </w:r>
      <w:r>
        <w:rPr>
          <w:rFonts w:hint="eastAsia" w:ascii="宋体" w:hAnsi="宋体" w:eastAsia="宋体" w:cs="宋体"/>
          <w:highlight w:val="none"/>
          <w:lang w:val="en-US" w:eastAsia="zh-CN"/>
        </w:rPr>
        <w:t>招标</w:t>
      </w:r>
      <w:r>
        <w:rPr>
          <w:rFonts w:hint="eastAsia" w:ascii="宋体" w:hAnsi="宋体" w:eastAsia="宋体" w:cs="宋体"/>
          <w:highlight w:val="none"/>
        </w:rPr>
        <w:t>文件要求更有利于采购人的承诺。</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22.</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投标</w:t>
      </w:r>
      <w:r>
        <w:rPr>
          <w:rFonts w:hint="eastAsia" w:ascii="宋体" w:hAnsi="宋体" w:eastAsia="宋体" w:cs="宋体"/>
          <w:highlight w:val="none"/>
        </w:rPr>
        <w:t>文件应当对</w:t>
      </w:r>
      <w:r>
        <w:rPr>
          <w:rFonts w:hint="eastAsia" w:ascii="宋体" w:hAnsi="宋体" w:eastAsia="宋体" w:cs="宋体"/>
          <w:highlight w:val="none"/>
          <w:lang w:val="en-US" w:eastAsia="zh-CN"/>
        </w:rPr>
        <w:t>招标</w:t>
      </w:r>
      <w:r>
        <w:rPr>
          <w:rFonts w:hint="eastAsia" w:ascii="宋体" w:hAnsi="宋体" w:eastAsia="宋体" w:cs="宋体"/>
          <w:highlight w:val="none"/>
        </w:rPr>
        <w:t>文件有关</w:t>
      </w:r>
      <w:r>
        <w:rPr>
          <w:rFonts w:hint="eastAsia" w:ascii="宋体" w:hAnsi="宋体" w:eastAsia="宋体" w:cs="宋体"/>
          <w:highlight w:val="none"/>
          <w:lang w:val="en-US" w:eastAsia="zh-CN"/>
        </w:rPr>
        <w:t>服务期限</w:t>
      </w:r>
      <w:r>
        <w:rPr>
          <w:rFonts w:hint="eastAsia" w:ascii="宋体" w:hAnsi="宋体" w:eastAsia="宋体" w:cs="宋体"/>
          <w:highlight w:val="none"/>
        </w:rPr>
        <w:t>、</w:t>
      </w:r>
      <w:r>
        <w:rPr>
          <w:rFonts w:hint="eastAsia" w:ascii="宋体" w:hAnsi="宋体" w:eastAsia="宋体" w:cs="宋体"/>
          <w:highlight w:val="none"/>
          <w:lang w:val="en-US" w:eastAsia="zh-CN"/>
        </w:rPr>
        <w:t>投标</w:t>
      </w:r>
      <w:r>
        <w:rPr>
          <w:rFonts w:hint="eastAsia" w:ascii="宋体" w:hAnsi="宋体" w:eastAsia="宋体" w:cs="宋体"/>
          <w:highlight w:val="none"/>
        </w:rPr>
        <w:t>有效期、质量要求、</w:t>
      </w:r>
      <w:r>
        <w:rPr>
          <w:rFonts w:hint="eastAsia" w:ascii="宋体" w:hAnsi="宋体" w:eastAsia="宋体" w:cs="宋体"/>
          <w:highlight w:val="none"/>
          <w:lang w:val="en-US" w:eastAsia="zh-CN"/>
        </w:rPr>
        <w:t>服务</w:t>
      </w:r>
      <w:r>
        <w:rPr>
          <w:rFonts w:hint="eastAsia" w:ascii="宋体" w:hAnsi="宋体" w:eastAsia="宋体" w:cs="宋体"/>
          <w:highlight w:val="none"/>
        </w:rPr>
        <w:t>标准和要求等实质性内容做出响应。投标文件在满足招标文件实质性要求的基础上，可以提出比招标文件要求更有利于采购人的承诺。</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 xml:space="preserve"> 22.</w:t>
      </w:r>
      <w:r>
        <w:rPr>
          <w:rFonts w:hint="eastAsia" w:ascii="宋体" w:hAnsi="宋体" w:eastAsia="宋体" w:cs="宋体"/>
          <w:highlight w:val="none"/>
          <w:lang w:val="en-US" w:eastAsia="zh-CN"/>
        </w:rPr>
        <w:t>3</w:t>
      </w:r>
      <w:r>
        <w:rPr>
          <w:rFonts w:hint="eastAsia" w:ascii="宋体" w:hAnsi="宋体" w:eastAsia="宋体" w:cs="宋体"/>
          <w:highlight w:val="none"/>
        </w:rPr>
        <w:t>中标人提供</w:t>
      </w:r>
      <w:r>
        <w:rPr>
          <w:rFonts w:hint="eastAsia" w:ascii="宋体" w:hAnsi="宋体" w:eastAsia="宋体" w:cs="宋体"/>
          <w:highlight w:val="none"/>
          <w:lang w:val="en-US" w:eastAsia="zh-CN"/>
        </w:rPr>
        <w:t>的投标</w:t>
      </w:r>
      <w:r>
        <w:rPr>
          <w:rFonts w:hint="eastAsia" w:ascii="宋体" w:hAnsi="宋体" w:eastAsia="宋体" w:cs="宋体"/>
          <w:highlight w:val="none"/>
        </w:rPr>
        <w:t>文件，应用不褪色的材料书写或打印，并由</w:t>
      </w:r>
      <w:r>
        <w:rPr>
          <w:rFonts w:hint="eastAsia" w:ascii="宋体" w:hAnsi="宋体" w:cs="宋体"/>
          <w:highlight w:val="none"/>
          <w:lang w:eastAsia="zh-CN"/>
        </w:rPr>
        <w:t>投标供应商</w:t>
      </w:r>
      <w:r>
        <w:rPr>
          <w:rFonts w:hint="eastAsia" w:ascii="宋体" w:hAnsi="宋体" w:eastAsia="宋体" w:cs="宋体"/>
          <w:highlight w:val="none"/>
        </w:rPr>
        <w:t>的法定代表人或其委托代理人签字或盖单位章。委托代理人签字的</w:t>
      </w:r>
      <w:r>
        <w:rPr>
          <w:rFonts w:hint="eastAsia" w:ascii="宋体" w:hAnsi="宋体" w:eastAsia="宋体" w:cs="宋体"/>
          <w:highlight w:val="none"/>
          <w:lang w:val="en-US" w:eastAsia="zh-CN"/>
        </w:rPr>
        <w:t>投标</w:t>
      </w:r>
      <w:r>
        <w:rPr>
          <w:rFonts w:hint="eastAsia" w:ascii="宋体" w:hAnsi="宋体" w:eastAsia="宋体" w:cs="宋体"/>
          <w:highlight w:val="none"/>
        </w:rPr>
        <w:t>文件应附法定代表人签署的授权委托书。</w:t>
      </w:r>
      <w:r>
        <w:rPr>
          <w:rFonts w:hint="eastAsia" w:ascii="宋体" w:hAnsi="宋体" w:eastAsia="宋体" w:cs="宋体"/>
          <w:highlight w:val="none"/>
          <w:lang w:val="en-US" w:eastAsia="zh-CN"/>
        </w:rPr>
        <w:t>投标</w:t>
      </w:r>
      <w:r>
        <w:rPr>
          <w:rFonts w:hint="eastAsia" w:ascii="宋体" w:hAnsi="宋体" w:eastAsia="宋体" w:cs="宋体"/>
          <w:highlight w:val="none"/>
        </w:rPr>
        <w:t>文件应尽量避免涂改、行间插字。如果出现上述情况，改动之处应加盖单位章或由</w:t>
      </w:r>
      <w:r>
        <w:rPr>
          <w:rFonts w:hint="eastAsia" w:ascii="宋体" w:hAnsi="宋体" w:cs="宋体"/>
          <w:highlight w:val="none"/>
          <w:lang w:eastAsia="zh-CN"/>
        </w:rPr>
        <w:t>投标供应商</w:t>
      </w:r>
      <w:r>
        <w:rPr>
          <w:rFonts w:hint="eastAsia" w:ascii="宋体" w:hAnsi="宋体" w:eastAsia="宋体" w:cs="宋体"/>
          <w:highlight w:val="none"/>
        </w:rPr>
        <w:t>的法定代表人或其授权的代理人签字确认。签字、盖章的具体要求见响应</w:t>
      </w:r>
      <w:r>
        <w:rPr>
          <w:rFonts w:hint="eastAsia" w:ascii="宋体" w:hAnsi="宋体" w:cs="宋体"/>
          <w:highlight w:val="none"/>
          <w:lang w:eastAsia="zh-CN"/>
        </w:rPr>
        <w:t>投标供应商</w:t>
      </w:r>
      <w:r>
        <w:rPr>
          <w:rFonts w:hint="eastAsia" w:ascii="宋体" w:hAnsi="宋体" w:eastAsia="宋体" w:cs="宋体"/>
          <w:highlight w:val="none"/>
        </w:rPr>
        <w:t>须知前附表。字迹潦草、表达</w:t>
      </w:r>
      <w:r>
        <w:rPr>
          <w:rFonts w:hint="eastAsia" w:ascii="宋体" w:hAnsi="宋体" w:eastAsia="宋体" w:cs="宋体"/>
          <w:highlight w:val="none"/>
          <w:lang w:val="en-US" w:eastAsia="zh-CN"/>
        </w:rPr>
        <w:t>不清或可能导致非唯一理解造成不利后果的投标文件由投标供应商自己负责。</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22.4本项目采用电子投标文件的形式。编制电子投标文件时，投标供应商应使用最新发布的电子招标文件及专用制作工具进行编制。并使用数字认证证书（CA 锁）对电子投标文件进行签章、加密、递交及开标时解密等相关招投标事宜。如因投标供应商自身原因造成未能解密、解密失败或解密超时，按无效投标对待。（注：投标人应在开标前 1个小时内进行电子签到）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22.5电子投标文件制作、递交、不见面开标参加具体详见投标人须知前附表。</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四、投标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b/>
          <w:bCs/>
          <w:kern w:val="0"/>
          <w:sz w:val="24"/>
          <w:highlight w:val="none"/>
        </w:rPr>
        <w:t>23、投标文件的密封和标注</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23.1 </w:t>
      </w:r>
      <w:r>
        <w:rPr>
          <w:rFonts w:hint="eastAsia" w:ascii="宋体" w:hAnsi="宋体" w:eastAsia="宋体" w:cs="宋体"/>
          <w:highlight w:val="none"/>
          <w:lang w:val="en-US" w:eastAsia="zh-CN"/>
        </w:rPr>
        <w:t>投标</w:t>
      </w:r>
      <w:r>
        <w:rPr>
          <w:rFonts w:hint="eastAsia" w:ascii="宋体" w:hAnsi="宋体" w:eastAsia="宋体" w:cs="宋体"/>
          <w:highlight w:val="none"/>
        </w:rPr>
        <w:t>文件的密封：本项目采用不见面开标，</w:t>
      </w:r>
      <w:r>
        <w:rPr>
          <w:rFonts w:hint="eastAsia" w:ascii="宋体" w:hAnsi="宋体" w:cs="宋体"/>
          <w:highlight w:val="none"/>
          <w:lang w:val="en-US" w:eastAsia="zh-CN"/>
        </w:rPr>
        <w:t>投标供应商</w:t>
      </w:r>
      <w:r>
        <w:rPr>
          <w:rFonts w:hint="eastAsia" w:ascii="宋体" w:hAnsi="宋体" w:eastAsia="宋体" w:cs="宋体"/>
          <w:highlight w:val="none"/>
        </w:rPr>
        <w:t>无需提供纸质版</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23.2 </w:t>
      </w:r>
      <w:r>
        <w:rPr>
          <w:rFonts w:hint="eastAsia" w:ascii="宋体" w:hAnsi="宋体" w:eastAsia="宋体" w:cs="宋体"/>
          <w:highlight w:val="none"/>
          <w:lang w:val="en-US" w:eastAsia="zh-CN"/>
        </w:rPr>
        <w:t>投标</w:t>
      </w:r>
      <w:r>
        <w:rPr>
          <w:rFonts w:hint="eastAsia" w:ascii="宋体" w:hAnsi="宋体" w:eastAsia="宋体" w:cs="宋体"/>
          <w:highlight w:val="none"/>
        </w:rPr>
        <w:t>文件封套的标记：本项目采用不见面开标，</w:t>
      </w:r>
      <w:r>
        <w:rPr>
          <w:rFonts w:hint="eastAsia" w:ascii="宋体" w:hAnsi="宋体" w:cs="宋体"/>
          <w:highlight w:val="none"/>
          <w:lang w:val="en-US" w:eastAsia="zh-CN"/>
        </w:rPr>
        <w:t>投标供应商</w:t>
      </w:r>
      <w:r>
        <w:rPr>
          <w:rFonts w:hint="eastAsia" w:ascii="宋体" w:hAnsi="宋体" w:eastAsia="宋体" w:cs="宋体"/>
          <w:highlight w:val="none"/>
        </w:rPr>
        <w:t>无需提供纸质版</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24、投标文件的递交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24.1 </w:t>
      </w:r>
      <w:r>
        <w:rPr>
          <w:rFonts w:hint="eastAsia" w:ascii="宋体" w:hAnsi="宋体" w:cs="宋体"/>
          <w:highlight w:val="none"/>
          <w:lang w:val="en-US" w:eastAsia="zh-CN"/>
        </w:rPr>
        <w:t>投标供应商</w:t>
      </w:r>
      <w:r>
        <w:rPr>
          <w:rFonts w:hint="eastAsia" w:ascii="宋体" w:hAnsi="宋体" w:eastAsia="宋体" w:cs="宋体"/>
          <w:highlight w:val="none"/>
        </w:rPr>
        <w:t>应在</w:t>
      </w:r>
      <w:bookmarkStart w:id="13" w:name="_Toc26752"/>
      <w:bookmarkStart w:id="14" w:name="_Toc293040569"/>
      <w:bookmarkStart w:id="15" w:name="_Toc4683195"/>
      <w:r>
        <w:rPr>
          <w:rFonts w:hint="eastAsia" w:ascii="宋体" w:hAnsi="宋体" w:cs="宋体"/>
          <w:highlight w:val="none"/>
          <w:lang w:val="en-US" w:eastAsia="zh-CN"/>
        </w:rPr>
        <w:t>投标供应商</w:t>
      </w:r>
      <w:r>
        <w:rPr>
          <w:rFonts w:hint="eastAsia" w:ascii="宋体" w:hAnsi="宋体" w:eastAsia="宋体" w:cs="宋体"/>
          <w:highlight w:val="none"/>
        </w:rPr>
        <w:t>须知前附表</w:t>
      </w:r>
      <w:bookmarkEnd w:id="13"/>
      <w:bookmarkEnd w:id="14"/>
      <w:bookmarkEnd w:id="15"/>
      <w:r>
        <w:rPr>
          <w:rFonts w:hint="eastAsia" w:ascii="宋体" w:hAnsi="宋体" w:eastAsia="宋体" w:cs="宋体"/>
          <w:highlight w:val="none"/>
        </w:rPr>
        <w:t>规定的</w:t>
      </w:r>
      <w:r>
        <w:rPr>
          <w:rFonts w:hint="eastAsia" w:ascii="宋体" w:hAnsi="宋体" w:eastAsia="宋体" w:cs="宋体"/>
          <w:highlight w:val="none"/>
          <w:lang w:val="en-US" w:eastAsia="zh-CN"/>
        </w:rPr>
        <w:t>投标文件</w:t>
      </w:r>
      <w:r>
        <w:rPr>
          <w:rFonts w:hint="eastAsia" w:ascii="宋体" w:hAnsi="宋体" w:eastAsia="宋体" w:cs="宋体"/>
          <w:highlight w:val="none"/>
        </w:rPr>
        <w:t>截止时间前递交电子</w:t>
      </w:r>
      <w:r>
        <w:rPr>
          <w:rFonts w:hint="eastAsia" w:ascii="宋体" w:hAnsi="宋体" w:eastAsia="宋体" w:cs="宋体"/>
          <w:highlight w:val="none"/>
          <w:lang w:val="en-US" w:eastAsia="zh-CN"/>
        </w:rPr>
        <w:t>投标</w:t>
      </w:r>
      <w:r>
        <w:rPr>
          <w:rFonts w:hint="eastAsia" w:ascii="宋体" w:hAnsi="宋体" w:eastAsia="宋体" w:cs="宋体"/>
          <w:highlight w:val="none"/>
        </w:rPr>
        <w:t>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 xml:space="preserve">.2 </w:t>
      </w:r>
      <w:r>
        <w:rPr>
          <w:rFonts w:hint="eastAsia" w:ascii="宋体" w:hAnsi="宋体" w:cs="宋体"/>
          <w:highlight w:val="none"/>
          <w:lang w:val="en-US" w:eastAsia="zh-CN"/>
        </w:rPr>
        <w:t>投标供应商</w:t>
      </w:r>
      <w:r>
        <w:rPr>
          <w:rFonts w:hint="eastAsia" w:ascii="宋体" w:hAnsi="宋体" w:eastAsia="宋体" w:cs="宋体"/>
          <w:highlight w:val="none"/>
        </w:rPr>
        <w:t>递交</w:t>
      </w:r>
      <w:r>
        <w:rPr>
          <w:rFonts w:hint="eastAsia" w:ascii="宋体" w:hAnsi="宋体" w:eastAsia="宋体" w:cs="宋体"/>
          <w:highlight w:val="none"/>
          <w:lang w:val="en-US" w:eastAsia="zh-CN"/>
        </w:rPr>
        <w:t>投标</w:t>
      </w:r>
      <w:r>
        <w:rPr>
          <w:rFonts w:hint="eastAsia" w:ascii="宋体" w:hAnsi="宋体" w:eastAsia="宋体" w:cs="宋体"/>
          <w:highlight w:val="none"/>
        </w:rPr>
        <w:t>文件的地点：见响应</w:t>
      </w:r>
      <w:r>
        <w:rPr>
          <w:rFonts w:hint="eastAsia" w:ascii="宋体" w:hAnsi="宋体" w:cs="宋体"/>
          <w:highlight w:val="none"/>
          <w:lang w:val="en-US" w:eastAsia="zh-CN"/>
        </w:rPr>
        <w:t>投标供应商</w:t>
      </w:r>
      <w:r>
        <w:rPr>
          <w:rFonts w:hint="eastAsia" w:ascii="宋体" w:hAnsi="宋体" w:eastAsia="宋体" w:cs="宋体"/>
          <w:highlight w:val="none"/>
        </w:rPr>
        <w:t>须知前附表。</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24.3 除</w:t>
      </w:r>
      <w:r>
        <w:rPr>
          <w:rFonts w:hint="eastAsia" w:ascii="宋体" w:hAnsi="宋体" w:cs="宋体"/>
          <w:highlight w:val="none"/>
          <w:lang w:val="en-US" w:eastAsia="zh-CN"/>
        </w:rPr>
        <w:t>投标供应商</w:t>
      </w:r>
      <w:r>
        <w:rPr>
          <w:rFonts w:hint="eastAsia" w:ascii="宋体" w:hAnsi="宋体" w:eastAsia="宋体" w:cs="宋体"/>
          <w:highlight w:val="none"/>
        </w:rPr>
        <w:t>须知前附表另有规定外，</w:t>
      </w:r>
      <w:r>
        <w:rPr>
          <w:rFonts w:hint="eastAsia" w:ascii="宋体" w:hAnsi="宋体" w:cs="宋体"/>
          <w:highlight w:val="none"/>
          <w:lang w:val="en-US" w:eastAsia="zh-CN"/>
        </w:rPr>
        <w:t>投标供应商</w:t>
      </w:r>
      <w:r>
        <w:rPr>
          <w:rFonts w:hint="eastAsia" w:ascii="宋体" w:hAnsi="宋体" w:eastAsia="宋体" w:cs="宋体"/>
          <w:highlight w:val="none"/>
        </w:rPr>
        <w:t>所递交的</w:t>
      </w:r>
      <w:r>
        <w:rPr>
          <w:rFonts w:hint="eastAsia" w:ascii="宋体" w:hAnsi="宋体" w:eastAsia="宋体" w:cs="宋体"/>
          <w:highlight w:val="none"/>
          <w:lang w:val="en-US" w:eastAsia="zh-CN"/>
        </w:rPr>
        <w:t>投标</w:t>
      </w:r>
      <w:r>
        <w:rPr>
          <w:rFonts w:hint="eastAsia" w:ascii="宋体" w:hAnsi="宋体" w:eastAsia="宋体" w:cs="宋体"/>
          <w:highlight w:val="none"/>
        </w:rPr>
        <w:t>文件不予退还。</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24.</w:t>
      </w:r>
      <w:r>
        <w:rPr>
          <w:rFonts w:hint="eastAsia" w:ascii="宋体" w:hAnsi="宋体" w:eastAsia="宋体" w:cs="宋体"/>
          <w:highlight w:val="none"/>
          <w:lang w:val="en-US" w:eastAsia="zh-CN"/>
        </w:rPr>
        <w:t>4</w:t>
      </w:r>
      <w:r>
        <w:rPr>
          <w:rFonts w:hint="eastAsia" w:ascii="宋体" w:hAnsi="宋体" w:eastAsia="宋体" w:cs="宋体"/>
          <w:highlight w:val="none"/>
        </w:rPr>
        <w:t xml:space="preserve"> 逾期上传的或者未上传指定地点的磋商响应文件，采购人不予受理。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24.</w:t>
      </w:r>
      <w:r>
        <w:rPr>
          <w:rFonts w:hint="eastAsia" w:ascii="宋体" w:hAnsi="宋体" w:cs="宋体"/>
          <w:highlight w:val="none"/>
          <w:lang w:val="en-US" w:eastAsia="zh-CN"/>
        </w:rPr>
        <w:t>5</w:t>
      </w:r>
      <w:r>
        <w:rPr>
          <w:rFonts w:hint="eastAsia" w:ascii="宋体" w:hAnsi="宋体" w:eastAsia="宋体" w:cs="宋体"/>
          <w:highlight w:val="none"/>
        </w:rPr>
        <w:t xml:space="preserve"> 递交投标文件截止时间止，若收到的投标文件少于3个，采购人将报请监督管理机构批准变更采购方式或择日重新组织招标；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25、投标文件的补充、修改和撤回</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25.1在投标供应商须知前附表规定的投标截止时间前，投标供应商可以修改或撤回已递交的电子投标文件。</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25.2对电子投标文件进行补充、修改的，应先从电子交易平台上撤回旧版投标文件，再重新提交补充、修改后的投标文件。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25.3电子投标文件提交截止时间后，供应商不得对其电子投标文件做任何补充、修改或撤回投标。</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25.4供应商在提交电子投标文件截止时间后撤回电子投标文件的，采购人有权将此情况如实反映财政部门，由财政部门予以记录并纳入供应商失信行为名单。</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25.5供应商提交响应文件时，出现下列情况之一的，其响应文件将被拒绝接收：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25.5.1 逾期提交电子投标文件的；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cs="宋体"/>
          <w:highlight w:val="none"/>
          <w:lang w:eastAsia="zh-CN"/>
        </w:rPr>
      </w:pPr>
      <w:r>
        <w:rPr>
          <w:rFonts w:hint="eastAsia" w:ascii="宋体" w:hAnsi="宋体" w:cs="宋体"/>
          <w:highlight w:val="none"/>
          <w:lang w:val="en-US" w:eastAsia="zh-CN"/>
        </w:rPr>
        <w:t>25.5.2 提交的电子投标文件与本项目不相符的</w:t>
      </w:r>
    </w:p>
    <w:p>
      <w:pPr>
        <w:pStyle w:val="2"/>
        <w:rPr>
          <w:rFonts w:hint="eastAsia" w:ascii="宋体" w:hAnsi="宋体" w:eastAsia="宋体" w:cs="宋体"/>
          <w:highlight w:val="none"/>
        </w:rPr>
      </w:pP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26、投标纪律要求</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eastAsia="zh-CN"/>
        </w:rPr>
        <w:t>投标供应商</w:t>
      </w:r>
      <w:r>
        <w:rPr>
          <w:rFonts w:hint="eastAsia" w:ascii="宋体" w:hAnsi="宋体" w:eastAsia="宋体" w:cs="宋体"/>
          <w:highlight w:val="none"/>
        </w:rPr>
        <w:t>参加投标不得有下列情形：</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（1）提供虚假材料谋取中标；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（2）采取不正当手段诋毁、排挤其他</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（3）与采购单位、其他</w:t>
      </w:r>
      <w:r>
        <w:rPr>
          <w:rFonts w:hint="eastAsia" w:ascii="宋体" w:hAnsi="宋体" w:cs="宋体"/>
          <w:highlight w:val="none"/>
          <w:lang w:eastAsia="zh-CN"/>
        </w:rPr>
        <w:t>投标供应商</w:t>
      </w:r>
      <w:r>
        <w:rPr>
          <w:rFonts w:hint="eastAsia" w:ascii="宋体" w:hAnsi="宋体" w:eastAsia="宋体" w:cs="宋体"/>
          <w:highlight w:val="none"/>
        </w:rPr>
        <w:t>恶意串通；</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（4）向采购人、采购代理机构单位、评标委员会成员行贿或者提供其他不正当利益；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（5）在采购过程中与采购单位进行协商谈判；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（6）拒绝有关部门的监督检查或者向监督检查部门提供虚假情况。</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有上述情形之一的</w:t>
      </w:r>
      <w:r>
        <w:rPr>
          <w:rFonts w:hint="eastAsia" w:ascii="宋体" w:hAnsi="宋体" w:cs="宋体"/>
          <w:highlight w:val="none"/>
          <w:lang w:eastAsia="zh-CN"/>
        </w:rPr>
        <w:t>投标供应商</w:t>
      </w:r>
      <w:r>
        <w:rPr>
          <w:rFonts w:hint="eastAsia" w:ascii="宋体" w:hAnsi="宋体" w:eastAsia="宋体" w:cs="宋体"/>
          <w:highlight w:val="none"/>
        </w:rPr>
        <w:t>，属于不合格</w:t>
      </w:r>
      <w:r>
        <w:rPr>
          <w:rFonts w:hint="eastAsia" w:ascii="宋体" w:hAnsi="宋体" w:cs="宋体"/>
          <w:highlight w:val="none"/>
          <w:lang w:eastAsia="zh-CN"/>
        </w:rPr>
        <w:t>投标供应商</w:t>
      </w:r>
      <w:r>
        <w:rPr>
          <w:rFonts w:hint="eastAsia" w:ascii="宋体" w:hAnsi="宋体" w:eastAsia="宋体" w:cs="宋体"/>
          <w:highlight w:val="none"/>
        </w:rPr>
        <w:t>，其投标或中标资格将被取消。</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五、开标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27、开标时间和地点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27.1  采购代理机构在</w:t>
      </w:r>
      <w:r>
        <w:rPr>
          <w:rFonts w:hint="eastAsia" w:ascii="宋体" w:hAnsi="宋体" w:cs="宋体"/>
          <w:highlight w:val="none"/>
          <w:lang w:eastAsia="zh-CN"/>
        </w:rPr>
        <w:t>投标供应商</w:t>
      </w:r>
      <w:r>
        <w:rPr>
          <w:rFonts w:hint="eastAsia" w:ascii="宋体" w:hAnsi="宋体" w:eastAsia="宋体" w:cs="宋体"/>
          <w:highlight w:val="none"/>
        </w:rPr>
        <w:t>须知前附表中规定的投标截止时间和地点组织公开开标，</w:t>
      </w:r>
      <w:r>
        <w:rPr>
          <w:rFonts w:hint="eastAsia" w:ascii="宋体" w:hAnsi="宋体" w:cs="宋体"/>
          <w:szCs w:val="21"/>
          <w:highlight w:val="none"/>
        </w:rPr>
        <w:t>所有</w:t>
      </w:r>
      <w:r>
        <w:rPr>
          <w:rFonts w:hint="eastAsia" w:ascii="宋体" w:hAnsi="宋体" w:cs="宋体"/>
          <w:szCs w:val="21"/>
          <w:highlight w:val="none"/>
          <w:lang w:val="en-US" w:eastAsia="zh-CN"/>
        </w:rPr>
        <w:t>投标供应商</w:t>
      </w:r>
      <w:r>
        <w:rPr>
          <w:rFonts w:hint="eastAsia" w:ascii="宋体" w:hAnsi="宋体" w:cs="宋体"/>
          <w:szCs w:val="21"/>
          <w:highlight w:val="none"/>
        </w:rPr>
        <w:t>的法定代表人或其委托代理人应</w:t>
      </w:r>
      <w:r>
        <w:rPr>
          <w:rFonts w:hint="eastAsia" w:ascii="宋体" w:hAnsi="宋体" w:cs="宋体"/>
          <w:szCs w:val="21"/>
          <w:highlight w:val="none"/>
          <w:lang w:val="en-US" w:eastAsia="zh-CN"/>
        </w:rPr>
        <w:t>按照不见面开标要求</w:t>
      </w:r>
      <w:r>
        <w:rPr>
          <w:rFonts w:hint="eastAsia" w:ascii="宋体" w:hAnsi="宋体" w:cs="宋体"/>
          <w:szCs w:val="21"/>
          <w:highlight w:val="none"/>
        </w:rPr>
        <w:t>准时参加</w:t>
      </w:r>
      <w:r>
        <w:rPr>
          <w:rFonts w:hint="eastAsia" w:ascii="宋体" w:hAnsi="宋体" w:cs="宋体"/>
          <w:szCs w:val="21"/>
          <w:highlight w:val="none"/>
          <w:lang w:val="en-US" w:eastAsia="zh-CN"/>
        </w:rPr>
        <w:t>线上开标</w:t>
      </w:r>
      <w:r>
        <w:rPr>
          <w:rFonts w:hint="eastAsia" w:ascii="宋体" w:hAnsi="宋体" w:cs="宋体"/>
          <w:szCs w:val="21"/>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27.2  按规定提交合格的撤回通知的投标文件不予开封，并退还给</w:t>
      </w:r>
      <w:r>
        <w:rPr>
          <w:rFonts w:hint="eastAsia" w:ascii="宋体" w:hAnsi="宋体" w:cs="宋体"/>
          <w:highlight w:val="none"/>
          <w:lang w:eastAsia="zh-CN"/>
        </w:rPr>
        <w:t>投标供应商</w:t>
      </w:r>
      <w:r>
        <w:rPr>
          <w:rFonts w:hint="eastAsia" w:ascii="宋体" w:hAnsi="宋体" w:eastAsia="宋体" w:cs="宋体"/>
          <w:highlight w:val="none"/>
        </w:rPr>
        <w:t>；按本须知规定为无效的投标文件，不予送交评标委员会评审。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28、开标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28.1  开标会议由采购代理机构主持；</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 xml:space="preserve">阅读开标流程，并在开标倒计时结束前完成在线签到。 </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(2)公布</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名称，宣布开标会议开始，同时开启录音录像设备。</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(3)远程解密，进入解密阶段后，</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需在规定时间内进行远程电子投标文件解密操作。</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(4)解密完成后开启投标文件，以公开唱标的形式将开标一览表的内容公布，无异议后，开标记录由</w:t>
      </w:r>
      <w:r>
        <w:rPr>
          <w:rFonts w:hint="eastAsia" w:ascii="宋体" w:hAnsi="宋体" w:cs="宋体"/>
          <w:highlight w:val="none"/>
          <w:lang w:val="en-US" w:eastAsia="zh-CN"/>
        </w:rPr>
        <w:t>投标供应商</w:t>
      </w:r>
      <w:r>
        <w:rPr>
          <w:rFonts w:hint="eastAsia" w:ascii="宋体" w:hAnsi="宋体" w:eastAsia="宋体" w:cs="宋体"/>
          <w:highlight w:val="none"/>
          <w:lang w:val="en-US" w:eastAsia="zh-CN"/>
        </w:rPr>
        <w:t>的法定代表人或授权代表人远程确认、监标人开标现场签字确认。开标时未宣读和记录的投标价格在评标时将不予考虑。</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(5)宣布结果公告查询网站、公告期及相关事宜，开标会议结束。</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28.2 在开标时没有成功上传或规定时间内未解密成功的投标文件，在评标时将不予考虑，按无效投标处理。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28.</w:t>
      </w:r>
      <w:r>
        <w:rPr>
          <w:rFonts w:hint="eastAsia" w:ascii="宋体" w:hAnsi="宋体" w:cs="宋体"/>
          <w:highlight w:val="none"/>
          <w:lang w:val="en-US" w:eastAsia="zh-CN"/>
        </w:rPr>
        <w:t>3</w:t>
      </w:r>
      <w:r>
        <w:rPr>
          <w:rFonts w:hint="eastAsia" w:ascii="宋体" w:hAnsi="宋体" w:eastAsia="宋体" w:cs="宋体"/>
          <w:highlight w:val="none"/>
        </w:rPr>
        <w:t xml:space="preserve"> 开标后，直到向中标的</w:t>
      </w:r>
      <w:r>
        <w:rPr>
          <w:rFonts w:hint="eastAsia" w:ascii="宋体" w:hAnsi="宋体" w:cs="宋体"/>
          <w:highlight w:val="none"/>
          <w:lang w:eastAsia="zh-CN"/>
        </w:rPr>
        <w:t>投标供应商</w:t>
      </w:r>
      <w:r>
        <w:rPr>
          <w:rFonts w:hint="eastAsia" w:ascii="宋体" w:hAnsi="宋体" w:eastAsia="宋体" w:cs="宋体"/>
          <w:highlight w:val="none"/>
        </w:rPr>
        <w:t>授予合同为止，凡与审查、澄清、评价和比较投标的有关资料及授标意见等内容，任何人均不得向</w:t>
      </w:r>
      <w:r>
        <w:rPr>
          <w:rFonts w:hint="eastAsia" w:ascii="宋体" w:hAnsi="宋体" w:cs="宋体"/>
          <w:highlight w:val="none"/>
          <w:lang w:eastAsia="zh-CN"/>
        </w:rPr>
        <w:t>投标供应商</w:t>
      </w:r>
      <w:r>
        <w:rPr>
          <w:rFonts w:hint="eastAsia" w:ascii="宋体" w:hAnsi="宋体" w:eastAsia="宋体" w:cs="宋体"/>
          <w:highlight w:val="none"/>
        </w:rPr>
        <w:t>及与评标无关的其他人透露。</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28.</w:t>
      </w:r>
      <w:r>
        <w:rPr>
          <w:rFonts w:hint="eastAsia" w:ascii="宋体" w:hAnsi="宋体" w:cs="宋体"/>
          <w:highlight w:val="none"/>
          <w:lang w:val="en-US" w:eastAsia="zh-CN"/>
        </w:rPr>
        <w:t>4</w:t>
      </w:r>
      <w:r>
        <w:rPr>
          <w:rFonts w:hint="eastAsia" w:ascii="宋体" w:hAnsi="宋体" w:eastAsia="宋体" w:cs="宋体"/>
          <w:highlight w:val="none"/>
        </w:rPr>
        <w:t xml:space="preserve"> 开标结束后，采购人将依法对各</w:t>
      </w:r>
      <w:r>
        <w:rPr>
          <w:rFonts w:hint="eastAsia" w:ascii="宋体" w:hAnsi="宋体" w:cs="宋体"/>
          <w:highlight w:val="none"/>
          <w:lang w:eastAsia="zh-CN"/>
        </w:rPr>
        <w:t>投标供应商</w:t>
      </w:r>
      <w:r>
        <w:rPr>
          <w:rFonts w:hint="eastAsia" w:ascii="宋体" w:hAnsi="宋体" w:eastAsia="宋体" w:cs="宋体"/>
          <w:highlight w:val="none"/>
        </w:rPr>
        <w:t>的资格证明文件进行审查，签字确认并宣读检查结果。未通过资格性审查的按无效投标文件处理，合格</w:t>
      </w:r>
      <w:r>
        <w:rPr>
          <w:rFonts w:hint="eastAsia" w:ascii="宋体" w:hAnsi="宋体" w:cs="宋体"/>
          <w:highlight w:val="none"/>
          <w:lang w:eastAsia="zh-CN"/>
        </w:rPr>
        <w:t>投标供应商</w:t>
      </w:r>
      <w:r>
        <w:rPr>
          <w:rFonts w:hint="eastAsia" w:ascii="宋体" w:hAnsi="宋体" w:eastAsia="宋体" w:cs="宋体"/>
          <w:highlight w:val="none"/>
        </w:rPr>
        <w:t>不足三家的，不进行评标。</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六、评标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29、评标委员会</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29.1  采购人将根据本次采购项目的特点，参照《中华人民共和国政府采购法》、中华人民共和国2015年第658号国务院令--《中华人民共和国政府采购法实施条例》和中华人民共和国财政部令第87号--《政府采购货物和服务招标投标管理办法》等政策法规的规定，依法组建评标委员会。评标委员会按照</w:t>
      </w:r>
      <w:r>
        <w:rPr>
          <w:rFonts w:hint="eastAsia" w:ascii="宋体" w:hAnsi="宋体" w:eastAsia="宋体" w:cs="宋体"/>
          <w:highlight w:val="none"/>
          <w:lang w:eastAsia="zh-CN"/>
        </w:rPr>
        <w:t>招标文件</w:t>
      </w:r>
      <w:r>
        <w:rPr>
          <w:rFonts w:hint="eastAsia" w:ascii="宋体" w:hAnsi="宋体" w:eastAsia="宋体" w:cs="宋体"/>
          <w:highlight w:val="none"/>
        </w:rPr>
        <w:t>规定的评标方法独立进行评标工作。</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29.2  评委会成员到位后，推荐一名评审专家担任评审组长，并由评审组长牵头组织该项目评审工作，采购人授权的评审专家，不得担任评审组长。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29.3  评标委员会成员有下列情形之一的，应当回避：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（1）采购人或</w:t>
      </w:r>
      <w:r>
        <w:rPr>
          <w:rFonts w:hint="eastAsia" w:ascii="宋体" w:hAnsi="宋体" w:cs="宋体"/>
          <w:highlight w:val="none"/>
          <w:lang w:eastAsia="zh-CN"/>
        </w:rPr>
        <w:t>投标供应商</w:t>
      </w:r>
      <w:r>
        <w:rPr>
          <w:rFonts w:hint="eastAsia" w:ascii="宋体" w:hAnsi="宋体" w:eastAsia="宋体" w:cs="宋体"/>
          <w:highlight w:val="none"/>
        </w:rPr>
        <w:t>的主要负责人的近亲属；</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（2）项目主管部门或者行政监督部门的人员；</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（3）与</w:t>
      </w:r>
      <w:r>
        <w:rPr>
          <w:rFonts w:hint="eastAsia" w:ascii="宋体" w:hAnsi="宋体" w:cs="宋体"/>
          <w:highlight w:val="none"/>
          <w:lang w:eastAsia="zh-CN"/>
        </w:rPr>
        <w:t>投标供应商</w:t>
      </w:r>
      <w:r>
        <w:rPr>
          <w:rFonts w:hint="eastAsia" w:ascii="宋体" w:hAnsi="宋体" w:eastAsia="宋体" w:cs="宋体"/>
          <w:highlight w:val="none"/>
        </w:rPr>
        <w:t>有经济利益关系，可能影响对投标公正评审的；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（4）曾因在招标、评标以及其他与招标投标有关活动中从事违法行为而受过行政处罚或刑事处罚的。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29.4  </w:t>
      </w:r>
      <w:r>
        <w:rPr>
          <w:rFonts w:hint="eastAsia" w:ascii="宋体" w:hAnsi="宋体" w:eastAsia="宋体" w:cs="宋体"/>
          <w:highlight w:val="none"/>
          <w:lang w:eastAsia="zh-CN"/>
        </w:rPr>
        <w:t>招标文件</w:t>
      </w:r>
      <w:r>
        <w:rPr>
          <w:rFonts w:hint="eastAsia" w:ascii="宋体" w:hAnsi="宋体" w:eastAsia="宋体" w:cs="宋体"/>
          <w:highlight w:val="none"/>
        </w:rPr>
        <w:t>和投标文件是评标的依据。在评标中，不得改变</w:t>
      </w:r>
      <w:r>
        <w:rPr>
          <w:rFonts w:hint="eastAsia" w:ascii="宋体" w:hAnsi="宋体" w:eastAsia="宋体" w:cs="宋体"/>
          <w:highlight w:val="none"/>
          <w:lang w:eastAsia="zh-CN"/>
        </w:rPr>
        <w:t>招标文件</w:t>
      </w:r>
      <w:r>
        <w:rPr>
          <w:rFonts w:hint="eastAsia" w:ascii="宋体" w:hAnsi="宋体" w:eastAsia="宋体" w:cs="宋体"/>
          <w:highlight w:val="none"/>
        </w:rPr>
        <w:t>中规定的评标标准、方法和中标条件。</w:t>
      </w:r>
      <w:r>
        <w:rPr>
          <w:rFonts w:hint="eastAsia" w:ascii="宋体" w:hAnsi="宋体" w:cs="宋体"/>
          <w:highlight w:val="none"/>
          <w:lang w:eastAsia="zh-CN"/>
        </w:rPr>
        <w:t>投标供应商</w:t>
      </w:r>
      <w:r>
        <w:rPr>
          <w:rFonts w:hint="eastAsia" w:ascii="宋体" w:hAnsi="宋体" w:eastAsia="宋体" w:cs="宋体"/>
          <w:highlight w:val="none"/>
        </w:rPr>
        <w:t>不得在开标后使用任何方式对投标文件的实质性内容做任何更改。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29.5  在评标期间，对投标文件中含义不明确、同类问题表述不一致或者有明显文字和计算错误的内容，评标委员会可以书面形式（由评标委员会专家签字）要求</w:t>
      </w:r>
      <w:r>
        <w:rPr>
          <w:rFonts w:hint="eastAsia" w:ascii="宋体" w:hAnsi="宋体" w:cs="宋体"/>
          <w:highlight w:val="none"/>
          <w:lang w:eastAsia="zh-CN"/>
        </w:rPr>
        <w:t>投标供应商</w:t>
      </w:r>
      <w:r>
        <w:rPr>
          <w:rFonts w:hint="eastAsia" w:ascii="宋体" w:hAnsi="宋体" w:eastAsia="宋体" w:cs="宋体"/>
          <w:highlight w:val="none"/>
        </w:rPr>
        <w:t>作出必要的澄清、说明或者纠正。</w:t>
      </w:r>
      <w:r>
        <w:rPr>
          <w:rFonts w:hint="eastAsia" w:ascii="宋体" w:hAnsi="宋体" w:cs="宋体"/>
          <w:highlight w:val="none"/>
          <w:lang w:eastAsia="zh-CN"/>
        </w:rPr>
        <w:t>投标供应商</w:t>
      </w:r>
      <w:r>
        <w:rPr>
          <w:rFonts w:hint="eastAsia" w:ascii="宋体" w:hAnsi="宋体" w:eastAsia="宋体" w:cs="宋体"/>
          <w:highlight w:val="none"/>
        </w:rPr>
        <w:t>的澄清、说明或者补正应当采用书面形式，由其授权的代表签字，并不得超出投标文件的范围或者改变投标文件的实质性内容。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29.6  如果</w:t>
      </w:r>
      <w:r>
        <w:rPr>
          <w:rFonts w:hint="eastAsia" w:ascii="宋体" w:hAnsi="宋体" w:cs="宋体"/>
          <w:highlight w:val="none"/>
          <w:lang w:eastAsia="zh-CN"/>
        </w:rPr>
        <w:t>投标供应商</w:t>
      </w:r>
      <w:r>
        <w:rPr>
          <w:rFonts w:hint="eastAsia" w:ascii="宋体" w:hAnsi="宋体" w:eastAsia="宋体" w:cs="宋体"/>
          <w:highlight w:val="none"/>
        </w:rPr>
        <w:t>在澄清规定期限内，未能答复或拒绝答复评委会提出的澄清要求，将由评标委员会根据其投标文件按最大风险进行评标。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29.7 </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评标委员会成员对各</w:t>
      </w:r>
      <w:r>
        <w:rPr>
          <w:rFonts w:hint="eastAsia" w:ascii="宋体" w:hAnsi="宋体" w:cs="宋体"/>
          <w:highlight w:val="none"/>
          <w:lang w:eastAsia="zh-CN"/>
        </w:rPr>
        <w:t>投标供应商</w:t>
      </w:r>
      <w:r>
        <w:rPr>
          <w:rFonts w:hint="eastAsia" w:ascii="宋体" w:hAnsi="宋体" w:eastAsia="宋体" w:cs="宋体"/>
          <w:highlight w:val="none"/>
        </w:rPr>
        <w:t>投标文件进行审查、质疑、评估和比较，并推荐</w:t>
      </w:r>
      <w:r>
        <w:rPr>
          <w:rFonts w:hint="eastAsia" w:ascii="宋体" w:hAnsi="宋体" w:eastAsia="宋体" w:cs="宋体"/>
          <w:highlight w:val="none"/>
          <w:lang w:eastAsia="zh-CN"/>
        </w:rPr>
        <w:t>前三</w:t>
      </w:r>
      <w:r>
        <w:rPr>
          <w:rFonts w:hint="eastAsia" w:ascii="宋体" w:hAnsi="宋体" w:eastAsia="宋体" w:cs="宋体"/>
          <w:highlight w:val="none"/>
        </w:rPr>
        <w:t>名中标候选人。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30、评标原则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w:t>
      </w:r>
      <w:r>
        <w:rPr>
          <w:rFonts w:hint="eastAsia" w:ascii="宋体" w:hAnsi="宋体" w:cs="宋体"/>
          <w:highlight w:val="none"/>
          <w:lang w:eastAsia="zh-CN"/>
        </w:rPr>
        <w:t>投标供应商</w:t>
      </w:r>
      <w:r>
        <w:rPr>
          <w:rFonts w:hint="eastAsia" w:ascii="宋体" w:hAnsi="宋体" w:eastAsia="宋体" w:cs="宋体"/>
          <w:highlight w:val="none"/>
        </w:rPr>
        <w:t>。</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31、评标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31.1  评标委员会严格按照《政府采购货物和服务招标投标管理办法》（财政部第87号令）规定的程序和</w:t>
      </w:r>
      <w:r>
        <w:rPr>
          <w:rFonts w:hint="eastAsia" w:ascii="宋体" w:hAnsi="宋体" w:eastAsia="宋体" w:cs="宋体"/>
          <w:highlight w:val="none"/>
          <w:lang w:eastAsia="zh-CN"/>
        </w:rPr>
        <w:t>招标文件</w:t>
      </w:r>
      <w:r>
        <w:rPr>
          <w:rFonts w:hint="eastAsia" w:ascii="宋体" w:hAnsi="宋体" w:eastAsia="宋体" w:cs="宋体"/>
          <w:highlight w:val="none"/>
        </w:rPr>
        <w:t>规定的评标办法及标准对各投标文件进行评审。</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31.2  评标委员会负责具体评标事务，并独立履行下列职责：</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（1）审查投标文件是否符合</w:t>
      </w:r>
      <w:r>
        <w:rPr>
          <w:rFonts w:hint="eastAsia" w:ascii="宋体" w:hAnsi="宋体" w:eastAsia="宋体" w:cs="宋体"/>
          <w:highlight w:val="none"/>
          <w:lang w:eastAsia="zh-CN"/>
        </w:rPr>
        <w:t>招标文件</w:t>
      </w:r>
      <w:r>
        <w:rPr>
          <w:rFonts w:hint="eastAsia" w:ascii="宋体" w:hAnsi="宋体" w:eastAsia="宋体" w:cs="宋体"/>
          <w:highlight w:val="none"/>
        </w:rPr>
        <w:t>要求，并做出评价；</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（2）以书面形式要求</w:t>
      </w:r>
      <w:r>
        <w:rPr>
          <w:rFonts w:hint="eastAsia" w:ascii="宋体" w:hAnsi="宋体" w:cs="宋体"/>
          <w:highlight w:val="none"/>
          <w:lang w:eastAsia="zh-CN"/>
        </w:rPr>
        <w:t>投标供应商</w:t>
      </w:r>
      <w:r>
        <w:rPr>
          <w:rFonts w:hint="eastAsia" w:ascii="宋体" w:hAnsi="宋体" w:eastAsia="宋体" w:cs="宋体"/>
          <w:highlight w:val="none"/>
        </w:rPr>
        <w:t>就投标文件中含义不明确的内容及有关事项做出解释或者澄清，并提供相关材料；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（3）推荐中标候选</w:t>
      </w:r>
      <w:r>
        <w:rPr>
          <w:rFonts w:hint="eastAsia" w:ascii="宋体" w:hAnsi="宋体" w:cs="宋体"/>
          <w:highlight w:val="none"/>
          <w:lang w:eastAsia="zh-CN"/>
        </w:rPr>
        <w:t>投标供应商</w:t>
      </w:r>
      <w:r>
        <w:rPr>
          <w:rFonts w:hint="eastAsia" w:ascii="宋体" w:hAnsi="宋体" w:eastAsia="宋体" w:cs="宋体"/>
          <w:highlight w:val="none"/>
        </w:rPr>
        <w:t>名单，或者受采购人委托按照事先确定的办法直接确定中标人；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（4）配合采购人、采购代理机构答复各</w:t>
      </w:r>
      <w:r>
        <w:rPr>
          <w:rFonts w:hint="eastAsia" w:ascii="宋体" w:hAnsi="宋体" w:cs="宋体"/>
          <w:highlight w:val="none"/>
          <w:lang w:eastAsia="zh-CN"/>
        </w:rPr>
        <w:t>投标供应商</w:t>
      </w:r>
      <w:r>
        <w:rPr>
          <w:rFonts w:hint="eastAsia" w:ascii="宋体" w:hAnsi="宋体" w:eastAsia="宋体" w:cs="宋体"/>
          <w:highlight w:val="none"/>
        </w:rPr>
        <w:t>提出的质疑；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（5）向采购单位或者有关部门报告非法干预评标工作的行为。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31.3  评标过程严格保密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（1）评标委员会成员和与评标活动有关的工作人员不得泄露有关投标文件的评审和比较、中标候选人的推荐以及与评标有关的其他情况。</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（2）在评标过程中，如果</w:t>
      </w:r>
      <w:r>
        <w:rPr>
          <w:rFonts w:hint="eastAsia" w:ascii="宋体" w:hAnsi="宋体" w:cs="宋体"/>
          <w:highlight w:val="none"/>
          <w:lang w:eastAsia="zh-CN"/>
        </w:rPr>
        <w:t>投标供应商</w:t>
      </w:r>
      <w:r>
        <w:rPr>
          <w:rFonts w:hint="eastAsia" w:ascii="宋体" w:hAnsi="宋体" w:eastAsia="宋体" w:cs="宋体"/>
          <w:highlight w:val="none"/>
        </w:rPr>
        <w:t>试图在投标文件的评审和比较、中标候选人的推荐以及与评标有关的其他方面，向评标人、采购人和采购代理机构施加任何影响的任何行为，都将会导致其投标被拒绝。</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中标人确定后，采购人和代理机构不对未中标人就评标过程以及未能中标原因作出任何解释。未中标人不得向评标委员会组成人员或其他有关人员索问评标过程的情况和材料，其投标文件不予退还（含纸质及电子版文件）。</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七、定标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32、定标原则</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采购人根据评标委员会推荐的中标候选人名单，按顺序确定中标人。</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33、定标程序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33.1 </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评标委员会根据评标办法的规定对</w:t>
      </w:r>
      <w:r>
        <w:rPr>
          <w:rFonts w:hint="eastAsia" w:ascii="宋体" w:hAnsi="宋体" w:cs="宋体"/>
          <w:highlight w:val="none"/>
          <w:lang w:eastAsia="zh-CN"/>
        </w:rPr>
        <w:t>投标供应商</w:t>
      </w:r>
      <w:r>
        <w:rPr>
          <w:rFonts w:hint="eastAsia" w:ascii="宋体" w:hAnsi="宋体" w:eastAsia="宋体" w:cs="宋体"/>
          <w:highlight w:val="none"/>
        </w:rPr>
        <w:t>进行评审排序，推荐</w:t>
      </w:r>
      <w:r>
        <w:rPr>
          <w:rFonts w:hint="eastAsia" w:ascii="宋体" w:hAnsi="宋体" w:eastAsia="宋体" w:cs="宋体"/>
          <w:highlight w:val="none"/>
          <w:lang w:eastAsia="zh-CN"/>
        </w:rPr>
        <w:t>前三</w:t>
      </w:r>
      <w:r>
        <w:rPr>
          <w:rFonts w:hint="eastAsia" w:ascii="宋体" w:hAnsi="宋体" w:eastAsia="宋体" w:cs="宋体"/>
          <w:highlight w:val="none"/>
        </w:rPr>
        <w:t>名中标候选人，形成评标报告，评审报告由评标委员会全体成员签字确认。</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33.2  采购代理机构应在评标结束后2个工作日内，将评标报告送采购人定标。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33.3  采购人在收到评标报告后5个工作日内，根据评标报告中推荐的中标候选人排列顺序，确定排名第一的为中标人，也可以书面授权评标委员会评标后直接确定中标人，同时复函采购代理机构。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33.4  采购代理机构在接到采购人的定标复函之日起2个工作日内，根据采购人确定的中标人，在财政部门指定的政府采购信息发布媒体上公告。</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33.5  采购单位不解释中标或落标原因，未中标人不得向评标委员会组成人员或其他有关人员索问评标过程的情况和材料。不退回投标文件和其他投标资料。</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 xml:space="preserve">33.6  </w:t>
      </w:r>
      <w:r>
        <w:rPr>
          <w:rFonts w:hint="eastAsia" w:ascii="宋体" w:hAnsi="宋体" w:cs="宋体"/>
          <w:highlight w:val="none"/>
          <w:lang w:eastAsia="zh-CN"/>
        </w:rPr>
        <w:t>投标供应商</w:t>
      </w:r>
      <w:r>
        <w:rPr>
          <w:rFonts w:hint="eastAsia" w:ascii="宋体" w:hAnsi="宋体" w:eastAsia="宋体" w:cs="宋体"/>
          <w:highlight w:val="none"/>
        </w:rPr>
        <w:t>对中标公告有异议的，按照《中华人民共和国政府采购法》第五十二条之规定执行。提出质疑的</w:t>
      </w:r>
      <w:r>
        <w:rPr>
          <w:rFonts w:hint="eastAsia" w:ascii="宋体" w:hAnsi="宋体" w:cs="宋体"/>
          <w:highlight w:val="none"/>
          <w:lang w:eastAsia="zh-CN"/>
        </w:rPr>
        <w:t>投标供应商</w:t>
      </w:r>
      <w:r>
        <w:rPr>
          <w:rFonts w:hint="eastAsia" w:ascii="宋体" w:hAnsi="宋体" w:eastAsia="宋体" w:cs="宋体"/>
          <w:highlight w:val="none"/>
        </w:rPr>
        <w:t>应当有明确的请求和必要的证明材料，应保证提出的质疑内容及相应证明材料的真实性及来源的合法性，并承担相应的法律责任。</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33.7  中标人拒绝与采购人签订合同的，采购人可以按照评审报告推荐的中标候选人名单排序，确定下一候选人为中标人，也可以重新开展政府采购活动。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34、中标通知书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34.1  中标人确定之后，</w:t>
      </w:r>
      <w:r>
        <w:rPr>
          <w:rFonts w:hint="eastAsia" w:ascii="宋体" w:hAnsi="宋体" w:eastAsia="宋体" w:cs="宋体"/>
          <w:highlight w:val="none"/>
          <w:lang w:eastAsia="zh-CN"/>
        </w:rPr>
        <w:t>瑞信国际项目管理有限公司</w:t>
      </w:r>
      <w:r>
        <w:rPr>
          <w:rFonts w:hint="eastAsia" w:ascii="宋体" w:hAnsi="宋体" w:eastAsia="宋体" w:cs="宋体"/>
          <w:highlight w:val="none"/>
        </w:rPr>
        <w:t>将发出《中标通知书》。</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34.2  中标通知书为签订政府采购合同的依据，是合同的重要组成部分。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34.3  中标通知书对采购人和中标人均具有法律效力。中标通知书发出后，采购人改变中标结果，或者中标人无正当理由放弃中标的，应当承担相应的法律责任。</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34.4  中标人在接到采购代理机构通知之日起7日内领取《中标通知书》。如果已中标的</w:t>
      </w:r>
      <w:r>
        <w:rPr>
          <w:rFonts w:hint="eastAsia" w:ascii="宋体" w:hAnsi="宋体" w:cs="宋体"/>
          <w:highlight w:val="none"/>
          <w:lang w:eastAsia="zh-CN"/>
        </w:rPr>
        <w:t>投标供应商</w:t>
      </w:r>
      <w:r>
        <w:rPr>
          <w:rFonts w:hint="eastAsia" w:ascii="宋体" w:hAnsi="宋体" w:eastAsia="宋体" w:cs="宋体"/>
          <w:highlight w:val="none"/>
        </w:rPr>
        <w:t>不能按投标文件，包括补充文件（如澄清、承诺等）中承诺的条件履行签约行为，采购人有权取消其中标资格，并扣除其投标保证金。</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34.5  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34.6  </w:t>
      </w:r>
      <w:r>
        <w:rPr>
          <w:rFonts w:hint="eastAsia" w:ascii="宋体" w:hAnsi="宋体" w:eastAsia="宋体" w:cs="宋体"/>
          <w:color w:val="000000"/>
          <w:highlight w:val="none"/>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属于自身原因放弃中标者将失去其投标保证金</w:t>
      </w:r>
      <w:r>
        <w:rPr>
          <w:rFonts w:hint="eastAsia" w:ascii="宋体" w:hAnsi="宋体" w:eastAsia="宋体" w:cs="宋体"/>
          <w:highlight w:val="none"/>
        </w:rPr>
        <w:t>。</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八、废标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35、废标的情形</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招标采购中，出现下列情形之一的，予以废标：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（1）出现影响采购公正的违法、违规行为的；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cs="宋体"/>
          <w:highlight w:val="none"/>
          <w:lang w:eastAsia="zh-CN"/>
        </w:rPr>
        <w:t>投标供应商</w:t>
      </w:r>
      <w:r>
        <w:rPr>
          <w:rFonts w:hint="eastAsia" w:ascii="宋体" w:hAnsi="宋体" w:eastAsia="宋体" w:cs="宋体"/>
          <w:highlight w:val="none"/>
        </w:rPr>
        <w:t>的投标报价均超过了采购预算，采购人不能支付的；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（3）评标委员会三分之二以上的评委认定所有投标报价存在价格不实的现象；</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（4）有证据证明有围标现象的发生；</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（5）有证据证明有《中华人民共和国财政部令第87号》第37条</w:t>
      </w:r>
      <w:r>
        <w:rPr>
          <w:rFonts w:hint="eastAsia" w:ascii="宋体" w:hAnsi="宋体" w:eastAsia="宋体" w:cs="宋体"/>
          <w:highlight w:val="none"/>
          <w:lang w:val="en-US" w:eastAsia="zh-CN"/>
        </w:rPr>
        <w:t>串</w:t>
      </w:r>
      <w:r>
        <w:rPr>
          <w:rFonts w:hint="eastAsia" w:ascii="宋体" w:hAnsi="宋体" w:eastAsia="宋体" w:cs="宋体"/>
          <w:highlight w:val="none"/>
        </w:rPr>
        <w:t>标情形的；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（6）因重大变故，采购任务取消的。</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废标后，采购代理机构应在财政部门指定采购网上公告，并公告废标的详细理由。</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九、合同授予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36、签订合同</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36.1  采购人应当自《中标通知书》发出之日起30日内，按照</w:t>
      </w:r>
      <w:r>
        <w:rPr>
          <w:rFonts w:hint="eastAsia" w:ascii="宋体" w:hAnsi="宋体" w:eastAsia="宋体" w:cs="宋体"/>
          <w:highlight w:val="none"/>
          <w:lang w:eastAsia="zh-CN"/>
        </w:rPr>
        <w:t>招标文件</w:t>
      </w:r>
      <w:r>
        <w:rPr>
          <w:rFonts w:hint="eastAsia" w:ascii="宋体" w:hAnsi="宋体" w:eastAsia="宋体" w:cs="宋体"/>
          <w:highlight w:val="none"/>
        </w:rPr>
        <w:t>和中标人投标文件（包括评标中形成的澄清文件）的约定，与中标人签订书面合同。所签订的合同不得对</w:t>
      </w:r>
      <w:r>
        <w:rPr>
          <w:rFonts w:hint="eastAsia" w:ascii="宋体" w:hAnsi="宋体" w:eastAsia="宋体" w:cs="宋体"/>
          <w:highlight w:val="none"/>
          <w:lang w:eastAsia="zh-CN"/>
        </w:rPr>
        <w:t>招标文件</w:t>
      </w:r>
      <w:r>
        <w:rPr>
          <w:rFonts w:hint="eastAsia" w:ascii="宋体" w:hAnsi="宋体" w:eastAsia="宋体" w:cs="宋体"/>
          <w:highlight w:val="none"/>
        </w:rPr>
        <w:t>和中标人的投标文件（包括评标中形成的澄清文件）作实质性修改。</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36.2  中标人因不可抗力或者自身原因不能履行采购合同或放弃中标的，采购人可以与排在中标人之后第一位的中标候选人签订政府采购合同，以此类推。</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highlight w:val="none"/>
        </w:rPr>
      </w:pPr>
      <w:r>
        <w:rPr>
          <w:rFonts w:hint="eastAsia" w:ascii="宋体" w:hAnsi="宋体" w:eastAsia="宋体" w:cs="宋体"/>
          <w:highlight w:val="none"/>
        </w:rPr>
        <w:t>36.3  采购人自政府采购合同签订之日起2个工作日内，将政府采购合同在省级以上人民政府财政部门指定的媒体上公告，但政府采购合同中涉及国家秘密、商业秘密的内容除外。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37、合同实施</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37.1  中标人应在合同签订后7个日历日内安排人员与采购人签订合同。</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37.2  若未能在合同期内完成合同规定的义务，由此对采购人造成的延误和一切损失，由中标人承担和赔偿。</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37.4  政府采购合同履行中，采购人需追加与合同标的相同的货物的，在不改变合同其他条款的前提下，可以与</w:t>
      </w:r>
      <w:r>
        <w:rPr>
          <w:rFonts w:hint="eastAsia" w:ascii="宋体" w:hAnsi="宋体" w:cs="宋体"/>
          <w:highlight w:val="none"/>
          <w:lang w:eastAsia="zh-CN"/>
        </w:rPr>
        <w:t>投标供应商</w:t>
      </w:r>
      <w:r>
        <w:rPr>
          <w:rFonts w:hint="eastAsia" w:ascii="宋体" w:hAnsi="宋体" w:eastAsia="宋体" w:cs="宋体"/>
          <w:highlight w:val="none"/>
        </w:rPr>
        <w:t>签订补充合同，但所补充合同的采购金额不得超过原合同采购金额的百分之十。签订补充合同的应按规定备案。</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38、转包与分包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38.1  本项目不允许采取转包方式履行合同。</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38.2  本项目经采购人同意，可以将中标项目的部分非主体、非关键性工作分包给他人完成，本项目“主体和关键性工作”是指：</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【根据项目具体情况确定】。接受分包的</w:t>
      </w:r>
      <w:r>
        <w:rPr>
          <w:rFonts w:hint="eastAsia" w:ascii="宋体" w:hAnsi="宋体" w:cs="宋体"/>
          <w:highlight w:val="none"/>
          <w:lang w:eastAsia="zh-CN"/>
        </w:rPr>
        <w:t>投标供应商</w:t>
      </w:r>
      <w:r>
        <w:rPr>
          <w:rFonts w:hint="eastAsia" w:ascii="宋体" w:hAnsi="宋体" w:eastAsia="宋体" w:cs="宋体"/>
          <w:highlight w:val="none"/>
        </w:rPr>
        <w:t>应当具备相应的资格条件，并不得再次分包。</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38.3  采购合同实行分包履行的，中标人就采购项目和分包项目向采购人负责，分包</w:t>
      </w:r>
      <w:r>
        <w:rPr>
          <w:rFonts w:hint="eastAsia" w:ascii="宋体" w:hAnsi="宋体" w:cs="宋体"/>
          <w:highlight w:val="none"/>
          <w:lang w:eastAsia="zh-CN"/>
        </w:rPr>
        <w:t>投标供应商</w:t>
      </w:r>
      <w:r>
        <w:rPr>
          <w:rFonts w:hint="eastAsia" w:ascii="宋体" w:hAnsi="宋体" w:eastAsia="宋体" w:cs="宋体"/>
          <w:highlight w:val="none"/>
        </w:rPr>
        <w:t>就分包项目承担责任。</w:t>
      </w:r>
    </w:p>
    <w:p>
      <w:pPr>
        <w:keepLines w:val="0"/>
        <w:pageBreakBefore w:val="0"/>
        <w:widowControl w:val="0"/>
        <w:kinsoku/>
        <w:wordWrap/>
        <w:overflowPunct/>
        <w:topLinePunct w:val="0"/>
        <w:bidi w:val="0"/>
        <w:snapToGrid/>
        <w:spacing w:before="240" w:after="120" w:line="500" w:lineRule="exact"/>
        <w:jc w:val="both"/>
        <w:textAlignment w:val="auto"/>
        <w:outlineLvl w:val="2"/>
        <w:rPr>
          <w:rFonts w:hint="eastAsia" w:ascii="宋体" w:hAnsi="宋体" w:eastAsia="宋体" w:cs="宋体"/>
          <w:b/>
          <w:bCs/>
          <w:sz w:val="28"/>
          <w:highlight w:val="none"/>
        </w:rPr>
      </w:pPr>
      <w:r>
        <w:rPr>
          <w:rFonts w:hint="eastAsia" w:ascii="宋体" w:hAnsi="宋体" w:eastAsia="宋体" w:cs="宋体"/>
          <w:b/>
          <w:bCs/>
          <w:sz w:val="28"/>
          <w:highlight w:val="none"/>
        </w:rPr>
        <w:t>十、其他</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39、采购代理服务费</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39.1  不论投标结果如何，</w:t>
      </w:r>
      <w:r>
        <w:rPr>
          <w:rFonts w:hint="eastAsia" w:ascii="宋体" w:hAnsi="宋体" w:cs="宋体"/>
          <w:highlight w:val="none"/>
          <w:lang w:eastAsia="zh-CN"/>
        </w:rPr>
        <w:t>投标供应商</w:t>
      </w:r>
      <w:r>
        <w:rPr>
          <w:rFonts w:hint="eastAsia" w:ascii="宋体" w:hAnsi="宋体" w:eastAsia="宋体" w:cs="宋体"/>
          <w:highlight w:val="none"/>
        </w:rPr>
        <w:t>应承担其参加本招标活动自身所发生的全部费用。</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39.2  中标人应向采购代理机构交纳采购代理服务费。此服务费应计入投标报价中，但不需要单独开列。</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39.3  采购代理服务费的交纳方式：中标人在领取《中标通知书》前，须向采购代理机构交纳采购代理服务费，采用</w:t>
      </w:r>
      <w:r>
        <w:rPr>
          <w:rFonts w:hint="eastAsia" w:ascii="宋体" w:hAnsi="宋体" w:eastAsia="宋体" w:cs="宋体"/>
          <w:highlight w:val="none"/>
          <w:lang w:val="zh-CN"/>
        </w:rPr>
        <w:t>现金、银行</w:t>
      </w:r>
      <w:r>
        <w:rPr>
          <w:rFonts w:hint="eastAsia" w:ascii="宋体" w:hAnsi="宋体" w:cs="宋体"/>
          <w:highlight w:val="none"/>
          <w:lang w:val="en-US" w:eastAsia="zh-CN"/>
        </w:rPr>
        <w:t>转账</w:t>
      </w:r>
      <w:r>
        <w:rPr>
          <w:rFonts w:hint="eastAsia" w:ascii="宋体" w:hAnsi="宋体" w:eastAsia="宋体" w:cs="宋体"/>
          <w:highlight w:val="none"/>
          <w:lang w:val="zh-CN"/>
        </w:rPr>
        <w:t>、电汇、网银等</w:t>
      </w:r>
      <w:r>
        <w:rPr>
          <w:rFonts w:hint="eastAsia" w:ascii="宋体" w:hAnsi="宋体" w:eastAsia="宋体" w:cs="宋体"/>
          <w:highlight w:val="none"/>
        </w:rPr>
        <w:t>方式一次性交纳。</w:t>
      </w:r>
    </w:p>
    <w:p>
      <w:pPr>
        <w:keepLines w:val="0"/>
        <w:pageBreakBefore w:val="0"/>
        <w:widowControl w:val="0"/>
        <w:kinsoku/>
        <w:wordWrap/>
        <w:overflowPunct/>
        <w:topLinePunct w:val="0"/>
        <w:autoSpaceDE w:val="0"/>
        <w:autoSpaceDN w:val="0"/>
        <w:bidi w:val="0"/>
        <w:adjustRightInd w:val="0"/>
        <w:snapToGrid/>
        <w:spacing w:line="500" w:lineRule="exact"/>
        <w:ind w:right="6" w:firstLine="420"/>
        <w:textAlignment w:val="auto"/>
        <w:rPr>
          <w:rFonts w:hint="eastAsia" w:ascii="宋体" w:hAnsi="宋体" w:eastAsia="宋体" w:cs="宋体"/>
          <w:color w:val="000000"/>
          <w:szCs w:val="21"/>
          <w:highlight w:val="none"/>
        </w:rPr>
      </w:pPr>
      <w:r>
        <w:rPr>
          <w:rFonts w:hint="eastAsia" w:ascii="宋体" w:hAnsi="宋体" w:eastAsia="宋体" w:cs="宋体"/>
          <w:highlight w:val="none"/>
        </w:rPr>
        <w:t xml:space="preserve">39.4  </w:t>
      </w:r>
      <w:r>
        <w:rPr>
          <w:rFonts w:hint="eastAsia" w:ascii="宋体" w:hAnsi="宋体" w:eastAsia="宋体" w:cs="宋体"/>
          <w:szCs w:val="21"/>
          <w:highlight w:val="none"/>
        </w:rPr>
        <w:t>服务费参照《国家计委关于印发&lt;招标代理服务收费管理暂行办法&gt;的通知》（计价格[2002]1980号）规定标准</w:t>
      </w:r>
      <w:r>
        <w:rPr>
          <w:rFonts w:hint="eastAsia" w:ascii="宋体" w:hAnsi="宋体" w:eastAsia="宋体" w:cs="宋体"/>
          <w:color w:val="000000"/>
          <w:szCs w:val="21"/>
          <w:highlight w:val="none"/>
        </w:rPr>
        <w:t>和（发改办价格[2003]857号）</w:t>
      </w:r>
      <w:r>
        <w:rPr>
          <w:rFonts w:hint="eastAsia" w:ascii="宋体" w:hAnsi="宋体" w:eastAsia="宋体" w:cs="宋体"/>
          <w:szCs w:val="21"/>
          <w:highlight w:val="none"/>
        </w:rPr>
        <w:t>，中标服务费由</w:t>
      </w:r>
      <w:r>
        <w:rPr>
          <w:rFonts w:hint="eastAsia" w:ascii="宋体" w:hAnsi="宋体" w:eastAsia="宋体" w:cs="宋体"/>
          <w:szCs w:val="21"/>
          <w:highlight w:val="none"/>
          <w:lang w:eastAsia="zh-CN"/>
        </w:rPr>
        <w:t>中标人</w:t>
      </w:r>
      <w:r>
        <w:rPr>
          <w:rFonts w:hint="eastAsia" w:ascii="宋体" w:hAnsi="宋体" w:eastAsia="宋体" w:cs="宋体"/>
          <w:szCs w:val="21"/>
          <w:highlight w:val="none"/>
        </w:rPr>
        <w:t>向采购代理机构支付。</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40、重新招标或者变更采购方式</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highlight w:val="none"/>
        </w:rPr>
      </w:pPr>
      <w:r>
        <w:rPr>
          <w:rFonts w:hint="eastAsia" w:ascii="宋体" w:hAnsi="宋体" w:eastAsia="宋体" w:cs="宋体"/>
          <w:highlight w:val="none"/>
        </w:rPr>
        <w:t xml:space="preserve">    40.1  投标截止时间结束后，参加投标的</w:t>
      </w:r>
      <w:r>
        <w:rPr>
          <w:rFonts w:hint="eastAsia" w:ascii="宋体" w:hAnsi="宋体" w:cs="宋体"/>
          <w:highlight w:val="none"/>
          <w:lang w:eastAsia="zh-CN"/>
        </w:rPr>
        <w:t>投标供应商</w:t>
      </w:r>
      <w:r>
        <w:rPr>
          <w:rFonts w:hint="eastAsia" w:ascii="宋体" w:hAnsi="宋体" w:eastAsia="宋体" w:cs="宋体"/>
          <w:highlight w:val="none"/>
        </w:rPr>
        <w:t>不足三家或在评标期间，出现符合专业条件的</w:t>
      </w:r>
      <w:r>
        <w:rPr>
          <w:rFonts w:hint="eastAsia" w:ascii="宋体" w:hAnsi="宋体" w:cs="宋体"/>
          <w:highlight w:val="none"/>
          <w:lang w:eastAsia="zh-CN"/>
        </w:rPr>
        <w:t>投标供应商</w:t>
      </w:r>
      <w:r>
        <w:rPr>
          <w:rFonts w:hint="eastAsia" w:ascii="宋体" w:hAnsi="宋体" w:eastAsia="宋体" w:cs="宋体"/>
          <w:highlight w:val="none"/>
        </w:rPr>
        <w:t>不足三家或对</w:t>
      </w:r>
      <w:r>
        <w:rPr>
          <w:rFonts w:hint="eastAsia" w:ascii="宋体" w:hAnsi="宋体" w:eastAsia="宋体" w:cs="宋体"/>
          <w:highlight w:val="none"/>
          <w:lang w:eastAsia="zh-CN"/>
        </w:rPr>
        <w:t>招标文件</w:t>
      </w:r>
      <w:r>
        <w:rPr>
          <w:rFonts w:hint="eastAsia" w:ascii="宋体" w:hAnsi="宋体" w:eastAsia="宋体" w:cs="宋体"/>
          <w:highlight w:val="none"/>
        </w:rPr>
        <w:t>实质响应的</w:t>
      </w:r>
      <w:r>
        <w:rPr>
          <w:rFonts w:hint="eastAsia" w:ascii="宋体" w:hAnsi="宋体" w:cs="宋体"/>
          <w:highlight w:val="none"/>
          <w:lang w:eastAsia="zh-CN"/>
        </w:rPr>
        <w:t>投标供应商</w:t>
      </w:r>
      <w:r>
        <w:rPr>
          <w:rFonts w:hint="eastAsia" w:ascii="宋体" w:hAnsi="宋体" w:eastAsia="宋体" w:cs="宋体"/>
          <w:highlight w:val="none"/>
        </w:rPr>
        <w:t>不足三家，按《政府采购货物和服务招标投标管理办法》（第87号令）第四十三条规定的相关原则处理。</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sz w:val="36"/>
          <w:szCs w:val="36"/>
          <w:highlight w:val="none"/>
        </w:rPr>
      </w:pPr>
      <w:r>
        <w:rPr>
          <w:rFonts w:hint="eastAsia" w:ascii="宋体" w:hAnsi="宋体" w:eastAsia="宋体" w:cs="宋体"/>
          <w:highlight w:val="none"/>
        </w:rPr>
        <w:t xml:space="preserve">    40.2  </w:t>
      </w:r>
      <w:r>
        <w:rPr>
          <w:rFonts w:hint="eastAsia" w:ascii="宋体" w:hAnsi="宋体" w:cs="宋体"/>
          <w:highlight w:val="none"/>
          <w:lang w:eastAsia="zh-CN"/>
        </w:rPr>
        <w:t>投标供应商</w:t>
      </w:r>
      <w:r>
        <w:rPr>
          <w:rFonts w:hint="eastAsia" w:ascii="宋体" w:hAnsi="宋体" w:eastAsia="宋体" w:cs="宋体"/>
          <w:highlight w:val="none"/>
        </w:rPr>
        <w:t>的投标报价超过财政限额，根据“政府采购法”的有关规定，报监督机构批准，进行重新招标。</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 xml:space="preserve">41、质疑和投诉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41.1质疑</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认为</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 xml:space="preserve">、采购过程和中标、成交结果使自己的权益受到损害的，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可以在知道或者应知其权益受到损害之日起七个工作日内，以书面形式向采购人提出质疑。采购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人委托采购代理机构采购的，</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可以向采购代理机构提出询问或者质疑。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质疑函接收人：</w:t>
      </w:r>
      <w:r>
        <w:rPr>
          <w:rFonts w:hint="eastAsia" w:ascii="宋体" w:hAnsi="宋体" w:eastAsia="宋体" w:cs="宋体"/>
          <w:color w:val="000000"/>
          <w:highlight w:val="none"/>
          <w:lang w:eastAsia="zh-CN"/>
        </w:rPr>
        <w:t>杨玲</w:t>
      </w:r>
      <w:r>
        <w:rPr>
          <w:rFonts w:hint="eastAsia" w:ascii="宋体" w:hAnsi="宋体" w:eastAsia="宋体" w:cs="宋体"/>
          <w:color w:val="000000"/>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电话：</w:t>
      </w:r>
      <w:r>
        <w:rPr>
          <w:rFonts w:hint="eastAsia" w:ascii="宋体" w:hAnsi="宋体" w:eastAsia="宋体" w:cs="宋体"/>
          <w:color w:val="000000"/>
          <w:highlight w:val="none"/>
          <w:lang w:eastAsia="zh-CN"/>
        </w:rPr>
        <w:t>029-89609851</w:t>
      </w:r>
      <w:r>
        <w:rPr>
          <w:rFonts w:hint="eastAsia" w:ascii="宋体" w:hAnsi="宋体" w:eastAsia="宋体" w:cs="宋体"/>
          <w:color w:val="000000"/>
          <w:highlight w:val="none"/>
        </w:rPr>
        <w:t xml:space="preserve">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rPr>
        <w:t>地址：</w:t>
      </w:r>
      <w:r>
        <w:rPr>
          <w:rFonts w:hint="eastAsia" w:ascii="宋体" w:hAnsi="宋体" w:eastAsia="宋体" w:cs="宋体"/>
          <w:color w:val="000000"/>
          <w:highlight w:val="none"/>
          <w:lang w:eastAsia="zh-CN"/>
        </w:rPr>
        <w:t>陕西省西安市文景路中段150号文景广场C座22楼</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采购人或者采购代理机构应当在 3 个工作日内对</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依法提出的询问作出答复。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应知其权益受到损害之日，是指：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（1）对可以质疑的</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提出质疑的，为收到</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之日或者</w:t>
      </w:r>
      <w:r>
        <w:rPr>
          <w:rFonts w:hint="eastAsia" w:ascii="宋体" w:hAnsi="宋体" w:eastAsia="宋体" w:cs="宋体"/>
          <w:color w:val="000000"/>
          <w:highlight w:val="none"/>
          <w:lang w:eastAsia="zh-CN"/>
        </w:rPr>
        <w:t>招标文件</w:t>
      </w:r>
      <w:r>
        <w:rPr>
          <w:rFonts w:hint="eastAsia" w:ascii="宋体" w:hAnsi="宋体" w:eastAsia="宋体" w:cs="宋体"/>
          <w:color w:val="000000"/>
          <w:highlight w:val="none"/>
        </w:rPr>
        <w:t>公告期限届满之日；</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（2）对采购过程提出质疑的，为各采购程序环节结束之日；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（3）对中标或者成交结果提出质疑的，为中标或者成交结果公告期限届满之日。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41.2 投诉。质疑</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 xml:space="preserve">对采购人、采购代理机构的答复不满意或者采购人、采购代理机构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未在规定的时间内作出答复的，可以在答复期满后十五个工作日内向同级政府采购监督管理部门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投诉。政府采购监督管理部门应当在收到投诉后三十个工作日内，对投诉事项作出处理决定，并 </w:t>
      </w:r>
    </w:p>
    <w:p>
      <w:pPr>
        <w:keepLines w:val="0"/>
        <w:pageBreakBefore w:val="0"/>
        <w:widowControl w:val="0"/>
        <w:kinsoku/>
        <w:wordWrap/>
        <w:overflowPunct/>
        <w:topLinePunct w:val="0"/>
        <w:autoSpaceDE w:val="0"/>
        <w:autoSpaceDN w:val="0"/>
        <w:bidi w:val="0"/>
        <w:adjustRightInd w:val="0"/>
        <w:snapToGrid/>
        <w:spacing w:line="500" w:lineRule="exact"/>
        <w:ind w:right="6"/>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以书面形式通知投诉人和与投诉事项有关的当事人。 </w:t>
      </w:r>
    </w:p>
    <w:p>
      <w:pPr>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41.3 </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质疑、投诉应当有明确的请求和必要的证明材料。</w:t>
      </w:r>
      <w:r>
        <w:rPr>
          <w:rFonts w:hint="eastAsia" w:ascii="宋体" w:hAnsi="宋体" w:cs="宋体"/>
          <w:color w:val="000000"/>
          <w:highlight w:val="none"/>
          <w:lang w:eastAsia="zh-CN"/>
        </w:rPr>
        <w:t>投标供应商</w:t>
      </w:r>
      <w:r>
        <w:rPr>
          <w:rFonts w:hint="eastAsia" w:ascii="宋体" w:hAnsi="宋体" w:eastAsia="宋体" w:cs="宋体"/>
          <w:color w:val="000000"/>
          <w:highlight w:val="none"/>
        </w:rPr>
        <w:t>投诉的事项不得超出已质疑事项的范围。</w:t>
      </w: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20"/>
        <w:rPr>
          <w:rFonts w:hint="eastAsia" w:ascii="宋体" w:hAnsi="宋体" w:eastAsia="宋体" w:cs="宋体"/>
          <w:color w:val="000000"/>
          <w:highlight w:val="none"/>
        </w:rPr>
      </w:pPr>
    </w:p>
    <w:p>
      <w:pPr>
        <w:pStyle w:val="3"/>
        <w:numPr>
          <w:ilvl w:val="0"/>
          <w:numId w:val="0"/>
        </w:numPr>
        <w:rPr>
          <w:rFonts w:hint="eastAsia" w:ascii="宋体" w:hAnsi="宋体" w:eastAsia="宋体" w:cs="宋体"/>
          <w:b/>
          <w:bCs/>
          <w:sz w:val="36"/>
          <w:szCs w:val="36"/>
          <w:highlight w:val="none"/>
        </w:rPr>
      </w:pPr>
      <w:bookmarkStart w:id="16" w:name="_Toc22431"/>
      <w:r>
        <w:rPr>
          <w:rFonts w:hint="eastAsia" w:ascii="宋体" w:hAnsi="宋体" w:eastAsia="宋体" w:cs="宋体"/>
          <w:b/>
          <w:bCs/>
          <w:sz w:val="36"/>
          <w:szCs w:val="36"/>
          <w:highlight w:val="none"/>
        </w:rPr>
        <w:t>第三章  评标办法</w:t>
      </w:r>
      <w:bookmarkEnd w:id="16"/>
    </w:p>
    <w:p>
      <w:pPr>
        <w:spacing w:line="500" w:lineRule="exact"/>
        <w:ind w:firstLine="420"/>
        <w:rPr>
          <w:rFonts w:hint="eastAsia" w:ascii="宋体" w:hAnsi="宋体" w:cs="宋体"/>
          <w:szCs w:val="21"/>
          <w:highlight w:val="none"/>
        </w:rPr>
      </w:pPr>
      <w:bookmarkStart w:id="17" w:name="_Toc222740127"/>
      <w:r>
        <w:rPr>
          <w:rFonts w:hint="eastAsia" w:ascii="宋体" w:hAnsi="宋体" w:cs="宋体"/>
          <w:szCs w:val="21"/>
          <w:highlight w:val="none"/>
        </w:rPr>
        <w:t>根据《中华人民共和国政府采购法》、中华人民共和国2015年第658号国务院令--《中华人民共和国政府采购法实施条例》和中华人民共和国财政部2017年第87号令--《政府采购货物和服务招标投标管理办法》的规定，结合采购项目特点制定本评标办法。</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1、评标程序</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1.1  本采购项目评标按照下列工作程序进行：</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1.1.1 投标文件初审；</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1.1.2 澄清有关问题；</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1.1.3 比较与评价；</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1.1.4 推荐中标人名单；</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1.1.5 编写评标报告。</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1.2  投标文件的初审</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初审分为资格性检查和符合性检查。分别按照以下内容对投标文件进行检查，一项不合格即按照无效投标处理。</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1.2.1 投标文件的资格性审查：按照本章附件一资格审查内容；</w:t>
      </w:r>
    </w:p>
    <w:p>
      <w:pPr>
        <w:spacing w:line="500" w:lineRule="exact"/>
        <w:rPr>
          <w:rFonts w:hint="eastAsia" w:ascii="宋体" w:hAnsi="宋体" w:cs="宋体"/>
          <w:color w:val="FF0000"/>
          <w:szCs w:val="21"/>
          <w:highlight w:val="none"/>
        </w:rPr>
      </w:pPr>
      <w:r>
        <w:rPr>
          <w:rFonts w:hint="eastAsia" w:ascii="宋体" w:hAnsi="宋体" w:cs="宋体"/>
          <w:szCs w:val="21"/>
          <w:highlight w:val="none"/>
        </w:rPr>
        <w:t xml:space="preserve">    1.2.2 投标文件的符合性审查：按照本章附件二符合审查内容；</w:t>
      </w:r>
      <w:r>
        <w:rPr>
          <w:rFonts w:hint="eastAsia" w:ascii="宋体" w:hAnsi="宋体" w:cs="宋体"/>
          <w:color w:val="FF0000"/>
          <w:szCs w:val="21"/>
          <w:highlight w:val="none"/>
        </w:rPr>
        <w:t xml:space="preserve">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1.2.2.1 投标文件的有效性审查。</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（1）投标文件的签署、加盖印章是否合格、有效；提供的各种证明文件、数据、资料是否真实、有效；</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（2）是否提交了合格有效的本次采购特别要求的服务合格性证明文件。</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1.2.2.2 投标文件的实质响应性审查。</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（1）投标有效期是否符合</w:t>
      </w:r>
      <w:r>
        <w:rPr>
          <w:rFonts w:hint="eastAsia" w:ascii="宋体" w:hAnsi="宋体" w:cs="宋体"/>
          <w:szCs w:val="21"/>
          <w:highlight w:val="none"/>
          <w:lang w:eastAsia="zh-CN"/>
        </w:rPr>
        <w:t>招标文件</w:t>
      </w:r>
      <w:r>
        <w:rPr>
          <w:rFonts w:hint="eastAsia" w:ascii="宋体" w:hAnsi="宋体" w:cs="宋体"/>
          <w:szCs w:val="21"/>
          <w:highlight w:val="none"/>
        </w:rPr>
        <w:t>的要求；</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（2）投标文件响应内容是否符合国家法律法规，是否实质性响应了</w:t>
      </w:r>
      <w:r>
        <w:rPr>
          <w:rFonts w:hint="eastAsia" w:ascii="宋体" w:hAnsi="宋体" w:cs="宋体"/>
          <w:szCs w:val="21"/>
          <w:highlight w:val="none"/>
          <w:lang w:eastAsia="zh-CN"/>
        </w:rPr>
        <w:t>招标文件</w:t>
      </w:r>
      <w:r>
        <w:rPr>
          <w:rFonts w:hint="eastAsia" w:ascii="宋体" w:hAnsi="宋体" w:cs="宋体"/>
          <w:szCs w:val="21"/>
          <w:highlight w:val="none"/>
        </w:rPr>
        <w:t>要求的全部条款、条件和规格要求，并且提供了支持文件，没有重大偏离。对于重大偏离，在开标后不得澄清、纠正及补充；</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（3）付款条件和</w:t>
      </w:r>
      <w:r>
        <w:rPr>
          <w:rFonts w:hint="eastAsia" w:ascii="宋体" w:hAnsi="宋体" w:cs="宋体"/>
          <w:szCs w:val="21"/>
          <w:highlight w:val="none"/>
          <w:lang w:val="en-US" w:eastAsia="zh-CN"/>
        </w:rPr>
        <w:t>服务期限</w:t>
      </w:r>
      <w:r>
        <w:rPr>
          <w:rFonts w:hint="eastAsia" w:ascii="宋体" w:hAnsi="宋体" w:cs="宋体"/>
          <w:szCs w:val="21"/>
          <w:highlight w:val="none"/>
        </w:rPr>
        <w:t>是否满足要求，对</w:t>
      </w:r>
      <w:r>
        <w:rPr>
          <w:rFonts w:hint="eastAsia" w:ascii="宋体" w:hAnsi="宋体" w:cs="宋体"/>
          <w:szCs w:val="21"/>
          <w:highlight w:val="none"/>
          <w:lang w:eastAsia="zh-CN"/>
        </w:rPr>
        <w:t>招标文件</w:t>
      </w:r>
      <w:r>
        <w:rPr>
          <w:rFonts w:hint="eastAsia" w:ascii="宋体" w:hAnsi="宋体" w:cs="宋体"/>
          <w:szCs w:val="21"/>
          <w:highlight w:val="none"/>
        </w:rPr>
        <w:t>中规定的双方的权利和义务是否做出了实质性响应。</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1.2.3 经过对</w:t>
      </w:r>
      <w:r>
        <w:rPr>
          <w:rFonts w:hint="eastAsia" w:ascii="宋体" w:hAnsi="宋体" w:cs="宋体"/>
          <w:szCs w:val="21"/>
          <w:highlight w:val="none"/>
          <w:lang w:eastAsia="zh-CN"/>
        </w:rPr>
        <w:t>投标供应商</w:t>
      </w:r>
      <w:r>
        <w:rPr>
          <w:rFonts w:hint="eastAsia" w:ascii="宋体" w:hAnsi="宋体" w:cs="宋体"/>
          <w:szCs w:val="21"/>
          <w:highlight w:val="none"/>
        </w:rPr>
        <w:t>及投标文件的资格性和符合性审查，出现下列情况者（但不限于），按无效投标处理。</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投标供应商</w:t>
      </w:r>
      <w:r>
        <w:rPr>
          <w:rFonts w:hint="eastAsia" w:ascii="宋体" w:hAnsi="宋体" w:cs="宋体"/>
          <w:szCs w:val="21"/>
          <w:highlight w:val="none"/>
        </w:rPr>
        <w:t>未经过正常渠道</w:t>
      </w:r>
      <w:r>
        <w:rPr>
          <w:rFonts w:hint="eastAsia" w:ascii="宋体" w:hAnsi="宋体" w:cs="宋体"/>
          <w:szCs w:val="21"/>
          <w:highlight w:val="none"/>
          <w:lang w:val="en-US" w:eastAsia="zh-CN"/>
        </w:rPr>
        <w:t>获取</w:t>
      </w:r>
      <w:r>
        <w:rPr>
          <w:rFonts w:hint="eastAsia" w:ascii="宋体" w:hAnsi="宋体" w:cs="宋体"/>
          <w:szCs w:val="21"/>
          <w:highlight w:val="none"/>
          <w:lang w:eastAsia="zh-CN"/>
        </w:rPr>
        <w:t>招标文件</w:t>
      </w:r>
      <w:r>
        <w:rPr>
          <w:rFonts w:hint="eastAsia" w:ascii="宋体" w:hAnsi="宋体" w:cs="宋体"/>
          <w:szCs w:val="21"/>
          <w:highlight w:val="none"/>
        </w:rPr>
        <w:t>或</w:t>
      </w:r>
      <w:r>
        <w:rPr>
          <w:rFonts w:hint="eastAsia" w:ascii="宋体" w:hAnsi="宋体" w:cs="宋体"/>
          <w:szCs w:val="21"/>
          <w:highlight w:val="none"/>
          <w:lang w:eastAsia="zh-CN"/>
        </w:rPr>
        <w:t>投标供应商</w:t>
      </w:r>
      <w:r>
        <w:rPr>
          <w:rFonts w:hint="eastAsia" w:ascii="宋体" w:hAnsi="宋体" w:cs="宋体"/>
          <w:szCs w:val="21"/>
          <w:highlight w:val="none"/>
        </w:rPr>
        <w:t>的名称与登记</w:t>
      </w:r>
      <w:r>
        <w:rPr>
          <w:rFonts w:hint="eastAsia" w:ascii="宋体" w:hAnsi="宋体" w:cs="宋体"/>
          <w:szCs w:val="21"/>
          <w:highlight w:val="none"/>
          <w:lang w:val="en-US" w:eastAsia="zh-CN"/>
        </w:rPr>
        <w:t>获取</w:t>
      </w:r>
      <w:r>
        <w:rPr>
          <w:rFonts w:hint="eastAsia" w:ascii="宋体" w:hAnsi="宋体" w:cs="宋体"/>
          <w:szCs w:val="21"/>
          <w:highlight w:val="none"/>
          <w:lang w:eastAsia="zh-CN"/>
        </w:rPr>
        <w:t>招标文件</w:t>
      </w:r>
      <w:r>
        <w:rPr>
          <w:rFonts w:hint="eastAsia" w:ascii="宋体" w:hAnsi="宋体" w:cs="宋体"/>
          <w:szCs w:val="21"/>
          <w:highlight w:val="none"/>
        </w:rPr>
        <w:t>单位的名称不符；</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（2）投标文件中未提交法定代表人授权书（法定代表人直接投标未按要求提交其有效身份证）或授权书的合法性或有效性不符合</w:t>
      </w:r>
      <w:r>
        <w:rPr>
          <w:rFonts w:hint="eastAsia" w:ascii="宋体" w:hAnsi="宋体" w:cs="宋体"/>
          <w:szCs w:val="21"/>
          <w:highlight w:val="none"/>
          <w:lang w:eastAsia="zh-CN"/>
        </w:rPr>
        <w:t>招标文件</w:t>
      </w:r>
      <w:r>
        <w:rPr>
          <w:rFonts w:hint="eastAsia" w:ascii="宋体" w:hAnsi="宋体" w:cs="宋体"/>
          <w:szCs w:val="21"/>
          <w:highlight w:val="none"/>
        </w:rPr>
        <w:t>规定。授权代表本单位证明的有效性或符合性不符合要求的；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投标供应商</w:t>
      </w:r>
      <w:r>
        <w:rPr>
          <w:rFonts w:hint="eastAsia" w:ascii="宋体" w:hAnsi="宋体" w:cs="宋体"/>
          <w:szCs w:val="21"/>
          <w:highlight w:val="none"/>
        </w:rPr>
        <w:t>资质的有效性或符合性不符合要求的；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）投标文件的格式不符合</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要求、关键内容字迹模糊、无法辨认的；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）投标文件未按</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规定有效签字和盖章，或由</w:t>
      </w:r>
      <w:r>
        <w:rPr>
          <w:rFonts w:hint="eastAsia" w:ascii="宋体" w:hAnsi="宋体" w:cs="宋体"/>
          <w:szCs w:val="21"/>
          <w:highlight w:val="none"/>
          <w:lang w:eastAsia="zh-CN"/>
        </w:rPr>
        <w:t>投标供应商</w:t>
      </w:r>
      <w:r>
        <w:rPr>
          <w:rFonts w:hint="eastAsia" w:ascii="宋体" w:hAnsi="宋体" w:eastAsia="宋体" w:cs="宋体"/>
          <w:szCs w:val="21"/>
          <w:highlight w:val="none"/>
        </w:rPr>
        <w:t>委托代理人签字的，但未随投标文件一起提交有效的“授权委托书”原件的；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）无投标有效期或有效期达不到</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）无投标技术方案或投标技术方案不符合要求；</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）投标截止时间内未上传电子投标文件的；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）电子化投标文件，因自身原因导致无法读取或解密失败的；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针对同一项目递交两份或多份内容不同的投标文件，未书面声明哪一份是有效的；出现选择性报价的；投标报价超出采购预算；</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的必备资格证明文件不全、无效或达不到招标文件规定要求的；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）投标内容的技术要求达不到招标文件要求，出现负偏离、少报、漏报、降低服务质量的；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）未按招标文件指定格式填写“开标一览表”或“分项报价表”，或出现漏项或投标服务内容与招标文件要求不符(数量不足)；</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拒不按照要求对投标文件进行澄清、说明或者补正的，评标委员会可以否决其投标。</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）投标文件的合同主要条款响应与</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要求不一致（</w:t>
      </w:r>
      <w:r>
        <w:rPr>
          <w:rFonts w:hint="eastAsia" w:ascii="宋体" w:hAnsi="宋体" w:eastAsia="宋体" w:cs="宋体"/>
          <w:szCs w:val="21"/>
          <w:highlight w:val="none"/>
          <w:lang w:val="en-US" w:eastAsia="zh-CN"/>
        </w:rPr>
        <w:t>服务期限</w:t>
      </w:r>
      <w:r>
        <w:rPr>
          <w:rFonts w:hint="eastAsia" w:ascii="宋体" w:hAnsi="宋体" w:eastAsia="宋体" w:cs="宋体"/>
          <w:szCs w:val="21"/>
          <w:highlight w:val="none"/>
        </w:rPr>
        <w:t>、付款、验收、售后服务等项），附加了采购人难以接受的条件；</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）提供虚假证明，开具虚假资质，出现虚假应答，除按无效标处理外，还进行相应的处罚；</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cs="宋体"/>
          <w:szCs w:val="21"/>
          <w:highlight w:val="none"/>
          <w:lang w:eastAsia="zh-CN"/>
        </w:rPr>
        <w:t>投标供应商</w:t>
      </w:r>
      <w:r>
        <w:rPr>
          <w:rFonts w:hint="eastAsia" w:ascii="宋体" w:hAnsi="宋体" w:eastAsia="宋体" w:cs="宋体"/>
          <w:szCs w:val="21"/>
          <w:highlight w:val="none"/>
        </w:rPr>
        <w:t>在境内参与政府采购活动中有违法违规行为的；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18</w:t>
      </w:r>
      <w:r>
        <w:rPr>
          <w:rFonts w:hint="eastAsia" w:ascii="宋体" w:hAnsi="宋体" w:eastAsia="宋体" w:cs="宋体"/>
          <w:szCs w:val="21"/>
          <w:highlight w:val="none"/>
        </w:rPr>
        <w:t>）投标报价超出采购预算的；</w:t>
      </w:r>
    </w:p>
    <w:p>
      <w:pPr>
        <w:spacing w:line="5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）其他法律法规规定的情况。</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1.2.4 在投标文件初审过程中，如果出现评标委员会成员意见不一致的情况，按照少数服从多数的原则确定。</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1.3  投标文件的澄清</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对于投标文件中的非重大偏离，如果出现含义不明确、同类问题表述不一致或者有明显文字和计算错误的内容，评标委员会可以书面形式（由评标委员会专家签字）要求</w:t>
      </w:r>
      <w:r>
        <w:rPr>
          <w:rFonts w:hint="eastAsia" w:ascii="宋体" w:hAnsi="宋体" w:cs="宋体"/>
          <w:szCs w:val="21"/>
          <w:highlight w:val="none"/>
          <w:lang w:eastAsia="zh-CN"/>
        </w:rPr>
        <w:t>投标供应商</w:t>
      </w:r>
      <w:r>
        <w:rPr>
          <w:rFonts w:hint="eastAsia" w:ascii="宋体" w:hAnsi="宋体" w:cs="宋体"/>
          <w:szCs w:val="21"/>
          <w:highlight w:val="none"/>
        </w:rPr>
        <w:t>作出必要的澄清、说明或者纠正。</w:t>
      </w:r>
      <w:r>
        <w:rPr>
          <w:rFonts w:hint="eastAsia" w:ascii="宋体" w:hAnsi="宋体" w:cs="宋体"/>
          <w:szCs w:val="21"/>
          <w:highlight w:val="none"/>
          <w:lang w:eastAsia="zh-CN"/>
        </w:rPr>
        <w:t>投标供应商</w:t>
      </w:r>
      <w:r>
        <w:rPr>
          <w:rFonts w:hint="eastAsia" w:ascii="宋体" w:hAnsi="宋体" w:cs="宋体"/>
          <w:szCs w:val="21"/>
          <w:highlight w:val="none"/>
        </w:rPr>
        <w:t>的澄清、说明或者补正应当采用书面形式，由其授权的投标代表签字，并不得超出投标文件的范围或者改变投标文件的实质性内容。</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1.4  投标文件的比较和评价</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1.4.1 评委会应按照</w:t>
      </w:r>
      <w:r>
        <w:rPr>
          <w:rFonts w:hint="eastAsia" w:ascii="宋体" w:hAnsi="宋体" w:cs="宋体"/>
          <w:szCs w:val="21"/>
          <w:highlight w:val="none"/>
          <w:lang w:eastAsia="zh-CN"/>
        </w:rPr>
        <w:t>招标文件</w:t>
      </w:r>
      <w:r>
        <w:rPr>
          <w:rFonts w:hint="eastAsia" w:ascii="宋体" w:hAnsi="宋体" w:cs="宋体"/>
          <w:szCs w:val="21"/>
          <w:highlight w:val="none"/>
        </w:rPr>
        <w:t>中规定的评标方法和标准，对资格性检查和符合性检查合格的投标文件进行商务和技术评估，综合比较与评价。最低报价不做为中标的唯一条件。</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1.4.2 如果投标文件没有实质性响应</w:t>
      </w:r>
      <w:r>
        <w:rPr>
          <w:rFonts w:hint="eastAsia" w:ascii="宋体" w:hAnsi="宋体" w:cs="宋体"/>
          <w:szCs w:val="21"/>
          <w:highlight w:val="none"/>
          <w:lang w:eastAsia="zh-CN"/>
        </w:rPr>
        <w:t>招标文件</w:t>
      </w:r>
      <w:r>
        <w:rPr>
          <w:rFonts w:hint="eastAsia" w:ascii="宋体" w:hAnsi="宋体" w:cs="宋体"/>
          <w:szCs w:val="21"/>
          <w:highlight w:val="none"/>
        </w:rPr>
        <w:t>的要求，评委会将予以拒绝。</w:t>
      </w:r>
      <w:r>
        <w:rPr>
          <w:rFonts w:hint="eastAsia" w:ascii="宋体" w:hAnsi="宋体" w:cs="宋体"/>
          <w:szCs w:val="21"/>
          <w:highlight w:val="none"/>
          <w:lang w:eastAsia="zh-CN"/>
        </w:rPr>
        <w:t>投标供应商</w:t>
      </w:r>
      <w:r>
        <w:rPr>
          <w:rFonts w:hint="eastAsia" w:ascii="宋体" w:hAnsi="宋体" w:cs="宋体"/>
          <w:szCs w:val="21"/>
          <w:highlight w:val="none"/>
        </w:rPr>
        <w:t>不得通过修正或撤消不合要求的偏离或保留，从而使其投标成为实质性响应的投标。</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1.4.3 评标程序：采取逐项分步评审方式，每一步评审不符合者，不进入下一步评审，全部评审合格的</w:t>
      </w:r>
      <w:r>
        <w:rPr>
          <w:rFonts w:hint="eastAsia" w:ascii="宋体" w:hAnsi="宋体" w:cs="宋体"/>
          <w:szCs w:val="21"/>
          <w:highlight w:val="none"/>
          <w:lang w:eastAsia="zh-CN"/>
        </w:rPr>
        <w:t>投标供应商</w:t>
      </w:r>
      <w:r>
        <w:rPr>
          <w:rFonts w:hint="eastAsia" w:ascii="宋体" w:hAnsi="宋体" w:cs="宋体"/>
          <w:szCs w:val="21"/>
          <w:highlight w:val="none"/>
        </w:rPr>
        <w:t>进行最后的综合评审和打分，按最后得分由高向低排序，推荐中标候选单位。</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2、评标办法</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2.1  综合评分法</w:t>
      </w:r>
    </w:p>
    <w:p>
      <w:pPr>
        <w:spacing w:line="500" w:lineRule="exact"/>
        <w:ind w:firstLine="420"/>
        <w:rPr>
          <w:rFonts w:hint="eastAsia" w:ascii="宋体" w:hAnsi="宋体" w:cs="宋体"/>
          <w:szCs w:val="21"/>
          <w:highlight w:val="none"/>
        </w:rPr>
      </w:pPr>
      <w:r>
        <w:rPr>
          <w:rFonts w:hint="eastAsia" w:ascii="宋体" w:hAnsi="宋体" w:cs="宋体"/>
          <w:szCs w:val="21"/>
          <w:highlight w:val="none"/>
        </w:rPr>
        <w:t>本次评标采用综合评分法。即在最大限度地满足</w:t>
      </w:r>
      <w:r>
        <w:rPr>
          <w:rFonts w:hint="eastAsia" w:ascii="宋体" w:hAnsi="宋体" w:cs="宋体"/>
          <w:szCs w:val="21"/>
          <w:highlight w:val="none"/>
          <w:lang w:eastAsia="zh-CN"/>
        </w:rPr>
        <w:t>招标文件</w:t>
      </w:r>
      <w:r>
        <w:rPr>
          <w:rFonts w:hint="eastAsia" w:ascii="宋体" w:hAnsi="宋体" w:cs="宋体"/>
          <w:szCs w:val="21"/>
          <w:highlight w:val="none"/>
        </w:rPr>
        <w:t>实质性要求前提下，按照</w:t>
      </w:r>
      <w:r>
        <w:rPr>
          <w:rFonts w:hint="eastAsia" w:ascii="宋体" w:hAnsi="宋体" w:cs="宋体"/>
          <w:szCs w:val="21"/>
          <w:highlight w:val="none"/>
          <w:lang w:eastAsia="zh-CN"/>
        </w:rPr>
        <w:t>招标文件</w:t>
      </w:r>
      <w:r>
        <w:rPr>
          <w:rFonts w:hint="eastAsia" w:ascii="宋体" w:hAnsi="宋体" w:cs="宋体"/>
          <w:szCs w:val="21"/>
          <w:highlight w:val="none"/>
        </w:rPr>
        <w:t>中规定的各项因素和相应的权重分值进行综合评审后，以总得分最高的</w:t>
      </w:r>
      <w:r>
        <w:rPr>
          <w:rFonts w:hint="eastAsia" w:ascii="宋体" w:hAnsi="宋体" w:cs="宋体"/>
          <w:szCs w:val="21"/>
          <w:highlight w:val="none"/>
          <w:lang w:eastAsia="zh-CN"/>
        </w:rPr>
        <w:t>投标供应商</w:t>
      </w:r>
      <w:r>
        <w:rPr>
          <w:rFonts w:hint="eastAsia" w:ascii="宋体" w:hAnsi="宋体" w:cs="宋体"/>
          <w:szCs w:val="21"/>
          <w:highlight w:val="none"/>
        </w:rPr>
        <w:t>作为中标候选人并依次排序。</w:t>
      </w:r>
    </w:p>
    <w:p>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2.2  评标细则及标准：</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2.2.1 评标委员会将综合分析</w:t>
      </w:r>
      <w:r>
        <w:rPr>
          <w:rFonts w:hint="eastAsia" w:ascii="宋体" w:hAnsi="宋体" w:cs="宋体"/>
          <w:szCs w:val="21"/>
          <w:highlight w:val="none"/>
          <w:lang w:eastAsia="zh-CN"/>
        </w:rPr>
        <w:t>投标供应商</w:t>
      </w:r>
      <w:r>
        <w:rPr>
          <w:rFonts w:hint="eastAsia" w:ascii="宋体" w:hAnsi="宋体" w:cs="宋体"/>
          <w:szCs w:val="21"/>
          <w:highlight w:val="none"/>
        </w:rPr>
        <w:t>的各项评审因素，而不以单项评审因素的优劣评选出中标单位。对所有</w:t>
      </w:r>
      <w:r>
        <w:rPr>
          <w:rFonts w:hint="eastAsia" w:ascii="宋体" w:hAnsi="宋体" w:cs="宋体"/>
          <w:szCs w:val="21"/>
          <w:highlight w:val="none"/>
          <w:lang w:eastAsia="zh-CN"/>
        </w:rPr>
        <w:t>投标供应商</w:t>
      </w:r>
      <w:r>
        <w:rPr>
          <w:rFonts w:hint="eastAsia" w:ascii="宋体" w:hAnsi="宋体" w:cs="宋体"/>
          <w:szCs w:val="21"/>
          <w:highlight w:val="none"/>
        </w:rPr>
        <w:t>的投标评估，都采用相同的程序和标准，严格按照</w:t>
      </w:r>
      <w:r>
        <w:rPr>
          <w:rFonts w:hint="eastAsia" w:ascii="宋体" w:hAnsi="宋体" w:cs="宋体"/>
          <w:szCs w:val="21"/>
          <w:highlight w:val="none"/>
          <w:lang w:eastAsia="zh-CN"/>
        </w:rPr>
        <w:t>招标文件</w:t>
      </w:r>
      <w:r>
        <w:rPr>
          <w:rFonts w:hint="eastAsia" w:ascii="宋体" w:hAnsi="宋体" w:cs="宋体"/>
          <w:szCs w:val="21"/>
          <w:highlight w:val="none"/>
        </w:rPr>
        <w:t>的要求和条件进行。</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2.2.2 评审因素包括：价格、技术、信誉、业绩、服务、对</w:t>
      </w:r>
      <w:r>
        <w:rPr>
          <w:rFonts w:hint="eastAsia" w:ascii="宋体" w:hAnsi="宋体" w:cs="宋体"/>
          <w:szCs w:val="21"/>
          <w:highlight w:val="none"/>
          <w:lang w:eastAsia="zh-CN"/>
        </w:rPr>
        <w:t>招标文件</w:t>
      </w:r>
      <w:r>
        <w:rPr>
          <w:rFonts w:hint="eastAsia" w:ascii="宋体" w:hAnsi="宋体" w:cs="宋体"/>
          <w:szCs w:val="21"/>
          <w:highlight w:val="none"/>
        </w:rPr>
        <w:t>的响应程度，以及相应的比重或者权值等，但不包括“</w:t>
      </w:r>
      <w:r>
        <w:rPr>
          <w:rFonts w:hint="eastAsia" w:ascii="宋体" w:hAnsi="宋体" w:cs="宋体"/>
          <w:szCs w:val="21"/>
          <w:highlight w:val="none"/>
          <w:lang w:eastAsia="zh-CN"/>
        </w:rPr>
        <w:t>投标供应商</w:t>
      </w:r>
      <w:r>
        <w:rPr>
          <w:rFonts w:hint="eastAsia" w:ascii="宋体" w:hAnsi="宋体" w:cs="宋体"/>
          <w:szCs w:val="21"/>
          <w:highlight w:val="none"/>
        </w:rPr>
        <w:t>须知前附表”规定的</w:t>
      </w:r>
      <w:r>
        <w:rPr>
          <w:rFonts w:hint="eastAsia" w:ascii="宋体" w:hAnsi="宋体" w:cs="宋体"/>
          <w:szCs w:val="21"/>
          <w:highlight w:val="none"/>
          <w:lang w:eastAsia="zh-CN"/>
        </w:rPr>
        <w:t>投标供应商</w:t>
      </w:r>
      <w:r>
        <w:rPr>
          <w:rFonts w:hint="eastAsia" w:ascii="宋体" w:hAnsi="宋体" w:cs="宋体"/>
          <w:szCs w:val="21"/>
          <w:highlight w:val="none"/>
        </w:rPr>
        <w:t>资格条件。</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 综合评分操作程序为：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2.2.3.1 根据</w:t>
      </w:r>
      <w:r>
        <w:rPr>
          <w:rFonts w:hint="eastAsia" w:ascii="宋体" w:hAnsi="宋体" w:cs="宋体"/>
          <w:szCs w:val="21"/>
          <w:highlight w:val="none"/>
          <w:lang w:eastAsia="zh-CN"/>
        </w:rPr>
        <w:t>招标文件</w:t>
      </w:r>
      <w:r>
        <w:rPr>
          <w:rFonts w:hint="eastAsia" w:ascii="宋体" w:hAnsi="宋体" w:cs="宋体"/>
          <w:szCs w:val="21"/>
          <w:highlight w:val="none"/>
        </w:rPr>
        <w:t>和评标原则，按下表《综合评分明细表》所列评分因素和各评分因素的权重进行评标。</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2.2.3.2 评标价格的确定： </w:t>
      </w:r>
    </w:p>
    <w:p>
      <w:pPr>
        <w:spacing w:line="5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 xml:space="preserve"> 按照财政部的有关规定，以本次满足</w:t>
      </w:r>
      <w:r>
        <w:rPr>
          <w:rFonts w:hint="eastAsia" w:ascii="宋体" w:hAnsi="宋体" w:cs="宋体"/>
          <w:szCs w:val="21"/>
          <w:highlight w:val="none"/>
          <w:lang w:eastAsia="zh-CN"/>
        </w:rPr>
        <w:t>招标文件</w:t>
      </w:r>
      <w:r>
        <w:rPr>
          <w:rFonts w:hint="eastAsia" w:ascii="宋体" w:hAnsi="宋体" w:cs="宋体"/>
          <w:szCs w:val="21"/>
          <w:highlight w:val="none"/>
        </w:rPr>
        <w:t>要求的最低投标评审价为投标基准价</w:t>
      </w:r>
      <w:r>
        <w:rPr>
          <w:rFonts w:hint="eastAsia" w:ascii="宋体" w:hAnsi="宋体" w:cs="宋体"/>
          <w:szCs w:val="21"/>
          <w:highlight w:val="none"/>
          <w:lang w:eastAsia="zh-CN"/>
        </w:rPr>
        <w:t>。</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 xml:space="preserve"> 非实质性偏离是指投标文件在实质上响应</w:t>
      </w:r>
      <w:r>
        <w:rPr>
          <w:rFonts w:hint="eastAsia" w:ascii="宋体" w:hAnsi="宋体" w:cs="宋体"/>
          <w:szCs w:val="21"/>
          <w:highlight w:val="none"/>
          <w:lang w:eastAsia="zh-CN"/>
        </w:rPr>
        <w:t>招标文件</w:t>
      </w:r>
      <w:r>
        <w:rPr>
          <w:rFonts w:hint="eastAsia" w:ascii="宋体" w:hAnsi="宋体" w:cs="宋体"/>
          <w:szCs w:val="21"/>
          <w:highlight w:val="none"/>
        </w:rPr>
        <w:t>的要求，但在个别地方存在一些不规则、不一致、不完整的内容，并且澄清、说明或者补正这些内容不会改变投标文件的实质性内容。以下情况属于非实质性偏离：</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1）文字表述的内容含义不明确；</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2）同类问题表述不一致；</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3）有明显文字和计算错误；</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4）提供的技术信息和数据资料不完整；</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5）投标文件未按</w:t>
      </w:r>
      <w:r>
        <w:rPr>
          <w:rFonts w:hint="eastAsia" w:ascii="宋体" w:hAnsi="宋体" w:cs="宋体"/>
          <w:szCs w:val="21"/>
          <w:highlight w:val="none"/>
          <w:lang w:eastAsia="zh-CN"/>
        </w:rPr>
        <w:t>招标文件</w:t>
      </w:r>
      <w:r>
        <w:rPr>
          <w:rFonts w:hint="eastAsia" w:ascii="宋体" w:hAnsi="宋体" w:cs="宋体"/>
          <w:szCs w:val="21"/>
          <w:highlight w:val="none"/>
        </w:rPr>
        <w:t>要求进行编制目录、页码；</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6）评标委员会认定的其他非实质性偏离。</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投标文件有上述（1）至（4）情形之一的，评标委员会应当书面要求</w:t>
      </w:r>
      <w:r>
        <w:rPr>
          <w:rFonts w:hint="eastAsia" w:ascii="宋体" w:hAnsi="宋体" w:cs="宋体"/>
          <w:szCs w:val="21"/>
          <w:highlight w:val="none"/>
          <w:lang w:eastAsia="zh-CN"/>
        </w:rPr>
        <w:t>投标供应商</w:t>
      </w:r>
      <w:r>
        <w:rPr>
          <w:rFonts w:hint="eastAsia" w:ascii="宋体" w:hAnsi="宋体" w:cs="宋体"/>
          <w:szCs w:val="21"/>
          <w:highlight w:val="none"/>
        </w:rPr>
        <w:t>在规定的时间内予以澄清、说明或补正。</w:t>
      </w:r>
      <w:r>
        <w:rPr>
          <w:rFonts w:hint="eastAsia" w:ascii="宋体" w:hAnsi="宋体" w:cs="宋体"/>
          <w:szCs w:val="21"/>
          <w:highlight w:val="none"/>
          <w:lang w:eastAsia="zh-CN"/>
        </w:rPr>
        <w:t>投标供应商</w:t>
      </w:r>
      <w:r>
        <w:rPr>
          <w:rFonts w:hint="eastAsia" w:ascii="宋体" w:hAnsi="宋体" w:cs="宋体"/>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2.2.3.</w:t>
      </w:r>
      <w:r>
        <w:rPr>
          <w:rFonts w:hint="eastAsia" w:ascii="宋体" w:hAnsi="宋体" w:cs="宋体"/>
          <w:szCs w:val="21"/>
          <w:highlight w:val="none"/>
          <w:lang w:val="en-US" w:eastAsia="zh-CN"/>
        </w:rPr>
        <w:t>3</w:t>
      </w:r>
      <w:r>
        <w:rPr>
          <w:rFonts w:hint="eastAsia" w:ascii="宋体" w:hAnsi="宋体" w:cs="宋体"/>
          <w:szCs w:val="21"/>
          <w:highlight w:val="none"/>
        </w:rPr>
        <w:t xml:space="preserve"> 在投标文件初审过程中，如果出现评标委员会成员意见不一致的情况，按照少数服从多数的原则确定。</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评审标准中应考虑下列因素：</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《政府采购促进中小企业发展管理办法》（财库〔2020〕46号）</w:t>
      </w:r>
      <w:r>
        <w:rPr>
          <w:rFonts w:hint="eastAsia" w:ascii="宋体" w:hAnsi="宋体" w:eastAsia="宋体" w:cs="宋体"/>
          <w:szCs w:val="21"/>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cs="宋体"/>
          <w:color w:val="auto"/>
          <w:kern w:val="2"/>
          <w:sz w:val="21"/>
          <w:szCs w:val="21"/>
          <w:highlight w:val="none"/>
          <w:lang w:bidi="ar"/>
        </w:rPr>
        <w:t>中小企业声明函</w:t>
      </w:r>
      <w:r>
        <w:rPr>
          <w:rFonts w:hint="eastAsia" w:ascii="宋体" w:hAnsi="宋体" w:eastAsia="宋体" w:cs="宋体"/>
          <w:szCs w:val="21"/>
          <w:highlight w:val="none"/>
        </w:rPr>
        <w:t>》、《残疾人福利性单位声明函》或省级以上监狱管理局、戒毒管理局（含新疆生产建设兵团）出具的属于监狱企业的证明文件的</w:t>
      </w:r>
      <w:r>
        <w:rPr>
          <w:rFonts w:hint="eastAsia" w:ascii="宋体" w:hAnsi="宋体" w:cs="宋体"/>
          <w:szCs w:val="21"/>
          <w:highlight w:val="none"/>
          <w:lang w:eastAsia="zh-CN"/>
        </w:rPr>
        <w:t>投标供应商</w:t>
      </w:r>
      <w:r>
        <w:rPr>
          <w:rFonts w:hint="eastAsia" w:ascii="宋体" w:hAnsi="宋体" w:eastAsia="宋体" w:cs="宋体"/>
          <w:szCs w:val="21"/>
          <w:highlight w:val="none"/>
        </w:rPr>
        <w:t>，其投标报价扣除</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%后参与评审。对于同时属于小微企业、监狱企业或残疾人福利性单位的，不重复进行投标报价扣除。</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（2）大中型企业与</w:t>
      </w:r>
      <w:r>
        <w:rPr>
          <w:rFonts w:hint="eastAsia" w:ascii="宋体" w:hAnsi="宋体" w:eastAsia="宋体" w:cs="宋体"/>
          <w:szCs w:val="21"/>
          <w:highlight w:val="none"/>
        </w:rPr>
        <w:t>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监狱企业组成联合体共同参加非专门面向中小企业的政府采购活动</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联合协议中约定，小型、微型企业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监狱企业的协议合同金额占到联合体协议合同总金额30%以上的，可给予联合体</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%的价格扣除</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用扣除后的价格参加评审</w:t>
      </w:r>
      <w:r>
        <w:rPr>
          <w:rFonts w:hint="eastAsia" w:ascii="宋体" w:hAnsi="宋体" w:eastAsia="宋体" w:cs="宋体"/>
          <w:szCs w:val="21"/>
          <w:highlight w:val="none"/>
        </w:rPr>
        <w:t>。联合体各方均为小型、微型企业和监狱企业的，联合体视同为小型、微型企业和监狱企业。组成联合体的小微企业与联合体内其他企业之间存在直接控股、管理关系的，不享受价格扣除优惠政策。</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为提供服务所伴随的货物属于节能产品、环境标志产品品目清单范围内，且</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所投产品具有有效期内的产品认证证书，在评标时予以优先采购，具体见评审因素和指标内容。</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如</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为提供服务所伴随的货物为政府强制采购的节能产品，</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所投产品的品牌及型号必须为清单中有效期内产品并提供证明文件，否则其投标将作为无效投标被拒绝。</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中标候选人并列时的处理方式：   </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如采用综合评标法，则：评标结果按评审后得分由高到低顺序排列。得分相同的，按投标报价由低到高顺序排列。得分且投标报价相同的</w:t>
      </w:r>
      <w:r>
        <w:rPr>
          <w:rFonts w:hint="eastAsia" w:ascii="宋体" w:hAnsi="宋体" w:eastAsia="宋体" w:cs="宋体"/>
          <w:szCs w:val="21"/>
          <w:highlight w:val="none"/>
          <w:lang w:val="en-US" w:eastAsia="zh-CN"/>
        </w:rPr>
        <w:t>依次比较企业业绩、</w:t>
      </w:r>
      <w:r>
        <w:rPr>
          <w:rFonts w:hint="eastAsia" w:ascii="宋体" w:hAnsi="宋体" w:eastAsia="宋体" w:cs="宋体"/>
          <w:szCs w:val="21"/>
          <w:highlight w:val="none"/>
          <w:lang w:val="zh-CN" w:eastAsia="zh-CN"/>
        </w:rPr>
        <w:t>服务承诺、</w:t>
      </w:r>
      <w:r>
        <w:rPr>
          <w:rFonts w:hint="eastAsia" w:ascii="宋体" w:hAnsi="宋体" w:eastAsia="宋体" w:cs="宋体"/>
          <w:szCs w:val="21"/>
          <w:highlight w:val="none"/>
          <w:lang w:val="en-US" w:eastAsia="zh-CN"/>
        </w:rPr>
        <w:t>机械设备、技术方案各分项得分</w:t>
      </w:r>
      <w:r>
        <w:rPr>
          <w:rFonts w:hint="eastAsia" w:ascii="宋体" w:hAnsi="宋体" w:cs="宋体"/>
          <w:szCs w:val="21"/>
          <w:highlight w:val="none"/>
          <w:lang w:val="en-US" w:eastAsia="zh-CN"/>
        </w:rPr>
        <w:t>，得分高者排序在前</w:t>
      </w:r>
      <w:r>
        <w:rPr>
          <w:rFonts w:hint="eastAsia" w:ascii="宋体" w:hAnsi="宋体" w:eastAsia="宋体" w:cs="宋体"/>
          <w:szCs w:val="21"/>
          <w:highlight w:val="none"/>
        </w:rPr>
        <w:t>。投标文件满足招标文件全部实质性要求，且按照评审因素的量化指标评审得分最高的</w:t>
      </w:r>
      <w:r>
        <w:rPr>
          <w:rFonts w:hint="eastAsia" w:ascii="宋体" w:hAnsi="宋体" w:eastAsia="宋体" w:cs="宋体"/>
          <w:szCs w:val="21"/>
          <w:highlight w:val="none"/>
          <w:lang w:eastAsia="zh-CN"/>
        </w:rPr>
        <w:t>投标供应商</w:t>
      </w:r>
      <w:r>
        <w:rPr>
          <w:rFonts w:hint="eastAsia" w:ascii="宋体" w:hAnsi="宋体" w:eastAsia="宋体" w:cs="宋体"/>
          <w:szCs w:val="21"/>
          <w:highlight w:val="none"/>
        </w:rPr>
        <w:t>为排名第一的中标候选人。</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本采购项目的评标因素和标准见下列综合评分明细表。</w:t>
      </w:r>
    </w:p>
    <w:p>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本项目采用综合评分法，总分为100分，具体评分方法如下：</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综合评分法：即在满足</w:t>
      </w:r>
      <w:r>
        <w:rPr>
          <w:rFonts w:hint="eastAsia" w:ascii="宋体" w:hAnsi="宋体" w:cs="宋体"/>
          <w:color w:val="000000"/>
          <w:szCs w:val="21"/>
          <w:highlight w:val="none"/>
          <w:lang w:eastAsia="zh-CN"/>
        </w:rPr>
        <w:t>招标文件</w:t>
      </w:r>
      <w:r>
        <w:rPr>
          <w:rFonts w:hint="eastAsia" w:ascii="宋体" w:hAnsi="宋体" w:cs="宋体"/>
          <w:color w:val="000000"/>
          <w:szCs w:val="21"/>
          <w:highlight w:val="none"/>
        </w:rPr>
        <w:t>全部实质性要求前提下，按照评审因素的量化指标，以评审总得分由高到低顺序推荐</w:t>
      </w:r>
      <w:r>
        <w:rPr>
          <w:rFonts w:hint="eastAsia" w:ascii="宋体" w:hAnsi="宋体" w:cs="宋体"/>
          <w:color w:val="000000"/>
          <w:szCs w:val="21"/>
          <w:highlight w:val="none"/>
          <w:lang w:val="en-US" w:eastAsia="zh-CN"/>
        </w:rPr>
        <w:t>中标</w:t>
      </w:r>
      <w:r>
        <w:rPr>
          <w:rFonts w:hint="eastAsia" w:ascii="宋体" w:hAnsi="宋体" w:cs="宋体"/>
          <w:color w:val="000000"/>
          <w:szCs w:val="21"/>
          <w:highlight w:val="none"/>
        </w:rPr>
        <w:t>候选人。具体评审因素和分值如下。</w:t>
      </w: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pStyle w:val="24"/>
        <w:rPr>
          <w:rFonts w:hint="eastAsia" w:ascii="宋体" w:hAnsi="宋体" w:cs="宋体"/>
          <w:color w:val="000000"/>
          <w:szCs w:val="21"/>
          <w:highlight w:val="none"/>
        </w:rPr>
      </w:pPr>
    </w:p>
    <w:p>
      <w:pPr>
        <w:spacing w:line="440" w:lineRule="exact"/>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综合评分明细表</w:t>
      </w:r>
    </w:p>
    <w:tbl>
      <w:tblPr>
        <w:tblStyle w:val="39"/>
        <w:tblW w:w="9429" w:type="dxa"/>
        <w:tblInd w:w="93" w:type="dxa"/>
        <w:tblLayout w:type="fixed"/>
        <w:tblCellMar>
          <w:top w:w="0" w:type="dxa"/>
          <w:left w:w="108" w:type="dxa"/>
          <w:bottom w:w="0" w:type="dxa"/>
          <w:right w:w="108" w:type="dxa"/>
        </w:tblCellMar>
      </w:tblPr>
      <w:tblGrid>
        <w:gridCol w:w="1326"/>
        <w:gridCol w:w="795"/>
        <w:gridCol w:w="7308"/>
      </w:tblGrid>
      <w:tr>
        <w:tblPrEx>
          <w:tblCellMar>
            <w:top w:w="0" w:type="dxa"/>
            <w:left w:w="108" w:type="dxa"/>
            <w:bottom w:w="0" w:type="dxa"/>
            <w:right w:w="108" w:type="dxa"/>
          </w:tblCellMar>
        </w:tblPrEx>
        <w:trPr>
          <w:trHeight w:val="440" w:hRule="atLeast"/>
        </w:trPr>
        <w:tc>
          <w:tcPr>
            <w:tcW w:w="13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评分因素</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分值</w:t>
            </w:r>
          </w:p>
        </w:tc>
        <w:tc>
          <w:tcPr>
            <w:tcW w:w="73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内容</w:t>
            </w:r>
          </w:p>
        </w:tc>
      </w:tr>
      <w:tr>
        <w:tblPrEx>
          <w:tblCellMar>
            <w:top w:w="0" w:type="dxa"/>
            <w:left w:w="108" w:type="dxa"/>
            <w:bottom w:w="0" w:type="dxa"/>
            <w:right w:w="108" w:type="dxa"/>
          </w:tblCellMar>
        </w:tblPrEx>
        <w:trPr>
          <w:trHeight w:val="312"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3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1527"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highlight w:val="none"/>
                <w:lang w:val="en-US" w:eastAsia="zh-CN"/>
              </w:rPr>
            </w:pPr>
            <w:r>
              <w:rPr>
                <w:rFonts w:hint="eastAsia"/>
                <w:highlight w:val="none"/>
                <w:lang w:val="en-US" w:eastAsia="zh-CN"/>
              </w:rPr>
              <w:t>投标报价</w:t>
            </w:r>
          </w:p>
          <w:p>
            <w:pPr>
              <w:pStyle w:val="16"/>
              <w:rPr>
                <w:rFonts w:hint="default"/>
                <w:highlight w:val="none"/>
                <w:lang w:val="en-US" w:eastAsia="zh-CN"/>
              </w:rPr>
            </w:pP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w:t>
            </w:r>
            <w:r>
              <w:rPr>
                <w:rFonts w:hint="eastAsia" w:ascii="宋体" w:hAnsi="宋体" w:cs="宋体"/>
                <w:color w:val="000000"/>
                <w:kern w:val="2"/>
                <w:sz w:val="21"/>
                <w:szCs w:val="21"/>
                <w:highlight w:val="none"/>
                <w:lang w:val="en-US" w:eastAsia="zh-CN" w:bidi="ar-SA"/>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满足招标文件要求且投标价格最低的投标报价为评标基准价，其价格分为满分。其他</w:t>
            </w:r>
            <w:r>
              <w:rPr>
                <w:rFonts w:hint="eastAsia" w:cs="Times New Roman"/>
                <w:highlight w:val="none"/>
                <w:lang w:eastAsia="zh-CN"/>
              </w:rPr>
              <w:t>投标供应商</w:t>
            </w:r>
            <w:r>
              <w:rPr>
                <w:rFonts w:hint="eastAsia" w:ascii="Times New Roman" w:hAnsi="Times New Roman" w:eastAsia="宋体" w:cs="Times New Roman"/>
                <w:highlight w:val="none"/>
              </w:rPr>
              <w:t>的价格分统一按照下列公式计算：投标报价得分=（评标基准价/投标报价）×价格权值</w:t>
            </w:r>
          </w:p>
          <w:p>
            <w:pPr>
              <w:spacing w:line="440" w:lineRule="exact"/>
              <w:rPr>
                <w:rFonts w:hint="default" w:eastAsia="宋体"/>
                <w:highlight w:val="none"/>
                <w:lang w:val="en-US" w:eastAsia="zh-CN"/>
              </w:rPr>
            </w:pPr>
            <w:r>
              <w:rPr>
                <w:rFonts w:hint="eastAsia" w:cs="Times New Roman"/>
                <w:highlight w:val="none"/>
                <w:lang w:val="en-US" w:eastAsia="zh-CN"/>
              </w:rPr>
              <w:t>2</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投标报价不完整的，不进入评标基准价的计算，本项得0分。</w:t>
            </w:r>
          </w:p>
        </w:tc>
      </w:tr>
      <w:tr>
        <w:tblPrEx>
          <w:tblCellMar>
            <w:top w:w="0" w:type="dxa"/>
            <w:left w:w="108" w:type="dxa"/>
            <w:bottom w:w="0" w:type="dxa"/>
            <w:right w:w="108" w:type="dxa"/>
          </w:tblCellMar>
        </w:tblPrEx>
        <w:trPr>
          <w:trHeight w:val="90" w:hRule="atLeast"/>
        </w:trPr>
        <w:tc>
          <w:tcPr>
            <w:tcW w:w="1326" w:type="dxa"/>
            <w:vMerge w:val="restart"/>
            <w:tcBorders>
              <w:top w:val="single" w:color="auto" w:sz="4" w:space="0"/>
              <w:left w:val="single" w:color="auto" w:sz="4" w:space="0"/>
              <w:right w:val="single" w:color="auto" w:sz="4" w:space="0"/>
            </w:tcBorders>
            <w:noWrap w:val="0"/>
            <w:vAlign w:val="center"/>
          </w:tcPr>
          <w:p>
            <w:pPr>
              <w:spacing w:line="440" w:lineRule="exact"/>
              <w:ind w:firstLine="420"/>
              <w:rPr>
                <w:rFonts w:hint="eastAsia"/>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ascii="宋体" w:hAnsi="宋体" w:cs="宋体"/>
                <w:color w:val="000000"/>
                <w:szCs w:val="21"/>
                <w:highlight w:val="none"/>
              </w:rPr>
            </w:pPr>
          </w:p>
          <w:p>
            <w:pPr>
              <w:pStyle w:val="20"/>
              <w:rPr>
                <w:rFonts w:hint="eastAsia" w:cs="宋体"/>
                <w:color w:val="000000"/>
                <w:szCs w:val="21"/>
                <w:highlight w:val="none"/>
                <w:lang w:val="en-US" w:eastAsia="zh-CN"/>
              </w:rPr>
            </w:pPr>
            <w:r>
              <w:rPr>
                <w:rFonts w:hint="eastAsia" w:cs="宋体"/>
                <w:color w:val="000000"/>
                <w:szCs w:val="21"/>
                <w:highlight w:val="none"/>
                <w:lang w:val="en-US" w:eastAsia="zh-CN"/>
              </w:rPr>
              <w:t>技术方案</w:t>
            </w:r>
          </w:p>
          <w:p>
            <w:pPr>
              <w:pStyle w:val="20"/>
              <w:rPr>
                <w:rFonts w:hint="default" w:cs="宋体"/>
                <w:color w:val="000000"/>
                <w:szCs w:val="21"/>
                <w:highlight w:val="none"/>
                <w:lang w:val="en-US" w:eastAsia="zh-CN"/>
              </w:rPr>
            </w:pPr>
            <w:r>
              <w:rPr>
                <w:rFonts w:hint="eastAsia" w:cs="宋体"/>
                <w:color w:val="000000"/>
                <w:szCs w:val="21"/>
                <w:highlight w:val="none"/>
                <w:lang w:val="en-US" w:eastAsia="zh-CN"/>
              </w:rPr>
              <w:t>（80）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12</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人员配备情况：</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1.人员配备情况（5分）：</w:t>
            </w:r>
            <w:r>
              <w:rPr>
                <w:rFonts w:hint="eastAsia" w:ascii="宋体" w:hAnsi="宋体" w:eastAsia="宋体" w:cs="Times New Roman"/>
                <w:color w:val="auto"/>
                <w:kern w:val="2"/>
                <w:sz w:val="21"/>
                <w:szCs w:val="21"/>
                <w:highlight w:val="none"/>
                <w:lang w:val="en-US" w:eastAsia="zh-CN" w:bidi="ar-SA"/>
              </w:rPr>
              <w:t>根据投标供应商拟投入本项目的项目管理技术岗人员情况（包括能力、经验）、其他养护人员（除管理技术岗人员）情况（包括岗位设置完善、人员层次丰富、人员数量合理、工作内容和区域分配科学性）情况</w:t>
            </w:r>
            <w:r>
              <w:rPr>
                <w:rFonts w:hint="eastAsia" w:cs="Times New Roman"/>
                <w:color w:val="auto"/>
                <w:kern w:val="2"/>
                <w:sz w:val="21"/>
                <w:szCs w:val="21"/>
                <w:highlight w:val="none"/>
                <w:lang w:val="en-US" w:eastAsia="zh-CN" w:bidi="ar-SA"/>
              </w:rPr>
              <w:t>评审；</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人员结构合理，人员配备齐全，得 </w:t>
            </w:r>
            <w:r>
              <w:rPr>
                <w:rFonts w:hint="eastAsia" w:cs="Times New Roman"/>
                <w:color w:val="auto"/>
                <w:kern w:val="2"/>
                <w:sz w:val="21"/>
                <w:szCs w:val="21"/>
                <w:highlight w:val="none"/>
                <w:lang w:val="en-US" w:eastAsia="zh-CN" w:bidi="ar-SA"/>
              </w:rPr>
              <w:t>5-3</w:t>
            </w:r>
            <w:r>
              <w:rPr>
                <w:rFonts w:hint="eastAsia" w:ascii="宋体" w:hAnsi="宋体" w:eastAsia="宋体" w:cs="Times New Roman"/>
                <w:color w:val="auto"/>
                <w:kern w:val="2"/>
                <w:sz w:val="21"/>
                <w:szCs w:val="21"/>
                <w:highlight w:val="none"/>
                <w:lang w:val="en-US" w:eastAsia="zh-CN" w:bidi="ar-SA"/>
              </w:rPr>
              <w:t xml:space="preserve">分； </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人员结构</w:t>
            </w:r>
            <w:r>
              <w:rPr>
                <w:rFonts w:hint="eastAsia" w:cs="Times New Roman"/>
                <w:color w:val="auto"/>
                <w:kern w:val="2"/>
                <w:sz w:val="21"/>
                <w:szCs w:val="21"/>
                <w:highlight w:val="none"/>
                <w:lang w:val="en-US" w:eastAsia="zh-CN" w:bidi="ar-SA"/>
              </w:rPr>
              <w:t>较</w:t>
            </w:r>
            <w:r>
              <w:rPr>
                <w:rFonts w:hint="eastAsia" w:ascii="宋体" w:hAnsi="宋体" w:eastAsia="宋体" w:cs="Times New Roman"/>
                <w:color w:val="auto"/>
                <w:kern w:val="2"/>
                <w:sz w:val="21"/>
                <w:szCs w:val="21"/>
                <w:highlight w:val="none"/>
                <w:lang w:val="en-US" w:eastAsia="zh-CN" w:bidi="ar-SA"/>
              </w:rPr>
              <w:t>合理，人员配备</w:t>
            </w:r>
            <w:r>
              <w:rPr>
                <w:rFonts w:hint="eastAsia" w:cs="Times New Roman"/>
                <w:color w:val="auto"/>
                <w:kern w:val="2"/>
                <w:sz w:val="21"/>
                <w:szCs w:val="21"/>
                <w:highlight w:val="none"/>
                <w:lang w:val="en-US" w:eastAsia="zh-CN" w:bidi="ar-SA"/>
              </w:rPr>
              <w:t>较</w:t>
            </w:r>
            <w:r>
              <w:rPr>
                <w:rFonts w:hint="eastAsia" w:ascii="宋体" w:hAnsi="宋体" w:eastAsia="宋体" w:cs="Times New Roman"/>
                <w:color w:val="auto"/>
                <w:kern w:val="2"/>
                <w:sz w:val="21"/>
                <w:szCs w:val="21"/>
                <w:highlight w:val="none"/>
                <w:lang w:val="en-US" w:eastAsia="zh-CN" w:bidi="ar-SA"/>
              </w:rPr>
              <w:t xml:space="preserve">齐全，得 </w:t>
            </w:r>
            <w:r>
              <w:rPr>
                <w:rFonts w:hint="eastAsia"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 xml:space="preserve"> 分； </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人员结构</w:t>
            </w:r>
            <w:r>
              <w:rPr>
                <w:rFonts w:hint="eastAsia" w:cs="Times New Roman"/>
                <w:color w:val="auto"/>
                <w:kern w:val="2"/>
                <w:sz w:val="21"/>
                <w:szCs w:val="21"/>
                <w:highlight w:val="none"/>
                <w:lang w:val="en-US" w:eastAsia="zh-CN" w:bidi="ar-SA"/>
              </w:rPr>
              <w:t>不够</w:t>
            </w:r>
            <w:r>
              <w:rPr>
                <w:rFonts w:hint="eastAsia" w:ascii="宋体" w:hAnsi="宋体" w:eastAsia="宋体" w:cs="Times New Roman"/>
                <w:color w:val="auto"/>
                <w:kern w:val="2"/>
                <w:sz w:val="21"/>
                <w:szCs w:val="21"/>
                <w:highlight w:val="none"/>
                <w:lang w:val="en-US" w:eastAsia="zh-CN" w:bidi="ar-SA"/>
              </w:rPr>
              <w:t xml:space="preserve">合理，人员配备不够齐全，得 </w:t>
            </w:r>
            <w:r>
              <w:rPr>
                <w:rFonts w:hint="eastAsia"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0</w:t>
            </w:r>
            <w:r>
              <w:rPr>
                <w:rFonts w:hint="eastAsia" w:ascii="宋体" w:hAnsi="宋体" w:eastAsia="宋体" w:cs="Times New Roman"/>
                <w:color w:val="auto"/>
                <w:kern w:val="2"/>
                <w:sz w:val="21"/>
                <w:szCs w:val="21"/>
                <w:highlight w:val="none"/>
                <w:lang w:val="en-US" w:eastAsia="zh-CN" w:bidi="ar-SA"/>
              </w:rPr>
              <w:t>分。</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备注：其中安保人员、保洁人员、园林植保工、绿化工、花卉工工种类别配备齐全，人员提供身份证、园林绿化相关岗位证书的扫描件加盖公章。</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人员考核方案</w:t>
            </w:r>
            <w:r>
              <w:rPr>
                <w:rFonts w:hint="eastAsia"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人员考核方案（包括人员考核方案、奖惩方案）是否完善科学情况、人员安全培训管理方案（包括人员培训方案、人员安全保障措施）、人员保障规范方案（包括合同执行期间的人员数量保障方案、人员管理规范方案）是否完善科学情况进行评审</w:t>
            </w:r>
            <w:r>
              <w:rPr>
                <w:rFonts w:hint="eastAsia" w:cs="Times New Roman"/>
                <w:color w:val="auto"/>
                <w:kern w:val="2"/>
                <w:sz w:val="21"/>
                <w:szCs w:val="21"/>
                <w:highlight w:val="none"/>
                <w:lang w:val="en-US" w:eastAsia="zh-CN" w:bidi="ar-SA"/>
              </w:rPr>
              <w:t>；</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人员考核方案</w:t>
            </w:r>
            <w:r>
              <w:rPr>
                <w:rFonts w:hint="eastAsia" w:cs="Times New Roman"/>
                <w:color w:val="auto"/>
                <w:kern w:val="2"/>
                <w:sz w:val="21"/>
                <w:szCs w:val="21"/>
                <w:highlight w:val="none"/>
                <w:lang w:val="en-US" w:eastAsia="zh-CN" w:bidi="ar-SA"/>
              </w:rPr>
              <w:t>全面、具体、可行、完善、科学合理，得5-3分；</w:t>
            </w:r>
          </w:p>
          <w:p>
            <w:pPr>
              <w:pStyle w:val="150"/>
              <w:numPr>
                <w:ilvl w:val="0"/>
                <w:numId w:val="0"/>
              </w:numPr>
              <w:spacing w:before="128" w:line="360" w:lineRule="auto"/>
              <w:rPr>
                <w:rFonts w:hint="eastAsia"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人员考核方案</w:t>
            </w:r>
            <w:r>
              <w:rPr>
                <w:rFonts w:hint="eastAsia" w:cs="Times New Roman"/>
                <w:color w:val="auto"/>
                <w:kern w:val="2"/>
                <w:sz w:val="21"/>
                <w:szCs w:val="21"/>
                <w:highlight w:val="none"/>
                <w:lang w:val="en-US" w:eastAsia="zh-CN" w:bidi="ar-SA"/>
              </w:rPr>
              <w:t>较为全面、具体、可行、完善、科学合理，得3-1分；</w:t>
            </w:r>
          </w:p>
          <w:p>
            <w:pPr>
              <w:pStyle w:val="150"/>
              <w:numPr>
                <w:ilvl w:val="0"/>
                <w:numId w:val="0"/>
              </w:numPr>
              <w:spacing w:before="128" w:line="360" w:lineRule="auto"/>
              <w:rPr>
                <w:rFonts w:hint="default"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人员考核方案</w:t>
            </w:r>
            <w:r>
              <w:rPr>
                <w:rFonts w:hint="eastAsia" w:cs="Times New Roman"/>
                <w:color w:val="auto"/>
                <w:kern w:val="2"/>
                <w:sz w:val="21"/>
                <w:szCs w:val="21"/>
                <w:highlight w:val="none"/>
                <w:lang w:val="en-US" w:eastAsia="zh-CN" w:bidi="ar-SA"/>
              </w:rPr>
              <w:t>不太全面、具体、可行、完善、科学合理，</w:t>
            </w:r>
            <w:r>
              <w:rPr>
                <w:rFonts w:hint="eastAsia" w:ascii="宋体" w:hAnsi="宋体" w:eastAsia="宋体" w:cs="Times New Roman"/>
                <w:color w:val="auto"/>
                <w:kern w:val="2"/>
                <w:sz w:val="21"/>
                <w:szCs w:val="21"/>
                <w:highlight w:val="none"/>
                <w:lang w:val="en-US" w:eastAsia="zh-CN" w:bidi="ar-SA"/>
              </w:rPr>
              <w:t>1-0</w:t>
            </w:r>
            <w:r>
              <w:rPr>
                <w:rFonts w:hint="eastAsia" w:cs="Times New Roman"/>
                <w:color w:val="auto"/>
                <w:kern w:val="2"/>
                <w:sz w:val="21"/>
                <w:szCs w:val="21"/>
                <w:highlight w:val="none"/>
                <w:lang w:val="en-US" w:eastAsia="zh-CN" w:bidi="ar-SA"/>
              </w:rPr>
              <w:t>分；</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投标供应商拟派的项目负责人情况：具有园林绿化专业中级及以上职称证书的得2分，没有不得分。</w:t>
            </w:r>
          </w:p>
        </w:tc>
      </w:tr>
      <w:tr>
        <w:tblPrEx>
          <w:tblCellMar>
            <w:top w:w="0" w:type="dxa"/>
            <w:left w:w="108" w:type="dxa"/>
            <w:bottom w:w="0" w:type="dxa"/>
            <w:right w:w="108" w:type="dxa"/>
          </w:tblCellMar>
        </w:tblPrEx>
        <w:trPr>
          <w:trHeight w:val="2792" w:hRule="atLeast"/>
        </w:trPr>
        <w:tc>
          <w:tcPr>
            <w:tcW w:w="1326" w:type="dxa"/>
            <w:vMerge w:val="continue"/>
            <w:tcBorders>
              <w:left w:val="single" w:color="auto" w:sz="4" w:space="0"/>
              <w:right w:val="single" w:color="auto" w:sz="4" w:space="0"/>
            </w:tcBorders>
            <w:noWrap w:val="0"/>
            <w:vAlign w:val="center"/>
          </w:tcPr>
          <w:p>
            <w:pPr>
              <w:pStyle w:val="20"/>
              <w:rPr>
                <w:rFonts w:hint="eastAsia" w:cs="宋体"/>
                <w:color w:val="000000"/>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机械设备配备：</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根据投标供应商拟投入本项目的机械设备的种类齐全、数量合理、性能优良、维修保障方案（包括维修保障能力、专人化维护方案完善）、机械设备的定期维护时间安排合理性情况评审；</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拟投入机械设备齐全、先进、合理可行，得5-3分；</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拟投入机械设备不够齐全、先进、不合理可行，还需后期补充完善数量和类型的，得3-0分；</w:t>
            </w:r>
          </w:p>
        </w:tc>
      </w:tr>
      <w:tr>
        <w:tblPrEx>
          <w:tblCellMar>
            <w:top w:w="0" w:type="dxa"/>
            <w:left w:w="108" w:type="dxa"/>
            <w:bottom w:w="0" w:type="dxa"/>
            <w:right w:w="108" w:type="dxa"/>
          </w:tblCellMar>
        </w:tblPrEx>
        <w:trPr>
          <w:trHeight w:val="2792" w:hRule="atLeast"/>
        </w:trPr>
        <w:tc>
          <w:tcPr>
            <w:tcW w:w="1326" w:type="dxa"/>
            <w:vMerge w:val="continue"/>
            <w:tcBorders>
              <w:left w:val="single" w:color="auto" w:sz="4" w:space="0"/>
              <w:right w:val="single" w:color="auto" w:sz="4" w:space="0"/>
            </w:tcBorders>
            <w:noWrap w:val="0"/>
            <w:vAlign w:val="center"/>
          </w:tcPr>
          <w:p>
            <w:pPr>
              <w:pStyle w:val="20"/>
              <w:rPr>
                <w:rFonts w:hint="eastAsia" w:cs="宋体"/>
                <w:color w:val="000000"/>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交通工具及安保用具</w:t>
            </w:r>
            <w:r>
              <w:rPr>
                <w:rFonts w:hint="eastAsia" w:cs="Times New Roman"/>
                <w:color w:val="auto"/>
                <w:kern w:val="2"/>
                <w:sz w:val="21"/>
                <w:szCs w:val="21"/>
                <w:highlight w:val="none"/>
                <w:lang w:val="en-US" w:eastAsia="zh-CN" w:bidi="ar-SA"/>
              </w:rPr>
              <w:t>配备：</w:t>
            </w:r>
          </w:p>
          <w:p>
            <w:pPr>
              <w:pStyle w:val="150"/>
              <w:numPr>
                <w:ilvl w:val="0"/>
                <w:numId w:val="0"/>
              </w:numPr>
              <w:spacing w:before="128" w:line="360" w:lineRule="auto"/>
              <w:rPr>
                <w:rFonts w:hint="eastAsia"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根据投入本项目的交通工具及安保用具情况，</w:t>
            </w:r>
            <w:r>
              <w:rPr>
                <w:rFonts w:hint="eastAsia" w:ascii="宋体" w:hAnsi="宋体" w:eastAsia="宋体" w:cs="Times New Roman"/>
                <w:color w:val="auto"/>
                <w:kern w:val="2"/>
                <w:sz w:val="21"/>
                <w:szCs w:val="21"/>
                <w:highlight w:val="none"/>
                <w:lang w:val="en-US" w:eastAsia="zh-CN" w:bidi="ar-SA"/>
              </w:rPr>
              <w:t>包含但不限于</w:t>
            </w:r>
            <w:r>
              <w:rPr>
                <w:rFonts w:hint="eastAsia" w:ascii="宋体" w:hAnsi="宋体" w:eastAsia="宋体" w:cs="Times New Roman"/>
                <w:color w:val="auto"/>
                <w:kern w:val="2"/>
                <w:sz w:val="21"/>
                <w:szCs w:val="21"/>
                <w:highlight w:val="none"/>
                <w:lang w:val="zh-CN" w:eastAsia="zh-CN" w:bidi="ar-SA"/>
              </w:rPr>
              <w:t>巡逻车、</w:t>
            </w:r>
            <w:r>
              <w:rPr>
                <w:rFonts w:hint="eastAsia" w:ascii="宋体" w:hAnsi="宋体" w:eastAsia="宋体" w:cs="Times New Roman"/>
                <w:color w:val="auto"/>
                <w:kern w:val="2"/>
                <w:sz w:val="21"/>
                <w:szCs w:val="21"/>
                <w:highlight w:val="none"/>
                <w:lang w:val="en-US" w:eastAsia="zh-CN" w:bidi="ar-SA"/>
              </w:rPr>
              <w:t>货车、</w:t>
            </w:r>
            <w:r>
              <w:rPr>
                <w:rFonts w:hint="eastAsia" w:ascii="宋体" w:hAnsi="宋体" w:eastAsia="宋体" w:cs="Times New Roman"/>
                <w:color w:val="auto"/>
                <w:kern w:val="2"/>
                <w:sz w:val="21"/>
                <w:szCs w:val="21"/>
                <w:highlight w:val="none"/>
                <w:lang w:val="zh-CN" w:eastAsia="zh-CN" w:bidi="ar-SA"/>
              </w:rPr>
              <w:t>对讲机、</w:t>
            </w:r>
            <w:r>
              <w:rPr>
                <w:rFonts w:hint="eastAsia" w:ascii="宋体" w:hAnsi="宋体" w:eastAsia="宋体" w:cs="Times New Roman"/>
                <w:color w:val="auto"/>
                <w:kern w:val="2"/>
                <w:sz w:val="21"/>
                <w:szCs w:val="21"/>
                <w:highlight w:val="none"/>
                <w:lang w:val="en-US" w:eastAsia="zh-CN" w:bidi="ar-SA"/>
              </w:rPr>
              <w:t>专业服装</w:t>
            </w:r>
            <w:r>
              <w:rPr>
                <w:rFonts w:hint="eastAsia" w:ascii="宋体" w:hAnsi="宋体" w:eastAsia="宋体" w:cs="Times New Roman"/>
                <w:color w:val="auto"/>
                <w:kern w:val="2"/>
                <w:sz w:val="21"/>
                <w:szCs w:val="21"/>
                <w:highlight w:val="none"/>
                <w:lang w:val="zh-CN" w:eastAsia="zh-CN" w:bidi="ar-SA"/>
              </w:rPr>
              <w:t>等设备配备</w:t>
            </w:r>
            <w:r>
              <w:rPr>
                <w:rFonts w:hint="eastAsia" w:ascii="宋体" w:hAnsi="宋体" w:eastAsia="宋体" w:cs="Times New Roman"/>
                <w:color w:val="auto"/>
                <w:kern w:val="2"/>
                <w:sz w:val="21"/>
                <w:szCs w:val="21"/>
                <w:highlight w:val="none"/>
                <w:lang w:val="en-US" w:eastAsia="zh-CN" w:bidi="ar-SA"/>
              </w:rPr>
              <w:t>情况评审</w:t>
            </w:r>
            <w:r>
              <w:rPr>
                <w:rFonts w:hint="eastAsia" w:cs="Times New Roman"/>
                <w:color w:val="auto"/>
                <w:kern w:val="2"/>
                <w:sz w:val="21"/>
                <w:szCs w:val="21"/>
                <w:highlight w:val="none"/>
                <w:lang w:val="zh-CN" w:eastAsia="zh-CN" w:bidi="ar-SA"/>
              </w:rPr>
              <w:t>；</w:t>
            </w:r>
          </w:p>
          <w:p>
            <w:pPr>
              <w:pStyle w:val="150"/>
              <w:numPr>
                <w:ilvl w:val="0"/>
                <w:numId w:val="0"/>
              </w:numPr>
              <w:spacing w:before="128"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w:t>
            </w:r>
            <w:r>
              <w:rPr>
                <w:rFonts w:hint="eastAsia" w:ascii="宋体" w:hAnsi="宋体" w:eastAsia="宋体" w:cs="Times New Roman"/>
                <w:color w:val="auto"/>
                <w:kern w:val="2"/>
                <w:sz w:val="21"/>
                <w:szCs w:val="21"/>
                <w:highlight w:val="none"/>
                <w:lang w:val="zh-CN" w:eastAsia="zh-CN" w:bidi="ar-SA"/>
              </w:rPr>
              <w:t>交通工具及安保用具</w:t>
            </w:r>
            <w:r>
              <w:rPr>
                <w:rFonts w:hint="eastAsia" w:ascii="宋体" w:hAnsi="宋体" w:eastAsia="宋体" w:cs="Times New Roman"/>
                <w:color w:val="auto"/>
                <w:kern w:val="2"/>
                <w:sz w:val="21"/>
                <w:szCs w:val="21"/>
                <w:highlight w:val="none"/>
                <w:lang w:val="en-US" w:eastAsia="zh-CN" w:bidi="ar-SA"/>
              </w:rPr>
              <w:t>齐全、先进、合理可行，得5-3分；</w:t>
            </w:r>
          </w:p>
          <w:p>
            <w:pPr>
              <w:pStyle w:val="150"/>
              <w:numPr>
                <w:ilvl w:val="0"/>
                <w:numId w:val="0"/>
              </w:numPr>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拟投入</w:t>
            </w:r>
            <w:r>
              <w:rPr>
                <w:rFonts w:hint="eastAsia" w:ascii="宋体" w:hAnsi="宋体" w:eastAsia="宋体" w:cs="Times New Roman"/>
                <w:color w:val="auto"/>
                <w:kern w:val="2"/>
                <w:sz w:val="21"/>
                <w:szCs w:val="21"/>
                <w:highlight w:val="none"/>
                <w:lang w:val="zh-CN" w:eastAsia="zh-CN" w:bidi="ar-SA"/>
              </w:rPr>
              <w:t>交通工具及安保用具</w:t>
            </w:r>
            <w:r>
              <w:rPr>
                <w:rFonts w:hint="eastAsia" w:ascii="宋体" w:hAnsi="宋体" w:eastAsia="宋体" w:cs="Times New Roman"/>
                <w:color w:val="auto"/>
                <w:kern w:val="2"/>
                <w:sz w:val="21"/>
                <w:szCs w:val="21"/>
                <w:highlight w:val="none"/>
                <w:lang w:val="en-US" w:eastAsia="zh-CN" w:bidi="ar-SA"/>
              </w:rPr>
              <w:t>不够齐全、先进、不合理可行，还需后期补充完善数量和类型的，得3-0分；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w:t>
            </w:r>
            <w:r>
              <w:rPr>
                <w:rFonts w:hint="eastAsia" w:cs="Times New Roman"/>
                <w:color w:val="auto"/>
                <w:kern w:val="2"/>
                <w:sz w:val="21"/>
                <w:szCs w:val="21"/>
                <w:highlight w:val="none"/>
                <w:lang w:val="en-US" w:eastAsia="zh-CN" w:bidi="ar-SA"/>
              </w:rPr>
              <w:t>服务</w:t>
            </w:r>
            <w:r>
              <w:rPr>
                <w:rFonts w:hint="eastAsia" w:ascii="宋体" w:hAnsi="宋体" w:eastAsia="宋体" w:cs="Times New Roman"/>
                <w:color w:val="auto"/>
                <w:kern w:val="2"/>
                <w:sz w:val="21"/>
                <w:szCs w:val="21"/>
                <w:highlight w:val="none"/>
                <w:lang w:val="en-US" w:eastAsia="zh-CN" w:bidi="ar-SA"/>
              </w:rPr>
              <w:t>方案：</w:t>
            </w:r>
          </w:p>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根据投标供应商针对本项目的</w:t>
            </w: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w:t>
            </w:r>
            <w:r>
              <w:rPr>
                <w:rFonts w:hint="eastAsia" w:cs="Times New Roman"/>
                <w:color w:val="auto"/>
                <w:kern w:val="2"/>
                <w:sz w:val="21"/>
                <w:szCs w:val="21"/>
                <w:highlight w:val="none"/>
                <w:lang w:val="en-US" w:eastAsia="zh-CN" w:bidi="ar-SA"/>
              </w:rPr>
              <w:t>服务</w:t>
            </w:r>
            <w:r>
              <w:rPr>
                <w:rFonts w:hint="eastAsia" w:ascii="宋体" w:hAnsi="宋体" w:eastAsia="宋体" w:cs="Times New Roman"/>
                <w:color w:val="auto"/>
                <w:kern w:val="2"/>
                <w:sz w:val="21"/>
                <w:szCs w:val="21"/>
                <w:highlight w:val="none"/>
                <w:lang w:val="en-US" w:eastAsia="zh-CN" w:bidi="ar-SA"/>
              </w:rPr>
              <w:t>方案情况进行评审</w:t>
            </w:r>
            <w:r>
              <w:rPr>
                <w:rFonts w:hint="eastAsia" w:cs="Times New Roman"/>
                <w:color w:val="auto"/>
                <w:kern w:val="2"/>
                <w:sz w:val="21"/>
                <w:szCs w:val="21"/>
                <w:highlight w:val="none"/>
                <w:lang w:val="en-US" w:eastAsia="zh-CN" w:bidi="ar-SA"/>
              </w:rPr>
              <w:t>；</w:t>
            </w:r>
          </w:p>
          <w:p>
            <w:pPr>
              <w:spacing w:line="440" w:lineRule="exact"/>
              <w:rPr>
                <w:rFonts w:hint="eastAsia" w:ascii="宋体" w:hAnsi="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，得8-6分；</w:t>
            </w:r>
          </w:p>
          <w:p>
            <w:pPr>
              <w:spacing w:line="440" w:lineRule="exact"/>
              <w:rPr>
                <w:rFonts w:hint="eastAsia" w:ascii="宋体" w:hAnsi="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ascii="宋体" w:hAnsi="宋体" w:cs="Times New Roman"/>
                <w:color w:val="auto"/>
                <w:kern w:val="2"/>
                <w:sz w:val="21"/>
                <w:szCs w:val="21"/>
                <w:highlight w:val="none"/>
                <w:lang w:val="en-US" w:eastAsia="zh-CN"/>
              </w:rPr>
              <w:t>较</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，得6-3分；</w:t>
            </w:r>
          </w:p>
          <w:p>
            <w:pPr>
              <w:pStyle w:val="150"/>
              <w:spacing w:before="128" w:line="360" w:lineRule="auto"/>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绿化</w:t>
            </w:r>
            <w:r>
              <w:rPr>
                <w:rFonts w:hint="eastAsia" w:ascii="宋体" w:hAnsi="宋体" w:eastAsia="宋体" w:cs="Times New Roman"/>
                <w:color w:val="auto"/>
                <w:kern w:val="2"/>
                <w:sz w:val="21"/>
                <w:szCs w:val="21"/>
                <w:highlight w:val="none"/>
                <w:lang w:val="en-US" w:eastAsia="zh-CN" w:bidi="ar-SA"/>
              </w:rPr>
              <w:t>养护管理方案</w:t>
            </w:r>
            <w:r>
              <w:rPr>
                <w:rFonts w:hint="eastAsia" w:cs="Times New Roman"/>
                <w:color w:val="auto"/>
                <w:kern w:val="2"/>
                <w:sz w:val="21"/>
                <w:szCs w:val="21"/>
                <w:highlight w:val="none"/>
                <w:lang w:val="en-US" w:eastAsia="zh-CN" w:bidi="ar-SA"/>
              </w:rPr>
              <w:t>不</w:t>
            </w:r>
            <w:r>
              <w:rPr>
                <w:rFonts w:hint="eastAsia" w:ascii="宋体" w:hAnsi="宋体" w:cs="Times New Roman"/>
                <w:color w:val="auto"/>
                <w:kern w:val="2"/>
                <w:sz w:val="21"/>
                <w:szCs w:val="21"/>
                <w:highlight w:val="none"/>
                <w:lang w:val="en-US" w:eastAsia="zh-CN"/>
              </w:rPr>
              <w:t>太</w:t>
            </w:r>
            <w:r>
              <w:rPr>
                <w:rFonts w:hint="eastAsia" w:ascii="宋体" w:hAnsi="宋体" w:cs="Times New Roman"/>
                <w:color w:val="auto"/>
                <w:kern w:val="2"/>
                <w:sz w:val="21"/>
                <w:szCs w:val="21"/>
                <w:highlight w:val="none"/>
                <w:lang w:val="en-US" w:eastAsia="zh-CN" w:bidi="ar-SA"/>
              </w:rPr>
              <w:t>完善、</w:t>
            </w:r>
            <w:r>
              <w:rPr>
                <w:rFonts w:hint="eastAsia" w:ascii="宋体" w:hAnsi="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，得</w:t>
            </w:r>
            <w:r>
              <w:rPr>
                <w:rFonts w:hint="eastAsia" w:cs="Times New Roman"/>
                <w:color w:val="auto"/>
                <w:kern w:val="2"/>
                <w:sz w:val="21"/>
                <w:szCs w:val="21"/>
                <w:highlight w:val="none"/>
                <w:lang w:val="en-US" w:eastAsia="zh-CN"/>
              </w:rPr>
              <w:t>3</w:t>
            </w:r>
            <w:r>
              <w:rPr>
                <w:rFonts w:hint="eastAsia" w:ascii="宋体" w:hAnsi="宋体" w:cs="Times New Roman"/>
                <w:color w:val="auto"/>
                <w:kern w:val="2"/>
                <w:sz w:val="21"/>
                <w:szCs w:val="21"/>
                <w:highlight w:val="none"/>
                <w:lang w:val="en-US" w:eastAsia="zh-CN"/>
              </w:rPr>
              <w:t>-0分；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5分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pStyle w:val="150"/>
              <w:numPr>
                <w:ilvl w:val="0"/>
                <w:numId w:val="0"/>
              </w:numPr>
              <w:spacing w:before="128" w:line="360" w:lineRule="auto"/>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养护进度计划</w:t>
            </w:r>
            <w:r>
              <w:rPr>
                <w:rFonts w:hint="eastAsia" w:cs="Times New Roman"/>
                <w:color w:val="auto"/>
                <w:kern w:val="2"/>
                <w:sz w:val="21"/>
                <w:szCs w:val="21"/>
                <w:highlight w:val="none"/>
                <w:lang w:val="en-US" w:eastAsia="zh-CN" w:bidi="ar-SA"/>
              </w:rPr>
              <w:t>及保证</w:t>
            </w:r>
            <w:r>
              <w:rPr>
                <w:rFonts w:hint="eastAsia" w:ascii="宋体" w:hAnsi="宋体" w:eastAsia="宋体" w:cs="Times New Roman"/>
                <w:color w:val="auto"/>
                <w:kern w:val="2"/>
                <w:sz w:val="21"/>
                <w:szCs w:val="21"/>
                <w:highlight w:val="none"/>
                <w:lang w:val="zh-CN" w:eastAsia="zh-CN" w:bidi="ar-SA"/>
              </w:rPr>
              <w:t>措施：</w:t>
            </w:r>
          </w:p>
          <w:p>
            <w:pPr>
              <w:pStyle w:val="150"/>
              <w:numPr>
                <w:ilvl w:val="0"/>
                <w:numId w:val="0"/>
              </w:numPr>
              <w:spacing w:before="128" w:line="360" w:lineRule="auto"/>
              <w:ind w:left="0" w:leftChars="0" w:firstLine="0" w:firstLineChars="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 xml:space="preserve">针对本项目，有具体、可行的确保进度计划的技术组织措施。 </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zh-CN" w:eastAsia="zh-CN" w:bidi="ar-SA"/>
              </w:rPr>
              <w:t>内容科学具体，有针对性</w:t>
            </w:r>
            <w:r>
              <w:rPr>
                <w:rFonts w:hint="eastAsia" w:ascii="宋体" w:hAnsi="宋体" w:cs="Times New Roman"/>
                <w:color w:val="auto"/>
                <w:kern w:val="2"/>
                <w:sz w:val="21"/>
                <w:szCs w:val="21"/>
                <w:highlight w:val="none"/>
                <w:lang w:val="en-US" w:eastAsia="zh-CN"/>
              </w:rPr>
              <w:t>，得5-3分；</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zh-CN" w:eastAsia="zh-CN" w:bidi="ar-SA"/>
              </w:rPr>
              <w:t>内容</w:t>
            </w:r>
            <w:r>
              <w:rPr>
                <w:rFonts w:hint="eastAsia" w:ascii="宋体" w:hAnsi="宋体" w:cs="Times New Roman"/>
                <w:color w:val="auto"/>
                <w:kern w:val="2"/>
                <w:sz w:val="21"/>
                <w:szCs w:val="21"/>
                <w:highlight w:val="none"/>
                <w:lang w:val="en-US" w:eastAsia="zh-CN" w:bidi="ar-SA"/>
              </w:rPr>
              <w:t>较</w:t>
            </w:r>
            <w:r>
              <w:rPr>
                <w:rFonts w:hint="eastAsia" w:ascii="宋体" w:hAnsi="宋体" w:eastAsia="宋体" w:cs="Times New Roman"/>
                <w:color w:val="auto"/>
                <w:kern w:val="2"/>
                <w:sz w:val="21"/>
                <w:szCs w:val="21"/>
                <w:highlight w:val="none"/>
                <w:lang w:val="zh-CN" w:eastAsia="zh-CN" w:bidi="ar-SA"/>
              </w:rPr>
              <w:t>科学具体，针对性</w:t>
            </w:r>
            <w:r>
              <w:rPr>
                <w:rFonts w:hint="eastAsia" w:ascii="宋体" w:hAnsi="宋体" w:cs="Times New Roman"/>
                <w:color w:val="auto"/>
                <w:kern w:val="2"/>
                <w:sz w:val="21"/>
                <w:szCs w:val="21"/>
                <w:highlight w:val="none"/>
                <w:lang w:val="en-US" w:eastAsia="zh-CN" w:bidi="ar-SA"/>
              </w:rPr>
              <w:t>不强</w:t>
            </w:r>
            <w:r>
              <w:rPr>
                <w:rFonts w:hint="eastAsia" w:ascii="宋体" w:hAnsi="宋体" w:cs="Times New Roman"/>
                <w:color w:val="auto"/>
                <w:kern w:val="2"/>
                <w:sz w:val="21"/>
                <w:szCs w:val="21"/>
                <w:highlight w:val="none"/>
                <w:lang w:val="en-US" w:eastAsia="zh-CN"/>
              </w:rPr>
              <w:t>，得3-1分；</w:t>
            </w:r>
          </w:p>
          <w:p>
            <w:pPr>
              <w:pStyle w:val="150"/>
              <w:numPr>
                <w:ilvl w:val="0"/>
                <w:numId w:val="0"/>
              </w:numPr>
              <w:spacing w:before="128" w:line="360" w:lineRule="auto"/>
              <w:ind w:left="0" w:leftChars="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措施</w:t>
            </w:r>
            <w:r>
              <w:rPr>
                <w:rFonts w:hint="eastAsia" w:ascii="宋体" w:hAnsi="宋体" w:eastAsia="宋体" w:cs="Times New Roman"/>
                <w:color w:val="auto"/>
                <w:kern w:val="2"/>
                <w:sz w:val="21"/>
                <w:szCs w:val="21"/>
                <w:highlight w:val="none"/>
                <w:lang w:val="zh-CN" w:eastAsia="zh-CN" w:bidi="ar-SA"/>
              </w:rPr>
              <w:t>内容</w:t>
            </w:r>
            <w:r>
              <w:rPr>
                <w:rFonts w:hint="eastAsia" w:cs="Times New Roman"/>
                <w:color w:val="auto"/>
                <w:kern w:val="2"/>
                <w:sz w:val="21"/>
                <w:szCs w:val="21"/>
                <w:highlight w:val="none"/>
                <w:lang w:val="en-US" w:eastAsia="zh-CN" w:bidi="ar-SA"/>
              </w:rPr>
              <w:t>不够</w:t>
            </w:r>
            <w:r>
              <w:rPr>
                <w:rFonts w:hint="eastAsia" w:ascii="宋体" w:hAnsi="宋体" w:eastAsia="宋体" w:cs="Times New Roman"/>
                <w:color w:val="auto"/>
                <w:kern w:val="2"/>
                <w:sz w:val="21"/>
                <w:szCs w:val="21"/>
                <w:highlight w:val="none"/>
                <w:lang w:val="zh-CN" w:eastAsia="zh-CN" w:bidi="ar-SA"/>
              </w:rPr>
              <w:t>科学具体，针对性</w:t>
            </w:r>
            <w:r>
              <w:rPr>
                <w:rFonts w:hint="eastAsia" w:cs="Times New Roman"/>
                <w:color w:val="auto"/>
                <w:kern w:val="2"/>
                <w:sz w:val="21"/>
                <w:szCs w:val="21"/>
                <w:highlight w:val="none"/>
                <w:lang w:val="en-US" w:eastAsia="zh-CN" w:bidi="ar-SA"/>
              </w:rPr>
              <w:t>弱</w:t>
            </w:r>
            <w:r>
              <w:rPr>
                <w:rFonts w:hint="eastAsia" w:ascii="宋体" w:hAnsi="宋体" w:cs="Times New Roman"/>
                <w:color w:val="auto"/>
                <w:kern w:val="2"/>
                <w:sz w:val="21"/>
                <w:szCs w:val="21"/>
                <w:highlight w:val="none"/>
                <w:lang w:val="en-US" w:eastAsia="zh-CN"/>
              </w:rPr>
              <w:t>，得1-0分；</w:t>
            </w:r>
          </w:p>
        </w:tc>
      </w:tr>
      <w:tr>
        <w:tblPrEx>
          <w:tblCellMar>
            <w:top w:w="0" w:type="dxa"/>
            <w:left w:w="108" w:type="dxa"/>
            <w:bottom w:w="0" w:type="dxa"/>
            <w:right w:w="108" w:type="dxa"/>
          </w:tblCellMar>
        </w:tblPrEx>
        <w:trPr>
          <w:trHeight w:val="90" w:hRule="atLeast"/>
        </w:trPr>
        <w:tc>
          <w:tcPr>
            <w:tcW w:w="1326"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szCs w:val="21"/>
                <w:highlight w:val="none"/>
                <w:lang w:val="en-US" w:eastAsia="zh-CN"/>
              </w:rPr>
            </w:pPr>
            <w:r>
              <w:rPr>
                <w:szCs w:val="21"/>
                <w:highlight w:val="none"/>
              </w:rPr>
              <w:t>养护</w:t>
            </w:r>
            <w:r>
              <w:rPr>
                <w:rFonts w:hint="eastAsia"/>
                <w:szCs w:val="21"/>
                <w:highlight w:val="none"/>
              </w:rPr>
              <w:t>质量承诺</w:t>
            </w:r>
            <w:r>
              <w:rPr>
                <w:szCs w:val="21"/>
                <w:highlight w:val="none"/>
              </w:rPr>
              <w:t>与</w:t>
            </w:r>
            <w:r>
              <w:rPr>
                <w:rFonts w:hint="eastAsia"/>
                <w:szCs w:val="21"/>
                <w:highlight w:val="none"/>
                <w:lang w:val="en-US" w:eastAsia="zh-CN"/>
              </w:rPr>
              <w:t>保证措施：</w:t>
            </w:r>
          </w:p>
          <w:p>
            <w:pPr>
              <w:spacing w:line="440" w:lineRule="exact"/>
              <w:rPr>
                <w:rFonts w:hint="eastAsia" w:ascii="宋体" w:hAnsi="宋体" w:cs="宋体"/>
                <w:szCs w:val="21"/>
                <w:highlight w:val="none"/>
                <w:lang w:val="en-US" w:eastAsia="zh-CN"/>
              </w:rPr>
            </w:pPr>
            <w:r>
              <w:rPr>
                <w:rFonts w:hint="eastAsia"/>
                <w:szCs w:val="21"/>
                <w:highlight w:val="none"/>
              </w:rPr>
              <w:t>养护质量</w:t>
            </w:r>
            <w:r>
              <w:rPr>
                <w:szCs w:val="21"/>
                <w:highlight w:val="none"/>
              </w:rPr>
              <w:t>保证</w:t>
            </w:r>
            <w:r>
              <w:rPr>
                <w:rFonts w:hint="eastAsia"/>
                <w:szCs w:val="21"/>
                <w:highlight w:val="none"/>
              </w:rPr>
              <w:t>承诺</w:t>
            </w:r>
            <w:r>
              <w:rPr>
                <w:szCs w:val="21"/>
                <w:highlight w:val="none"/>
              </w:rPr>
              <w:t>、措施力度、软硬件条件、监督考核</w:t>
            </w:r>
            <w:r>
              <w:rPr>
                <w:rFonts w:hint="eastAsia" w:hAnsi="宋体" w:cs="宋体"/>
                <w:szCs w:val="21"/>
                <w:highlight w:val="none"/>
              </w:rPr>
              <w:t>等方面内容进行</w:t>
            </w:r>
            <w:r>
              <w:rPr>
                <w:rFonts w:hint="eastAsia" w:ascii="宋体" w:hAnsi="宋体" w:cs="宋体"/>
                <w:szCs w:val="21"/>
                <w:highlight w:val="none"/>
              </w:rPr>
              <w:t>评</w:t>
            </w:r>
            <w:r>
              <w:rPr>
                <w:rFonts w:hint="eastAsia" w:ascii="宋体" w:hAnsi="宋体" w:cs="宋体"/>
                <w:szCs w:val="21"/>
                <w:highlight w:val="none"/>
                <w:lang w:val="en-US" w:eastAsia="zh-CN"/>
              </w:rPr>
              <w:t>审；</w:t>
            </w:r>
          </w:p>
          <w:p>
            <w:pPr>
              <w:spacing w:line="440" w:lineRule="exact"/>
              <w:rPr>
                <w:rFonts w:hint="eastAsia" w:ascii="宋体" w:hAnsi="宋体" w:cs="Times New Roman"/>
                <w:color w:val="auto"/>
                <w:kern w:val="2"/>
                <w:sz w:val="21"/>
                <w:szCs w:val="21"/>
                <w:highlight w:val="none"/>
                <w:lang w:val="en-US" w:eastAsia="zh-CN"/>
              </w:rPr>
            </w:pPr>
            <w:r>
              <w:rPr>
                <w:rFonts w:hint="eastAsia"/>
                <w:szCs w:val="21"/>
                <w:highlight w:val="none"/>
              </w:rPr>
              <w:t>承诺</w:t>
            </w:r>
            <w:r>
              <w:rPr>
                <w:szCs w:val="21"/>
                <w:highlight w:val="none"/>
              </w:rPr>
              <w:t>与</w:t>
            </w: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szCs w:val="21"/>
                <w:highlight w:val="none"/>
              </w:rPr>
              <w:t>承诺</w:t>
            </w:r>
            <w:r>
              <w:rPr>
                <w:szCs w:val="21"/>
                <w:highlight w:val="none"/>
              </w:rPr>
              <w:t>与</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spacing w:line="276" w:lineRule="auto"/>
              <w:ind w:right="162" w:rightChars="0"/>
              <w:jc w:val="left"/>
              <w:rPr>
                <w:rFonts w:hint="eastAsia" w:ascii="宋体" w:hAnsi="宋体" w:eastAsia="宋体" w:cs="Times New Roman"/>
                <w:color w:val="auto"/>
                <w:kern w:val="2"/>
                <w:sz w:val="21"/>
                <w:szCs w:val="21"/>
                <w:highlight w:val="none"/>
                <w:lang w:val="en-US" w:eastAsia="zh-CN" w:bidi="ar-SA"/>
              </w:rPr>
            </w:pPr>
            <w:r>
              <w:rPr>
                <w:rFonts w:hint="eastAsia"/>
                <w:szCs w:val="21"/>
                <w:highlight w:val="none"/>
              </w:rPr>
              <w:t>承诺</w:t>
            </w:r>
            <w:r>
              <w:rPr>
                <w:szCs w:val="21"/>
                <w:highlight w:val="none"/>
              </w:rPr>
              <w:t>与</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49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highlight w:val="none"/>
                <w:lang w:val="en-US" w:eastAsia="zh-CN"/>
              </w:rPr>
            </w:pPr>
            <w:r>
              <w:rPr>
                <w:rFonts w:hint="eastAsia"/>
                <w:highlight w:val="none"/>
                <w:lang w:val="en-US" w:eastAsia="zh-CN"/>
              </w:rPr>
              <w:t>养护管理制度：</w:t>
            </w:r>
          </w:p>
          <w:p>
            <w:pPr>
              <w:spacing w:line="440" w:lineRule="exact"/>
              <w:rPr>
                <w:rFonts w:hint="eastAsia"/>
                <w:highlight w:val="none"/>
                <w:lang w:val="en-US" w:eastAsia="zh-CN"/>
              </w:rPr>
            </w:pPr>
            <w:r>
              <w:rPr>
                <w:rFonts w:hint="eastAsia"/>
                <w:highlight w:val="none"/>
                <w:lang w:val="en-US" w:eastAsia="zh-CN"/>
              </w:rPr>
              <w:t>根据投标供应商针对本项目的养护管理制度（包括</w:t>
            </w:r>
            <w:r>
              <w:rPr>
                <w:rFonts w:hint="eastAsia"/>
                <w:highlight w:val="none"/>
              </w:rPr>
              <w:t>养护管理体系完善</w:t>
            </w:r>
            <w:r>
              <w:rPr>
                <w:rFonts w:hint="eastAsia"/>
                <w:highlight w:val="none"/>
                <w:lang w:val="en-US" w:eastAsia="zh-CN"/>
              </w:rPr>
              <w:t>、</w:t>
            </w:r>
            <w:r>
              <w:rPr>
                <w:rFonts w:hint="eastAsia"/>
                <w:highlight w:val="none"/>
              </w:rPr>
              <w:t>养护管理制度规程齐全</w:t>
            </w:r>
            <w:r>
              <w:rPr>
                <w:rFonts w:hint="eastAsia"/>
                <w:highlight w:val="none"/>
                <w:lang w:eastAsia="zh-CN"/>
              </w:rPr>
              <w:t>、</w:t>
            </w:r>
            <w:r>
              <w:rPr>
                <w:rFonts w:hint="eastAsia"/>
                <w:highlight w:val="none"/>
              </w:rPr>
              <w:t>养护管理</w:t>
            </w:r>
            <w:r>
              <w:rPr>
                <w:rFonts w:hint="eastAsia"/>
                <w:highlight w:val="none"/>
                <w:lang w:val="en-US" w:eastAsia="zh-CN"/>
              </w:rPr>
              <w:t>措施保障完善）响应程度进行评审；</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pStyle w:val="2"/>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643"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highlight w:val="none"/>
                <w:lang w:val="en-US" w:eastAsia="zh-CN"/>
              </w:rPr>
            </w:pPr>
            <w:r>
              <w:rPr>
                <w:rFonts w:hint="eastAsia"/>
                <w:highlight w:val="none"/>
                <w:lang w:val="en-US" w:eastAsia="zh-CN"/>
              </w:rPr>
              <w:t>对配套设施的维护管理及措施。</w:t>
            </w:r>
          </w:p>
          <w:p>
            <w:pPr>
              <w:spacing w:line="440" w:lineRule="exact"/>
              <w:rPr>
                <w:rFonts w:hint="eastAsia"/>
                <w:highlight w:val="none"/>
                <w:lang w:val="en-US" w:eastAsia="zh-CN"/>
              </w:rPr>
            </w:pPr>
            <w:r>
              <w:rPr>
                <w:rFonts w:hint="eastAsia"/>
                <w:highlight w:val="none"/>
                <w:lang w:val="en-US" w:eastAsia="zh-CN"/>
              </w:rPr>
              <w:t xml:space="preserve">对配套设施的维护管理及措施包括各类配套设施的养护管理等。 </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措施</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得力，得3-1分；</w:t>
            </w:r>
          </w:p>
          <w:p>
            <w:pPr>
              <w:spacing w:line="440" w:lineRule="exact"/>
              <w:rPr>
                <w:rFonts w:hint="eastAsia"/>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630" w:firstLineChars="300"/>
              <w:rPr>
                <w:rFonts w:hint="eastAsia" w:ascii="宋体" w:hAnsi="宋体" w:eastAsia="宋体" w:cs="宋体"/>
                <w:color w:val="000000"/>
                <w:szCs w:val="21"/>
                <w:highlight w:val="none"/>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0" w:firstLineChars="100"/>
              <w:jc w:val="both"/>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highlight w:val="none"/>
                <w:lang w:val="en-US" w:eastAsia="zh-CN"/>
              </w:rPr>
            </w:pPr>
            <w:r>
              <w:rPr>
                <w:rFonts w:hint="eastAsia"/>
                <w:highlight w:val="none"/>
                <w:lang w:val="en-US" w:eastAsia="zh-CN"/>
              </w:rPr>
              <w:t>针对各类植物养护方法及技术措施：</w:t>
            </w:r>
          </w:p>
          <w:p>
            <w:pPr>
              <w:spacing w:line="440" w:lineRule="exact"/>
              <w:rPr>
                <w:rFonts w:hint="eastAsia"/>
                <w:highlight w:val="none"/>
                <w:lang w:val="en-US" w:eastAsia="zh-CN"/>
              </w:rPr>
            </w:pPr>
            <w:r>
              <w:rPr>
                <w:rFonts w:hint="eastAsia"/>
                <w:highlight w:val="none"/>
                <w:lang w:val="en-US" w:eastAsia="zh-CN"/>
              </w:rPr>
              <w:t>根据投标供应商针对本项目的各类植物养护方法及技术措施情况进行评审；</w:t>
            </w:r>
          </w:p>
          <w:p>
            <w:pPr>
              <w:spacing w:line="440" w:lineRule="exact"/>
              <w:rPr>
                <w:rFonts w:hint="eastAsia"/>
                <w:highlight w:val="none"/>
                <w:lang w:val="en-US" w:eastAsia="zh-CN"/>
              </w:rPr>
            </w:pPr>
            <w:r>
              <w:rPr>
                <w:rFonts w:hint="eastAsia"/>
                <w:highlight w:val="none"/>
                <w:lang w:val="en-US" w:eastAsia="zh-CN"/>
              </w:rPr>
              <w:t>方案及措施完善、全面、合理、得力，得5-3分；</w:t>
            </w:r>
          </w:p>
          <w:p>
            <w:pPr>
              <w:spacing w:line="440" w:lineRule="exact"/>
              <w:rPr>
                <w:rFonts w:hint="eastAsia"/>
                <w:highlight w:val="none"/>
                <w:lang w:val="en-US" w:eastAsia="zh-CN"/>
              </w:rPr>
            </w:pPr>
            <w:r>
              <w:rPr>
                <w:rFonts w:hint="eastAsia"/>
                <w:highlight w:val="none"/>
                <w:lang w:val="en-US" w:eastAsia="zh-CN"/>
              </w:rPr>
              <w:t>方案及措施较完善、全面、合理、得力，得3-1分；</w:t>
            </w:r>
          </w:p>
          <w:p>
            <w:pPr>
              <w:spacing w:line="440" w:lineRule="exact"/>
              <w:rPr>
                <w:rFonts w:hint="eastAsia"/>
                <w:highlight w:val="none"/>
                <w:lang w:val="en-US" w:eastAsia="zh-CN"/>
              </w:rPr>
            </w:pPr>
            <w:r>
              <w:rPr>
                <w:rFonts w:hint="eastAsia"/>
                <w:highlight w:val="none"/>
                <w:lang w:val="en-US" w:eastAsia="zh-CN"/>
              </w:rPr>
              <w:t>方案及措施不太完善、全面、合理、得力，得1-0分；</w:t>
            </w:r>
          </w:p>
        </w:tc>
      </w:tr>
      <w:tr>
        <w:tblPrEx>
          <w:tblCellMar>
            <w:top w:w="0" w:type="dxa"/>
            <w:left w:w="108" w:type="dxa"/>
            <w:bottom w:w="0" w:type="dxa"/>
            <w:right w:w="108" w:type="dxa"/>
          </w:tblCellMar>
        </w:tblPrEx>
        <w:trPr>
          <w:trHeight w:val="46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highlight w:val="none"/>
                <w:lang w:val="en-US" w:eastAsia="zh-CN"/>
              </w:rPr>
            </w:pPr>
            <w:r>
              <w:rPr>
                <w:rFonts w:hint="eastAsia"/>
                <w:highlight w:val="none"/>
                <w:lang w:val="en-US" w:eastAsia="zh-CN"/>
              </w:rPr>
              <w:t>针对不同季节的绿化养护方案及措施：</w:t>
            </w:r>
          </w:p>
          <w:p>
            <w:pPr>
              <w:spacing w:line="440" w:lineRule="exact"/>
              <w:rPr>
                <w:rFonts w:hint="eastAsia"/>
                <w:highlight w:val="none"/>
                <w:lang w:val="en-US" w:eastAsia="zh-CN"/>
              </w:rPr>
            </w:pPr>
            <w:r>
              <w:rPr>
                <w:rFonts w:hint="eastAsia"/>
                <w:highlight w:val="none"/>
                <w:lang w:val="en-US" w:eastAsia="zh-CN"/>
              </w:rPr>
              <w:t>根据投标供应商针对本项目的不同季节的养护方案及措施</w:t>
            </w:r>
            <w:r>
              <w:rPr>
                <w:rFonts w:hint="eastAsia" w:ascii="宋体" w:hAnsi="宋体" w:eastAsia="宋体" w:cs="Times New Roman"/>
                <w:color w:val="auto"/>
                <w:kern w:val="2"/>
                <w:sz w:val="21"/>
                <w:szCs w:val="21"/>
                <w:highlight w:val="none"/>
                <w:lang w:val="en-US" w:eastAsia="zh-CN"/>
              </w:rPr>
              <w:t>情况进行评审</w:t>
            </w:r>
            <w:r>
              <w:rPr>
                <w:rFonts w:hint="eastAsia"/>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方案及措施</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得力，得5-3分；</w:t>
            </w:r>
          </w:p>
          <w:p>
            <w:pPr>
              <w:spacing w:line="440" w:lineRule="exact"/>
              <w:rPr>
                <w:rFonts w:hint="eastAsia" w:ascii="宋体" w:hAnsi="宋体" w:cs="Times New Roman"/>
                <w:color w:val="auto"/>
                <w:kern w:val="2"/>
                <w:sz w:val="21"/>
                <w:szCs w:val="21"/>
                <w:highlight w:val="none"/>
                <w:lang w:val="en-US" w:eastAsia="zh-CN"/>
              </w:rPr>
            </w:pPr>
            <w:r>
              <w:rPr>
                <w:rFonts w:hint="eastAsia"/>
                <w:highlight w:val="none"/>
                <w:lang w:val="en-US" w:eastAsia="zh-CN"/>
              </w:rPr>
              <w:t>方案及</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得力，得3-1分；</w:t>
            </w:r>
          </w:p>
          <w:p>
            <w:pPr>
              <w:spacing w:line="440" w:lineRule="exact"/>
              <w:rPr>
                <w:rFonts w:hint="eastAsia"/>
                <w:highlight w:val="none"/>
                <w:lang w:val="en-US" w:eastAsia="zh-CN"/>
              </w:rPr>
            </w:pPr>
            <w:r>
              <w:rPr>
                <w:rFonts w:hint="eastAsia"/>
                <w:highlight w:val="none"/>
                <w:lang w:val="en-US" w:eastAsia="zh-CN"/>
              </w:rPr>
              <w:t>方案及</w:t>
            </w: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完善、全面、合理、</w:t>
            </w:r>
            <w:r>
              <w:rPr>
                <w:rFonts w:hint="eastAsia" w:ascii="宋体" w:hAnsi="宋体" w:cs="Times New Roman"/>
                <w:color w:val="auto"/>
                <w:kern w:val="2"/>
                <w:sz w:val="21"/>
                <w:szCs w:val="21"/>
                <w:highlight w:val="none"/>
                <w:lang w:val="en-US" w:eastAsia="zh-CN"/>
              </w:rPr>
              <w:t>得力，得1-0分；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特殊时期的应急保障措施：</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宋体"/>
                <w:bCs/>
                <w:color w:val="auto"/>
                <w:szCs w:val="21"/>
                <w:highlight w:val="none"/>
                <w:shd w:val="clear" w:color="auto" w:fill="auto"/>
                <w:lang w:val="en-US" w:eastAsia="zh-CN"/>
              </w:rPr>
              <w:t>根据</w:t>
            </w:r>
            <w:r>
              <w:rPr>
                <w:rFonts w:hint="eastAsia" w:ascii="宋体" w:hAnsi="宋体" w:cs="宋体"/>
                <w:color w:val="auto"/>
                <w:szCs w:val="21"/>
                <w:highlight w:val="none"/>
                <w:shd w:val="clear" w:color="auto" w:fill="auto"/>
                <w:lang w:eastAsia="zh-CN"/>
              </w:rPr>
              <w:t>投标供应商</w:t>
            </w:r>
            <w:r>
              <w:rPr>
                <w:rFonts w:hint="eastAsia" w:ascii="宋体" w:hAnsi="宋体" w:eastAsia="宋体" w:cs="Times New Roman"/>
                <w:color w:val="auto"/>
                <w:kern w:val="2"/>
                <w:sz w:val="21"/>
                <w:szCs w:val="21"/>
                <w:highlight w:val="none"/>
                <w:lang w:val="en-US" w:eastAsia="zh-CN"/>
              </w:rPr>
              <w:t>针对本项目的活动节日时期（包括</w:t>
            </w:r>
            <w:r>
              <w:rPr>
                <w:rFonts w:hint="eastAsia" w:ascii="宋体" w:hAnsi="宋体" w:cs="宋体"/>
                <w:color w:val="auto"/>
                <w:szCs w:val="21"/>
                <w:highlight w:val="none"/>
                <w:shd w:val="clear" w:color="auto" w:fill="auto"/>
              </w:rPr>
              <w:t>大型活动、节庆假日</w:t>
            </w:r>
            <w:r>
              <w:rPr>
                <w:rFonts w:hint="eastAsia" w:ascii="宋体" w:hAnsi="宋体" w:cs="宋体"/>
                <w:color w:val="auto"/>
                <w:szCs w:val="21"/>
                <w:highlight w:val="none"/>
                <w:shd w:val="clear" w:color="auto" w:fill="auto"/>
                <w:lang w:val="en-US" w:eastAsia="zh-CN"/>
              </w:rPr>
              <w:t>等</w:t>
            </w:r>
            <w:r>
              <w:rPr>
                <w:rFonts w:hint="eastAsia" w:ascii="宋体" w:hAnsi="宋体" w:eastAsia="宋体" w:cs="Times New Roman"/>
                <w:color w:val="auto"/>
                <w:kern w:val="2"/>
                <w:sz w:val="21"/>
                <w:szCs w:val="21"/>
                <w:highlight w:val="none"/>
                <w:lang w:val="en-US" w:eastAsia="zh-CN"/>
              </w:rPr>
              <w:t>）、突发事件特殊时期（包括</w:t>
            </w:r>
            <w:r>
              <w:rPr>
                <w:rFonts w:hint="eastAsia" w:ascii="Times New Roman" w:hAnsi="Times New Roman" w:eastAsia="宋体" w:cs="宋体"/>
                <w:color w:val="auto"/>
                <w:spacing w:val="-7"/>
                <w:kern w:val="2"/>
                <w:sz w:val="21"/>
                <w:szCs w:val="21"/>
                <w:highlight w:val="none"/>
                <w:lang w:val="en-US" w:eastAsia="zh-CN" w:bidi="ar-SA"/>
              </w:rPr>
              <w:t>特殊气候天气</w:t>
            </w:r>
            <w:r>
              <w:rPr>
                <w:rFonts w:hint="eastAsia" w:cs="宋体"/>
                <w:color w:val="auto"/>
                <w:spacing w:val="-7"/>
                <w:kern w:val="2"/>
                <w:sz w:val="21"/>
                <w:szCs w:val="21"/>
                <w:highlight w:val="none"/>
                <w:lang w:val="en-US" w:eastAsia="zh-CN" w:bidi="ar-SA"/>
              </w:rPr>
              <w:t>、</w:t>
            </w:r>
            <w:r>
              <w:rPr>
                <w:rFonts w:hint="eastAsia" w:ascii="宋体" w:hAnsi="宋体" w:cs="宋体"/>
                <w:color w:val="auto"/>
                <w:sz w:val="21"/>
                <w:szCs w:val="21"/>
                <w:highlight w:val="none"/>
                <w:shd w:val="clear" w:color="auto" w:fill="auto"/>
              </w:rPr>
              <w:t>自然灾害</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Cs w:val="21"/>
                <w:highlight w:val="none"/>
                <w:shd w:val="clear" w:color="auto" w:fill="auto"/>
              </w:rPr>
              <w:t>创优评优和突击检查</w:t>
            </w:r>
            <w:r>
              <w:rPr>
                <w:rFonts w:hint="eastAsia" w:ascii="宋体" w:hAnsi="宋体" w:cs="宋体"/>
                <w:color w:val="auto"/>
                <w:szCs w:val="21"/>
                <w:highlight w:val="none"/>
                <w:shd w:val="clear" w:color="auto" w:fill="auto"/>
                <w:lang w:val="en-US" w:eastAsia="zh-CN"/>
              </w:rPr>
              <w:t>等</w:t>
            </w:r>
            <w:r>
              <w:rPr>
                <w:rFonts w:hint="eastAsia" w:ascii="宋体" w:hAnsi="宋体" w:eastAsia="宋体" w:cs="Times New Roman"/>
                <w:color w:val="auto"/>
                <w:kern w:val="2"/>
                <w:sz w:val="21"/>
                <w:szCs w:val="21"/>
                <w:highlight w:val="none"/>
                <w:lang w:val="en-US" w:eastAsia="zh-CN"/>
              </w:rPr>
              <w:t>）的应急保障措施情况进行评审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eastAsia="宋体" w:cs="Times New Roman"/>
                <w:color w:val="auto"/>
                <w:kern w:val="2"/>
                <w:sz w:val="21"/>
                <w:szCs w:val="21"/>
                <w:highlight w:val="none"/>
                <w:lang w:val="en-US" w:eastAsia="zh-CN"/>
              </w:rPr>
              <w:t>完善、全面、合理、响应及时</w:t>
            </w:r>
            <w:r>
              <w:rPr>
                <w:rFonts w:hint="eastAsia" w:ascii="宋体" w:hAnsi="宋体" w:cs="Times New Roman"/>
                <w:color w:val="auto"/>
                <w:kern w:val="2"/>
                <w:sz w:val="21"/>
                <w:szCs w:val="21"/>
                <w:highlight w:val="none"/>
                <w:lang w:val="en-US" w:eastAsia="zh-CN"/>
              </w:rPr>
              <w:t>，得5-3分；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完善、全面、合理、响应及时</w:t>
            </w:r>
            <w:r>
              <w:rPr>
                <w:rFonts w:hint="eastAsia" w:ascii="宋体" w:hAnsi="宋体" w:cs="Times New Roman"/>
                <w:color w:val="auto"/>
                <w:kern w:val="2"/>
                <w:sz w:val="21"/>
                <w:szCs w:val="21"/>
                <w:highlight w:val="none"/>
                <w:lang w:val="en-US" w:eastAsia="zh-CN"/>
              </w:rPr>
              <w:t>，得3-1分；</w:t>
            </w:r>
          </w:p>
          <w:p>
            <w:pPr>
              <w:spacing w:line="440" w:lineRule="exact"/>
              <w:rPr>
                <w:rFonts w:hint="default"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措施</w:t>
            </w:r>
            <w:r>
              <w:rPr>
                <w:rFonts w:hint="eastAsia" w:ascii="宋体" w:hAnsi="宋体" w:cs="Times New Roman"/>
                <w:color w:val="auto"/>
                <w:kern w:val="2"/>
                <w:sz w:val="21"/>
                <w:szCs w:val="21"/>
                <w:highlight w:val="none"/>
                <w:lang w:val="en-US" w:eastAsia="zh-CN"/>
              </w:rPr>
              <w:t>不太</w:t>
            </w:r>
            <w:r>
              <w:rPr>
                <w:rFonts w:hint="eastAsia" w:ascii="宋体" w:hAnsi="宋体" w:eastAsia="宋体" w:cs="Times New Roman"/>
                <w:color w:val="auto"/>
                <w:kern w:val="2"/>
                <w:sz w:val="21"/>
                <w:szCs w:val="21"/>
                <w:highlight w:val="none"/>
                <w:lang w:val="en-US" w:eastAsia="zh-CN"/>
              </w:rPr>
              <w:t>完善、全面、合理、响应</w:t>
            </w:r>
            <w:r>
              <w:rPr>
                <w:rFonts w:hint="eastAsia" w:ascii="宋体" w:hAnsi="宋体" w:cs="Times New Roman"/>
                <w:color w:val="auto"/>
                <w:kern w:val="2"/>
                <w:sz w:val="21"/>
                <w:szCs w:val="21"/>
                <w:highlight w:val="none"/>
                <w:lang w:val="en-US" w:eastAsia="zh-CN"/>
              </w:rPr>
              <w:t>不</w:t>
            </w:r>
            <w:r>
              <w:rPr>
                <w:rFonts w:hint="eastAsia" w:ascii="宋体" w:hAnsi="宋体" w:eastAsia="宋体" w:cs="Times New Roman"/>
                <w:color w:val="auto"/>
                <w:kern w:val="2"/>
                <w:sz w:val="21"/>
                <w:szCs w:val="21"/>
                <w:highlight w:val="none"/>
                <w:lang w:val="en-US" w:eastAsia="zh-CN"/>
              </w:rPr>
              <w:t>及时</w:t>
            </w:r>
            <w:r>
              <w:rPr>
                <w:rFonts w:hint="eastAsia" w:ascii="宋体" w:hAnsi="宋体" w:cs="Times New Roman"/>
                <w:color w:val="auto"/>
                <w:kern w:val="2"/>
                <w:sz w:val="21"/>
                <w:szCs w:val="21"/>
                <w:highlight w:val="none"/>
                <w:lang w:val="en-US" w:eastAsia="zh-CN"/>
              </w:rPr>
              <w:t>，得1-0分；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eastAsia="宋体" w:cs="Times New Roman"/>
                <w:snapToGrid w:val="0"/>
                <w:color w:val="auto"/>
                <w:spacing w:val="-4"/>
                <w:kern w:val="2"/>
                <w:sz w:val="21"/>
                <w:szCs w:val="21"/>
                <w:highlight w:val="none"/>
                <w:lang w:val="en-US" w:eastAsia="zh-CN"/>
              </w:rPr>
              <w:t>安全生产、文明施工、环保措施</w:t>
            </w:r>
            <w:r>
              <w:rPr>
                <w:rFonts w:hint="eastAsia" w:ascii="Times New Roman" w:hAnsi="Times New Roman" w:eastAsia="宋体" w:cs="宋体"/>
                <w:color w:val="auto"/>
                <w:spacing w:val="-7"/>
                <w:kern w:val="2"/>
                <w:sz w:val="21"/>
                <w:szCs w:val="21"/>
                <w:highlight w:val="none"/>
                <w:lang w:val="en-US" w:eastAsia="zh-CN" w:bidi="ar-SA"/>
              </w:rPr>
              <w:t>：</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cs="宋体"/>
                <w:color w:val="auto"/>
                <w:spacing w:val="-7"/>
                <w:kern w:val="2"/>
                <w:sz w:val="21"/>
                <w:szCs w:val="21"/>
                <w:highlight w:val="none"/>
                <w:lang w:val="en-US" w:eastAsia="zh-CN" w:bidi="ar-SA"/>
              </w:rPr>
              <w:t>根</w:t>
            </w:r>
            <w:r>
              <w:rPr>
                <w:rFonts w:hint="eastAsia" w:ascii="宋体" w:hAnsi="宋体" w:eastAsia="宋体" w:cs="Times New Roman"/>
                <w:color w:val="auto"/>
                <w:kern w:val="2"/>
                <w:sz w:val="21"/>
                <w:szCs w:val="21"/>
                <w:highlight w:val="none"/>
                <w:lang w:val="en-US" w:eastAsia="zh-CN"/>
              </w:rPr>
              <w:t>据投标供应商针对本项目的安全生产方案、文明施工方案、环保措施</w:t>
            </w:r>
            <w:r>
              <w:rPr>
                <w:rFonts w:hint="eastAsia" w:ascii="宋体" w:hAnsi="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en-US" w:eastAsia="zh-CN"/>
              </w:rPr>
              <w:t>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Times New Roman"/>
                <w:color w:val="auto"/>
                <w:kern w:val="2"/>
                <w:sz w:val="21"/>
                <w:szCs w:val="21"/>
                <w:highlight w:val="none"/>
                <w:lang w:val="en-US" w:eastAsia="zh-CN"/>
              </w:rPr>
              <w:t>方案全面、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强，得5-3分；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cs="Times New Roman"/>
                <w:color w:val="auto"/>
                <w:kern w:val="2"/>
                <w:sz w:val="21"/>
                <w:szCs w:val="21"/>
                <w:highlight w:val="none"/>
                <w:lang w:val="en-US" w:eastAsia="zh-CN"/>
              </w:rPr>
              <w:t>方案较全面、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强，得3-1分；</w:t>
            </w:r>
          </w:p>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rPr>
              <w:t>方案不太全面、</w:t>
            </w:r>
            <w:r>
              <w:rPr>
                <w:rFonts w:hint="eastAsia" w:ascii="宋体" w:hAnsi="宋体" w:eastAsia="宋体" w:cs="Times New Roman"/>
                <w:color w:val="auto"/>
                <w:kern w:val="2"/>
                <w:sz w:val="21"/>
                <w:szCs w:val="21"/>
                <w:highlight w:val="none"/>
                <w:lang w:val="en-US" w:eastAsia="zh-CN"/>
              </w:rPr>
              <w:t>合理</w:t>
            </w:r>
            <w:r>
              <w:rPr>
                <w:rFonts w:hint="eastAsia" w:ascii="宋体"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针对性</w:t>
            </w:r>
            <w:r>
              <w:rPr>
                <w:rFonts w:hint="eastAsia" w:ascii="宋体" w:hAnsi="宋体" w:cs="Times New Roman"/>
                <w:color w:val="auto"/>
                <w:kern w:val="2"/>
                <w:sz w:val="21"/>
                <w:szCs w:val="21"/>
                <w:highlight w:val="none"/>
                <w:lang w:val="en-US" w:eastAsia="zh-CN"/>
              </w:rPr>
              <w:t>弱，得1-0分；</w:t>
            </w:r>
          </w:p>
        </w:tc>
      </w:tr>
      <w:tr>
        <w:tblPrEx>
          <w:tblCellMar>
            <w:top w:w="0" w:type="dxa"/>
            <w:left w:w="108" w:type="dxa"/>
            <w:bottom w:w="0" w:type="dxa"/>
            <w:right w:w="108" w:type="dxa"/>
          </w:tblCellMar>
        </w:tblPrEx>
        <w:trPr>
          <w:trHeight w:val="558"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服务</w:t>
            </w:r>
            <w:r>
              <w:rPr>
                <w:rFonts w:hint="eastAsia" w:ascii="Times New Roman" w:hAnsi="Times New Roman" w:eastAsia="宋体" w:cs="宋体"/>
                <w:color w:val="auto"/>
                <w:spacing w:val="-7"/>
                <w:kern w:val="2"/>
                <w:sz w:val="21"/>
                <w:szCs w:val="21"/>
                <w:highlight w:val="none"/>
                <w:lang w:val="zh-CN" w:eastAsia="zh-CN" w:bidi="ar-SA"/>
              </w:rPr>
              <w:t>保障</w:t>
            </w:r>
            <w:r>
              <w:rPr>
                <w:rFonts w:hint="eastAsia" w:ascii="宋体" w:hAnsi="宋体" w:cs="宋体"/>
                <w:color w:val="auto"/>
                <w:szCs w:val="21"/>
                <w:highlight w:val="none"/>
                <w:shd w:val="clear" w:color="auto" w:fill="auto"/>
              </w:rPr>
              <w:t>措施</w:t>
            </w:r>
            <w:r>
              <w:rPr>
                <w:rFonts w:hint="eastAsia" w:ascii="宋体" w:hAnsi="宋体" w:cs="宋体"/>
                <w:color w:val="auto"/>
                <w:szCs w:val="21"/>
                <w:highlight w:val="none"/>
                <w:shd w:val="clear" w:color="auto" w:fill="auto"/>
                <w:lang w:eastAsia="zh-CN"/>
              </w:rPr>
              <w:t>：</w:t>
            </w:r>
          </w:p>
          <w:p>
            <w:pPr>
              <w:spacing w:line="440" w:lineRule="exact"/>
              <w:rPr>
                <w:rFonts w:hint="eastAsia" w:ascii="Times New Roman" w:hAnsi="Times New Roman" w:eastAsia="宋体" w:cs="宋体"/>
                <w:color w:val="auto"/>
                <w:spacing w:val="-7"/>
                <w:kern w:val="2"/>
                <w:sz w:val="21"/>
                <w:szCs w:val="21"/>
                <w:highlight w:val="none"/>
                <w:lang w:val="zh-CN" w:eastAsia="zh-CN" w:bidi="ar-SA"/>
              </w:rPr>
            </w:pPr>
            <w:r>
              <w:rPr>
                <w:rFonts w:hint="eastAsia" w:ascii="Times New Roman" w:hAnsi="Times New Roman" w:eastAsia="宋体" w:cs="宋体"/>
                <w:color w:val="auto"/>
                <w:spacing w:val="-7"/>
                <w:kern w:val="2"/>
                <w:sz w:val="21"/>
                <w:szCs w:val="21"/>
                <w:highlight w:val="none"/>
                <w:lang w:val="zh-CN" w:eastAsia="zh-CN" w:bidi="ar-SA"/>
              </w:rPr>
              <w:t>有完善的服务保障措施，包括组织保障、人员保障</w:t>
            </w:r>
            <w:r>
              <w:rPr>
                <w:rFonts w:hint="eastAsia" w:ascii="宋体" w:hAnsi="宋体" w:eastAsia="宋体" w:cs="Times New Roman"/>
                <w:color w:val="auto"/>
                <w:kern w:val="2"/>
                <w:sz w:val="21"/>
                <w:szCs w:val="21"/>
                <w:highlight w:val="none"/>
                <w:lang w:val="en-US" w:eastAsia="zh-CN"/>
              </w:rPr>
              <w:t>情况进行评审</w:t>
            </w:r>
            <w:r>
              <w:rPr>
                <w:rFonts w:hint="eastAsia" w:ascii="Times New Roman" w:hAnsi="Times New Roman" w:eastAsia="宋体" w:cs="宋体"/>
                <w:color w:val="auto"/>
                <w:spacing w:val="-7"/>
                <w:kern w:val="2"/>
                <w:sz w:val="21"/>
                <w:szCs w:val="21"/>
                <w:highlight w:val="none"/>
                <w:lang w:val="zh-CN" w:eastAsia="zh-CN" w:bidi="ar-SA"/>
              </w:rPr>
              <w:t>，</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eastAsia="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得5-3分；</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cs="Times New Roman"/>
                <w:color w:val="auto"/>
                <w:kern w:val="2"/>
                <w:sz w:val="21"/>
                <w:szCs w:val="21"/>
                <w:highlight w:val="none"/>
                <w:lang w:val="en-US" w:eastAsia="zh-CN"/>
              </w:rPr>
              <w:t>较</w:t>
            </w:r>
            <w:r>
              <w:rPr>
                <w:rFonts w:hint="eastAsia" w:ascii="宋体" w:hAnsi="宋体" w:eastAsia="宋体" w:cs="Times New Roman"/>
                <w:color w:val="auto"/>
                <w:kern w:val="2"/>
                <w:sz w:val="21"/>
                <w:szCs w:val="21"/>
                <w:highlight w:val="none"/>
                <w:lang w:val="en-US" w:eastAsia="zh-CN"/>
              </w:rPr>
              <w:t>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得3-</w:t>
            </w:r>
            <w:r>
              <w:rPr>
                <w:rFonts w:hint="eastAsia" w:ascii="宋体" w:hAnsi="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val="en-US" w:eastAsia="zh-CN"/>
              </w:rPr>
              <w:t>分；</w:t>
            </w:r>
          </w:p>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措施</w:t>
            </w:r>
            <w:r>
              <w:rPr>
                <w:rFonts w:hint="eastAsia" w:ascii="宋体" w:hAnsi="宋体" w:eastAsia="宋体" w:cs="Times New Roman"/>
                <w:color w:val="auto"/>
                <w:kern w:val="2"/>
                <w:sz w:val="21"/>
                <w:szCs w:val="21"/>
                <w:highlight w:val="none"/>
                <w:lang w:val="zh-CN" w:eastAsia="zh-CN"/>
              </w:rPr>
              <w:t>内容</w:t>
            </w:r>
            <w:r>
              <w:rPr>
                <w:rFonts w:hint="eastAsia" w:ascii="宋体" w:hAnsi="宋体" w:eastAsia="宋体" w:cs="Times New Roman"/>
                <w:color w:val="auto"/>
                <w:kern w:val="2"/>
                <w:sz w:val="21"/>
                <w:szCs w:val="21"/>
                <w:highlight w:val="none"/>
                <w:lang w:val="en-US" w:eastAsia="zh-CN"/>
              </w:rPr>
              <w:t>不够全面、</w:t>
            </w:r>
            <w:r>
              <w:rPr>
                <w:rFonts w:hint="eastAsia" w:ascii="宋体" w:hAnsi="宋体" w:eastAsia="宋体" w:cs="Times New Roman"/>
                <w:color w:val="auto"/>
                <w:kern w:val="2"/>
                <w:sz w:val="21"/>
                <w:szCs w:val="21"/>
                <w:highlight w:val="none"/>
                <w:lang w:val="zh-CN" w:eastAsia="zh-CN"/>
              </w:rPr>
              <w:t>详实、</w:t>
            </w:r>
            <w:r>
              <w:rPr>
                <w:rFonts w:hint="eastAsia" w:ascii="宋体" w:hAnsi="宋体" w:eastAsia="宋体" w:cs="Times New Roman"/>
                <w:color w:val="auto"/>
                <w:kern w:val="2"/>
                <w:sz w:val="21"/>
                <w:szCs w:val="21"/>
                <w:highlight w:val="none"/>
                <w:lang w:val="en-US" w:eastAsia="zh-CN"/>
              </w:rPr>
              <w:t>得力</w:t>
            </w:r>
            <w:r>
              <w:rPr>
                <w:rFonts w:hint="eastAsia" w:ascii="宋体" w:hAnsi="宋体" w:eastAsia="宋体" w:cs="Times New Roman"/>
                <w:color w:val="auto"/>
                <w:kern w:val="2"/>
                <w:sz w:val="21"/>
                <w:szCs w:val="21"/>
                <w:highlight w:val="none"/>
                <w:lang w:val="zh-CN" w:eastAsia="zh-CN"/>
              </w:rPr>
              <w:t>，</w:t>
            </w:r>
            <w:r>
              <w:rPr>
                <w:rFonts w:hint="eastAsia" w:ascii="宋体" w:hAnsi="宋体" w:eastAsia="宋体" w:cs="Times New Roman"/>
                <w:color w:val="auto"/>
                <w:kern w:val="2"/>
                <w:sz w:val="21"/>
                <w:szCs w:val="21"/>
                <w:highlight w:val="none"/>
                <w:lang w:val="en-US" w:eastAsia="zh-CN"/>
              </w:rPr>
              <w:t>得</w:t>
            </w:r>
            <w:r>
              <w:rPr>
                <w:rFonts w:hint="eastAsia" w:ascii="宋体" w:hAnsi="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val="en-US" w:eastAsia="zh-CN"/>
              </w:rPr>
              <w:t>-0分；</w:t>
            </w:r>
          </w:p>
        </w:tc>
      </w:tr>
      <w:tr>
        <w:tblPrEx>
          <w:tblCellMar>
            <w:top w:w="0" w:type="dxa"/>
            <w:left w:w="108" w:type="dxa"/>
            <w:bottom w:w="0" w:type="dxa"/>
            <w:right w:w="108" w:type="dxa"/>
          </w:tblCellMar>
        </w:tblPrEx>
        <w:trPr>
          <w:trHeight w:val="2635" w:hRule="atLeast"/>
        </w:trPr>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cs="宋体"/>
                <w:color w:val="000000"/>
                <w:szCs w:val="21"/>
                <w:highlight w:val="none"/>
              </w:rPr>
            </w:pPr>
          </w:p>
        </w:tc>
        <w:tc>
          <w:tcPr>
            <w:tcW w:w="795" w:type="dxa"/>
            <w:tcBorders>
              <w:top w:val="single" w:color="auto" w:sz="4" w:space="0"/>
              <w:left w:val="single" w:color="auto" w:sz="4" w:space="0"/>
              <w:right w:val="single" w:color="auto" w:sz="4" w:space="0"/>
            </w:tcBorders>
            <w:noWrap w:val="0"/>
            <w:vAlign w:val="center"/>
          </w:tcPr>
          <w:p>
            <w:pPr>
              <w:spacing w:line="440" w:lineRule="exact"/>
              <w:ind w:firstLine="210" w:firstLineChars="100"/>
              <w:jc w:val="both"/>
              <w:rPr>
                <w:rFonts w:hint="eastAsia" w:ascii="宋体" w:hAnsi="宋体" w:cs="宋体"/>
                <w:color w:val="auto"/>
                <w:kern w:val="0"/>
                <w:sz w:val="21"/>
                <w:szCs w:val="21"/>
                <w:highlight w:val="none"/>
                <w:lang w:val="en-US" w:eastAsia="zh-CN" w:bidi="ar-SA"/>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7308"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重难点分析及解决方案：</w:t>
            </w:r>
          </w:p>
          <w:p>
            <w:pPr>
              <w:spacing w:line="440" w:lineRule="exact"/>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根据投标供应商针对本项目的重难点分析（养护区域重点难点分析有针对性）及重难点的解决方案（包括对养护区域重点难点解决方案完整）情况进行评审</w:t>
            </w:r>
            <w:r>
              <w:rPr>
                <w:rFonts w:hint="eastAsia" w:ascii="宋体" w:hAnsi="宋体" w:cs="Times New Roman"/>
                <w:color w:val="auto"/>
                <w:kern w:val="2"/>
                <w:sz w:val="21"/>
                <w:szCs w:val="21"/>
                <w:highlight w:val="none"/>
                <w:lang w:val="en-US" w:eastAsia="zh-CN"/>
              </w:rPr>
              <w:t>；</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措施针对性强、</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可行，得5-3分；</w:t>
            </w:r>
          </w:p>
          <w:p>
            <w:pPr>
              <w:spacing w:line="440" w:lineRule="exact"/>
              <w:rPr>
                <w:rFonts w:hint="eastAsia" w:ascii="宋体" w:hAnsi="宋体" w:cs="Times New Roman"/>
                <w:color w:val="auto"/>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措施较强针对性、</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可行，得3-1分；</w:t>
            </w:r>
          </w:p>
          <w:p>
            <w:pPr>
              <w:spacing w:line="440" w:lineRule="exact"/>
              <w:rPr>
                <w:rFonts w:hint="eastAsia" w:ascii="宋体" w:hAnsi="宋体" w:eastAsia="宋体" w:cs="Times New Roman"/>
                <w:snapToGrid w:val="0"/>
                <w:color w:val="auto"/>
                <w:spacing w:val="-4"/>
                <w:kern w:val="2"/>
                <w:sz w:val="21"/>
                <w:szCs w:val="21"/>
                <w:highlight w:val="none"/>
                <w:lang w:val="en-US" w:eastAsia="zh-CN"/>
              </w:rPr>
            </w:pPr>
            <w:r>
              <w:rPr>
                <w:rFonts w:hint="eastAsia" w:ascii="宋体" w:hAnsi="宋体" w:eastAsia="宋体" w:cs="Times New Roman"/>
                <w:snapToGrid w:val="0"/>
                <w:color w:val="auto"/>
                <w:spacing w:val="-4"/>
                <w:kern w:val="2"/>
                <w:sz w:val="21"/>
                <w:szCs w:val="21"/>
                <w:highlight w:val="none"/>
                <w:lang w:val="en-US" w:eastAsia="zh-CN"/>
              </w:rPr>
              <w:t>分析及</w:t>
            </w:r>
            <w:r>
              <w:rPr>
                <w:rFonts w:hint="eastAsia"/>
                <w:highlight w:val="none"/>
                <w:lang w:val="en-US" w:eastAsia="zh-CN"/>
              </w:rPr>
              <w:t>措施针对性不强、不太</w:t>
            </w:r>
            <w:r>
              <w:rPr>
                <w:rFonts w:hint="eastAsia" w:ascii="宋体" w:hAnsi="宋体" w:eastAsia="宋体" w:cs="Times New Roman"/>
                <w:color w:val="auto"/>
                <w:kern w:val="2"/>
                <w:sz w:val="21"/>
                <w:szCs w:val="21"/>
                <w:highlight w:val="none"/>
                <w:lang w:val="en-US" w:eastAsia="zh-CN"/>
              </w:rPr>
              <w:t>全面、合理、</w:t>
            </w:r>
            <w:r>
              <w:rPr>
                <w:rFonts w:hint="eastAsia" w:ascii="宋体" w:hAnsi="宋体" w:cs="Times New Roman"/>
                <w:color w:val="auto"/>
                <w:kern w:val="2"/>
                <w:sz w:val="21"/>
                <w:szCs w:val="21"/>
                <w:highlight w:val="none"/>
                <w:lang w:val="en-US" w:eastAsia="zh-CN"/>
              </w:rPr>
              <w:t>可行，得1-0分；</w:t>
            </w:r>
          </w:p>
        </w:tc>
      </w:tr>
      <w:tr>
        <w:tblPrEx>
          <w:tblCellMar>
            <w:top w:w="0" w:type="dxa"/>
            <w:left w:w="108" w:type="dxa"/>
            <w:bottom w:w="0" w:type="dxa"/>
            <w:right w:w="108" w:type="dxa"/>
          </w:tblCellMar>
        </w:tblPrEx>
        <w:trPr>
          <w:trHeight w:val="942"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cs="宋体"/>
                <w:color w:val="auto"/>
                <w:spacing w:val="-7"/>
                <w:kern w:val="2"/>
                <w:sz w:val="21"/>
                <w:szCs w:val="21"/>
                <w:highlight w:val="none"/>
                <w:lang w:val="en-US" w:eastAsia="zh-CN" w:bidi="ar-SA"/>
              </w:rPr>
              <w:t>企业</w:t>
            </w:r>
            <w:r>
              <w:rPr>
                <w:rFonts w:hint="eastAsia" w:ascii="Times New Roman" w:hAnsi="Times New Roman" w:eastAsia="宋体" w:cs="宋体"/>
                <w:color w:val="auto"/>
                <w:spacing w:val="-7"/>
                <w:kern w:val="2"/>
                <w:sz w:val="21"/>
                <w:szCs w:val="21"/>
                <w:highlight w:val="none"/>
                <w:lang w:val="en-US" w:eastAsia="zh-CN" w:bidi="ar-SA"/>
              </w:rPr>
              <w:t>业绩</w:t>
            </w:r>
          </w:p>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ascii="Times New Roman" w:hAnsi="Times New Roman" w:eastAsia="宋体" w:cs="宋体"/>
                <w:color w:val="auto"/>
                <w:spacing w:val="-7"/>
                <w:kern w:val="2"/>
                <w:sz w:val="21"/>
                <w:szCs w:val="21"/>
                <w:highlight w:val="none"/>
                <w:lang w:val="en-US" w:eastAsia="zh-CN" w:bidi="ar-SA"/>
              </w:rPr>
              <w:t>（10分）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pacing w:val="-7"/>
                <w:kern w:val="2"/>
                <w:sz w:val="21"/>
                <w:szCs w:val="21"/>
                <w:highlight w:val="none"/>
                <w:lang w:val="en-US" w:eastAsia="zh-CN" w:bidi="ar-SA"/>
              </w:rPr>
            </w:pPr>
            <w:r>
              <w:rPr>
                <w:rFonts w:hint="eastAsia" w:ascii="Times New Roman" w:hAnsi="Times New Roman" w:eastAsia="宋体" w:cs="宋体"/>
                <w:color w:val="auto"/>
                <w:spacing w:val="-7"/>
                <w:kern w:val="2"/>
                <w:sz w:val="21"/>
                <w:szCs w:val="21"/>
                <w:highlight w:val="none"/>
                <w:lang w:val="en-US" w:eastAsia="zh-CN" w:bidi="ar-SA"/>
              </w:rPr>
              <w:t>10分</w:t>
            </w:r>
          </w:p>
        </w:tc>
        <w:tc>
          <w:tcPr>
            <w:tcW w:w="730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eastAsia="宋体" w:cs="宋体"/>
                <w:color w:val="auto"/>
                <w:spacing w:val="-7"/>
                <w:kern w:val="2"/>
                <w:sz w:val="21"/>
                <w:szCs w:val="21"/>
                <w:highlight w:val="none"/>
                <w:lang w:val="en-US" w:eastAsia="zh-CN" w:bidi="ar-SA"/>
              </w:rPr>
            </w:pPr>
            <w:r>
              <w:rPr>
                <w:rFonts w:hint="eastAsia" w:cs="宋体"/>
                <w:color w:val="auto"/>
                <w:spacing w:val="-7"/>
                <w:kern w:val="2"/>
                <w:sz w:val="21"/>
                <w:szCs w:val="21"/>
                <w:highlight w:val="none"/>
                <w:lang w:val="zh-CN" w:eastAsia="zh-CN" w:bidi="ar-SA"/>
              </w:rPr>
              <w:t>投标供应商</w:t>
            </w:r>
            <w:r>
              <w:rPr>
                <w:rFonts w:hint="eastAsia" w:ascii="Times New Roman" w:hAnsi="Times New Roman" w:eastAsia="宋体" w:cs="宋体"/>
                <w:color w:val="auto"/>
                <w:spacing w:val="-7"/>
                <w:kern w:val="2"/>
                <w:sz w:val="21"/>
                <w:szCs w:val="21"/>
                <w:highlight w:val="none"/>
                <w:lang w:val="zh-CN" w:eastAsia="zh-CN" w:bidi="ar-SA"/>
              </w:rPr>
              <w:t>提供近三年（20</w:t>
            </w:r>
            <w:r>
              <w:rPr>
                <w:rFonts w:hint="eastAsia" w:ascii="Times New Roman" w:hAnsi="Times New Roman" w:eastAsia="宋体" w:cs="宋体"/>
                <w:color w:val="auto"/>
                <w:spacing w:val="-7"/>
                <w:kern w:val="2"/>
                <w:sz w:val="21"/>
                <w:szCs w:val="21"/>
                <w:highlight w:val="none"/>
                <w:lang w:val="en-US" w:eastAsia="zh-CN" w:bidi="ar-SA"/>
              </w:rPr>
              <w:t>20</w:t>
            </w:r>
            <w:r>
              <w:rPr>
                <w:rFonts w:hint="eastAsia" w:ascii="Times New Roman" w:hAnsi="Times New Roman" w:eastAsia="宋体" w:cs="宋体"/>
                <w:color w:val="auto"/>
                <w:spacing w:val="-7"/>
                <w:kern w:val="2"/>
                <w:sz w:val="21"/>
                <w:szCs w:val="21"/>
                <w:highlight w:val="none"/>
                <w:lang w:val="zh-CN" w:eastAsia="zh-CN" w:bidi="ar-SA"/>
              </w:rPr>
              <w:t>年1月1日至今）的类似项目业绩</w:t>
            </w:r>
            <w:r>
              <w:rPr>
                <w:rFonts w:hint="eastAsia" w:cs="宋体"/>
                <w:color w:val="auto"/>
                <w:spacing w:val="-7"/>
                <w:kern w:val="2"/>
                <w:sz w:val="21"/>
                <w:szCs w:val="21"/>
                <w:highlight w:val="none"/>
                <w:lang w:val="zh-CN" w:eastAsia="zh-CN" w:bidi="ar-SA"/>
              </w:rPr>
              <w:t>【</w:t>
            </w:r>
            <w:r>
              <w:rPr>
                <w:rFonts w:hint="eastAsia" w:cs="宋体"/>
                <w:color w:val="auto"/>
                <w:spacing w:val="-7"/>
                <w:kern w:val="2"/>
                <w:sz w:val="21"/>
                <w:szCs w:val="21"/>
                <w:highlight w:val="none"/>
                <w:lang w:val="en-US" w:eastAsia="zh-CN" w:bidi="ar-SA"/>
              </w:rPr>
              <w:t>绿化养护服务业绩或园林绿化工程施工业绩（含养护）</w:t>
            </w:r>
            <w:r>
              <w:rPr>
                <w:rFonts w:hint="eastAsia" w:cs="宋体"/>
                <w:color w:val="auto"/>
                <w:spacing w:val="-7"/>
                <w:kern w:val="2"/>
                <w:sz w:val="21"/>
                <w:szCs w:val="21"/>
                <w:highlight w:val="none"/>
                <w:lang w:val="zh-CN" w:eastAsia="zh-CN" w:bidi="ar-SA"/>
              </w:rPr>
              <w:t>】</w:t>
            </w:r>
            <w:r>
              <w:rPr>
                <w:rFonts w:hint="eastAsia" w:ascii="Times New Roman" w:hAnsi="Times New Roman" w:eastAsia="宋体" w:cs="宋体"/>
                <w:color w:val="auto"/>
                <w:spacing w:val="-7"/>
                <w:kern w:val="2"/>
                <w:sz w:val="21"/>
                <w:szCs w:val="21"/>
                <w:highlight w:val="none"/>
                <w:lang w:val="zh-CN" w:eastAsia="zh-CN" w:bidi="ar-SA"/>
              </w:rPr>
              <w:t>每提供一项得</w:t>
            </w:r>
            <w:r>
              <w:rPr>
                <w:rFonts w:hint="eastAsia" w:cs="宋体"/>
                <w:color w:val="auto"/>
                <w:spacing w:val="-7"/>
                <w:kern w:val="2"/>
                <w:sz w:val="21"/>
                <w:szCs w:val="21"/>
                <w:highlight w:val="none"/>
                <w:lang w:val="en-US" w:eastAsia="zh-CN" w:bidi="ar-SA"/>
              </w:rPr>
              <w:t>5</w:t>
            </w:r>
            <w:r>
              <w:rPr>
                <w:rFonts w:hint="eastAsia" w:ascii="Times New Roman" w:hAnsi="Times New Roman" w:eastAsia="宋体" w:cs="宋体"/>
                <w:color w:val="auto"/>
                <w:spacing w:val="-7"/>
                <w:kern w:val="2"/>
                <w:sz w:val="21"/>
                <w:szCs w:val="21"/>
                <w:highlight w:val="none"/>
                <w:lang w:val="zh-CN" w:eastAsia="zh-CN" w:bidi="ar-SA"/>
              </w:rPr>
              <w:t>分，最高得</w:t>
            </w:r>
            <w:r>
              <w:rPr>
                <w:rFonts w:hint="eastAsia" w:ascii="Times New Roman" w:hAnsi="Times New Roman" w:eastAsia="宋体" w:cs="宋体"/>
                <w:color w:val="auto"/>
                <w:spacing w:val="-7"/>
                <w:kern w:val="2"/>
                <w:sz w:val="21"/>
                <w:szCs w:val="21"/>
                <w:highlight w:val="none"/>
                <w:lang w:val="en-US" w:eastAsia="zh-CN" w:bidi="ar-SA"/>
              </w:rPr>
              <w:t>10</w:t>
            </w:r>
            <w:r>
              <w:rPr>
                <w:rFonts w:hint="eastAsia" w:ascii="Times New Roman" w:hAnsi="Times New Roman" w:eastAsia="宋体" w:cs="宋体"/>
                <w:color w:val="auto"/>
                <w:spacing w:val="-7"/>
                <w:kern w:val="2"/>
                <w:sz w:val="21"/>
                <w:szCs w:val="21"/>
                <w:highlight w:val="none"/>
                <w:lang w:val="zh-CN" w:eastAsia="zh-CN" w:bidi="ar-SA"/>
              </w:rPr>
              <w:t>分，业绩证明以</w:t>
            </w:r>
            <w:r>
              <w:rPr>
                <w:rFonts w:hint="eastAsia" w:cs="宋体"/>
                <w:color w:val="auto"/>
                <w:spacing w:val="-7"/>
                <w:kern w:val="2"/>
                <w:sz w:val="21"/>
                <w:szCs w:val="21"/>
                <w:highlight w:val="none"/>
                <w:lang w:val="en-US" w:eastAsia="zh-CN" w:bidi="ar-SA"/>
              </w:rPr>
              <w:t>加盖公章的</w:t>
            </w:r>
            <w:r>
              <w:rPr>
                <w:rFonts w:hint="eastAsia" w:ascii="Times New Roman" w:hAnsi="Times New Roman" w:eastAsia="宋体" w:cs="宋体"/>
                <w:color w:val="auto"/>
                <w:spacing w:val="-7"/>
                <w:kern w:val="2"/>
                <w:sz w:val="21"/>
                <w:szCs w:val="21"/>
                <w:highlight w:val="none"/>
                <w:lang w:val="zh-CN" w:eastAsia="zh-CN" w:bidi="ar-SA"/>
              </w:rPr>
              <w:t>合同</w:t>
            </w:r>
            <w:r>
              <w:rPr>
                <w:rFonts w:hint="eastAsia" w:ascii="Times New Roman" w:hAnsi="Times New Roman" w:eastAsia="宋体" w:cs="宋体"/>
                <w:color w:val="auto"/>
                <w:spacing w:val="-7"/>
                <w:kern w:val="2"/>
                <w:sz w:val="21"/>
                <w:szCs w:val="21"/>
                <w:highlight w:val="none"/>
                <w:lang w:val="en-US" w:eastAsia="zh-CN" w:bidi="ar-SA"/>
              </w:rPr>
              <w:t>扫描件</w:t>
            </w:r>
            <w:r>
              <w:rPr>
                <w:rFonts w:hint="eastAsia" w:ascii="Times New Roman" w:hAnsi="Times New Roman" w:eastAsia="宋体" w:cs="宋体"/>
                <w:color w:val="auto"/>
                <w:spacing w:val="-7"/>
                <w:kern w:val="2"/>
                <w:sz w:val="21"/>
                <w:szCs w:val="21"/>
                <w:highlight w:val="none"/>
                <w:lang w:val="zh-CN" w:eastAsia="zh-CN" w:bidi="ar-SA"/>
              </w:rPr>
              <w:t>为准。</w:t>
            </w:r>
          </w:p>
        </w:tc>
      </w:tr>
    </w:tbl>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3、评审程序</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依照</w:t>
      </w:r>
      <w:r>
        <w:rPr>
          <w:rFonts w:hint="eastAsia" w:ascii="宋体" w:hAnsi="宋体" w:cs="宋体"/>
          <w:color w:val="000000"/>
          <w:szCs w:val="21"/>
          <w:highlight w:val="none"/>
          <w:lang w:eastAsia="zh-CN"/>
        </w:rPr>
        <w:t>招标文件</w:t>
      </w:r>
      <w:r>
        <w:rPr>
          <w:rFonts w:hint="eastAsia" w:ascii="宋体" w:hAnsi="宋体" w:cs="宋体"/>
          <w:color w:val="000000"/>
          <w:szCs w:val="21"/>
          <w:highlight w:val="none"/>
        </w:rPr>
        <w:t>的要求和规定，采用分步评审，</w:t>
      </w:r>
      <w:r>
        <w:rPr>
          <w:rFonts w:hint="eastAsia" w:ascii="宋体" w:hAnsi="宋体" w:cs="宋体"/>
          <w:color w:val="000000"/>
          <w:szCs w:val="21"/>
          <w:highlight w:val="none"/>
          <w:lang w:val="en-US" w:eastAsia="zh-CN"/>
        </w:rPr>
        <w:t>开标结束后</w:t>
      </w:r>
      <w:r>
        <w:rPr>
          <w:rFonts w:hint="eastAsia" w:ascii="宋体" w:hAnsi="宋体" w:cs="宋体"/>
          <w:color w:val="000000"/>
          <w:szCs w:val="21"/>
          <w:highlight w:val="none"/>
        </w:rPr>
        <w:t>首</w:t>
      </w:r>
      <w:r>
        <w:rPr>
          <w:rFonts w:hint="eastAsia" w:ascii="宋体" w:hAnsi="宋体" w:eastAsia="宋体" w:cs="宋体"/>
          <w:color w:val="000000"/>
          <w:szCs w:val="21"/>
          <w:highlight w:val="none"/>
          <w:lang w:val="en-US" w:eastAsia="zh-CN"/>
        </w:rPr>
        <w:t>先由采购人或者采购代理机构对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的投标资格进行审查，</w:t>
      </w:r>
      <w:r>
        <w:rPr>
          <w:rFonts w:hint="eastAsia" w:ascii="宋体" w:hAnsi="宋体" w:cs="宋体"/>
          <w:color w:val="000000"/>
          <w:szCs w:val="21"/>
          <w:highlight w:val="none"/>
          <w:lang w:val="en-US" w:eastAsia="zh-CN"/>
        </w:rPr>
        <w:t>审查后由</w:t>
      </w:r>
      <w:r>
        <w:rPr>
          <w:rFonts w:hint="eastAsia" w:ascii="宋体" w:hAnsi="宋体" w:cs="宋体"/>
          <w:color w:val="000000"/>
          <w:szCs w:val="21"/>
          <w:highlight w:val="none"/>
        </w:rPr>
        <w:t>评标委员会对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的投标文件进行符合性审查。资格性审查不通过的不进入符合性审查，符合性审查不通过的</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，将不再进入下一阶段的评审。审查均合格的投标文件进行详细评审。</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4、汇总得分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评标委员会成员独立评分，按评审后综合得分由高到低顺序排列。得分相同的，按投标报价由低到高顺序排列。得分且投标报价相同的，</w:t>
      </w:r>
      <w:r>
        <w:rPr>
          <w:rFonts w:hint="eastAsia" w:ascii="宋体" w:hAnsi="宋体" w:eastAsia="宋体" w:cs="宋体"/>
          <w:szCs w:val="21"/>
          <w:highlight w:val="none"/>
          <w:lang w:val="en-US" w:eastAsia="zh-CN"/>
        </w:rPr>
        <w:t>依次比较企业业绩、</w:t>
      </w:r>
      <w:r>
        <w:rPr>
          <w:rFonts w:hint="eastAsia" w:ascii="宋体" w:hAnsi="宋体" w:eastAsia="宋体" w:cs="宋体"/>
          <w:szCs w:val="21"/>
          <w:highlight w:val="none"/>
          <w:lang w:val="zh-CN" w:eastAsia="zh-CN"/>
        </w:rPr>
        <w:t>服务承诺、</w:t>
      </w:r>
      <w:r>
        <w:rPr>
          <w:rFonts w:hint="eastAsia" w:ascii="宋体" w:hAnsi="宋体" w:eastAsia="宋体" w:cs="宋体"/>
          <w:szCs w:val="21"/>
          <w:highlight w:val="none"/>
          <w:lang w:val="en-US" w:eastAsia="zh-CN"/>
        </w:rPr>
        <w:t>机械设备、技术方案各分项得分</w:t>
      </w:r>
      <w:r>
        <w:rPr>
          <w:rFonts w:hint="eastAsia" w:ascii="宋体" w:hAnsi="宋体" w:cs="宋体"/>
          <w:color w:val="000000"/>
          <w:szCs w:val="21"/>
          <w:highlight w:val="none"/>
        </w:rPr>
        <w:t>，此技术得分高者排在前；评委评分超过得分界限或未按照本办法规定时，该评委的该项评分作废，不计入汇总；数字均保留二位小数，第三位“四舍五入”。 评审过程中，若出现本办法以外的特殊情况时，将暂停评标，有关情况待评标委员会确定后，再行评定。</w:t>
      </w:r>
    </w:p>
    <w:p>
      <w:pPr>
        <w:spacing w:before="240" w:after="120"/>
        <w:jc w:val="left"/>
        <w:outlineLvl w:val="2"/>
        <w:rPr>
          <w:rFonts w:hint="eastAsia" w:ascii="宋体" w:hAnsi="宋体" w:cs="宋体"/>
          <w:b/>
          <w:bCs/>
          <w:sz w:val="28"/>
          <w:highlight w:val="none"/>
          <w:lang w:val="zh-CN"/>
        </w:rPr>
      </w:pPr>
      <w:r>
        <w:rPr>
          <w:rFonts w:hint="eastAsia" w:ascii="宋体" w:hAnsi="宋体" w:cs="宋体"/>
          <w:b/>
          <w:bCs/>
          <w:sz w:val="28"/>
          <w:highlight w:val="none"/>
        </w:rPr>
        <w:t>5、</w:t>
      </w:r>
      <w:r>
        <w:rPr>
          <w:rFonts w:hint="eastAsia" w:ascii="宋体" w:hAnsi="宋体" w:cs="宋体"/>
          <w:b/>
          <w:bCs/>
          <w:sz w:val="28"/>
          <w:highlight w:val="none"/>
          <w:lang w:val="zh-CN"/>
        </w:rPr>
        <w:t>需要落实的政府采购政策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cs="宋体"/>
          <w:color w:val="000000"/>
          <w:szCs w:val="21"/>
          <w:highlight w:val="none"/>
          <w:lang w:val="zh-CN"/>
        </w:rPr>
        <w:t>如果投标企</w:t>
      </w:r>
      <w:r>
        <w:rPr>
          <w:rFonts w:hint="eastAsia" w:ascii="宋体" w:hAnsi="宋体" w:eastAsia="宋体" w:cs="宋体"/>
          <w:color w:val="000000"/>
          <w:szCs w:val="21"/>
          <w:highlight w:val="none"/>
          <w:lang w:val="zh-CN"/>
        </w:rPr>
        <w:t>业符合相关需落实政府采购政策的，将按以下各标准执行。</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 投标企业政府采购政策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5.1.1中小企业落实政府采购政策</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（1）中小企业应符合工信部联企业[2011]300号文件规定，采购活动执行</w:t>
      </w:r>
      <w:r>
        <w:rPr>
          <w:rFonts w:hint="eastAsia" w:ascii="宋体" w:hAnsi="宋体" w:cs="宋体"/>
          <w:color w:val="000000"/>
          <w:szCs w:val="21"/>
          <w:highlight w:val="none"/>
          <w:lang w:val="zh-CN"/>
        </w:rPr>
        <w:t>《政府采购促进中小企业发展管理办法》（财库﹝2020﹞46号）</w:t>
      </w:r>
      <w:r>
        <w:rPr>
          <w:rFonts w:hint="eastAsia" w:ascii="宋体" w:hAnsi="宋体" w:eastAsia="宋体" w:cs="宋体"/>
          <w:color w:val="000000"/>
          <w:szCs w:val="21"/>
          <w:highlight w:val="none"/>
          <w:lang w:val="zh-CN"/>
        </w:rPr>
        <w:t>的</w:t>
      </w:r>
      <w:r>
        <w:rPr>
          <w:rFonts w:hint="eastAsia" w:ascii="宋体" w:hAnsi="宋体" w:cs="宋体"/>
          <w:color w:val="000000"/>
          <w:szCs w:val="21"/>
          <w:highlight w:val="none"/>
          <w:lang w:val="zh-CN"/>
        </w:rPr>
        <w:t>规定</w:t>
      </w:r>
      <w:r>
        <w:rPr>
          <w:rFonts w:hint="eastAsia" w:ascii="宋体" w:hAnsi="宋体" w:eastAsia="宋体" w:cs="宋体"/>
          <w:color w:val="000000"/>
          <w:szCs w:val="21"/>
          <w:highlight w:val="none"/>
          <w:lang w:val="zh-CN"/>
        </w:rPr>
        <w:t>。</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（2）投标供应商出具《中小企业声明函》，由评委会审定，</w:t>
      </w:r>
      <w:r>
        <w:rPr>
          <w:rFonts w:hint="eastAsia" w:ascii="宋体" w:hAnsi="宋体" w:cs="宋体"/>
          <w:color w:val="000000"/>
          <w:szCs w:val="21"/>
          <w:highlight w:val="none"/>
          <w:lang w:val="en-US" w:eastAsia="zh-CN"/>
        </w:rPr>
        <w:t>本项目专门面向中小微企业</w:t>
      </w:r>
      <w:r>
        <w:rPr>
          <w:rFonts w:hint="eastAsia" w:ascii="宋体" w:hAnsi="宋体" w:eastAsia="宋体" w:cs="宋体"/>
          <w:color w:val="000000"/>
          <w:szCs w:val="21"/>
          <w:highlight w:val="none"/>
          <w:lang w:val="zh-CN"/>
        </w:rPr>
        <w:t>。</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5.1.2监狱和戒毒企业应符合《财政部 司法部关于政府采购支持监狱企业发展有关问题的通知》--财库〔2014〕68号的相关规定，并提供由省级以上监狱管理局、戒毒管理局(含新疆生产建设兵团)出具的属于监狱企业的证明。监狱和戒毒企业视为小型或微型企业。</w:t>
      </w:r>
    </w:p>
    <w:p>
      <w:pPr>
        <w:spacing w:line="440" w:lineRule="exact"/>
        <w:ind w:firstLine="420"/>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5.1.3根据财政部 民政部 中国残疾人联合会三部门联合发布的《关于促进残疾人就业政府采购政策的通知》（财库〔2017〕141号）符合条件的残疾人福利性单位在参加政府采购活动时，应当提供本通知规定的《残疾人福利性单位声明函》，并对声明的真实性负责。</w:t>
      </w:r>
      <w:r>
        <w:rPr>
          <w:rFonts w:hint="eastAsia" w:ascii="宋体" w:hAnsi="宋体" w:eastAsia="宋体" w:cs="宋体"/>
          <w:color w:val="000000"/>
          <w:szCs w:val="21"/>
          <w:highlight w:val="none"/>
          <w:lang w:val="zh-CN" w:eastAsia="zh-CN"/>
        </w:rPr>
        <w:t>投标供应商</w:t>
      </w:r>
      <w:r>
        <w:rPr>
          <w:rFonts w:hint="eastAsia" w:ascii="宋体" w:hAnsi="宋体" w:eastAsia="宋体" w:cs="宋体"/>
          <w:color w:val="000000"/>
          <w:szCs w:val="21"/>
          <w:highlight w:val="none"/>
          <w:lang w:val="zh-CN"/>
        </w:rPr>
        <w:t>提供的《残疾人福利性单位声明函》与事实不符的，依照《政府采购法》第七十七条第一款的规定追究法律责任。</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.1.</w:t>
      </w:r>
      <w:r>
        <w:rPr>
          <w:rFonts w:hint="eastAsia" w:ascii="宋体" w:hAnsi="宋体" w:cs="宋体"/>
          <w:color w:val="000000"/>
          <w:szCs w:val="21"/>
          <w:highlight w:val="none"/>
        </w:rPr>
        <w:t>4</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应如实提供以上证明文件，如存在虚假应标，将取消其投标资格。</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5.1.5监狱和戒毒企业、残疾人福利性单位视为小型或微型企业，不重复享受价格优惠政策。</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w:t>
      </w:r>
      <w:r>
        <w:rPr>
          <w:rFonts w:hint="eastAsia" w:ascii="宋体" w:hAnsi="宋体" w:cs="宋体"/>
          <w:color w:val="000000"/>
          <w:szCs w:val="21"/>
          <w:highlight w:val="none"/>
          <w:lang w:val="zh-CN"/>
        </w:rPr>
        <w:t>投标产品政府采购政策（本项目不适用）</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5.2.1节能产品</w:t>
      </w:r>
      <w:r>
        <w:rPr>
          <w:rFonts w:hint="eastAsia" w:ascii="宋体" w:hAnsi="宋体" w:cs="宋体"/>
          <w:color w:val="000000"/>
          <w:szCs w:val="21"/>
          <w:highlight w:val="none"/>
          <w:lang w:val="zh-CN"/>
        </w:rPr>
        <w:t>根据《国务院办公厅关于建立政府强制采购节能产品制度的通知》</w:t>
      </w:r>
      <w:r>
        <w:rPr>
          <w:rFonts w:hint="eastAsia" w:ascii="宋体" w:hAnsi="宋体" w:cs="宋体"/>
          <w:color w:val="000000"/>
          <w:szCs w:val="21"/>
          <w:highlight w:val="none"/>
        </w:rPr>
        <w:t>（</w:t>
      </w:r>
      <w:r>
        <w:rPr>
          <w:rFonts w:hint="eastAsia" w:ascii="宋体" w:hAnsi="宋体" w:cs="宋体"/>
          <w:color w:val="000000"/>
          <w:szCs w:val="21"/>
          <w:highlight w:val="none"/>
          <w:lang w:val="zh-CN"/>
        </w:rPr>
        <w:t>国办发</w:t>
      </w:r>
      <w:r>
        <w:rPr>
          <w:rFonts w:hint="eastAsia" w:ascii="宋体" w:hAnsi="宋体" w:cs="宋体"/>
          <w:color w:val="000000"/>
          <w:szCs w:val="21"/>
          <w:highlight w:val="none"/>
        </w:rPr>
        <w:t>〔2007〕51号）</w:t>
      </w:r>
      <w:r>
        <w:rPr>
          <w:rFonts w:hint="eastAsia" w:ascii="宋体" w:hAnsi="宋体" w:cs="宋体"/>
          <w:color w:val="000000"/>
          <w:szCs w:val="21"/>
          <w:highlight w:val="none"/>
          <w:lang w:val="zh-CN"/>
        </w:rPr>
        <w:t>的规定</w:t>
      </w:r>
      <w:r>
        <w:rPr>
          <w:rFonts w:hint="eastAsia" w:ascii="宋体" w:hAnsi="宋体" w:cs="宋体"/>
          <w:color w:val="000000"/>
          <w:szCs w:val="21"/>
          <w:highlight w:val="none"/>
        </w:rPr>
        <w:t>，以</w:t>
      </w:r>
      <w:r>
        <w:rPr>
          <w:rFonts w:hint="eastAsia" w:ascii="宋体" w:hAnsi="宋体" w:cs="宋体"/>
          <w:color w:val="000000"/>
          <w:szCs w:val="21"/>
          <w:highlight w:val="none"/>
          <w:lang w:val="zh-CN"/>
        </w:rPr>
        <w:t>财库〔2019〕9号为准。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5.2.2环境标志产品</w:t>
      </w:r>
      <w:r>
        <w:rPr>
          <w:rFonts w:hint="eastAsia" w:ascii="宋体" w:hAnsi="宋体" w:cs="宋体"/>
          <w:color w:val="000000"/>
          <w:szCs w:val="21"/>
          <w:highlight w:val="none"/>
          <w:lang w:val="zh-CN"/>
        </w:rPr>
        <w:t>根据《环境标志产品政府采购实施的意见》</w:t>
      </w:r>
      <w:r>
        <w:rPr>
          <w:rFonts w:hint="eastAsia" w:ascii="宋体" w:hAnsi="宋体" w:cs="宋体"/>
          <w:color w:val="000000"/>
          <w:szCs w:val="21"/>
          <w:highlight w:val="none"/>
        </w:rPr>
        <w:t>（</w:t>
      </w:r>
      <w:r>
        <w:rPr>
          <w:rFonts w:hint="eastAsia" w:ascii="宋体" w:hAnsi="宋体" w:cs="宋体"/>
          <w:color w:val="000000"/>
          <w:szCs w:val="21"/>
          <w:highlight w:val="none"/>
          <w:lang w:val="zh-CN"/>
        </w:rPr>
        <w:t>财库</w:t>
      </w:r>
      <w:r>
        <w:rPr>
          <w:rFonts w:hint="eastAsia" w:ascii="宋体" w:hAnsi="宋体" w:cs="宋体"/>
          <w:color w:val="000000"/>
          <w:szCs w:val="21"/>
          <w:highlight w:val="none"/>
        </w:rPr>
        <w:t>[2006]90</w:t>
      </w:r>
      <w:r>
        <w:rPr>
          <w:rFonts w:hint="eastAsia" w:ascii="宋体" w:hAnsi="宋体" w:cs="宋体"/>
          <w:color w:val="000000"/>
          <w:szCs w:val="21"/>
          <w:highlight w:val="none"/>
          <w:lang w:val="zh-CN"/>
        </w:rPr>
        <w:t>号</w:t>
      </w:r>
      <w:r>
        <w:rPr>
          <w:rFonts w:hint="eastAsia" w:ascii="宋体" w:hAnsi="宋体" w:cs="宋体"/>
          <w:color w:val="000000"/>
          <w:szCs w:val="21"/>
          <w:highlight w:val="none"/>
        </w:rPr>
        <w:t>）</w:t>
      </w:r>
      <w:r>
        <w:rPr>
          <w:rFonts w:hint="eastAsia" w:ascii="宋体" w:hAnsi="宋体" w:cs="宋体"/>
          <w:color w:val="000000"/>
          <w:szCs w:val="21"/>
          <w:highlight w:val="none"/>
          <w:lang w:val="zh-CN"/>
        </w:rPr>
        <w:t>的规定</w:t>
      </w:r>
      <w:r>
        <w:rPr>
          <w:rFonts w:hint="eastAsia" w:ascii="宋体" w:hAnsi="宋体" w:cs="宋体"/>
          <w:color w:val="000000"/>
          <w:szCs w:val="21"/>
          <w:highlight w:val="none"/>
        </w:rPr>
        <w:t>，</w:t>
      </w:r>
      <w:r>
        <w:rPr>
          <w:rFonts w:hint="eastAsia" w:ascii="宋体" w:hAnsi="宋体" w:cs="宋体"/>
          <w:color w:val="000000"/>
          <w:szCs w:val="21"/>
          <w:highlight w:val="none"/>
          <w:lang w:val="zh-CN"/>
        </w:rPr>
        <w:t>以财库〔2019〕9号为准。</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val="zh-CN"/>
        </w:rPr>
        <w:t>.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.2.4 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spacing w:line="440" w:lineRule="exact"/>
        <w:ind w:firstLine="420"/>
        <w:rPr>
          <w:rFonts w:hint="eastAsia" w:ascii="宋体" w:hAnsi="宋体" w:cs="宋体"/>
          <w:color w:val="000000"/>
          <w:szCs w:val="21"/>
          <w:highlight w:val="none"/>
          <w:lang w:val="zh-CN"/>
        </w:rPr>
      </w:pPr>
      <w:r>
        <w:rPr>
          <w:rFonts w:hint="eastAsia" w:ascii="宋体" w:hAnsi="宋体" w:cs="宋体"/>
          <w:color w:val="000000"/>
          <w:szCs w:val="21"/>
          <w:highlight w:val="none"/>
        </w:rPr>
        <w:t>5</w:t>
      </w:r>
      <w:r>
        <w:rPr>
          <w:rFonts w:hint="eastAsia" w:ascii="宋体" w:hAnsi="宋体" w:cs="宋体"/>
          <w:color w:val="000000"/>
          <w:szCs w:val="21"/>
          <w:highlight w:val="none"/>
          <w:lang w:val="zh-CN"/>
        </w:rPr>
        <w:t>.2.5 对于已列入品目清单的产品类别，采购人可在采购需求中提出更高的节约资源和保护环境要求，对符合条件的获证产品给予优先待遇。</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6、特殊情况的处理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6.1 投标文件中如果出现计算错误，可按以下原则进行修正：</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（1）投标文件中的大写金额与小写金额不一致的，以大写金额为准；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（2）投标文件中的总价金额与按单价计算的汇总金额不一致的，以单价计算的汇总金额为准；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（3）投标文件中的单价金额有明显小数点错误的，以总价为准，并修改单价；</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（4）投标文件中有关分项表内容与“开标一览表”不一致的，以“开标一览表”为准；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（5）投标文件中图表与文字表述不一致的，以文字表述为准；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）对不同文字文本投标文件的解释发生异议的，以中文文本为准。</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按上述修正错误的方法调整的投标报价应对</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具有约束力。如果</w:t>
      </w: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不接受修正后的价格，其投标将被拒绝。</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6.2 投标文件中，若某项有不合理报价（或零报价、漏报价）的，经评委会评审后，此项得分为零，不参与投标报价分值的计算。</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6.3 评委评分超过得分界限或未按照本办法规定时，该评委的该项评分作废，不计入汇总；计算采用插入法，各种数字均保留两位小数，第三位“四舍五入”；评审过程中，若出现本办法以外的特殊情况时，将暂停评标，有关情况待评标委员会确定后，再行评定。</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6.4 评标结果汇总完成后，除下列情形外，任何人不得修改评标结果：</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（1）分值汇总计算错误的；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（2）分项评分超出评分标准范围的；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（3）评标委员会对客观评审因素评分不一致的；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（4）经评标委员会认定评分畸高、畸低的。</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rPr>
        <w:t>7、与采购人、采购代理机构和评标委员会接触</w:t>
      </w:r>
    </w:p>
    <w:p>
      <w:pPr>
        <w:spacing w:line="44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eastAsia="zh-CN"/>
        </w:rPr>
        <w:t>投标供应商</w:t>
      </w:r>
      <w:r>
        <w:rPr>
          <w:rFonts w:hint="eastAsia" w:ascii="宋体" w:hAnsi="宋体" w:cs="宋体"/>
          <w:color w:val="000000"/>
          <w:szCs w:val="21"/>
          <w:highlight w:val="none"/>
        </w:rPr>
        <w:t>试图对采购人、采购代理机构和评标委员会的评标、比较或授予合同的决定进行影响，都可能导致其投标被拒绝。</w:t>
      </w:r>
    </w:p>
    <w:p>
      <w:pPr>
        <w:pStyle w:val="16"/>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pStyle w:val="38"/>
        <w:rPr>
          <w:rFonts w:hint="eastAsia" w:ascii="宋体" w:hAnsi="宋体" w:cs="宋体"/>
          <w:color w:val="000000"/>
          <w:szCs w:val="21"/>
          <w:highlight w:val="none"/>
        </w:rPr>
      </w:pPr>
    </w:p>
    <w:p>
      <w:pPr>
        <w:keepNext w:val="0"/>
        <w:keepLines w:val="0"/>
        <w:pageBreakBefore w:val="0"/>
        <w:widowControl/>
        <w:kinsoku/>
        <w:wordWrap/>
        <w:overflowPunct/>
        <w:topLinePunct w:val="0"/>
        <w:autoSpaceDE w:val="0"/>
        <w:autoSpaceDN w:val="0"/>
        <w:bidi w:val="0"/>
        <w:adjustRightInd/>
        <w:snapToGrid/>
        <w:spacing w:line="500" w:lineRule="exact"/>
        <w:ind w:right="51"/>
        <w:jc w:val="both"/>
        <w:textAlignment w:val="bottom"/>
        <w:rPr>
          <w:rFonts w:hint="eastAsia" w:ascii="宋体" w:hAnsi="宋体" w:cs="宋体"/>
          <w:b/>
          <w:bCs/>
          <w:sz w:val="28"/>
          <w:szCs w:val="28"/>
          <w:highlight w:val="none"/>
        </w:rPr>
      </w:pPr>
    </w:p>
    <w:p>
      <w:pPr>
        <w:keepNext w:val="0"/>
        <w:keepLines w:val="0"/>
        <w:pageBreakBefore w:val="0"/>
        <w:widowControl/>
        <w:kinsoku/>
        <w:wordWrap/>
        <w:overflowPunct/>
        <w:topLinePunct w:val="0"/>
        <w:autoSpaceDE w:val="0"/>
        <w:autoSpaceDN w:val="0"/>
        <w:bidi w:val="0"/>
        <w:adjustRightInd/>
        <w:snapToGrid/>
        <w:spacing w:line="500" w:lineRule="exact"/>
        <w:ind w:right="51"/>
        <w:jc w:val="both"/>
        <w:textAlignment w:val="bottom"/>
        <w:rPr>
          <w:rFonts w:hint="eastAsia" w:ascii="宋体" w:hAnsi="宋体" w:cs="宋体"/>
          <w:b/>
          <w:bCs/>
          <w:sz w:val="28"/>
          <w:szCs w:val="28"/>
          <w:highlight w:val="none"/>
        </w:rPr>
      </w:pPr>
    </w:p>
    <w:p>
      <w:pPr>
        <w:keepNext w:val="0"/>
        <w:keepLines w:val="0"/>
        <w:pageBreakBefore w:val="0"/>
        <w:widowControl/>
        <w:kinsoku/>
        <w:wordWrap/>
        <w:overflowPunct/>
        <w:topLinePunct w:val="0"/>
        <w:autoSpaceDE w:val="0"/>
        <w:autoSpaceDN w:val="0"/>
        <w:bidi w:val="0"/>
        <w:adjustRightInd/>
        <w:snapToGrid/>
        <w:spacing w:line="500" w:lineRule="exact"/>
        <w:ind w:right="51"/>
        <w:jc w:val="both"/>
        <w:textAlignment w:val="bottom"/>
        <w:rPr>
          <w:rFonts w:hint="eastAsia" w:ascii="宋体" w:hAnsi="宋体" w:cs="宋体"/>
          <w:b/>
          <w:bCs/>
          <w:sz w:val="28"/>
          <w:szCs w:val="28"/>
          <w:highlight w:val="none"/>
        </w:rPr>
      </w:pPr>
      <w:r>
        <w:rPr>
          <w:rFonts w:hint="eastAsia" w:ascii="宋体" w:hAnsi="宋体" w:cs="宋体"/>
          <w:b/>
          <w:bCs/>
          <w:sz w:val="28"/>
          <w:szCs w:val="28"/>
          <w:highlight w:val="none"/>
        </w:rPr>
        <w:t>附件一：资格性审查内容</w:t>
      </w:r>
    </w:p>
    <w:tbl>
      <w:tblPr>
        <w:tblStyle w:val="39"/>
        <w:tblpPr w:leftFromText="180" w:rightFromText="180" w:vertAnchor="text" w:horzAnchor="page" w:tblpX="1311" w:tblpY="839"/>
        <w:tblOverlap w:val="never"/>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45"/>
        <w:gridCol w:w="5886"/>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5"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序号</w:t>
            </w:r>
          </w:p>
        </w:tc>
        <w:tc>
          <w:tcPr>
            <w:tcW w:w="1545"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资格审查项</w:t>
            </w:r>
          </w:p>
        </w:tc>
        <w:tc>
          <w:tcPr>
            <w:tcW w:w="5886"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审查内容</w:t>
            </w:r>
          </w:p>
        </w:tc>
        <w:tc>
          <w:tcPr>
            <w:tcW w:w="1173" w:type="dxa"/>
            <w:noWrap w:val="0"/>
            <w:vAlign w:val="center"/>
          </w:tcPr>
          <w:p>
            <w:pPr>
              <w:pStyle w:val="34"/>
              <w:spacing w:before="0" w:beforeAutospacing="0" w:after="0" w:afterAutospacing="0" w:line="500" w:lineRule="exact"/>
              <w:jc w:val="center"/>
              <w:rPr>
                <w:rFonts w:hint="default"/>
                <w:b/>
                <w:bCs/>
                <w:sz w:val="21"/>
                <w:szCs w:val="21"/>
                <w:highlight w:val="none"/>
                <w:lang w:val="en-US" w:eastAsia="zh-CN"/>
              </w:rPr>
            </w:pPr>
            <w:r>
              <w:rPr>
                <w:rFonts w:hint="eastAsia"/>
                <w:b/>
                <w:bCs/>
                <w:sz w:val="21"/>
                <w:szCs w:val="21"/>
                <w:highlight w:val="none"/>
                <w:lang w:val="en-US" w:eastAsia="zh-CN"/>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55" w:type="dxa"/>
            <w:noWrap w:val="0"/>
            <w:vAlign w:val="center"/>
          </w:tcPr>
          <w:p>
            <w:pPr>
              <w:pStyle w:val="34"/>
              <w:spacing w:before="0" w:beforeAutospacing="0" w:after="0" w:afterAutospacing="0" w:line="500" w:lineRule="exact"/>
              <w:jc w:val="center"/>
              <w:rPr>
                <w:rFonts w:hint="eastAsia"/>
                <w:sz w:val="21"/>
                <w:szCs w:val="21"/>
                <w:highlight w:val="none"/>
              </w:rPr>
            </w:pPr>
            <w:r>
              <w:rPr>
                <w:rFonts w:hint="eastAsia"/>
                <w:sz w:val="21"/>
                <w:szCs w:val="21"/>
                <w:highlight w:val="none"/>
              </w:rPr>
              <w:t>1</w:t>
            </w:r>
          </w:p>
        </w:tc>
        <w:tc>
          <w:tcPr>
            <w:tcW w:w="1545" w:type="dxa"/>
            <w:noWrap w:val="0"/>
            <w:vAlign w:val="center"/>
          </w:tcPr>
          <w:p>
            <w:pPr>
              <w:spacing w:line="400" w:lineRule="exact"/>
              <w:jc w:val="center"/>
              <w:rPr>
                <w:rFonts w:hint="eastAsia"/>
                <w:highlight w:val="none"/>
                <w:lang w:eastAsia="zh-CN"/>
              </w:rPr>
            </w:pPr>
            <w:r>
              <w:rPr>
                <w:rFonts w:hint="eastAsia"/>
                <w:highlight w:val="none"/>
                <w:lang w:eastAsia="zh-CN"/>
              </w:rPr>
              <w:t>营业执照等主体资格证明文件</w:t>
            </w:r>
          </w:p>
        </w:tc>
        <w:tc>
          <w:tcPr>
            <w:tcW w:w="5886" w:type="dxa"/>
            <w:noWrap w:val="0"/>
            <w:vAlign w:val="center"/>
          </w:tcPr>
          <w:p>
            <w:pPr>
              <w:spacing w:line="400" w:lineRule="exact"/>
              <w:ind w:firstLine="420" w:firstLineChars="200"/>
              <w:rPr>
                <w:rFonts w:hint="eastAsia"/>
                <w:highlight w:val="none"/>
                <w:lang w:eastAsia="zh-CN"/>
              </w:rPr>
            </w:pPr>
            <w:r>
              <w:rPr>
                <w:rFonts w:hint="eastAsia"/>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ind w:firstLine="420" w:firstLineChars="200"/>
              <w:rPr>
                <w:rFonts w:hint="default"/>
                <w:highlight w:val="none"/>
                <w:lang w:val="en-US" w:eastAsia="zh-CN"/>
              </w:rPr>
            </w:pPr>
            <w:r>
              <w:rPr>
                <w:rFonts w:hint="eastAsia"/>
                <w:highlight w:val="none"/>
                <w:lang w:eastAsia="zh-CN"/>
              </w:rPr>
              <w:t>评审依据：</w:t>
            </w:r>
            <w:r>
              <w:rPr>
                <w:rFonts w:hint="eastAsia"/>
                <w:highlight w:val="none"/>
                <w:lang w:val="en-US" w:eastAsia="zh-CN"/>
              </w:rPr>
              <w:t>投标</w:t>
            </w:r>
            <w:r>
              <w:rPr>
                <w:rFonts w:hint="eastAsia"/>
                <w:highlight w:val="none"/>
                <w:lang w:eastAsia="zh-CN"/>
              </w:rPr>
              <w:t>供应商是法人或其他组织的应提供营业执照等证明文件，</w:t>
            </w:r>
            <w:r>
              <w:rPr>
                <w:rFonts w:hint="eastAsia"/>
                <w:highlight w:val="none"/>
                <w:lang w:val="en-US" w:eastAsia="zh-CN"/>
              </w:rPr>
              <w:t>投标</w:t>
            </w:r>
            <w:r>
              <w:rPr>
                <w:rFonts w:hint="eastAsia"/>
                <w:highlight w:val="none"/>
                <w:lang w:eastAsia="zh-CN"/>
              </w:rPr>
              <w:t>供应商是自然人的应提供有效的自然人身份证。证明材料电子件或扫描</w:t>
            </w:r>
            <w:r>
              <w:rPr>
                <w:rFonts w:hint="eastAsia"/>
                <w:highlight w:val="none"/>
                <w:lang w:val="en-US" w:eastAsia="zh-CN"/>
              </w:rPr>
              <w:t>件。</w:t>
            </w:r>
          </w:p>
        </w:tc>
        <w:tc>
          <w:tcPr>
            <w:tcW w:w="1173" w:type="dxa"/>
            <w:noWrap w:val="0"/>
            <w:vAlign w:val="center"/>
          </w:tcPr>
          <w:p>
            <w:pPr>
              <w:spacing w:line="400" w:lineRule="exact"/>
              <w:jc w:val="center"/>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55" w:type="dxa"/>
            <w:noWrap w:val="0"/>
            <w:vAlign w:val="center"/>
          </w:tcPr>
          <w:p>
            <w:pPr>
              <w:pStyle w:val="34"/>
              <w:spacing w:before="0" w:beforeAutospacing="0" w:after="0" w:afterAutospacing="0" w:line="500" w:lineRule="exact"/>
              <w:jc w:val="center"/>
              <w:rPr>
                <w:rFonts w:hint="eastAsia"/>
                <w:sz w:val="21"/>
                <w:szCs w:val="21"/>
                <w:highlight w:val="none"/>
              </w:rPr>
            </w:pPr>
            <w:r>
              <w:rPr>
                <w:rFonts w:hint="eastAsia"/>
                <w:sz w:val="21"/>
                <w:szCs w:val="21"/>
                <w:highlight w:val="none"/>
                <w:lang w:val="en-US" w:eastAsia="zh-CN"/>
              </w:rPr>
              <w:t>2</w:t>
            </w:r>
          </w:p>
        </w:tc>
        <w:tc>
          <w:tcPr>
            <w:tcW w:w="1545" w:type="dxa"/>
            <w:noWrap w:val="0"/>
            <w:vAlign w:val="center"/>
          </w:tcPr>
          <w:p>
            <w:pPr>
              <w:spacing w:line="400" w:lineRule="exact"/>
              <w:jc w:val="center"/>
              <w:rPr>
                <w:rFonts w:hint="eastAsia"/>
                <w:highlight w:val="none"/>
                <w:lang w:eastAsia="zh-CN"/>
              </w:rPr>
            </w:pPr>
            <w:r>
              <w:rPr>
                <w:rFonts w:hint="eastAsia" w:ascii="Times New Roman" w:hAnsi="Times New Roman" w:eastAsia="宋体" w:cs="Times New Roman"/>
                <w:highlight w:val="none"/>
                <w:lang w:val="en-US" w:eastAsia="zh-CN"/>
              </w:rPr>
              <w:t>落实政府采购政策需满足的资格要求</w:t>
            </w:r>
          </w:p>
        </w:tc>
        <w:tc>
          <w:tcPr>
            <w:tcW w:w="5886" w:type="dxa"/>
            <w:noWrap w:val="0"/>
            <w:vAlign w:val="center"/>
          </w:tcPr>
          <w:p>
            <w:pPr>
              <w:spacing w:line="40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本项目专门面向中小企业采购，</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应为中小微企业或监狱企业或残疾人福利性单位。</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为中型、小型、微型企业的，提供《中小企业声明函》；</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为监狱企业的，应提供监狱企业的证明文件；</w:t>
            </w:r>
            <w:r>
              <w:rPr>
                <w:rFonts w:hint="eastAsia" w:cs="Times New Roman"/>
                <w:highlight w:val="none"/>
                <w:lang w:val="en-US" w:eastAsia="zh-CN"/>
              </w:rPr>
              <w:t>投标供应商</w:t>
            </w:r>
            <w:r>
              <w:rPr>
                <w:rFonts w:hint="eastAsia" w:ascii="Times New Roman" w:hAnsi="Times New Roman" w:eastAsia="宋体" w:cs="Times New Roman"/>
                <w:highlight w:val="none"/>
                <w:lang w:val="en-US" w:eastAsia="zh-CN"/>
              </w:rPr>
              <w:t>为残疾人福利性单位的，应提供《残疾人福利性单位声明函》。</w:t>
            </w:r>
          </w:p>
          <w:p>
            <w:pPr>
              <w:spacing w:line="400" w:lineRule="exact"/>
              <w:rPr>
                <w:rFonts w:hint="eastAsia"/>
                <w:highlight w:val="none"/>
                <w:lang w:eastAsia="zh-CN"/>
              </w:rPr>
            </w:pPr>
            <w:r>
              <w:rPr>
                <w:rFonts w:hint="eastAsia" w:ascii="Times New Roman" w:hAnsi="Times New Roman" w:eastAsia="宋体" w:cs="Times New Roman"/>
                <w:highlight w:val="none"/>
                <w:lang w:val="en-US" w:eastAsia="zh-CN"/>
              </w:rPr>
              <w:t>评审依据：</w:t>
            </w:r>
            <w:r>
              <w:rPr>
                <w:rFonts w:hint="eastAsia" w:cs="Times New Roman"/>
                <w:highlight w:val="none"/>
                <w:lang w:val="en-US" w:eastAsia="zh-CN"/>
              </w:rPr>
              <w:t>投标</w:t>
            </w:r>
            <w:r>
              <w:rPr>
                <w:rFonts w:hint="eastAsia" w:ascii="Times New Roman" w:hAnsi="Times New Roman" w:eastAsia="宋体" w:cs="Times New Roman"/>
                <w:highlight w:val="none"/>
                <w:lang w:val="en-US" w:eastAsia="zh-CN"/>
              </w:rPr>
              <w:t>文件内中小企业声明函</w:t>
            </w:r>
            <w:r>
              <w:rPr>
                <w:rFonts w:hint="eastAsia" w:cs="Times New Roman"/>
                <w:highlight w:val="none"/>
                <w:lang w:val="en-US" w:eastAsia="zh-CN"/>
              </w:rPr>
              <w:t>或</w:t>
            </w:r>
            <w:r>
              <w:rPr>
                <w:rFonts w:hint="eastAsia" w:ascii="Times New Roman" w:hAnsi="Times New Roman" w:eastAsia="宋体" w:cs="Times New Roman"/>
                <w:highlight w:val="none"/>
                <w:lang w:val="en-US" w:eastAsia="zh-CN"/>
              </w:rPr>
              <w:t>监狱企业的证明文件</w:t>
            </w:r>
            <w:r>
              <w:rPr>
                <w:rFonts w:hint="eastAsia" w:cs="Times New Roman"/>
                <w:highlight w:val="none"/>
                <w:lang w:val="en-US" w:eastAsia="zh-CN"/>
              </w:rPr>
              <w:t>或</w:t>
            </w:r>
            <w:r>
              <w:rPr>
                <w:rFonts w:hint="eastAsia" w:ascii="Times New Roman" w:hAnsi="Times New Roman" w:eastAsia="宋体" w:cs="Times New Roman"/>
                <w:highlight w:val="none"/>
                <w:lang w:val="en-US" w:eastAsia="zh-CN"/>
              </w:rPr>
              <w:t>残疾人福利性单位声明函</w:t>
            </w:r>
            <w:r>
              <w:rPr>
                <w:rFonts w:hint="eastAsia" w:cs="Times New Roman"/>
                <w:highlight w:val="none"/>
                <w:lang w:val="en-US" w:eastAsia="zh-CN"/>
              </w:rPr>
              <w:t>。</w:t>
            </w:r>
          </w:p>
        </w:tc>
        <w:tc>
          <w:tcPr>
            <w:tcW w:w="1173" w:type="dxa"/>
            <w:noWrap w:val="0"/>
            <w:vAlign w:val="center"/>
          </w:tcPr>
          <w:p>
            <w:pPr>
              <w:pStyle w:val="34"/>
              <w:spacing w:before="0" w:beforeAutospacing="0" w:after="0" w:afterAutospacing="0" w:line="5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3</w:t>
            </w:r>
          </w:p>
        </w:tc>
        <w:tc>
          <w:tcPr>
            <w:tcW w:w="1545" w:type="dxa"/>
            <w:noWrap w:val="0"/>
            <w:vAlign w:val="center"/>
          </w:tcPr>
          <w:p>
            <w:pPr>
              <w:spacing w:line="400" w:lineRule="exact"/>
              <w:jc w:val="center"/>
              <w:rPr>
                <w:rFonts w:hint="eastAsia"/>
                <w:highlight w:val="none"/>
                <w:lang w:eastAsia="zh-CN"/>
              </w:rPr>
            </w:pPr>
            <w:r>
              <w:rPr>
                <w:rFonts w:hint="eastAsia"/>
                <w:highlight w:val="none"/>
                <w:lang w:eastAsia="zh-CN"/>
              </w:rPr>
              <w:t>基本资格条件承诺函</w:t>
            </w:r>
          </w:p>
        </w:tc>
        <w:tc>
          <w:tcPr>
            <w:tcW w:w="5886" w:type="dxa"/>
            <w:noWrap w:val="0"/>
            <w:vAlign w:val="center"/>
          </w:tcPr>
          <w:p>
            <w:pPr>
              <w:spacing w:line="400" w:lineRule="exact"/>
              <w:ind w:firstLine="420" w:firstLineChars="200"/>
              <w:rPr>
                <w:rFonts w:hint="eastAsia"/>
                <w:highlight w:val="none"/>
                <w:lang w:val="en-US" w:eastAsia="zh-CN"/>
              </w:rPr>
            </w:pPr>
            <w:r>
              <w:rPr>
                <w:rFonts w:hint="eastAsia"/>
                <w:highlight w:val="none"/>
                <w:lang w:val="en-US" w:eastAsia="zh-CN"/>
              </w:rPr>
              <w:t>投标供应商提供基本资</w:t>
            </w:r>
            <w:r>
              <w:rPr>
                <w:rFonts w:hint="eastAsia"/>
                <w:highlight w:val="none"/>
                <w:lang w:eastAsia="zh-CN"/>
              </w:rPr>
              <w:t>格条件承诺函：</w:t>
            </w:r>
            <w:r>
              <w:rPr>
                <w:rFonts w:hint="eastAsia"/>
                <w:highlight w:val="none"/>
                <w:lang w:val="en-US" w:eastAsia="zh-CN"/>
              </w:rPr>
              <w:t>以下</w:t>
            </w:r>
            <w:r>
              <w:rPr>
                <w:rFonts w:hint="default"/>
                <w:highlight w:val="none"/>
                <w:lang w:eastAsia="zh-CN"/>
              </w:rPr>
              <w:t>①</w:t>
            </w:r>
            <w:r>
              <w:rPr>
                <w:rFonts w:hint="eastAsia"/>
                <w:highlight w:val="none"/>
                <w:lang w:val="en-US" w:eastAsia="zh-CN"/>
              </w:rPr>
              <w:t>-</w:t>
            </w:r>
            <w:r>
              <w:rPr>
                <w:rFonts w:hint="eastAsia"/>
                <w:highlight w:val="none"/>
                <w:lang w:eastAsia="zh-CN"/>
              </w:rPr>
              <w:t>④</w:t>
            </w:r>
            <w:r>
              <w:rPr>
                <w:rFonts w:hint="eastAsia"/>
                <w:highlight w:val="none"/>
                <w:lang w:val="en-US" w:eastAsia="zh-CN"/>
              </w:rPr>
              <w:t>条要求的相关材料供应商可提供</w:t>
            </w:r>
            <w:r>
              <w:rPr>
                <w:rFonts w:hint="eastAsia"/>
                <w:highlight w:val="none"/>
                <w:lang w:eastAsia="zh-CN"/>
              </w:rPr>
              <w:t>《基本资格条件承诺函》</w:t>
            </w:r>
            <w:r>
              <w:rPr>
                <w:rFonts w:hint="eastAsia"/>
                <w:highlight w:val="none"/>
                <w:lang w:val="en-US" w:eastAsia="zh-CN"/>
              </w:rPr>
              <w:t>替代，</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spacing w:line="400" w:lineRule="exact"/>
              <w:ind w:firstLine="420" w:firstLineChars="200"/>
              <w:rPr>
                <w:rFonts w:hint="eastAsia"/>
                <w:highlight w:val="none"/>
                <w:lang w:val="en-US" w:eastAsia="zh-CN"/>
              </w:rPr>
            </w:pPr>
            <w:r>
              <w:rPr>
                <w:rFonts w:hint="eastAsia"/>
                <w:highlight w:val="none"/>
                <w:lang w:val="en-US" w:eastAsia="zh-CN"/>
              </w:rPr>
              <w:t>评</w:t>
            </w:r>
            <w:r>
              <w:rPr>
                <w:rFonts w:hint="eastAsia"/>
                <w:highlight w:val="none"/>
                <w:lang w:eastAsia="zh-CN"/>
              </w:rPr>
              <w:t>审依据：投标文件中所附材料为准。</w:t>
            </w:r>
          </w:p>
        </w:tc>
        <w:tc>
          <w:tcPr>
            <w:tcW w:w="1173" w:type="dxa"/>
            <w:noWrap w:val="0"/>
            <w:vAlign w:val="center"/>
          </w:tcPr>
          <w:p>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4</w:t>
            </w:r>
          </w:p>
        </w:tc>
        <w:tc>
          <w:tcPr>
            <w:tcW w:w="1545" w:type="dxa"/>
            <w:noWrap w:val="0"/>
            <w:vAlign w:val="center"/>
          </w:tcPr>
          <w:p>
            <w:pPr>
              <w:spacing w:line="400" w:lineRule="exact"/>
              <w:jc w:val="center"/>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法定代表人身份证明/法定代表人授权委托书</w:t>
            </w:r>
          </w:p>
        </w:tc>
        <w:tc>
          <w:tcPr>
            <w:tcW w:w="5886" w:type="dxa"/>
            <w:noWrap w:val="0"/>
            <w:vAlign w:val="center"/>
          </w:tcPr>
          <w:p>
            <w:pPr>
              <w:spacing w:line="400" w:lineRule="exact"/>
              <w:ind w:firstLine="420" w:firstLineChars="200"/>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ind w:firstLine="420" w:firstLineChars="200"/>
              <w:rPr>
                <w:rFonts w:hint="eastAsia"/>
                <w:sz w:val="21"/>
                <w:szCs w:val="21"/>
                <w:highlight w:val="none"/>
              </w:rPr>
            </w:pPr>
            <w:r>
              <w:rPr>
                <w:rFonts w:hint="eastAsia"/>
                <w:highlight w:val="none"/>
                <w:lang w:val="en-US" w:eastAsia="zh-CN"/>
              </w:rPr>
              <w:t>评</w:t>
            </w:r>
            <w:r>
              <w:rPr>
                <w:rFonts w:hint="eastAsia"/>
                <w:highlight w:val="none"/>
                <w:lang w:eastAsia="zh-CN"/>
              </w:rPr>
              <w:t>审依据：投标文件中所附材料为准。</w:t>
            </w:r>
          </w:p>
        </w:tc>
        <w:tc>
          <w:tcPr>
            <w:tcW w:w="1173" w:type="dxa"/>
            <w:noWrap w:val="0"/>
            <w:vAlign w:val="center"/>
          </w:tcPr>
          <w:p>
            <w:pPr>
              <w:pStyle w:val="34"/>
              <w:spacing w:before="0" w:beforeAutospacing="0" w:after="0" w:afterAutospacing="0" w:line="5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855" w:type="dxa"/>
            <w:noWrap w:val="0"/>
            <w:vAlign w:val="center"/>
          </w:tcPr>
          <w:p>
            <w:pPr>
              <w:pStyle w:val="34"/>
              <w:spacing w:before="0" w:beforeAutospacing="0" w:after="0" w:afterAutospacing="0" w:line="500" w:lineRule="exact"/>
              <w:jc w:val="center"/>
              <w:rPr>
                <w:rFonts w:hint="eastAsia" w:eastAsia="宋体"/>
                <w:sz w:val="21"/>
                <w:szCs w:val="21"/>
                <w:highlight w:val="none"/>
                <w:lang w:eastAsia="zh-CN"/>
              </w:rPr>
            </w:pPr>
            <w:r>
              <w:rPr>
                <w:rFonts w:hint="eastAsia"/>
                <w:sz w:val="21"/>
                <w:szCs w:val="21"/>
                <w:highlight w:val="none"/>
                <w:lang w:val="en-US" w:eastAsia="zh-CN"/>
              </w:rPr>
              <w:t>5</w:t>
            </w:r>
          </w:p>
        </w:tc>
        <w:tc>
          <w:tcPr>
            <w:tcW w:w="1545" w:type="dxa"/>
            <w:noWrap w:val="0"/>
            <w:vAlign w:val="center"/>
          </w:tcPr>
          <w:p>
            <w:pPr>
              <w:spacing w:line="400" w:lineRule="exact"/>
              <w:jc w:val="center"/>
              <w:rPr>
                <w:rFonts w:hint="eastAsia" w:ascii="宋体" w:hAnsi="宋体" w:cs="宋体"/>
                <w:i w:val="0"/>
                <w:iCs w:val="0"/>
                <w:caps w:val="0"/>
                <w:color w:val="333333"/>
                <w:spacing w:val="0"/>
                <w:kern w:val="0"/>
                <w:sz w:val="21"/>
                <w:szCs w:val="21"/>
                <w:highlight w:val="none"/>
                <w:shd w:val="clear" w:fill="FFFFFF"/>
                <w:vertAlign w:val="baseline"/>
                <w:lang w:val="en-US" w:eastAsia="zh-CN" w:bidi="ar-SA"/>
              </w:rPr>
            </w:pPr>
            <w:r>
              <w:rPr>
                <w:rFonts w:hint="eastAsia" w:cs="Times New Roman"/>
                <w:kern w:val="2"/>
                <w:sz w:val="21"/>
                <w:szCs w:val="24"/>
                <w:highlight w:val="none"/>
                <w:lang w:val="en-US" w:eastAsia="zh-CN" w:bidi="ar-SA"/>
              </w:rPr>
              <w:t>信用记录</w:t>
            </w:r>
          </w:p>
        </w:tc>
        <w:tc>
          <w:tcPr>
            <w:tcW w:w="5886" w:type="dxa"/>
            <w:noWrap w:val="0"/>
            <w:vAlign w:val="center"/>
          </w:tcPr>
          <w:p>
            <w:pPr>
              <w:spacing w:line="400" w:lineRule="exact"/>
              <w:ind w:firstLine="420" w:firstLineChars="200"/>
              <w:rPr>
                <w:rFonts w:hint="eastAsia"/>
                <w:highlight w:val="none"/>
                <w:lang w:val="en-US" w:eastAsia="zh-CN"/>
              </w:rPr>
            </w:pPr>
            <w:r>
              <w:rPr>
                <w:rFonts w:hint="eastAsia"/>
                <w:highlight w:val="none"/>
                <w:lang w:val="en-US" w:eastAsia="zh-CN"/>
              </w:rPr>
              <w:t>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ind w:firstLine="420" w:firstLineChars="200"/>
              <w:rPr>
                <w:rFonts w:hint="eastAsia"/>
                <w:highlight w:val="none"/>
              </w:rPr>
            </w:pPr>
            <w:r>
              <w:rPr>
                <w:rFonts w:hint="eastAsia"/>
                <w:highlight w:val="none"/>
                <w:lang w:val="en-US" w:eastAsia="zh-CN"/>
              </w:rPr>
              <w:t>评审依据：投标文件中所附证明材料或网查信息为准。</w:t>
            </w:r>
          </w:p>
        </w:tc>
        <w:tc>
          <w:tcPr>
            <w:tcW w:w="1173" w:type="dxa"/>
            <w:noWrap w:val="0"/>
            <w:vAlign w:val="center"/>
          </w:tcPr>
          <w:p>
            <w:pPr>
              <w:spacing w:line="400" w:lineRule="exact"/>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符合招标文件要求，合法有效</w:t>
            </w:r>
          </w:p>
        </w:tc>
      </w:tr>
    </w:tbl>
    <w:p>
      <w:pPr>
        <w:widowControl/>
        <w:autoSpaceDE w:val="0"/>
        <w:autoSpaceDN w:val="0"/>
        <w:spacing w:after="240" w:afterLines="100" w:line="500" w:lineRule="exact"/>
        <w:ind w:right="53"/>
        <w:jc w:val="left"/>
        <w:textAlignment w:val="bottom"/>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pStyle w:val="2"/>
        <w:rPr>
          <w:rFonts w:hint="eastAsia" w:ascii="宋体" w:hAnsi="宋体" w:cs="宋体"/>
          <w:b/>
          <w:bCs/>
          <w:sz w:val="28"/>
          <w:szCs w:val="28"/>
          <w:highlight w:val="none"/>
        </w:rPr>
      </w:pPr>
    </w:p>
    <w:p>
      <w:pPr>
        <w:widowControl/>
        <w:autoSpaceDE w:val="0"/>
        <w:autoSpaceDN w:val="0"/>
        <w:spacing w:after="240" w:afterLines="100" w:line="500" w:lineRule="exact"/>
        <w:ind w:right="53"/>
        <w:jc w:val="left"/>
        <w:textAlignment w:val="bottom"/>
        <w:rPr>
          <w:rFonts w:hint="eastAsia" w:ascii="宋体" w:hAnsi="宋体" w:cs="宋体"/>
          <w:b/>
          <w:bCs/>
          <w:sz w:val="28"/>
          <w:szCs w:val="28"/>
          <w:highlight w:val="none"/>
        </w:rPr>
      </w:pPr>
      <w:r>
        <w:rPr>
          <w:rFonts w:hint="eastAsia" w:ascii="宋体" w:hAnsi="宋体" w:cs="宋体"/>
          <w:b/>
          <w:bCs/>
          <w:sz w:val="28"/>
          <w:szCs w:val="28"/>
          <w:highlight w:val="none"/>
        </w:rPr>
        <w:t>附件二：</w:t>
      </w:r>
    </w:p>
    <w:p>
      <w:pPr>
        <w:widowControl/>
        <w:autoSpaceDE w:val="0"/>
        <w:autoSpaceDN w:val="0"/>
        <w:spacing w:after="240" w:afterLines="100" w:line="500" w:lineRule="exact"/>
        <w:ind w:right="53"/>
        <w:jc w:val="center"/>
        <w:textAlignment w:val="bottom"/>
        <w:rPr>
          <w:rFonts w:hint="eastAsia" w:ascii="宋体" w:hAnsi="宋体" w:cs="宋体"/>
          <w:b/>
          <w:bCs/>
          <w:sz w:val="28"/>
          <w:szCs w:val="28"/>
          <w:highlight w:val="none"/>
        </w:rPr>
      </w:pPr>
      <w:r>
        <w:rPr>
          <w:rFonts w:hint="eastAsia" w:ascii="宋体" w:hAnsi="宋体" w:cs="宋体"/>
          <w:b/>
          <w:bCs/>
          <w:sz w:val="28"/>
          <w:szCs w:val="28"/>
          <w:highlight w:val="none"/>
        </w:rPr>
        <w:t>符合性审查内容</w:t>
      </w:r>
    </w:p>
    <w:tbl>
      <w:tblPr>
        <w:tblStyle w:val="39"/>
        <w:tblW w:w="93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83"/>
        <w:gridCol w:w="6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99"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序号</w:t>
            </w:r>
          </w:p>
        </w:tc>
        <w:tc>
          <w:tcPr>
            <w:tcW w:w="2183" w:type="dxa"/>
            <w:noWrap w:val="0"/>
            <w:vAlign w:val="center"/>
          </w:tcPr>
          <w:p>
            <w:pPr>
              <w:pStyle w:val="34"/>
              <w:spacing w:before="0" w:beforeAutospacing="0" w:after="0" w:afterAutospacing="0" w:line="500" w:lineRule="exact"/>
              <w:jc w:val="center"/>
              <w:rPr>
                <w:rFonts w:hint="eastAsia"/>
                <w:b/>
                <w:bCs/>
                <w:sz w:val="21"/>
                <w:szCs w:val="21"/>
                <w:highlight w:val="none"/>
              </w:rPr>
            </w:pPr>
            <w:r>
              <w:rPr>
                <w:rFonts w:hint="eastAsia"/>
                <w:b/>
                <w:bCs/>
                <w:sz w:val="21"/>
                <w:szCs w:val="21"/>
                <w:highlight w:val="none"/>
              </w:rPr>
              <w:t>审查内容</w:t>
            </w:r>
          </w:p>
        </w:tc>
        <w:tc>
          <w:tcPr>
            <w:tcW w:w="6333" w:type="dxa"/>
            <w:noWrap w:val="0"/>
            <w:vAlign w:val="center"/>
          </w:tcPr>
          <w:p>
            <w:pPr>
              <w:pStyle w:val="34"/>
              <w:spacing w:before="0" w:beforeAutospacing="0" w:after="0" w:afterAutospacing="0" w:line="500" w:lineRule="exact"/>
              <w:jc w:val="center"/>
              <w:rPr>
                <w:rFonts w:hint="default" w:eastAsia="宋体"/>
                <w:b/>
                <w:bCs/>
                <w:sz w:val="21"/>
                <w:szCs w:val="21"/>
                <w:highlight w:val="none"/>
                <w:lang w:val="en-US" w:eastAsia="zh-CN"/>
              </w:rPr>
            </w:pPr>
            <w:r>
              <w:rPr>
                <w:rFonts w:hint="eastAsia"/>
                <w:b/>
                <w:bCs/>
                <w:sz w:val="21"/>
                <w:szCs w:val="21"/>
                <w:highlight w:val="none"/>
                <w:lang w:val="en-US" w:eastAsia="zh-CN"/>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99" w:type="dxa"/>
            <w:noWrap w:val="0"/>
            <w:vAlign w:val="center"/>
          </w:tcPr>
          <w:p>
            <w:pPr>
              <w:pStyle w:val="34"/>
              <w:spacing w:before="0" w:beforeAutospacing="0" w:after="0" w:afterAutospacing="0" w:line="500" w:lineRule="exact"/>
              <w:jc w:val="center"/>
              <w:rPr>
                <w:rFonts w:hint="eastAsia" w:eastAsia="宋体"/>
                <w:b/>
                <w:bCs/>
                <w:sz w:val="21"/>
                <w:szCs w:val="21"/>
                <w:highlight w:val="none"/>
                <w:lang w:val="en-US" w:eastAsia="zh-CN"/>
              </w:rPr>
            </w:pPr>
            <w:bookmarkStart w:id="18" w:name="OLE_LINK1"/>
            <w:bookmarkStart w:id="19" w:name="_Toc222740141"/>
            <w:r>
              <w:rPr>
                <w:rFonts w:hint="eastAsia"/>
                <w:b/>
                <w:bCs/>
                <w:sz w:val="21"/>
                <w:szCs w:val="21"/>
                <w:highlight w:val="none"/>
                <w:lang w:val="en-US" w:eastAsia="zh-CN"/>
              </w:rPr>
              <w:t>1</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投标文件中的项目名称</w:t>
            </w:r>
          </w:p>
        </w:tc>
        <w:tc>
          <w:tcPr>
            <w:tcW w:w="6333"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与所投项目名称完全一致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2</w:t>
            </w:r>
          </w:p>
        </w:tc>
        <w:tc>
          <w:tcPr>
            <w:tcW w:w="2183" w:type="dxa"/>
            <w:noWrap w:val="0"/>
            <w:vAlign w:val="top"/>
          </w:tcPr>
          <w:p>
            <w:pPr>
              <w:pStyle w:val="150"/>
              <w:ind w:left="348" w:leftChars="0"/>
              <w:jc w:val="center"/>
              <w:rPr>
                <w:rFonts w:hint="eastAsia" w:ascii="Times New Roman" w:hAnsi="Times New Roman" w:eastAsia="宋体" w:cs="Times New Roman"/>
                <w:kern w:val="2"/>
                <w:sz w:val="21"/>
                <w:szCs w:val="24"/>
                <w:highlight w:val="none"/>
                <w:lang w:val="en-US" w:eastAsia="zh-CN" w:bidi="ar-SA"/>
              </w:rPr>
            </w:pPr>
          </w:p>
          <w:p>
            <w:pPr>
              <w:pStyle w:val="15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投标文件的签署盖章</w:t>
            </w:r>
          </w:p>
        </w:tc>
        <w:tc>
          <w:tcPr>
            <w:tcW w:w="6333" w:type="dxa"/>
            <w:noWrap w:val="0"/>
            <w:vAlign w:val="top"/>
          </w:tcPr>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投标文件上</w:t>
            </w:r>
            <w:r>
              <w:rPr>
                <w:rFonts w:hint="eastAsia" w:ascii="Times New Roman" w:hAnsi="Times New Roman" w:cs="Times New Roman"/>
                <w:kern w:val="2"/>
                <w:sz w:val="21"/>
                <w:szCs w:val="24"/>
                <w:highlight w:val="none"/>
                <w:lang w:val="en-US" w:eastAsia="zh-CN" w:bidi="ar-SA"/>
              </w:rPr>
              <w:t>投标供应商</w:t>
            </w:r>
            <w:r>
              <w:rPr>
                <w:rFonts w:hint="eastAsia" w:ascii="Times New Roman" w:hAnsi="Times New Roman" w:eastAsia="宋体" w:cs="Times New Roman"/>
                <w:kern w:val="2"/>
                <w:sz w:val="21"/>
                <w:szCs w:val="24"/>
                <w:highlight w:val="none"/>
                <w:lang w:val="en-US" w:eastAsia="zh-CN" w:bidi="ar-SA"/>
              </w:rPr>
              <w:t>、法定代表人或其授权代表人的签字、盖章符合招标文件要求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3</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投标文件组成</w:t>
            </w:r>
          </w:p>
        </w:tc>
        <w:tc>
          <w:tcPr>
            <w:tcW w:w="6333"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zh-CN" w:eastAsia="zh-CN" w:bidi="ar-SA"/>
              </w:rPr>
              <w:t>按照招标文件</w:t>
            </w:r>
            <w:r>
              <w:rPr>
                <w:rFonts w:hint="eastAsia" w:cs="Times New Roman"/>
                <w:kern w:val="2"/>
                <w:sz w:val="21"/>
                <w:szCs w:val="24"/>
                <w:highlight w:val="none"/>
                <w:lang w:val="en-US" w:eastAsia="zh-CN" w:bidi="ar-SA"/>
              </w:rPr>
              <w:t>第六章投标文件</w:t>
            </w:r>
            <w:r>
              <w:rPr>
                <w:rFonts w:hint="eastAsia" w:ascii="Times New Roman" w:hAnsi="Times New Roman" w:eastAsia="宋体" w:cs="Times New Roman"/>
                <w:kern w:val="2"/>
                <w:sz w:val="21"/>
                <w:szCs w:val="24"/>
                <w:highlight w:val="none"/>
                <w:lang w:val="zh-CN" w:eastAsia="zh-CN" w:bidi="ar-SA"/>
              </w:rPr>
              <w:t>格式</w:t>
            </w:r>
            <w:r>
              <w:rPr>
                <w:rFonts w:hint="eastAsia" w:cs="Times New Roman"/>
                <w:kern w:val="2"/>
                <w:sz w:val="21"/>
                <w:szCs w:val="24"/>
                <w:highlight w:val="none"/>
                <w:lang w:val="en-US" w:eastAsia="zh-CN" w:bidi="ar-SA"/>
              </w:rPr>
              <w:t>要求</w:t>
            </w:r>
            <w:r>
              <w:rPr>
                <w:rFonts w:hint="eastAsia" w:ascii="Times New Roman" w:hAnsi="Times New Roman" w:eastAsia="宋体" w:cs="Times New Roman"/>
                <w:kern w:val="2"/>
                <w:sz w:val="21"/>
                <w:szCs w:val="24"/>
                <w:highlight w:val="none"/>
                <w:lang w:val="zh-CN" w:eastAsia="zh-CN" w:bidi="ar-SA"/>
              </w:rPr>
              <w:t>编写</w:t>
            </w:r>
            <w:r>
              <w:rPr>
                <w:rFonts w:hint="eastAsia" w:cs="Times New Roman"/>
                <w:kern w:val="2"/>
                <w:sz w:val="21"/>
                <w:szCs w:val="24"/>
                <w:highlight w:val="none"/>
                <w:lang w:val="zh-CN" w:eastAsia="zh-CN" w:bidi="ar-SA"/>
              </w:rPr>
              <w:t>，</w:t>
            </w:r>
            <w:r>
              <w:rPr>
                <w:rFonts w:hint="eastAsia" w:ascii="Times New Roman" w:hAnsi="Times New Roman" w:eastAsia="宋体" w:cs="Times New Roman"/>
                <w:kern w:val="2"/>
                <w:sz w:val="21"/>
                <w:szCs w:val="24"/>
                <w:highlight w:val="none"/>
                <w:lang w:val="en-US" w:eastAsia="zh-CN" w:bidi="ar-SA"/>
              </w:rPr>
              <w:t>内容齐全、</w:t>
            </w:r>
            <w:r>
              <w:rPr>
                <w:rFonts w:hint="eastAsia" w:ascii="Times New Roman" w:hAnsi="Times New Roman" w:eastAsia="宋体" w:cs="Times New Roman"/>
                <w:kern w:val="2"/>
                <w:sz w:val="21"/>
                <w:szCs w:val="24"/>
                <w:highlight w:val="none"/>
                <w:lang w:val="zh-CN" w:eastAsia="zh-CN" w:bidi="ar-SA"/>
              </w:rPr>
              <w:t>无缺漏项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4</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投标报价</w:t>
            </w:r>
          </w:p>
        </w:tc>
        <w:tc>
          <w:tcPr>
            <w:tcW w:w="6333"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投标报价唯一，未超出采购预算或招标文件规定的最高限价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5</w:t>
            </w:r>
          </w:p>
        </w:tc>
        <w:tc>
          <w:tcPr>
            <w:tcW w:w="2183" w:type="dxa"/>
            <w:noWrap w:val="0"/>
            <w:vAlign w:val="top"/>
          </w:tcPr>
          <w:p>
            <w:pPr>
              <w:pStyle w:val="150"/>
              <w:jc w:val="center"/>
              <w:rPr>
                <w:rFonts w:hint="eastAsia" w:ascii="Times New Roman" w:hAnsi="Times New Roman" w:eastAsia="宋体" w:cs="Times New Roman"/>
                <w:kern w:val="2"/>
                <w:sz w:val="21"/>
                <w:szCs w:val="24"/>
                <w:highlight w:val="none"/>
                <w:lang w:val="en-US" w:eastAsia="zh-CN" w:bidi="ar-SA"/>
              </w:rPr>
            </w:pPr>
          </w:p>
          <w:p>
            <w:pPr>
              <w:pStyle w:val="15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投标文件内容</w:t>
            </w:r>
          </w:p>
        </w:tc>
        <w:tc>
          <w:tcPr>
            <w:tcW w:w="6333" w:type="dxa"/>
            <w:noWrap w:val="0"/>
            <w:vAlign w:val="top"/>
          </w:tcPr>
          <w:p>
            <w:pPr>
              <w:pStyle w:val="150"/>
              <w:jc w:val="left"/>
              <w:rPr>
                <w:rFonts w:hint="eastAsia" w:ascii="Times New Roman" w:hAnsi="Times New Roman" w:eastAsia="宋体" w:cs="Times New Roman"/>
                <w:kern w:val="2"/>
                <w:sz w:val="21"/>
                <w:szCs w:val="24"/>
                <w:highlight w:val="none"/>
                <w:lang w:val="en-US" w:eastAsia="zh-CN" w:bidi="ar-SA"/>
              </w:rPr>
            </w:pPr>
          </w:p>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投标文件内容齐全、无遗漏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6</w:t>
            </w:r>
          </w:p>
        </w:tc>
        <w:tc>
          <w:tcPr>
            <w:tcW w:w="2183" w:type="dxa"/>
            <w:noWrap w:val="0"/>
            <w:vAlign w:val="top"/>
          </w:tcPr>
          <w:p>
            <w:pPr>
              <w:pStyle w:val="150"/>
              <w:jc w:val="center"/>
              <w:rPr>
                <w:rFonts w:hint="eastAsia" w:ascii="Times New Roman" w:hAnsi="Times New Roman" w:eastAsia="宋体" w:cs="Times New Roman"/>
                <w:kern w:val="2"/>
                <w:sz w:val="21"/>
                <w:szCs w:val="24"/>
                <w:highlight w:val="none"/>
                <w:lang w:val="en-US" w:eastAsia="zh-CN" w:bidi="ar-SA"/>
              </w:rPr>
            </w:pPr>
          </w:p>
          <w:p>
            <w:pPr>
              <w:pStyle w:val="15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服务期限要求</w:t>
            </w:r>
          </w:p>
        </w:tc>
        <w:tc>
          <w:tcPr>
            <w:tcW w:w="6333" w:type="dxa"/>
            <w:noWrap w:val="0"/>
            <w:vAlign w:val="top"/>
          </w:tcPr>
          <w:p>
            <w:pPr>
              <w:pStyle w:val="150"/>
              <w:ind w:left="348" w:leftChars="0"/>
              <w:jc w:val="left"/>
              <w:rPr>
                <w:rFonts w:hint="eastAsia" w:ascii="Times New Roman" w:hAnsi="Times New Roman" w:eastAsia="宋体" w:cs="Times New Roman"/>
                <w:kern w:val="2"/>
                <w:sz w:val="21"/>
                <w:szCs w:val="24"/>
                <w:highlight w:val="none"/>
                <w:lang w:val="en-US" w:eastAsia="zh-CN" w:bidi="ar-SA"/>
              </w:rPr>
            </w:pPr>
          </w:p>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应满足招标文件中要求的服务期限要求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7</w:t>
            </w:r>
          </w:p>
        </w:tc>
        <w:tc>
          <w:tcPr>
            <w:tcW w:w="2183" w:type="dxa"/>
            <w:noWrap w:val="0"/>
            <w:vAlign w:val="top"/>
          </w:tcPr>
          <w:p>
            <w:pPr>
              <w:pStyle w:val="150"/>
              <w:ind w:left="348" w:leftChars="0"/>
              <w:jc w:val="center"/>
              <w:rPr>
                <w:rFonts w:hint="eastAsia" w:ascii="Times New Roman" w:hAnsi="Times New Roman" w:eastAsia="宋体" w:cs="Times New Roman"/>
                <w:kern w:val="2"/>
                <w:sz w:val="21"/>
                <w:szCs w:val="24"/>
                <w:highlight w:val="none"/>
                <w:lang w:val="en-US" w:eastAsia="zh-CN" w:bidi="ar-SA"/>
              </w:rPr>
            </w:pPr>
          </w:p>
          <w:p>
            <w:pPr>
              <w:pStyle w:val="15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投标有效期</w:t>
            </w:r>
          </w:p>
        </w:tc>
        <w:tc>
          <w:tcPr>
            <w:tcW w:w="6333" w:type="dxa"/>
            <w:noWrap w:val="0"/>
            <w:vAlign w:val="top"/>
          </w:tcPr>
          <w:p>
            <w:pPr>
              <w:pStyle w:val="150"/>
              <w:jc w:val="left"/>
              <w:rPr>
                <w:rFonts w:hint="eastAsia" w:ascii="Times New Roman" w:hAnsi="Times New Roman" w:eastAsia="宋体" w:cs="Times New Roman"/>
                <w:kern w:val="2"/>
                <w:sz w:val="21"/>
                <w:szCs w:val="24"/>
                <w:highlight w:val="none"/>
                <w:lang w:val="en-US" w:eastAsia="zh-CN" w:bidi="ar-SA"/>
              </w:rPr>
            </w:pPr>
          </w:p>
          <w:p>
            <w:pPr>
              <w:pStyle w:val="15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应满足招标文件中的规定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9" w:type="dxa"/>
            <w:noWrap w:val="0"/>
            <w:vAlign w:val="center"/>
          </w:tcPr>
          <w:p>
            <w:pPr>
              <w:pStyle w:val="34"/>
              <w:spacing w:before="0" w:beforeAutospacing="0" w:after="0" w:afterAutospacing="0" w:line="500" w:lineRule="exact"/>
              <w:jc w:val="center"/>
              <w:rPr>
                <w:rFonts w:hint="default"/>
                <w:sz w:val="21"/>
                <w:szCs w:val="21"/>
                <w:highlight w:val="none"/>
                <w:lang w:val="en-US" w:eastAsia="zh-CN"/>
              </w:rPr>
            </w:pPr>
            <w:r>
              <w:rPr>
                <w:rFonts w:hint="eastAsia"/>
                <w:sz w:val="21"/>
                <w:szCs w:val="21"/>
                <w:highlight w:val="none"/>
                <w:lang w:val="en-US" w:eastAsia="zh-CN"/>
              </w:rPr>
              <w:t>8</w:t>
            </w:r>
          </w:p>
        </w:tc>
        <w:tc>
          <w:tcPr>
            <w:tcW w:w="2183" w:type="dxa"/>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合同条款</w:t>
            </w:r>
          </w:p>
        </w:tc>
        <w:tc>
          <w:tcPr>
            <w:tcW w:w="6333" w:type="dxa"/>
            <w:noWrap w:val="0"/>
            <w:vAlign w:val="center"/>
          </w:tcPr>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响应招标文件合同条款未出现负偏离且</w:t>
            </w:r>
            <w:r>
              <w:rPr>
                <w:rFonts w:hint="eastAsia" w:ascii="Times New Roman" w:hAnsi="Times New Roman" w:eastAsia="宋体" w:cs="Times New Roman"/>
                <w:kern w:val="2"/>
                <w:sz w:val="21"/>
                <w:szCs w:val="24"/>
                <w:highlight w:val="none"/>
                <w:lang w:val="zh-CN" w:eastAsia="zh-CN" w:bidi="ar-SA"/>
              </w:rPr>
              <w:t>响应的内容</w:t>
            </w:r>
            <w:r>
              <w:rPr>
                <w:rFonts w:hint="eastAsia" w:ascii="Times New Roman" w:hAnsi="Times New Roman" w:eastAsia="宋体" w:cs="Times New Roman"/>
                <w:kern w:val="2"/>
                <w:sz w:val="21"/>
                <w:szCs w:val="24"/>
                <w:highlight w:val="none"/>
                <w:lang w:val="en-US" w:eastAsia="zh-CN" w:bidi="ar-SA"/>
              </w:rPr>
              <w:t>中</w:t>
            </w:r>
            <w:r>
              <w:rPr>
                <w:rFonts w:hint="eastAsia" w:ascii="Times New Roman" w:hAnsi="Times New Roman" w:eastAsia="宋体" w:cs="Times New Roman"/>
                <w:kern w:val="2"/>
                <w:sz w:val="21"/>
                <w:szCs w:val="24"/>
                <w:highlight w:val="none"/>
                <w:lang w:val="zh-CN" w:eastAsia="zh-CN" w:bidi="ar-SA"/>
              </w:rPr>
              <w:t>未</w:t>
            </w:r>
            <w:r>
              <w:rPr>
                <w:rFonts w:hint="eastAsia" w:ascii="Times New Roman" w:hAnsi="Times New Roman" w:eastAsia="宋体" w:cs="Times New Roman"/>
                <w:kern w:val="2"/>
                <w:sz w:val="21"/>
                <w:szCs w:val="24"/>
                <w:highlight w:val="none"/>
                <w:lang w:val="en-US" w:eastAsia="zh-CN" w:bidi="ar-SA"/>
              </w:rPr>
              <w:t>附有采购人不能接受的附加条件。</w:t>
            </w:r>
          </w:p>
        </w:tc>
      </w:tr>
      <w:bookmarkEnd w:id="17"/>
    </w:tbl>
    <w:p>
      <w:pPr>
        <w:pStyle w:val="16"/>
        <w:rPr>
          <w:rFonts w:hint="eastAsia"/>
          <w:highlight w:val="none"/>
        </w:rPr>
      </w:pPr>
    </w:p>
    <w:p>
      <w:pPr>
        <w:spacing w:before="120" w:beforeLines="50" w:after="120" w:afterLines="50" w:line="600"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br w:type="page"/>
      </w:r>
      <w:bookmarkEnd w:id="18"/>
    </w:p>
    <w:p>
      <w:pPr>
        <w:pStyle w:val="3"/>
        <w:numPr>
          <w:ilvl w:val="0"/>
          <w:numId w:val="0"/>
        </w:numPr>
        <w:rPr>
          <w:rFonts w:hint="eastAsia" w:ascii="宋体" w:hAnsi="宋体" w:eastAsia="宋体" w:cs="宋体"/>
          <w:b/>
          <w:bCs/>
          <w:sz w:val="36"/>
          <w:szCs w:val="36"/>
          <w:highlight w:val="none"/>
        </w:rPr>
      </w:pPr>
      <w:bookmarkStart w:id="20" w:name="_Toc18083"/>
      <w:r>
        <w:rPr>
          <w:rFonts w:hint="eastAsia" w:ascii="宋体" w:hAnsi="宋体" w:eastAsia="宋体" w:cs="宋体"/>
          <w:b/>
          <w:bCs/>
          <w:sz w:val="36"/>
          <w:szCs w:val="36"/>
          <w:highlight w:val="none"/>
        </w:rPr>
        <w:t>第四章  采购内容及技术要求</w:t>
      </w:r>
      <w:bookmarkEnd w:id="20"/>
    </w:p>
    <w:p>
      <w:pPr>
        <w:pStyle w:val="12"/>
        <w:spacing w:line="450" w:lineRule="exact"/>
        <w:ind w:firstLine="0"/>
        <w:jc w:val="both"/>
        <w:rPr>
          <w:rFonts w:hint="eastAsia" w:ascii="宋体" w:hAnsi="宋体" w:cs="宋体"/>
          <w:b/>
          <w:bCs/>
          <w:sz w:val="32"/>
          <w:szCs w:val="32"/>
          <w:highlight w:val="none"/>
        </w:rPr>
      </w:pPr>
    </w:p>
    <w:p>
      <w:pPr>
        <w:spacing w:line="360" w:lineRule="auto"/>
        <w:rPr>
          <w:rFonts w:ascii="华文宋体" w:hAnsi="华文宋体" w:eastAsia="华文宋体" w:cs="宋体"/>
          <w:b/>
          <w:bCs/>
          <w:sz w:val="28"/>
          <w:szCs w:val="28"/>
          <w:highlight w:val="none"/>
        </w:rPr>
      </w:pPr>
      <w:r>
        <w:rPr>
          <w:rFonts w:hint="eastAsia" w:ascii="华文宋体" w:hAnsi="华文宋体" w:eastAsia="华文宋体" w:cs="宋体"/>
          <w:b/>
          <w:bCs/>
          <w:sz w:val="28"/>
          <w:szCs w:val="28"/>
          <w:highlight w:val="none"/>
        </w:rPr>
        <w:t>一、项目概况</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秦汉新城渭河福银高速桥至横桥段滩面区域绿化养护</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绿地养护面积约为1196000.00㎡</w:t>
      </w:r>
      <w:r>
        <w:rPr>
          <w:rFonts w:hint="eastAsia" w:ascii="宋体" w:hAnsi="宋体" w:eastAsia="宋体" w:cs="宋体"/>
          <w:color w:val="000000"/>
          <w:kern w:val="2"/>
          <w:sz w:val="21"/>
          <w:szCs w:val="21"/>
          <w:highlight w:val="none"/>
          <w:lang w:val="en-US" w:eastAsia="zh-CN" w:bidi="ar-SA"/>
        </w:rPr>
        <w:t>。</w:t>
      </w:r>
    </w:p>
    <w:p>
      <w:pPr>
        <w:pStyle w:val="16"/>
        <w:spacing w:line="360" w:lineRule="auto"/>
        <w:jc w:val="both"/>
        <w:rPr>
          <w:rFonts w:hint="eastAsia"/>
          <w:highlight w:val="none"/>
          <w:lang w:val="en-US" w:eastAsia="zh-CN"/>
        </w:rPr>
      </w:pPr>
      <w:r>
        <w:rPr>
          <w:rFonts w:hint="eastAsia" w:ascii="宋体" w:hAnsi="宋体" w:cs="宋体"/>
          <w:color w:val="000000"/>
          <w:kern w:val="2"/>
          <w:sz w:val="21"/>
          <w:szCs w:val="21"/>
          <w:highlight w:val="none"/>
          <w:lang w:val="en-US" w:eastAsia="zh-CN" w:bidi="ar-SA"/>
        </w:rPr>
        <w:t>养护</w:t>
      </w:r>
      <w:r>
        <w:rPr>
          <w:rFonts w:hint="eastAsia" w:ascii="宋体" w:hAnsi="宋体" w:eastAsia="宋体" w:cs="宋体"/>
          <w:color w:val="000000"/>
          <w:kern w:val="2"/>
          <w:sz w:val="21"/>
          <w:szCs w:val="21"/>
          <w:highlight w:val="none"/>
          <w:lang w:val="en-US" w:eastAsia="zh-CN" w:bidi="ar-SA"/>
        </w:rPr>
        <w:t>服务范围及养护等级、绿化面积，行道树数量详见下表：</w:t>
      </w:r>
    </w:p>
    <w:tbl>
      <w:tblPr>
        <w:tblStyle w:val="39"/>
        <w:tblpPr w:leftFromText="180" w:rightFromText="180" w:vertAnchor="text" w:horzAnchor="page" w:tblpX="1665" w:tblpY="277"/>
        <w:tblOverlap w:val="never"/>
        <w:tblW w:w="85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7"/>
        <w:gridCol w:w="2850"/>
        <w:gridCol w:w="1184"/>
        <w:gridCol w:w="33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46" w:type="dxa"/>
            <w:gridSpan w:val="4"/>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秦汉新城</w:t>
            </w:r>
            <w:r>
              <w:rPr>
                <w:rFonts w:hint="eastAsia" w:ascii="宋体" w:hAnsi="宋体" w:eastAsia="宋体" w:cs="宋体"/>
                <w:b/>
                <w:bCs/>
                <w:i w:val="0"/>
                <w:iCs w:val="0"/>
                <w:color w:val="auto"/>
                <w:kern w:val="0"/>
                <w:sz w:val="18"/>
                <w:szCs w:val="18"/>
                <w:highlight w:val="none"/>
                <w:u w:val="none"/>
                <w:lang w:val="en-US" w:eastAsia="zh-CN" w:bidi="ar"/>
              </w:rPr>
              <w:t>渭河福银高速桥至横桥段滩面区域绿化养护清单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19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2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区域位置</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等级</w:t>
            </w:r>
          </w:p>
        </w:tc>
        <w:tc>
          <w:tcPr>
            <w:tcW w:w="331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绿地</w:t>
            </w:r>
            <w:r>
              <w:rPr>
                <w:rFonts w:hint="eastAsia" w:ascii="宋体" w:hAnsi="宋体" w:eastAsia="宋体" w:cs="宋体"/>
                <w:i w:val="0"/>
                <w:iCs w:val="0"/>
                <w:color w:val="auto"/>
                <w:kern w:val="0"/>
                <w:sz w:val="18"/>
                <w:szCs w:val="18"/>
                <w:highlight w:val="none"/>
                <w:u w:val="none"/>
                <w:lang w:val="en-US" w:eastAsia="zh-CN" w:bidi="ar"/>
              </w:rPr>
              <w:t>养护面积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9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渭河福银高速桥至横桥段滩面</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331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1196000.00 </w:t>
            </w:r>
          </w:p>
        </w:tc>
      </w:tr>
    </w:tbl>
    <w:p>
      <w:pPr>
        <w:pStyle w:val="16"/>
        <w:numPr>
          <w:ilvl w:val="0"/>
          <w:numId w:val="0"/>
        </w:numPr>
        <w:spacing w:line="360" w:lineRule="auto"/>
        <w:ind w:right="-84" w:rightChars="-40"/>
        <w:jc w:val="both"/>
        <w:rPr>
          <w:rFonts w:hint="default"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二、绿化养护服务内容</w:t>
      </w:r>
    </w:p>
    <w:p>
      <w:pPr>
        <w:pStyle w:val="16"/>
        <w:numPr>
          <w:ilvl w:val="0"/>
          <w:numId w:val="0"/>
        </w:numPr>
        <w:spacing w:line="360" w:lineRule="auto"/>
        <w:ind w:left="420" w:leftChars="0" w:right="-84" w:rightChars="-4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1、水环境养护内容</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1.1.</w:t>
      </w:r>
      <w:r>
        <w:rPr>
          <w:rFonts w:hint="eastAsia" w:ascii="宋体" w:hAnsi="宋体" w:eastAsia="宋体" w:cs="宋体"/>
          <w:color w:val="000000"/>
          <w:kern w:val="2"/>
          <w:sz w:val="21"/>
          <w:szCs w:val="21"/>
          <w:highlight w:val="none"/>
          <w:lang w:val="en-US" w:eastAsia="zh-CN" w:bidi="ar-SA"/>
        </w:rPr>
        <w:t xml:space="preserve">水面无漂浮废弃物和动物尸体污染。 </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1.2.</w:t>
      </w:r>
      <w:r>
        <w:rPr>
          <w:rFonts w:hint="eastAsia" w:ascii="宋体" w:hAnsi="宋体" w:eastAsia="宋体" w:cs="宋体"/>
          <w:color w:val="000000"/>
          <w:kern w:val="2"/>
          <w:sz w:val="21"/>
          <w:szCs w:val="21"/>
          <w:highlight w:val="none"/>
          <w:lang w:val="en-US" w:eastAsia="zh-CN" w:bidi="ar-SA"/>
        </w:rPr>
        <w:t xml:space="preserve">滩涂无沉积物污染。 </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1.3.</w:t>
      </w:r>
      <w:r>
        <w:rPr>
          <w:rFonts w:hint="eastAsia" w:ascii="宋体" w:hAnsi="宋体" w:eastAsia="宋体" w:cs="宋体"/>
          <w:color w:val="000000"/>
          <w:kern w:val="2"/>
          <w:sz w:val="21"/>
          <w:szCs w:val="21"/>
          <w:highlight w:val="none"/>
          <w:lang w:val="en-US" w:eastAsia="zh-CN" w:bidi="ar-SA"/>
        </w:rPr>
        <w:t xml:space="preserve">除水生植物整治集中拦截、集中打捞作业区域外，其余水域的水面无条状、片状的水生植物污染。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1.4.</w:t>
      </w:r>
      <w:r>
        <w:rPr>
          <w:rFonts w:hint="eastAsia" w:ascii="宋体" w:hAnsi="宋体" w:eastAsia="宋体" w:cs="宋体"/>
          <w:highlight w:val="none"/>
        </w:rPr>
        <w:t>保持</w:t>
      </w:r>
      <w:r>
        <w:rPr>
          <w:rFonts w:hint="eastAsia" w:ascii="宋体" w:hAnsi="宋体" w:cs="宋体"/>
          <w:highlight w:val="none"/>
          <w:lang w:val="en-US" w:eastAsia="zh-CN"/>
        </w:rPr>
        <w:t>水体</w:t>
      </w:r>
      <w:r>
        <w:rPr>
          <w:rFonts w:hint="eastAsia" w:ascii="宋体" w:hAnsi="宋体" w:eastAsia="宋体" w:cs="宋体"/>
          <w:highlight w:val="none"/>
        </w:rPr>
        <w:t>及水</w:t>
      </w:r>
      <w:r>
        <w:rPr>
          <w:rFonts w:hint="eastAsia" w:ascii="宋体" w:hAnsi="宋体" w:cs="宋体"/>
          <w:highlight w:val="none"/>
          <w:lang w:val="en-US" w:eastAsia="zh-CN"/>
        </w:rPr>
        <w:t>面</w:t>
      </w:r>
      <w:r>
        <w:rPr>
          <w:rFonts w:hint="eastAsia" w:ascii="宋体" w:hAnsi="宋体" w:eastAsia="宋体" w:cs="宋体"/>
          <w:highlight w:val="none"/>
        </w:rPr>
        <w:t>内外清洁，</w:t>
      </w:r>
      <w:r>
        <w:rPr>
          <w:rFonts w:hint="eastAsia" w:ascii="宋体" w:hAnsi="宋体" w:cs="宋体"/>
          <w:color w:val="000000"/>
          <w:kern w:val="2"/>
          <w:sz w:val="21"/>
          <w:szCs w:val="21"/>
          <w:highlight w:val="none"/>
          <w:lang w:val="en-US" w:eastAsia="zh-CN" w:bidi="ar-SA"/>
        </w:rPr>
        <w:t>水质达到同期环保要求</w:t>
      </w:r>
      <w:r>
        <w:rPr>
          <w:rFonts w:hint="eastAsia" w:ascii="宋体" w:hAnsi="宋体" w:eastAsia="宋体" w:cs="宋体"/>
          <w:highlight w:val="none"/>
        </w:rPr>
        <w:t>。要求及时清除杂物</w:t>
      </w:r>
      <w:r>
        <w:rPr>
          <w:rFonts w:hint="eastAsia" w:ascii="宋体" w:hAnsi="宋体" w:cs="宋体"/>
          <w:highlight w:val="none"/>
          <w:lang w:val="en-US" w:eastAsia="zh-CN"/>
        </w:rPr>
        <w:t>垃圾，保持水体水面清洁</w:t>
      </w:r>
      <w:r>
        <w:rPr>
          <w:rFonts w:hint="eastAsia" w:ascii="宋体" w:hAnsi="宋体" w:eastAsia="宋体" w:cs="宋体"/>
          <w:highlight w:val="none"/>
        </w:rPr>
        <w:t>。</w:t>
      </w:r>
    </w:p>
    <w:p>
      <w:pPr>
        <w:pStyle w:val="16"/>
        <w:spacing w:line="360" w:lineRule="auto"/>
        <w:ind w:firstLine="480" w:firstLineChars="20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2、安保服务内容</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kern w:val="2"/>
          <w:sz w:val="21"/>
          <w:szCs w:val="21"/>
          <w:highlight w:val="none"/>
          <w:lang w:val="en-US" w:eastAsia="zh-CN" w:bidi="ar-SA"/>
        </w:rPr>
        <w:t>服务区域内</w:t>
      </w:r>
      <w:r>
        <w:rPr>
          <w:rFonts w:hint="eastAsia" w:ascii="宋体" w:hAnsi="宋体" w:eastAsia="宋体" w:cs="宋体"/>
          <w:color w:val="000000"/>
          <w:kern w:val="2"/>
          <w:sz w:val="21"/>
          <w:szCs w:val="21"/>
          <w:highlight w:val="none"/>
          <w:lang w:val="en-US" w:eastAsia="zh-CN" w:bidi="ar-SA"/>
        </w:rPr>
        <w:t>绿地</w:t>
      </w:r>
      <w:r>
        <w:rPr>
          <w:rFonts w:hint="eastAsia" w:ascii="宋体" w:hAnsi="宋体" w:cs="宋体"/>
          <w:color w:val="000000"/>
          <w:kern w:val="2"/>
          <w:sz w:val="21"/>
          <w:szCs w:val="21"/>
          <w:highlight w:val="none"/>
          <w:lang w:val="en-US" w:eastAsia="zh-CN" w:bidi="ar-SA"/>
        </w:rPr>
        <w:t>和水域的</w:t>
      </w:r>
      <w:r>
        <w:rPr>
          <w:rFonts w:hint="eastAsia" w:ascii="宋体" w:hAnsi="宋体" w:eastAsia="宋体" w:cs="宋体"/>
          <w:color w:val="000000"/>
          <w:kern w:val="2"/>
          <w:sz w:val="21"/>
          <w:szCs w:val="21"/>
          <w:highlight w:val="none"/>
          <w:lang w:val="en-US" w:eastAsia="zh-CN" w:bidi="ar-SA"/>
        </w:rPr>
        <w:t>安全保护</w:t>
      </w:r>
      <w:r>
        <w:rPr>
          <w:rFonts w:hint="eastAsia" w:ascii="宋体" w:hAnsi="宋体" w:cs="宋体"/>
          <w:color w:val="000000"/>
          <w:kern w:val="2"/>
          <w:sz w:val="21"/>
          <w:szCs w:val="21"/>
          <w:highlight w:val="none"/>
          <w:lang w:val="en-US" w:eastAsia="zh-CN" w:bidi="ar-SA"/>
        </w:rPr>
        <w:t>、安全</w:t>
      </w:r>
      <w:r>
        <w:rPr>
          <w:rFonts w:hint="eastAsia" w:ascii="宋体" w:hAnsi="宋体" w:eastAsia="宋体" w:cs="宋体"/>
          <w:color w:val="000000"/>
          <w:kern w:val="2"/>
          <w:sz w:val="21"/>
          <w:szCs w:val="21"/>
          <w:highlight w:val="none"/>
          <w:lang w:val="en-US" w:eastAsia="zh-CN" w:bidi="ar-SA"/>
        </w:rPr>
        <w:t>巡查等全部工作</w:t>
      </w:r>
      <w:r>
        <w:rPr>
          <w:rFonts w:hint="eastAsia" w:ascii="宋体" w:hAnsi="宋体" w:cs="宋体"/>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维护</w:t>
      </w:r>
      <w:r>
        <w:rPr>
          <w:rFonts w:hint="eastAsia" w:ascii="宋体" w:hAnsi="宋体" w:cs="宋体"/>
          <w:color w:val="000000"/>
          <w:kern w:val="2"/>
          <w:sz w:val="21"/>
          <w:szCs w:val="21"/>
          <w:highlight w:val="none"/>
          <w:lang w:val="en-US" w:eastAsia="zh-CN" w:bidi="ar-SA"/>
        </w:rPr>
        <w:t>园</w:t>
      </w:r>
      <w:r>
        <w:rPr>
          <w:rFonts w:hint="eastAsia" w:ascii="宋体" w:hAnsi="宋体" w:eastAsia="宋体" w:cs="宋体"/>
          <w:color w:val="000000"/>
          <w:kern w:val="2"/>
          <w:sz w:val="21"/>
          <w:szCs w:val="21"/>
          <w:highlight w:val="none"/>
          <w:lang w:val="en-US" w:eastAsia="zh-CN" w:bidi="ar-SA"/>
        </w:rPr>
        <w:t>区秩序，制止不文明行为，保证游客安全。</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2.2.做好防火、防盗、防治安全灾害事故等防范工作，发现隐患及时报告并协助处理。</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2.3汛期协助防汛管理</w:t>
      </w:r>
      <w:r>
        <w:rPr>
          <w:rFonts w:hint="eastAsia" w:ascii="宋体" w:hAnsi="宋体" w:cs="宋体"/>
          <w:color w:val="000000"/>
          <w:kern w:val="2"/>
          <w:sz w:val="21"/>
          <w:szCs w:val="21"/>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3.协助公安机关对园内发生的案件、违法事件进行现场保护，并及时向甲方及园区管理办公室报告，配合公安侦破案件。</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4.保证园内监控设施</w:t>
      </w:r>
      <w:r>
        <w:rPr>
          <w:rFonts w:hint="eastAsia" w:ascii="宋体" w:hAnsi="宋体" w:cs="宋体"/>
          <w:color w:val="000000"/>
          <w:kern w:val="2"/>
          <w:sz w:val="21"/>
          <w:szCs w:val="21"/>
          <w:highlight w:val="none"/>
          <w:lang w:val="en-US" w:eastAsia="zh-CN" w:bidi="ar-SA"/>
        </w:rPr>
        <w:t>正常运行，存在安全隐患的位置安装警示标牌，执勤人员不无故缺岗。</w:t>
      </w:r>
    </w:p>
    <w:p>
      <w:pPr>
        <w:pStyle w:val="16"/>
        <w:spacing w:line="360" w:lineRule="auto"/>
        <w:ind w:firstLine="480" w:firstLineChars="20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3、保洁服务内容</w:t>
      </w:r>
    </w:p>
    <w:p>
      <w:pPr>
        <w:pStyle w:val="16"/>
        <w:spacing w:line="360" w:lineRule="auto"/>
        <w:ind w:firstLine="420" w:firstLineChars="200"/>
        <w:jc w:val="both"/>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3.1服务区域内</w:t>
      </w:r>
      <w:r>
        <w:rPr>
          <w:rFonts w:hint="eastAsia" w:ascii="宋体" w:hAnsi="宋体" w:eastAsia="宋体" w:cs="宋体"/>
          <w:color w:val="000000"/>
          <w:kern w:val="2"/>
          <w:sz w:val="21"/>
          <w:szCs w:val="21"/>
          <w:highlight w:val="none"/>
          <w:lang w:val="en-US" w:eastAsia="zh-CN" w:bidi="ar-SA"/>
        </w:rPr>
        <w:t>绿地、</w:t>
      </w:r>
      <w:r>
        <w:rPr>
          <w:rFonts w:hint="eastAsia" w:ascii="宋体" w:hAnsi="宋体" w:cs="宋体"/>
          <w:color w:val="000000"/>
          <w:kern w:val="2"/>
          <w:sz w:val="21"/>
          <w:szCs w:val="21"/>
          <w:highlight w:val="none"/>
          <w:lang w:val="en-US" w:eastAsia="zh-CN" w:bidi="ar-SA"/>
        </w:rPr>
        <w:t>园区</w:t>
      </w:r>
      <w:r>
        <w:rPr>
          <w:rFonts w:hint="eastAsia" w:ascii="宋体" w:hAnsi="宋体" w:eastAsia="宋体" w:cs="宋体"/>
          <w:color w:val="000000"/>
          <w:kern w:val="2"/>
          <w:sz w:val="21"/>
          <w:szCs w:val="21"/>
          <w:highlight w:val="none"/>
          <w:lang w:val="en-US" w:eastAsia="zh-CN" w:bidi="ar-SA"/>
        </w:rPr>
        <w:t>道路、</w:t>
      </w:r>
      <w:r>
        <w:rPr>
          <w:rFonts w:hint="eastAsia" w:ascii="宋体" w:hAnsi="宋体" w:cs="宋体"/>
          <w:color w:val="000000"/>
          <w:kern w:val="2"/>
          <w:sz w:val="21"/>
          <w:szCs w:val="21"/>
          <w:highlight w:val="none"/>
          <w:lang w:val="en-US" w:eastAsia="zh-CN" w:bidi="ar-SA"/>
        </w:rPr>
        <w:t>公厕、</w:t>
      </w:r>
      <w:r>
        <w:rPr>
          <w:rFonts w:hint="eastAsia" w:ascii="宋体" w:hAnsi="宋体" w:eastAsia="宋体" w:cs="宋体"/>
          <w:color w:val="000000"/>
          <w:kern w:val="2"/>
          <w:sz w:val="21"/>
          <w:szCs w:val="21"/>
          <w:highlight w:val="none"/>
          <w:lang w:val="en-US" w:eastAsia="zh-CN" w:bidi="ar-SA"/>
        </w:rPr>
        <w:t>景观平台等清理与保洁</w:t>
      </w:r>
      <w:r>
        <w:rPr>
          <w:rFonts w:hint="eastAsia" w:ascii="宋体" w:hAnsi="宋体" w:cs="宋体"/>
          <w:color w:val="000000"/>
          <w:kern w:val="2"/>
          <w:sz w:val="21"/>
          <w:szCs w:val="21"/>
          <w:highlight w:val="none"/>
          <w:lang w:val="en-US" w:eastAsia="zh-CN" w:bidi="ar-SA"/>
        </w:rPr>
        <w:t>工作</w:t>
      </w:r>
      <w:r>
        <w:rPr>
          <w:rFonts w:hint="eastAsia" w:ascii="宋体" w:hAnsi="宋体" w:eastAsia="宋体" w:cs="宋体"/>
          <w:color w:val="000000"/>
          <w:kern w:val="2"/>
          <w:sz w:val="21"/>
          <w:szCs w:val="21"/>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3.2</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做到</w:t>
      </w:r>
      <w:r>
        <w:rPr>
          <w:rFonts w:hint="eastAsia" w:ascii="宋体" w:hAnsi="宋体" w:eastAsia="宋体" w:cs="宋体"/>
          <w:color w:val="000000"/>
          <w:kern w:val="2"/>
          <w:sz w:val="21"/>
          <w:szCs w:val="21"/>
          <w:highlight w:val="none"/>
          <w:lang w:val="en-US" w:eastAsia="zh-CN" w:bidi="ar-SA"/>
        </w:rPr>
        <w:t>“六不”：不见积水、不见积土、不见杂物、不漏收堆、不乱倒垃圾和不见人畜粪。</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3.3</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做到</w:t>
      </w:r>
      <w:r>
        <w:rPr>
          <w:rFonts w:hint="eastAsia" w:ascii="宋体" w:hAnsi="宋体" w:eastAsia="宋体" w:cs="宋体"/>
          <w:color w:val="000000"/>
          <w:kern w:val="2"/>
          <w:sz w:val="21"/>
          <w:szCs w:val="21"/>
          <w:highlight w:val="none"/>
          <w:lang w:val="en-US" w:eastAsia="zh-CN" w:bidi="ar-SA"/>
        </w:rPr>
        <w:t>“六净”：路面净、公厕净、设施净、雨水沟井净、墙根净、果皮箱净。</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3.4</w:t>
      </w:r>
      <w:r>
        <w:rPr>
          <w:rFonts w:hint="eastAsia" w:ascii="宋体" w:hAnsi="宋体" w:eastAsia="宋体" w:cs="宋体"/>
          <w:color w:val="000000"/>
          <w:kern w:val="2"/>
          <w:sz w:val="21"/>
          <w:szCs w:val="21"/>
          <w:highlight w:val="none"/>
          <w:lang w:val="en-US" w:eastAsia="zh-CN" w:bidi="ar-SA"/>
        </w:rPr>
        <w:t>.垃圾分类：垃圾分类投放，结合人工分类的方法，对各类不同性质的垃圾进行分类处理，实施“三化”管理，即垃圾收集袋装化、垃圾回收资源化、垃圾处理无公害化。</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default"/>
          <w:highlight w:val="none"/>
          <w:lang w:val="en-US" w:eastAsia="zh-CN"/>
        </w:rPr>
      </w:pPr>
      <w:r>
        <w:rPr>
          <w:rFonts w:hint="eastAsia" w:ascii="宋体" w:hAnsi="宋体" w:cs="宋体"/>
          <w:color w:val="000000"/>
          <w:kern w:val="2"/>
          <w:sz w:val="21"/>
          <w:szCs w:val="21"/>
          <w:highlight w:val="none"/>
          <w:lang w:val="en-US" w:eastAsia="zh-CN" w:bidi="ar-SA"/>
        </w:rPr>
        <w:t>3.5</w:t>
      </w:r>
      <w:r>
        <w:rPr>
          <w:rFonts w:hint="eastAsia" w:ascii="宋体" w:hAnsi="宋体" w:eastAsia="宋体" w:cs="宋体"/>
          <w:color w:val="000000"/>
          <w:kern w:val="2"/>
          <w:sz w:val="21"/>
          <w:szCs w:val="21"/>
          <w:highlight w:val="none"/>
          <w:lang w:val="en-US" w:eastAsia="zh-CN" w:bidi="ar-SA"/>
        </w:rPr>
        <w:t>.应急程序管理：积极检查园内各排水口情况，如有堵塞及时疏通。如有暴风雨雪天气、节假日活动、大型集会等特殊情况，需加大对园区各处的清理力度，做好所需工具和药剂的贮备工作。</w:t>
      </w:r>
    </w:p>
    <w:p>
      <w:pPr>
        <w:pStyle w:val="16"/>
        <w:spacing w:line="360" w:lineRule="auto"/>
        <w:ind w:firstLine="480" w:firstLineChars="20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4、绿化养护服务内容</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1.植物养护：植物修剪、灌溉与排水、施肥、有害生物防治、松土除草、绿地防护及补植（主要因养护因素造成的苗木长势不良、死株等移除后的补栽工作）等日常养护全部工作。</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2.绿地管理：绿地、附属道路、景观平台等清理、绿地安全保护巡查等全部工作。</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3.甲方指定的苗木移栽、场地恢复等零星应急工程。</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4.养护面积核准、复测、资产盘点、台账管理等。</w:t>
      </w:r>
    </w:p>
    <w:p>
      <w:pPr>
        <w:pStyle w:val="16"/>
        <w:numPr>
          <w:ilvl w:val="0"/>
          <w:numId w:val="0"/>
        </w:numPr>
        <w:spacing w:line="360" w:lineRule="auto"/>
        <w:ind w:left="420" w:leftChars="0" w:right="-84" w:rightChars="-40"/>
        <w:jc w:val="both"/>
        <w:rPr>
          <w:rFonts w:hint="eastAsia" w:ascii="华文宋体" w:hAnsi="华文宋体" w:eastAsia="华文宋体"/>
          <w:b/>
          <w:bCs/>
          <w:sz w:val="24"/>
          <w:szCs w:val="32"/>
          <w:highlight w:val="none"/>
          <w:lang w:val="en-US" w:eastAsia="zh-CN"/>
        </w:rPr>
      </w:pPr>
      <w:r>
        <w:rPr>
          <w:rFonts w:hint="eastAsia" w:ascii="华文宋体" w:hAnsi="华文宋体" w:eastAsia="华文宋体"/>
          <w:b/>
          <w:bCs/>
          <w:sz w:val="24"/>
          <w:szCs w:val="32"/>
          <w:highlight w:val="none"/>
          <w:lang w:val="en-US" w:eastAsia="zh-CN"/>
        </w:rPr>
        <w:t>5、设施设备维护服务内容</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1.设施设备维护人员恪守岗位职责，做好日常保养与计划性维修保养</w:t>
      </w:r>
      <w:r>
        <w:rPr>
          <w:rFonts w:hint="eastAsia" w:ascii="宋体" w:hAnsi="宋体" w:cs="宋体"/>
          <w:color w:val="000000"/>
          <w:kern w:val="2"/>
          <w:sz w:val="21"/>
          <w:szCs w:val="21"/>
          <w:highlight w:val="none"/>
          <w:lang w:val="en-US" w:eastAsia="zh-CN" w:bidi="ar-SA"/>
        </w:rPr>
        <w:t>工作</w:t>
      </w:r>
      <w:r>
        <w:rPr>
          <w:rFonts w:hint="eastAsia" w:ascii="宋体" w:hAnsi="宋体" w:eastAsia="宋体" w:cs="宋体"/>
          <w:color w:val="000000"/>
          <w:kern w:val="2"/>
          <w:sz w:val="21"/>
          <w:szCs w:val="21"/>
          <w:highlight w:val="none"/>
          <w:lang w:val="en-US" w:eastAsia="zh-CN" w:bidi="ar-SA"/>
        </w:rPr>
        <w:t>，使设施设备时刻处于良好状态。</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kern w:val="2"/>
          <w:sz w:val="21"/>
          <w:szCs w:val="21"/>
          <w:highlight w:val="none"/>
          <w:lang w:val="en-US" w:eastAsia="zh-CN" w:bidi="ar-SA"/>
        </w:rPr>
        <w:t>做到</w:t>
      </w:r>
      <w:r>
        <w:rPr>
          <w:rFonts w:hint="eastAsia" w:ascii="宋体" w:hAnsi="宋体" w:eastAsia="宋体" w:cs="宋体"/>
          <w:color w:val="000000"/>
          <w:kern w:val="2"/>
          <w:sz w:val="21"/>
          <w:szCs w:val="21"/>
          <w:highlight w:val="none"/>
          <w:lang w:val="en-US" w:eastAsia="zh-CN" w:bidi="ar-SA"/>
        </w:rPr>
        <w:t>“三好”：用好、修好和管理好设备；“四会”：维修人员会使用、会保养、会检查、会排除故障；“五定”：对主要设备的清洁、润滑、检修做到定量、定人、定点、定时和定质。</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3.配备高素质的工程技术人员，提高设施设备管理效率。</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4.完善设施设备管理、定期检查和维修制度。制定科学的保养规程，完善设施设备资料和维修登记卡片管理，合理制定定期维修计划。建立健全设施设备档案资料和运行维护记录。</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5.制定设施设备应急处理预案，及时处理各类突发事件，有备无患。</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6.按时检查，及时发现设施设备隐患，减少、避免突发故障，定期组织</w:t>
      </w:r>
      <w:r>
        <w:rPr>
          <w:rFonts w:hint="eastAsia" w:ascii="宋体" w:hAnsi="宋体" w:cs="宋体"/>
          <w:color w:val="000000"/>
          <w:kern w:val="2"/>
          <w:sz w:val="21"/>
          <w:szCs w:val="21"/>
          <w:highlight w:val="none"/>
          <w:lang w:val="en-US" w:eastAsia="zh-CN" w:bidi="ar-SA"/>
        </w:rPr>
        <w:t>技术人员</w:t>
      </w:r>
      <w:r>
        <w:rPr>
          <w:rFonts w:hint="eastAsia" w:ascii="宋体" w:hAnsi="宋体" w:eastAsia="宋体" w:cs="宋体"/>
          <w:color w:val="000000"/>
          <w:kern w:val="2"/>
          <w:sz w:val="21"/>
          <w:szCs w:val="21"/>
          <w:highlight w:val="none"/>
          <w:lang w:val="en-US" w:eastAsia="zh-CN" w:bidi="ar-SA"/>
        </w:rPr>
        <w:t>对设施设备</w:t>
      </w:r>
      <w:r>
        <w:rPr>
          <w:rFonts w:hint="eastAsia" w:ascii="宋体" w:hAnsi="宋体" w:cs="宋体"/>
          <w:color w:val="000000"/>
          <w:kern w:val="2"/>
          <w:sz w:val="21"/>
          <w:szCs w:val="21"/>
          <w:highlight w:val="none"/>
          <w:lang w:val="en-US" w:eastAsia="zh-CN" w:bidi="ar-SA"/>
        </w:rPr>
        <w:t>的</w:t>
      </w:r>
      <w:r>
        <w:rPr>
          <w:rFonts w:hint="eastAsia" w:ascii="宋体" w:hAnsi="宋体" w:eastAsia="宋体" w:cs="宋体"/>
          <w:color w:val="000000"/>
          <w:kern w:val="2"/>
          <w:sz w:val="21"/>
          <w:szCs w:val="21"/>
          <w:highlight w:val="none"/>
          <w:lang w:val="en-US" w:eastAsia="zh-CN" w:bidi="ar-SA"/>
        </w:rPr>
        <w:t>综合检查。</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kern w:val="2"/>
          <w:sz w:val="21"/>
          <w:szCs w:val="21"/>
          <w:highlight w:val="none"/>
          <w:lang w:val="en-US" w:eastAsia="zh-CN" w:bidi="ar-SA"/>
        </w:rPr>
        <w:t>本</w:t>
      </w:r>
      <w:r>
        <w:rPr>
          <w:rFonts w:hint="eastAsia" w:ascii="宋体" w:hAnsi="宋体" w:eastAsia="宋体" w:cs="宋体"/>
          <w:color w:val="000000"/>
          <w:kern w:val="2"/>
          <w:sz w:val="21"/>
          <w:szCs w:val="21"/>
          <w:highlight w:val="none"/>
          <w:lang w:val="en-US" w:eastAsia="zh-CN" w:bidi="ar-SA"/>
        </w:rPr>
        <w:t>项目全体员工包括管理人员、绿化工、保洁员和</w:t>
      </w:r>
      <w:r>
        <w:rPr>
          <w:rFonts w:hint="eastAsia" w:ascii="宋体" w:hAnsi="宋体" w:cs="宋体"/>
          <w:color w:val="000000"/>
          <w:kern w:val="2"/>
          <w:sz w:val="21"/>
          <w:szCs w:val="21"/>
          <w:highlight w:val="none"/>
          <w:lang w:val="en-US" w:eastAsia="zh-CN" w:bidi="ar-SA"/>
        </w:rPr>
        <w:t>安保</w:t>
      </w:r>
      <w:r>
        <w:rPr>
          <w:rFonts w:hint="eastAsia" w:ascii="宋体" w:hAnsi="宋体" w:eastAsia="宋体" w:cs="宋体"/>
          <w:color w:val="000000"/>
          <w:kern w:val="2"/>
          <w:sz w:val="21"/>
          <w:szCs w:val="21"/>
          <w:highlight w:val="none"/>
          <w:lang w:val="en-US" w:eastAsia="zh-CN" w:bidi="ar-SA"/>
        </w:rPr>
        <w:t>员在自己的工作中，随时观察设施设备一些异常情况，并及时反映，从而使设施设备得到及时的维修养护。</w:t>
      </w:r>
    </w:p>
    <w:p>
      <w:pPr>
        <w:pStyle w:val="16"/>
        <w:spacing w:line="360" w:lineRule="auto"/>
        <w:ind w:firstLine="480"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三、本项目养护限价及费用结算原则</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.二级养护区域：</w:t>
      </w:r>
      <w:r>
        <w:rPr>
          <w:rFonts w:hint="eastAsia" w:ascii="Times New Roman" w:hAnsi="Times New Roman" w:eastAsia="宋体" w:cs="Times New Roman"/>
          <w:highlight w:val="none"/>
          <w:lang w:val="en-US" w:eastAsia="zh-CN"/>
        </w:rPr>
        <w:t>全费用综合单价限价为9元/平方米·年；</w:t>
      </w:r>
    </w:p>
    <w:p>
      <w:pPr>
        <w:pStyle w:val="16"/>
        <w:spacing w:line="360" w:lineRule="auto"/>
        <w:ind w:firstLine="420" w:firstLineChars="20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考虑到养护期间内存在新建绿化养护移交情况，</w:t>
      </w:r>
      <w:r>
        <w:rPr>
          <w:rFonts w:hint="eastAsia" w:ascii="宋体" w:hAnsi="宋体" w:cs="宋体"/>
          <w:color w:val="000000"/>
          <w:kern w:val="2"/>
          <w:sz w:val="21"/>
          <w:szCs w:val="21"/>
          <w:highlight w:val="none"/>
          <w:lang w:val="en-US" w:eastAsia="zh-CN" w:bidi="ar-SA"/>
        </w:rPr>
        <w:t>本项目</w:t>
      </w:r>
      <w:r>
        <w:rPr>
          <w:rFonts w:hint="eastAsia" w:ascii="宋体" w:hAnsi="宋体" w:eastAsia="宋体" w:cs="宋体"/>
          <w:color w:val="000000"/>
          <w:kern w:val="2"/>
          <w:sz w:val="21"/>
          <w:szCs w:val="21"/>
          <w:highlight w:val="none"/>
          <w:lang w:val="en-US" w:eastAsia="zh-CN" w:bidi="ar-SA"/>
        </w:rPr>
        <w:t>设置有10%暂列金用于新增绿化养护和零星应急工程费用。</w:t>
      </w:r>
      <w:r>
        <w:rPr>
          <w:rFonts w:hint="eastAsia" w:ascii="宋体" w:hAnsi="宋体" w:cs="宋体"/>
          <w:color w:val="000000"/>
          <w:kern w:val="2"/>
          <w:sz w:val="21"/>
          <w:szCs w:val="21"/>
          <w:highlight w:val="none"/>
          <w:lang w:val="en-US" w:eastAsia="zh-CN" w:bidi="ar-SA"/>
        </w:rPr>
        <w:t>暂列金按招标文件规定金额计入投标总价，投标报价时不得更改暂列金金额。</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养护费用依据实际进场复测实际绿化</w:t>
      </w:r>
      <w:r>
        <w:rPr>
          <w:rFonts w:hint="eastAsia" w:ascii="宋体" w:hAnsi="宋体" w:cs="宋体"/>
          <w:color w:val="000000"/>
          <w:kern w:val="2"/>
          <w:sz w:val="21"/>
          <w:szCs w:val="21"/>
          <w:highlight w:val="none"/>
          <w:lang w:val="en-US" w:eastAsia="zh-CN" w:bidi="ar-SA"/>
        </w:rPr>
        <w:t>养护</w:t>
      </w:r>
      <w:r>
        <w:rPr>
          <w:rFonts w:hint="eastAsia" w:ascii="宋体" w:hAnsi="宋体" w:eastAsia="宋体" w:cs="宋体"/>
          <w:color w:val="000000"/>
          <w:kern w:val="2"/>
          <w:sz w:val="21"/>
          <w:szCs w:val="21"/>
          <w:highlight w:val="none"/>
          <w:lang w:val="en-US" w:eastAsia="zh-CN" w:bidi="ar-SA"/>
        </w:rPr>
        <w:t>面积与中标单价相乘所得。</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零星工程参照市政工程相关规范、招标文件、官方信息价、《零星、应急工程预算》等相关资料进行编制，报相关部门审核后据实结算。</w:t>
      </w:r>
    </w:p>
    <w:p>
      <w:pPr>
        <w:pStyle w:val="16"/>
        <w:spacing w:line="360" w:lineRule="auto"/>
        <w:ind w:firstLine="420" w:firstLineChars="200"/>
        <w:jc w:val="both"/>
        <w:rPr>
          <w:rFonts w:hint="eastAsia"/>
          <w:highlight w:val="none"/>
          <w:lang w:val="en-US" w:eastAsia="zh-CN"/>
        </w:rPr>
      </w:pPr>
      <w:r>
        <w:rPr>
          <w:rFonts w:hint="eastAsia" w:ascii="宋体" w:hAnsi="宋体" w:eastAsia="宋体" w:cs="宋体"/>
          <w:color w:val="000000"/>
          <w:kern w:val="2"/>
          <w:sz w:val="21"/>
          <w:szCs w:val="21"/>
          <w:highlight w:val="none"/>
          <w:lang w:val="en-US" w:eastAsia="zh-CN" w:bidi="ar-SA"/>
        </w:rPr>
        <w:t>如因政府采购程序需要额外时间的，在未移交给中标人负责之前，养护作业继续由原养护管理单位负责，费用由中标人申请资金后根据中标价和实际养护天数计算后与原养护管理单位进行结算。</w:t>
      </w:r>
    </w:p>
    <w:p>
      <w:pPr>
        <w:pStyle w:val="16"/>
        <w:spacing w:line="360" w:lineRule="auto"/>
        <w:ind w:firstLine="480"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九、招标范围</w:t>
      </w:r>
    </w:p>
    <w:p>
      <w:pPr>
        <w:pStyle w:val="16"/>
        <w:spacing w:line="360" w:lineRule="auto"/>
        <w:ind w:firstLine="420" w:firstLineChars="200"/>
        <w:jc w:val="both"/>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秦汉新城渭河福银高速桥至横桥段滩面区域</w:t>
      </w:r>
      <w:r>
        <w:rPr>
          <w:rFonts w:hint="eastAsia" w:ascii="宋体" w:hAnsi="宋体" w:eastAsia="宋体" w:cs="宋体"/>
          <w:color w:val="000000"/>
          <w:kern w:val="2"/>
          <w:sz w:val="21"/>
          <w:szCs w:val="21"/>
          <w:highlight w:val="none"/>
          <w:lang w:val="en-US" w:eastAsia="zh-CN" w:bidi="ar-SA"/>
        </w:rPr>
        <w:t>所包含的绿化养护服务</w:t>
      </w:r>
      <w:r>
        <w:rPr>
          <w:rFonts w:hint="eastAsia" w:ascii="宋体" w:hAnsi="宋体" w:cs="宋体"/>
          <w:color w:val="000000"/>
          <w:kern w:val="2"/>
          <w:sz w:val="21"/>
          <w:szCs w:val="21"/>
          <w:highlight w:val="none"/>
          <w:lang w:val="en-US" w:eastAsia="zh-CN" w:bidi="ar-SA"/>
        </w:rPr>
        <w:t>内容的所有工作。</w:t>
      </w:r>
    </w:p>
    <w:p>
      <w:pPr>
        <w:pStyle w:val="16"/>
        <w:spacing w:line="360" w:lineRule="auto"/>
        <w:ind w:firstLine="480"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十、服务期限：</w:t>
      </w:r>
    </w:p>
    <w:p>
      <w:pPr>
        <w:pStyle w:val="16"/>
        <w:spacing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服务期限为3年，合同为每年签订一次，服务期一年，服务投标供应商在服务期内达不到采购人要求的，采购人有权更换服务投标供应商。</w:t>
      </w:r>
    </w:p>
    <w:p>
      <w:pPr>
        <w:pStyle w:val="16"/>
        <w:spacing w:line="360" w:lineRule="auto"/>
        <w:ind w:firstLine="480"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十一、考核标准</w:t>
      </w:r>
    </w:p>
    <w:p>
      <w:pPr>
        <w:pStyle w:val="16"/>
        <w:spacing w:line="360" w:lineRule="auto"/>
        <w:ind w:firstLine="420" w:firstLineChars="200"/>
        <w:jc w:val="both"/>
        <w:rPr>
          <w:rFonts w:hint="eastAsia" w:ascii="华文宋体" w:hAnsi="华文宋体" w:eastAsia="华文宋体" w:cs="Times New Roman"/>
          <w:b/>
          <w:bCs/>
          <w:sz w:val="24"/>
          <w:szCs w:val="32"/>
          <w:highlight w:val="none"/>
          <w:lang w:val="en-US" w:eastAsia="zh-CN"/>
        </w:rPr>
      </w:pPr>
      <w:r>
        <w:rPr>
          <w:rFonts w:hint="eastAsia" w:ascii="宋体" w:hAnsi="宋体" w:eastAsia="宋体" w:cs="宋体"/>
          <w:highlight w:val="none"/>
          <w:lang w:val="en-US" w:eastAsia="zh-CN"/>
        </w:rPr>
        <w:t>本项目按照秦汉新城绿化养护考核管理标准相关要求进行考核。</w:t>
      </w:r>
    </w:p>
    <w:p>
      <w:pPr>
        <w:pStyle w:val="16"/>
        <w:spacing w:line="360" w:lineRule="auto"/>
        <w:ind w:firstLine="480" w:firstLineChars="200"/>
        <w:jc w:val="both"/>
        <w:rPr>
          <w:rFonts w:hint="eastAsia" w:ascii="华文宋体" w:hAnsi="华文宋体" w:eastAsia="华文宋体" w:cs="Times New Roman"/>
          <w:b/>
          <w:bCs/>
          <w:sz w:val="24"/>
          <w:szCs w:val="32"/>
          <w:highlight w:val="none"/>
          <w:lang w:val="en-US" w:eastAsia="zh-CN"/>
        </w:rPr>
      </w:pPr>
      <w:r>
        <w:rPr>
          <w:rFonts w:hint="eastAsia" w:ascii="华文宋体" w:hAnsi="华文宋体" w:eastAsia="华文宋体" w:cs="Times New Roman"/>
          <w:b/>
          <w:bCs/>
          <w:sz w:val="24"/>
          <w:szCs w:val="32"/>
          <w:highlight w:val="none"/>
          <w:lang w:val="en-US" w:eastAsia="zh-CN"/>
        </w:rPr>
        <w:t>十二、绿化养护（管理）标准</w:t>
      </w:r>
    </w:p>
    <w:p>
      <w:pPr>
        <w:rPr>
          <w:rFonts w:hint="eastAsia" w:ascii="华文宋体" w:hAnsi="华文宋体" w:eastAsia="华文宋体" w:cs="Times New Roman"/>
          <w:b/>
          <w:bCs/>
          <w:sz w:val="24"/>
          <w:szCs w:val="32"/>
          <w:highlight w:val="none"/>
          <w:lang w:val="en-US" w:eastAsia="zh-CN"/>
        </w:rPr>
      </w:pPr>
    </w:p>
    <w:p>
      <w:pPr>
        <w:keepNext w:val="0"/>
        <w:keepLines w:val="0"/>
        <w:pageBreakBefore w:val="0"/>
        <w:widowControl w:val="0"/>
        <w:wordWrap/>
        <w:overflowPunct/>
        <w:topLinePunct w:val="0"/>
        <w:autoSpaceDE/>
        <w:autoSpaceDN/>
        <w:bidi w:val="0"/>
        <w:adjustRightInd w:val="0"/>
        <w:snapToGrid w:val="0"/>
        <w:spacing w:line="360" w:lineRule="auto"/>
        <w:jc w:val="center"/>
        <w:textAlignment w:val="auto"/>
        <w:rPr>
          <w:rFonts w:hint="eastAsia" w:ascii="仿宋_GB2312" w:hAnsi="仿宋" w:eastAsia="仿宋_GB2312"/>
          <w:b/>
          <w:snapToGrid w:val="0"/>
          <w:kern w:val="0"/>
          <w:sz w:val="24"/>
          <w:szCs w:val="24"/>
          <w:highlight w:val="none"/>
        </w:rPr>
      </w:pPr>
      <w:r>
        <w:rPr>
          <w:rFonts w:hint="eastAsia" w:ascii="方正小标宋简体" w:hAnsi="仿宋" w:eastAsia="方正小标宋简体"/>
          <w:sz w:val="24"/>
          <w:szCs w:val="24"/>
          <w:highlight w:val="none"/>
          <w:lang w:val="en-US" w:eastAsia="zh-CN"/>
        </w:rPr>
        <w:t>秦汉新城</w:t>
      </w:r>
      <w:r>
        <w:rPr>
          <w:rFonts w:hint="eastAsia" w:ascii="方正小标宋简体" w:hAnsi="仿宋" w:eastAsia="方正小标宋简体"/>
          <w:sz w:val="24"/>
          <w:szCs w:val="24"/>
          <w:highlight w:val="none"/>
        </w:rPr>
        <w:t>绿化养护（管理）标准</w:t>
      </w:r>
    </w:p>
    <w:p>
      <w:pPr>
        <w:pStyle w:val="3"/>
        <w:keepNext w:val="0"/>
        <w:keepLines w:val="0"/>
        <w:pageBreakBefore w:val="0"/>
        <w:widowControl w:val="0"/>
        <w:numPr>
          <w:ilvl w:val="0"/>
          <w:numId w:val="0"/>
        </w:numPr>
        <w:wordWrap/>
        <w:overflowPunct/>
        <w:topLinePunct w:val="0"/>
        <w:autoSpaceDE/>
        <w:autoSpaceDN/>
        <w:bidi w:val="0"/>
        <w:adjustRightInd w:val="0"/>
        <w:snapToGrid w:val="0"/>
        <w:spacing w:line="360" w:lineRule="auto"/>
        <w:ind w:leftChars="0" w:firstLine="3360" w:firstLineChars="14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第一章  总则</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为巩固绿化建设成果，提高绿化养护质量，创建优美生态环境，根据《国家园林城市标准》、《西安市城市绿化管理条例》等有关文件规定，结合</w:t>
      </w:r>
      <w:r>
        <w:rPr>
          <w:rFonts w:hint="eastAsia" w:ascii="宋体" w:hAnsi="宋体" w:eastAsia="宋体" w:cs="宋体"/>
          <w:highlight w:val="none"/>
          <w:lang w:eastAsia="zh-CN"/>
        </w:rPr>
        <w:t>新</w:t>
      </w:r>
      <w:r>
        <w:rPr>
          <w:rFonts w:hint="eastAsia" w:ascii="宋体" w:hAnsi="宋体" w:eastAsia="宋体" w:cs="宋体"/>
          <w:highlight w:val="none"/>
        </w:rPr>
        <w:t>区绿化建设管理的实际情况，制订本标准。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1.本标准引用并参照了《园林绿化工程施工及验收规范》CJJ82-2012。</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2.本标准适用于</w:t>
      </w:r>
      <w:r>
        <w:rPr>
          <w:rFonts w:hint="eastAsia" w:ascii="宋体" w:hAnsi="宋体" w:eastAsia="宋体" w:cs="宋体"/>
          <w:highlight w:val="none"/>
          <w:lang w:eastAsia="zh-CN"/>
        </w:rPr>
        <w:t>陕西省西咸新区</w:t>
      </w:r>
      <w:r>
        <w:rPr>
          <w:rFonts w:hint="eastAsia" w:ascii="宋体" w:hAnsi="宋体" w:eastAsia="宋体" w:cs="宋体"/>
          <w:highlight w:val="none"/>
          <w:lang w:val="en-US" w:eastAsia="zh-CN"/>
        </w:rPr>
        <w:t>秦汉新城</w:t>
      </w:r>
      <w:r>
        <w:rPr>
          <w:rFonts w:hint="eastAsia" w:ascii="宋体" w:hAnsi="宋体" w:eastAsia="宋体" w:cs="宋体"/>
          <w:highlight w:val="none"/>
        </w:rPr>
        <w:t>规划范围内的城市绿地养护管理。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本标准所称城市绿地主要包括城市公园绿地、防护绿地和附属绿地等。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3.本标准规定了园林绿化中的乔木、灌木、藤本、竹类、花卉、草坪及地被植物、水生植物、古树名木等的养护管理规范及技术措施。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4.绿地的养护管理，除应按本标准执行外，还应遵守国家、行业、地方有关标准及规范的规定。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400" w:firstLineChars="10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第二章  绿化养护内容及管理质量标准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本标准所规定园林植物养护管理主要包括对园林植物采取灌溉、排涝、修剪、防治病虫、防寒、支撑、除草、中耕、施肥、冲洗、清掏、补栽等技术措施。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一、等级划分原则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根据园林绿化所处的位置重要程度及植物的种类，将养护管理由高到低分为一级养护、</w:t>
      </w:r>
      <w:r>
        <w:rPr>
          <w:rFonts w:hint="eastAsia" w:ascii="宋体" w:hAnsi="宋体" w:eastAsia="宋体" w:cs="宋体"/>
          <w:highlight w:val="none"/>
          <w:lang w:eastAsia="zh-CN"/>
        </w:rPr>
        <w:t>二</w:t>
      </w:r>
      <w:r>
        <w:rPr>
          <w:rFonts w:hint="eastAsia" w:ascii="宋体" w:hAnsi="宋体" w:eastAsia="宋体" w:cs="宋体"/>
          <w:highlight w:val="none"/>
        </w:rPr>
        <w:t>级养护和</w:t>
      </w:r>
      <w:r>
        <w:rPr>
          <w:rFonts w:hint="eastAsia" w:ascii="宋体" w:hAnsi="宋体" w:eastAsia="宋体" w:cs="宋体"/>
          <w:highlight w:val="none"/>
          <w:lang w:eastAsia="zh-CN"/>
        </w:rPr>
        <w:t>三</w:t>
      </w:r>
      <w:r>
        <w:rPr>
          <w:rFonts w:hint="eastAsia" w:ascii="宋体" w:hAnsi="宋体" w:eastAsia="宋体" w:cs="宋体"/>
          <w:highlight w:val="none"/>
        </w:rPr>
        <w:t>级养护3个标准等级。城市一类道路、风景名胜区的绿化（包括植物和设施）、重要旅游点、造型植物及古树名木的养护管理划为一级养护；城市二三类道路、旅游点绿化（包括植物和设施）的养护管理划为二级养护；偏远地方、地段的绿化养护划为三级养护。</w:t>
      </w:r>
      <w:r>
        <w:rPr>
          <w:rFonts w:hint="eastAsia" w:ascii="宋体" w:hAnsi="宋体" w:eastAsia="宋体" w:cs="宋体"/>
          <w:highlight w:val="none"/>
          <w:lang w:val="en-US" w:eastAsia="zh-CN"/>
        </w:rPr>
        <w:t>具体划分结合新城实际进行。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二、各类绿地、树木、花卉、草坪养护管理应遵循的原则</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1.符合植物的生长习性。</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2.符合不同类型绿地的功能和景观要求。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3.符合生态环境保护要求。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三、园林绿化养护管理标准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一</w:t>
      </w:r>
      <w:r>
        <w:rPr>
          <w:rFonts w:hint="eastAsia" w:ascii="宋体" w:hAnsi="宋体" w:eastAsia="宋体" w:cs="宋体"/>
          <w:highlight w:val="none"/>
        </w:rPr>
        <w:t>）一级园林绿化养护管理标准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绿化养护技术措施完善，管理到位，达到黄土不</w:t>
      </w:r>
      <w:r>
        <w:rPr>
          <w:rFonts w:hint="eastAsia" w:ascii="宋体" w:hAnsi="宋体" w:eastAsia="宋体" w:cs="宋体"/>
          <w:highlight w:val="none"/>
          <w:lang w:eastAsia="zh-CN"/>
        </w:rPr>
        <w:t>裸露</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（1）生长正常，树冠完整，分枝点合适，主侧枝分布均匀、数量适宜。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（2）枝干正常，枝条粗壮，无明显的人为损坏。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（3）树木叶色、大小、厚度正常，在一般条件下发生黄叶、焦叶、卷叶、落叶株数低于5%。</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修剪基本合理，树形完整。行道树保持内膛不空又通风透光，确保每年至少进行2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（5）根据季节和生长情况适时灌溉排水，保持适当水分。确保浇灌次数不少于12次/年，灌溉水渗入土层深度应达到80-100厘米。雨水偏多时期或地势低洼区域，乔木树池内积水不得超过24小时。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（6）树木保存率99%以上，及时补栽成活率95%以上。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（7）行道树无缺株；新补植树同原有树种、规格、定干高度一致，有支撑措施，苗木支架须按统一标准设置，且不得影响行人通行；行道树及林荫广场树池保持覆盖植物生长良好和硬质覆盖材料完整。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（8）确保病虫害防治不少于6次/年。叶上虫粪、虫网、病斑及被啃食叶片每株低于5%。枝条粗壮，无蛀干害虫的活卵、活虫。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（9）春秋季重点施肥</w:t>
      </w:r>
      <w:r>
        <w:rPr>
          <w:rFonts w:hint="eastAsia" w:ascii="宋体" w:hAnsi="宋体" w:eastAsia="宋体" w:cs="宋体"/>
          <w:highlight w:val="none"/>
          <w:lang w:val="en-US" w:eastAsia="zh-CN"/>
        </w:rPr>
        <w:t>3</w:t>
      </w:r>
      <w:r>
        <w:rPr>
          <w:rFonts w:hint="eastAsia" w:ascii="宋体" w:hAnsi="宋体" w:eastAsia="宋体" w:cs="宋体"/>
          <w:highlight w:val="none"/>
        </w:rPr>
        <w:t>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（10）确保树木安全越冬。每年秋冬到次年早春组织彻底清掏工作，日常清掏定期开展。持续一周无有效降水的情况下对行道树进行冲洗。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（11）及时清除单株乔木根部1米范围内的杂草并及时松土，保持树木根部土壤疏松。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古树名木参照《西安市古树名木保护条例》进行养护。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（1）灌木长势好，叶色正常，株型较丰满。花灌木开花及时，花期内开花不断，基本无枯枝败叶、残花败花。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（2）修剪基本合理，至少保证花灌木修剪2次/年，绿篱修剪16次/年。花后适时修剪，促进花芽正常生长；常年开花植物要有目的地培养花枝，延长花期。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浇水。至少保证花灌木灌溉15次/年，绿篱灌溉25次/年。一般在每年春、秋季结合除草松土适当施肥，确保达到2次/年以上。花灌木要适当控水施肥，延长花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要经常除杂草和松土。深度不小于20厘米的表土疏松、平整，并低于周围表土5厘米。除杂松土时要保护根系，不能伤根及造成根系裸露，更不能造成黄土裸露。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要求及时清理死苗，补栽苗木与原品种规格保持一致，以保证景观效果。补植按照种植规范进行，施足基肥并加强浇水等保养措施，保证成活率达95%以上。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尽量采用生物防治的办法，以减少对环境的污染。用化学方法防治时，喷药一般要在晚上进行，且要求配药当天喷完。药物、用量及对环境的影响，要符合环保的要求和标准。发生病虫</w:t>
      </w:r>
      <w:r>
        <w:rPr>
          <w:rFonts w:hint="eastAsia" w:ascii="宋体" w:hAnsi="宋体" w:eastAsia="宋体" w:cs="宋体"/>
          <w:highlight w:val="none"/>
          <w:lang w:val="en-US" w:eastAsia="zh-CN"/>
        </w:rPr>
        <w:t>危</w:t>
      </w:r>
      <w:r>
        <w:rPr>
          <w:rFonts w:hint="eastAsia" w:ascii="宋体" w:hAnsi="宋体" w:eastAsia="宋体" w:cs="宋体"/>
          <w:highlight w:val="none"/>
        </w:rPr>
        <w:t>害，危害率控制在5%以下。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生长正常，修剪合理，整齐一致，无死株断垄现象。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（1）长势良好，叶色青绿，无枯黄叶，基本无病虫害。覆盖率不低于98%，杂草控制在3%以下。草坪绿色期：冷季型草不少于280天，暖季型草不少于240天。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观花地被植物，须在开花后适当压低，或者结合种子采收，适当修剪。要根据草坪生长特性结合季节特点，合理控制草坪刈剪高度。至少保证修剪草坪16次/年。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淋水和施肥，保证肥水充足，肥料的施用方法和用量科学。在雨水缺少的季节，要适时灌溉，特别在10月-次年2月份要勤淋水多施肥，适当进行根外追肥，使草坪保持优良的长势度过干旱冬季。确保灌溉25次/年以上，施肥2次/年以上，每2年需结合打孔施基肥1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要经常清除杂草。草坪纯度标准为每平方米不超过10株非目的草种。要采用打孔疏松、覆沙等措施，利于草坪生长。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对被破坏或其它原因引起死亡的草坪植物应及时补植，使草坪保持完整，无裸露地。补植要与原草坪相同的草种，适当密植，补植后加强保养，保证一个月内覆盖率达98%。</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尽量采用生物防治的办法，以减少对环境的污染。用化学方法防治时，一般在晚上进行喷药，且要求配药当天喷完。药物、用量及对环境的影响，要符合环保的要求和标准。发生病虫害率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5.藤本和攀缘植物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（1）生长良好；适时采取相应的牵引、设置网架等技术措施；视攀缘植物生长习性，覆盖率不低于90%；观花的攀缘植物适时开花。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（4）在墙体、桥体等处的植株，应加强水肥管理和固定措施，确保美化效果。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二</w:t>
      </w:r>
      <w:r>
        <w:rPr>
          <w:rFonts w:hint="eastAsia" w:ascii="宋体" w:hAnsi="宋体" w:eastAsia="宋体" w:cs="宋体"/>
          <w:highlight w:val="none"/>
        </w:rPr>
        <w:t>）二级园林绿化养护管理标准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绿化养护技术措施基本完善，裸露土地不明显。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（1）树木保存率9</w:t>
      </w:r>
      <w:r>
        <w:rPr>
          <w:rFonts w:hint="eastAsia" w:ascii="宋体" w:hAnsi="宋体" w:eastAsia="宋体" w:cs="宋体"/>
          <w:highlight w:val="none"/>
          <w:lang w:val="en-US" w:eastAsia="zh-CN"/>
        </w:rPr>
        <w:t>5</w:t>
      </w:r>
      <w:r>
        <w:rPr>
          <w:rFonts w:hint="eastAsia" w:ascii="宋体" w:hAnsi="宋体" w:eastAsia="宋体" w:cs="宋体"/>
          <w:highlight w:val="none"/>
        </w:rPr>
        <w:t>%以上，及时补栽成活率9</w:t>
      </w:r>
      <w:r>
        <w:rPr>
          <w:rFonts w:hint="eastAsia" w:ascii="宋体" w:hAnsi="宋体" w:eastAsia="宋体" w:cs="宋体"/>
          <w:highlight w:val="none"/>
          <w:lang w:val="en-US" w:eastAsia="zh-CN"/>
        </w:rPr>
        <w:t>0</w:t>
      </w:r>
      <w:r>
        <w:rPr>
          <w:rFonts w:hint="eastAsia" w:ascii="宋体" w:hAnsi="宋体" w:eastAsia="宋体" w:cs="宋体"/>
          <w:highlight w:val="none"/>
        </w:rPr>
        <w:t>%以上。生长正常，叶色、大小、厚度正常，在一般条件下发生黄叶、焦叶、卷叶的株数低于8%。</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（2）行道树无缺株；新补植树同原有树种、规格、定干高度一致，有支撑措施，苗木支架须按统一标准设置，且不得影响行人通行。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冠完整，分枝点合适，主侧枝分布均匀、数量适宜，修剪基本合理。行道树保持内膛不空又通风透光，确保每年至少进行1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（4）根据季节和生长情况适时灌溉排水，保持适当水分。确保浇灌次数不少于10次/年，灌溉水渗入土层深度应达到80-100厘米。雨水偏多时期或地势低洼区域，乔木树池内积水不得超过24小时。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（5）确保病虫害防治不少于5次/年。叶上虫粪、虫网、病斑及被啃食叶片每株低于10%。枝条粗壮，无蛀干害虫的活卵、活虫。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（6）春秋季重点施肥</w:t>
      </w:r>
      <w:r>
        <w:rPr>
          <w:rFonts w:hint="eastAsia" w:ascii="宋体" w:hAnsi="宋体" w:eastAsia="宋体" w:cs="宋体"/>
          <w:highlight w:val="none"/>
          <w:lang w:val="en-US" w:eastAsia="zh-CN"/>
        </w:rPr>
        <w:t>2</w:t>
      </w:r>
      <w:r>
        <w:rPr>
          <w:rFonts w:hint="eastAsia" w:ascii="宋体" w:hAnsi="宋体" w:eastAsia="宋体" w:cs="宋体"/>
          <w:highlight w:val="none"/>
        </w:rPr>
        <w:t>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（7）确保树木安全越冬。每年秋冬到次年早春组织彻底清掏工作，日常清掏定期开展。持续半月无有效降水的情况下对行道树进行冲洗。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（1）生长正常，株型完整，病虫害控制及时；花灌木开花正常，花后修剪合理。确保花灌木修剪2次/年以上，绿篱修剪1</w:t>
      </w:r>
      <w:r>
        <w:rPr>
          <w:rFonts w:hint="eastAsia" w:ascii="宋体" w:hAnsi="宋体" w:eastAsia="宋体" w:cs="宋体"/>
          <w:highlight w:val="none"/>
          <w:lang w:val="en-US" w:eastAsia="zh-CN"/>
        </w:rPr>
        <w:t>2</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灌溉。冬季和春季要适时浇水，有利植物安全越冬和生长。花灌木要适当控水，保证花期，适时开放。确保花灌木灌溉15次/年以上，绿篱灌溉20次/年以上。施肥2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要求及时清理死苗，补栽苗木与原品种规格保持一致。补植按照种植规范进行，施足基肥并加强浇水等保养措施。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害率控制在10%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生长正常，修剪及时，整齐一致，轮廓清晰，基本无死株断垄现象。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生长正常，开花适时，基本无病虫害和黄土裸露。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（1）生长正常，生长量与平均年生长量持平，叶色正常无枯黄叶。覆盖率不低于95%，杂草控制在5%以下。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观花地被植物，须在开花后适当压低，或者结合种子采收，适当修剪。草坪要考虑季节特点和草种的生长发育特性，及时修剪，控制高度，使绿地呈现自然景观效果。确保修剪1</w:t>
      </w:r>
      <w:r>
        <w:rPr>
          <w:rFonts w:hint="eastAsia" w:ascii="宋体" w:hAnsi="宋体" w:eastAsia="宋体" w:cs="宋体"/>
          <w:highlight w:val="none"/>
          <w:lang w:val="en-US" w:eastAsia="zh-CN"/>
        </w:rPr>
        <w:t>2</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加强淋水和施肥，确保灌溉20次/年以上，施肥2次/年以上，每2年需结合打孔施基肥1次，保证肥水充足。肥料的施用方法和用量科学，防止过量或不均匀引起肥伤。在雨水缺少的季节，要适时灌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冬季要适当浇水施肥，使草坪保持较好的长势度过干旱冬季。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要经常清除杂草，疏松坪地，促进草坪生长。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危害率控制在10%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5.藤本和攀缘植物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（1）生长正常；适时采取相应的牵引、设置网架等技术措施；观花的攀缘植物适时开花。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三</w:t>
      </w:r>
      <w:r>
        <w:rPr>
          <w:rFonts w:hint="eastAsia" w:ascii="宋体" w:hAnsi="宋体" w:eastAsia="宋体" w:cs="宋体"/>
          <w:highlight w:val="none"/>
        </w:rPr>
        <w:t>）</w:t>
      </w:r>
      <w:r>
        <w:rPr>
          <w:rFonts w:hint="eastAsia" w:ascii="宋体" w:hAnsi="宋体" w:eastAsia="宋体" w:cs="宋体"/>
          <w:highlight w:val="none"/>
          <w:lang w:eastAsia="zh-CN"/>
        </w:rPr>
        <w:t>三</w:t>
      </w:r>
      <w:r>
        <w:rPr>
          <w:rFonts w:hint="eastAsia" w:ascii="宋体" w:hAnsi="宋体" w:eastAsia="宋体" w:cs="宋体"/>
          <w:highlight w:val="none"/>
        </w:rPr>
        <w:t>级园林绿化养护管理标准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绿化养护技术措施基本完善，裸露土地不明显。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1.乔木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（1）树木保存率9</w:t>
      </w:r>
      <w:r>
        <w:rPr>
          <w:rFonts w:hint="eastAsia" w:ascii="宋体" w:hAnsi="宋体" w:eastAsia="宋体" w:cs="宋体"/>
          <w:highlight w:val="none"/>
          <w:lang w:val="en-US" w:eastAsia="zh-CN"/>
        </w:rPr>
        <w:t>0</w:t>
      </w:r>
      <w:r>
        <w:rPr>
          <w:rFonts w:hint="eastAsia" w:ascii="宋体" w:hAnsi="宋体" w:eastAsia="宋体" w:cs="宋体"/>
          <w:highlight w:val="none"/>
        </w:rPr>
        <w:t>%以上，及时补栽成活率90%以上。生长正常，叶色、大小、厚度正常，在一般条件下发生黄叶、焦叶、卷叶的株数低于</w:t>
      </w:r>
      <w:r>
        <w:rPr>
          <w:rFonts w:hint="eastAsia" w:ascii="宋体" w:hAnsi="宋体" w:eastAsia="宋体" w:cs="宋体"/>
          <w:highlight w:val="none"/>
          <w:lang w:val="en-US" w:eastAsia="zh-CN"/>
        </w:rPr>
        <w:t>11</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（2）行道树无缺株；新补植树同原有树种、规格、定干高度一致，有支撑措施，苗木支架须按统一标准设置，且不得影响行人通行。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（3）树冠完整，分枝点合适，主侧枝分布均匀、数量适宜，修剪基本合理。行道树保持内膛不空又通风透光，确保每</w:t>
      </w:r>
      <w:r>
        <w:rPr>
          <w:rFonts w:hint="eastAsia" w:ascii="宋体" w:hAnsi="宋体" w:eastAsia="宋体" w:cs="宋体"/>
          <w:highlight w:val="none"/>
          <w:lang w:val="en-US" w:eastAsia="zh-CN"/>
        </w:rPr>
        <w:t>2</w:t>
      </w:r>
      <w:r>
        <w:rPr>
          <w:rFonts w:hint="eastAsia" w:ascii="宋体" w:hAnsi="宋体" w:eastAsia="宋体" w:cs="宋体"/>
          <w:highlight w:val="none"/>
        </w:rPr>
        <w:t>年至少进行1次大规模的修剪工作，随时剪除枯死枝、病虫枝、伤残枝、徒长枝、萌蘖枝等，下垂枝尖端不得低于2米，不能影响高压线、路灯和交通指示牌。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（4）根据季节和生长情况适时灌溉排水，保持适当水分。确保浇灌次数不少于</w:t>
      </w:r>
      <w:r>
        <w:rPr>
          <w:rFonts w:hint="eastAsia" w:ascii="宋体" w:hAnsi="宋体" w:eastAsia="宋体" w:cs="宋体"/>
          <w:highlight w:val="none"/>
          <w:lang w:val="en-US" w:eastAsia="zh-CN"/>
        </w:rPr>
        <w:t>6</w:t>
      </w:r>
      <w:r>
        <w:rPr>
          <w:rFonts w:hint="eastAsia" w:ascii="宋体" w:hAnsi="宋体" w:eastAsia="宋体" w:cs="宋体"/>
          <w:highlight w:val="none"/>
        </w:rPr>
        <w:t>次/年，灌溉水渗入土层深度应达到80-100厘米。雨水偏多时期或地势低洼区域，乔木树池内积水不得超过24小时。</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（5）确保病虫害防治不少于</w:t>
      </w:r>
      <w:r>
        <w:rPr>
          <w:rFonts w:hint="eastAsia" w:ascii="宋体" w:hAnsi="宋体" w:eastAsia="宋体" w:cs="宋体"/>
          <w:highlight w:val="none"/>
          <w:lang w:val="en-US" w:eastAsia="zh-CN"/>
        </w:rPr>
        <w:t>3</w:t>
      </w:r>
      <w:r>
        <w:rPr>
          <w:rFonts w:hint="eastAsia" w:ascii="宋体" w:hAnsi="宋体" w:eastAsia="宋体" w:cs="宋体"/>
          <w:highlight w:val="none"/>
        </w:rPr>
        <w:t>次/年。叶上虫粪、虫网、病斑及被啃食叶片每株低于1</w:t>
      </w:r>
      <w:r>
        <w:rPr>
          <w:rFonts w:hint="eastAsia" w:ascii="宋体" w:hAnsi="宋体" w:eastAsia="宋体" w:cs="宋体"/>
          <w:highlight w:val="none"/>
          <w:lang w:val="en-US" w:eastAsia="zh-CN"/>
        </w:rPr>
        <w:t>2</w:t>
      </w:r>
      <w:r>
        <w:rPr>
          <w:rFonts w:hint="eastAsia" w:ascii="宋体" w:hAnsi="宋体" w:eastAsia="宋体" w:cs="宋体"/>
          <w:highlight w:val="none"/>
        </w:rPr>
        <w:t>%。枝条粗壮，无蛀干害虫的活卵、活虫。</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（6）春秋季重点施肥1次，施肥量依据树木种类和生长情况确定，同一区域内生长较弱和新补植苗木适当增加施肥次数和施肥量。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（7）确保树木安全越冬。每年秋冬到次年早春组织彻底清掏工作，日常清掏定期开展。持续</w:t>
      </w:r>
      <w:r>
        <w:rPr>
          <w:rFonts w:hint="eastAsia" w:ascii="宋体" w:hAnsi="宋体" w:eastAsia="宋体" w:cs="宋体"/>
          <w:highlight w:val="none"/>
          <w:lang w:val="en-US" w:eastAsia="zh-CN"/>
        </w:rPr>
        <w:t>1</w:t>
      </w:r>
      <w:r>
        <w:rPr>
          <w:rFonts w:hint="eastAsia" w:ascii="宋体" w:hAnsi="宋体" w:eastAsia="宋体" w:cs="宋体"/>
          <w:highlight w:val="none"/>
        </w:rPr>
        <w:t>月无有效降水的情况下对行道树进行冲洗。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（8）及时清除单株乔木根部1米范围内的杂草并及时松土，保持树木根部土壤疏松。</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2.灌木和花卉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（1）生长正常，株型完整，病虫害控制及时；花灌木开花正常，花后修剪合理。确保花灌木修剪2次/年以上，绿篱修剪</w:t>
      </w:r>
      <w:r>
        <w:rPr>
          <w:rFonts w:hint="eastAsia" w:ascii="宋体" w:hAnsi="宋体" w:eastAsia="宋体" w:cs="宋体"/>
          <w:highlight w:val="none"/>
          <w:lang w:val="en-US" w:eastAsia="zh-CN"/>
        </w:rPr>
        <w:t>8</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要根据植物的生长及开花特性进行合理灌溉和施肥。在雨水缺少的季节，要适时灌溉。冬季和春季要适时浇水，有利植物安全越冬和生长。花灌木要适当控水，保证花期，适时开放。确保花灌木灌溉1</w:t>
      </w:r>
      <w:r>
        <w:rPr>
          <w:rFonts w:hint="eastAsia" w:ascii="宋体" w:hAnsi="宋体" w:eastAsia="宋体" w:cs="宋体"/>
          <w:highlight w:val="none"/>
          <w:lang w:val="en-US" w:eastAsia="zh-CN"/>
        </w:rPr>
        <w:t>0</w:t>
      </w:r>
      <w:r>
        <w:rPr>
          <w:rFonts w:hint="eastAsia" w:ascii="宋体" w:hAnsi="宋体" w:eastAsia="宋体" w:cs="宋体"/>
          <w:highlight w:val="none"/>
        </w:rPr>
        <w:t>次/年以上，绿篱灌溉</w:t>
      </w:r>
      <w:r>
        <w:rPr>
          <w:rFonts w:hint="eastAsia" w:ascii="宋体" w:hAnsi="宋体" w:eastAsia="宋体" w:cs="宋体"/>
          <w:highlight w:val="none"/>
          <w:lang w:val="en-US" w:eastAsia="zh-CN"/>
        </w:rPr>
        <w:t>15</w:t>
      </w:r>
      <w:r>
        <w:rPr>
          <w:rFonts w:hint="eastAsia" w:ascii="宋体" w:hAnsi="宋体" w:eastAsia="宋体" w:cs="宋体"/>
          <w:highlight w:val="none"/>
        </w:rPr>
        <w:t>次/年以上。施肥</w:t>
      </w:r>
      <w:r>
        <w:rPr>
          <w:rFonts w:hint="eastAsia" w:ascii="宋体" w:hAnsi="宋体" w:eastAsia="宋体" w:cs="宋体"/>
          <w:highlight w:val="none"/>
          <w:lang w:val="en-US" w:eastAsia="zh-CN"/>
        </w:rPr>
        <w:t>1</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（3）除杂草、松土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要经常除杂草和松土，除杂松土时要保护根系，不能伤根及造成根系裸露，更不能造成黄土裸露。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要求及时清理死苗，补栽苗木与原品种规格保持一致。补植按照种植规范进行，施足基肥并加强浇水等保养措施。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害率控制在1</w:t>
      </w:r>
      <w:r>
        <w:rPr>
          <w:rFonts w:hint="eastAsia" w:ascii="宋体" w:hAnsi="宋体" w:eastAsia="宋体" w:cs="宋体"/>
          <w:highlight w:val="none"/>
          <w:lang w:val="en-US" w:eastAsia="zh-CN"/>
        </w:rPr>
        <w:t>5</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（6）绿篱、色块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生长正常，修剪及时，整齐一致，轮廓清晰，基本无死株断垄现象。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（7）露地花卉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生长正常，开花适时，基本无病虫害和黄土裸露。</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3.草坪与地被植物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（1）生长正常，生长量与平均年生长量持平，叶色正常无枯黄叶。覆盖率不低于9</w:t>
      </w:r>
      <w:r>
        <w:rPr>
          <w:rFonts w:hint="eastAsia" w:ascii="宋体" w:hAnsi="宋体" w:eastAsia="宋体" w:cs="宋体"/>
          <w:highlight w:val="none"/>
          <w:lang w:val="en-US" w:eastAsia="zh-CN"/>
        </w:rPr>
        <w:t>0</w:t>
      </w:r>
      <w:r>
        <w:rPr>
          <w:rFonts w:hint="eastAsia" w:ascii="宋体" w:hAnsi="宋体" w:eastAsia="宋体" w:cs="宋体"/>
          <w:highlight w:val="none"/>
        </w:rPr>
        <w:t>%，杂草控制在</w:t>
      </w:r>
      <w:r>
        <w:rPr>
          <w:rFonts w:hint="eastAsia" w:ascii="宋体" w:hAnsi="宋体" w:eastAsia="宋体" w:cs="宋体"/>
          <w:highlight w:val="none"/>
          <w:lang w:val="en-US" w:eastAsia="zh-CN"/>
        </w:rPr>
        <w:t>8</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（2）修剪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观花地被植物，须在开花后适当压低，或者结合种子采收，适当修剪。草坪要考虑季节特点和草种的生长发育特性，及时修剪，控制高度，使绿地呈现自然景观效果。确保修剪</w:t>
      </w:r>
      <w:r>
        <w:rPr>
          <w:rFonts w:hint="eastAsia" w:ascii="宋体" w:hAnsi="宋体" w:eastAsia="宋体" w:cs="宋体"/>
          <w:highlight w:val="none"/>
          <w:lang w:val="en-US" w:eastAsia="zh-CN"/>
        </w:rPr>
        <w:t>8</w:t>
      </w:r>
      <w:r>
        <w:rPr>
          <w:rFonts w:hint="eastAsia" w:ascii="宋体" w:hAnsi="宋体" w:eastAsia="宋体" w:cs="宋体"/>
          <w:highlight w:val="none"/>
        </w:rPr>
        <w:t>次/年以上。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要根据草坪植物的生长需要加强淋水和施肥，确保灌溉</w:t>
      </w:r>
      <w:r>
        <w:rPr>
          <w:rFonts w:hint="eastAsia" w:ascii="宋体" w:hAnsi="宋体" w:eastAsia="宋体" w:cs="宋体"/>
          <w:highlight w:val="none"/>
          <w:lang w:val="en-US" w:eastAsia="zh-CN"/>
        </w:rPr>
        <w:t>15</w:t>
      </w:r>
      <w:r>
        <w:rPr>
          <w:rFonts w:hint="eastAsia" w:ascii="宋体" w:hAnsi="宋体" w:eastAsia="宋体" w:cs="宋体"/>
          <w:highlight w:val="none"/>
        </w:rPr>
        <w:t>次/年以上，施肥2次/年以上，每2年需结合打孔施基肥1次，保证肥水充足。肥料的施用方法和用量科学，防止过量或不均匀引起肥伤。在雨水缺少的季节，要适时灌溉。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冬季要适当浇水施肥，使草坪保持较好的长势度过干旱冬季。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（4）除草、松土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要经常清除杂草，疏松坪地，促进草坪生长。</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（5）补植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对被破坏或其它原因引起死亡的草坪植物应及时补植，使草坪保持完整，无裸露地。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（6）病虫害防治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精心养护，增强植物抗病虫害能力。要及时做好病虫害的防治工作，以防为主，早发现早处理。采取综合防治、化学防治、物理人工防治和生物防治等方法防止病虫害蔓延和影响植物生长。用化学方法防治时，药物、用量及对环境的影响，要符合环保的要求和标准。发生病虫危害率控制在1</w:t>
      </w:r>
      <w:r>
        <w:rPr>
          <w:rFonts w:hint="eastAsia" w:ascii="宋体" w:hAnsi="宋体" w:eastAsia="宋体" w:cs="宋体"/>
          <w:highlight w:val="none"/>
          <w:lang w:val="en-US" w:eastAsia="zh-CN"/>
        </w:rPr>
        <w:t>5</w:t>
      </w:r>
      <w:r>
        <w:rPr>
          <w:rFonts w:hint="eastAsia" w:ascii="宋体" w:hAnsi="宋体" w:eastAsia="宋体" w:cs="宋体"/>
          <w:highlight w:val="none"/>
        </w:rPr>
        <w:t>%以下。</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4.水生植物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（1）在水生植物群落营造前期和幼苗期，应加强人工维护，去除该群落中生长的其他品种的水生植物和杂草。</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（2）水面上水生植物的覆盖度应小于水面面积的30%，漂浮植物或浮水植物应进行围合，固定其位置和范围。因繁殖而密度过大时，应剔除部分老植株。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（3）水生植物应随着立叶或浮叶的生长调节水位。非流动水域，为避免蚊虫孳生或水质恶化，当用水发生混浊时，即必须换水，夏季则须增加换水次数。</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（4）沿岸的观花或挺水植物，每年至少应施肥1次。施肥应以腐熟的有机肥为主，应用可分解的纸做袋装肥或用泥做成团施入泥中。</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（5）重视病虫害防治，以防为主，早发现早处理。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5.藤本和攀缘植物</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（1）生长正常；适时采取相应的牵引、设置网架等技术措施；观花的攀缘植物适时开花。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（2）藤本植物的修剪应以促进分枝为主，并剪除徒长枝和下垂枝。多年生的藤本植物应定期翻蔓，清除枯枝，疏删老弱藤蔓。</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（3）雨季应做好排水，秋季停止施肥、灌水，冬季及时清除藤蔓、棚架上的积雪。</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6.竹类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（1）生长正常竹干疏密有间，无病虫害。</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（2）灌溉、施肥</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竹类浇水要抓住关键季节，春季出笋前要浇足催笋水，5、6月要浇拔节水，夏季雨水充沛可不浇或少浇，秋季浇孕笋水，冬季过于干旱的可适当喷水。</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施肥有机肥为主，时间以11-12月为宜。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（3）培土</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竹林要每年培土，厚度以5厘米为宜，时间利用冬季。</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（4）病虫害防治    </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要及时做好病虫害的防治工作，加强抚育管理，合理砍伐，使林内通风透光，及早砍除病竹销毁。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四、人员及设备配备要求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（一）人员配备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各级绿化养护区域须配备足额养护人员。一级养护区域每</w:t>
      </w:r>
      <w:r>
        <w:rPr>
          <w:rFonts w:hint="eastAsia" w:ascii="宋体" w:hAnsi="宋体" w:eastAsia="宋体" w:cs="宋体"/>
          <w:highlight w:val="none"/>
          <w:lang w:val="en-US" w:eastAsia="zh-CN"/>
        </w:rPr>
        <w:t>5</w:t>
      </w:r>
      <w:r>
        <w:rPr>
          <w:rFonts w:hint="eastAsia" w:ascii="宋体" w:hAnsi="宋体" w:eastAsia="宋体" w:cs="宋体"/>
          <w:highlight w:val="none"/>
        </w:rPr>
        <w:t>000平方米配备1名养护工，每10000平方米配备1名修剪工；二级养护区域每8000平方米配备1名养护工，每15000平方米配备1名修剪工；</w:t>
      </w:r>
      <w:r>
        <w:rPr>
          <w:rFonts w:hint="eastAsia" w:ascii="宋体" w:hAnsi="宋体" w:eastAsia="宋体" w:cs="宋体"/>
          <w:highlight w:val="none"/>
          <w:lang w:eastAsia="zh-CN"/>
        </w:rPr>
        <w:t>三</w:t>
      </w:r>
      <w:r>
        <w:rPr>
          <w:rFonts w:hint="eastAsia" w:ascii="宋体" w:hAnsi="宋体" w:eastAsia="宋体" w:cs="宋体"/>
          <w:highlight w:val="none"/>
        </w:rPr>
        <w:t>级养护区域每</w:t>
      </w:r>
      <w:r>
        <w:rPr>
          <w:rFonts w:hint="eastAsia" w:ascii="宋体" w:hAnsi="宋体" w:eastAsia="宋体" w:cs="宋体"/>
          <w:highlight w:val="none"/>
          <w:lang w:val="en-US" w:eastAsia="zh-CN"/>
        </w:rPr>
        <w:t>10</w:t>
      </w:r>
      <w:r>
        <w:rPr>
          <w:rFonts w:hint="eastAsia" w:ascii="宋体" w:hAnsi="宋体" w:eastAsia="宋体" w:cs="宋体"/>
          <w:highlight w:val="none"/>
        </w:rPr>
        <w:t>000平方米配备1名养护工，每</w:t>
      </w:r>
      <w:r>
        <w:rPr>
          <w:rFonts w:hint="eastAsia" w:ascii="宋体" w:hAnsi="宋体" w:eastAsia="宋体" w:cs="宋体"/>
          <w:highlight w:val="none"/>
          <w:lang w:val="en-US" w:eastAsia="zh-CN"/>
        </w:rPr>
        <w:t>20</w:t>
      </w:r>
      <w:r>
        <w:rPr>
          <w:rFonts w:hint="eastAsia" w:ascii="宋体" w:hAnsi="宋体" w:eastAsia="宋体" w:cs="宋体"/>
          <w:highlight w:val="none"/>
        </w:rPr>
        <w:t>000平方米配备1名修剪工须结合工作要求配备专业植保工及其他必要的技术工种。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绿化养护人员须按照</w:t>
      </w:r>
      <w:r>
        <w:rPr>
          <w:rFonts w:hint="eastAsia" w:ascii="宋体" w:hAnsi="宋体" w:eastAsia="宋体" w:cs="宋体"/>
          <w:highlight w:val="none"/>
          <w:lang w:eastAsia="zh-CN"/>
        </w:rPr>
        <w:t>新</w:t>
      </w:r>
      <w:r>
        <w:rPr>
          <w:rFonts w:hint="eastAsia" w:ascii="宋体" w:hAnsi="宋体" w:eastAsia="宋体" w:cs="宋体"/>
          <w:highlight w:val="none"/>
        </w:rPr>
        <w:t>区绿化养护着装要求统一挂牌上岗。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（二）设备配备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各级绿化养护区域须足额高标准配备水车、垃圾清运车、喷药机、修剪机、水泵等绿化养护车辆及机械设备。其中，浇灌水源不可及区域须按照8万平方米/台的标准配备水车（10吨及以上），浇灌水源可及区域须配备缺水期应急浇灌水补给设施设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绿化养护车辆及机械设备须按照生态区绿化养护设备管理要求统一喷绘标识。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firstLine="2160" w:firstLineChars="900"/>
        <w:jc w:val="both"/>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第三章  绿地景观设施维护及保护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一、设施维护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项目</w:t>
      </w:r>
      <w:r>
        <w:rPr>
          <w:rFonts w:hint="eastAsia" w:ascii="宋体" w:hAnsi="宋体" w:eastAsia="宋体" w:cs="宋体"/>
          <w:highlight w:val="none"/>
        </w:rPr>
        <w:t>设施包括</w:t>
      </w:r>
      <w:r>
        <w:rPr>
          <w:rFonts w:hint="eastAsia" w:ascii="宋体" w:hAnsi="宋体" w:cs="宋体"/>
          <w:highlight w:val="none"/>
          <w:lang w:val="en-US" w:eastAsia="zh-CN"/>
        </w:rPr>
        <w:t>但不限于</w:t>
      </w:r>
      <w:r>
        <w:rPr>
          <w:rFonts w:hint="eastAsia" w:ascii="宋体" w:hAnsi="宋体" w:eastAsia="宋体" w:cs="宋体"/>
          <w:highlight w:val="none"/>
        </w:rPr>
        <w:t>喷灌、照明、音响系统和园路、铺装、护栏、坐凳、</w:t>
      </w:r>
      <w:r>
        <w:rPr>
          <w:rFonts w:hint="eastAsia" w:ascii="宋体" w:hAnsi="宋体" w:cs="宋体"/>
          <w:highlight w:val="none"/>
          <w:lang w:val="en-US" w:eastAsia="zh-CN"/>
        </w:rPr>
        <w:t>等</w:t>
      </w:r>
      <w:r>
        <w:rPr>
          <w:rFonts w:hint="eastAsia" w:ascii="宋体" w:hAnsi="宋体" w:eastAsia="宋体" w:cs="宋体"/>
          <w:highlight w:val="none"/>
        </w:rPr>
        <w:t>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（一）喷灌设施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保护绿化供水设施，要保持喷洒正常、开关灵活、管道无漏水。景观喷泉管道、喷嘴及水池完好率不低于95%。</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（二）照明、音响设施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绿地上的灯光、音响，要经常进行检修，发现线路破损、灯泡烧毁、灯罩破损、音箱损坏的要及时进行修复、更换，保持设备正常运作。景观照明设施设备完好率必须保持在99%以上。</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rPr>
        <w:t>（三）</w:t>
      </w:r>
      <w:r>
        <w:rPr>
          <w:rFonts w:hint="eastAsia" w:ascii="宋体" w:hAnsi="宋体" w:cs="宋体"/>
          <w:highlight w:val="none"/>
          <w:lang w:val="en-US" w:eastAsia="zh-CN"/>
        </w:rPr>
        <w:t>水体水面</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保持</w:t>
      </w:r>
      <w:r>
        <w:rPr>
          <w:rFonts w:hint="eastAsia" w:ascii="宋体" w:hAnsi="宋体" w:cs="宋体"/>
          <w:highlight w:val="none"/>
          <w:lang w:val="en-US" w:eastAsia="zh-CN"/>
        </w:rPr>
        <w:t>水体</w:t>
      </w:r>
      <w:r>
        <w:rPr>
          <w:rFonts w:hint="eastAsia" w:ascii="宋体" w:hAnsi="宋体" w:eastAsia="宋体" w:cs="宋体"/>
          <w:highlight w:val="none"/>
        </w:rPr>
        <w:t>及水</w:t>
      </w:r>
      <w:r>
        <w:rPr>
          <w:rFonts w:hint="eastAsia" w:ascii="宋体" w:hAnsi="宋体" w:cs="宋体"/>
          <w:highlight w:val="none"/>
          <w:lang w:val="en-US" w:eastAsia="zh-CN"/>
        </w:rPr>
        <w:t>面</w:t>
      </w:r>
      <w:r>
        <w:rPr>
          <w:rFonts w:hint="eastAsia" w:ascii="宋体" w:hAnsi="宋体" w:eastAsia="宋体" w:cs="宋体"/>
          <w:highlight w:val="none"/>
        </w:rPr>
        <w:t>内外清洁，</w:t>
      </w:r>
      <w:r>
        <w:rPr>
          <w:rFonts w:hint="eastAsia" w:ascii="宋体" w:hAnsi="宋体" w:cs="宋体"/>
          <w:color w:val="000000"/>
          <w:kern w:val="2"/>
          <w:sz w:val="21"/>
          <w:szCs w:val="21"/>
          <w:highlight w:val="none"/>
          <w:lang w:val="en-US" w:eastAsia="zh-CN" w:bidi="ar-SA"/>
        </w:rPr>
        <w:t>水质达到同期环保要求</w:t>
      </w:r>
      <w:r>
        <w:rPr>
          <w:rFonts w:hint="eastAsia" w:ascii="宋体" w:hAnsi="宋体" w:eastAsia="宋体" w:cs="宋体"/>
          <w:highlight w:val="none"/>
        </w:rPr>
        <w:t>。要求及时清除杂物</w:t>
      </w:r>
      <w:r>
        <w:rPr>
          <w:rFonts w:hint="eastAsia" w:ascii="宋体" w:hAnsi="宋体" w:cs="宋体"/>
          <w:highlight w:val="none"/>
          <w:lang w:val="en-US" w:eastAsia="zh-CN"/>
        </w:rPr>
        <w:t>垃圾，保持水体水面清洁</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（四）护栏</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护栏要保持整洁完整,定期清理，不能有倾斜的现象，被损坏的要及时修补。遇到节日庆典和大型活动应派专人定时定点进行清洗和维护。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（五）园路</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绿地内园路要保持清洁、美观，完好无损。要及时清除路面垃圾杂物，修补破损并保持完好。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rPr>
        <w:t>（六）</w:t>
      </w:r>
      <w:r>
        <w:rPr>
          <w:rFonts w:hint="eastAsia" w:ascii="宋体" w:hAnsi="宋体" w:cs="宋体"/>
          <w:highlight w:val="none"/>
          <w:lang w:val="en-US" w:eastAsia="zh-CN"/>
        </w:rPr>
        <w:t>项目设施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项目设施</w:t>
      </w:r>
      <w:r>
        <w:rPr>
          <w:rFonts w:hint="eastAsia" w:ascii="宋体" w:hAnsi="宋体" w:eastAsia="宋体" w:cs="宋体"/>
          <w:highlight w:val="none"/>
        </w:rPr>
        <w:t>要保持整洁、美观，完好无损，对其上的乱涂、乱画、乱张贴要及时清理干净，以增强美化效果。</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（七）移动花钵</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花钵内的植物生长旺盛，株形优美，叶片、叶色正常，无病虫害，开花植物要及时清理残花和残枝。花钵表面整洁无垃圾和杂物，钵体无乱划、乱画等现象。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（八）果皮箱</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果皮箱箱体干净无污渍、无破损，摆放端正；及时维修、刷新、更换老旧破损的果皮箱；每日擦洗2次，及时清掏，无垃圾爆满、落地和翻拾垃圾现象。</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九</w:t>
      </w:r>
      <w:r>
        <w:rPr>
          <w:rFonts w:hint="eastAsia" w:ascii="宋体" w:hAnsi="宋体" w:eastAsia="宋体" w:cs="宋体"/>
          <w:highlight w:val="none"/>
        </w:rPr>
        <w:t>）其他公共设施</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定期维护擦洗刷新绿地内管理用房、导视牌、宣传栏、直饮水池及休闲座椅、健身器材等各类城市家具，表面整洁，无明显泥污、浮尘，无乱划、乱画等现象；破损后维修、更换要及时，1个工作日内修复；管理用房应实现物品摆放整齐，地面及门窗整洁无污渍。</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二、绿地保护</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依法严格执行《西安市城市绿化条例》和《西安市公园条例》，加强人员巡查，规划线内绿地不被侵占，绿地版图完整。保护绿地内的花草树木不受损害，对任何侵占和破坏行为要加以制止并及时报告绿化管理部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center"/>
        <w:textAlignment w:val="auto"/>
        <w:rPr>
          <w:rFonts w:hint="eastAsia" w:ascii="仿宋_GB2312" w:hAnsi="仿宋" w:eastAsia="仿宋_GB2312"/>
          <w:snapToGrid w:val="0"/>
          <w:kern w:val="0"/>
          <w:sz w:val="24"/>
          <w:szCs w:val="24"/>
          <w:highlight w:val="none"/>
        </w:rPr>
      </w:pPr>
      <w:r>
        <w:rPr>
          <w:rFonts w:hint="eastAsia" w:ascii="仿宋_GB2312" w:hAnsi="仿宋" w:eastAsia="仿宋_GB2312"/>
          <w:snapToGrid w:val="0"/>
          <w:kern w:val="0"/>
          <w:sz w:val="24"/>
          <w:szCs w:val="24"/>
          <w:highlight w:val="none"/>
        </w:rPr>
        <w:t>第四章  绿地保洁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80" w:firstLineChars="200"/>
        <w:textAlignment w:val="auto"/>
        <w:rPr>
          <w:rFonts w:hint="eastAsia" w:ascii="宋体" w:hAnsi="宋体" w:eastAsia="宋体" w:cs="宋体"/>
          <w:highlight w:val="none"/>
        </w:rPr>
      </w:pPr>
      <w:r>
        <w:rPr>
          <w:rFonts w:hint="eastAsia" w:ascii="仿宋_GB2312" w:hAnsi="仿宋" w:eastAsia="仿宋_GB2312"/>
          <w:b w:val="0"/>
          <w:snapToGrid w:val="0"/>
          <w:kern w:val="0"/>
          <w:sz w:val="24"/>
          <w:szCs w:val="24"/>
          <w:highlight w:val="none"/>
        </w:rPr>
        <w:t>一、</w:t>
      </w:r>
      <w:r>
        <w:rPr>
          <w:rFonts w:hint="eastAsia" w:ascii="宋体" w:hAnsi="宋体" w:eastAsia="宋体" w:cs="宋体"/>
          <w:highlight w:val="none"/>
          <w:lang w:val="en-US" w:eastAsia="zh-CN"/>
        </w:rPr>
        <w:t>硬质铺装区域</w:t>
      </w:r>
      <w:r>
        <w:rPr>
          <w:rFonts w:hint="eastAsia" w:ascii="宋体" w:hAnsi="宋体" w:eastAsia="宋体" w:cs="宋体"/>
          <w:highlight w:val="none"/>
        </w:rPr>
        <w:t>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（一）人员配备要求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硬质铺装区域</w:t>
      </w:r>
      <w:r>
        <w:rPr>
          <w:rFonts w:hint="eastAsia" w:ascii="宋体" w:hAnsi="宋体" w:eastAsia="宋体" w:cs="宋体"/>
          <w:highlight w:val="none"/>
        </w:rPr>
        <w:t>保洁参照现行《城市环境卫生质量标准》、《城市容貌标准》GB 50449、《西安市市容环境卫生工作管理标准》及生态区道路保洁标准执行，按照两班作业制、4600平方米/人的标准配备。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清扫保洁工作实行定员定岗管理，责任到人；保洁员实行两班作业制；做好保洁检查记录；保洁员上岗时必须着统一工装挂牌上岗。</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（二）作业标准</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硬质铺装区域</w:t>
      </w:r>
      <w:r>
        <w:rPr>
          <w:rFonts w:hint="eastAsia" w:ascii="宋体" w:hAnsi="宋体" w:eastAsia="宋体" w:cs="宋体"/>
          <w:highlight w:val="none"/>
        </w:rPr>
        <w:t>内的白色垃圾要及时发现、及时清理。园路、树池、收水井口、隔离墩必须清扫干净，保持干净整洁。雨雪后园路上的泥水、积雪必须及时清理，不得有垃圾堆积、不能漏扫，不能因清扫不当造成二次污染。</w:t>
      </w:r>
      <w:r>
        <w:rPr>
          <w:rFonts w:hint="eastAsia" w:ascii="宋体" w:hAnsi="宋体" w:eastAsia="宋体" w:cs="宋体"/>
          <w:highlight w:val="none"/>
          <w:lang w:val="en-US" w:eastAsia="zh-CN"/>
        </w:rPr>
        <w:t>硬质铺装区域</w:t>
      </w:r>
      <w:r>
        <w:rPr>
          <w:rFonts w:hint="eastAsia" w:ascii="宋体" w:hAnsi="宋体" w:eastAsia="宋体" w:cs="宋体"/>
          <w:highlight w:val="none"/>
        </w:rPr>
        <w:t>内清理积雪不得使用融雪剂。</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二、水</w:t>
      </w:r>
      <w:r>
        <w:rPr>
          <w:rFonts w:hint="eastAsia" w:ascii="宋体" w:hAnsi="宋体" w:cs="宋体"/>
          <w:highlight w:val="none"/>
          <w:lang w:val="en-US" w:eastAsia="zh-CN"/>
        </w:rPr>
        <w:t>体水面</w:t>
      </w:r>
      <w:r>
        <w:rPr>
          <w:rFonts w:hint="eastAsia" w:ascii="宋体" w:hAnsi="宋体" w:eastAsia="宋体" w:cs="宋体"/>
          <w:highlight w:val="none"/>
        </w:rPr>
        <w:t>保洁</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保持</w:t>
      </w:r>
      <w:r>
        <w:rPr>
          <w:rFonts w:hint="eastAsia" w:ascii="宋体" w:hAnsi="宋体" w:cs="宋体"/>
          <w:highlight w:val="none"/>
          <w:lang w:val="en-US" w:eastAsia="zh-CN"/>
        </w:rPr>
        <w:t>水体</w:t>
      </w:r>
      <w:r>
        <w:rPr>
          <w:rFonts w:hint="eastAsia" w:ascii="宋体" w:hAnsi="宋体" w:eastAsia="宋体" w:cs="宋体"/>
          <w:highlight w:val="none"/>
        </w:rPr>
        <w:t>及水</w:t>
      </w:r>
      <w:r>
        <w:rPr>
          <w:rFonts w:hint="eastAsia" w:ascii="宋体" w:hAnsi="宋体" w:cs="宋体"/>
          <w:highlight w:val="none"/>
          <w:lang w:val="en-US" w:eastAsia="zh-CN"/>
        </w:rPr>
        <w:t>面</w:t>
      </w:r>
      <w:r>
        <w:rPr>
          <w:rFonts w:hint="eastAsia" w:ascii="宋体" w:hAnsi="宋体" w:eastAsia="宋体" w:cs="宋体"/>
          <w:highlight w:val="none"/>
        </w:rPr>
        <w:t>内外清洁，</w:t>
      </w:r>
      <w:r>
        <w:rPr>
          <w:rFonts w:hint="eastAsia" w:ascii="宋体" w:hAnsi="宋体" w:cs="宋体"/>
          <w:color w:val="000000"/>
          <w:kern w:val="2"/>
          <w:sz w:val="21"/>
          <w:szCs w:val="21"/>
          <w:highlight w:val="none"/>
          <w:lang w:val="en-US" w:eastAsia="zh-CN" w:bidi="ar-SA"/>
        </w:rPr>
        <w:t>水质达到同期环保要求</w:t>
      </w:r>
      <w:r>
        <w:rPr>
          <w:rFonts w:hint="eastAsia" w:ascii="宋体" w:hAnsi="宋体" w:eastAsia="宋体" w:cs="宋体"/>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水体保洁质量应按现行行业标准《城市水域保洁作业及质量标准》CJJ/T 174的一级标准执行。</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建立水域巡视机制，实行全天保洁，确保水面无漂浮垃圾、杂物。水域垃圾日产日清。人员及设备按照水域保洁员2名/船，水域垃圾清理按30000平方米/船/天配备。</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三</w:t>
      </w:r>
      <w:r>
        <w:rPr>
          <w:rFonts w:hint="eastAsia" w:ascii="宋体" w:hAnsi="宋体" w:eastAsia="宋体" w:cs="宋体"/>
          <w:highlight w:val="none"/>
        </w:rPr>
        <w:t>、病媒生物防治</w:t>
      </w:r>
    </w:p>
    <w:p>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highlight w:val="none"/>
        </w:rPr>
      </w:pPr>
      <w:r>
        <w:rPr>
          <w:rFonts w:hint="eastAsia" w:ascii="宋体" w:hAnsi="宋体" w:eastAsia="宋体" w:cs="宋体"/>
          <w:highlight w:val="none"/>
        </w:rPr>
        <w:t>病媒生物防治标准应符合现行《国家卫生城市标准》和《病媒生物密度控制水平》GB/T 27770、GB/T 27771、GB/T 27772、GB/T 27773的A级要求。</w:t>
      </w:r>
    </w:p>
    <w:p>
      <w:pPr>
        <w:rPr>
          <w:rFonts w:hint="eastAsia" w:ascii="华文宋体" w:hAnsi="华文宋体" w:eastAsia="华文宋体" w:cs="Times New Roman"/>
          <w:b/>
          <w:bCs/>
          <w:sz w:val="24"/>
          <w:szCs w:val="32"/>
          <w:highlight w:val="none"/>
          <w:lang w:val="en-US" w:eastAsia="zh-CN"/>
        </w:rPr>
      </w:pPr>
    </w:p>
    <w:p>
      <w:pPr>
        <w:pStyle w:val="16"/>
        <w:rPr>
          <w:rFonts w:hint="eastAsia" w:ascii="华文宋体" w:hAnsi="华文宋体" w:eastAsia="华文宋体" w:cs="Times New Roman"/>
          <w:b/>
          <w:bCs/>
          <w:sz w:val="24"/>
          <w:szCs w:val="32"/>
          <w:highlight w:val="none"/>
          <w:lang w:val="en-US" w:eastAsia="zh-CN"/>
        </w:rPr>
      </w:pPr>
    </w:p>
    <w:p>
      <w:pPr>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ascii="华文宋体" w:hAnsi="华文宋体" w:eastAsia="华文宋体" w:cs="Times New Roman"/>
          <w:b/>
          <w:bCs/>
          <w:sz w:val="24"/>
          <w:szCs w:val="32"/>
          <w:highlight w:val="none"/>
          <w:lang w:val="en-US" w:eastAsia="zh-CN"/>
        </w:rPr>
      </w:pPr>
    </w:p>
    <w:p>
      <w:pPr>
        <w:pStyle w:val="24"/>
        <w:rPr>
          <w:rFonts w:hint="eastAsia"/>
          <w:highlight w:val="none"/>
          <w:lang w:val="en-US" w:eastAsia="zh-CN"/>
        </w:rPr>
      </w:pPr>
    </w:p>
    <w:p>
      <w:pPr>
        <w:pStyle w:val="16"/>
        <w:rPr>
          <w:rFonts w:hint="eastAsia" w:ascii="华文宋体" w:hAnsi="华文宋体" w:eastAsia="华文宋体" w:cs="Times New Roman"/>
          <w:b/>
          <w:bCs/>
          <w:sz w:val="24"/>
          <w:szCs w:val="32"/>
          <w:highlight w:val="none"/>
          <w:lang w:val="en-US" w:eastAsia="zh-CN"/>
        </w:rPr>
      </w:pPr>
    </w:p>
    <w:p>
      <w:pPr>
        <w:pStyle w:val="17"/>
        <w:rPr>
          <w:rFonts w:hint="eastAsia"/>
          <w:highlight w:val="none"/>
          <w:lang w:val="en-US" w:eastAsia="zh-CN"/>
        </w:rPr>
      </w:pPr>
    </w:p>
    <w:p>
      <w:pPr>
        <w:pStyle w:val="18"/>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pStyle w:val="3"/>
        <w:numPr>
          <w:ilvl w:val="0"/>
          <w:numId w:val="0"/>
        </w:numPr>
        <w:rPr>
          <w:rFonts w:hint="eastAsia" w:ascii="宋体" w:hAnsi="宋体" w:eastAsia="宋体" w:cs="宋体"/>
          <w:b/>
          <w:bCs/>
          <w:sz w:val="36"/>
          <w:szCs w:val="36"/>
          <w:highlight w:val="none"/>
        </w:rPr>
      </w:pPr>
      <w:r>
        <w:rPr>
          <w:rFonts w:hint="eastAsia" w:ascii="宋体" w:hAnsi="宋体" w:cs="宋体"/>
          <w:b/>
          <w:bCs/>
          <w:color w:val="FF0000"/>
          <w:szCs w:val="21"/>
          <w:highlight w:val="none"/>
        </w:rPr>
        <w:t xml:space="preserve"> </w:t>
      </w:r>
      <w:bookmarkStart w:id="21" w:name="_Toc20463"/>
      <w:r>
        <w:rPr>
          <w:rFonts w:hint="eastAsia" w:ascii="宋体" w:hAnsi="宋体" w:eastAsia="宋体" w:cs="宋体"/>
          <w:b/>
          <w:bCs/>
          <w:sz w:val="36"/>
          <w:szCs w:val="36"/>
          <w:highlight w:val="none"/>
        </w:rPr>
        <w:t>第五章  合同格式与主要条款</w:t>
      </w:r>
      <w:bookmarkEnd w:id="21"/>
    </w:p>
    <w:p>
      <w:pPr>
        <w:spacing w:line="900" w:lineRule="exact"/>
        <w:jc w:val="center"/>
        <w:rPr>
          <w:rFonts w:hint="eastAsia" w:ascii="仿宋_GB2312" w:eastAsia="仿宋_GB2312"/>
          <w:b/>
          <w:sz w:val="28"/>
          <w:szCs w:val="28"/>
          <w:highlight w:val="none"/>
        </w:rPr>
      </w:pPr>
      <w:r>
        <w:rPr>
          <w:rFonts w:hint="eastAsia" w:ascii="宋体" w:hAnsi="宋体" w:cs="宋体"/>
          <w:b/>
          <w:bCs/>
          <w:sz w:val="30"/>
          <w:szCs w:val="30"/>
          <w:highlight w:val="none"/>
        </w:rPr>
        <w:t>（参考格式）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发包方:</w:t>
      </w:r>
      <w:r>
        <w:rPr>
          <w:rFonts w:hint="eastAsia" w:ascii="仿宋_GB2312" w:eastAsia="仿宋_GB2312"/>
          <w:sz w:val="24"/>
          <w:szCs w:val="24"/>
          <w:highlight w:val="none"/>
          <w:u w:val="single"/>
          <w:lang w:eastAsia="zh-CN"/>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（以下简称“甲方”）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承包方：</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（以下简称“乙方”）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ab/>
      </w:r>
      <w:r>
        <w:rPr>
          <w:rFonts w:hint="eastAsia" w:ascii="仿宋_GB2312" w:eastAsia="仿宋_GB2312"/>
          <w:sz w:val="24"/>
          <w:szCs w:val="24"/>
          <w:highlight w:val="none"/>
        </w:rPr>
        <w:t xml:space="preserve"> 依据《中华人民共和国</w:t>
      </w:r>
      <w:r>
        <w:rPr>
          <w:rFonts w:hint="eastAsia" w:ascii="仿宋_GB2312" w:eastAsia="仿宋_GB2312"/>
          <w:sz w:val="24"/>
          <w:szCs w:val="24"/>
          <w:highlight w:val="none"/>
          <w:lang w:val="en-US" w:eastAsia="zh-CN"/>
        </w:rPr>
        <w:t>民法典</w:t>
      </w:r>
      <w:r>
        <w:rPr>
          <w:rFonts w:hint="eastAsia" w:ascii="仿宋_GB2312" w:eastAsia="仿宋_GB2312"/>
          <w:sz w:val="24"/>
          <w:szCs w:val="24"/>
          <w:highlight w:val="none"/>
        </w:rPr>
        <w:t>》</w:t>
      </w:r>
      <w:r>
        <w:rPr>
          <w:rFonts w:hint="eastAsia" w:ascii="仿宋_GB2312" w:eastAsia="仿宋_GB2312"/>
          <w:sz w:val="24"/>
          <w:szCs w:val="24"/>
          <w:highlight w:val="none"/>
          <w:lang w:eastAsia="zh-CN"/>
        </w:rPr>
        <w:t>、</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园林绿化管理标准</w:t>
      </w:r>
      <w:r>
        <w:rPr>
          <w:rFonts w:hint="eastAsia" w:ascii="仿宋_GB2312" w:eastAsia="仿宋_GB2312"/>
          <w:color w:val="auto"/>
          <w:sz w:val="24"/>
          <w:szCs w:val="24"/>
          <w:highlight w:val="none"/>
          <w:lang w:eastAsia="zh-CN"/>
        </w:rPr>
        <w:t>》</w:t>
      </w:r>
      <w:r>
        <w:rPr>
          <w:rFonts w:hint="eastAsia" w:ascii="仿宋_GB2312" w:eastAsia="仿宋_GB2312"/>
          <w:sz w:val="24"/>
          <w:szCs w:val="24"/>
          <w:highlight w:val="none"/>
        </w:rPr>
        <w:t>和《城市绿化条例》及相关法律、法规的规定，遵循平等、自愿、公平和诚实信用的原则，结合本项目的具体情况经双方协商一致，订立本合同。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rPr>
        <w:t xml:space="preserve">    一、项目</w:t>
      </w:r>
      <w:r>
        <w:rPr>
          <w:rFonts w:hint="eastAsia" w:ascii="仿宋_GB2312" w:eastAsia="仿宋_GB2312"/>
          <w:sz w:val="24"/>
          <w:szCs w:val="24"/>
          <w:highlight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rPr>
        <w:tab/>
      </w:r>
      <w:r>
        <w:rPr>
          <w:rFonts w:hint="eastAsia" w:ascii="仿宋_GB2312" w:eastAsia="仿宋_GB2312"/>
          <w:b/>
          <w:bCs/>
          <w:sz w:val="24"/>
          <w:szCs w:val="24"/>
          <w:highlight w:val="none"/>
        </w:rPr>
        <w:t xml:space="preserve"> 1.1</w:t>
      </w:r>
      <w:r>
        <w:rPr>
          <w:rFonts w:hint="eastAsia" w:ascii="仿宋_GB2312" w:eastAsia="仿宋_GB2312"/>
          <w:b/>
          <w:bCs/>
          <w:sz w:val="24"/>
          <w:szCs w:val="24"/>
          <w:highlight w:val="none"/>
          <w:lang w:val="en-US" w:eastAsia="zh-CN"/>
        </w:rPr>
        <w:t>养护</w:t>
      </w:r>
      <w:r>
        <w:rPr>
          <w:rFonts w:hint="eastAsia" w:ascii="仿宋_GB2312" w:eastAsia="仿宋_GB2312"/>
          <w:b/>
          <w:bCs/>
          <w:sz w:val="24"/>
          <w:szCs w:val="24"/>
          <w:highlight w:val="none"/>
        </w:rPr>
        <w:t>项目名称：</w:t>
      </w:r>
      <w:r>
        <w:rPr>
          <w:rFonts w:hint="eastAsia" w:ascii="仿宋_GB2312" w:eastAsia="仿宋_GB2312" w:cs="Times New Roman"/>
          <w:sz w:val="24"/>
          <w:szCs w:val="24"/>
          <w:highlight w:val="none"/>
          <w:u w:val="single"/>
          <w:lang w:val="en-US" w:eastAsia="zh-CN"/>
        </w:rPr>
        <w:t>秦汉新城渭河福银高速桥至横桥段滩面区域绿化养护</w:t>
      </w:r>
      <w:r>
        <w:rPr>
          <w:rFonts w:hint="eastAsia" w:ascii="仿宋_GB2312" w:hAnsi="Times New Roman" w:eastAsia="仿宋_GB2312" w:cs="Times New Roman"/>
          <w:sz w:val="24"/>
          <w:szCs w:val="24"/>
          <w:highlight w:val="none"/>
          <w:u w:val="single"/>
          <w:lang w:val="en-US" w:eastAsia="zh-CN"/>
        </w:rPr>
        <w:t>；</w:t>
      </w:r>
      <w:r>
        <w:rPr>
          <w:rFonts w:hint="eastAsia" w:ascii="仿宋_GB2312" w:eastAsia="仿宋_GB2312"/>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sz w:val="24"/>
          <w:szCs w:val="24"/>
          <w:highlight w:val="none"/>
        </w:rPr>
        <w:tab/>
      </w:r>
      <w:r>
        <w:rPr>
          <w:rFonts w:hint="eastAsia" w:ascii="仿宋_GB2312" w:eastAsia="仿宋_GB2312"/>
          <w:b/>
          <w:bCs/>
          <w:sz w:val="24"/>
          <w:szCs w:val="24"/>
          <w:highlight w:val="none"/>
        </w:rPr>
        <w:t xml:space="preserve"> 1.2</w:t>
      </w:r>
      <w:r>
        <w:rPr>
          <w:rFonts w:hint="eastAsia" w:ascii="仿宋_GB2312" w:eastAsia="仿宋_GB2312"/>
          <w:b/>
          <w:bCs/>
          <w:sz w:val="24"/>
          <w:szCs w:val="24"/>
          <w:highlight w:val="none"/>
          <w:lang w:val="en-US" w:eastAsia="zh-CN"/>
        </w:rPr>
        <w:t>养护</w:t>
      </w:r>
      <w:r>
        <w:rPr>
          <w:rFonts w:hint="eastAsia" w:ascii="仿宋_GB2312" w:eastAsia="仿宋_GB2312"/>
          <w:b/>
          <w:bCs/>
          <w:sz w:val="24"/>
          <w:szCs w:val="24"/>
          <w:highlight w:val="none"/>
        </w:rPr>
        <w:t>项目</w:t>
      </w:r>
      <w:r>
        <w:rPr>
          <w:rFonts w:hint="eastAsia" w:ascii="仿宋_GB2312" w:eastAsia="仿宋_GB2312"/>
          <w:b/>
          <w:bCs/>
          <w:sz w:val="24"/>
          <w:szCs w:val="24"/>
          <w:highlight w:val="none"/>
          <w:lang w:val="en-US" w:eastAsia="zh-CN"/>
        </w:rPr>
        <w:t>范围</w:t>
      </w:r>
      <w:r>
        <w:rPr>
          <w:rFonts w:hint="eastAsia" w:ascii="仿宋_GB2312" w:eastAsia="仿宋_GB2312"/>
          <w:b/>
          <w:bCs/>
          <w:sz w:val="24"/>
          <w:szCs w:val="24"/>
          <w:highlight w:val="none"/>
        </w:rPr>
        <w:t>：</w:t>
      </w:r>
      <w:r>
        <w:rPr>
          <w:rFonts w:hint="eastAsia" w:ascii="仿宋_GB2312" w:eastAsia="仿宋_GB2312" w:cs="Times New Roman"/>
          <w:sz w:val="24"/>
          <w:szCs w:val="24"/>
          <w:highlight w:val="none"/>
          <w:u w:val="single"/>
          <w:lang w:val="en-US" w:eastAsia="zh-CN"/>
        </w:rPr>
        <w:t>秦汉新城渭河福银高速桥至横桥段滩面区域</w:t>
      </w:r>
      <w:r>
        <w:rPr>
          <w:rFonts w:hint="eastAsia" w:ascii="仿宋_GB2312" w:eastAsia="仿宋_GB2312" w:cs="Times New Roman"/>
          <w:sz w:val="24"/>
          <w:szCs w:val="24"/>
          <w:highlight w:val="none"/>
          <w:u w:val="none"/>
          <w:lang w:val="en-US" w:eastAsia="zh-CN"/>
        </w:rPr>
        <w:t>包</w:t>
      </w:r>
      <w:r>
        <w:rPr>
          <w:rFonts w:hint="eastAsia" w:ascii="仿宋_GB2312" w:eastAsia="仿宋_GB2312"/>
          <w:sz w:val="24"/>
          <w:szCs w:val="24"/>
          <w:highlight w:val="none"/>
          <w:lang w:eastAsia="zh-CN"/>
        </w:rPr>
        <w:t>括</w:t>
      </w:r>
      <w:r>
        <w:rPr>
          <w:rFonts w:hint="eastAsia" w:ascii="仿宋_GB2312" w:eastAsia="仿宋_GB2312"/>
          <w:sz w:val="24"/>
          <w:szCs w:val="24"/>
          <w:highlight w:val="none"/>
          <w:lang w:val="en-US" w:eastAsia="zh-CN"/>
        </w:rPr>
        <w:t>的</w:t>
      </w:r>
      <w:r>
        <w:rPr>
          <w:rFonts w:hint="eastAsia" w:ascii="仿宋_GB2312" w:hAnsi="Times New Roman" w:eastAsia="仿宋_GB2312" w:cs="Times New Roman"/>
          <w:sz w:val="24"/>
          <w:szCs w:val="24"/>
          <w:highlight w:val="none"/>
          <w:lang w:val="en-US" w:eastAsia="zh-CN"/>
        </w:rPr>
        <w:t>绿</w:t>
      </w:r>
      <w:r>
        <w:rPr>
          <w:rFonts w:hint="eastAsia" w:ascii="仿宋_GB2312" w:eastAsia="仿宋_GB2312" w:cs="Times New Roman"/>
          <w:sz w:val="24"/>
          <w:szCs w:val="24"/>
          <w:highlight w:val="none"/>
          <w:lang w:val="en-US" w:eastAsia="zh-CN"/>
        </w:rPr>
        <w:t>地</w:t>
      </w:r>
      <w:r>
        <w:rPr>
          <w:rFonts w:hint="eastAsia" w:ascii="仿宋_GB2312" w:hAnsi="Times New Roman" w:eastAsia="仿宋_GB2312" w:cs="Times New Roman"/>
          <w:sz w:val="24"/>
          <w:szCs w:val="24"/>
          <w:highlight w:val="none"/>
          <w:lang w:val="en-US" w:eastAsia="zh-CN"/>
        </w:rPr>
        <w:t>养护</w:t>
      </w:r>
      <w:r>
        <w:rPr>
          <w:rFonts w:hint="eastAsia" w:ascii="仿宋_GB2312" w:eastAsia="仿宋_GB2312"/>
          <w:sz w:val="24"/>
          <w:szCs w:val="24"/>
          <w:highlight w:val="none"/>
          <w:lang w:eastAsia="zh-CN"/>
        </w:rPr>
        <w:t>，如有新移交的绿</w:t>
      </w:r>
      <w:r>
        <w:rPr>
          <w:rFonts w:hint="eastAsia" w:ascii="仿宋_GB2312" w:eastAsia="仿宋_GB2312"/>
          <w:sz w:val="24"/>
          <w:szCs w:val="24"/>
          <w:highlight w:val="none"/>
          <w:lang w:val="en-US" w:eastAsia="zh-CN"/>
        </w:rPr>
        <w:t>地</w:t>
      </w:r>
      <w:r>
        <w:rPr>
          <w:rFonts w:hint="eastAsia" w:ascii="仿宋_GB2312" w:eastAsia="仿宋_GB2312"/>
          <w:sz w:val="24"/>
          <w:szCs w:val="24"/>
          <w:highlight w:val="none"/>
          <w:lang w:eastAsia="zh-CN"/>
        </w:rPr>
        <w:t>项目按照就近的原则划分至相应</w:t>
      </w:r>
      <w:r>
        <w:rPr>
          <w:rFonts w:hint="eastAsia" w:ascii="仿宋_GB2312" w:eastAsia="仿宋_GB2312"/>
          <w:sz w:val="24"/>
          <w:szCs w:val="24"/>
          <w:highlight w:val="none"/>
          <w:lang w:val="en-US" w:eastAsia="zh-CN"/>
        </w:rPr>
        <w:t>区域</w:t>
      </w:r>
      <w:r>
        <w:rPr>
          <w:rFonts w:hint="eastAsia" w:ascii="仿宋_GB2312" w:eastAsia="仿宋_GB2312"/>
          <w:sz w:val="24"/>
          <w:szCs w:val="24"/>
          <w:highlight w:val="none"/>
          <w:lang w:eastAsia="zh-CN"/>
        </w:rPr>
        <w:t>。</w:t>
      </w:r>
    </w:p>
    <w:tbl>
      <w:tblPr>
        <w:tblStyle w:val="39"/>
        <w:tblpPr w:leftFromText="180" w:rightFromText="180" w:vertAnchor="text" w:horzAnchor="page" w:tblpX="2007" w:tblpY="315"/>
        <w:tblOverlap w:val="never"/>
        <w:tblW w:w="85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3399"/>
        <w:gridCol w:w="1224"/>
        <w:gridCol w:w="24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46" w:type="dxa"/>
            <w:gridSpan w:val="4"/>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秦汉新城渭河福银高速桥至横桥段滩面区域绿化养护清单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145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33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区域位置</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等级</w:t>
            </w:r>
          </w:p>
        </w:tc>
        <w:tc>
          <w:tcPr>
            <w:tcW w:w="24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w:t>
            </w:r>
            <w:r>
              <w:rPr>
                <w:rFonts w:hint="eastAsia" w:ascii="宋体" w:hAnsi="宋体" w:cs="宋体"/>
                <w:i w:val="0"/>
                <w:iCs w:val="0"/>
                <w:color w:val="000000"/>
                <w:kern w:val="0"/>
                <w:sz w:val="18"/>
                <w:szCs w:val="18"/>
                <w:highlight w:val="none"/>
                <w:u w:val="none"/>
                <w:lang w:val="en-US" w:eastAsia="zh-CN" w:bidi="ar"/>
              </w:rPr>
              <w:t>地</w:t>
            </w:r>
            <w:r>
              <w:rPr>
                <w:rFonts w:hint="eastAsia" w:ascii="宋体" w:hAnsi="宋体" w:eastAsia="宋体" w:cs="宋体"/>
                <w:i w:val="0"/>
                <w:iCs w:val="0"/>
                <w:color w:val="000000"/>
                <w:kern w:val="0"/>
                <w:sz w:val="18"/>
                <w:szCs w:val="18"/>
                <w:highlight w:val="none"/>
                <w:u w:val="none"/>
                <w:lang w:val="en-US" w:eastAsia="zh-CN" w:bidi="ar"/>
              </w:rPr>
              <w:t>养护面积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45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39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渭河福银高速桥至横桥段滩面</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w:t>
            </w:r>
          </w:p>
        </w:tc>
        <w:tc>
          <w:tcPr>
            <w:tcW w:w="246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1196000.00 </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（1）后期有新接收的养护区域等级参照就近道路等级定级。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）养护范围及新增设施量划分的约定说明：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.1）在合同执行过程中，绿化养护范围除上述现可养护面积外，还包括养护地点（各街道对应管辖范围内）及其周边。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.2）如新增养护设施量在多个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周边或交界处，由甲方确定该养护任务的分派，乙方须服从甲方的养护任务安排，不得有异议。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hAnsi="Times New Roman" w:eastAsia="仿宋_GB2312" w:cs="Times New Roman"/>
          <w:sz w:val="24"/>
          <w:szCs w:val="24"/>
          <w:highlight w:val="none"/>
          <w:lang w:val="en-US" w:eastAsia="zh-CN"/>
        </w:rPr>
        <w:t>（</w:t>
      </w:r>
      <w:r>
        <w:rPr>
          <w:rFonts w:hint="eastAsia" w:ascii="仿宋_GB2312"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lang w:val="en-US" w:eastAsia="zh-CN"/>
        </w:rPr>
        <w:t>.3）如单个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养护范围内新增设施量核增金额可能致使该</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累计核增金额超过年度合同总金额的10%，则该次新增设施量由临近</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的中标人负责实施养护。如同时存在多个临近</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，甲方有权将新增设施量分配给其中一个</w:t>
      </w:r>
      <w:r>
        <w:rPr>
          <w:rFonts w:hint="eastAsia" w:ascii="仿宋_GB2312" w:eastAsia="仿宋_GB2312" w:cs="Times New Roman"/>
          <w:sz w:val="24"/>
          <w:szCs w:val="24"/>
          <w:highlight w:val="none"/>
          <w:lang w:val="en-US" w:eastAsia="zh-CN"/>
        </w:rPr>
        <w:t>区域</w:t>
      </w:r>
      <w:r>
        <w:rPr>
          <w:rFonts w:hint="eastAsia" w:ascii="仿宋_GB2312" w:hAnsi="Times New Roman" w:eastAsia="仿宋_GB2312" w:cs="Times New Roman"/>
          <w:sz w:val="24"/>
          <w:szCs w:val="24"/>
          <w:highlight w:val="none"/>
          <w:lang w:val="en-US" w:eastAsia="zh-CN"/>
        </w:rPr>
        <w:t>的中标人，乙方需无条件服从采购人的安排。</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eastAsia="仿宋_GB2312"/>
          <w:b/>
          <w:bCs/>
          <w:sz w:val="24"/>
          <w:szCs w:val="24"/>
          <w:highlight w:val="none"/>
        </w:rPr>
      </w:pPr>
      <w:r>
        <w:rPr>
          <w:rFonts w:hint="eastAsia" w:ascii="仿宋_GB2312" w:eastAsia="仿宋_GB2312"/>
          <w:b/>
          <w:bCs/>
          <w:sz w:val="24"/>
          <w:szCs w:val="24"/>
          <w:highlight w:val="none"/>
        </w:rPr>
        <w:t>1.3</w:t>
      </w:r>
      <w:r>
        <w:rPr>
          <w:rFonts w:hint="eastAsia" w:ascii="仿宋_GB2312" w:eastAsia="仿宋_GB2312"/>
          <w:b/>
          <w:bCs/>
          <w:sz w:val="24"/>
          <w:szCs w:val="24"/>
          <w:highlight w:val="none"/>
          <w:lang w:val="en-US" w:eastAsia="zh-CN"/>
        </w:rPr>
        <w:t>养护服务</w:t>
      </w:r>
      <w:r>
        <w:rPr>
          <w:rFonts w:hint="eastAsia" w:ascii="仿宋_GB2312" w:eastAsia="仿宋_GB2312"/>
          <w:b/>
          <w:bCs/>
          <w:sz w:val="24"/>
          <w:szCs w:val="24"/>
          <w:highlight w:val="none"/>
        </w:rPr>
        <w:t>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1、水环境养护内容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 xml:space="preserve">1.1.水面无漂浮废弃物和动物尸体污染。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 xml:space="preserve">1.1.2.滩涂无沉积物污染。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 xml:space="preserve">1.1.3.除水生植物整治集中拦截、集中打捞作业区域外，其余水域的水面无条状、片状的水生植物污染。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1.3.1.1.4.保持水体及水面内外清洁，水质达到同期环保要求。要求及时清除杂物垃圾，保持水体水面清洁。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2、安保服务内容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.2.1.服务区域内绿地和水域的安全保护、安全巡查等全部工作，维护园区秩序，制止不文明行为，保证游客安全。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.2.2.做好防火、防盗、防治安全灾害事故等防范工作，发现隐患及时报告并协助处理。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.2.3汛期协助防汛管理。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.2.3.协助公安机关对园内发生的案件、违法事件进行现场保护，并及时向甲方及园区管理办公室报告，配合公安侦破案件。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.2.4.保证园内监控设施正常运行，存在安全隐患的位置安装警示标牌，执勤人员不无故缺岗。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.3、保洁服务内容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.3.1服务区域内绿地、园区道路、公厕、景观平台等清理与保洁工作。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.3.2.做到“六不”：不见积水、不见积土、不见杂物、不漏收堆、不乱倒垃圾和不见人畜粪。</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.3.3.做到“六净”：路面净、公厕净、设施净、雨水沟井净、墙根净、果皮箱净。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.3.4.垃圾分类：垃圾分类投放，结合人工分类的方法，对各类不同性质的垃圾进行分类处理，实施“三化”管理，即垃圾收集袋装化、垃圾回收资源化、垃圾处理无公害化。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.3.5.应急程序管理：积极检查园内各排水口情况，如有堵塞及时疏通。如有暴风雨雪天气、节假日活动、大型集会等特殊情况，需加大对园区各处的清理力度，做好所需工具和药剂的贮备工作。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.4、绿化养护服务内容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.4.1.植物养护：植物修剪、灌溉与排水、施肥、有害生物防治、松土除草、绿地防护及补植（主要因养护因素造成的苗木长势不良、死株等移除后的补栽工作）等日常养护全部工作。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.4.2.绿地管理：绿地、附属道路、景观平台等清理、绿地安全保护巡查等全部工作。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.4.3.甲方指定的苗木移栽、场地恢复等零星应急工程。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.4.4.养护面积核准、复测、资产盘点、台账管理等。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.5、设施设备维护服务内容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.5.1.设施设备维护人员恪守岗位职责，做好日常保养与计划性维修保养工作，使设施设备时刻处于良好状态。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.5.2.做到“三好”：用好、修好和管理好设备；“四会”：维修人员会使用、会保养、会检查、会排除故障；“五定”：对主要设备的清洁、润滑、检修做到定量、定人、定点、定时和定质。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.5.3.配备高素质的工程技术人员，提高设施设备管理效率。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.5.4.完善设施设备管理、定期检查和维修制度。制定科学的保养规程，完善设施设备资料和维修登记卡片管理，合理制定定期维修计划。建立健全设施设备档案资料和运行维护记录。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.5.5.制定设施设备应急处理预案，及时处理各类突发事件，有备无患。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.5.6.按时检查，及时发现设施设备隐患，减少、避免突发故障，定期组织技术人员对设施设备的综合检查。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eastAsia="仿宋_GB2312" w:cs="Times New Roman"/>
          <w:sz w:val="24"/>
          <w:szCs w:val="24"/>
          <w:highlight w:val="none"/>
          <w:lang w:val="en-US" w:eastAsia="zh-CN"/>
        </w:rPr>
        <w:t>1.3</w:t>
      </w:r>
      <w:r>
        <w:rPr>
          <w:rFonts w:hint="eastAsia" w:ascii="仿宋_GB2312" w:hAnsi="Times New Roman" w:eastAsia="仿宋_GB2312" w:cs="Times New Roman"/>
          <w:sz w:val="24"/>
          <w:szCs w:val="24"/>
          <w:highlight w:val="none"/>
          <w:lang w:val="en-US" w:eastAsia="zh-CN"/>
        </w:rPr>
        <w:t>.5.7.本项目全体员工包括管理人员、绿化工、保洁员和安保员在自己的工作中，随时观察设施设备一些异常情况，并及时反映，从而使设施设备得到及时的维修养护。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bCs/>
          <w:sz w:val="24"/>
          <w:szCs w:val="24"/>
          <w:highlight w:val="none"/>
          <w:lang w:val="en-US" w:eastAsia="zh-CN"/>
        </w:rPr>
      </w:pPr>
      <w:r>
        <w:rPr>
          <w:rFonts w:hint="eastAsia" w:ascii="仿宋_GB2312" w:eastAsia="仿宋_GB2312"/>
          <w:sz w:val="24"/>
          <w:szCs w:val="24"/>
          <w:highlight w:val="none"/>
          <w:lang w:val="en-US" w:eastAsia="zh-CN"/>
        </w:rPr>
        <w:t xml:space="preserve">   </w:t>
      </w:r>
      <w:r>
        <w:rPr>
          <w:rFonts w:hint="eastAsia" w:ascii="仿宋_GB2312" w:eastAsia="仿宋_GB2312"/>
          <w:b/>
          <w:bCs/>
          <w:sz w:val="24"/>
          <w:szCs w:val="24"/>
          <w:highlight w:val="none"/>
          <w:lang w:val="en-US" w:eastAsia="zh-CN"/>
        </w:rPr>
        <w:t>二、服务期限</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服务期限：自合同签订之日起三年，2023年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日至2023年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日止。</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合同一年一签；第一阶段：自合同签订之日起1年，后一阶段甲方根据乙方在上一阶段合同履约、考核情况及财政资金审批情况决定是否续签。若签订后一年的合同时，以前一年最后一期的设施量为基准，若有增减按中标综合单价按实结算。</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第一阶段：2023年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日至2023年</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月</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日止。</w:t>
      </w:r>
      <w:r>
        <w:rPr>
          <w:rFonts w:hint="eastAsia" w:ascii="仿宋" w:hAnsi="仿宋" w:eastAsia="仿宋" w:cs="Times New Roman"/>
          <w:sz w:val="24"/>
          <w:szCs w:val="24"/>
          <w:highlight w:val="none"/>
          <w:lang w:val="en-US" w:eastAsia="zh-CN"/>
        </w:rPr>
        <w:br w:type="textWrapping"/>
      </w:r>
      <w:r>
        <w:rPr>
          <w:rFonts w:hint="eastAsia" w:ascii="仿宋" w:hAnsi="仿宋" w:eastAsia="仿宋" w:cs="Times New Roman"/>
          <w:sz w:val="24"/>
          <w:szCs w:val="24"/>
          <w:highlight w:val="none"/>
          <w:lang w:val="en-US" w:eastAsia="zh-CN"/>
        </w:rPr>
        <w:t xml:space="preserve">    质保期:除日常养护之外的所有项目的质量保修期为12个月，自单个项目验收合格之日起开始计算。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三、全年养护管理服务费</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根据招投标文件，本项目养护项目合同</w:t>
      </w:r>
      <w:r>
        <w:rPr>
          <w:rFonts w:hint="eastAsia" w:ascii="仿宋" w:hAnsi="仿宋" w:eastAsia="仿宋"/>
          <w:sz w:val="24"/>
          <w:szCs w:val="24"/>
          <w:highlight w:val="none"/>
          <w:lang w:val="en-US" w:eastAsia="zh-CN"/>
        </w:rPr>
        <w:t>全费用综合单价</w:t>
      </w:r>
      <w:r>
        <w:rPr>
          <w:rFonts w:hint="eastAsia" w:ascii="仿宋" w:hAnsi="仿宋" w:eastAsia="仿宋" w:cs="Times New Roman"/>
          <w:sz w:val="24"/>
          <w:szCs w:val="24"/>
          <w:highlight w:val="none"/>
          <w:lang w:val="en-US" w:eastAsia="zh-CN"/>
        </w:rPr>
        <w:t>为二级养护区域：</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 m2·年。全年养护经费为</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元（其中包括暂列金</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元），本次承包期内养护经费总额为</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元（其中包括三年暂列金</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元）。</w:t>
      </w:r>
      <w:r>
        <w:rPr>
          <w:rFonts w:hint="eastAsia" w:ascii="仿宋" w:hAnsi="仿宋" w:eastAsia="仿宋"/>
          <w:color w:val="auto"/>
          <w:sz w:val="24"/>
          <w:szCs w:val="24"/>
          <w:highlight w:val="none"/>
          <w:lang w:val="en-US" w:eastAsia="zh-CN"/>
        </w:rPr>
        <w:t>应急类绿化移栽，零星工程等项目，参照秦汉新城财政金融部评审报告单价计量计费。</w:t>
      </w:r>
      <w:r>
        <w:rPr>
          <w:rFonts w:hint="eastAsia" w:ascii="仿宋" w:hAnsi="仿宋" w:eastAsia="仿宋" w:cs="Times New Roman"/>
          <w:sz w:val="24"/>
          <w:szCs w:val="24"/>
          <w:highlight w:val="none"/>
          <w:lang w:val="en-US" w:eastAsia="zh-CN"/>
        </w:rPr>
        <w:t>采用按季核拨的办法，每季第一个月为上季养护经费拨款日期，直至服务履行期限满为止。</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四、养护承包方式</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1.乙方在确定的范围内包工包料</w:t>
      </w:r>
      <w:r>
        <w:rPr>
          <w:rFonts w:hint="eastAsia" w:ascii="仿宋" w:hAnsi="仿宋" w:eastAsia="仿宋"/>
          <w:sz w:val="24"/>
          <w:szCs w:val="24"/>
          <w:highlight w:val="none"/>
          <w:lang w:val="en-US" w:eastAsia="zh-CN"/>
        </w:rPr>
        <w:t>,固定全费用综合单价。</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sz w:val="24"/>
          <w:szCs w:val="24"/>
          <w:highlight w:val="none"/>
          <w:lang w:val="en-US" w:eastAsia="zh-CN"/>
        </w:rPr>
      </w:pPr>
      <w:r>
        <w:rPr>
          <w:rFonts w:hint="eastAsia" w:ascii="仿宋" w:hAnsi="仿宋" w:eastAsia="仿宋"/>
          <w:sz w:val="24"/>
          <w:szCs w:val="24"/>
          <w:highlight w:val="none"/>
          <w:lang w:val="en-US" w:eastAsia="zh-CN"/>
        </w:rPr>
        <w:t xml:space="preserve">2. </w:t>
      </w:r>
      <w:r>
        <w:rPr>
          <w:rFonts w:hint="eastAsia" w:ascii="仿宋" w:hAnsi="仿宋" w:eastAsia="仿宋"/>
          <w:sz w:val="24"/>
          <w:szCs w:val="24"/>
          <w:highlight w:val="none"/>
        </w:rPr>
        <w:t>养护绿地面积及行道树数量</w:t>
      </w:r>
      <w:r>
        <w:rPr>
          <w:rFonts w:hint="eastAsia" w:ascii="仿宋" w:hAnsi="仿宋" w:eastAsia="仿宋"/>
          <w:sz w:val="24"/>
          <w:szCs w:val="24"/>
          <w:highlight w:val="none"/>
          <w:lang w:eastAsia="zh-CN"/>
        </w:rPr>
        <w:t>，</w:t>
      </w:r>
      <w:r>
        <w:rPr>
          <w:rFonts w:hint="eastAsia" w:ascii="仿宋" w:hAnsi="仿宋" w:eastAsia="仿宋"/>
          <w:color w:val="auto"/>
          <w:sz w:val="24"/>
          <w:szCs w:val="24"/>
          <w:highlight w:val="none"/>
        </w:rPr>
        <w:t>详见《绿化档案数据情况统计》。以上</w:t>
      </w:r>
      <w:r>
        <w:rPr>
          <w:rFonts w:hint="eastAsia" w:ascii="仿宋" w:hAnsi="仿宋" w:eastAsia="仿宋"/>
          <w:sz w:val="24"/>
          <w:szCs w:val="24"/>
          <w:highlight w:val="none"/>
        </w:rPr>
        <w:t>数量在合同期间会因新接管建成绿地或占道开挖绿地发生增减变化</w:t>
      </w:r>
      <w:r>
        <w:rPr>
          <w:rFonts w:hint="eastAsia" w:ascii="仿宋" w:hAnsi="仿宋" w:eastAsia="仿宋"/>
          <w:sz w:val="24"/>
          <w:szCs w:val="24"/>
          <w:highlight w:val="none"/>
          <w:lang w:eastAsia="zh-CN"/>
        </w:rPr>
        <w:t>，同时根据道路交付情况以实际交付日期及清点面积</w:t>
      </w:r>
      <w:r>
        <w:rPr>
          <w:rFonts w:hint="eastAsia" w:ascii="仿宋" w:hAnsi="仿宋" w:eastAsia="仿宋"/>
          <w:sz w:val="24"/>
          <w:szCs w:val="24"/>
          <w:highlight w:val="none"/>
          <w:lang w:val="en-US" w:eastAsia="zh-CN"/>
        </w:rPr>
        <w:t>及数量</w:t>
      </w:r>
      <w:r>
        <w:rPr>
          <w:rFonts w:hint="eastAsia" w:ascii="仿宋" w:hAnsi="仿宋" w:eastAsia="仿宋"/>
          <w:sz w:val="24"/>
          <w:szCs w:val="24"/>
          <w:highlight w:val="none"/>
          <w:lang w:eastAsia="zh-CN"/>
        </w:rPr>
        <w:t>计算养护期及养护费用。</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乙方应当按照本合同约定完成养护任务，不得向他人转包或分包，一经发现，甲方有权立即终止本合同。乙方因设备或技术等原因无法实施的部分工作，在报请甲方同意后，委托他人实施的，乙方对分包人的所有行为负全责。由上述原因终止合同而产生的法律责任和经济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4.养护所需一般材料、成品、设备等，均由乙方自行解决，必须符合有关养护及施工技术规程、规范要求，但特殊材料及新工艺、新材料需报甲方认可。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5.除日常养护之外的其他绿化项目部分。</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5.1工期：以甲方通知的开工、竣工时间为准。</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5.2 主材单价附表。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Times New Roman" w:eastAsia="仿宋_GB2312" w:cs="Times New Roman"/>
          <w:b/>
          <w:bCs/>
          <w:sz w:val="24"/>
          <w:szCs w:val="24"/>
          <w:highlight w:val="none"/>
          <w:lang w:val="en-US" w:eastAsia="zh-CN"/>
        </w:rPr>
      </w:pPr>
      <w:r>
        <w:rPr>
          <w:rFonts w:hint="eastAsia" w:ascii="仿宋_GB2312" w:hAnsi="Times New Roman" w:eastAsia="仿宋_GB2312" w:cs="Times New Roman"/>
          <w:b/>
          <w:bCs/>
          <w:sz w:val="24"/>
          <w:szCs w:val="24"/>
          <w:highlight w:val="none"/>
          <w:lang w:val="en-US" w:eastAsia="zh-CN"/>
        </w:rPr>
        <w:t>五、养护等级要求：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_GB2312" w:eastAsia="仿宋_GB2312"/>
          <w:color w:val="000000"/>
          <w:sz w:val="24"/>
          <w:szCs w:val="24"/>
          <w:highlight w:val="none"/>
        </w:rPr>
        <w:t xml:space="preserve"> </w:t>
      </w:r>
      <w:r>
        <w:rPr>
          <w:rFonts w:hint="eastAsia" w:ascii="仿宋" w:hAnsi="仿宋" w:eastAsia="仿宋"/>
          <w:sz w:val="24"/>
          <w:szCs w:val="24"/>
          <w:highlight w:val="none"/>
          <w:u w:val="single"/>
          <w:lang w:eastAsia="zh-CN"/>
        </w:rPr>
        <w:t>一</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一</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rPr>
        <w:t xml:space="preserve"> </w:t>
      </w:r>
      <w:r>
        <w:rPr>
          <w:rFonts w:hint="eastAsia" w:ascii="仿宋_GB2312" w:eastAsia="仿宋_GB2312"/>
          <w:color w:val="000000"/>
          <w:sz w:val="24"/>
          <w:szCs w:val="24"/>
          <w:highlight w:val="none"/>
          <w:u w:val="single"/>
          <w:lang w:val="en-US" w:eastAsia="zh-CN"/>
        </w:rPr>
        <w:t>二</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二</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rPr>
        <w:t xml:space="preserve"> </w:t>
      </w:r>
      <w:r>
        <w:rPr>
          <w:rFonts w:hint="eastAsia" w:ascii="仿宋_GB2312" w:eastAsia="仿宋_GB2312"/>
          <w:color w:val="000000"/>
          <w:sz w:val="24"/>
          <w:szCs w:val="24"/>
          <w:highlight w:val="none"/>
          <w:u w:val="single"/>
          <w:lang w:val="en-US" w:eastAsia="zh-CN"/>
        </w:rPr>
        <w:t>三</w:t>
      </w:r>
      <w:r>
        <w:rPr>
          <w:rFonts w:hint="eastAsia" w:ascii="仿宋" w:hAnsi="仿宋" w:eastAsia="仿宋"/>
          <w:sz w:val="24"/>
          <w:szCs w:val="24"/>
          <w:highlight w:val="none"/>
          <w:lang w:eastAsia="zh-CN"/>
        </w:rPr>
        <w:t>级道路</w:t>
      </w:r>
      <w:r>
        <w:rPr>
          <w:rFonts w:hint="eastAsia" w:ascii="仿宋_GB2312" w:eastAsia="仿宋_GB2312"/>
          <w:color w:val="000000"/>
          <w:sz w:val="24"/>
          <w:szCs w:val="24"/>
          <w:highlight w:val="none"/>
        </w:rPr>
        <w:t>达到城市园林绿化养护标准</w:t>
      </w:r>
      <w:r>
        <w:rPr>
          <w:rFonts w:hint="eastAsia" w:ascii="仿宋_GB2312" w:eastAsia="仿宋_GB2312"/>
          <w:color w:val="000000"/>
          <w:sz w:val="24"/>
          <w:szCs w:val="24"/>
          <w:highlight w:val="none"/>
          <w:u w:val="single"/>
          <w:lang w:val="en-US" w:eastAsia="zh-CN"/>
        </w:rPr>
        <w:t>三</w:t>
      </w:r>
      <w:r>
        <w:rPr>
          <w:rFonts w:hint="eastAsia" w:ascii="仿宋_GB2312" w:eastAsia="仿宋_GB2312"/>
          <w:color w:val="000000"/>
          <w:sz w:val="24"/>
          <w:szCs w:val="24"/>
          <w:highlight w:val="none"/>
        </w:rPr>
        <w:t>级标准</w:t>
      </w:r>
      <w:r>
        <w:rPr>
          <w:rFonts w:hint="eastAsia" w:ascii="仿宋_GB2312" w:eastAsia="仿宋_GB2312"/>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六、组成合同的文件: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1、在实施过程中双方共同签署的补充与修正文件、附加协议。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2、本合同协议书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3、中标通知书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4、投标书、报价单或预算书及其附件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5、招标文件、答疑纪要及工程量清单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6、标准、规范及有关技术文件双方为履行本合同的有关治商、变更等书面协议、文件，视为本合同的组成部分。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六、管理标准及考核标准：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6.1日常养护部分：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_GB2312" w:eastAsia="仿宋_GB2312"/>
          <w:sz w:val="24"/>
          <w:szCs w:val="24"/>
          <w:highlight w:val="none"/>
          <w:lang w:val="en-US" w:eastAsia="zh-CN"/>
        </w:rPr>
        <w:t>6.1.1</w:t>
      </w:r>
      <w:r>
        <w:rPr>
          <w:rFonts w:hint="eastAsia" w:ascii="仿宋" w:hAnsi="仿宋" w:eastAsia="仿宋"/>
          <w:sz w:val="24"/>
          <w:szCs w:val="24"/>
          <w:highlight w:val="none"/>
        </w:rPr>
        <w:t>人员机构配置：实行项目经理负责制。项目部设经理1名，技术人员、班长若干。养护人员按照</w:t>
      </w:r>
      <w:r>
        <w:rPr>
          <w:rFonts w:hint="eastAsia" w:ascii="仿宋" w:hAnsi="仿宋" w:eastAsia="仿宋"/>
          <w:sz w:val="24"/>
          <w:szCs w:val="24"/>
          <w:highlight w:val="none"/>
          <w:lang w:val="en-US" w:eastAsia="zh-CN"/>
        </w:rPr>
        <w:t>养护等级</w:t>
      </w:r>
      <w:r>
        <w:rPr>
          <w:rFonts w:hint="eastAsia" w:ascii="仿宋" w:hAnsi="仿宋" w:eastAsia="仿宋"/>
          <w:sz w:val="24"/>
          <w:szCs w:val="24"/>
          <w:highlight w:val="none"/>
        </w:rPr>
        <w:t>标准配备，人员编制应占到全部员工的80%以上。详见附件四《项目部人员构成情况》。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6.1.2</w:t>
      </w:r>
      <w:r>
        <w:rPr>
          <w:rFonts w:hint="eastAsia" w:ascii="仿宋" w:hAnsi="仿宋" w:eastAsia="仿宋"/>
          <w:sz w:val="24"/>
          <w:szCs w:val="24"/>
          <w:highlight w:val="none"/>
        </w:rPr>
        <w:t>管护机具设备配置：乙方自备绿化机具、工具，配置合理，及时到位，能满足日常养护，要求</w:t>
      </w:r>
      <w:r>
        <w:rPr>
          <w:rFonts w:hint="eastAsia" w:ascii="仿宋" w:hAnsi="仿宋" w:eastAsia="仿宋"/>
          <w:sz w:val="24"/>
          <w:szCs w:val="24"/>
          <w:highlight w:val="none"/>
          <w:lang w:val="en-US" w:eastAsia="zh-CN"/>
        </w:rPr>
        <w:t>现场情况</w:t>
      </w:r>
      <w:r>
        <w:rPr>
          <w:rFonts w:hint="eastAsia" w:ascii="仿宋" w:hAnsi="仿宋" w:eastAsia="仿宋"/>
          <w:sz w:val="24"/>
          <w:szCs w:val="24"/>
          <w:highlight w:val="none"/>
        </w:rPr>
        <w:t>配备1辆水车。详见附件五《拟投入使用的机械设备清单》）。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6.1.3</w:t>
      </w:r>
      <w:r>
        <w:rPr>
          <w:rFonts w:hint="eastAsia" w:ascii="仿宋" w:hAnsi="仿宋" w:eastAsia="仿宋"/>
          <w:sz w:val="24"/>
          <w:szCs w:val="24"/>
          <w:highlight w:val="none"/>
        </w:rPr>
        <w:t>工作计划：按照甲方的统一安排，乙方自行制定年度、月计划和总结，每周报送养护工作动态及相关情况，养护期满后15日内向甲方提交年度工作总结。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6.1.4日常绿化养护质量，符合</w:t>
      </w:r>
      <w:r>
        <w:rPr>
          <w:rFonts w:hint="eastAsia" w:ascii="仿宋" w:hAnsi="仿宋" w:eastAsia="仿宋"/>
          <w:color w:val="auto"/>
          <w:sz w:val="24"/>
          <w:szCs w:val="24"/>
          <w:highlight w:val="none"/>
          <w:lang w:val="en-US" w:eastAsia="zh-CN"/>
        </w:rPr>
        <w:t>《园林绿化管理标准》（CJJ/T287-2018）、</w:t>
      </w:r>
      <w:r>
        <w:rPr>
          <w:rFonts w:hint="eastAsia" w:ascii="仿宋" w:hAnsi="仿宋" w:eastAsia="仿宋"/>
          <w:sz w:val="24"/>
          <w:szCs w:val="24"/>
          <w:highlight w:val="none"/>
          <w:lang w:val="en-US" w:eastAsia="zh-CN"/>
        </w:rPr>
        <w:t>《城市绿化工程施工及验收规范》(CJ82-2012 )及其他国家、省市规范标准要求。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必须达到《西安市绿化养护管理标准》、《秦汉新城绿化养护等级标准及作业要求》、《秦汉新城绿化养护管理考核办法》等规定的要求。对养护质量有特殊要求时，双方可以另行约定。（详见附件）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6.2 临时（应急）绿化项目部分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eastAsia="仿宋_GB2312"/>
          <w:sz w:val="24"/>
          <w:szCs w:val="24"/>
          <w:highlight w:val="none"/>
          <w:lang w:val="en-US" w:eastAsia="zh-CN"/>
        </w:rPr>
      </w:pPr>
      <w:r>
        <w:rPr>
          <w:rFonts w:hint="eastAsia" w:ascii="仿宋" w:hAnsi="仿宋" w:eastAsia="仿宋" w:cs="仿宋"/>
          <w:sz w:val="24"/>
          <w:szCs w:val="24"/>
          <w:highlight w:val="none"/>
        </w:rPr>
        <w:t>施工质量达到CJJ/T82-2012《城市绿化工程施工及验收规范》中规定的合格标</w:t>
      </w:r>
      <w:r>
        <w:rPr>
          <w:rFonts w:hint="eastAsia" w:ascii="仿宋_GB2312" w:eastAsia="仿宋_GB2312"/>
          <w:sz w:val="24"/>
          <w:szCs w:val="24"/>
          <w:highlight w:val="none"/>
          <w:lang w:val="en-US" w:eastAsia="zh-CN"/>
        </w:rPr>
        <w:t>准及国家、省市规范标准要求。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6.3养护考核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6.3.1乙方应认真按照园林绿化行业的标准、规范、本合同的要求以及甲方代表人依据本合同发出的指合进行养护，随时接受甲方的检查和考核，为检查、 考核提供便利条件。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6.3.3检查和考核的时间、标准、奖惩措施, 双方约定如下:按照甲方养护考核、巡查规定及其他相关管理规定执行。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6.3.4因养护不当</w:t>
      </w:r>
      <w:r>
        <w:rPr>
          <w:rFonts w:hint="eastAsia" w:ascii="仿宋" w:hAnsi="仿宋" w:eastAsia="仿宋"/>
          <w:color w:val="auto"/>
          <w:sz w:val="24"/>
          <w:szCs w:val="24"/>
          <w:highlight w:val="none"/>
          <w:lang w:val="en-US" w:eastAsia="zh-CN"/>
        </w:rPr>
        <w:t>、失养或失管</w:t>
      </w:r>
      <w:r>
        <w:rPr>
          <w:rFonts w:hint="eastAsia" w:ascii="仿宋" w:hAnsi="仿宋" w:eastAsia="仿宋"/>
          <w:sz w:val="24"/>
          <w:szCs w:val="24"/>
          <w:highlight w:val="none"/>
          <w:lang w:val="en-US" w:eastAsia="zh-CN"/>
        </w:rPr>
        <w:t>造成的绿化树木</w:t>
      </w:r>
      <w:r>
        <w:rPr>
          <w:rFonts w:hint="eastAsia" w:ascii="仿宋" w:hAnsi="仿宋" w:eastAsia="仿宋"/>
          <w:color w:val="auto"/>
          <w:sz w:val="24"/>
          <w:szCs w:val="24"/>
          <w:highlight w:val="none"/>
          <w:lang w:val="en-US" w:eastAsia="zh-CN"/>
        </w:rPr>
        <w:t>、地被植物</w:t>
      </w:r>
      <w:r>
        <w:rPr>
          <w:rFonts w:hint="eastAsia" w:ascii="仿宋" w:hAnsi="仿宋" w:eastAsia="仿宋"/>
          <w:sz w:val="24"/>
          <w:szCs w:val="24"/>
          <w:highlight w:val="none"/>
          <w:lang w:val="en-US" w:eastAsia="zh-CN"/>
        </w:rPr>
        <w:t>、花卉</w:t>
      </w:r>
      <w:r>
        <w:rPr>
          <w:rFonts w:hint="eastAsia" w:ascii="仿宋" w:hAnsi="仿宋" w:eastAsia="仿宋"/>
          <w:color w:val="auto"/>
          <w:sz w:val="24"/>
          <w:szCs w:val="24"/>
          <w:highlight w:val="none"/>
          <w:lang w:val="en-US" w:eastAsia="zh-CN"/>
        </w:rPr>
        <w:t>枯萎</w:t>
      </w:r>
      <w:r>
        <w:rPr>
          <w:rFonts w:hint="eastAsia" w:ascii="仿宋" w:hAnsi="仿宋" w:eastAsia="仿宋"/>
          <w:sz w:val="24"/>
          <w:szCs w:val="24"/>
          <w:highlight w:val="none"/>
          <w:lang w:val="en-US" w:eastAsia="zh-CN"/>
        </w:rPr>
        <w:t>死亡或损坏</w:t>
      </w:r>
      <w:r>
        <w:rPr>
          <w:rFonts w:hint="eastAsia" w:ascii="仿宋" w:hAnsi="仿宋" w:eastAsia="仿宋"/>
          <w:color w:val="auto"/>
          <w:sz w:val="24"/>
          <w:szCs w:val="24"/>
          <w:highlight w:val="none"/>
          <w:lang w:val="en-US" w:eastAsia="zh-CN"/>
        </w:rPr>
        <w:t>等</w:t>
      </w:r>
      <w:r>
        <w:rPr>
          <w:rFonts w:hint="eastAsia" w:ascii="仿宋" w:hAnsi="仿宋" w:eastAsia="仿宋"/>
          <w:sz w:val="24"/>
          <w:szCs w:val="24"/>
          <w:highlight w:val="none"/>
          <w:lang w:val="en-US" w:eastAsia="zh-CN"/>
        </w:rPr>
        <w:t>由乙方无偿补种修复。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七、双方一般权利和义务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7.1甲方的权利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7.1.1甲方任命</w:t>
      </w:r>
      <w:r>
        <w:rPr>
          <w:rFonts w:hint="eastAsia" w:ascii="仿宋" w:hAnsi="仿宋" w:eastAsia="仿宋" w:cs="Times New Roman"/>
          <w:sz w:val="24"/>
          <w:szCs w:val="24"/>
          <w:highlight w:val="none"/>
          <w:u w:val="single"/>
          <w:lang w:val="en-US" w:eastAsia="zh-CN"/>
        </w:rPr>
        <w:t xml:space="preserve">       </w:t>
      </w:r>
      <w:r>
        <w:rPr>
          <w:rFonts w:hint="eastAsia" w:ascii="仿宋" w:hAnsi="仿宋" w:eastAsia="仿宋" w:cs="Times New Roman"/>
          <w:sz w:val="24"/>
          <w:szCs w:val="24"/>
          <w:highlight w:val="none"/>
          <w:lang w:val="en-US" w:eastAsia="zh-CN"/>
        </w:rPr>
        <w:t>为甲方代表，乙方对甲方代表的指令应予执行。乙方认为甲方代表指令不合理。应在收到指令后48小时内向甲方代表提出修改指令的书面报告，甲方代表在收到乙方报告后48 小时内作出修改指令或继续执行原指令的决定，并以书面形式通知乙方，乙方应予执行。因指令错误发生的追加合同价款和给乙方造成的损失由甲方承担。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7.1.2对乙方日常养护的质量、安全工作及资料台帐进行定期或不定期的检查，并对绿化养护情况进行季度考核；发现乙方未按合同要求进行养护时，可以要求乙方限期整改。多次整改不达标的，甲方有权解除养护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7.1.3审阅乙方的年度和月度养护计划，检查养护计划执行情况；审定乙方上报的季度养护费；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lang w:val="en-US" w:eastAsia="zh-CN"/>
        </w:rPr>
      </w:pPr>
      <w:r>
        <w:rPr>
          <w:rFonts w:hint="eastAsia" w:ascii="仿宋" w:hAnsi="仿宋" w:eastAsia="仿宋" w:cs="Times New Roman"/>
          <w:sz w:val="24"/>
          <w:szCs w:val="24"/>
          <w:highlight w:val="none"/>
          <w:lang w:val="en-US" w:eastAsia="zh-CN"/>
        </w:rPr>
        <w:t>7.1.4向乙方提供有关绿化养护所需的资料和考核办法，下发各类报表样式，指导乙方健全内业资料。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7.1.5做好养护工作中涉及其他单位的协调工作。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7.2甲方的义务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7.2.1将养护工程区域内的树木、草坪、花卉、绿篱、水生植物、水体、园林设施及其它需要养护的设施，列明范围、清单、</w:t>
      </w:r>
      <w:r>
        <w:rPr>
          <w:rFonts w:hint="eastAsia" w:ascii="仿宋" w:hAnsi="仿宋" w:eastAsia="仿宋"/>
          <w:color w:val="auto"/>
          <w:sz w:val="24"/>
          <w:szCs w:val="24"/>
          <w:highlight w:val="none"/>
          <w:lang w:val="en-US" w:eastAsia="zh-CN"/>
        </w:rPr>
        <w:t>图片或影像资料</w:t>
      </w:r>
      <w:r>
        <w:rPr>
          <w:rFonts w:hint="eastAsia" w:ascii="仿宋" w:hAnsi="仿宋" w:eastAsia="仿宋"/>
          <w:sz w:val="24"/>
          <w:szCs w:val="24"/>
          <w:highlight w:val="none"/>
          <w:lang w:val="en-US" w:eastAsia="zh-CN"/>
        </w:rPr>
        <w:t>，双方进行现场确认。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7.2.2协助乙方解决养护所需用水、用电的接驳点，保证养护期间的需要。除双方另有约定外，购买及安装计量表具的费用由甲方承担， 养护期间的水、电使用费用由乙方承担(景观水体养护所发生的水电费用，由双方另行协商确定)。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7.2.3组织召开养护作业要求交底会。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7.2.4在乙方开展养护工作时，协调乙方与政府部门、相关单位和人员的</w:t>
      </w:r>
      <w:r>
        <w:rPr>
          <w:rFonts w:hint="eastAsia" w:ascii="仿宋" w:hAnsi="仿宋" w:eastAsia="仿宋"/>
          <w:color w:val="auto"/>
          <w:sz w:val="24"/>
          <w:szCs w:val="24"/>
          <w:highlight w:val="none"/>
          <w:lang w:val="en-US" w:eastAsia="zh-CN"/>
        </w:rPr>
        <w:t>联</w:t>
      </w:r>
      <w:r>
        <w:rPr>
          <w:rFonts w:hint="eastAsia" w:ascii="仿宋" w:hAnsi="仿宋" w:eastAsia="仿宋"/>
          <w:sz w:val="24"/>
          <w:szCs w:val="24"/>
          <w:highlight w:val="none"/>
          <w:lang w:val="en-US" w:eastAsia="zh-CN"/>
        </w:rPr>
        <w:t>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7.2.5按照本合同约定，检查、考核乙方的工作。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sz w:val="24"/>
          <w:szCs w:val="24"/>
          <w:highlight w:val="none"/>
          <w:lang w:val="en-US" w:eastAsia="zh-CN"/>
        </w:rPr>
        <w:t>7.2.6按合同约定向乙方 支付养护费用。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7.3乙方</w:t>
      </w:r>
      <w:r>
        <w:rPr>
          <w:rFonts w:hint="eastAsia" w:ascii="仿宋" w:hAnsi="仿宋" w:eastAsia="仿宋" w:cs="Times New Roman"/>
          <w:sz w:val="24"/>
          <w:szCs w:val="24"/>
          <w:highlight w:val="none"/>
          <w:lang w:val="en-US" w:eastAsia="zh-CN"/>
        </w:rPr>
        <w:t>的权利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7.3.1乙方任命</w:t>
      </w:r>
      <w:r>
        <w:rPr>
          <w:rFonts w:hint="eastAsia" w:ascii="黑体" w:hAnsi="黑体" w:eastAsia="黑体" w:cs="黑体"/>
          <w:b/>
          <w:bCs/>
          <w:color w:val="auto"/>
          <w:sz w:val="24"/>
          <w:szCs w:val="24"/>
          <w:highlight w:val="none"/>
          <w:u w:val="single"/>
          <w:lang w:val="en-US" w:eastAsia="zh-CN"/>
        </w:rPr>
        <w:t xml:space="preserve">      </w:t>
      </w:r>
      <w:r>
        <w:rPr>
          <w:rFonts w:hint="eastAsia" w:ascii="仿宋" w:hAnsi="仿宋" w:eastAsia="仿宋"/>
          <w:sz w:val="24"/>
          <w:szCs w:val="24"/>
          <w:highlight w:val="none"/>
          <w:lang w:val="en-US" w:eastAsia="zh-CN"/>
        </w:rPr>
        <w:t>为乙方代表 ，代表乙方履行本合同义务。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7.3.2乙方依据合同发出的通知，以书面形式由乙方代表签字后送交甲方代表，甲方代表在回执上签署姓名和收到时间后生效。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7.3.3乙方代表按照本合同的约定或甲方代表依据合同发出的指令组织养护工作。在情况紧急且无法与甲方代表联系时，乙方代表应当采取保证人员生命、财产安全的紧急措施并在采取措施后</w:t>
      </w:r>
      <w:r>
        <w:rPr>
          <w:rFonts w:hint="eastAsia" w:ascii="仿宋" w:hAnsi="仿宋" w:eastAsia="仿宋"/>
          <w:sz w:val="24"/>
          <w:szCs w:val="24"/>
          <w:highlight w:val="none"/>
          <w:u w:val="single" w:color="auto"/>
          <w:lang w:val="en-US" w:eastAsia="zh-CN"/>
        </w:rPr>
        <w:t>48</w:t>
      </w:r>
      <w:r>
        <w:rPr>
          <w:rFonts w:hint="eastAsia" w:ascii="仿宋" w:hAnsi="仿宋" w:eastAsia="仿宋"/>
          <w:sz w:val="24"/>
          <w:szCs w:val="24"/>
          <w:highlight w:val="none"/>
          <w:lang w:val="en-US" w:eastAsia="zh-CN"/>
        </w:rPr>
        <w:t>小时内向甲方代表提交报告。责任在甲方的，由甲方承担由此发生的追加合同价款;责任在乙方的，由乙方承担费用, 并赔偿甲方损失。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7.4.乙方义务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7.4.1由乙方承包养护的本合同养护项目应达到规定绿地养护标准。承包养护期限内，乙方应按照园林绿化养护操作规程及园林绿化养护质量标准，合理组织，精心养护，保质、保量完成养护管理任务。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7.4.2对本合同养护项目实施养护管理所需的一切劳动力、材料、设备和服务由乙方自行组织，由此产生的一切费用由乙方承担。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7.4.3承包期限内，合同养护项目设施量发生减少及毁损的，乙方应予及时补齐或修复，并自行承担所需费用。合同期限届满时，乙方应保证本合同养护项目设施量无减少、无毁损。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7.4.4乙方有责任发现并及时制止合同范围内绿化遭损坏或侵害，做好报告、调查、修复等工作，并通知甲方和相关执法部门。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7.4.5及时处理12345、数字城管及甲方要求整改事项的交办事项，保证办结率和回复率达到100%，满意率98%以上。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7.4.6建立养护档案，健全日常养护、巡查等作业的文字和影像记录，做好台帐的整理和归档工作，建立养护活动的“追溯机制”，以备检查。每年底对日常养护、特殊情况、突发事件、服务保障、更新改造、应急抢险等工作进行总结，形成年度养护报告并存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7.4.7在实施和完成本合同的养护作业过程中，遵守国家、省、市颁布的法律、法令、条例以及有关规定，遵守有关部门的规章细则等，养护操作中涉及的有关审批及协调手续由乙方办理，由于乙方违反上述有关规定而导致各种罚款和责任，由乙方自行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7.4.8根据本合同约定，在合同签订后3天内，制定该区域养护期内年度绿化养护管理方案,报请甲方代表审核批准，作为实施依据。甲方代表收到乙方方案后，应于7天内予以确认或提出修改意见，逾期不确认也不提出修改意见的，视为同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7.4.9建立完善的养护机构，制定养护岗位职责以及各岗位规范、操作规程、养护制度(包括节假日值班制度、应急抢险工作制度、定期职业技能培训制度、技术比武及观摩学习制度)。根据合同约定，配备技术管理人员和养护操作人员，并将岗位规范、操作规程、管理制度及工作人员的名单提交甲方审批备案。养护期间应保证与养护设施相匹配的机具设备，不得另作他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7.3.10乙方如需要更换乙方代表，应至少提前7天以书面形式征得甲方同意后任乙方代表继续行使合同约定的职权和义务。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7.2.11乙方代表不称职时，甲方可以要求撤换;收到甲方要求撤换乙方代表的通知时，乙方须按甲方要求 ，另行选择以称职人员替代。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7.4.12根据季节、气候、土壤、植物的生长习性和生长阶段及养护场地的具体情况合理安排、开展养护工作， 根据甲方要求及时做好养护区域的局部调整， 保证绿化观赏的整体性，并向甲方提供年、 季、月度养护管理方案。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7.4.13负责区域内各类植物养护及日常巡视检查，要求配备专职巡查员每天对养护区域进行巡查，如发现各类苗木、设施有被损、被盗等情况时，应及时向甲方汇报后立即进行补缺、恢复。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7.4.14开展养护工作时,严格遵守政府和有关主管部门对噪音污染、环境保护和安全生产等的管理规定，文明施工;对外开放的养护区域，处理好养护工作与路人的关系。绿化垃圾须堆放于甲方指定位置，除双方另有约定外，垃圾由乙方负责清理外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7.4.15养护期间，做好养护范围内的地下管线和现有建筑物、构筑物的保护工作。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7.4.16接受甲方的管理、监督、检查和考核，对甲方发出的整改通知，及时按要求进行整改。乙方整改达不到要求或无正当理由拒绝整改时，甲方可以另行委托他人予以整改，所发生的费用由乙方承担。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7.4.17负责维护管理进程中的-切安全责任，包括但不限于工伤事故及工作人员的作业或非作业性的人身安全第三方的人身损害等责任;负责维护管理过程中因自身原因造成的一切人身财产损失。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7.4.18乙方必须按时发工资，聘用人员工资待遇不能低于当地政府的最低工资待遇标准(社会保险和意外保险另算) , 任何劳资纠纷全由乙方负责。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7.4.19乙方必须按法律、法规及有关政策规定为其服务人员购买社会保险、意外保险等相关保险。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7.4.20乙方必须执行国家劳动法的相关规定，落实好安全生产的措施和配置安全作业的劳保用品，且服务人员数量必须满足采购人的实际工作要求,且穿着统-标识的工作服。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7.4.21建立和健全养护管理档案，对养护管理工作中采集的各种信息、资料及时做好分析整理和归档保存工作，并报送甲方备案。养护管理期满后十个工作日内,将养护管理的所有档案资料及养护范围内的各类植物、设施完好地移交给甲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7.4.22当自身管理或改造任务达不到要求时，无条件服从甲方的批评、罚款、暂停计量支付、调整养护范围、暂停养护施工直至解除合同等处罚。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7.4.23遇到应急、抢险及其他特殊情况时;乙方无条件服从甲方工作调整安排。乙方必须配合甲方参加市、区布置的各重大节庆和重大活动的临时布置任务。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highlight w:val="none"/>
          <w:lang w:val="en-US" w:eastAsia="zh-CN"/>
        </w:rPr>
      </w:pPr>
      <w:r>
        <w:rPr>
          <w:rFonts w:hint="eastAsia" w:ascii="仿宋" w:hAnsi="仿宋" w:eastAsia="仿宋" w:cs="Times New Roman"/>
          <w:sz w:val="24"/>
          <w:szCs w:val="24"/>
          <w:highlight w:val="none"/>
          <w:lang w:val="en-US" w:eastAsia="zh-CN"/>
        </w:rPr>
        <w:t>7.4.24对本合同养护项目实施养护管理所需的养护管理房由乙方自行解决，乙方应在合同签订前确定好具体的办公地点、库房、员工休息区域，做好相应区域管理规范。在合同签订时告知甲方，便于养护开始后甲方开展检查工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八、养护计划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8.1乙方必须按甲方代表确认的养护管理方案和养护计划组织养护，接受甲方代表对养护计划的检查、监督和考核。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8.2.涉及重大活动或其他原因,甲方代表认为确有必要暂停养护工作计划时,应当以书面形式要求乙方养护人员调整养护时间或更改养护措施，乙方应遵从甲方要求，因该项调整导致的费用增减双方按照本合同约定据实结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九、考核及支付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9.1考核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9.1.1考核办法。甲方每月采取定期普查与随机抽查相结合办法对乙方养护质量进行考核验收。考核验收按照按照招标文件、投标文件、养护合同中的相关标准和要求，以及《秦汉新城绿化养护考核办法》执行，由招标人组织相关部门进行考评，评分结果作为养护费发放的依据。合同期限内考核办法若有修改，则以新考核办法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9.1.2甲方在每月</w:t>
      </w:r>
      <w:r>
        <w:rPr>
          <w:rFonts w:hint="eastAsia" w:ascii="仿宋" w:hAnsi="仿宋" w:eastAsia="仿宋" w:cs="Times New Roman"/>
          <w:sz w:val="24"/>
          <w:szCs w:val="24"/>
          <w:highlight w:val="none"/>
          <w:lang w:val="zh-CN" w:eastAsia="zh-CN"/>
        </w:rPr>
        <w:t>考核的基础上对乙方养护质量开展全方位监管，遇重大活动、节假日，或上级布置各项重大任务时，根据保障要求开展有针对性的重点督查，对考核中存在的问题采取直接</w:t>
      </w:r>
      <w:r>
        <w:rPr>
          <w:rFonts w:hint="eastAsia" w:ascii="仿宋" w:hAnsi="仿宋" w:eastAsia="仿宋" w:cs="Times New Roman"/>
          <w:sz w:val="24"/>
          <w:szCs w:val="24"/>
          <w:highlight w:val="none"/>
          <w:lang w:val="en-US" w:eastAsia="zh-CN"/>
        </w:rPr>
        <w:t>扣分或</w:t>
      </w:r>
      <w:r>
        <w:rPr>
          <w:rFonts w:hint="eastAsia" w:ascii="仿宋" w:hAnsi="仿宋" w:eastAsia="仿宋" w:cs="Times New Roman"/>
          <w:sz w:val="24"/>
          <w:szCs w:val="24"/>
          <w:highlight w:val="none"/>
          <w:lang w:val="zh-CN" w:eastAsia="zh-CN"/>
        </w:rPr>
        <w:t>扣款形式，在季度拨款中予以扣除。</w:t>
      </w:r>
    </w:p>
    <w:p>
      <w:pPr>
        <w:pStyle w:val="83"/>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9.2合同价款支付</w:t>
      </w:r>
    </w:p>
    <w:p>
      <w:pPr>
        <w:pStyle w:val="83"/>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9.2.1由考核验收结果引起的经济扣罚直接在当季度核拨的养护经费中扣除。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9.2.2日常养护经费分为基础养护费和考核绩效费两部分，其中基础养护费为养护费50%，考核绩效费为养护费用的50%。</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Times New Roman"/>
          <w:b/>
          <w:bCs/>
          <w:kern w:val="2"/>
          <w:sz w:val="24"/>
          <w:szCs w:val="24"/>
          <w:highlight w:val="none"/>
          <w:lang w:val="en-US" w:eastAsia="zh-CN" w:bidi="ar-SA"/>
        </w:rPr>
      </w:pPr>
      <w:r>
        <w:rPr>
          <w:rFonts w:hint="eastAsia" w:ascii="仿宋" w:hAnsi="仿宋" w:eastAsia="仿宋" w:cs="Times New Roman"/>
          <w:b/>
          <w:bCs/>
          <w:kern w:val="2"/>
          <w:sz w:val="24"/>
          <w:szCs w:val="24"/>
          <w:highlight w:val="none"/>
          <w:lang w:val="en-US" w:eastAsia="zh-CN" w:bidi="ar-SA"/>
        </w:rPr>
        <w:t>甲方每月对乙方的养护工作进行考核，根据考核结果按月核算养护经费按季度进行核拨。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考核结果与每月养护经费拨付额挂钩：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（1）月考核总分在95分（含）以上的为优秀，全额拨付月基础养护费和月考核绩效费。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（2）94-90分（含）为良好，90分（含）以上全额拨付月基础养护费和50%的月考核绩效费，每增加1分奖月考核绩效费的10%。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lang w:val="en-US" w:eastAsia="zh-CN"/>
        </w:rPr>
      </w:pPr>
      <w:r>
        <w:rPr>
          <w:rFonts w:hint="eastAsia" w:ascii="仿宋" w:hAnsi="仿宋" w:eastAsia="仿宋" w:cs="Times New Roman"/>
          <w:kern w:val="2"/>
          <w:sz w:val="24"/>
          <w:szCs w:val="24"/>
          <w:highlight w:val="none"/>
          <w:lang w:val="en-US" w:eastAsia="zh-CN" w:bidi="ar-SA"/>
        </w:rPr>
        <w:t>（3）89-70分（含）为合格，70分（含）以上全额拨付月基础养护费，每增加1分奖月考核绩效费的2.5%。</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（4）月度考核分在70分以下为不合格，不拨付该月所有养护费。以上考核分数保留小数点后2位，按实际分数的比重计算。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9.2.3养护合同期满不续签合同的当年第四季支付养护经费时，乙方须同甲方对养护范围的养护设施进行清点，如有损坏等须修复或补种完成，否则不支付养护经费。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9.2.4设施数量的增加或减少，则以实际工作量按各类别中标综合单价按实结算，在次季度核拨的养护经费中增加或扣除。如新增的绿地养护等级本项目中没有对应价格，按照不同绿地养护等级的限价，同等比例下浮后取下浮比例大的为结算综合单价【其他养护等级绿地养护结算综合单价=其他养护等级绿地养护限价</w:t>
      </w:r>
      <w:r>
        <w:rPr>
          <w:rFonts w:hint="default" w:ascii="仿宋" w:hAnsi="仿宋" w:eastAsia="仿宋" w:cs="Times New Roman"/>
          <w:kern w:val="2"/>
          <w:sz w:val="24"/>
          <w:szCs w:val="24"/>
          <w:highlight w:val="none"/>
          <w:lang w:val="en-US" w:eastAsia="zh-CN" w:bidi="ar-SA"/>
        </w:rPr>
        <w:t>×</w:t>
      </w:r>
      <w:r>
        <w:rPr>
          <w:rFonts w:hint="eastAsia" w:ascii="仿宋" w:hAnsi="仿宋" w:eastAsia="仿宋" w:cs="Times New Roman"/>
          <w:kern w:val="2"/>
          <w:sz w:val="24"/>
          <w:szCs w:val="24"/>
          <w:highlight w:val="none"/>
          <w:lang w:val="en-US" w:eastAsia="zh-CN" w:bidi="ar-SA"/>
        </w:rPr>
        <w:t>（年度中标价-年度暂列金额）/（年度限价-年度暂列金额）】（不同绿地养护等级的限价：一级养护区域：单价不超过11元/平方米·年；二级养护区域：单价不超过9元/平方米·年；三级养护区域：单价不超过4元/平方米·年；行道树22元/株·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9.1.5甲方凭乙方出具的正式发票，以银行转账方式支付乙方养护费用（注：税务发票需在甲方所在地税务部门开具）。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9.2临时(应急)绿化施工项目费用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    9.2.1价款计算依据: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（1）日常养护类工程量按实际发生量计量计费，养护费单价按照中标价格全费用固定综合单价计算</w:t>
      </w:r>
      <w:r>
        <w:rPr>
          <w:rFonts w:hint="eastAsia" w:ascii="仿宋" w:hAnsi="仿宋" w:eastAsia="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（2）应急类绿化移栽，零星工程等项目，参照秦汉新城财政金融部评审报告单价计量计费。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sz w:val="24"/>
          <w:szCs w:val="24"/>
          <w:highlight w:val="none"/>
          <w:lang w:val="en-US" w:eastAsia="zh-CN"/>
        </w:rPr>
        <w:t>9.2.2工程价款支付:无预付款</w:t>
      </w:r>
      <w:r>
        <w:rPr>
          <w:rFonts w:hint="eastAsia" w:ascii="仿宋" w:hAnsi="仿宋" w:eastAsia="仿宋"/>
          <w:color w:val="auto"/>
          <w:sz w:val="24"/>
          <w:szCs w:val="24"/>
          <w:highlight w:val="none"/>
          <w:lang w:val="en-US" w:eastAsia="zh-CN"/>
        </w:rPr>
        <w:t>，</w:t>
      </w:r>
      <w:r>
        <w:rPr>
          <w:rFonts w:hint="eastAsia" w:ascii="仿宋" w:hAnsi="仿宋" w:eastAsia="仿宋"/>
          <w:sz w:val="24"/>
          <w:szCs w:val="24"/>
          <w:highlight w:val="none"/>
          <w:lang w:val="en-US" w:eastAsia="zh-CN"/>
        </w:rPr>
        <w:t>临时(应急)绿化施工项目</w:t>
      </w:r>
      <w:r>
        <w:rPr>
          <w:rFonts w:hint="eastAsia" w:ascii="仿宋" w:hAnsi="仿宋" w:eastAsia="仿宋"/>
          <w:color w:val="auto"/>
          <w:sz w:val="24"/>
          <w:szCs w:val="24"/>
          <w:highlight w:val="none"/>
          <w:lang w:val="en-US" w:eastAsia="zh-CN"/>
        </w:rPr>
        <w:t>完工后进行验收，验收合格，上报项目结算。原则上每季度结算一次(当某月累计完成的工程额超过30万元时，该月可单独上报进行结算)，甲方在接到乙方结算单60日内审核完毕。乙方应严格按照招标文件、本合同确定的计算方法编制竣工结算,不得高估冒报,如送审价超出审计结算价的5%，则超出部分的审计费用由乙方承担。根据甲方财政管理部门出具的财政投资评审结果,60个工作日内支付当期应付工程款的50% ,六个月后支付应付工程款的20%，剩余30%为养护保证金。工程养护保证金在竣工验收合格后一年，在质保期满后、乙方完成养护责任，经验收合格后，甲方向乙方一次性支付竣工结算价款余下的30% (不计利息)。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9.2.3因乙方自身原因导致的养护变更或者养护补救措施，乙方无权要求追加合同价款。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9.2.4在施工过程中如遇国家法律法规或政策性调整(含管委会及甲方相关规定),双方应依照执行。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十、安全防护及事故处理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10.1一般要求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同时，甲方可暂停进度款支付,对于造成不良影响的，乙方同时支付给甲方5000-20000元违约金;后果严重者，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10.1.2乙方应对其在养护场地的工作人员进行安全教育，并对他们的安全负责。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10.1.3甲方不得要求乙方违反安全管理的规定进行养护工作。因甲方原因导致的安全事故，由责任方承担相应责任及发生的费用。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10.1.4 乙方对养护区域范围内发生的事故造成的资产（乔灌木、草坪等固定资产、因养护因素造成的车辆及其他损失）、人员（因养护造成的人员伤亡、因交通事故造成的养护人员伤亡）损害，由乙方自行负责处理，甲方不予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10.2.安全防范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10.2.1乙方在从事喷酒农药、控制有害生物、修剪树木、修理设施、清理道路或水体、防台防汛等工作时应自行采取相应的安全防护措施。除双方另有约定外，安全防护费用由乙方自行承担。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10.2.2乙方应保证养护范围内的各项设施能够安全使用，对于存在安全隐患的设施、物品，应及时提请监理及甲方予以修理或更换。对养护范围内的树木或其他可能造成人员伤亡的场所，乙方应提请监理及甲方设置禁止吸烟、禁止火种、等安全警告铭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10.2.3乙方对土壤进行消毒或防治病虫害时,应使用符合环保要求的药剂，不得使用国家禁止使用的剧毒、高残留或可能造成其它公害的药剂。乙方喷洒药物之前; 须将喷洒时间、药物种类提前报甲方批准， 按监理及甲方批准的时间和路线进行喷洒。残留药剂和容器，乙方应按规定妥善收集和处理。乙方未按规定使用药剂，造成的责任由乙方自行承担。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10.3环境保护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10.3.1养护期间,乙方应遵守国家有关环境保护的政策、法规。养护范围内的垃圾应按规定清理、外运。</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十一、养护施工所需机械、材料、器具设备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11.1.乙方自行准备的机械、材料、器具设备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11.1.1除双方另有约定外,乙方应自行配置养护管理所需要的交通工具以及其他养护所需机械、材料、器具设备。乙方配置的养护所需机械、材料、器具设备的清单如下(种类和数量均不得低于下表) :见投标文件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11.1.2乙方应当对投入使用的机械、材料、器具设备的质量负责。乙方投入使用的机械、材料、器具设备的数量、规格和品质达不不到合同约定标准时，须承担违约责任。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11.1.3乙方应保证其提供的机械、材料、器具设备符合安全标准。在乙方使用前，应按规范要求进行检验或试验.不合格的不得使用。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11.1.4甲方发现乙方提供或使用不符合约定的机械、材料、器具设备时，乙方应当按照甲方的要求负责采取更换、重做等补救措施，并自行承担相应费用。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11.1.5乙方需要使用代用机械、材料、器具设备时，应经甲方代表认可后才能使用。由此增减的合同价款..除非双方另有约定，增加的合同价款由乙方自行承担，减少的合同价款须从合同总价中核减。</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十二、违约责任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12.1甲方违约责任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12.1.1因甲方原因，来按合同约定.逾期支付养护款，应每天按照逾期付款金会额的</w:t>
      </w:r>
      <w:r>
        <w:rPr>
          <w:rFonts w:hint="eastAsia" w:ascii="仿宋" w:hAnsi="仿宋" w:eastAsia="仿宋"/>
          <w:sz w:val="24"/>
          <w:szCs w:val="24"/>
          <w:highlight w:val="none"/>
          <w:u w:val="single" w:color="auto"/>
          <w:lang w:val="en-US" w:eastAsia="zh-CN"/>
        </w:rPr>
        <w:t>0.1%</w:t>
      </w:r>
      <w:r>
        <w:rPr>
          <w:rFonts w:hint="eastAsia" w:ascii="仿宋" w:hAnsi="仿宋" w:eastAsia="仿宋"/>
          <w:sz w:val="24"/>
          <w:szCs w:val="24"/>
          <w:highlight w:val="none"/>
          <w:lang w:val="en-US" w:eastAsia="zh-CN"/>
        </w:rPr>
        <w:t>向乙方支付违的金。甲方的养护方面的问题由甲方承担相关责任。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12.1.2因甲方原因，造成养护范围内的植物死亡，其损失由甲方承担。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12.2乙方违约责任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12.2.1 因乙方原因.养护质量未达到合同约定的养护标准，乙方应积极采取补救措施尽量将损失降低，且承担损失费用</w:t>
      </w:r>
      <w:r>
        <w:rPr>
          <w:rFonts w:hint="eastAsia" w:ascii="仿宋" w:hAnsi="仿宋" w:eastAsia="仿宋"/>
          <w:sz w:val="24"/>
          <w:szCs w:val="24"/>
          <w:highlight w:val="none"/>
          <w:u w:val="single" w:color="auto"/>
          <w:lang w:val="en-US" w:eastAsia="zh-CN"/>
        </w:rPr>
        <w:t>0.1%</w:t>
      </w:r>
      <w:r>
        <w:rPr>
          <w:rFonts w:hint="eastAsia" w:ascii="仿宋" w:hAnsi="仿宋" w:eastAsia="仿宋"/>
          <w:sz w:val="24"/>
          <w:szCs w:val="24"/>
          <w:highlight w:val="none"/>
          <w:lang w:val="en-US" w:eastAsia="zh-CN"/>
        </w:rPr>
        <w:t>的违约金;对于发生质量、安全、养护不及时或管理不到位等问题，累计达3次或3次以上时，甲方有权单方面终止合同。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12.2.2未经甲方书面同意，乙方擅自将承包的养护项目进行分包或转包给他人,给甲方造成损失的，应承担赔偿责任，并接受甲方的处罚，造成不良影响者， 甲方有权单方面终止合同，且乙方应赔偿因此给甲方造成的一切损失并在收到甲方通知后5日内退还多收取的费用。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十三、其他约定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13.1甲方有权对材料(含设备、成品半成品)迸行抽查，若抽查发现不合格产品或者私自使用未经甲方认可的材料该批次产品不得继续使用，已使用的需进行退修，并罚款1万元。若抽查发现3次及以上使用不合格产品，甲方有权单方面终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trike/>
          <w:dstrike w:val="0"/>
          <w:color w:val="auto"/>
          <w:sz w:val="24"/>
          <w:szCs w:val="24"/>
          <w:highlight w:val="none"/>
          <w:lang w:val="en-US" w:eastAsia="zh-CN"/>
        </w:rPr>
      </w:pPr>
      <w:r>
        <w:rPr>
          <w:rFonts w:hint="eastAsia" w:ascii="仿宋" w:hAnsi="仿宋" w:eastAsia="仿宋"/>
          <w:color w:val="auto"/>
          <w:sz w:val="24"/>
          <w:szCs w:val="24"/>
          <w:highlight w:val="none"/>
          <w:lang w:val="en-US" w:eastAsia="zh-CN"/>
        </w:rPr>
        <w:t>13.2若乙方未履行合同约定的义务、维护的工作内容及质量标准的，或履行不到位时，乙方承担由此带来的全部责任和经济损失，甲方有权暂停其养护工作或调整其养护范围。若同类问题每月出现三次及以上时，三次及以上部分乙方支付违约金500-1000元/次,并有权单方面终止合同，另行委托其它单位实施本协议规定维护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13.3对于甲方委托的事项，乙方应在完成后7日内按照甲方有关制度及时上报，每月15 日前完成上一个月质量的签认工作，否则甲方可按照</w:t>
      </w:r>
      <w:r>
        <w:rPr>
          <w:rFonts w:hint="eastAsia" w:ascii="仿宋" w:hAnsi="仿宋" w:eastAsia="仿宋"/>
          <w:color w:val="auto"/>
          <w:sz w:val="24"/>
          <w:szCs w:val="24"/>
          <w:highlight w:val="none"/>
          <w:lang w:val="en-US" w:eastAsia="zh-CN"/>
        </w:rPr>
        <w:t>1000-3000</w:t>
      </w:r>
      <w:r>
        <w:rPr>
          <w:rFonts w:hint="eastAsia" w:ascii="仿宋" w:hAnsi="仿宋" w:eastAsia="仿宋"/>
          <w:sz w:val="24"/>
          <w:szCs w:val="24"/>
          <w:highlight w:val="none"/>
          <w:lang w:val="en-US" w:eastAsia="zh-CN"/>
        </w:rPr>
        <w:t> 元/次要求乙方支付违约金。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trike/>
          <w:dstrike w:val="0"/>
          <w:color w:val="auto"/>
          <w:sz w:val="24"/>
          <w:szCs w:val="24"/>
          <w:highlight w:val="none"/>
          <w:lang w:val="en-US" w:eastAsia="zh-CN"/>
        </w:rPr>
      </w:pPr>
      <w:r>
        <w:rPr>
          <w:rFonts w:hint="eastAsia" w:ascii="仿宋" w:hAnsi="仿宋" w:eastAsia="仿宋"/>
          <w:color w:val="auto"/>
          <w:sz w:val="24"/>
          <w:szCs w:val="24"/>
          <w:highlight w:val="none"/>
          <w:lang w:val="en-US" w:eastAsia="zh-CN"/>
        </w:rPr>
        <w:t>13.4甲方履约检查时乙方承诺的养护项目经理、养护技术负责人未到场的按每次支付违约金1000元;其他承诺的人员未到场的按每次300元人支付违约金</w:t>
      </w:r>
      <w:r>
        <w:rPr>
          <w:rFonts w:hint="eastAsia" w:ascii="仿宋" w:hAnsi="仿宋" w:eastAsia="仿宋"/>
          <w:strike w:val="0"/>
          <w:dstrike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13.5本合同项下因乙方违约甲方单方终止合同后,乙方应赔偿由此给甲方及第三方造成的--切直接及间接损失。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13.8乙方应严格遵守甲方有关管理、奖罚制度，否则甲方将按照有关管理、奖罚制度进行处理。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13.9苗木迁改责任和处罚:应急绿化过程中苗木移裁成活率定为95% (考虑到反季节移植等因素)乙方迁移已有苗木出现死亡的，乙方应按不低于原苗木规格进行补植，否则甲方可按相应苗木价格扣减乙方费用，且不支付死亡苗木的迁移费用。因非乙方责任造成的苗木死亡等特殊情况，经乙方书面申请，甲方研究同意后正常予以计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13.10本合同服务期限到期时，如因特殊情况后续养护单位未确定，甲方以书面形式确定本协议顺延及相关事宜。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合同履行过程中,双方可根据有关法律、行政法规规定结合养护项目的实际情况，经协商-致后订立补充协议。补充协议视为本合同的组成部分。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bCs/>
          <w:color w:val="auto"/>
          <w:sz w:val="24"/>
          <w:szCs w:val="24"/>
          <w:highlight w:val="none"/>
          <w:u w:val="none"/>
          <w:lang w:val="en-US" w:eastAsia="zh-CN"/>
        </w:rPr>
      </w:pPr>
      <w:r>
        <w:rPr>
          <w:rFonts w:hint="eastAsia" w:ascii="仿宋" w:hAnsi="仿宋" w:eastAsia="仿宋"/>
          <w:b/>
          <w:bCs/>
          <w:color w:val="auto"/>
          <w:sz w:val="24"/>
          <w:szCs w:val="24"/>
          <w:highlight w:val="none"/>
          <w:u w:val="none"/>
          <w:lang w:val="en-US" w:eastAsia="zh-CN"/>
        </w:rPr>
        <w:t>十四、合同争议的解决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本合同执行过程中发生争议，由当事人双方协商解决，或向工程所在地建设行政主管部门申请调解。当事人不愿协商，调解解决或者调解不成的，双方均有权向甲方所在地的人民法院起诉。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olor w:val="auto"/>
          <w:sz w:val="24"/>
          <w:szCs w:val="24"/>
          <w:highlight w:val="none"/>
          <w:u w:val="none"/>
          <w:lang w:val="en-US" w:eastAsia="zh-CN"/>
        </w:rPr>
      </w:pPr>
      <w:r>
        <w:rPr>
          <w:rFonts w:hint="eastAsia" w:ascii="仿宋" w:hAnsi="仿宋" w:eastAsia="仿宋"/>
          <w:color w:val="auto"/>
          <w:sz w:val="24"/>
          <w:szCs w:val="24"/>
          <w:highlight w:val="none"/>
          <w:u w:val="none"/>
          <w:lang w:val="en-US" w:eastAsia="zh-CN"/>
        </w:rPr>
        <w:t>十五、附则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本合同正本贰份,双方各执壹份,副本柒份,甲方伍份，乙方贰份。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附件1安全生产协议书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附件2项目廉政合同书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附件3现场施工环境综合整治及扬尘污染治理承诺书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附件4农民工工资按时发放承诺书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附件5中标通知书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附件6 秦汉新城绿化养护管理办法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附件7绿化养护考核标准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发包方（盖章）：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承包方（盖章）：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法定代表人：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 xml:space="preserve">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 xml:space="preserve">或委托代理人：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或委托代理人：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color w:val="FF0000"/>
          <w:sz w:val="24"/>
          <w:szCs w:val="24"/>
          <w:highlight w:val="none"/>
          <w:lang w:val="en-US" w:eastAsia="zh-CN"/>
        </w:rPr>
      </w:pPr>
      <w:r>
        <w:rPr>
          <w:rFonts w:hint="eastAsia" w:ascii="仿宋_GB2312" w:eastAsia="仿宋_GB2312"/>
          <w:sz w:val="24"/>
          <w:szCs w:val="24"/>
          <w:highlight w:val="none"/>
        </w:rPr>
        <w:t xml:space="preserve">电  话：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 xml:space="preserve"> 电  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pacing w:val="-20"/>
          <w:sz w:val="24"/>
          <w:szCs w:val="24"/>
          <w:highlight w:val="none"/>
          <w:lang w:eastAsia="zh-CN"/>
        </w:rPr>
      </w:pPr>
      <w:r>
        <w:rPr>
          <w:rFonts w:hint="eastAsia" w:ascii="仿宋_GB2312" w:eastAsia="仿宋_GB2312"/>
          <w:sz w:val="24"/>
          <w:szCs w:val="24"/>
          <w:highlight w:val="none"/>
        </w:rPr>
        <w:t xml:space="preserve">地  址：                    </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地  址：</w:t>
      </w:r>
    </w:p>
    <w:p>
      <w:pPr>
        <w:keepNext w:val="0"/>
        <w:keepLines w:val="0"/>
        <w:pageBreakBefore w:val="0"/>
        <w:widowControl w:val="0"/>
        <w:kinsoku/>
        <w:wordWrap/>
        <w:overflowPunct/>
        <w:topLinePunct w:val="0"/>
        <w:autoSpaceDE/>
        <w:autoSpaceDN/>
        <w:bidi w:val="0"/>
        <w:adjustRightInd/>
        <w:snapToGrid/>
        <w:spacing w:line="500" w:lineRule="exact"/>
        <w:ind w:firstLine="5400" w:firstLineChars="2700"/>
        <w:textAlignment w:val="auto"/>
        <w:rPr>
          <w:rFonts w:hint="default" w:ascii="仿宋_GB2312" w:eastAsia="仿宋_GB2312"/>
          <w:color w:val="FF0000"/>
          <w:spacing w:val="-2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z w:val="24"/>
          <w:szCs w:val="24"/>
          <w:highlight w:val="none"/>
          <w:lang w:eastAsia="zh-CN"/>
        </w:rPr>
      </w:pPr>
      <w:r>
        <w:rPr>
          <w:rFonts w:hint="eastAsia" w:ascii="仿宋_GB2312" w:eastAsia="仿宋_GB2312"/>
          <w:sz w:val="24"/>
          <w:szCs w:val="24"/>
          <w:highlight w:val="none"/>
        </w:rPr>
        <w:t>开户行：</w:t>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FF0000"/>
          <w:sz w:val="24"/>
          <w:szCs w:val="24"/>
          <w:highlight w:val="none"/>
          <w:lang w:val="en-US" w:eastAsia="zh-CN"/>
        </w:rPr>
      </w:pPr>
      <w:r>
        <w:rPr>
          <w:rFonts w:hint="eastAsia" w:ascii="仿宋_GB2312" w:eastAsia="仿宋_GB2312"/>
          <w:sz w:val="24"/>
          <w:szCs w:val="24"/>
          <w:highlight w:val="none"/>
        </w:rPr>
        <w:t>帐  号：</w:t>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帐  号：</w:t>
      </w:r>
    </w:p>
    <w:p>
      <w:pPr>
        <w:pStyle w:val="16"/>
        <w:rPr>
          <w:rFonts w:hint="eastAsia" w:ascii="宋体" w:hAnsi="宋体" w:cs="宋体"/>
          <w:b/>
          <w:bCs/>
          <w:sz w:val="36"/>
          <w:highlight w:val="none"/>
        </w:rPr>
      </w:pPr>
    </w:p>
    <w:p>
      <w:pPr>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pStyle w:val="24"/>
        <w:rPr>
          <w:rFonts w:hint="eastAsia" w:ascii="宋体" w:hAnsi="宋体" w:cs="宋体"/>
          <w:b/>
          <w:bCs/>
          <w:sz w:val="36"/>
          <w:highlight w:val="none"/>
        </w:rPr>
      </w:pPr>
    </w:p>
    <w:p>
      <w:pPr>
        <w:rPr>
          <w:rFonts w:hint="eastAsia" w:ascii="宋体" w:hAnsi="宋体" w:eastAsia="宋体" w:cs="宋体"/>
          <w:b/>
          <w:bCs/>
          <w:sz w:val="36"/>
          <w:szCs w:val="36"/>
          <w:highlight w:val="none"/>
        </w:rPr>
      </w:pPr>
      <w:bookmarkStart w:id="22" w:name="_Toc9715"/>
      <w:r>
        <w:rPr>
          <w:rFonts w:hint="eastAsia" w:ascii="宋体" w:hAnsi="宋体" w:eastAsia="宋体" w:cs="宋体"/>
          <w:b/>
          <w:bCs/>
          <w:sz w:val="36"/>
          <w:szCs w:val="36"/>
          <w:highlight w:val="none"/>
        </w:rPr>
        <w:br w:type="page"/>
      </w:r>
    </w:p>
    <w:p>
      <w:pPr>
        <w:pStyle w:val="3"/>
        <w:numPr>
          <w:ilvl w:val="0"/>
          <w:numId w:val="0"/>
        </w:num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第六章  投标文件格式</w:t>
      </w:r>
      <w:bookmarkEnd w:id="22"/>
    </w:p>
    <w:p>
      <w:pPr>
        <w:pStyle w:val="16"/>
        <w:rPr>
          <w:rFonts w:hint="eastAsia"/>
          <w:highlight w:val="none"/>
        </w:rPr>
      </w:pPr>
      <w:r>
        <w:rPr>
          <w:rFonts w:hint="eastAsia"/>
          <w:highlight w:val="none"/>
        </w:rPr>
        <w:br w:type="page"/>
      </w:r>
    </w:p>
    <w:p>
      <w:pPr>
        <w:spacing w:line="360" w:lineRule="auto"/>
        <w:jc w:val="center"/>
        <w:rPr>
          <w:rFonts w:hint="eastAsia" w:ascii="宋体" w:hAnsi="宋体" w:cs="宋体"/>
          <w:b/>
          <w:sz w:val="36"/>
          <w:szCs w:val="36"/>
          <w:highlight w:val="none"/>
          <w:lang w:eastAsia="zh-CN"/>
        </w:rPr>
      </w:pPr>
    </w:p>
    <w:p>
      <w:pPr>
        <w:spacing w:line="360" w:lineRule="auto"/>
        <w:jc w:val="center"/>
        <w:rPr>
          <w:rFonts w:hint="eastAsia" w:ascii="宋体" w:hAnsi="宋体" w:cs="宋体"/>
          <w:b/>
          <w:sz w:val="36"/>
          <w:szCs w:val="36"/>
          <w:highlight w:val="none"/>
          <w:lang w:eastAsia="zh-CN"/>
        </w:rPr>
      </w:pPr>
    </w:p>
    <w:p>
      <w:pPr>
        <w:spacing w:line="360" w:lineRule="auto"/>
        <w:jc w:val="center"/>
        <w:rPr>
          <w:rFonts w:hint="default" w:ascii="宋体" w:hAnsi="宋体" w:eastAsia="宋体" w:cs="宋体"/>
          <w:b/>
          <w:sz w:val="36"/>
          <w:szCs w:val="36"/>
          <w:highlight w:val="none"/>
          <w:lang w:val="en-US" w:eastAsia="zh-CN"/>
        </w:rPr>
      </w:pPr>
      <w:r>
        <w:rPr>
          <w:rFonts w:hint="eastAsia" w:ascii="宋体" w:hAnsi="宋体" w:cs="宋体"/>
          <w:b/>
          <w:sz w:val="36"/>
          <w:szCs w:val="36"/>
          <w:highlight w:val="none"/>
          <w:lang w:eastAsia="zh-CN"/>
        </w:rPr>
        <w:t>秦汉新城渭河福银高速桥至横桥段滩面区域绿化养护</w:t>
      </w:r>
      <w:r>
        <w:rPr>
          <w:rFonts w:hint="eastAsia" w:ascii="宋体" w:hAnsi="宋体" w:cs="宋体"/>
          <w:b/>
          <w:sz w:val="36"/>
          <w:szCs w:val="36"/>
          <w:highlight w:val="none"/>
          <w:lang w:val="en-US" w:eastAsia="zh-CN"/>
        </w:rPr>
        <w:t xml:space="preserve"> </w:t>
      </w:r>
    </w:p>
    <w:p>
      <w:pPr>
        <w:spacing w:after="360" w:afterLines="150" w:line="900" w:lineRule="exact"/>
        <w:jc w:val="center"/>
        <w:rPr>
          <w:rFonts w:hint="default" w:ascii="宋体" w:hAnsi="宋体" w:eastAsia="宋体" w:cs="宋体"/>
          <w:sz w:val="28"/>
          <w:szCs w:val="28"/>
          <w:highlight w:val="none"/>
          <w:lang w:val="en-US" w:eastAsia="zh-CN"/>
        </w:rPr>
      </w:pPr>
      <w:r>
        <w:rPr>
          <w:rFonts w:hint="eastAsia" w:ascii="宋体" w:hAnsi="宋体" w:cs="宋体"/>
          <w:b/>
          <w:sz w:val="28"/>
          <w:szCs w:val="28"/>
          <w:highlight w:val="none"/>
          <w:lang w:val="en-US" w:eastAsia="zh-CN"/>
        </w:rPr>
        <w:t>项目</w:t>
      </w:r>
      <w:r>
        <w:rPr>
          <w:rFonts w:hint="eastAsia" w:ascii="宋体" w:hAnsi="宋体" w:cs="宋体"/>
          <w:b/>
          <w:sz w:val="28"/>
          <w:szCs w:val="28"/>
          <w:highlight w:val="none"/>
        </w:rPr>
        <w:t xml:space="preserve">编号: </w:t>
      </w:r>
    </w:p>
    <w:p>
      <w:pPr>
        <w:spacing w:after="48" w:afterLines="20"/>
        <w:jc w:val="center"/>
        <w:rPr>
          <w:rFonts w:hint="eastAsia" w:ascii="宋体" w:hAnsi="宋体" w:cs="宋体"/>
          <w:b/>
          <w:sz w:val="104"/>
          <w:highlight w:val="none"/>
        </w:rPr>
      </w:pPr>
    </w:p>
    <w:p>
      <w:pPr>
        <w:rPr>
          <w:rFonts w:hint="eastAsia"/>
          <w:highlight w:val="none"/>
        </w:rPr>
      </w:pPr>
    </w:p>
    <w:p>
      <w:pPr>
        <w:spacing w:after="48" w:afterLines="20"/>
        <w:jc w:val="center"/>
        <w:rPr>
          <w:rFonts w:hint="eastAsia" w:ascii="宋体" w:hAnsi="宋体" w:cs="宋体"/>
          <w:b/>
          <w:sz w:val="104"/>
          <w:highlight w:val="none"/>
        </w:rPr>
      </w:pPr>
      <w:r>
        <w:rPr>
          <w:rFonts w:hint="eastAsia" w:ascii="宋体" w:hAnsi="宋体" w:cs="宋体"/>
          <w:b/>
          <w:sz w:val="72"/>
          <w:szCs w:val="72"/>
          <w:highlight w:val="none"/>
        </w:rPr>
        <w:t>投标文件</w:t>
      </w:r>
    </w:p>
    <w:p>
      <w:pPr>
        <w:rPr>
          <w:rFonts w:hint="eastAsia" w:ascii="宋体" w:hAnsi="宋体" w:cs="宋体"/>
          <w:b/>
          <w:sz w:val="52"/>
          <w:highlight w:val="none"/>
        </w:rPr>
      </w:pPr>
    </w:p>
    <w:p>
      <w:pPr>
        <w:pStyle w:val="16"/>
        <w:jc w:val="both"/>
        <w:rPr>
          <w:rFonts w:hint="eastAsia" w:ascii="宋体" w:hAnsi="宋体" w:cs="宋体"/>
          <w:sz w:val="30"/>
          <w:highlight w:val="none"/>
          <w:u w:val="single"/>
          <w:vertAlign w:val="subscript"/>
        </w:rPr>
      </w:pPr>
    </w:p>
    <w:p>
      <w:pPr>
        <w:rPr>
          <w:rFonts w:hint="eastAsia" w:ascii="宋体" w:hAnsi="宋体" w:cs="宋体"/>
          <w:sz w:val="30"/>
          <w:highlight w:val="none"/>
          <w:u w:val="single"/>
          <w:vertAlign w:val="subscript"/>
        </w:rPr>
      </w:pPr>
    </w:p>
    <w:p>
      <w:pPr>
        <w:pStyle w:val="20"/>
        <w:rPr>
          <w:rFonts w:hint="eastAsia" w:ascii="宋体" w:hAnsi="宋体" w:cs="宋体"/>
          <w:sz w:val="30"/>
          <w:highlight w:val="none"/>
          <w:u w:val="single"/>
          <w:vertAlign w:val="subscript"/>
        </w:rPr>
      </w:pPr>
    </w:p>
    <w:p>
      <w:pPr>
        <w:pStyle w:val="20"/>
        <w:rPr>
          <w:rFonts w:hint="eastAsia" w:ascii="宋体" w:hAnsi="宋体" w:cs="宋体"/>
          <w:sz w:val="30"/>
          <w:highlight w:val="none"/>
          <w:u w:val="single"/>
          <w:vertAlign w:val="subscript"/>
        </w:rPr>
      </w:pPr>
    </w:p>
    <w:p>
      <w:pPr>
        <w:rPr>
          <w:rFonts w:hint="eastAsia"/>
          <w:highlight w:val="none"/>
        </w:rPr>
      </w:pPr>
    </w:p>
    <w:p>
      <w:pPr>
        <w:rPr>
          <w:rFonts w:hint="eastAsia" w:ascii="宋体" w:hAnsi="宋体" w:cs="宋体"/>
          <w:sz w:val="30"/>
          <w:highlight w:val="none"/>
        </w:rPr>
      </w:pPr>
      <w:r>
        <w:rPr>
          <w:rFonts w:hint="eastAsia" w:ascii="宋体" w:hAnsi="宋体" w:cs="宋体"/>
          <w:sz w:val="30"/>
          <w:highlight w:val="none"/>
        </w:rPr>
        <w:t xml:space="preserve">              </w:t>
      </w:r>
    </w:p>
    <w:p>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lang w:eastAsia="zh-CN"/>
        </w:rPr>
        <w:t>投标供应商</w:t>
      </w:r>
      <w:r>
        <w:rPr>
          <w:rFonts w:hint="eastAsia" w:ascii="宋体" w:hAnsi="宋体" w:cs="宋体"/>
          <w:b/>
          <w:bCs/>
          <w:sz w:val="30"/>
          <w:highlight w:val="none"/>
        </w:rPr>
        <w:t>：</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pPr>
        <w:rPr>
          <w:rFonts w:hint="eastAsia" w:ascii="宋体" w:hAnsi="宋体" w:cs="宋体"/>
          <w:b/>
          <w:bCs/>
          <w:sz w:val="30"/>
          <w:highlight w:val="none"/>
        </w:rPr>
      </w:pPr>
      <w:r>
        <w:rPr>
          <w:rFonts w:hint="eastAsia" w:ascii="宋体" w:hAnsi="宋体" w:cs="宋体"/>
          <w:b/>
          <w:bCs/>
          <w:sz w:val="30"/>
          <w:highlight w:val="none"/>
        </w:rPr>
        <w:t xml:space="preserve">              </w:t>
      </w:r>
    </w:p>
    <w:p>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（盖章或签字）</w:t>
      </w:r>
    </w:p>
    <w:p>
      <w:pPr>
        <w:spacing w:line="400" w:lineRule="exact"/>
        <w:rPr>
          <w:rFonts w:hint="eastAsia" w:ascii="宋体" w:hAnsi="宋体" w:cs="宋体"/>
          <w:b/>
          <w:bCs/>
          <w:sz w:val="30"/>
          <w:highlight w:val="none"/>
        </w:rPr>
      </w:pPr>
    </w:p>
    <w:p>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pPr>
        <w:spacing w:line="600" w:lineRule="exact"/>
        <w:rPr>
          <w:rFonts w:hint="eastAsia" w:ascii="宋体" w:hAnsi="宋体" w:cs="宋体"/>
          <w:b/>
          <w:bCs/>
          <w:sz w:val="30"/>
          <w:highlight w:val="none"/>
        </w:rPr>
      </w:pPr>
    </w:p>
    <w:p>
      <w:pPr>
        <w:pStyle w:val="24"/>
        <w:rPr>
          <w:rFonts w:hint="eastAsia"/>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pStyle w:val="27"/>
        <w:rPr>
          <w:rFonts w:hint="eastAsia" w:ascii="宋体" w:hAnsi="宋体" w:cs="宋体"/>
          <w:b/>
          <w:bCs/>
          <w:sz w:val="30"/>
          <w:highlight w:val="none"/>
        </w:rPr>
      </w:pPr>
    </w:p>
    <w:p>
      <w:pPr>
        <w:spacing w:line="600" w:lineRule="exact"/>
        <w:jc w:val="center"/>
        <w:rPr>
          <w:rFonts w:hint="eastAsia" w:ascii="宋体" w:hAnsi="宋体" w:cs="宋体"/>
          <w:sz w:val="24"/>
          <w:highlight w:val="none"/>
        </w:rPr>
      </w:pPr>
      <w:r>
        <w:rPr>
          <w:rFonts w:hint="eastAsia" w:ascii="宋体" w:hAnsi="宋体" w:cs="宋体"/>
          <w:b/>
          <w:bCs/>
          <w:sz w:val="30"/>
          <w:highlight w:val="none"/>
        </w:rPr>
        <w:t>目    录</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一、投标函</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二、开标一览表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三、</w:t>
      </w:r>
      <w:r>
        <w:rPr>
          <w:rFonts w:hint="eastAsia" w:ascii="Times New Roman" w:hAnsi="宋体" w:eastAsia="宋体" w:cs="宋体"/>
          <w:spacing w:val="4"/>
          <w:szCs w:val="24"/>
          <w:highlight w:val="none"/>
        </w:rPr>
        <w:t>投标分项报价表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四</w:t>
      </w:r>
      <w:r>
        <w:rPr>
          <w:rFonts w:hint="eastAsia" w:ascii="Times New Roman" w:hAnsi="宋体" w:eastAsia="宋体" w:cs="宋体"/>
          <w:spacing w:val="4"/>
          <w:szCs w:val="24"/>
          <w:highlight w:val="none"/>
        </w:rPr>
        <w:t>、资格证明文件</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五</w:t>
      </w:r>
      <w:r>
        <w:rPr>
          <w:rFonts w:hint="eastAsia" w:ascii="Times New Roman" w:hAnsi="宋体" w:eastAsia="宋体" w:cs="宋体"/>
          <w:spacing w:val="4"/>
          <w:szCs w:val="24"/>
          <w:highlight w:val="none"/>
        </w:rPr>
        <w:t>、供应商概况</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六</w:t>
      </w:r>
      <w:r>
        <w:rPr>
          <w:rFonts w:hint="eastAsia" w:ascii="Times New Roman" w:hAnsi="宋体" w:eastAsia="宋体" w:cs="宋体"/>
          <w:spacing w:val="4"/>
          <w:szCs w:val="24"/>
          <w:highlight w:val="none"/>
        </w:rPr>
        <w:t>、供应商参加政府采购活动承诺书</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七</w:t>
      </w:r>
      <w:r>
        <w:rPr>
          <w:rFonts w:hint="eastAsia" w:ascii="Times New Roman" w:hAnsi="宋体" w:eastAsia="宋体" w:cs="宋体"/>
          <w:spacing w:val="4"/>
          <w:szCs w:val="24"/>
          <w:highlight w:val="none"/>
        </w:rPr>
        <w:t>、投标</w:t>
      </w:r>
      <w:r>
        <w:rPr>
          <w:rFonts w:hint="eastAsia" w:hAnsi="宋体" w:cs="宋体"/>
          <w:spacing w:val="4"/>
          <w:szCs w:val="24"/>
          <w:highlight w:val="none"/>
          <w:lang w:val="en-US" w:eastAsia="zh-CN"/>
        </w:rPr>
        <w:t>技术</w:t>
      </w:r>
      <w:r>
        <w:rPr>
          <w:rFonts w:hint="eastAsia" w:ascii="Times New Roman" w:hAnsi="宋体" w:eastAsia="宋体" w:cs="宋体"/>
          <w:spacing w:val="4"/>
          <w:szCs w:val="24"/>
          <w:highlight w:val="none"/>
        </w:rPr>
        <w:t>方案</w:t>
      </w:r>
    </w:p>
    <w:p>
      <w:pPr>
        <w:tabs>
          <w:tab w:val="left" w:pos="1418"/>
        </w:tabs>
        <w:spacing w:line="360" w:lineRule="auto"/>
        <w:ind w:firstLine="872" w:firstLineChars="400"/>
        <w:rPr>
          <w:rFonts w:hint="default" w:ascii="Times New Roman" w:hAnsi="宋体" w:eastAsia="宋体" w:cs="宋体"/>
          <w:spacing w:val="4"/>
          <w:szCs w:val="24"/>
          <w:highlight w:val="none"/>
          <w:lang w:val="en-US" w:eastAsia="zh-CN"/>
        </w:rPr>
      </w:pPr>
      <w:r>
        <w:rPr>
          <w:rFonts w:hint="eastAsia" w:hAnsi="宋体" w:cs="宋体"/>
          <w:spacing w:val="4"/>
          <w:szCs w:val="24"/>
          <w:highlight w:val="none"/>
          <w:lang w:val="en-US" w:eastAsia="zh-CN"/>
        </w:rPr>
        <w:t>八</w:t>
      </w:r>
      <w:r>
        <w:rPr>
          <w:rFonts w:hint="eastAsia" w:ascii="Times New Roman" w:hAnsi="宋体" w:eastAsia="宋体" w:cs="宋体"/>
          <w:spacing w:val="4"/>
          <w:szCs w:val="24"/>
          <w:highlight w:val="none"/>
          <w:lang w:val="en-US" w:eastAsia="zh-CN"/>
        </w:rPr>
        <w:t>、企业业绩</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hAnsi="宋体" w:cs="宋体"/>
          <w:spacing w:val="4"/>
          <w:szCs w:val="24"/>
          <w:highlight w:val="none"/>
          <w:lang w:val="en-US" w:eastAsia="zh-CN"/>
        </w:rPr>
        <w:t>九</w:t>
      </w:r>
      <w:r>
        <w:rPr>
          <w:rFonts w:hint="eastAsia" w:ascii="Times New Roman" w:hAnsi="宋体" w:eastAsia="宋体" w:cs="宋体"/>
          <w:spacing w:val="4"/>
          <w:szCs w:val="24"/>
          <w:highlight w:val="none"/>
        </w:rPr>
        <w:t>、技术偏离表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lang w:val="en-US" w:eastAsia="zh-CN"/>
        </w:rPr>
        <w:t>十</w:t>
      </w:r>
      <w:r>
        <w:rPr>
          <w:rFonts w:hint="eastAsia" w:ascii="Times New Roman" w:hAnsi="宋体" w:eastAsia="宋体" w:cs="宋体"/>
          <w:spacing w:val="4"/>
          <w:szCs w:val="24"/>
          <w:highlight w:val="none"/>
        </w:rPr>
        <w:t>、商务偏离表</w:t>
      </w:r>
    </w:p>
    <w:p>
      <w:pPr>
        <w:tabs>
          <w:tab w:val="left" w:pos="1418"/>
        </w:tabs>
        <w:spacing w:line="360" w:lineRule="auto"/>
        <w:ind w:firstLine="872" w:firstLineChars="400"/>
        <w:rPr>
          <w:rFonts w:hint="eastAsia" w:ascii="Times New Roman" w:hAnsi="宋体" w:eastAsia="宋体" w:cs="宋体"/>
          <w:spacing w:val="4"/>
          <w:szCs w:val="24"/>
          <w:highlight w:val="none"/>
        </w:rPr>
      </w:pPr>
      <w:r>
        <w:rPr>
          <w:rFonts w:hint="eastAsia" w:ascii="Times New Roman" w:hAnsi="宋体" w:eastAsia="宋体" w:cs="宋体"/>
          <w:spacing w:val="4"/>
          <w:szCs w:val="24"/>
          <w:highlight w:val="none"/>
        </w:rPr>
        <w:t>十</w:t>
      </w:r>
      <w:r>
        <w:rPr>
          <w:rFonts w:hint="eastAsia" w:hAnsi="宋体" w:cs="宋体"/>
          <w:spacing w:val="4"/>
          <w:szCs w:val="24"/>
          <w:highlight w:val="none"/>
          <w:lang w:val="en-US" w:eastAsia="zh-CN"/>
        </w:rPr>
        <w:t>一</w:t>
      </w:r>
      <w:r>
        <w:rPr>
          <w:rFonts w:hint="eastAsia" w:ascii="Times New Roman" w:hAnsi="宋体" w:eastAsia="宋体" w:cs="宋体"/>
          <w:spacing w:val="4"/>
          <w:szCs w:val="24"/>
          <w:highlight w:val="none"/>
        </w:rPr>
        <w:t>、投标供应商认为需提交的其他资料</w:t>
      </w:r>
    </w:p>
    <w:p>
      <w:pPr>
        <w:tabs>
          <w:tab w:val="left" w:pos="1418"/>
        </w:tabs>
        <w:spacing w:line="360" w:lineRule="auto"/>
        <w:ind w:firstLine="872" w:firstLineChars="400"/>
        <w:rPr>
          <w:rFonts w:hint="eastAsia" w:ascii="Times New Roman" w:hAnsi="宋体" w:eastAsia="宋体" w:cs="宋体"/>
          <w:spacing w:val="4"/>
          <w:szCs w:val="24"/>
          <w:highlight w:val="none"/>
        </w:rPr>
      </w:pPr>
    </w:p>
    <w:p>
      <w:pPr>
        <w:spacing w:line="720" w:lineRule="exact"/>
        <w:ind w:firstLine="1680" w:firstLineChars="800"/>
        <w:rPr>
          <w:rFonts w:hint="eastAsia" w:ascii="宋体" w:hAnsi="宋体" w:cs="宋体"/>
          <w:color w:val="000000"/>
          <w:szCs w:val="21"/>
          <w:highlight w:val="none"/>
        </w:rPr>
      </w:pPr>
    </w:p>
    <w:p>
      <w:pPr>
        <w:spacing w:line="5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r>
        <w:rPr>
          <w:rFonts w:hint="eastAsia" w:ascii="宋体" w:hAnsi="宋体" w:cs="宋体"/>
          <w:b/>
          <w:bCs/>
          <w:color w:val="000000"/>
          <w:sz w:val="36"/>
          <w:szCs w:val="36"/>
          <w:highlight w:val="none"/>
        </w:rPr>
        <w:t>一、投标函</w:t>
      </w:r>
    </w:p>
    <w:p>
      <w:pPr>
        <w:pStyle w:val="24"/>
        <w:spacing w:line="500" w:lineRule="exact"/>
        <w:ind w:firstLine="0"/>
        <w:rPr>
          <w:rFonts w:hint="eastAsia" w:eastAsia="宋体" w:cs="宋体"/>
          <w:b/>
          <w:bCs/>
          <w:szCs w:val="28"/>
          <w:highlight w:val="none"/>
          <w:lang w:eastAsia="zh-CN"/>
        </w:rPr>
      </w:pPr>
      <w:r>
        <w:rPr>
          <w:rFonts w:hint="eastAsia" w:cs="宋体"/>
          <w:b/>
          <w:bCs/>
          <w:szCs w:val="28"/>
          <w:highlight w:val="none"/>
        </w:rPr>
        <w:t>致：</w:t>
      </w:r>
      <w:r>
        <w:rPr>
          <w:rFonts w:hint="eastAsia" w:hAnsi="宋体" w:cs="宋体"/>
          <w:szCs w:val="24"/>
          <w:highlight w:val="none"/>
          <w:u w:val="single"/>
        </w:rPr>
        <w:t xml:space="preserve">                </w:t>
      </w:r>
      <w:r>
        <w:rPr>
          <w:rFonts w:hint="eastAsia" w:hAnsi="宋体" w:cs="宋体"/>
          <w:szCs w:val="24"/>
          <w:highlight w:val="none"/>
          <w:u w:val="single"/>
          <w:lang w:eastAsia="zh-CN"/>
        </w:rPr>
        <w:t>（</w:t>
      </w:r>
      <w:r>
        <w:rPr>
          <w:rFonts w:hint="eastAsia" w:hAnsi="宋体" w:cs="宋体"/>
          <w:szCs w:val="24"/>
          <w:highlight w:val="none"/>
          <w:u w:val="single"/>
          <w:lang w:val="en-US" w:eastAsia="zh-CN"/>
        </w:rPr>
        <w:t>采购人</w:t>
      </w:r>
      <w:r>
        <w:rPr>
          <w:rFonts w:hint="eastAsia" w:hAnsi="宋体" w:cs="宋体"/>
          <w:szCs w:val="24"/>
          <w:highlight w:val="none"/>
          <w:u w:val="single"/>
          <w:lang w:eastAsia="zh-CN"/>
        </w:rPr>
        <w:t>）</w:t>
      </w:r>
      <w:r>
        <w:rPr>
          <w:rFonts w:hint="eastAsia" w:hAnsi="宋体" w:cs="宋体"/>
          <w:szCs w:val="24"/>
          <w:highlight w:val="none"/>
          <w:u w:val="single"/>
        </w:rPr>
        <w:t xml:space="preserve">      </w:t>
      </w:r>
    </w:p>
    <w:p>
      <w:pPr>
        <w:pStyle w:val="24"/>
        <w:spacing w:line="400" w:lineRule="exact"/>
        <w:ind w:firstLine="420"/>
        <w:rPr>
          <w:rFonts w:hint="eastAsia" w:cs="宋体"/>
          <w:bCs/>
          <w:szCs w:val="28"/>
          <w:highlight w:val="none"/>
        </w:rPr>
      </w:pPr>
      <w:r>
        <w:rPr>
          <w:rFonts w:hint="eastAsia" w:cs="宋体"/>
          <w:bCs/>
          <w:szCs w:val="28"/>
          <w:highlight w:val="none"/>
        </w:rPr>
        <w:t>我方全面研究了“</w:t>
      </w:r>
      <w:r>
        <w:rPr>
          <w:rFonts w:hint="eastAsia" w:cs="宋体"/>
          <w:bCs/>
          <w:szCs w:val="28"/>
          <w:highlight w:val="none"/>
          <w:u w:val="single"/>
        </w:rPr>
        <w:t xml:space="preserve">                  </w:t>
      </w:r>
      <w:r>
        <w:rPr>
          <w:rFonts w:hint="eastAsia" w:hAnsi="宋体" w:cs="宋体"/>
          <w:szCs w:val="24"/>
          <w:highlight w:val="none"/>
          <w:u w:val="single"/>
        </w:rPr>
        <w:t xml:space="preserve"> (</w:t>
      </w:r>
      <w:r>
        <w:rPr>
          <w:rFonts w:hint="eastAsia" w:hAnsi="宋体" w:cs="宋体"/>
          <w:szCs w:val="24"/>
          <w:highlight w:val="none"/>
          <w:u w:val="single"/>
          <w:lang w:val="en-US" w:eastAsia="zh-CN"/>
        </w:rPr>
        <w:t>采购</w:t>
      </w:r>
      <w:r>
        <w:rPr>
          <w:rFonts w:hint="eastAsia" w:cs="宋体"/>
          <w:szCs w:val="24"/>
          <w:highlight w:val="none"/>
          <w:u w:val="single"/>
          <w:lang w:val="en-US" w:eastAsia="zh-CN"/>
        </w:rPr>
        <w:t>项目</w:t>
      </w:r>
      <w:r>
        <w:rPr>
          <w:rFonts w:hint="eastAsia" w:hAnsi="宋体" w:cs="宋体"/>
          <w:szCs w:val="24"/>
          <w:highlight w:val="none"/>
          <w:u w:val="single"/>
        </w:rPr>
        <w:t>名称)</w:t>
      </w:r>
      <w:r>
        <w:rPr>
          <w:rFonts w:hint="eastAsia" w:cs="宋体"/>
          <w:bCs/>
          <w:szCs w:val="28"/>
          <w:highlight w:val="none"/>
          <w:u w:val="single"/>
        </w:rPr>
        <w:t xml:space="preserve">       </w:t>
      </w:r>
      <w:r>
        <w:rPr>
          <w:rFonts w:hint="eastAsia" w:cs="宋体"/>
          <w:bCs/>
          <w:szCs w:val="28"/>
          <w:highlight w:val="none"/>
        </w:rPr>
        <w:t>”采购项目</w:t>
      </w:r>
      <w:r>
        <w:rPr>
          <w:rFonts w:hint="eastAsia" w:cs="宋体"/>
          <w:bCs/>
          <w:szCs w:val="28"/>
          <w:highlight w:val="none"/>
          <w:lang w:eastAsia="zh-CN"/>
        </w:rPr>
        <w:t>招标文件</w:t>
      </w:r>
      <w:r>
        <w:rPr>
          <w:rFonts w:hint="eastAsia" w:cs="宋体"/>
          <w:bCs/>
          <w:szCs w:val="28"/>
          <w:highlight w:val="none"/>
        </w:rPr>
        <w:t>的全部内容，知悉参加投标的风险，我方承诺接受</w:t>
      </w:r>
      <w:r>
        <w:rPr>
          <w:rFonts w:hint="eastAsia" w:cs="宋体"/>
          <w:bCs/>
          <w:szCs w:val="28"/>
          <w:highlight w:val="none"/>
          <w:lang w:eastAsia="zh-CN"/>
        </w:rPr>
        <w:t>招标文件</w:t>
      </w:r>
      <w:r>
        <w:rPr>
          <w:rFonts w:hint="eastAsia" w:cs="宋体"/>
          <w:bCs/>
          <w:szCs w:val="28"/>
          <w:highlight w:val="none"/>
        </w:rPr>
        <w:t>的全部条款且无任何异议，决定参加贵单位组织的本项目招标。我方正式授权</w:t>
      </w:r>
      <w:r>
        <w:rPr>
          <w:rFonts w:hint="eastAsia" w:cs="宋体"/>
          <w:bCs/>
          <w:szCs w:val="28"/>
          <w:highlight w:val="none"/>
          <w:u w:val="single"/>
          <w:lang w:val="en-US" w:eastAsia="zh-CN"/>
        </w:rPr>
        <w:t xml:space="preserve">        </w:t>
      </w:r>
      <w:r>
        <w:rPr>
          <w:rFonts w:hint="eastAsia" w:cs="宋体"/>
          <w:bCs/>
          <w:szCs w:val="28"/>
          <w:highlight w:val="none"/>
          <w:u w:val="single"/>
        </w:rPr>
        <w:t>（姓名、职务）</w:t>
      </w:r>
      <w:r>
        <w:rPr>
          <w:rFonts w:hint="eastAsia" w:cs="宋体"/>
          <w:bCs/>
          <w:szCs w:val="28"/>
          <w:highlight w:val="none"/>
          <w:u w:val="single"/>
          <w:lang w:val="en-US" w:eastAsia="zh-CN"/>
        </w:rPr>
        <w:t xml:space="preserve">      </w:t>
      </w:r>
      <w:r>
        <w:rPr>
          <w:rFonts w:hint="eastAsia" w:cs="宋体"/>
          <w:bCs/>
          <w:szCs w:val="28"/>
          <w:highlight w:val="none"/>
        </w:rPr>
        <w:t>代表我方</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single"/>
        </w:rPr>
        <w:t xml:space="preserve">    </w:t>
      </w:r>
      <w:r>
        <w:rPr>
          <w:rFonts w:hint="eastAsia" w:cs="宋体"/>
          <w:bCs/>
          <w:szCs w:val="28"/>
          <w:highlight w:val="none"/>
        </w:rPr>
        <w:t>（投标单位的名称）全权处理本项目投标的有关事宜。</w:t>
      </w:r>
    </w:p>
    <w:p>
      <w:pPr>
        <w:pStyle w:val="24"/>
        <w:spacing w:line="400" w:lineRule="exact"/>
        <w:ind w:firstLine="420"/>
        <w:rPr>
          <w:rFonts w:hint="eastAsia" w:cs="宋体"/>
          <w:bCs/>
          <w:szCs w:val="28"/>
          <w:highlight w:val="none"/>
        </w:rPr>
      </w:pPr>
      <w:r>
        <w:rPr>
          <w:rFonts w:hint="eastAsia" w:cs="宋体"/>
          <w:bCs/>
          <w:szCs w:val="28"/>
          <w:highlight w:val="none"/>
        </w:rPr>
        <w:t>在此，我方郑重声明以下诸点，并负法律责任。</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rPr>
        <w:t>1、我方提交</w:t>
      </w:r>
      <w:r>
        <w:rPr>
          <w:rFonts w:hint="eastAsia" w:ascii="宋体" w:hAnsi="宋体" w:eastAsia="宋体" w:cs="宋体"/>
          <w:szCs w:val="24"/>
          <w:highlight w:val="none"/>
          <w:lang w:val="en-US" w:eastAsia="zh-CN"/>
        </w:rPr>
        <w:t>电子</w:t>
      </w:r>
      <w:r>
        <w:rPr>
          <w:rFonts w:hint="eastAsia" w:ascii="宋体" w:hAnsi="宋体" w:eastAsia="宋体" w:cs="宋体"/>
          <w:szCs w:val="24"/>
          <w:highlight w:val="none"/>
        </w:rPr>
        <w:t>投标文件</w:t>
      </w:r>
      <w:r>
        <w:rPr>
          <w:rFonts w:hint="eastAsia" w:ascii="宋体" w:hAnsi="宋体" w:eastAsia="宋体" w:cs="宋体"/>
          <w:szCs w:val="24"/>
          <w:highlight w:val="none"/>
          <w:lang w:eastAsia="zh-CN"/>
        </w:rPr>
        <w:t>，</w:t>
      </w:r>
      <w:r>
        <w:rPr>
          <w:rFonts w:hint="eastAsia" w:ascii="宋体" w:hAnsi="宋体" w:eastAsia="宋体" w:cs="宋体"/>
          <w:szCs w:val="24"/>
          <w:highlight w:val="none"/>
        </w:rPr>
        <w:t>并保证投标文件提供的数据和材料真实、准确。</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rPr>
        <w:t>2、我方按</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规定，投标</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报价为</w:t>
      </w:r>
      <w:r>
        <w:rPr>
          <w:rFonts w:hint="eastAsia" w:ascii="宋体" w:hAnsi="宋体" w:eastAsia="宋体" w:cs="宋体"/>
          <w:szCs w:val="24"/>
          <w:highlight w:val="none"/>
          <w:u w:val="single"/>
        </w:rPr>
        <w:t>人民币（大写</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）元（￥：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元）</w:t>
      </w:r>
      <w:r>
        <w:rPr>
          <w:rFonts w:hint="eastAsia" w:ascii="宋体" w:hAnsi="宋体" w:eastAsia="宋体" w:cs="宋体"/>
          <w:szCs w:val="24"/>
          <w:highlight w:val="none"/>
        </w:rPr>
        <w:t>。</w:t>
      </w:r>
    </w:p>
    <w:p>
      <w:pPr>
        <w:pStyle w:val="24"/>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如果我方中标，我方根据</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的规定，履行合同的责任和义务；</w:t>
      </w:r>
    </w:p>
    <w:p>
      <w:pPr>
        <w:pStyle w:val="24"/>
        <w:spacing w:line="400" w:lineRule="exact"/>
        <w:ind w:firstLine="420"/>
        <w:rPr>
          <w:rFonts w:hint="eastAsia" w:cs="宋体"/>
          <w:bCs/>
          <w:szCs w:val="28"/>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、我方已仔细阅读了</w:t>
      </w:r>
      <w:r>
        <w:rPr>
          <w:rFonts w:hint="eastAsia" w:ascii="宋体" w:hAnsi="宋体" w:eastAsia="宋体" w:cs="宋体"/>
          <w:szCs w:val="24"/>
          <w:highlight w:val="none"/>
          <w:lang w:eastAsia="zh-CN"/>
        </w:rPr>
        <w:t>招标文件</w:t>
      </w:r>
      <w:r>
        <w:rPr>
          <w:rFonts w:hint="eastAsia" w:ascii="宋体" w:hAnsi="宋体" w:eastAsia="宋体" w:cs="宋体"/>
          <w:szCs w:val="24"/>
          <w:highlight w:val="none"/>
        </w:rPr>
        <w:t>的全部内容（含修改部分，如有的话），完全理解并放弃提出含糊不清或易形成歧义的</w:t>
      </w:r>
      <w:r>
        <w:rPr>
          <w:rFonts w:hint="eastAsia" w:cs="宋体"/>
          <w:bCs/>
          <w:sz w:val="21"/>
          <w:szCs w:val="21"/>
          <w:highlight w:val="none"/>
        </w:rPr>
        <w:t>表述和资料，同意和放弃对</w:t>
      </w:r>
      <w:r>
        <w:rPr>
          <w:rFonts w:hint="eastAsia" w:cs="宋体"/>
          <w:bCs/>
          <w:sz w:val="21"/>
          <w:szCs w:val="21"/>
          <w:highlight w:val="none"/>
          <w:lang w:eastAsia="zh-CN"/>
        </w:rPr>
        <w:t>招标文件</w:t>
      </w:r>
      <w:r>
        <w:rPr>
          <w:rFonts w:hint="eastAsia" w:cs="宋体"/>
          <w:bCs/>
          <w:sz w:val="21"/>
          <w:szCs w:val="21"/>
          <w:highlight w:val="none"/>
        </w:rPr>
        <w:t>不明或误解而询问、质疑和投</w:t>
      </w:r>
      <w:r>
        <w:rPr>
          <w:rFonts w:hint="eastAsia" w:cs="宋体"/>
          <w:bCs/>
          <w:szCs w:val="28"/>
          <w:highlight w:val="none"/>
        </w:rPr>
        <w:t>诉的权利。</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val="en-US" w:eastAsia="zh-CN"/>
        </w:rPr>
        <w:t>5</w:t>
      </w:r>
      <w:r>
        <w:rPr>
          <w:rFonts w:hint="eastAsia" w:cs="宋体"/>
          <w:bCs/>
          <w:szCs w:val="28"/>
          <w:highlight w:val="none"/>
        </w:rPr>
        <w:t>、开标后在规定的投标有效期内撤回投标，我们愿接受政府采购的有关处罚决定。</w:t>
      </w:r>
    </w:p>
    <w:p>
      <w:pPr>
        <w:pStyle w:val="24"/>
        <w:spacing w:line="400" w:lineRule="exact"/>
        <w:ind w:left="420" w:firstLine="0"/>
        <w:rPr>
          <w:rFonts w:hint="eastAsia" w:cs="宋体"/>
          <w:bCs/>
          <w:szCs w:val="28"/>
          <w:highlight w:val="none"/>
        </w:rPr>
      </w:pPr>
      <w:r>
        <w:rPr>
          <w:rFonts w:hint="eastAsia" w:cs="宋体"/>
          <w:bCs/>
          <w:szCs w:val="28"/>
          <w:highlight w:val="none"/>
          <w:lang w:val="en-US" w:eastAsia="zh-CN"/>
        </w:rPr>
        <w:t>6</w:t>
      </w:r>
      <w:r>
        <w:rPr>
          <w:rFonts w:hint="eastAsia" w:cs="宋体"/>
          <w:bCs/>
          <w:szCs w:val="28"/>
          <w:highlight w:val="none"/>
        </w:rPr>
        <w:t>、同意向贵方提供可能要求的，与本次投标有关的任何证据或资料，并保证我方已提供和将要提供的文件资料是真实、准确的，否则，愿承担《中华人民共和国政府采购法》第七十七条规定的法律责任。我们完全理解最低投标报价不作为中标的唯一条件，且尊重评标委员会的评标结论和定标结果。</w:t>
      </w:r>
    </w:p>
    <w:p>
      <w:pPr>
        <w:pStyle w:val="24"/>
        <w:spacing w:line="400" w:lineRule="exact"/>
        <w:ind w:firstLine="420"/>
        <w:rPr>
          <w:rFonts w:hint="eastAsia" w:cs="宋体"/>
          <w:bCs/>
          <w:szCs w:val="28"/>
          <w:highlight w:val="none"/>
        </w:rPr>
      </w:pPr>
      <w:r>
        <w:rPr>
          <w:rFonts w:hint="eastAsia" w:cs="宋体"/>
          <w:bCs/>
          <w:szCs w:val="28"/>
          <w:highlight w:val="none"/>
          <w:lang w:val="en-US" w:eastAsia="zh-CN"/>
        </w:rPr>
        <w:t>7</w:t>
      </w:r>
      <w:r>
        <w:rPr>
          <w:rFonts w:hint="eastAsia" w:cs="宋体"/>
          <w:bCs/>
          <w:szCs w:val="28"/>
          <w:highlight w:val="none"/>
        </w:rPr>
        <w:t>、按照</w:t>
      </w:r>
      <w:r>
        <w:rPr>
          <w:rFonts w:hint="eastAsia" w:cs="宋体"/>
          <w:bCs/>
          <w:szCs w:val="28"/>
          <w:highlight w:val="none"/>
          <w:lang w:eastAsia="zh-CN"/>
        </w:rPr>
        <w:t>招标文件</w:t>
      </w:r>
      <w:r>
        <w:rPr>
          <w:rFonts w:hint="eastAsia" w:cs="宋体"/>
          <w:bCs/>
          <w:szCs w:val="28"/>
          <w:highlight w:val="none"/>
        </w:rPr>
        <w:t>确定的事项签订政府采购合同，履行双方所签订的合同，并承担合同规定的责任和义务，按合同约定实施和完成项目的</w:t>
      </w:r>
      <w:r>
        <w:rPr>
          <w:rFonts w:hint="eastAsia" w:cs="宋体"/>
          <w:bCs/>
          <w:szCs w:val="28"/>
          <w:highlight w:val="none"/>
          <w:lang w:val="en-US" w:eastAsia="zh-CN"/>
        </w:rPr>
        <w:t>服务内容</w:t>
      </w:r>
      <w:r>
        <w:rPr>
          <w:rFonts w:hint="eastAsia" w:cs="宋体"/>
          <w:bCs/>
          <w:szCs w:val="28"/>
          <w:highlight w:val="none"/>
        </w:rPr>
        <w:t>。</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val="en-US" w:eastAsia="zh-CN"/>
        </w:rPr>
        <w:t>8</w:t>
      </w:r>
      <w:r>
        <w:rPr>
          <w:rFonts w:hint="eastAsia" w:cs="宋体"/>
          <w:bCs/>
          <w:szCs w:val="28"/>
          <w:highlight w:val="none"/>
        </w:rPr>
        <w:t>、我方的投标文件在自开标之日起有效期为90个日历日，若我方中标，投标文件有效期延长至合同执行完毕。</w:t>
      </w:r>
    </w:p>
    <w:p>
      <w:pPr>
        <w:pStyle w:val="24"/>
        <w:spacing w:line="400" w:lineRule="exact"/>
        <w:ind w:firstLine="420"/>
        <w:rPr>
          <w:rFonts w:hint="eastAsia" w:cs="宋体"/>
          <w:bCs/>
          <w:szCs w:val="28"/>
          <w:highlight w:val="none"/>
        </w:rPr>
      </w:pPr>
      <w:r>
        <w:rPr>
          <w:rFonts w:hint="eastAsia" w:cs="宋体"/>
          <w:bCs/>
          <w:szCs w:val="28"/>
          <w:highlight w:val="none"/>
          <w:lang w:val="en-US" w:eastAsia="zh-CN"/>
        </w:rPr>
        <w:t>9</w:t>
      </w:r>
      <w:r>
        <w:rPr>
          <w:rFonts w:hint="eastAsia" w:cs="宋体"/>
          <w:bCs/>
          <w:szCs w:val="28"/>
          <w:highlight w:val="none"/>
        </w:rPr>
        <w:t>、有关本项目的所有函电，请按下列地址联系：</w:t>
      </w:r>
    </w:p>
    <w:p>
      <w:pPr>
        <w:pStyle w:val="24"/>
        <w:spacing w:line="400" w:lineRule="exact"/>
        <w:ind w:firstLine="0"/>
        <w:rPr>
          <w:rFonts w:hint="eastAsia" w:cs="宋体"/>
          <w:bCs/>
          <w:szCs w:val="28"/>
          <w:highlight w:val="none"/>
        </w:rPr>
      </w:pPr>
      <w:r>
        <w:rPr>
          <w:rFonts w:hint="eastAsia" w:cs="宋体"/>
          <w:bCs/>
          <w:szCs w:val="28"/>
          <w:highlight w:val="none"/>
        </w:rPr>
        <w:t xml:space="preserve">                                              </w:t>
      </w:r>
      <w:r>
        <w:rPr>
          <w:rFonts w:hint="eastAsia" w:cs="宋体"/>
          <w:bCs/>
          <w:szCs w:val="28"/>
          <w:highlight w:val="none"/>
          <w:lang w:eastAsia="zh-CN"/>
        </w:rPr>
        <w:t>投标供应商</w:t>
      </w:r>
      <w:r>
        <w:rPr>
          <w:rFonts w:hint="eastAsia" w:cs="宋体"/>
          <w:bCs/>
          <w:szCs w:val="28"/>
          <w:highlight w:val="none"/>
        </w:rPr>
        <w:t>名称：</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none"/>
        </w:rPr>
        <w:t>（</w:t>
      </w:r>
      <w:r>
        <w:rPr>
          <w:rFonts w:hint="eastAsia" w:ascii="宋体" w:hAnsi="宋体" w:cs="宋体"/>
          <w:b w:val="0"/>
          <w:sz w:val="21"/>
          <w:szCs w:val="21"/>
          <w:highlight w:val="none"/>
          <w:u w:val="none"/>
        </w:rPr>
        <w:t>单位全称、盖章</w:t>
      </w:r>
      <w:r>
        <w:rPr>
          <w:rFonts w:hint="eastAsia" w:cs="宋体"/>
          <w:bCs/>
          <w:szCs w:val="28"/>
          <w:highlight w:val="none"/>
          <w:u w:val="none"/>
        </w:rPr>
        <w:t>）</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法定代表人或授权代表（盖章或签字）：</w:t>
      </w:r>
      <w:r>
        <w:rPr>
          <w:rFonts w:hint="eastAsia" w:cs="宋体"/>
          <w:bCs/>
          <w:szCs w:val="28"/>
          <w:highlight w:val="none"/>
          <w:u w:val="single"/>
        </w:rPr>
        <w:t xml:space="preserve">   </w:t>
      </w:r>
      <w:r>
        <w:rPr>
          <w:rFonts w:hint="eastAsia" w:cs="宋体"/>
          <w:bCs/>
          <w:szCs w:val="28"/>
          <w:highlight w:val="none"/>
          <w:u w:val="single"/>
          <w:lang w:val="en-US" w:eastAsia="zh-CN"/>
        </w:rPr>
        <w:t xml:space="preserve"> </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通讯地址：</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联系电话：</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传    真：</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电子邮件：</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开户银行：</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帐    号：</w:t>
      </w:r>
      <w:r>
        <w:rPr>
          <w:rFonts w:hint="eastAsia" w:cs="宋体"/>
          <w:bCs/>
          <w:szCs w:val="28"/>
          <w:highlight w:val="none"/>
          <w:u w:val="single"/>
        </w:rPr>
        <w:t xml:space="preserve">                                   </w:t>
      </w:r>
    </w:p>
    <w:p>
      <w:pPr>
        <w:pStyle w:val="24"/>
        <w:spacing w:line="400" w:lineRule="exact"/>
        <w:ind w:firstLine="2520" w:firstLineChars="1200"/>
        <w:rPr>
          <w:rFonts w:hint="eastAsia" w:cs="宋体"/>
          <w:bCs/>
          <w:szCs w:val="28"/>
          <w:highlight w:val="none"/>
          <w:u w:val="single"/>
        </w:rPr>
      </w:pPr>
      <w:r>
        <w:rPr>
          <w:rFonts w:hint="eastAsia" w:cs="宋体"/>
          <w:bCs/>
          <w:szCs w:val="28"/>
          <w:highlight w:val="none"/>
        </w:rPr>
        <w:t xml:space="preserve">                      日    期：</w:t>
      </w:r>
      <w:r>
        <w:rPr>
          <w:rFonts w:hint="eastAsia" w:cs="宋体"/>
          <w:bCs/>
          <w:szCs w:val="28"/>
          <w:highlight w:val="none"/>
          <w:u w:val="single"/>
        </w:rPr>
        <w:t xml:space="preserve">                                </w:t>
      </w:r>
    </w:p>
    <w:p>
      <w:pPr>
        <w:spacing w:line="600" w:lineRule="exact"/>
        <w:jc w:val="center"/>
        <w:rPr>
          <w:rFonts w:hint="eastAsia" w:ascii="宋体" w:hAnsi="宋体" w:cs="宋体"/>
          <w:b/>
          <w:bCs/>
          <w:color w:val="000000"/>
          <w:sz w:val="36"/>
          <w:szCs w:val="36"/>
          <w:highlight w:val="none"/>
        </w:rPr>
      </w:pPr>
    </w:p>
    <w:p>
      <w:pPr>
        <w:pStyle w:val="16"/>
        <w:rPr>
          <w:rFonts w:hint="eastAsia"/>
          <w:highlight w:val="none"/>
        </w:rPr>
      </w:pPr>
    </w:p>
    <w:p>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二、开标一览表</w:t>
      </w:r>
    </w:p>
    <w:p>
      <w:pPr>
        <w:spacing w:line="360" w:lineRule="auto"/>
        <w:rPr>
          <w:rFonts w:hint="eastAsia" w:ascii="华文宋体" w:hAnsi="华文宋体" w:eastAsia="华文宋体"/>
          <w:highlight w:val="none"/>
        </w:rPr>
      </w:pPr>
      <w:r>
        <w:rPr>
          <w:rFonts w:hint="eastAsia" w:ascii="华文宋体" w:hAnsi="华文宋体" w:eastAsia="华文宋体"/>
          <w:b/>
          <w:bCs/>
          <w:highlight w:val="none"/>
        </w:rPr>
        <w:t xml:space="preserve">     </w:t>
      </w:r>
      <w:r>
        <w:rPr>
          <w:rFonts w:hint="eastAsia" w:ascii="华文宋体" w:hAnsi="华文宋体" w:eastAsia="华文宋体"/>
          <w:highlight w:val="none"/>
        </w:rPr>
        <w:t xml:space="preserve">                  </w:t>
      </w:r>
    </w:p>
    <w:tbl>
      <w:tblPr>
        <w:tblStyle w:val="39"/>
        <w:tblW w:w="4985" w:type="pct"/>
        <w:jc w:val="center"/>
        <w:tblLayout w:type="autofit"/>
        <w:tblCellMar>
          <w:top w:w="0" w:type="dxa"/>
          <w:left w:w="108" w:type="dxa"/>
          <w:bottom w:w="0" w:type="dxa"/>
          <w:right w:w="108" w:type="dxa"/>
        </w:tblCellMar>
      </w:tblPr>
      <w:tblGrid>
        <w:gridCol w:w="2876"/>
        <w:gridCol w:w="6497"/>
      </w:tblGrid>
      <w:tr>
        <w:tblPrEx>
          <w:tblCellMar>
            <w:top w:w="0" w:type="dxa"/>
            <w:left w:w="108" w:type="dxa"/>
            <w:bottom w:w="0" w:type="dxa"/>
            <w:right w:w="108" w:type="dxa"/>
          </w:tblCellMar>
        </w:tblPrEx>
        <w:trPr>
          <w:trHeight w:val="570"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采购项目名称</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hint="eastAsia" w:ascii="仿宋_GB2312" w:hAnsi="宋体" w:eastAsia="仿宋_GB2312"/>
                <w:sz w:val="32"/>
                <w:szCs w:val="32"/>
                <w:highlight w:val="none"/>
                <w:lang w:eastAsia="zh-CN"/>
              </w:rPr>
            </w:pPr>
          </w:p>
        </w:tc>
      </w:tr>
      <w:tr>
        <w:tblPrEx>
          <w:tblCellMar>
            <w:top w:w="0" w:type="dxa"/>
            <w:left w:w="108" w:type="dxa"/>
            <w:bottom w:w="0" w:type="dxa"/>
            <w:right w:w="108" w:type="dxa"/>
          </w:tblCellMar>
        </w:tblPrEx>
        <w:trPr>
          <w:trHeight w:val="39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采购项目编号</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360" w:lineRule="auto"/>
              <w:jc w:val="center"/>
              <w:rPr>
                <w:rFonts w:hint="eastAsia" w:ascii="仿宋_GB2312" w:hAnsi="仿宋" w:eastAsia="仿宋_GB2312" w:cs="仿宋_GB2312"/>
                <w:sz w:val="32"/>
                <w:szCs w:val="32"/>
                <w:highlight w:val="none"/>
                <w:lang w:eastAsia="zh-CN"/>
              </w:rPr>
            </w:pPr>
          </w:p>
        </w:tc>
      </w:tr>
      <w:tr>
        <w:tblPrEx>
          <w:tblCellMar>
            <w:top w:w="0" w:type="dxa"/>
            <w:left w:w="108" w:type="dxa"/>
            <w:bottom w:w="0" w:type="dxa"/>
            <w:right w:w="108" w:type="dxa"/>
          </w:tblCellMar>
        </w:tblPrEx>
        <w:trPr>
          <w:trHeight w:val="78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pStyle w:val="16"/>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投标总报价</w:t>
            </w:r>
          </w:p>
          <w:p>
            <w:pPr>
              <w:pStyle w:val="16"/>
              <w:ind w:right="-84" w:rightChars="-4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40" w:lineRule="auto"/>
              <w:rPr>
                <w:rFonts w:hint="default" w:ascii="仿宋_GB2312" w:hAnsi="宋体" w:eastAsia="仿宋_GB2312" w:cs="Times New Roman"/>
                <w:sz w:val="32"/>
                <w:szCs w:val="32"/>
                <w:highlight w:val="none"/>
                <w:u w:val="single"/>
                <w:lang w:val="en-US" w:eastAsia="zh-CN"/>
              </w:rPr>
            </w:pPr>
            <w:r>
              <w:rPr>
                <w:rFonts w:hint="eastAsia" w:ascii="宋体" w:hAnsi="宋体" w:eastAsia="宋体" w:cs="宋体"/>
                <w:color w:val="000000"/>
                <w:kern w:val="2"/>
                <w:sz w:val="21"/>
                <w:szCs w:val="21"/>
                <w:highlight w:val="none"/>
                <w:lang w:val="en-US" w:eastAsia="zh-CN" w:bidi="ar-SA"/>
              </w:rPr>
              <w:t>大写：</w:t>
            </w:r>
            <w:r>
              <w:rPr>
                <w:rFonts w:hint="eastAsia" w:ascii="仿宋_GB2312" w:hAnsi="宋体" w:eastAsia="仿宋_GB2312" w:cs="Times New Roman"/>
                <w:sz w:val="32"/>
                <w:szCs w:val="32"/>
                <w:highlight w:val="none"/>
                <w:u w:val="single"/>
                <w:lang w:val="en-US" w:eastAsia="zh-CN"/>
              </w:rPr>
              <w:t xml:space="preserve">            </w:t>
            </w:r>
          </w:p>
          <w:p>
            <w:pPr>
              <w:autoSpaceDE w:val="0"/>
              <w:autoSpaceDN w:val="0"/>
              <w:adjustRightInd w:val="0"/>
              <w:snapToGrid w:val="0"/>
              <w:spacing w:line="240" w:lineRule="auto"/>
              <w:rPr>
                <w:rFonts w:hint="eastAsia" w:ascii="仿宋_GB2312" w:hAnsi="仿宋" w:eastAsia="仿宋_GB2312" w:cs="仿宋_GB2312"/>
                <w:sz w:val="32"/>
                <w:szCs w:val="32"/>
                <w:highlight w:val="none"/>
                <w:lang w:eastAsia="zh-CN"/>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p>
        </w:tc>
      </w:tr>
      <w:tr>
        <w:tblPrEx>
          <w:tblCellMar>
            <w:top w:w="0" w:type="dxa"/>
            <w:left w:w="108" w:type="dxa"/>
            <w:bottom w:w="0" w:type="dxa"/>
            <w:right w:w="108" w:type="dxa"/>
          </w:tblCellMar>
        </w:tblPrEx>
        <w:trPr>
          <w:trHeight w:val="570"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二级绿化养护</w:t>
            </w:r>
          </w:p>
          <w:p>
            <w:pPr>
              <w:keepNext w:val="0"/>
              <w:keepLines w:val="0"/>
              <w:widowControl/>
              <w:suppressLineNumbers w:val="0"/>
              <w:tabs>
                <w:tab w:val="left" w:pos="4499"/>
              </w:tabs>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全费用综合单价</w:t>
            </w:r>
          </w:p>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（元/平方米·年）</w:t>
            </w:r>
          </w:p>
        </w:tc>
        <w:tc>
          <w:tcPr>
            <w:tcW w:w="3465" w:type="pct"/>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spacing w:line="240" w:lineRule="auto"/>
              <w:jc w:val="left"/>
              <w:rPr>
                <w:rFonts w:hint="eastAsia" w:ascii="仿宋_GB2312" w:hAnsi="宋体" w:eastAsia="仿宋_GB2312" w:cs="仿宋_GB2312"/>
                <w:color w:val="auto"/>
                <w:sz w:val="32"/>
                <w:szCs w:val="32"/>
                <w:highlight w:val="none"/>
                <w:u w:val="single"/>
              </w:rPr>
            </w:pPr>
            <w:r>
              <w:rPr>
                <w:rFonts w:hint="eastAsia" w:ascii="宋体" w:hAnsi="宋体" w:eastAsia="宋体" w:cs="宋体"/>
                <w:color w:val="000000"/>
                <w:kern w:val="2"/>
                <w:sz w:val="21"/>
                <w:szCs w:val="21"/>
                <w:highlight w:val="none"/>
                <w:lang w:val="en-US" w:eastAsia="zh-CN" w:bidi="ar-SA"/>
              </w:rPr>
              <w:t>小写：</w:t>
            </w:r>
            <w:r>
              <w:rPr>
                <w:rFonts w:hint="eastAsia" w:ascii="仿宋_GB2312" w:hAnsi="宋体" w:eastAsia="仿宋_GB2312" w:cs="Times New Roman"/>
                <w:sz w:val="32"/>
                <w:szCs w:val="32"/>
                <w:highlight w:val="none"/>
                <w:u w:val="single"/>
                <w:lang w:val="en-US" w:eastAsia="zh-CN"/>
              </w:rPr>
              <w:t xml:space="preserve">      </w:t>
            </w:r>
            <w:r>
              <w:rPr>
                <w:rFonts w:hint="eastAsia" w:ascii="宋体" w:hAnsi="宋体" w:eastAsia="宋体" w:cs="宋体"/>
                <w:color w:val="000000"/>
                <w:kern w:val="2"/>
                <w:sz w:val="21"/>
                <w:szCs w:val="21"/>
                <w:highlight w:val="none"/>
                <w:lang w:val="en-US" w:eastAsia="zh-CN" w:bidi="ar-SA"/>
              </w:rPr>
              <w:t>元/平方米·年</w:t>
            </w:r>
          </w:p>
        </w:tc>
      </w:tr>
      <w:tr>
        <w:tblPrEx>
          <w:tblCellMar>
            <w:top w:w="0" w:type="dxa"/>
            <w:left w:w="108" w:type="dxa"/>
            <w:bottom w:w="0" w:type="dxa"/>
            <w:right w:w="108" w:type="dxa"/>
          </w:tblCellMar>
        </w:tblPrEx>
        <w:trPr>
          <w:trHeight w:val="668"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质量标准</w:t>
            </w:r>
          </w:p>
        </w:tc>
        <w:tc>
          <w:tcPr>
            <w:tcW w:w="346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szCs w:val="21"/>
                <w:highlight w:val="none"/>
                <w:lang w:val="en-US" w:eastAsia="zh-CN"/>
              </w:rPr>
              <w:t>达到</w:t>
            </w:r>
            <w:r>
              <w:rPr>
                <w:rFonts w:hint="eastAsia" w:ascii="宋体" w:hAnsi="宋体" w:eastAsia="宋体" w:cs="宋体"/>
                <w:szCs w:val="21"/>
                <w:highlight w:val="none"/>
                <w:lang w:val="en-US" w:eastAsia="zh-CN"/>
              </w:rPr>
              <w:t>“合格”标准及</w:t>
            </w:r>
            <w:r>
              <w:rPr>
                <w:rFonts w:hint="eastAsia" w:ascii="宋体" w:hAnsi="宋体" w:cs="宋体"/>
                <w:szCs w:val="21"/>
                <w:highlight w:val="none"/>
                <w:lang w:val="en-US" w:eastAsia="zh-CN"/>
              </w:rPr>
              <w:t>满足</w:t>
            </w:r>
            <w:r>
              <w:rPr>
                <w:rFonts w:hint="eastAsia" w:ascii="宋体" w:hAnsi="宋体" w:eastAsia="宋体" w:cs="宋体"/>
                <w:szCs w:val="21"/>
                <w:highlight w:val="none"/>
                <w:lang w:val="en-US" w:eastAsia="zh-CN"/>
              </w:rPr>
              <w:t>第四章“</w:t>
            </w:r>
            <w:r>
              <w:rPr>
                <w:rFonts w:hint="eastAsia" w:ascii="宋体" w:hAnsi="宋体" w:cs="宋体"/>
                <w:szCs w:val="21"/>
                <w:highlight w:val="none"/>
                <w:lang w:val="en-US" w:eastAsia="zh-CN"/>
              </w:rPr>
              <w:t>采购内容及技术要求</w:t>
            </w:r>
            <w:r>
              <w:rPr>
                <w:rFonts w:hint="eastAsia" w:ascii="宋体" w:hAnsi="宋体" w:eastAsia="宋体" w:cs="宋体"/>
                <w:szCs w:val="21"/>
                <w:highlight w:val="none"/>
                <w:lang w:val="en-US" w:eastAsia="zh-CN"/>
              </w:rPr>
              <w:t>”的要求</w:t>
            </w:r>
          </w:p>
        </w:tc>
      </w:tr>
      <w:tr>
        <w:tblPrEx>
          <w:tblCellMar>
            <w:top w:w="0" w:type="dxa"/>
            <w:left w:w="108" w:type="dxa"/>
            <w:bottom w:w="0" w:type="dxa"/>
            <w:right w:w="108" w:type="dxa"/>
          </w:tblCellMar>
        </w:tblPrEx>
        <w:trPr>
          <w:trHeight w:val="827" w:hRule="atLeast"/>
          <w:jc w:val="center"/>
        </w:trPr>
        <w:tc>
          <w:tcPr>
            <w:tcW w:w="1534"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服务期限</w:t>
            </w:r>
          </w:p>
        </w:tc>
        <w:tc>
          <w:tcPr>
            <w:tcW w:w="346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自合同签订之日起三年，（</w:t>
            </w:r>
            <w:r>
              <w:rPr>
                <w:rFonts w:hint="eastAsia" w:ascii="宋体" w:hAnsi="宋体" w:eastAsia="宋体" w:cs="宋体"/>
                <w:i w:val="0"/>
                <w:iCs w:val="0"/>
                <w:caps w:val="0"/>
                <w:color w:val="333333"/>
                <w:spacing w:val="0"/>
                <w:sz w:val="21"/>
                <w:szCs w:val="21"/>
                <w:highlight w:val="none"/>
                <w:shd w:val="clear" w:fill="FFFFFF"/>
                <w:vertAlign w:val="baseline"/>
                <w:lang w:eastAsia="zh-CN"/>
              </w:rPr>
              <w:t>合同为</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每</w:t>
            </w:r>
            <w:r>
              <w:rPr>
                <w:rFonts w:hint="eastAsia" w:ascii="宋体" w:hAnsi="宋体" w:eastAsia="宋体" w:cs="宋体"/>
                <w:i w:val="0"/>
                <w:iCs w:val="0"/>
                <w:caps w:val="0"/>
                <w:color w:val="333333"/>
                <w:spacing w:val="0"/>
                <w:sz w:val="21"/>
                <w:szCs w:val="21"/>
                <w:highlight w:val="none"/>
                <w:shd w:val="clear" w:fill="FFFFFF"/>
                <w:vertAlign w:val="baseline"/>
                <w:lang w:eastAsia="zh-CN"/>
              </w:rPr>
              <w:t>年签订</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一次，服务期一年</w:t>
            </w:r>
            <w:r>
              <w:rPr>
                <w:rFonts w:hint="eastAsia" w:ascii="宋体" w:hAnsi="宋体" w:eastAsia="宋体" w:cs="宋体"/>
                <w:i w:val="0"/>
                <w:iCs w:val="0"/>
                <w:caps w:val="0"/>
                <w:color w:val="333333"/>
                <w:spacing w:val="0"/>
                <w:sz w:val="21"/>
                <w:szCs w:val="21"/>
                <w:highlight w:val="none"/>
                <w:shd w:val="clear" w:fill="FFFFFF"/>
                <w:vertAlign w:val="baseline"/>
                <w:lang w:eastAsia="zh-CN"/>
              </w:rPr>
              <w:t>，服务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i w:val="0"/>
                <w:iCs w:val="0"/>
                <w:caps w:val="0"/>
                <w:color w:val="333333"/>
                <w:spacing w:val="0"/>
                <w:sz w:val="21"/>
                <w:szCs w:val="21"/>
                <w:highlight w:val="none"/>
                <w:shd w:val="clear" w:fill="FFFFFF"/>
                <w:vertAlign w:val="baseline"/>
                <w:lang w:eastAsia="zh-CN"/>
              </w:rPr>
              <w:t>在服务期内达不到采购人要求的，采购人有权更换服务</w:t>
            </w:r>
            <w:r>
              <w:rPr>
                <w:rFonts w:hint="eastAsia" w:cs="宋体"/>
                <w:i w:val="0"/>
                <w:iCs w:val="0"/>
                <w:caps w:val="0"/>
                <w:color w:val="333333"/>
                <w:spacing w:val="0"/>
                <w:sz w:val="21"/>
                <w:szCs w:val="21"/>
                <w:highlight w:val="none"/>
                <w:shd w:val="clear" w:fill="FFFFFF"/>
                <w:vertAlign w:val="baseline"/>
                <w:lang w:eastAsia="zh-CN"/>
              </w:rPr>
              <w:t>供应商</w:t>
            </w:r>
            <w:r>
              <w:rPr>
                <w:rFonts w:hint="eastAsia" w:ascii="宋体" w:hAnsi="宋体" w:eastAsia="宋体" w:cs="宋体"/>
                <w:szCs w:val="21"/>
                <w:highlight w:val="none"/>
                <w:lang w:val="en-US" w:eastAsia="zh-CN"/>
              </w:rPr>
              <w:t>）</w:t>
            </w:r>
          </w:p>
        </w:tc>
      </w:tr>
      <w:tr>
        <w:tblPrEx>
          <w:tblCellMar>
            <w:top w:w="0" w:type="dxa"/>
            <w:left w:w="108" w:type="dxa"/>
            <w:bottom w:w="0" w:type="dxa"/>
            <w:right w:w="108" w:type="dxa"/>
          </w:tblCellMar>
        </w:tblPrEx>
        <w:trPr>
          <w:trHeight w:val="1216" w:hRule="atLeast"/>
          <w:jc w:val="center"/>
        </w:trPr>
        <w:tc>
          <w:tcPr>
            <w:tcW w:w="5000" w:type="pct"/>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w:t>
            </w:r>
          </w:p>
          <w:p>
            <w:pPr>
              <w:spacing w:line="56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r>
              <w:rPr>
                <w:rFonts w:hint="eastAsia" w:ascii="宋体" w:hAnsi="宋体" w:cs="宋体"/>
                <w:szCs w:val="21"/>
                <w:highlight w:val="none"/>
              </w:rPr>
              <w:t>本表中报价数字保留小数点后两位</w:t>
            </w:r>
            <w:r>
              <w:rPr>
                <w:rFonts w:hint="eastAsia" w:ascii="宋体" w:hAnsi="宋体" w:cs="宋体"/>
                <w:szCs w:val="21"/>
                <w:highlight w:val="none"/>
                <w:lang w:eastAsia="zh-CN"/>
              </w:rPr>
              <w:t>，</w:t>
            </w:r>
            <w:r>
              <w:rPr>
                <w:rFonts w:hint="eastAsia" w:ascii="宋体" w:hAnsi="宋体" w:cs="宋体"/>
                <w:szCs w:val="21"/>
                <w:highlight w:val="none"/>
                <w:lang w:val="en-US" w:eastAsia="zh-CN"/>
              </w:rPr>
              <w:t>第三位四舍五入。</w:t>
            </w:r>
          </w:p>
          <w:p>
            <w:pPr>
              <w:autoSpaceDE w:val="0"/>
              <w:autoSpaceDN w:val="0"/>
              <w:adjustRightInd w:val="0"/>
              <w:snapToGrid w:val="0"/>
              <w:spacing w:line="240" w:lineRule="auto"/>
              <w:jc w:val="left"/>
              <w:rPr>
                <w:rFonts w:hint="eastAsia" w:ascii="宋体" w:hAnsi="宋体" w:eastAsia="宋体" w:cs="宋体"/>
                <w:szCs w:val="21"/>
                <w:highlight w:val="none"/>
                <w:lang w:eastAsia="zh-CN"/>
              </w:rPr>
            </w:pPr>
            <w:r>
              <w:rPr>
                <w:rFonts w:hint="eastAsia" w:ascii="宋体" w:hAnsi="宋体" w:eastAsia="宋体" w:cs="宋体"/>
                <w:color w:val="000000"/>
                <w:kern w:val="2"/>
                <w:sz w:val="21"/>
                <w:szCs w:val="21"/>
                <w:highlight w:val="none"/>
                <w:lang w:val="en-US" w:eastAsia="zh-CN" w:bidi="ar-SA"/>
              </w:rPr>
              <w:t>2.</w:t>
            </w:r>
            <w:r>
              <w:rPr>
                <w:rFonts w:hint="eastAsia" w:ascii="宋体" w:hAnsi="宋体" w:cs="宋体"/>
                <w:szCs w:val="21"/>
                <w:highlight w:val="none"/>
              </w:rPr>
              <w:t>本表所列各项数据与投标文件其他地方表述不一致时，以本表为准</w:t>
            </w:r>
            <w:r>
              <w:rPr>
                <w:rFonts w:hint="eastAsia" w:ascii="宋体" w:hAnsi="宋体" w:cs="宋体"/>
                <w:szCs w:val="21"/>
                <w:highlight w:val="none"/>
                <w:lang w:eastAsia="zh-CN"/>
              </w:rPr>
              <w:t>。</w:t>
            </w:r>
          </w:p>
          <w:p>
            <w:pPr>
              <w:autoSpaceDE w:val="0"/>
              <w:autoSpaceDN w:val="0"/>
              <w:adjustRightInd w:val="0"/>
              <w:snapToGrid w:val="0"/>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3.</w:t>
            </w:r>
            <w:r>
              <w:rPr>
                <w:rFonts w:hint="eastAsia" w:ascii="宋体" w:hAnsi="宋体" w:eastAsia="宋体" w:cs="宋体"/>
                <w:color w:val="000000"/>
                <w:kern w:val="2"/>
                <w:sz w:val="21"/>
                <w:szCs w:val="21"/>
                <w:highlight w:val="none"/>
                <w:lang w:val="en-US" w:eastAsia="zh-CN" w:bidi="ar-SA"/>
              </w:rPr>
              <w:t>报价大小写不一致时，以大写为准。</w:t>
            </w:r>
          </w:p>
        </w:tc>
      </w:tr>
    </w:tbl>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pStyle w:val="134"/>
        <w:spacing w:line="500" w:lineRule="exact"/>
        <w:ind w:firstLine="4830" w:firstLineChars="2300"/>
        <w:jc w:val="left"/>
        <w:rPr>
          <w:rFonts w:hint="eastAsia" w:ascii="宋体" w:hAnsi="宋体" w:cs="宋体"/>
          <w:b w:val="0"/>
          <w:sz w:val="21"/>
          <w:szCs w:val="21"/>
          <w:highlight w:val="none"/>
        </w:rPr>
      </w:pP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p>
      <w:pPr>
        <w:tabs>
          <w:tab w:val="left" w:pos="1800"/>
          <w:tab w:val="left" w:pos="5580"/>
        </w:tabs>
        <w:wordWrap w:val="0"/>
        <w:spacing w:line="360" w:lineRule="auto"/>
        <w:ind w:left="1080" w:leftChars="257" w:right="84" w:rightChars="40" w:hanging="540"/>
        <w:jc w:val="center"/>
        <w:rPr>
          <w:rFonts w:hint="eastAsia" w:ascii="华文宋体" w:hAnsi="华文宋体" w:eastAsia="华文宋体"/>
          <w:sz w:val="24"/>
          <w:highlight w:val="none"/>
        </w:rPr>
      </w:pPr>
    </w:p>
    <w:bookmarkEnd w:id="19"/>
    <w:p>
      <w:pPr>
        <w:spacing w:line="560" w:lineRule="exact"/>
        <w:jc w:val="both"/>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pPr>
        <w:numPr>
          <w:ilvl w:val="0"/>
          <w:numId w:val="7"/>
        </w:numPr>
        <w:spacing w:line="600" w:lineRule="exact"/>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投标分项报价表</w:t>
      </w:r>
    </w:p>
    <w:p>
      <w:pPr>
        <w:pStyle w:val="24"/>
        <w:widowControl w:val="0"/>
        <w:numPr>
          <w:ilvl w:val="0"/>
          <w:numId w:val="0"/>
        </w:numPr>
        <w:tabs>
          <w:tab w:val="left" w:pos="8199"/>
        </w:tabs>
        <w:spacing w:line="360" w:lineRule="auto"/>
        <w:jc w:val="left"/>
        <w:rPr>
          <w:rFonts w:hint="eastAsia"/>
          <w:highlight w:val="none"/>
          <w:lang w:val="en-US" w:eastAsia="zh-CN"/>
        </w:rPr>
      </w:pPr>
    </w:p>
    <w:p>
      <w:pPr>
        <w:pStyle w:val="24"/>
        <w:widowControl w:val="0"/>
        <w:numPr>
          <w:ilvl w:val="0"/>
          <w:numId w:val="0"/>
        </w:numPr>
        <w:tabs>
          <w:tab w:val="left" w:pos="8199"/>
        </w:tabs>
        <w:spacing w:line="360" w:lineRule="auto"/>
        <w:jc w:val="left"/>
        <w:rPr>
          <w:rFonts w:hint="default" w:eastAsia="宋体"/>
          <w:highlight w:val="none"/>
          <w:lang w:val="en-US" w:eastAsia="zh-CN"/>
        </w:rPr>
      </w:pPr>
      <w:r>
        <w:rPr>
          <w:rFonts w:hint="eastAsia"/>
          <w:highlight w:val="none"/>
          <w:lang w:val="en-US" w:eastAsia="zh-CN"/>
        </w:rPr>
        <w:t>项目名称：秦汉新城渭河福银高速桥至横桥段滩面区域绿化养护</w:t>
      </w:r>
    </w:p>
    <w:p>
      <w:pPr>
        <w:pStyle w:val="24"/>
        <w:widowControl w:val="0"/>
        <w:numPr>
          <w:ilvl w:val="0"/>
          <w:numId w:val="0"/>
        </w:numPr>
        <w:spacing w:line="360" w:lineRule="auto"/>
        <w:jc w:val="both"/>
        <w:rPr>
          <w:rFonts w:hint="eastAsia"/>
          <w:highlight w:val="none"/>
        </w:rPr>
      </w:pPr>
    </w:p>
    <w:tbl>
      <w:tblPr>
        <w:tblStyle w:val="39"/>
        <w:tblpPr w:leftFromText="180" w:rightFromText="180" w:vertAnchor="page" w:horzAnchor="page" w:tblpX="1551" w:tblpY="2905"/>
        <w:tblOverlap w:val="never"/>
        <w:tblW w:w="9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1678"/>
        <w:gridCol w:w="828"/>
        <w:gridCol w:w="1272"/>
        <w:gridCol w:w="1965"/>
        <w:gridCol w:w="1288"/>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94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default" w:ascii="宋体" w:hAnsi="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 xml:space="preserve">秦汉新城渭河福银高速桥至横桥段滩面区域绿化养护分项报价表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9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678"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区域位置</w:t>
            </w:r>
          </w:p>
        </w:tc>
        <w:tc>
          <w:tcPr>
            <w:tcW w:w="8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等级</w:t>
            </w:r>
          </w:p>
        </w:tc>
        <w:tc>
          <w:tcPr>
            <w:tcW w:w="12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9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二级</w:t>
            </w:r>
            <w:r>
              <w:rPr>
                <w:rFonts w:hint="eastAsia" w:ascii="宋体" w:hAnsi="宋体" w:eastAsia="宋体" w:cs="宋体"/>
                <w:i w:val="0"/>
                <w:iCs w:val="0"/>
                <w:color w:val="000000"/>
                <w:kern w:val="0"/>
                <w:sz w:val="18"/>
                <w:szCs w:val="18"/>
                <w:highlight w:val="none"/>
                <w:u w:val="none"/>
                <w:lang w:val="en-US" w:eastAsia="zh-CN" w:bidi="ar"/>
              </w:rPr>
              <w:t>绿化养护</w:t>
            </w:r>
          </w:p>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（元/平方米·年）</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w:t>
            </w:r>
          </w:p>
          <w:p>
            <w:pPr>
              <w:keepNext w:val="0"/>
              <w:keepLines w:val="0"/>
              <w:widowControl/>
              <w:suppressLineNumbers w:val="0"/>
              <w:tabs>
                <w:tab w:val="left" w:pos="4499"/>
              </w:tabs>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小计</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（元/年）</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7" w:hRule="atLeast"/>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渭河福银高速桥至横桥段滩面</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二</w:t>
            </w:r>
            <w:r>
              <w:rPr>
                <w:rFonts w:hint="eastAsia" w:ascii="宋体" w:hAnsi="宋体" w:eastAsia="宋体" w:cs="宋体"/>
                <w:i w:val="0"/>
                <w:iCs w:val="0"/>
                <w:color w:val="000000"/>
                <w:kern w:val="0"/>
                <w:sz w:val="18"/>
                <w:szCs w:val="18"/>
                <w:highlight w:val="none"/>
                <w:u w:val="none"/>
                <w:lang w:val="en-US" w:eastAsia="zh-CN" w:bidi="ar"/>
              </w:rPr>
              <w:t>级</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1196000.00 </w:t>
            </w:r>
            <w:r>
              <w:rPr>
                <w:rFonts w:hint="eastAsia" w:ascii="宋体" w:hAnsi="宋体" w:eastAsia="宋体" w:cs="宋体"/>
                <w:b w:val="0"/>
                <w:bCs w:val="0"/>
                <w:i w:val="0"/>
                <w:iCs w:val="0"/>
                <w:color w:val="000000"/>
                <w:kern w:val="0"/>
                <w:sz w:val="18"/>
                <w:szCs w:val="18"/>
                <w:highlight w:val="none"/>
                <w:u w:val="none"/>
                <w:lang w:val="en-US" w:eastAsia="zh-CN" w:bidi="ar"/>
              </w:rPr>
              <w:t xml:space="preserve"> </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288" w:type="dxa"/>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4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w:t>
            </w:r>
            <w:r>
              <w:rPr>
                <w:rFonts w:hint="eastAsia" w:ascii="宋体" w:hAnsi="宋体" w:cs="宋体"/>
                <w:i w:val="0"/>
                <w:iCs w:val="0"/>
                <w:color w:val="000000"/>
                <w:kern w:val="0"/>
                <w:sz w:val="18"/>
                <w:szCs w:val="18"/>
                <w:highlight w:val="none"/>
                <w:u w:val="none"/>
                <w:lang w:val="en-US" w:eastAsia="zh-CN" w:bidi="ar"/>
              </w:rPr>
              <w:t>小计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绿化养护面积</w:t>
            </w:r>
            <w:r>
              <w:rPr>
                <w:rFonts w:hint="eastAsia" w:ascii="宋体" w:hAnsi="宋体" w:cs="宋体"/>
                <w:i w:val="0"/>
                <w:iCs w:val="0"/>
                <w:color w:val="000000"/>
                <w:kern w:val="0"/>
                <w:sz w:val="18"/>
                <w:szCs w:val="18"/>
                <w:highlight w:val="none"/>
                <w:u w:val="none"/>
                <w:lang w:val="en-US" w:eastAsia="zh-CN" w:bidi="ar"/>
              </w:rPr>
              <w:t>*二级</w:t>
            </w:r>
            <w:r>
              <w:rPr>
                <w:rFonts w:hint="eastAsia" w:ascii="宋体" w:hAnsi="宋体" w:eastAsia="宋体" w:cs="宋体"/>
                <w:i w:val="0"/>
                <w:iCs w:val="0"/>
                <w:color w:val="000000"/>
                <w:kern w:val="0"/>
                <w:sz w:val="18"/>
                <w:szCs w:val="18"/>
                <w:highlight w:val="none"/>
                <w:u w:val="none"/>
                <w:lang w:val="en-US" w:eastAsia="zh-CN" w:bidi="ar"/>
              </w:rPr>
              <w:t>绿化养护</w:t>
            </w:r>
          </w:p>
          <w:p>
            <w:pPr>
              <w:keepNext w:val="0"/>
              <w:keepLines w:val="0"/>
              <w:widowControl/>
              <w:suppressLineNumbers w:val="0"/>
              <w:tabs>
                <w:tab w:val="left" w:pos="4499"/>
              </w:tabs>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全费用综合单价</w:t>
            </w:r>
          </w:p>
          <w:p>
            <w:pPr>
              <w:keepNext w:val="0"/>
              <w:keepLines w:val="0"/>
              <w:widowControl/>
              <w:suppressLineNumbers w:val="0"/>
              <w:tabs>
                <w:tab w:val="left" w:pos="4499"/>
              </w:tabs>
              <w:jc w:val="center"/>
              <w:textAlignment w:val="center"/>
              <w:rPr>
                <w:rFonts w:hint="default"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7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移栽、恢复等零星应急暂列金（元/年）</w:t>
            </w:r>
          </w:p>
        </w:tc>
        <w:tc>
          <w:tcPr>
            <w:tcW w:w="12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1076400.00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投标总报价合计：小写</w:t>
            </w:r>
            <w:r>
              <w:rPr>
                <w:rFonts w:hint="eastAsia"/>
                <w:highlight w:val="none"/>
                <w:u w:val="single"/>
                <w:lang w:val="en-US" w:eastAsia="zh-CN"/>
              </w:rPr>
              <w:t xml:space="preserve">               </w:t>
            </w:r>
            <w:r>
              <w:rPr>
                <w:rFonts w:hint="eastAsia" w:ascii="宋体" w:hAnsi="宋体" w:eastAsia="宋体" w:cs="宋体"/>
                <w:i w:val="0"/>
                <w:iCs w:val="0"/>
                <w:color w:val="000000"/>
                <w:kern w:val="0"/>
                <w:sz w:val="18"/>
                <w:szCs w:val="18"/>
                <w:highlight w:val="none"/>
                <w:u w:val="none"/>
                <w:lang w:val="en-US" w:eastAsia="zh-CN" w:bidi="ar"/>
              </w:rPr>
              <w:t>（元/年）</w:t>
            </w:r>
          </w:p>
          <w:p>
            <w:pPr>
              <w:keepNext w:val="0"/>
              <w:keepLines w:val="0"/>
              <w:widowControl/>
              <w:suppressLineNumbers w:val="0"/>
              <w:tabs>
                <w:tab w:val="left" w:pos="4499"/>
              </w:tabs>
              <w:jc w:val="both"/>
              <w:textAlignment w:val="center"/>
              <w:rPr>
                <w:rFonts w:hint="default"/>
                <w:highlight w:val="none"/>
                <w:lang w:val="en-US" w:eastAsia="zh-CN"/>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val="0"/>
              <w:numPr>
                <w:ilvl w:val="0"/>
                <w:numId w:val="0"/>
              </w:numPr>
              <w:spacing w:line="360" w:lineRule="auto"/>
              <w:jc w:val="both"/>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投标总报价=投标报价</w:t>
            </w:r>
            <w:r>
              <w:rPr>
                <w:rFonts w:hint="eastAsia" w:cs="宋体"/>
                <w:i w:val="0"/>
                <w:iCs w:val="0"/>
                <w:color w:val="000000"/>
                <w:kern w:val="0"/>
                <w:sz w:val="18"/>
                <w:szCs w:val="18"/>
                <w:highlight w:val="none"/>
                <w:u w:val="none"/>
                <w:lang w:val="en-US" w:eastAsia="zh-CN" w:bidi="ar"/>
              </w:rPr>
              <w:t>小计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暂列金</w:t>
            </w:r>
            <w:r>
              <w:rPr>
                <w:rFonts w:hint="eastAsia" w:ascii="宋体" w:hAnsi="宋体" w:cs="宋体"/>
                <w:i w:val="0"/>
                <w:iCs w:val="0"/>
                <w:color w:val="000000"/>
                <w:kern w:val="0"/>
                <w:sz w:val="18"/>
                <w:szCs w:val="18"/>
                <w:highlight w:val="none"/>
                <w:u w:val="none"/>
                <w:lang w:val="en-US" w:eastAsia="zh-CN" w:bidi="ar"/>
              </w:rPr>
              <w:t>金额</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注：1.暂列金金额应按上述清单中列出的金额填写。不得更改，否则投标报价按不合格处理，否决其投标。</w:t>
      </w:r>
    </w:p>
    <w:p>
      <w:pPr>
        <w:keepNext w:val="0"/>
        <w:keepLines w:val="0"/>
        <w:widowControl/>
        <w:numPr>
          <w:ilvl w:val="0"/>
          <w:numId w:val="0"/>
        </w:numPr>
        <w:suppressLineNumbers w:val="0"/>
        <w:ind w:left="720" w:left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r>
        <w:rPr>
          <w:rFonts w:hint="eastAsia" w:ascii="宋体" w:hAnsi="宋体" w:eastAsia="宋体" w:cs="宋体"/>
          <w:i w:val="0"/>
          <w:iCs w:val="0"/>
          <w:color w:val="000000"/>
          <w:kern w:val="0"/>
          <w:sz w:val="18"/>
          <w:szCs w:val="18"/>
          <w:highlight w:val="none"/>
          <w:u w:val="none"/>
          <w:lang w:val="en-US" w:eastAsia="zh-CN" w:bidi="ar"/>
        </w:rPr>
        <w:t>暂列金额均为估算、预测数量，虽在投标时计入投标供应商的投标报价中，但为属于采购人的金额，不应为</w:t>
      </w:r>
      <w:r>
        <w:rPr>
          <w:rFonts w:hint="eastAsia" w:ascii="宋体" w:hAnsi="宋体" w:cs="宋体"/>
          <w:i w:val="0"/>
          <w:iCs w:val="0"/>
          <w:color w:val="000000"/>
          <w:kern w:val="0"/>
          <w:sz w:val="18"/>
          <w:szCs w:val="18"/>
          <w:highlight w:val="none"/>
          <w:u w:val="none"/>
          <w:lang w:val="en-US" w:eastAsia="zh-CN" w:bidi="ar"/>
        </w:rPr>
        <w:t>投标供应商</w:t>
      </w:r>
      <w:r>
        <w:rPr>
          <w:rFonts w:hint="eastAsia" w:ascii="宋体" w:hAnsi="宋体" w:eastAsia="宋体" w:cs="宋体"/>
          <w:i w:val="0"/>
          <w:iCs w:val="0"/>
          <w:color w:val="000000"/>
          <w:kern w:val="0"/>
          <w:sz w:val="18"/>
          <w:szCs w:val="18"/>
          <w:highlight w:val="none"/>
          <w:u w:val="none"/>
          <w:lang w:val="en-US" w:eastAsia="zh-CN" w:bidi="ar"/>
        </w:rPr>
        <w:t>所有。移栽、恢复等零星应急事项发生时据实计取，按招标文件相关要求结算。</w:t>
      </w:r>
    </w:p>
    <w:p>
      <w:pPr>
        <w:pStyle w:val="24"/>
        <w:numPr>
          <w:ilvl w:val="0"/>
          <w:numId w:val="0"/>
        </w:numPr>
        <w:ind w:left="720" w:leftChars="0"/>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3.所有报价小数点后</w:t>
      </w:r>
      <w:r>
        <w:rPr>
          <w:rFonts w:hint="eastAsia" w:cs="宋体"/>
          <w:i w:val="0"/>
          <w:iCs w:val="0"/>
          <w:color w:val="000000"/>
          <w:kern w:val="0"/>
          <w:sz w:val="18"/>
          <w:szCs w:val="18"/>
          <w:highlight w:val="none"/>
          <w:u w:val="none"/>
          <w:lang w:val="en-US" w:eastAsia="zh-CN" w:bidi="ar"/>
        </w:rPr>
        <w:t>保留</w:t>
      </w:r>
      <w:r>
        <w:rPr>
          <w:rFonts w:hint="eastAsia" w:ascii="宋体" w:hAnsi="宋体" w:eastAsia="宋体" w:cs="宋体"/>
          <w:i w:val="0"/>
          <w:iCs w:val="0"/>
          <w:color w:val="000000"/>
          <w:kern w:val="0"/>
          <w:sz w:val="18"/>
          <w:szCs w:val="18"/>
          <w:highlight w:val="none"/>
          <w:u w:val="none"/>
          <w:lang w:val="en-US" w:eastAsia="zh-CN" w:bidi="ar"/>
        </w:rPr>
        <w:t>两位小数，第三位四舍五入。</w:t>
      </w:r>
    </w:p>
    <w:p>
      <w:pPr>
        <w:pStyle w:val="24"/>
        <w:widowControl w:val="0"/>
        <w:numPr>
          <w:ilvl w:val="0"/>
          <w:numId w:val="0"/>
        </w:numPr>
        <w:spacing w:line="360" w:lineRule="auto"/>
        <w:jc w:val="both"/>
        <w:rPr>
          <w:rFonts w:hint="eastAsia"/>
          <w:highlight w:val="none"/>
        </w:rPr>
      </w:pPr>
    </w:p>
    <w:p>
      <w:pPr>
        <w:pStyle w:val="24"/>
        <w:widowControl w:val="0"/>
        <w:numPr>
          <w:ilvl w:val="0"/>
          <w:numId w:val="0"/>
        </w:numPr>
        <w:spacing w:line="360" w:lineRule="auto"/>
        <w:jc w:val="both"/>
        <w:rPr>
          <w:rFonts w:hint="eastAsia"/>
          <w:highlight w:val="none"/>
        </w:rPr>
      </w:pPr>
    </w:p>
    <w:p>
      <w:pPr>
        <w:rPr>
          <w:rFonts w:hint="eastAsia" w:cs="宋体"/>
          <w:b/>
          <w:bCs/>
          <w:spacing w:val="4"/>
          <w:sz w:val="30"/>
          <w:szCs w:val="30"/>
          <w:highlight w:val="none"/>
        </w:rPr>
      </w:pP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val="en-US" w:eastAsia="zh-CN"/>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16"/>
        <w:rPr>
          <w:rFonts w:hint="eastAsia" w:cs="宋体"/>
          <w:b/>
          <w:bCs/>
          <w:spacing w:val="4"/>
          <w:sz w:val="30"/>
          <w:szCs w:val="30"/>
          <w:highlight w:val="none"/>
        </w:rPr>
      </w:pPr>
    </w:p>
    <w:p>
      <w:pPr>
        <w:numPr>
          <w:ilvl w:val="0"/>
          <w:numId w:val="8"/>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资格</w:t>
      </w:r>
      <w:r>
        <w:rPr>
          <w:rFonts w:hint="eastAsia" w:ascii="宋体" w:hAnsi="宋体" w:cs="宋体"/>
          <w:b/>
          <w:bCs/>
          <w:color w:val="000000"/>
          <w:sz w:val="36"/>
          <w:szCs w:val="36"/>
          <w:highlight w:val="none"/>
          <w:lang w:val="en-US" w:eastAsia="zh-CN"/>
        </w:rPr>
        <w:t>证明</w:t>
      </w:r>
      <w:r>
        <w:rPr>
          <w:rFonts w:hint="eastAsia" w:ascii="宋体" w:hAnsi="宋体" w:cs="宋体"/>
          <w:b/>
          <w:bCs/>
          <w:color w:val="000000"/>
          <w:sz w:val="36"/>
          <w:szCs w:val="36"/>
          <w:highlight w:val="none"/>
        </w:rPr>
        <w:t>文件</w:t>
      </w:r>
    </w:p>
    <w:p>
      <w:pPr>
        <w:spacing w:line="400" w:lineRule="exact"/>
        <w:rPr>
          <w:rFonts w:hint="eastAsia"/>
          <w:highlight w:val="none"/>
          <w:lang w:eastAsia="zh-CN"/>
        </w:rPr>
      </w:pPr>
      <w:r>
        <w:rPr>
          <w:rFonts w:hint="eastAsia"/>
          <w:highlight w:val="none"/>
          <w:lang w:val="en-US" w:eastAsia="zh-CN"/>
        </w:rPr>
        <w:t>1.满足《中华人民共和国政府采购法》第二十二条的规定</w:t>
      </w:r>
      <w:r>
        <w:rPr>
          <w:rFonts w:hint="eastAsia"/>
          <w:highlight w:val="none"/>
          <w:lang w:eastAsia="zh-CN"/>
        </w:rPr>
        <w:t>：</w:t>
      </w:r>
    </w:p>
    <w:p>
      <w:pPr>
        <w:spacing w:line="400" w:lineRule="exact"/>
        <w:rPr>
          <w:rFonts w:hint="eastAsia"/>
          <w:highlight w:val="none"/>
          <w:lang w:eastAsia="zh-CN"/>
        </w:rPr>
      </w:pPr>
      <w:r>
        <w:rPr>
          <w:rFonts w:hint="eastAsia"/>
          <w:highlight w:val="none"/>
          <w:lang w:val="en-US" w:eastAsia="zh-CN"/>
        </w:rPr>
        <w:t>（1）</w:t>
      </w:r>
      <w:r>
        <w:rPr>
          <w:rFonts w:hint="eastAsia"/>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pPr>
        <w:spacing w:line="400" w:lineRule="exact"/>
        <w:rPr>
          <w:rFonts w:hint="eastAsia"/>
          <w:highlight w:val="none"/>
          <w:lang w:val="en-US" w:eastAsia="zh-CN"/>
        </w:rPr>
      </w:pPr>
      <w:r>
        <w:rPr>
          <w:rFonts w:hint="eastAsia"/>
          <w:highlight w:val="none"/>
          <w:lang w:val="en-US" w:eastAsia="zh-CN"/>
        </w:rPr>
        <w:t>（2）投标供应商提供基本资</w:t>
      </w:r>
      <w:r>
        <w:rPr>
          <w:rFonts w:hint="eastAsia"/>
          <w:highlight w:val="none"/>
          <w:lang w:eastAsia="zh-CN"/>
        </w:rPr>
        <w:t>格条件承诺函：</w:t>
      </w:r>
      <w:r>
        <w:rPr>
          <w:rFonts w:hint="eastAsia"/>
          <w:highlight w:val="none"/>
          <w:lang w:val="en-US" w:eastAsia="zh-CN"/>
        </w:rPr>
        <w:t>以下</w:t>
      </w:r>
      <w:r>
        <w:rPr>
          <w:rFonts w:hint="default"/>
          <w:highlight w:val="none"/>
          <w:lang w:eastAsia="zh-CN"/>
        </w:rPr>
        <w:t>①</w:t>
      </w:r>
      <w:r>
        <w:rPr>
          <w:rFonts w:hint="eastAsia"/>
          <w:highlight w:val="none"/>
          <w:lang w:val="en-US" w:eastAsia="zh-CN"/>
        </w:rPr>
        <w:t>-</w:t>
      </w:r>
      <w:r>
        <w:rPr>
          <w:rFonts w:hint="eastAsia"/>
          <w:highlight w:val="none"/>
          <w:lang w:eastAsia="zh-CN"/>
        </w:rPr>
        <w:t>④</w:t>
      </w:r>
      <w:r>
        <w:rPr>
          <w:rFonts w:hint="eastAsia"/>
          <w:highlight w:val="none"/>
          <w:lang w:val="en-US" w:eastAsia="zh-CN"/>
        </w:rPr>
        <w:t>条要求的相关材料供应商可提供</w:t>
      </w:r>
      <w:r>
        <w:rPr>
          <w:rFonts w:hint="eastAsia"/>
          <w:highlight w:val="none"/>
          <w:lang w:eastAsia="zh-CN"/>
        </w:rPr>
        <w:t>《基本资格条件承诺函》</w:t>
      </w:r>
      <w:r>
        <w:rPr>
          <w:rFonts w:hint="eastAsia"/>
          <w:highlight w:val="none"/>
          <w:lang w:val="en-US" w:eastAsia="zh-CN"/>
        </w:rPr>
        <w:t>替代，</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spacing w:line="400" w:lineRule="exact"/>
        <w:rPr>
          <w:rFonts w:hint="eastAsia"/>
          <w:highlight w:val="none"/>
          <w:lang w:val="en-US" w:eastAsia="zh-CN"/>
        </w:rPr>
      </w:pPr>
      <w:r>
        <w:rPr>
          <w:rFonts w:hint="eastAsia"/>
          <w:highlight w:val="none"/>
          <w:lang w:val="en-US" w:eastAsia="zh-CN"/>
        </w:rPr>
        <w:t>2.落实政府采购政策需满足的资格要求；</w:t>
      </w:r>
    </w:p>
    <w:p>
      <w:pPr>
        <w:spacing w:line="400" w:lineRule="exact"/>
        <w:rPr>
          <w:rFonts w:hint="eastAsia"/>
          <w:highlight w:val="none"/>
          <w:lang w:val="en-US" w:eastAsia="zh-CN"/>
        </w:rPr>
      </w:pPr>
      <w:r>
        <w:rPr>
          <w:rFonts w:hint="eastAsia"/>
          <w:highlight w:val="none"/>
          <w:lang w:val="en-US" w:eastAsia="zh-CN"/>
        </w:rPr>
        <w:t>本项目专门面向中小企业采购，仅限符合《政府采购促进中小企业发展暂行办法》（财库〔2020〕46号）条件的中小企业参与，投标供应商应填写中小企业声明函并对真实性负责。残疾人福利性单位及监狱企业视同为小型、微型企业，残疾人福利性单位应符合《关于促进残疾人就业政府采购政策的通知》（财库〔2017〕141号）要求，监狱企业应符合《关于政府采购支持监狱企业发展有关问题的通知》（财库〔2014〕68号）要求。</w:t>
      </w:r>
    </w:p>
    <w:p>
      <w:pPr>
        <w:spacing w:line="400" w:lineRule="exact"/>
        <w:rPr>
          <w:rFonts w:hint="eastAsia"/>
          <w:highlight w:val="none"/>
          <w:lang w:eastAsia="zh-CN"/>
        </w:rPr>
      </w:pPr>
      <w:r>
        <w:rPr>
          <w:rFonts w:hint="eastAsia"/>
          <w:highlight w:val="none"/>
          <w:lang w:val="en-US" w:eastAsia="zh-CN"/>
        </w:rPr>
        <w:t>3.</w:t>
      </w:r>
      <w:r>
        <w:rPr>
          <w:rFonts w:hint="eastAsia"/>
          <w:highlight w:val="none"/>
          <w:lang w:eastAsia="zh-CN"/>
        </w:rPr>
        <w:t>本项目的特定资格要求：</w:t>
      </w:r>
    </w:p>
    <w:p>
      <w:pPr>
        <w:spacing w:line="400" w:lineRule="exact"/>
        <w:rPr>
          <w:rFonts w:hint="eastAsia"/>
          <w:highlight w:val="none"/>
          <w:lang w:val="en-US" w:eastAsia="zh-CN"/>
        </w:rPr>
      </w:pPr>
      <w:r>
        <w:rPr>
          <w:rFonts w:hint="eastAsia"/>
          <w:highlight w:val="none"/>
          <w:lang w:val="en-US" w:eastAsia="zh-CN"/>
        </w:rPr>
        <w:t>（1）法定代表人直接参加投标的，须提供法定代表人身份证明及身份证扫描件；法定代表人授权他人参加投标的，须提供法定代表人授权委托书（附法定代表人、被授权人身份证扫描件），自然人提供其身份证扫描件；</w:t>
      </w:r>
    </w:p>
    <w:p>
      <w:pPr>
        <w:spacing w:line="400" w:lineRule="exact"/>
        <w:rPr>
          <w:rFonts w:hint="eastAsia"/>
          <w:highlight w:val="none"/>
          <w:lang w:val="en-US" w:eastAsia="zh-CN"/>
        </w:rPr>
      </w:pPr>
      <w:r>
        <w:rPr>
          <w:rFonts w:hint="eastAsia"/>
          <w:highlight w:val="none"/>
          <w:lang w:val="en-US" w:eastAsia="zh-CN"/>
        </w:rPr>
        <w:t>（2）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p>
    <w:p>
      <w:pPr>
        <w:spacing w:line="400" w:lineRule="exact"/>
        <w:rPr>
          <w:rFonts w:hint="eastAsia"/>
          <w:highlight w:val="none"/>
          <w:lang w:eastAsia="zh-CN"/>
        </w:rPr>
      </w:pPr>
      <w:r>
        <w:rPr>
          <w:rFonts w:hint="eastAsia"/>
          <w:highlight w:val="none"/>
          <w:lang w:val="en-US" w:eastAsia="zh-CN"/>
        </w:rPr>
        <w:t>（3）本项目不接受联合体投标。</w:t>
      </w:r>
    </w:p>
    <w:p>
      <w:pPr>
        <w:pStyle w:val="16"/>
        <w:jc w:val="left"/>
        <w:rPr>
          <w:rFonts w:hint="eastAsia" w:ascii="Times New Roman" w:hAnsi="Times New Roman" w:eastAsia="宋体" w:cs="Times New Roman"/>
          <w:b/>
          <w:bCs/>
          <w:highlight w:val="none"/>
          <w:lang w:eastAsia="zh-CN"/>
        </w:rPr>
      </w:pPr>
      <w:r>
        <w:rPr>
          <w:rFonts w:hint="eastAsia" w:ascii="Times New Roman" w:hAnsi="Times New Roman" w:eastAsia="宋体" w:cs="Times New Roman"/>
          <w:b/>
          <w:bCs/>
          <w:highlight w:val="none"/>
          <w:lang w:eastAsia="zh-CN"/>
        </w:rPr>
        <w:t>注：</w:t>
      </w:r>
      <w:r>
        <w:rPr>
          <w:rFonts w:hint="eastAsia" w:ascii="Times New Roman" w:hAnsi="Times New Roman" w:eastAsia="宋体" w:cs="Times New Roman"/>
          <w:b/>
          <w:bCs/>
          <w:highlight w:val="none"/>
          <w:lang w:val="en-US" w:eastAsia="zh-CN"/>
        </w:rPr>
        <w:t>1.</w:t>
      </w:r>
      <w:r>
        <w:rPr>
          <w:rFonts w:hint="eastAsia" w:ascii="Times New Roman" w:hAnsi="Times New Roman" w:eastAsia="宋体" w:cs="Times New Roman"/>
          <w:b/>
          <w:bCs/>
          <w:highlight w:val="none"/>
          <w:lang w:eastAsia="zh-CN"/>
        </w:rPr>
        <w:t>上述资格证明文件为必备资格，缺项或者符合性、有效性、合法</w:t>
      </w:r>
      <w:r>
        <w:rPr>
          <w:rFonts w:hint="eastAsia" w:ascii="Times New Roman" w:hAnsi="Times New Roman" w:eastAsia="宋体" w:cs="Times New Roman"/>
          <w:b/>
          <w:bCs/>
          <w:highlight w:val="none"/>
          <w:lang w:val="en-US" w:eastAsia="zh-CN"/>
        </w:rPr>
        <w:t>性审查不合格的，</w:t>
      </w:r>
      <w:r>
        <w:rPr>
          <w:rFonts w:hint="eastAsia" w:ascii="Times New Roman" w:hAnsi="Times New Roman" w:eastAsia="宋体" w:cs="Times New Roman"/>
          <w:b/>
          <w:bCs/>
          <w:highlight w:val="none"/>
          <w:lang w:eastAsia="zh-CN"/>
        </w:rPr>
        <w:t>按无效投标文件处理</w:t>
      </w: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b/>
          <w:bCs/>
          <w:highlight w:val="none"/>
          <w:lang w:eastAsia="zh-CN"/>
        </w:rPr>
        <w:t>资格审查时以投标文件中所附</w:t>
      </w:r>
      <w:r>
        <w:rPr>
          <w:rFonts w:hint="eastAsia" w:ascii="Times New Roman" w:hAnsi="Times New Roman" w:eastAsia="宋体" w:cs="Times New Roman"/>
          <w:b/>
          <w:bCs/>
          <w:highlight w:val="none"/>
          <w:lang w:val="en-US" w:eastAsia="zh-CN"/>
        </w:rPr>
        <w:t>扫描件</w:t>
      </w:r>
      <w:r>
        <w:rPr>
          <w:rFonts w:hint="eastAsia" w:ascii="Times New Roman" w:hAnsi="Times New Roman" w:eastAsia="宋体" w:cs="Times New Roman"/>
          <w:b/>
          <w:bCs/>
          <w:highlight w:val="none"/>
          <w:lang w:eastAsia="zh-CN"/>
        </w:rPr>
        <w:t>加盖公章证明材料</w:t>
      </w:r>
      <w:r>
        <w:rPr>
          <w:rFonts w:hint="eastAsia" w:ascii="Times New Roman" w:hAnsi="Times New Roman" w:eastAsia="宋体" w:cs="Times New Roman"/>
          <w:b/>
          <w:bCs/>
          <w:highlight w:val="none"/>
          <w:lang w:val="en-US" w:eastAsia="zh-CN"/>
        </w:rPr>
        <w:t>和现场相关网站查询</w:t>
      </w:r>
      <w:r>
        <w:rPr>
          <w:rFonts w:hint="eastAsia" w:ascii="Times New Roman" w:hAnsi="Times New Roman" w:eastAsia="宋体" w:cs="Times New Roman"/>
          <w:b/>
          <w:bCs/>
          <w:highlight w:val="none"/>
          <w:lang w:eastAsia="zh-CN"/>
        </w:rPr>
        <w:t>为准（信用中国、中国政府采购网查询结果，由代理机构进行查询并留存）。</w:t>
      </w:r>
    </w:p>
    <w:p>
      <w:pPr>
        <w:adjustRightInd w:val="0"/>
        <w:snapToGrid w:val="0"/>
        <w:spacing w:line="360" w:lineRule="auto"/>
        <w:jc w:val="both"/>
        <w:outlineLvl w:val="2"/>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附件1：投标供应商基本情况表</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名称</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3929" w:type="dxa"/>
            <w:gridSpan w:val="2"/>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noWrap w:val="0"/>
            <w:vAlign w:val="center"/>
          </w:tcPr>
          <w:p>
            <w:pPr>
              <w:spacing w:line="440" w:lineRule="exact"/>
              <w:jc w:val="center"/>
              <w:rPr>
                <w:rFonts w:hint="eastAsia" w:ascii="宋体" w:hAnsi="宋体" w:cs="宋体"/>
                <w:szCs w:val="21"/>
                <w:highlight w:val="none"/>
              </w:rPr>
            </w:pP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传真</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网址</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单位性质</w:t>
            </w:r>
          </w:p>
        </w:tc>
        <w:tc>
          <w:tcPr>
            <w:tcW w:w="7690" w:type="dxa"/>
            <w:gridSpan w:val="4"/>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noWrap w:val="0"/>
            <w:vAlign w:val="center"/>
          </w:tcPr>
          <w:p>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法定代表人（或负责人）</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880" w:type="dxa"/>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11" w:type="dxa"/>
            <w:noWrap w:val="0"/>
            <w:vAlign w:val="center"/>
          </w:tcPr>
          <w:p>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880" w:type="dxa"/>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3929" w:type="dxa"/>
            <w:gridSpan w:val="2"/>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881" w:type="dxa"/>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MingLiU"/>
                <w:kern w:val="0"/>
                <w:sz w:val="24"/>
                <w:highlight w:val="none"/>
              </w:rPr>
              <w:t>营业执照号</w:t>
            </w:r>
          </w:p>
        </w:tc>
        <w:tc>
          <w:tcPr>
            <w:tcW w:w="7690" w:type="dxa"/>
            <w:gridSpan w:val="4"/>
            <w:noWrap w:val="0"/>
            <w:vAlign w:val="center"/>
          </w:tcPr>
          <w:p>
            <w:pPr>
              <w:spacing w:line="44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2049"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万元</w:t>
            </w:r>
          </w:p>
        </w:tc>
        <w:tc>
          <w:tcPr>
            <w:tcW w:w="1880"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固定资产</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原值</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流动资金</w:t>
            </w:r>
          </w:p>
        </w:tc>
        <w:tc>
          <w:tcPr>
            <w:tcW w:w="2049"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万元</w:t>
            </w:r>
          </w:p>
        </w:tc>
        <w:tc>
          <w:tcPr>
            <w:tcW w:w="1880" w:type="dxa"/>
            <w:vMerge w:val="continue"/>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净值</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p>
        </w:tc>
        <w:tc>
          <w:tcPr>
            <w:tcW w:w="1880"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职工人数</w:t>
            </w: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生产工人</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bCs/>
                <w:szCs w:val="21"/>
                <w:highlight w:val="none"/>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2049"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基本银行账号</w:t>
            </w:r>
          </w:p>
        </w:tc>
        <w:tc>
          <w:tcPr>
            <w:tcW w:w="1880" w:type="dxa"/>
            <w:vMerge w:val="continue"/>
            <w:noWrap w:val="0"/>
            <w:vAlign w:val="center"/>
          </w:tcPr>
          <w:p>
            <w:pPr>
              <w:spacing w:line="440" w:lineRule="exact"/>
              <w:jc w:val="center"/>
              <w:rPr>
                <w:rFonts w:hint="eastAsia" w:ascii="宋体" w:hAnsi="宋体" w:cs="宋体"/>
                <w:szCs w:val="21"/>
                <w:highlight w:val="none"/>
              </w:rPr>
            </w:pPr>
          </w:p>
        </w:tc>
        <w:tc>
          <w:tcPr>
            <w:tcW w:w="1880"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技术人员</w:t>
            </w:r>
          </w:p>
        </w:tc>
        <w:tc>
          <w:tcPr>
            <w:tcW w:w="1881" w:type="dxa"/>
            <w:noWrap w:val="0"/>
            <w:vAlign w:val="center"/>
          </w:tcPr>
          <w:p>
            <w:pPr>
              <w:autoSpaceDE w:val="0"/>
              <w:autoSpaceDN w:val="0"/>
              <w:adjustRightInd w:val="0"/>
              <w:spacing w:line="400" w:lineRule="exact"/>
              <w:jc w:val="right"/>
              <w:rPr>
                <w:rFonts w:hint="eastAsia" w:ascii="宋体" w:hAnsi="宋体" w:cs="宋体"/>
                <w:szCs w:val="21"/>
                <w:highlight w:val="none"/>
              </w:rPr>
            </w:pPr>
            <w:r>
              <w:rPr>
                <w:rFonts w:hint="eastAsia" w:ascii="宋体" w:hAnsi="宋体" w:cs="宋体"/>
                <w:bCs/>
                <w:szCs w:val="21"/>
                <w:highlight w:val="none"/>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经营范围</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711" w:type="dxa"/>
            <w:noWrap w:val="0"/>
            <w:vAlign w:val="center"/>
          </w:tcPr>
          <w:p>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7690" w:type="dxa"/>
            <w:gridSpan w:val="4"/>
            <w:noWrap w:val="0"/>
            <w:vAlign w:val="center"/>
          </w:tcPr>
          <w:p>
            <w:pPr>
              <w:autoSpaceDE w:val="0"/>
              <w:autoSpaceDN w:val="0"/>
              <w:adjustRightInd w:val="0"/>
              <w:spacing w:line="400" w:lineRule="exact"/>
              <w:jc w:val="center"/>
              <w:rPr>
                <w:rFonts w:hint="eastAsia" w:ascii="宋体" w:hAnsi="宋体" w:cs="宋体"/>
                <w:szCs w:val="21"/>
                <w:highlight w:val="none"/>
              </w:rPr>
            </w:pPr>
          </w:p>
        </w:tc>
      </w:tr>
    </w:tbl>
    <w:p>
      <w:pPr>
        <w:spacing w:line="440" w:lineRule="exact"/>
        <w:rPr>
          <w:rFonts w:hint="default"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此表后附：合法有效的统一社会信用代码的营业执照或事业单位法人证书等国家规定的相关证明，自然人参与的提供其身份证</w:t>
      </w:r>
      <w:r>
        <w:rPr>
          <w:rFonts w:hint="eastAsia"/>
          <w:highlight w:val="none"/>
          <w:lang w:val="en-US" w:eastAsia="zh-CN"/>
        </w:rPr>
        <w:t>，以上证明材料扫描件加盖公章。</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   </w:t>
      </w: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法定代表人或授权代表：</w:t>
      </w:r>
      <w:r>
        <w:rPr>
          <w:rFonts w:hint="eastAsia" w:ascii="宋体" w:hAnsi="宋体" w:cs="宋体"/>
          <w:b w:val="0"/>
          <w:sz w:val="21"/>
          <w:szCs w:val="21"/>
          <w:highlight w:val="none"/>
          <w:u w:val="single"/>
        </w:rPr>
        <w:t xml:space="preserve">     （盖章或签字）    </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jc w:val="both"/>
        <w:outlineLvl w:val="2"/>
        <w:rPr>
          <w:rFonts w:hint="eastAsia" w:ascii="宋体" w:hAnsi="宋体" w:cs="宋体"/>
          <w:b/>
          <w:szCs w:val="21"/>
          <w:highlight w:val="none"/>
          <w:lang w:val="en-US" w:eastAsia="zh-CN"/>
        </w:rPr>
      </w:pPr>
    </w:p>
    <w:p>
      <w:pPr>
        <w:adjustRightInd w:val="0"/>
        <w:snapToGrid w:val="0"/>
        <w:spacing w:line="360" w:lineRule="auto"/>
        <w:jc w:val="both"/>
        <w:outlineLvl w:val="2"/>
        <w:rPr>
          <w:rFonts w:hint="eastAsia" w:ascii="宋体" w:hAnsi="宋体" w:cs="宋体"/>
          <w:b/>
          <w:szCs w:val="21"/>
          <w:highlight w:val="none"/>
          <w:lang w:val="en-US" w:eastAsia="zh-CN"/>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宋体" w:hAnsi="宋体" w:cs="宋体"/>
          <w:b/>
          <w:szCs w:val="21"/>
          <w:highlight w:val="none"/>
          <w:lang w:val="en-US" w:eastAsia="zh-CN"/>
        </w:rPr>
        <w:t>附件2：基本资格条件承诺函</w:t>
      </w:r>
    </w:p>
    <w:p>
      <w:pPr>
        <w:pStyle w:val="2"/>
        <w:rPr>
          <w:rFonts w:hint="eastAsia" w:ascii="宋体" w:hAnsi="宋体" w:cs="宋体"/>
          <w:b/>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3162" w:firstLineChars="15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基本资格条件承诺函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致 </w:t>
      </w:r>
      <w:r>
        <w:rPr>
          <w:rFonts w:hint="eastAsia" w:ascii="宋体" w:hAnsi="宋体" w:eastAsia="宋体" w:cs="宋体"/>
          <w:kern w:val="2"/>
          <w:sz w:val="21"/>
          <w:szCs w:val="21"/>
          <w:highlight w:val="none"/>
          <w:u w:val="single"/>
          <w:lang w:val="en-US" w:eastAsia="zh-CN" w:bidi="ar-SA"/>
        </w:rPr>
        <w:t xml:space="preserve">                (采购代理机构名称)</w:t>
      </w:r>
      <w:r>
        <w:rPr>
          <w:rFonts w:hint="eastAsia" w:ascii="宋体" w:hAnsi="宋体" w:eastAsia="宋体" w:cs="宋体"/>
          <w:kern w:val="2"/>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SA"/>
        </w:rPr>
        <w:tab/>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 xml:space="preserve"> (投标人名称)</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郑重承诺：</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1.我方具有良好的商业信誉和健全的财务会计制度，具有 履行合同所必需的设备和专业技术能力，具有依法缴纳税收和 社会保障金的良好记录，参加本项目采购活动前三年内无重大违法活动记录。</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2.我方未列入在信用中国网站(www.creditchina.gov.cn)  “失信被执行人”、  “重大税收违法案件当事人名单”中，也 未列入中国政府采购网(www.ccgp.gov.cn)  “政府采购严重违法失信行</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为记录名单”中。</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3.我方在采购项目评审(评标)环节结束后，随时接受采购人、采购代理机构的检查验证，配合提供相关证明材料，证明符合《中华人民共和国政府采购法》规定的投标人基本资格条件。</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我方对以上承诺负全部法律责任。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特此承诺。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620" w:firstLineChars="2200"/>
        <w:textAlignment w:val="auto"/>
        <w:rPr>
          <w:rFonts w:hint="eastAsia" w:ascii="宋体" w:hAnsi="宋体" w:cs="宋体"/>
          <w:b w:val="0"/>
          <w:sz w:val="21"/>
          <w:szCs w:val="21"/>
          <w:highlight w:val="none"/>
        </w:rPr>
      </w:pP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w:t>
      </w:r>
      <w:r>
        <w:rPr>
          <w:rFonts w:hint="eastAsia" w:ascii="宋体" w:hAnsi="宋体" w:eastAsia="宋体" w:cs="宋体"/>
          <w:kern w:val="2"/>
          <w:sz w:val="21"/>
          <w:szCs w:val="21"/>
          <w:highlight w:val="none"/>
          <w:lang w:val="en-US" w:eastAsia="zh-CN" w:bidi="ar-SA"/>
        </w:rPr>
        <w:t>(投标人公章)</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p>
    <w:p>
      <w:pPr>
        <w:spacing w:line="400" w:lineRule="exact"/>
        <w:rPr>
          <w:rFonts w:hint="eastAsia"/>
          <w:highlight w:val="none"/>
          <w:lang w:val="en-US" w:eastAsia="zh-CN"/>
        </w:rPr>
      </w:pPr>
      <w:r>
        <w:rPr>
          <w:rFonts w:hint="eastAsia"/>
          <w:highlight w:val="none"/>
          <w:lang w:val="en-US" w:eastAsia="zh-CN"/>
        </w:rPr>
        <w:t>说明：</w:t>
      </w:r>
      <w:r>
        <w:rPr>
          <w:rFonts w:hint="eastAsia"/>
          <w:highlight w:val="none"/>
          <w:lang w:eastAsia="zh-CN"/>
        </w:rPr>
        <w:t>供应商应对</w:t>
      </w:r>
      <w:r>
        <w:rPr>
          <w:rFonts w:hint="eastAsia"/>
          <w:highlight w:val="none"/>
          <w:lang w:val="en-US" w:eastAsia="zh-CN"/>
        </w:rPr>
        <w:t>其资格信用</w:t>
      </w:r>
      <w:r>
        <w:rPr>
          <w:rFonts w:hint="eastAsia"/>
          <w:highlight w:val="none"/>
          <w:lang w:eastAsia="zh-CN"/>
        </w:rPr>
        <w:t>承诺内容的真实性、合法性、有效性负责。</w:t>
      </w:r>
      <w:r>
        <w:rPr>
          <w:rFonts w:hint="eastAsia"/>
          <w:highlight w:val="none"/>
          <w:lang w:val="en-US" w:eastAsia="zh-CN"/>
        </w:rPr>
        <w:t>如做出虚假承诺，视同</w:t>
      </w:r>
      <w:r>
        <w:rPr>
          <w:rFonts w:hint="eastAsia"/>
          <w:highlight w:val="none"/>
          <w:lang w:eastAsia="zh-CN"/>
        </w:rPr>
        <w:t>“提供虚假材料谋取中标</w:t>
      </w:r>
      <w:r>
        <w:rPr>
          <w:rFonts w:hint="eastAsia"/>
          <w:highlight w:val="none"/>
          <w:lang w:val="en-US" w:eastAsia="zh-CN"/>
        </w:rPr>
        <w:t>(</w:t>
      </w:r>
      <w:r>
        <w:rPr>
          <w:rFonts w:hint="eastAsia"/>
          <w:highlight w:val="none"/>
          <w:lang w:eastAsia="zh-CN"/>
        </w:rPr>
        <w:t>成交</w:t>
      </w:r>
      <w:r>
        <w:rPr>
          <w:rFonts w:hint="eastAsia"/>
          <w:highlight w:val="none"/>
          <w:lang w:val="en-US" w:eastAsia="zh-CN"/>
        </w:rPr>
        <w:t>)</w:t>
      </w:r>
      <w:r>
        <w:rPr>
          <w:rFonts w:hint="eastAsia"/>
          <w:highlight w:val="none"/>
          <w:lang w:eastAsia="zh-CN"/>
        </w:rPr>
        <w:t>”的违法行为，</w:t>
      </w:r>
      <w:r>
        <w:rPr>
          <w:rFonts w:hint="eastAsia"/>
          <w:highlight w:val="none"/>
          <w:lang w:val="en-US" w:eastAsia="zh-CN"/>
        </w:rPr>
        <w:t>经调查核实后，按照</w:t>
      </w:r>
      <w:r>
        <w:rPr>
          <w:rFonts w:hint="eastAsia"/>
          <w:highlight w:val="none"/>
          <w:lang w:eastAsia="zh-CN"/>
        </w:rPr>
        <w:t>《中华人民共和国政府采购法》等法律法规追究相应责任。承诺函格式详情见招标文件第六章</w:t>
      </w:r>
      <w:r>
        <w:rPr>
          <w:rFonts w:hint="eastAsia"/>
          <w:highlight w:val="none"/>
          <w:lang w:val="en-US" w:eastAsia="zh-CN"/>
        </w:rPr>
        <w:t>投标</w:t>
      </w:r>
      <w:r>
        <w:rPr>
          <w:rFonts w:hint="eastAsia"/>
          <w:highlight w:val="none"/>
          <w:lang w:eastAsia="zh-CN"/>
        </w:rPr>
        <w:t>文件格式。不提供《基本资格条件承诺函》的</w:t>
      </w:r>
      <w:r>
        <w:rPr>
          <w:rFonts w:hint="eastAsia"/>
          <w:highlight w:val="none"/>
          <w:lang w:val="en-US" w:eastAsia="zh-CN"/>
        </w:rPr>
        <w:t>投标供应商</w:t>
      </w:r>
      <w:r>
        <w:rPr>
          <w:rFonts w:hint="eastAsia"/>
          <w:highlight w:val="none"/>
          <w:lang w:eastAsia="zh-CN"/>
        </w:rPr>
        <w:t>需提交如下资格证明文件：</w:t>
      </w:r>
    </w:p>
    <w:p>
      <w:pPr>
        <w:spacing w:line="400" w:lineRule="exact"/>
        <w:ind w:firstLine="420" w:firstLineChars="200"/>
        <w:rPr>
          <w:rFonts w:hint="eastAsia"/>
          <w:highlight w:val="none"/>
          <w:lang w:eastAsia="zh-CN"/>
        </w:rPr>
      </w:pPr>
      <w:r>
        <w:rPr>
          <w:rFonts w:hint="default"/>
          <w:highlight w:val="none"/>
          <w:lang w:eastAsia="zh-CN"/>
        </w:rPr>
        <w:t>①</w:t>
      </w:r>
      <w:r>
        <w:rPr>
          <w:rFonts w:hint="eastAsia"/>
          <w:highlight w:val="none"/>
          <w:lang w:eastAsia="zh-CN"/>
        </w:rPr>
        <w:t>良好的财务状况：提供2021年度或2022年度的财务审计报告（至少包括资产负债表和利润表，成立时间至提交</w:t>
      </w:r>
      <w:r>
        <w:rPr>
          <w:rFonts w:hint="eastAsia"/>
          <w:highlight w:val="none"/>
          <w:lang w:val="en-US" w:eastAsia="zh-CN"/>
        </w:rPr>
        <w:t>响应</w:t>
      </w:r>
      <w:r>
        <w:rPr>
          <w:rFonts w:hint="eastAsia"/>
          <w:highlight w:val="none"/>
          <w:lang w:eastAsia="zh-CN"/>
        </w:rPr>
        <w:t>文件截止时间不足一年的可提供成立后任意时段的资产负债表）或开标前六个月内其基本存款账户开户银行出具的资信证明（附开户许可证或基本账户证明）；</w:t>
      </w:r>
    </w:p>
    <w:p>
      <w:pPr>
        <w:spacing w:line="400" w:lineRule="exact"/>
        <w:ind w:firstLine="420" w:firstLineChars="200"/>
        <w:rPr>
          <w:rFonts w:hint="eastAsia"/>
          <w:highlight w:val="none"/>
          <w:lang w:eastAsia="zh-CN"/>
        </w:rPr>
      </w:pPr>
      <w:r>
        <w:rPr>
          <w:rFonts w:hint="default"/>
          <w:highlight w:val="none"/>
          <w:lang w:eastAsia="zh-CN"/>
        </w:rPr>
        <w:t>②</w:t>
      </w:r>
      <w:r>
        <w:rPr>
          <w:rFonts w:hint="eastAsia"/>
          <w:highlight w:val="none"/>
          <w:lang w:eastAsia="zh-CN"/>
        </w:rPr>
        <w:t>依法缴纳税收和社会保障资金情况：提供2022年度至今已缴纳的至少三个月的纳税证明或完税证明及社会保障资金缴存单据或社保机构开具的社会保险参保缴费情况证明，依法免税或不需要缴纳社会保障资金的单位应提供相关证明材料；</w:t>
      </w:r>
    </w:p>
    <w:p>
      <w:pPr>
        <w:spacing w:line="400" w:lineRule="exact"/>
        <w:ind w:firstLine="420" w:firstLineChars="200"/>
        <w:rPr>
          <w:rFonts w:hint="eastAsia"/>
          <w:highlight w:val="none"/>
          <w:lang w:eastAsia="zh-CN"/>
        </w:rPr>
      </w:pPr>
      <w:r>
        <w:rPr>
          <w:rFonts w:hint="default"/>
          <w:highlight w:val="none"/>
          <w:lang w:eastAsia="zh-CN"/>
        </w:rPr>
        <w:t>③</w:t>
      </w:r>
      <w:r>
        <w:rPr>
          <w:rFonts w:hint="eastAsia"/>
          <w:highlight w:val="none"/>
          <w:lang w:eastAsia="zh-CN"/>
        </w:rPr>
        <w:t>具备履行合同所必需的设备和专业技术能力；</w:t>
      </w:r>
    </w:p>
    <w:p>
      <w:pPr>
        <w:spacing w:line="400" w:lineRule="exact"/>
        <w:ind w:firstLine="420" w:firstLineChars="200"/>
        <w:rPr>
          <w:rFonts w:hint="eastAsia"/>
          <w:highlight w:val="none"/>
          <w:lang w:eastAsia="zh-CN"/>
        </w:rPr>
      </w:pPr>
      <w:r>
        <w:rPr>
          <w:rFonts w:hint="eastAsia"/>
          <w:highlight w:val="none"/>
          <w:lang w:eastAsia="zh-CN"/>
        </w:rPr>
        <w:t>④参加本次政府采购活动前三年内，在经营活动中没有重大违法记录的书面声明。</w:t>
      </w:r>
    </w:p>
    <w:p>
      <w:pPr>
        <w:pStyle w:val="2"/>
        <w:rPr>
          <w:rFonts w:hint="eastAsia" w:ascii="宋体" w:hAnsi="宋体" w:cs="宋体"/>
          <w:b/>
          <w:szCs w:val="21"/>
          <w:highlight w:val="none"/>
          <w:lang w:val="en-US" w:eastAsia="zh-CN"/>
        </w:rPr>
      </w:pPr>
    </w:p>
    <w:p>
      <w:pPr>
        <w:spacing w:line="440" w:lineRule="exact"/>
        <w:ind w:firstLine="2108" w:firstLineChars="100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eastAsia="zh-CN"/>
        </w:rPr>
        <w:t>具备履行合同所必需的设备和专业技术能力</w:t>
      </w:r>
    </w:p>
    <w:p>
      <w:pPr>
        <w:ind w:firstLine="3600" w:firstLineChars="1500"/>
        <w:rPr>
          <w:rFonts w:hint="eastAsia" w:ascii="宋体" w:hAnsi="宋体" w:cs="宋体"/>
          <w:kern w:val="0"/>
          <w:sz w:val="24"/>
          <w:szCs w:val="24"/>
          <w:highlight w:val="none"/>
        </w:rPr>
      </w:pPr>
    </w:p>
    <w:p>
      <w:pPr>
        <w:ind w:firstLine="3600" w:firstLineChars="150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b/>
          <w:sz w:val="24"/>
          <w:szCs w:val="24"/>
          <w:highlight w:val="none"/>
        </w:rPr>
        <w:t>承诺书</w:t>
      </w:r>
    </w:p>
    <w:p>
      <w:pPr>
        <w:rPr>
          <w:rFonts w:hint="eastAsia" w:ascii="宋体" w:hAnsi="宋体" w:cs="宋体"/>
          <w:kern w:val="0"/>
          <w:sz w:val="24"/>
          <w:szCs w:val="24"/>
          <w:highlight w:val="none"/>
        </w:rPr>
      </w:pPr>
    </w:p>
    <w:p>
      <w:pPr>
        <w:spacing w:line="480" w:lineRule="auto"/>
        <w:rPr>
          <w:rFonts w:ascii="宋体" w:hAnsi="宋体" w:cs="宋体"/>
          <w:color w:val="000000"/>
          <w:kern w:val="0"/>
          <w:szCs w:val="21"/>
          <w:highlight w:val="none"/>
        </w:rPr>
      </w:pPr>
      <w:r>
        <w:rPr>
          <w:rFonts w:hint="eastAsia" w:ascii="宋体" w:hAnsi="宋体" w:cs="宋体"/>
          <w:color w:val="000000"/>
          <w:kern w:val="0"/>
          <w:szCs w:val="21"/>
          <w:highlight w:val="none"/>
        </w:rPr>
        <w:t>致：</w:t>
      </w:r>
      <w:r>
        <w:rPr>
          <w:rFonts w:hint="eastAsia" w:ascii="宋体" w:hAnsi="宋体" w:cs="宋体"/>
          <w:color w:val="000000"/>
          <w:kern w:val="0"/>
          <w:szCs w:val="21"/>
          <w:highlight w:val="none"/>
          <w:u w:val="single"/>
        </w:rPr>
        <w:t xml:space="preserve">     （采购人名称）    </w:t>
      </w:r>
      <w:r>
        <w:rPr>
          <w:rFonts w:hint="eastAsia" w:ascii="宋体" w:hAnsi="宋体" w:cs="宋体"/>
          <w:color w:val="000000"/>
          <w:kern w:val="0"/>
          <w:szCs w:val="21"/>
          <w:highlight w:val="none"/>
        </w:rPr>
        <w:t>：</w:t>
      </w:r>
    </w:p>
    <w:p>
      <w:pPr>
        <w:spacing w:line="48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投标供应商</w:t>
      </w:r>
      <w:r>
        <w:rPr>
          <w:rFonts w:hint="eastAsia" w:ascii="宋体" w:hAnsi="宋体" w:cs="宋体"/>
          <w:color w:val="000000"/>
          <w:kern w:val="0"/>
          <w:szCs w:val="21"/>
          <w:highlight w:val="none"/>
          <w:u w:val="single"/>
        </w:rPr>
        <w:t xml:space="preserve">名称）     </w:t>
      </w:r>
      <w:r>
        <w:rPr>
          <w:rFonts w:hint="eastAsia" w:ascii="宋体" w:hAnsi="宋体" w:cs="宋体"/>
          <w:color w:val="000000"/>
          <w:kern w:val="0"/>
          <w:szCs w:val="21"/>
          <w:highlight w:val="none"/>
        </w:rPr>
        <w:t>于</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日在中华人民共和国境内</w:t>
      </w:r>
      <w:r>
        <w:rPr>
          <w:rFonts w:hint="eastAsia" w:ascii="宋体" w:hAnsi="宋体" w:cs="宋体"/>
          <w:color w:val="000000"/>
          <w:kern w:val="0"/>
          <w:szCs w:val="21"/>
          <w:highlight w:val="none"/>
          <w:u w:val="single"/>
        </w:rPr>
        <w:t xml:space="preserve">               （详细注册地址）    </w:t>
      </w:r>
      <w:r>
        <w:rPr>
          <w:rFonts w:hint="eastAsia" w:ascii="宋体" w:hAnsi="宋体" w:cs="宋体"/>
          <w:color w:val="000000"/>
          <w:kern w:val="0"/>
          <w:szCs w:val="21"/>
          <w:highlight w:val="none"/>
        </w:rPr>
        <w:t xml:space="preserve"> 合法注册并经营，公司主营业务为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，营业（生产经营）面积为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，现有员工数量为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，其中与履行本合同相关的专业技术人员有（</w:t>
      </w:r>
      <w:r>
        <w:rPr>
          <w:rFonts w:hint="eastAsia" w:ascii="宋体" w:hAnsi="宋体" w:cs="宋体"/>
          <w:color w:val="000000"/>
          <w:kern w:val="0"/>
          <w:szCs w:val="21"/>
          <w:highlight w:val="none"/>
          <w:u w:val="single"/>
        </w:rPr>
        <w:t xml:space="preserve">             专业能力        </w:t>
      </w:r>
      <w:r>
        <w:rPr>
          <w:rFonts w:hint="eastAsia" w:ascii="宋体" w:hAnsi="宋体" w:cs="宋体"/>
          <w:color w:val="000000"/>
          <w:kern w:val="0"/>
          <w:szCs w:val="21"/>
          <w:highlight w:val="none"/>
        </w:rPr>
        <w:t>），本公司郑重承诺，具有履行本合同所必需的专业技术能力。</w:t>
      </w: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hint="eastAsia" w:ascii="宋体" w:hAnsi="宋体" w:cs="宋体"/>
          <w:highlight w:val="none"/>
        </w:rPr>
      </w:pPr>
      <w:r>
        <w:rPr>
          <w:rFonts w:hint="eastAsia" w:ascii="宋体" w:hAnsi="宋体" w:cs="宋体"/>
          <w:szCs w:val="21"/>
          <w:highlight w:val="none"/>
        </w:rPr>
        <w:br w:type="page"/>
      </w:r>
    </w:p>
    <w:p>
      <w:pPr>
        <w:spacing w:line="440" w:lineRule="exact"/>
        <w:ind w:firstLine="1476" w:firstLineChars="700"/>
        <w:rPr>
          <w:rFonts w:hint="eastAsia" w:ascii="宋体" w:hAnsi="宋体" w:cs="宋体"/>
          <w:b/>
          <w:szCs w:val="21"/>
          <w:highlight w:val="none"/>
        </w:rPr>
      </w:pPr>
      <w:r>
        <w:rPr>
          <w:rFonts w:hint="eastAsia" w:ascii="宋体" w:hAnsi="宋体" w:eastAsia="宋体" w:cs="宋体"/>
          <w:b/>
          <w:szCs w:val="21"/>
          <w:highlight w:val="none"/>
          <w:lang w:eastAsia="zh-CN"/>
        </w:rPr>
        <w:t>参加本次政府采购活动前三年内，在经营活动中没有重大违法记录的书面声明</w:t>
      </w:r>
    </w:p>
    <w:p>
      <w:pPr>
        <w:pStyle w:val="12"/>
        <w:spacing w:after="240" w:afterLines="100"/>
        <w:ind w:firstLine="0"/>
        <w:jc w:val="center"/>
        <w:rPr>
          <w:rFonts w:hint="eastAsia" w:ascii="宋体" w:hAnsi="宋体" w:cs="宋体"/>
          <w:b/>
          <w:szCs w:val="21"/>
          <w:highlight w:val="none"/>
        </w:rPr>
      </w:pPr>
    </w:p>
    <w:p>
      <w:pPr>
        <w:pStyle w:val="12"/>
        <w:spacing w:after="240" w:afterLines="100"/>
        <w:ind w:firstLine="0"/>
        <w:jc w:val="center"/>
        <w:rPr>
          <w:rFonts w:hint="eastAsia" w:ascii="宋体" w:hAnsi="宋体" w:cs="宋体"/>
          <w:b/>
          <w:szCs w:val="21"/>
          <w:highlight w:val="none"/>
        </w:rPr>
      </w:pPr>
      <w:r>
        <w:rPr>
          <w:rFonts w:hint="eastAsia" w:ascii="宋体" w:hAnsi="宋体" w:cs="宋体"/>
          <w:b/>
          <w:szCs w:val="21"/>
          <w:highlight w:val="none"/>
        </w:rPr>
        <w:t>声明书</w:t>
      </w:r>
    </w:p>
    <w:p>
      <w:pPr>
        <w:pStyle w:val="12"/>
        <w:spacing w:after="120" w:afterLines="50" w:line="360" w:lineRule="auto"/>
        <w:ind w:firstLine="0"/>
        <w:rPr>
          <w:rFonts w:hint="eastAsia" w:ascii="宋体" w:hAnsi="宋体" w:cs="宋体"/>
          <w:b/>
          <w:szCs w:val="21"/>
          <w:highlight w:val="none"/>
        </w:rPr>
      </w:pP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cs="宋体"/>
          <w:b/>
          <w:sz w:val="21"/>
          <w:szCs w:val="21"/>
          <w:highlight w:val="none"/>
          <w:u w:val="single"/>
          <w:lang w:eastAsia="zh-CN"/>
        </w:rPr>
        <w:t>（</w:t>
      </w:r>
      <w:r>
        <w:rPr>
          <w:rFonts w:hint="eastAsia" w:ascii="宋体" w:hAnsi="宋体" w:cs="宋体"/>
          <w:b/>
          <w:szCs w:val="21"/>
          <w:highlight w:val="none"/>
          <w:u w:val="single"/>
          <w:lang w:val="en-US" w:eastAsia="zh-CN"/>
        </w:rPr>
        <w:t xml:space="preserve">采购人） </w:t>
      </w:r>
      <w:r>
        <w:rPr>
          <w:rFonts w:hint="eastAsia" w:ascii="宋体" w:hAnsi="宋体" w:eastAsia="宋体" w:cs="宋体"/>
          <w:sz w:val="21"/>
          <w:szCs w:val="21"/>
          <w:highlight w:val="none"/>
          <w:u w:val="single"/>
          <w:lang w:val="zh-CN"/>
        </w:rPr>
        <w:t xml:space="preserve">  </w:t>
      </w:r>
      <w:r>
        <w:rPr>
          <w:rFonts w:hint="eastAsia" w:ascii="宋体" w:hAnsi="宋体" w:cs="宋体"/>
          <w:b/>
          <w:szCs w:val="21"/>
          <w:highlight w:val="none"/>
        </w:rPr>
        <w:t>：</w:t>
      </w:r>
    </w:p>
    <w:p>
      <w:pPr>
        <w:pStyle w:val="12"/>
        <w:spacing w:line="500" w:lineRule="exact"/>
        <w:ind w:firstLine="0"/>
        <w:rPr>
          <w:rFonts w:hint="eastAsia" w:ascii="宋体" w:hAnsi="宋体" w:cs="宋体"/>
          <w:szCs w:val="21"/>
          <w:highlight w:val="none"/>
        </w:rPr>
      </w:pPr>
      <w:r>
        <w:rPr>
          <w:rFonts w:hint="eastAsia" w:ascii="宋体" w:hAnsi="宋体" w:cs="宋体"/>
          <w:sz w:val="18"/>
          <w:szCs w:val="18"/>
          <w:highlight w:val="none"/>
        </w:rPr>
        <w:t xml:space="preserve">    </w:t>
      </w:r>
      <w:r>
        <w:rPr>
          <w:rFonts w:hint="eastAsia" w:ascii="宋体" w:hAnsi="宋体" w:cs="宋体"/>
          <w:szCs w:val="21"/>
          <w:highlight w:val="none"/>
        </w:rPr>
        <w:t>我公司</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投标供应商</w:t>
      </w:r>
      <w:r>
        <w:rPr>
          <w:rFonts w:hint="eastAsia" w:ascii="宋体" w:hAnsi="宋体" w:cs="宋体"/>
          <w:szCs w:val="21"/>
          <w:highlight w:val="none"/>
        </w:rPr>
        <w:t xml:space="preserve">名称），就参加 </w:t>
      </w:r>
      <w:r>
        <w:rPr>
          <w:rFonts w:hint="eastAsia" w:ascii="宋体" w:hAnsi="宋体" w:cs="宋体"/>
          <w:szCs w:val="21"/>
          <w:highlight w:val="none"/>
          <w:u w:val="single"/>
        </w:rPr>
        <w:t xml:space="preserve">    </w:t>
      </w:r>
      <w:r>
        <w:rPr>
          <w:rFonts w:hint="eastAsia" w:ascii="宋体" w:hAnsi="宋体" w:eastAsia="宋体" w:cs="宋体"/>
          <w:sz w:val="21"/>
          <w:szCs w:val="21"/>
          <w:highlight w:val="none"/>
          <w:u w:val="single"/>
          <w:lang w:val="zh-CN"/>
        </w:rPr>
        <w:t xml:space="preserve"> （采购项目名称、采购</w:t>
      </w:r>
      <w:r>
        <w:rPr>
          <w:rFonts w:hint="eastAsia" w:ascii="宋体" w:hAnsi="宋体" w:cs="宋体"/>
          <w:sz w:val="21"/>
          <w:szCs w:val="21"/>
          <w:highlight w:val="none"/>
          <w:u w:val="single"/>
          <w:lang w:val="zh-CN"/>
        </w:rPr>
        <w:t>项目编号</w:t>
      </w:r>
      <w:r>
        <w:rPr>
          <w:rFonts w:hint="eastAsia" w:ascii="宋体" w:hAnsi="宋体" w:eastAsia="宋体" w:cs="宋体"/>
          <w:sz w:val="21"/>
          <w:szCs w:val="21"/>
          <w:highlight w:val="none"/>
          <w:u w:val="single"/>
          <w:lang w:val="zh-CN"/>
        </w:rPr>
        <w:t>）</w:t>
      </w:r>
      <w:r>
        <w:rPr>
          <w:rFonts w:hint="eastAsia" w:ascii="宋体" w:hAnsi="宋体" w:cs="宋体"/>
          <w:szCs w:val="21"/>
          <w:highlight w:val="none"/>
          <w:u w:val="single"/>
        </w:rPr>
        <w:t xml:space="preserve">      </w:t>
      </w:r>
      <w:r>
        <w:rPr>
          <w:rFonts w:hint="eastAsia" w:ascii="宋体" w:hAnsi="宋体" w:cs="宋体"/>
          <w:szCs w:val="21"/>
          <w:highlight w:val="none"/>
        </w:rPr>
        <w:t>项目投标事宜，在此郑重声明：</w:t>
      </w:r>
    </w:p>
    <w:p>
      <w:pPr>
        <w:pStyle w:val="12"/>
        <w:spacing w:line="500" w:lineRule="exact"/>
        <w:ind w:firstLine="573"/>
        <w:rPr>
          <w:rFonts w:hint="eastAsia" w:ascii="宋体" w:hAnsi="宋体" w:cs="宋体"/>
          <w:szCs w:val="21"/>
          <w:highlight w:val="none"/>
        </w:rPr>
      </w:pPr>
      <w:r>
        <w:rPr>
          <w:rFonts w:hint="eastAsia" w:ascii="宋体" w:hAnsi="宋体" w:cs="宋体"/>
          <w:b/>
          <w:bCs/>
          <w:szCs w:val="21"/>
          <w:highlight w:val="none"/>
        </w:rPr>
        <w:t>我公司</w:t>
      </w:r>
      <w:r>
        <w:rPr>
          <w:rFonts w:hint="eastAsia" w:ascii="宋体" w:hAnsi="宋体" w:eastAsia="宋体" w:cs="宋体"/>
          <w:b/>
          <w:bCs/>
          <w:szCs w:val="21"/>
          <w:highlight w:val="none"/>
          <w:lang w:eastAsia="zh-CN"/>
        </w:rPr>
        <w:t>参加</w:t>
      </w:r>
      <w:r>
        <w:rPr>
          <w:rFonts w:hint="eastAsia" w:ascii="宋体" w:hAnsi="宋体" w:eastAsia="宋体" w:cs="宋体"/>
          <w:b/>
          <w:szCs w:val="21"/>
          <w:highlight w:val="none"/>
          <w:lang w:eastAsia="zh-CN"/>
        </w:rPr>
        <w:t>本次政府采购活动前三年内，在经营活动中没有重大违法记录</w:t>
      </w:r>
      <w:r>
        <w:rPr>
          <w:rFonts w:hint="eastAsia" w:ascii="宋体" w:hAnsi="宋体" w:cs="宋体"/>
          <w:szCs w:val="21"/>
          <w:highlight w:val="none"/>
        </w:rPr>
        <w:t>。</w:t>
      </w:r>
    </w:p>
    <w:p>
      <w:pPr>
        <w:pStyle w:val="12"/>
        <w:spacing w:line="500" w:lineRule="exact"/>
        <w:ind w:firstLine="573"/>
        <w:rPr>
          <w:rFonts w:hint="eastAsia" w:ascii="宋体" w:hAnsi="宋体" w:cs="宋体"/>
          <w:szCs w:val="21"/>
          <w:highlight w:val="none"/>
        </w:rPr>
      </w:pPr>
      <w:r>
        <w:rPr>
          <w:rFonts w:hint="eastAsia" w:ascii="宋体" w:hAnsi="宋体" w:cs="宋体"/>
          <w:szCs w:val="21"/>
          <w:highlight w:val="none"/>
        </w:rPr>
        <w:t>以上声明若有违反，一经查实，我公司愿意接受政府有关部门的相应处罚，并愿意承担由此带来的法律后果。</w:t>
      </w:r>
    </w:p>
    <w:p>
      <w:pPr>
        <w:pStyle w:val="12"/>
        <w:spacing w:line="500" w:lineRule="exact"/>
        <w:ind w:firstLine="570"/>
        <w:rPr>
          <w:rFonts w:hint="eastAsia" w:ascii="宋体" w:hAnsi="宋体" w:cs="宋体"/>
          <w:szCs w:val="21"/>
          <w:highlight w:val="none"/>
        </w:rPr>
      </w:pPr>
      <w:r>
        <w:rPr>
          <w:rFonts w:hint="eastAsia" w:ascii="宋体" w:hAnsi="宋体" w:cs="宋体"/>
          <w:szCs w:val="21"/>
          <w:highlight w:val="none"/>
        </w:rPr>
        <w:t>特此声明！</w:t>
      </w:r>
    </w:p>
    <w:p>
      <w:pPr>
        <w:pStyle w:val="12"/>
        <w:spacing w:line="500" w:lineRule="exact"/>
        <w:ind w:firstLine="570"/>
        <w:rPr>
          <w:rFonts w:hint="eastAsia" w:ascii="宋体" w:hAnsi="宋体" w:cs="宋体"/>
          <w:szCs w:val="21"/>
          <w:highlight w:val="none"/>
        </w:rPr>
      </w:pPr>
    </w:p>
    <w:p>
      <w:pPr>
        <w:pStyle w:val="12"/>
        <w:spacing w:line="500" w:lineRule="exact"/>
        <w:ind w:firstLine="570"/>
        <w:rPr>
          <w:rFonts w:hint="eastAsia" w:ascii="宋体" w:hAnsi="宋体" w:cs="宋体"/>
          <w:szCs w:val="21"/>
          <w:highlight w:val="none"/>
        </w:rPr>
      </w:pPr>
      <w:r>
        <w:rPr>
          <w:rFonts w:hint="eastAsia" w:ascii="宋体" w:hAnsi="宋体" w:cs="宋体"/>
          <w:szCs w:val="21"/>
          <w:highlight w:val="none"/>
        </w:rPr>
        <w:t>声  明  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投标供应商</w:t>
      </w:r>
      <w:r>
        <w:rPr>
          <w:rFonts w:hint="eastAsia" w:ascii="宋体" w:hAnsi="宋体" w:cs="宋体"/>
          <w:szCs w:val="21"/>
          <w:highlight w:val="none"/>
        </w:rPr>
        <w:t>名称、公章）</w:t>
      </w:r>
    </w:p>
    <w:p>
      <w:pPr>
        <w:pStyle w:val="12"/>
        <w:spacing w:line="500" w:lineRule="exact"/>
        <w:ind w:firstLine="573"/>
        <w:rPr>
          <w:rFonts w:hint="eastAsia" w:ascii="宋体" w:hAnsi="宋体" w:cs="宋体"/>
          <w:szCs w:val="21"/>
          <w:highlight w:val="none"/>
        </w:rPr>
      </w:pP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eastAsia" w:ascii="宋体" w:hAnsi="宋体" w:cs="宋体"/>
          <w:b/>
          <w:szCs w:val="21"/>
          <w:highlight w:val="none"/>
          <w:lang w:val="en-US" w:eastAsia="zh-CN"/>
        </w:rPr>
      </w:pPr>
    </w:p>
    <w:p>
      <w:pPr>
        <w:pStyle w:val="2"/>
        <w:rPr>
          <w:rFonts w:hint="default" w:ascii="宋体" w:hAnsi="宋体" w:cs="宋体"/>
          <w:b/>
          <w:szCs w:val="21"/>
          <w:highlight w:val="none"/>
          <w:lang w:val="en-US" w:eastAsia="zh-CN"/>
        </w:rPr>
      </w:pPr>
    </w:p>
    <w:p>
      <w:pPr>
        <w:snapToGrid w:val="0"/>
        <w:spacing w:afterLines="50" w:line="360" w:lineRule="auto"/>
        <w:ind w:right="-57" w:rightChars="-27"/>
        <w:jc w:val="left"/>
        <w:rPr>
          <w:b/>
          <w:bCs/>
          <w:sz w:val="24"/>
          <w:szCs w:val="22"/>
          <w:highlight w:val="none"/>
        </w:rPr>
      </w:pPr>
      <w:r>
        <w:rPr>
          <w:rFonts w:hint="eastAsia" w:ascii="宋体" w:hAnsi="宋体" w:cs="宋体"/>
          <w:b/>
          <w:szCs w:val="21"/>
          <w:highlight w:val="none"/>
          <w:lang w:val="en-US" w:eastAsia="zh-CN"/>
        </w:rPr>
        <w:t>附件3：</w:t>
      </w:r>
      <w:r>
        <w:rPr>
          <w:rFonts w:hint="eastAsia"/>
          <w:b/>
          <w:bCs/>
          <w:sz w:val="24"/>
          <w:szCs w:val="22"/>
          <w:highlight w:val="none"/>
        </w:rPr>
        <w:t>中小微企业、监狱企业、残疾人福利单位的声明函或证明材料</w:t>
      </w:r>
    </w:p>
    <w:p>
      <w:pPr>
        <w:spacing w:line="400" w:lineRule="exact"/>
        <w:ind w:firstLine="420" w:firstLineChars="200"/>
        <w:rPr>
          <w:rFonts w:ascii="宋体" w:hAnsi="宋体" w:cs="宋体"/>
          <w:b/>
          <w:bCs/>
          <w:color w:val="auto"/>
          <w:sz w:val="24"/>
          <w:szCs w:val="24"/>
          <w:highlight w:val="none"/>
        </w:rPr>
      </w:pPr>
      <w:r>
        <w:rPr>
          <w:rFonts w:hint="eastAsia"/>
          <w:color w:val="auto"/>
          <w:highlight w:val="none"/>
        </w:rPr>
        <w:t>本项目专门面向中小企业采购，供应商应为中小微企业或监狱企业或残疾人福利性单位。</w:t>
      </w:r>
      <w:r>
        <w:rPr>
          <w:rFonts w:hint="eastAsia"/>
          <w:color w:val="auto"/>
          <w:highlight w:val="none"/>
          <w:lang w:val="en-US" w:eastAsia="zh-CN"/>
        </w:rPr>
        <w:t>投标</w:t>
      </w:r>
      <w:r>
        <w:rPr>
          <w:rFonts w:hint="eastAsia"/>
          <w:color w:val="auto"/>
          <w:highlight w:val="none"/>
        </w:rPr>
        <w:t>供应商为中型、小型、微型企业的，提供《中小企业声明函》；供应商为监狱企业的，应提供监狱企业的证明文件；供应商为残疾人福利性单位的，应提供《残疾人福利性单位声明函》。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特别提醒：供应商性质（声明函或证明文件）将随成交公告一同公布。</w:t>
      </w: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（一）中小企业声明函</w:t>
      </w:r>
    </w:p>
    <w:p>
      <w:pPr>
        <w:pStyle w:val="16"/>
        <w:spacing w:line="302" w:lineRule="auto"/>
        <w:ind w:right="415" w:firstLine="640"/>
        <w:jc w:val="both"/>
        <w:rPr>
          <w:spacing w:val="5"/>
          <w:szCs w:val="21"/>
          <w:highlight w:val="none"/>
        </w:rPr>
      </w:pP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spacing w:val="5"/>
          <w:szCs w:val="21"/>
          <w:highlight w:val="none"/>
        </w:rPr>
        <w:t>本公司郑重声明，根据《政府采购促进中小企业发展管理办法》（财库</w:t>
      </w:r>
      <w:r>
        <w:rPr>
          <w:rFonts w:hint="eastAsia"/>
          <w:spacing w:val="5"/>
          <w:szCs w:val="21"/>
          <w:highlight w:val="none"/>
        </w:rPr>
        <w:t>﹝</w:t>
      </w:r>
      <w:r>
        <w:rPr>
          <w:spacing w:val="5"/>
          <w:szCs w:val="21"/>
          <w:highlight w:val="none"/>
        </w:rPr>
        <w:t>2020</w:t>
      </w:r>
      <w:r>
        <w:rPr>
          <w:rFonts w:hint="eastAsia"/>
          <w:spacing w:val="5"/>
          <w:szCs w:val="21"/>
          <w:highlight w:val="none"/>
        </w:rPr>
        <w:t>﹞</w:t>
      </w:r>
      <w:r>
        <w:rPr>
          <w:spacing w:val="5"/>
          <w:szCs w:val="21"/>
          <w:highlight w:val="none"/>
        </w:rPr>
        <w:t>46 号）的规定，本公司参加</w:t>
      </w:r>
      <w:r>
        <w:rPr>
          <w:rFonts w:hint="eastAsia"/>
          <w:spacing w:val="5"/>
          <w:szCs w:val="21"/>
          <w:highlight w:val="none"/>
          <w:u w:val="single"/>
        </w:rPr>
        <w:t xml:space="preserve">        </w:t>
      </w:r>
      <w:r>
        <w:rPr>
          <w:spacing w:val="5"/>
          <w:szCs w:val="21"/>
          <w:highlight w:val="none"/>
          <w:u w:val="single"/>
        </w:rPr>
        <w:t>（单位名称）</w:t>
      </w:r>
      <w:r>
        <w:rPr>
          <w:spacing w:val="5"/>
          <w:szCs w:val="21"/>
          <w:highlight w:val="none"/>
        </w:rPr>
        <w:t>的</w:t>
      </w:r>
      <w:r>
        <w:rPr>
          <w:rFonts w:hint="eastAsia"/>
          <w:spacing w:val="5"/>
          <w:szCs w:val="21"/>
          <w:highlight w:val="none"/>
          <w:u w:val="single"/>
        </w:rPr>
        <w:t xml:space="preserve">      </w:t>
      </w:r>
      <w:r>
        <w:rPr>
          <w:spacing w:val="5"/>
          <w:szCs w:val="21"/>
          <w:highlight w:val="none"/>
          <w:u w:val="single"/>
        </w:rPr>
        <w:t>（项目名称）</w:t>
      </w:r>
      <w:r>
        <w:rPr>
          <w:spacing w:val="5"/>
          <w:szCs w:val="21"/>
          <w:highlight w:val="none"/>
        </w:rPr>
        <w:t>采购活动，服务全部由符合政策要求的中小企业承接。相关企业的具体情况如下：</w:t>
      </w: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rFonts w:hint="eastAsia"/>
          <w:spacing w:val="5"/>
          <w:szCs w:val="21"/>
          <w:highlight w:val="none"/>
          <w:u w:val="single"/>
        </w:rPr>
        <w:t xml:space="preserve">      </w:t>
      </w:r>
      <w:r>
        <w:rPr>
          <w:spacing w:val="5"/>
          <w:szCs w:val="21"/>
          <w:highlight w:val="none"/>
          <w:u w:val="single"/>
        </w:rPr>
        <w:t>（标的名称）</w:t>
      </w:r>
      <w:r>
        <w:rPr>
          <w:rFonts w:hint="eastAsia"/>
          <w:spacing w:val="5"/>
          <w:szCs w:val="21"/>
          <w:highlight w:val="none"/>
          <w:u w:val="single"/>
        </w:rPr>
        <w:t xml:space="preserve"> </w:t>
      </w:r>
      <w:r>
        <w:rPr>
          <w:spacing w:val="5"/>
          <w:szCs w:val="21"/>
          <w:highlight w:val="none"/>
        </w:rPr>
        <w:t>，属于</w:t>
      </w:r>
      <w:r>
        <w:rPr>
          <w:rFonts w:hint="eastAsia"/>
          <w:spacing w:val="5"/>
          <w:szCs w:val="21"/>
          <w:highlight w:val="none"/>
          <w:u w:val="single"/>
        </w:rPr>
        <w:t xml:space="preserve">      </w:t>
      </w:r>
      <w:r>
        <w:rPr>
          <w:spacing w:val="5"/>
          <w:szCs w:val="21"/>
          <w:highlight w:val="none"/>
          <w:u w:val="single"/>
        </w:rPr>
        <w:t>（采购文件中明确的所属行业）</w:t>
      </w:r>
      <w:r>
        <w:rPr>
          <w:spacing w:val="5"/>
          <w:szCs w:val="21"/>
          <w:highlight w:val="none"/>
        </w:rPr>
        <w:t>；承接企业为</w:t>
      </w:r>
      <w:r>
        <w:rPr>
          <w:rFonts w:hint="eastAsia"/>
          <w:spacing w:val="5"/>
          <w:szCs w:val="21"/>
          <w:highlight w:val="none"/>
          <w:u w:val="single"/>
        </w:rPr>
        <w:t xml:space="preserve">       </w:t>
      </w:r>
      <w:r>
        <w:rPr>
          <w:spacing w:val="5"/>
          <w:szCs w:val="21"/>
          <w:highlight w:val="none"/>
          <w:u w:val="single"/>
        </w:rPr>
        <w:t>（企业名称）</w:t>
      </w:r>
      <w:r>
        <w:rPr>
          <w:rFonts w:hint="eastAsia"/>
          <w:spacing w:val="5"/>
          <w:szCs w:val="21"/>
          <w:highlight w:val="none"/>
          <w:u w:val="single"/>
        </w:rPr>
        <w:t xml:space="preserve">             </w:t>
      </w:r>
      <w:r>
        <w:rPr>
          <w:spacing w:val="5"/>
          <w:szCs w:val="21"/>
          <w:highlight w:val="none"/>
        </w:rPr>
        <w:t>，从业人员</w:t>
      </w:r>
      <w:r>
        <w:rPr>
          <w:rFonts w:hint="eastAsia"/>
          <w:spacing w:val="5"/>
          <w:szCs w:val="21"/>
          <w:highlight w:val="none"/>
          <w:u w:val="single"/>
        </w:rPr>
        <w:t xml:space="preserve">           </w:t>
      </w:r>
      <w:r>
        <w:rPr>
          <w:spacing w:val="5"/>
          <w:szCs w:val="21"/>
          <w:highlight w:val="none"/>
        </w:rPr>
        <w:t>人，营业收入为</w:t>
      </w:r>
      <w:r>
        <w:rPr>
          <w:rFonts w:hint="eastAsia"/>
          <w:spacing w:val="5"/>
          <w:szCs w:val="21"/>
          <w:highlight w:val="none"/>
          <w:u w:val="single"/>
        </w:rPr>
        <w:t xml:space="preserve">        </w:t>
      </w:r>
      <w:r>
        <w:rPr>
          <w:spacing w:val="5"/>
          <w:szCs w:val="21"/>
          <w:highlight w:val="none"/>
        </w:rPr>
        <w:t>万元，资产总额为</w:t>
      </w:r>
      <w:r>
        <w:rPr>
          <w:rFonts w:hint="eastAsia"/>
          <w:spacing w:val="5"/>
          <w:szCs w:val="21"/>
          <w:highlight w:val="none"/>
          <w:u w:val="single"/>
        </w:rPr>
        <w:t xml:space="preserve">         </w:t>
      </w:r>
      <w:r>
        <w:rPr>
          <w:spacing w:val="5"/>
          <w:szCs w:val="21"/>
          <w:highlight w:val="none"/>
        </w:rPr>
        <w:t>万元，属于</w:t>
      </w:r>
      <w:r>
        <w:rPr>
          <w:rFonts w:hint="eastAsia"/>
          <w:spacing w:val="5"/>
          <w:szCs w:val="21"/>
          <w:highlight w:val="none"/>
          <w:u w:val="single"/>
        </w:rPr>
        <w:t xml:space="preserve">            </w:t>
      </w:r>
      <w:r>
        <w:rPr>
          <w:spacing w:val="5"/>
          <w:szCs w:val="21"/>
          <w:highlight w:val="none"/>
          <w:u w:val="single"/>
        </w:rPr>
        <w:t>（中型企业</w:t>
      </w:r>
      <w:r>
        <w:rPr>
          <w:rFonts w:hint="eastAsia"/>
          <w:spacing w:val="5"/>
          <w:szCs w:val="21"/>
          <w:highlight w:val="none"/>
          <w:u w:val="single"/>
        </w:rPr>
        <w:t>/</w:t>
      </w:r>
      <w:r>
        <w:rPr>
          <w:spacing w:val="5"/>
          <w:szCs w:val="21"/>
          <w:highlight w:val="none"/>
          <w:u w:val="single"/>
        </w:rPr>
        <w:t>小型企业</w:t>
      </w:r>
      <w:r>
        <w:rPr>
          <w:rFonts w:hint="eastAsia"/>
          <w:spacing w:val="5"/>
          <w:szCs w:val="21"/>
          <w:highlight w:val="none"/>
          <w:u w:val="single"/>
        </w:rPr>
        <w:t>/</w:t>
      </w:r>
      <w:r>
        <w:rPr>
          <w:spacing w:val="5"/>
          <w:szCs w:val="21"/>
          <w:highlight w:val="none"/>
          <w:u w:val="single"/>
        </w:rPr>
        <w:t>微型企业）</w:t>
      </w:r>
      <w:r>
        <w:rPr>
          <w:rFonts w:hint="eastAsia"/>
          <w:spacing w:val="5"/>
          <w:szCs w:val="21"/>
          <w:highlight w:val="none"/>
          <w:u w:val="single"/>
        </w:rPr>
        <w:t xml:space="preserve">     </w:t>
      </w:r>
      <w:r>
        <w:rPr>
          <w:spacing w:val="5"/>
          <w:szCs w:val="21"/>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right="415" w:firstLine="640"/>
        <w:jc w:val="both"/>
        <w:textAlignment w:val="auto"/>
        <w:rPr>
          <w:spacing w:val="5"/>
          <w:szCs w:val="21"/>
          <w:highlight w:val="none"/>
        </w:rPr>
      </w:pPr>
      <w:r>
        <w:rPr>
          <w:spacing w:val="5"/>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spacing w:val="5"/>
          <w:szCs w:val="21"/>
          <w:highlight w:val="none"/>
        </w:rPr>
      </w:pPr>
      <w:r>
        <w:rPr>
          <w:spacing w:val="5"/>
          <w:szCs w:val="21"/>
          <w:highlight w:val="none"/>
        </w:rPr>
        <w:t>本企业对上述</w:t>
      </w:r>
      <w:r>
        <w:rPr>
          <w:rFonts w:hint="eastAsia" w:ascii="Times New Roman" w:hAnsi="宋体" w:eastAsia="宋体" w:cs="宋体"/>
          <w:szCs w:val="24"/>
          <w:highlight w:val="none"/>
        </w:rPr>
        <w:t>声明</w:t>
      </w:r>
      <w:r>
        <w:rPr>
          <w:spacing w:val="5"/>
          <w:szCs w:val="21"/>
          <w:highlight w:val="none"/>
        </w:rPr>
        <w:t>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hAnsi="宋体" w:cs="宋体"/>
          <w:szCs w:val="21"/>
          <w:highlight w:val="none"/>
        </w:rPr>
      </w:pPr>
      <w:r>
        <w:rPr>
          <w:rFonts w:hint="eastAsia" w:hAnsi="宋体" w:cs="宋体"/>
          <w:szCs w:val="21"/>
          <w:highlight w:val="none"/>
          <w:lang w:val="en-US" w:eastAsia="zh-CN"/>
        </w:rPr>
        <w:t xml:space="preserve">                                </w:t>
      </w:r>
      <w:r>
        <w:rPr>
          <w:rFonts w:hint="eastAsia" w:hAnsi="宋体" w:cs="宋体"/>
          <w:szCs w:val="21"/>
          <w:highlight w:val="none"/>
        </w:rPr>
        <w:t>供应商：（加盖公章）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hAnsi="宋体" w:cs="宋体"/>
          <w:szCs w:val="21"/>
          <w:highlight w:val="none"/>
        </w:rPr>
      </w:pPr>
      <w:r>
        <w:rPr>
          <w:rFonts w:hint="eastAsia" w:hAnsi="宋体" w:cs="宋体"/>
          <w:szCs w:val="21"/>
          <w:highlight w:val="none"/>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hAnsi="宋体" w:cs="宋体"/>
          <w:szCs w:val="21"/>
          <w:highlight w:val="none"/>
        </w:rPr>
      </w:pPr>
      <w:r>
        <w:rPr>
          <w:rFonts w:hint="eastAsia" w:hAnsi="宋体" w:cs="宋体"/>
          <w:szCs w:val="21"/>
          <w:highlight w:val="none"/>
        </w:rPr>
        <w:t>日　期：　　年　月　日</w:t>
      </w:r>
    </w:p>
    <w:p>
      <w:pPr>
        <w:spacing w:line="600" w:lineRule="exact"/>
        <w:ind w:firstLine="420" w:firstLineChars="200"/>
        <w:jc w:val="left"/>
        <w:rPr>
          <w:rFonts w:hint="eastAsia" w:hAnsi="宋体" w:cs="宋体"/>
          <w:szCs w:val="21"/>
          <w:highlight w:val="none"/>
        </w:rPr>
      </w:pP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备注：填写前请认真阅读《工业和信息化部、国家统计局、国家发展和改革委员会、财政部关于印发中小企业划型标准规定的通知》（工信部联企业[2011]300号）和根据《政府采购促进中小企业发展管理办法》（财库﹝2020﹞46 号）的相关规定。</w:t>
      </w:r>
    </w:p>
    <w:p>
      <w:pPr>
        <w:spacing w:line="600" w:lineRule="exact"/>
        <w:ind w:firstLine="420" w:firstLineChars="200"/>
        <w:jc w:val="left"/>
        <w:rPr>
          <w:rFonts w:hint="eastAsia" w:hAnsi="宋体" w:cs="宋体"/>
          <w:szCs w:val="24"/>
          <w:highlight w:val="none"/>
        </w:rPr>
      </w:pPr>
    </w:p>
    <w:p>
      <w:pPr>
        <w:widowControl/>
        <w:tabs>
          <w:tab w:val="left" w:pos="5670"/>
        </w:tabs>
        <w:spacing w:line="500" w:lineRule="exact"/>
        <w:jc w:val="left"/>
        <w:rPr>
          <w:rFonts w:hint="eastAsia" w:hAnsi="宋体" w:cs="宋体"/>
          <w:sz w:val="28"/>
          <w:szCs w:val="28"/>
          <w:highlight w:val="none"/>
        </w:rPr>
      </w:pPr>
    </w:p>
    <w:p>
      <w:pPr>
        <w:pStyle w:val="2"/>
        <w:rPr>
          <w:rFonts w:hint="eastAsia"/>
          <w:highlight w:val="none"/>
        </w:rPr>
      </w:pPr>
    </w:p>
    <w:p>
      <w:pPr>
        <w:pStyle w:val="27"/>
        <w:rPr>
          <w:rFonts w:hint="eastAsia" w:ascii="宋体" w:hAnsi="宋体" w:cs="宋体"/>
          <w:highlight w:val="none"/>
        </w:rPr>
      </w:pP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（二）残疾人福利性单位声明函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本单位郑重声明，根据《财政部 民政部 中国残疾人联合会关于促进残疾人就业政府采购政策的通知》（财库〔2017〕141号）的规定，本单位为符合条件的残疾人福利性单位，且本单位参加且本单位参加</w:t>
      </w:r>
      <w:r>
        <w:rPr>
          <w:rFonts w:hint="eastAsia" w:hAnsi="宋体" w:cs="宋体"/>
          <w:szCs w:val="24"/>
          <w:highlight w:val="none"/>
          <w:u w:val="single"/>
          <w:lang w:val="en-US" w:eastAsia="zh-CN"/>
        </w:rPr>
        <w:t xml:space="preserve">             </w:t>
      </w:r>
      <w:r>
        <w:rPr>
          <w:rFonts w:hint="eastAsia" w:hAnsi="宋体" w:cs="宋体"/>
          <w:szCs w:val="24"/>
          <w:highlight w:val="none"/>
          <w:lang w:val="en-US" w:eastAsia="zh-CN"/>
        </w:rPr>
        <w:t>单位的</w:t>
      </w:r>
      <w:r>
        <w:rPr>
          <w:rFonts w:hint="eastAsia" w:hAnsi="宋体" w:cs="宋体"/>
          <w:szCs w:val="24"/>
          <w:highlight w:val="none"/>
          <w:u w:val="single"/>
          <w:lang w:val="en-US" w:eastAsia="zh-CN"/>
        </w:rPr>
        <w:t xml:space="preserve">   </w:t>
      </w:r>
      <w:r>
        <w:rPr>
          <w:rFonts w:hint="eastAsia" w:hAnsi="宋体" w:cs="宋体"/>
          <w:szCs w:val="24"/>
          <w:highlight w:val="none"/>
          <w:u w:val="single"/>
        </w:rPr>
        <w:t>项目名称</w:t>
      </w:r>
      <w:r>
        <w:rPr>
          <w:rFonts w:hint="eastAsia" w:hAnsi="宋体" w:cs="宋体"/>
          <w:szCs w:val="24"/>
          <w:highlight w:val="none"/>
          <w:u w:val="single"/>
          <w:lang w:val="en-US" w:eastAsia="zh-CN"/>
        </w:rPr>
        <w:t xml:space="preserve">   </w:t>
      </w:r>
      <w:r>
        <w:rPr>
          <w:rFonts w:hint="eastAsia" w:hAnsi="宋体" w:cs="宋体"/>
          <w:szCs w:val="24"/>
          <w:highlight w:val="none"/>
        </w:rPr>
        <w:t>（项目编号：____）</w:t>
      </w:r>
      <w:r>
        <w:rPr>
          <w:rFonts w:hint="eastAsia" w:hAnsi="宋体" w:cs="宋体"/>
          <w:szCs w:val="24"/>
          <w:highlight w:val="none"/>
          <w:lang w:eastAsia="zh-CN"/>
        </w:rPr>
        <w:t>项目</w:t>
      </w:r>
      <w:r>
        <w:rPr>
          <w:rFonts w:hint="eastAsia" w:hAnsi="宋体" w:cs="宋体"/>
          <w:szCs w:val="24"/>
          <w:highlight w:val="none"/>
        </w:rPr>
        <w:t>采购活动提供本单位制造的货物（由本单位承担工程/提供服务），或者提供其他残疾人福利性单位制造的货物（不包括使用非残疾人福利性单位注册商标的货物）。</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本单位对上述声明的真实性负责。如有虚假，将依法承担相应责任。</w:t>
      </w: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center"/>
        <w:rPr>
          <w:rFonts w:hint="eastAsia" w:hAnsi="宋体" w:cs="宋体"/>
          <w:szCs w:val="24"/>
          <w:highlight w:val="none"/>
        </w:rPr>
      </w:pPr>
      <w:r>
        <w:rPr>
          <w:rFonts w:hint="eastAsia" w:hAnsi="宋体" w:cs="宋体"/>
          <w:szCs w:val="24"/>
          <w:highlight w:val="none"/>
          <w:lang w:val="en-US" w:eastAsia="zh-CN"/>
        </w:rPr>
        <w:t xml:space="preserve">                                </w:t>
      </w:r>
      <w:r>
        <w:rPr>
          <w:rFonts w:hint="eastAsia" w:hAnsi="宋体" w:cs="宋体"/>
          <w:szCs w:val="24"/>
          <w:highlight w:val="none"/>
        </w:rPr>
        <w:t>供应商：（加盖公章）</w:t>
      </w:r>
    </w:p>
    <w:p>
      <w:pPr>
        <w:spacing w:line="600" w:lineRule="exact"/>
        <w:ind w:firstLine="420" w:firstLineChars="200"/>
        <w:jc w:val="right"/>
        <w:rPr>
          <w:rFonts w:hint="eastAsia" w:hAnsi="宋体" w:cs="宋体"/>
          <w:szCs w:val="24"/>
          <w:highlight w:val="none"/>
        </w:rPr>
      </w:pPr>
      <w:r>
        <w:rPr>
          <w:rFonts w:hint="eastAsia" w:hAnsi="宋体" w:cs="宋体"/>
          <w:szCs w:val="24"/>
          <w:highlight w:val="none"/>
        </w:rPr>
        <w:t>法定代表人或授权代表：（签字或盖章）</w:t>
      </w:r>
    </w:p>
    <w:p>
      <w:pPr>
        <w:spacing w:line="600" w:lineRule="exact"/>
        <w:ind w:firstLine="420" w:firstLineChars="200"/>
        <w:jc w:val="right"/>
        <w:rPr>
          <w:rFonts w:hint="eastAsia" w:hAnsi="宋体" w:cs="宋体"/>
          <w:szCs w:val="24"/>
          <w:highlight w:val="none"/>
        </w:rPr>
      </w:pPr>
      <w:r>
        <w:rPr>
          <w:rFonts w:hint="eastAsia" w:hAnsi="宋体" w:cs="宋体"/>
          <w:szCs w:val="24"/>
          <w:highlight w:val="none"/>
        </w:rPr>
        <w:t>日　期：　　年　月　日</w:t>
      </w:r>
    </w:p>
    <w:p>
      <w:pPr>
        <w:spacing w:line="600" w:lineRule="exact"/>
        <w:ind w:firstLine="420" w:firstLineChars="200"/>
        <w:jc w:val="left"/>
        <w:rPr>
          <w:rFonts w:hint="eastAsia" w:hAnsi="宋体" w:cs="宋体"/>
          <w:szCs w:val="24"/>
          <w:highlight w:val="none"/>
        </w:rPr>
      </w:pP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备注：根据《财政部 民政部 中国残疾人联合会关于促进残疾人就业政府采购政策的通知》（财库〔2017〕141号）的规定：</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一、享受政府采购支持政策的残疾人福利性单位应当同时满足以下条件：</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（一）安置的残疾人占本单位在职职工人数的比例不低于25%（含25%），并且安置的残疾人人数不少于10人（含10人）；</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（二）依法与安置的每位残疾人签订了一年以上（含一年）的劳动合同或服务协议；</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（三）为安置的每位残疾人按月足额缴纳了基本养老保险、基本医疗保险、失业保险、工伤保险和生育保险等社会保险费；</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（四）通过银行等金融机构向安置的每位残疾人，按月支付了不低于单位所在区县适用的经省级人民政府批准的月最低工资标准的工资；</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（五）提供本单位制造的货物、承担的工程或者服务（以下简称产品），或者提供其他残疾人福利性单位制造的货物（不包括使用非残疾人福利性单位注册商标的货物）。</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二、中标、成交供应商为残疾人福利性单位的，采购人或者其委托的采购代理机构应当随中标、成交结果同时公告其《残疾人福利性单位声明函》，接受社会监督。</w:t>
      </w:r>
    </w:p>
    <w:p>
      <w:pPr>
        <w:spacing w:line="600" w:lineRule="exact"/>
        <w:ind w:firstLine="422" w:firstLineChars="200"/>
        <w:jc w:val="center"/>
        <w:rPr>
          <w:rFonts w:hint="eastAsia" w:hAnsi="宋体" w:cs="宋体"/>
          <w:b/>
          <w:bCs/>
          <w:szCs w:val="24"/>
          <w:highlight w:val="none"/>
        </w:rPr>
      </w:pPr>
      <w:r>
        <w:rPr>
          <w:rFonts w:hint="eastAsia" w:hAnsi="宋体" w:cs="宋体"/>
          <w:b/>
          <w:bCs/>
          <w:szCs w:val="24"/>
          <w:highlight w:val="none"/>
        </w:rPr>
        <w:t>（三）监狱企业证明函</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600" w:lineRule="exact"/>
        <w:ind w:firstLine="420" w:firstLineChars="200"/>
        <w:jc w:val="left"/>
        <w:rPr>
          <w:rFonts w:hint="eastAsia" w:hAnsi="宋体" w:cs="宋体"/>
          <w:szCs w:val="24"/>
          <w:highlight w:val="none"/>
        </w:rPr>
      </w:pPr>
      <w:r>
        <w:rPr>
          <w:rFonts w:hint="eastAsia" w:hAnsi="宋体" w:cs="宋体"/>
          <w:szCs w:val="24"/>
          <w:highlight w:val="none"/>
        </w:rPr>
        <w:t>监狱企业参加政府采购活动时，应当提供由省级以上监狱管理局、戒毒管理局（含新疆生产建设兵团）出具的属于监狱企业的证明文件。</w:t>
      </w: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eastAsia="zh-CN"/>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4：法定代表人身份证明格式</w:t>
      </w:r>
    </w:p>
    <w:p>
      <w:pPr>
        <w:adjustRightInd w:val="0"/>
        <w:snapToGrid w:val="0"/>
        <w:spacing w:line="360" w:lineRule="auto"/>
        <w:jc w:val="center"/>
        <w:outlineLvl w:val="2"/>
        <w:rPr>
          <w:rFonts w:hint="eastAsia" w:ascii="宋体" w:hAnsi="宋体" w:eastAsia="宋体" w:cs="宋体"/>
          <w:b/>
          <w:bCs/>
          <w:sz w:val="21"/>
          <w:szCs w:val="21"/>
          <w:highlight w:val="none"/>
        </w:rPr>
      </w:pPr>
    </w:p>
    <w:p>
      <w:pPr>
        <w:adjustRightInd w:val="0"/>
        <w:snapToGrid w:val="0"/>
        <w:spacing w:line="360" w:lineRule="auto"/>
        <w:jc w:val="center"/>
        <w:outlineLvl w:val="2"/>
        <w:rPr>
          <w:rFonts w:hint="eastAsia" w:ascii="宋体" w:hAnsi="宋体" w:eastAsia="宋体" w:cs="宋体"/>
          <w:b/>
          <w:bCs/>
          <w:sz w:val="21"/>
          <w:szCs w:val="21"/>
          <w:highlight w:val="none"/>
        </w:rPr>
      </w:pPr>
    </w:p>
    <w:p>
      <w:pPr>
        <w:adjustRightInd w:val="0"/>
        <w:snapToGrid w:val="0"/>
        <w:spacing w:line="360" w:lineRule="auto"/>
        <w:jc w:val="center"/>
        <w:outlineLvl w:val="2"/>
        <w:rPr>
          <w:rFonts w:hint="eastAsia" w:ascii="宋体" w:hAnsi="宋体" w:eastAsia="宋体" w:cs="宋体"/>
          <w:b/>
          <w:sz w:val="21"/>
          <w:szCs w:val="21"/>
          <w:highlight w:val="none"/>
        </w:rPr>
      </w:pPr>
      <w:r>
        <w:rPr>
          <w:rFonts w:hint="eastAsia" w:ascii="宋体" w:hAnsi="宋体" w:eastAsia="宋体" w:cs="宋体"/>
          <w:b/>
          <w:bCs/>
          <w:sz w:val="21"/>
          <w:szCs w:val="21"/>
          <w:highlight w:val="none"/>
        </w:rPr>
        <w:t>法定代表人身份证明</w:t>
      </w:r>
    </w:p>
    <w:p>
      <w:pPr>
        <w:snapToGrid w:val="0"/>
        <w:spacing w:line="480" w:lineRule="auto"/>
        <w:rPr>
          <w:rFonts w:hint="eastAsia" w:ascii="宋体" w:hAnsi="宋体" w:eastAsia="宋体" w:cs="宋体"/>
          <w:sz w:val="21"/>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cs="宋体"/>
          <w:sz w:val="21"/>
          <w:szCs w:val="21"/>
          <w:highlight w:val="none"/>
          <w:lang w:eastAsia="zh-CN"/>
        </w:rPr>
        <w:t>投标供应商</w:t>
      </w:r>
      <w:r>
        <w:rPr>
          <w:rFonts w:hint="eastAsia" w:ascii="宋体" w:hAnsi="宋体" w:eastAsia="宋体" w:cs="宋体"/>
          <w:kern w:val="0"/>
          <w:sz w:val="21"/>
          <w:szCs w:val="21"/>
          <w:highlight w:val="none"/>
        </w:rPr>
        <w:t>名称：</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hAnsi="宋体" w:cs="宋体"/>
          <w:highlight w:val="none"/>
        </w:rPr>
        <w:t>统一社会信用代码</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注册地址：</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成立时间：</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月</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经营期限：</w:t>
      </w:r>
      <w:r>
        <w:rPr>
          <w:rFonts w:hint="eastAsia" w:ascii="宋体" w:hAnsi="宋体" w:eastAsia="宋体" w:cs="宋体"/>
          <w:kern w:val="0"/>
          <w:sz w:val="21"/>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 xml:space="preserve"> 性别：</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 xml:space="preserve"> 年龄：</w:t>
      </w:r>
      <w:r>
        <w:rPr>
          <w:rFonts w:hint="eastAsia" w:ascii="宋体" w:hAnsi="宋体" w:eastAsia="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 xml:space="preserve"> 系</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cs="宋体"/>
          <w:sz w:val="21"/>
          <w:szCs w:val="21"/>
          <w:highlight w:val="none"/>
          <w:lang w:eastAsia="zh-CN"/>
        </w:rPr>
        <w:t>投标供应商</w:t>
      </w:r>
      <w:r>
        <w:rPr>
          <w:rFonts w:hint="eastAsia" w:ascii="宋体" w:hAnsi="宋体" w:eastAsia="宋体" w:cs="宋体"/>
          <w:kern w:val="0"/>
          <w:sz w:val="21"/>
          <w:szCs w:val="21"/>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sz w:val="21"/>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附：法定代表人身份证复印件</w:t>
      </w:r>
    </w:p>
    <w:p>
      <w:pPr>
        <w:snapToGrid w:val="0"/>
        <w:spacing w:line="480" w:lineRule="auto"/>
        <w:rPr>
          <w:rFonts w:hint="eastAsia" w:ascii="宋体" w:hAnsi="宋体" w:eastAsia="宋体" w:cs="宋体"/>
          <w:sz w:val="21"/>
          <w:szCs w:val="21"/>
          <w:highlight w:val="none"/>
        </w:rPr>
      </w:pPr>
    </w:p>
    <w:tbl>
      <w:tblPr>
        <w:tblStyle w:val="3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 w:val="21"/>
                <w:szCs w:val="21"/>
                <w:highlight w:val="none"/>
              </w:rPr>
            </w:pPr>
          </w:p>
          <w:p>
            <w:pPr>
              <w:snapToGrid w:val="0"/>
              <w:spacing w:line="480" w:lineRule="auto"/>
              <w:jc w:val="center"/>
              <w:rPr>
                <w:rFonts w:hint="eastAsia" w:ascii="宋体" w:hAnsi="宋体" w:eastAsia="宋体" w:cs="宋体"/>
                <w:sz w:val="21"/>
                <w:szCs w:val="21"/>
                <w:highlight w:val="none"/>
              </w:rPr>
            </w:pPr>
          </w:p>
          <w:p>
            <w:pPr>
              <w:spacing w:after="120"/>
              <w:jc w:val="center"/>
              <w:rPr>
                <w:rFonts w:hint="eastAsia" w:hAnsi="宋体" w:cs="宋体"/>
                <w:highlight w:val="none"/>
              </w:rPr>
            </w:pPr>
            <w:r>
              <w:rPr>
                <w:rFonts w:hint="eastAsia" w:ascii="宋体" w:hAnsi="宋体" w:eastAsia="宋体" w:cs="宋体"/>
                <w:sz w:val="21"/>
                <w:szCs w:val="21"/>
                <w:highlight w:val="none"/>
              </w:rPr>
              <w:t>法定代表人身份证复印件</w:t>
            </w:r>
            <w:r>
              <w:rPr>
                <w:rFonts w:hint="eastAsia" w:ascii="宋体" w:hAnsi="宋体" w:eastAsia="宋体" w:cs="宋体"/>
                <w:sz w:val="21"/>
                <w:szCs w:val="21"/>
                <w:highlight w:val="none"/>
                <w:lang w:eastAsia="zh-CN"/>
              </w:rPr>
              <w:t>黏</w:t>
            </w:r>
            <w:r>
              <w:rPr>
                <w:rFonts w:hint="eastAsia" w:ascii="宋体" w:hAnsi="宋体" w:eastAsia="宋体" w:cs="宋体"/>
                <w:sz w:val="21"/>
                <w:szCs w:val="21"/>
                <w:highlight w:val="none"/>
              </w:rPr>
              <w:t>贴处</w:t>
            </w:r>
            <w:r>
              <w:rPr>
                <w:rFonts w:hint="eastAsia" w:hAnsi="宋体" w:cs="宋体"/>
                <w:szCs w:val="21"/>
                <w:highlight w:val="none"/>
              </w:rPr>
              <w:t>（正反面）</w:t>
            </w:r>
          </w:p>
          <w:p>
            <w:pPr>
              <w:autoSpaceDE w:val="0"/>
              <w:autoSpaceDN w:val="0"/>
              <w:adjustRightInd w:val="0"/>
              <w:snapToGrid w:val="0"/>
              <w:spacing w:before="120" w:beforeLines="50" w:line="360" w:lineRule="auto"/>
              <w:jc w:val="center"/>
              <w:rPr>
                <w:rFonts w:hint="eastAsia" w:ascii="宋体" w:hAnsi="宋体" w:eastAsia="宋体" w:cs="宋体"/>
                <w:kern w:val="0"/>
                <w:sz w:val="21"/>
                <w:szCs w:val="21"/>
                <w:highlight w:val="none"/>
              </w:rPr>
            </w:pPr>
          </w:p>
          <w:p>
            <w:pPr>
              <w:snapToGrid w:val="0"/>
              <w:spacing w:line="480" w:lineRule="auto"/>
              <w:jc w:val="center"/>
              <w:rPr>
                <w:rFonts w:hint="eastAsia" w:ascii="宋体" w:hAnsi="宋体" w:eastAsia="宋体" w:cs="宋体"/>
                <w:sz w:val="21"/>
                <w:szCs w:val="21"/>
                <w:highlight w:val="none"/>
              </w:rPr>
            </w:pPr>
          </w:p>
          <w:p>
            <w:pPr>
              <w:snapToGrid w:val="0"/>
              <w:spacing w:line="480" w:lineRule="auto"/>
              <w:jc w:val="center"/>
              <w:rPr>
                <w:rFonts w:hint="eastAsia" w:ascii="宋体" w:hAnsi="宋体" w:eastAsia="宋体" w:cs="宋体"/>
                <w:sz w:val="21"/>
                <w:szCs w:val="21"/>
                <w:highlight w:val="none"/>
              </w:rPr>
            </w:pPr>
          </w:p>
        </w:tc>
      </w:tr>
    </w:tbl>
    <w:p>
      <w:pPr>
        <w:snapToGrid w:val="0"/>
        <w:spacing w:line="480" w:lineRule="auto"/>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snapToGrid w:val="0"/>
        <w:rPr>
          <w:rFonts w:hint="eastAsia" w:ascii="宋体" w:hAnsi="宋体" w:eastAsia="宋体" w:cs="宋体"/>
          <w:sz w:val="21"/>
          <w:szCs w:val="21"/>
          <w:highlight w:val="none"/>
        </w:rPr>
      </w:pPr>
    </w:p>
    <w:p>
      <w:pPr>
        <w:adjustRightInd w:val="0"/>
        <w:snapToGrid w:val="0"/>
        <w:spacing w:line="360" w:lineRule="auto"/>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rPr>
          <w:rFonts w:hint="eastAsia" w:ascii="宋体" w:hAnsi="宋体" w:eastAsia="宋体" w:cs="宋体"/>
          <w:sz w:val="21"/>
          <w:szCs w:val="21"/>
          <w:highlight w:val="none"/>
        </w:rPr>
      </w:pPr>
    </w:p>
    <w:p>
      <w:pPr>
        <w:adjustRightInd w:val="0"/>
        <w:snapToGrid w:val="0"/>
        <w:spacing w:line="360" w:lineRule="auto"/>
        <w:ind w:right="420" w:firstLine="210" w:firstLineChars="100"/>
        <w:rPr>
          <w:rFonts w:hint="eastAsia" w:ascii="宋体" w:hAnsi="宋体" w:eastAsia="宋体" w:cs="宋体"/>
          <w:sz w:val="21"/>
          <w:szCs w:val="21"/>
          <w:highlight w:val="none"/>
        </w:rPr>
      </w:pPr>
    </w:p>
    <w:p>
      <w:pPr>
        <w:pStyle w:val="134"/>
        <w:spacing w:line="500" w:lineRule="exact"/>
        <w:jc w:val="left"/>
        <w:rPr>
          <w:rFonts w:hint="eastAsia" w:ascii="宋体" w:hAnsi="宋体" w:cs="宋体"/>
          <w:b w:val="0"/>
          <w:sz w:val="21"/>
          <w:szCs w:val="21"/>
          <w:highlight w:val="none"/>
        </w:rPr>
      </w:pPr>
      <w:r>
        <w:rPr>
          <w:rFonts w:hint="eastAsia" w:ascii="宋体" w:hAnsi="宋体" w:cs="宋体"/>
          <w:b w:val="0"/>
          <w:sz w:val="21"/>
          <w:szCs w:val="21"/>
          <w:highlight w:val="none"/>
        </w:rPr>
        <w:t xml:space="preserve"> </w:t>
      </w:r>
      <w:r>
        <w:rPr>
          <w:rFonts w:hint="eastAsia" w:ascii="宋体" w:hAnsi="宋体" w:cs="宋体"/>
          <w:b w:val="0"/>
          <w:sz w:val="21"/>
          <w:szCs w:val="21"/>
          <w:highlight w:val="none"/>
          <w:lang w:val="en-US" w:eastAsia="zh-CN"/>
        </w:rPr>
        <w:t xml:space="preserve">                                            </w:t>
      </w:r>
      <w:r>
        <w:rPr>
          <w:rFonts w:hint="eastAsia" w:ascii="宋体" w:hAnsi="宋体" w:cs="宋体"/>
          <w:b w:val="0"/>
          <w:sz w:val="21"/>
          <w:szCs w:val="21"/>
          <w:highlight w:val="none"/>
          <w:lang w:eastAsia="zh-CN"/>
        </w:rPr>
        <w:t>投标供应商</w:t>
      </w:r>
      <w:r>
        <w:rPr>
          <w:rFonts w:hint="eastAsia" w:ascii="宋体" w:hAnsi="宋体" w:cs="宋体"/>
          <w:b w:val="0"/>
          <w:sz w:val="21"/>
          <w:szCs w:val="21"/>
          <w:highlight w:val="none"/>
        </w:rPr>
        <w:t>：</w:t>
      </w:r>
      <w:r>
        <w:rPr>
          <w:rFonts w:hint="eastAsia" w:ascii="宋体" w:hAnsi="宋体" w:cs="宋体"/>
          <w:b w:val="0"/>
          <w:sz w:val="21"/>
          <w:szCs w:val="21"/>
          <w:highlight w:val="none"/>
          <w:u w:val="single"/>
        </w:rPr>
        <w:t xml:space="preserve">      （单位全称、盖章）</w:t>
      </w:r>
    </w:p>
    <w:p>
      <w:pPr>
        <w:spacing w:line="440" w:lineRule="exact"/>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420" w:firstLine="4830" w:firstLineChars="2300"/>
        <w:rPr>
          <w:rFonts w:hint="eastAsia" w:ascii="宋体" w:hAnsi="宋体" w:eastAsia="宋体" w:cs="宋体"/>
          <w:sz w:val="21"/>
          <w:szCs w:val="21"/>
          <w:highlight w:val="none"/>
        </w:rPr>
      </w:pPr>
    </w:p>
    <w:p>
      <w:pPr>
        <w:adjustRightInd w:val="0"/>
        <w:snapToGrid w:val="0"/>
        <w:spacing w:line="360" w:lineRule="auto"/>
        <w:ind w:right="420" w:firstLine="210" w:firstLineChars="100"/>
        <w:rPr>
          <w:rFonts w:hint="eastAsia" w:ascii="宋体" w:hAnsi="宋体" w:eastAsia="宋体" w:cs="宋体"/>
          <w:sz w:val="21"/>
          <w:szCs w:val="21"/>
          <w:highlight w:val="none"/>
        </w:rPr>
      </w:pPr>
    </w:p>
    <w:p>
      <w:pPr>
        <w:adjustRightInd w:val="0"/>
        <w:snapToGrid w:val="0"/>
        <w:spacing w:line="360" w:lineRule="auto"/>
        <w:jc w:val="both"/>
        <w:outlineLvl w:val="2"/>
        <w:rPr>
          <w:rFonts w:hint="eastAsia" w:ascii="宋体" w:hAnsi="宋体" w:cs="宋体"/>
          <w:b/>
          <w:szCs w:val="21"/>
          <w:highlight w:val="none"/>
          <w:lang w:val="en-US" w:eastAsia="zh-CN"/>
        </w:rPr>
      </w:pPr>
      <w:r>
        <w:rPr>
          <w:rFonts w:hint="eastAsia" w:ascii="仿宋" w:hAnsi="仿宋" w:eastAsia="仿宋" w:cs="仿宋"/>
          <w:b/>
          <w:sz w:val="36"/>
          <w:szCs w:val="36"/>
          <w:highlight w:val="none"/>
        </w:rPr>
        <w:br w:type="page"/>
      </w:r>
      <w:bookmarkStart w:id="23" w:name="_Toc18150"/>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5：法定代表人授权书格式</w:t>
      </w:r>
    </w:p>
    <w:p>
      <w:pPr>
        <w:spacing w:line="360" w:lineRule="auto"/>
        <w:jc w:val="center"/>
        <w:outlineLvl w:val="2"/>
        <w:rPr>
          <w:rFonts w:hint="eastAsia" w:ascii="宋体" w:hAnsi="宋体" w:eastAsia="宋体" w:cs="宋体"/>
          <w:b/>
          <w:sz w:val="21"/>
          <w:szCs w:val="21"/>
          <w:highlight w:val="none"/>
        </w:rPr>
      </w:pPr>
      <w:r>
        <w:rPr>
          <w:rFonts w:hint="eastAsia" w:ascii="宋体" w:hAnsi="宋体" w:eastAsia="宋体" w:cs="宋体"/>
          <w:b/>
          <w:bCs/>
          <w:sz w:val="21"/>
          <w:szCs w:val="21"/>
          <w:highlight w:val="none"/>
        </w:rPr>
        <w:t>法定代表人授权书</w:t>
      </w:r>
      <w:bookmarkEnd w:id="23"/>
    </w:p>
    <w:p>
      <w:pPr>
        <w:spacing w:line="360" w:lineRule="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u w:val="single"/>
          <w:lang w:val="zh-CN"/>
        </w:rPr>
        <w:t xml:space="preserve">    </w:t>
      </w:r>
      <w:r>
        <w:rPr>
          <w:rFonts w:hint="eastAsia" w:ascii="宋体" w:hAnsi="宋体" w:cs="宋体"/>
          <w:b/>
          <w:sz w:val="21"/>
          <w:szCs w:val="21"/>
          <w:highlight w:val="none"/>
          <w:u w:val="single"/>
          <w:lang w:eastAsia="zh-CN"/>
        </w:rPr>
        <w:t>（</w:t>
      </w:r>
      <w:r>
        <w:rPr>
          <w:rFonts w:hint="eastAsia" w:ascii="宋体" w:hAnsi="宋体" w:cs="宋体"/>
          <w:b/>
          <w:szCs w:val="21"/>
          <w:highlight w:val="none"/>
          <w:u w:val="single"/>
          <w:lang w:val="en-US" w:eastAsia="zh-CN"/>
        </w:rPr>
        <w:t>采购人）</w:t>
      </w:r>
      <w:r>
        <w:rPr>
          <w:rFonts w:hint="eastAsia" w:ascii="宋体" w:hAnsi="宋体" w:eastAsia="宋体" w:cs="宋体"/>
          <w:sz w:val="21"/>
          <w:szCs w:val="21"/>
          <w:highlight w:val="none"/>
          <w:u w:val="single"/>
          <w:lang w:val="zh-CN"/>
        </w:rPr>
        <w:t xml:space="preserve">     </w:t>
      </w:r>
    </w:p>
    <w:p>
      <w:pPr>
        <w:spacing w:line="400" w:lineRule="exact"/>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注册于</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（工商行政管理局名称）之</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w:t>
      </w:r>
      <w:r>
        <w:rPr>
          <w:rFonts w:hint="eastAsia" w:ascii="宋体" w:hAnsi="宋体" w:cs="宋体"/>
          <w:sz w:val="21"/>
          <w:szCs w:val="21"/>
          <w:highlight w:val="none"/>
          <w:lang w:val="zh-CN"/>
        </w:rPr>
        <w:t>投标供应商</w:t>
      </w:r>
      <w:r>
        <w:rPr>
          <w:rFonts w:hint="eastAsia" w:ascii="宋体" w:hAnsi="宋体" w:eastAsia="宋体" w:cs="宋体"/>
          <w:sz w:val="21"/>
          <w:szCs w:val="21"/>
          <w:highlight w:val="none"/>
          <w:lang w:val="zh-CN"/>
        </w:rPr>
        <w:t>全称）法定代表人</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（姓名、职务）授权</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（被授权人姓名、职务）为我方的合法全权代表，就</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（采购项目名称、采购</w:t>
      </w:r>
      <w:r>
        <w:rPr>
          <w:rFonts w:hint="eastAsia" w:ascii="宋体" w:hAnsi="宋体" w:cs="宋体"/>
          <w:sz w:val="21"/>
          <w:szCs w:val="21"/>
          <w:highlight w:val="none"/>
          <w:lang w:val="zh-CN"/>
        </w:rPr>
        <w:t>项目编号</w:t>
      </w:r>
      <w:r>
        <w:rPr>
          <w:rFonts w:hint="eastAsia" w:ascii="宋体" w:hAnsi="宋体" w:eastAsia="宋体" w:cs="宋体"/>
          <w:sz w:val="21"/>
          <w:szCs w:val="21"/>
          <w:highlight w:val="none"/>
          <w:lang w:val="zh-CN"/>
        </w:rPr>
        <w:t>）的投标及采购合同的执行和完成，以我方的名义全权处理一切与之有关的事宜，</w:t>
      </w:r>
      <w:r>
        <w:rPr>
          <w:rFonts w:hint="eastAsia" w:ascii="宋体" w:hAnsi="宋体" w:eastAsia="宋体" w:cs="宋体"/>
          <w:kern w:val="0"/>
          <w:sz w:val="21"/>
          <w:szCs w:val="21"/>
          <w:highlight w:val="none"/>
        </w:rPr>
        <w:t>其法律后果由我方承担。</w:t>
      </w:r>
    </w:p>
    <w:p>
      <w:pPr>
        <w:spacing w:line="480" w:lineRule="auto"/>
        <w:ind w:firstLine="420" w:firstLineChars="200"/>
        <w:rPr>
          <w:rFonts w:hint="eastAsia" w:ascii="宋体" w:hAnsi="宋体" w:eastAsia="宋体" w:cs="宋体"/>
          <w:b/>
          <w:bCs/>
          <w:sz w:val="21"/>
          <w:szCs w:val="21"/>
          <w:highlight w:val="none"/>
          <w:lang w:val="zh-CN"/>
        </w:rPr>
      </w:pPr>
      <w:r>
        <w:rPr>
          <w:rFonts w:hint="eastAsia" w:ascii="宋体" w:hAnsi="宋体" w:eastAsia="宋体" w:cs="宋体"/>
          <w:sz w:val="21"/>
          <w:szCs w:val="21"/>
          <w:highlight w:val="none"/>
          <w:lang w:val="zh-CN"/>
        </w:rPr>
        <w:t>本授权有效期：</w:t>
      </w:r>
      <w:r>
        <w:rPr>
          <w:highlight w:val="none"/>
        </w:rPr>
        <w:t>本授权书有效期自开标之日起</w:t>
      </w:r>
      <w:r>
        <w:rPr>
          <w:highlight w:val="none"/>
          <w:u w:val="single"/>
        </w:rPr>
        <w:t xml:space="preserve"> </w:t>
      </w:r>
      <w:r>
        <w:rPr>
          <w:rFonts w:hint="eastAsia"/>
          <w:highlight w:val="none"/>
          <w:u w:val="single"/>
          <w:lang w:val="en-US" w:eastAsia="zh-CN"/>
        </w:rPr>
        <w:t xml:space="preserve">   </w:t>
      </w:r>
      <w:r>
        <w:rPr>
          <w:highlight w:val="none"/>
          <w:u w:val="single"/>
        </w:rPr>
        <w:tab/>
      </w:r>
      <w:r>
        <w:rPr>
          <w:highlight w:val="none"/>
        </w:rPr>
        <w:t>天</w:t>
      </w:r>
      <w:r>
        <w:rPr>
          <w:rFonts w:hint="eastAsia" w:ascii="宋体" w:hAnsi="宋体" w:eastAsia="宋体" w:cs="宋体"/>
          <w:sz w:val="21"/>
          <w:szCs w:val="21"/>
          <w:highlight w:val="none"/>
          <w:lang w:val="zh-CN"/>
        </w:rPr>
        <w:t>。</w:t>
      </w:r>
    </w:p>
    <w:p>
      <w:pPr>
        <w:spacing w:line="360" w:lineRule="auto"/>
        <w:ind w:firstLine="420" w:firstLineChars="200"/>
        <w:rPr>
          <w:rFonts w:hint="eastAsia" w:ascii="宋体" w:hAnsi="宋体" w:eastAsia="宋体" w:cs="宋体"/>
          <w:sz w:val="21"/>
          <w:szCs w:val="21"/>
          <w:highlight w:val="none"/>
          <w:lang w:val="zh-CN"/>
        </w:rPr>
      </w:pPr>
    </w:p>
    <w:p>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附：全权代表姓名：</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性别：</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年龄：</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zh-CN"/>
        </w:rPr>
        <w:t>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身份证号码：</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通讯地址：</w:t>
      </w:r>
      <w:r>
        <w:rPr>
          <w:rFonts w:hint="eastAsia" w:ascii="宋体" w:hAnsi="宋体" w:eastAsia="宋体" w:cs="宋体"/>
          <w:sz w:val="21"/>
          <w:szCs w:val="21"/>
          <w:highlight w:val="none"/>
          <w:u w:val="single"/>
        </w:rPr>
        <w:t xml:space="preserve">                                      </w:t>
      </w:r>
    </w:p>
    <w:p>
      <w:pPr>
        <w:spacing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电传：</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spacing w:before="240" w:line="360" w:lineRule="auto"/>
        <w:ind w:firstLine="840" w:firstLineChars="400"/>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授权代表身份证复印件</w:t>
      </w:r>
    </w:p>
    <w:tbl>
      <w:tblPr>
        <w:tblStyle w:val="39"/>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296"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法定代表人身份证复印件正面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zh-CN"/>
              </w:rPr>
              <w:t>法定代表人身份证复印件反面</w:t>
            </w:r>
          </w:p>
        </w:tc>
      </w:tr>
      <w:tr>
        <w:tblPrEx>
          <w:tblCellMar>
            <w:top w:w="0" w:type="dxa"/>
            <w:left w:w="108" w:type="dxa"/>
            <w:bottom w:w="0" w:type="dxa"/>
            <w:right w:w="108" w:type="dxa"/>
          </w:tblCellMar>
        </w:tblPrEx>
        <w:trPr>
          <w:trHeight w:val="2735"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授权代表身份证复印件正面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授权代表身份证复印件反面</w:t>
            </w:r>
          </w:p>
        </w:tc>
      </w:tr>
    </w:tbl>
    <w:p>
      <w:pPr>
        <w:rPr>
          <w:rFonts w:hint="eastAsia" w:ascii="宋体" w:hAnsi="宋体" w:eastAsia="宋体" w:cs="宋体"/>
          <w:sz w:val="21"/>
          <w:szCs w:val="21"/>
          <w:highlight w:val="none"/>
        </w:rPr>
      </w:pPr>
    </w:p>
    <w:p>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人： </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法定代表人： </w:t>
      </w:r>
      <w:r>
        <w:rPr>
          <w:rFonts w:hint="eastAsia" w:ascii="宋体" w:hAnsi="宋体" w:eastAsia="宋体" w:cs="宋体"/>
          <w:sz w:val="21"/>
          <w:szCs w:val="21"/>
          <w:highlight w:val="none"/>
          <w:u w:val="single"/>
        </w:rPr>
        <w:t xml:space="preserve">    （签名或盖章）</w:t>
      </w:r>
    </w:p>
    <w:p>
      <w:pPr>
        <w:rPr>
          <w:rFonts w:hint="eastAsia" w:ascii="宋体" w:hAnsi="宋体" w:eastAsia="宋体" w:cs="宋体"/>
          <w:sz w:val="21"/>
          <w:szCs w:val="21"/>
          <w:highlight w:val="none"/>
        </w:rPr>
      </w:pPr>
    </w:p>
    <w:p>
      <w:pPr>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被授权人：</w:t>
      </w:r>
      <w:r>
        <w:rPr>
          <w:rFonts w:hint="eastAsia" w:ascii="宋体" w:hAnsi="宋体" w:eastAsia="宋体" w:cs="宋体"/>
          <w:sz w:val="21"/>
          <w:szCs w:val="21"/>
          <w:highlight w:val="none"/>
          <w:u w:val="single"/>
        </w:rPr>
        <w:t xml:space="preserve">   （签名或盖章）  </w:t>
      </w:r>
      <w:r>
        <w:rPr>
          <w:rFonts w:hint="eastAsia" w:ascii="宋体" w:hAnsi="宋体" w:eastAsia="宋体" w:cs="宋体"/>
          <w:sz w:val="21"/>
          <w:szCs w:val="21"/>
          <w:highlight w:val="none"/>
        </w:rPr>
        <w:t xml:space="preserve">      授权日期：</w:t>
      </w:r>
      <w:r>
        <w:rPr>
          <w:rFonts w:hint="eastAsia" w:ascii="宋体" w:hAnsi="宋体" w:eastAsia="宋体" w:cs="宋体"/>
          <w:sz w:val="21"/>
          <w:szCs w:val="21"/>
          <w:highlight w:val="none"/>
          <w:u w:val="single"/>
        </w:rPr>
        <w:t xml:space="preserve">    年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月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日</w:t>
      </w:r>
    </w:p>
    <w:p>
      <w:pPr>
        <w:ind w:firstLine="420" w:firstLineChars="200"/>
        <w:rPr>
          <w:rFonts w:hint="eastAsia" w:ascii="宋体" w:hAnsi="宋体" w:eastAsia="宋体" w:cs="宋体"/>
          <w:bCs/>
          <w:sz w:val="21"/>
          <w:szCs w:val="21"/>
          <w:highlight w:val="none"/>
          <w:lang w:val="zh-CN"/>
        </w:rPr>
      </w:pPr>
    </w:p>
    <w:p>
      <w:pPr>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说明：本授权有效期自开标之日起不得少于</w:t>
      </w:r>
      <w:r>
        <w:rPr>
          <w:rFonts w:hint="eastAsia" w:ascii="宋体" w:hAnsi="宋体" w:eastAsia="宋体" w:cs="宋体"/>
          <w:sz w:val="21"/>
          <w:szCs w:val="21"/>
          <w:highlight w:val="none"/>
        </w:rPr>
        <w:t>90</w:t>
      </w:r>
      <w:r>
        <w:rPr>
          <w:rFonts w:hint="eastAsia" w:ascii="宋体" w:hAnsi="宋体" w:eastAsia="宋体" w:cs="宋体"/>
          <w:sz w:val="21"/>
          <w:szCs w:val="21"/>
          <w:highlight w:val="none"/>
          <w:lang w:val="zh-CN"/>
        </w:rPr>
        <w:t>天。</w:t>
      </w:r>
    </w:p>
    <w:p>
      <w:pPr>
        <w:spacing w:line="440" w:lineRule="exact"/>
        <w:rPr>
          <w:rFonts w:hint="eastAsia" w:ascii="宋体" w:hAnsi="宋体" w:eastAsia="宋体" w:cs="宋体"/>
          <w:b/>
          <w:sz w:val="21"/>
          <w:szCs w:val="21"/>
          <w:highlight w:val="none"/>
          <w:lang w:val="en-US" w:eastAsia="zh-CN"/>
        </w:rPr>
      </w:pPr>
    </w:p>
    <w:p>
      <w:pPr>
        <w:spacing w:line="440" w:lineRule="exact"/>
        <w:rPr>
          <w:rFonts w:hint="eastAsia" w:ascii="宋体" w:hAnsi="宋体" w:cs="宋体"/>
          <w:b/>
          <w:szCs w:val="21"/>
          <w:highlight w:val="none"/>
          <w:lang w:val="en-US" w:eastAsia="zh-CN"/>
        </w:rPr>
      </w:pPr>
      <w:r>
        <w:rPr>
          <w:rFonts w:hint="eastAsia" w:ascii="宋体" w:hAnsi="宋体" w:cs="宋体"/>
          <w:b/>
          <w:szCs w:val="21"/>
          <w:highlight w:val="none"/>
          <w:lang w:val="en-US" w:eastAsia="zh-CN"/>
        </w:rPr>
        <w:br w:type="page"/>
      </w:r>
    </w:p>
    <w:p>
      <w:pPr>
        <w:spacing w:line="440" w:lineRule="exact"/>
        <w:rPr>
          <w:rFonts w:hint="eastAsia" w:ascii="宋体" w:hAnsi="宋体" w:eastAsia="宋体" w:cs="宋体"/>
          <w:b/>
          <w:szCs w:val="21"/>
          <w:highlight w:val="none"/>
          <w:lang w:eastAsia="zh-CN"/>
        </w:rPr>
      </w:pPr>
      <w:r>
        <w:rPr>
          <w:rFonts w:hint="eastAsia" w:ascii="宋体" w:hAnsi="宋体" w:eastAsia="宋体" w:cs="宋体"/>
          <w:b/>
          <w:szCs w:val="21"/>
          <w:highlight w:val="none"/>
          <w:lang w:eastAsia="zh-CN"/>
        </w:rPr>
        <w:t>附件</w:t>
      </w:r>
      <w:r>
        <w:rPr>
          <w:rFonts w:hint="eastAsia" w:ascii="宋体" w:hAnsi="宋体" w:cs="宋体"/>
          <w:b/>
          <w:szCs w:val="21"/>
          <w:highlight w:val="none"/>
          <w:lang w:val="en-US" w:eastAsia="zh-CN"/>
        </w:rPr>
        <w:t>6</w:t>
      </w:r>
      <w:r>
        <w:rPr>
          <w:rFonts w:hint="eastAsia" w:ascii="宋体" w:hAnsi="宋体" w:eastAsia="宋体" w:cs="宋体"/>
          <w:b/>
          <w:szCs w:val="21"/>
          <w:highlight w:val="none"/>
          <w:lang w:val="en-US" w:eastAsia="zh-CN"/>
        </w:rPr>
        <w:t>：</w:t>
      </w:r>
      <w:r>
        <w:rPr>
          <w:rFonts w:hint="eastAsia" w:ascii="宋体" w:hAnsi="宋体" w:eastAsia="宋体" w:cs="宋体"/>
          <w:b/>
          <w:szCs w:val="21"/>
          <w:highlight w:val="none"/>
          <w:lang w:eastAsia="zh-CN"/>
        </w:rPr>
        <w:t>投标供应商企业关系关联承诺书</w:t>
      </w:r>
    </w:p>
    <w:p>
      <w:pPr>
        <w:autoSpaceDE w:val="0"/>
        <w:autoSpaceDN w:val="0"/>
        <w:adjustRightInd w:val="0"/>
        <w:snapToGrid w:val="0"/>
        <w:spacing w:line="360" w:lineRule="auto"/>
        <w:rPr>
          <w:rFonts w:ascii="宋体" w:hAnsi="宋体"/>
          <w:sz w:val="24"/>
          <w:szCs w:val="24"/>
          <w:highlight w:val="none"/>
        </w:rPr>
      </w:pPr>
      <w:r>
        <w:rPr>
          <w:rFonts w:hint="eastAsia" w:ascii="宋体" w:hAnsi="宋体"/>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投标供应商</w:t>
      </w:r>
      <w:r>
        <w:rPr>
          <w:rFonts w:hint="eastAsia" w:ascii="宋体" w:hAnsi="宋体" w:eastAsia="宋体" w:cs="宋体"/>
          <w:sz w:val="21"/>
          <w:szCs w:val="21"/>
          <w:highlight w:val="none"/>
        </w:rPr>
        <w:t>在本招标项目中，不存在与其它</w:t>
      </w:r>
      <w:r>
        <w:rPr>
          <w:rFonts w:hint="eastAsia" w:ascii="宋体" w:hAnsi="宋体" w:cs="宋体"/>
          <w:sz w:val="21"/>
          <w:szCs w:val="21"/>
          <w:highlight w:val="none"/>
          <w:lang w:eastAsia="zh-CN"/>
        </w:rPr>
        <w:t>投标供应商</w:t>
      </w:r>
      <w:r>
        <w:rPr>
          <w:rFonts w:hint="eastAsia" w:ascii="宋体" w:hAnsi="宋体" w:eastAsia="宋体" w:cs="宋体"/>
          <w:sz w:val="21"/>
          <w:szCs w:val="21"/>
          <w:highlight w:val="none"/>
        </w:rPr>
        <w:t>负责人为同一人，有控股、管理等关联关系承诺。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-1、管理关系说明：</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我单位管理的具有独立法人的下属单位有：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我单位的上级管理单位有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-2、股权关系说明：</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我单位控股的单位有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我单位被</w:t>
      </w:r>
      <w:r>
        <w:rPr>
          <w:rFonts w:hint="eastAsia" w:ascii="宋体" w:hAnsi="宋体" w:eastAsia="宋体" w:cs="宋体"/>
          <w:i/>
          <w:iCs/>
          <w:sz w:val="21"/>
          <w:szCs w:val="21"/>
          <w:highlight w:val="none"/>
          <w:u w:val="single"/>
        </w:rPr>
        <w:t xml:space="preserve">        </w:t>
      </w:r>
      <w:r>
        <w:rPr>
          <w:rFonts w:hint="eastAsia" w:ascii="宋体" w:hAnsi="宋体" w:eastAsia="宋体" w:cs="宋体"/>
          <w:i/>
          <w:iCs/>
          <w:sz w:val="21"/>
          <w:szCs w:val="21"/>
          <w:highlight w:val="none"/>
          <w:u w:val="single"/>
          <w:lang w:val="en-US" w:eastAsia="zh-CN"/>
        </w:rPr>
        <w:t xml:space="preserve">   </w:t>
      </w:r>
      <w:r>
        <w:rPr>
          <w:rFonts w:hint="eastAsia" w:ascii="宋体" w:hAnsi="宋体" w:eastAsia="宋体" w:cs="宋体"/>
          <w:i/>
          <w:iCs/>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单位控股。</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-3、单位负责人：</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、其他与本项目有关的利害关系说明：</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我单位承诺以上说明真实有效，无虚假内容或隐瞒。</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before="156" w:beforeLines="50" w:line="440" w:lineRule="exact"/>
        <w:ind w:left="-103" w:leftChars="-49"/>
        <w:jc w:val="center"/>
        <w:rPr>
          <w:rFonts w:hint="eastAsia" w:ascii="宋体" w:hAnsi="宋体" w:eastAsia="宋体" w:cs="宋体"/>
          <w:sz w:val="24"/>
          <w:szCs w:val="24"/>
          <w:highlight w:val="none"/>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center"/>
        <w:rPr>
          <w:rFonts w:hint="eastAsia"/>
          <w:highlight w:val="none"/>
          <w:lang w:val="en-US" w:eastAsia="zh-CN"/>
        </w:rPr>
      </w:pPr>
    </w:p>
    <w:p>
      <w:pPr>
        <w:spacing w:after="240" w:afterLines="100" w:line="560" w:lineRule="exact"/>
        <w:jc w:val="both"/>
        <w:rPr>
          <w:rFonts w:hint="eastAsia" w:ascii="宋体" w:hAnsi="宋体" w:cs="宋体"/>
          <w:b/>
          <w:bCs/>
          <w:sz w:val="36"/>
          <w:szCs w:val="36"/>
          <w:highlight w:val="none"/>
          <w:lang w:val="en-GB" w:eastAsia="zh-CN"/>
        </w:rPr>
      </w:pPr>
      <w:r>
        <w:rPr>
          <w:rFonts w:hint="eastAsia"/>
          <w:b/>
          <w:bCs/>
          <w:highlight w:val="none"/>
          <w:lang w:val="en-US" w:eastAsia="zh-CN"/>
        </w:rPr>
        <w:t>附件7：</w:t>
      </w:r>
      <w:r>
        <w:rPr>
          <w:rFonts w:hint="eastAsia"/>
          <w:highlight w:val="none"/>
          <w:lang w:val="en-US" w:eastAsia="zh-CN"/>
        </w:rPr>
        <w:t>投标供应商不得在“中国执行信息公开网”网站（http://zxgk.court.gov.cn/）中被列入失信被执行人、不得在“信用中国”网站（www.creditchina.gov.cn）被列为重大税收违法案件当事人，不得为“中国政府采购网”（www.ccgp.gov.cn）政府采购严重违法失信行为记录名单中被财政部门禁止参加政府采购活动的供应商；</w:t>
      </w:r>
      <w:r>
        <w:rPr>
          <w:rFonts w:hint="eastAsia" w:ascii="宋体" w:hAnsi="宋体" w:cs="宋体"/>
          <w:b/>
          <w:bCs/>
          <w:sz w:val="36"/>
          <w:szCs w:val="36"/>
          <w:highlight w:val="none"/>
          <w:lang w:val="en-GB" w:eastAsia="zh-CN"/>
        </w:rPr>
        <w:br w:type="page"/>
      </w:r>
    </w:p>
    <w:p>
      <w:pPr>
        <w:spacing w:after="240" w:afterLines="100" w:line="560" w:lineRule="exact"/>
        <w:jc w:val="center"/>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lang w:val="en-GB" w:eastAsia="zh-CN"/>
        </w:rPr>
        <w:t>、</w:t>
      </w:r>
      <w:r>
        <w:rPr>
          <w:rFonts w:hint="eastAsia" w:ascii="宋体" w:hAnsi="宋体" w:cs="宋体"/>
          <w:b/>
          <w:bCs/>
          <w:sz w:val="36"/>
          <w:szCs w:val="36"/>
          <w:highlight w:val="none"/>
          <w:lang w:val="en-US" w:eastAsia="zh-CN"/>
        </w:rPr>
        <w:t>供应商概况</w:t>
      </w:r>
    </w:p>
    <w:p>
      <w:pPr>
        <w:spacing w:after="240" w:afterLines="100" w:line="560" w:lineRule="exact"/>
        <w:jc w:val="center"/>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pStyle w:val="24"/>
        <w:rPr>
          <w:rFonts w:hint="eastAsia" w:ascii="宋体" w:hAnsi="宋体" w:cs="宋体"/>
          <w:b/>
          <w:bCs/>
          <w:sz w:val="36"/>
          <w:szCs w:val="36"/>
          <w:highlight w:val="none"/>
          <w:lang w:val="en-GB" w:eastAsia="zh-CN"/>
        </w:rPr>
      </w:pPr>
    </w:p>
    <w:p>
      <w:pPr>
        <w:spacing w:after="240" w:afterLines="100" w:line="560" w:lineRule="exact"/>
        <w:jc w:val="center"/>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六</w:t>
      </w:r>
      <w:r>
        <w:rPr>
          <w:rFonts w:hint="eastAsia" w:ascii="宋体" w:hAnsi="宋体" w:cs="宋体"/>
          <w:b/>
          <w:bCs/>
          <w:sz w:val="36"/>
          <w:szCs w:val="36"/>
          <w:highlight w:val="none"/>
          <w:lang w:val="en-GB" w:eastAsia="zh-CN"/>
        </w:rPr>
        <w:t>、</w:t>
      </w:r>
      <w:r>
        <w:rPr>
          <w:rFonts w:hint="eastAsia" w:hAnsi="宋体" w:cs="宋体"/>
          <w:b/>
          <w:bCs/>
          <w:sz w:val="32"/>
          <w:szCs w:val="32"/>
          <w:highlight w:val="none"/>
        </w:rPr>
        <w:t>供应商参加政府采购活动承诺书</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为响应党中央、国务院关于治理政府采购领域商业贿赂行为的号召，我公司在此庄严承诺：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1、在参与政府采购活动中遵纪守法、诚信经营、公平竞标。</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2、不向政府采购人、采购代理机构和政府采购评审专家进行任何形式的商业贿赂以谋取交易机会。</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3、不向政府采购代理机构和采购人提供虚假资质文件或采用虚假应标方式参与政府采购市场竞争并谋取中标、成交。</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4、不采取“围标、陪标”等商业欺诈手段获得政府采购定单。</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5、不采取不正当手段诋毁、排挤其他投标供应商。</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6、不在提供商品和服务时“偷梁换柱、以次充好”损害采购人的合法权益。</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7、不与采购人、采购代理机构政府采购评审专家或其它投标供应商恶意串通，进行质疑和投诉，维护政府采购市场秩序。</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9、不发生其他有悖于政府采购公开、公平、公正和诚信原则的行为。</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承诺单位（盖章）：</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全权代表（签字）：</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                        </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邮  编：</w:t>
      </w:r>
    </w:p>
    <w:p>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  话：                             </w:t>
      </w:r>
    </w:p>
    <w:p>
      <w:pPr>
        <w:keepNext w:val="0"/>
        <w:keepLines w:val="0"/>
        <w:pageBreakBefore w:val="0"/>
        <w:widowControl w:val="0"/>
        <w:kinsoku/>
        <w:wordWrap/>
        <w:overflowPunct/>
        <w:topLinePunct w:val="0"/>
        <w:bidi w:val="0"/>
        <w:snapToGrid w:val="0"/>
        <w:spacing w:line="500" w:lineRule="exact"/>
        <w:ind w:firstLine="3150" w:firstLineChars="15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年   月   日</w:t>
      </w:r>
    </w:p>
    <w:p>
      <w:pPr>
        <w:spacing w:after="240" w:afterLines="100" w:line="560" w:lineRule="exact"/>
        <w:jc w:val="cente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ascii="宋体" w:hAnsi="宋体" w:cs="宋体"/>
          <w:b/>
          <w:bCs/>
          <w:sz w:val="36"/>
          <w:szCs w:val="36"/>
          <w:highlight w:val="none"/>
          <w:lang w:val="en-US" w:eastAsia="zh-CN"/>
        </w:rPr>
      </w:pPr>
    </w:p>
    <w:p>
      <w:pPr>
        <w:pStyle w:val="16"/>
        <w:rPr>
          <w:rFonts w:hint="eastAsia" w:ascii="宋体" w:hAnsi="宋体" w:cs="宋体"/>
          <w:b/>
          <w:bCs/>
          <w:sz w:val="36"/>
          <w:szCs w:val="36"/>
          <w:highlight w:val="none"/>
          <w:lang w:val="en-US" w:eastAsia="zh-CN"/>
        </w:rPr>
      </w:pPr>
    </w:p>
    <w:p>
      <w:pPr>
        <w:rPr>
          <w:rFonts w:hint="eastAsia"/>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七、</w:t>
      </w:r>
      <w:r>
        <w:rPr>
          <w:rFonts w:hint="eastAsia" w:ascii="宋体" w:hAnsi="宋体" w:cs="宋体"/>
          <w:b/>
          <w:bCs/>
          <w:sz w:val="36"/>
          <w:szCs w:val="36"/>
          <w:highlight w:val="none"/>
          <w:lang w:val="en-US" w:eastAsia="zh-CN"/>
        </w:rPr>
        <w:t>投标</w:t>
      </w:r>
      <w:r>
        <w:rPr>
          <w:rFonts w:hint="eastAsia" w:ascii="宋体" w:hAnsi="宋体" w:eastAsia="宋体" w:cs="宋体"/>
          <w:b/>
          <w:bCs/>
          <w:sz w:val="36"/>
          <w:szCs w:val="36"/>
          <w:highlight w:val="none"/>
          <w:lang w:val="en-US" w:eastAsia="zh-CN"/>
        </w:rPr>
        <w:t>技术方案</w:t>
      </w:r>
    </w:p>
    <w:p>
      <w:pPr>
        <w:adjustRightInd w:val="0"/>
        <w:snapToGrid w:val="0"/>
        <w:spacing w:line="360" w:lineRule="auto"/>
        <w:ind w:firstLine="420" w:firstLineChars="200"/>
        <w:rPr>
          <w:rFonts w:hint="eastAsia" w:ascii="Times New Roman" w:hAnsi="宋体" w:eastAsia="宋体" w:cs="宋体"/>
          <w:szCs w:val="24"/>
          <w:highlight w:val="none"/>
        </w:rPr>
      </w:pPr>
      <w:r>
        <w:rPr>
          <w:rFonts w:hint="eastAsia" w:ascii="Times New Roman" w:hAnsi="宋体" w:eastAsia="宋体" w:cs="宋体"/>
          <w:szCs w:val="24"/>
          <w:highlight w:val="none"/>
        </w:rPr>
        <w:t>格式自定，参照招标文件《评标方法》各条款的要求，结合招标文件第</w:t>
      </w:r>
      <w:r>
        <w:rPr>
          <w:rFonts w:hint="eastAsia" w:hAnsi="宋体" w:cs="宋体"/>
          <w:szCs w:val="24"/>
          <w:highlight w:val="none"/>
          <w:lang w:val="en-US" w:eastAsia="zh-CN"/>
        </w:rPr>
        <w:t>四</w:t>
      </w:r>
      <w:r>
        <w:rPr>
          <w:rFonts w:hint="eastAsia" w:ascii="Times New Roman" w:hAnsi="宋体" w:eastAsia="宋体" w:cs="宋体"/>
          <w:szCs w:val="24"/>
          <w:highlight w:val="none"/>
          <w:lang w:val="en-US" w:eastAsia="zh-CN"/>
        </w:rPr>
        <w:t>章</w:t>
      </w:r>
      <w:r>
        <w:rPr>
          <w:rFonts w:hint="eastAsia" w:ascii="Times New Roman" w:hAnsi="宋体" w:eastAsia="宋体" w:cs="宋体"/>
          <w:szCs w:val="24"/>
          <w:highlight w:val="none"/>
        </w:rPr>
        <w:t>《</w:t>
      </w:r>
      <w:r>
        <w:rPr>
          <w:rFonts w:hint="eastAsia" w:ascii="Times New Roman" w:hAnsi="宋体" w:eastAsia="宋体" w:cs="宋体"/>
          <w:szCs w:val="24"/>
          <w:highlight w:val="none"/>
          <w:lang w:val="en-US" w:eastAsia="zh-CN"/>
        </w:rPr>
        <w:t>采购</w:t>
      </w:r>
      <w:r>
        <w:rPr>
          <w:rFonts w:hint="eastAsia" w:ascii="Times New Roman" w:hAnsi="宋体" w:eastAsia="宋体" w:cs="宋体"/>
          <w:szCs w:val="24"/>
          <w:highlight w:val="none"/>
        </w:rPr>
        <w:t>内容及技术要求》编制投标</w:t>
      </w:r>
      <w:r>
        <w:rPr>
          <w:rFonts w:hint="eastAsia" w:ascii="Times New Roman" w:hAnsi="宋体" w:eastAsia="宋体" w:cs="宋体"/>
          <w:szCs w:val="24"/>
          <w:highlight w:val="none"/>
          <w:lang w:val="en-US" w:eastAsia="zh-CN"/>
        </w:rPr>
        <w:t>技术</w:t>
      </w:r>
      <w:r>
        <w:rPr>
          <w:rFonts w:hint="eastAsia" w:ascii="Times New Roman" w:hAnsi="宋体" w:eastAsia="宋体" w:cs="宋体"/>
          <w:szCs w:val="24"/>
          <w:highlight w:val="none"/>
        </w:rPr>
        <w:t>方案。</w:t>
      </w:r>
    </w:p>
    <w:p>
      <w:pPr>
        <w:adjustRightInd w:val="0"/>
        <w:snapToGrid w:val="0"/>
        <w:spacing w:line="360" w:lineRule="auto"/>
        <w:ind w:firstLine="420" w:firstLineChars="200"/>
        <w:rPr>
          <w:rFonts w:hint="eastAsia" w:ascii="Times New Roman" w:hAnsi="宋体" w:eastAsia="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pStyle w:val="24"/>
        <w:rPr>
          <w:rFonts w:hint="eastAsia" w:hAnsi="宋体" w:cs="宋体"/>
          <w:szCs w:val="24"/>
          <w:highlight w:val="none"/>
        </w:rPr>
      </w:pPr>
    </w:p>
    <w:p>
      <w:pPr>
        <w:spacing w:line="480" w:lineRule="auto"/>
        <w:rPr>
          <w:rFonts w:hint="eastAsia" w:ascii="Times New Roman" w:hAnsi="宋体" w:eastAsia="宋体" w:cs="宋体"/>
          <w:highlight w:val="none"/>
        </w:rPr>
      </w:pPr>
      <w:r>
        <w:rPr>
          <w:rFonts w:hint="eastAsia" w:ascii="Times New Roman" w:hAnsi="宋体" w:eastAsia="宋体" w:cs="宋体"/>
          <w:highlight w:val="none"/>
          <w:lang w:val="en-US" w:eastAsia="zh-CN"/>
        </w:rPr>
        <w:t>附件1：</w:t>
      </w:r>
      <w:r>
        <w:rPr>
          <w:rFonts w:hint="eastAsia" w:ascii="Times New Roman" w:hAnsi="宋体" w:eastAsia="宋体" w:cs="宋体"/>
          <w:highlight w:val="none"/>
        </w:rPr>
        <w:t>项目负责人简历表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04"/>
        <w:gridCol w:w="2245"/>
        <w:gridCol w:w="1611"/>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姓名</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年龄</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性别</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学历</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职务</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161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职称</w:t>
            </w:r>
          </w:p>
        </w:tc>
        <w:tc>
          <w:tcPr>
            <w:tcW w:w="2880" w:type="dxa"/>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541" w:type="dxa"/>
            <w:vMerge w:val="restart"/>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资格证书名称及编号</w:t>
            </w: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证书名称</w:t>
            </w: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1" w:type="dxa"/>
            <w:vMerge w:val="continue"/>
            <w:noWrap w:val="0"/>
            <w:vAlign w:val="center"/>
          </w:tcPr>
          <w:p>
            <w:pPr>
              <w:spacing w:line="480" w:lineRule="exact"/>
              <w:jc w:val="center"/>
              <w:rPr>
                <w:rFonts w:hint="eastAsia" w:ascii="宋体" w:hAnsi="宋体" w:eastAsia="宋体" w:cs="宋体"/>
                <w:sz w:val="21"/>
                <w:szCs w:val="21"/>
                <w:highlight w:val="none"/>
              </w:rPr>
            </w:pP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41" w:type="dxa"/>
            <w:vMerge w:val="continue"/>
            <w:noWrap w:val="0"/>
            <w:vAlign w:val="center"/>
          </w:tcPr>
          <w:p>
            <w:pPr>
              <w:spacing w:line="480" w:lineRule="exact"/>
              <w:jc w:val="center"/>
              <w:rPr>
                <w:rFonts w:hint="eastAsia" w:ascii="宋体" w:hAnsi="宋体" w:eastAsia="宋体" w:cs="宋体"/>
                <w:caps/>
                <w:sz w:val="21"/>
                <w:szCs w:val="21"/>
                <w:highlight w:val="none"/>
              </w:rPr>
            </w:pPr>
          </w:p>
        </w:tc>
        <w:tc>
          <w:tcPr>
            <w:tcW w:w="2949" w:type="dxa"/>
            <w:gridSpan w:val="2"/>
            <w:noWrap w:val="0"/>
            <w:vAlign w:val="top"/>
          </w:tcPr>
          <w:p>
            <w:pPr>
              <w:spacing w:line="480" w:lineRule="exact"/>
              <w:jc w:val="center"/>
              <w:rPr>
                <w:rFonts w:hint="eastAsia" w:ascii="宋体" w:hAnsi="宋体" w:eastAsia="宋体" w:cs="宋体"/>
                <w:caps/>
                <w:sz w:val="21"/>
                <w:szCs w:val="21"/>
                <w:highlight w:val="none"/>
              </w:rPr>
            </w:pP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41" w:type="dxa"/>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在本单位从业年限</w:t>
            </w:r>
          </w:p>
        </w:tc>
        <w:tc>
          <w:tcPr>
            <w:tcW w:w="7440" w:type="dxa"/>
            <w:gridSpan w:val="4"/>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90" w:type="dxa"/>
            <w:gridSpan w:val="3"/>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从事工作年限</w:t>
            </w:r>
          </w:p>
        </w:tc>
        <w:tc>
          <w:tcPr>
            <w:tcW w:w="4491" w:type="dxa"/>
            <w:gridSpan w:val="2"/>
            <w:noWrap w:val="0"/>
            <w:vAlign w:val="top"/>
          </w:tcPr>
          <w:p>
            <w:pPr>
              <w:spacing w:line="480" w:lineRule="exact"/>
              <w:jc w:val="center"/>
              <w:rPr>
                <w:rFonts w:hint="eastAsia" w:ascii="宋体" w:hAnsi="宋体" w:eastAsia="宋体" w:cs="宋体"/>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245" w:type="dxa"/>
            <w:gridSpan w:val="2"/>
            <w:noWrap w:val="0"/>
            <w:vAlign w:val="center"/>
          </w:tcPr>
          <w:p>
            <w:pPr>
              <w:spacing w:line="480" w:lineRule="exact"/>
              <w:jc w:val="center"/>
              <w:rPr>
                <w:rFonts w:hint="eastAsia" w:ascii="宋体" w:hAnsi="宋体" w:eastAsia="宋体" w:cs="宋体"/>
                <w:caps/>
                <w:sz w:val="21"/>
                <w:szCs w:val="21"/>
                <w:highlight w:val="none"/>
              </w:rPr>
            </w:pPr>
            <w:r>
              <w:rPr>
                <w:rFonts w:hint="eastAsia" w:ascii="宋体" w:hAnsi="宋体" w:eastAsia="宋体" w:cs="宋体"/>
                <w:caps/>
                <w:sz w:val="21"/>
                <w:szCs w:val="21"/>
                <w:highlight w:val="none"/>
              </w:rPr>
              <w:t>类似项目工作业绩及担任的主要工作</w:t>
            </w:r>
          </w:p>
        </w:tc>
        <w:tc>
          <w:tcPr>
            <w:tcW w:w="6736" w:type="dxa"/>
            <w:gridSpan w:val="3"/>
            <w:noWrap w:val="0"/>
            <w:vAlign w:val="top"/>
          </w:tcPr>
          <w:p>
            <w:pPr>
              <w:spacing w:line="480" w:lineRule="exact"/>
              <w:jc w:val="center"/>
              <w:rPr>
                <w:rFonts w:hint="eastAsia" w:ascii="宋体" w:hAnsi="宋体" w:eastAsia="宋体" w:cs="宋体"/>
                <w:caps/>
                <w:sz w:val="21"/>
                <w:szCs w:val="21"/>
                <w:highlight w:val="none"/>
              </w:rPr>
            </w:pPr>
          </w:p>
        </w:tc>
      </w:tr>
    </w:tbl>
    <w:p>
      <w:pPr>
        <w:spacing w:line="480" w:lineRule="exact"/>
        <w:jc w:val="both"/>
        <w:rPr>
          <w:rFonts w:hint="eastAsia" w:ascii="宋体" w:hAnsi="宋体" w:eastAsia="宋体" w:cs="宋体"/>
          <w:caps/>
          <w:sz w:val="21"/>
          <w:szCs w:val="21"/>
          <w:highlight w:val="none"/>
        </w:rPr>
      </w:pPr>
      <w:r>
        <w:rPr>
          <w:rFonts w:hint="eastAsia" w:ascii="宋体" w:hAnsi="宋体" w:eastAsia="宋体" w:cs="宋体"/>
          <w:caps/>
          <w:sz w:val="21"/>
          <w:szCs w:val="21"/>
          <w:highlight w:val="none"/>
        </w:rPr>
        <w:t>注：附项目负责人相关资格证书</w:t>
      </w:r>
      <w:r>
        <w:rPr>
          <w:rFonts w:hint="eastAsia" w:ascii="宋体" w:hAnsi="宋体" w:eastAsia="宋体" w:cs="宋体"/>
          <w:caps/>
          <w:sz w:val="21"/>
          <w:szCs w:val="21"/>
          <w:highlight w:val="none"/>
          <w:lang w:val="en-US" w:eastAsia="zh-CN"/>
        </w:rPr>
        <w:t>等</w:t>
      </w:r>
      <w:r>
        <w:rPr>
          <w:rFonts w:hint="eastAsia" w:ascii="宋体" w:hAnsi="宋体" w:eastAsia="宋体" w:cs="宋体"/>
          <w:caps/>
          <w:sz w:val="21"/>
          <w:szCs w:val="21"/>
          <w:highlight w:val="none"/>
        </w:rPr>
        <w:t>文件</w:t>
      </w:r>
      <w:r>
        <w:rPr>
          <w:rFonts w:hint="eastAsia" w:ascii="宋体" w:hAnsi="宋体" w:eastAsia="宋体" w:cs="宋体"/>
          <w:b w:val="0"/>
          <w:bCs/>
          <w:color w:val="000000"/>
          <w:sz w:val="21"/>
          <w:szCs w:val="21"/>
          <w:highlight w:val="none"/>
          <w:lang w:val="en-US" w:eastAsia="zh-CN" w:bidi="ar"/>
        </w:rPr>
        <w:t>扫描</w:t>
      </w:r>
      <w:r>
        <w:rPr>
          <w:rFonts w:hint="eastAsia" w:ascii="宋体" w:hAnsi="宋体" w:eastAsia="宋体" w:cs="宋体"/>
          <w:b w:val="0"/>
          <w:bCs/>
          <w:color w:val="000000"/>
          <w:sz w:val="21"/>
          <w:szCs w:val="21"/>
          <w:highlight w:val="none"/>
          <w:lang w:bidi="ar"/>
        </w:rPr>
        <w:t>件加盖公司公章</w:t>
      </w:r>
      <w:r>
        <w:rPr>
          <w:rFonts w:hint="eastAsia" w:ascii="宋体" w:hAnsi="宋体" w:eastAsia="宋体" w:cs="宋体"/>
          <w:caps/>
          <w:sz w:val="21"/>
          <w:szCs w:val="21"/>
          <w:highlight w:val="none"/>
        </w:rPr>
        <w:t>。</w:t>
      </w:r>
    </w:p>
    <w:p>
      <w:pPr>
        <w:spacing w:line="440" w:lineRule="exact"/>
        <w:rPr>
          <w:rFonts w:hint="eastAsia" w:ascii="华文宋体" w:hAnsi="华文宋体" w:eastAsia="华文宋体" w:cs="宋体"/>
          <w:b/>
          <w:sz w:val="24"/>
          <w:highlight w:val="none"/>
        </w:rPr>
      </w:pPr>
    </w:p>
    <w:p>
      <w:pPr>
        <w:spacing w:before="240" w:beforeLines="100" w:after="240" w:afterLines="100" w:line="480" w:lineRule="exact"/>
        <w:rPr>
          <w:rFonts w:hint="eastAsia" w:ascii="华文宋体" w:hAnsi="华文宋体" w:eastAsia="华文宋体" w:cs="宋体"/>
          <w:sz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jc w:val="both"/>
        <w:rPr>
          <w:rFonts w:hint="eastAsia" w:ascii="Times New Roman" w:hAnsi="宋体" w:eastAsia="宋体" w:cs="宋体"/>
          <w:highlight w:val="none"/>
        </w:rPr>
      </w:pPr>
      <w:r>
        <w:rPr>
          <w:rFonts w:hint="eastAsia" w:ascii="Times New Roman" w:hAnsi="宋体" w:eastAsia="宋体" w:cs="宋体"/>
          <w:highlight w:val="none"/>
        </w:rPr>
        <w:t>附件</w:t>
      </w:r>
      <w:r>
        <w:rPr>
          <w:rFonts w:hint="eastAsia" w:ascii="Times New Roman" w:hAnsi="宋体" w:eastAsia="宋体" w:cs="宋体"/>
          <w:highlight w:val="none"/>
          <w:lang w:val="en-US" w:eastAsia="zh-CN"/>
        </w:rPr>
        <w:t>2</w:t>
      </w:r>
      <w:r>
        <w:rPr>
          <w:rFonts w:hint="eastAsia" w:ascii="Times New Roman" w:hAnsi="宋体" w:eastAsia="宋体" w:cs="宋体"/>
          <w:highlight w:val="none"/>
        </w:rPr>
        <w:t>：拟投入本项目人员组成</w:t>
      </w:r>
    </w:p>
    <w:p>
      <w:pPr>
        <w:pStyle w:val="24"/>
        <w:rPr>
          <w:rFonts w:hint="eastAsia"/>
          <w:highlight w:val="none"/>
        </w:rPr>
      </w:pPr>
    </w:p>
    <w:tbl>
      <w:tblPr>
        <w:tblStyle w:val="40"/>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85"/>
        <w:gridCol w:w="696"/>
        <w:gridCol w:w="857"/>
        <w:gridCol w:w="887"/>
        <w:gridCol w:w="102"/>
        <w:gridCol w:w="1168"/>
        <w:gridCol w:w="915"/>
        <w:gridCol w:w="1383"/>
        <w:gridCol w:w="1172"/>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59" w:type="dxa"/>
            <w:gridSpan w:val="2"/>
            <w:noWrap w:val="0"/>
            <w:vAlign w:val="center"/>
          </w:tcPr>
          <w:p>
            <w:pPr>
              <w:jc w:val="center"/>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项目名称</w:t>
            </w:r>
          </w:p>
        </w:tc>
        <w:tc>
          <w:tcPr>
            <w:tcW w:w="2440" w:type="dxa"/>
            <w:gridSpan w:val="3"/>
            <w:noWrap w:val="0"/>
            <w:vAlign w:val="center"/>
          </w:tcPr>
          <w:p>
            <w:pPr>
              <w:jc w:val="center"/>
              <w:rPr>
                <w:rFonts w:hint="eastAsia" w:ascii="宋体" w:hAnsi="宋体" w:eastAsia="宋体" w:cs="宋体"/>
                <w:sz w:val="21"/>
                <w:szCs w:val="21"/>
                <w:highlight w:val="none"/>
                <w:vertAlign w:val="baseline"/>
              </w:rPr>
            </w:pPr>
          </w:p>
        </w:tc>
        <w:tc>
          <w:tcPr>
            <w:tcW w:w="2185" w:type="dxa"/>
            <w:gridSpan w:val="3"/>
            <w:noWrap w:val="0"/>
            <w:vAlign w:val="center"/>
          </w:tcPr>
          <w:p>
            <w:pPr>
              <w:jc w:val="center"/>
              <w:rPr>
                <w:rFonts w:hint="eastAsia" w:ascii="宋体" w:hAnsi="宋体" w:eastAsia="宋体" w:cs="宋体"/>
                <w:sz w:val="21"/>
                <w:szCs w:val="21"/>
                <w:highlight w:val="none"/>
                <w:vertAlign w:val="baseline"/>
              </w:rPr>
            </w:pPr>
            <w:r>
              <w:rPr>
                <w:rFonts w:hint="eastAsia" w:ascii="宋体" w:hAnsi="宋体" w:cs="宋体"/>
                <w:sz w:val="21"/>
                <w:szCs w:val="21"/>
                <w:highlight w:val="none"/>
                <w:vertAlign w:val="baseline"/>
                <w:lang w:val="en-US" w:eastAsia="zh-CN"/>
              </w:rPr>
              <w:t>项目编号</w:t>
            </w:r>
          </w:p>
        </w:tc>
        <w:tc>
          <w:tcPr>
            <w:tcW w:w="3231" w:type="dxa"/>
            <w:gridSpan w:val="3"/>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415" w:type="dxa"/>
            <w:gridSpan w:val="11"/>
            <w:noWrap w:val="0"/>
            <w:vAlign w:val="center"/>
          </w:tcPr>
          <w:p>
            <w:pPr>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拟投入本项目人员</w:t>
            </w:r>
            <w:r>
              <w:rPr>
                <w:rFonts w:hint="eastAsia" w:ascii="宋体" w:hAnsi="宋体" w:eastAsia="宋体" w:cs="宋体"/>
                <w:sz w:val="21"/>
                <w:szCs w:val="21"/>
                <w:highlight w:val="none"/>
                <w:vertAlign w:val="baseline"/>
                <w:lang w:val="en-US" w:eastAsia="zh-CN"/>
              </w:rPr>
              <w:t>组成</w:t>
            </w:r>
            <w:r>
              <w:rPr>
                <w:rFonts w:hint="eastAsia" w:ascii="宋体" w:hAnsi="宋体" w:eastAsia="宋体" w:cs="宋体"/>
                <w:sz w:val="21"/>
                <w:szCs w:val="21"/>
                <w:highlight w:val="none"/>
                <w:vertAlign w:val="baseline"/>
                <w:lang w:eastAsia="zh-CN"/>
              </w:rPr>
              <w:t>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序号</w:t>
            </w:r>
          </w:p>
        </w:tc>
        <w:tc>
          <w:tcPr>
            <w:tcW w:w="885"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姓名</w:t>
            </w:r>
          </w:p>
        </w:tc>
        <w:tc>
          <w:tcPr>
            <w:tcW w:w="696"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性别</w:t>
            </w:r>
          </w:p>
        </w:tc>
        <w:tc>
          <w:tcPr>
            <w:tcW w:w="857"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年龄</w:t>
            </w:r>
          </w:p>
        </w:tc>
        <w:tc>
          <w:tcPr>
            <w:tcW w:w="989" w:type="dxa"/>
            <w:gridSpan w:val="2"/>
            <w:noWrap w:val="0"/>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学历</w:t>
            </w:r>
          </w:p>
        </w:tc>
        <w:tc>
          <w:tcPr>
            <w:tcW w:w="1168"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bidi="ar"/>
              </w:rPr>
              <w:t>资格</w:t>
            </w:r>
          </w:p>
          <w:p>
            <w:pPr>
              <w:jc w:val="center"/>
              <w:rPr>
                <w:rFonts w:hint="eastAsia" w:ascii="宋体" w:hAnsi="宋体" w:eastAsia="宋体" w:cs="宋体"/>
                <w:sz w:val="21"/>
                <w:szCs w:val="21"/>
                <w:highlight w:val="none"/>
                <w:vertAlign w:val="baseline"/>
              </w:rPr>
            </w:pPr>
            <w:r>
              <w:rPr>
                <w:rFonts w:hint="eastAsia" w:ascii="宋体" w:hAnsi="宋体" w:eastAsia="宋体" w:cs="宋体"/>
                <w:color w:val="000000"/>
                <w:sz w:val="21"/>
                <w:szCs w:val="21"/>
                <w:highlight w:val="none"/>
                <w:lang w:bidi="ar"/>
              </w:rPr>
              <w:t>证书</w:t>
            </w:r>
          </w:p>
        </w:tc>
        <w:tc>
          <w:tcPr>
            <w:tcW w:w="915" w:type="dxa"/>
            <w:noWrap w:val="0"/>
            <w:vAlign w:val="center"/>
          </w:tcPr>
          <w:p>
            <w:pPr>
              <w:jc w:val="center"/>
              <w:rPr>
                <w:rFonts w:hint="eastAsia" w:ascii="宋体" w:hAnsi="宋体" w:eastAsia="宋体" w:cs="宋体"/>
                <w:sz w:val="21"/>
                <w:szCs w:val="21"/>
                <w:highlight w:val="none"/>
                <w:vertAlign w:val="baseline"/>
                <w:lang w:eastAsia="zh-CN"/>
              </w:rPr>
            </w:pPr>
            <w:r>
              <w:rPr>
                <w:rFonts w:hint="eastAsia" w:ascii="宋体" w:hAnsi="宋体" w:eastAsia="宋体" w:cs="宋体"/>
                <w:color w:val="000000"/>
                <w:sz w:val="21"/>
                <w:szCs w:val="21"/>
                <w:highlight w:val="none"/>
                <w:lang w:eastAsia="zh-CN" w:bidi="ar"/>
              </w:rPr>
              <w:t>职称</w:t>
            </w:r>
          </w:p>
        </w:tc>
        <w:tc>
          <w:tcPr>
            <w:tcW w:w="1383"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bidi="ar"/>
              </w:rPr>
              <w:t>拟任</w:t>
            </w:r>
            <w:r>
              <w:rPr>
                <w:rFonts w:hint="eastAsia" w:ascii="宋体" w:hAnsi="宋体" w:eastAsia="宋体" w:cs="宋体"/>
                <w:color w:val="000000"/>
                <w:sz w:val="21"/>
                <w:szCs w:val="21"/>
                <w:highlight w:val="none"/>
                <w:lang w:bidi="ar"/>
              </w:rPr>
              <w:t>职务</w:t>
            </w:r>
          </w:p>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r>
              <w:rPr>
                <w:rFonts w:hint="eastAsia" w:ascii="宋体" w:hAnsi="宋体" w:cs="宋体"/>
                <w:caps/>
                <w:szCs w:val="21"/>
                <w:highlight w:val="none"/>
              </w:rPr>
              <w:t>从事</w:t>
            </w:r>
            <w:r>
              <w:rPr>
                <w:rFonts w:hint="eastAsia" w:ascii="宋体" w:hAnsi="宋体" w:cs="宋体"/>
                <w:caps/>
                <w:szCs w:val="21"/>
                <w:highlight w:val="none"/>
                <w:lang w:eastAsia="zh-CN"/>
              </w:rPr>
              <w:t>本专业</w:t>
            </w:r>
            <w:r>
              <w:rPr>
                <w:rFonts w:hint="eastAsia" w:ascii="宋体" w:hAnsi="宋体" w:cs="宋体"/>
                <w:caps/>
                <w:szCs w:val="21"/>
                <w:highlight w:val="none"/>
              </w:rPr>
              <w:t>年限</w:t>
            </w:r>
          </w:p>
        </w:tc>
        <w:tc>
          <w:tcPr>
            <w:tcW w:w="676"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bidi="ar"/>
              </w:rPr>
              <w:t>备注</w:t>
            </w:r>
          </w:p>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noWrap w:val="0"/>
            <w:vAlign w:val="center"/>
          </w:tcPr>
          <w:p>
            <w:pPr>
              <w:jc w:val="center"/>
              <w:rPr>
                <w:rFonts w:hint="eastAsia" w:ascii="宋体" w:hAnsi="宋体" w:eastAsia="宋体" w:cs="宋体"/>
                <w:sz w:val="21"/>
                <w:szCs w:val="21"/>
                <w:highlight w:val="none"/>
                <w:vertAlign w:val="baseline"/>
              </w:rPr>
            </w:pPr>
          </w:p>
        </w:tc>
        <w:tc>
          <w:tcPr>
            <w:tcW w:w="885" w:type="dxa"/>
            <w:noWrap w:val="0"/>
            <w:vAlign w:val="center"/>
          </w:tcPr>
          <w:p>
            <w:pPr>
              <w:jc w:val="center"/>
              <w:rPr>
                <w:rFonts w:hint="eastAsia" w:ascii="宋体" w:hAnsi="宋体" w:eastAsia="宋体" w:cs="宋体"/>
                <w:sz w:val="21"/>
                <w:szCs w:val="21"/>
                <w:highlight w:val="none"/>
                <w:vertAlign w:val="baseline"/>
              </w:rPr>
            </w:pPr>
          </w:p>
        </w:tc>
        <w:tc>
          <w:tcPr>
            <w:tcW w:w="696" w:type="dxa"/>
            <w:noWrap w:val="0"/>
            <w:vAlign w:val="center"/>
          </w:tcPr>
          <w:p>
            <w:pPr>
              <w:jc w:val="center"/>
              <w:rPr>
                <w:rFonts w:hint="eastAsia" w:ascii="宋体" w:hAnsi="宋体" w:eastAsia="宋体" w:cs="宋体"/>
                <w:sz w:val="21"/>
                <w:szCs w:val="21"/>
                <w:highlight w:val="none"/>
                <w:vertAlign w:val="baseline"/>
              </w:rPr>
            </w:pPr>
          </w:p>
        </w:tc>
        <w:tc>
          <w:tcPr>
            <w:tcW w:w="857" w:type="dxa"/>
            <w:noWrap w:val="0"/>
            <w:vAlign w:val="center"/>
          </w:tcPr>
          <w:p>
            <w:pPr>
              <w:jc w:val="center"/>
              <w:rPr>
                <w:rFonts w:hint="eastAsia" w:ascii="宋体" w:hAnsi="宋体" w:eastAsia="宋体" w:cs="宋体"/>
                <w:sz w:val="21"/>
                <w:szCs w:val="21"/>
                <w:highlight w:val="none"/>
                <w:vertAlign w:val="baseline"/>
              </w:rPr>
            </w:pPr>
          </w:p>
        </w:tc>
        <w:tc>
          <w:tcPr>
            <w:tcW w:w="989" w:type="dxa"/>
            <w:gridSpan w:val="2"/>
            <w:noWrap w:val="0"/>
            <w:vAlign w:val="center"/>
          </w:tcPr>
          <w:p>
            <w:pPr>
              <w:jc w:val="center"/>
              <w:rPr>
                <w:rFonts w:hint="eastAsia" w:ascii="宋体" w:hAnsi="宋体" w:eastAsia="宋体" w:cs="宋体"/>
                <w:sz w:val="21"/>
                <w:szCs w:val="21"/>
                <w:highlight w:val="none"/>
                <w:vertAlign w:val="baseline"/>
              </w:rPr>
            </w:pPr>
          </w:p>
        </w:tc>
        <w:tc>
          <w:tcPr>
            <w:tcW w:w="1168" w:type="dxa"/>
            <w:noWrap w:val="0"/>
            <w:vAlign w:val="center"/>
          </w:tcPr>
          <w:p>
            <w:pPr>
              <w:jc w:val="center"/>
              <w:rPr>
                <w:rFonts w:hint="eastAsia" w:ascii="宋体" w:hAnsi="宋体" w:eastAsia="宋体" w:cs="宋体"/>
                <w:sz w:val="21"/>
                <w:szCs w:val="21"/>
                <w:highlight w:val="none"/>
                <w:vertAlign w:val="baseline"/>
              </w:rPr>
            </w:pPr>
          </w:p>
        </w:tc>
        <w:tc>
          <w:tcPr>
            <w:tcW w:w="915" w:type="dxa"/>
            <w:noWrap w:val="0"/>
            <w:vAlign w:val="center"/>
          </w:tcPr>
          <w:p>
            <w:pPr>
              <w:jc w:val="center"/>
              <w:rPr>
                <w:rFonts w:hint="eastAsia" w:ascii="宋体" w:hAnsi="宋体" w:eastAsia="宋体" w:cs="宋体"/>
                <w:sz w:val="21"/>
                <w:szCs w:val="21"/>
                <w:highlight w:val="none"/>
                <w:vertAlign w:val="baseline"/>
              </w:rPr>
            </w:pPr>
          </w:p>
        </w:tc>
        <w:tc>
          <w:tcPr>
            <w:tcW w:w="1383" w:type="dxa"/>
            <w:noWrap w:val="0"/>
            <w:vAlign w:val="center"/>
          </w:tcPr>
          <w:p>
            <w:pPr>
              <w:jc w:val="center"/>
              <w:rPr>
                <w:rFonts w:hint="eastAsia" w:ascii="宋体" w:hAnsi="宋体" w:eastAsia="宋体" w:cs="宋体"/>
                <w:sz w:val="21"/>
                <w:szCs w:val="21"/>
                <w:highlight w:val="none"/>
                <w:vertAlign w:val="baseline"/>
              </w:rPr>
            </w:pPr>
          </w:p>
        </w:tc>
        <w:tc>
          <w:tcPr>
            <w:tcW w:w="1172" w:type="dxa"/>
            <w:noWrap w:val="0"/>
            <w:vAlign w:val="center"/>
          </w:tcPr>
          <w:p>
            <w:pPr>
              <w:jc w:val="center"/>
              <w:rPr>
                <w:rFonts w:hint="eastAsia" w:ascii="宋体" w:hAnsi="宋体" w:eastAsia="宋体" w:cs="宋体"/>
                <w:sz w:val="21"/>
                <w:szCs w:val="21"/>
                <w:highlight w:val="none"/>
                <w:vertAlign w:val="baseline"/>
              </w:rPr>
            </w:pPr>
          </w:p>
        </w:tc>
        <w:tc>
          <w:tcPr>
            <w:tcW w:w="676" w:type="dxa"/>
            <w:noWrap w:val="0"/>
            <w:vAlign w:val="center"/>
          </w:tcPr>
          <w:p>
            <w:pPr>
              <w:jc w:val="center"/>
              <w:rPr>
                <w:rFonts w:hint="eastAsia" w:ascii="宋体" w:hAnsi="宋体" w:eastAsia="宋体" w:cs="宋体"/>
                <w:sz w:val="21"/>
                <w:szCs w:val="21"/>
                <w:highlight w:val="none"/>
                <w:vertAlign w:val="baseline"/>
              </w:rPr>
            </w:pPr>
          </w:p>
        </w:tc>
      </w:tr>
    </w:tbl>
    <w:p>
      <w:pPr>
        <w:rPr>
          <w:rFonts w:hint="eastAsia" w:ascii="宋体" w:hAnsi="宋体" w:eastAsia="宋体" w:cs="宋体"/>
          <w:sz w:val="21"/>
          <w:szCs w:val="21"/>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szCs w:val="21"/>
          <w:highlight w:val="none"/>
          <w:lang w:eastAsia="zh-CN"/>
        </w:rPr>
      </w:pPr>
      <w:r>
        <w:rPr>
          <w:rFonts w:hint="eastAsia" w:ascii="宋体" w:hAnsi="宋体" w:eastAsia="宋体" w:cs="宋体"/>
          <w:b w:val="0"/>
          <w:bCs/>
          <w:color w:val="000000"/>
          <w:sz w:val="21"/>
          <w:szCs w:val="21"/>
          <w:highlight w:val="none"/>
          <w:lang w:bidi="ar"/>
        </w:rPr>
        <w:t>注：</w:t>
      </w:r>
      <w:r>
        <w:rPr>
          <w:rFonts w:hint="eastAsia" w:ascii="宋体" w:hAnsi="宋体" w:eastAsia="宋体" w:cs="宋体"/>
          <w:b w:val="0"/>
          <w:bCs/>
          <w:color w:val="000000"/>
          <w:sz w:val="21"/>
          <w:szCs w:val="21"/>
          <w:highlight w:val="none"/>
          <w:lang w:val="en-US" w:eastAsia="zh-CN" w:bidi="ar"/>
        </w:rPr>
        <w:t>1、</w:t>
      </w:r>
      <w:r>
        <w:rPr>
          <w:rFonts w:hint="eastAsia" w:ascii="宋体" w:hAnsi="宋体" w:eastAsia="宋体" w:cs="宋体"/>
          <w:szCs w:val="21"/>
          <w:highlight w:val="none"/>
          <w:lang w:eastAsia="zh-CN"/>
        </w:rPr>
        <w:t>项目组成人员须包括但不限于项目负责人、项目组成员等。</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000000"/>
          <w:sz w:val="21"/>
          <w:szCs w:val="21"/>
          <w:highlight w:val="none"/>
          <w:lang w:bidi="ar"/>
        </w:rPr>
      </w:pPr>
      <w:r>
        <w:rPr>
          <w:rFonts w:hint="eastAsia" w:ascii="宋体" w:hAnsi="宋体" w:eastAsia="宋体" w:cs="宋体"/>
          <w:b w:val="0"/>
          <w:bCs/>
          <w:color w:val="000000"/>
          <w:sz w:val="21"/>
          <w:szCs w:val="21"/>
          <w:highlight w:val="none"/>
          <w:lang w:val="en-US" w:eastAsia="zh-CN" w:bidi="ar"/>
        </w:rPr>
        <w:t>2</w:t>
      </w:r>
      <w:r>
        <w:rPr>
          <w:rFonts w:hint="eastAsia" w:ascii="宋体" w:hAnsi="宋体" w:eastAsia="宋体" w:cs="宋体"/>
          <w:b w:val="0"/>
          <w:bCs/>
          <w:color w:val="000000"/>
          <w:sz w:val="21"/>
          <w:szCs w:val="21"/>
          <w:highlight w:val="none"/>
          <w:lang w:bidi="ar"/>
        </w:rPr>
        <w:t>、可适当调整该表格式，但不得减少信息内容。</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color w:val="000000"/>
          <w:sz w:val="21"/>
          <w:szCs w:val="21"/>
          <w:highlight w:val="none"/>
          <w:lang w:bidi="ar"/>
        </w:rPr>
      </w:pPr>
      <w:r>
        <w:rPr>
          <w:rFonts w:hint="eastAsia" w:ascii="宋体" w:hAnsi="宋体" w:eastAsia="宋体" w:cs="宋体"/>
          <w:b w:val="0"/>
          <w:bCs/>
          <w:color w:val="000000"/>
          <w:sz w:val="21"/>
          <w:szCs w:val="21"/>
          <w:highlight w:val="none"/>
          <w:lang w:val="en-US" w:eastAsia="zh-CN" w:bidi="ar"/>
        </w:rPr>
        <w:t>3</w:t>
      </w:r>
      <w:r>
        <w:rPr>
          <w:rFonts w:hint="eastAsia" w:ascii="宋体" w:hAnsi="宋体" w:eastAsia="宋体" w:cs="宋体"/>
          <w:b w:val="0"/>
          <w:bCs/>
          <w:color w:val="000000"/>
          <w:sz w:val="21"/>
          <w:szCs w:val="21"/>
          <w:highlight w:val="none"/>
          <w:lang w:bidi="ar"/>
        </w:rPr>
        <w:t>、表后</w:t>
      </w:r>
      <w:r>
        <w:rPr>
          <w:rFonts w:hint="eastAsia" w:ascii="宋体" w:hAnsi="宋体" w:eastAsia="宋体" w:cs="宋体"/>
          <w:b w:val="0"/>
          <w:bCs/>
          <w:color w:val="000000"/>
          <w:sz w:val="21"/>
          <w:szCs w:val="21"/>
          <w:highlight w:val="none"/>
          <w:lang w:val="en-US" w:eastAsia="zh-CN" w:bidi="ar"/>
        </w:rPr>
        <w:t>可</w:t>
      </w:r>
      <w:r>
        <w:rPr>
          <w:rFonts w:hint="eastAsia" w:ascii="宋体" w:hAnsi="宋体" w:eastAsia="宋体" w:cs="宋体"/>
          <w:b w:val="0"/>
          <w:bCs/>
          <w:color w:val="000000"/>
          <w:sz w:val="21"/>
          <w:szCs w:val="21"/>
          <w:highlight w:val="none"/>
          <w:lang w:bidi="ar"/>
        </w:rPr>
        <w:t>附项目人员身份证、毕业证、职称证、资格证</w:t>
      </w:r>
      <w:r>
        <w:rPr>
          <w:rFonts w:hint="eastAsia" w:ascii="宋体" w:hAnsi="宋体" w:eastAsia="宋体" w:cs="宋体"/>
          <w:b w:val="0"/>
          <w:bCs/>
          <w:color w:val="000000"/>
          <w:sz w:val="21"/>
          <w:szCs w:val="21"/>
          <w:highlight w:val="none"/>
          <w:lang w:val="en-US" w:eastAsia="zh-CN" w:bidi="ar"/>
        </w:rPr>
        <w:t>等资料扫描</w:t>
      </w:r>
      <w:r>
        <w:rPr>
          <w:rFonts w:hint="eastAsia" w:ascii="宋体" w:hAnsi="宋体" w:eastAsia="宋体" w:cs="宋体"/>
          <w:b w:val="0"/>
          <w:bCs/>
          <w:color w:val="000000"/>
          <w:sz w:val="21"/>
          <w:szCs w:val="21"/>
          <w:highlight w:val="none"/>
          <w:lang w:bidi="ar"/>
        </w:rPr>
        <w:t>件加盖公司公章。</w:t>
      </w:r>
    </w:p>
    <w:p>
      <w:pPr>
        <w:spacing w:line="600" w:lineRule="auto"/>
        <w:ind w:firstLine="4560" w:firstLineChars="1900"/>
        <w:rPr>
          <w:rFonts w:hint="eastAsia" w:ascii="宋体" w:hAnsi="宋体"/>
          <w:sz w:val="24"/>
          <w:szCs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adjustRightInd w:val="0"/>
        <w:snapToGrid w:val="0"/>
        <w:spacing w:line="360" w:lineRule="auto"/>
        <w:rPr>
          <w:rFonts w:hint="eastAsia" w:hAnsi="宋体" w:cs="宋体"/>
          <w:highlight w:val="none"/>
        </w:rPr>
      </w:pPr>
    </w:p>
    <w:p>
      <w:pPr>
        <w:pStyle w:val="24"/>
        <w:rPr>
          <w:rFonts w:hint="eastAsia" w:hAnsi="宋体" w:cs="宋体"/>
          <w:highlight w:val="none"/>
        </w:rPr>
      </w:pPr>
    </w:p>
    <w:p>
      <w:pPr>
        <w:pStyle w:val="24"/>
        <w:rPr>
          <w:rFonts w:hint="eastAsia" w:hAnsi="宋体" w:cs="宋体"/>
          <w:highlight w:val="none"/>
        </w:rPr>
      </w:pPr>
    </w:p>
    <w:p>
      <w:pPr>
        <w:pStyle w:val="24"/>
        <w:rPr>
          <w:rFonts w:hint="eastAsia" w:hAnsi="宋体" w:cs="宋体"/>
          <w:highlight w:val="none"/>
        </w:rPr>
      </w:pPr>
    </w:p>
    <w:p>
      <w:pPr>
        <w:jc w:val="both"/>
        <w:rPr>
          <w:rFonts w:hint="default" w:ascii="Times New Roman" w:hAnsi="宋体" w:eastAsia="宋体" w:cs="宋体"/>
          <w:highlight w:val="none"/>
          <w:lang w:val="en-US" w:eastAsia="zh-CN"/>
        </w:rPr>
      </w:pPr>
      <w:r>
        <w:rPr>
          <w:rFonts w:hint="eastAsia" w:ascii="Times New Roman" w:hAnsi="宋体" w:eastAsia="宋体" w:cs="宋体"/>
          <w:highlight w:val="none"/>
        </w:rPr>
        <w:t>附件</w:t>
      </w:r>
      <w:r>
        <w:rPr>
          <w:rFonts w:hint="eastAsia" w:ascii="Times New Roman" w:hAnsi="宋体" w:eastAsia="宋体" w:cs="宋体"/>
          <w:highlight w:val="none"/>
          <w:lang w:val="en-US" w:eastAsia="zh-CN"/>
        </w:rPr>
        <w:t>3：机械设备配备</w:t>
      </w:r>
    </w:p>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拟投入本项目的主要机械设备配置情况表</w:t>
      </w:r>
    </w:p>
    <w:tbl>
      <w:tblPr>
        <w:tblStyle w:val="39"/>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2127"/>
        <w:gridCol w:w="1687"/>
        <w:gridCol w:w="185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8"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序号</w:t>
            </w:r>
          </w:p>
        </w:tc>
        <w:tc>
          <w:tcPr>
            <w:tcW w:w="1935"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机械设备名称</w:t>
            </w:r>
          </w:p>
        </w:tc>
        <w:tc>
          <w:tcPr>
            <w:tcW w:w="2127"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规格型号</w:t>
            </w:r>
          </w:p>
        </w:tc>
        <w:tc>
          <w:tcPr>
            <w:tcW w:w="1687" w:type="dxa"/>
            <w:noWrap w:val="0"/>
            <w:vAlign w:val="center"/>
          </w:tcPr>
          <w:p>
            <w:pPr>
              <w:spacing w:line="480" w:lineRule="auto"/>
              <w:jc w:val="center"/>
              <w:rPr>
                <w:rFonts w:hint="eastAsia" w:ascii="Times New Roman" w:hAnsi="宋体" w:eastAsia="宋体" w:cs="宋体"/>
                <w:highlight w:val="none"/>
              </w:rPr>
            </w:pPr>
            <w:r>
              <w:rPr>
                <w:rFonts w:hint="eastAsia" w:ascii="Times New Roman" w:hAnsi="宋体" w:eastAsia="宋体" w:cs="宋体"/>
                <w:highlight w:val="none"/>
              </w:rPr>
              <w:t>数 量</w:t>
            </w:r>
          </w:p>
        </w:tc>
        <w:tc>
          <w:tcPr>
            <w:tcW w:w="1856" w:type="dxa"/>
            <w:noWrap w:val="0"/>
            <w:vAlign w:val="center"/>
          </w:tcPr>
          <w:p>
            <w:pPr>
              <w:spacing w:line="480" w:lineRule="auto"/>
              <w:jc w:val="center"/>
              <w:rPr>
                <w:rFonts w:hint="default" w:ascii="Times New Roman" w:hAnsi="宋体" w:eastAsia="宋体" w:cs="宋体"/>
                <w:highlight w:val="none"/>
                <w:lang w:val="en-US" w:eastAsia="zh-CN"/>
              </w:rPr>
            </w:pPr>
            <w:r>
              <w:rPr>
                <w:rFonts w:hint="eastAsia" w:ascii="Times New Roman" w:hAnsi="宋体" w:eastAsia="宋体" w:cs="宋体"/>
                <w:highlight w:val="none"/>
                <w:lang w:val="en-US" w:eastAsia="zh-CN"/>
              </w:rPr>
              <w:t>自有/租赁</w:t>
            </w:r>
          </w:p>
        </w:tc>
        <w:tc>
          <w:tcPr>
            <w:tcW w:w="1417" w:type="dxa"/>
            <w:noWrap w:val="0"/>
            <w:vAlign w:val="center"/>
          </w:tcPr>
          <w:p>
            <w:pPr>
              <w:spacing w:line="480" w:lineRule="auto"/>
              <w:jc w:val="center"/>
              <w:rPr>
                <w:rFonts w:hint="default" w:ascii="Times New Roman" w:hAnsi="宋体" w:eastAsia="宋体" w:cs="宋体"/>
                <w:highlight w:val="none"/>
                <w:lang w:val="en-US" w:eastAsia="zh-CN"/>
              </w:rPr>
            </w:pPr>
            <w:r>
              <w:rPr>
                <w:rFonts w:hint="eastAsia" w:hAnsi="宋体" w:cs="宋体"/>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8"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8"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tc>
        <w:tc>
          <w:tcPr>
            <w:tcW w:w="1935" w:type="dxa"/>
            <w:noWrap w:val="0"/>
            <w:vAlign w:val="center"/>
          </w:tcPr>
          <w:p>
            <w:pPr>
              <w:rPr>
                <w:rFonts w:hint="eastAsia" w:ascii="宋体" w:hAnsi="宋体" w:eastAsia="宋体"/>
                <w:highlight w:val="none"/>
              </w:rPr>
            </w:pPr>
          </w:p>
        </w:tc>
        <w:tc>
          <w:tcPr>
            <w:tcW w:w="2127" w:type="dxa"/>
            <w:noWrap w:val="0"/>
            <w:vAlign w:val="center"/>
          </w:tcPr>
          <w:p>
            <w:pPr>
              <w:jc w:val="center"/>
              <w:rPr>
                <w:rFonts w:hint="eastAsia" w:ascii="宋体" w:hAnsi="宋体" w:eastAsia="宋体"/>
                <w:highlight w:val="none"/>
              </w:rPr>
            </w:pPr>
          </w:p>
        </w:tc>
        <w:tc>
          <w:tcPr>
            <w:tcW w:w="1687" w:type="dxa"/>
            <w:noWrap w:val="0"/>
            <w:vAlign w:val="center"/>
          </w:tcPr>
          <w:p>
            <w:pPr>
              <w:jc w:val="center"/>
              <w:rPr>
                <w:rFonts w:hint="eastAsia" w:ascii="宋体" w:hAnsi="宋体" w:eastAsia="宋体"/>
                <w:highlight w:val="none"/>
              </w:rPr>
            </w:pPr>
          </w:p>
        </w:tc>
        <w:tc>
          <w:tcPr>
            <w:tcW w:w="1856" w:type="dxa"/>
            <w:noWrap w:val="0"/>
            <w:vAlign w:val="center"/>
          </w:tcPr>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p>
            <w:pPr>
              <w:jc w:val="center"/>
              <w:rPr>
                <w:rFonts w:hint="eastAsia" w:ascii="宋体" w:hAnsi="宋体" w:eastAsia="宋体"/>
                <w:highlight w:val="none"/>
              </w:rPr>
            </w:pPr>
          </w:p>
        </w:tc>
        <w:tc>
          <w:tcPr>
            <w:tcW w:w="1417" w:type="dxa"/>
            <w:noWrap w:val="0"/>
            <w:vAlign w:val="center"/>
          </w:tcPr>
          <w:p>
            <w:pPr>
              <w:jc w:val="center"/>
              <w:rPr>
                <w:rFonts w:hint="eastAsia" w:ascii="宋体" w:hAnsi="宋体" w:eastAsia="宋体"/>
                <w:highlight w:val="none"/>
              </w:rPr>
            </w:pPr>
          </w:p>
        </w:tc>
      </w:tr>
    </w:tbl>
    <w:p>
      <w:pPr>
        <w:ind w:left="899" w:leftChars="428" w:right="-29"/>
        <w:rPr>
          <w:rFonts w:hint="eastAsia" w:ascii="宋体" w:hAnsi="宋体" w:eastAsia="宋体"/>
          <w:sz w:val="24"/>
          <w:szCs w:val="21"/>
          <w:highlight w:val="none"/>
        </w:rPr>
      </w:pPr>
    </w:p>
    <w:p>
      <w:pPr>
        <w:ind w:left="899" w:leftChars="428" w:right="-29" w:firstLine="2640" w:firstLineChars="1100"/>
        <w:rPr>
          <w:rFonts w:hint="eastAsia" w:ascii="宋体" w:hAnsi="宋体" w:eastAsia="宋体"/>
          <w:sz w:val="24"/>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after="240" w:afterLines="100" w:line="560" w:lineRule="exact"/>
        <w:jc w:val="center"/>
        <w:rPr>
          <w:rFonts w:hint="eastAsia" w:ascii="宋体" w:hAnsi="宋体" w:eastAsia="宋体" w:cs="宋体"/>
          <w:b/>
          <w:bCs/>
          <w:sz w:val="36"/>
          <w:szCs w:val="36"/>
          <w:highlight w:val="none"/>
          <w:lang w:val="en-GB" w:eastAsia="zh-CN"/>
        </w:rPr>
      </w:pPr>
    </w:p>
    <w:p>
      <w:pPr>
        <w:pStyle w:val="18"/>
        <w:rPr>
          <w:rFonts w:hint="eastAsia"/>
          <w:highlight w:val="none"/>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numPr>
          <w:ilvl w:val="0"/>
          <w:numId w:val="0"/>
        </w:numPr>
        <w:spacing w:line="440" w:lineRule="exact"/>
        <w:jc w:val="center"/>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八、</w:t>
      </w:r>
      <w:r>
        <w:rPr>
          <w:rFonts w:hint="eastAsia" w:ascii="宋体" w:hAnsi="宋体" w:eastAsia="宋体" w:cs="宋体"/>
          <w:b/>
          <w:bCs/>
          <w:sz w:val="36"/>
          <w:szCs w:val="36"/>
          <w:highlight w:val="none"/>
          <w:lang w:val="en-US" w:eastAsia="zh-CN"/>
        </w:rPr>
        <w:t>企业业绩</w:t>
      </w:r>
    </w:p>
    <w:p>
      <w:pPr>
        <w:pStyle w:val="24"/>
        <w:rPr>
          <w:rFonts w:hint="default"/>
          <w:highlight w:val="none"/>
          <w:lang w:val="en-US"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79"/>
        <w:gridCol w:w="2396"/>
        <w:gridCol w:w="1344"/>
        <w:gridCol w:w="184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8"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序号</w:t>
            </w:r>
          </w:p>
        </w:tc>
        <w:tc>
          <w:tcPr>
            <w:tcW w:w="1579"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项目名称</w:t>
            </w:r>
          </w:p>
        </w:tc>
        <w:tc>
          <w:tcPr>
            <w:tcW w:w="2396"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合同签订时间</w:t>
            </w:r>
          </w:p>
        </w:tc>
        <w:tc>
          <w:tcPr>
            <w:tcW w:w="1344"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用户名称</w:t>
            </w:r>
          </w:p>
        </w:tc>
        <w:tc>
          <w:tcPr>
            <w:tcW w:w="1845"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联系人及电话</w:t>
            </w:r>
          </w:p>
        </w:tc>
        <w:tc>
          <w:tcPr>
            <w:tcW w:w="1107" w:type="dxa"/>
            <w:noWrap w:val="0"/>
            <w:vAlign w:val="center"/>
          </w:tcPr>
          <w:p>
            <w:pPr>
              <w:jc w:val="center"/>
              <w:rPr>
                <w:rFonts w:hint="eastAsia" w:hAnsi="宋体" w:cs="宋体"/>
                <w:b w:val="0"/>
                <w:bCs/>
                <w:szCs w:val="24"/>
                <w:highlight w:val="none"/>
              </w:rPr>
            </w:pPr>
            <w:r>
              <w:rPr>
                <w:rFonts w:hint="eastAsia" w:hAnsi="宋体" w:cs="宋体"/>
                <w:b w:val="0"/>
                <w:bCs/>
                <w:szCs w:val="24"/>
                <w:highlight w:val="none"/>
                <w:lang w:bidi="ar"/>
              </w:rPr>
              <w:t>合同</w:t>
            </w:r>
          </w:p>
          <w:p>
            <w:pPr>
              <w:jc w:val="center"/>
              <w:rPr>
                <w:rFonts w:hint="eastAsia" w:hAnsi="宋体" w:cs="宋体"/>
                <w:b w:val="0"/>
                <w:bCs/>
                <w:szCs w:val="24"/>
                <w:highlight w:val="none"/>
              </w:rPr>
            </w:pPr>
            <w:r>
              <w:rPr>
                <w:rFonts w:hint="eastAsia" w:hAnsi="宋体" w:cs="宋体"/>
                <w:b w:val="0"/>
                <w:bCs/>
                <w:szCs w:val="24"/>
                <w:highlight w:val="none"/>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8" w:type="dxa"/>
            <w:noWrap w:val="0"/>
            <w:vAlign w:val="top"/>
          </w:tcPr>
          <w:p>
            <w:pPr>
              <w:rPr>
                <w:rFonts w:hint="eastAsia" w:hAnsi="宋体" w:cs="宋体"/>
                <w:szCs w:val="24"/>
                <w:highlight w:val="none"/>
              </w:rPr>
            </w:pPr>
          </w:p>
        </w:tc>
        <w:tc>
          <w:tcPr>
            <w:tcW w:w="1579" w:type="dxa"/>
            <w:noWrap w:val="0"/>
            <w:vAlign w:val="top"/>
          </w:tcPr>
          <w:p>
            <w:pPr>
              <w:rPr>
                <w:rFonts w:hint="eastAsia" w:hAnsi="宋体" w:cs="宋体"/>
                <w:szCs w:val="24"/>
                <w:highlight w:val="none"/>
              </w:rPr>
            </w:pPr>
          </w:p>
        </w:tc>
        <w:tc>
          <w:tcPr>
            <w:tcW w:w="2396" w:type="dxa"/>
            <w:noWrap w:val="0"/>
            <w:vAlign w:val="top"/>
          </w:tcPr>
          <w:p>
            <w:pPr>
              <w:rPr>
                <w:rFonts w:hint="eastAsia" w:hAnsi="宋体" w:cs="宋体"/>
                <w:szCs w:val="24"/>
                <w:highlight w:val="none"/>
              </w:rPr>
            </w:pPr>
          </w:p>
        </w:tc>
        <w:tc>
          <w:tcPr>
            <w:tcW w:w="1344" w:type="dxa"/>
            <w:noWrap w:val="0"/>
            <w:vAlign w:val="top"/>
          </w:tcPr>
          <w:p>
            <w:pPr>
              <w:rPr>
                <w:rFonts w:hint="eastAsia" w:hAnsi="宋体" w:cs="宋体"/>
                <w:szCs w:val="24"/>
                <w:highlight w:val="none"/>
              </w:rPr>
            </w:pPr>
          </w:p>
        </w:tc>
        <w:tc>
          <w:tcPr>
            <w:tcW w:w="1845" w:type="dxa"/>
            <w:noWrap w:val="0"/>
            <w:vAlign w:val="top"/>
          </w:tcPr>
          <w:p>
            <w:pPr>
              <w:rPr>
                <w:rFonts w:hint="eastAsia" w:hAnsi="宋体" w:cs="宋体"/>
                <w:szCs w:val="24"/>
                <w:highlight w:val="none"/>
              </w:rPr>
            </w:pPr>
          </w:p>
        </w:tc>
        <w:tc>
          <w:tcPr>
            <w:tcW w:w="1107" w:type="dxa"/>
            <w:noWrap w:val="0"/>
            <w:vAlign w:val="top"/>
          </w:tcPr>
          <w:p>
            <w:pPr>
              <w:rPr>
                <w:rFonts w:hint="eastAsia" w:hAnsi="宋体" w:cs="宋体"/>
                <w:szCs w:val="24"/>
                <w:highlight w:val="none"/>
              </w:rPr>
            </w:pPr>
          </w:p>
        </w:tc>
      </w:tr>
    </w:tbl>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说明：</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1.本表后附合同复印件（加盖公章）。</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2.</w:t>
      </w:r>
      <w:r>
        <w:rPr>
          <w:rFonts w:hint="eastAsia" w:hAnsi="宋体" w:cs="宋体"/>
          <w:szCs w:val="24"/>
          <w:highlight w:val="none"/>
          <w:lang w:bidi="ar"/>
        </w:rPr>
        <w:t>投标</w:t>
      </w:r>
      <w:r>
        <w:rPr>
          <w:rFonts w:hint="eastAsia" w:hAnsi="宋体" w:cs="宋体"/>
          <w:szCs w:val="24"/>
          <w:highlight w:val="none"/>
          <w:lang w:val="zh-CN" w:bidi="ar"/>
        </w:rPr>
        <w:t>供应商应如实列出以上情况，如有隐瞒，一经查实将导致其</w:t>
      </w:r>
      <w:r>
        <w:rPr>
          <w:rFonts w:hint="eastAsia" w:hAnsi="宋体" w:cs="宋体"/>
          <w:szCs w:val="24"/>
          <w:highlight w:val="none"/>
          <w:lang w:bidi="ar"/>
        </w:rPr>
        <w:t>投标</w:t>
      </w:r>
      <w:r>
        <w:rPr>
          <w:rFonts w:hint="eastAsia" w:hAnsi="宋体" w:cs="宋体"/>
          <w:szCs w:val="24"/>
          <w:highlight w:val="none"/>
          <w:lang w:val="zh-CN" w:bidi="ar"/>
        </w:rPr>
        <w:t>文件被拒绝。</w:t>
      </w:r>
    </w:p>
    <w:p>
      <w:pPr>
        <w:autoSpaceDE w:val="0"/>
        <w:autoSpaceDN w:val="0"/>
        <w:adjustRightInd w:val="0"/>
        <w:spacing w:line="560" w:lineRule="exact"/>
        <w:ind w:firstLine="420" w:firstLineChars="200"/>
        <w:rPr>
          <w:rFonts w:hint="eastAsia" w:hAnsi="宋体" w:cs="宋体"/>
          <w:szCs w:val="24"/>
          <w:highlight w:val="none"/>
          <w:lang w:val="zh-CN"/>
        </w:rPr>
      </w:pPr>
      <w:r>
        <w:rPr>
          <w:rFonts w:hint="eastAsia" w:hAnsi="宋体" w:cs="宋体"/>
          <w:szCs w:val="24"/>
          <w:highlight w:val="none"/>
          <w:lang w:val="zh-CN" w:bidi="ar"/>
        </w:rPr>
        <w:t>3.未按上述要求提供、填写的，评审时不予以考虑。</w:t>
      </w:r>
    </w:p>
    <w:p>
      <w:pPr>
        <w:spacing w:line="360" w:lineRule="auto"/>
        <w:ind w:firstLine="1680" w:firstLineChars="800"/>
        <w:rPr>
          <w:rFonts w:hint="eastAsia" w:hAnsi="宋体" w:cs="宋体"/>
          <w:szCs w:val="24"/>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rPr>
          <w:rFonts w:hint="eastAsia" w:ascii="宋体" w:hAnsi="宋体" w:cs="宋体"/>
          <w:szCs w:val="21"/>
          <w:highlight w:val="none"/>
        </w:rPr>
      </w:pPr>
      <w:r>
        <w:rPr>
          <w:rFonts w:hint="eastAsia" w:ascii="宋体" w:hAnsi="宋体" w:cs="宋体"/>
          <w:szCs w:val="21"/>
          <w:highlight w:val="none"/>
        </w:rPr>
        <w:t xml:space="preserve">                            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US" w:eastAsia="zh-CN"/>
        </w:rPr>
      </w:pPr>
    </w:p>
    <w:p>
      <w:pPr>
        <w:spacing w:after="240" w:afterLines="100" w:line="560" w:lineRule="exact"/>
        <w:jc w:val="both"/>
        <w:rPr>
          <w:rFonts w:hint="eastAsia" w:ascii="宋体" w:hAnsi="宋体" w:eastAsia="宋体" w:cs="宋体"/>
          <w:b/>
          <w:bCs/>
          <w:sz w:val="36"/>
          <w:szCs w:val="36"/>
          <w:highlight w:val="none"/>
          <w:lang w:val="en-US" w:eastAsia="zh-CN"/>
        </w:rPr>
      </w:pPr>
    </w:p>
    <w:p>
      <w:pPr>
        <w:spacing w:after="240" w:afterLines="100" w:line="560" w:lineRule="exact"/>
        <w:jc w:val="center"/>
        <w:rPr>
          <w:rFonts w:hint="eastAsia" w:ascii="宋体" w:hAnsi="宋体" w:eastAsia="宋体" w:cs="宋体"/>
          <w:b/>
          <w:bCs/>
          <w:sz w:val="36"/>
          <w:szCs w:val="36"/>
          <w:highlight w:val="none"/>
          <w:lang w:val="en-GB" w:eastAsia="zh-CN"/>
        </w:rPr>
      </w:pPr>
      <w:r>
        <w:rPr>
          <w:rFonts w:hint="eastAsia" w:ascii="宋体" w:hAnsi="宋体" w:cs="宋体"/>
          <w:b/>
          <w:bCs/>
          <w:sz w:val="36"/>
          <w:szCs w:val="36"/>
          <w:highlight w:val="none"/>
          <w:lang w:val="en-US" w:eastAsia="zh-CN"/>
        </w:rPr>
        <w:t>九、</w:t>
      </w:r>
      <w:r>
        <w:rPr>
          <w:rFonts w:hint="eastAsia" w:ascii="宋体" w:hAnsi="宋体" w:eastAsia="宋体" w:cs="宋体"/>
          <w:b/>
          <w:bCs/>
          <w:sz w:val="36"/>
          <w:szCs w:val="36"/>
          <w:highlight w:val="none"/>
          <w:lang w:val="en-US" w:eastAsia="zh-CN"/>
        </w:rPr>
        <w:t>技术偏离表</w:t>
      </w:r>
    </w:p>
    <w:p>
      <w:pPr>
        <w:spacing w:line="460" w:lineRule="exact"/>
        <w:rPr>
          <w:rFonts w:hint="eastAsia" w:ascii="宋体" w:hAnsi="宋体" w:cs="宋体"/>
          <w:b/>
          <w:szCs w:val="21"/>
          <w:highlight w:val="none"/>
        </w:rPr>
      </w:pPr>
      <w:r>
        <w:rPr>
          <w:rFonts w:hint="eastAsia" w:ascii="宋体" w:hAnsi="宋体" w:cs="宋体"/>
          <w:b/>
          <w:szCs w:val="21"/>
          <w:highlight w:val="none"/>
          <w:lang w:eastAsia="zh-CN"/>
        </w:rPr>
        <w:t>项目名称</w:t>
      </w:r>
      <w:r>
        <w:rPr>
          <w:rFonts w:hint="eastAsia" w:ascii="宋体" w:hAnsi="宋体" w:cs="宋体"/>
          <w:b/>
          <w:szCs w:val="21"/>
          <w:highlight w:val="none"/>
        </w:rPr>
        <w:t xml:space="preserve">：                                            </w:t>
      </w:r>
      <w:r>
        <w:rPr>
          <w:rFonts w:hint="eastAsia" w:ascii="宋体" w:hAnsi="宋体" w:cs="宋体"/>
          <w:b/>
          <w:szCs w:val="21"/>
          <w:highlight w:val="none"/>
          <w:lang w:eastAsia="zh-CN"/>
        </w:rPr>
        <w:t>项目编号</w:t>
      </w:r>
      <w:r>
        <w:rPr>
          <w:rFonts w:hint="eastAsia" w:ascii="宋体" w:hAnsi="宋体" w:cs="宋体"/>
          <w:b/>
          <w:szCs w:val="21"/>
          <w:highlight w:val="none"/>
        </w:rPr>
        <w:t>：</w:t>
      </w:r>
    </w:p>
    <w:tbl>
      <w:tblPr>
        <w:tblStyle w:val="39"/>
        <w:tblW w:w="0" w:type="auto"/>
        <w:tblInd w:w="-10" w:type="dxa"/>
        <w:tblLayout w:type="fixed"/>
        <w:tblCellMar>
          <w:top w:w="0" w:type="dxa"/>
          <w:left w:w="0" w:type="dxa"/>
          <w:bottom w:w="0" w:type="dxa"/>
          <w:right w:w="0" w:type="dxa"/>
        </w:tblCellMar>
      </w:tblPr>
      <w:tblGrid>
        <w:gridCol w:w="952"/>
        <w:gridCol w:w="2852"/>
        <w:gridCol w:w="2447"/>
        <w:gridCol w:w="1834"/>
        <w:gridCol w:w="1268"/>
      </w:tblGrid>
      <w:tr>
        <w:tblPrEx>
          <w:tblCellMar>
            <w:top w:w="0" w:type="dxa"/>
            <w:left w:w="0" w:type="dxa"/>
            <w:bottom w:w="0" w:type="dxa"/>
            <w:right w:w="0" w:type="dxa"/>
          </w:tblCellMar>
        </w:tblPrEx>
        <w:trPr>
          <w:trHeight w:val="556" w:hRule="atLeast"/>
        </w:trPr>
        <w:tc>
          <w:tcPr>
            <w:tcW w:w="952" w:type="dxa"/>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序号</w:t>
            </w:r>
          </w:p>
        </w:tc>
        <w:tc>
          <w:tcPr>
            <w:tcW w:w="2852"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lang w:eastAsia="zh-CN"/>
              </w:rPr>
              <w:t>招标文件</w:t>
            </w:r>
            <w:r>
              <w:rPr>
                <w:rFonts w:hint="eastAsia" w:ascii="宋体" w:hAnsi="宋体" w:cs="宋体"/>
                <w:b w:val="0"/>
                <w:bCs/>
                <w:szCs w:val="21"/>
                <w:highlight w:val="none"/>
                <w:lang w:val="en-US" w:eastAsia="zh-CN"/>
              </w:rPr>
              <w:t>技术</w:t>
            </w:r>
            <w:r>
              <w:rPr>
                <w:rFonts w:hint="eastAsia" w:ascii="宋体" w:hAnsi="宋体" w:cs="宋体"/>
                <w:b w:val="0"/>
                <w:bCs/>
                <w:szCs w:val="21"/>
                <w:highlight w:val="none"/>
              </w:rPr>
              <w:t>要求</w:t>
            </w:r>
          </w:p>
        </w:tc>
        <w:tc>
          <w:tcPr>
            <w:tcW w:w="2447"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投标文件</w:t>
            </w:r>
            <w:r>
              <w:rPr>
                <w:rFonts w:hint="eastAsia" w:ascii="宋体" w:hAnsi="宋体" w:cs="宋体"/>
                <w:b w:val="0"/>
                <w:bCs/>
                <w:szCs w:val="21"/>
                <w:highlight w:val="none"/>
                <w:lang w:val="en-US" w:eastAsia="zh-CN"/>
              </w:rPr>
              <w:t>技术</w:t>
            </w:r>
            <w:r>
              <w:rPr>
                <w:rFonts w:hint="eastAsia" w:ascii="宋体" w:hAnsi="宋体" w:cs="宋体"/>
                <w:b w:val="0"/>
                <w:bCs/>
                <w:szCs w:val="21"/>
                <w:highlight w:val="none"/>
              </w:rPr>
              <w:t>响应</w:t>
            </w:r>
          </w:p>
        </w:tc>
        <w:tc>
          <w:tcPr>
            <w:tcW w:w="1834"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偏离情况</w:t>
            </w:r>
          </w:p>
        </w:tc>
        <w:tc>
          <w:tcPr>
            <w:tcW w:w="1268"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说明</w:t>
            </w:r>
          </w:p>
        </w:tc>
      </w:tr>
      <w:tr>
        <w:tblPrEx>
          <w:tblCellMar>
            <w:top w:w="0" w:type="dxa"/>
            <w:left w:w="0" w:type="dxa"/>
            <w:bottom w:w="0" w:type="dxa"/>
            <w:right w:w="0" w:type="dxa"/>
          </w:tblCellMar>
        </w:tblPrEx>
        <w:trPr>
          <w:trHeight w:val="576" w:hRule="atLeast"/>
        </w:trPr>
        <w:tc>
          <w:tcPr>
            <w:tcW w:w="952"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bl>
    <w:p>
      <w:pPr>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注：1.本表只填写投标文件中与</w:t>
      </w:r>
      <w:r>
        <w:rPr>
          <w:rFonts w:hint="eastAsia" w:ascii="宋体" w:hAnsi="宋体" w:cs="宋体"/>
          <w:szCs w:val="21"/>
          <w:highlight w:val="none"/>
          <w:lang w:eastAsia="zh-CN"/>
        </w:rPr>
        <w:t>招标文件</w:t>
      </w:r>
      <w:r>
        <w:rPr>
          <w:rFonts w:hint="eastAsia" w:ascii="宋体" w:hAnsi="宋体" w:cs="宋体"/>
          <w:szCs w:val="21"/>
          <w:highlight w:val="none"/>
        </w:rPr>
        <w:t>有偏离（包括正偏离和负偏离）的内容，投标文件中的指标响应与</w:t>
      </w:r>
      <w:r>
        <w:rPr>
          <w:rFonts w:hint="eastAsia" w:ascii="宋体" w:hAnsi="宋体" w:cs="宋体"/>
          <w:szCs w:val="21"/>
          <w:highlight w:val="none"/>
          <w:lang w:eastAsia="zh-CN"/>
        </w:rPr>
        <w:t>招标文件</w:t>
      </w:r>
      <w:r>
        <w:rPr>
          <w:rFonts w:hint="eastAsia" w:ascii="宋体" w:hAnsi="宋体" w:cs="宋体"/>
          <w:szCs w:val="21"/>
          <w:highlight w:val="none"/>
        </w:rPr>
        <w:t>要求完全一致的，不用在此表中列出，但必须提交空白表。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投标供应商</w:t>
      </w:r>
      <w:r>
        <w:rPr>
          <w:rFonts w:hint="eastAsia" w:ascii="宋体" w:hAnsi="宋体" w:cs="宋体"/>
          <w:szCs w:val="21"/>
          <w:highlight w:val="none"/>
        </w:rPr>
        <w:t>必须据实填写，不得虚假响应，否则将取消其投标或中标资格，并按有关规定进行处罚。</w:t>
      </w:r>
    </w:p>
    <w:p>
      <w:pPr>
        <w:spacing w:line="360" w:lineRule="auto"/>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（盖章或签字）           </w:t>
      </w:r>
    </w:p>
    <w:p>
      <w:pPr>
        <w:spacing w:before="240" w:beforeLines="100" w:after="240" w:afterLines="100" w:line="480" w:lineRule="exact"/>
        <w:ind w:firstLine="2940" w:firstLineChars="1400"/>
        <w:rPr>
          <w:rFonts w:hint="eastAsia" w:ascii="宋体" w:hAnsi="宋体" w:cs="宋体"/>
          <w:color w:val="000000"/>
          <w:szCs w:val="21"/>
          <w:highlight w:val="none"/>
        </w:rPr>
      </w:pPr>
      <w:r>
        <w:rPr>
          <w:rFonts w:hint="eastAsia" w:ascii="宋体" w:hAnsi="宋体" w:cs="宋体"/>
          <w:szCs w:val="21"/>
          <w:highlight w:val="none"/>
        </w:rPr>
        <w:t>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rPr>
          <w:rFonts w:hint="eastAsia" w:ascii="宋体" w:hAnsi="宋体" w:cs="宋体"/>
          <w:b/>
          <w:bCs/>
          <w:sz w:val="36"/>
          <w:szCs w:val="36"/>
          <w:highlight w:val="none"/>
          <w:lang w:val="en-GB"/>
        </w:rPr>
      </w:pPr>
    </w:p>
    <w:p>
      <w:pPr>
        <w:pStyle w:val="27"/>
        <w:rPr>
          <w:rFonts w:hint="eastAsia"/>
          <w:highlight w:val="none"/>
          <w:lang w:val="en-GB"/>
        </w:rPr>
      </w:pPr>
    </w:p>
    <w:p>
      <w:pPr>
        <w:rPr>
          <w:rFonts w:hint="eastAsia" w:ascii="宋体" w:hAnsi="宋体" w:cs="宋体"/>
          <w:highlight w:val="none"/>
        </w:rPr>
      </w:pPr>
      <w:bookmarkStart w:id="24" w:name="_Toc193187111"/>
      <w:bookmarkStart w:id="25" w:name="_Toc194663942"/>
      <w:bookmarkStart w:id="26" w:name="_Toc193126905"/>
      <w:bookmarkStart w:id="27" w:name="_Toc188808855"/>
      <w:bookmarkStart w:id="28" w:name="_Toc193126891"/>
      <w:bookmarkStart w:id="29" w:name="_Toc188808842"/>
      <w:r>
        <w:rPr>
          <w:rFonts w:hint="eastAsia" w:ascii="宋体" w:hAnsi="宋体" w:cs="宋体"/>
          <w:szCs w:val="21"/>
          <w:highlight w:val="none"/>
        </w:rPr>
        <w:br w:type="page"/>
      </w:r>
    </w:p>
    <w:p>
      <w:pPr>
        <w:spacing w:after="240" w:afterLines="100" w:line="560" w:lineRule="exact"/>
        <w:jc w:val="center"/>
        <w:rPr>
          <w:rFonts w:hint="eastAsia" w:ascii="宋体" w:hAnsi="宋体" w:cs="宋体"/>
          <w:b/>
          <w:bCs/>
          <w:sz w:val="36"/>
          <w:szCs w:val="36"/>
          <w:highlight w:val="none"/>
          <w:lang w:val="en-US" w:eastAsia="zh-CN"/>
        </w:rPr>
      </w:pPr>
      <w:r>
        <w:rPr>
          <w:rFonts w:hint="eastAsia" w:ascii="宋体" w:hAnsi="宋体" w:eastAsia="宋体" w:cs="宋体"/>
          <w:b/>
          <w:bCs/>
          <w:sz w:val="36"/>
          <w:szCs w:val="36"/>
          <w:highlight w:val="none"/>
          <w:lang w:val="en-US" w:eastAsia="zh-CN"/>
        </w:rPr>
        <w:t>十</w:t>
      </w:r>
      <w:r>
        <w:rPr>
          <w:rFonts w:hint="eastAsia" w:ascii="宋体" w:hAnsi="宋体" w:eastAsia="宋体" w:cs="宋体"/>
          <w:b/>
          <w:bCs/>
          <w:sz w:val="36"/>
          <w:szCs w:val="36"/>
          <w:highlight w:val="none"/>
          <w:lang w:val="en-GB" w:eastAsia="zh-CN"/>
        </w:rPr>
        <w:t>、</w:t>
      </w:r>
      <w:r>
        <w:rPr>
          <w:rFonts w:hint="eastAsia" w:ascii="宋体" w:hAnsi="宋体" w:eastAsia="宋体" w:cs="宋体"/>
          <w:b/>
          <w:bCs/>
          <w:sz w:val="36"/>
          <w:szCs w:val="36"/>
          <w:highlight w:val="none"/>
          <w:lang w:val="en-US" w:eastAsia="zh-CN"/>
        </w:rPr>
        <w:t>商务偏离表</w:t>
      </w:r>
    </w:p>
    <w:p>
      <w:pPr>
        <w:spacing w:line="460" w:lineRule="exact"/>
        <w:rPr>
          <w:rFonts w:hint="eastAsia" w:ascii="宋体" w:hAnsi="宋体" w:cs="宋体"/>
          <w:b/>
          <w:szCs w:val="21"/>
          <w:highlight w:val="none"/>
        </w:rPr>
      </w:pPr>
      <w:r>
        <w:rPr>
          <w:rFonts w:hint="eastAsia" w:ascii="宋体" w:hAnsi="宋体" w:cs="宋体"/>
          <w:b/>
          <w:szCs w:val="21"/>
          <w:highlight w:val="none"/>
          <w:lang w:eastAsia="zh-CN"/>
        </w:rPr>
        <w:t>项目名称</w:t>
      </w:r>
      <w:r>
        <w:rPr>
          <w:rFonts w:hint="eastAsia" w:ascii="宋体" w:hAnsi="宋体" w:cs="宋体"/>
          <w:b/>
          <w:szCs w:val="21"/>
          <w:highlight w:val="none"/>
        </w:rPr>
        <w:t xml:space="preserve">：                                            </w:t>
      </w:r>
      <w:r>
        <w:rPr>
          <w:rFonts w:hint="eastAsia" w:ascii="宋体" w:hAnsi="宋体" w:cs="宋体"/>
          <w:b/>
          <w:szCs w:val="21"/>
          <w:highlight w:val="none"/>
          <w:lang w:eastAsia="zh-CN"/>
        </w:rPr>
        <w:t>项目编号</w:t>
      </w:r>
      <w:r>
        <w:rPr>
          <w:rFonts w:hint="eastAsia" w:ascii="宋体" w:hAnsi="宋体" w:cs="宋体"/>
          <w:b/>
          <w:szCs w:val="21"/>
          <w:highlight w:val="none"/>
        </w:rPr>
        <w:t>：</w:t>
      </w:r>
    </w:p>
    <w:tbl>
      <w:tblPr>
        <w:tblStyle w:val="39"/>
        <w:tblW w:w="0" w:type="auto"/>
        <w:tblInd w:w="-10" w:type="dxa"/>
        <w:tblLayout w:type="fixed"/>
        <w:tblCellMar>
          <w:top w:w="0" w:type="dxa"/>
          <w:left w:w="0" w:type="dxa"/>
          <w:bottom w:w="0" w:type="dxa"/>
          <w:right w:w="0" w:type="dxa"/>
        </w:tblCellMar>
      </w:tblPr>
      <w:tblGrid>
        <w:gridCol w:w="952"/>
        <w:gridCol w:w="2852"/>
        <w:gridCol w:w="2447"/>
        <w:gridCol w:w="1834"/>
        <w:gridCol w:w="1268"/>
      </w:tblGrid>
      <w:tr>
        <w:tblPrEx>
          <w:tblCellMar>
            <w:top w:w="0" w:type="dxa"/>
            <w:left w:w="0" w:type="dxa"/>
            <w:bottom w:w="0" w:type="dxa"/>
            <w:right w:w="0" w:type="dxa"/>
          </w:tblCellMar>
        </w:tblPrEx>
        <w:trPr>
          <w:trHeight w:val="556" w:hRule="atLeast"/>
        </w:trPr>
        <w:tc>
          <w:tcPr>
            <w:tcW w:w="952" w:type="dxa"/>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序号</w:t>
            </w:r>
          </w:p>
        </w:tc>
        <w:tc>
          <w:tcPr>
            <w:tcW w:w="2852"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lang w:eastAsia="zh-CN"/>
              </w:rPr>
              <w:t>招标文件</w:t>
            </w:r>
            <w:r>
              <w:rPr>
                <w:rFonts w:hint="eastAsia" w:ascii="宋体" w:hAnsi="宋体" w:cs="宋体"/>
                <w:b w:val="0"/>
                <w:bCs/>
                <w:szCs w:val="21"/>
                <w:highlight w:val="none"/>
              </w:rPr>
              <w:t>商务要求</w:t>
            </w:r>
          </w:p>
        </w:tc>
        <w:tc>
          <w:tcPr>
            <w:tcW w:w="2447"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投标文件商务响应</w:t>
            </w:r>
          </w:p>
        </w:tc>
        <w:tc>
          <w:tcPr>
            <w:tcW w:w="1834"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偏离情况</w:t>
            </w:r>
          </w:p>
        </w:tc>
        <w:tc>
          <w:tcPr>
            <w:tcW w:w="1268" w:type="dxa"/>
            <w:tcBorders>
              <w:top w:val="single" w:color="auto" w:sz="8" w:space="0"/>
              <w:left w:val="nil"/>
              <w:bottom w:val="single" w:color="auto" w:sz="4" w:space="0"/>
              <w:right w:val="single" w:color="auto" w:sz="8" w:space="0"/>
            </w:tcBorders>
            <w:noWrap w:val="0"/>
            <w:vAlign w:val="center"/>
          </w:tcPr>
          <w:p>
            <w:pPr>
              <w:jc w:val="center"/>
              <w:rPr>
                <w:rFonts w:hint="eastAsia" w:ascii="宋体" w:hAnsi="宋体" w:cs="宋体"/>
                <w:b w:val="0"/>
                <w:bCs/>
                <w:szCs w:val="21"/>
                <w:highlight w:val="none"/>
              </w:rPr>
            </w:pPr>
            <w:r>
              <w:rPr>
                <w:rFonts w:hint="eastAsia" w:ascii="宋体" w:hAnsi="宋体" w:cs="宋体"/>
                <w:b w:val="0"/>
                <w:bCs/>
                <w:szCs w:val="21"/>
                <w:highlight w:val="none"/>
              </w:rPr>
              <w:t>说明</w:t>
            </w:r>
          </w:p>
        </w:tc>
      </w:tr>
      <w:tr>
        <w:tblPrEx>
          <w:tblCellMar>
            <w:top w:w="0" w:type="dxa"/>
            <w:left w:w="0" w:type="dxa"/>
            <w:bottom w:w="0" w:type="dxa"/>
            <w:right w:w="0" w:type="dxa"/>
          </w:tblCellMar>
        </w:tblPrEx>
        <w:trPr>
          <w:trHeight w:val="576" w:hRule="atLeast"/>
        </w:trPr>
        <w:tc>
          <w:tcPr>
            <w:tcW w:w="952" w:type="dxa"/>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3"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576" w:hRule="atLeast"/>
        </w:trPr>
        <w:tc>
          <w:tcPr>
            <w:tcW w:w="952" w:type="dxa"/>
            <w:tcBorders>
              <w:top w:val="nil"/>
              <w:left w:val="single" w:color="auto" w:sz="8" w:space="0"/>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852"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2447"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834"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c>
          <w:tcPr>
            <w:tcW w:w="1268" w:type="dxa"/>
            <w:tcBorders>
              <w:top w:val="nil"/>
              <w:left w:val="nil"/>
              <w:bottom w:val="single" w:color="auto" w:sz="8" w:space="0"/>
              <w:right w:val="single" w:color="auto" w:sz="8" w:space="0"/>
            </w:tcBorders>
            <w:noWrap w:val="0"/>
            <w:vAlign w:val="center"/>
          </w:tcPr>
          <w:p>
            <w:pPr>
              <w:jc w:val="center"/>
              <w:rPr>
                <w:rFonts w:hint="eastAsia" w:ascii="宋体" w:hAnsi="宋体" w:cs="宋体"/>
                <w:szCs w:val="21"/>
                <w:highlight w:val="none"/>
              </w:rPr>
            </w:pPr>
          </w:p>
        </w:tc>
      </w:tr>
    </w:tbl>
    <w:p>
      <w:pPr>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注：1.本表只填写投标文件中与</w:t>
      </w:r>
      <w:r>
        <w:rPr>
          <w:rFonts w:hint="eastAsia" w:ascii="宋体" w:hAnsi="宋体" w:cs="宋体"/>
          <w:szCs w:val="21"/>
          <w:highlight w:val="none"/>
          <w:lang w:eastAsia="zh-CN"/>
        </w:rPr>
        <w:t>招标文件</w:t>
      </w:r>
      <w:r>
        <w:rPr>
          <w:rFonts w:hint="eastAsia" w:ascii="宋体" w:hAnsi="宋体" w:cs="宋体"/>
          <w:szCs w:val="21"/>
          <w:highlight w:val="none"/>
        </w:rPr>
        <w:t>有偏离（包括正偏离和负偏离）的内容，投标文件中的指标响应与</w:t>
      </w:r>
      <w:r>
        <w:rPr>
          <w:rFonts w:hint="eastAsia" w:ascii="宋体" w:hAnsi="宋体" w:cs="宋体"/>
          <w:szCs w:val="21"/>
          <w:highlight w:val="none"/>
          <w:lang w:eastAsia="zh-CN"/>
        </w:rPr>
        <w:t>招标文件</w:t>
      </w:r>
      <w:r>
        <w:rPr>
          <w:rFonts w:hint="eastAsia" w:ascii="宋体" w:hAnsi="宋体" w:cs="宋体"/>
          <w:szCs w:val="21"/>
          <w:highlight w:val="none"/>
        </w:rPr>
        <w:t>要求完全一致的，不用在此表中列出，但必须提交空白表。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投标供应商</w:t>
      </w:r>
      <w:r>
        <w:rPr>
          <w:rFonts w:hint="eastAsia" w:ascii="宋体" w:hAnsi="宋体" w:cs="宋体"/>
          <w:szCs w:val="21"/>
          <w:highlight w:val="none"/>
        </w:rPr>
        <w:t>必须据实填写，不得虚假响应，否则将取消其投标或中标资格，并按有关规定进行处罚。</w:t>
      </w:r>
    </w:p>
    <w:p>
      <w:pPr>
        <w:spacing w:line="360" w:lineRule="auto"/>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line="460" w:lineRule="exact"/>
        <w:ind w:firstLine="1470" w:firstLineChars="700"/>
        <w:rPr>
          <w:rFonts w:hint="eastAsia" w:ascii="宋体" w:hAnsi="宋体" w:cs="宋体"/>
          <w:szCs w:val="21"/>
          <w:highlight w:val="none"/>
        </w:rPr>
      </w:pPr>
    </w:p>
    <w:p>
      <w:pPr>
        <w:spacing w:before="240" w:beforeLines="100" w:after="240" w:afterLines="100" w:line="480" w:lineRule="exact"/>
        <w:ind w:firstLine="2940" w:firstLineChars="1400"/>
        <w:rPr>
          <w:rFonts w:hint="eastAsia" w:ascii="宋体" w:hAnsi="宋体" w:cs="宋体"/>
          <w:szCs w:val="21"/>
          <w:highlight w:val="none"/>
        </w:rPr>
      </w:pPr>
      <w:r>
        <w:rPr>
          <w:rFonts w:hint="eastAsia" w:ascii="宋体" w:hAnsi="宋体" w:cs="宋体"/>
          <w:szCs w:val="21"/>
          <w:highlight w:val="none"/>
          <w:lang w:eastAsia="zh-CN"/>
        </w:rPr>
        <w:t>投标供应商</w:t>
      </w:r>
      <w:r>
        <w:rPr>
          <w:rFonts w:hint="eastAsia" w:ascii="宋体" w:hAnsi="宋体" w:cs="宋体"/>
          <w:szCs w:val="21"/>
          <w:highlight w:val="none"/>
        </w:rPr>
        <w:t>：</w:t>
      </w:r>
      <w:r>
        <w:rPr>
          <w:rFonts w:hint="eastAsia" w:ascii="宋体" w:hAnsi="宋体" w:cs="宋体"/>
          <w:szCs w:val="21"/>
          <w:highlight w:val="none"/>
          <w:u w:val="single"/>
        </w:rPr>
        <w:t xml:space="preserve">                      （单位全称、盖章）</w:t>
      </w:r>
    </w:p>
    <w:p>
      <w:pPr>
        <w:spacing w:before="240" w:beforeLines="100" w:after="240" w:afterLines="100" w:line="480" w:lineRule="exact"/>
        <w:rPr>
          <w:rFonts w:hint="eastAsia" w:ascii="宋体" w:hAnsi="宋体" w:cs="宋体"/>
          <w:szCs w:val="21"/>
          <w:highlight w:val="none"/>
        </w:rPr>
      </w:pPr>
      <w:r>
        <w:rPr>
          <w:rFonts w:hint="eastAsia" w:ascii="宋体" w:hAnsi="宋体" w:cs="宋体"/>
          <w:szCs w:val="21"/>
          <w:highlight w:val="none"/>
        </w:rPr>
        <w:t xml:space="preserve">                            法定代表人或授权代表：</w:t>
      </w:r>
      <w:r>
        <w:rPr>
          <w:rFonts w:hint="eastAsia" w:ascii="宋体" w:hAnsi="宋体" w:cs="宋体"/>
          <w:szCs w:val="21"/>
          <w:highlight w:val="none"/>
          <w:u w:val="single"/>
        </w:rPr>
        <w:t xml:space="preserve">   （盖章或签</w:t>
      </w:r>
      <w:bookmarkStart w:id="30" w:name="_GoBack"/>
      <w:bookmarkEnd w:id="30"/>
      <w:r>
        <w:rPr>
          <w:rFonts w:hint="eastAsia" w:ascii="宋体" w:hAnsi="宋体" w:cs="宋体"/>
          <w:szCs w:val="21"/>
          <w:highlight w:val="none"/>
          <w:u w:val="single"/>
        </w:rPr>
        <w:t xml:space="preserve">字）           </w:t>
      </w:r>
    </w:p>
    <w:p>
      <w:pPr>
        <w:spacing w:before="240" w:beforeLines="100" w:after="240" w:afterLines="100" w:line="480" w:lineRule="exact"/>
        <w:ind w:firstLine="2940" w:firstLineChars="1400"/>
        <w:rPr>
          <w:rFonts w:hint="eastAsia" w:ascii="宋体" w:hAnsi="宋体" w:cs="宋体"/>
          <w:color w:val="000000"/>
          <w:szCs w:val="21"/>
          <w:highlight w:val="none"/>
        </w:rPr>
      </w:pPr>
      <w:r>
        <w:rPr>
          <w:rFonts w:hint="eastAsia" w:ascii="宋体" w:hAnsi="宋体" w:cs="宋体"/>
          <w:szCs w:val="21"/>
          <w:highlight w:val="none"/>
        </w:rPr>
        <w:t>投标日期：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jc w:val="center"/>
        <w:rPr>
          <w:rFonts w:hint="eastAsia" w:ascii="宋体" w:hAnsi="宋体" w:cs="宋体"/>
          <w:b/>
          <w:bCs/>
          <w:sz w:val="36"/>
          <w:szCs w:val="36"/>
          <w:highlight w:val="none"/>
          <w:lang w:val="en-US" w:eastAsia="zh-CN"/>
        </w:rPr>
      </w:pPr>
    </w:p>
    <w:p>
      <w:pPr>
        <w:spacing w:line="560" w:lineRule="exact"/>
        <w:jc w:val="center"/>
        <w:rPr>
          <w:rFonts w:hint="eastAsia" w:ascii="宋体" w:hAnsi="宋体" w:cs="宋体"/>
          <w:b/>
          <w:bCs/>
          <w:sz w:val="36"/>
          <w:szCs w:val="36"/>
          <w:highlight w:val="none"/>
          <w:lang w:val="en-US" w:eastAsia="zh-CN"/>
        </w:rPr>
      </w:pPr>
    </w:p>
    <w:bookmarkEnd w:id="24"/>
    <w:bookmarkEnd w:id="25"/>
    <w:bookmarkEnd w:id="26"/>
    <w:bookmarkEnd w:id="27"/>
    <w:bookmarkEnd w:id="28"/>
    <w:bookmarkEnd w:id="29"/>
    <w:p>
      <w:pPr>
        <w:spacing w:before="120" w:beforeLines="50" w:after="120" w:afterLines="50" w:line="440" w:lineRule="exact"/>
        <w:jc w:val="center"/>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十一</w:t>
      </w:r>
      <w:r>
        <w:rPr>
          <w:rFonts w:hint="eastAsia" w:ascii="宋体" w:hAnsi="宋体" w:cs="宋体"/>
          <w:b/>
          <w:bCs/>
          <w:sz w:val="36"/>
          <w:szCs w:val="36"/>
          <w:highlight w:val="none"/>
          <w:lang w:eastAsia="zh-CN"/>
        </w:rPr>
        <w:t>、投标供应商</w:t>
      </w:r>
      <w:r>
        <w:rPr>
          <w:rFonts w:hint="eastAsia" w:ascii="宋体" w:hAnsi="宋体" w:cs="宋体"/>
          <w:b/>
          <w:bCs/>
          <w:sz w:val="36"/>
          <w:szCs w:val="36"/>
          <w:highlight w:val="none"/>
        </w:rPr>
        <w:t>认为</w:t>
      </w:r>
      <w:r>
        <w:rPr>
          <w:rFonts w:hint="eastAsia" w:ascii="宋体" w:hAnsi="宋体" w:cs="宋体"/>
          <w:b/>
          <w:bCs/>
          <w:sz w:val="36"/>
          <w:szCs w:val="36"/>
          <w:highlight w:val="none"/>
          <w:lang w:val="en-US" w:eastAsia="zh-CN"/>
        </w:rPr>
        <w:t>需提交的其它资料</w:t>
      </w: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spacing w:before="120" w:beforeLines="50" w:after="120" w:afterLines="50" w:line="440" w:lineRule="exact"/>
        <w:jc w:val="left"/>
        <w:rPr>
          <w:rFonts w:hint="eastAsia" w:ascii="宋体" w:hAnsi="宋体" w:cs="宋体"/>
          <w:b/>
          <w:bCs/>
          <w:sz w:val="36"/>
          <w:szCs w:val="36"/>
          <w:highlight w:val="none"/>
        </w:rPr>
      </w:pPr>
    </w:p>
    <w:p>
      <w:pPr>
        <w:pStyle w:val="24"/>
        <w:ind w:left="0" w:leftChars="0" w:firstLine="0" w:firstLineChars="0"/>
        <w:rPr>
          <w:rFonts w:hint="eastAsia" w:ascii="宋体" w:hAnsi="宋体" w:cs="宋体"/>
          <w:szCs w:val="21"/>
          <w:highlight w:val="none"/>
        </w:rPr>
      </w:pPr>
    </w:p>
    <w:p>
      <w:pPr>
        <w:spacing w:line="440" w:lineRule="exact"/>
        <w:rPr>
          <w:rFonts w:hint="eastAsia" w:ascii="宋体" w:hAnsi="宋体" w:cs="宋体"/>
          <w:szCs w:val="21"/>
          <w:highlight w:val="none"/>
        </w:rPr>
      </w:pPr>
    </w:p>
    <w:p>
      <w:pPr>
        <w:pStyle w:val="87"/>
        <w:spacing w:line="500" w:lineRule="exact"/>
        <w:rPr>
          <w:rFonts w:hint="eastAsia" w:ascii="宋体" w:hAnsi="宋体" w:eastAsia="宋体" w:cs="宋体"/>
          <w:sz w:val="21"/>
          <w:szCs w:val="21"/>
          <w:highlight w:val="none"/>
        </w:rPr>
      </w:pPr>
    </w:p>
    <w:p>
      <w:pPr>
        <w:pStyle w:val="87"/>
        <w:spacing w:line="500" w:lineRule="exact"/>
        <w:rPr>
          <w:rFonts w:hint="eastAsia" w:ascii="宋体" w:hAnsi="宋体" w:eastAsia="宋体" w:cs="宋体"/>
          <w:sz w:val="21"/>
          <w:szCs w:val="21"/>
          <w:highlight w:val="none"/>
        </w:rPr>
      </w:pPr>
    </w:p>
    <w:p>
      <w:pPr>
        <w:pStyle w:val="87"/>
        <w:spacing w:line="500" w:lineRule="exact"/>
        <w:rPr>
          <w:rFonts w:hint="eastAsia" w:ascii="宋体" w:hAnsi="宋体" w:eastAsia="宋体" w:cs="宋体"/>
          <w:sz w:val="21"/>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tabs>
          <w:tab w:val="left" w:pos="6790"/>
        </w:tabs>
        <w:spacing w:line="440" w:lineRule="exact"/>
        <w:rPr>
          <w:rFonts w:hint="eastAsia" w:ascii="宋体" w:hAnsi="宋体" w:cs="宋体"/>
          <w:szCs w:val="21"/>
          <w:highlight w:val="none"/>
        </w:rPr>
      </w:pPr>
      <w:r>
        <w:rPr>
          <w:rFonts w:hint="eastAsia" w:ascii="宋体" w:hAnsi="宋体" w:cs="宋体"/>
          <w:szCs w:val="21"/>
          <w:highlight w:val="none"/>
        </w:rPr>
        <w:tab/>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jc w:val="center"/>
        <w:rPr>
          <w:rFonts w:hint="eastAsia" w:ascii="宋体" w:hAnsi="宋体" w:cs="宋体"/>
          <w:szCs w:val="21"/>
          <w:highlight w:val="none"/>
        </w:rPr>
      </w:pPr>
      <w:r>
        <w:rPr>
          <w:rFonts w:hint="eastAsia" w:ascii="宋体" w:hAnsi="宋体" w:cs="宋体"/>
          <w:b/>
          <w:bCs/>
          <w:sz w:val="36"/>
          <w:szCs w:val="36"/>
          <w:highlight w:val="none"/>
        </w:rPr>
        <w:t>本页以下无</w:t>
      </w:r>
      <w:r>
        <w:rPr>
          <w:rFonts w:hint="eastAsia" w:ascii="宋体" w:hAnsi="宋体" w:cs="宋体"/>
          <w:b/>
          <w:bCs/>
          <w:sz w:val="36"/>
          <w:szCs w:val="36"/>
          <w:highlight w:val="none"/>
          <w:lang w:eastAsia="zh-CN"/>
        </w:rPr>
        <w:t>内容</w:t>
      </w:r>
    </w:p>
    <w:sectPr>
      <w:headerReference r:id="rId5" w:type="default"/>
      <w:footerReference r:id="rId6" w:type="default"/>
      <w:footnotePr>
        <w:numFmt w:val="decimalEnclosedCircleChinese"/>
        <w:numRestart w:val="eachPage"/>
      </w:footnotePr>
      <w:pgSz w:w="11907" w:h="16840"/>
      <w:pgMar w:top="1440" w:right="1361" w:bottom="1440" w:left="1361" w:header="720" w:footer="680" w:gutter="0"/>
      <w:pgBorders>
        <w:top w:val="none" w:sz="0" w:space="0"/>
        <w:left w:val="none" w:sz="0" w:space="0"/>
        <w:bottom w:val="thinThickSmallGap" w:color="auto" w:sz="24" w:space="1"/>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hint="eastAsia" w:ascii="宋体" w:hAnsi="宋体"/>
        <w:b/>
        <w:sz w:val="21"/>
        <w:szCs w:val="21"/>
      </w:rPr>
    </w:pPr>
  </w:p>
  <w:p>
    <w:pPr>
      <w:pStyle w:val="27"/>
      <w:ind w:right="720"/>
      <w:rPr>
        <w:rFonts w:hint="default"/>
        <w:lang w:val="en-US"/>
      </w:rPr>
    </w:pPr>
    <w:r>
      <w:rPr>
        <w:rFonts w:hint="eastAsia" w:ascii="宋体" w:hAnsi="宋体"/>
        <w:b/>
        <w:sz w:val="21"/>
        <w:szCs w:val="21"/>
      </w:rPr>
      <w:t>采购代理机构：</w:t>
    </w:r>
    <w:r>
      <w:rPr>
        <w:rFonts w:hint="eastAsia" w:ascii="宋体" w:hAnsi="宋体"/>
        <w:b/>
        <w:sz w:val="21"/>
        <w:szCs w:val="21"/>
        <w:lang w:val="en-US" w:eastAsia="zh-CN"/>
      </w:rPr>
      <w:t>瑞信国际项目管理有限公司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rPr>
        <w:rFonts w:hint="eastAsia" w:ascii="宋体" w:hAnsi="宋体"/>
        <w:b/>
        <w:szCs w:val="21"/>
      </w:rPr>
    </w:pPr>
  </w:p>
  <w:p>
    <w:pPr>
      <w:pBdr>
        <w:bottom w:val="double" w:color="auto" w:sz="8" w:space="1"/>
      </w:pBdr>
      <w:tabs>
        <w:tab w:val="left" w:pos="416"/>
        <w:tab w:val="right" w:pos="9206"/>
      </w:tabs>
      <w:spacing w:line="240" w:lineRule="exact"/>
      <w:ind w:right="-21" w:rightChars="-10"/>
      <w:rPr>
        <w:rFonts w:ascii="宋体" w:hAnsi="宋体"/>
        <w:b/>
        <w:szCs w:val="21"/>
      </w:rPr>
    </w:pPr>
    <w:r>
      <w:rPr>
        <w:rFonts w:hint="eastAsia" w:ascii="宋体" w:hAnsi="宋体"/>
        <w:b/>
        <w:spacing w:val="-17"/>
        <w:sz w:val="21"/>
        <w:szCs w:val="21"/>
        <w:lang w:val="en-US" w:eastAsia="zh-CN"/>
      </w:rPr>
      <w:t>秦汉新城渭河福银高速桥至横桥段滩面区域绿化养护</w:t>
    </w:r>
    <w:r>
      <w:rPr>
        <w:rFonts w:hint="eastAsia" w:ascii="宋体" w:hAnsi="宋体"/>
        <w:b/>
        <w:szCs w:val="21"/>
      </w:rPr>
      <w:t xml:space="preserve"> </w:t>
    </w:r>
    <w:r>
      <w:rPr>
        <w:rFonts w:hint="eastAsia" w:ascii="宋体" w:hAnsi="宋体"/>
        <w:b/>
        <w:szCs w:val="21"/>
        <w:lang w:val="en-US" w:eastAsia="zh-CN"/>
      </w:rPr>
      <w:t xml:space="preserve">                                      招标文件</w:t>
    </w:r>
    <w:r>
      <w:rPr>
        <w:rFonts w:ascii="宋体" w:hAnsi="宋体"/>
        <w:b/>
        <w:szCs w:val="21"/>
      </w:rPr>
      <w:tab/>
    </w:r>
    <w:r>
      <w:rPr>
        <w:rFonts w:hint="eastAsia" w:ascii="宋体" w:hAnsi="宋体"/>
        <w:b/>
        <w:szCs w:val="21"/>
      </w:rPr>
      <w:t xml:space="preserve">  </w:t>
    </w:r>
    <w:r>
      <w:rPr>
        <w:rFonts w:ascii="宋体" w:hAnsi="宋体"/>
        <w:b/>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1"/>
      </w:pBdr>
      <w:tabs>
        <w:tab w:val="left" w:pos="416"/>
        <w:tab w:val="right" w:pos="9206"/>
      </w:tabs>
      <w:spacing w:line="240" w:lineRule="exact"/>
      <w:ind w:right="-21" w:rightChars="-10"/>
      <w:rPr>
        <w:rFonts w:ascii="宋体" w:hAnsi="宋体"/>
        <w:b/>
        <w:szCs w:val="21"/>
      </w:rPr>
    </w:pPr>
    <w:r>
      <w:rPr>
        <w:rFonts w:hint="eastAsia" w:ascii="宋体" w:hAnsi="宋体"/>
        <w:b/>
        <w:szCs w:val="21"/>
      </w:rPr>
      <w:t xml:space="preserve"> </w:t>
    </w:r>
    <w:r>
      <w:rPr>
        <w:rFonts w:hint="eastAsia" w:ascii="宋体" w:hAnsi="宋体"/>
        <w:b/>
        <w:spacing w:val="-17"/>
        <w:sz w:val="21"/>
        <w:szCs w:val="21"/>
        <w:lang w:val="en-US" w:eastAsia="zh-CN"/>
      </w:rPr>
      <w:t>秦汉新城渭河福银高速桥至横桥段滩面区域绿化养护</w:t>
    </w:r>
    <w:r>
      <w:rPr>
        <w:rFonts w:hint="eastAsia" w:ascii="宋体" w:hAnsi="宋体"/>
        <w:b/>
        <w:szCs w:val="21"/>
      </w:rPr>
      <w:t xml:space="preserve"> </w:t>
    </w:r>
    <w:r>
      <w:rPr>
        <w:rFonts w:hint="eastAsia" w:ascii="宋体" w:hAnsi="宋体"/>
        <w:b/>
        <w:szCs w:val="21"/>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01"/>
      <w:numFmt w:val="decimal"/>
      <w:pStyle w:val="26"/>
      <w:lvlText w:val="%1节"/>
      <w:lvlJc w:val="left"/>
      <w:pPr>
        <w:tabs>
          <w:tab w:val="left" w:pos="1005"/>
        </w:tabs>
        <w:ind w:left="1005" w:hanging="1005"/>
      </w:pPr>
      <w:rPr>
        <w:rFonts w:hint="eastAsia"/>
      </w:rPr>
    </w:lvl>
  </w:abstractNum>
  <w:abstractNum w:abstractNumId="1">
    <w:nsid w:val="00000006"/>
    <w:multiLevelType w:val="multilevel"/>
    <w:tmpl w:val="00000006"/>
    <w:lvl w:ilvl="0" w:tentative="0">
      <w:start w:val="1"/>
      <w:numFmt w:val="decimal"/>
      <w:pStyle w:val="88"/>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00000008"/>
    <w:multiLevelType w:val="singleLevel"/>
    <w:tmpl w:val="00000008"/>
    <w:lvl w:ilvl="0" w:tentative="0">
      <w:start w:val="1"/>
      <w:numFmt w:val="upperLetter"/>
      <w:pStyle w:val="4"/>
      <w:lvlText w:val="%1、"/>
      <w:lvlJc w:val="left"/>
      <w:pPr>
        <w:tabs>
          <w:tab w:val="left" w:pos="960"/>
        </w:tabs>
        <w:ind w:left="960" w:hanging="324"/>
      </w:pPr>
      <w:rPr>
        <w:rFonts w:hint="eastAsia"/>
      </w:rPr>
    </w:lvl>
  </w:abstractNum>
  <w:abstractNum w:abstractNumId="3">
    <w:nsid w:val="0000000A"/>
    <w:multiLevelType w:val="singleLevel"/>
    <w:tmpl w:val="0000000A"/>
    <w:lvl w:ilvl="0" w:tentative="0">
      <w:start w:val="1"/>
      <w:numFmt w:val="upperLetter"/>
      <w:pStyle w:val="3"/>
      <w:lvlText w:val="%1．"/>
      <w:lvlJc w:val="left"/>
      <w:pPr>
        <w:tabs>
          <w:tab w:val="left" w:pos="324"/>
        </w:tabs>
        <w:ind w:left="324" w:hanging="324"/>
      </w:pPr>
      <w:rPr>
        <w:rFonts w:hint="eastAsia"/>
      </w:rPr>
    </w:lvl>
  </w:abstractNum>
  <w:abstractNum w:abstractNumId="4">
    <w:nsid w:val="0000000D"/>
    <w:multiLevelType w:val="singleLevel"/>
    <w:tmpl w:val="0000000D"/>
    <w:lvl w:ilvl="0" w:tentative="0">
      <w:start w:val="1"/>
      <w:numFmt w:val="upperLetter"/>
      <w:pStyle w:val="5"/>
      <w:lvlText w:val="%1、"/>
      <w:lvlJc w:val="left"/>
      <w:pPr>
        <w:tabs>
          <w:tab w:val="left" w:pos="960"/>
        </w:tabs>
        <w:ind w:left="960" w:hanging="324"/>
      </w:pPr>
      <w:rPr>
        <w:rFonts w:hint="eastAsia"/>
      </w:rPr>
    </w:lvl>
  </w:abstractNum>
  <w:abstractNum w:abstractNumId="5">
    <w:nsid w:val="00000013"/>
    <w:multiLevelType w:val="multilevel"/>
    <w:tmpl w:val="00000013"/>
    <w:lvl w:ilvl="0" w:tentative="0">
      <w:start w:val="2"/>
      <w:numFmt w:val="upperLetter"/>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BDEB8F"/>
    <w:multiLevelType w:val="singleLevel"/>
    <w:tmpl w:val="12BDEB8F"/>
    <w:lvl w:ilvl="0" w:tentative="0">
      <w:start w:val="3"/>
      <w:numFmt w:val="chineseCounting"/>
      <w:suff w:val="nothing"/>
      <w:lvlText w:val="%1、"/>
      <w:lvlJc w:val="left"/>
      <w:rPr>
        <w:rFonts w:hint="eastAsia"/>
      </w:rPr>
    </w:lvl>
  </w:abstractNum>
  <w:abstractNum w:abstractNumId="7">
    <w:nsid w:val="64787966"/>
    <w:multiLevelType w:val="singleLevel"/>
    <w:tmpl w:val="64787966"/>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ZTc3ZWY1YWFmNDYxYTE4YzQ4ZDBmYzYzNTE0OGUifQ=="/>
  </w:docVars>
  <w:rsids>
    <w:rsidRoot w:val="00172A27"/>
    <w:rsid w:val="0000128A"/>
    <w:rsid w:val="000076D5"/>
    <w:rsid w:val="00011C66"/>
    <w:rsid w:val="000137C3"/>
    <w:rsid w:val="00020110"/>
    <w:rsid w:val="0002147A"/>
    <w:rsid w:val="00041D9D"/>
    <w:rsid w:val="0004349A"/>
    <w:rsid w:val="00076413"/>
    <w:rsid w:val="00076DA3"/>
    <w:rsid w:val="00082BE3"/>
    <w:rsid w:val="00094161"/>
    <w:rsid w:val="000A0345"/>
    <w:rsid w:val="000B2B61"/>
    <w:rsid w:val="000B7514"/>
    <w:rsid w:val="000C381D"/>
    <w:rsid w:val="000C709B"/>
    <w:rsid w:val="00111CB0"/>
    <w:rsid w:val="00126AEF"/>
    <w:rsid w:val="00141DB2"/>
    <w:rsid w:val="00151007"/>
    <w:rsid w:val="00157F44"/>
    <w:rsid w:val="00172CD9"/>
    <w:rsid w:val="00190953"/>
    <w:rsid w:val="001939D8"/>
    <w:rsid w:val="001A03D9"/>
    <w:rsid w:val="001A2DD0"/>
    <w:rsid w:val="001C0671"/>
    <w:rsid w:val="001C7C27"/>
    <w:rsid w:val="001D051E"/>
    <w:rsid w:val="001D787F"/>
    <w:rsid w:val="001F0A56"/>
    <w:rsid w:val="00211C51"/>
    <w:rsid w:val="002304E4"/>
    <w:rsid w:val="00260F5E"/>
    <w:rsid w:val="0026528C"/>
    <w:rsid w:val="0027618C"/>
    <w:rsid w:val="00283F79"/>
    <w:rsid w:val="002A2E0A"/>
    <w:rsid w:val="002A45CD"/>
    <w:rsid w:val="002A7D62"/>
    <w:rsid w:val="002B48B9"/>
    <w:rsid w:val="002C0490"/>
    <w:rsid w:val="002D51C6"/>
    <w:rsid w:val="002E4448"/>
    <w:rsid w:val="002F1682"/>
    <w:rsid w:val="002F3354"/>
    <w:rsid w:val="0031068B"/>
    <w:rsid w:val="00324228"/>
    <w:rsid w:val="00326D99"/>
    <w:rsid w:val="003778C2"/>
    <w:rsid w:val="003921D6"/>
    <w:rsid w:val="003A6C5D"/>
    <w:rsid w:val="003B33F1"/>
    <w:rsid w:val="003C060B"/>
    <w:rsid w:val="003F177E"/>
    <w:rsid w:val="003F20A4"/>
    <w:rsid w:val="0040273F"/>
    <w:rsid w:val="00402AA6"/>
    <w:rsid w:val="00422EA6"/>
    <w:rsid w:val="00425CC6"/>
    <w:rsid w:val="00443A28"/>
    <w:rsid w:val="00446412"/>
    <w:rsid w:val="00451F98"/>
    <w:rsid w:val="004524D3"/>
    <w:rsid w:val="00467E2B"/>
    <w:rsid w:val="00474486"/>
    <w:rsid w:val="004A3257"/>
    <w:rsid w:val="004A4F68"/>
    <w:rsid w:val="004C38AA"/>
    <w:rsid w:val="004C7783"/>
    <w:rsid w:val="004D429A"/>
    <w:rsid w:val="004D4F88"/>
    <w:rsid w:val="004D5C9D"/>
    <w:rsid w:val="004D7497"/>
    <w:rsid w:val="004E0379"/>
    <w:rsid w:val="004E0F0D"/>
    <w:rsid w:val="004E2BB6"/>
    <w:rsid w:val="004E7DCD"/>
    <w:rsid w:val="004F0D6A"/>
    <w:rsid w:val="004F3197"/>
    <w:rsid w:val="00507C35"/>
    <w:rsid w:val="00510A14"/>
    <w:rsid w:val="00512B25"/>
    <w:rsid w:val="00523AC0"/>
    <w:rsid w:val="005352F9"/>
    <w:rsid w:val="0055235A"/>
    <w:rsid w:val="00567A15"/>
    <w:rsid w:val="00587DA2"/>
    <w:rsid w:val="005942B3"/>
    <w:rsid w:val="00596403"/>
    <w:rsid w:val="005967CE"/>
    <w:rsid w:val="005A1281"/>
    <w:rsid w:val="005B0D03"/>
    <w:rsid w:val="005B70FE"/>
    <w:rsid w:val="005B7EA0"/>
    <w:rsid w:val="005C102F"/>
    <w:rsid w:val="005D543F"/>
    <w:rsid w:val="005D6C8C"/>
    <w:rsid w:val="005E2296"/>
    <w:rsid w:val="005F77EE"/>
    <w:rsid w:val="00604610"/>
    <w:rsid w:val="00613BCC"/>
    <w:rsid w:val="00620F72"/>
    <w:rsid w:val="00635EC0"/>
    <w:rsid w:val="00652753"/>
    <w:rsid w:val="00660345"/>
    <w:rsid w:val="006650ED"/>
    <w:rsid w:val="00675CB2"/>
    <w:rsid w:val="006768FF"/>
    <w:rsid w:val="00687425"/>
    <w:rsid w:val="006A0B11"/>
    <w:rsid w:val="006C4BA9"/>
    <w:rsid w:val="006C5065"/>
    <w:rsid w:val="006E0644"/>
    <w:rsid w:val="006F61DE"/>
    <w:rsid w:val="00712239"/>
    <w:rsid w:val="00730112"/>
    <w:rsid w:val="007434A4"/>
    <w:rsid w:val="00797647"/>
    <w:rsid w:val="007B3E7D"/>
    <w:rsid w:val="007C1037"/>
    <w:rsid w:val="007C17F1"/>
    <w:rsid w:val="007D351D"/>
    <w:rsid w:val="007E63F1"/>
    <w:rsid w:val="008021BC"/>
    <w:rsid w:val="0081571E"/>
    <w:rsid w:val="00816BF8"/>
    <w:rsid w:val="00820F86"/>
    <w:rsid w:val="00830C91"/>
    <w:rsid w:val="008376AD"/>
    <w:rsid w:val="00887C2A"/>
    <w:rsid w:val="008B3954"/>
    <w:rsid w:val="008B6A1A"/>
    <w:rsid w:val="008D31DD"/>
    <w:rsid w:val="008E729D"/>
    <w:rsid w:val="00914FBD"/>
    <w:rsid w:val="009155FB"/>
    <w:rsid w:val="00916E80"/>
    <w:rsid w:val="009263DC"/>
    <w:rsid w:val="00945D58"/>
    <w:rsid w:val="00955CA1"/>
    <w:rsid w:val="00960B95"/>
    <w:rsid w:val="00967C3A"/>
    <w:rsid w:val="00971C36"/>
    <w:rsid w:val="00990F30"/>
    <w:rsid w:val="009C6578"/>
    <w:rsid w:val="009D7ABD"/>
    <w:rsid w:val="009E58F9"/>
    <w:rsid w:val="009F481D"/>
    <w:rsid w:val="00A22E49"/>
    <w:rsid w:val="00A23158"/>
    <w:rsid w:val="00A34547"/>
    <w:rsid w:val="00A3685A"/>
    <w:rsid w:val="00A70F0D"/>
    <w:rsid w:val="00A974AE"/>
    <w:rsid w:val="00AA277C"/>
    <w:rsid w:val="00AA5F0A"/>
    <w:rsid w:val="00AB6A07"/>
    <w:rsid w:val="00AB7A64"/>
    <w:rsid w:val="00AD6140"/>
    <w:rsid w:val="00AF0486"/>
    <w:rsid w:val="00B235E5"/>
    <w:rsid w:val="00B26525"/>
    <w:rsid w:val="00B3447C"/>
    <w:rsid w:val="00B50C1E"/>
    <w:rsid w:val="00B573FA"/>
    <w:rsid w:val="00B57ED6"/>
    <w:rsid w:val="00B6124E"/>
    <w:rsid w:val="00B72C8A"/>
    <w:rsid w:val="00BA266A"/>
    <w:rsid w:val="00BB1698"/>
    <w:rsid w:val="00BB16FF"/>
    <w:rsid w:val="00BB2B9D"/>
    <w:rsid w:val="00BB6196"/>
    <w:rsid w:val="00BC2AE0"/>
    <w:rsid w:val="00BD0502"/>
    <w:rsid w:val="00BD2C72"/>
    <w:rsid w:val="00BD3417"/>
    <w:rsid w:val="00BD47AF"/>
    <w:rsid w:val="00BE3EB2"/>
    <w:rsid w:val="00BF5284"/>
    <w:rsid w:val="00C1478D"/>
    <w:rsid w:val="00C1616D"/>
    <w:rsid w:val="00C27FBC"/>
    <w:rsid w:val="00C56F6C"/>
    <w:rsid w:val="00C86978"/>
    <w:rsid w:val="00CA62CD"/>
    <w:rsid w:val="00CA6A82"/>
    <w:rsid w:val="00CB0D1A"/>
    <w:rsid w:val="00CE3376"/>
    <w:rsid w:val="00D010D6"/>
    <w:rsid w:val="00D01465"/>
    <w:rsid w:val="00D046D8"/>
    <w:rsid w:val="00D05CB8"/>
    <w:rsid w:val="00D07C0B"/>
    <w:rsid w:val="00D1623B"/>
    <w:rsid w:val="00D16397"/>
    <w:rsid w:val="00D25DB2"/>
    <w:rsid w:val="00D26A87"/>
    <w:rsid w:val="00D35D6F"/>
    <w:rsid w:val="00D409AD"/>
    <w:rsid w:val="00D4374E"/>
    <w:rsid w:val="00D4663D"/>
    <w:rsid w:val="00D53240"/>
    <w:rsid w:val="00D60CE1"/>
    <w:rsid w:val="00D634B7"/>
    <w:rsid w:val="00D6592D"/>
    <w:rsid w:val="00D80D96"/>
    <w:rsid w:val="00D91631"/>
    <w:rsid w:val="00D934FC"/>
    <w:rsid w:val="00D944AA"/>
    <w:rsid w:val="00D97E29"/>
    <w:rsid w:val="00DA39CA"/>
    <w:rsid w:val="00DA41E6"/>
    <w:rsid w:val="00DA45A9"/>
    <w:rsid w:val="00DB5B6F"/>
    <w:rsid w:val="00DC18D0"/>
    <w:rsid w:val="00DF1E2A"/>
    <w:rsid w:val="00E07F51"/>
    <w:rsid w:val="00E33E89"/>
    <w:rsid w:val="00E35756"/>
    <w:rsid w:val="00E42405"/>
    <w:rsid w:val="00E5187A"/>
    <w:rsid w:val="00E55746"/>
    <w:rsid w:val="00E7665D"/>
    <w:rsid w:val="00E879AB"/>
    <w:rsid w:val="00EA10C1"/>
    <w:rsid w:val="00EA3FAD"/>
    <w:rsid w:val="00EB3F9E"/>
    <w:rsid w:val="00EC0FD7"/>
    <w:rsid w:val="00EC4F35"/>
    <w:rsid w:val="00EC7BA4"/>
    <w:rsid w:val="00ED6132"/>
    <w:rsid w:val="00ED747A"/>
    <w:rsid w:val="00EF793E"/>
    <w:rsid w:val="00F06DDF"/>
    <w:rsid w:val="00F1020D"/>
    <w:rsid w:val="00F13837"/>
    <w:rsid w:val="00F25EC8"/>
    <w:rsid w:val="00F27084"/>
    <w:rsid w:val="00F3538D"/>
    <w:rsid w:val="00F41C96"/>
    <w:rsid w:val="00F43657"/>
    <w:rsid w:val="00F67936"/>
    <w:rsid w:val="00F71EE5"/>
    <w:rsid w:val="00F7408E"/>
    <w:rsid w:val="00F8206D"/>
    <w:rsid w:val="00F87BF6"/>
    <w:rsid w:val="00F94F09"/>
    <w:rsid w:val="00FA024F"/>
    <w:rsid w:val="00FA28E8"/>
    <w:rsid w:val="00FC3ACA"/>
    <w:rsid w:val="00FC59C2"/>
    <w:rsid w:val="00FF01CB"/>
    <w:rsid w:val="01036935"/>
    <w:rsid w:val="010A38A6"/>
    <w:rsid w:val="01145014"/>
    <w:rsid w:val="011B3AA5"/>
    <w:rsid w:val="01240E9C"/>
    <w:rsid w:val="012F6AF1"/>
    <w:rsid w:val="01552F51"/>
    <w:rsid w:val="01554AAB"/>
    <w:rsid w:val="015C588F"/>
    <w:rsid w:val="016C0200"/>
    <w:rsid w:val="01742E75"/>
    <w:rsid w:val="017B498F"/>
    <w:rsid w:val="01807E62"/>
    <w:rsid w:val="018B0556"/>
    <w:rsid w:val="01A20044"/>
    <w:rsid w:val="01E772A7"/>
    <w:rsid w:val="01F86CD9"/>
    <w:rsid w:val="02054BFE"/>
    <w:rsid w:val="020C5A2F"/>
    <w:rsid w:val="021212B4"/>
    <w:rsid w:val="02147B23"/>
    <w:rsid w:val="022E2BD5"/>
    <w:rsid w:val="02370261"/>
    <w:rsid w:val="023C634C"/>
    <w:rsid w:val="023C7C4B"/>
    <w:rsid w:val="02420589"/>
    <w:rsid w:val="02956BA3"/>
    <w:rsid w:val="02B21FBB"/>
    <w:rsid w:val="02B7637D"/>
    <w:rsid w:val="02BF64DD"/>
    <w:rsid w:val="02C95070"/>
    <w:rsid w:val="02C9633A"/>
    <w:rsid w:val="02CF4857"/>
    <w:rsid w:val="02E229A6"/>
    <w:rsid w:val="02E334E5"/>
    <w:rsid w:val="02F8653A"/>
    <w:rsid w:val="030F5924"/>
    <w:rsid w:val="03144736"/>
    <w:rsid w:val="03232949"/>
    <w:rsid w:val="03243FDD"/>
    <w:rsid w:val="03285854"/>
    <w:rsid w:val="03455BC6"/>
    <w:rsid w:val="035007E7"/>
    <w:rsid w:val="03627E48"/>
    <w:rsid w:val="036334B7"/>
    <w:rsid w:val="037A652C"/>
    <w:rsid w:val="03890A90"/>
    <w:rsid w:val="039163D5"/>
    <w:rsid w:val="03B66DE6"/>
    <w:rsid w:val="03B70D88"/>
    <w:rsid w:val="03C755C8"/>
    <w:rsid w:val="03CC5D27"/>
    <w:rsid w:val="03D613E2"/>
    <w:rsid w:val="03D96335"/>
    <w:rsid w:val="03DB41BC"/>
    <w:rsid w:val="03E85574"/>
    <w:rsid w:val="03FD3ADD"/>
    <w:rsid w:val="040D48F4"/>
    <w:rsid w:val="0449381C"/>
    <w:rsid w:val="047F0FEB"/>
    <w:rsid w:val="04853C33"/>
    <w:rsid w:val="04CC1D57"/>
    <w:rsid w:val="04D20042"/>
    <w:rsid w:val="04D914A5"/>
    <w:rsid w:val="04E72377"/>
    <w:rsid w:val="04EF43C3"/>
    <w:rsid w:val="05404C1F"/>
    <w:rsid w:val="054508F8"/>
    <w:rsid w:val="05517B8A"/>
    <w:rsid w:val="055643A0"/>
    <w:rsid w:val="05664B26"/>
    <w:rsid w:val="05696B2F"/>
    <w:rsid w:val="05727F5C"/>
    <w:rsid w:val="057513FF"/>
    <w:rsid w:val="05857B6F"/>
    <w:rsid w:val="05A0582F"/>
    <w:rsid w:val="05AD7DE1"/>
    <w:rsid w:val="05B83BFF"/>
    <w:rsid w:val="05D11D1B"/>
    <w:rsid w:val="05D9127F"/>
    <w:rsid w:val="05E07EC1"/>
    <w:rsid w:val="06061473"/>
    <w:rsid w:val="060B4371"/>
    <w:rsid w:val="06361C06"/>
    <w:rsid w:val="064415F4"/>
    <w:rsid w:val="06662200"/>
    <w:rsid w:val="06662719"/>
    <w:rsid w:val="0686267D"/>
    <w:rsid w:val="068A3588"/>
    <w:rsid w:val="06983C5B"/>
    <w:rsid w:val="06AC1E40"/>
    <w:rsid w:val="06B87F57"/>
    <w:rsid w:val="06C469CF"/>
    <w:rsid w:val="06C71857"/>
    <w:rsid w:val="06E8505E"/>
    <w:rsid w:val="0700565B"/>
    <w:rsid w:val="070C28DE"/>
    <w:rsid w:val="0714309F"/>
    <w:rsid w:val="072576B4"/>
    <w:rsid w:val="074239A5"/>
    <w:rsid w:val="075A309C"/>
    <w:rsid w:val="076619FA"/>
    <w:rsid w:val="076B52E1"/>
    <w:rsid w:val="077C69D1"/>
    <w:rsid w:val="07972AF0"/>
    <w:rsid w:val="07A6748A"/>
    <w:rsid w:val="07C3629F"/>
    <w:rsid w:val="07DD00E3"/>
    <w:rsid w:val="07FA45FD"/>
    <w:rsid w:val="080261BB"/>
    <w:rsid w:val="08037AB1"/>
    <w:rsid w:val="080A5070"/>
    <w:rsid w:val="081C6EE5"/>
    <w:rsid w:val="083F0F18"/>
    <w:rsid w:val="085530EF"/>
    <w:rsid w:val="086B69B4"/>
    <w:rsid w:val="08715531"/>
    <w:rsid w:val="087370B9"/>
    <w:rsid w:val="089D322D"/>
    <w:rsid w:val="08AE1625"/>
    <w:rsid w:val="08B45776"/>
    <w:rsid w:val="08B57863"/>
    <w:rsid w:val="08B74776"/>
    <w:rsid w:val="08BB3547"/>
    <w:rsid w:val="08C2594B"/>
    <w:rsid w:val="08FD60DC"/>
    <w:rsid w:val="09051375"/>
    <w:rsid w:val="09181A0E"/>
    <w:rsid w:val="091B682D"/>
    <w:rsid w:val="09524F20"/>
    <w:rsid w:val="095F3199"/>
    <w:rsid w:val="097C29CF"/>
    <w:rsid w:val="098D223F"/>
    <w:rsid w:val="09905A49"/>
    <w:rsid w:val="099E2384"/>
    <w:rsid w:val="09AB05A5"/>
    <w:rsid w:val="09C90142"/>
    <w:rsid w:val="09E10B06"/>
    <w:rsid w:val="09F9539C"/>
    <w:rsid w:val="0A073F5D"/>
    <w:rsid w:val="0A0C3CA7"/>
    <w:rsid w:val="0A2F4EB9"/>
    <w:rsid w:val="0A2F5262"/>
    <w:rsid w:val="0A570AB1"/>
    <w:rsid w:val="0A73514E"/>
    <w:rsid w:val="0A9E7CF1"/>
    <w:rsid w:val="0AB81E6D"/>
    <w:rsid w:val="0ABF1ED2"/>
    <w:rsid w:val="0ACF3715"/>
    <w:rsid w:val="0AD16255"/>
    <w:rsid w:val="0AEA10B8"/>
    <w:rsid w:val="0AF0297D"/>
    <w:rsid w:val="0AF85654"/>
    <w:rsid w:val="0B050F7D"/>
    <w:rsid w:val="0B162CD4"/>
    <w:rsid w:val="0B175001"/>
    <w:rsid w:val="0B2B3C7B"/>
    <w:rsid w:val="0B330D82"/>
    <w:rsid w:val="0B3529AC"/>
    <w:rsid w:val="0B391BB2"/>
    <w:rsid w:val="0B422D73"/>
    <w:rsid w:val="0B5D1426"/>
    <w:rsid w:val="0B624C38"/>
    <w:rsid w:val="0B804A49"/>
    <w:rsid w:val="0B8A482D"/>
    <w:rsid w:val="0B8C6076"/>
    <w:rsid w:val="0B8F6477"/>
    <w:rsid w:val="0BB85A80"/>
    <w:rsid w:val="0BC8771C"/>
    <w:rsid w:val="0BCD5C0D"/>
    <w:rsid w:val="0BCF0AAA"/>
    <w:rsid w:val="0BD7351C"/>
    <w:rsid w:val="0BE72A16"/>
    <w:rsid w:val="0BF003AB"/>
    <w:rsid w:val="0C0C4E6D"/>
    <w:rsid w:val="0C113F9D"/>
    <w:rsid w:val="0C141A57"/>
    <w:rsid w:val="0C370A3F"/>
    <w:rsid w:val="0C515100"/>
    <w:rsid w:val="0CA7198B"/>
    <w:rsid w:val="0CD65E68"/>
    <w:rsid w:val="0CE1639D"/>
    <w:rsid w:val="0CE632A9"/>
    <w:rsid w:val="0CE67AB5"/>
    <w:rsid w:val="0D026C5D"/>
    <w:rsid w:val="0D0903D8"/>
    <w:rsid w:val="0D125F29"/>
    <w:rsid w:val="0D132A43"/>
    <w:rsid w:val="0D35353B"/>
    <w:rsid w:val="0D3D4A35"/>
    <w:rsid w:val="0D3D5CC6"/>
    <w:rsid w:val="0D646964"/>
    <w:rsid w:val="0D742B02"/>
    <w:rsid w:val="0D7770DA"/>
    <w:rsid w:val="0D8F0EF3"/>
    <w:rsid w:val="0D9316D5"/>
    <w:rsid w:val="0DAF1F1A"/>
    <w:rsid w:val="0DB35B67"/>
    <w:rsid w:val="0DB70DF8"/>
    <w:rsid w:val="0DD107C1"/>
    <w:rsid w:val="0DD31038"/>
    <w:rsid w:val="0DDB092F"/>
    <w:rsid w:val="0DDE6DB3"/>
    <w:rsid w:val="0DEB5AA2"/>
    <w:rsid w:val="0DFC52CF"/>
    <w:rsid w:val="0E1A327A"/>
    <w:rsid w:val="0E201144"/>
    <w:rsid w:val="0E2B3A9D"/>
    <w:rsid w:val="0E2C508F"/>
    <w:rsid w:val="0E437F9D"/>
    <w:rsid w:val="0E467439"/>
    <w:rsid w:val="0E6179B4"/>
    <w:rsid w:val="0E8C6ABD"/>
    <w:rsid w:val="0EAB6243"/>
    <w:rsid w:val="0EB00711"/>
    <w:rsid w:val="0EBC08CB"/>
    <w:rsid w:val="0EC979ED"/>
    <w:rsid w:val="0ECF1787"/>
    <w:rsid w:val="0EDF091F"/>
    <w:rsid w:val="0EE12346"/>
    <w:rsid w:val="0EE44AC3"/>
    <w:rsid w:val="0EEE0111"/>
    <w:rsid w:val="0EFB7A9C"/>
    <w:rsid w:val="0EFF504D"/>
    <w:rsid w:val="0F0F7410"/>
    <w:rsid w:val="0F176BD3"/>
    <w:rsid w:val="0F2A70C9"/>
    <w:rsid w:val="0F4470B9"/>
    <w:rsid w:val="0F4C5A66"/>
    <w:rsid w:val="0F5B2655"/>
    <w:rsid w:val="0F5B3A48"/>
    <w:rsid w:val="0F740A37"/>
    <w:rsid w:val="0F9927DF"/>
    <w:rsid w:val="0F994075"/>
    <w:rsid w:val="0F9E1FC7"/>
    <w:rsid w:val="0FA534EC"/>
    <w:rsid w:val="0FDD060B"/>
    <w:rsid w:val="0FF46997"/>
    <w:rsid w:val="100827DD"/>
    <w:rsid w:val="101F39C3"/>
    <w:rsid w:val="10455EAF"/>
    <w:rsid w:val="106D2647"/>
    <w:rsid w:val="109167D7"/>
    <w:rsid w:val="109919E1"/>
    <w:rsid w:val="10BB33AB"/>
    <w:rsid w:val="10C4485C"/>
    <w:rsid w:val="10DF38DB"/>
    <w:rsid w:val="10E5419C"/>
    <w:rsid w:val="10E8616A"/>
    <w:rsid w:val="10F20D97"/>
    <w:rsid w:val="110F3AE3"/>
    <w:rsid w:val="112F05BF"/>
    <w:rsid w:val="112F592E"/>
    <w:rsid w:val="11437B92"/>
    <w:rsid w:val="11500382"/>
    <w:rsid w:val="11823CAB"/>
    <w:rsid w:val="11A41CAB"/>
    <w:rsid w:val="11B13995"/>
    <w:rsid w:val="11C268F4"/>
    <w:rsid w:val="11E72CB8"/>
    <w:rsid w:val="11F56D91"/>
    <w:rsid w:val="11F70536"/>
    <w:rsid w:val="11FE21B2"/>
    <w:rsid w:val="12070B87"/>
    <w:rsid w:val="122519A0"/>
    <w:rsid w:val="12450324"/>
    <w:rsid w:val="125445FB"/>
    <w:rsid w:val="12665599"/>
    <w:rsid w:val="12710E9C"/>
    <w:rsid w:val="127F665A"/>
    <w:rsid w:val="1282771C"/>
    <w:rsid w:val="12863E8D"/>
    <w:rsid w:val="12900C1A"/>
    <w:rsid w:val="12963A75"/>
    <w:rsid w:val="12971F49"/>
    <w:rsid w:val="12AA069D"/>
    <w:rsid w:val="12BF5E24"/>
    <w:rsid w:val="12C9527E"/>
    <w:rsid w:val="12D63AC6"/>
    <w:rsid w:val="12DF0826"/>
    <w:rsid w:val="12EC1885"/>
    <w:rsid w:val="12F56C63"/>
    <w:rsid w:val="12FC7CAB"/>
    <w:rsid w:val="1348468D"/>
    <w:rsid w:val="1360599E"/>
    <w:rsid w:val="137140A7"/>
    <w:rsid w:val="137934CE"/>
    <w:rsid w:val="137A7C19"/>
    <w:rsid w:val="137C5ECD"/>
    <w:rsid w:val="13837595"/>
    <w:rsid w:val="138F691D"/>
    <w:rsid w:val="13A91BE1"/>
    <w:rsid w:val="13C31C76"/>
    <w:rsid w:val="13ED1E9D"/>
    <w:rsid w:val="13F76DF0"/>
    <w:rsid w:val="14076624"/>
    <w:rsid w:val="140D6614"/>
    <w:rsid w:val="142F6C43"/>
    <w:rsid w:val="143167CA"/>
    <w:rsid w:val="14381330"/>
    <w:rsid w:val="143E36CE"/>
    <w:rsid w:val="14507D3E"/>
    <w:rsid w:val="145144DD"/>
    <w:rsid w:val="14530688"/>
    <w:rsid w:val="145B003E"/>
    <w:rsid w:val="1460685B"/>
    <w:rsid w:val="146B6E96"/>
    <w:rsid w:val="147031DB"/>
    <w:rsid w:val="14A764CD"/>
    <w:rsid w:val="14B15E41"/>
    <w:rsid w:val="14B44864"/>
    <w:rsid w:val="150B1775"/>
    <w:rsid w:val="15166F42"/>
    <w:rsid w:val="15252FEA"/>
    <w:rsid w:val="15255361"/>
    <w:rsid w:val="153E1E87"/>
    <w:rsid w:val="154A2F50"/>
    <w:rsid w:val="155A367E"/>
    <w:rsid w:val="156A0C6F"/>
    <w:rsid w:val="15756842"/>
    <w:rsid w:val="1576678F"/>
    <w:rsid w:val="15822FE1"/>
    <w:rsid w:val="159961D2"/>
    <w:rsid w:val="15AD0F32"/>
    <w:rsid w:val="15B97253"/>
    <w:rsid w:val="15BD5E17"/>
    <w:rsid w:val="15DF669E"/>
    <w:rsid w:val="15ED129F"/>
    <w:rsid w:val="15F072F0"/>
    <w:rsid w:val="160351B9"/>
    <w:rsid w:val="161C2AE8"/>
    <w:rsid w:val="16313926"/>
    <w:rsid w:val="163360DA"/>
    <w:rsid w:val="16392D2C"/>
    <w:rsid w:val="163E6E27"/>
    <w:rsid w:val="16B8213B"/>
    <w:rsid w:val="16B9038D"/>
    <w:rsid w:val="16C23472"/>
    <w:rsid w:val="16D331EA"/>
    <w:rsid w:val="16FF0BDD"/>
    <w:rsid w:val="17005FBC"/>
    <w:rsid w:val="17232F02"/>
    <w:rsid w:val="172566BF"/>
    <w:rsid w:val="1776002C"/>
    <w:rsid w:val="177C7BEE"/>
    <w:rsid w:val="1785658A"/>
    <w:rsid w:val="178C0F21"/>
    <w:rsid w:val="17922C50"/>
    <w:rsid w:val="17982698"/>
    <w:rsid w:val="17AF25C7"/>
    <w:rsid w:val="17C6633C"/>
    <w:rsid w:val="17D82143"/>
    <w:rsid w:val="18034A5F"/>
    <w:rsid w:val="18043658"/>
    <w:rsid w:val="180E2338"/>
    <w:rsid w:val="1823063E"/>
    <w:rsid w:val="183028D1"/>
    <w:rsid w:val="18383E4B"/>
    <w:rsid w:val="18417606"/>
    <w:rsid w:val="185136A5"/>
    <w:rsid w:val="18537BB1"/>
    <w:rsid w:val="185679C1"/>
    <w:rsid w:val="186A5E02"/>
    <w:rsid w:val="18707171"/>
    <w:rsid w:val="18800BFD"/>
    <w:rsid w:val="1880142B"/>
    <w:rsid w:val="18862E38"/>
    <w:rsid w:val="18962CA0"/>
    <w:rsid w:val="189D3DC1"/>
    <w:rsid w:val="18A33400"/>
    <w:rsid w:val="18AD2E28"/>
    <w:rsid w:val="18BC7E5B"/>
    <w:rsid w:val="18E63B17"/>
    <w:rsid w:val="1905604B"/>
    <w:rsid w:val="190C6BF0"/>
    <w:rsid w:val="191055A0"/>
    <w:rsid w:val="19342BCD"/>
    <w:rsid w:val="193E726F"/>
    <w:rsid w:val="19460D0C"/>
    <w:rsid w:val="1984369C"/>
    <w:rsid w:val="19AA2C22"/>
    <w:rsid w:val="19B47B74"/>
    <w:rsid w:val="19CE160F"/>
    <w:rsid w:val="19DB4ABE"/>
    <w:rsid w:val="19E731A7"/>
    <w:rsid w:val="19ED2C14"/>
    <w:rsid w:val="1A002CDD"/>
    <w:rsid w:val="1A005B74"/>
    <w:rsid w:val="1A1062AD"/>
    <w:rsid w:val="1A471613"/>
    <w:rsid w:val="1A4772FE"/>
    <w:rsid w:val="1A5328A6"/>
    <w:rsid w:val="1A5B149D"/>
    <w:rsid w:val="1A6702DA"/>
    <w:rsid w:val="1A7F4EF4"/>
    <w:rsid w:val="1A8A3DEE"/>
    <w:rsid w:val="1A970527"/>
    <w:rsid w:val="1AC40A4B"/>
    <w:rsid w:val="1ACC000D"/>
    <w:rsid w:val="1AD339E7"/>
    <w:rsid w:val="1AE04F9D"/>
    <w:rsid w:val="1B1726C6"/>
    <w:rsid w:val="1B186618"/>
    <w:rsid w:val="1B2129A5"/>
    <w:rsid w:val="1B2732BF"/>
    <w:rsid w:val="1B2A15ED"/>
    <w:rsid w:val="1B396375"/>
    <w:rsid w:val="1B3A3976"/>
    <w:rsid w:val="1B4608D9"/>
    <w:rsid w:val="1B492D72"/>
    <w:rsid w:val="1B4E42CC"/>
    <w:rsid w:val="1B5301B1"/>
    <w:rsid w:val="1B5A57C3"/>
    <w:rsid w:val="1B6F7F29"/>
    <w:rsid w:val="1B8A054A"/>
    <w:rsid w:val="1B8D1DE8"/>
    <w:rsid w:val="1BA101F5"/>
    <w:rsid w:val="1BAB7CCE"/>
    <w:rsid w:val="1BB61597"/>
    <w:rsid w:val="1BC021BE"/>
    <w:rsid w:val="1BC51582"/>
    <w:rsid w:val="1BE428CB"/>
    <w:rsid w:val="1BF446D7"/>
    <w:rsid w:val="1C024B34"/>
    <w:rsid w:val="1C135551"/>
    <w:rsid w:val="1C1D42D9"/>
    <w:rsid w:val="1C1E586D"/>
    <w:rsid w:val="1C394721"/>
    <w:rsid w:val="1C4032FE"/>
    <w:rsid w:val="1C7B6B94"/>
    <w:rsid w:val="1C8431EB"/>
    <w:rsid w:val="1C881B0F"/>
    <w:rsid w:val="1C8946E0"/>
    <w:rsid w:val="1C967A07"/>
    <w:rsid w:val="1C9F6277"/>
    <w:rsid w:val="1CA610F3"/>
    <w:rsid w:val="1CAD7F0F"/>
    <w:rsid w:val="1CB12B30"/>
    <w:rsid w:val="1CC42C1F"/>
    <w:rsid w:val="1CCB646F"/>
    <w:rsid w:val="1CCC28FF"/>
    <w:rsid w:val="1CCE4466"/>
    <w:rsid w:val="1CD70A79"/>
    <w:rsid w:val="1CD83F01"/>
    <w:rsid w:val="1CE578F5"/>
    <w:rsid w:val="1CE6227F"/>
    <w:rsid w:val="1CEB326A"/>
    <w:rsid w:val="1D032C7E"/>
    <w:rsid w:val="1D156318"/>
    <w:rsid w:val="1D1A669A"/>
    <w:rsid w:val="1D293D92"/>
    <w:rsid w:val="1D2C027C"/>
    <w:rsid w:val="1D2C40BC"/>
    <w:rsid w:val="1D3D1F24"/>
    <w:rsid w:val="1D4330A6"/>
    <w:rsid w:val="1D471EA2"/>
    <w:rsid w:val="1D4C152D"/>
    <w:rsid w:val="1D541CE3"/>
    <w:rsid w:val="1D5F732F"/>
    <w:rsid w:val="1D665CDA"/>
    <w:rsid w:val="1D925B3A"/>
    <w:rsid w:val="1DA03868"/>
    <w:rsid w:val="1DA65F73"/>
    <w:rsid w:val="1DA86679"/>
    <w:rsid w:val="1DCC647F"/>
    <w:rsid w:val="1DE03D31"/>
    <w:rsid w:val="1E131689"/>
    <w:rsid w:val="1E1C65F9"/>
    <w:rsid w:val="1E2E3853"/>
    <w:rsid w:val="1E415C46"/>
    <w:rsid w:val="1E447858"/>
    <w:rsid w:val="1E5D1F46"/>
    <w:rsid w:val="1E7B2E16"/>
    <w:rsid w:val="1E8E6339"/>
    <w:rsid w:val="1E93077E"/>
    <w:rsid w:val="1E983DE3"/>
    <w:rsid w:val="1EA26A70"/>
    <w:rsid w:val="1EA50E93"/>
    <w:rsid w:val="1EBD4792"/>
    <w:rsid w:val="1EDC5FC3"/>
    <w:rsid w:val="1EFD0799"/>
    <w:rsid w:val="1EFD265C"/>
    <w:rsid w:val="1F026F61"/>
    <w:rsid w:val="1F394761"/>
    <w:rsid w:val="1F4246A9"/>
    <w:rsid w:val="1F4F7D4D"/>
    <w:rsid w:val="1F5763BB"/>
    <w:rsid w:val="1F5E41C7"/>
    <w:rsid w:val="1F67589F"/>
    <w:rsid w:val="1F68436E"/>
    <w:rsid w:val="1F6C0CB6"/>
    <w:rsid w:val="1F9F595B"/>
    <w:rsid w:val="1FA604F6"/>
    <w:rsid w:val="1FA85442"/>
    <w:rsid w:val="1FA937E4"/>
    <w:rsid w:val="1FBE6A14"/>
    <w:rsid w:val="1FD34602"/>
    <w:rsid w:val="20063150"/>
    <w:rsid w:val="200B1492"/>
    <w:rsid w:val="200C10FE"/>
    <w:rsid w:val="202379FD"/>
    <w:rsid w:val="2033133E"/>
    <w:rsid w:val="2039529F"/>
    <w:rsid w:val="203F2867"/>
    <w:rsid w:val="204016F2"/>
    <w:rsid w:val="205B38CC"/>
    <w:rsid w:val="20735A50"/>
    <w:rsid w:val="20783067"/>
    <w:rsid w:val="20947EF1"/>
    <w:rsid w:val="209723AB"/>
    <w:rsid w:val="20983C8D"/>
    <w:rsid w:val="20A50BF5"/>
    <w:rsid w:val="20AE68C5"/>
    <w:rsid w:val="20B35E4D"/>
    <w:rsid w:val="20CD2BCE"/>
    <w:rsid w:val="20D74F87"/>
    <w:rsid w:val="20DC771D"/>
    <w:rsid w:val="20FD35BB"/>
    <w:rsid w:val="21061C69"/>
    <w:rsid w:val="211D51F5"/>
    <w:rsid w:val="213207D3"/>
    <w:rsid w:val="21324450"/>
    <w:rsid w:val="214D7707"/>
    <w:rsid w:val="215A6C10"/>
    <w:rsid w:val="21743712"/>
    <w:rsid w:val="21A954A2"/>
    <w:rsid w:val="21B67162"/>
    <w:rsid w:val="21C95CAE"/>
    <w:rsid w:val="21F46927"/>
    <w:rsid w:val="22022DCA"/>
    <w:rsid w:val="220F745F"/>
    <w:rsid w:val="22147AE6"/>
    <w:rsid w:val="222334A6"/>
    <w:rsid w:val="222D1B2B"/>
    <w:rsid w:val="2247668D"/>
    <w:rsid w:val="225631FF"/>
    <w:rsid w:val="225E43CA"/>
    <w:rsid w:val="22703116"/>
    <w:rsid w:val="228757E3"/>
    <w:rsid w:val="228C5F7E"/>
    <w:rsid w:val="22904326"/>
    <w:rsid w:val="229972C4"/>
    <w:rsid w:val="22BB0C47"/>
    <w:rsid w:val="22C660A9"/>
    <w:rsid w:val="22C966DE"/>
    <w:rsid w:val="22EC5646"/>
    <w:rsid w:val="22F84534"/>
    <w:rsid w:val="23021720"/>
    <w:rsid w:val="230252E2"/>
    <w:rsid w:val="232748D0"/>
    <w:rsid w:val="23285391"/>
    <w:rsid w:val="234C5294"/>
    <w:rsid w:val="234C6FB6"/>
    <w:rsid w:val="236424EE"/>
    <w:rsid w:val="236E3C6A"/>
    <w:rsid w:val="23780AF0"/>
    <w:rsid w:val="23923E7C"/>
    <w:rsid w:val="2393748F"/>
    <w:rsid w:val="23A947FE"/>
    <w:rsid w:val="23C82F67"/>
    <w:rsid w:val="23D44DC4"/>
    <w:rsid w:val="23D861F3"/>
    <w:rsid w:val="23E84D47"/>
    <w:rsid w:val="240D166A"/>
    <w:rsid w:val="24180B62"/>
    <w:rsid w:val="24352285"/>
    <w:rsid w:val="24516187"/>
    <w:rsid w:val="246C4A32"/>
    <w:rsid w:val="247B0287"/>
    <w:rsid w:val="24865C29"/>
    <w:rsid w:val="248B4780"/>
    <w:rsid w:val="249B610B"/>
    <w:rsid w:val="24A33CB5"/>
    <w:rsid w:val="24D05F43"/>
    <w:rsid w:val="24EF58CD"/>
    <w:rsid w:val="251F1A45"/>
    <w:rsid w:val="25220DDB"/>
    <w:rsid w:val="25396B3D"/>
    <w:rsid w:val="2552693C"/>
    <w:rsid w:val="256C0CC0"/>
    <w:rsid w:val="2571178B"/>
    <w:rsid w:val="25776E9A"/>
    <w:rsid w:val="25792CFE"/>
    <w:rsid w:val="257A33DD"/>
    <w:rsid w:val="25997FCE"/>
    <w:rsid w:val="259F1087"/>
    <w:rsid w:val="25B162EA"/>
    <w:rsid w:val="25C119F4"/>
    <w:rsid w:val="25C8309C"/>
    <w:rsid w:val="25D479F8"/>
    <w:rsid w:val="25F80EDB"/>
    <w:rsid w:val="260C5E8C"/>
    <w:rsid w:val="261A5477"/>
    <w:rsid w:val="263A0DBE"/>
    <w:rsid w:val="26441E0E"/>
    <w:rsid w:val="26490113"/>
    <w:rsid w:val="266F3533"/>
    <w:rsid w:val="267C17D4"/>
    <w:rsid w:val="267E0CAB"/>
    <w:rsid w:val="2690676A"/>
    <w:rsid w:val="269404CF"/>
    <w:rsid w:val="269A1F58"/>
    <w:rsid w:val="26B44EED"/>
    <w:rsid w:val="26BE4DB1"/>
    <w:rsid w:val="26C814B7"/>
    <w:rsid w:val="26DB20B3"/>
    <w:rsid w:val="26F47E5E"/>
    <w:rsid w:val="26FA1EC1"/>
    <w:rsid w:val="27180336"/>
    <w:rsid w:val="271A6671"/>
    <w:rsid w:val="272428A8"/>
    <w:rsid w:val="272538F9"/>
    <w:rsid w:val="273960AA"/>
    <w:rsid w:val="27405AFE"/>
    <w:rsid w:val="278542BB"/>
    <w:rsid w:val="27883E35"/>
    <w:rsid w:val="27890DBD"/>
    <w:rsid w:val="279541E1"/>
    <w:rsid w:val="27A830DE"/>
    <w:rsid w:val="27AE55C0"/>
    <w:rsid w:val="27BF157B"/>
    <w:rsid w:val="27C000C0"/>
    <w:rsid w:val="27DA63B5"/>
    <w:rsid w:val="28102E9F"/>
    <w:rsid w:val="2843542F"/>
    <w:rsid w:val="28681C13"/>
    <w:rsid w:val="28797BAE"/>
    <w:rsid w:val="287F2012"/>
    <w:rsid w:val="287F2A75"/>
    <w:rsid w:val="288B091E"/>
    <w:rsid w:val="289724F8"/>
    <w:rsid w:val="289F5BDD"/>
    <w:rsid w:val="28AD5878"/>
    <w:rsid w:val="28B8150C"/>
    <w:rsid w:val="28BD5C89"/>
    <w:rsid w:val="28C16F41"/>
    <w:rsid w:val="28C64B8B"/>
    <w:rsid w:val="28D834B6"/>
    <w:rsid w:val="28DA1F8B"/>
    <w:rsid w:val="28DB2CEA"/>
    <w:rsid w:val="28E277F3"/>
    <w:rsid w:val="28E35B89"/>
    <w:rsid w:val="28EF0DD1"/>
    <w:rsid w:val="28F242BC"/>
    <w:rsid w:val="28F6721F"/>
    <w:rsid w:val="290B0ADA"/>
    <w:rsid w:val="29345F99"/>
    <w:rsid w:val="293F408B"/>
    <w:rsid w:val="294A756A"/>
    <w:rsid w:val="294C32E2"/>
    <w:rsid w:val="29590AB8"/>
    <w:rsid w:val="295D104C"/>
    <w:rsid w:val="29666F8A"/>
    <w:rsid w:val="29712D49"/>
    <w:rsid w:val="29746D21"/>
    <w:rsid w:val="29842A7C"/>
    <w:rsid w:val="2988673D"/>
    <w:rsid w:val="29AF15C3"/>
    <w:rsid w:val="29B278A6"/>
    <w:rsid w:val="29BF3AB4"/>
    <w:rsid w:val="29D7363B"/>
    <w:rsid w:val="29E25D55"/>
    <w:rsid w:val="29E66F7F"/>
    <w:rsid w:val="2A1C6ED5"/>
    <w:rsid w:val="2A1D4493"/>
    <w:rsid w:val="2A33461A"/>
    <w:rsid w:val="2A480EEE"/>
    <w:rsid w:val="2A7744A6"/>
    <w:rsid w:val="2A78682C"/>
    <w:rsid w:val="2A832B5A"/>
    <w:rsid w:val="2A9D528A"/>
    <w:rsid w:val="2ABD41BE"/>
    <w:rsid w:val="2AED55A5"/>
    <w:rsid w:val="2B0A0C70"/>
    <w:rsid w:val="2B0D39F1"/>
    <w:rsid w:val="2B133EB0"/>
    <w:rsid w:val="2B6A7CE9"/>
    <w:rsid w:val="2B774B23"/>
    <w:rsid w:val="2B8054C5"/>
    <w:rsid w:val="2B8A0391"/>
    <w:rsid w:val="2B934B7D"/>
    <w:rsid w:val="2BB3723C"/>
    <w:rsid w:val="2BB979A3"/>
    <w:rsid w:val="2BBD151B"/>
    <w:rsid w:val="2BD650E5"/>
    <w:rsid w:val="2BDE21B0"/>
    <w:rsid w:val="2BEF4F80"/>
    <w:rsid w:val="2C4627CA"/>
    <w:rsid w:val="2C482126"/>
    <w:rsid w:val="2C4C48F9"/>
    <w:rsid w:val="2C4F78A5"/>
    <w:rsid w:val="2C75313C"/>
    <w:rsid w:val="2C866B0B"/>
    <w:rsid w:val="2C9A5EB8"/>
    <w:rsid w:val="2CAB2817"/>
    <w:rsid w:val="2CC37841"/>
    <w:rsid w:val="2CCF4463"/>
    <w:rsid w:val="2CD13F96"/>
    <w:rsid w:val="2CDA42A3"/>
    <w:rsid w:val="2CE24A67"/>
    <w:rsid w:val="2CEA5A8C"/>
    <w:rsid w:val="2CFD3520"/>
    <w:rsid w:val="2CFF401F"/>
    <w:rsid w:val="2D017170"/>
    <w:rsid w:val="2D0363AE"/>
    <w:rsid w:val="2D0D0E15"/>
    <w:rsid w:val="2D1C4D7A"/>
    <w:rsid w:val="2D3043F4"/>
    <w:rsid w:val="2D583CB6"/>
    <w:rsid w:val="2D8A5DAA"/>
    <w:rsid w:val="2DB85208"/>
    <w:rsid w:val="2DD800B0"/>
    <w:rsid w:val="2DDE3975"/>
    <w:rsid w:val="2E2C776F"/>
    <w:rsid w:val="2E466597"/>
    <w:rsid w:val="2E471AA7"/>
    <w:rsid w:val="2E532A1D"/>
    <w:rsid w:val="2E5D1AEE"/>
    <w:rsid w:val="2E6722C1"/>
    <w:rsid w:val="2E776F62"/>
    <w:rsid w:val="2E9C7C7F"/>
    <w:rsid w:val="2EAF5759"/>
    <w:rsid w:val="2EB2575B"/>
    <w:rsid w:val="2EB86D24"/>
    <w:rsid w:val="2EBF6305"/>
    <w:rsid w:val="2ECD59AB"/>
    <w:rsid w:val="2ED54867"/>
    <w:rsid w:val="2EEF6799"/>
    <w:rsid w:val="2F217DCC"/>
    <w:rsid w:val="2F293DE8"/>
    <w:rsid w:val="2F2A46BA"/>
    <w:rsid w:val="2F2B41D9"/>
    <w:rsid w:val="2F3D6BA4"/>
    <w:rsid w:val="2F4141FD"/>
    <w:rsid w:val="2F455096"/>
    <w:rsid w:val="2F466CB5"/>
    <w:rsid w:val="2F5938BC"/>
    <w:rsid w:val="2F805A94"/>
    <w:rsid w:val="2F9910A3"/>
    <w:rsid w:val="2FB87712"/>
    <w:rsid w:val="2FC92420"/>
    <w:rsid w:val="2FD444E7"/>
    <w:rsid w:val="2FD66B45"/>
    <w:rsid w:val="2FEC423C"/>
    <w:rsid w:val="2FEC7D80"/>
    <w:rsid w:val="304E1EC9"/>
    <w:rsid w:val="305F649F"/>
    <w:rsid w:val="306241D9"/>
    <w:rsid w:val="306600D4"/>
    <w:rsid w:val="30683B88"/>
    <w:rsid w:val="308747DB"/>
    <w:rsid w:val="30986E0D"/>
    <w:rsid w:val="30A532D8"/>
    <w:rsid w:val="30BF439A"/>
    <w:rsid w:val="30CB71E3"/>
    <w:rsid w:val="31033141"/>
    <w:rsid w:val="313C0B7E"/>
    <w:rsid w:val="315004DC"/>
    <w:rsid w:val="31886AE6"/>
    <w:rsid w:val="31975CF2"/>
    <w:rsid w:val="319B4987"/>
    <w:rsid w:val="319F141A"/>
    <w:rsid w:val="31A904FD"/>
    <w:rsid w:val="31C252D0"/>
    <w:rsid w:val="31C421B2"/>
    <w:rsid w:val="31D410E5"/>
    <w:rsid w:val="31D95087"/>
    <w:rsid w:val="322A33E1"/>
    <w:rsid w:val="32546D64"/>
    <w:rsid w:val="32547DD2"/>
    <w:rsid w:val="325F4087"/>
    <w:rsid w:val="32695606"/>
    <w:rsid w:val="32762D73"/>
    <w:rsid w:val="3283603F"/>
    <w:rsid w:val="328E198A"/>
    <w:rsid w:val="32997FE8"/>
    <w:rsid w:val="32A61601"/>
    <w:rsid w:val="32A777DC"/>
    <w:rsid w:val="32AB7B37"/>
    <w:rsid w:val="32C13559"/>
    <w:rsid w:val="32C25FFA"/>
    <w:rsid w:val="32CC75C4"/>
    <w:rsid w:val="32D96BA9"/>
    <w:rsid w:val="32EC5C87"/>
    <w:rsid w:val="32F36E2C"/>
    <w:rsid w:val="32F742BF"/>
    <w:rsid w:val="33036717"/>
    <w:rsid w:val="330A1DEE"/>
    <w:rsid w:val="331765A3"/>
    <w:rsid w:val="33462B51"/>
    <w:rsid w:val="335F65DA"/>
    <w:rsid w:val="336D4581"/>
    <w:rsid w:val="337663BB"/>
    <w:rsid w:val="337D3FE4"/>
    <w:rsid w:val="338462EC"/>
    <w:rsid w:val="338D79DE"/>
    <w:rsid w:val="33C54CD0"/>
    <w:rsid w:val="33C6756E"/>
    <w:rsid w:val="33C8335F"/>
    <w:rsid w:val="33CF2B46"/>
    <w:rsid w:val="34166CD6"/>
    <w:rsid w:val="34360872"/>
    <w:rsid w:val="34556949"/>
    <w:rsid w:val="34623FA2"/>
    <w:rsid w:val="34627AEC"/>
    <w:rsid w:val="3468502C"/>
    <w:rsid w:val="3473600C"/>
    <w:rsid w:val="34856C3E"/>
    <w:rsid w:val="348F35C9"/>
    <w:rsid w:val="34A57D4B"/>
    <w:rsid w:val="34B128F9"/>
    <w:rsid w:val="34B65A43"/>
    <w:rsid w:val="34CE4595"/>
    <w:rsid w:val="34D2062F"/>
    <w:rsid w:val="34D80320"/>
    <w:rsid w:val="34F5482E"/>
    <w:rsid w:val="34F84305"/>
    <w:rsid w:val="34FB0784"/>
    <w:rsid w:val="34FF56AD"/>
    <w:rsid w:val="350066FA"/>
    <w:rsid w:val="35015C62"/>
    <w:rsid w:val="350E58F0"/>
    <w:rsid w:val="35156301"/>
    <w:rsid w:val="351F5D4F"/>
    <w:rsid w:val="352D0345"/>
    <w:rsid w:val="3533411E"/>
    <w:rsid w:val="35492E6F"/>
    <w:rsid w:val="35494D87"/>
    <w:rsid w:val="35753BC1"/>
    <w:rsid w:val="357B1815"/>
    <w:rsid w:val="3592207D"/>
    <w:rsid w:val="35C54489"/>
    <w:rsid w:val="35D874ED"/>
    <w:rsid w:val="35E06ACA"/>
    <w:rsid w:val="35E54E63"/>
    <w:rsid w:val="35FE5964"/>
    <w:rsid w:val="360D1C68"/>
    <w:rsid w:val="36160F00"/>
    <w:rsid w:val="362353CB"/>
    <w:rsid w:val="362D1735"/>
    <w:rsid w:val="362E6830"/>
    <w:rsid w:val="36340DB7"/>
    <w:rsid w:val="365E4E20"/>
    <w:rsid w:val="3673540B"/>
    <w:rsid w:val="367E5168"/>
    <w:rsid w:val="3687595A"/>
    <w:rsid w:val="36AA1648"/>
    <w:rsid w:val="36AA767C"/>
    <w:rsid w:val="36B96997"/>
    <w:rsid w:val="36E068E3"/>
    <w:rsid w:val="36EF34FF"/>
    <w:rsid w:val="36F30DDD"/>
    <w:rsid w:val="36F602F1"/>
    <w:rsid w:val="3712106E"/>
    <w:rsid w:val="37254AEE"/>
    <w:rsid w:val="37547D16"/>
    <w:rsid w:val="37695060"/>
    <w:rsid w:val="37821945"/>
    <w:rsid w:val="378B3228"/>
    <w:rsid w:val="37A15487"/>
    <w:rsid w:val="37A205C2"/>
    <w:rsid w:val="37B05A28"/>
    <w:rsid w:val="37B5130F"/>
    <w:rsid w:val="37BB5CD8"/>
    <w:rsid w:val="37C36AB9"/>
    <w:rsid w:val="37E86E93"/>
    <w:rsid w:val="3809239F"/>
    <w:rsid w:val="38114DFD"/>
    <w:rsid w:val="381A45AC"/>
    <w:rsid w:val="38207EDE"/>
    <w:rsid w:val="382262BE"/>
    <w:rsid w:val="38251EE0"/>
    <w:rsid w:val="382770EA"/>
    <w:rsid w:val="38691EC0"/>
    <w:rsid w:val="386D1FD4"/>
    <w:rsid w:val="386F48F8"/>
    <w:rsid w:val="38905C55"/>
    <w:rsid w:val="38942377"/>
    <w:rsid w:val="38B410A0"/>
    <w:rsid w:val="38B536A8"/>
    <w:rsid w:val="38D53B04"/>
    <w:rsid w:val="38D70393"/>
    <w:rsid w:val="38DB2068"/>
    <w:rsid w:val="38ED3A6E"/>
    <w:rsid w:val="38F17D5C"/>
    <w:rsid w:val="38F5730B"/>
    <w:rsid w:val="38F60D30"/>
    <w:rsid w:val="38FE14F3"/>
    <w:rsid w:val="390D6A98"/>
    <w:rsid w:val="39160F3A"/>
    <w:rsid w:val="391760C8"/>
    <w:rsid w:val="391E1926"/>
    <w:rsid w:val="395C0834"/>
    <w:rsid w:val="395D0BF4"/>
    <w:rsid w:val="39670994"/>
    <w:rsid w:val="39844898"/>
    <w:rsid w:val="39A153A0"/>
    <w:rsid w:val="39AB10FE"/>
    <w:rsid w:val="39B80A53"/>
    <w:rsid w:val="39BD7E44"/>
    <w:rsid w:val="39C40E30"/>
    <w:rsid w:val="39CD5463"/>
    <w:rsid w:val="39F16814"/>
    <w:rsid w:val="39F271EE"/>
    <w:rsid w:val="39F71049"/>
    <w:rsid w:val="3A035C4A"/>
    <w:rsid w:val="3A1703F3"/>
    <w:rsid w:val="3A291DED"/>
    <w:rsid w:val="3A2C5D47"/>
    <w:rsid w:val="3A3951BD"/>
    <w:rsid w:val="3A475EC2"/>
    <w:rsid w:val="3A577E9C"/>
    <w:rsid w:val="3A7601BF"/>
    <w:rsid w:val="3A775CE5"/>
    <w:rsid w:val="3A7A723F"/>
    <w:rsid w:val="3A886C66"/>
    <w:rsid w:val="3A9F4640"/>
    <w:rsid w:val="3ABA76DA"/>
    <w:rsid w:val="3AD44EE6"/>
    <w:rsid w:val="3AED5FCA"/>
    <w:rsid w:val="3AEF33BD"/>
    <w:rsid w:val="3AF00785"/>
    <w:rsid w:val="3AF92173"/>
    <w:rsid w:val="3B271801"/>
    <w:rsid w:val="3B2C3DF2"/>
    <w:rsid w:val="3B305644"/>
    <w:rsid w:val="3B361B52"/>
    <w:rsid w:val="3B3B0752"/>
    <w:rsid w:val="3B3C437D"/>
    <w:rsid w:val="3B40257B"/>
    <w:rsid w:val="3B464D56"/>
    <w:rsid w:val="3B4C08AF"/>
    <w:rsid w:val="3B562CD8"/>
    <w:rsid w:val="3B583D69"/>
    <w:rsid w:val="3B6439E9"/>
    <w:rsid w:val="3B6822B8"/>
    <w:rsid w:val="3B6B5F60"/>
    <w:rsid w:val="3B912905"/>
    <w:rsid w:val="3BD82A91"/>
    <w:rsid w:val="3BDF5FB3"/>
    <w:rsid w:val="3BE949C1"/>
    <w:rsid w:val="3BED6A64"/>
    <w:rsid w:val="3BF54998"/>
    <w:rsid w:val="3BFF19DE"/>
    <w:rsid w:val="3C182E53"/>
    <w:rsid w:val="3C1C20BD"/>
    <w:rsid w:val="3C1D3F50"/>
    <w:rsid w:val="3C2E1C1A"/>
    <w:rsid w:val="3C2F2C49"/>
    <w:rsid w:val="3C3008F9"/>
    <w:rsid w:val="3C371265"/>
    <w:rsid w:val="3C427B1B"/>
    <w:rsid w:val="3C705CB1"/>
    <w:rsid w:val="3C7D5176"/>
    <w:rsid w:val="3C887370"/>
    <w:rsid w:val="3C966E1D"/>
    <w:rsid w:val="3C9C08FC"/>
    <w:rsid w:val="3CA871D7"/>
    <w:rsid w:val="3CC16E24"/>
    <w:rsid w:val="3CC4646D"/>
    <w:rsid w:val="3CCC056A"/>
    <w:rsid w:val="3CD53532"/>
    <w:rsid w:val="3CD70BBE"/>
    <w:rsid w:val="3CD81175"/>
    <w:rsid w:val="3CFB49AC"/>
    <w:rsid w:val="3D3A3112"/>
    <w:rsid w:val="3D526FA9"/>
    <w:rsid w:val="3D5C310E"/>
    <w:rsid w:val="3D8175A7"/>
    <w:rsid w:val="3DB36EDA"/>
    <w:rsid w:val="3DB94D0C"/>
    <w:rsid w:val="3DF8538F"/>
    <w:rsid w:val="3DFB0B4E"/>
    <w:rsid w:val="3E1675C3"/>
    <w:rsid w:val="3E1D62B1"/>
    <w:rsid w:val="3E344619"/>
    <w:rsid w:val="3E513B76"/>
    <w:rsid w:val="3E5B6670"/>
    <w:rsid w:val="3E5F1744"/>
    <w:rsid w:val="3E63036E"/>
    <w:rsid w:val="3E645253"/>
    <w:rsid w:val="3E6F0298"/>
    <w:rsid w:val="3E726EF0"/>
    <w:rsid w:val="3E832EAB"/>
    <w:rsid w:val="3E8A5C6D"/>
    <w:rsid w:val="3E8C18E3"/>
    <w:rsid w:val="3EA239DB"/>
    <w:rsid w:val="3EC5154F"/>
    <w:rsid w:val="3EE50FF8"/>
    <w:rsid w:val="3EE65033"/>
    <w:rsid w:val="3EF618CF"/>
    <w:rsid w:val="3F140B36"/>
    <w:rsid w:val="3F2C52F0"/>
    <w:rsid w:val="3F383D1F"/>
    <w:rsid w:val="3F397A0D"/>
    <w:rsid w:val="3F433B90"/>
    <w:rsid w:val="3F7D2A37"/>
    <w:rsid w:val="3F98091F"/>
    <w:rsid w:val="3FA05D5A"/>
    <w:rsid w:val="3FA73627"/>
    <w:rsid w:val="3FB67CAF"/>
    <w:rsid w:val="3FD70C5B"/>
    <w:rsid w:val="3FD74D2B"/>
    <w:rsid w:val="3FD916B9"/>
    <w:rsid w:val="3FDD2A8F"/>
    <w:rsid w:val="3FE46DFA"/>
    <w:rsid w:val="3FF658FE"/>
    <w:rsid w:val="40051512"/>
    <w:rsid w:val="401D4BB3"/>
    <w:rsid w:val="40267F92"/>
    <w:rsid w:val="40337D20"/>
    <w:rsid w:val="4042134E"/>
    <w:rsid w:val="40802C55"/>
    <w:rsid w:val="40894CA4"/>
    <w:rsid w:val="40B02412"/>
    <w:rsid w:val="40BC51B8"/>
    <w:rsid w:val="40C535FF"/>
    <w:rsid w:val="40CA2F17"/>
    <w:rsid w:val="40DC2EBA"/>
    <w:rsid w:val="40E03B90"/>
    <w:rsid w:val="40E94D96"/>
    <w:rsid w:val="40EF3C00"/>
    <w:rsid w:val="410B630A"/>
    <w:rsid w:val="413210A3"/>
    <w:rsid w:val="414E7D50"/>
    <w:rsid w:val="416637D7"/>
    <w:rsid w:val="41791DDE"/>
    <w:rsid w:val="418B016D"/>
    <w:rsid w:val="41983AF2"/>
    <w:rsid w:val="41A50FE6"/>
    <w:rsid w:val="41ED0B64"/>
    <w:rsid w:val="41ED27D0"/>
    <w:rsid w:val="41FC69BE"/>
    <w:rsid w:val="42286C18"/>
    <w:rsid w:val="422E3486"/>
    <w:rsid w:val="425C548F"/>
    <w:rsid w:val="426652B0"/>
    <w:rsid w:val="4277275E"/>
    <w:rsid w:val="428E4B84"/>
    <w:rsid w:val="429739DA"/>
    <w:rsid w:val="429F402B"/>
    <w:rsid w:val="42A213AC"/>
    <w:rsid w:val="42B15402"/>
    <w:rsid w:val="42B75819"/>
    <w:rsid w:val="42C3074C"/>
    <w:rsid w:val="42CD6A43"/>
    <w:rsid w:val="42E67EAC"/>
    <w:rsid w:val="42E90B7A"/>
    <w:rsid w:val="42F7754A"/>
    <w:rsid w:val="43054285"/>
    <w:rsid w:val="430D33FA"/>
    <w:rsid w:val="430E7476"/>
    <w:rsid w:val="431A4215"/>
    <w:rsid w:val="432B1D63"/>
    <w:rsid w:val="433528FD"/>
    <w:rsid w:val="43382C5D"/>
    <w:rsid w:val="43457E23"/>
    <w:rsid w:val="434A4470"/>
    <w:rsid w:val="437524B8"/>
    <w:rsid w:val="438566CE"/>
    <w:rsid w:val="43926907"/>
    <w:rsid w:val="43AF0AB5"/>
    <w:rsid w:val="43C40372"/>
    <w:rsid w:val="43CF780B"/>
    <w:rsid w:val="43D950F6"/>
    <w:rsid w:val="43E4263E"/>
    <w:rsid w:val="43FC3AEA"/>
    <w:rsid w:val="44051FB6"/>
    <w:rsid w:val="440E5B14"/>
    <w:rsid w:val="44107AC5"/>
    <w:rsid w:val="44187E5D"/>
    <w:rsid w:val="442F11C7"/>
    <w:rsid w:val="4442376C"/>
    <w:rsid w:val="444E2612"/>
    <w:rsid w:val="4458376F"/>
    <w:rsid w:val="445C40E3"/>
    <w:rsid w:val="44766C14"/>
    <w:rsid w:val="447D214A"/>
    <w:rsid w:val="448B0D0B"/>
    <w:rsid w:val="448B118D"/>
    <w:rsid w:val="44915BF6"/>
    <w:rsid w:val="449F2C03"/>
    <w:rsid w:val="44B41EFA"/>
    <w:rsid w:val="44B70E9C"/>
    <w:rsid w:val="44BE2A4A"/>
    <w:rsid w:val="44CD1324"/>
    <w:rsid w:val="44CD2795"/>
    <w:rsid w:val="44D22256"/>
    <w:rsid w:val="44E724A8"/>
    <w:rsid w:val="44FE16A3"/>
    <w:rsid w:val="44FE2BD7"/>
    <w:rsid w:val="44FF3EC8"/>
    <w:rsid w:val="450875F1"/>
    <w:rsid w:val="450C7BC5"/>
    <w:rsid w:val="4525641C"/>
    <w:rsid w:val="45343151"/>
    <w:rsid w:val="45B40934"/>
    <w:rsid w:val="45C06792"/>
    <w:rsid w:val="45D027C0"/>
    <w:rsid w:val="45D95AA6"/>
    <w:rsid w:val="45E635BC"/>
    <w:rsid w:val="45F1347E"/>
    <w:rsid w:val="45F55316"/>
    <w:rsid w:val="45FE2534"/>
    <w:rsid w:val="46043A05"/>
    <w:rsid w:val="46162269"/>
    <w:rsid w:val="46345C9D"/>
    <w:rsid w:val="46480D35"/>
    <w:rsid w:val="464F7B16"/>
    <w:rsid w:val="46512A35"/>
    <w:rsid w:val="465723A5"/>
    <w:rsid w:val="46731500"/>
    <w:rsid w:val="46733805"/>
    <w:rsid w:val="4678706D"/>
    <w:rsid w:val="467D4B8B"/>
    <w:rsid w:val="467F43ED"/>
    <w:rsid w:val="46875502"/>
    <w:rsid w:val="468D5409"/>
    <w:rsid w:val="46A4642A"/>
    <w:rsid w:val="46AD66B5"/>
    <w:rsid w:val="46D06EA9"/>
    <w:rsid w:val="46D4017A"/>
    <w:rsid w:val="46D6359C"/>
    <w:rsid w:val="46E576CE"/>
    <w:rsid w:val="46F0146A"/>
    <w:rsid w:val="46F8751A"/>
    <w:rsid w:val="470E7721"/>
    <w:rsid w:val="47246BD4"/>
    <w:rsid w:val="47333540"/>
    <w:rsid w:val="474406B7"/>
    <w:rsid w:val="47693792"/>
    <w:rsid w:val="478C2F7C"/>
    <w:rsid w:val="478F793B"/>
    <w:rsid w:val="479C2318"/>
    <w:rsid w:val="47CA3276"/>
    <w:rsid w:val="47D07DE8"/>
    <w:rsid w:val="47D7074C"/>
    <w:rsid w:val="480C3F11"/>
    <w:rsid w:val="481501AC"/>
    <w:rsid w:val="481608EC"/>
    <w:rsid w:val="482D65F1"/>
    <w:rsid w:val="48457423"/>
    <w:rsid w:val="48503F5D"/>
    <w:rsid w:val="485967C4"/>
    <w:rsid w:val="485E04E5"/>
    <w:rsid w:val="485E7D05"/>
    <w:rsid w:val="486C67E1"/>
    <w:rsid w:val="48730979"/>
    <w:rsid w:val="48743832"/>
    <w:rsid w:val="48942B03"/>
    <w:rsid w:val="4897208C"/>
    <w:rsid w:val="48AF28F9"/>
    <w:rsid w:val="48B41DB4"/>
    <w:rsid w:val="48BD345D"/>
    <w:rsid w:val="48C42A3E"/>
    <w:rsid w:val="48F77CD6"/>
    <w:rsid w:val="49086C92"/>
    <w:rsid w:val="490E5A67"/>
    <w:rsid w:val="4914001E"/>
    <w:rsid w:val="49352F56"/>
    <w:rsid w:val="49393660"/>
    <w:rsid w:val="496270ED"/>
    <w:rsid w:val="498126DD"/>
    <w:rsid w:val="499059DB"/>
    <w:rsid w:val="49BE7888"/>
    <w:rsid w:val="49F30A8B"/>
    <w:rsid w:val="49F53AA4"/>
    <w:rsid w:val="4A0067D6"/>
    <w:rsid w:val="4A034317"/>
    <w:rsid w:val="4A11128D"/>
    <w:rsid w:val="4A1F30B1"/>
    <w:rsid w:val="4A5E2A1E"/>
    <w:rsid w:val="4A645FE3"/>
    <w:rsid w:val="4A6E0EB3"/>
    <w:rsid w:val="4A72018E"/>
    <w:rsid w:val="4ABD5FF0"/>
    <w:rsid w:val="4ABF0A33"/>
    <w:rsid w:val="4AD079CE"/>
    <w:rsid w:val="4AD868A6"/>
    <w:rsid w:val="4AE34B98"/>
    <w:rsid w:val="4B097A4E"/>
    <w:rsid w:val="4B182BCD"/>
    <w:rsid w:val="4B294C58"/>
    <w:rsid w:val="4B3A28B9"/>
    <w:rsid w:val="4B4265A0"/>
    <w:rsid w:val="4B43394C"/>
    <w:rsid w:val="4BA95182"/>
    <w:rsid w:val="4BAB57EF"/>
    <w:rsid w:val="4BB02E05"/>
    <w:rsid w:val="4BD25FA6"/>
    <w:rsid w:val="4BD576DE"/>
    <w:rsid w:val="4BDA4326"/>
    <w:rsid w:val="4BE55EE6"/>
    <w:rsid w:val="4BE64264"/>
    <w:rsid w:val="4C1E471C"/>
    <w:rsid w:val="4C3D2A92"/>
    <w:rsid w:val="4C51283A"/>
    <w:rsid w:val="4C5F5D1C"/>
    <w:rsid w:val="4C742085"/>
    <w:rsid w:val="4C985623"/>
    <w:rsid w:val="4CAC4CEA"/>
    <w:rsid w:val="4CB819C7"/>
    <w:rsid w:val="4CC05FC0"/>
    <w:rsid w:val="4CDD4AE7"/>
    <w:rsid w:val="4CE030CB"/>
    <w:rsid w:val="4CE04BFD"/>
    <w:rsid w:val="4CEA4EA4"/>
    <w:rsid w:val="4CEF5BAF"/>
    <w:rsid w:val="4CF82C85"/>
    <w:rsid w:val="4D05239A"/>
    <w:rsid w:val="4D0B6C19"/>
    <w:rsid w:val="4D277867"/>
    <w:rsid w:val="4D491763"/>
    <w:rsid w:val="4D646BC9"/>
    <w:rsid w:val="4D70344F"/>
    <w:rsid w:val="4D741C88"/>
    <w:rsid w:val="4D841B65"/>
    <w:rsid w:val="4D864324"/>
    <w:rsid w:val="4D910270"/>
    <w:rsid w:val="4DAA6CCD"/>
    <w:rsid w:val="4DB0478D"/>
    <w:rsid w:val="4DB31DB8"/>
    <w:rsid w:val="4DB72B71"/>
    <w:rsid w:val="4DED20EF"/>
    <w:rsid w:val="4DFA5ADB"/>
    <w:rsid w:val="4E0F2B13"/>
    <w:rsid w:val="4E1A60B8"/>
    <w:rsid w:val="4E1B089F"/>
    <w:rsid w:val="4E275706"/>
    <w:rsid w:val="4E5157E8"/>
    <w:rsid w:val="4E5E05D9"/>
    <w:rsid w:val="4E635F97"/>
    <w:rsid w:val="4E762CDF"/>
    <w:rsid w:val="4E7E543D"/>
    <w:rsid w:val="4E81209D"/>
    <w:rsid w:val="4EAD1B9A"/>
    <w:rsid w:val="4ECB0294"/>
    <w:rsid w:val="4ECF35E9"/>
    <w:rsid w:val="4ED359EE"/>
    <w:rsid w:val="4F0A0A7E"/>
    <w:rsid w:val="4F1B54A1"/>
    <w:rsid w:val="4F2A2208"/>
    <w:rsid w:val="4F2C2CCC"/>
    <w:rsid w:val="4F5709D9"/>
    <w:rsid w:val="4F72396F"/>
    <w:rsid w:val="4F822D18"/>
    <w:rsid w:val="4FA70744"/>
    <w:rsid w:val="4FBD603C"/>
    <w:rsid w:val="4FC91598"/>
    <w:rsid w:val="4FCF4627"/>
    <w:rsid w:val="4FF05EC6"/>
    <w:rsid w:val="4FF77255"/>
    <w:rsid w:val="50241A99"/>
    <w:rsid w:val="5033674E"/>
    <w:rsid w:val="503A2BE9"/>
    <w:rsid w:val="504C47F7"/>
    <w:rsid w:val="50644EA6"/>
    <w:rsid w:val="506B236C"/>
    <w:rsid w:val="50701AF7"/>
    <w:rsid w:val="50871ECA"/>
    <w:rsid w:val="508970AB"/>
    <w:rsid w:val="50930375"/>
    <w:rsid w:val="50951FFB"/>
    <w:rsid w:val="509B40DC"/>
    <w:rsid w:val="509F093E"/>
    <w:rsid w:val="50CB03B5"/>
    <w:rsid w:val="50CD1192"/>
    <w:rsid w:val="50DD1804"/>
    <w:rsid w:val="51091AB3"/>
    <w:rsid w:val="510A67CE"/>
    <w:rsid w:val="511E119D"/>
    <w:rsid w:val="51282D05"/>
    <w:rsid w:val="513403C7"/>
    <w:rsid w:val="513B1F40"/>
    <w:rsid w:val="513B7615"/>
    <w:rsid w:val="51610292"/>
    <w:rsid w:val="51616685"/>
    <w:rsid w:val="519C16A6"/>
    <w:rsid w:val="51A23C45"/>
    <w:rsid w:val="51BC6201"/>
    <w:rsid w:val="51C76BB1"/>
    <w:rsid w:val="51EA482F"/>
    <w:rsid w:val="51F06651"/>
    <w:rsid w:val="521246E8"/>
    <w:rsid w:val="52233BBC"/>
    <w:rsid w:val="52281BF5"/>
    <w:rsid w:val="523360B0"/>
    <w:rsid w:val="52337686"/>
    <w:rsid w:val="524456EC"/>
    <w:rsid w:val="524E6A7E"/>
    <w:rsid w:val="525A383A"/>
    <w:rsid w:val="526E1E9B"/>
    <w:rsid w:val="52A336C4"/>
    <w:rsid w:val="52AF273C"/>
    <w:rsid w:val="52B00589"/>
    <w:rsid w:val="52CF7879"/>
    <w:rsid w:val="52D70AA3"/>
    <w:rsid w:val="52F7756C"/>
    <w:rsid w:val="53105482"/>
    <w:rsid w:val="53187E1D"/>
    <w:rsid w:val="532C4AAB"/>
    <w:rsid w:val="533B295C"/>
    <w:rsid w:val="533E5A2E"/>
    <w:rsid w:val="53524B49"/>
    <w:rsid w:val="536F3627"/>
    <w:rsid w:val="5377735D"/>
    <w:rsid w:val="538633DC"/>
    <w:rsid w:val="53AA7E9F"/>
    <w:rsid w:val="53B06F4F"/>
    <w:rsid w:val="53B86CFB"/>
    <w:rsid w:val="53BF62DB"/>
    <w:rsid w:val="53D8114B"/>
    <w:rsid w:val="53DF7225"/>
    <w:rsid w:val="53E35449"/>
    <w:rsid w:val="53E47AF0"/>
    <w:rsid w:val="53EB3D64"/>
    <w:rsid w:val="540B2749"/>
    <w:rsid w:val="54135596"/>
    <w:rsid w:val="54146D1E"/>
    <w:rsid w:val="542B0CCC"/>
    <w:rsid w:val="542E1A8F"/>
    <w:rsid w:val="543336FB"/>
    <w:rsid w:val="543D5495"/>
    <w:rsid w:val="54420CBA"/>
    <w:rsid w:val="545F361A"/>
    <w:rsid w:val="54691FF5"/>
    <w:rsid w:val="546A28A5"/>
    <w:rsid w:val="54AC1CEF"/>
    <w:rsid w:val="54B113F5"/>
    <w:rsid w:val="54B83747"/>
    <w:rsid w:val="54BF3A61"/>
    <w:rsid w:val="54C83448"/>
    <w:rsid w:val="54CE1ACB"/>
    <w:rsid w:val="54D538DD"/>
    <w:rsid w:val="54DB7D06"/>
    <w:rsid w:val="54E21B92"/>
    <w:rsid w:val="54F860F5"/>
    <w:rsid w:val="54F9581D"/>
    <w:rsid w:val="550C405D"/>
    <w:rsid w:val="55282773"/>
    <w:rsid w:val="55286102"/>
    <w:rsid w:val="55462A67"/>
    <w:rsid w:val="55696483"/>
    <w:rsid w:val="55711857"/>
    <w:rsid w:val="557972B2"/>
    <w:rsid w:val="557A69AF"/>
    <w:rsid w:val="5594590A"/>
    <w:rsid w:val="55B44482"/>
    <w:rsid w:val="55B6393A"/>
    <w:rsid w:val="55C81B17"/>
    <w:rsid w:val="55D65B5E"/>
    <w:rsid w:val="55D77493"/>
    <w:rsid w:val="55F55AEB"/>
    <w:rsid w:val="55FC2B65"/>
    <w:rsid w:val="56071A85"/>
    <w:rsid w:val="560D1C1B"/>
    <w:rsid w:val="5628260B"/>
    <w:rsid w:val="562D399B"/>
    <w:rsid w:val="563B6A16"/>
    <w:rsid w:val="56425245"/>
    <w:rsid w:val="566A00AD"/>
    <w:rsid w:val="56896EAE"/>
    <w:rsid w:val="569C778E"/>
    <w:rsid w:val="56A85C0D"/>
    <w:rsid w:val="56B40A7B"/>
    <w:rsid w:val="56B4491E"/>
    <w:rsid w:val="56CE2C30"/>
    <w:rsid w:val="56D416DB"/>
    <w:rsid w:val="56FF743B"/>
    <w:rsid w:val="570D4CC2"/>
    <w:rsid w:val="570E05AB"/>
    <w:rsid w:val="571B2A1B"/>
    <w:rsid w:val="572A7B83"/>
    <w:rsid w:val="5742100F"/>
    <w:rsid w:val="574B7E86"/>
    <w:rsid w:val="575431DF"/>
    <w:rsid w:val="5761313A"/>
    <w:rsid w:val="576218EE"/>
    <w:rsid w:val="576D478E"/>
    <w:rsid w:val="576F0FAE"/>
    <w:rsid w:val="578A4E52"/>
    <w:rsid w:val="57D63BF4"/>
    <w:rsid w:val="57F30C49"/>
    <w:rsid w:val="57F370A5"/>
    <w:rsid w:val="57FE6E10"/>
    <w:rsid w:val="58051D15"/>
    <w:rsid w:val="581757C9"/>
    <w:rsid w:val="58303F2C"/>
    <w:rsid w:val="583D4AD8"/>
    <w:rsid w:val="58535651"/>
    <w:rsid w:val="586638C7"/>
    <w:rsid w:val="586971CE"/>
    <w:rsid w:val="587F6039"/>
    <w:rsid w:val="588F0E3B"/>
    <w:rsid w:val="589D44DF"/>
    <w:rsid w:val="58B57A05"/>
    <w:rsid w:val="58B679CE"/>
    <w:rsid w:val="58D85079"/>
    <w:rsid w:val="58EB5941"/>
    <w:rsid w:val="59097530"/>
    <w:rsid w:val="59367168"/>
    <w:rsid w:val="593B2F69"/>
    <w:rsid w:val="59486E82"/>
    <w:rsid w:val="594E33E0"/>
    <w:rsid w:val="59507597"/>
    <w:rsid w:val="595F38C7"/>
    <w:rsid w:val="596A4D51"/>
    <w:rsid w:val="597926EB"/>
    <w:rsid w:val="59851E6A"/>
    <w:rsid w:val="5987789B"/>
    <w:rsid w:val="598C4EB2"/>
    <w:rsid w:val="59AD1760"/>
    <w:rsid w:val="59BA3C32"/>
    <w:rsid w:val="59BD4703"/>
    <w:rsid w:val="59C04B5B"/>
    <w:rsid w:val="59C161BA"/>
    <w:rsid w:val="59D269F8"/>
    <w:rsid w:val="59DA3A49"/>
    <w:rsid w:val="59E3084A"/>
    <w:rsid w:val="59E3585E"/>
    <w:rsid w:val="59E7033A"/>
    <w:rsid w:val="59F63D1F"/>
    <w:rsid w:val="5A167004"/>
    <w:rsid w:val="5A1D165D"/>
    <w:rsid w:val="5A272C44"/>
    <w:rsid w:val="5A2A6479"/>
    <w:rsid w:val="5A2C422F"/>
    <w:rsid w:val="5A33009A"/>
    <w:rsid w:val="5A6518A6"/>
    <w:rsid w:val="5A7152D2"/>
    <w:rsid w:val="5A7266CF"/>
    <w:rsid w:val="5A7A0667"/>
    <w:rsid w:val="5A853DCE"/>
    <w:rsid w:val="5A9164F8"/>
    <w:rsid w:val="5AA3160B"/>
    <w:rsid w:val="5AA32457"/>
    <w:rsid w:val="5AA44D16"/>
    <w:rsid w:val="5AB43874"/>
    <w:rsid w:val="5AC127ED"/>
    <w:rsid w:val="5AEB2EA1"/>
    <w:rsid w:val="5AF00476"/>
    <w:rsid w:val="5AF93789"/>
    <w:rsid w:val="5B013F5E"/>
    <w:rsid w:val="5B0E2494"/>
    <w:rsid w:val="5B100C05"/>
    <w:rsid w:val="5B2E0048"/>
    <w:rsid w:val="5B2E3D47"/>
    <w:rsid w:val="5B496984"/>
    <w:rsid w:val="5B741AC3"/>
    <w:rsid w:val="5B786988"/>
    <w:rsid w:val="5B8A4EFD"/>
    <w:rsid w:val="5BC36B85"/>
    <w:rsid w:val="5BFA30A6"/>
    <w:rsid w:val="5C075671"/>
    <w:rsid w:val="5C18501B"/>
    <w:rsid w:val="5C1D6162"/>
    <w:rsid w:val="5C4A2E02"/>
    <w:rsid w:val="5C561E66"/>
    <w:rsid w:val="5C694499"/>
    <w:rsid w:val="5C6B3F88"/>
    <w:rsid w:val="5C7C08FA"/>
    <w:rsid w:val="5C887DA2"/>
    <w:rsid w:val="5C950160"/>
    <w:rsid w:val="5CAC0F13"/>
    <w:rsid w:val="5CB55EEB"/>
    <w:rsid w:val="5CB65AD3"/>
    <w:rsid w:val="5CC73CA3"/>
    <w:rsid w:val="5CD219F9"/>
    <w:rsid w:val="5CD30147"/>
    <w:rsid w:val="5CD54FB9"/>
    <w:rsid w:val="5CE24D2A"/>
    <w:rsid w:val="5D121A3A"/>
    <w:rsid w:val="5D2D0892"/>
    <w:rsid w:val="5D33359C"/>
    <w:rsid w:val="5D39124A"/>
    <w:rsid w:val="5D4810F0"/>
    <w:rsid w:val="5D875A32"/>
    <w:rsid w:val="5D904EC5"/>
    <w:rsid w:val="5DA26AA2"/>
    <w:rsid w:val="5DA327CA"/>
    <w:rsid w:val="5DA62075"/>
    <w:rsid w:val="5DB6631B"/>
    <w:rsid w:val="5DC64402"/>
    <w:rsid w:val="5DCD5CF5"/>
    <w:rsid w:val="5DD44C43"/>
    <w:rsid w:val="5DE52508"/>
    <w:rsid w:val="5DE83505"/>
    <w:rsid w:val="5DE94334"/>
    <w:rsid w:val="5DF63CD3"/>
    <w:rsid w:val="5E1D7128"/>
    <w:rsid w:val="5E2C229D"/>
    <w:rsid w:val="5E363CC0"/>
    <w:rsid w:val="5E38278A"/>
    <w:rsid w:val="5E3A0BC3"/>
    <w:rsid w:val="5E4905B8"/>
    <w:rsid w:val="5E4B7FB9"/>
    <w:rsid w:val="5E60690D"/>
    <w:rsid w:val="5E794778"/>
    <w:rsid w:val="5E914D18"/>
    <w:rsid w:val="5ECF6C61"/>
    <w:rsid w:val="5EF552A7"/>
    <w:rsid w:val="5EFC472E"/>
    <w:rsid w:val="5F047298"/>
    <w:rsid w:val="5F316D5E"/>
    <w:rsid w:val="5F490BEC"/>
    <w:rsid w:val="5F605031"/>
    <w:rsid w:val="5F673415"/>
    <w:rsid w:val="5F6F0285"/>
    <w:rsid w:val="5F781A34"/>
    <w:rsid w:val="5F841E36"/>
    <w:rsid w:val="5F861A70"/>
    <w:rsid w:val="5F883E7F"/>
    <w:rsid w:val="5F902D6A"/>
    <w:rsid w:val="5F913A41"/>
    <w:rsid w:val="5FB55BCB"/>
    <w:rsid w:val="5FB7253E"/>
    <w:rsid w:val="5FD90B17"/>
    <w:rsid w:val="5FEA4C14"/>
    <w:rsid w:val="5FF46D52"/>
    <w:rsid w:val="5FFF2CA0"/>
    <w:rsid w:val="600318E9"/>
    <w:rsid w:val="60041939"/>
    <w:rsid w:val="6008706E"/>
    <w:rsid w:val="60090E82"/>
    <w:rsid w:val="60140D70"/>
    <w:rsid w:val="60255718"/>
    <w:rsid w:val="60407E37"/>
    <w:rsid w:val="60421C6F"/>
    <w:rsid w:val="6071377F"/>
    <w:rsid w:val="60716BAF"/>
    <w:rsid w:val="60771CEC"/>
    <w:rsid w:val="608E3AF2"/>
    <w:rsid w:val="609A59BB"/>
    <w:rsid w:val="60A36E4E"/>
    <w:rsid w:val="60A4234F"/>
    <w:rsid w:val="60C03693"/>
    <w:rsid w:val="60C85DBE"/>
    <w:rsid w:val="60C90A59"/>
    <w:rsid w:val="60CD4808"/>
    <w:rsid w:val="60DD4126"/>
    <w:rsid w:val="60E732E5"/>
    <w:rsid w:val="61083E26"/>
    <w:rsid w:val="610B0DB2"/>
    <w:rsid w:val="610D4205"/>
    <w:rsid w:val="610E3978"/>
    <w:rsid w:val="612401DE"/>
    <w:rsid w:val="61283C7C"/>
    <w:rsid w:val="612A0032"/>
    <w:rsid w:val="615D24C4"/>
    <w:rsid w:val="61687490"/>
    <w:rsid w:val="616A7B73"/>
    <w:rsid w:val="618E45ED"/>
    <w:rsid w:val="61927F1F"/>
    <w:rsid w:val="619C6335"/>
    <w:rsid w:val="61E734D8"/>
    <w:rsid w:val="61EE7307"/>
    <w:rsid w:val="61F31470"/>
    <w:rsid w:val="62031A89"/>
    <w:rsid w:val="620D6CE1"/>
    <w:rsid w:val="620F4CFC"/>
    <w:rsid w:val="621546F4"/>
    <w:rsid w:val="6239507B"/>
    <w:rsid w:val="624D3F67"/>
    <w:rsid w:val="625177F7"/>
    <w:rsid w:val="62600C89"/>
    <w:rsid w:val="627119D2"/>
    <w:rsid w:val="628C3EBA"/>
    <w:rsid w:val="628E1C9B"/>
    <w:rsid w:val="62905239"/>
    <w:rsid w:val="629E7CB8"/>
    <w:rsid w:val="62A92EDE"/>
    <w:rsid w:val="62B8444F"/>
    <w:rsid w:val="62BA0BF8"/>
    <w:rsid w:val="62E13FA0"/>
    <w:rsid w:val="62E16575"/>
    <w:rsid w:val="62F85366"/>
    <w:rsid w:val="62FA28EA"/>
    <w:rsid w:val="630B4623"/>
    <w:rsid w:val="631F166E"/>
    <w:rsid w:val="6336626A"/>
    <w:rsid w:val="63483CB9"/>
    <w:rsid w:val="63760033"/>
    <w:rsid w:val="63781EAB"/>
    <w:rsid w:val="63992714"/>
    <w:rsid w:val="639B23CF"/>
    <w:rsid w:val="63A151D2"/>
    <w:rsid w:val="63BF12BC"/>
    <w:rsid w:val="63D47B81"/>
    <w:rsid w:val="63E44935"/>
    <w:rsid w:val="63F41F75"/>
    <w:rsid w:val="63F43D7F"/>
    <w:rsid w:val="640D3E11"/>
    <w:rsid w:val="64291364"/>
    <w:rsid w:val="64302F5C"/>
    <w:rsid w:val="643836A9"/>
    <w:rsid w:val="644D24A1"/>
    <w:rsid w:val="64542A70"/>
    <w:rsid w:val="64561BAF"/>
    <w:rsid w:val="64775488"/>
    <w:rsid w:val="649D0B4A"/>
    <w:rsid w:val="64B91308"/>
    <w:rsid w:val="64D140C0"/>
    <w:rsid w:val="64D87A63"/>
    <w:rsid w:val="64DB0A9B"/>
    <w:rsid w:val="64F6663B"/>
    <w:rsid w:val="64F93B19"/>
    <w:rsid w:val="65064B7F"/>
    <w:rsid w:val="650A75D2"/>
    <w:rsid w:val="6514334D"/>
    <w:rsid w:val="651A5A67"/>
    <w:rsid w:val="653F799B"/>
    <w:rsid w:val="655842F3"/>
    <w:rsid w:val="65896300"/>
    <w:rsid w:val="659717A7"/>
    <w:rsid w:val="65984656"/>
    <w:rsid w:val="659E5FAD"/>
    <w:rsid w:val="65A3006B"/>
    <w:rsid w:val="65A86515"/>
    <w:rsid w:val="65BC68BF"/>
    <w:rsid w:val="65C3305D"/>
    <w:rsid w:val="65C50098"/>
    <w:rsid w:val="65DB799A"/>
    <w:rsid w:val="65DC49B5"/>
    <w:rsid w:val="65E85CB1"/>
    <w:rsid w:val="65F04A1A"/>
    <w:rsid w:val="66076369"/>
    <w:rsid w:val="661B6F3C"/>
    <w:rsid w:val="66273CAC"/>
    <w:rsid w:val="662B57A4"/>
    <w:rsid w:val="66465D2D"/>
    <w:rsid w:val="664A1D6B"/>
    <w:rsid w:val="665C36FE"/>
    <w:rsid w:val="669A1B9B"/>
    <w:rsid w:val="669C16BE"/>
    <w:rsid w:val="66A3454B"/>
    <w:rsid w:val="66B53E9C"/>
    <w:rsid w:val="66DC4887"/>
    <w:rsid w:val="66F57DCC"/>
    <w:rsid w:val="66F83C76"/>
    <w:rsid w:val="670267B3"/>
    <w:rsid w:val="67104E99"/>
    <w:rsid w:val="67270FEB"/>
    <w:rsid w:val="67275C72"/>
    <w:rsid w:val="672C51DB"/>
    <w:rsid w:val="67323D93"/>
    <w:rsid w:val="673F79F1"/>
    <w:rsid w:val="67421872"/>
    <w:rsid w:val="674D45AF"/>
    <w:rsid w:val="676034DA"/>
    <w:rsid w:val="676072E5"/>
    <w:rsid w:val="677413C0"/>
    <w:rsid w:val="677F35CD"/>
    <w:rsid w:val="678F3DBF"/>
    <w:rsid w:val="679B017F"/>
    <w:rsid w:val="67AC3ECD"/>
    <w:rsid w:val="67B42064"/>
    <w:rsid w:val="67BE2FFD"/>
    <w:rsid w:val="67C25F42"/>
    <w:rsid w:val="67E2406C"/>
    <w:rsid w:val="67E33DF7"/>
    <w:rsid w:val="67E56EF3"/>
    <w:rsid w:val="67F87BB6"/>
    <w:rsid w:val="680103BA"/>
    <w:rsid w:val="68017AF1"/>
    <w:rsid w:val="680443F1"/>
    <w:rsid w:val="680635FA"/>
    <w:rsid w:val="680B54D5"/>
    <w:rsid w:val="68120273"/>
    <w:rsid w:val="681B7D03"/>
    <w:rsid w:val="68217682"/>
    <w:rsid w:val="682E071E"/>
    <w:rsid w:val="682F3871"/>
    <w:rsid w:val="683257DC"/>
    <w:rsid w:val="683B5501"/>
    <w:rsid w:val="683E3FD1"/>
    <w:rsid w:val="684D42A1"/>
    <w:rsid w:val="68735301"/>
    <w:rsid w:val="6873723D"/>
    <w:rsid w:val="687436E1"/>
    <w:rsid w:val="688A69E5"/>
    <w:rsid w:val="68916ADB"/>
    <w:rsid w:val="6899729E"/>
    <w:rsid w:val="68CB7079"/>
    <w:rsid w:val="68D335BA"/>
    <w:rsid w:val="68FA07D5"/>
    <w:rsid w:val="68FC438E"/>
    <w:rsid w:val="69006D22"/>
    <w:rsid w:val="69207B12"/>
    <w:rsid w:val="69325EB2"/>
    <w:rsid w:val="694430CC"/>
    <w:rsid w:val="69473755"/>
    <w:rsid w:val="695C1F25"/>
    <w:rsid w:val="695D6733"/>
    <w:rsid w:val="696518D8"/>
    <w:rsid w:val="696D5E86"/>
    <w:rsid w:val="698239E9"/>
    <w:rsid w:val="6984688D"/>
    <w:rsid w:val="69855F95"/>
    <w:rsid w:val="699D0A15"/>
    <w:rsid w:val="69B3412D"/>
    <w:rsid w:val="69D501AF"/>
    <w:rsid w:val="69D91521"/>
    <w:rsid w:val="69DA3ABA"/>
    <w:rsid w:val="69F3299D"/>
    <w:rsid w:val="6A0A2DAF"/>
    <w:rsid w:val="6A1311F3"/>
    <w:rsid w:val="6A1E42A3"/>
    <w:rsid w:val="6A25275F"/>
    <w:rsid w:val="6A2C6BCD"/>
    <w:rsid w:val="6A2E54FB"/>
    <w:rsid w:val="6A314C86"/>
    <w:rsid w:val="6A461CEE"/>
    <w:rsid w:val="6A493484"/>
    <w:rsid w:val="6A5C4651"/>
    <w:rsid w:val="6A5F343C"/>
    <w:rsid w:val="6A607497"/>
    <w:rsid w:val="6A6C14B3"/>
    <w:rsid w:val="6A9F6B82"/>
    <w:rsid w:val="6AB51E1B"/>
    <w:rsid w:val="6AB875E3"/>
    <w:rsid w:val="6AE65AE8"/>
    <w:rsid w:val="6AFC1780"/>
    <w:rsid w:val="6B0A6DCB"/>
    <w:rsid w:val="6B2B1095"/>
    <w:rsid w:val="6B6C47C7"/>
    <w:rsid w:val="6B8579B3"/>
    <w:rsid w:val="6B8754D9"/>
    <w:rsid w:val="6B8E6EC0"/>
    <w:rsid w:val="6BA5530E"/>
    <w:rsid w:val="6BB46A94"/>
    <w:rsid w:val="6BCD5478"/>
    <w:rsid w:val="6BD41A44"/>
    <w:rsid w:val="6BE1162F"/>
    <w:rsid w:val="6BF13CD2"/>
    <w:rsid w:val="6BF31BCB"/>
    <w:rsid w:val="6BFC50BB"/>
    <w:rsid w:val="6BFE7473"/>
    <w:rsid w:val="6C1873BF"/>
    <w:rsid w:val="6C1D026B"/>
    <w:rsid w:val="6C2B055A"/>
    <w:rsid w:val="6C376888"/>
    <w:rsid w:val="6C395703"/>
    <w:rsid w:val="6C4E30B1"/>
    <w:rsid w:val="6C4F7584"/>
    <w:rsid w:val="6C614CDA"/>
    <w:rsid w:val="6C7B7393"/>
    <w:rsid w:val="6C7D3646"/>
    <w:rsid w:val="6C8204FA"/>
    <w:rsid w:val="6C8A4BC2"/>
    <w:rsid w:val="6CB31203"/>
    <w:rsid w:val="6CCD33BF"/>
    <w:rsid w:val="6CD30C48"/>
    <w:rsid w:val="6CD75FEC"/>
    <w:rsid w:val="6CF523F3"/>
    <w:rsid w:val="6D2A2CA5"/>
    <w:rsid w:val="6D3A0192"/>
    <w:rsid w:val="6D3B21C6"/>
    <w:rsid w:val="6D473E48"/>
    <w:rsid w:val="6D592EA5"/>
    <w:rsid w:val="6D65184A"/>
    <w:rsid w:val="6D884435"/>
    <w:rsid w:val="6DAB76AC"/>
    <w:rsid w:val="6DEB2DBA"/>
    <w:rsid w:val="6E041063"/>
    <w:rsid w:val="6E0D2763"/>
    <w:rsid w:val="6E195F76"/>
    <w:rsid w:val="6E4E3E68"/>
    <w:rsid w:val="6E5A1993"/>
    <w:rsid w:val="6E5B32E9"/>
    <w:rsid w:val="6E62021E"/>
    <w:rsid w:val="6ED954DF"/>
    <w:rsid w:val="6EE202D1"/>
    <w:rsid w:val="6EEF3031"/>
    <w:rsid w:val="6EF30D21"/>
    <w:rsid w:val="6EFC29F3"/>
    <w:rsid w:val="6EFF182A"/>
    <w:rsid w:val="6EFF6855"/>
    <w:rsid w:val="6F032EAD"/>
    <w:rsid w:val="6F040880"/>
    <w:rsid w:val="6F132006"/>
    <w:rsid w:val="6F286FD3"/>
    <w:rsid w:val="6F4E300D"/>
    <w:rsid w:val="6F572DF1"/>
    <w:rsid w:val="6F6B6069"/>
    <w:rsid w:val="6F6F4D52"/>
    <w:rsid w:val="6F7021DE"/>
    <w:rsid w:val="6F7B4E79"/>
    <w:rsid w:val="6FB3263C"/>
    <w:rsid w:val="6FCF4290"/>
    <w:rsid w:val="6FD06C0E"/>
    <w:rsid w:val="6FD7796C"/>
    <w:rsid w:val="6FEA4536"/>
    <w:rsid w:val="70067BE4"/>
    <w:rsid w:val="7013090D"/>
    <w:rsid w:val="70225A06"/>
    <w:rsid w:val="70273A49"/>
    <w:rsid w:val="703852C9"/>
    <w:rsid w:val="7040659E"/>
    <w:rsid w:val="70612300"/>
    <w:rsid w:val="7091065D"/>
    <w:rsid w:val="70971627"/>
    <w:rsid w:val="709B2BE5"/>
    <w:rsid w:val="70A739A2"/>
    <w:rsid w:val="70C328BF"/>
    <w:rsid w:val="70C40F7D"/>
    <w:rsid w:val="70CA7EEF"/>
    <w:rsid w:val="70CB454F"/>
    <w:rsid w:val="70D16F53"/>
    <w:rsid w:val="70E47CF6"/>
    <w:rsid w:val="70EB149B"/>
    <w:rsid w:val="712832BA"/>
    <w:rsid w:val="712D6B22"/>
    <w:rsid w:val="71446F48"/>
    <w:rsid w:val="71560100"/>
    <w:rsid w:val="715F2711"/>
    <w:rsid w:val="71636F54"/>
    <w:rsid w:val="716A37EB"/>
    <w:rsid w:val="716D6EF7"/>
    <w:rsid w:val="71864485"/>
    <w:rsid w:val="71A054A3"/>
    <w:rsid w:val="71B22ECF"/>
    <w:rsid w:val="71E85B9D"/>
    <w:rsid w:val="71EC6370"/>
    <w:rsid w:val="720366A0"/>
    <w:rsid w:val="722241AD"/>
    <w:rsid w:val="72270EC3"/>
    <w:rsid w:val="72395053"/>
    <w:rsid w:val="723A2045"/>
    <w:rsid w:val="724C4D96"/>
    <w:rsid w:val="727E07C1"/>
    <w:rsid w:val="729D342B"/>
    <w:rsid w:val="72A025A7"/>
    <w:rsid w:val="72A90780"/>
    <w:rsid w:val="72AB7D1B"/>
    <w:rsid w:val="72D21F7D"/>
    <w:rsid w:val="72E70D52"/>
    <w:rsid w:val="731A35C4"/>
    <w:rsid w:val="731D62C9"/>
    <w:rsid w:val="73215C7D"/>
    <w:rsid w:val="734309EC"/>
    <w:rsid w:val="7354228F"/>
    <w:rsid w:val="735A5D20"/>
    <w:rsid w:val="735D2FC3"/>
    <w:rsid w:val="73653B44"/>
    <w:rsid w:val="7372472C"/>
    <w:rsid w:val="737C12EE"/>
    <w:rsid w:val="73867BD2"/>
    <w:rsid w:val="7395275D"/>
    <w:rsid w:val="73A10AEA"/>
    <w:rsid w:val="73BE16BA"/>
    <w:rsid w:val="73D31FC9"/>
    <w:rsid w:val="73D919FC"/>
    <w:rsid w:val="73E256A2"/>
    <w:rsid w:val="73F266C1"/>
    <w:rsid w:val="73FE47A6"/>
    <w:rsid w:val="7409659E"/>
    <w:rsid w:val="741B6E56"/>
    <w:rsid w:val="741D7CFD"/>
    <w:rsid w:val="74332C19"/>
    <w:rsid w:val="743615E7"/>
    <w:rsid w:val="743B50B2"/>
    <w:rsid w:val="743E0C09"/>
    <w:rsid w:val="7443349F"/>
    <w:rsid w:val="74490FEA"/>
    <w:rsid w:val="7478287A"/>
    <w:rsid w:val="749471CE"/>
    <w:rsid w:val="74973EE6"/>
    <w:rsid w:val="749C5FA8"/>
    <w:rsid w:val="74AB6068"/>
    <w:rsid w:val="74AB766D"/>
    <w:rsid w:val="74B01D8B"/>
    <w:rsid w:val="74B20C8E"/>
    <w:rsid w:val="74B256B4"/>
    <w:rsid w:val="74D6302D"/>
    <w:rsid w:val="74FA3F82"/>
    <w:rsid w:val="74FB2A94"/>
    <w:rsid w:val="75063DA9"/>
    <w:rsid w:val="75181898"/>
    <w:rsid w:val="751F38D5"/>
    <w:rsid w:val="753136E7"/>
    <w:rsid w:val="754D7FC3"/>
    <w:rsid w:val="755221E5"/>
    <w:rsid w:val="756A2EF2"/>
    <w:rsid w:val="757B0E3A"/>
    <w:rsid w:val="75BD2847"/>
    <w:rsid w:val="75C260BC"/>
    <w:rsid w:val="75C7670A"/>
    <w:rsid w:val="75D36132"/>
    <w:rsid w:val="75D36D67"/>
    <w:rsid w:val="75E90E00"/>
    <w:rsid w:val="75F8279B"/>
    <w:rsid w:val="76031347"/>
    <w:rsid w:val="76056334"/>
    <w:rsid w:val="762016F1"/>
    <w:rsid w:val="762D2114"/>
    <w:rsid w:val="76315C42"/>
    <w:rsid w:val="763952CF"/>
    <w:rsid w:val="76424E1E"/>
    <w:rsid w:val="764A5ACF"/>
    <w:rsid w:val="76515061"/>
    <w:rsid w:val="765D3B8B"/>
    <w:rsid w:val="7665609A"/>
    <w:rsid w:val="767A63A9"/>
    <w:rsid w:val="76804E9D"/>
    <w:rsid w:val="768A37E6"/>
    <w:rsid w:val="768D6FDE"/>
    <w:rsid w:val="76944ACB"/>
    <w:rsid w:val="7697655E"/>
    <w:rsid w:val="769F1D91"/>
    <w:rsid w:val="769F5D9A"/>
    <w:rsid w:val="76AB6DE1"/>
    <w:rsid w:val="76B25D27"/>
    <w:rsid w:val="76D33BB0"/>
    <w:rsid w:val="76D95A12"/>
    <w:rsid w:val="76DC5B7A"/>
    <w:rsid w:val="76E57D88"/>
    <w:rsid w:val="77071BC4"/>
    <w:rsid w:val="77184DEE"/>
    <w:rsid w:val="771B3C66"/>
    <w:rsid w:val="77323B53"/>
    <w:rsid w:val="77416599"/>
    <w:rsid w:val="774D4D40"/>
    <w:rsid w:val="77550B81"/>
    <w:rsid w:val="77556389"/>
    <w:rsid w:val="775D19FB"/>
    <w:rsid w:val="77730473"/>
    <w:rsid w:val="77793A78"/>
    <w:rsid w:val="77865552"/>
    <w:rsid w:val="77A409A1"/>
    <w:rsid w:val="77A53922"/>
    <w:rsid w:val="77CB1205"/>
    <w:rsid w:val="77E206B8"/>
    <w:rsid w:val="77EE7673"/>
    <w:rsid w:val="77F31337"/>
    <w:rsid w:val="77F343CE"/>
    <w:rsid w:val="781B7D7F"/>
    <w:rsid w:val="78341AC1"/>
    <w:rsid w:val="78342FAB"/>
    <w:rsid w:val="784C7A97"/>
    <w:rsid w:val="785B05DA"/>
    <w:rsid w:val="78625FD0"/>
    <w:rsid w:val="78B01AD3"/>
    <w:rsid w:val="78D56449"/>
    <w:rsid w:val="78D83678"/>
    <w:rsid w:val="78DD2BDC"/>
    <w:rsid w:val="78F16A6D"/>
    <w:rsid w:val="78F87470"/>
    <w:rsid w:val="790F7EFC"/>
    <w:rsid w:val="791E0CEE"/>
    <w:rsid w:val="79324545"/>
    <w:rsid w:val="793B7903"/>
    <w:rsid w:val="794D126A"/>
    <w:rsid w:val="794E0A95"/>
    <w:rsid w:val="79825428"/>
    <w:rsid w:val="79876FEC"/>
    <w:rsid w:val="79AB3BA5"/>
    <w:rsid w:val="79BD2A3C"/>
    <w:rsid w:val="79D15552"/>
    <w:rsid w:val="79D408E2"/>
    <w:rsid w:val="79E823FF"/>
    <w:rsid w:val="79ED2596"/>
    <w:rsid w:val="79FF6A5B"/>
    <w:rsid w:val="7A060F29"/>
    <w:rsid w:val="7A0D772E"/>
    <w:rsid w:val="7A1545F8"/>
    <w:rsid w:val="7A1A7507"/>
    <w:rsid w:val="7A295D5F"/>
    <w:rsid w:val="7A3A5E0C"/>
    <w:rsid w:val="7A413367"/>
    <w:rsid w:val="7A4C198A"/>
    <w:rsid w:val="7A5F5442"/>
    <w:rsid w:val="7A7079E0"/>
    <w:rsid w:val="7A724105"/>
    <w:rsid w:val="7A9419C0"/>
    <w:rsid w:val="7A9C2241"/>
    <w:rsid w:val="7AC92404"/>
    <w:rsid w:val="7ACD42BF"/>
    <w:rsid w:val="7ADA03F0"/>
    <w:rsid w:val="7AE528A2"/>
    <w:rsid w:val="7AF67F85"/>
    <w:rsid w:val="7AFC3CFC"/>
    <w:rsid w:val="7B18614D"/>
    <w:rsid w:val="7B1E0D4F"/>
    <w:rsid w:val="7B263453"/>
    <w:rsid w:val="7B272BE2"/>
    <w:rsid w:val="7B306E76"/>
    <w:rsid w:val="7B4D6097"/>
    <w:rsid w:val="7B515B18"/>
    <w:rsid w:val="7B530320"/>
    <w:rsid w:val="7B543EF4"/>
    <w:rsid w:val="7B8A06D2"/>
    <w:rsid w:val="7B8C3917"/>
    <w:rsid w:val="7B930A06"/>
    <w:rsid w:val="7BB75966"/>
    <w:rsid w:val="7BC85F2C"/>
    <w:rsid w:val="7BD22224"/>
    <w:rsid w:val="7BD45837"/>
    <w:rsid w:val="7BE222A1"/>
    <w:rsid w:val="7C08154A"/>
    <w:rsid w:val="7C1179FC"/>
    <w:rsid w:val="7C4B2553"/>
    <w:rsid w:val="7C7B1320"/>
    <w:rsid w:val="7CA8598A"/>
    <w:rsid w:val="7CB400F8"/>
    <w:rsid w:val="7CB869FF"/>
    <w:rsid w:val="7CCA39FF"/>
    <w:rsid w:val="7CD746CA"/>
    <w:rsid w:val="7CDC7B83"/>
    <w:rsid w:val="7CE55E7F"/>
    <w:rsid w:val="7D030CD1"/>
    <w:rsid w:val="7D0C1CE2"/>
    <w:rsid w:val="7D2A0296"/>
    <w:rsid w:val="7D2A6AD2"/>
    <w:rsid w:val="7D313E6C"/>
    <w:rsid w:val="7D314FD1"/>
    <w:rsid w:val="7D4E7440"/>
    <w:rsid w:val="7D753C60"/>
    <w:rsid w:val="7D797663"/>
    <w:rsid w:val="7D7C0005"/>
    <w:rsid w:val="7D8939CA"/>
    <w:rsid w:val="7DA94709"/>
    <w:rsid w:val="7DAC5273"/>
    <w:rsid w:val="7DB52379"/>
    <w:rsid w:val="7DE2398E"/>
    <w:rsid w:val="7DEE65BE"/>
    <w:rsid w:val="7DF22338"/>
    <w:rsid w:val="7DF73CC5"/>
    <w:rsid w:val="7DF73D2F"/>
    <w:rsid w:val="7DFB6865"/>
    <w:rsid w:val="7E0603EB"/>
    <w:rsid w:val="7E7516B6"/>
    <w:rsid w:val="7E7B3DD3"/>
    <w:rsid w:val="7E823E1E"/>
    <w:rsid w:val="7E863099"/>
    <w:rsid w:val="7E924469"/>
    <w:rsid w:val="7EB73ECF"/>
    <w:rsid w:val="7EB81DA4"/>
    <w:rsid w:val="7EC23727"/>
    <w:rsid w:val="7EC3035A"/>
    <w:rsid w:val="7EDB5A14"/>
    <w:rsid w:val="7EDD09A7"/>
    <w:rsid w:val="7EDF56BE"/>
    <w:rsid w:val="7EE24DDD"/>
    <w:rsid w:val="7EE81AAF"/>
    <w:rsid w:val="7EED6FB2"/>
    <w:rsid w:val="7EFF47CC"/>
    <w:rsid w:val="7F125CD3"/>
    <w:rsid w:val="7F3305D5"/>
    <w:rsid w:val="7F3517ED"/>
    <w:rsid w:val="7F397EF3"/>
    <w:rsid w:val="7F4860C3"/>
    <w:rsid w:val="7F777E67"/>
    <w:rsid w:val="7F791C3F"/>
    <w:rsid w:val="7F7A357E"/>
    <w:rsid w:val="7F9C07DA"/>
    <w:rsid w:val="7FA674C2"/>
    <w:rsid w:val="7FAB54FD"/>
    <w:rsid w:val="7FB14C72"/>
    <w:rsid w:val="7FF056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黑体" w:eastAsia="黑体"/>
      <w:sz w:val="30"/>
      <w:szCs w:val="20"/>
    </w:rPr>
  </w:style>
  <w:style w:type="paragraph" w:styleId="4">
    <w:name w:val="heading 2"/>
    <w:basedOn w:val="1"/>
    <w:next w:val="1"/>
    <w:link w:val="57"/>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5">
    <w:name w:val="heading 3"/>
    <w:basedOn w:val="1"/>
    <w:next w:val="1"/>
    <w:link w:val="58"/>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6">
    <w:name w:val="heading 4"/>
    <w:basedOn w:val="1"/>
    <w:next w:val="1"/>
    <w:link w:val="59"/>
    <w:qFormat/>
    <w:uiPriority w:val="0"/>
    <w:pPr>
      <w:keepNext/>
      <w:numPr>
        <w:ilvl w:val="0"/>
        <w:numId w:val="4"/>
      </w:numPr>
      <w:tabs>
        <w:tab w:val="left" w:pos="2715"/>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60"/>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lang w:val="en-US" w:eastAsia="zh-CN" w:bidi="ar-SA"/>
    </w:rPr>
  </w:style>
  <w:style w:type="paragraph" w:styleId="9">
    <w:name w:val="heading 7"/>
    <w:basedOn w:val="1"/>
    <w:next w:val="1"/>
    <w:link w:val="61"/>
    <w:qFormat/>
    <w:uiPriority w:val="0"/>
    <w:pPr>
      <w:keepNext/>
      <w:keepLines/>
      <w:widowControl/>
      <w:tabs>
        <w:tab w:val="left" w:pos="2520"/>
      </w:tabs>
      <w:spacing w:before="240" w:beforeLines="0" w:after="64" w:afterLines="0" w:line="320" w:lineRule="auto"/>
      <w:ind w:left="1296" w:hanging="1296"/>
      <w:jc w:val="left"/>
      <w:outlineLvl w:val="6"/>
    </w:pPr>
    <w:rPr>
      <w:rFonts w:eastAsia="宋体"/>
      <w:b/>
      <w:bCs/>
      <w:sz w:val="24"/>
      <w:szCs w:val="24"/>
      <w:lang w:val="en-US" w:eastAsia="zh-CN" w:bidi="ar-SA"/>
    </w:rPr>
  </w:style>
  <w:style w:type="paragraph" w:styleId="10">
    <w:name w:val="heading 8"/>
    <w:basedOn w:val="1"/>
    <w:next w:val="1"/>
    <w:link w:val="62"/>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sz w:val="24"/>
      <w:szCs w:val="24"/>
      <w:lang w:val="en-US" w:eastAsia="zh-CN" w:bidi="ar-SA"/>
    </w:rPr>
  </w:style>
  <w:style w:type="paragraph" w:styleId="11">
    <w:name w:val="heading 9"/>
    <w:basedOn w:val="1"/>
    <w:next w:val="1"/>
    <w:link w:val="63"/>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Normal Indent"/>
    <w:basedOn w:val="1"/>
    <w:qFormat/>
    <w:uiPriority w:val="0"/>
    <w:pPr>
      <w:ind w:firstLine="420"/>
    </w:pPr>
    <w:rPr>
      <w:szCs w:val="20"/>
    </w:rPr>
  </w:style>
  <w:style w:type="paragraph" w:styleId="13">
    <w:name w:val="Document Map"/>
    <w:basedOn w:val="1"/>
    <w:link w:val="64"/>
    <w:qFormat/>
    <w:uiPriority w:val="0"/>
    <w:pPr>
      <w:shd w:val="clear" w:color="auto" w:fill="000080"/>
    </w:pPr>
    <w:rPr>
      <w:rFonts w:eastAsia="宋体"/>
      <w:kern w:val="2"/>
      <w:sz w:val="21"/>
      <w:szCs w:val="24"/>
      <w:lang w:val="en-US" w:eastAsia="zh-CN" w:bidi="ar-SA"/>
    </w:rPr>
  </w:style>
  <w:style w:type="paragraph" w:styleId="14">
    <w:name w:val="annotation text"/>
    <w:basedOn w:val="1"/>
    <w:link w:val="65"/>
    <w:qFormat/>
    <w:uiPriority w:val="0"/>
    <w:pPr>
      <w:jc w:val="left"/>
    </w:pPr>
    <w:rPr>
      <w:rFonts w:eastAsia="宋体"/>
      <w:kern w:val="2"/>
      <w:sz w:val="21"/>
      <w:szCs w:val="24"/>
      <w:lang w:val="en-US" w:eastAsia="zh-CN" w:bidi="ar-SA"/>
    </w:rPr>
  </w:style>
  <w:style w:type="paragraph" w:styleId="15">
    <w:name w:val="Body Text 3"/>
    <w:basedOn w:val="1"/>
    <w:link w:val="66"/>
    <w:qFormat/>
    <w:uiPriority w:val="0"/>
    <w:rPr>
      <w:rFonts w:ascii="宋体" w:eastAsia="宋体"/>
      <w:color w:val="000000"/>
      <w:kern w:val="2"/>
      <w:sz w:val="32"/>
      <w:lang w:val="en-US" w:eastAsia="zh-CN" w:bidi="ar-SA"/>
    </w:rPr>
  </w:style>
  <w:style w:type="paragraph" w:styleId="16">
    <w:name w:val="Body Text"/>
    <w:basedOn w:val="1"/>
    <w:next w:val="17"/>
    <w:link w:val="67"/>
    <w:qFormat/>
    <w:uiPriority w:val="0"/>
    <w:pPr>
      <w:ind w:right="-84" w:rightChars="-40"/>
      <w:jc w:val="center"/>
    </w:pPr>
    <w:rPr>
      <w:rFonts w:eastAsia="宋体"/>
      <w:kern w:val="2"/>
      <w:sz w:val="21"/>
      <w:szCs w:val="24"/>
      <w:lang w:val="en-US" w:eastAsia="zh-CN" w:bidi="ar-SA"/>
    </w:rPr>
  </w:style>
  <w:style w:type="paragraph" w:customStyle="1" w:styleId="17">
    <w:name w:val="RFI Heading 2nd Level Char"/>
    <w:next w:val="18"/>
    <w:qFormat/>
    <w:uiPriority w:val="0"/>
    <w:pPr>
      <w:widowControl/>
      <w:autoSpaceDE/>
      <w:autoSpaceDN/>
      <w:spacing w:before="240" w:after="240" w:line="240" w:lineRule="auto"/>
      <w:ind w:left="1152" w:hanging="1152"/>
      <w:jc w:val="both"/>
      <w:outlineLvl w:val="1"/>
    </w:pPr>
    <w:rPr>
      <w:rFonts w:ascii="Arial (W1)" w:hAnsi="Times New Roman" w:eastAsia="Times New Roman" w:cs="Times New Roman"/>
      <w:b/>
      <w:color w:val="3366FF"/>
      <w:sz w:val="24"/>
      <w:lang w:val="en-US" w:eastAsia="zh-CN" w:bidi="ar-SA"/>
    </w:rPr>
  </w:style>
  <w:style w:type="paragraph" w:customStyle="1" w:styleId="18">
    <w:name w:val="Normal 0.51"/>
    <w:next w:val="1"/>
    <w:qFormat/>
    <w:uiPriority w:val="0"/>
    <w:pPr>
      <w:widowControl/>
      <w:autoSpaceDE/>
      <w:autoSpaceDN/>
      <w:spacing w:before="180" w:after="120" w:line="240" w:lineRule="auto"/>
      <w:ind w:left="720" w:firstLine="0"/>
      <w:jc w:val="both"/>
    </w:pPr>
    <w:rPr>
      <w:rFonts w:ascii="Times New Roman" w:hAnsi="Times New Roman" w:eastAsia="宋体" w:cs="Times New Roman"/>
      <w:sz w:val="24"/>
      <w:lang w:val="en-US" w:eastAsia="zh-CN" w:bidi="ar-SA"/>
    </w:rPr>
  </w:style>
  <w:style w:type="paragraph" w:styleId="19">
    <w:name w:val="Body Text Indent"/>
    <w:basedOn w:val="1"/>
    <w:link w:val="68"/>
    <w:qFormat/>
    <w:uiPriority w:val="0"/>
    <w:pPr>
      <w:spacing w:line="360" w:lineRule="auto"/>
      <w:ind w:firstLine="480"/>
    </w:pPr>
    <w:rPr>
      <w:rFonts w:ascii="宋体" w:eastAsia="宋体"/>
      <w:kern w:val="2"/>
      <w:sz w:val="24"/>
      <w:szCs w:val="24"/>
      <w:lang w:val="en-US" w:eastAsia="zh-CN" w:bidi="ar-SA"/>
    </w:rPr>
  </w:style>
  <w:style w:type="paragraph" w:styleId="20">
    <w:name w:val="Block Text"/>
    <w:basedOn w:val="1"/>
    <w:qFormat/>
    <w:uiPriority w:val="0"/>
    <w:pPr>
      <w:ind w:left="-78" w:leftChars="-37" w:right="-162" w:rightChars="-77" w:firstLine="78" w:firstLineChars="37"/>
      <w:jc w:val="center"/>
    </w:pPr>
    <w:rPr>
      <w:rFonts w:ascii="宋体" w:hAnsi="宋体"/>
      <w:szCs w:val="21"/>
    </w:rPr>
  </w:style>
  <w:style w:type="paragraph" w:styleId="21">
    <w:name w:val="toc 3"/>
    <w:basedOn w:val="1"/>
    <w:next w:val="1"/>
    <w:qFormat/>
    <w:uiPriority w:val="39"/>
    <w:pPr>
      <w:ind w:left="840" w:leftChars="400"/>
    </w:pPr>
  </w:style>
  <w:style w:type="paragraph" w:styleId="22">
    <w:name w:val="Plain Text"/>
    <w:basedOn w:val="1"/>
    <w:link w:val="69"/>
    <w:qFormat/>
    <w:uiPriority w:val="0"/>
    <w:rPr>
      <w:rFonts w:ascii="宋体" w:hAnsi="Courier New" w:eastAsia="宋体" w:cs="黑体"/>
      <w:sz w:val="21"/>
      <w:szCs w:val="21"/>
      <w:lang w:val="en-US" w:eastAsia="zh-CN" w:bidi="ar-SA"/>
    </w:rPr>
  </w:style>
  <w:style w:type="paragraph" w:styleId="23">
    <w:name w:val="Date"/>
    <w:basedOn w:val="1"/>
    <w:next w:val="1"/>
    <w:qFormat/>
    <w:uiPriority w:val="0"/>
    <w:rPr>
      <w:szCs w:val="20"/>
    </w:rPr>
  </w:style>
  <w:style w:type="paragraph" w:styleId="24">
    <w:name w:val="Body Text Indent 2"/>
    <w:basedOn w:val="1"/>
    <w:qFormat/>
    <w:uiPriority w:val="0"/>
    <w:pPr>
      <w:spacing w:line="360" w:lineRule="auto"/>
      <w:ind w:firstLine="480"/>
    </w:pPr>
    <w:rPr>
      <w:rFonts w:ascii="宋体" w:hAnsi="宋体"/>
      <w:szCs w:val="21"/>
    </w:rPr>
  </w:style>
  <w:style w:type="paragraph" w:styleId="25">
    <w:name w:val="endnote text"/>
    <w:basedOn w:val="1"/>
    <w:link w:val="70"/>
    <w:qFormat/>
    <w:uiPriority w:val="0"/>
    <w:pPr>
      <w:snapToGrid w:val="0"/>
      <w:jc w:val="left"/>
    </w:pPr>
    <w:rPr>
      <w:rFonts w:eastAsia="宋体"/>
      <w:kern w:val="2"/>
      <w:sz w:val="21"/>
      <w:lang w:val="en-US" w:eastAsia="zh-CN" w:bidi="ar-SA"/>
    </w:rPr>
  </w:style>
  <w:style w:type="paragraph" w:styleId="26">
    <w:name w:val="Balloon Text"/>
    <w:basedOn w:val="1"/>
    <w:link w:val="71"/>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7">
    <w:name w:val="footer"/>
    <w:basedOn w:val="1"/>
    <w:next w:val="16"/>
    <w:link w:val="72"/>
    <w:qFormat/>
    <w:uiPriority w:val="99"/>
    <w:pPr>
      <w:tabs>
        <w:tab w:val="center" w:pos="4153"/>
        <w:tab w:val="right" w:pos="8306"/>
      </w:tabs>
      <w:snapToGrid w:val="0"/>
      <w:jc w:val="left"/>
    </w:pPr>
    <w:rPr>
      <w:rFonts w:eastAsia="宋体"/>
      <w:kern w:val="2"/>
      <w:sz w:val="18"/>
      <w:lang w:val="en-US" w:eastAsia="zh-CN" w:bidi="ar-SA"/>
    </w:rPr>
  </w:style>
  <w:style w:type="paragraph" w:styleId="28">
    <w:name w:val="header"/>
    <w:basedOn w:val="1"/>
    <w:link w:val="73"/>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9">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30">
    <w:name w:val="footnote text"/>
    <w:basedOn w:val="1"/>
    <w:link w:val="74"/>
    <w:qFormat/>
    <w:uiPriority w:val="0"/>
    <w:pPr>
      <w:snapToGrid w:val="0"/>
      <w:jc w:val="left"/>
    </w:pPr>
    <w:rPr>
      <w:rFonts w:eastAsia="宋体"/>
      <w:kern w:val="2"/>
      <w:sz w:val="18"/>
      <w:lang w:val="en-US" w:eastAsia="zh-CN" w:bidi="ar-SA"/>
    </w:rPr>
  </w:style>
  <w:style w:type="paragraph" w:styleId="31">
    <w:name w:val="Body Text Indent 3"/>
    <w:basedOn w:val="1"/>
    <w:link w:val="75"/>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2">
    <w:name w:val="toc 2"/>
    <w:basedOn w:val="1"/>
    <w:next w:val="1"/>
    <w:qFormat/>
    <w:uiPriority w:val="39"/>
    <w:pPr>
      <w:ind w:left="420" w:leftChars="200"/>
    </w:pPr>
  </w:style>
  <w:style w:type="paragraph" w:styleId="33">
    <w:name w:val="Body Text 2"/>
    <w:basedOn w:val="1"/>
    <w:link w:val="76"/>
    <w:qFormat/>
    <w:uiPriority w:val="0"/>
    <w:rPr>
      <w:rFonts w:ascii="宋体" w:eastAsia="宋体"/>
      <w:kern w:val="2"/>
      <w:sz w:val="28"/>
      <w:lang w:val="en-US" w:eastAsia="zh-CN" w:bidi="ar-SA"/>
    </w:rPr>
  </w:style>
  <w:style w:type="paragraph" w:styleId="3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link w:val="77"/>
    <w:qFormat/>
    <w:uiPriority w:val="0"/>
    <w:pPr>
      <w:adjustRightInd w:val="0"/>
      <w:spacing w:before="240" w:beforeLines="0" w:after="60" w:afterLines="0" w:line="420" w:lineRule="atLeast"/>
      <w:jc w:val="center"/>
      <w:textAlignment w:val="baseline"/>
      <w:outlineLvl w:val="0"/>
    </w:pPr>
    <w:rPr>
      <w:rFonts w:ascii="Arial" w:hAnsi="Arial" w:eastAsia="宋体"/>
      <w:b/>
      <w:sz w:val="32"/>
      <w:lang w:val="en-US" w:eastAsia="zh-CN" w:bidi="ar-SA"/>
    </w:rPr>
  </w:style>
  <w:style w:type="paragraph" w:styleId="37">
    <w:name w:val="annotation subject"/>
    <w:basedOn w:val="14"/>
    <w:next w:val="14"/>
    <w:qFormat/>
    <w:uiPriority w:val="0"/>
    <w:rPr>
      <w:b/>
      <w:bCs/>
    </w:rPr>
  </w:style>
  <w:style w:type="paragraph" w:styleId="38">
    <w:name w:val="Body Text First Indent"/>
    <w:basedOn w:val="16"/>
    <w:qFormat/>
    <w:uiPriority w:val="0"/>
    <w:pPr>
      <w:spacing w:after="120" w:afterLines="0"/>
      <w:ind w:right="0" w:rightChars="0" w:firstLine="420" w:firstLineChars="100"/>
      <w:jc w:val="both"/>
    </w:pPr>
    <w:rPr>
      <w:szCs w:val="20"/>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non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style>
  <w:style w:type="character" w:styleId="50">
    <w:name w:val="Hyperlink"/>
    <w:basedOn w:val="41"/>
    <w:qFormat/>
    <w:uiPriority w:val="99"/>
    <w:rPr>
      <w:color w:val="0000FF"/>
      <w:u w:val="none"/>
    </w:rPr>
  </w:style>
  <w:style w:type="character" w:styleId="51">
    <w:name w:val="HTML Code"/>
    <w:basedOn w:val="41"/>
    <w:qFormat/>
    <w:uiPriority w:val="0"/>
    <w:rPr>
      <w:rFonts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hint="default" w:ascii="monospace" w:hAnsi="monospace" w:eastAsia="monospace" w:cs="monospace"/>
    </w:rPr>
  </w:style>
  <w:style w:type="character" w:customStyle="1" w:styleId="57">
    <w:name w:val="标题 2 字符"/>
    <w:link w:val="4"/>
    <w:qFormat/>
    <w:uiPriority w:val="0"/>
    <w:rPr>
      <w:rFonts w:ascii="黑体" w:eastAsia="黑体"/>
      <w:color w:val="000000"/>
      <w:kern w:val="2"/>
      <w:sz w:val="28"/>
      <w:lang w:val="en-US" w:eastAsia="zh-CN" w:bidi="ar-SA"/>
    </w:rPr>
  </w:style>
  <w:style w:type="character" w:customStyle="1" w:styleId="58">
    <w:name w:val="标题 3 字符"/>
    <w:link w:val="5"/>
    <w:qFormat/>
    <w:uiPriority w:val="0"/>
    <w:rPr>
      <w:rFonts w:ascii="黑体" w:eastAsia="黑体"/>
      <w:color w:val="000000"/>
      <w:kern w:val="2"/>
      <w:sz w:val="32"/>
      <w:lang w:val="en-US" w:eastAsia="zh-CN" w:bidi="ar-SA"/>
    </w:rPr>
  </w:style>
  <w:style w:type="character" w:customStyle="1" w:styleId="59">
    <w:name w:val="标题 4 字符"/>
    <w:link w:val="6"/>
    <w:qFormat/>
    <w:uiPriority w:val="0"/>
    <w:rPr>
      <w:rFonts w:ascii="方正姚体" w:eastAsia="方正姚体"/>
      <w:kern w:val="2"/>
      <w:sz w:val="36"/>
      <w:szCs w:val="32"/>
      <w:lang w:val="en-US" w:eastAsia="zh-CN" w:bidi="ar-SA"/>
    </w:rPr>
  </w:style>
  <w:style w:type="character" w:customStyle="1" w:styleId="60">
    <w:name w:val="标题 6 字符"/>
    <w:link w:val="8"/>
    <w:qFormat/>
    <w:uiPriority w:val="0"/>
    <w:rPr>
      <w:rFonts w:ascii="Arial" w:hAnsi="Arial" w:eastAsia="黑体"/>
      <w:b/>
      <w:bCs/>
      <w:sz w:val="24"/>
      <w:szCs w:val="24"/>
      <w:lang w:val="en-US" w:eastAsia="zh-CN" w:bidi="ar-SA"/>
    </w:rPr>
  </w:style>
  <w:style w:type="character" w:customStyle="1" w:styleId="61">
    <w:name w:val="标题 7 字符"/>
    <w:link w:val="9"/>
    <w:qFormat/>
    <w:uiPriority w:val="0"/>
    <w:rPr>
      <w:rFonts w:eastAsia="宋体"/>
      <w:b/>
      <w:bCs/>
      <w:sz w:val="24"/>
      <w:szCs w:val="24"/>
      <w:lang w:val="en-US" w:eastAsia="zh-CN" w:bidi="ar-SA"/>
    </w:rPr>
  </w:style>
  <w:style w:type="character" w:customStyle="1" w:styleId="62">
    <w:name w:val="标题 8 字符"/>
    <w:link w:val="10"/>
    <w:qFormat/>
    <w:uiPriority w:val="0"/>
    <w:rPr>
      <w:rFonts w:ascii="Arial" w:hAnsi="Arial" w:eastAsia="黑体"/>
      <w:sz w:val="24"/>
      <w:szCs w:val="24"/>
      <w:lang w:val="en-US" w:eastAsia="zh-CN" w:bidi="ar-SA"/>
    </w:rPr>
  </w:style>
  <w:style w:type="character" w:customStyle="1" w:styleId="63">
    <w:name w:val="标题 9 字符"/>
    <w:link w:val="11"/>
    <w:qFormat/>
    <w:uiPriority w:val="0"/>
    <w:rPr>
      <w:rFonts w:ascii="Arial" w:hAnsi="Arial" w:eastAsia="黑体"/>
      <w:sz w:val="21"/>
      <w:szCs w:val="21"/>
      <w:lang w:val="en-US" w:eastAsia="zh-CN" w:bidi="ar-SA"/>
    </w:rPr>
  </w:style>
  <w:style w:type="character" w:customStyle="1" w:styleId="64">
    <w:name w:val="文档结构图 字符"/>
    <w:link w:val="13"/>
    <w:qFormat/>
    <w:uiPriority w:val="0"/>
    <w:rPr>
      <w:rFonts w:eastAsia="宋体"/>
      <w:kern w:val="2"/>
      <w:sz w:val="21"/>
      <w:szCs w:val="24"/>
      <w:lang w:val="en-US" w:eastAsia="zh-CN" w:bidi="ar-SA"/>
    </w:rPr>
  </w:style>
  <w:style w:type="character" w:customStyle="1" w:styleId="65">
    <w:name w:val="批注文字 字符"/>
    <w:link w:val="14"/>
    <w:qFormat/>
    <w:uiPriority w:val="0"/>
    <w:rPr>
      <w:rFonts w:eastAsia="宋体"/>
      <w:kern w:val="2"/>
      <w:sz w:val="21"/>
      <w:szCs w:val="24"/>
      <w:lang w:val="en-US" w:eastAsia="zh-CN" w:bidi="ar-SA"/>
    </w:rPr>
  </w:style>
  <w:style w:type="character" w:customStyle="1" w:styleId="66">
    <w:name w:val="正文文本 3 字符"/>
    <w:link w:val="15"/>
    <w:qFormat/>
    <w:uiPriority w:val="0"/>
    <w:rPr>
      <w:rFonts w:ascii="宋体" w:eastAsia="宋体"/>
      <w:color w:val="000000"/>
      <w:kern w:val="2"/>
      <w:sz w:val="32"/>
      <w:lang w:val="en-US" w:eastAsia="zh-CN" w:bidi="ar-SA"/>
    </w:rPr>
  </w:style>
  <w:style w:type="character" w:customStyle="1" w:styleId="67">
    <w:name w:val="正文文本 字符"/>
    <w:link w:val="16"/>
    <w:qFormat/>
    <w:uiPriority w:val="0"/>
    <w:rPr>
      <w:rFonts w:eastAsia="宋体"/>
      <w:kern w:val="2"/>
      <w:sz w:val="21"/>
      <w:szCs w:val="24"/>
      <w:lang w:val="en-US" w:eastAsia="zh-CN" w:bidi="ar-SA"/>
    </w:rPr>
  </w:style>
  <w:style w:type="character" w:customStyle="1" w:styleId="68">
    <w:name w:val="正文文本缩进 字符"/>
    <w:link w:val="19"/>
    <w:qFormat/>
    <w:uiPriority w:val="0"/>
    <w:rPr>
      <w:rFonts w:ascii="宋体" w:eastAsia="宋体"/>
      <w:kern w:val="2"/>
      <w:sz w:val="24"/>
      <w:szCs w:val="24"/>
      <w:lang w:val="en-US" w:eastAsia="zh-CN" w:bidi="ar-SA"/>
    </w:rPr>
  </w:style>
  <w:style w:type="character" w:customStyle="1" w:styleId="69">
    <w:name w:val="纯文本 字符"/>
    <w:link w:val="22"/>
    <w:qFormat/>
    <w:uiPriority w:val="0"/>
    <w:rPr>
      <w:rFonts w:ascii="宋体" w:hAnsi="Courier New" w:eastAsia="宋体" w:cs="黑体"/>
      <w:sz w:val="21"/>
      <w:szCs w:val="21"/>
      <w:lang w:val="en-US" w:eastAsia="zh-CN" w:bidi="ar-SA"/>
    </w:rPr>
  </w:style>
  <w:style w:type="character" w:customStyle="1" w:styleId="70">
    <w:name w:val="尾注文本 字符"/>
    <w:link w:val="25"/>
    <w:qFormat/>
    <w:uiPriority w:val="0"/>
    <w:rPr>
      <w:rFonts w:eastAsia="宋体"/>
      <w:kern w:val="2"/>
      <w:sz w:val="21"/>
      <w:lang w:val="en-US" w:eastAsia="zh-CN" w:bidi="ar-SA"/>
    </w:rPr>
  </w:style>
  <w:style w:type="character" w:customStyle="1" w:styleId="71">
    <w:name w:val="批注框文本 字符"/>
    <w:link w:val="26"/>
    <w:qFormat/>
    <w:uiPriority w:val="0"/>
    <w:rPr>
      <w:rFonts w:eastAsia="宋体"/>
      <w:kern w:val="2"/>
      <w:sz w:val="18"/>
      <w:szCs w:val="18"/>
      <w:lang w:val="en-US" w:eastAsia="zh-CN" w:bidi="ar-SA"/>
    </w:rPr>
  </w:style>
  <w:style w:type="character" w:customStyle="1" w:styleId="72">
    <w:name w:val="页脚 字符"/>
    <w:link w:val="27"/>
    <w:qFormat/>
    <w:uiPriority w:val="99"/>
    <w:rPr>
      <w:rFonts w:eastAsia="宋体"/>
      <w:kern w:val="2"/>
      <w:sz w:val="18"/>
      <w:lang w:val="en-US" w:eastAsia="zh-CN" w:bidi="ar-SA"/>
    </w:rPr>
  </w:style>
  <w:style w:type="character" w:customStyle="1" w:styleId="73">
    <w:name w:val="页眉 字符"/>
    <w:link w:val="28"/>
    <w:qFormat/>
    <w:uiPriority w:val="99"/>
    <w:rPr>
      <w:rFonts w:eastAsia="宋体"/>
      <w:kern w:val="2"/>
      <w:sz w:val="18"/>
      <w:szCs w:val="18"/>
      <w:lang w:val="en-US" w:eastAsia="zh-CN" w:bidi="ar-SA"/>
    </w:rPr>
  </w:style>
  <w:style w:type="character" w:customStyle="1" w:styleId="74">
    <w:name w:val="脚注文本 字符"/>
    <w:link w:val="30"/>
    <w:qFormat/>
    <w:uiPriority w:val="0"/>
    <w:rPr>
      <w:rFonts w:eastAsia="宋体"/>
      <w:kern w:val="2"/>
      <w:sz w:val="18"/>
      <w:lang w:val="en-US" w:eastAsia="zh-CN" w:bidi="ar-SA"/>
    </w:rPr>
  </w:style>
  <w:style w:type="character" w:customStyle="1" w:styleId="75">
    <w:name w:val="正文文本缩进 3 字符"/>
    <w:link w:val="31"/>
    <w:qFormat/>
    <w:uiPriority w:val="0"/>
    <w:rPr>
      <w:rFonts w:ascii="宋体" w:hAnsi="宋体" w:eastAsia="宋体"/>
      <w:kern w:val="2"/>
      <w:sz w:val="21"/>
      <w:szCs w:val="21"/>
      <w:lang w:val="en-US" w:eastAsia="zh-CN" w:bidi="ar-SA"/>
    </w:rPr>
  </w:style>
  <w:style w:type="character" w:customStyle="1" w:styleId="76">
    <w:name w:val="正文文本 2 字符"/>
    <w:link w:val="33"/>
    <w:qFormat/>
    <w:uiPriority w:val="0"/>
    <w:rPr>
      <w:rFonts w:ascii="宋体" w:eastAsia="宋体"/>
      <w:kern w:val="2"/>
      <w:sz w:val="28"/>
      <w:lang w:val="en-US" w:eastAsia="zh-CN" w:bidi="ar-SA"/>
    </w:rPr>
  </w:style>
  <w:style w:type="character" w:customStyle="1" w:styleId="77">
    <w:name w:val="标题 字符"/>
    <w:link w:val="36"/>
    <w:qFormat/>
    <w:uiPriority w:val="0"/>
    <w:rPr>
      <w:rFonts w:ascii="Arial" w:hAnsi="Arial" w:eastAsia="宋体"/>
      <w:b/>
      <w:sz w:val="32"/>
      <w:lang w:val="en-US" w:eastAsia="zh-CN" w:bidi="ar-SA"/>
    </w:rPr>
  </w:style>
  <w:style w:type="character" w:customStyle="1" w:styleId="78">
    <w:name w:val="我的正文 Char Char"/>
    <w:link w:val="79"/>
    <w:qFormat/>
    <w:uiPriority w:val="0"/>
    <w:rPr>
      <w:rFonts w:ascii="宋体" w:hAnsi="宋体" w:eastAsia="宋体"/>
      <w:kern w:val="2"/>
      <w:sz w:val="24"/>
      <w:szCs w:val="24"/>
      <w:lang w:val="en-US" w:eastAsia="zh-CN" w:bidi="ar-SA"/>
    </w:rPr>
  </w:style>
  <w:style w:type="paragraph" w:customStyle="1" w:styleId="79">
    <w:name w:val="我的正文"/>
    <w:basedOn w:val="1"/>
    <w:link w:val="78"/>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80">
    <w:name w:val="表格文字"/>
    <w:basedOn w:val="1"/>
    <w:qFormat/>
    <w:uiPriority w:val="0"/>
    <w:pPr>
      <w:adjustRightInd w:val="0"/>
      <w:spacing w:line="420" w:lineRule="atLeast"/>
      <w:jc w:val="left"/>
      <w:textAlignment w:val="baseline"/>
    </w:pPr>
    <w:rPr>
      <w:kern w:val="0"/>
      <w:szCs w:val="20"/>
    </w:rPr>
  </w:style>
  <w:style w:type="paragraph" w:customStyle="1" w:styleId="81">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82">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styleId="83">
    <w:name w:val="List Paragraph"/>
    <w:basedOn w:val="1"/>
    <w:qFormat/>
    <w:uiPriority w:val="0"/>
    <w:pPr>
      <w:ind w:firstLine="420" w:firstLineChars="200"/>
    </w:pPr>
    <w:rPr>
      <w:szCs w:val="20"/>
    </w:rPr>
  </w:style>
  <w:style w:type="paragraph" w:customStyle="1" w:styleId="84">
    <w:name w:val="简单回函地址"/>
    <w:basedOn w:val="1"/>
    <w:qFormat/>
    <w:uiPriority w:val="0"/>
  </w:style>
  <w:style w:type="paragraph" w:customStyle="1" w:styleId="85">
    <w:name w:val="样式 首行缩进:  2 字符"/>
    <w:basedOn w:val="1"/>
    <w:qFormat/>
    <w:uiPriority w:val="0"/>
    <w:pPr>
      <w:spacing w:line="400" w:lineRule="exact"/>
      <w:ind w:firstLine="200" w:firstLineChars="200"/>
    </w:pPr>
    <w:rPr>
      <w:rFonts w:cs="宋体"/>
      <w:szCs w:val="24"/>
    </w:rPr>
  </w:style>
  <w:style w:type="paragraph" w:customStyle="1" w:styleId="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Char1"/>
    <w:basedOn w:val="1"/>
    <w:qFormat/>
    <w:uiPriority w:val="0"/>
    <w:rPr>
      <w:rFonts w:ascii="仿宋_GB2312" w:eastAsia="仿宋_GB2312"/>
      <w:b/>
      <w:sz w:val="32"/>
      <w:szCs w:val="32"/>
    </w:rPr>
  </w:style>
  <w:style w:type="paragraph" w:customStyle="1" w:styleId="88">
    <w:name w:val="样式2"/>
    <w:basedOn w:val="1"/>
    <w:qFormat/>
    <w:uiPriority w:val="0"/>
    <w:pPr>
      <w:numPr>
        <w:ilvl w:val="0"/>
        <w:numId w:val="6"/>
      </w:numPr>
      <w:spacing w:line="360" w:lineRule="auto"/>
      <w:jc w:val="center"/>
    </w:pPr>
    <w:rPr>
      <w:rFonts w:ascii="黑体" w:eastAsia="黑体"/>
      <w:szCs w:val="20"/>
    </w:rPr>
  </w:style>
  <w:style w:type="paragraph" w:customStyle="1" w:styleId="89">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9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92">
    <w:name w:val="xl44"/>
    <w:basedOn w:val="1"/>
    <w:qFormat/>
    <w:uiPriority w:val="0"/>
    <w:pPr>
      <w:widowControl/>
      <w:pBdr>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3">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4">
    <w:name w:val="xl40"/>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5">
    <w:name w:val="font11"/>
    <w:basedOn w:val="1"/>
    <w:qFormat/>
    <w:uiPriority w:val="0"/>
    <w:pPr>
      <w:widowControl/>
      <w:spacing w:before="100" w:beforeLines="0" w:beforeAutospacing="1" w:after="100" w:afterLines="0" w:afterAutospacing="1"/>
      <w:jc w:val="left"/>
    </w:pPr>
    <w:rPr>
      <w:b/>
      <w:bCs/>
      <w:kern w:val="0"/>
      <w:sz w:val="24"/>
    </w:rPr>
  </w:style>
  <w:style w:type="paragraph" w:customStyle="1" w:styleId="96">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kern w:val="0"/>
      <w:sz w:val="24"/>
    </w:rPr>
  </w:style>
  <w:style w:type="paragraph" w:customStyle="1" w:styleId="97">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9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9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0">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01">
    <w:name w:val="样式1"/>
    <w:basedOn w:val="1"/>
    <w:qFormat/>
    <w:uiPriority w:val="0"/>
    <w:pPr>
      <w:adjustRightInd w:val="0"/>
      <w:spacing w:before="360" w:beforeLines="0" w:after="240" w:afterLines="0" w:line="360" w:lineRule="auto"/>
      <w:jc w:val="center"/>
      <w:textAlignment w:val="baseline"/>
    </w:pPr>
    <w:rPr>
      <w:rFonts w:ascii="黑体" w:eastAsia="黑体"/>
      <w:kern w:val="0"/>
      <w:sz w:val="32"/>
      <w:szCs w:val="20"/>
    </w:rPr>
  </w:style>
  <w:style w:type="paragraph" w:customStyle="1" w:styleId="102">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103">
    <w:name w:val="_Style 102"/>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黑体" w:hAnsi="Arial Unicode MS" w:eastAsia="黑体"/>
      <w:kern w:val="0"/>
      <w:sz w:val="24"/>
    </w:rPr>
  </w:style>
  <w:style w:type="paragraph" w:customStyle="1" w:styleId="105">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6">
    <w:name w:val="xl51"/>
    <w:basedOn w:val="1"/>
    <w:qFormat/>
    <w:uiPriority w:val="0"/>
    <w:pPr>
      <w:widowControl/>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108">
    <w:name w:val="font9"/>
    <w:basedOn w:val="1"/>
    <w:qFormat/>
    <w:uiPriority w:val="0"/>
    <w:pPr>
      <w:widowControl/>
      <w:spacing w:before="100" w:beforeLines="0" w:beforeAutospacing="1" w:after="100" w:afterLines="0" w:afterAutospacing="1"/>
      <w:jc w:val="left"/>
    </w:pPr>
    <w:rPr>
      <w:kern w:val="0"/>
      <w:sz w:val="24"/>
      <w:u w:val="single"/>
    </w:rPr>
  </w:style>
  <w:style w:type="paragraph" w:customStyle="1" w:styleId="10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10">
    <w:name w:val="xl29"/>
    <w:basedOn w:val="1"/>
    <w:qFormat/>
    <w:uiPriority w:val="0"/>
    <w:pPr>
      <w:widowControl/>
      <w:pBdr>
        <w:bottom w:val="single" w:color="auto" w:sz="4" w:space="0"/>
      </w:pBdr>
      <w:spacing w:before="100" w:beforeLines="0" w:beforeAutospacing="1" w:after="100" w:afterLines="0" w:afterAutospacing="1"/>
      <w:jc w:val="left"/>
    </w:pPr>
    <w:rPr>
      <w:rFonts w:ascii="Arial Unicode MS" w:hAnsi="Arial Unicode MS"/>
      <w:kern w:val="0"/>
      <w:sz w:val="24"/>
    </w:rPr>
  </w:style>
  <w:style w:type="paragraph" w:customStyle="1" w:styleId="111">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12">
    <w:name w:val="font8"/>
    <w:basedOn w:val="1"/>
    <w:qFormat/>
    <w:uiPriority w:val="0"/>
    <w:pPr>
      <w:widowControl/>
      <w:spacing w:before="100" w:beforeLines="0" w:beforeAutospacing="1" w:after="100" w:afterLines="0" w:afterAutospacing="1"/>
      <w:jc w:val="left"/>
    </w:pPr>
    <w:rPr>
      <w:kern w:val="0"/>
      <w:sz w:val="24"/>
    </w:rPr>
  </w:style>
  <w:style w:type="paragraph" w:customStyle="1" w:styleId="11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4"/>
    </w:rPr>
  </w:style>
  <w:style w:type="paragraph" w:customStyle="1" w:styleId="11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5">
    <w:name w:val="样式 标题 2 + Times New Roman 四号 非加粗 段前: 5 磅 段后: 0 磅 行距: 固定值 20..."/>
    <w:basedOn w:val="4"/>
    <w:qFormat/>
    <w:uiPriority w:val="0"/>
    <w:pPr>
      <w:keepLines/>
      <w:numPr>
        <w:ilvl w:val="0"/>
        <w:numId w:val="0"/>
      </w:numPr>
      <w:spacing w:before="100" w:beforeLines="0" w:line="400" w:lineRule="exact"/>
      <w:jc w:val="both"/>
    </w:pPr>
    <w:rPr>
      <w:rFonts w:ascii="Times New Roman" w:cs="宋体"/>
      <w:color w:val="auto"/>
    </w:rPr>
  </w:style>
  <w:style w:type="paragraph" w:customStyle="1" w:styleId="116">
    <w:name w:val="xl50"/>
    <w:basedOn w:val="1"/>
    <w:qFormat/>
    <w:uiPriority w:val="0"/>
    <w:pPr>
      <w:widowControl/>
      <w:spacing w:before="100" w:beforeLines="0" w:beforeAutospacing="1" w:after="100" w:afterLines="0" w:afterAutospacing="1"/>
      <w:jc w:val="center"/>
      <w:textAlignment w:val="top"/>
    </w:pPr>
    <w:rPr>
      <w:rFonts w:hint="eastAsia" w:ascii="黑体" w:hAnsi="Arial Unicode MS" w:eastAsia="黑体"/>
      <w:b/>
      <w:bCs/>
      <w:kern w:val="0"/>
      <w:sz w:val="36"/>
      <w:szCs w:val="36"/>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1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9">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20">
    <w:name w:val="xl4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22">
    <w:name w:val=" Char"/>
    <w:basedOn w:val="1"/>
    <w:qFormat/>
    <w:uiPriority w:val="0"/>
    <w:pPr>
      <w:widowControl/>
      <w:spacing w:after="160" w:afterLines="0" w:line="240" w:lineRule="exact"/>
      <w:jc w:val="left"/>
    </w:pPr>
    <w:rPr>
      <w:szCs w:val="20"/>
    </w:rPr>
  </w:style>
  <w:style w:type="paragraph" w:customStyle="1" w:styleId="123">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标题 3 New"/>
    <w:basedOn w:val="86"/>
    <w:next w:val="86"/>
    <w:qFormat/>
    <w:uiPriority w:val="0"/>
    <w:pPr>
      <w:keepNext/>
      <w:keepLines/>
      <w:spacing w:line="360" w:lineRule="auto"/>
      <w:ind w:firstLine="200" w:firstLineChars="200"/>
      <w:outlineLvl w:val="2"/>
    </w:pPr>
    <w:rPr>
      <w:b/>
      <w:bCs/>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26">
    <w:name w:val="样式 标题 2 + 宋体 四号 居中"/>
    <w:basedOn w:val="4"/>
    <w:qFormat/>
    <w:uiPriority w:val="0"/>
    <w:pPr>
      <w:keepLines/>
      <w:numPr>
        <w:ilvl w:val="0"/>
        <w:numId w:val="0"/>
      </w:numPr>
      <w:tabs>
        <w:tab w:val="clear" w:pos="960"/>
      </w:tabs>
      <w:spacing w:before="260" w:beforeLines="0" w:after="260" w:afterLines="0" w:line="415" w:lineRule="auto"/>
    </w:pPr>
    <w:rPr>
      <w:rFonts w:ascii="宋体" w:hAnsi="宋体" w:eastAsia="宋体" w:cs="宋体"/>
      <w:b/>
      <w:bCs/>
      <w:color w:val="auto"/>
      <w:sz w:val="30"/>
    </w:rPr>
  </w:style>
  <w:style w:type="paragraph" w:customStyle="1" w:styleId="127">
    <w:name w:val="p15"/>
    <w:basedOn w:val="1"/>
    <w:qFormat/>
    <w:uiPriority w:val="0"/>
    <w:pPr>
      <w:widowControl/>
      <w:spacing w:line="360" w:lineRule="auto"/>
      <w:jc w:val="left"/>
    </w:pPr>
    <w:rPr>
      <w:kern w:val="0"/>
      <w:sz w:val="24"/>
    </w:rPr>
  </w:style>
  <w:style w:type="paragraph" w:customStyle="1" w:styleId="12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29">
    <w:name w:val="xl4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color w:val="FF0000"/>
      <w:kern w:val="0"/>
      <w:sz w:val="24"/>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31">
    <w:name w:val="font6"/>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32">
    <w:name w:val="Plain Text"/>
    <w:basedOn w:val="1"/>
    <w:qFormat/>
    <w:uiPriority w:val="0"/>
    <w:pPr>
      <w:adjustRightInd w:val="0"/>
      <w:textAlignment w:val="baseline"/>
    </w:pPr>
    <w:rPr>
      <w:rFonts w:ascii="宋体" w:hAnsi="Courier New"/>
      <w:szCs w:val="20"/>
    </w:rPr>
  </w:style>
  <w:style w:type="paragraph" w:customStyle="1" w:styleId="133">
    <w:name w:val="font10"/>
    <w:basedOn w:val="1"/>
    <w:qFormat/>
    <w:uiPriority w:val="0"/>
    <w:pPr>
      <w:widowControl/>
      <w:spacing w:before="100" w:beforeLines="0" w:beforeAutospacing="1" w:after="100" w:afterLines="0" w:afterAutospacing="1"/>
      <w:jc w:val="left"/>
    </w:pPr>
    <w:rPr>
      <w:rFonts w:hint="eastAsia" w:ascii="宋体" w:hAnsi="宋体"/>
      <w:b/>
      <w:bCs/>
      <w:kern w:val="0"/>
      <w:sz w:val="24"/>
    </w:rPr>
  </w:style>
  <w:style w:type="paragraph" w:customStyle="1" w:styleId="134">
    <w:name w:val="目录"/>
    <w:basedOn w:val="1"/>
    <w:qFormat/>
    <w:uiPriority w:val="0"/>
    <w:pPr>
      <w:widowControl/>
      <w:jc w:val="center"/>
    </w:pPr>
    <w:rPr>
      <w:rFonts w:hAnsi="Times New Roman"/>
      <w:b/>
      <w:sz w:val="36"/>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rPr>
  </w:style>
  <w:style w:type="paragraph" w:customStyle="1" w:styleId="136">
    <w:name w:val="xl4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kern w:val="0"/>
      <w:sz w:val="24"/>
    </w:rPr>
  </w:style>
  <w:style w:type="paragraph" w:customStyle="1" w:styleId="137">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38">
    <w:name w:val="样式 标题 2 + 宋体"/>
    <w:basedOn w:val="4"/>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13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0">
    <w:name w:val="font7"/>
    <w:basedOn w:val="1"/>
    <w:qFormat/>
    <w:uiPriority w:val="0"/>
    <w:pPr>
      <w:widowControl/>
      <w:spacing w:before="100" w:beforeLines="0" w:beforeAutospacing="1" w:after="100" w:afterLines="0" w:afterAutospacing="1"/>
      <w:jc w:val="left"/>
    </w:pPr>
    <w:rPr>
      <w:rFonts w:hint="eastAsia" w:ascii="宋体" w:hAnsi="宋体"/>
      <w:b/>
      <w:bCs/>
      <w:color w:val="000000"/>
      <w:kern w:val="0"/>
      <w:sz w:val="18"/>
      <w:szCs w:val="18"/>
    </w:rPr>
  </w:style>
  <w:style w:type="paragraph" w:customStyle="1" w:styleId="14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42">
    <w:name w:val="xl52"/>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rPr>
  </w:style>
  <w:style w:type="paragraph" w:customStyle="1" w:styleId="143">
    <w:name w:val="表中"/>
    <w:basedOn w:val="1"/>
    <w:qFormat/>
    <w:uiPriority w:val="0"/>
    <w:pPr>
      <w:adjustRightInd w:val="0"/>
      <w:spacing w:line="360" w:lineRule="atLeast"/>
      <w:jc w:val="center"/>
      <w:textAlignment w:val="baseline"/>
    </w:pPr>
    <w:rPr>
      <w:kern w:val="0"/>
      <w:szCs w:val="20"/>
    </w:rPr>
  </w:style>
  <w:style w:type="paragraph" w:customStyle="1" w:styleId="144">
    <w:name w:val="font1"/>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4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6">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4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8">
    <w:name w:val="_Style 147"/>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9">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textAlignment w:val="center"/>
    </w:pPr>
    <w:rPr>
      <w:kern w:val="0"/>
      <w:sz w:val="24"/>
    </w:rPr>
  </w:style>
  <w:style w:type="paragraph" w:customStyle="1" w:styleId="150">
    <w:name w:val="Table Paragraph"/>
    <w:basedOn w:val="1"/>
    <w:qFormat/>
    <w:uiPriority w:val="0"/>
    <w:pPr>
      <w:jc w:val="left"/>
    </w:pPr>
    <w:rPr>
      <w:rFonts w:ascii="宋体" w:hAnsi="宋体" w:eastAsia="宋体" w:cs="宋体"/>
      <w:kern w:val="0"/>
      <w:sz w:val="22"/>
      <w:szCs w:val="22"/>
      <w:lang w:eastAsia="en-US"/>
    </w:rPr>
  </w:style>
  <w:style w:type="paragraph" w:customStyle="1" w:styleId="151">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152">
    <w:name w:val="beforeinfotext"/>
    <w:basedOn w:val="41"/>
    <w:qFormat/>
    <w:uiPriority w:val="0"/>
    <w:rPr>
      <w:color w:val="666666"/>
    </w:rPr>
  </w:style>
  <w:style w:type="character" w:customStyle="1" w:styleId="153">
    <w:name w:val="proollist"/>
    <w:basedOn w:val="41"/>
    <w:qFormat/>
    <w:uiPriority w:val="0"/>
  </w:style>
  <w:style w:type="character" w:customStyle="1" w:styleId="154">
    <w:name w:val="phone"/>
    <w:basedOn w:val="41"/>
    <w:qFormat/>
    <w:uiPriority w:val="0"/>
    <w:rPr>
      <w:color w:val="FF8833"/>
      <w:sz w:val="18"/>
      <w:szCs w:val="18"/>
    </w:rPr>
  </w:style>
  <w:style w:type="character" w:customStyle="1" w:styleId="155">
    <w:name w:val="stclosebtn"/>
    <w:basedOn w:val="41"/>
    <w:qFormat/>
    <w:uiPriority w:val="0"/>
  </w:style>
  <w:style w:type="character" w:customStyle="1" w:styleId="156">
    <w:name w:val="number"/>
    <w:basedOn w:val="41"/>
    <w:qFormat/>
    <w:uiPriority w:val="0"/>
    <w:rPr>
      <w:color w:val="FF8833"/>
      <w:sz w:val="18"/>
      <w:szCs w:val="18"/>
    </w:rPr>
  </w:style>
  <w:style w:type="paragraph" w:customStyle="1" w:styleId="157">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58">
    <w:name w:val="纯文本1"/>
    <w:basedOn w:val="1"/>
    <w:qFormat/>
    <w:uiPriority w:val="0"/>
    <w:rPr>
      <w:rFonts w:ascii="宋体" w:hAnsi="Courier New"/>
      <w:szCs w:val="21"/>
    </w:rPr>
  </w:style>
  <w:style w:type="character" w:customStyle="1" w:styleId="159">
    <w:name w:val="NormalCharacter"/>
    <w:semiHidden/>
    <w:qFormat/>
    <w:uiPriority w:val="0"/>
  </w:style>
  <w:style w:type="paragraph" w:customStyle="1" w:styleId="160">
    <w:name w:val="样式3"/>
    <w:basedOn w:val="22"/>
    <w:next w:val="1"/>
    <w:qFormat/>
    <w:uiPriority w:val="99"/>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102</Pages>
  <Words>58781</Words>
  <Characters>62186</Characters>
  <Lines>1</Lines>
  <Paragraphs>1</Paragraphs>
  <TotalTime>15</TotalTime>
  <ScaleCrop>false</ScaleCrop>
  <LinksUpToDate>false</LinksUpToDate>
  <CharactersWithSpaces>66841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2016-11-01T12:42:00Z</dcterms:created>
  <dc:creator>user25</dc:creator>
  <cp:lastModifiedBy>木易王令</cp:lastModifiedBy>
  <cp:lastPrinted>2022-04-29T07:44:00Z</cp:lastPrinted>
  <dcterms:modified xsi:type="dcterms:W3CDTF">2023-05-04T07:38:48Z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090E48E475C3449DA3783FDD7EEFD3D9</vt:lpwstr>
  </property>
  <property fmtid="{D5CDD505-2E9C-101B-9397-08002B2CF9AE}" pid="4" name="commondata">
    <vt:lpwstr>eyJoZGlkIjoiZTNhZTc3ZWY1YWFmNDYxYTE4YzQ4ZDBmYzYzNTE0OGUifQ==</vt:lpwstr>
  </property>
</Properties>
</file>