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b/>
          <w:sz w:val="28"/>
          <w:szCs w:val="28"/>
          <w:highlight w:val="none"/>
        </w:rPr>
      </w:pPr>
      <w:bookmarkStart w:id="30" w:name="_GoBack"/>
    </w:p>
    <w:p>
      <w:pPr>
        <w:spacing w:line="360" w:lineRule="auto"/>
        <w:jc w:val="both"/>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w:t>
      </w:r>
    </w:p>
    <w:p>
      <w:pPr>
        <w:spacing w:line="360" w:lineRule="auto"/>
        <w:jc w:val="center"/>
        <w:rPr>
          <w:rFonts w:hint="eastAsia" w:ascii="宋体" w:hAnsi="宋体" w:eastAsia="宋体" w:cs="宋体"/>
          <w:highlight w:val="none"/>
          <w:lang w:eastAsia="zh-CN"/>
        </w:rPr>
      </w:pPr>
      <w:r>
        <w:rPr>
          <w:rFonts w:hint="eastAsia" w:ascii="宋体" w:hAnsi="宋体" w:eastAsia="宋体" w:cs="宋体"/>
          <w:b/>
          <w:sz w:val="36"/>
          <w:szCs w:val="36"/>
          <w:highlight w:val="none"/>
          <w:lang w:val="en-US" w:eastAsia="zh-CN"/>
        </w:rPr>
        <w:t xml:space="preserve">秦汉新城绿化养护二标段 </w:t>
      </w:r>
      <w:r>
        <w:rPr>
          <w:rFonts w:hint="eastAsia" w:ascii="宋体" w:hAnsi="宋体" w:eastAsia="宋体" w:cs="宋体"/>
          <w:b/>
          <w:sz w:val="44"/>
          <w:szCs w:val="44"/>
          <w:highlight w:val="none"/>
          <w:lang w:val="en-US" w:eastAsia="zh-CN"/>
        </w:rPr>
        <w:t xml:space="preserve"> </w:t>
      </w:r>
    </w:p>
    <w:p>
      <w:pPr>
        <w:spacing w:line="360" w:lineRule="auto"/>
        <w:jc w:val="center"/>
        <w:rPr>
          <w:rFonts w:hint="eastAsia" w:ascii="宋体" w:hAnsi="宋体" w:eastAsia="宋体" w:cs="宋体"/>
          <w:b/>
          <w:sz w:val="44"/>
          <w:szCs w:val="44"/>
          <w:highlight w:val="none"/>
        </w:rPr>
      </w:pPr>
    </w:p>
    <w:p>
      <w:pPr>
        <w:pStyle w:val="16"/>
        <w:rPr>
          <w:rFonts w:hint="eastAsia" w:ascii="宋体" w:hAnsi="宋体" w:eastAsia="宋体" w:cs="宋体"/>
          <w:highlight w:val="none"/>
        </w:rPr>
      </w:pPr>
    </w:p>
    <w:p>
      <w:pPr>
        <w:spacing w:line="360" w:lineRule="auto"/>
        <w:ind w:right="33"/>
        <w:rPr>
          <w:rFonts w:hint="eastAsia" w:ascii="宋体" w:hAnsi="宋体" w:eastAsia="宋体" w:cs="宋体"/>
          <w:color w:val="000000"/>
          <w:sz w:val="22"/>
          <w:highlight w:val="none"/>
        </w:rPr>
      </w:pPr>
    </w:p>
    <w:p>
      <w:pPr>
        <w:widowControl/>
        <w:tabs>
          <w:tab w:val="left" w:pos="3828"/>
        </w:tabs>
        <w:autoSpaceDE w:val="0"/>
        <w:autoSpaceDN w:val="0"/>
        <w:jc w:val="center"/>
        <w:textAlignment w:val="bottom"/>
        <w:rPr>
          <w:rFonts w:hint="eastAsia" w:ascii="宋体" w:hAnsi="宋体" w:eastAsia="宋体" w:cs="宋体"/>
          <w:b/>
          <w:color w:val="000000"/>
          <w:spacing w:val="66"/>
          <w:kern w:val="0"/>
          <w:sz w:val="72"/>
          <w:szCs w:val="112"/>
          <w:highlight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000000"/>
          <w:spacing w:val="66"/>
          <w:kern w:val="0"/>
          <w:sz w:val="72"/>
          <w:szCs w:val="112"/>
          <w:highlight w:val="none"/>
          <w:lang w:eastAsia="zh-CN"/>
        </w:rPr>
        <w:t>招标文件</w:t>
      </w:r>
    </w:p>
    <w:p>
      <w:pPr>
        <w:spacing w:before="120" w:beforeLines="50"/>
        <w:jc w:val="center"/>
        <w:rPr>
          <w:rFonts w:hint="eastAsia" w:ascii="宋体" w:hAnsi="宋体" w:eastAsia="宋体" w:cs="宋体"/>
          <w:b/>
          <w:bCs/>
          <w:sz w:val="40"/>
          <w:szCs w:val="40"/>
          <w:highlight w:val="none"/>
        </w:rPr>
      </w:pPr>
      <w:bookmarkStart w:id="0" w:name="_Toc23193"/>
      <w:r>
        <w:rPr>
          <w:rFonts w:hint="eastAsia" w:ascii="宋体" w:hAnsi="宋体" w:eastAsia="宋体" w:cs="宋体"/>
          <w:b/>
          <w:bCs/>
          <w:sz w:val="40"/>
          <w:szCs w:val="40"/>
          <w:highlight w:val="none"/>
        </w:rPr>
        <w:t>（</w:t>
      </w:r>
      <w:r>
        <w:rPr>
          <w:rFonts w:hint="eastAsia" w:ascii="宋体" w:hAnsi="宋体" w:eastAsia="宋体" w:cs="宋体"/>
          <w:b/>
          <w:bCs/>
          <w:sz w:val="40"/>
          <w:szCs w:val="40"/>
          <w:highlight w:val="none"/>
          <w:lang w:val="en-US" w:eastAsia="zh-CN"/>
        </w:rPr>
        <w:t>项目编号：</w:t>
      </w:r>
      <w:r>
        <w:rPr>
          <w:rFonts w:hint="eastAsia" w:ascii="宋体" w:hAnsi="宋体" w:eastAsia="宋体" w:cs="宋体"/>
          <w:b/>
          <w:bCs/>
          <w:sz w:val="40"/>
          <w:szCs w:val="40"/>
          <w:highlight w:val="none"/>
          <w:lang w:eastAsia="zh-CN"/>
        </w:rPr>
        <w:t>RXCG-2023040</w:t>
      </w:r>
      <w:r>
        <w:rPr>
          <w:rFonts w:hint="eastAsia" w:ascii="宋体" w:hAnsi="宋体" w:eastAsia="宋体" w:cs="宋体"/>
          <w:b/>
          <w:bCs/>
          <w:sz w:val="40"/>
          <w:szCs w:val="40"/>
          <w:highlight w:val="none"/>
        </w:rPr>
        <w:t>）</w:t>
      </w:r>
      <w:bookmarkEnd w:id="0"/>
    </w:p>
    <w:p>
      <w:pPr>
        <w:pStyle w:val="16"/>
        <w:rPr>
          <w:rFonts w:hint="eastAsia" w:ascii="宋体" w:hAnsi="宋体" w:eastAsia="宋体" w:cs="宋体"/>
          <w:b/>
          <w:bCs/>
          <w:sz w:val="40"/>
          <w:szCs w:val="40"/>
          <w:highlight w:val="none"/>
        </w:rPr>
      </w:pPr>
      <w:r>
        <w:rPr>
          <w:rFonts w:hint="eastAsia" w:ascii="宋体" w:hAnsi="宋体" w:eastAsia="宋体" w:cs="宋体"/>
          <w:b/>
          <w:sz w:val="32"/>
          <w:szCs w:val="32"/>
          <w:highlight w:val="none"/>
          <w:lang w:val="en-US" w:eastAsia="zh-CN"/>
        </w:rPr>
        <w:drawing>
          <wp:anchor distT="0" distB="0" distL="114300" distR="114300" simplePos="0" relativeHeight="251660288" behindDoc="0" locked="0" layoutInCell="1" allowOverlap="1">
            <wp:simplePos x="0" y="0"/>
            <wp:positionH relativeFrom="column">
              <wp:posOffset>1696085</wp:posOffset>
            </wp:positionH>
            <wp:positionV relativeFrom="paragraph">
              <wp:posOffset>152400</wp:posOffset>
            </wp:positionV>
            <wp:extent cx="2238375" cy="1922145"/>
            <wp:effectExtent l="0" t="0" r="9525" b="190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2238375" cy="1922145"/>
                    </a:xfrm>
                    <a:prstGeom prst="rect">
                      <a:avLst/>
                    </a:prstGeom>
                    <a:noFill/>
                    <a:ln>
                      <a:noFill/>
                    </a:ln>
                  </pic:spPr>
                </pic:pic>
              </a:graphicData>
            </a:graphic>
          </wp:anchor>
        </w:drawing>
      </w:r>
    </w:p>
    <w:p>
      <w:pPr>
        <w:rPr>
          <w:rFonts w:hint="eastAsia" w:ascii="宋体" w:hAnsi="宋体" w:eastAsia="宋体" w:cs="宋体"/>
          <w:b/>
          <w:bCs/>
          <w:sz w:val="40"/>
          <w:szCs w:val="40"/>
          <w:highlight w:val="none"/>
        </w:rPr>
      </w:pPr>
    </w:p>
    <w:p>
      <w:pPr>
        <w:pStyle w:val="16"/>
        <w:rPr>
          <w:rFonts w:hint="eastAsia" w:ascii="宋体" w:hAnsi="宋体" w:eastAsia="宋体" w:cs="宋体"/>
          <w:b/>
          <w:bCs/>
          <w:sz w:val="40"/>
          <w:szCs w:val="40"/>
          <w:highlight w:val="none"/>
        </w:rPr>
      </w:pPr>
    </w:p>
    <w:p>
      <w:pPr>
        <w:pStyle w:val="55"/>
        <w:rPr>
          <w:rFonts w:hint="eastAsia" w:ascii="宋体" w:hAnsi="宋体" w:eastAsia="宋体" w:cs="宋体"/>
          <w:highlight w:val="none"/>
        </w:rPr>
      </w:pPr>
    </w:p>
    <w:p>
      <w:pPr>
        <w:rPr>
          <w:rFonts w:hint="eastAsia" w:ascii="宋体" w:hAnsi="宋体" w:eastAsia="宋体" w:cs="宋体"/>
          <w:b/>
          <w:bCs/>
          <w:sz w:val="40"/>
          <w:szCs w:val="40"/>
          <w:highlight w:val="none"/>
        </w:rPr>
      </w:pPr>
    </w:p>
    <w:p>
      <w:pPr>
        <w:pStyle w:val="22"/>
        <w:rPr>
          <w:rFonts w:hint="eastAsia" w:ascii="宋体" w:hAnsi="宋体" w:eastAsia="宋体" w:cs="宋体"/>
          <w:highlight w:val="none"/>
        </w:rPr>
      </w:pPr>
    </w:p>
    <w:p>
      <w:pPr>
        <w:pStyle w:val="22"/>
        <w:rPr>
          <w:rFonts w:hint="eastAsia" w:ascii="宋体" w:hAnsi="宋体" w:eastAsia="宋体" w:cs="宋体"/>
          <w:highlight w:val="none"/>
        </w:rPr>
      </w:pPr>
    </w:p>
    <w:p>
      <w:pPr>
        <w:pStyle w:val="22"/>
        <w:rPr>
          <w:rFonts w:hint="eastAsia" w:ascii="宋体" w:hAnsi="宋体" w:eastAsia="宋体" w:cs="宋体"/>
          <w:highlight w:val="none"/>
        </w:rPr>
      </w:pPr>
    </w:p>
    <w:p>
      <w:pPr>
        <w:spacing w:before="120" w:beforeLines="50" w:after="120" w:afterLines="50" w:line="600" w:lineRule="exact"/>
        <w:jc w:val="both"/>
        <w:rPr>
          <w:rFonts w:hint="eastAsia" w:ascii="宋体" w:hAnsi="宋体" w:eastAsia="宋体" w:cs="宋体"/>
          <w:b/>
          <w:bCs/>
          <w:color w:val="000000"/>
          <w:sz w:val="32"/>
          <w:szCs w:val="32"/>
          <w:highlight w:val="none"/>
          <w:lang w:val="es-ES"/>
        </w:rPr>
      </w:pPr>
    </w:p>
    <w:p>
      <w:pPr>
        <w:pStyle w:val="16"/>
        <w:rPr>
          <w:rFonts w:hint="eastAsia" w:ascii="宋体" w:hAnsi="宋体" w:eastAsia="宋体" w:cs="宋体"/>
          <w:highlight w:val="none"/>
          <w:lang w:val="es-ES"/>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480" w:lineRule="auto"/>
        <w:ind w:firstLine="1606" w:firstLineChars="500"/>
        <w:jc w:val="both"/>
        <w:textAlignment w:val="auto"/>
        <w:rPr>
          <w:rFonts w:hint="eastAsia" w:ascii="宋体" w:hAnsi="宋体" w:eastAsia="宋体" w:cs="宋体"/>
          <w:b/>
          <w:bCs/>
          <w:color w:val="000000"/>
          <w:sz w:val="32"/>
          <w:szCs w:val="32"/>
          <w:highlight w:val="none"/>
          <w:u w:val="single"/>
          <w:lang w:val="en-US" w:eastAsia="zh-CN"/>
        </w:rPr>
      </w:pPr>
      <w:r>
        <w:rPr>
          <w:rFonts w:hint="eastAsia" w:ascii="宋体" w:hAnsi="宋体" w:eastAsia="宋体" w:cs="宋体"/>
          <w:b/>
          <w:bCs/>
          <w:color w:val="000000"/>
          <w:sz w:val="32"/>
          <w:szCs w:val="32"/>
          <w:highlight w:val="none"/>
          <w:lang w:val="en-US" w:eastAsia="zh-CN"/>
        </w:rPr>
        <w:t>采购人：</w:t>
      </w:r>
      <w:r>
        <w:rPr>
          <w:rFonts w:hint="eastAsia" w:ascii="宋体" w:hAnsi="宋体" w:eastAsia="宋体" w:cs="宋体"/>
          <w:b/>
          <w:bCs/>
          <w:color w:val="000000"/>
          <w:sz w:val="32"/>
          <w:szCs w:val="32"/>
          <w:highlight w:val="none"/>
          <w:u w:val="single"/>
          <w:lang w:val="es-ES" w:eastAsia="zh-CN"/>
        </w:rPr>
        <w:t>陕西省西咸新区秦汉新城综合行政执法支队</w:t>
      </w:r>
      <w:r>
        <w:rPr>
          <w:rFonts w:hint="eastAsia" w:ascii="宋体" w:hAnsi="宋体" w:eastAsia="宋体" w:cs="宋体"/>
          <w:b/>
          <w:bCs/>
          <w:color w:val="00000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20" w:beforeLines="50" w:after="120" w:afterLines="50" w:line="480" w:lineRule="auto"/>
        <w:jc w:val="center"/>
        <w:textAlignment w:val="auto"/>
        <w:rPr>
          <w:rFonts w:hint="eastAsia" w:ascii="宋体" w:hAnsi="宋体" w:eastAsia="宋体" w:cs="宋体"/>
          <w:b/>
          <w:bCs/>
          <w:color w:val="000000"/>
          <w:sz w:val="32"/>
          <w:szCs w:val="32"/>
          <w:highlight w:val="none"/>
          <w:u w:val="single"/>
          <w:lang w:val="en-US" w:eastAsia="zh-CN"/>
        </w:rPr>
      </w:pPr>
      <w:r>
        <w:rPr>
          <w:rFonts w:hint="eastAsia" w:ascii="宋体" w:hAnsi="宋体" w:eastAsia="宋体" w:cs="宋体"/>
          <w:b/>
          <w:bCs/>
          <w:color w:val="000000"/>
          <w:sz w:val="32"/>
          <w:szCs w:val="32"/>
          <w:highlight w:val="none"/>
          <w:lang w:val="en-US" w:eastAsia="zh-CN"/>
        </w:rPr>
        <w:t xml:space="preserve">  </w:t>
      </w:r>
      <w:r>
        <w:rPr>
          <w:rFonts w:hint="eastAsia" w:ascii="宋体" w:hAnsi="宋体" w:eastAsia="宋体" w:cs="宋体"/>
          <w:b/>
          <w:bCs/>
          <w:color w:val="000000"/>
          <w:sz w:val="32"/>
          <w:szCs w:val="32"/>
          <w:highlight w:val="none"/>
          <w:lang w:val="es-ES"/>
        </w:rPr>
        <w:t>采购代理机构：</w:t>
      </w:r>
      <w:r>
        <w:rPr>
          <w:rFonts w:hint="eastAsia" w:ascii="宋体" w:hAnsi="宋体" w:eastAsia="宋体" w:cs="宋体"/>
          <w:b/>
          <w:bCs/>
          <w:color w:val="000000"/>
          <w:sz w:val="32"/>
          <w:szCs w:val="32"/>
          <w:highlight w:val="none"/>
          <w:u w:val="single"/>
          <w:lang w:val="es-ES" w:eastAsia="zh-CN"/>
        </w:rPr>
        <w:t>瑞信国际项目管理有限公司</w:t>
      </w:r>
      <w:r>
        <w:rPr>
          <w:rFonts w:hint="eastAsia" w:ascii="宋体" w:hAnsi="宋体" w:eastAsia="宋体" w:cs="宋体"/>
          <w:b/>
          <w:bCs/>
          <w:color w:val="00000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20" w:beforeLines="50" w:after="120" w:afterLines="50" w:line="480" w:lineRule="auto"/>
        <w:jc w:val="center"/>
        <w:textAlignment w:val="auto"/>
        <w:rPr>
          <w:rFonts w:hint="eastAsia" w:ascii="宋体" w:hAnsi="宋体" w:eastAsia="宋体" w:cs="宋体"/>
          <w:b/>
          <w:bCs/>
          <w:sz w:val="32"/>
          <w:szCs w:val="32"/>
          <w:highlight w:val="none"/>
          <w:lang w:val="zh-CN"/>
        </w:rPr>
        <w:sectPr>
          <w:headerReference r:id="rId3" w:type="default"/>
          <w:footerReference r:id="rId4" w:type="default"/>
          <w:pgSz w:w="11923" w:h="16860"/>
          <w:pgMar w:top="1417" w:right="1417" w:bottom="1417" w:left="1417" w:header="850" w:footer="907" w:gutter="0"/>
          <w:pgBorders>
            <w:top w:val="none" w:sz="0" w:space="0"/>
            <w:left w:val="none" w:sz="0" w:space="0"/>
            <w:bottom w:val="thinThickSmallGap" w:color="auto" w:sz="24" w:space="1"/>
            <w:right w:val="none" w:sz="0" w:space="0"/>
          </w:pgBorders>
          <w:pgNumType w:fmt="decimal" w:start="1"/>
          <w:cols w:space="720" w:num="1"/>
        </w:sectPr>
      </w:pPr>
      <w:r>
        <w:rPr>
          <w:rFonts w:hint="eastAsia" w:ascii="宋体" w:hAnsi="宋体" w:eastAsia="宋体" w:cs="宋体"/>
          <w:b/>
          <w:bCs/>
          <w:color w:val="000000"/>
          <w:sz w:val="32"/>
          <w:szCs w:val="32"/>
          <w:highlight w:val="none"/>
          <w:lang w:val="es-ES"/>
        </w:rPr>
        <w:t>二〇二</w:t>
      </w:r>
      <w:r>
        <w:rPr>
          <w:rFonts w:hint="eastAsia" w:ascii="宋体" w:hAnsi="宋体" w:eastAsia="宋体" w:cs="宋体"/>
          <w:b/>
          <w:bCs/>
          <w:color w:val="000000"/>
          <w:sz w:val="32"/>
          <w:szCs w:val="32"/>
          <w:highlight w:val="none"/>
          <w:lang w:val="en-US" w:eastAsia="zh-CN"/>
        </w:rPr>
        <w:t>三</w:t>
      </w:r>
      <w:r>
        <w:rPr>
          <w:rFonts w:hint="eastAsia" w:ascii="宋体" w:hAnsi="宋体" w:eastAsia="宋体" w:cs="宋体"/>
          <w:b/>
          <w:bCs/>
          <w:color w:val="000000"/>
          <w:sz w:val="32"/>
          <w:szCs w:val="32"/>
          <w:highlight w:val="none"/>
          <w:lang w:val="es-ES"/>
        </w:rPr>
        <w:t>年</w:t>
      </w:r>
      <w:r>
        <w:rPr>
          <w:rFonts w:hint="eastAsia" w:ascii="宋体" w:hAnsi="宋体" w:eastAsia="宋体" w:cs="宋体"/>
          <w:b/>
          <w:bCs/>
          <w:color w:val="000000"/>
          <w:sz w:val="32"/>
          <w:szCs w:val="32"/>
          <w:highlight w:val="none"/>
          <w:lang w:val="en-US" w:eastAsia="zh-CN"/>
        </w:rPr>
        <w:t>七</w:t>
      </w:r>
      <w:r>
        <w:rPr>
          <w:rFonts w:hint="eastAsia" w:ascii="宋体" w:hAnsi="宋体" w:eastAsia="宋体" w:cs="宋体"/>
          <w:b/>
          <w:bCs/>
          <w:color w:val="000000"/>
          <w:sz w:val="32"/>
          <w:szCs w:val="32"/>
          <w:highlight w:val="none"/>
          <w:lang w:val="es-ES"/>
        </w:rPr>
        <w:t>月</w:t>
      </w:r>
      <w:bookmarkStart w:id="1" w:name="_Toc18166"/>
      <w:bookmarkStart w:id="2" w:name="_Toc196474972"/>
    </w:p>
    <w:p>
      <w:pPr>
        <w:pStyle w:val="30"/>
        <w:tabs>
          <w:tab w:val="right" w:leader="dot" w:pos="9458"/>
        </w:tabs>
        <w:spacing w:line="600" w:lineRule="exact"/>
        <w:ind w:left="0" w:leftChars="0"/>
        <w:jc w:val="center"/>
        <w:rPr>
          <w:rFonts w:hint="eastAsia" w:ascii="宋体" w:hAnsi="宋体" w:eastAsia="宋体" w:cs="宋体"/>
          <w:b/>
          <w:bCs/>
          <w:sz w:val="48"/>
          <w:szCs w:val="48"/>
          <w:highlight w:val="none"/>
          <w:lang w:val="zh-CN"/>
        </w:rPr>
      </w:pPr>
      <w:r>
        <w:rPr>
          <w:rFonts w:hint="eastAsia" w:ascii="宋体" w:hAnsi="宋体" w:eastAsia="宋体" w:cs="宋体"/>
          <w:b/>
          <w:bCs/>
          <w:sz w:val="48"/>
          <w:szCs w:val="48"/>
          <w:highlight w:val="none"/>
          <w:lang w:val="zh-CN"/>
        </w:rPr>
        <w:t>目   录</w:t>
      </w:r>
      <w:bookmarkEnd w:id="1"/>
    </w:p>
    <w:p>
      <w:pPr>
        <w:pStyle w:val="30"/>
        <w:tabs>
          <w:tab w:val="right" w:leader="dot" w:pos="9458"/>
        </w:tabs>
        <w:spacing w:line="600" w:lineRule="exact"/>
        <w:ind w:left="0" w:left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TOC \o "1-1" \h \u </w:instrText>
      </w:r>
      <w:r>
        <w:rPr>
          <w:rFonts w:hint="eastAsia" w:ascii="宋体" w:hAnsi="宋体" w:eastAsia="宋体" w:cs="宋体"/>
          <w:sz w:val="24"/>
          <w:highlight w:val="none"/>
        </w:rPr>
        <w:fldChar w:fldCharType="separate"/>
      </w:r>
    </w:p>
    <w:p>
      <w:pPr>
        <w:pStyle w:val="27"/>
        <w:tabs>
          <w:tab w:val="right" w:leader="dot" w:pos="9089"/>
          <w:tab w:val="clear" w:pos="8280"/>
          <w:tab w:val="clear" w:pos="9360"/>
        </w:tabs>
        <w:spacing w:line="480" w:lineRule="auto"/>
        <w:ind w:left="0" w:leftChars="0" w:firstLine="0" w:firstLineChars="0"/>
        <w:jc w:val="left"/>
        <w:rPr>
          <w:rFonts w:hint="eastAsia" w:ascii="宋体" w:hAnsi="宋体" w:eastAsia="宋体" w:cs="宋体"/>
          <w:highlight w:val="none"/>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_Toc18036 </w:instrText>
      </w:r>
      <w:r>
        <w:rPr>
          <w:rFonts w:hint="eastAsia" w:ascii="宋体" w:hAnsi="宋体" w:eastAsia="宋体" w:cs="宋体"/>
          <w:bCs w:val="0"/>
          <w:highlight w:val="none"/>
        </w:rPr>
        <w:fldChar w:fldCharType="separate"/>
      </w:r>
      <w:r>
        <w:rPr>
          <w:rFonts w:hint="eastAsia" w:ascii="宋体" w:hAnsi="宋体" w:eastAsia="宋体" w:cs="宋体"/>
          <w:bCs/>
          <w:szCs w:val="36"/>
          <w:highlight w:val="none"/>
        </w:rPr>
        <w:t>第一章  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_Toc18036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bCs w:val="0"/>
          <w:highlight w:val="none"/>
        </w:rPr>
        <w:fldChar w:fldCharType="end"/>
      </w:r>
    </w:p>
    <w:p>
      <w:pPr>
        <w:pStyle w:val="27"/>
        <w:tabs>
          <w:tab w:val="right" w:leader="dot" w:pos="9089"/>
          <w:tab w:val="clear" w:pos="8280"/>
          <w:tab w:val="clear" w:pos="9360"/>
        </w:tabs>
        <w:spacing w:line="480" w:lineRule="auto"/>
        <w:ind w:left="0" w:leftChars="0" w:firstLine="0" w:firstLineChars="0"/>
        <w:jc w:val="left"/>
        <w:rPr>
          <w:rFonts w:hint="eastAsia" w:ascii="宋体" w:hAnsi="宋体" w:eastAsia="宋体" w:cs="宋体"/>
          <w:highlight w:val="none"/>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_Toc3308 </w:instrText>
      </w:r>
      <w:r>
        <w:rPr>
          <w:rFonts w:hint="eastAsia" w:ascii="宋体" w:hAnsi="宋体" w:eastAsia="宋体" w:cs="宋体"/>
          <w:bCs w:val="0"/>
          <w:highlight w:val="none"/>
        </w:rPr>
        <w:fldChar w:fldCharType="separate"/>
      </w:r>
      <w:r>
        <w:rPr>
          <w:rFonts w:hint="eastAsia" w:ascii="宋体" w:hAnsi="宋体" w:eastAsia="宋体" w:cs="宋体"/>
          <w:bCs/>
          <w:szCs w:val="36"/>
          <w:highlight w:val="none"/>
        </w:rPr>
        <w:t xml:space="preserve">第二章  </w:t>
      </w:r>
      <w:r>
        <w:rPr>
          <w:rFonts w:hint="eastAsia" w:ascii="宋体" w:hAnsi="宋体" w:eastAsia="宋体" w:cs="宋体"/>
          <w:bCs/>
          <w:szCs w:val="36"/>
          <w:highlight w:val="none"/>
          <w:lang w:eastAsia="zh-CN"/>
        </w:rPr>
        <w:t>投标供应商</w:t>
      </w:r>
      <w:r>
        <w:rPr>
          <w:rFonts w:hint="eastAsia" w:ascii="宋体" w:hAnsi="宋体" w:eastAsia="宋体" w:cs="宋体"/>
          <w:bCs/>
          <w:szCs w:val="36"/>
          <w:highlight w:val="none"/>
        </w:rPr>
        <w:t>须知</w:t>
      </w:r>
      <w:r>
        <w:rPr>
          <w:rFonts w:hint="eastAsia" w:ascii="宋体" w:hAnsi="宋体" w:eastAsia="宋体" w:cs="宋体"/>
          <w:highlight w:val="none"/>
        </w:rPr>
        <w:tab/>
      </w:r>
      <w:r>
        <w:rPr>
          <w:rFonts w:hint="eastAsia" w:ascii="宋体" w:hAnsi="宋体" w:eastAsia="宋体" w:cs="宋体"/>
          <w:highlight w:val="none"/>
          <w:lang w:val="en-US" w:eastAsia="zh-CN"/>
        </w:rPr>
        <w:t>6</w:t>
      </w:r>
      <w:r>
        <w:rPr>
          <w:rFonts w:hint="eastAsia" w:ascii="宋体" w:hAnsi="宋体" w:eastAsia="宋体" w:cs="宋体"/>
          <w:bCs w:val="0"/>
          <w:highlight w:val="none"/>
        </w:rPr>
        <w:fldChar w:fldCharType="end"/>
      </w:r>
    </w:p>
    <w:p>
      <w:pPr>
        <w:pStyle w:val="27"/>
        <w:tabs>
          <w:tab w:val="right" w:leader="dot" w:pos="9089"/>
          <w:tab w:val="clear" w:pos="8280"/>
          <w:tab w:val="clear" w:pos="9360"/>
        </w:tabs>
        <w:spacing w:line="480" w:lineRule="auto"/>
        <w:ind w:left="0" w:leftChars="0" w:firstLine="0" w:firstLineChars="0"/>
        <w:jc w:val="left"/>
        <w:rPr>
          <w:rFonts w:hint="eastAsia" w:ascii="宋体" w:hAnsi="宋体" w:eastAsia="宋体" w:cs="宋体"/>
          <w:highlight w:val="none"/>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_Toc22431 </w:instrText>
      </w:r>
      <w:r>
        <w:rPr>
          <w:rFonts w:hint="eastAsia" w:ascii="宋体" w:hAnsi="宋体" w:eastAsia="宋体" w:cs="宋体"/>
          <w:bCs w:val="0"/>
          <w:highlight w:val="none"/>
        </w:rPr>
        <w:fldChar w:fldCharType="separate"/>
      </w:r>
      <w:r>
        <w:rPr>
          <w:rFonts w:hint="eastAsia" w:ascii="宋体" w:hAnsi="宋体" w:eastAsia="宋体" w:cs="宋体"/>
          <w:bCs/>
          <w:szCs w:val="36"/>
          <w:highlight w:val="none"/>
        </w:rPr>
        <w:t>第三章  评标办法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_Toc22431 </w:instrText>
      </w:r>
      <w:r>
        <w:rPr>
          <w:rFonts w:hint="eastAsia" w:ascii="宋体" w:hAnsi="宋体" w:eastAsia="宋体" w:cs="宋体"/>
          <w:highlight w:val="none"/>
        </w:rPr>
        <w:fldChar w:fldCharType="separate"/>
      </w:r>
      <w:r>
        <w:rPr>
          <w:rFonts w:hint="eastAsia" w:ascii="宋体" w:hAnsi="宋体" w:eastAsia="宋体" w:cs="宋体"/>
          <w:highlight w:val="none"/>
        </w:rPr>
        <w:t>29</w:t>
      </w:r>
      <w:r>
        <w:rPr>
          <w:rFonts w:hint="eastAsia" w:ascii="宋体" w:hAnsi="宋体" w:eastAsia="宋体" w:cs="宋体"/>
          <w:highlight w:val="none"/>
        </w:rPr>
        <w:fldChar w:fldCharType="end"/>
      </w:r>
      <w:r>
        <w:rPr>
          <w:rFonts w:hint="eastAsia" w:ascii="宋体" w:hAnsi="宋体" w:eastAsia="宋体" w:cs="宋体"/>
          <w:bCs w:val="0"/>
          <w:highlight w:val="none"/>
        </w:rPr>
        <w:fldChar w:fldCharType="end"/>
      </w:r>
    </w:p>
    <w:p>
      <w:pPr>
        <w:pStyle w:val="27"/>
        <w:tabs>
          <w:tab w:val="right" w:leader="dot" w:pos="9089"/>
          <w:tab w:val="clear" w:pos="8280"/>
          <w:tab w:val="clear" w:pos="9360"/>
        </w:tabs>
        <w:spacing w:line="480" w:lineRule="auto"/>
        <w:ind w:left="0" w:leftChars="0" w:firstLine="0" w:firstLineChars="0"/>
        <w:jc w:val="left"/>
        <w:rPr>
          <w:rFonts w:hint="eastAsia" w:ascii="宋体" w:hAnsi="宋体" w:eastAsia="宋体" w:cs="宋体"/>
          <w:highlight w:val="none"/>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_Toc18083 </w:instrText>
      </w:r>
      <w:r>
        <w:rPr>
          <w:rFonts w:hint="eastAsia" w:ascii="宋体" w:hAnsi="宋体" w:eastAsia="宋体" w:cs="宋体"/>
          <w:bCs w:val="0"/>
          <w:highlight w:val="none"/>
        </w:rPr>
        <w:fldChar w:fldCharType="separate"/>
      </w:r>
      <w:r>
        <w:rPr>
          <w:rFonts w:hint="eastAsia" w:ascii="宋体" w:hAnsi="宋体" w:eastAsia="宋体" w:cs="宋体"/>
          <w:bCs/>
          <w:szCs w:val="36"/>
          <w:highlight w:val="none"/>
        </w:rPr>
        <w:t>第四章  采购内容及技术要求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_Toc18083 </w:instrText>
      </w:r>
      <w:r>
        <w:rPr>
          <w:rFonts w:hint="eastAsia" w:ascii="宋体" w:hAnsi="宋体" w:eastAsia="宋体" w:cs="宋体"/>
          <w:highlight w:val="none"/>
        </w:rPr>
        <w:fldChar w:fldCharType="separate"/>
      </w:r>
      <w:r>
        <w:rPr>
          <w:rFonts w:hint="eastAsia" w:ascii="宋体" w:hAnsi="宋体" w:eastAsia="宋体" w:cs="宋体"/>
          <w:highlight w:val="none"/>
        </w:rPr>
        <w:t>43</w:t>
      </w:r>
      <w:r>
        <w:rPr>
          <w:rFonts w:hint="eastAsia" w:ascii="宋体" w:hAnsi="宋体" w:eastAsia="宋体" w:cs="宋体"/>
          <w:highlight w:val="none"/>
        </w:rPr>
        <w:fldChar w:fldCharType="end"/>
      </w:r>
      <w:r>
        <w:rPr>
          <w:rFonts w:hint="eastAsia" w:ascii="宋体" w:hAnsi="宋体" w:eastAsia="宋体" w:cs="宋体"/>
          <w:bCs w:val="0"/>
          <w:highlight w:val="none"/>
        </w:rPr>
        <w:fldChar w:fldCharType="end"/>
      </w:r>
    </w:p>
    <w:p>
      <w:pPr>
        <w:pStyle w:val="27"/>
        <w:tabs>
          <w:tab w:val="right" w:leader="dot" w:pos="9089"/>
          <w:tab w:val="clear" w:pos="8280"/>
          <w:tab w:val="clear" w:pos="9360"/>
        </w:tabs>
        <w:spacing w:line="480" w:lineRule="auto"/>
        <w:ind w:left="0" w:leftChars="0" w:firstLine="0" w:firstLineChars="0"/>
        <w:jc w:val="left"/>
        <w:rPr>
          <w:rFonts w:hint="eastAsia" w:ascii="宋体" w:hAnsi="宋体" w:eastAsia="宋体" w:cs="宋体"/>
          <w:highlight w:val="none"/>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_Toc20463 </w:instrText>
      </w:r>
      <w:r>
        <w:rPr>
          <w:rFonts w:hint="eastAsia" w:ascii="宋体" w:hAnsi="宋体" w:eastAsia="宋体" w:cs="宋体"/>
          <w:bCs w:val="0"/>
          <w:highlight w:val="none"/>
        </w:rPr>
        <w:fldChar w:fldCharType="separate"/>
      </w:r>
      <w:r>
        <w:rPr>
          <w:rFonts w:hint="eastAsia" w:ascii="宋体" w:hAnsi="宋体" w:eastAsia="宋体" w:cs="宋体"/>
          <w:bCs/>
          <w:szCs w:val="36"/>
          <w:highlight w:val="none"/>
        </w:rPr>
        <w:t>第五章  合同格式与主要条款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_Toc20463 </w:instrText>
      </w:r>
      <w:r>
        <w:rPr>
          <w:rFonts w:hint="eastAsia" w:ascii="宋体" w:hAnsi="宋体" w:eastAsia="宋体" w:cs="宋体"/>
          <w:highlight w:val="none"/>
        </w:rPr>
        <w:fldChar w:fldCharType="separate"/>
      </w:r>
      <w:r>
        <w:rPr>
          <w:rFonts w:hint="eastAsia" w:ascii="宋体" w:hAnsi="宋体" w:eastAsia="宋体" w:cs="宋体"/>
          <w:highlight w:val="none"/>
        </w:rPr>
        <w:t>55</w:t>
      </w:r>
      <w:r>
        <w:rPr>
          <w:rFonts w:hint="eastAsia" w:ascii="宋体" w:hAnsi="宋体" w:eastAsia="宋体" w:cs="宋体"/>
          <w:highlight w:val="none"/>
        </w:rPr>
        <w:fldChar w:fldCharType="end"/>
      </w:r>
      <w:r>
        <w:rPr>
          <w:rFonts w:hint="eastAsia" w:ascii="宋体" w:hAnsi="宋体" w:eastAsia="宋体" w:cs="宋体"/>
          <w:bCs w:val="0"/>
          <w:highlight w:val="none"/>
        </w:rPr>
        <w:fldChar w:fldCharType="end"/>
      </w:r>
    </w:p>
    <w:p>
      <w:pPr>
        <w:pStyle w:val="27"/>
        <w:tabs>
          <w:tab w:val="right" w:leader="dot" w:pos="9089"/>
          <w:tab w:val="clear" w:pos="8280"/>
          <w:tab w:val="clear" w:pos="9360"/>
        </w:tabs>
        <w:spacing w:line="480" w:lineRule="auto"/>
        <w:ind w:left="0" w:leftChars="0" w:firstLine="0" w:firstLineChars="0"/>
        <w:jc w:val="left"/>
        <w:rPr>
          <w:rFonts w:hint="eastAsia" w:ascii="宋体" w:hAnsi="宋体" w:eastAsia="宋体" w:cs="宋体"/>
          <w:highlight w:val="none"/>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_Toc9715 </w:instrText>
      </w:r>
      <w:r>
        <w:rPr>
          <w:rFonts w:hint="eastAsia" w:ascii="宋体" w:hAnsi="宋体" w:eastAsia="宋体" w:cs="宋体"/>
          <w:bCs w:val="0"/>
          <w:highlight w:val="none"/>
        </w:rPr>
        <w:fldChar w:fldCharType="separate"/>
      </w:r>
      <w:r>
        <w:rPr>
          <w:rFonts w:hint="eastAsia" w:ascii="宋体" w:hAnsi="宋体" w:eastAsia="宋体" w:cs="宋体"/>
          <w:bCs/>
          <w:szCs w:val="36"/>
          <w:highlight w:val="none"/>
        </w:rPr>
        <w:t>第六章  投标文件格式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_Toc9715 </w:instrText>
      </w:r>
      <w:r>
        <w:rPr>
          <w:rFonts w:hint="eastAsia" w:ascii="宋体" w:hAnsi="宋体" w:eastAsia="宋体" w:cs="宋体"/>
          <w:highlight w:val="none"/>
        </w:rPr>
        <w:fldChar w:fldCharType="separate"/>
      </w:r>
      <w:r>
        <w:rPr>
          <w:rFonts w:hint="eastAsia" w:ascii="宋体" w:hAnsi="宋体" w:eastAsia="宋体" w:cs="宋体"/>
          <w:highlight w:val="none"/>
        </w:rPr>
        <w:t>69</w:t>
      </w:r>
      <w:r>
        <w:rPr>
          <w:rFonts w:hint="eastAsia" w:ascii="宋体" w:hAnsi="宋体" w:eastAsia="宋体" w:cs="宋体"/>
          <w:highlight w:val="none"/>
        </w:rPr>
        <w:fldChar w:fldCharType="end"/>
      </w:r>
      <w:r>
        <w:rPr>
          <w:rFonts w:hint="eastAsia" w:ascii="宋体" w:hAnsi="宋体" w:eastAsia="宋体" w:cs="宋体"/>
          <w:bCs w:val="0"/>
          <w:highlight w:val="none"/>
        </w:rPr>
        <w:fldChar w:fldCharType="end"/>
      </w:r>
    </w:p>
    <w:p>
      <w:pPr>
        <w:tabs>
          <w:tab w:val="right" w:leader="dot" w:pos="9458"/>
        </w:tabs>
        <w:spacing w:line="600" w:lineRule="exact"/>
        <w:ind w:left="0" w:leftChars="0"/>
        <w:jc w:val="center"/>
        <w:rPr>
          <w:rFonts w:hint="eastAsia" w:ascii="宋体" w:hAnsi="宋体" w:eastAsia="宋体" w:cs="宋体"/>
          <w:szCs w:val="21"/>
          <w:highlight w:val="none"/>
        </w:rPr>
      </w:pPr>
      <w:r>
        <w:rPr>
          <w:rFonts w:hint="eastAsia" w:ascii="宋体" w:hAnsi="宋体" w:eastAsia="宋体" w:cs="宋体"/>
          <w:bCs/>
          <w:sz w:val="24"/>
          <w:highlight w:val="none"/>
        </w:rPr>
        <w:fldChar w:fldCharType="end"/>
      </w:r>
    </w:p>
    <w:p>
      <w:pPr>
        <w:pStyle w:val="30"/>
        <w:tabs>
          <w:tab w:val="right" w:leader="dot" w:pos="9458"/>
        </w:tabs>
        <w:spacing w:line="600" w:lineRule="exact"/>
        <w:ind w:left="0" w:leftChars="0"/>
        <w:rPr>
          <w:rFonts w:hint="eastAsia" w:ascii="宋体" w:hAnsi="宋体" w:eastAsia="宋体" w:cs="宋体"/>
          <w:szCs w:val="21"/>
          <w:highlight w:val="none"/>
        </w:rPr>
      </w:pPr>
    </w:p>
    <w:p>
      <w:pPr>
        <w:pStyle w:val="30"/>
        <w:tabs>
          <w:tab w:val="right" w:leader="dot" w:pos="9458"/>
        </w:tabs>
        <w:spacing w:line="600" w:lineRule="exact"/>
        <w:ind w:left="0" w:leftChars="0"/>
        <w:rPr>
          <w:rFonts w:hint="eastAsia" w:ascii="宋体" w:hAnsi="宋体" w:eastAsia="宋体" w:cs="宋体"/>
          <w:szCs w:val="21"/>
          <w:highlight w:val="none"/>
        </w:rPr>
      </w:pPr>
    </w:p>
    <w:p>
      <w:pPr>
        <w:pStyle w:val="30"/>
        <w:tabs>
          <w:tab w:val="right" w:leader="dot" w:pos="9458"/>
        </w:tabs>
        <w:spacing w:line="600" w:lineRule="exact"/>
        <w:ind w:left="0" w:leftChars="0"/>
        <w:rPr>
          <w:rFonts w:hint="eastAsia" w:ascii="宋体" w:hAnsi="宋体" w:eastAsia="宋体" w:cs="宋体"/>
          <w:szCs w:val="21"/>
          <w:highlight w:val="none"/>
        </w:rPr>
      </w:pPr>
    </w:p>
    <w:p>
      <w:pPr>
        <w:pStyle w:val="30"/>
        <w:tabs>
          <w:tab w:val="right" w:leader="dot" w:pos="9458"/>
        </w:tabs>
        <w:spacing w:line="600" w:lineRule="exact"/>
        <w:ind w:left="0" w:leftChars="0"/>
        <w:rPr>
          <w:rFonts w:hint="eastAsia" w:ascii="宋体" w:hAnsi="宋体" w:eastAsia="宋体" w:cs="宋体"/>
          <w:szCs w:val="21"/>
          <w:highlight w:val="none"/>
        </w:rPr>
      </w:pPr>
    </w:p>
    <w:p>
      <w:pPr>
        <w:pStyle w:val="30"/>
        <w:tabs>
          <w:tab w:val="right" w:leader="dot" w:pos="9458"/>
        </w:tabs>
        <w:spacing w:line="600" w:lineRule="exact"/>
        <w:ind w:left="0" w:leftChars="0"/>
        <w:rPr>
          <w:rFonts w:hint="eastAsia" w:ascii="宋体" w:hAnsi="宋体" w:eastAsia="宋体" w:cs="宋体"/>
          <w:szCs w:val="21"/>
          <w:highlight w:val="none"/>
        </w:rPr>
      </w:pPr>
    </w:p>
    <w:p>
      <w:pPr>
        <w:pStyle w:val="30"/>
        <w:tabs>
          <w:tab w:val="right" w:leader="dot" w:pos="9458"/>
        </w:tabs>
        <w:spacing w:line="600" w:lineRule="exact"/>
        <w:ind w:left="0" w:leftChars="0"/>
        <w:rPr>
          <w:rFonts w:hint="eastAsia" w:ascii="宋体" w:hAnsi="宋体" w:eastAsia="宋体" w:cs="宋体"/>
          <w:szCs w:val="21"/>
          <w:highlight w:val="none"/>
        </w:rPr>
      </w:pPr>
    </w:p>
    <w:p>
      <w:pPr>
        <w:pStyle w:val="30"/>
        <w:tabs>
          <w:tab w:val="right" w:leader="dot" w:pos="9458"/>
        </w:tabs>
        <w:spacing w:line="600" w:lineRule="exact"/>
        <w:ind w:left="0" w:leftChars="0"/>
        <w:rPr>
          <w:rFonts w:hint="eastAsia" w:ascii="宋体" w:hAnsi="宋体" w:eastAsia="宋体" w:cs="宋体"/>
          <w:szCs w:val="21"/>
          <w:highlight w:val="none"/>
        </w:rPr>
      </w:pPr>
    </w:p>
    <w:p>
      <w:pPr>
        <w:pStyle w:val="30"/>
        <w:tabs>
          <w:tab w:val="right" w:leader="dot" w:pos="9458"/>
        </w:tabs>
        <w:spacing w:line="600" w:lineRule="exact"/>
        <w:ind w:left="0" w:leftChars="0"/>
        <w:rPr>
          <w:rFonts w:hint="eastAsia" w:ascii="宋体" w:hAnsi="宋体" w:eastAsia="宋体" w:cs="宋体"/>
          <w:szCs w:val="21"/>
          <w:highlight w:val="none"/>
        </w:rPr>
      </w:pPr>
    </w:p>
    <w:p>
      <w:pPr>
        <w:pStyle w:val="30"/>
        <w:tabs>
          <w:tab w:val="right" w:leader="dot" w:pos="9458"/>
        </w:tabs>
        <w:spacing w:line="600" w:lineRule="exact"/>
        <w:ind w:left="0" w:leftChars="0"/>
        <w:rPr>
          <w:rFonts w:hint="eastAsia" w:ascii="宋体" w:hAnsi="宋体" w:eastAsia="宋体" w:cs="宋体"/>
          <w:sz w:val="36"/>
          <w:szCs w:val="36"/>
          <w:highlight w:val="none"/>
        </w:rPr>
      </w:pPr>
      <w:bookmarkStart w:id="3" w:name="_Toc204055778"/>
      <w:bookmarkStart w:id="4" w:name="_Toc222740105"/>
    </w:p>
    <w:p>
      <w:pPr>
        <w:rPr>
          <w:rFonts w:hint="eastAsia" w:ascii="宋体" w:hAnsi="宋体" w:eastAsia="宋体" w:cs="宋体"/>
          <w:sz w:val="36"/>
          <w:szCs w:val="36"/>
          <w:highlight w:val="none"/>
        </w:rPr>
      </w:pPr>
    </w:p>
    <w:p>
      <w:pPr>
        <w:rPr>
          <w:rFonts w:hint="eastAsia" w:ascii="宋体" w:hAnsi="宋体" w:eastAsia="宋体" w:cs="宋体"/>
          <w:sz w:val="36"/>
          <w:szCs w:val="36"/>
          <w:highlight w:val="none"/>
        </w:rPr>
      </w:pPr>
    </w:p>
    <w:p>
      <w:pPr>
        <w:rPr>
          <w:rFonts w:hint="eastAsia" w:ascii="宋体" w:hAnsi="宋体" w:eastAsia="宋体" w:cs="宋体"/>
          <w:sz w:val="36"/>
          <w:szCs w:val="36"/>
          <w:highlight w:val="none"/>
        </w:rPr>
      </w:pPr>
    </w:p>
    <w:p>
      <w:pPr>
        <w:pStyle w:val="4"/>
        <w:numPr>
          <w:ilvl w:val="0"/>
          <w:numId w:val="0"/>
        </w:numPr>
        <w:spacing w:before="200" w:after="200"/>
        <w:jc w:val="both"/>
        <w:rPr>
          <w:rFonts w:hint="eastAsia" w:ascii="宋体" w:hAnsi="宋体" w:eastAsia="宋体" w:cs="宋体"/>
          <w:b/>
          <w:bCs/>
          <w:sz w:val="36"/>
          <w:szCs w:val="36"/>
          <w:highlight w:val="none"/>
        </w:rPr>
        <w:sectPr>
          <w:footerReference r:id="rId5" w:type="default"/>
          <w:pgSz w:w="11923" w:h="16860"/>
          <w:pgMar w:top="1417" w:right="1417" w:bottom="1417" w:left="1417" w:header="850" w:footer="907" w:gutter="0"/>
          <w:pgBorders>
            <w:top w:val="none" w:sz="0" w:space="0"/>
            <w:left w:val="none" w:sz="0" w:space="0"/>
            <w:bottom w:val="thinThickSmallGap" w:color="auto" w:sz="24" w:space="1"/>
            <w:right w:val="none" w:sz="0" w:space="0"/>
          </w:pgBorders>
          <w:pgNumType w:fmt="decimal" w:start="1"/>
          <w:cols w:space="720" w:num="1"/>
        </w:sectPr>
      </w:pPr>
    </w:p>
    <w:p>
      <w:pPr>
        <w:pStyle w:val="16"/>
        <w:rPr>
          <w:rFonts w:hint="eastAsia" w:ascii="宋体" w:hAnsi="宋体" w:eastAsia="宋体" w:cs="宋体"/>
          <w:highlight w:val="none"/>
        </w:rPr>
      </w:pPr>
    </w:p>
    <w:bookmarkEnd w:id="2"/>
    <w:bookmarkEnd w:id="3"/>
    <w:bookmarkEnd w:id="4"/>
    <w:p>
      <w:pPr>
        <w:pStyle w:val="3"/>
        <w:numPr>
          <w:ilvl w:val="0"/>
          <w:numId w:val="0"/>
        </w:numPr>
        <w:rPr>
          <w:rFonts w:hint="eastAsia" w:ascii="宋体" w:hAnsi="宋体" w:eastAsia="宋体" w:cs="宋体"/>
          <w:b/>
          <w:bCs/>
          <w:sz w:val="36"/>
          <w:szCs w:val="36"/>
          <w:highlight w:val="none"/>
        </w:rPr>
      </w:pPr>
      <w:bookmarkStart w:id="5" w:name="_Toc18036"/>
      <w:r>
        <w:rPr>
          <w:rFonts w:hint="eastAsia" w:ascii="宋体" w:hAnsi="宋体" w:eastAsia="宋体" w:cs="宋体"/>
          <w:b/>
          <w:bCs/>
          <w:sz w:val="36"/>
          <w:szCs w:val="36"/>
          <w:highlight w:val="none"/>
        </w:rPr>
        <w:t>第一章  招标公告</w:t>
      </w:r>
      <w:bookmarkEnd w:id="5"/>
    </w:p>
    <w:p>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b/>
          <w:sz w:val="28"/>
          <w:szCs w:val="28"/>
          <w:highlight w:val="none"/>
          <w:lang w:val="en-US" w:eastAsia="zh-CN"/>
        </w:rPr>
      </w:pPr>
      <w:bookmarkStart w:id="6" w:name="_Toc404444231"/>
      <w:r>
        <w:rPr>
          <w:rFonts w:hint="eastAsia" w:ascii="宋体" w:hAnsi="宋体" w:eastAsia="宋体" w:cs="宋体"/>
          <w:b/>
          <w:sz w:val="28"/>
          <w:szCs w:val="28"/>
          <w:highlight w:val="none"/>
          <w:lang w:val="en-US" w:eastAsia="zh-CN"/>
        </w:rPr>
        <w:t>陕西省西咸新区秦汉新城综合行政执法支队秦汉新城绿化养护二标段</w:t>
      </w:r>
    </w:p>
    <w:p>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color w:val="333333"/>
          <w:sz w:val="28"/>
          <w:szCs w:val="28"/>
          <w:highlight w:val="none"/>
          <w:vertAlign w:val="baseline"/>
          <w:lang w:val="en-US" w:eastAsia="zh-CN"/>
        </w:rPr>
      </w:pPr>
      <w:r>
        <w:rPr>
          <w:rFonts w:hint="eastAsia" w:ascii="宋体" w:hAnsi="宋体" w:eastAsia="宋体" w:cs="宋体"/>
          <w:b/>
          <w:kern w:val="2"/>
          <w:sz w:val="28"/>
          <w:szCs w:val="28"/>
          <w:highlight w:val="none"/>
          <w:lang w:val="en-US" w:eastAsia="zh-CN" w:bidi="ar-SA"/>
        </w:rPr>
        <w:t>招标公告</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5" w:type="dxa"/>
          </w:tcPr>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sz w:val="21"/>
                <w:szCs w:val="21"/>
                <w:highlight w:val="none"/>
                <w:shd w:val="clear" w:fill="FFFFFF"/>
                <w:vertAlign w:val="baseline"/>
                <w:lang w:val="en-US" w:eastAsia="zh-CN"/>
              </w:rPr>
            </w:pP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项目概况</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sz w:val="21"/>
                <w:szCs w:val="21"/>
                <w:highlight w:val="none"/>
                <w:shd w:val="clear" w:fill="FFFFFF"/>
                <w:vertAlign w:val="baseline"/>
                <w:lang w:val="en-US" w:eastAsia="zh-CN"/>
              </w:rPr>
            </w:pP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秦汉新城绿化养护二标段招标项目的潜在投标人应在全国公共资源交易平台（陕西省·西咸新区）自行下载获取招标文件，并于2023年</w:t>
            </w:r>
            <w:r>
              <w:rPr>
                <w:rFonts w:hint="eastAsia" w:cs="宋体"/>
                <w:i w:val="0"/>
                <w:iCs w:val="0"/>
                <w:caps w:val="0"/>
                <w:color w:val="333333"/>
                <w:spacing w:val="0"/>
                <w:sz w:val="21"/>
                <w:szCs w:val="21"/>
                <w:highlight w:val="none"/>
                <w:shd w:val="clear" w:fill="FFFFFF"/>
                <w:vertAlign w:val="baseline"/>
                <w:lang w:val="en-US" w:eastAsia="zh-CN"/>
              </w:rPr>
              <w:t>8</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月</w:t>
            </w:r>
            <w:r>
              <w:rPr>
                <w:rFonts w:hint="eastAsia" w:cs="宋体"/>
                <w:i w:val="0"/>
                <w:iCs w:val="0"/>
                <w:caps w:val="0"/>
                <w:color w:val="333333"/>
                <w:spacing w:val="0"/>
                <w:sz w:val="21"/>
                <w:szCs w:val="21"/>
                <w:highlight w:val="none"/>
                <w:shd w:val="clear" w:fill="FFFFFF"/>
                <w:vertAlign w:val="baseline"/>
                <w:lang w:val="en-US" w:eastAsia="zh-CN"/>
              </w:rPr>
              <w:t>17</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日09时30分（北京时间）前递交投标文件。</w:t>
            </w:r>
          </w:p>
        </w:tc>
      </w:tr>
    </w:tbl>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b/>
          <w:bCs/>
          <w:i w:val="0"/>
          <w:iCs w:val="0"/>
          <w:caps w:val="0"/>
          <w:color w:val="333333"/>
          <w:spacing w:val="0"/>
          <w:sz w:val="21"/>
          <w:szCs w:val="21"/>
          <w:highlight w:val="none"/>
          <w:shd w:val="clear" w:fill="FFFFFF"/>
          <w:vertAlign w:val="baseline"/>
        </w:rPr>
      </w:pPr>
      <w:r>
        <w:rPr>
          <w:rFonts w:hint="eastAsia" w:ascii="宋体" w:hAnsi="宋体" w:eastAsia="宋体" w:cs="宋体"/>
          <w:b/>
          <w:bCs/>
          <w:i w:val="0"/>
          <w:iCs w:val="0"/>
          <w:caps w:val="0"/>
          <w:color w:val="333333"/>
          <w:spacing w:val="0"/>
          <w:sz w:val="21"/>
          <w:szCs w:val="21"/>
          <w:highlight w:val="none"/>
          <w:shd w:val="clear" w:fill="FFFFFF"/>
          <w:vertAlign w:val="baseline"/>
        </w:rPr>
        <w:t>一、项目基本情况</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sz w:val="21"/>
          <w:szCs w:val="21"/>
          <w:highlight w:val="none"/>
          <w:shd w:val="clear" w:fill="FFFFFF"/>
          <w:vertAlign w:val="baseline"/>
          <w:lang w:eastAsia="zh-CN"/>
        </w:rPr>
      </w:pPr>
      <w:r>
        <w:rPr>
          <w:rFonts w:hint="eastAsia" w:ascii="宋体" w:hAnsi="宋体" w:eastAsia="宋体" w:cs="宋体"/>
          <w:i w:val="0"/>
          <w:iCs w:val="0"/>
          <w:caps w:val="0"/>
          <w:color w:val="333333"/>
          <w:spacing w:val="0"/>
          <w:sz w:val="21"/>
          <w:szCs w:val="21"/>
          <w:highlight w:val="none"/>
          <w:shd w:val="clear" w:fill="FFFFFF"/>
          <w:vertAlign w:val="baseline"/>
        </w:rPr>
        <w:t>项目编号：</w:t>
      </w:r>
      <w:r>
        <w:rPr>
          <w:rFonts w:hint="eastAsia" w:ascii="宋体" w:hAnsi="宋体" w:eastAsia="宋体" w:cs="宋体"/>
          <w:i w:val="0"/>
          <w:iCs w:val="0"/>
          <w:caps w:val="0"/>
          <w:color w:val="333333"/>
          <w:spacing w:val="0"/>
          <w:sz w:val="21"/>
          <w:szCs w:val="21"/>
          <w:highlight w:val="none"/>
          <w:shd w:val="clear" w:fill="FFFFFF"/>
          <w:vertAlign w:val="baseline"/>
          <w:lang w:eastAsia="zh-CN"/>
        </w:rPr>
        <w:t>RXCG-2023040</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sz w:val="21"/>
          <w:szCs w:val="21"/>
          <w:highlight w:val="none"/>
          <w:shd w:val="clear" w:fill="FFFFFF"/>
          <w:vertAlign w:val="baseline"/>
        </w:rPr>
      </w:pPr>
      <w:r>
        <w:rPr>
          <w:rFonts w:hint="eastAsia" w:ascii="宋体" w:hAnsi="宋体" w:eastAsia="宋体" w:cs="宋体"/>
          <w:i w:val="0"/>
          <w:iCs w:val="0"/>
          <w:caps w:val="0"/>
          <w:color w:val="333333"/>
          <w:spacing w:val="0"/>
          <w:sz w:val="21"/>
          <w:szCs w:val="21"/>
          <w:highlight w:val="none"/>
          <w:shd w:val="clear" w:fill="FFFFFF"/>
          <w:vertAlign w:val="baseline"/>
        </w:rPr>
        <w:t>项目名称：</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秦汉新城绿化养护二标段</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sz w:val="21"/>
          <w:szCs w:val="21"/>
          <w:highlight w:val="none"/>
          <w:shd w:val="clear" w:fill="FFFFFF"/>
          <w:vertAlign w:val="baseline"/>
        </w:rPr>
      </w:pPr>
      <w:r>
        <w:rPr>
          <w:rFonts w:hint="eastAsia" w:ascii="宋体" w:hAnsi="宋体" w:eastAsia="宋体" w:cs="宋体"/>
          <w:i w:val="0"/>
          <w:iCs w:val="0"/>
          <w:caps w:val="0"/>
          <w:color w:val="333333"/>
          <w:spacing w:val="0"/>
          <w:sz w:val="21"/>
          <w:szCs w:val="21"/>
          <w:highlight w:val="none"/>
          <w:shd w:val="clear" w:fill="FFFFFF"/>
          <w:vertAlign w:val="baseline"/>
        </w:rPr>
        <w:t>采购方式：公开招标</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sz w:val="21"/>
          <w:szCs w:val="21"/>
          <w:highlight w:val="none"/>
          <w:shd w:val="clear" w:fill="FFFFFF"/>
          <w:vertAlign w:val="baseline"/>
        </w:rPr>
      </w:pPr>
      <w:r>
        <w:rPr>
          <w:rFonts w:hint="eastAsia" w:ascii="宋体" w:hAnsi="宋体" w:eastAsia="宋体" w:cs="宋体"/>
          <w:i w:val="0"/>
          <w:iCs w:val="0"/>
          <w:caps w:val="0"/>
          <w:color w:val="333333"/>
          <w:spacing w:val="0"/>
          <w:sz w:val="21"/>
          <w:szCs w:val="21"/>
          <w:highlight w:val="none"/>
          <w:shd w:val="clear" w:fill="FFFFFF"/>
          <w:vertAlign w:val="baseline"/>
        </w:rPr>
        <w:t>预算金额：</w:t>
      </w:r>
      <w:r>
        <w:rPr>
          <w:rFonts w:hint="eastAsia" w:ascii="宋体" w:hAnsi="宋体" w:eastAsia="宋体" w:cs="宋体"/>
          <w:i w:val="0"/>
          <w:iCs w:val="0"/>
          <w:caps w:val="0"/>
          <w:color w:val="333333"/>
          <w:spacing w:val="0"/>
          <w:sz w:val="21"/>
          <w:szCs w:val="21"/>
          <w:highlight w:val="none"/>
          <w:shd w:val="clear"/>
          <w:vertAlign w:val="baseline"/>
          <w:lang w:val="en-US" w:eastAsia="zh-CN"/>
        </w:rPr>
        <w:t>7203600.00</w:t>
      </w:r>
      <w:r>
        <w:rPr>
          <w:rFonts w:hint="eastAsia" w:ascii="宋体" w:hAnsi="宋体" w:eastAsia="宋体" w:cs="宋体"/>
          <w:i w:val="0"/>
          <w:iCs w:val="0"/>
          <w:caps w:val="0"/>
          <w:color w:val="333333"/>
          <w:spacing w:val="0"/>
          <w:sz w:val="21"/>
          <w:szCs w:val="21"/>
          <w:highlight w:val="none"/>
          <w:shd w:val="clear" w:fill="FFFFFF"/>
          <w:vertAlign w:val="baseline"/>
        </w:rPr>
        <w:t>元</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sz w:val="21"/>
          <w:szCs w:val="21"/>
          <w:highlight w:val="none"/>
          <w:shd w:val="clear" w:fill="FFFFFF"/>
          <w:vertAlign w:val="baseline"/>
        </w:rPr>
      </w:pPr>
      <w:r>
        <w:rPr>
          <w:rFonts w:hint="eastAsia" w:ascii="宋体" w:hAnsi="宋体" w:eastAsia="宋体" w:cs="宋体"/>
          <w:i w:val="0"/>
          <w:iCs w:val="0"/>
          <w:caps w:val="0"/>
          <w:color w:val="333333"/>
          <w:spacing w:val="0"/>
          <w:sz w:val="21"/>
          <w:szCs w:val="21"/>
          <w:highlight w:val="none"/>
          <w:shd w:val="clear" w:fill="FFFFFF"/>
          <w:vertAlign w:val="baseline"/>
        </w:rPr>
        <w:t>采购需求：</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sz w:val="21"/>
          <w:szCs w:val="21"/>
          <w:highlight w:val="none"/>
          <w:shd w:val="clear" w:fill="FFFFFF"/>
          <w:vertAlign w:val="baseline"/>
        </w:rPr>
      </w:pPr>
      <w:r>
        <w:rPr>
          <w:rFonts w:hint="eastAsia" w:ascii="宋体" w:hAnsi="宋体" w:eastAsia="宋体" w:cs="宋体"/>
          <w:i w:val="0"/>
          <w:iCs w:val="0"/>
          <w:caps w:val="0"/>
          <w:color w:val="333333"/>
          <w:spacing w:val="0"/>
          <w:sz w:val="21"/>
          <w:szCs w:val="21"/>
          <w:highlight w:val="none"/>
          <w:shd w:val="clear" w:fill="FFFFFF"/>
          <w:vertAlign w:val="baseline"/>
        </w:rPr>
        <w:t>合同包</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1</w:t>
      </w:r>
      <w:r>
        <w:rPr>
          <w:rFonts w:hint="eastAsia" w:ascii="宋体" w:hAnsi="宋体" w:eastAsia="宋体" w:cs="宋体"/>
          <w:i w:val="0"/>
          <w:iCs w:val="0"/>
          <w:caps w:val="0"/>
          <w:color w:val="333333"/>
          <w:spacing w:val="0"/>
          <w:sz w:val="21"/>
          <w:szCs w:val="21"/>
          <w:highlight w:val="none"/>
          <w:shd w:val="clear" w:fill="FFFFFF"/>
          <w:vertAlign w:val="baseline"/>
        </w:rPr>
        <w:t>(</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秦汉新城绿化养护二标段</w:t>
      </w:r>
      <w:r>
        <w:rPr>
          <w:rFonts w:hint="eastAsia" w:ascii="宋体" w:hAnsi="宋体" w:eastAsia="宋体" w:cs="宋体"/>
          <w:i w:val="0"/>
          <w:iCs w:val="0"/>
          <w:caps w:val="0"/>
          <w:color w:val="333333"/>
          <w:spacing w:val="0"/>
          <w:sz w:val="21"/>
          <w:szCs w:val="21"/>
          <w:highlight w:val="none"/>
          <w:shd w:val="clear" w:fill="FFFFFF"/>
          <w:vertAlign w:val="baseline"/>
        </w:rPr>
        <w:t>):</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sz w:val="21"/>
          <w:szCs w:val="21"/>
          <w:highlight w:val="none"/>
          <w:shd w:val="clear" w:fill="FFFFFF"/>
          <w:vertAlign w:val="baseline"/>
        </w:rPr>
      </w:pPr>
      <w:r>
        <w:rPr>
          <w:rFonts w:hint="eastAsia" w:ascii="宋体" w:hAnsi="宋体" w:eastAsia="宋体" w:cs="宋体"/>
          <w:i w:val="0"/>
          <w:iCs w:val="0"/>
          <w:caps w:val="0"/>
          <w:color w:val="333333"/>
          <w:spacing w:val="0"/>
          <w:sz w:val="21"/>
          <w:szCs w:val="21"/>
          <w:highlight w:val="none"/>
          <w:shd w:val="clear" w:fill="FFFFFF"/>
          <w:vertAlign w:val="baseline"/>
        </w:rPr>
        <w:t>合同包预算金额：</w:t>
      </w:r>
      <w:r>
        <w:rPr>
          <w:rFonts w:hint="eastAsia" w:ascii="宋体" w:hAnsi="宋体" w:eastAsia="宋体" w:cs="宋体"/>
          <w:i w:val="0"/>
          <w:iCs w:val="0"/>
          <w:caps w:val="0"/>
          <w:color w:val="333333"/>
          <w:spacing w:val="0"/>
          <w:sz w:val="21"/>
          <w:szCs w:val="21"/>
          <w:highlight w:val="none"/>
          <w:shd w:val="clear"/>
          <w:vertAlign w:val="baseline"/>
          <w:lang w:val="en-US" w:eastAsia="zh-CN"/>
        </w:rPr>
        <w:t>7203600.00</w:t>
      </w:r>
      <w:r>
        <w:rPr>
          <w:rFonts w:hint="eastAsia" w:ascii="宋体" w:hAnsi="宋体" w:eastAsia="宋体" w:cs="宋体"/>
          <w:i w:val="0"/>
          <w:iCs w:val="0"/>
          <w:caps w:val="0"/>
          <w:color w:val="333333"/>
          <w:spacing w:val="0"/>
          <w:sz w:val="21"/>
          <w:szCs w:val="21"/>
          <w:highlight w:val="none"/>
          <w:shd w:val="clear" w:fill="FFFFFF"/>
          <w:vertAlign w:val="baseline"/>
        </w:rPr>
        <w:t>元</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sz w:val="21"/>
          <w:szCs w:val="21"/>
          <w:highlight w:val="none"/>
          <w:shd w:val="clear" w:fill="FFFFFF"/>
          <w:vertAlign w:val="baseline"/>
        </w:rPr>
      </w:pPr>
      <w:r>
        <w:rPr>
          <w:rFonts w:hint="eastAsia" w:ascii="宋体" w:hAnsi="宋体" w:eastAsia="宋体" w:cs="宋体"/>
          <w:i w:val="0"/>
          <w:iCs w:val="0"/>
          <w:caps w:val="0"/>
          <w:color w:val="333333"/>
          <w:spacing w:val="0"/>
          <w:sz w:val="21"/>
          <w:szCs w:val="21"/>
          <w:highlight w:val="none"/>
          <w:shd w:val="clear" w:fill="FFFFFF"/>
          <w:vertAlign w:val="baseline"/>
        </w:rPr>
        <w:t>合同包最高限价：</w:t>
      </w:r>
      <w:r>
        <w:rPr>
          <w:rFonts w:hint="eastAsia" w:ascii="宋体" w:hAnsi="宋体" w:eastAsia="宋体" w:cs="宋体"/>
          <w:i w:val="0"/>
          <w:iCs w:val="0"/>
          <w:caps w:val="0"/>
          <w:color w:val="333333"/>
          <w:spacing w:val="0"/>
          <w:sz w:val="21"/>
          <w:szCs w:val="21"/>
          <w:highlight w:val="none"/>
          <w:shd w:val="clear"/>
          <w:vertAlign w:val="baseline"/>
          <w:lang w:val="en-US" w:eastAsia="zh-CN"/>
        </w:rPr>
        <w:t>7203600.00</w:t>
      </w:r>
      <w:r>
        <w:rPr>
          <w:rFonts w:hint="eastAsia" w:ascii="宋体" w:hAnsi="宋体" w:eastAsia="宋体" w:cs="宋体"/>
          <w:i w:val="0"/>
          <w:iCs w:val="0"/>
          <w:caps w:val="0"/>
          <w:color w:val="333333"/>
          <w:spacing w:val="0"/>
          <w:sz w:val="21"/>
          <w:szCs w:val="21"/>
          <w:highlight w:val="none"/>
          <w:shd w:val="clear" w:fill="FFFFFF"/>
          <w:vertAlign w:val="baseline"/>
        </w:rPr>
        <w:t>元</w:t>
      </w:r>
    </w:p>
    <w:tbl>
      <w:tblPr>
        <w:tblStyle w:val="37"/>
        <w:tblW w:w="99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4"/>
        <w:gridCol w:w="1102"/>
        <w:gridCol w:w="2711"/>
        <w:gridCol w:w="999"/>
        <w:gridCol w:w="1417"/>
        <w:gridCol w:w="1373"/>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1" w:hRule="atLeast"/>
          <w:tblHeader/>
        </w:trPr>
        <w:tc>
          <w:tcPr>
            <w:tcW w:w="9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eastAsia="宋体" w:cs="宋体"/>
                <w:b/>
                <w:bCs/>
                <w:sz w:val="21"/>
                <w:szCs w:val="21"/>
                <w:highlight w:val="none"/>
                <w:lang w:val="en-US"/>
              </w:rPr>
            </w:pPr>
            <w:r>
              <w:rPr>
                <w:rFonts w:hint="eastAsia" w:ascii="宋体" w:hAnsi="宋体" w:eastAsia="宋体" w:cs="宋体"/>
                <w:b/>
                <w:bCs/>
                <w:kern w:val="0"/>
                <w:sz w:val="21"/>
                <w:szCs w:val="21"/>
                <w:highlight w:val="none"/>
                <w:lang w:val="en-US" w:eastAsia="zh-CN" w:bidi="ar"/>
              </w:rPr>
              <w:t>品目号</w:t>
            </w:r>
          </w:p>
        </w:tc>
        <w:tc>
          <w:tcPr>
            <w:tcW w:w="11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品目名称</w:t>
            </w:r>
          </w:p>
        </w:tc>
        <w:tc>
          <w:tcPr>
            <w:tcW w:w="27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采购标的</w:t>
            </w:r>
          </w:p>
        </w:tc>
        <w:tc>
          <w:tcPr>
            <w:tcW w:w="9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数量（单位）</w:t>
            </w:r>
          </w:p>
        </w:tc>
        <w:tc>
          <w:tcPr>
            <w:tcW w:w="14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val="en-US" w:eastAsia="zh-CN" w:bidi="ar"/>
              </w:rPr>
              <w:t>技术规格、参数及要求</w:t>
            </w:r>
          </w:p>
        </w:tc>
        <w:tc>
          <w:tcPr>
            <w:tcW w:w="13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品目预算(元)</w:t>
            </w:r>
          </w:p>
        </w:tc>
        <w:tc>
          <w:tcPr>
            <w:tcW w:w="13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9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eastAsia="宋体" w:cs="宋体"/>
                <w:sz w:val="21"/>
                <w:szCs w:val="21"/>
                <w:highlight w:val="none"/>
                <w:lang w:val="en-US"/>
              </w:rPr>
            </w:pPr>
            <w:r>
              <w:rPr>
                <w:rFonts w:hint="eastAsia" w:ascii="宋体" w:hAnsi="宋体" w:eastAsia="宋体" w:cs="宋体"/>
                <w:kern w:val="0"/>
                <w:sz w:val="21"/>
                <w:szCs w:val="21"/>
                <w:highlight w:val="none"/>
                <w:lang w:val="en-US" w:eastAsia="zh-CN" w:bidi="ar"/>
              </w:rPr>
              <w:t>1-1</w:t>
            </w:r>
          </w:p>
        </w:tc>
        <w:tc>
          <w:tcPr>
            <w:tcW w:w="11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i w:val="0"/>
                <w:iCs w:val="0"/>
                <w:caps w:val="0"/>
                <w:color w:val="333333"/>
                <w:spacing w:val="0"/>
                <w:sz w:val="21"/>
                <w:szCs w:val="21"/>
                <w:highlight w:val="none"/>
                <w:shd w:val="clear" w:fill="FFFFFF"/>
                <w:lang w:eastAsia="zh-CN"/>
              </w:rPr>
              <w:t>园林绿化管理服务</w:t>
            </w:r>
          </w:p>
        </w:tc>
        <w:tc>
          <w:tcPr>
            <w:tcW w:w="27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 xml:space="preserve">为确保绿化养护工作有序进行，本着突出重点，高效便捷的原则，拟对秦汉新城绿化养护二标段已接收绿化养护区域统一购买第三方服务，项目包含基础绿化养护及零星应急工程等 </w:t>
            </w:r>
          </w:p>
        </w:tc>
        <w:tc>
          <w:tcPr>
            <w:tcW w:w="9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1(项)</w:t>
            </w:r>
          </w:p>
        </w:tc>
        <w:tc>
          <w:tcPr>
            <w:tcW w:w="14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详见采购文件</w:t>
            </w:r>
          </w:p>
        </w:tc>
        <w:tc>
          <w:tcPr>
            <w:tcW w:w="13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i w:val="0"/>
                <w:iCs w:val="0"/>
                <w:caps w:val="0"/>
                <w:color w:val="333333"/>
                <w:spacing w:val="0"/>
                <w:sz w:val="21"/>
                <w:szCs w:val="21"/>
                <w:highlight w:val="none"/>
                <w:shd w:val="clear"/>
                <w:vertAlign w:val="baseline"/>
                <w:lang w:val="en-US" w:eastAsia="zh-CN"/>
              </w:rPr>
              <w:t>7203600.00</w:t>
            </w:r>
          </w:p>
        </w:tc>
        <w:tc>
          <w:tcPr>
            <w:tcW w:w="13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eastAsia="宋体" w:cs="宋体"/>
                <w:i w:val="0"/>
                <w:iCs w:val="0"/>
                <w:caps w:val="0"/>
                <w:color w:val="333333"/>
                <w:spacing w:val="0"/>
                <w:sz w:val="21"/>
                <w:szCs w:val="21"/>
                <w:highlight w:val="none"/>
                <w:shd w:val="clear" w:fill="FFFFFF"/>
                <w:vertAlign w:val="baseline"/>
                <w:lang w:val="en-US" w:eastAsia="zh-CN"/>
              </w:rPr>
            </w:pPr>
            <w:r>
              <w:rPr>
                <w:rFonts w:hint="eastAsia" w:ascii="宋体" w:hAnsi="宋体" w:eastAsia="宋体" w:cs="宋体"/>
                <w:i w:val="0"/>
                <w:iCs w:val="0"/>
                <w:caps w:val="0"/>
                <w:color w:val="333333"/>
                <w:spacing w:val="0"/>
                <w:sz w:val="21"/>
                <w:szCs w:val="21"/>
                <w:highlight w:val="none"/>
                <w:shd w:val="clear"/>
                <w:vertAlign w:val="baseline"/>
                <w:lang w:val="en-US" w:eastAsia="zh-CN"/>
              </w:rPr>
              <w:t>7203600.00</w:t>
            </w:r>
          </w:p>
        </w:tc>
      </w:tr>
    </w:tbl>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sz w:val="21"/>
          <w:szCs w:val="21"/>
          <w:highlight w:val="none"/>
          <w:shd w:val="clear" w:fill="FFFFFF"/>
          <w:vertAlign w:val="baseline"/>
        </w:rPr>
      </w:pPr>
      <w:r>
        <w:rPr>
          <w:rFonts w:hint="eastAsia" w:ascii="宋体" w:hAnsi="宋体" w:eastAsia="宋体" w:cs="宋体"/>
          <w:i w:val="0"/>
          <w:iCs w:val="0"/>
          <w:caps w:val="0"/>
          <w:color w:val="333333"/>
          <w:spacing w:val="0"/>
          <w:sz w:val="21"/>
          <w:szCs w:val="21"/>
          <w:highlight w:val="none"/>
          <w:shd w:val="clear" w:fill="FFFFFF"/>
          <w:vertAlign w:val="baseline"/>
        </w:rPr>
        <w:t>本合同包不接受联合体投标</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sz w:val="21"/>
          <w:szCs w:val="21"/>
          <w:highlight w:val="none"/>
          <w:shd w:val="clear" w:fill="FFFFFF"/>
          <w:vertAlign w:val="baseline"/>
          <w:lang w:val="en-US" w:eastAsia="zh-CN"/>
        </w:rPr>
      </w:pP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合同履行期限：</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三年（合同为每年签订一次，服务期一年，服务供应商在服务期内达不到采购人要求的，采购人有权更换服务供应商）。</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b/>
          <w:bCs/>
          <w:i w:val="0"/>
          <w:iCs w:val="0"/>
          <w:caps w:val="0"/>
          <w:color w:val="333333"/>
          <w:spacing w:val="0"/>
          <w:sz w:val="21"/>
          <w:szCs w:val="21"/>
          <w:highlight w:val="none"/>
          <w:shd w:val="clear" w:fill="FFFFFF"/>
          <w:vertAlign w:val="baseline"/>
        </w:rPr>
      </w:pPr>
      <w:r>
        <w:rPr>
          <w:rFonts w:hint="eastAsia" w:ascii="宋体" w:hAnsi="宋体" w:eastAsia="宋体" w:cs="宋体"/>
          <w:b/>
          <w:bCs/>
          <w:i w:val="0"/>
          <w:iCs w:val="0"/>
          <w:caps w:val="0"/>
          <w:color w:val="333333"/>
          <w:spacing w:val="0"/>
          <w:sz w:val="21"/>
          <w:szCs w:val="21"/>
          <w:highlight w:val="none"/>
          <w:shd w:val="clear" w:fill="FFFFFF"/>
          <w:vertAlign w:val="baseline"/>
        </w:rPr>
        <w:t>二、申请人的资格要求：</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1.满足《中华人民共和国政府采购法》第二十二条规定;</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sz w:val="21"/>
          <w:szCs w:val="21"/>
          <w:highlight w:val="none"/>
          <w:shd w:val="clear" w:fill="FFFFFF"/>
          <w:vertAlign w:val="baseline"/>
          <w:lang w:val="en-US" w:eastAsia="zh-CN"/>
        </w:rPr>
      </w:pP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2.落实政府采购政策需满足的资格要求：</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sz w:val="21"/>
          <w:szCs w:val="21"/>
          <w:highlight w:val="none"/>
          <w:shd w:val="clear" w:fill="FFFFFF"/>
          <w:vertAlign w:val="baseline"/>
          <w:lang w:val="en-US" w:eastAsia="zh-CN"/>
        </w:rPr>
      </w:pP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合同包1(秦汉新城绿化养护二标段)落实政府采购政策需满足的资格要求如下:本项目专门面向中小企业采购，仅限符合《政府采购促进中小企业发展暂行办法》（财库〔2020〕46号）条件的中小企业参与，投标供应商应填写中小企业声明函并对真实性负责。残疾人福利性单位及监狱企业视同为小型、微型企业，残疾人福利性单位应符合《关于促进残疾人就业政府采购政策的通知》（财库〔2017〕141号）要求，监狱企业应符合《关于政府采购支持监狱企业发展有关问题的通知》（财库〔2014〕68号）要求。</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3.本项目的特定资格要求：</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合同包1(秦汉新城绿化养护二标段)特定资格要求如下:</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1）法定代表人直接参加投标的，须提供法定代表人身份证明及身份证扫描件；法定代表人授权他人参加投标的，须提供法定代表人授权委托书（附法定代表人、被授权人身份证扫描件），自然人提供其身份证扫描件；</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2）投标供应商不得在“中国执行信息公开网”网站（http://zxgk.court.gov.cn/）中被列入失信被执行人、不得在“信用中国”网站（www.creditchina.gov.cn）被列为重大税收违法案件当事人，不得为“中国政府采购网”（www.ccgp.gov.cn）政府采购严重违法失信行为记录名单中被财政部门禁止参加政府采购活动的供应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（3）本项目不接受联合体投标。</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i w:val="0"/>
          <w:iCs w:val="0"/>
          <w:caps w:val="0"/>
          <w:color w:val="333333"/>
          <w:spacing w:val="0"/>
          <w:kern w:val="0"/>
          <w:sz w:val="21"/>
          <w:szCs w:val="21"/>
          <w:highlight w:val="none"/>
          <w:shd w:val="clear" w:fill="FFFFFF"/>
          <w:vertAlign w:val="baseline"/>
          <w:lang w:val="en-US" w:eastAsia="zh-CN" w:bidi="ar-SA"/>
        </w:rPr>
      </w:pPr>
      <w:r>
        <w:rPr>
          <w:rFonts w:hint="eastAsia" w:ascii="宋体" w:hAnsi="宋体" w:eastAsia="宋体" w:cs="宋体"/>
          <w:b/>
          <w:bCs/>
          <w:i w:val="0"/>
          <w:iCs w:val="0"/>
          <w:caps w:val="0"/>
          <w:color w:val="333333"/>
          <w:spacing w:val="0"/>
          <w:kern w:val="0"/>
          <w:sz w:val="21"/>
          <w:szCs w:val="21"/>
          <w:highlight w:val="none"/>
          <w:shd w:val="clear" w:fill="FFFFFF"/>
          <w:vertAlign w:val="baseline"/>
          <w:lang w:val="en-US" w:eastAsia="zh-CN" w:bidi="ar-SA"/>
        </w:rPr>
        <w:t>三、获取招标文件</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时间：2023年</w:t>
      </w:r>
      <w:r>
        <w:rPr>
          <w:rFonts w:hint="eastAsia" w:ascii="宋体" w:hAnsi="宋体" w:cs="宋体"/>
          <w:i w:val="0"/>
          <w:iCs w:val="0"/>
          <w:caps w:val="0"/>
          <w:color w:val="333333"/>
          <w:spacing w:val="0"/>
          <w:kern w:val="0"/>
          <w:sz w:val="21"/>
          <w:szCs w:val="21"/>
          <w:highlight w:val="none"/>
          <w:shd w:val="clear" w:fill="FFFFFF"/>
          <w:vertAlign w:val="baseline"/>
          <w:lang w:val="en-US" w:eastAsia="zh-CN" w:bidi="ar-SA"/>
        </w:rPr>
        <w:t>7</w:t>
      </w: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月</w:t>
      </w:r>
      <w:r>
        <w:rPr>
          <w:rFonts w:hint="eastAsia" w:ascii="宋体" w:hAnsi="宋体" w:cs="宋体"/>
          <w:i w:val="0"/>
          <w:iCs w:val="0"/>
          <w:caps w:val="0"/>
          <w:color w:val="333333"/>
          <w:spacing w:val="0"/>
          <w:kern w:val="0"/>
          <w:sz w:val="21"/>
          <w:szCs w:val="21"/>
          <w:highlight w:val="none"/>
          <w:shd w:val="clear" w:fill="FFFFFF"/>
          <w:vertAlign w:val="baseline"/>
          <w:lang w:val="en-US" w:eastAsia="zh-CN" w:bidi="ar-SA"/>
        </w:rPr>
        <w:t>28</w:t>
      </w: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日至2023年</w:t>
      </w:r>
      <w:r>
        <w:rPr>
          <w:rFonts w:hint="eastAsia" w:ascii="宋体" w:hAnsi="宋体" w:cs="宋体"/>
          <w:i w:val="0"/>
          <w:iCs w:val="0"/>
          <w:caps w:val="0"/>
          <w:color w:val="333333"/>
          <w:spacing w:val="0"/>
          <w:kern w:val="0"/>
          <w:sz w:val="21"/>
          <w:szCs w:val="21"/>
          <w:highlight w:val="none"/>
          <w:shd w:val="clear" w:fill="FFFFFF"/>
          <w:vertAlign w:val="baseline"/>
          <w:lang w:val="en-US" w:eastAsia="zh-CN" w:bidi="ar-SA"/>
        </w:rPr>
        <w:t>8</w:t>
      </w: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月</w:t>
      </w:r>
      <w:r>
        <w:rPr>
          <w:rFonts w:hint="eastAsia" w:ascii="宋体" w:hAnsi="宋体" w:cs="宋体"/>
          <w:i w:val="0"/>
          <w:iCs w:val="0"/>
          <w:caps w:val="0"/>
          <w:color w:val="333333"/>
          <w:spacing w:val="0"/>
          <w:kern w:val="0"/>
          <w:sz w:val="21"/>
          <w:szCs w:val="21"/>
          <w:highlight w:val="none"/>
          <w:shd w:val="clear" w:fill="FFFFFF"/>
          <w:vertAlign w:val="baseline"/>
          <w:lang w:val="en-US" w:eastAsia="zh-CN" w:bidi="ar-SA"/>
        </w:rPr>
        <w:t>3</w:t>
      </w: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日，每天上午08:00:00至12:00:00，下午12:00:00至18:00:00（北京时间,法定节假日除外）</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pPr>
      <w:r>
        <w:rPr>
          <w:rFonts w:hint="eastAsia" w:ascii="宋体" w:hAnsi="宋体" w:eastAsia="宋体" w:cs="宋体"/>
          <w:i w:val="0"/>
          <w:iCs w:val="0"/>
          <w:caps w:val="0"/>
          <w:color w:val="auto"/>
          <w:spacing w:val="0"/>
          <w:kern w:val="0"/>
          <w:sz w:val="21"/>
          <w:szCs w:val="21"/>
          <w:highlight w:val="none"/>
          <w:shd w:val="clear" w:fill="FFFFFF"/>
          <w:vertAlign w:val="baseline"/>
          <w:lang w:val="en-US" w:eastAsia="zh-CN" w:bidi="ar-SA"/>
        </w:rPr>
        <w:t>途径</w:t>
      </w: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：全国公共资源交易平台（陕西省·西咸新区）（http://xxxq.sxggzyjy.cn/）自行下载</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方式：在线获取</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i w:val="0"/>
          <w:iCs w:val="0"/>
          <w:caps w:val="0"/>
          <w:color w:val="auto"/>
          <w:spacing w:val="0"/>
          <w:kern w:val="0"/>
          <w:sz w:val="21"/>
          <w:szCs w:val="21"/>
          <w:highlight w:val="none"/>
          <w:shd w:val="clear" w:fill="FFFFFF"/>
          <w:vertAlign w:val="baseline"/>
          <w:lang w:val="en-US" w:eastAsia="zh-CN" w:bidi="ar-SA"/>
        </w:rPr>
      </w:pPr>
      <w:r>
        <w:rPr>
          <w:rFonts w:hint="eastAsia" w:ascii="宋体" w:hAnsi="宋体" w:eastAsia="宋体" w:cs="宋体"/>
          <w:i w:val="0"/>
          <w:iCs w:val="0"/>
          <w:caps w:val="0"/>
          <w:color w:val="auto"/>
          <w:spacing w:val="0"/>
          <w:kern w:val="0"/>
          <w:sz w:val="21"/>
          <w:szCs w:val="21"/>
          <w:highlight w:val="none"/>
          <w:shd w:val="clear" w:fill="FFFFFF"/>
          <w:vertAlign w:val="baseline"/>
          <w:lang w:val="en-US" w:eastAsia="zh-CN" w:bidi="ar-SA"/>
        </w:rPr>
        <w:t>售价：0元</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i w:val="0"/>
          <w:iCs w:val="0"/>
          <w:caps w:val="0"/>
          <w:color w:val="333333"/>
          <w:spacing w:val="0"/>
          <w:kern w:val="0"/>
          <w:sz w:val="21"/>
          <w:szCs w:val="21"/>
          <w:highlight w:val="none"/>
          <w:shd w:val="clear" w:fill="FFFFFF"/>
          <w:vertAlign w:val="baseline"/>
          <w:lang w:val="en-US" w:eastAsia="zh-CN" w:bidi="ar-SA"/>
        </w:rPr>
      </w:pPr>
      <w:r>
        <w:rPr>
          <w:rFonts w:hint="eastAsia" w:ascii="宋体" w:hAnsi="宋体" w:eastAsia="宋体" w:cs="宋体"/>
          <w:b/>
          <w:bCs/>
          <w:i w:val="0"/>
          <w:iCs w:val="0"/>
          <w:caps w:val="0"/>
          <w:color w:val="333333"/>
          <w:spacing w:val="0"/>
          <w:kern w:val="0"/>
          <w:sz w:val="21"/>
          <w:szCs w:val="21"/>
          <w:highlight w:val="none"/>
          <w:shd w:val="clear" w:fill="FFFFFF"/>
          <w:vertAlign w:val="baseline"/>
          <w:lang w:val="en-US" w:eastAsia="zh-CN" w:bidi="ar-SA"/>
        </w:rPr>
        <w:t>四、提交投标文件截止时间、开标时间和地点</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时间：2023年</w:t>
      </w:r>
      <w:r>
        <w:rPr>
          <w:rFonts w:hint="eastAsia" w:ascii="宋体" w:hAnsi="宋体" w:cs="宋体"/>
          <w:i w:val="0"/>
          <w:iCs w:val="0"/>
          <w:caps w:val="0"/>
          <w:color w:val="333333"/>
          <w:spacing w:val="0"/>
          <w:kern w:val="0"/>
          <w:sz w:val="21"/>
          <w:szCs w:val="21"/>
          <w:highlight w:val="none"/>
          <w:shd w:val="clear" w:fill="FFFFFF"/>
          <w:vertAlign w:val="baseline"/>
          <w:lang w:val="en-US" w:eastAsia="zh-CN" w:bidi="ar-SA"/>
        </w:rPr>
        <w:t>8</w:t>
      </w: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月</w:t>
      </w:r>
      <w:r>
        <w:rPr>
          <w:rFonts w:hint="eastAsia" w:ascii="宋体" w:hAnsi="宋体" w:cs="宋体"/>
          <w:i w:val="0"/>
          <w:iCs w:val="0"/>
          <w:caps w:val="0"/>
          <w:color w:val="333333"/>
          <w:spacing w:val="0"/>
          <w:kern w:val="0"/>
          <w:sz w:val="21"/>
          <w:szCs w:val="21"/>
          <w:highlight w:val="none"/>
          <w:shd w:val="clear" w:fill="FFFFFF"/>
          <w:vertAlign w:val="baseline"/>
          <w:lang w:val="en-US" w:eastAsia="zh-CN" w:bidi="ar-SA"/>
        </w:rPr>
        <w:t>17</w:t>
      </w: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日09时30分00秒（北京时间）</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提交投标文件地点：全国公共资源交易平台（陕西省·西咸新区）（http://xxxq.sxggzyjy.cn/）网上电子递交</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开标地点：全国公共资源交易中心（陕西省.西咸新区）平台不见面开标系统</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i w:val="0"/>
          <w:iCs w:val="0"/>
          <w:caps w:val="0"/>
          <w:color w:val="333333"/>
          <w:spacing w:val="0"/>
          <w:kern w:val="0"/>
          <w:sz w:val="21"/>
          <w:szCs w:val="21"/>
          <w:highlight w:val="none"/>
          <w:shd w:val="clear" w:fill="FFFFFF"/>
          <w:vertAlign w:val="baseline"/>
          <w:lang w:val="en-US" w:eastAsia="zh-CN" w:bidi="ar-SA"/>
        </w:rPr>
      </w:pPr>
      <w:r>
        <w:rPr>
          <w:rFonts w:hint="eastAsia" w:ascii="宋体" w:hAnsi="宋体" w:eastAsia="宋体" w:cs="宋体"/>
          <w:b/>
          <w:bCs/>
          <w:i w:val="0"/>
          <w:iCs w:val="0"/>
          <w:caps w:val="0"/>
          <w:color w:val="333333"/>
          <w:spacing w:val="0"/>
          <w:kern w:val="0"/>
          <w:sz w:val="21"/>
          <w:szCs w:val="21"/>
          <w:highlight w:val="none"/>
          <w:shd w:val="clear" w:fill="FFFFFF"/>
          <w:vertAlign w:val="baseline"/>
          <w:lang w:val="en-US" w:eastAsia="zh-CN" w:bidi="ar-SA"/>
        </w:rPr>
        <w:t>五、公告期限</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自本公告发布之日起5个工作日。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i w:val="0"/>
          <w:iCs w:val="0"/>
          <w:caps w:val="0"/>
          <w:color w:val="333333"/>
          <w:spacing w:val="0"/>
          <w:kern w:val="0"/>
          <w:sz w:val="21"/>
          <w:szCs w:val="21"/>
          <w:highlight w:val="none"/>
          <w:shd w:val="clear" w:fill="FFFFFF"/>
          <w:vertAlign w:val="baseline"/>
          <w:lang w:val="en-US" w:eastAsia="zh-CN" w:bidi="ar-SA"/>
        </w:rPr>
      </w:pPr>
      <w:r>
        <w:rPr>
          <w:rFonts w:hint="eastAsia" w:ascii="宋体" w:hAnsi="宋体" w:eastAsia="宋体" w:cs="宋体"/>
          <w:b/>
          <w:bCs/>
          <w:i w:val="0"/>
          <w:iCs w:val="0"/>
          <w:caps w:val="0"/>
          <w:color w:val="333333"/>
          <w:spacing w:val="0"/>
          <w:kern w:val="0"/>
          <w:sz w:val="21"/>
          <w:szCs w:val="21"/>
          <w:highlight w:val="none"/>
          <w:shd w:val="clear" w:fill="FFFFFF"/>
          <w:vertAlign w:val="baseline"/>
          <w:lang w:val="en-US" w:eastAsia="zh-CN" w:bidi="ar-SA"/>
        </w:rPr>
        <w:t>六、其他补充事宜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1.投标供应商须于招标文件获取时间内在全国公共资源交易平台（陕西省·西咸新区）（http:/</w:t>
      </w:r>
      <w:r>
        <w:rPr>
          <w:rFonts w:hint="eastAsia" w:ascii="宋体" w:hAnsi="宋体" w:eastAsia="宋体" w:cs="宋体"/>
          <w:b w:val="0"/>
          <w:bCs/>
          <w:sz w:val="21"/>
          <w:szCs w:val="21"/>
          <w:highlight w:val="none"/>
          <w:lang w:val="en-US" w:eastAsia="zh-CN"/>
        </w:rPr>
        <w:t>/xxxq.sxggzyjy.cn/）登陆后进行投标确认，并自行下载电子招标文件，逾期下载通道将关闭，未及时下载招标文件影响后续开评标活动的，由此产生的后果由其自行承担。</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本次开标采用“不见面开标”方式。“不见面开标大厅”登录方式：全国公共资源交易平台（陕西省西咸新区）-电子交易平台-西咸新区公共资源交易平台不见面开标系统。电子投标文件在截止时间前签章加密上传至全国公共资源交易平台</w:t>
      </w:r>
      <w:r>
        <w:rPr>
          <w:rFonts w:hint="eastAsia" w:ascii="宋体" w:hAnsi="宋体" w:eastAsia="宋体" w:cs="宋体"/>
          <w:b w:val="0"/>
          <w:bCs/>
          <w:i w:val="0"/>
          <w:iCs w:val="0"/>
          <w:caps w:val="0"/>
          <w:color w:val="333333"/>
          <w:spacing w:val="0"/>
          <w:kern w:val="0"/>
          <w:sz w:val="21"/>
          <w:szCs w:val="21"/>
          <w:highlight w:val="none"/>
          <w:shd w:val="clear" w:fill="FFFFFF"/>
          <w:vertAlign w:val="baseline"/>
          <w:lang w:val="en-US" w:eastAsia="zh-CN" w:bidi="ar-SA"/>
        </w:rPr>
        <w:t>（陕西省·西咸新区）</w:t>
      </w:r>
      <w:r>
        <w:rPr>
          <w:rFonts w:hint="eastAsia" w:ascii="宋体" w:hAnsi="宋体" w:eastAsia="宋体" w:cs="宋体"/>
          <w:b w:val="0"/>
          <w:bCs/>
          <w:sz w:val="21"/>
          <w:szCs w:val="21"/>
          <w:highlight w:val="none"/>
          <w:lang w:val="en-US" w:eastAsia="zh-CN"/>
        </w:rPr>
        <w:t>。因投标人自身设施故障或自身原因导致无法完成投标的，由投标人自行承担后果。</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3.为了保证远程不见面开标顺利进行，投标供应商需使用配备相关设备的电脑提前一小时登录不见面开标大厅。关于使用不见面开标方式的相关事项详见</w:t>
      </w:r>
      <w:r>
        <w:rPr>
          <w:rFonts w:hint="eastAsia" w:ascii="宋体" w:hAnsi="宋体" w:eastAsia="宋体" w:cs="宋体"/>
          <w:b w:val="0"/>
          <w:bCs/>
          <w:spacing w:val="-17"/>
          <w:sz w:val="21"/>
          <w:szCs w:val="21"/>
          <w:highlight w:val="none"/>
          <w:lang w:val="en-US" w:eastAsia="zh-CN"/>
        </w:rPr>
        <w:t>“http://xxxq.sxggzyjy.cn/xwzx/002002/20210721/d7421699-e891-4f40-b441-dccc415e05b3.html”</w:t>
      </w:r>
      <w:r>
        <w:rPr>
          <w:rFonts w:hint="eastAsia" w:ascii="宋体" w:hAnsi="宋体" w:eastAsia="宋体" w:cs="宋体"/>
          <w:b w:val="0"/>
          <w:bCs/>
          <w:sz w:val="21"/>
          <w:szCs w:val="21"/>
          <w:highlight w:val="none"/>
          <w:lang w:val="en-US" w:eastAsia="zh-CN"/>
        </w:rPr>
        <w:t>，技术咨询电</w:t>
      </w:r>
      <w:r>
        <w:rPr>
          <w:rFonts w:hint="eastAsia" w:ascii="宋体" w:hAnsi="宋体" w:eastAsia="宋体" w:cs="宋体"/>
          <w:b w:val="0"/>
          <w:bCs/>
          <w:spacing w:val="-17"/>
          <w:sz w:val="21"/>
          <w:szCs w:val="21"/>
          <w:highlight w:val="none"/>
          <w:lang w:val="en-US" w:eastAsia="zh-CN"/>
        </w:rPr>
        <w:t>话：4009980000。</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4.投标供应商须按照陕西省财政厅《关于政府采购投标供应商注册登记有关事项的通知》中的要求，通过陕西省政府采购网（http://www.ccgp-shaanxi.gov.cn/）注册登记加入陕西省政府采购投标供应商库。</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5.办理CA锁方式：投标供应商初次使用交易平台，需前往陕西省数字证书认证中心股份有限公司办理 CA 锁，办理地址及咨询电话如下： 西安市高新三路九号信息岗大厦一层 101 室 咨询电话：4006369888； 西安市长安北路 14 号省体育公寓 B 座一楼 咨询电话：029-88661241； 西安市凤城九路海博广场 A 座 1707 室 咨询电话：029-89608985。</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根据《国务院关于开展营商环境创新试点工作的意见(国发〔2021〕24号)》，简化对政府采购供应商资格条件的形式审查，简化对供应商资格条件等的形式审查，不再要求供应商提供相关财务状况、缴纳税收和社会保障资金等证明材料，降低政府采购供应商交易成本。根据《陕西省西咸新区财政金融局关于全面推行政府采购供应商基本资格条件承诺制的通知（陕西咸财金发〔2023〕119号）》，供应商在参与政府采购项目投标时，可对《中华人民共和国政府采购法实施条例》第十七条第一款第（二）项、第（三）项、第（四）项所要求提供的相关材料进行简化。简化后，供应商只需以书面形式提供规定格式的《基本资格条件承诺函》。</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7.本项目需要落实的政府采购政策：</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1）.《政府采购促进中小企业发展管理办法》（财库〔2020〕46号）；</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630" w:leftChars="200" w:right="0" w:rightChars="0" w:hanging="210" w:hangingChars="1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2）.《财政部司法部关于政府采购支持监狱企业发展有关问题的通知》（财库〔2014〕68号）</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630" w:leftChars="200" w:right="0" w:rightChars="0" w:hanging="210" w:hangingChars="1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3）.《财政部民政部中国残疾人联合会关于促进残疾人就业政府采购政策的通知》（财库〔2017〕141号）；</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4）.《财政部 国家发展改革委关于印发(节能产品政府采购实施意见)的通知》(财库〔2004〕185号)；</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5）.《国务院办公厅关于建立政府强制采购节能产品制度的通知》(国办发〔2007〕51号)；</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6）.《财政部环保总局关于环境标志产品政府采购实施的意见》(财库〔2006〕90号)；</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7）.《财政部发展改革委生态环境部市场监管总局关于调整优化节能产品、环境标志产品政府采购执行机制的通知》（财库〔2019〕9号）；</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8）.《财政部农业农村部国家乡村振兴局关于运用政府采购政策支持乡村产业振兴的通知》（财库〔2021〕19号）；</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9）.《关于进一步加强政府绿色采购有关问题的通知》（陕财办采〔2021〕29 号）</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10）.《陕西省财政厅关于印发陕西省中小企业政府采购信用融资办法》（陕财办采〔2018〕23号）；</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11）.《陕西省财政厅关于加快推进我省中小企业政府采购信用融资工作的通知》（陕财办采〔2020〕15号）；</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12）.《关于进一步加大政府采购支持中小企业力度的通知》（财库〔2022〕19号）。</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13）.陕西省财政厅关于进一步加大政府采购支持中小企业力度的通知（陕财办采〔2022〕5号）；</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14）.陕西省财政厅关于落实政府采购支持中小企业政策有关事项的通知 （陕财办采函〔2022〕10号）；</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15）.其他需要落实的政府采购政策。</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2" w:firstLineChars="200"/>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七、对本次招标提出询问，请按以下方式联系。</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1.釆购人信息</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名称：陕西省西咸新区秦汉新城综合行政执法支队</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地址：陕西省西咸新区秦汉新城兰池大道中段</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联系方式：029-33185034</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2.采购代理机构信息</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名称：瑞信国际项目管理有限公司</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地址：陕西省西安市文景路中段150号文景广场C座22楼</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联系方式：029-89609851</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3.项目联系方式</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项目联系人：杨玲</w:t>
      </w:r>
    </w:p>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电话：18229033555</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p>
    <w:p>
      <w:pPr>
        <w:pStyle w:val="22"/>
        <w:rPr>
          <w:rFonts w:hint="eastAsia" w:ascii="宋体" w:hAnsi="宋体" w:eastAsia="宋体" w:cs="宋体"/>
          <w:sz w:val="24"/>
          <w:szCs w:val="24"/>
          <w:highlight w:val="none"/>
        </w:rPr>
      </w:pPr>
    </w:p>
    <w:p>
      <w:pPr>
        <w:pStyle w:val="22"/>
        <w:rPr>
          <w:rFonts w:hint="eastAsia" w:ascii="宋体" w:hAnsi="宋体" w:eastAsia="宋体" w:cs="宋体"/>
          <w:sz w:val="24"/>
          <w:szCs w:val="24"/>
          <w:highlight w:val="none"/>
        </w:rPr>
      </w:pPr>
    </w:p>
    <w:p>
      <w:pPr>
        <w:pStyle w:val="22"/>
        <w:rPr>
          <w:rFonts w:hint="eastAsia" w:ascii="宋体" w:hAnsi="宋体" w:eastAsia="宋体" w:cs="宋体"/>
          <w:sz w:val="24"/>
          <w:szCs w:val="24"/>
          <w:highlight w:val="none"/>
        </w:rPr>
      </w:pPr>
    </w:p>
    <w:p>
      <w:pPr>
        <w:pStyle w:val="22"/>
        <w:rPr>
          <w:rFonts w:hint="eastAsia" w:ascii="宋体" w:hAnsi="宋体" w:eastAsia="宋体" w:cs="宋体"/>
          <w:sz w:val="24"/>
          <w:szCs w:val="24"/>
          <w:highlight w:val="none"/>
        </w:rPr>
      </w:pPr>
    </w:p>
    <w:p>
      <w:pPr>
        <w:pStyle w:val="22"/>
        <w:rPr>
          <w:rFonts w:hint="eastAsia" w:ascii="宋体" w:hAnsi="宋体" w:eastAsia="宋体" w:cs="宋体"/>
          <w:sz w:val="24"/>
          <w:szCs w:val="24"/>
          <w:highlight w:val="none"/>
        </w:rPr>
      </w:pPr>
    </w:p>
    <w:p>
      <w:pPr>
        <w:pStyle w:val="22"/>
        <w:rPr>
          <w:rFonts w:hint="eastAsia" w:ascii="宋体" w:hAnsi="宋体" w:eastAsia="宋体" w:cs="宋体"/>
          <w:sz w:val="24"/>
          <w:szCs w:val="24"/>
          <w:highlight w:val="none"/>
        </w:rPr>
      </w:pPr>
    </w:p>
    <w:p>
      <w:pPr>
        <w:pStyle w:val="22"/>
        <w:rPr>
          <w:rFonts w:hint="eastAsia" w:ascii="宋体" w:hAnsi="宋体" w:eastAsia="宋体" w:cs="宋体"/>
          <w:sz w:val="24"/>
          <w:szCs w:val="24"/>
          <w:highlight w:val="none"/>
        </w:rPr>
      </w:pPr>
    </w:p>
    <w:p>
      <w:pPr>
        <w:pStyle w:val="22"/>
        <w:rPr>
          <w:rFonts w:hint="eastAsia" w:ascii="宋体" w:hAnsi="宋体" w:eastAsia="宋体" w:cs="宋体"/>
          <w:sz w:val="24"/>
          <w:szCs w:val="24"/>
          <w:highlight w:val="none"/>
        </w:rPr>
      </w:pPr>
    </w:p>
    <w:p>
      <w:pPr>
        <w:pStyle w:val="22"/>
        <w:rPr>
          <w:rFonts w:hint="eastAsia" w:ascii="宋体" w:hAnsi="宋体" w:eastAsia="宋体" w:cs="宋体"/>
          <w:sz w:val="24"/>
          <w:szCs w:val="24"/>
          <w:highlight w:val="none"/>
        </w:rPr>
      </w:pPr>
    </w:p>
    <w:p>
      <w:pPr>
        <w:pStyle w:val="22"/>
        <w:rPr>
          <w:rFonts w:hint="eastAsia" w:ascii="宋体" w:hAnsi="宋体" w:eastAsia="宋体" w:cs="宋体"/>
          <w:sz w:val="24"/>
          <w:szCs w:val="24"/>
          <w:highlight w:val="none"/>
        </w:rPr>
      </w:pPr>
    </w:p>
    <w:p>
      <w:pPr>
        <w:pStyle w:val="22"/>
        <w:rPr>
          <w:rFonts w:hint="eastAsia" w:ascii="宋体" w:hAnsi="宋体" w:eastAsia="宋体" w:cs="宋体"/>
          <w:sz w:val="24"/>
          <w:szCs w:val="24"/>
          <w:highlight w:val="none"/>
        </w:rPr>
      </w:pPr>
    </w:p>
    <w:p>
      <w:pPr>
        <w:pStyle w:val="22"/>
        <w:rPr>
          <w:rFonts w:hint="eastAsia" w:ascii="宋体" w:hAnsi="宋体" w:eastAsia="宋体" w:cs="宋体"/>
          <w:sz w:val="24"/>
          <w:szCs w:val="24"/>
          <w:highlight w:val="none"/>
        </w:rPr>
      </w:pPr>
    </w:p>
    <w:p>
      <w:pPr>
        <w:pStyle w:val="22"/>
        <w:rPr>
          <w:rFonts w:hint="eastAsia" w:ascii="宋体" w:hAnsi="宋体" w:eastAsia="宋体" w:cs="宋体"/>
          <w:sz w:val="24"/>
          <w:szCs w:val="24"/>
          <w:highlight w:val="none"/>
        </w:rPr>
      </w:pPr>
    </w:p>
    <w:p>
      <w:pPr>
        <w:pStyle w:val="3"/>
        <w:numPr>
          <w:ilvl w:val="0"/>
          <w:numId w:val="0"/>
        </w:numPr>
        <w:rPr>
          <w:rFonts w:hint="eastAsia" w:ascii="宋体" w:hAnsi="宋体" w:eastAsia="宋体" w:cs="宋体"/>
          <w:b/>
          <w:bCs/>
          <w:sz w:val="36"/>
          <w:szCs w:val="36"/>
          <w:highlight w:val="none"/>
        </w:rPr>
      </w:pPr>
      <w:bookmarkStart w:id="7" w:name="_Toc222740108"/>
      <w:bookmarkStart w:id="8" w:name="_Toc196474973"/>
      <w:bookmarkStart w:id="9" w:name="_Toc204055781"/>
      <w:bookmarkStart w:id="10" w:name="_Toc3308"/>
      <w:r>
        <w:rPr>
          <w:rFonts w:hint="eastAsia" w:ascii="宋体" w:hAnsi="宋体" w:eastAsia="宋体" w:cs="宋体"/>
          <w:b/>
          <w:bCs/>
          <w:sz w:val="36"/>
          <w:szCs w:val="36"/>
          <w:highlight w:val="none"/>
        </w:rPr>
        <w:t xml:space="preserve">第二章  </w:t>
      </w:r>
      <w:r>
        <w:rPr>
          <w:rFonts w:hint="eastAsia" w:ascii="宋体" w:hAnsi="宋体" w:eastAsia="宋体" w:cs="宋体"/>
          <w:b/>
          <w:bCs/>
          <w:sz w:val="36"/>
          <w:szCs w:val="36"/>
          <w:highlight w:val="none"/>
          <w:lang w:eastAsia="zh-CN"/>
        </w:rPr>
        <w:t>投标供应商</w:t>
      </w:r>
      <w:r>
        <w:rPr>
          <w:rFonts w:hint="eastAsia" w:ascii="宋体" w:hAnsi="宋体" w:eastAsia="宋体" w:cs="宋体"/>
          <w:b/>
          <w:bCs/>
          <w:sz w:val="36"/>
          <w:szCs w:val="36"/>
          <w:highlight w:val="none"/>
        </w:rPr>
        <w:t>须知</w:t>
      </w:r>
      <w:bookmarkEnd w:id="7"/>
      <w:bookmarkEnd w:id="8"/>
      <w:bookmarkEnd w:id="9"/>
      <w:bookmarkEnd w:id="10"/>
    </w:p>
    <w:p>
      <w:pPr>
        <w:spacing w:before="120" w:beforeLines="50" w:after="120" w:afterLines="50"/>
        <w:jc w:val="center"/>
        <w:rPr>
          <w:rFonts w:hint="eastAsia" w:ascii="宋体" w:hAnsi="宋体" w:eastAsia="宋体" w:cs="宋体"/>
          <w:highlight w:val="none"/>
        </w:rPr>
      </w:pPr>
      <w:bookmarkStart w:id="11" w:name="_Toc222740109"/>
      <w:r>
        <w:rPr>
          <w:rFonts w:hint="eastAsia" w:ascii="宋体" w:hAnsi="宋体" w:eastAsia="宋体" w:cs="宋体"/>
          <w:b/>
          <w:bCs/>
          <w:sz w:val="32"/>
          <w:szCs w:val="32"/>
          <w:highlight w:val="none"/>
          <w:lang w:eastAsia="zh-CN"/>
        </w:rPr>
        <w:t>投标供应商</w:t>
      </w:r>
      <w:r>
        <w:rPr>
          <w:rFonts w:hint="eastAsia" w:ascii="宋体" w:hAnsi="宋体" w:eastAsia="宋体" w:cs="宋体"/>
          <w:b/>
          <w:bCs/>
          <w:sz w:val="32"/>
          <w:szCs w:val="32"/>
          <w:highlight w:val="none"/>
        </w:rPr>
        <w:t>须知前附表</w:t>
      </w:r>
      <w:bookmarkEnd w:id="11"/>
    </w:p>
    <w:tbl>
      <w:tblPr>
        <w:tblStyle w:val="37"/>
        <w:tblW w:w="10095" w:type="dxa"/>
        <w:tblInd w:w="-35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2557"/>
        <w:gridCol w:w="679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noWrap w:val="0"/>
            <w:vAlign w:val="top"/>
          </w:tcPr>
          <w:p>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2557" w:type="dxa"/>
            <w:noWrap w:val="0"/>
            <w:vAlign w:val="top"/>
          </w:tcPr>
          <w:p>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6792" w:type="dxa"/>
            <w:noWrap w:val="0"/>
            <w:vAlign w:val="center"/>
          </w:tcPr>
          <w:p>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具体信息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746"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557" w:type="dxa"/>
            <w:noWrap w:val="0"/>
            <w:vAlign w:val="center"/>
          </w:tcPr>
          <w:p>
            <w:pPr>
              <w:spacing w:line="400" w:lineRule="exact"/>
              <w:jc w:val="center"/>
              <w:rPr>
                <w:rFonts w:hint="eastAsia" w:ascii="宋体" w:hAnsi="宋体" w:eastAsia="宋体" w:cs="宋体"/>
                <w:b/>
                <w:szCs w:val="21"/>
                <w:highlight w:val="none"/>
              </w:rPr>
            </w:pPr>
            <w:r>
              <w:rPr>
                <w:rFonts w:hint="eastAsia" w:ascii="宋体" w:hAnsi="宋体" w:eastAsia="宋体" w:cs="宋体"/>
                <w:szCs w:val="21"/>
                <w:highlight w:val="none"/>
              </w:rPr>
              <w:t>采购人</w:t>
            </w:r>
          </w:p>
        </w:tc>
        <w:tc>
          <w:tcPr>
            <w:tcW w:w="6792" w:type="dxa"/>
            <w:noWrap w:val="0"/>
            <w:vAlign w:val="center"/>
          </w:tcPr>
          <w:p>
            <w:pPr>
              <w:spacing w:line="400" w:lineRule="exact"/>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xml:space="preserve">名称：陕西省西咸新区秦汉新城综合行政执法支队 </w:t>
            </w:r>
          </w:p>
          <w:p>
            <w:pPr>
              <w:spacing w:line="400" w:lineRule="exact"/>
              <w:rPr>
                <w:rFonts w:hint="eastAsia" w:ascii="宋体" w:hAnsi="宋体" w:eastAsia="宋体" w:cs="宋体"/>
                <w:sz w:val="21"/>
                <w:szCs w:val="21"/>
                <w:highlight w:val="none"/>
              </w:rPr>
            </w:pPr>
            <w:r>
              <w:rPr>
                <w:rFonts w:hint="eastAsia" w:ascii="宋体" w:hAnsi="宋体" w:eastAsia="宋体" w:cs="宋体"/>
                <w:szCs w:val="21"/>
                <w:highlight w:val="none"/>
                <w:shd w:val="clear" w:color="auto" w:fill="FFFFFF"/>
                <w:lang w:eastAsia="zh-CN"/>
              </w:rPr>
              <w:t>地址：</w:t>
            </w:r>
            <w:r>
              <w:rPr>
                <w:rFonts w:hint="eastAsia" w:ascii="宋体" w:hAnsi="宋体" w:eastAsia="宋体" w:cs="宋体"/>
                <w:sz w:val="21"/>
                <w:szCs w:val="21"/>
                <w:highlight w:val="none"/>
              </w:rPr>
              <w:t xml:space="preserve">兰池大道中段兰池大厦 </w:t>
            </w:r>
          </w:p>
          <w:p>
            <w:pPr>
              <w:spacing w:line="400" w:lineRule="exact"/>
              <w:rPr>
                <w:rFonts w:hint="eastAsia" w:ascii="宋体" w:hAnsi="宋体" w:eastAsia="宋体" w:cs="宋体"/>
                <w:szCs w:val="21"/>
                <w:highlight w:val="none"/>
                <w:shd w:val="clear" w:color="auto" w:fill="FFFFFF"/>
                <w:lang w:val="en-US" w:eastAsia="zh-CN"/>
              </w:rPr>
            </w:pPr>
            <w:r>
              <w:rPr>
                <w:rFonts w:hint="eastAsia" w:ascii="宋体" w:hAnsi="宋体" w:eastAsia="宋体" w:cs="宋体"/>
                <w:szCs w:val="21"/>
                <w:highlight w:val="none"/>
                <w:shd w:val="clear" w:color="auto" w:fill="FFFFFF"/>
                <w:lang w:eastAsia="zh-CN"/>
              </w:rPr>
              <w:t>联系人：</w:t>
            </w:r>
            <w:r>
              <w:rPr>
                <w:rFonts w:hint="eastAsia" w:ascii="宋体" w:hAnsi="宋体" w:eastAsia="宋体" w:cs="宋体"/>
                <w:szCs w:val="21"/>
                <w:highlight w:val="none"/>
                <w:shd w:val="clear" w:color="auto" w:fill="FFFFFF"/>
                <w:lang w:val="en-US" w:eastAsia="zh-CN"/>
              </w:rPr>
              <w:t>曹工</w:t>
            </w:r>
          </w:p>
          <w:p>
            <w:pPr>
              <w:spacing w:line="400" w:lineRule="exact"/>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电话：</w:t>
            </w:r>
            <w:r>
              <w:rPr>
                <w:rFonts w:hint="eastAsia" w:ascii="宋体" w:hAnsi="宋体" w:eastAsia="宋体" w:cs="宋体"/>
                <w:b w:val="0"/>
                <w:bCs/>
                <w:sz w:val="21"/>
                <w:szCs w:val="21"/>
                <w:highlight w:val="none"/>
                <w:lang w:val="en-US" w:eastAsia="zh-CN"/>
              </w:rPr>
              <w:t>029-33185034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746"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采购代理机构</w:t>
            </w:r>
          </w:p>
        </w:tc>
        <w:tc>
          <w:tcPr>
            <w:tcW w:w="6792" w:type="dxa"/>
            <w:noWrap w:val="0"/>
            <w:vAlign w:val="center"/>
          </w:tcPr>
          <w:p>
            <w:pPr>
              <w:spacing w:line="400" w:lineRule="exact"/>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名  称：瑞信国际项目管理有限公司</w:t>
            </w:r>
          </w:p>
          <w:p>
            <w:pPr>
              <w:spacing w:line="400" w:lineRule="exact"/>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地  址：陕西省西安市文景路中段150号文景广场C座22楼</w:t>
            </w:r>
          </w:p>
          <w:p>
            <w:pPr>
              <w:spacing w:line="400" w:lineRule="exact"/>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联系人：杨玲</w:t>
            </w:r>
          </w:p>
          <w:p>
            <w:pPr>
              <w:spacing w:line="400" w:lineRule="exact"/>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电话/传真：029-89609851</w:t>
            </w:r>
          </w:p>
          <w:p>
            <w:pPr>
              <w:spacing w:line="400" w:lineRule="exact"/>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电子邮箱：59091527@qq.com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0" w:hRule="atLeast"/>
        </w:trPr>
        <w:tc>
          <w:tcPr>
            <w:tcW w:w="746"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采购项目名称</w:t>
            </w:r>
          </w:p>
        </w:tc>
        <w:tc>
          <w:tcPr>
            <w:tcW w:w="6792" w:type="dxa"/>
            <w:noWrap w:val="0"/>
            <w:vAlign w:val="center"/>
          </w:tcPr>
          <w:p>
            <w:pPr>
              <w:spacing w:line="400" w:lineRule="exact"/>
              <w:jc w:val="both"/>
              <w:rPr>
                <w:rFonts w:hint="eastAsia" w:ascii="宋体" w:hAnsi="宋体" w:eastAsia="宋体" w:cs="宋体"/>
                <w:szCs w:val="21"/>
                <w:highlight w:val="none"/>
                <w:lang w:val="en-US" w:eastAsia="zh-CN"/>
              </w:rPr>
            </w:pPr>
            <w:r>
              <w:rPr>
                <w:rFonts w:hint="eastAsia" w:ascii="宋体" w:hAnsi="宋体" w:eastAsia="宋体" w:cs="宋体"/>
                <w:sz w:val="21"/>
                <w:szCs w:val="21"/>
                <w:highlight w:val="none"/>
                <w:lang w:eastAsia="zh-CN"/>
              </w:rPr>
              <w:t>秦汉新城绿化养护二标段</w:t>
            </w:r>
            <w:r>
              <w:rPr>
                <w:rFonts w:hint="eastAsia" w:ascii="宋体" w:hAnsi="宋体" w:eastAsia="宋体" w:cs="宋体"/>
                <w:sz w:val="21"/>
                <w:szCs w:val="21"/>
                <w:highlight w:val="none"/>
                <w:lang w:val="en-US"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采购项目编号</w:t>
            </w:r>
          </w:p>
        </w:tc>
        <w:tc>
          <w:tcPr>
            <w:tcW w:w="6792" w:type="dxa"/>
            <w:noWrap w:val="0"/>
            <w:vAlign w:val="center"/>
          </w:tcPr>
          <w:p>
            <w:pPr>
              <w:spacing w:line="40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RXCG-2023040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7" w:hRule="atLeast"/>
        </w:trPr>
        <w:tc>
          <w:tcPr>
            <w:tcW w:w="746"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采购预算</w:t>
            </w:r>
          </w:p>
        </w:tc>
        <w:tc>
          <w:tcPr>
            <w:tcW w:w="6792" w:type="dxa"/>
            <w:noWrap w:val="0"/>
            <w:vAlign w:val="center"/>
          </w:tcPr>
          <w:p>
            <w:pPr>
              <w:spacing w:line="40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7203600.00元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46"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采购项目用途</w:t>
            </w:r>
          </w:p>
        </w:tc>
        <w:tc>
          <w:tcPr>
            <w:tcW w:w="6792" w:type="dxa"/>
            <w:noWrap w:val="0"/>
            <w:vAlign w:val="center"/>
          </w:tcPr>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lang w:eastAsia="zh-CN"/>
              </w:rPr>
              <w:t>园林绿化管理服务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采购方式</w:t>
            </w:r>
          </w:p>
        </w:tc>
        <w:tc>
          <w:tcPr>
            <w:tcW w:w="6792" w:type="dxa"/>
            <w:noWrap w:val="0"/>
            <w:vAlign w:val="center"/>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公开招标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2557"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是否专门面向中小企业</w:t>
            </w:r>
          </w:p>
        </w:tc>
        <w:tc>
          <w:tcPr>
            <w:tcW w:w="6792" w:type="dxa"/>
            <w:noWrap w:val="0"/>
            <w:vAlign w:val="center"/>
          </w:tcPr>
          <w:p>
            <w:pPr>
              <w:spacing w:line="400" w:lineRule="exact"/>
              <w:rPr>
                <w:rFonts w:hint="eastAsia" w:ascii="宋体" w:hAnsi="宋体" w:eastAsia="宋体" w:cs="宋体"/>
                <w:szCs w:val="21"/>
                <w:highlight w:val="none"/>
              </w:rPr>
            </w:pPr>
            <w:r>
              <w:rPr>
                <w:rFonts w:hint="eastAsia" w:ascii="宋体" w:hAnsi="宋体" w:eastAsia="宋体" w:cs="宋体"/>
                <w:color w:val="auto"/>
                <w:sz w:val="21"/>
                <w:szCs w:val="21"/>
                <w:highlight w:val="none"/>
              </w:rPr>
              <w:t>本项目专门面向中小企业采购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采购内容</w:t>
            </w:r>
          </w:p>
        </w:tc>
        <w:tc>
          <w:tcPr>
            <w:tcW w:w="6792" w:type="dxa"/>
            <w:noWrap w:val="0"/>
            <w:vAlign w:val="center"/>
          </w:tcPr>
          <w:p>
            <w:pPr>
              <w:spacing w:line="400" w:lineRule="exact"/>
              <w:rPr>
                <w:rFonts w:hint="eastAsia" w:ascii="宋体" w:hAnsi="宋体" w:eastAsia="宋体" w:cs="宋体"/>
                <w:szCs w:val="21"/>
                <w:highlight w:val="none"/>
              </w:rPr>
            </w:pPr>
            <w:r>
              <w:rPr>
                <w:rFonts w:hint="eastAsia" w:ascii="宋体" w:hAnsi="宋体" w:eastAsia="宋体" w:cs="宋体"/>
                <w:sz w:val="21"/>
                <w:szCs w:val="21"/>
                <w:highlight w:val="none"/>
                <w:lang w:eastAsia="zh-CN"/>
              </w:rPr>
              <w:t>秦汉新城绿化养护二标段</w:t>
            </w:r>
            <w:r>
              <w:rPr>
                <w:rFonts w:hint="eastAsia" w:ascii="宋体" w:hAnsi="宋体" w:eastAsia="宋体" w:cs="宋体"/>
                <w:highlight w:val="none"/>
                <w:lang w:val="en-US" w:eastAsia="zh-CN"/>
              </w:rPr>
              <w:t>，</w:t>
            </w:r>
            <w:r>
              <w:rPr>
                <w:rFonts w:hint="eastAsia" w:ascii="宋体" w:hAnsi="宋体" w:eastAsia="宋体" w:cs="宋体"/>
                <w:highlight w:val="none"/>
                <w:lang w:val="zh-CN" w:eastAsia="zh-CN"/>
              </w:rPr>
              <w:t>具体</w:t>
            </w:r>
            <w:r>
              <w:rPr>
                <w:rFonts w:hint="eastAsia" w:ascii="宋体" w:hAnsi="宋体" w:eastAsia="宋体" w:cs="宋体"/>
                <w:highlight w:val="none"/>
                <w:lang w:val="en-US" w:eastAsia="zh-CN"/>
              </w:rPr>
              <w:t>采购项目包含内容</w:t>
            </w:r>
            <w:r>
              <w:rPr>
                <w:rFonts w:hint="eastAsia" w:ascii="宋体" w:hAnsi="宋体" w:eastAsia="宋体" w:cs="宋体"/>
                <w:highlight w:val="none"/>
                <w:lang w:val="zh-CN" w:eastAsia="zh-CN"/>
              </w:rPr>
              <w:t>及</w:t>
            </w:r>
            <w:r>
              <w:rPr>
                <w:rFonts w:hint="eastAsia" w:ascii="宋体" w:hAnsi="宋体" w:eastAsia="宋体" w:cs="宋体"/>
                <w:highlight w:val="none"/>
                <w:lang w:val="en-US" w:eastAsia="zh-CN"/>
              </w:rPr>
              <w:t>要求</w:t>
            </w:r>
            <w:r>
              <w:rPr>
                <w:rFonts w:hint="eastAsia" w:ascii="宋体" w:hAnsi="宋体" w:eastAsia="宋体" w:cs="宋体"/>
                <w:highlight w:val="none"/>
                <w:lang w:val="zh-CN" w:eastAsia="zh-CN"/>
              </w:rPr>
              <w:t>详见招标文件第四章。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0</w:t>
            </w:r>
          </w:p>
        </w:tc>
        <w:tc>
          <w:tcPr>
            <w:tcW w:w="2557" w:type="dxa"/>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szCs w:val="21"/>
                <w:highlight w:val="none"/>
              </w:rPr>
              <w:t>项目地点</w:t>
            </w:r>
          </w:p>
        </w:tc>
        <w:tc>
          <w:tcPr>
            <w:tcW w:w="6792" w:type="dxa"/>
            <w:noWrap w:val="0"/>
            <w:vAlign w:val="center"/>
          </w:tcPr>
          <w:p>
            <w:pPr>
              <w:spacing w:line="400" w:lineRule="exact"/>
              <w:rPr>
                <w:rFonts w:hint="eastAsia" w:ascii="宋体" w:hAnsi="宋体" w:eastAsia="宋体" w:cs="宋体"/>
                <w:highlight w:val="none"/>
              </w:rPr>
            </w:pPr>
            <w:r>
              <w:rPr>
                <w:rFonts w:hint="eastAsia" w:ascii="宋体" w:hAnsi="宋体" w:eastAsia="宋体" w:cs="宋体"/>
                <w:highlight w:val="none"/>
              </w:rPr>
              <w:t>采购人指定地点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7" w:hRule="atLeast"/>
        </w:trPr>
        <w:tc>
          <w:tcPr>
            <w:tcW w:w="746"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w:t>
            </w:r>
          </w:p>
        </w:tc>
        <w:tc>
          <w:tcPr>
            <w:tcW w:w="2557" w:type="dxa"/>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szCs w:val="21"/>
                <w:highlight w:val="none"/>
              </w:rPr>
              <w:t>服务期限</w:t>
            </w:r>
          </w:p>
        </w:tc>
        <w:tc>
          <w:tcPr>
            <w:tcW w:w="6792" w:type="dxa"/>
            <w:noWrap w:val="0"/>
            <w:vAlign w:val="center"/>
          </w:tcPr>
          <w:p>
            <w:pPr>
              <w:spacing w:line="400" w:lineRule="exact"/>
              <w:rPr>
                <w:rFonts w:hint="eastAsia" w:ascii="宋体" w:hAnsi="宋体" w:eastAsia="宋体" w:cs="宋体"/>
                <w:highlight w:val="none"/>
              </w:rPr>
            </w:pPr>
            <w:r>
              <w:rPr>
                <w:rFonts w:hint="eastAsia" w:ascii="宋体" w:hAnsi="宋体" w:eastAsia="宋体" w:cs="宋体"/>
                <w:highlight w:val="none"/>
              </w:rPr>
              <w:t>三年（合同为每年签订一次，服务期一年，服务供应商在服务期内达不到采购人要求的，采购人有权更换服务供应商）。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7" w:hRule="atLeast"/>
        </w:trPr>
        <w:tc>
          <w:tcPr>
            <w:tcW w:w="746"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2</w:t>
            </w:r>
          </w:p>
        </w:tc>
        <w:tc>
          <w:tcPr>
            <w:tcW w:w="2557"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服务标准</w:t>
            </w:r>
          </w:p>
        </w:tc>
        <w:tc>
          <w:tcPr>
            <w:tcW w:w="6792" w:type="dxa"/>
            <w:noWrap w:val="0"/>
            <w:vAlign w:val="center"/>
          </w:tcPr>
          <w:p>
            <w:pPr>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达到“合格”标准及满足第四章“采购内容及技术要求”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4" w:hRule="atLeast"/>
        </w:trPr>
        <w:tc>
          <w:tcPr>
            <w:tcW w:w="746"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3</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资格证明文件</w:t>
            </w:r>
          </w:p>
        </w:tc>
        <w:tc>
          <w:tcPr>
            <w:tcW w:w="6792" w:type="dxa"/>
            <w:noWrap w:val="0"/>
            <w:vAlign w:val="center"/>
          </w:tcPr>
          <w:p>
            <w:pPr>
              <w:spacing w:line="400" w:lineRule="exact"/>
              <w:rPr>
                <w:rFonts w:hint="eastAsia" w:ascii="宋体" w:hAnsi="宋体" w:eastAsia="宋体" w:cs="宋体"/>
                <w:highlight w:val="none"/>
                <w:lang w:eastAsia="zh-CN"/>
              </w:rPr>
            </w:pPr>
            <w:r>
              <w:rPr>
                <w:rFonts w:hint="eastAsia" w:ascii="宋体" w:hAnsi="宋体" w:eastAsia="宋体" w:cs="宋体"/>
                <w:highlight w:val="none"/>
                <w:lang w:val="en-US" w:eastAsia="zh-CN"/>
              </w:rPr>
              <w:t>1.满足《中华人民共和国政府采购法》第二十二条的规定</w:t>
            </w:r>
            <w:r>
              <w:rPr>
                <w:rFonts w:hint="eastAsia" w:ascii="宋体" w:hAnsi="宋体" w:eastAsia="宋体" w:cs="宋体"/>
                <w:highlight w:val="none"/>
                <w:lang w:eastAsia="zh-CN"/>
              </w:rPr>
              <w:t>：</w:t>
            </w:r>
          </w:p>
          <w:p>
            <w:pPr>
              <w:spacing w:line="400" w:lineRule="exact"/>
              <w:rPr>
                <w:rFonts w:hint="eastAsia" w:ascii="宋体" w:hAnsi="宋体" w:eastAsia="宋体" w:cs="宋体"/>
                <w:highlight w:val="none"/>
                <w:lang w:eastAsia="zh-CN"/>
              </w:rPr>
            </w:pPr>
            <w:r>
              <w:rPr>
                <w:rFonts w:hint="eastAsia" w:ascii="宋体" w:hAnsi="宋体" w:eastAsia="宋体" w:cs="宋体"/>
                <w:highlight w:val="none"/>
                <w:lang w:val="en-US" w:eastAsia="zh-CN"/>
              </w:rPr>
              <w:t>(1)</w:t>
            </w:r>
            <w:r>
              <w:rPr>
                <w:rFonts w:hint="eastAsia" w:ascii="宋体" w:hAnsi="宋体" w:eastAsia="宋体" w:cs="宋体"/>
                <w:highlight w:val="none"/>
                <w:lang w:eastAsia="zh-CN"/>
              </w:rPr>
              <w:t>具有独立承担民事责任能力的法人、其他组织或自然人，并出具合法有效的统一社会信用代码的营业执照或事业单位法人证书等国家规定的相关证明，自然人参与的提供其身份证明；</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(2)投标供应商提供基本资</w:t>
            </w:r>
            <w:r>
              <w:rPr>
                <w:rFonts w:hint="eastAsia" w:ascii="宋体" w:hAnsi="宋体" w:eastAsia="宋体" w:cs="宋体"/>
                <w:highlight w:val="none"/>
              </w:rPr>
              <w:t>格条件承诺函</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以下</w:t>
            </w:r>
            <w:r>
              <w:rPr>
                <w:rFonts w:hint="eastAsia" w:ascii="宋体" w:hAnsi="宋体" w:eastAsia="宋体" w:cs="宋体"/>
                <w:highlight w:val="none"/>
                <w:lang w:eastAsia="zh-CN"/>
              </w:rPr>
              <w:t>①</w:t>
            </w:r>
            <w:r>
              <w:rPr>
                <w:rFonts w:hint="eastAsia" w:ascii="宋体" w:hAnsi="宋体" w:eastAsia="宋体" w:cs="宋体"/>
                <w:highlight w:val="none"/>
                <w:lang w:val="en-US" w:eastAsia="zh-CN"/>
              </w:rPr>
              <w:t>-</w:t>
            </w:r>
            <w:r>
              <w:rPr>
                <w:rFonts w:hint="eastAsia" w:ascii="宋体" w:hAnsi="宋体" w:eastAsia="宋体" w:cs="宋体"/>
                <w:highlight w:val="none"/>
                <w:lang w:eastAsia="zh-CN"/>
              </w:rPr>
              <w:t>④</w:t>
            </w:r>
            <w:r>
              <w:rPr>
                <w:rFonts w:hint="eastAsia" w:ascii="宋体" w:hAnsi="宋体" w:eastAsia="宋体" w:cs="宋体"/>
                <w:highlight w:val="none"/>
                <w:lang w:val="en-US" w:eastAsia="zh-CN"/>
              </w:rPr>
              <w:t>条要求的相关材料供应商可提供</w:t>
            </w:r>
            <w:r>
              <w:rPr>
                <w:rFonts w:hint="eastAsia" w:ascii="宋体" w:hAnsi="宋体" w:eastAsia="宋体" w:cs="宋体"/>
                <w:highlight w:val="none"/>
              </w:rPr>
              <w:t>《基本资格条件承诺函》</w:t>
            </w:r>
            <w:r>
              <w:rPr>
                <w:rFonts w:hint="eastAsia" w:ascii="宋体" w:hAnsi="宋体" w:eastAsia="宋体" w:cs="宋体"/>
                <w:highlight w:val="none"/>
                <w:lang w:val="en-US" w:eastAsia="zh-CN"/>
              </w:rPr>
              <w:t>替代，</w:t>
            </w:r>
            <w:r>
              <w:rPr>
                <w:rFonts w:hint="eastAsia" w:ascii="宋体" w:hAnsi="宋体" w:eastAsia="宋体" w:cs="宋体"/>
                <w:highlight w:val="none"/>
              </w:rPr>
              <w:t>供应商应对</w:t>
            </w:r>
            <w:r>
              <w:rPr>
                <w:rFonts w:hint="eastAsia" w:ascii="宋体" w:hAnsi="宋体" w:eastAsia="宋体" w:cs="宋体"/>
                <w:highlight w:val="none"/>
                <w:lang w:val="en-US" w:eastAsia="zh-CN"/>
              </w:rPr>
              <w:t>其资格信用</w:t>
            </w:r>
            <w:r>
              <w:rPr>
                <w:rFonts w:hint="eastAsia" w:ascii="宋体" w:hAnsi="宋体" w:eastAsia="宋体" w:cs="宋体"/>
                <w:highlight w:val="none"/>
              </w:rPr>
              <w:t>承诺内容的真实性、合法性、有效性负责。</w:t>
            </w:r>
            <w:r>
              <w:rPr>
                <w:rFonts w:hint="eastAsia" w:ascii="宋体" w:hAnsi="宋体" w:eastAsia="宋体" w:cs="宋体"/>
                <w:highlight w:val="none"/>
                <w:lang w:val="en-US" w:eastAsia="zh-CN"/>
              </w:rPr>
              <w:t>如做出虚假承诺，视同</w:t>
            </w:r>
            <w:r>
              <w:rPr>
                <w:rFonts w:hint="eastAsia" w:ascii="宋体" w:hAnsi="宋体" w:eastAsia="宋体" w:cs="宋体"/>
                <w:highlight w:val="none"/>
              </w:rPr>
              <w:t>“提供虚假材料谋取中标</w:t>
            </w:r>
            <w:r>
              <w:rPr>
                <w:rFonts w:hint="eastAsia" w:ascii="宋体" w:hAnsi="宋体" w:eastAsia="宋体" w:cs="宋体"/>
                <w:highlight w:val="none"/>
                <w:lang w:val="en-US" w:eastAsia="zh-CN"/>
              </w:rPr>
              <w:t>(</w:t>
            </w:r>
            <w:r>
              <w:rPr>
                <w:rFonts w:hint="eastAsia" w:ascii="宋体" w:hAnsi="宋体" w:eastAsia="宋体" w:cs="宋体"/>
                <w:highlight w:val="none"/>
              </w:rPr>
              <w:t>成交</w:t>
            </w:r>
            <w:r>
              <w:rPr>
                <w:rFonts w:hint="eastAsia" w:ascii="宋体" w:hAnsi="宋体" w:eastAsia="宋体" w:cs="宋体"/>
                <w:highlight w:val="none"/>
                <w:lang w:val="en-US" w:eastAsia="zh-CN"/>
              </w:rPr>
              <w:t>)</w:t>
            </w:r>
            <w:r>
              <w:rPr>
                <w:rFonts w:hint="eastAsia" w:ascii="宋体" w:hAnsi="宋体" w:eastAsia="宋体" w:cs="宋体"/>
                <w:highlight w:val="none"/>
              </w:rPr>
              <w:t>”的违法行为，</w:t>
            </w:r>
            <w:r>
              <w:rPr>
                <w:rFonts w:hint="eastAsia" w:ascii="宋体" w:hAnsi="宋体" w:eastAsia="宋体" w:cs="宋体"/>
                <w:highlight w:val="none"/>
                <w:lang w:val="en-US" w:eastAsia="zh-CN"/>
              </w:rPr>
              <w:t>经调查核实后，按照</w:t>
            </w:r>
            <w:r>
              <w:rPr>
                <w:rFonts w:hint="eastAsia" w:ascii="宋体" w:hAnsi="宋体" w:eastAsia="宋体" w:cs="宋体"/>
                <w:highlight w:val="none"/>
              </w:rPr>
              <w:t>《中华人民共和国政府采购法》等法律法规追究相应责任。承诺函格式详情见招标文件第六章</w:t>
            </w:r>
            <w:r>
              <w:rPr>
                <w:rFonts w:hint="eastAsia" w:ascii="宋体" w:hAnsi="宋体" w:eastAsia="宋体" w:cs="宋体"/>
                <w:highlight w:val="none"/>
                <w:lang w:val="en-US" w:eastAsia="zh-CN"/>
              </w:rPr>
              <w:t>投标</w:t>
            </w:r>
            <w:r>
              <w:rPr>
                <w:rFonts w:hint="eastAsia" w:ascii="宋体" w:hAnsi="宋体" w:eastAsia="宋体" w:cs="宋体"/>
                <w:highlight w:val="none"/>
              </w:rPr>
              <w:t>文件格式。不提供《基本资格条件承诺函》的</w:t>
            </w:r>
            <w:r>
              <w:rPr>
                <w:rFonts w:hint="eastAsia" w:ascii="宋体" w:hAnsi="宋体" w:eastAsia="宋体" w:cs="宋体"/>
                <w:highlight w:val="none"/>
                <w:lang w:val="en-US" w:eastAsia="zh-CN"/>
              </w:rPr>
              <w:t>投标供应商</w:t>
            </w:r>
            <w:r>
              <w:rPr>
                <w:rFonts w:hint="eastAsia" w:ascii="宋体" w:hAnsi="宋体" w:eastAsia="宋体" w:cs="宋体"/>
                <w:highlight w:val="none"/>
              </w:rPr>
              <w:t>需提交如下资格证明文件</w:t>
            </w:r>
            <w:r>
              <w:rPr>
                <w:rFonts w:hint="eastAsia" w:ascii="宋体" w:hAnsi="宋体" w:eastAsia="宋体" w:cs="宋体"/>
                <w:highlight w:val="none"/>
                <w:lang w:eastAsia="zh-CN"/>
              </w:rPr>
              <w:t>：</w:t>
            </w:r>
          </w:p>
          <w:p>
            <w:pPr>
              <w:spacing w:line="400" w:lineRule="exact"/>
              <w:rPr>
                <w:rFonts w:hint="eastAsia" w:ascii="宋体" w:hAnsi="宋体" w:eastAsia="宋体" w:cs="宋体"/>
                <w:highlight w:val="none"/>
                <w:lang w:eastAsia="zh-CN"/>
              </w:rPr>
            </w:pPr>
            <w:r>
              <w:rPr>
                <w:rFonts w:hint="eastAsia" w:ascii="宋体" w:hAnsi="宋体" w:eastAsia="宋体" w:cs="宋体"/>
                <w:highlight w:val="none"/>
                <w:lang w:eastAsia="zh-CN"/>
              </w:rPr>
              <w:t>①良好的财务状况：提供2022年度的财务审计报告（至少包括资产负债表和利润表，成立时间至提交</w:t>
            </w:r>
            <w:r>
              <w:rPr>
                <w:rFonts w:hint="eastAsia" w:ascii="宋体" w:hAnsi="宋体" w:eastAsia="宋体" w:cs="宋体"/>
                <w:highlight w:val="none"/>
                <w:lang w:val="en-US" w:eastAsia="zh-CN"/>
              </w:rPr>
              <w:t>响应</w:t>
            </w:r>
            <w:r>
              <w:rPr>
                <w:rFonts w:hint="eastAsia" w:ascii="宋体" w:hAnsi="宋体" w:eastAsia="宋体" w:cs="宋体"/>
                <w:highlight w:val="none"/>
                <w:lang w:eastAsia="zh-CN"/>
              </w:rPr>
              <w:t>文件截止时间不足一年的可提供成立后任意时段的资产负债表）或开标前六个月内其基本存款账户开户银行出具的资信证明（附开户许可证或基本账户证明）；</w:t>
            </w:r>
          </w:p>
          <w:p>
            <w:pPr>
              <w:spacing w:line="400" w:lineRule="exact"/>
              <w:rPr>
                <w:rFonts w:hint="eastAsia" w:ascii="宋体" w:hAnsi="宋体" w:eastAsia="宋体" w:cs="宋体"/>
                <w:highlight w:val="none"/>
                <w:lang w:eastAsia="zh-CN"/>
              </w:rPr>
            </w:pPr>
            <w:r>
              <w:rPr>
                <w:rFonts w:hint="eastAsia" w:ascii="宋体" w:hAnsi="宋体" w:eastAsia="宋体" w:cs="宋体"/>
                <w:highlight w:val="none"/>
                <w:lang w:eastAsia="zh-CN"/>
              </w:rPr>
              <w:t>②依法缴纳税收和社会保障资金情况：提供202</w:t>
            </w:r>
            <w:r>
              <w:rPr>
                <w:rFonts w:hint="eastAsia" w:ascii="宋体" w:hAnsi="宋体" w:cs="宋体"/>
                <w:highlight w:val="none"/>
                <w:lang w:val="en-US" w:eastAsia="zh-CN"/>
              </w:rPr>
              <w:t>3</w:t>
            </w:r>
            <w:r>
              <w:rPr>
                <w:rFonts w:hint="eastAsia" w:ascii="宋体" w:hAnsi="宋体" w:eastAsia="宋体" w:cs="宋体"/>
                <w:highlight w:val="none"/>
                <w:lang w:eastAsia="zh-CN"/>
              </w:rPr>
              <w:t>年度至今已缴纳的至少三个月的纳税证明或完税证明及社会保障资金缴存单据或社保机构开具的社会保险参保缴费情况证明，依法免税或不需要缴纳社会保障资金的单位应提供相关证明材料；</w:t>
            </w:r>
          </w:p>
          <w:p>
            <w:pPr>
              <w:spacing w:line="400" w:lineRule="exact"/>
              <w:rPr>
                <w:rFonts w:hint="eastAsia" w:ascii="宋体" w:hAnsi="宋体" w:eastAsia="宋体" w:cs="宋体"/>
                <w:highlight w:val="none"/>
                <w:lang w:eastAsia="zh-CN"/>
              </w:rPr>
            </w:pPr>
            <w:r>
              <w:rPr>
                <w:rFonts w:hint="eastAsia" w:ascii="宋体" w:hAnsi="宋体" w:eastAsia="宋体" w:cs="宋体"/>
                <w:highlight w:val="none"/>
                <w:lang w:eastAsia="zh-CN"/>
              </w:rPr>
              <w:t>③具备履行合同所必需的设备和专业技术能力；</w:t>
            </w:r>
          </w:p>
          <w:p>
            <w:pPr>
              <w:spacing w:line="400" w:lineRule="exact"/>
              <w:rPr>
                <w:rFonts w:hint="eastAsia" w:ascii="宋体" w:hAnsi="宋体" w:eastAsia="宋体" w:cs="宋体"/>
                <w:highlight w:val="none"/>
                <w:lang w:eastAsia="zh-CN"/>
              </w:rPr>
            </w:pPr>
            <w:r>
              <w:rPr>
                <w:rFonts w:hint="eastAsia" w:ascii="宋体" w:hAnsi="宋体" w:eastAsia="宋体" w:cs="宋体"/>
                <w:highlight w:val="none"/>
                <w:lang w:eastAsia="zh-CN"/>
              </w:rPr>
              <w:t>④参加本次政府采购活动前三年内，在经营活动中没有重大违法记录的书面声明。</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2.落实政府采购政策需满足的资格要求；</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专门面向中小企业采购，仅限符合《政府采购促进中小企业发展暂行办法》（财库〔2020〕46号）条件的中小企业参与，投标供应商应填写中小企业声明函并对真实性负责。残疾人福利性单位及监狱企业视同为小型、微型企业，残疾人福利性单位应符合《关于促进残疾人就业政府采购政策的通知》（财库〔2017〕141号）要求，监狱企业应符合《关于政府采购支持监狱企业发展有关问题的通知》（财库〔2014〕68号）要求。</w:t>
            </w:r>
          </w:p>
          <w:p>
            <w:pPr>
              <w:spacing w:line="400" w:lineRule="exact"/>
              <w:rPr>
                <w:rFonts w:hint="eastAsia" w:ascii="宋体" w:hAnsi="宋体" w:eastAsia="宋体" w:cs="宋体"/>
                <w:highlight w:val="none"/>
                <w:lang w:eastAsia="zh-CN"/>
              </w:rPr>
            </w:pPr>
            <w:r>
              <w:rPr>
                <w:rFonts w:hint="eastAsia" w:ascii="宋体" w:hAnsi="宋体" w:eastAsia="宋体" w:cs="宋体"/>
                <w:highlight w:val="none"/>
                <w:lang w:val="en-US" w:eastAsia="zh-CN"/>
              </w:rPr>
              <w:t>3.</w:t>
            </w:r>
            <w:r>
              <w:rPr>
                <w:rFonts w:hint="eastAsia" w:ascii="宋体" w:hAnsi="宋体" w:eastAsia="宋体" w:cs="宋体"/>
                <w:highlight w:val="none"/>
                <w:lang w:eastAsia="zh-CN"/>
              </w:rPr>
              <w:t>本项目的特定资格要求：</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1）法定代表人直接参加投标的，须提供法定代表人身份证明及身份证扫描件；法定代表人授权他人参加投标的，须提供法定代表人授权委托书（附法定代表人、被授权人身份证扫描件），自然人提供其身份证扫描件；</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2）投标供应商不得在“中国执行信息公开网”网站（http://zxgk.court.gov.cn/）中被列入失信被执行人、不得在“信用中国”网站（www.creditchina.gov.cn）被列为重大税收违法案件当事人，不得为“中国政府采购网”（www.ccgp.gov.cn）政府采购严重违法失信行为记录名单中被财政部门禁止参加政府采购活动的供应商；</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（3）本项目不接受联合体投标。</w:t>
            </w:r>
          </w:p>
          <w:p>
            <w:pPr>
              <w:spacing w:line="400" w:lineRule="exac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注：上述资格证明文件为必备资格，缺项或者符合性、有效性、合法性审查不合格的，按无效投标文件处理。资格审查时以投标文件中所附证明材料和现场相关网站查询为准（信用中国、中国执行信息公开网、中国政府采购网查询结果，由代理机构进行查询并留存）。</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依据财库〔2016〕125号《关于在政府采购活动中查询及使用信用记录有关问题的通知》的规定，投标供应商信用信息查询具体规定如下：</w:t>
            </w:r>
          </w:p>
          <w:p>
            <w:pPr>
              <w:spacing w:line="400" w:lineRule="exact"/>
              <w:rPr>
                <w:rFonts w:hint="eastAsia" w:ascii="宋体" w:hAnsi="宋体" w:eastAsia="宋体" w:cs="宋体"/>
                <w:highlight w:val="none"/>
              </w:rPr>
            </w:pPr>
            <w:r>
              <w:rPr>
                <w:rFonts w:hint="eastAsia" w:ascii="宋体" w:hAnsi="宋体" w:eastAsia="宋体" w:cs="宋体"/>
                <w:highlight w:val="none"/>
                <w:lang w:val="en-US" w:eastAsia="zh-CN"/>
              </w:rPr>
              <w:t>企业信用：投标供应商通过“信用中国”网站(www.creditchina.gov.cn)和中国政府采购网(www.ccgp.gov.cn) 查询相关主体信用记录，查询节点应在采购文件发售期至投标截止时间之间。（投标供应商可将“信用中国”、“中国执行信息公开网”网站（http://zxgk.court.gov.cn/）“中国政府采购网”网页查询截图加盖投标供应商红色公章附在投标文件中，采购人、采购代理机构有权对各投标供应商信用记录情况进行甄别查询，并对查询结果予以截图留存。对被列入失信被执行人、重大税收违法案件当事人、政府采购严重违法失信行为记录名单的投标供应商将被拒绝参与本次政府采购活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746" w:type="dxa"/>
            <w:noWrap w:val="0"/>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4</w:t>
            </w:r>
          </w:p>
        </w:tc>
        <w:tc>
          <w:tcPr>
            <w:tcW w:w="2557" w:type="dxa"/>
            <w:noWrap w:val="0"/>
            <w:vAlign w:val="top"/>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是否接受联合体投标</w:t>
            </w:r>
          </w:p>
        </w:tc>
        <w:tc>
          <w:tcPr>
            <w:tcW w:w="6792" w:type="dxa"/>
            <w:noWrap w:val="0"/>
            <w:vAlign w:val="center"/>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 xml:space="preserve">不接受。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3" w:hRule="atLeast"/>
        </w:trPr>
        <w:tc>
          <w:tcPr>
            <w:tcW w:w="746" w:type="dxa"/>
            <w:noWrap w:val="0"/>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5</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现场踏勘及答疑</w:t>
            </w:r>
          </w:p>
        </w:tc>
        <w:tc>
          <w:tcPr>
            <w:tcW w:w="6792" w:type="dxa"/>
            <w:noWrap w:val="0"/>
            <w:vAlign w:val="center"/>
          </w:tcPr>
          <w:p>
            <w:pPr>
              <w:spacing w:line="400" w:lineRule="exact"/>
              <w:rPr>
                <w:rFonts w:hint="eastAsia" w:ascii="宋体" w:hAnsi="宋体" w:eastAsia="宋体" w:cs="宋体"/>
                <w:szCs w:val="21"/>
                <w:highlight w:val="none"/>
              </w:rPr>
            </w:pPr>
            <w:r>
              <w:rPr>
                <w:rFonts w:hint="eastAsia" w:ascii="宋体" w:hAnsi="宋体" w:eastAsia="宋体" w:cs="宋体"/>
                <w:snapToGrid w:val="0"/>
                <w:szCs w:val="21"/>
                <w:highlight w:val="none"/>
              </w:rPr>
              <w:t>不组织。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746" w:type="dxa"/>
            <w:noWrap w:val="0"/>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6</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提出询问和质疑的时间</w:t>
            </w:r>
          </w:p>
        </w:tc>
        <w:tc>
          <w:tcPr>
            <w:tcW w:w="6792" w:type="dxa"/>
            <w:noWrap w:val="0"/>
            <w:vAlign w:val="center"/>
          </w:tcPr>
          <w:p>
            <w:pPr>
              <w:spacing w:line="400" w:lineRule="exac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已经购买</w:t>
            </w:r>
            <w:r>
              <w:rPr>
                <w:rFonts w:hint="eastAsia" w:ascii="宋体" w:hAnsi="宋体" w:eastAsia="宋体" w:cs="宋体"/>
                <w:snapToGrid w:val="0"/>
                <w:szCs w:val="21"/>
                <w:highlight w:val="none"/>
                <w:lang w:eastAsia="zh-CN"/>
              </w:rPr>
              <w:t>招标文件</w:t>
            </w:r>
            <w:r>
              <w:rPr>
                <w:rFonts w:hint="eastAsia" w:ascii="宋体" w:hAnsi="宋体" w:eastAsia="宋体" w:cs="宋体"/>
                <w:snapToGrid w:val="0"/>
                <w:szCs w:val="21"/>
                <w:highlight w:val="none"/>
              </w:rPr>
              <w:t>的</w:t>
            </w:r>
            <w:r>
              <w:rPr>
                <w:rFonts w:hint="eastAsia" w:ascii="宋体" w:hAnsi="宋体" w:eastAsia="宋体" w:cs="宋体"/>
                <w:snapToGrid w:val="0"/>
                <w:szCs w:val="21"/>
                <w:highlight w:val="none"/>
                <w:lang w:eastAsia="zh-CN"/>
              </w:rPr>
              <w:t>投标供应商</w:t>
            </w:r>
            <w:r>
              <w:rPr>
                <w:rFonts w:hint="eastAsia" w:ascii="宋体" w:hAnsi="宋体" w:eastAsia="宋体" w:cs="宋体"/>
                <w:snapToGrid w:val="0"/>
                <w:szCs w:val="21"/>
                <w:highlight w:val="none"/>
              </w:rPr>
              <w:t>对</w:t>
            </w:r>
            <w:r>
              <w:rPr>
                <w:rFonts w:hint="eastAsia" w:ascii="宋体" w:hAnsi="宋体" w:eastAsia="宋体" w:cs="宋体"/>
                <w:snapToGrid w:val="0"/>
                <w:szCs w:val="21"/>
                <w:highlight w:val="none"/>
                <w:lang w:eastAsia="zh-CN"/>
              </w:rPr>
              <w:t>招标文件</w:t>
            </w:r>
            <w:r>
              <w:rPr>
                <w:rFonts w:hint="eastAsia" w:ascii="宋体" w:hAnsi="宋体" w:eastAsia="宋体" w:cs="宋体"/>
                <w:snapToGrid w:val="0"/>
                <w:szCs w:val="21"/>
                <w:highlight w:val="none"/>
              </w:rPr>
              <w:t>有询问或者质疑的，可以在本项目</w:t>
            </w:r>
            <w:r>
              <w:rPr>
                <w:rFonts w:hint="eastAsia" w:ascii="宋体" w:hAnsi="宋体" w:eastAsia="宋体" w:cs="宋体"/>
                <w:snapToGrid w:val="0"/>
                <w:szCs w:val="21"/>
                <w:highlight w:val="none"/>
                <w:lang w:eastAsia="zh-CN"/>
              </w:rPr>
              <w:t>招标文件</w:t>
            </w:r>
            <w:r>
              <w:rPr>
                <w:rFonts w:hint="eastAsia" w:ascii="宋体" w:hAnsi="宋体" w:eastAsia="宋体" w:cs="宋体"/>
                <w:snapToGrid w:val="0"/>
                <w:szCs w:val="21"/>
                <w:highlight w:val="none"/>
              </w:rPr>
              <w:t>公告期限届满之日起7个工作日内，以书面形式（陕西省政府采购网上政府采购</w:t>
            </w:r>
            <w:r>
              <w:rPr>
                <w:rFonts w:hint="eastAsia" w:ascii="宋体" w:hAnsi="宋体" w:eastAsia="宋体" w:cs="宋体"/>
                <w:snapToGrid w:val="0"/>
                <w:szCs w:val="21"/>
                <w:highlight w:val="none"/>
                <w:lang w:eastAsia="zh-CN"/>
              </w:rPr>
              <w:t>投标供应商</w:t>
            </w:r>
            <w:r>
              <w:rPr>
                <w:rFonts w:hint="eastAsia" w:ascii="宋体" w:hAnsi="宋体" w:eastAsia="宋体" w:cs="宋体"/>
                <w:snapToGrid w:val="0"/>
                <w:szCs w:val="21"/>
                <w:highlight w:val="none"/>
              </w:rPr>
              <w:t>质疑函范本）</w:t>
            </w:r>
            <w:r>
              <w:rPr>
                <w:rFonts w:hint="eastAsia" w:ascii="宋体" w:hAnsi="宋体" w:eastAsia="宋体" w:cs="宋体"/>
                <w:snapToGrid w:val="0"/>
                <w:color w:val="000000"/>
                <w:szCs w:val="21"/>
                <w:highlight w:val="none"/>
              </w:rPr>
              <w:t>一次性向采购代理机构提出，</w:t>
            </w:r>
            <w:r>
              <w:rPr>
                <w:rFonts w:hint="eastAsia" w:ascii="宋体" w:hAnsi="宋体" w:eastAsia="宋体" w:cs="宋体"/>
                <w:snapToGrid w:val="0"/>
                <w:szCs w:val="21"/>
                <w:highlight w:val="none"/>
              </w:rPr>
              <w:t>在此之后提出的询问和质疑均为无效，采购代理机构不予受理。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noWrap w:val="0"/>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7</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采购代理机构答疑的时间</w:t>
            </w:r>
          </w:p>
        </w:tc>
        <w:tc>
          <w:tcPr>
            <w:tcW w:w="6792" w:type="dxa"/>
            <w:noWrap w:val="0"/>
            <w:vAlign w:val="center"/>
          </w:tcPr>
          <w:p>
            <w:pPr>
              <w:spacing w:line="400" w:lineRule="exact"/>
              <w:rPr>
                <w:rFonts w:hint="eastAsia" w:ascii="宋体" w:hAnsi="宋体" w:eastAsia="宋体" w:cs="宋体"/>
                <w:szCs w:val="21"/>
                <w:highlight w:val="none"/>
              </w:rPr>
            </w:pPr>
            <w:r>
              <w:rPr>
                <w:rFonts w:hint="eastAsia" w:ascii="宋体" w:hAnsi="宋体" w:eastAsia="宋体" w:cs="宋体"/>
                <w:snapToGrid w:val="0"/>
                <w:szCs w:val="21"/>
                <w:highlight w:val="none"/>
              </w:rPr>
              <w:t>对于</w:t>
            </w:r>
            <w:r>
              <w:rPr>
                <w:rFonts w:hint="eastAsia" w:ascii="宋体" w:hAnsi="宋体" w:eastAsia="宋体" w:cs="宋体"/>
                <w:snapToGrid w:val="0"/>
                <w:szCs w:val="21"/>
                <w:highlight w:val="none"/>
                <w:lang w:eastAsia="zh-CN"/>
              </w:rPr>
              <w:t>投标供应商</w:t>
            </w:r>
            <w:r>
              <w:rPr>
                <w:rFonts w:hint="eastAsia" w:ascii="宋体" w:hAnsi="宋体" w:eastAsia="宋体" w:cs="宋体"/>
                <w:snapToGrid w:val="0"/>
                <w:szCs w:val="21"/>
                <w:highlight w:val="none"/>
              </w:rPr>
              <w:t>在规定时间内依法提出的询问和质疑，采购代理机构将在3个工作日内答复询问，7个工作日内答复质疑。若对</w:t>
            </w:r>
            <w:r>
              <w:rPr>
                <w:rFonts w:hint="eastAsia" w:ascii="宋体" w:hAnsi="宋体" w:eastAsia="宋体" w:cs="宋体"/>
                <w:snapToGrid w:val="0"/>
                <w:szCs w:val="21"/>
                <w:highlight w:val="none"/>
                <w:lang w:eastAsia="zh-CN"/>
              </w:rPr>
              <w:t>招标文件</w:t>
            </w:r>
            <w:r>
              <w:rPr>
                <w:rFonts w:hint="eastAsia" w:ascii="宋体" w:hAnsi="宋体" w:eastAsia="宋体" w:cs="宋体"/>
                <w:snapToGrid w:val="0"/>
                <w:szCs w:val="21"/>
                <w:highlight w:val="none"/>
              </w:rPr>
              <w:t>做出实质性变动，则按照相关规定延长投标截止时间。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5" w:hRule="atLeast"/>
        </w:trPr>
        <w:tc>
          <w:tcPr>
            <w:tcW w:w="746" w:type="dxa"/>
            <w:noWrap w:val="0"/>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18</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投标有效期</w:t>
            </w:r>
          </w:p>
        </w:tc>
        <w:tc>
          <w:tcPr>
            <w:tcW w:w="6792" w:type="dxa"/>
            <w:noWrap w:val="0"/>
            <w:vAlign w:val="center"/>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90个日历日（从提交投标文件截止之日算起）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noWrap w:val="0"/>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19</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转包与分包履约</w:t>
            </w:r>
          </w:p>
        </w:tc>
        <w:tc>
          <w:tcPr>
            <w:tcW w:w="6792" w:type="dxa"/>
            <w:noWrap w:val="0"/>
            <w:vAlign w:val="center"/>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不得转包。若分包中标人在合同签订之前必须征得采购人同意（详见</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须知）。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投标保证金金额及递交时间</w:t>
            </w:r>
          </w:p>
        </w:tc>
        <w:tc>
          <w:tcPr>
            <w:tcW w:w="6792" w:type="dxa"/>
            <w:noWrap w:val="0"/>
            <w:vAlign w:val="center"/>
          </w:tcPr>
          <w:p>
            <w:pPr>
              <w:spacing w:line="400" w:lineRule="exact"/>
              <w:rPr>
                <w:rFonts w:hint="eastAsia" w:ascii="宋体" w:hAnsi="宋体" w:eastAsia="宋体" w:cs="宋体"/>
                <w:szCs w:val="21"/>
                <w:highlight w:val="none"/>
              </w:rPr>
            </w:pPr>
            <w:r>
              <w:rPr>
                <w:rFonts w:hint="eastAsia" w:ascii="宋体" w:hAnsi="宋体" w:eastAsia="宋体" w:cs="宋体"/>
                <w:spacing w:val="0"/>
                <w:sz w:val="21"/>
                <w:szCs w:val="21"/>
                <w:highlight w:val="none"/>
                <w:lang w:eastAsia="zh-CN"/>
              </w:rPr>
              <w:t>本项目免收投标保证金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1</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发售</w:t>
            </w:r>
          </w:p>
        </w:tc>
        <w:tc>
          <w:tcPr>
            <w:tcW w:w="6792" w:type="dxa"/>
            <w:noWrap w:val="0"/>
            <w:vAlign w:val="center"/>
          </w:tcPr>
          <w:p>
            <w:pPr>
              <w:snapToGrid w:val="0"/>
              <w:spacing w:line="400" w:lineRule="exact"/>
              <w:ind w:left="630" w:hanging="630" w:hangingChars="300"/>
              <w:jc w:val="both"/>
              <w:rPr>
                <w:rFonts w:hint="eastAsia" w:ascii="宋体" w:hAnsi="宋体" w:eastAsia="宋体" w:cs="宋体"/>
                <w:szCs w:val="21"/>
                <w:highlight w:val="none"/>
              </w:rPr>
            </w:pPr>
            <w:r>
              <w:rPr>
                <w:rFonts w:hint="eastAsia" w:ascii="宋体" w:hAnsi="宋体" w:eastAsia="宋体" w:cs="宋体"/>
                <w:szCs w:val="21"/>
                <w:highlight w:val="none"/>
              </w:rPr>
              <w:t>时 间：</w:t>
            </w:r>
            <w:r>
              <w:rPr>
                <w:rFonts w:hint="eastAsia" w:ascii="宋体" w:hAnsi="宋体" w:eastAsia="宋体" w:cs="宋体"/>
                <w:szCs w:val="21"/>
                <w:highlight w:val="none"/>
                <w:lang w:val="en-US" w:eastAsia="zh-CN"/>
              </w:rPr>
              <w:t>2023年7月28日至2023年8月3日</w:t>
            </w:r>
            <w:r>
              <w:rPr>
                <w:rFonts w:hint="eastAsia" w:ascii="宋体" w:hAnsi="宋体" w:eastAsia="宋体" w:cs="宋体"/>
                <w:szCs w:val="21"/>
                <w:highlight w:val="none"/>
              </w:rPr>
              <w:t>（节假日除外），</w:t>
            </w:r>
          </w:p>
          <w:p>
            <w:pPr>
              <w:snapToGrid w:val="0"/>
              <w:spacing w:line="400" w:lineRule="exact"/>
              <w:ind w:left="630" w:hanging="630" w:hangingChars="300"/>
              <w:jc w:val="both"/>
              <w:rPr>
                <w:rFonts w:hint="eastAsia" w:ascii="宋体" w:hAnsi="宋体" w:eastAsia="宋体" w:cs="宋体"/>
                <w:szCs w:val="21"/>
                <w:highlight w:val="none"/>
              </w:rPr>
            </w:pPr>
            <w:r>
              <w:rPr>
                <w:rFonts w:hint="eastAsia" w:ascii="宋体" w:hAnsi="宋体" w:eastAsia="宋体" w:cs="宋体"/>
                <w:szCs w:val="21"/>
                <w:highlight w:val="none"/>
              </w:rPr>
              <w:t>上午：</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:00-1</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0，下午</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:00-1</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:00。</w:t>
            </w:r>
          </w:p>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地 点：</w:t>
            </w:r>
            <w:r>
              <w:rPr>
                <w:rFonts w:hint="eastAsia" w:ascii="宋体" w:hAnsi="宋体" w:eastAsia="宋体" w:cs="宋体"/>
                <w:b w:val="0"/>
                <w:bCs/>
                <w:sz w:val="21"/>
                <w:szCs w:val="21"/>
                <w:highlight w:val="none"/>
                <w:lang w:val="en-US" w:eastAsia="zh-CN"/>
              </w:rPr>
              <w:t>全国公共资源交易平台</w:t>
            </w:r>
            <w:r>
              <w:rPr>
                <w:rFonts w:hint="eastAsia" w:ascii="宋体" w:hAnsi="宋体" w:eastAsia="宋体" w:cs="宋体"/>
                <w:b w:val="0"/>
                <w:bCs/>
                <w:i w:val="0"/>
                <w:iCs w:val="0"/>
                <w:caps w:val="0"/>
                <w:color w:val="333333"/>
                <w:spacing w:val="0"/>
                <w:kern w:val="0"/>
                <w:sz w:val="21"/>
                <w:szCs w:val="21"/>
                <w:highlight w:val="none"/>
                <w:shd w:val="clear" w:fill="FFFFFF"/>
                <w:vertAlign w:val="baseline"/>
                <w:lang w:val="en-US" w:eastAsia="zh-CN" w:bidi="ar-SA"/>
              </w:rPr>
              <w:t>（陕西省·西咸新区）</w:t>
            </w:r>
            <w:r>
              <w:rPr>
                <w:rFonts w:hint="eastAsia" w:ascii="宋体" w:hAnsi="宋体" w:eastAsia="宋体" w:cs="宋体"/>
                <w:szCs w:val="21"/>
                <w:highlight w:val="none"/>
              </w:rPr>
              <w:t>平台免费下载</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lang w:val="en-US" w:eastAsia="zh-CN"/>
              </w:rPr>
              <w:t>电子版</w:t>
            </w:r>
            <w:r>
              <w:rPr>
                <w:rFonts w:hint="eastAsia" w:ascii="宋体" w:hAnsi="宋体" w:eastAsia="宋体" w:cs="宋体"/>
                <w:szCs w:val="21"/>
                <w:highlight w:val="none"/>
                <w:shd w:val="clear" w:color="auto" w:fill="FFFFFF"/>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售价：</w:t>
            </w:r>
            <w:r>
              <w:rPr>
                <w:rFonts w:hint="eastAsia" w:ascii="宋体" w:hAnsi="宋体" w:eastAsia="宋体" w:cs="宋体"/>
                <w:szCs w:val="21"/>
                <w:highlight w:val="none"/>
                <w:lang w:val="en-US" w:eastAsia="zh-CN"/>
              </w:rPr>
              <w:t>0元</w:t>
            </w:r>
            <w:r>
              <w:rPr>
                <w:rFonts w:hint="eastAsia" w:ascii="宋体" w:hAnsi="宋体" w:eastAsia="宋体" w:cs="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2</w:t>
            </w:r>
          </w:p>
        </w:tc>
        <w:tc>
          <w:tcPr>
            <w:tcW w:w="2557" w:type="dxa"/>
            <w:noWrap w:val="0"/>
            <w:vAlign w:val="center"/>
          </w:tcPr>
          <w:p>
            <w:pPr>
              <w:spacing w:line="4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投标报价</w:t>
            </w:r>
          </w:p>
        </w:tc>
        <w:tc>
          <w:tcPr>
            <w:tcW w:w="6792" w:type="dxa"/>
            <w:noWrap w:val="0"/>
            <w:vAlign w:val="center"/>
          </w:tcPr>
          <w:p>
            <w:pPr>
              <w:pStyle w:val="16"/>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1.最高投标限价：</w:t>
            </w:r>
          </w:p>
          <w:p>
            <w:pPr>
              <w:pStyle w:val="16"/>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1）一级养护区域：全费用综合单价限价为11元/平方米·年；</w:t>
            </w:r>
          </w:p>
          <w:p>
            <w:pPr>
              <w:pStyle w:val="16"/>
              <w:spacing w:line="360" w:lineRule="auto"/>
              <w:ind w:firstLine="420" w:firstLineChars="200"/>
              <w:jc w:val="both"/>
              <w:rPr>
                <w:rFonts w:hint="eastAsia" w:ascii="宋体" w:hAnsi="宋体" w:cs="宋体"/>
                <w:highlight w:val="none"/>
                <w:lang w:val="en-US" w:eastAsia="zh-CN"/>
              </w:rPr>
            </w:pPr>
            <w:r>
              <w:rPr>
                <w:rFonts w:hint="eastAsia" w:ascii="宋体" w:hAnsi="宋体" w:eastAsia="宋体" w:cs="宋体"/>
                <w:highlight w:val="none"/>
                <w:lang w:val="en-US" w:eastAsia="zh-CN"/>
              </w:rPr>
              <w:t>2）二级养护区域：全费用综合单价限价为9元/平方米·年</w:t>
            </w:r>
            <w:r>
              <w:rPr>
                <w:rFonts w:hint="eastAsia" w:ascii="宋体" w:hAnsi="宋体" w:cs="宋体"/>
                <w:highlight w:val="none"/>
                <w:lang w:val="en-US" w:eastAsia="zh-CN"/>
              </w:rPr>
              <w:t>；</w:t>
            </w:r>
          </w:p>
          <w:p>
            <w:pPr>
              <w:pStyle w:val="16"/>
              <w:spacing w:line="360" w:lineRule="auto"/>
              <w:ind w:firstLine="420" w:firstLineChars="200"/>
              <w:jc w:val="both"/>
              <w:rPr>
                <w:rFonts w:hint="eastAsia"/>
                <w:highlight w:val="none"/>
                <w:lang w:val="en-US" w:eastAsia="zh-CN"/>
              </w:rPr>
            </w:pPr>
            <w:r>
              <w:rPr>
                <w:rFonts w:hint="eastAsia"/>
                <w:highlight w:val="none"/>
                <w:lang w:val="en-US" w:eastAsia="zh-CN"/>
              </w:rPr>
              <w:t>3）行道树：全费用综合单价限价为22元/株·年。</w:t>
            </w:r>
          </w:p>
          <w:p>
            <w:pPr>
              <w:pStyle w:val="16"/>
              <w:spacing w:line="360" w:lineRule="auto"/>
              <w:jc w:val="both"/>
              <w:rPr>
                <w:rFonts w:hint="eastAsia" w:ascii="宋体" w:hAnsi="宋体" w:eastAsia="宋体" w:cs="宋体"/>
                <w:highlight w:val="none"/>
                <w:lang w:val="en-US" w:eastAsia="zh-CN"/>
              </w:rPr>
            </w:pPr>
            <w:r>
              <w:rPr>
                <w:rFonts w:hint="eastAsia" w:ascii="宋体" w:hAnsi="宋体"/>
                <w:color w:val="auto"/>
                <w:kern w:val="10"/>
                <w:szCs w:val="21"/>
                <w:highlight w:val="none"/>
                <w:lang w:val="en-US" w:eastAsia="zh-CN"/>
              </w:rPr>
              <w:t>2.养护绿化面积及行道树</w:t>
            </w:r>
            <w:r>
              <w:rPr>
                <w:rFonts w:hint="eastAsia" w:ascii="宋体" w:hAnsi="宋体"/>
                <w:color w:val="auto"/>
                <w:kern w:val="10"/>
                <w:szCs w:val="21"/>
                <w:highlight w:val="none"/>
              </w:rPr>
              <w:t>数量为近似数量，与实际准确数量可能会有出入，各</w:t>
            </w:r>
            <w:r>
              <w:rPr>
                <w:rFonts w:hint="eastAsia" w:ascii="宋体" w:hAnsi="宋体"/>
                <w:color w:val="auto"/>
                <w:kern w:val="10"/>
                <w:szCs w:val="21"/>
                <w:highlight w:val="none"/>
                <w:lang w:eastAsia="zh-CN"/>
              </w:rPr>
              <w:t>投标供应商</w:t>
            </w:r>
            <w:r>
              <w:rPr>
                <w:rFonts w:hint="eastAsia" w:ascii="宋体" w:hAnsi="宋体"/>
                <w:color w:val="auto"/>
                <w:kern w:val="10"/>
                <w:szCs w:val="21"/>
                <w:highlight w:val="none"/>
              </w:rPr>
              <w:t>在投标报价时应予以充分考虑，</w:t>
            </w:r>
            <w:r>
              <w:rPr>
                <w:rFonts w:hint="eastAsia" w:ascii="宋体" w:hAnsi="宋体"/>
                <w:color w:val="auto"/>
                <w:kern w:val="10"/>
                <w:szCs w:val="21"/>
                <w:highlight w:val="none"/>
                <w:lang w:eastAsia="zh-CN"/>
              </w:rPr>
              <w:t>投标供应商</w:t>
            </w:r>
            <w:r>
              <w:rPr>
                <w:rFonts w:hint="eastAsia" w:ascii="宋体" w:hAnsi="宋体"/>
                <w:color w:val="auto"/>
                <w:kern w:val="10"/>
                <w:szCs w:val="21"/>
                <w:highlight w:val="none"/>
              </w:rPr>
              <w:t>如有需要自行组织现场踏勘，以充分了解项目实施位置、项目实施范围、周边情况及任何其他足以影响报价的情况，任何因忽视或误解现场情况而导致的索赔或经费申请将不予受理。</w:t>
            </w:r>
            <w:r>
              <w:rPr>
                <w:rFonts w:hint="eastAsia"/>
                <w:highlight w:val="none"/>
                <w:lang w:val="en-US" w:eastAsia="zh-CN"/>
              </w:rPr>
              <w:t>最终年养护费用依据实际进场复测实际绿化面积及行道树数量与中标的全费用综合单价相乘所得。</w:t>
            </w:r>
          </w:p>
          <w:p>
            <w:pPr>
              <w:pStyle w:val="16"/>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3.本项目采用固定全费用综合单价方式， 投标总报价不得超过采购预算，综合单价报价不得超过最高限价单价，否则按无效投标处理。</w:t>
            </w:r>
          </w:p>
          <w:p>
            <w:pPr>
              <w:pStyle w:val="16"/>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4.各投标供应商根据招标文件的规定，结合企业自身管理水平及市场行情自主报价。</w:t>
            </w:r>
          </w:p>
          <w:p>
            <w:pPr>
              <w:pStyle w:val="16"/>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5.凡因投标供应商对招标文件阅读疏忽或误解，或因对现场、环境、市场行情等了解不清而造成的后果和风险，由各投标供应商自己负责； 如投标供应商因此而提出索赔或服务期延长，采购人将不予批准。</w:t>
            </w:r>
          </w:p>
          <w:p>
            <w:pPr>
              <w:pStyle w:val="16"/>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6.投标报价中应充分考虑本项目的各项内容，包括完成项目所发生的人工费、服务费、管理费、利润、聘请专家咨询费、税金以及合同包含的所有风险、责任等所有费用，投标供应商漏报或不报，采购人或采购代理机构将视为有关费用已包括在投标报价中而不予支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noWrap w:val="0"/>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23</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投标文件份数</w:t>
            </w:r>
          </w:p>
        </w:tc>
        <w:tc>
          <w:tcPr>
            <w:tcW w:w="6792" w:type="dxa"/>
            <w:noWrap w:val="0"/>
            <w:vAlign w:val="center"/>
          </w:tcPr>
          <w:p>
            <w:pPr>
              <w:spacing w:line="400" w:lineRule="exact"/>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本项目采用不见面开标，投标供应商无需提供纸质版投标文件</w:t>
            </w:r>
            <w:r>
              <w:rPr>
                <w:rFonts w:hint="eastAsia" w:ascii="宋体" w:hAnsi="宋体" w:eastAsia="宋体" w:cs="宋体"/>
                <w:sz w:val="21"/>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24</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投标文件提交地点</w:t>
            </w:r>
          </w:p>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及截止时间</w:t>
            </w:r>
          </w:p>
        </w:tc>
        <w:tc>
          <w:tcPr>
            <w:tcW w:w="6792" w:type="dxa"/>
            <w:noWrap w:val="0"/>
            <w:vAlign w:val="center"/>
          </w:tcPr>
          <w:p>
            <w:pPr>
              <w:spacing w:line="400" w:lineRule="exact"/>
              <w:rPr>
                <w:rFonts w:hint="eastAsia" w:ascii="宋体" w:hAnsi="宋体" w:eastAsia="宋体" w:cs="宋体"/>
                <w:szCs w:val="21"/>
                <w:highlight w:val="none"/>
                <w:lang w:val="en-US"/>
              </w:rPr>
            </w:pPr>
            <w:r>
              <w:rPr>
                <w:rFonts w:hint="eastAsia" w:ascii="宋体" w:hAnsi="宋体" w:eastAsia="宋体" w:cs="宋体"/>
                <w:szCs w:val="21"/>
                <w:highlight w:val="none"/>
              </w:rPr>
              <w:t>时  间：</w:t>
            </w:r>
            <w:r>
              <w:rPr>
                <w:rFonts w:hint="eastAsia" w:ascii="宋体" w:hAnsi="宋体" w:eastAsia="宋体" w:cs="宋体"/>
                <w:szCs w:val="21"/>
                <w:highlight w:val="none"/>
                <w:lang w:val="en-US" w:eastAsia="zh-CN"/>
              </w:rPr>
              <w:t>2023年8月</w:t>
            </w:r>
            <w:r>
              <w:rPr>
                <w:rFonts w:hint="eastAsia" w:ascii="宋体" w:hAnsi="宋体" w:cs="宋体"/>
                <w:szCs w:val="21"/>
                <w:highlight w:val="none"/>
                <w:lang w:val="en-US" w:eastAsia="zh-CN"/>
              </w:rPr>
              <w:t>17</w:t>
            </w:r>
            <w:r>
              <w:rPr>
                <w:rFonts w:hint="eastAsia" w:ascii="宋体" w:hAnsi="宋体" w:eastAsia="宋体" w:cs="宋体"/>
                <w:szCs w:val="21"/>
                <w:highlight w:val="none"/>
                <w:lang w:val="en-US" w:eastAsia="zh-CN"/>
              </w:rPr>
              <w:t>日上午09:30</w:t>
            </w:r>
          </w:p>
          <w:p>
            <w:pPr>
              <w:tabs>
                <w:tab w:val="left" w:pos="9720"/>
              </w:tabs>
              <w:spacing w:line="400" w:lineRule="exact"/>
              <w:rPr>
                <w:rFonts w:hint="eastAsia" w:ascii="宋体" w:hAnsi="宋体" w:eastAsia="宋体" w:cs="宋体"/>
                <w:szCs w:val="21"/>
                <w:highlight w:val="none"/>
              </w:rPr>
            </w:pPr>
            <w:r>
              <w:rPr>
                <w:rFonts w:hint="eastAsia" w:ascii="宋体" w:hAnsi="宋体" w:eastAsia="宋体" w:cs="宋体"/>
                <w:szCs w:val="21"/>
                <w:highlight w:val="none"/>
              </w:rPr>
              <w:t>地  点：</w:t>
            </w:r>
            <w:r>
              <w:rPr>
                <w:rFonts w:hint="eastAsia" w:ascii="宋体" w:hAnsi="宋体" w:eastAsia="宋体" w:cs="宋体"/>
                <w:b/>
                <w:bCs/>
                <w:sz w:val="21"/>
                <w:szCs w:val="21"/>
                <w:highlight w:val="none"/>
                <w:lang w:val="en-US" w:eastAsia="zh-CN"/>
              </w:rPr>
              <w:t>电子投标文件上传至全国公共资源交易中心（陕西省.西咸新区）平台</w:t>
            </w:r>
            <w:r>
              <w:rPr>
                <w:rFonts w:hint="eastAsia" w:ascii="宋体" w:hAnsi="宋体" w:eastAsia="宋体" w:cs="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color w:val="000000"/>
                <w:szCs w:val="21"/>
                <w:highlight w:val="none"/>
                <w:lang w:val="en-US" w:eastAsia="zh-CN"/>
              </w:rPr>
              <w:t>25</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开标</w:t>
            </w:r>
          </w:p>
        </w:tc>
        <w:tc>
          <w:tcPr>
            <w:tcW w:w="6792" w:type="dxa"/>
            <w:noWrap w:val="0"/>
            <w:vAlign w:val="center"/>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时  间：</w:t>
            </w:r>
            <w:r>
              <w:rPr>
                <w:rFonts w:hint="eastAsia" w:ascii="宋体" w:hAnsi="宋体" w:eastAsia="宋体" w:cs="宋体"/>
                <w:szCs w:val="21"/>
                <w:highlight w:val="none"/>
                <w:lang w:val="en-US" w:eastAsia="zh-CN"/>
              </w:rPr>
              <w:t>2023年8月</w:t>
            </w:r>
            <w:r>
              <w:rPr>
                <w:rFonts w:hint="eastAsia" w:ascii="宋体" w:hAnsi="宋体" w:cs="宋体"/>
                <w:szCs w:val="21"/>
                <w:highlight w:val="none"/>
                <w:lang w:val="en-US" w:eastAsia="zh-CN"/>
              </w:rPr>
              <w:t>17</w:t>
            </w:r>
            <w:r>
              <w:rPr>
                <w:rFonts w:hint="eastAsia" w:ascii="宋体" w:hAnsi="宋体" w:eastAsia="宋体" w:cs="宋体"/>
                <w:szCs w:val="21"/>
                <w:highlight w:val="none"/>
                <w:lang w:val="en-US" w:eastAsia="zh-CN"/>
              </w:rPr>
              <w:t>日上午09:30</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地  点：</w:t>
            </w:r>
            <w:r>
              <w:rPr>
                <w:rFonts w:hint="eastAsia" w:ascii="宋体" w:hAnsi="宋体" w:eastAsia="宋体" w:cs="宋体"/>
                <w:b/>
                <w:bCs/>
                <w:sz w:val="21"/>
                <w:szCs w:val="21"/>
                <w:highlight w:val="none"/>
                <w:lang w:val="en-US" w:eastAsia="zh-CN"/>
              </w:rPr>
              <w:t>全国公共资源交易中心（陕西省.西咸新区）平台不见面开标系统</w:t>
            </w:r>
            <w:r>
              <w:rPr>
                <w:rFonts w:hint="eastAsia" w:ascii="宋体" w:hAnsi="宋体" w:eastAsia="宋体" w:cs="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color w:val="000000"/>
                <w:szCs w:val="21"/>
                <w:highlight w:val="none"/>
                <w:lang w:val="en-US" w:eastAsia="zh-CN"/>
              </w:rPr>
              <w:t>26</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color w:val="000000"/>
                <w:kern w:val="0"/>
                <w:szCs w:val="21"/>
                <w:highlight w:val="none"/>
              </w:rPr>
              <w:t>评标委员会的组建</w:t>
            </w:r>
          </w:p>
        </w:tc>
        <w:tc>
          <w:tcPr>
            <w:tcW w:w="6792" w:type="dxa"/>
            <w:noWrap w:val="0"/>
            <w:vAlign w:val="center"/>
          </w:tcPr>
          <w:p>
            <w:pPr>
              <w:widowControl/>
              <w:spacing w:line="400" w:lineRule="exact"/>
              <w:jc w:val="left"/>
              <w:rPr>
                <w:rFonts w:hint="eastAsia" w:ascii="宋体" w:hAnsi="宋体" w:eastAsia="宋体" w:cs="宋体"/>
                <w:color w:val="000000"/>
                <w:kern w:val="0"/>
                <w:szCs w:val="21"/>
                <w:highlight w:val="none"/>
                <w:u w:val="single"/>
              </w:rPr>
            </w:pPr>
            <w:r>
              <w:rPr>
                <w:rFonts w:hint="eastAsia" w:ascii="宋体" w:hAnsi="宋体" w:eastAsia="宋体" w:cs="宋体"/>
                <w:color w:val="000000"/>
                <w:kern w:val="0"/>
                <w:szCs w:val="21"/>
                <w:highlight w:val="none"/>
              </w:rPr>
              <w:t>评标委员会构成：</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u w:val="single"/>
                <w:lang w:val="en-US" w:eastAsia="zh-CN"/>
              </w:rPr>
              <w:t>5</w:t>
            </w:r>
            <w:r>
              <w:rPr>
                <w:rFonts w:hint="eastAsia" w:ascii="宋体" w:hAnsi="宋体" w:eastAsia="宋体" w:cs="宋体"/>
                <w:color w:val="000000"/>
                <w:kern w:val="0"/>
                <w:szCs w:val="21"/>
                <w:highlight w:val="none"/>
              </w:rPr>
              <w:t>人，其中采购人代表</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u w:val="single"/>
                <w:lang w:val="en-US" w:eastAsia="zh-CN"/>
              </w:rPr>
              <w:t>1</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人，专家</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u w:val="single"/>
                <w:lang w:val="en-US" w:eastAsia="zh-CN"/>
              </w:rPr>
              <w:t>4</w:t>
            </w:r>
            <w:r>
              <w:rPr>
                <w:rFonts w:hint="eastAsia" w:ascii="宋体" w:hAnsi="宋体" w:eastAsia="宋体" w:cs="宋体"/>
                <w:color w:val="000000"/>
                <w:kern w:val="0"/>
                <w:szCs w:val="21"/>
                <w:highlight w:val="none"/>
              </w:rPr>
              <w:t>人。</w:t>
            </w:r>
          </w:p>
          <w:p>
            <w:pPr>
              <w:spacing w:line="400" w:lineRule="exact"/>
              <w:rPr>
                <w:rFonts w:hint="eastAsia" w:ascii="宋体" w:hAnsi="宋体" w:eastAsia="宋体" w:cs="宋体"/>
                <w:szCs w:val="21"/>
                <w:highlight w:val="none"/>
              </w:rPr>
            </w:pPr>
            <w:r>
              <w:rPr>
                <w:rFonts w:hint="eastAsia" w:ascii="宋体" w:hAnsi="宋体" w:eastAsia="宋体" w:cs="宋体"/>
                <w:color w:val="000000"/>
                <w:kern w:val="0"/>
                <w:szCs w:val="21"/>
                <w:highlight w:val="none"/>
              </w:rPr>
              <w:t>评标专家确定方式：评标前在</w:t>
            </w:r>
            <w:r>
              <w:rPr>
                <w:rFonts w:hint="eastAsia" w:ascii="宋体" w:hAnsi="宋体" w:eastAsia="宋体" w:cs="宋体"/>
                <w:kern w:val="0"/>
                <w:szCs w:val="21"/>
                <w:highlight w:val="none"/>
              </w:rPr>
              <w:t>陕西政府采购专家库</w:t>
            </w:r>
            <w:r>
              <w:rPr>
                <w:rFonts w:hint="eastAsia" w:ascii="宋体" w:hAnsi="宋体" w:eastAsia="宋体" w:cs="宋体"/>
                <w:color w:val="000000"/>
                <w:kern w:val="0"/>
                <w:szCs w:val="21"/>
                <w:highlight w:val="none"/>
              </w:rPr>
              <w:t>中随机抽取技术、经济方面的专家。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46"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27</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是否授权评标委员会</w:t>
            </w:r>
          </w:p>
          <w:p>
            <w:pPr>
              <w:spacing w:line="400" w:lineRule="exact"/>
              <w:jc w:val="center"/>
              <w:rPr>
                <w:rFonts w:hint="eastAsia" w:ascii="宋体" w:hAnsi="宋体" w:eastAsia="宋体" w:cs="宋体"/>
                <w:color w:val="000000"/>
                <w:kern w:val="0"/>
                <w:szCs w:val="21"/>
                <w:highlight w:val="none"/>
              </w:rPr>
            </w:pPr>
            <w:r>
              <w:rPr>
                <w:rFonts w:hint="eastAsia" w:ascii="宋体" w:hAnsi="宋体" w:eastAsia="宋体" w:cs="宋体"/>
                <w:szCs w:val="21"/>
                <w:highlight w:val="none"/>
              </w:rPr>
              <w:t>确定中标单位</w:t>
            </w:r>
          </w:p>
        </w:tc>
        <w:tc>
          <w:tcPr>
            <w:tcW w:w="6792" w:type="dxa"/>
            <w:noWrap w:val="0"/>
            <w:vAlign w:val="center"/>
          </w:tcPr>
          <w:p>
            <w:pPr>
              <w:spacing w:line="400" w:lineRule="exact"/>
              <w:rPr>
                <w:rFonts w:hint="eastAsia" w:ascii="宋体" w:hAnsi="宋体" w:eastAsia="宋体" w:cs="宋体"/>
                <w:color w:val="000000"/>
                <w:kern w:val="0"/>
                <w:szCs w:val="21"/>
                <w:highlight w:val="none"/>
              </w:rPr>
            </w:pPr>
            <w:r>
              <w:rPr>
                <w:rFonts w:hint="eastAsia" w:ascii="宋体" w:hAnsi="宋体" w:eastAsia="宋体" w:cs="宋体"/>
                <w:color w:val="000000"/>
                <w:szCs w:val="21"/>
                <w:highlight w:val="none"/>
              </w:rPr>
              <w:t>否,推荐3家中标候选人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noWrap w:val="0"/>
            <w:vAlign w:val="center"/>
          </w:tcPr>
          <w:p>
            <w:pPr>
              <w:spacing w:line="400" w:lineRule="exact"/>
              <w:jc w:val="center"/>
              <w:rPr>
                <w:rFonts w:hint="eastAsia" w:ascii="宋体" w:hAnsi="宋体" w:eastAsia="宋体" w:cs="宋体"/>
                <w:color w:val="000000"/>
                <w:szCs w:val="21"/>
                <w:highlight w:val="none"/>
                <w:lang w:val="en-US" w:eastAsia="zh-CN"/>
              </w:rPr>
            </w:pPr>
            <w:r>
              <w:rPr>
                <w:rFonts w:hint="eastAsia" w:ascii="宋体" w:hAnsi="宋体" w:eastAsia="宋体" w:cs="宋体"/>
                <w:szCs w:val="21"/>
                <w:highlight w:val="none"/>
                <w:lang w:val="en-US" w:eastAsia="zh-CN"/>
              </w:rPr>
              <w:t>28</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color w:val="000000"/>
                <w:szCs w:val="21"/>
                <w:highlight w:val="none"/>
              </w:rPr>
              <w:t>公示期</w:t>
            </w:r>
          </w:p>
        </w:tc>
        <w:tc>
          <w:tcPr>
            <w:tcW w:w="6792" w:type="dxa"/>
            <w:noWrap w:val="0"/>
            <w:vAlign w:val="center"/>
          </w:tcPr>
          <w:p>
            <w:pPr>
              <w:widowControl/>
              <w:spacing w:line="40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公示媒介：陕西</w:t>
            </w:r>
            <w:r>
              <w:rPr>
                <w:rFonts w:hint="eastAsia" w:ascii="宋体" w:hAnsi="宋体" w:eastAsia="宋体" w:cs="宋体"/>
                <w:color w:val="000000"/>
                <w:szCs w:val="21"/>
                <w:highlight w:val="none"/>
                <w:lang w:eastAsia="zh-CN"/>
              </w:rPr>
              <w:t>省</w:t>
            </w:r>
            <w:r>
              <w:rPr>
                <w:rFonts w:hint="eastAsia" w:ascii="宋体" w:hAnsi="宋体" w:eastAsia="宋体" w:cs="宋体"/>
                <w:color w:val="000000"/>
                <w:szCs w:val="21"/>
                <w:highlight w:val="none"/>
              </w:rPr>
              <w:t>政府采购网、《全国公共资源交易平台（陕西省·西咸新区）》。</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公 示 期：1个工作日。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29</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付款方式</w:t>
            </w:r>
          </w:p>
        </w:tc>
        <w:tc>
          <w:tcPr>
            <w:tcW w:w="6792" w:type="dxa"/>
            <w:noWrap w:val="0"/>
            <w:vAlign w:val="center"/>
          </w:tcPr>
          <w:p>
            <w:pPr>
              <w:spacing w:line="400" w:lineRule="exact"/>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使用单位与</w:t>
            </w:r>
            <w:r>
              <w:rPr>
                <w:rFonts w:hint="eastAsia" w:ascii="宋体" w:hAnsi="宋体" w:eastAsia="宋体" w:cs="宋体"/>
                <w:szCs w:val="21"/>
                <w:highlight w:val="none"/>
                <w:shd w:val="clear" w:color="auto" w:fill="FFFFFF"/>
                <w:lang w:eastAsia="zh-CN"/>
              </w:rPr>
              <w:t>中标</w:t>
            </w:r>
            <w:r>
              <w:rPr>
                <w:rFonts w:hint="eastAsia" w:ascii="宋体" w:hAnsi="宋体" w:eastAsia="宋体" w:cs="宋体"/>
                <w:szCs w:val="21"/>
                <w:highlight w:val="none"/>
                <w:shd w:val="clear" w:color="auto" w:fill="FFFFFF"/>
              </w:rPr>
              <w:t>单位根据具体项目合同约定进行</w:t>
            </w:r>
            <w:r>
              <w:rPr>
                <w:rFonts w:hint="eastAsia" w:ascii="宋体" w:hAnsi="宋体" w:eastAsia="宋体" w:cs="宋体"/>
                <w:szCs w:val="21"/>
                <w:highlight w:val="none"/>
                <w:shd w:val="clear" w:color="auto" w:fill="FFFFFF"/>
                <w:lang w:val="en-US" w:eastAsia="zh-CN"/>
              </w:rPr>
              <w:t>支付</w:t>
            </w:r>
            <w:r>
              <w:rPr>
                <w:rFonts w:hint="eastAsia" w:ascii="宋体" w:hAnsi="宋体" w:eastAsia="宋体" w:cs="宋体"/>
                <w:szCs w:val="21"/>
                <w:highlight w:val="none"/>
                <w:shd w:val="clear" w:color="auto" w:fill="FFFFFF"/>
              </w:rPr>
              <w:t>结算。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67" w:hRule="atLeast"/>
        </w:trPr>
        <w:tc>
          <w:tcPr>
            <w:tcW w:w="746"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30</w:t>
            </w:r>
          </w:p>
        </w:tc>
        <w:tc>
          <w:tcPr>
            <w:tcW w:w="2557" w:type="dxa"/>
            <w:noWrap w:val="0"/>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采购代理服务费</w:t>
            </w:r>
          </w:p>
        </w:tc>
        <w:tc>
          <w:tcPr>
            <w:tcW w:w="6792" w:type="dxa"/>
            <w:noWrap w:val="0"/>
            <w:vAlign w:val="center"/>
          </w:tcPr>
          <w:p>
            <w:pPr>
              <w:pStyle w:val="150"/>
              <w:spacing w:before="98" w:line="328" w:lineRule="auto"/>
              <w:ind w:right="97"/>
              <w:jc w:val="both"/>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服务费参照《国家计委关于印发&lt;招标代理服务收费管理暂行办法&gt;的通知》（计价格[2002]1980号）规定标准和（发改办价格[2003]857号）、发改价格[2011]534 号文件规定</w:t>
            </w:r>
            <w:r>
              <w:rPr>
                <w:rFonts w:hint="eastAsia" w:ascii="宋体" w:hAnsi="宋体" w:eastAsia="宋体" w:cs="宋体"/>
                <w:b/>
                <w:bCs/>
                <w:color w:val="000000"/>
                <w:kern w:val="0"/>
                <w:sz w:val="21"/>
                <w:szCs w:val="21"/>
                <w:highlight w:val="none"/>
                <w:lang w:val="en-US" w:eastAsia="zh-CN" w:bidi="ar-SA"/>
              </w:rPr>
              <w:t>下浮42.5%</w:t>
            </w:r>
            <w:r>
              <w:rPr>
                <w:rFonts w:hint="eastAsia" w:ascii="宋体" w:hAnsi="宋体" w:eastAsia="宋体" w:cs="宋体"/>
                <w:color w:val="000000"/>
                <w:kern w:val="0"/>
                <w:sz w:val="21"/>
                <w:szCs w:val="21"/>
                <w:highlight w:val="none"/>
                <w:lang w:val="en-US" w:eastAsia="zh-CN" w:bidi="ar-SA"/>
              </w:rPr>
              <w:t>后计取，由</w:t>
            </w:r>
            <w:r>
              <w:rPr>
                <w:rFonts w:hint="eastAsia" w:ascii="宋体" w:hAnsi="宋体" w:eastAsia="宋体" w:cs="宋体"/>
                <w:b w:val="0"/>
                <w:bCs w:val="0"/>
                <w:color w:val="000000"/>
                <w:kern w:val="2"/>
                <w:sz w:val="21"/>
                <w:szCs w:val="21"/>
                <w:highlight w:val="none"/>
                <w:lang w:val="en-US" w:eastAsia="zh-CN" w:bidi="ar-SA"/>
              </w:rPr>
              <w:t>中标人在领取中标通知书前向采购代理机构一次性支付。</w:t>
            </w:r>
          </w:p>
          <w:p>
            <w:pPr>
              <w:pStyle w:val="150"/>
              <w:spacing w:before="98" w:line="328" w:lineRule="auto"/>
              <w:ind w:right="97"/>
              <w:jc w:val="both"/>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招标代理服务费专用户：</w:t>
            </w:r>
          </w:p>
          <w:p>
            <w:pPr>
              <w:pStyle w:val="150"/>
              <w:spacing w:before="98" w:line="328" w:lineRule="auto"/>
              <w:ind w:right="97"/>
              <w:jc w:val="both"/>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开户名称：瑞信国际项目管理有限公司</w:t>
            </w:r>
          </w:p>
          <w:p>
            <w:pPr>
              <w:pStyle w:val="150"/>
              <w:spacing w:before="98" w:line="328" w:lineRule="auto"/>
              <w:ind w:right="97"/>
              <w:jc w:val="both"/>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开户银行：交通银行股份有限公司咸阳分行</w:t>
            </w:r>
          </w:p>
          <w:p>
            <w:pPr>
              <w:pStyle w:val="150"/>
              <w:spacing w:before="98" w:line="328" w:lineRule="auto"/>
              <w:ind w:right="97"/>
              <w:jc w:val="both"/>
              <w:rPr>
                <w:rFonts w:hint="eastAsia" w:ascii="宋体" w:hAnsi="宋体" w:eastAsia="宋体" w:cs="宋体"/>
                <w:szCs w:val="21"/>
                <w:highlight w:val="none"/>
                <w:lang w:val="en-US" w:eastAsia="zh-CN"/>
              </w:rPr>
            </w:pPr>
            <w:r>
              <w:rPr>
                <w:rFonts w:hint="eastAsia" w:ascii="宋体" w:hAnsi="宋体" w:eastAsia="宋体" w:cs="宋体"/>
                <w:b w:val="0"/>
                <w:bCs w:val="0"/>
                <w:color w:val="000000"/>
                <w:kern w:val="2"/>
                <w:sz w:val="21"/>
                <w:szCs w:val="21"/>
                <w:highlight w:val="none"/>
                <w:lang w:val="en-US" w:eastAsia="zh-CN" w:bidi="ar-SA"/>
              </w:rPr>
              <w:t>账    号：6140 6000 0018 1702 83871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67" w:hRule="atLeast"/>
        </w:trPr>
        <w:tc>
          <w:tcPr>
            <w:tcW w:w="746" w:type="dxa"/>
            <w:noWrap w:val="0"/>
            <w:vAlign w:val="center"/>
          </w:tcPr>
          <w:p>
            <w:pPr>
              <w:spacing w:line="400" w:lineRule="exact"/>
              <w:jc w:val="center"/>
              <w:rPr>
                <w:rFonts w:hint="eastAsia" w:ascii="宋体" w:hAnsi="宋体" w:eastAsia="宋体" w:cs="宋体"/>
                <w:szCs w:val="21"/>
                <w:highlight w:val="none"/>
                <w:lang w:val="en-US" w:eastAsia="zh-CN"/>
              </w:rPr>
            </w:pPr>
            <w:bookmarkStart w:id="12" w:name="_Toc222740110"/>
            <w:r>
              <w:rPr>
                <w:rFonts w:hint="eastAsia" w:ascii="宋体" w:hAnsi="宋体" w:eastAsia="宋体" w:cs="宋体"/>
                <w:szCs w:val="21"/>
                <w:highlight w:val="none"/>
                <w:lang w:val="en-US" w:eastAsia="zh-CN"/>
              </w:rPr>
              <w:t>31</w:t>
            </w:r>
          </w:p>
        </w:tc>
        <w:tc>
          <w:tcPr>
            <w:tcW w:w="2557" w:type="dxa"/>
            <w:noWrap w:val="0"/>
            <w:vAlign w:val="center"/>
          </w:tcPr>
          <w:p>
            <w:pPr>
              <w:spacing w:line="400" w:lineRule="exact"/>
              <w:jc w:val="center"/>
              <w:rPr>
                <w:rFonts w:hint="eastAsia" w:ascii="宋体" w:hAnsi="宋体" w:eastAsia="宋体" w:cs="宋体"/>
                <w:szCs w:val="21"/>
                <w:highlight w:val="none"/>
                <w:lang w:val="en-US"/>
              </w:rPr>
            </w:pPr>
            <w:r>
              <w:rPr>
                <w:rFonts w:hint="eastAsia" w:ascii="宋体" w:hAnsi="宋体" w:eastAsia="宋体" w:cs="宋体"/>
                <w:b w:val="0"/>
                <w:bCs/>
                <w:sz w:val="21"/>
                <w:szCs w:val="21"/>
                <w:highlight w:val="none"/>
                <w:lang w:val="en-US" w:eastAsia="zh-CN"/>
              </w:rPr>
              <w:t>不继续参与项目投标的供应商</w:t>
            </w:r>
          </w:p>
        </w:tc>
        <w:tc>
          <w:tcPr>
            <w:tcW w:w="6792" w:type="dxa"/>
            <w:noWrap w:val="0"/>
            <w:vAlign w:val="center"/>
          </w:tcPr>
          <w:p>
            <w:pPr>
              <w:pStyle w:val="1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sz w:val="21"/>
                <w:szCs w:val="21"/>
                <w:highlight w:val="none"/>
                <w:lang w:val="en-US" w:eastAsia="zh-CN"/>
              </w:rPr>
              <w:t>根据《西咸新区财政局关于促进政府采购公平竞争优化营商环境的通知》（陕西咸财函〔2021〕359号），投标供应商登记免费领取采购文件的，如不参与项目投标，应在递交响应文件截止时间前一日以书面形式告知采购代理机构。否则采购代理机构可以向财政部门反映情况并提供相应的佐证。投标供应商一年内累计出现三次该情形，将被监管部门记录为失信行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67" w:hRule="atLeast"/>
        </w:trPr>
        <w:tc>
          <w:tcPr>
            <w:tcW w:w="746"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32</w:t>
            </w:r>
          </w:p>
        </w:tc>
        <w:tc>
          <w:tcPr>
            <w:tcW w:w="2557" w:type="dxa"/>
            <w:noWrap w:val="0"/>
            <w:vAlign w:val="center"/>
          </w:tcPr>
          <w:p>
            <w:pPr>
              <w:spacing w:line="360" w:lineRule="auto"/>
              <w:jc w:val="center"/>
              <w:rPr>
                <w:rFonts w:hint="eastAsia" w:ascii="宋体" w:hAnsi="宋体" w:eastAsia="宋体" w:cs="宋体"/>
                <w:szCs w:val="21"/>
                <w:highlight w:val="none"/>
                <w:lang w:val="en-US"/>
              </w:rPr>
            </w:pPr>
            <w:r>
              <w:rPr>
                <w:rFonts w:hint="eastAsia" w:ascii="宋体" w:hAnsi="宋体" w:eastAsia="宋体" w:cs="宋体"/>
                <w:szCs w:val="21"/>
                <w:highlight w:val="none"/>
                <w:lang w:val="en-US" w:eastAsia="zh-CN"/>
              </w:rPr>
              <w:t>不见面开标注意事项</w:t>
            </w:r>
          </w:p>
        </w:tc>
        <w:tc>
          <w:tcPr>
            <w:tcW w:w="6792" w:type="dxa"/>
            <w:noWrap w:val="0"/>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1.本项目采用不见面开标，不见面开标大厅登录方式：全国公共资源交易中心（陕西省.西咸新区）→电子交易平台→西咸新区公共资源交易中心不见面开标系统。开标当日</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供应商不必抵达开标现场，通过西咸新区公共资源交易中心不见面开标系统参加</w:t>
            </w:r>
            <w:r>
              <w:rPr>
                <w:rFonts w:hint="eastAsia" w:ascii="宋体" w:hAnsi="宋体" w:eastAsia="宋体" w:cs="宋体"/>
                <w:szCs w:val="21"/>
                <w:highlight w:val="none"/>
                <w:lang w:val="en-US" w:eastAsia="zh-CN"/>
              </w:rPr>
              <w:t>开标</w:t>
            </w:r>
            <w:r>
              <w:rPr>
                <w:rFonts w:hint="eastAsia" w:ascii="宋体" w:hAnsi="宋体" w:eastAsia="宋体" w:cs="宋体"/>
                <w:szCs w:val="21"/>
                <w:highlight w:val="none"/>
              </w:rPr>
              <w:t>会议，并根据需要使用不见面开标系统与现场采购人进行互动交流、澄清、质疑活动。各</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供应商可在全国公共资源交易中心（陕西省.西咸新区）下载供应商不见面开标操作手册。</w:t>
            </w:r>
            <w:r>
              <w:rPr>
                <w:rFonts w:hint="eastAsia" w:ascii="宋体" w:hAnsi="宋体" w:eastAsia="宋体" w:cs="宋体"/>
                <w:szCs w:val="21"/>
                <w:highlight w:val="none"/>
                <w:lang w:val="en-US" w:eastAsia="zh-CN"/>
              </w:rPr>
              <w:t>“http://xxxq.sxggzyjy.cn/xwzx/002002/20210721/d7421699-e891-4f40-b441-dccc415e05b3.html”</w:t>
            </w:r>
            <w:r>
              <w:rPr>
                <w:rFonts w:hint="eastAsia" w:ascii="宋体" w:hAnsi="宋体" w:eastAsia="宋体" w:cs="宋体"/>
                <w:b w:val="0"/>
                <w:bCs/>
                <w:spacing w:val="-28"/>
                <w:sz w:val="21"/>
                <w:szCs w:val="21"/>
                <w:highlight w:val="none"/>
                <w:lang w:val="en-US" w:eastAsia="zh-CN"/>
              </w:rPr>
              <w:t>。</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2.投标文件提交截止时间前，采购人及代理机构提前进入西咸新区公共资源交易中心不见面开标系统，播放测试音频，开启直播等功能，各供应商需在开标前在线签到。</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3.本项目无须提交纸质版投标文件，投标供应商应根据</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rPr>
              <w:t>文件的要求使用电子交易平台提供的标书制作工具完成电子投标响应文件的编制、签章和加密（加密和解密须用同一数字认证证书），并在投标截止时间前完成电子投标文件的上传，确保上传的电子投标文件的完整性、准确性及保密性。</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4.各投标供应商需要实时在线观看音视频直播并及时互动，未按时加入系统或未在线参加互动的，视为放弃标书解密和对开标评标全过程质疑、澄清、答辩的</w:t>
            </w:r>
            <w:r>
              <w:rPr>
                <w:rFonts w:hint="eastAsia" w:ascii="宋体" w:hAnsi="宋体" w:eastAsia="宋体" w:cs="宋体"/>
                <w:szCs w:val="21"/>
                <w:highlight w:val="none"/>
                <w:lang w:val="en-US" w:eastAsia="zh-CN"/>
              </w:rPr>
              <w:t>权力</w:t>
            </w:r>
            <w:r>
              <w:rPr>
                <w:rFonts w:hint="eastAsia" w:ascii="宋体" w:hAnsi="宋体" w:eastAsia="宋体" w:cs="宋体"/>
                <w:szCs w:val="21"/>
                <w:highlight w:val="none"/>
              </w:rPr>
              <w:t>，并承担由此产生的相应后果。</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5.开标评标过程中，参与远程互动的</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供应商应为同一人，在否决投标、澄清、质疑等特殊情况下需要互动时，</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供应商一端参与互动的人员只能是供应商的法定代表人或委托人，供应商不得以不承认互动人员的资格或身份等为借口推脱，</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供应商自行承担随意更换人员所导致的一切后果。</w:t>
            </w:r>
          </w:p>
          <w:p>
            <w:p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6.如因</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供应商自身原因无法进入不见面开标系统解密、或解密失败</w:t>
            </w:r>
            <w:r>
              <w:rPr>
                <w:rFonts w:hint="eastAsia" w:ascii="宋体" w:hAnsi="宋体" w:eastAsia="宋体" w:cs="宋体"/>
                <w:szCs w:val="21"/>
                <w:highlight w:val="none"/>
                <w:lang w:val="en-US" w:eastAsia="zh-CN"/>
              </w:rPr>
              <w:t>或解密超时</w:t>
            </w:r>
            <w:r>
              <w:rPr>
                <w:rFonts w:hint="eastAsia" w:ascii="宋体" w:hAnsi="宋体" w:eastAsia="宋体" w:cs="宋体"/>
                <w:szCs w:val="21"/>
                <w:highlight w:val="none"/>
              </w:rPr>
              <w:t>的，按无效</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46"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33</w:t>
            </w:r>
          </w:p>
        </w:tc>
        <w:tc>
          <w:tcPr>
            <w:tcW w:w="2557" w:type="dxa"/>
            <w:noWrap w:val="0"/>
            <w:vAlign w:val="center"/>
          </w:tcPr>
          <w:p>
            <w:pPr>
              <w:spacing w:line="400" w:lineRule="exact"/>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sz w:val="21"/>
                <w:szCs w:val="21"/>
                <w:highlight w:val="none"/>
                <w:lang w:val="en-US" w:eastAsia="zh-CN"/>
              </w:rPr>
              <w:t>电子投标文件编制、递交等要求</w:t>
            </w:r>
          </w:p>
        </w:tc>
        <w:tc>
          <w:tcPr>
            <w:tcW w:w="6792" w:type="dxa"/>
            <w:noWrap w:val="0"/>
            <w:vAlign w:val="center"/>
          </w:tcPr>
          <w:p>
            <w:p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电子招标文件下载：投标供应商须于招标文件获取时间内在全国公共资源交易平台（陕西省·西咸新区）（http://xxxq.sxggzyjy.cn/）登陆后进行投标确认，并自行下载电子招标文件，逾期下载通道将关闭，未及时下载招标文件影响后续开评标活动的，由此产生的后果由其自行承担。注意：该项目如有变更文件，则应点击“项目流程&gt;答疑文件下载”下载更新后的电子招标文件，使用旧版电子招标文件制作的电子投标文件，系统将拒绝接收。 </w:t>
            </w:r>
          </w:p>
          <w:p>
            <w:p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2.电 子 投 标 文 件制作 。 投 标 人 须 在 “ 陕 西 省 公 共 资 源 交 易 中 心 平 台 （http://www.sxggzyjy.cn/）”的“服务指南”栏目“下载专区”中，免费下载 “陕西省公共资源交易平台政府采购电子标书制作工具”，并使用该客户端制作扩展名为“.SXSTF”的电子投标文件。编制电子投标文件时，投标供应商应使用最新发布的电子招标文件及专用制作工具进行编制。并使用数字认证证书（CA 锁）对电子投标文件进行签章、加密、递交及开标时解密等相关招投标事宜。如因投标供应商自身原因造成未能解密、解密失败或解密超时，按无效投标</w:t>
            </w:r>
            <w:r>
              <w:rPr>
                <w:rFonts w:hint="eastAsia" w:ascii="宋体" w:hAnsi="宋体" w:eastAsia="宋体" w:cs="宋体"/>
                <w:szCs w:val="21"/>
                <w:highlight w:val="none"/>
              </w:rPr>
              <w:t>处理</w:t>
            </w:r>
            <w:r>
              <w:rPr>
                <w:rFonts w:hint="eastAsia" w:ascii="宋体" w:hAnsi="宋体" w:eastAsia="宋体" w:cs="宋体"/>
                <w:szCs w:val="21"/>
                <w:highlight w:val="none"/>
                <w:lang w:val="en-US" w:eastAsia="zh-CN"/>
              </w:rPr>
              <w:t>。（注：投标人应在开标前 1个小时内进行电子签到）。电子投标文件在编制过程中，如有技术性问题，请先翻阅操作手册，或致电软件开发商。技术支持热线： 4009980000。</w:t>
            </w:r>
          </w:p>
          <w:p>
            <w:p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3.电子投标文件递交。登录全国公共资源交易平台（陕西省·西咸新区） （http://xxxq.sxggzyjy.cn/），选择“电子交易平台-陕西政府采购交易系统- 陕西省西咸新区公共资源交易平台-供应商”进行登录，登录后选择“交易乙方” 身份进入，选择“上传响应文件”菜单页面，上传加密的电子投标文件。上传成功后，电子化平台将予以记录。 在招标文件规定时间未上传投标文件或上传投标文件失败的，系统将拒绝接收。</w:t>
            </w:r>
          </w:p>
          <w:p>
            <w:pPr>
              <w:spacing w:line="360" w:lineRule="auto"/>
              <w:rPr>
                <w:rFonts w:hint="eastAsia" w:ascii="宋体" w:hAnsi="宋体" w:eastAsia="宋体" w:cs="宋体"/>
                <w:b w:val="0"/>
                <w:bCs w:val="0"/>
                <w:color w:val="000000"/>
                <w:szCs w:val="21"/>
                <w:highlight w:val="none"/>
                <w:lang w:eastAsia="zh-CN"/>
              </w:rPr>
            </w:pPr>
            <w:r>
              <w:rPr>
                <w:rFonts w:hint="eastAsia" w:ascii="宋体" w:hAnsi="宋体" w:eastAsia="宋体" w:cs="宋体"/>
                <w:szCs w:val="21"/>
                <w:highlight w:val="none"/>
                <w:lang w:val="en-US" w:eastAsia="zh-CN"/>
              </w:rPr>
              <w:t>4.发布结果公示后，中标单位应向采购人提交一正一副2本，书籍（胶装）方式装订的纸质投标文件（与电子文件内容一致）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46"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34</w:t>
            </w:r>
          </w:p>
        </w:tc>
        <w:tc>
          <w:tcPr>
            <w:tcW w:w="2557" w:type="dxa"/>
            <w:noWrap w:val="0"/>
            <w:vAlign w:val="center"/>
          </w:tcPr>
          <w:p>
            <w:pPr>
              <w:spacing w:line="400" w:lineRule="exact"/>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本项目</w:t>
            </w:r>
            <w:r>
              <w:rPr>
                <w:rFonts w:hint="eastAsia" w:ascii="宋体" w:hAnsi="宋体" w:eastAsia="宋体" w:cs="宋体"/>
                <w:b w:val="0"/>
                <w:bCs w:val="0"/>
                <w:color w:val="000000"/>
                <w:szCs w:val="21"/>
                <w:highlight w:val="none"/>
                <w:lang w:eastAsia="zh-CN"/>
              </w:rPr>
              <w:t>所属行业</w:t>
            </w:r>
          </w:p>
        </w:tc>
        <w:tc>
          <w:tcPr>
            <w:tcW w:w="6792" w:type="dxa"/>
            <w:noWrap w:val="0"/>
            <w:vAlign w:val="center"/>
          </w:tcPr>
          <w:p>
            <w:pPr>
              <w:spacing w:line="400" w:lineRule="exact"/>
              <w:jc w:val="left"/>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按照《政府采购促进中小企业发展管理办法》（财库〔2020〕46号）规定和《中小企业划型标准规定》（工信部联企业〔2011〕300号，本项目采购标的所属行业为：</w:t>
            </w:r>
            <w:r>
              <w:rPr>
                <w:rFonts w:hint="eastAsia" w:ascii="宋体" w:hAnsi="宋体" w:eastAsia="宋体" w:cs="宋体"/>
                <w:b/>
                <w:bCs/>
                <w:color w:val="000000"/>
                <w:szCs w:val="21"/>
                <w:highlight w:val="none"/>
                <w:lang w:eastAsia="zh-CN"/>
              </w:rPr>
              <w:t>其他未列明行业</w:t>
            </w:r>
            <w:r>
              <w:rPr>
                <w:rFonts w:hint="eastAsia" w:ascii="宋体" w:hAnsi="宋体" w:eastAsia="宋体" w:cs="宋体"/>
                <w:b w:val="0"/>
                <w:bCs w:val="0"/>
                <w:color w:val="000000"/>
                <w:szCs w:val="21"/>
                <w:highlight w:val="none"/>
                <w:lang w:val="en-US" w:eastAsia="zh-CN"/>
              </w:rPr>
              <w:t>。</w:t>
            </w:r>
          </w:p>
        </w:tc>
      </w:tr>
      <w:bookmarkEnd w:id="6"/>
    </w:tbl>
    <w:p>
      <w:pPr>
        <w:autoSpaceDE w:val="0"/>
        <w:autoSpaceDN w:val="0"/>
        <w:adjustRightInd w:val="0"/>
        <w:spacing w:line="500" w:lineRule="exact"/>
        <w:ind w:right="6"/>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lang w:eastAsia="zh-CN"/>
        </w:rPr>
        <w:t>投标供应商</w:t>
      </w:r>
      <w:r>
        <w:rPr>
          <w:rFonts w:hint="eastAsia" w:ascii="宋体" w:hAnsi="宋体" w:eastAsia="宋体" w:cs="宋体"/>
          <w:b/>
          <w:bCs/>
          <w:sz w:val="28"/>
          <w:szCs w:val="28"/>
          <w:highlight w:val="none"/>
        </w:rPr>
        <w:t>须知</w:t>
      </w:r>
      <w:bookmarkEnd w:id="12"/>
    </w:p>
    <w:p>
      <w:pPr>
        <w:keepLines w:val="0"/>
        <w:pageBreakBefore w:val="0"/>
        <w:widowControl w:val="0"/>
        <w:kinsoku/>
        <w:wordWrap/>
        <w:overflowPunct/>
        <w:topLinePunct w:val="0"/>
        <w:bidi w:val="0"/>
        <w:snapToGrid/>
        <w:spacing w:before="240" w:after="120" w:line="500" w:lineRule="exact"/>
        <w:jc w:val="both"/>
        <w:textAlignment w:val="auto"/>
        <w:outlineLvl w:val="2"/>
        <w:rPr>
          <w:rFonts w:hint="eastAsia" w:ascii="宋体" w:hAnsi="宋体" w:eastAsia="宋体" w:cs="宋体"/>
          <w:b/>
          <w:bCs/>
          <w:sz w:val="28"/>
          <w:highlight w:val="none"/>
        </w:rPr>
      </w:pPr>
      <w:r>
        <w:rPr>
          <w:rFonts w:hint="eastAsia" w:ascii="宋体" w:hAnsi="宋体" w:eastAsia="宋体" w:cs="宋体"/>
          <w:b/>
          <w:bCs/>
          <w:sz w:val="28"/>
          <w:highlight w:val="none"/>
        </w:rPr>
        <w:t>一、总则</w:t>
      </w:r>
    </w:p>
    <w:p>
      <w:pPr>
        <w:keepLines w:val="0"/>
        <w:pageBreakBefore w:val="0"/>
        <w:widowControl w:val="0"/>
        <w:kinsoku/>
        <w:wordWrap/>
        <w:overflowPunct/>
        <w:topLinePunct w:val="0"/>
        <w:bidi w:val="0"/>
        <w:snapToGrid/>
        <w:spacing w:before="240" w:after="120" w:line="500" w:lineRule="exact"/>
        <w:jc w:val="left"/>
        <w:textAlignment w:val="auto"/>
        <w:outlineLvl w:val="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1、适用范围</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本</w:t>
      </w:r>
      <w:r>
        <w:rPr>
          <w:rFonts w:hint="eastAsia" w:ascii="宋体" w:hAnsi="宋体" w:eastAsia="宋体" w:cs="宋体"/>
          <w:highlight w:val="none"/>
          <w:lang w:eastAsia="zh-CN"/>
        </w:rPr>
        <w:t>招标文件</w:t>
      </w:r>
      <w:r>
        <w:rPr>
          <w:rFonts w:hint="eastAsia" w:ascii="宋体" w:hAnsi="宋体" w:eastAsia="宋体" w:cs="宋体"/>
          <w:highlight w:val="none"/>
        </w:rPr>
        <w:t>仅适用于本次公开招标所叙述的</w:t>
      </w:r>
      <w:r>
        <w:rPr>
          <w:rFonts w:hint="eastAsia" w:ascii="宋体" w:hAnsi="宋体" w:eastAsia="宋体" w:cs="宋体"/>
          <w:highlight w:val="none"/>
          <w:lang w:val="en-US" w:eastAsia="zh-CN"/>
        </w:rPr>
        <w:t>绿化养护</w:t>
      </w:r>
      <w:r>
        <w:rPr>
          <w:rFonts w:hint="eastAsia" w:ascii="宋体" w:hAnsi="宋体" w:eastAsia="宋体" w:cs="宋体"/>
          <w:highlight w:val="none"/>
        </w:rPr>
        <w:t>服务项目采购活动。</w:t>
      </w:r>
    </w:p>
    <w:p>
      <w:pPr>
        <w:keepLines w:val="0"/>
        <w:pageBreakBefore w:val="0"/>
        <w:widowControl w:val="0"/>
        <w:kinsoku/>
        <w:wordWrap/>
        <w:overflowPunct/>
        <w:topLinePunct w:val="0"/>
        <w:bidi w:val="0"/>
        <w:snapToGrid/>
        <w:spacing w:before="240" w:after="120" w:line="500" w:lineRule="exact"/>
        <w:jc w:val="left"/>
        <w:textAlignment w:val="auto"/>
        <w:outlineLvl w:val="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2、名词解释</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2.1  “采购人”系指依法进行政府采购的国家机关、事业单位、团体组织。本次招标的采购人是</w:t>
      </w:r>
      <w:r>
        <w:rPr>
          <w:rFonts w:hint="eastAsia" w:ascii="宋体" w:hAnsi="宋体" w:eastAsia="宋体" w:cs="宋体"/>
          <w:b w:val="0"/>
          <w:bCs/>
          <w:sz w:val="21"/>
          <w:szCs w:val="21"/>
          <w:highlight w:val="none"/>
          <w:lang w:val="en-US" w:eastAsia="zh-CN"/>
        </w:rPr>
        <w:t>陕西省西咸新区秦汉新城综合行政执法支队</w:t>
      </w:r>
      <w:r>
        <w:rPr>
          <w:rFonts w:hint="eastAsia" w:ascii="宋体" w:hAnsi="宋体" w:eastAsia="宋体" w:cs="宋体"/>
          <w:highlight w:val="none"/>
        </w:rPr>
        <w:t>。</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2.2  “采购代理机构”系指根据采购人的委托依法办理招标事宜的代理机构。本次招标的采购代理机构是</w:t>
      </w:r>
      <w:r>
        <w:rPr>
          <w:rFonts w:hint="eastAsia" w:ascii="宋体" w:hAnsi="宋体" w:eastAsia="宋体" w:cs="宋体"/>
          <w:highlight w:val="none"/>
          <w:lang w:eastAsia="zh-CN"/>
        </w:rPr>
        <w:t>瑞信国际项目管理有限公司</w:t>
      </w:r>
      <w:r>
        <w:rPr>
          <w:rFonts w:hint="eastAsia" w:ascii="宋体" w:hAnsi="宋体" w:eastAsia="宋体" w:cs="宋体"/>
          <w:highlight w:val="none"/>
        </w:rPr>
        <w:t>。</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2.3  “</w:t>
      </w:r>
      <w:r>
        <w:rPr>
          <w:rFonts w:hint="eastAsia" w:ascii="宋体" w:hAnsi="宋体" w:eastAsia="宋体" w:cs="宋体"/>
          <w:highlight w:val="none"/>
          <w:lang w:eastAsia="zh-CN"/>
        </w:rPr>
        <w:t>投标供应商</w:t>
      </w:r>
      <w:r>
        <w:rPr>
          <w:rFonts w:hint="eastAsia" w:ascii="宋体" w:hAnsi="宋体" w:eastAsia="宋体" w:cs="宋体"/>
          <w:highlight w:val="none"/>
        </w:rPr>
        <w:t>”系指</w:t>
      </w:r>
      <w:r>
        <w:rPr>
          <w:rFonts w:hint="eastAsia" w:ascii="宋体" w:hAnsi="宋体" w:eastAsia="宋体" w:cs="宋体"/>
          <w:highlight w:val="none"/>
          <w:lang w:val="en-US" w:eastAsia="zh-CN"/>
        </w:rPr>
        <w:t>领取</w:t>
      </w:r>
      <w:r>
        <w:rPr>
          <w:rFonts w:hint="eastAsia" w:ascii="宋体" w:hAnsi="宋体" w:eastAsia="宋体" w:cs="宋体"/>
          <w:highlight w:val="none"/>
        </w:rPr>
        <w:t>了</w:t>
      </w:r>
      <w:r>
        <w:rPr>
          <w:rFonts w:hint="eastAsia" w:ascii="宋体" w:hAnsi="宋体" w:eastAsia="宋体" w:cs="宋体"/>
          <w:highlight w:val="none"/>
          <w:lang w:eastAsia="zh-CN"/>
        </w:rPr>
        <w:t>招标文件、</w:t>
      </w:r>
      <w:r>
        <w:rPr>
          <w:rFonts w:hint="eastAsia" w:ascii="宋体" w:hAnsi="宋体" w:eastAsia="宋体" w:cs="宋体"/>
          <w:highlight w:val="none"/>
          <w:lang w:val="zh-CN"/>
        </w:rPr>
        <w:t>响应招标、参加投标竞争的法人、其他组织或者自然人。</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w:t>
      </w:r>
      <w:r>
        <w:rPr>
          <w:rFonts w:hint="eastAsia" w:ascii="宋体" w:hAnsi="宋体" w:eastAsia="宋体" w:cs="宋体"/>
          <w:highlight w:val="none"/>
          <w:lang w:val="en-US" w:eastAsia="zh-CN"/>
        </w:rPr>
        <w:t>4</w:t>
      </w:r>
      <w:r>
        <w:rPr>
          <w:rFonts w:hint="eastAsia" w:ascii="宋体" w:hAnsi="宋体" w:eastAsia="宋体" w:cs="宋体"/>
          <w:highlight w:val="none"/>
        </w:rPr>
        <w:t xml:space="preserve">  “服务”系指</w:t>
      </w:r>
      <w:r>
        <w:rPr>
          <w:rFonts w:hint="eastAsia" w:ascii="宋体" w:hAnsi="宋体" w:eastAsia="宋体" w:cs="宋体"/>
          <w:highlight w:val="none"/>
          <w:lang w:eastAsia="zh-CN"/>
        </w:rPr>
        <w:t>招标文件</w:t>
      </w:r>
      <w:r>
        <w:rPr>
          <w:rFonts w:hint="eastAsia" w:ascii="宋体" w:hAnsi="宋体" w:eastAsia="宋体" w:cs="宋体"/>
          <w:highlight w:val="none"/>
        </w:rPr>
        <w:t>规定</w:t>
      </w:r>
      <w:r>
        <w:rPr>
          <w:rFonts w:hint="eastAsia" w:ascii="宋体" w:hAnsi="宋体" w:eastAsia="宋体" w:cs="宋体"/>
          <w:highlight w:val="none"/>
          <w:lang w:eastAsia="zh-CN"/>
        </w:rPr>
        <w:t>投标供应商</w:t>
      </w:r>
      <w:r>
        <w:rPr>
          <w:rFonts w:hint="eastAsia" w:ascii="宋体" w:hAnsi="宋体" w:eastAsia="宋体" w:cs="宋体"/>
          <w:highlight w:val="none"/>
        </w:rPr>
        <w:t>须承担的</w:t>
      </w:r>
      <w:r>
        <w:rPr>
          <w:rFonts w:hint="eastAsia" w:ascii="宋体" w:hAnsi="宋体" w:eastAsia="宋体" w:cs="宋体"/>
          <w:highlight w:val="none"/>
          <w:lang w:val="en-US" w:eastAsia="zh-CN"/>
        </w:rPr>
        <w:t>绿化养护服务及</w:t>
      </w:r>
      <w:r>
        <w:rPr>
          <w:rFonts w:hint="eastAsia" w:ascii="宋体" w:hAnsi="宋体" w:eastAsia="宋体" w:cs="宋体"/>
          <w:highlight w:val="none"/>
        </w:rPr>
        <w:t>有关运输、保险、</w:t>
      </w:r>
      <w:r>
        <w:rPr>
          <w:rFonts w:hint="eastAsia" w:ascii="宋体" w:hAnsi="宋体" w:eastAsia="宋体" w:cs="宋体"/>
          <w:highlight w:val="none"/>
          <w:lang w:val="en-US" w:eastAsia="zh-CN"/>
        </w:rPr>
        <w:t>售后、零星应急工程</w:t>
      </w:r>
      <w:r>
        <w:rPr>
          <w:rFonts w:hint="eastAsia" w:ascii="宋体" w:hAnsi="宋体" w:eastAsia="宋体" w:cs="宋体"/>
          <w:highlight w:val="none"/>
        </w:rPr>
        <w:t>以及其他使</w:t>
      </w:r>
      <w:r>
        <w:rPr>
          <w:rFonts w:hint="eastAsia" w:ascii="宋体" w:hAnsi="宋体" w:eastAsia="宋体" w:cs="宋体"/>
          <w:highlight w:val="none"/>
          <w:lang w:val="en-US" w:eastAsia="zh-CN"/>
        </w:rPr>
        <w:t>项目</w:t>
      </w:r>
      <w:r>
        <w:rPr>
          <w:rFonts w:hint="eastAsia" w:ascii="宋体" w:hAnsi="宋体" w:eastAsia="宋体" w:cs="宋体"/>
          <w:highlight w:val="none"/>
        </w:rPr>
        <w:t>正常</w:t>
      </w:r>
      <w:r>
        <w:rPr>
          <w:rFonts w:hint="eastAsia" w:ascii="宋体" w:hAnsi="宋体" w:eastAsia="宋体" w:cs="宋体"/>
          <w:highlight w:val="none"/>
          <w:lang w:val="en-US" w:eastAsia="zh-CN"/>
        </w:rPr>
        <w:t>管理</w:t>
      </w:r>
      <w:r>
        <w:rPr>
          <w:rFonts w:hint="eastAsia" w:ascii="宋体" w:hAnsi="宋体" w:eastAsia="宋体" w:cs="宋体"/>
          <w:highlight w:val="none"/>
        </w:rPr>
        <w:t>所必需的义务。</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w:t>
      </w:r>
      <w:r>
        <w:rPr>
          <w:rFonts w:hint="eastAsia" w:ascii="宋体" w:hAnsi="宋体" w:eastAsia="宋体" w:cs="宋体"/>
          <w:highlight w:val="none"/>
          <w:lang w:val="en-US" w:eastAsia="zh-CN"/>
        </w:rPr>
        <w:t>5</w:t>
      </w:r>
      <w:r>
        <w:rPr>
          <w:rFonts w:hint="eastAsia" w:ascii="宋体" w:hAnsi="宋体" w:eastAsia="宋体" w:cs="宋体"/>
          <w:highlight w:val="none"/>
        </w:rPr>
        <w:t xml:space="preserve">  节能产品或者环保产品是指财政部发布的《节能产品政府采购清单》或者《环境标志产品政府采购清单》的产品。</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w:t>
      </w:r>
      <w:r>
        <w:rPr>
          <w:rFonts w:hint="eastAsia" w:ascii="宋体" w:hAnsi="宋体" w:eastAsia="宋体" w:cs="宋体"/>
          <w:highlight w:val="none"/>
          <w:lang w:val="en-US" w:eastAsia="zh-CN"/>
        </w:rPr>
        <w:t>6</w:t>
      </w:r>
      <w:r>
        <w:rPr>
          <w:rFonts w:hint="eastAsia" w:ascii="宋体" w:hAnsi="宋体" w:eastAsia="宋体" w:cs="宋体"/>
          <w:highlight w:val="none"/>
        </w:rPr>
        <w:t xml:space="preserve">  进口产品是指通过中国海关报关验放进入中国境内且产自关境外的产品，详见《政府采购进口产品管理办法》(财库[2007]119号)。</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w:t>
      </w:r>
      <w:r>
        <w:rPr>
          <w:rFonts w:hint="eastAsia" w:ascii="宋体" w:hAnsi="宋体" w:eastAsia="宋体" w:cs="宋体"/>
          <w:highlight w:val="none"/>
          <w:lang w:val="en-US" w:eastAsia="zh-CN"/>
        </w:rPr>
        <w:t>7</w:t>
      </w:r>
      <w:r>
        <w:rPr>
          <w:rFonts w:hint="eastAsia" w:ascii="宋体" w:hAnsi="宋体" w:eastAsia="宋体" w:cs="宋体"/>
          <w:highlight w:val="none"/>
        </w:rPr>
        <w:t xml:space="preserve">  中小企业是指符合《工业和信息化部、国家统计局、国家发展和改革委员会、财政部关于印发中小企业划型标准规定的通知》（工信部联企业[2011]300号）规定的对中小企业的划分标准的企业。</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8</w:t>
      </w:r>
      <w:r>
        <w:rPr>
          <w:rFonts w:hint="eastAsia" w:ascii="宋体" w:hAnsi="宋体" w:eastAsia="宋体" w:cs="宋体"/>
          <w:highlight w:val="none"/>
        </w:rPr>
        <w:t xml:space="preserve">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9</w:t>
      </w:r>
      <w:r>
        <w:rPr>
          <w:rFonts w:hint="eastAsia" w:ascii="宋体" w:hAnsi="宋体" w:eastAsia="宋体" w:cs="宋体"/>
          <w:highlight w:val="none"/>
        </w:rPr>
        <w:t xml:space="preserve"> 残疾人福利性单位是指符合《财政部民政部中国残疾人联合会关于促进残疾人就业政府采购政策的通知》（财库{2017}141号）的企业。</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2.1</w:t>
      </w:r>
      <w:r>
        <w:rPr>
          <w:rFonts w:hint="eastAsia" w:ascii="宋体" w:hAnsi="宋体" w:eastAsia="宋体" w:cs="宋体"/>
          <w:highlight w:val="none"/>
          <w:lang w:val="en-US" w:eastAsia="zh-CN"/>
        </w:rPr>
        <w:t>0</w:t>
      </w:r>
      <w:r>
        <w:rPr>
          <w:rFonts w:hint="eastAsia" w:ascii="宋体" w:hAnsi="宋体" w:eastAsia="宋体" w:cs="宋体"/>
          <w:highlight w:val="none"/>
        </w:rPr>
        <w:t xml:space="preserve"> 《财政部 发展改革委 生态环境部 市场监管总局关于调整优化节能产品、环境标志产品政府采购执行机制的通知》（财库〔2019〕9号）。</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2.1</w:t>
      </w:r>
      <w:r>
        <w:rPr>
          <w:rFonts w:hint="eastAsia" w:ascii="宋体" w:hAnsi="宋体" w:eastAsia="宋体" w:cs="宋体"/>
          <w:highlight w:val="none"/>
          <w:lang w:val="en-US" w:eastAsia="zh-CN"/>
        </w:rPr>
        <w:t>1</w:t>
      </w:r>
      <w:r>
        <w:rPr>
          <w:rFonts w:hint="eastAsia" w:ascii="宋体" w:hAnsi="宋体" w:eastAsia="宋体" w:cs="宋体"/>
          <w:highlight w:val="none"/>
        </w:rPr>
        <w:t>《财政部 国务院扶贫办关于运用政府采购政策支持脱贫攻坚的通知》（财库〔2019〕27号）。</w:t>
      </w:r>
    </w:p>
    <w:p>
      <w:pPr>
        <w:keepLines w:val="0"/>
        <w:pageBreakBefore w:val="0"/>
        <w:widowControl w:val="0"/>
        <w:kinsoku/>
        <w:wordWrap/>
        <w:overflowPunct/>
        <w:topLinePunct w:val="0"/>
        <w:bidi w:val="0"/>
        <w:snapToGrid/>
        <w:spacing w:before="240" w:after="120" w:line="500" w:lineRule="exact"/>
        <w:jc w:val="left"/>
        <w:textAlignment w:val="auto"/>
        <w:outlineLvl w:val="2"/>
        <w:rPr>
          <w:rFonts w:hint="eastAsia" w:ascii="宋体" w:hAnsi="宋体" w:eastAsia="宋体" w:cs="宋体"/>
          <w:b/>
          <w:bCs/>
          <w:kern w:val="0"/>
          <w:sz w:val="24"/>
          <w:highlight w:val="none"/>
          <w:lang w:eastAsia="zh-CN"/>
        </w:rPr>
      </w:pPr>
      <w:r>
        <w:rPr>
          <w:rFonts w:hint="eastAsia" w:ascii="宋体" w:hAnsi="宋体" w:eastAsia="宋体" w:cs="宋体"/>
          <w:b/>
          <w:bCs/>
          <w:kern w:val="0"/>
          <w:sz w:val="24"/>
          <w:highlight w:val="none"/>
        </w:rPr>
        <w:t>3、合格的</w:t>
      </w:r>
      <w:r>
        <w:rPr>
          <w:rFonts w:hint="eastAsia" w:ascii="宋体" w:hAnsi="宋体" w:eastAsia="宋体" w:cs="宋体"/>
          <w:b/>
          <w:bCs/>
          <w:kern w:val="0"/>
          <w:sz w:val="24"/>
          <w:highlight w:val="none"/>
          <w:lang w:eastAsia="zh-CN"/>
        </w:rPr>
        <w:t>投标供应商</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3.1  合格的</w:t>
      </w:r>
      <w:r>
        <w:rPr>
          <w:rFonts w:hint="eastAsia" w:ascii="宋体" w:hAnsi="宋体" w:eastAsia="宋体" w:cs="宋体"/>
          <w:highlight w:val="none"/>
          <w:lang w:eastAsia="zh-CN"/>
        </w:rPr>
        <w:t>投标供应商</w:t>
      </w:r>
      <w:r>
        <w:rPr>
          <w:rFonts w:hint="eastAsia" w:ascii="宋体" w:hAnsi="宋体" w:eastAsia="宋体" w:cs="宋体"/>
          <w:highlight w:val="none"/>
        </w:rPr>
        <w:t>应具备以下条件：</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（1）具备且满足“招标公告”</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资格</w:t>
      </w:r>
      <w:r>
        <w:rPr>
          <w:rFonts w:hint="eastAsia" w:ascii="宋体" w:hAnsi="宋体" w:eastAsia="宋体" w:cs="宋体"/>
          <w:highlight w:val="none"/>
        </w:rPr>
        <w:t>要求的；</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（2）在招标公告指定路径成功下载</w:t>
      </w:r>
      <w:r>
        <w:rPr>
          <w:rFonts w:hint="eastAsia" w:ascii="宋体" w:hAnsi="宋体" w:eastAsia="宋体" w:cs="宋体"/>
          <w:highlight w:val="none"/>
          <w:lang w:eastAsia="zh-CN"/>
        </w:rPr>
        <w:t>招标文件</w:t>
      </w:r>
      <w:r>
        <w:rPr>
          <w:rFonts w:hint="eastAsia" w:ascii="宋体" w:hAnsi="宋体" w:eastAsia="宋体" w:cs="宋体"/>
          <w:highlight w:val="none"/>
          <w:lang w:val="en-US" w:eastAsia="zh-CN"/>
        </w:rPr>
        <w:t>的</w:t>
      </w:r>
      <w:r>
        <w:rPr>
          <w:rFonts w:hint="eastAsia" w:ascii="宋体" w:hAnsi="宋体" w:eastAsia="宋体" w:cs="宋体"/>
          <w:highlight w:val="none"/>
        </w:rPr>
        <w:t>；</w:t>
      </w:r>
    </w:p>
    <w:p>
      <w:pPr>
        <w:keepLines w:val="0"/>
        <w:pageBreakBefore w:val="0"/>
        <w:widowControl w:val="0"/>
        <w:tabs>
          <w:tab w:val="left" w:pos="7665"/>
        </w:tabs>
        <w:kinsoku/>
        <w:wordWrap/>
        <w:overflowPunct/>
        <w:topLinePunct w:val="0"/>
        <w:bidi w:val="0"/>
        <w:snapToGrid/>
        <w:spacing w:line="5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w:t>
      </w:r>
      <w:r>
        <w:rPr>
          <w:rFonts w:hint="eastAsia" w:ascii="宋体" w:hAnsi="宋体" w:eastAsia="宋体" w:cs="宋体"/>
          <w:szCs w:val="21"/>
          <w:highlight w:val="none"/>
        </w:rPr>
        <w:t>参加政府采购活动前三年内，在经营活动中没有重大违法纪录；</w:t>
      </w:r>
    </w:p>
    <w:p>
      <w:pPr>
        <w:keepLines w:val="0"/>
        <w:pageBreakBefore w:val="0"/>
        <w:widowControl w:val="0"/>
        <w:tabs>
          <w:tab w:val="left" w:pos="7665"/>
        </w:tabs>
        <w:kinsoku/>
        <w:wordWrap/>
        <w:overflowPunct/>
        <w:topLinePunct w:val="0"/>
        <w:bidi w:val="0"/>
        <w:snapToGrid/>
        <w:spacing w:line="5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highlight w:val="none"/>
        </w:rPr>
        <w:t>中华人民共和国法律、行政法规规定的其他条件（见</w:t>
      </w:r>
      <w:r>
        <w:rPr>
          <w:rFonts w:hint="eastAsia" w:ascii="宋体" w:hAnsi="宋体" w:eastAsia="宋体" w:cs="宋体"/>
          <w:highlight w:val="none"/>
          <w:lang w:eastAsia="zh-CN"/>
        </w:rPr>
        <w:t>投标供应商</w:t>
      </w:r>
      <w:r>
        <w:rPr>
          <w:rFonts w:hint="eastAsia" w:ascii="宋体" w:hAnsi="宋体" w:eastAsia="宋体" w:cs="宋体"/>
          <w:highlight w:val="none"/>
        </w:rPr>
        <w:t>须知前附表）；</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3.2  </w:t>
      </w:r>
      <w:r>
        <w:rPr>
          <w:rFonts w:hint="eastAsia" w:ascii="宋体" w:hAnsi="宋体" w:eastAsia="宋体" w:cs="宋体"/>
          <w:highlight w:val="none"/>
          <w:lang w:eastAsia="zh-CN"/>
        </w:rPr>
        <w:t>投标供应商</w:t>
      </w:r>
      <w:r>
        <w:rPr>
          <w:rFonts w:hint="eastAsia" w:ascii="宋体" w:hAnsi="宋体" w:eastAsia="宋体" w:cs="宋体"/>
          <w:highlight w:val="none"/>
        </w:rPr>
        <w:t>不得直接或间接地与</w:t>
      </w:r>
      <w:r>
        <w:rPr>
          <w:rFonts w:hint="eastAsia" w:ascii="宋体" w:hAnsi="宋体" w:eastAsia="宋体" w:cs="宋体"/>
          <w:highlight w:val="none"/>
          <w:lang w:val="en-US" w:eastAsia="zh-CN"/>
        </w:rPr>
        <w:t>采购人及</w:t>
      </w:r>
      <w:r>
        <w:rPr>
          <w:rFonts w:hint="eastAsia" w:ascii="宋体" w:hAnsi="宋体" w:eastAsia="宋体" w:cs="宋体"/>
          <w:highlight w:val="none"/>
        </w:rPr>
        <w:t>采购</w:t>
      </w:r>
      <w:r>
        <w:rPr>
          <w:rFonts w:hint="eastAsia" w:ascii="宋体" w:hAnsi="宋体" w:eastAsia="宋体" w:cs="宋体"/>
          <w:highlight w:val="none"/>
          <w:lang w:val="en-US" w:eastAsia="zh-CN"/>
        </w:rPr>
        <w:t>代理</w:t>
      </w:r>
      <w:r>
        <w:rPr>
          <w:rFonts w:hint="eastAsia" w:ascii="宋体" w:hAnsi="宋体" w:eastAsia="宋体" w:cs="宋体"/>
          <w:highlight w:val="none"/>
        </w:rPr>
        <w:t>单位有任何关联，亦不得是招标采购单位的附属机构。如果</w:t>
      </w:r>
      <w:r>
        <w:rPr>
          <w:rFonts w:hint="eastAsia" w:ascii="宋体" w:hAnsi="宋体" w:eastAsia="宋体" w:cs="宋体"/>
          <w:highlight w:val="none"/>
          <w:lang w:eastAsia="zh-CN"/>
        </w:rPr>
        <w:t>投标供应商</w:t>
      </w:r>
      <w:r>
        <w:rPr>
          <w:rFonts w:hint="eastAsia" w:ascii="宋体" w:hAnsi="宋体" w:eastAsia="宋体" w:cs="宋体"/>
          <w:highlight w:val="none"/>
        </w:rPr>
        <w:t>在投标中隐瞒了上述关系，则该投标无效。</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3.3  单位负责人为同一人或者存在直接控股、管理关系的不同</w:t>
      </w:r>
      <w:r>
        <w:rPr>
          <w:rFonts w:hint="eastAsia" w:ascii="宋体" w:hAnsi="宋体" w:eastAsia="宋体" w:cs="宋体"/>
          <w:highlight w:val="none"/>
          <w:lang w:eastAsia="zh-CN"/>
        </w:rPr>
        <w:t>投标供应商</w:t>
      </w:r>
      <w:r>
        <w:rPr>
          <w:rFonts w:hint="eastAsia" w:ascii="宋体" w:hAnsi="宋体" w:eastAsia="宋体" w:cs="宋体"/>
          <w:highlight w:val="none"/>
        </w:rPr>
        <w:t>，不得参加</w:t>
      </w:r>
      <w:r>
        <w:rPr>
          <w:rFonts w:hint="eastAsia" w:ascii="宋体" w:hAnsi="宋体" w:eastAsia="宋体" w:cs="宋体"/>
          <w:highlight w:val="none"/>
          <w:lang w:val="zh-CN"/>
        </w:rPr>
        <w:t>同一项目同一</w:t>
      </w:r>
      <w:r>
        <w:rPr>
          <w:rFonts w:hint="eastAsia" w:ascii="宋体" w:hAnsi="宋体" w:eastAsia="宋体" w:cs="宋体"/>
          <w:highlight w:val="none"/>
          <w:lang w:val="en-US" w:eastAsia="zh-CN"/>
        </w:rPr>
        <w:t>标段</w:t>
      </w:r>
      <w:r>
        <w:rPr>
          <w:rFonts w:hint="eastAsia" w:ascii="宋体" w:hAnsi="宋体" w:eastAsia="宋体" w:cs="宋体"/>
          <w:highlight w:val="none"/>
        </w:rPr>
        <w:t>项下的投标。如果</w:t>
      </w:r>
      <w:r>
        <w:rPr>
          <w:rFonts w:hint="eastAsia" w:ascii="宋体" w:hAnsi="宋体" w:eastAsia="宋体" w:cs="宋体"/>
          <w:highlight w:val="none"/>
          <w:lang w:eastAsia="zh-CN"/>
        </w:rPr>
        <w:t>投标供应商</w:t>
      </w:r>
      <w:r>
        <w:rPr>
          <w:rFonts w:hint="eastAsia" w:ascii="宋体" w:hAnsi="宋体" w:eastAsia="宋体" w:cs="宋体"/>
          <w:highlight w:val="none"/>
        </w:rPr>
        <w:t>在投标中隐瞒了上述关系，则该投标无效。</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3.4  为本采购项目提供整体设计、规范编制或者项目管理、监理、检测等服务的</w:t>
      </w:r>
      <w:r>
        <w:rPr>
          <w:rFonts w:hint="eastAsia" w:ascii="宋体" w:hAnsi="宋体" w:eastAsia="宋体" w:cs="宋体"/>
          <w:highlight w:val="none"/>
          <w:lang w:eastAsia="zh-CN"/>
        </w:rPr>
        <w:t>投标供应商</w:t>
      </w:r>
      <w:r>
        <w:rPr>
          <w:rFonts w:hint="eastAsia" w:ascii="宋体" w:hAnsi="宋体" w:eastAsia="宋体" w:cs="宋体"/>
          <w:highlight w:val="none"/>
        </w:rPr>
        <w:t>，不得再参加本采购项目的投标。如果</w:t>
      </w:r>
      <w:r>
        <w:rPr>
          <w:rFonts w:hint="eastAsia" w:ascii="宋体" w:hAnsi="宋体" w:eastAsia="宋体" w:cs="宋体"/>
          <w:highlight w:val="none"/>
          <w:lang w:eastAsia="zh-CN"/>
        </w:rPr>
        <w:t>投标供应商</w:t>
      </w:r>
      <w:r>
        <w:rPr>
          <w:rFonts w:hint="eastAsia" w:ascii="宋体" w:hAnsi="宋体" w:eastAsia="宋体" w:cs="宋体"/>
          <w:highlight w:val="none"/>
        </w:rPr>
        <w:t>在投标中隐瞒了上述事实，则该投标无效。</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3.5  如果在</w:t>
      </w:r>
      <w:r>
        <w:rPr>
          <w:rFonts w:hint="eastAsia" w:ascii="宋体" w:hAnsi="宋体" w:eastAsia="宋体" w:cs="宋体"/>
          <w:highlight w:val="none"/>
          <w:lang w:eastAsia="zh-CN"/>
        </w:rPr>
        <w:t>招标文件</w:t>
      </w:r>
      <w:r>
        <w:rPr>
          <w:rFonts w:hint="eastAsia" w:ascii="宋体" w:hAnsi="宋体" w:eastAsia="宋体" w:cs="宋体"/>
          <w:highlight w:val="none"/>
        </w:rPr>
        <w:t>中接受联合体投标（见</w:t>
      </w:r>
      <w:r>
        <w:rPr>
          <w:rFonts w:hint="eastAsia" w:ascii="宋体" w:hAnsi="宋体" w:eastAsia="宋体" w:cs="宋体"/>
          <w:highlight w:val="none"/>
          <w:lang w:eastAsia="zh-CN"/>
        </w:rPr>
        <w:t>投标供应商</w:t>
      </w:r>
      <w:r>
        <w:rPr>
          <w:rFonts w:hint="eastAsia" w:ascii="宋体" w:hAnsi="宋体" w:eastAsia="宋体" w:cs="宋体"/>
          <w:highlight w:val="none"/>
        </w:rPr>
        <w:t>须知前附表），则两个以上</w:t>
      </w:r>
      <w:r>
        <w:rPr>
          <w:rFonts w:hint="eastAsia" w:ascii="宋体" w:hAnsi="宋体" w:eastAsia="宋体" w:cs="宋体"/>
          <w:highlight w:val="none"/>
          <w:lang w:eastAsia="zh-CN"/>
        </w:rPr>
        <w:t>投标供应商</w:t>
      </w:r>
      <w:r>
        <w:rPr>
          <w:rFonts w:hint="eastAsia" w:ascii="宋体" w:hAnsi="宋体" w:eastAsia="宋体" w:cs="宋体"/>
          <w:highlight w:val="none"/>
        </w:rPr>
        <w:t>可以组成一个投标联合体，以一个</w:t>
      </w:r>
      <w:r>
        <w:rPr>
          <w:rFonts w:hint="eastAsia" w:ascii="宋体" w:hAnsi="宋体" w:eastAsia="宋体" w:cs="宋体"/>
          <w:highlight w:val="none"/>
          <w:lang w:eastAsia="zh-CN"/>
        </w:rPr>
        <w:t>投标供应商</w:t>
      </w:r>
      <w:r>
        <w:rPr>
          <w:rFonts w:hint="eastAsia" w:ascii="宋体" w:hAnsi="宋体" w:eastAsia="宋体" w:cs="宋体"/>
          <w:highlight w:val="none"/>
        </w:rPr>
        <w:t>的身份投标。以联合体形式参加投标的，联合体各方均应当符合政府采购法第二十二条第一款规定的条件。采购人根据采购项目的特殊要求规定</w:t>
      </w:r>
      <w:r>
        <w:rPr>
          <w:rFonts w:hint="eastAsia" w:ascii="宋体" w:hAnsi="宋体" w:eastAsia="宋体" w:cs="宋体"/>
          <w:highlight w:val="none"/>
          <w:lang w:eastAsia="zh-CN"/>
        </w:rPr>
        <w:t>投标供应商</w:t>
      </w:r>
      <w:r>
        <w:rPr>
          <w:rFonts w:hint="eastAsia" w:ascii="宋体" w:hAnsi="宋体" w:eastAsia="宋体" w:cs="宋体"/>
          <w:highlight w:val="none"/>
        </w:rPr>
        <w:t>特定条件的，联合体各方中至少应当有一方符合采购人规定的特定条件。联合体中有同类资质的</w:t>
      </w:r>
      <w:r>
        <w:rPr>
          <w:rFonts w:hint="eastAsia" w:ascii="宋体" w:hAnsi="宋体" w:eastAsia="宋体" w:cs="宋体"/>
          <w:highlight w:val="none"/>
          <w:lang w:eastAsia="zh-CN"/>
        </w:rPr>
        <w:t>投标供应商</w:t>
      </w:r>
      <w:r>
        <w:rPr>
          <w:rFonts w:hint="eastAsia" w:ascii="宋体" w:hAnsi="宋体" w:eastAsia="宋体" w:cs="宋体"/>
          <w:highlight w:val="none"/>
        </w:rPr>
        <w:t>按照联合体分工承担相同工作的，按照资质等级较低的</w:t>
      </w:r>
      <w:r>
        <w:rPr>
          <w:rFonts w:hint="eastAsia" w:ascii="宋体" w:hAnsi="宋体" w:eastAsia="宋体" w:cs="宋体"/>
          <w:highlight w:val="none"/>
          <w:lang w:eastAsia="zh-CN"/>
        </w:rPr>
        <w:t>投标供应商</w:t>
      </w:r>
      <w:r>
        <w:rPr>
          <w:rFonts w:hint="eastAsia" w:ascii="宋体" w:hAnsi="宋体" w:eastAsia="宋体" w:cs="宋体"/>
          <w:highlight w:val="none"/>
        </w:rPr>
        <w:t>确定资质等级。</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联合体各方之间应当签订共同投标协议，明确约定联合体各方承担的工作和相应的责任，并将共同投标协议附在投标文件中一并提交。联合体各方签订共同投标协议后，不得再以自己名义单独在同一项目中投标，也不得组成新的联合体参加同一项目投标，否则，其相关投标均为无效。</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3.6 “信用中国”（www.creditchina.gov.cn）</w:t>
      </w:r>
      <w:r>
        <w:rPr>
          <w:rFonts w:hint="eastAsia" w:ascii="宋体" w:hAnsi="宋体" w:eastAsia="宋体" w:cs="宋体"/>
          <w:highlight w:val="none"/>
          <w:lang w:eastAsia="zh-CN"/>
        </w:rPr>
        <w:t>、</w:t>
      </w:r>
      <w:r>
        <w:rPr>
          <w:rFonts w:hint="eastAsia" w:ascii="宋体" w:hAnsi="宋体" w:eastAsia="宋体" w:cs="宋体"/>
          <w:highlight w:val="none"/>
        </w:rPr>
        <w:t>“中国执行信息公开网”及“中国政府采购网”（www.ccgp.gov.cn）为</w:t>
      </w:r>
      <w:r>
        <w:rPr>
          <w:rFonts w:hint="eastAsia" w:ascii="宋体" w:hAnsi="宋体" w:eastAsia="宋体" w:cs="宋体"/>
          <w:highlight w:val="none"/>
          <w:lang w:eastAsia="zh-CN"/>
        </w:rPr>
        <w:t>投标供应商</w:t>
      </w:r>
      <w:r>
        <w:rPr>
          <w:rFonts w:hint="eastAsia" w:ascii="宋体" w:hAnsi="宋体" w:eastAsia="宋体" w:cs="宋体"/>
          <w:highlight w:val="none"/>
        </w:rPr>
        <w:t>信用信息查询渠道，如果</w:t>
      </w:r>
      <w:r>
        <w:rPr>
          <w:rFonts w:hint="eastAsia" w:ascii="宋体" w:hAnsi="宋体" w:eastAsia="宋体" w:cs="宋体"/>
          <w:highlight w:val="none"/>
          <w:lang w:eastAsia="zh-CN"/>
        </w:rPr>
        <w:t>投标供应商</w:t>
      </w:r>
      <w:r>
        <w:rPr>
          <w:rFonts w:hint="eastAsia" w:ascii="宋体" w:hAnsi="宋体" w:eastAsia="宋体" w:cs="宋体"/>
          <w:highlight w:val="none"/>
        </w:rPr>
        <w:t>被查实在投标截止日前已列入失信被执行人，重大税收违法案件当事人名单、政府采购严重违法失信行为记录名单，</w:t>
      </w:r>
      <w:r>
        <w:rPr>
          <w:rFonts w:hint="eastAsia" w:ascii="宋体" w:hAnsi="宋体" w:eastAsia="宋体" w:cs="宋体"/>
          <w:b/>
          <w:bCs/>
          <w:highlight w:val="none"/>
        </w:rPr>
        <w:t>其投标为无效。</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 xml:space="preserve">3.7 </w:t>
      </w:r>
      <w:r>
        <w:rPr>
          <w:rFonts w:hint="eastAsia" w:ascii="宋体" w:hAnsi="宋体" w:eastAsia="宋体" w:cs="宋体"/>
          <w:highlight w:val="none"/>
          <w:lang w:eastAsia="zh-CN"/>
        </w:rPr>
        <w:t>投标供应商</w:t>
      </w:r>
      <w:r>
        <w:rPr>
          <w:rFonts w:hint="eastAsia" w:ascii="宋体" w:hAnsi="宋体" w:eastAsia="宋体" w:cs="宋体"/>
          <w:highlight w:val="none"/>
        </w:rPr>
        <w:t>必须按</w:t>
      </w:r>
      <w:r>
        <w:rPr>
          <w:rFonts w:hint="eastAsia" w:ascii="宋体" w:hAnsi="宋体" w:eastAsia="宋体" w:cs="宋体"/>
          <w:highlight w:val="none"/>
          <w:lang w:eastAsia="zh-CN"/>
        </w:rPr>
        <w:t>招标文件</w:t>
      </w:r>
      <w:r>
        <w:rPr>
          <w:rFonts w:hint="eastAsia" w:ascii="宋体" w:hAnsi="宋体" w:eastAsia="宋体" w:cs="宋体"/>
          <w:highlight w:val="none"/>
        </w:rPr>
        <w:t>的要求在指定渠道</w:t>
      </w:r>
      <w:r>
        <w:rPr>
          <w:rFonts w:hint="eastAsia" w:ascii="宋体" w:hAnsi="宋体" w:eastAsia="宋体" w:cs="宋体"/>
          <w:highlight w:val="none"/>
          <w:lang w:val="en-US" w:eastAsia="zh-CN"/>
        </w:rPr>
        <w:t>投标确认并</w:t>
      </w:r>
      <w:r>
        <w:rPr>
          <w:rFonts w:hint="eastAsia" w:ascii="宋体" w:hAnsi="宋体" w:eastAsia="宋体" w:cs="宋体"/>
          <w:highlight w:val="none"/>
        </w:rPr>
        <w:t>下载</w:t>
      </w:r>
      <w:r>
        <w:rPr>
          <w:rFonts w:hint="eastAsia" w:ascii="宋体" w:hAnsi="宋体" w:eastAsia="宋体" w:cs="宋体"/>
          <w:highlight w:val="none"/>
          <w:lang w:eastAsia="zh-CN"/>
        </w:rPr>
        <w:t>招标文件</w:t>
      </w:r>
      <w:r>
        <w:rPr>
          <w:rFonts w:hint="eastAsia" w:ascii="宋体" w:hAnsi="宋体" w:eastAsia="宋体" w:cs="宋体"/>
          <w:highlight w:val="none"/>
        </w:rPr>
        <w:t>；方可参加投标。</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4、投标文件内容的真实性</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eastAsia="zh-CN"/>
        </w:rPr>
        <w:t>投标供应商</w:t>
      </w:r>
      <w:r>
        <w:rPr>
          <w:rFonts w:hint="eastAsia" w:ascii="宋体" w:hAnsi="宋体" w:eastAsia="宋体" w:cs="宋体"/>
          <w:highlight w:val="none"/>
        </w:rPr>
        <w:t>应保证其投标文件中所提供的所有有关投标的资料、信息是真实的，并且来源于合法的渠道。因投标文件中所提供的有关投标的资料、信息不真实，或者其来源不合法而导致的所有法律责任，由</w:t>
      </w:r>
      <w:r>
        <w:rPr>
          <w:rFonts w:hint="eastAsia" w:ascii="宋体" w:hAnsi="宋体" w:eastAsia="宋体" w:cs="宋体"/>
          <w:highlight w:val="none"/>
          <w:lang w:eastAsia="zh-CN"/>
        </w:rPr>
        <w:t>投标供应商</w:t>
      </w:r>
      <w:r>
        <w:rPr>
          <w:rFonts w:hint="eastAsia" w:ascii="宋体" w:hAnsi="宋体" w:eastAsia="宋体" w:cs="宋体"/>
          <w:highlight w:val="none"/>
        </w:rPr>
        <w:t>自行承担。</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5、招标过程的监督和管理</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同级人民政府财政部门及有关部门依法履行对招标过程的监督管理职责。</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6、费用</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eastAsia="zh-CN"/>
        </w:rPr>
        <w:t>投标供应商</w:t>
      </w:r>
      <w:r>
        <w:rPr>
          <w:rFonts w:hint="eastAsia" w:ascii="宋体" w:hAnsi="宋体" w:eastAsia="宋体" w:cs="宋体"/>
          <w:highlight w:val="none"/>
        </w:rPr>
        <w:t>应承担所有与编写和提交投标文件有关的费用，无论投标过程中的做法和结果如何，采购人和采购代理机构在任何情况下均无义务和责任承担这些费用。</w:t>
      </w:r>
    </w:p>
    <w:p>
      <w:pPr>
        <w:keepLines w:val="0"/>
        <w:pageBreakBefore w:val="0"/>
        <w:widowControl w:val="0"/>
        <w:kinsoku/>
        <w:wordWrap/>
        <w:overflowPunct/>
        <w:topLinePunct w:val="0"/>
        <w:bidi w:val="0"/>
        <w:snapToGrid/>
        <w:spacing w:before="240" w:after="120" w:line="500" w:lineRule="exact"/>
        <w:jc w:val="both"/>
        <w:textAlignment w:val="auto"/>
        <w:outlineLvl w:val="2"/>
        <w:rPr>
          <w:rFonts w:hint="eastAsia" w:ascii="宋体" w:hAnsi="宋体" w:eastAsia="宋体" w:cs="宋体"/>
          <w:b/>
          <w:bCs/>
          <w:sz w:val="28"/>
          <w:highlight w:val="none"/>
          <w:lang w:eastAsia="zh-CN"/>
        </w:rPr>
      </w:pPr>
      <w:r>
        <w:rPr>
          <w:rFonts w:hint="eastAsia" w:ascii="宋体" w:hAnsi="宋体" w:eastAsia="宋体" w:cs="宋体"/>
          <w:b/>
          <w:bCs/>
          <w:sz w:val="28"/>
          <w:highlight w:val="none"/>
        </w:rPr>
        <w:t>二、</w:t>
      </w:r>
      <w:r>
        <w:rPr>
          <w:rFonts w:hint="eastAsia" w:ascii="宋体" w:hAnsi="宋体" w:eastAsia="宋体" w:cs="宋体"/>
          <w:b/>
          <w:bCs/>
          <w:sz w:val="28"/>
          <w:highlight w:val="none"/>
          <w:lang w:eastAsia="zh-CN"/>
        </w:rPr>
        <w:t>招标文件</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7、</w:t>
      </w:r>
      <w:r>
        <w:rPr>
          <w:rFonts w:hint="eastAsia" w:ascii="宋体" w:hAnsi="宋体" w:eastAsia="宋体" w:cs="宋体"/>
          <w:b/>
          <w:bCs/>
          <w:kern w:val="0"/>
          <w:sz w:val="24"/>
          <w:highlight w:val="none"/>
          <w:lang w:eastAsia="zh-CN"/>
        </w:rPr>
        <w:t>招标文件</w:t>
      </w:r>
      <w:r>
        <w:rPr>
          <w:rFonts w:hint="eastAsia" w:ascii="宋体" w:hAnsi="宋体" w:eastAsia="宋体" w:cs="宋体"/>
          <w:b/>
          <w:bCs/>
          <w:kern w:val="0"/>
          <w:sz w:val="24"/>
          <w:highlight w:val="none"/>
        </w:rPr>
        <w:t>的构成</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 xml:space="preserve">7.1  </w:t>
      </w:r>
      <w:r>
        <w:rPr>
          <w:rFonts w:hint="eastAsia" w:ascii="宋体" w:hAnsi="宋体" w:eastAsia="宋体" w:cs="宋体"/>
          <w:highlight w:val="none"/>
          <w:lang w:eastAsia="zh-CN"/>
        </w:rPr>
        <w:t>招标文件</w:t>
      </w:r>
      <w:r>
        <w:rPr>
          <w:rFonts w:hint="eastAsia" w:ascii="宋体" w:hAnsi="宋体" w:eastAsia="宋体" w:cs="宋体"/>
          <w:highlight w:val="none"/>
        </w:rPr>
        <w:t>是</w:t>
      </w:r>
      <w:r>
        <w:rPr>
          <w:rFonts w:hint="eastAsia" w:ascii="宋体" w:hAnsi="宋体" w:eastAsia="宋体" w:cs="宋体"/>
          <w:highlight w:val="none"/>
          <w:lang w:eastAsia="zh-CN"/>
        </w:rPr>
        <w:t>投标供应商</w:t>
      </w:r>
      <w:r>
        <w:rPr>
          <w:rFonts w:hint="eastAsia" w:ascii="宋体" w:hAnsi="宋体" w:eastAsia="宋体" w:cs="宋体"/>
          <w:highlight w:val="none"/>
        </w:rPr>
        <w:t>准备投标文件和参加开标会议的依据，同时也是评标的重要依据。</w:t>
      </w:r>
      <w:r>
        <w:rPr>
          <w:rFonts w:hint="eastAsia" w:ascii="宋体" w:hAnsi="宋体" w:eastAsia="宋体" w:cs="宋体"/>
          <w:highlight w:val="none"/>
          <w:lang w:eastAsia="zh-CN"/>
        </w:rPr>
        <w:t>招标文件</w:t>
      </w:r>
      <w:r>
        <w:rPr>
          <w:rFonts w:hint="eastAsia" w:ascii="宋体" w:hAnsi="宋体" w:eastAsia="宋体" w:cs="宋体"/>
          <w:highlight w:val="none"/>
        </w:rPr>
        <w:t>用以阐明采购项目所需的资质、技术、服务及报价等要求、招标投标程序、评标办法与标准、有关规定和注意事项以及合同主要条款等。本</w:t>
      </w:r>
      <w:r>
        <w:rPr>
          <w:rFonts w:hint="eastAsia" w:ascii="宋体" w:hAnsi="宋体" w:eastAsia="宋体" w:cs="宋体"/>
          <w:highlight w:val="none"/>
          <w:lang w:eastAsia="zh-CN"/>
        </w:rPr>
        <w:t>招标文件</w:t>
      </w:r>
      <w:r>
        <w:rPr>
          <w:rFonts w:hint="eastAsia" w:ascii="宋体" w:hAnsi="宋体" w:eastAsia="宋体" w:cs="宋体"/>
          <w:highlight w:val="none"/>
        </w:rPr>
        <w:t>包括以下内容：</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 xml:space="preserve">    （1）招标公告；  </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 xml:space="preserve">    （2）</w:t>
      </w:r>
      <w:r>
        <w:rPr>
          <w:rFonts w:hint="eastAsia" w:ascii="宋体" w:hAnsi="宋体" w:eastAsia="宋体" w:cs="宋体"/>
          <w:highlight w:val="none"/>
          <w:lang w:eastAsia="zh-CN"/>
        </w:rPr>
        <w:t>投标供应商</w:t>
      </w:r>
      <w:r>
        <w:rPr>
          <w:rFonts w:hint="eastAsia" w:ascii="宋体" w:hAnsi="宋体" w:eastAsia="宋体" w:cs="宋体"/>
          <w:highlight w:val="none"/>
        </w:rPr>
        <w:t>须知；</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 xml:space="preserve">    （3）评标办法；</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 xml:space="preserve">    （4）采购内容及技术要求；</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 xml:space="preserve">    （5）合同</w:t>
      </w:r>
      <w:r>
        <w:rPr>
          <w:rFonts w:hint="eastAsia" w:ascii="宋体" w:hAnsi="宋体" w:eastAsia="宋体" w:cs="宋体"/>
          <w:highlight w:val="none"/>
          <w:lang w:eastAsia="zh-CN"/>
        </w:rPr>
        <w:t>格式与主要</w:t>
      </w:r>
      <w:r>
        <w:rPr>
          <w:rFonts w:hint="eastAsia" w:ascii="宋体" w:hAnsi="宋体" w:eastAsia="宋体" w:cs="宋体"/>
          <w:highlight w:val="none"/>
        </w:rPr>
        <w:t>条款；</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（6）投标文件格式。</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 xml:space="preserve">7.2  </w:t>
      </w:r>
      <w:r>
        <w:rPr>
          <w:rFonts w:hint="eastAsia" w:ascii="宋体" w:hAnsi="宋体" w:eastAsia="宋体" w:cs="宋体"/>
          <w:highlight w:val="none"/>
          <w:lang w:eastAsia="zh-CN"/>
        </w:rPr>
        <w:t>投标供应商</w:t>
      </w:r>
      <w:r>
        <w:rPr>
          <w:rFonts w:hint="eastAsia" w:ascii="宋体" w:hAnsi="宋体" w:eastAsia="宋体" w:cs="宋体"/>
          <w:highlight w:val="none"/>
        </w:rPr>
        <w:t>应认真阅读和充分理解</w:t>
      </w:r>
      <w:r>
        <w:rPr>
          <w:rFonts w:hint="eastAsia" w:ascii="宋体" w:hAnsi="宋体" w:eastAsia="宋体" w:cs="宋体"/>
          <w:highlight w:val="none"/>
          <w:lang w:eastAsia="zh-CN"/>
        </w:rPr>
        <w:t>招标文件</w:t>
      </w:r>
      <w:r>
        <w:rPr>
          <w:rFonts w:hint="eastAsia" w:ascii="宋体" w:hAnsi="宋体" w:eastAsia="宋体" w:cs="宋体"/>
          <w:highlight w:val="none"/>
        </w:rPr>
        <w:t>中所有的事项、格式条款和规范要求。如果</w:t>
      </w:r>
      <w:r>
        <w:rPr>
          <w:rFonts w:hint="eastAsia" w:ascii="宋体" w:hAnsi="宋体" w:eastAsia="宋体" w:cs="宋体"/>
          <w:highlight w:val="none"/>
          <w:lang w:eastAsia="zh-CN"/>
        </w:rPr>
        <w:t>投标供应商</w:t>
      </w:r>
      <w:r>
        <w:rPr>
          <w:rFonts w:hint="eastAsia" w:ascii="宋体" w:hAnsi="宋体" w:eastAsia="宋体" w:cs="宋体"/>
          <w:highlight w:val="none"/>
        </w:rPr>
        <w:t>没有按照</w:t>
      </w:r>
      <w:r>
        <w:rPr>
          <w:rFonts w:hint="eastAsia" w:ascii="宋体" w:hAnsi="宋体" w:eastAsia="宋体" w:cs="宋体"/>
          <w:highlight w:val="none"/>
          <w:lang w:eastAsia="zh-CN"/>
        </w:rPr>
        <w:t>招标文件</w:t>
      </w:r>
      <w:r>
        <w:rPr>
          <w:rFonts w:hint="eastAsia" w:ascii="宋体" w:hAnsi="宋体" w:eastAsia="宋体" w:cs="宋体"/>
          <w:highlight w:val="none"/>
        </w:rPr>
        <w:t>要求提交全部资料，或者投标文件没有对</w:t>
      </w:r>
      <w:r>
        <w:rPr>
          <w:rFonts w:hint="eastAsia" w:ascii="宋体" w:hAnsi="宋体" w:eastAsia="宋体" w:cs="宋体"/>
          <w:highlight w:val="none"/>
          <w:lang w:eastAsia="zh-CN"/>
        </w:rPr>
        <w:t>招标文件</w:t>
      </w:r>
      <w:r>
        <w:rPr>
          <w:rFonts w:hint="eastAsia" w:ascii="宋体" w:hAnsi="宋体" w:eastAsia="宋体" w:cs="宋体"/>
          <w:highlight w:val="none"/>
        </w:rPr>
        <w:t>在各方面都做出实质性响应，由此带来的不利于</w:t>
      </w:r>
      <w:r>
        <w:rPr>
          <w:rFonts w:hint="eastAsia" w:ascii="宋体" w:hAnsi="宋体" w:eastAsia="宋体" w:cs="宋体"/>
          <w:highlight w:val="none"/>
          <w:lang w:eastAsia="zh-CN"/>
        </w:rPr>
        <w:t>投标供应商</w:t>
      </w:r>
      <w:r>
        <w:rPr>
          <w:rFonts w:hint="eastAsia" w:ascii="宋体" w:hAnsi="宋体" w:eastAsia="宋体" w:cs="宋体"/>
          <w:highlight w:val="none"/>
        </w:rPr>
        <w:t>的评标结果，其风险由</w:t>
      </w:r>
      <w:r>
        <w:rPr>
          <w:rFonts w:hint="eastAsia" w:ascii="宋体" w:hAnsi="宋体" w:eastAsia="宋体" w:cs="宋体"/>
          <w:highlight w:val="none"/>
          <w:lang w:eastAsia="zh-CN"/>
        </w:rPr>
        <w:t>投标供应商</w:t>
      </w:r>
      <w:r>
        <w:rPr>
          <w:rFonts w:hint="eastAsia" w:ascii="宋体" w:hAnsi="宋体" w:eastAsia="宋体" w:cs="宋体"/>
          <w:highlight w:val="none"/>
        </w:rPr>
        <w:t>承担。</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7.3  本</w:t>
      </w:r>
      <w:r>
        <w:rPr>
          <w:rFonts w:hint="eastAsia" w:ascii="宋体" w:hAnsi="宋体" w:eastAsia="宋体" w:cs="宋体"/>
          <w:highlight w:val="none"/>
          <w:lang w:eastAsia="zh-CN"/>
        </w:rPr>
        <w:t>招标文件</w:t>
      </w:r>
      <w:r>
        <w:rPr>
          <w:rFonts w:hint="eastAsia" w:ascii="宋体" w:hAnsi="宋体" w:eastAsia="宋体" w:cs="宋体"/>
          <w:highlight w:val="none"/>
        </w:rPr>
        <w:t>的解释权归</w:t>
      </w:r>
      <w:r>
        <w:rPr>
          <w:rFonts w:hint="eastAsia" w:ascii="宋体" w:hAnsi="宋体" w:eastAsia="宋体" w:cs="宋体"/>
          <w:highlight w:val="none"/>
          <w:lang w:eastAsia="zh-CN"/>
        </w:rPr>
        <w:t>瑞信国际项目管理有限公司</w:t>
      </w:r>
      <w:r>
        <w:rPr>
          <w:rFonts w:hint="eastAsia" w:ascii="宋体" w:hAnsi="宋体" w:eastAsia="宋体" w:cs="宋体"/>
          <w:highlight w:val="none"/>
        </w:rPr>
        <w:t>。</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8、</w:t>
      </w:r>
      <w:r>
        <w:rPr>
          <w:rFonts w:hint="eastAsia" w:ascii="宋体" w:hAnsi="宋体" w:eastAsia="宋体" w:cs="宋体"/>
          <w:b/>
          <w:bCs/>
          <w:kern w:val="0"/>
          <w:sz w:val="24"/>
          <w:highlight w:val="none"/>
          <w:lang w:eastAsia="zh-CN"/>
        </w:rPr>
        <w:t>招标文件</w:t>
      </w:r>
      <w:r>
        <w:rPr>
          <w:rFonts w:hint="eastAsia" w:ascii="宋体" w:hAnsi="宋体" w:eastAsia="宋体" w:cs="宋体"/>
          <w:b/>
          <w:bCs/>
          <w:kern w:val="0"/>
          <w:sz w:val="24"/>
          <w:highlight w:val="none"/>
        </w:rPr>
        <w:t>的澄清和修改</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8.1  在投标截止时间前，采购人或者采购代理机构无论出于何种原因，可以对</w:t>
      </w:r>
      <w:r>
        <w:rPr>
          <w:rFonts w:hint="eastAsia" w:ascii="宋体" w:hAnsi="宋体" w:eastAsia="宋体" w:cs="宋体"/>
          <w:highlight w:val="none"/>
          <w:lang w:eastAsia="zh-CN"/>
        </w:rPr>
        <w:t>招标文件</w:t>
      </w:r>
      <w:r>
        <w:rPr>
          <w:rFonts w:hint="eastAsia" w:ascii="宋体" w:hAnsi="宋体" w:eastAsia="宋体" w:cs="宋体"/>
          <w:highlight w:val="none"/>
        </w:rPr>
        <w:t>进行澄清或者修改</w:t>
      </w:r>
      <w:r>
        <w:rPr>
          <w:rFonts w:hint="eastAsia" w:ascii="宋体" w:hAnsi="宋体" w:eastAsia="宋体" w:cs="宋体"/>
          <w:sz w:val="24"/>
          <w:highlight w:val="none"/>
        </w:rPr>
        <w:t>，但不得修改采购标的和资格条件。</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8.2  采购人或者采购代理机构如果对已发出的</w:t>
      </w:r>
      <w:r>
        <w:rPr>
          <w:rFonts w:hint="eastAsia" w:ascii="宋体" w:hAnsi="宋体" w:eastAsia="宋体" w:cs="宋体"/>
          <w:highlight w:val="none"/>
          <w:lang w:eastAsia="zh-CN"/>
        </w:rPr>
        <w:t>招标文件</w:t>
      </w:r>
      <w:r>
        <w:rPr>
          <w:rFonts w:hint="eastAsia" w:ascii="宋体" w:hAnsi="宋体" w:eastAsia="宋体" w:cs="宋体"/>
          <w:highlight w:val="none"/>
        </w:rPr>
        <w:t>进行澄清或者修改，将在</w:t>
      </w:r>
      <w:r>
        <w:rPr>
          <w:rFonts w:hint="eastAsia" w:ascii="宋体" w:hAnsi="宋体" w:eastAsia="宋体" w:cs="宋体"/>
          <w:highlight w:val="none"/>
          <w:lang w:eastAsia="zh-CN"/>
        </w:rPr>
        <w:t>招标文件</w:t>
      </w:r>
      <w:r>
        <w:rPr>
          <w:rFonts w:hint="eastAsia" w:ascii="宋体" w:hAnsi="宋体" w:eastAsia="宋体" w:cs="宋体"/>
          <w:highlight w:val="none"/>
        </w:rPr>
        <w:t>要求提交投标文件截止时间15日前，</w:t>
      </w:r>
      <w:r>
        <w:rPr>
          <w:rFonts w:hint="eastAsia" w:ascii="宋体" w:hAnsi="宋体" w:eastAsia="宋体" w:cs="宋体"/>
          <w:highlight w:val="none"/>
          <w:lang w:val="en-US" w:eastAsia="zh-CN"/>
        </w:rPr>
        <w:t>在</w:t>
      </w: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全国公共资源交易平台（陕西省.西咸新区）网上</w:t>
      </w:r>
      <w:r>
        <w:rPr>
          <w:rFonts w:hint="eastAsia" w:ascii="宋体" w:hAnsi="宋体" w:eastAsia="宋体" w:cs="宋体"/>
          <w:highlight w:val="none"/>
        </w:rPr>
        <w:t>将澄清或者修改的内容通知所有</w:t>
      </w:r>
      <w:r>
        <w:rPr>
          <w:rFonts w:hint="eastAsia" w:ascii="宋体" w:hAnsi="宋体" w:eastAsia="宋体" w:cs="宋体"/>
          <w:highlight w:val="none"/>
          <w:lang w:val="en-US" w:eastAsia="zh-CN"/>
        </w:rPr>
        <w:t>投标确认并获取了招标文件</w:t>
      </w:r>
      <w:r>
        <w:rPr>
          <w:rFonts w:hint="eastAsia" w:ascii="宋体" w:hAnsi="宋体" w:eastAsia="宋体" w:cs="宋体"/>
          <w:highlight w:val="none"/>
        </w:rPr>
        <w:t>的</w:t>
      </w:r>
      <w:r>
        <w:rPr>
          <w:rFonts w:hint="eastAsia" w:ascii="宋体" w:hAnsi="宋体" w:eastAsia="宋体" w:cs="宋体"/>
          <w:highlight w:val="none"/>
          <w:lang w:eastAsia="zh-CN"/>
        </w:rPr>
        <w:t>投标供应商</w:t>
      </w:r>
      <w:r>
        <w:rPr>
          <w:rFonts w:hint="eastAsia" w:ascii="宋体" w:hAnsi="宋体" w:eastAsia="宋体" w:cs="宋体"/>
          <w:highlight w:val="none"/>
        </w:rPr>
        <w:t>，同时在原信息发布媒体上发布更正公告。该澄清或者修改的内容为</w:t>
      </w:r>
      <w:r>
        <w:rPr>
          <w:rFonts w:hint="eastAsia" w:ascii="宋体" w:hAnsi="宋体" w:eastAsia="宋体" w:cs="宋体"/>
          <w:highlight w:val="none"/>
          <w:lang w:eastAsia="zh-CN"/>
        </w:rPr>
        <w:t>招标文件</w:t>
      </w:r>
      <w:r>
        <w:rPr>
          <w:rFonts w:hint="eastAsia" w:ascii="宋体" w:hAnsi="宋体" w:eastAsia="宋体" w:cs="宋体"/>
          <w:highlight w:val="none"/>
        </w:rPr>
        <w:t>的组成部分。</w:t>
      </w:r>
      <w:r>
        <w:rPr>
          <w:rFonts w:hint="eastAsia" w:ascii="宋体" w:hAnsi="宋体" w:eastAsia="宋体" w:cs="宋体"/>
          <w:highlight w:val="none"/>
          <w:lang w:eastAsia="zh-CN"/>
        </w:rPr>
        <w:t>投标供应商</w:t>
      </w:r>
      <w:r>
        <w:rPr>
          <w:rFonts w:hint="eastAsia" w:ascii="宋体" w:hAnsi="宋体" w:eastAsia="宋体" w:cs="宋体"/>
          <w:highlight w:val="none"/>
        </w:rPr>
        <w:t>在收到上述通知后，应立即以书面形式（传真或邮件）向采购代理机构确认。</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8.3  </w:t>
      </w:r>
      <w:r>
        <w:rPr>
          <w:rFonts w:hint="eastAsia" w:ascii="宋体" w:hAnsi="宋体" w:eastAsia="宋体" w:cs="宋体"/>
          <w:highlight w:val="none"/>
          <w:lang w:eastAsia="zh-CN"/>
        </w:rPr>
        <w:t>招标文件</w:t>
      </w:r>
      <w:r>
        <w:rPr>
          <w:rFonts w:hint="eastAsia" w:ascii="宋体" w:hAnsi="宋体" w:eastAsia="宋体" w:cs="宋体"/>
          <w:highlight w:val="none"/>
        </w:rPr>
        <w:t>的澄清或修改内容均以</w:t>
      </w: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全国公共资源交易平台（陕西省.西咸新区）网上发布</w:t>
      </w:r>
      <w:r>
        <w:rPr>
          <w:rFonts w:hint="eastAsia" w:ascii="宋体" w:hAnsi="宋体" w:eastAsia="宋体" w:cs="宋体"/>
          <w:highlight w:val="none"/>
        </w:rPr>
        <w:t>的内容为准。当</w:t>
      </w:r>
      <w:r>
        <w:rPr>
          <w:rFonts w:hint="eastAsia" w:ascii="宋体" w:hAnsi="宋体" w:eastAsia="宋体" w:cs="宋体"/>
          <w:highlight w:val="none"/>
          <w:lang w:eastAsia="zh-CN"/>
        </w:rPr>
        <w:t>招标文件</w:t>
      </w:r>
      <w:r>
        <w:rPr>
          <w:rFonts w:hint="eastAsia" w:ascii="宋体" w:hAnsi="宋体" w:eastAsia="宋体" w:cs="宋体"/>
          <w:highlight w:val="none"/>
        </w:rPr>
        <w:t>的澄清、修改、补充等在同一内容的表述上不一致时，以最后发出的文件为准。所有补充文件将作为</w:t>
      </w:r>
      <w:r>
        <w:rPr>
          <w:rFonts w:hint="eastAsia" w:ascii="宋体" w:hAnsi="宋体" w:eastAsia="宋体" w:cs="宋体"/>
          <w:highlight w:val="none"/>
          <w:lang w:eastAsia="zh-CN"/>
        </w:rPr>
        <w:t>招标文件</w:t>
      </w:r>
      <w:r>
        <w:rPr>
          <w:rFonts w:hint="eastAsia" w:ascii="宋体" w:hAnsi="宋体" w:eastAsia="宋体" w:cs="宋体"/>
          <w:highlight w:val="none"/>
        </w:rPr>
        <w:t>的组成部分，对所有</w:t>
      </w:r>
      <w:r>
        <w:rPr>
          <w:rFonts w:hint="eastAsia" w:ascii="宋体" w:hAnsi="宋体" w:eastAsia="宋体" w:cs="宋体"/>
          <w:highlight w:val="none"/>
          <w:lang w:eastAsia="zh-CN"/>
        </w:rPr>
        <w:t>投标供应商</w:t>
      </w:r>
      <w:r>
        <w:rPr>
          <w:rFonts w:hint="eastAsia" w:ascii="宋体" w:hAnsi="宋体" w:eastAsia="宋体" w:cs="宋体"/>
          <w:highlight w:val="none"/>
        </w:rPr>
        <w:t>具有约束力。</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8.4  投标截止时间和开标时间的延长：在投标截止时间3日前，采购代理机构可以视采购具体情况，延长投标截止时间和开标时间。延长投标截止时间和开标时间将在财政部门指定的媒体上发布变更公告，同时将变更时间书面通知所有购买</w:t>
      </w:r>
      <w:r>
        <w:rPr>
          <w:rFonts w:hint="eastAsia" w:ascii="宋体" w:hAnsi="宋体" w:eastAsia="宋体" w:cs="宋体"/>
          <w:highlight w:val="none"/>
          <w:lang w:eastAsia="zh-CN"/>
        </w:rPr>
        <w:t>招标文件</w:t>
      </w:r>
      <w:r>
        <w:rPr>
          <w:rFonts w:hint="eastAsia" w:ascii="宋体" w:hAnsi="宋体" w:eastAsia="宋体" w:cs="宋体"/>
          <w:highlight w:val="none"/>
        </w:rPr>
        <w:t>的单位。</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8</w:t>
      </w: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已经</w:t>
      </w:r>
      <w:r>
        <w:rPr>
          <w:rFonts w:hint="eastAsia" w:ascii="宋体" w:hAnsi="宋体" w:eastAsia="宋体" w:cs="宋体"/>
          <w:highlight w:val="none"/>
          <w:lang w:val="en-US" w:eastAsia="zh-CN"/>
        </w:rPr>
        <w:t>下载</w:t>
      </w:r>
      <w:r>
        <w:rPr>
          <w:rFonts w:hint="eastAsia" w:ascii="宋体" w:hAnsi="宋体" w:eastAsia="宋体" w:cs="宋体"/>
          <w:highlight w:val="none"/>
        </w:rPr>
        <w:t>招标文件的</w:t>
      </w:r>
      <w:r>
        <w:rPr>
          <w:rFonts w:hint="eastAsia" w:ascii="宋体" w:hAnsi="宋体" w:eastAsia="宋体" w:cs="宋体"/>
          <w:highlight w:val="none"/>
          <w:lang w:eastAsia="zh-CN"/>
        </w:rPr>
        <w:t>投标供应商</w:t>
      </w:r>
      <w:r>
        <w:rPr>
          <w:rFonts w:hint="eastAsia" w:ascii="宋体" w:hAnsi="宋体" w:eastAsia="宋体" w:cs="宋体"/>
          <w:highlight w:val="none"/>
        </w:rPr>
        <w:t>对招标文件有疑问的，均应在</w:t>
      </w:r>
      <w:r>
        <w:rPr>
          <w:rFonts w:hint="eastAsia" w:ascii="宋体" w:hAnsi="宋体" w:eastAsia="宋体" w:cs="宋体"/>
          <w:highlight w:val="none"/>
          <w:lang w:val="en-US" w:eastAsia="zh-CN"/>
        </w:rPr>
        <w:t>下载</w:t>
      </w:r>
      <w:r>
        <w:rPr>
          <w:rFonts w:hint="eastAsia" w:ascii="宋体" w:hAnsi="宋体" w:eastAsia="宋体" w:cs="宋体"/>
          <w:highlight w:val="none"/>
        </w:rPr>
        <w:t>招标文件后7个工作日内以书面形式向采购代理机构提出。采购代理机构视情况采用适当方式予以澄清或以书面形式予以答复，涉及变更的内容在原信息发布媒体上发布变更公告，并</w:t>
      </w:r>
      <w:r>
        <w:rPr>
          <w:rFonts w:hint="eastAsia" w:ascii="宋体" w:hAnsi="宋体" w:eastAsia="宋体" w:cs="宋体"/>
          <w:highlight w:val="none"/>
          <w:lang w:val="en-US" w:eastAsia="zh-CN"/>
        </w:rPr>
        <w:t>在</w:t>
      </w: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SA"/>
        </w:rPr>
        <w:t>全国公共资源交易平台（陕西省.西咸新区）网上</w:t>
      </w:r>
      <w:r>
        <w:rPr>
          <w:rFonts w:hint="eastAsia" w:ascii="宋体" w:hAnsi="宋体" w:eastAsia="宋体" w:cs="宋体"/>
          <w:highlight w:val="none"/>
          <w:lang w:val="en-US" w:eastAsia="zh-CN"/>
        </w:rPr>
        <w:t>公布</w:t>
      </w:r>
      <w:r>
        <w:rPr>
          <w:rFonts w:hint="eastAsia" w:ascii="宋体" w:hAnsi="宋体" w:eastAsia="宋体" w:cs="宋体"/>
          <w:highlight w:val="none"/>
        </w:rPr>
        <w:t>，且作为招标文件的组成部分。</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8.6</w:t>
      </w:r>
      <w:r>
        <w:rPr>
          <w:rFonts w:hint="eastAsia" w:ascii="宋体" w:hAnsi="宋体" w:eastAsia="宋体" w:cs="宋体"/>
          <w:highlight w:val="none"/>
          <w:lang w:eastAsia="zh-CN"/>
        </w:rPr>
        <w:t>投标供应商</w:t>
      </w:r>
      <w:r>
        <w:rPr>
          <w:rFonts w:hint="eastAsia" w:ascii="宋体" w:hAnsi="宋体" w:eastAsia="宋体" w:cs="宋体"/>
          <w:highlight w:val="none"/>
        </w:rPr>
        <w:t>在收到上述通知后，应立即向采购代理机构回函确认。</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9、答疑会和现场考察</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9.1  根据采购项目和具体情况，采购代理机构认为有必要，可以组织召开标前答疑会，或投标单位可根据自身情况及需要，自行组织踏勘。答疑会或进行现场踏勘的时间，采购人将以书面形式通知所有</w:t>
      </w:r>
      <w:r>
        <w:rPr>
          <w:rFonts w:hint="eastAsia" w:ascii="宋体" w:hAnsi="宋体" w:eastAsia="宋体" w:cs="宋体"/>
          <w:highlight w:val="none"/>
          <w:lang w:eastAsia="zh-CN"/>
        </w:rPr>
        <w:t>获取了招标文件</w:t>
      </w:r>
      <w:r>
        <w:rPr>
          <w:rFonts w:hint="eastAsia" w:ascii="宋体" w:hAnsi="宋体" w:eastAsia="宋体" w:cs="宋体"/>
          <w:highlight w:val="none"/>
        </w:rPr>
        <w:t>的</w:t>
      </w:r>
      <w:r>
        <w:rPr>
          <w:rFonts w:hint="eastAsia" w:ascii="宋体" w:hAnsi="宋体" w:eastAsia="宋体" w:cs="宋体"/>
          <w:highlight w:val="none"/>
          <w:lang w:eastAsia="zh-CN"/>
        </w:rPr>
        <w:t>投标供应商</w:t>
      </w:r>
      <w:r>
        <w:rPr>
          <w:rFonts w:hint="eastAsia" w:ascii="宋体" w:hAnsi="宋体" w:eastAsia="宋体" w:cs="宋体"/>
          <w:highlight w:val="none"/>
        </w:rPr>
        <w:t>。</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9.2  </w:t>
      </w:r>
      <w:r>
        <w:rPr>
          <w:rFonts w:hint="eastAsia" w:ascii="宋体" w:hAnsi="宋体" w:eastAsia="宋体" w:cs="宋体"/>
          <w:highlight w:val="none"/>
          <w:lang w:eastAsia="zh-CN"/>
        </w:rPr>
        <w:t>投标供应商</w:t>
      </w:r>
      <w:r>
        <w:rPr>
          <w:rFonts w:hint="eastAsia" w:ascii="宋体" w:hAnsi="宋体" w:eastAsia="宋体" w:cs="宋体"/>
          <w:highlight w:val="none"/>
        </w:rPr>
        <w:t>踏勘现场所发生的一切费用由</w:t>
      </w:r>
      <w:r>
        <w:rPr>
          <w:rFonts w:hint="eastAsia" w:ascii="宋体" w:hAnsi="宋体" w:eastAsia="宋体" w:cs="宋体"/>
          <w:highlight w:val="none"/>
          <w:lang w:eastAsia="zh-CN"/>
        </w:rPr>
        <w:t>投标供应商</w:t>
      </w:r>
      <w:r>
        <w:rPr>
          <w:rFonts w:hint="eastAsia" w:ascii="宋体" w:hAnsi="宋体" w:eastAsia="宋体" w:cs="宋体"/>
          <w:highlight w:val="none"/>
        </w:rPr>
        <w:t>自己承担。</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9.3  采购人向</w:t>
      </w:r>
      <w:r>
        <w:rPr>
          <w:rFonts w:hint="eastAsia" w:ascii="宋体" w:hAnsi="宋体" w:eastAsia="宋体" w:cs="宋体"/>
          <w:highlight w:val="none"/>
          <w:lang w:eastAsia="zh-CN"/>
        </w:rPr>
        <w:t>投标供应商</w:t>
      </w:r>
      <w:r>
        <w:rPr>
          <w:rFonts w:hint="eastAsia" w:ascii="宋体" w:hAnsi="宋体" w:eastAsia="宋体" w:cs="宋体"/>
          <w:highlight w:val="none"/>
        </w:rPr>
        <w:t>提供的有关现场的数据和资料，是采购人现有的能被</w:t>
      </w:r>
      <w:r>
        <w:rPr>
          <w:rFonts w:hint="eastAsia" w:ascii="宋体" w:hAnsi="宋体" w:eastAsia="宋体" w:cs="宋体"/>
          <w:highlight w:val="none"/>
          <w:lang w:eastAsia="zh-CN"/>
        </w:rPr>
        <w:t>投标供应商</w:t>
      </w:r>
      <w:r>
        <w:rPr>
          <w:rFonts w:hint="eastAsia" w:ascii="宋体" w:hAnsi="宋体" w:eastAsia="宋体" w:cs="宋体"/>
          <w:highlight w:val="none"/>
        </w:rPr>
        <w:t>利用的资料，采购人对</w:t>
      </w:r>
      <w:r>
        <w:rPr>
          <w:rFonts w:hint="eastAsia" w:ascii="宋体" w:hAnsi="宋体" w:eastAsia="宋体" w:cs="宋体"/>
          <w:highlight w:val="none"/>
          <w:lang w:eastAsia="zh-CN"/>
        </w:rPr>
        <w:t>投标供应商</w:t>
      </w:r>
      <w:r>
        <w:rPr>
          <w:rFonts w:hint="eastAsia" w:ascii="宋体" w:hAnsi="宋体" w:eastAsia="宋体" w:cs="宋体"/>
          <w:highlight w:val="none"/>
        </w:rPr>
        <w:t>做出的任何推论、理解和结论均不负责任。一旦中标，中标人不得以任何借口，提出额外补偿，或延长合同期限的要求。</w:t>
      </w:r>
    </w:p>
    <w:p>
      <w:pPr>
        <w:keepLines w:val="0"/>
        <w:pageBreakBefore w:val="0"/>
        <w:widowControl w:val="0"/>
        <w:kinsoku/>
        <w:wordWrap/>
        <w:overflowPunct/>
        <w:topLinePunct w:val="0"/>
        <w:bidi w:val="0"/>
        <w:snapToGrid/>
        <w:spacing w:before="240" w:after="120" w:line="500" w:lineRule="exact"/>
        <w:jc w:val="both"/>
        <w:textAlignment w:val="auto"/>
        <w:outlineLvl w:val="2"/>
        <w:rPr>
          <w:rFonts w:hint="eastAsia" w:ascii="宋体" w:hAnsi="宋体" w:eastAsia="宋体" w:cs="宋体"/>
          <w:b/>
          <w:bCs/>
          <w:sz w:val="28"/>
          <w:highlight w:val="none"/>
        </w:rPr>
      </w:pPr>
      <w:r>
        <w:rPr>
          <w:rFonts w:hint="eastAsia" w:ascii="宋体" w:hAnsi="宋体" w:eastAsia="宋体" w:cs="宋体"/>
          <w:b/>
          <w:bCs/>
          <w:sz w:val="28"/>
          <w:highlight w:val="none"/>
        </w:rPr>
        <w:t>三、投标文件</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10、投标文件编制的原则</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10.1  </w:t>
      </w:r>
      <w:r>
        <w:rPr>
          <w:rFonts w:hint="eastAsia" w:ascii="宋体" w:hAnsi="宋体" w:eastAsia="宋体" w:cs="宋体"/>
          <w:highlight w:val="none"/>
          <w:lang w:eastAsia="zh-CN"/>
        </w:rPr>
        <w:t>投标供应商</w:t>
      </w:r>
      <w:r>
        <w:rPr>
          <w:rFonts w:hint="eastAsia" w:ascii="宋体" w:hAnsi="宋体" w:eastAsia="宋体" w:cs="宋体"/>
          <w:highlight w:val="none"/>
        </w:rPr>
        <w:t>应在认真阅读</w:t>
      </w:r>
      <w:r>
        <w:rPr>
          <w:rFonts w:hint="eastAsia" w:ascii="宋体" w:hAnsi="宋体" w:eastAsia="宋体" w:cs="宋体"/>
          <w:highlight w:val="none"/>
          <w:lang w:eastAsia="zh-CN"/>
        </w:rPr>
        <w:t>招标文件</w:t>
      </w:r>
      <w:r>
        <w:rPr>
          <w:rFonts w:hint="eastAsia" w:ascii="宋体" w:hAnsi="宋体" w:eastAsia="宋体" w:cs="宋体"/>
          <w:highlight w:val="none"/>
        </w:rPr>
        <w:t>所有内容的基础上，按照</w:t>
      </w:r>
      <w:r>
        <w:rPr>
          <w:rFonts w:hint="eastAsia" w:ascii="宋体" w:hAnsi="宋体" w:eastAsia="宋体" w:cs="宋体"/>
          <w:highlight w:val="none"/>
          <w:lang w:eastAsia="zh-CN"/>
        </w:rPr>
        <w:t>招标文件</w:t>
      </w:r>
      <w:r>
        <w:rPr>
          <w:rFonts w:hint="eastAsia" w:ascii="宋体" w:hAnsi="宋体" w:eastAsia="宋体" w:cs="宋体"/>
          <w:highlight w:val="none"/>
        </w:rPr>
        <w:t>的要求编制完整的投标文件。</w:t>
      </w:r>
      <w:r>
        <w:rPr>
          <w:rFonts w:hint="eastAsia" w:ascii="宋体" w:hAnsi="宋体" w:eastAsia="宋体" w:cs="宋体"/>
          <w:highlight w:val="none"/>
          <w:lang w:eastAsia="zh-CN"/>
        </w:rPr>
        <w:t>招标文件</w:t>
      </w:r>
      <w:r>
        <w:rPr>
          <w:rFonts w:hint="eastAsia" w:ascii="宋体" w:hAnsi="宋体" w:eastAsia="宋体" w:cs="宋体"/>
          <w:highlight w:val="none"/>
        </w:rPr>
        <w:t>中对投标文件格式有要求的，应按格式逐项填写内容，不准有空项；无相应内容可填的项应填写“无”、“没有相应指标”等明确的回答文字。投标文件中留有空项的，将被视为不完整响应的投标文件，其投标将有可能被拒绝。</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 xml:space="preserve">10.2  </w:t>
      </w:r>
      <w:r>
        <w:rPr>
          <w:rFonts w:hint="eastAsia" w:ascii="宋体" w:hAnsi="宋体" w:eastAsia="宋体" w:cs="宋体"/>
          <w:highlight w:val="none"/>
          <w:lang w:eastAsia="zh-CN"/>
        </w:rPr>
        <w:t>投标供应商</w:t>
      </w:r>
      <w:r>
        <w:rPr>
          <w:rFonts w:hint="eastAsia" w:ascii="宋体" w:hAnsi="宋体" w:eastAsia="宋体" w:cs="宋体"/>
          <w:highlight w:val="none"/>
        </w:rPr>
        <w:t>必须保证投标文件所提供的全部资料真实可靠，并接受对其中任何资料进一步审查的要求。</w:t>
      </w:r>
      <w:r>
        <w:rPr>
          <w:rFonts w:hint="eastAsia" w:ascii="宋体" w:hAnsi="宋体" w:eastAsia="宋体" w:cs="宋体"/>
          <w:highlight w:val="none"/>
          <w:lang w:eastAsia="zh-CN"/>
        </w:rPr>
        <w:t>投标供应商</w:t>
      </w:r>
      <w:r>
        <w:rPr>
          <w:rFonts w:hint="eastAsia" w:ascii="宋体" w:hAnsi="宋体" w:eastAsia="宋体" w:cs="宋体"/>
          <w:highlight w:val="none"/>
        </w:rPr>
        <w:t>在政府采购过程中提供不真实的材料，无论其材料是否重要，采购人均有权拒绝，并取消其投标资格，</w:t>
      </w:r>
      <w:r>
        <w:rPr>
          <w:rFonts w:hint="eastAsia" w:ascii="宋体" w:hAnsi="宋体" w:eastAsia="宋体" w:cs="宋体"/>
          <w:highlight w:val="none"/>
          <w:lang w:eastAsia="zh-CN"/>
        </w:rPr>
        <w:t>投标供应商</w:t>
      </w:r>
      <w:r>
        <w:rPr>
          <w:rFonts w:hint="eastAsia" w:ascii="宋体" w:hAnsi="宋体" w:eastAsia="宋体" w:cs="宋体"/>
          <w:highlight w:val="none"/>
        </w:rPr>
        <w:t>需承担相应的后果及法律责任。</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10.3  投标文件须对</w:t>
      </w:r>
      <w:r>
        <w:rPr>
          <w:rFonts w:hint="eastAsia" w:ascii="宋体" w:hAnsi="宋体" w:eastAsia="宋体" w:cs="宋体"/>
          <w:highlight w:val="none"/>
          <w:lang w:eastAsia="zh-CN"/>
        </w:rPr>
        <w:t>招标文件</w:t>
      </w:r>
      <w:r>
        <w:rPr>
          <w:rFonts w:hint="eastAsia" w:ascii="宋体" w:hAnsi="宋体" w:eastAsia="宋体" w:cs="宋体"/>
          <w:highlight w:val="none"/>
        </w:rPr>
        <w:t>中的内容做出实质性和完整的响应，否则其投标将被拒绝。</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11、投标文件的语言</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11.1  </w:t>
      </w:r>
      <w:r>
        <w:rPr>
          <w:rFonts w:hint="eastAsia" w:ascii="宋体" w:hAnsi="宋体" w:eastAsia="宋体" w:cs="宋体"/>
          <w:highlight w:val="none"/>
          <w:lang w:eastAsia="zh-CN"/>
        </w:rPr>
        <w:t>投标供应商</w:t>
      </w:r>
      <w:r>
        <w:rPr>
          <w:rFonts w:hint="eastAsia" w:ascii="宋体" w:hAnsi="宋体" w:eastAsia="宋体" w:cs="宋体"/>
          <w:highlight w:val="none"/>
        </w:rPr>
        <w:t>提交的投标文件和往来信件均须使用中文书写。投标文件中如附有外文资料，必须逐一对应翻译成中文并加盖</w:t>
      </w:r>
      <w:r>
        <w:rPr>
          <w:rFonts w:hint="eastAsia" w:ascii="宋体" w:hAnsi="宋体" w:eastAsia="宋体" w:cs="宋体"/>
          <w:highlight w:val="none"/>
          <w:lang w:eastAsia="zh-CN"/>
        </w:rPr>
        <w:t>投标供应商</w:t>
      </w:r>
      <w:r>
        <w:rPr>
          <w:rFonts w:hint="eastAsia" w:ascii="宋体" w:hAnsi="宋体" w:eastAsia="宋体" w:cs="宋体"/>
          <w:highlight w:val="none"/>
        </w:rPr>
        <w:t>公章后附在相关外文资料后面，否则，</w:t>
      </w:r>
      <w:r>
        <w:rPr>
          <w:rFonts w:hint="eastAsia" w:ascii="宋体" w:hAnsi="宋体" w:eastAsia="宋体" w:cs="宋体"/>
          <w:highlight w:val="none"/>
          <w:lang w:eastAsia="zh-CN"/>
        </w:rPr>
        <w:t>投标供应商</w:t>
      </w:r>
      <w:r>
        <w:rPr>
          <w:rFonts w:hint="eastAsia" w:ascii="宋体" w:hAnsi="宋体" w:eastAsia="宋体" w:cs="宋体"/>
          <w:highlight w:val="none"/>
        </w:rPr>
        <w:t>的投标文件将作为无效投标文件处理。</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11.2  翻译的中文资料与外文资料如果出现差异和矛盾时，以中文为准。但不能故意错误翻译，否则，</w:t>
      </w:r>
      <w:r>
        <w:rPr>
          <w:rFonts w:hint="eastAsia" w:ascii="宋体" w:hAnsi="宋体" w:eastAsia="宋体" w:cs="宋体"/>
          <w:highlight w:val="none"/>
          <w:lang w:eastAsia="zh-CN"/>
        </w:rPr>
        <w:t>投标供应商</w:t>
      </w:r>
      <w:r>
        <w:rPr>
          <w:rFonts w:hint="eastAsia" w:ascii="宋体" w:hAnsi="宋体" w:eastAsia="宋体" w:cs="宋体"/>
          <w:highlight w:val="none"/>
        </w:rPr>
        <w:t>的投标文件将作为无效投标处理。必要时采购人可以要求</w:t>
      </w:r>
      <w:r>
        <w:rPr>
          <w:rFonts w:hint="eastAsia" w:ascii="宋体" w:hAnsi="宋体" w:eastAsia="宋体" w:cs="宋体"/>
          <w:highlight w:val="none"/>
          <w:lang w:eastAsia="zh-CN"/>
        </w:rPr>
        <w:t>投标供应商</w:t>
      </w:r>
      <w:r>
        <w:rPr>
          <w:rFonts w:hint="eastAsia" w:ascii="宋体" w:hAnsi="宋体" w:eastAsia="宋体" w:cs="宋体"/>
          <w:highlight w:val="none"/>
        </w:rPr>
        <w:t>提供附有公证书的中文翻译文件或者与原版文件签章相一致的中文翻译文件。</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12、计量单位</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除技术规格及要求中另有规定外，本次采购项目下的投标均采用国家法定的计量单位。</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rPr>
        <w:t>13、投标</w:t>
      </w:r>
      <w:r>
        <w:rPr>
          <w:rFonts w:hint="eastAsia" w:ascii="宋体" w:hAnsi="宋体" w:eastAsia="宋体" w:cs="宋体"/>
          <w:b/>
          <w:bCs/>
          <w:kern w:val="0"/>
          <w:sz w:val="24"/>
          <w:highlight w:val="none"/>
          <w:lang w:eastAsia="zh-CN"/>
        </w:rPr>
        <w:t>报价</w:t>
      </w:r>
      <w:r>
        <w:rPr>
          <w:rFonts w:hint="eastAsia" w:ascii="宋体" w:hAnsi="宋体" w:eastAsia="宋体" w:cs="宋体"/>
          <w:b/>
          <w:bCs/>
          <w:kern w:val="0"/>
          <w:sz w:val="24"/>
          <w:highlight w:val="none"/>
          <w:lang w:val="en-US" w:eastAsia="zh-CN"/>
        </w:rPr>
        <w:t>方式</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highlight w:val="none"/>
        </w:rPr>
      </w:pPr>
      <w:r>
        <w:rPr>
          <w:rFonts w:hint="eastAsia" w:ascii="宋体" w:hAnsi="宋体" w:eastAsia="宋体" w:cs="宋体"/>
          <w:b/>
          <w:bCs/>
          <w:highlight w:val="none"/>
        </w:rPr>
        <w:t xml:space="preserve">    </w:t>
      </w:r>
      <w:r>
        <w:rPr>
          <w:rFonts w:hint="eastAsia" w:ascii="宋体" w:hAnsi="宋体" w:eastAsia="宋体" w:cs="宋体"/>
          <w:highlight w:val="none"/>
          <w:lang w:val="en-US" w:eastAsia="zh-CN"/>
        </w:rPr>
        <w:t>本项目报价方式采用固定全费用综合单价报价方式。</w:t>
      </w:r>
      <w:r>
        <w:rPr>
          <w:rFonts w:hint="eastAsia" w:ascii="宋体" w:hAnsi="宋体" w:eastAsia="宋体" w:cs="宋体"/>
          <w:highlight w:val="none"/>
        </w:rPr>
        <w:t xml:space="preserve"> </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14、知识产权</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14.1  </w:t>
      </w:r>
      <w:r>
        <w:rPr>
          <w:rFonts w:hint="eastAsia" w:ascii="宋体" w:hAnsi="宋体" w:eastAsia="宋体" w:cs="宋体"/>
          <w:highlight w:val="none"/>
          <w:lang w:eastAsia="zh-CN"/>
        </w:rPr>
        <w:t>投标供应商</w:t>
      </w:r>
      <w:r>
        <w:rPr>
          <w:rFonts w:hint="eastAsia" w:ascii="宋体" w:hAnsi="宋体" w:eastAsia="宋体" w:cs="宋体"/>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s="宋体"/>
          <w:highlight w:val="none"/>
          <w:lang w:eastAsia="zh-CN"/>
        </w:rPr>
        <w:t>投标供应商</w:t>
      </w:r>
      <w:r>
        <w:rPr>
          <w:rFonts w:hint="eastAsia" w:ascii="宋体" w:hAnsi="宋体" w:eastAsia="宋体" w:cs="宋体"/>
          <w:highlight w:val="none"/>
        </w:rPr>
        <w:t>承担所有相关责任。</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14.2  采购人享有本项目实施过程中产生的知识成果及知识产权。</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14.3  </w:t>
      </w:r>
      <w:r>
        <w:rPr>
          <w:rFonts w:hint="eastAsia" w:ascii="宋体" w:hAnsi="宋体" w:eastAsia="宋体" w:cs="宋体"/>
          <w:highlight w:val="none"/>
          <w:lang w:eastAsia="zh-CN"/>
        </w:rPr>
        <w:t>投标供应商</w:t>
      </w:r>
      <w:r>
        <w:rPr>
          <w:rFonts w:hint="eastAsia" w:ascii="宋体" w:hAnsi="宋体" w:eastAsia="宋体" w:cs="宋体"/>
          <w:highlight w:val="none"/>
        </w:rPr>
        <w:t>如欲在项目实施过程中采用自有知识成果，需在投标文件中声明，并提供相关知识产权证明文件。使用该知识成果后，</w:t>
      </w:r>
      <w:r>
        <w:rPr>
          <w:rFonts w:hint="eastAsia" w:ascii="宋体" w:hAnsi="宋体" w:eastAsia="宋体" w:cs="宋体"/>
          <w:highlight w:val="none"/>
          <w:lang w:eastAsia="zh-CN"/>
        </w:rPr>
        <w:t>投标供应商</w:t>
      </w:r>
      <w:r>
        <w:rPr>
          <w:rFonts w:hint="eastAsia" w:ascii="宋体" w:hAnsi="宋体" w:eastAsia="宋体" w:cs="宋体"/>
          <w:highlight w:val="none"/>
        </w:rPr>
        <w:t>需提供开发接口和开发手册等技术文档，并承诺提供无限期技术支持，采购人享有永久使用权。</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14.4  如采用</w:t>
      </w:r>
      <w:r>
        <w:rPr>
          <w:rFonts w:hint="eastAsia" w:ascii="宋体" w:hAnsi="宋体" w:eastAsia="宋体" w:cs="宋体"/>
          <w:highlight w:val="none"/>
          <w:lang w:eastAsia="zh-CN"/>
        </w:rPr>
        <w:t>投标供应商</w:t>
      </w:r>
      <w:r>
        <w:rPr>
          <w:rFonts w:hint="eastAsia" w:ascii="宋体" w:hAnsi="宋体" w:eastAsia="宋体" w:cs="宋体"/>
          <w:highlight w:val="none"/>
        </w:rPr>
        <w:t>所不拥有的知识产权，则在投标报价中必须包括合法获取该知识产权的相关费用。</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15、投标文件的组成</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15.1 各</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应根据</w:t>
      </w:r>
      <w:r>
        <w:rPr>
          <w:rFonts w:hint="eastAsia" w:ascii="宋体" w:hAnsi="宋体" w:eastAsia="宋体" w:cs="宋体"/>
          <w:color w:val="000000"/>
          <w:highlight w:val="none"/>
          <w:lang w:eastAsia="zh-CN"/>
        </w:rPr>
        <w:t>招标文件</w:t>
      </w:r>
      <w:r>
        <w:rPr>
          <w:rFonts w:hint="eastAsia" w:ascii="宋体" w:hAnsi="宋体" w:eastAsia="宋体" w:cs="宋体"/>
          <w:color w:val="000000"/>
          <w:highlight w:val="none"/>
        </w:rPr>
        <w:t>要求编制投标文件。</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15.2 投标文件包括：</w:t>
      </w:r>
    </w:p>
    <w:p>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(1)</w:t>
      </w:r>
      <w:r>
        <w:rPr>
          <w:rFonts w:hint="eastAsia" w:ascii="宋体" w:hAnsi="宋体" w:eastAsia="宋体" w:cs="宋体"/>
          <w:highlight w:val="none"/>
          <w:lang w:eastAsia="zh-CN"/>
        </w:rPr>
        <w:t>投标函</w:t>
      </w:r>
    </w:p>
    <w:p>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(2)</w:t>
      </w:r>
      <w:r>
        <w:rPr>
          <w:rFonts w:hint="eastAsia" w:ascii="宋体" w:hAnsi="宋体" w:eastAsia="宋体" w:cs="宋体"/>
          <w:highlight w:val="none"/>
          <w:lang w:eastAsia="zh-CN"/>
        </w:rPr>
        <w:t>开标一览表</w:t>
      </w:r>
    </w:p>
    <w:p>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(3)报价分项表</w:t>
      </w:r>
    </w:p>
    <w:p>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(4)</w:t>
      </w:r>
      <w:r>
        <w:rPr>
          <w:rFonts w:hint="eastAsia" w:ascii="宋体" w:hAnsi="宋体" w:eastAsia="宋体" w:cs="宋体"/>
          <w:highlight w:val="none"/>
          <w:lang w:eastAsia="zh-CN"/>
        </w:rPr>
        <w:t>资格证明文件</w:t>
      </w:r>
    </w:p>
    <w:p>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(5)</w:t>
      </w:r>
      <w:r>
        <w:rPr>
          <w:rFonts w:hint="eastAsia" w:ascii="宋体" w:hAnsi="宋体" w:eastAsia="宋体" w:cs="宋体"/>
          <w:highlight w:val="none"/>
          <w:lang w:eastAsia="zh-CN"/>
        </w:rPr>
        <w:t>供应商概况</w:t>
      </w:r>
    </w:p>
    <w:p>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(6)</w:t>
      </w:r>
      <w:r>
        <w:rPr>
          <w:rFonts w:hint="eastAsia" w:ascii="宋体" w:hAnsi="宋体" w:eastAsia="宋体" w:cs="宋体"/>
          <w:highlight w:val="none"/>
          <w:lang w:eastAsia="zh-CN"/>
        </w:rPr>
        <w:t>供应商参加政府采购活动承诺书</w:t>
      </w:r>
    </w:p>
    <w:p>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(7)</w:t>
      </w:r>
      <w:r>
        <w:rPr>
          <w:rFonts w:hint="eastAsia" w:ascii="宋体" w:hAnsi="宋体" w:eastAsia="宋体" w:cs="宋体"/>
          <w:highlight w:val="none"/>
          <w:lang w:eastAsia="zh-CN"/>
        </w:rPr>
        <w:t>投标</w:t>
      </w:r>
      <w:r>
        <w:rPr>
          <w:rFonts w:hint="eastAsia" w:ascii="宋体" w:hAnsi="宋体" w:eastAsia="宋体" w:cs="宋体"/>
          <w:highlight w:val="none"/>
          <w:lang w:val="en-US" w:eastAsia="zh-CN"/>
        </w:rPr>
        <w:t>技术</w:t>
      </w:r>
      <w:r>
        <w:rPr>
          <w:rFonts w:hint="eastAsia" w:ascii="宋体" w:hAnsi="宋体" w:eastAsia="宋体" w:cs="宋体"/>
          <w:highlight w:val="none"/>
          <w:lang w:eastAsia="zh-CN"/>
        </w:rPr>
        <w:t>方案</w:t>
      </w:r>
    </w:p>
    <w:p>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(8)企业业绩</w:t>
      </w:r>
    </w:p>
    <w:p>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(9)技术偏离表</w:t>
      </w:r>
    </w:p>
    <w:p>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(10)商务偏离表</w:t>
      </w:r>
    </w:p>
    <w:p>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(11)投标供应商认为需提交的其他资料</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b/>
          <w:bCs/>
          <w:kern w:val="0"/>
          <w:sz w:val="24"/>
          <w:highlight w:val="none"/>
        </w:rPr>
        <w:t>16、投标报价</w:t>
      </w:r>
    </w:p>
    <w:p>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rPr>
        <w:t xml:space="preserve">16.1 </w:t>
      </w:r>
      <w:r>
        <w:rPr>
          <w:rFonts w:hint="eastAsia" w:ascii="宋体" w:hAnsi="宋体" w:eastAsia="宋体" w:cs="宋体"/>
          <w:highlight w:val="none"/>
          <w:lang w:val="en-US" w:eastAsia="zh-CN"/>
        </w:rPr>
        <w:t>投标报价要求：详见投标供应商须知前附表。</w:t>
      </w:r>
    </w:p>
    <w:p>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16.2 </w:t>
      </w:r>
      <w:r>
        <w:rPr>
          <w:rFonts w:hint="eastAsia" w:ascii="宋体" w:hAnsi="宋体" w:eastAsia="宋体" w:cs="宋体"/>
          <w:highlight w:val="none"/>
          <w:lang w:eastAsia="zh-CN"/>
        </w:rPr>
        <w:t>投标供应商</w:t>
      </w:r>
      <w:r>
        <w:rPr>
          <w:rFonts w:hint="eastAsia" w:ascii="宋体" w:hAnsi="宋体" w:eastAsia="宋体" w:cs="宋体"/>
          <w:highlight w:val="none"/>
        </w:rPr>
        <w:t>应在投标文件中的投标报价表上标明对本次招标提供服务的单价或总价。任何有选择的报价将不予接受，每项服务只允许有一个报价</w:t>
      </w:r>
      <w:r>
        <w:rPr>
          <w:rFonts w:hint="eastAsia" w:ascii="宋体" w:hAnsi="宋体" w:eastAsia="宋体" w:cs="宋体"/>
          <w:highlight w:val="none"/>
          <w:lang w:eastAsia="zh-CN"/>
        </w:rPr>
        <w:t>；</w:t>
      </w:r>
      <w:r>
        <w:rPr>
          <w:rFonts w:hint="eastAsia" w:ascii="宋体" w:hAnsi="宋体" w:eastAsia="宋体" w:cs="宋体"/>
          <w:highlight w:val="none"/>
          <w:lang w:val="zh-CN"/>
        </w:rPr>
        <w:t>不接受备选方案</w:t>
      </w:r>
      <w:r>
        <w:rPr>
          <w:rFonts w:hint="eastAsia" w:ascii="宋体" w:hAnsi="宋体" w:eastAsia="宋体" w:cs="宋体"/>
          <w:highlight w:val="none"/>
        </w:rPr>
        <w:t>。</w:t>
      </w:r>
    </w:p>
    <w:p>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16.3 合同履行期间，受托人有义务为采购人提供</w:t>
      </w:r>
      <w:r>
        <w:rPr>
          <w:rFonts w:hint="eastAsia" w:ascii="宋体" w:hAnsi="宋体" w:eastAsia="宋体" w:cs="宋体"/>
          <w:highlight w:val="none"/>
          <w:lang w:val="en-US" w:eastAsia="zh-CN"/>
        </w:rPr>
        <w:t>管理服务及相关服务</w:t>
      </w:r>
      <w:r>
        <w:rPr>
          <w:rFonts w:hint="eastAsia" w:ascii="宋体" w:hAnsi="宋体" w:eastAsia="宋体" w:cs="宋体"/>
          <w:highlight w:val="none"/>
        </w:rPr>
        <w:t>；合同履行期间和期满后，受托人有义务配合采购人接受各种监督检查。</w:t>
      </w:r>
    </w:p>
    <w:p>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16.4</w:t>
      </w:r>
      <w:r>
        <w:rPr>
          <w:rFonts w:hint="eastAsia" w:ascii="宋体" w:hAnsi="宋体" w:eastAsia="宋体" w:cs="宋体"/>
          <w:highlight w:val="none"/>
          <w:lang w:eastAsia="zh-CN"/>
        </w:rPr>
        <w:t>投标供应商</w:t>
      </w:r>
      <w:r>
        <w:rPr>
          <w:rFonts w:hint="eastAsia" w:ascii="宋体" w:hAnsi="宋体" w:eastAsia="宋体" w:cs="宋体"/>
          <w:highlight w:val="none"/>
        </w:rPr>
        <w:t>所报的</w:t>
      </w:r>
      <w:r>
        <w:rPr>
          <w:rFonts w:hint="eastAsia" w:ascii="宋体" w:hAnsi="宋体" w:eastAsia="宋体" w:cs="宋体"/>
          <w:highlight w:val="none"/>
          <w:lang w:val="en-US" w:eastAsia="zh-CN"/>
        </w:rPr>
        <w:t>单价</w:t>
      </w:r>
      <w:r>
        <w:rPr>
          <w:rFonts w:hint="eastAsia" w:ascii="宋体" w:hAnsi="宋体" w:eastAsia="宋体" w:cs="宋体"/>
          <w:highlight w:val="none"/>
        </w:rPr>
        <w:t>应为履行合同的</w:t>
      </w:r>
      <w:r>
        <w:rPr>
          <w:rFonts w:hint="eastAsia" w:ascii="宋体" w:hAnsi="宋体" w:eastAsia="宋体" w:cs="宋体"/>
          <w:highlight w:val="none"/>
          <w:lang w:val="en-US" w:eastAsia="zh-CN"/>
        </w:rPr>
        <w:t>全费用综合单价</w:t>
      </w:r>
      <w:r>
        <w:rPr>
          <w:rFonts w:hint="eastAsia" w:ascii="宋体" w:hAnsi="宋体" w:eastAsia="宋体" w:cs="宋体"/>
          <w:highlight w:val="none"/>
        </w:rPr>
        <w:t>，不得以任何理由予以变更。任何包含价格调整要求的投标，将被认为是非响应性投标而予以拒绝。若因国家政策调整合同价格应在合同中约定。</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17、证明</w:t>
      </w:r>
      <w:r>
        <w:rPr>
          <w:rFonts w:hint="eastAsia" w:ascii="宋体" w:hAnsi="宋体" w:eastAsia="宋体" w:cs="宋体"/>
          <w:b/>
          <w:bCs/>
          <w:kern w:val="0"/>
          <w:sz w:val="24"/>
          <w:highlight w:val="none"/>
          <w:lang w:eastAsia="zh-CN"/>
        </w:rPr>
        <w:t>投标供应商</w:t>
      </w:r>
      <w:r>
        <w:rPr>
          <w:rFonts w:hint="eastAsia" w:ascii="宋体" w:hAnsi="宋体" w:eastAsia="宋体" w:cs="宋体"/>
          <w:b/>
          <w:bCs/>
          <w:kern w:val="0"/>
          <w:sz w:val="24"/>
          <w:highlight w:val="none"/>
        </w:rPr>
        <w:t>资格的证明文件</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 xml:space="preserve">17.1  </w:t>
      </w:r>
      <w:r>
        <w:rPr>
          <w:rFonts w:hint="eastAsia" w:ascii="宋体" w:hAnsi="宋体" w:eastAsia="宋体" w:cs="宋体"/>
          <w:highlight w:val="none"/>
          <w:lang w:eastAsia="zh-CN"/>
        </w:rPr>
        <w:t>投标供应商</w:t>
      </w:r>
      <w:r>
        <w:rPr>
          <w:rFonts w:hint="eastAsia" w:ascii="宋体" w:hAnsi="宋体" w:eastAsia="宋体" w:cs="宋体"/>
          <w:highlight w:val="none"/>
        </w:rPr>
        <w:t>须按</w:t>
      </w:r>
      <w:r>
        <w:rPr>
          <w:rFonts w:hint="eastAsia" w:ascii="宋体" w:hAnsi="宋体" w:eastAsia="宋体" w:cs="宋体"/>
          <w:highlight w:val="none"/>
          <w:lang w:eastAsia="zh-CN"/>
        </w:rPr>
        <w:t>招标文件</w:t>
      </w:r>
      <w:r>
        <w:rPr>
          <w:rFonts w:hint="eastAsia" w:ascii="宋体" w:hAnsi="宋体" w:eastAsia="宋体" w:cs="宋体"/>
          <w:highlight w:val="none"/>
        </w:rPr>
        <w:t>“</w:t>
      </w:r>
      <w:r>
        <w:rPr>
          <w:rFonts w:hint="eastAsia" w:ascii="宋体" w:hAnsi="宋体" w:eastAsia="宋体" w:cs="宋体"/>
          <w:highlight w:val="none"/>
          <w:lang w:eastAsia="zh-CN"/>
        </w:rPr>
        <w:t>投标供应商</w:t>
      </w:r>
      <w:r>
        <w:rPr>
          <w:rFonts w:hint="eastAsia" w:ascii="宋体" w:hAnsi="宋体" w:eastAsia="宋体" w:cs="宋体"/>
          <w:highlight w:val="none"/>
        </w:rPr>
        <w:t>须知前附表”的要求，在投标文件中提交合格的资格证明文件加盖公章的复印件，以证明其有资格参加投标和中标后有履行合同的能力，并作为其投标文件的一部分。如果资格证明文件不全或不合格的，其投标将按无效投标文件处理。</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 xml:space="preserve">17.2  </w:t>
      </w:r>
      <w:r>
        <w:rPr>
          <w:rFonts w:hint="eastAsia" w:ascii="宋体" w:hAnsi="宋体" w:eastAsia="宋体" w:cs="宋体"/>
          <w:highlight w:val="none"/>
          <w:lang w:eastAsia="zh-CN"/>
        </w:rPr>
        <w:t>投标供应商</w:t>
      </w:r>
      <w:r>
        <w:rPr>
          <w:rFonts w:hint="eastAsia" w:ascii="宋体" w:hAnsi="宋体" w:eastAsia="宋体" w:cs="宋体"/>
          <w:highlight w:val="none"/>
        </w:rPr>
        <w:t>还应按照</w:t>
      </w:r>
      <w:r>
        <w:rPr>
          <w:rFonts w:hint="eastAsia" w:ascii="宋体" w:hAnsi="宋体" w:eastAsia="宋体" w:cs="宋体"/>
          <w:highlight w:val="none"/>
          <w:lang w:eastAsia="zh-CN"/>
        </w:rPr>
        <w:t>招标文件</w:t>
      </w:r>
      <w:r>
        <w:rPr>
          <w:rFonts w:hint="eastAsia" w:ascii="宋体" w:hAnsi="宋体" w:eastAsia="宋体" w:cs="宋体"/>
          <w:highlight w:val="none"/>
        </w:rPr>
        <w:t>“</w:t>
      </w:r>
      <w:r>
        <w:rPr>
          <w:rFonts w:hint="eastAsia" w:ascii="宋体" w:hAnsi="宋体" w:eastAsia="宋体" w:cs="宋体"/>
          <w:highlight w:val="none"/>
          <w:lang w:eastAsia="zh-CN"/>
        </w:rPr>
        <w:t>投标供应商</w:t>
      </w:r>
      <w:r>
        <w:rPr>
          <w:rFonts w:hint="eastAsia" w:ascii="宋体" w:hAnsi="宋体" w:eastAsia="宋体" w:cs="宋体"/>
          <w:highlight w:val="none"/>
        </w:rPr>
        <w:t>须知前附表”的要求，提交其他的证明其实力、信誉、业绩等的证明文件。</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17.3  如果“</w:t>
      </w:r>
      <w:r>
        <w:rPr>
          <w:rFonts w:hint="eastAsia" w:ascii="宋体" w:hAnsi="宋体" w:eastAsia="宋体" w:cs="宋体"/>
          <w:highlight w:val="none"/>
          <w:lang w:eastAsia="zh-CN"/>
        </w:rPr>
        <w:t>投标供应商</w:t>
      </w:r>
      <w:r>
        <w:rPr>
          <w:rFonts w:hint="eastAsia" w:ascii="宋体" w:hAnsi="宋体" w:eastAsia="宋体" w:cs="宋体"/>
          <w:highlight w:val="none"/>
        </w:rPr>
        <w:t>须知前附表”有要求，</w:t>
      </w:r>
      <w:r>
        <w:rPr>
          <w:rFonts w:hint="eastAsia" w:ascii="宋体" w:hAnsi="宋体" w:eastAsia="宋体" w:cs="宋体"/>
          <w:highlight w:val="none"/>
          <w:lang w:eastAsia="zh-CN"/>
        </w:rPr>
        <w:t>投标供应商</w:t>
      </w:r>
      <w:r>
        <w:rPr>
          <w:rFonts w:hint="eastAsia" w:ascii="宋体" w:hAnsi="宋体" w:eastAsia="宋体" w:cs="宋体"/>
          <w:highlight w:val="none"/>
        </w:rPr>
        <w:t>还应按照要求提交资格或其他证明文件的原件。如果未能提供原件或者提供原件不全的，其投标按照无效投标处理。</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18、证明服务的合格性和符合</w:t>
      </w:r>
      <w:r>
        <w:rPr>
          <w:rFonts w:hint="eastAsia" w:ascii="宋体" w:hAnsi="宋体" w:eastAsia="宋体" w:cs="宋体"/>
          <w:b/>
          <w:bCs/>
          <w:kern w:val="0"/>
          <w:sz w:val="24"/>
          <w:highlight w:val="none"/>
          <w:lang w:eastAsia="zh-CN"/>
        </w:rPr>
        <w:t>招标文件</w:t>
      </w:r>
      <w:r>
        <w:rPr>
          <w:rFonts w:hint="eastAsia" w:ascii="宋体" w:hAnsi="宋体" w:eastAsia="宋体" w:cs="宋体"/>
          <w:b/>
          <w:bCs/>
          <w:kern w:val="0"/>
          <w:sz w:val="24"/>
          <w:highlight w:val="none"/>
        </w:rPr>
        <w:t>规定的文件</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18.1 </w:t>
      </w:r>
      <w:r>
        <w:rPr>
          <w:rFonts w:hint="eastAsia" w:ascii="宋体" w:hAnsi="宋体" w:eastAsia="宋体" w:cs="宋体"/>
          <w:highlight w:val="none"/>
          <w:lang w:eastAsia="zh-CN"/>
        </w:rPr>
        <w:t>投标供应商</w:t>
      </w:r>
      <w:r>
        <w:rPr>
          <w:rFonts w:hint="eastAsia" w:ascii="宋体" w:hAnsi="宋体" w:eastAsia="宋体" w:cs="宋体"/>
          <w:highlight w:val="none"/>
        </w:rPr>
        <w:t>应在投标文件中提交所提供服务满足</w:t>
      </w:r>
      <w:r>
        <w:rPr>
          <w:rFonts w:hint="eastAsia" w:ascii="宋体" w:hAnsi="宋体" w:eastAsia="宋体" w:cs="宋体"/>
          <w:highlight w:val="none"/>
          <w:lang w:eastAsia="zh-CN"/>
        </w:rPr>
        <w:t>招标文件</w:t>
      </w:r>
      <w:r>
        <w:rPr>
          <w:rFonts w:hint="eastAsia" w:ascii="宋体" w:hAnsi="宋体" w:eastAsia="宋体" w:cs="宋体"/>
          <w:highlight w:val="none"/>
        </w:rPr>
        <w:t>要求并符合国家法律法规、行业管理部门要求的其他强制性标准的证明文件。缺少证明文件或证明文件不合格的响应文件，与</w:t>
      </w:r>
      <w:r>
        <w:rPr>
          <w:rFonts w:hint="eastAsia" w:ascii="宋体" w:hAnsi="宋体" w:eastAsia="宋体" w:cs="宋体"/>
          <w:highlight w:val="none"/>
          <w:lang w:eastAsia="zh-CN"/>
        </w:rPr>
        <w:t>招标文件</w:t>
      </w:r>
      <w:r>
        <w:rPr>
          <w:rFonts w:hint="eastAsia" w:ascii="宋体" w:hAnsi="宋体" w:eastAsia="宋体" w:cs="宋体"/>
          <w:highlight w:val="none"/>
        </w:rPr>
        <w:t>要求有重大偏离的投标文件，不符合国家法律法规、行业管理部门要求的其他强制性标准的投标文件将按照无效处理。</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18.2 证明服务与</w:t>
      </w:r>
      <w:r>
        <w:rPr>
          <w:rFonts w:hint="eastAsia" w:ascii="宋体" w:hAnsi="宋体" w:eastAsia="宋体" w:cs="宋体"/>
          <w:highlight w:val="none"/>
          <w:lang w:eastAsia="zh-CN"/>
        </w:rPr>
        <w:t>招标文件</w:t>
      </w:r>
      <w:r>
        <w:rPr>
          <w:rFonts w:hint="eastAsia" w:ascii="宋体" w:hAnsi="宋体" w:eastAsia="宋体" w:cs="宋体"/>
          <w:highlight w:val="none"/>
        </w:rPr>
        <w:t>的要求相一致的文件，它可以是文字资料、图表、数据、证书、业主证明等，包括：</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 对</w:t>
      </w:r>
      <w:r>
        <w:rPr>
          <w:rFonts w:hint="eastAsia" w:ascii="宋体" w:hAnsi="宋体" w:eastAsia="宋体" w:cs="宋体"/>
          <w:highlight w:val="none"/>
          <w:lang w:eastAsia="zh-CN"/>
        </w:rPr>
        <w:t>招标文件</w:t>
      </w:r>
      <w:r>
        <w:rPr>
          <w:rFonts w:hint="eastAsia" w:ascii="宋体" w:hAnsi="宋体" w:eastAsia="宋体" w:cs="宋体"/>
          <w:highlight w:val="none"/>
        </w:rPr>
        <w:t>提出的技术要求和商务要求进行应答，说明所提供的服务对投标要求的技术和商务要求是否做出了实质性响应；</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（2） 服务内容、服务程序和实施方案的详细说明。</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19、享受政府采购政策</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19.1  所投产品符合政府采购强制采购政策的，实行强制采购。</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19.2  符合政府采购优先采购政策的，所投产品属于“节能产品、环境标志产品政府采购品目清单”中品目的产品，该清单可在中国政府采购网（http://www.ccgp.gov.cn/）上查找；采购的产品属于品目清单范围的，</w:t>
      </w:r>
      <w:r>
        <w:rPr>
          <w:rFonts w:hint="eastAsia" w:ascii="宋体" w:hAnsi="宋体" w:eastAsia="宋体" w:cs="宋体"/>
          <w:highlight w:val="none"/>
          <w:lang w:eastAsia="zh-CN"/>
        </w:rPr>
        <w:t>投标供应商</w:t>
      </w:r>
      <w:r>
        <w:rPr>
          <w:rFonts w:hint="eastAsia" w:ascii="宋体" w:hAnsi="宋体" w:eastAsia="宋体" w:cs="宋体"/>
          <w:highlight w:val="none"/>
        </w:rPr>
        <w:t>应当依据国家确定的认证机构出具的、处于有效期之内的节能产品、环境标志产品认证证书。</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19.3  </w:t>
      </w:r>
      <w:r>
        <w:rPr>
          <w:rFonts w:hint="eastAsia" w:ascii="宋体" w:hAnsi="宋体" w:eastAsia="宋体" w:cs="宋体"/>
          <w:highlight w:val="none"/>
          <w:lang w:eastAsia="zh-CN"/>
        </w:rPr>
        <w:t>投标供应商</w:t>
      </w:r>
      <w:r>
        <w:rPr>
          <w:rFonts w:hint="eastAsia" w:ascii="宋体" w:hAnsi="宋体" w:eastAsia="宋体" w:cs="宋体"/>
          <w:highlight w:val="none"/>
        </w:rPr>
        <w:t>享受支持中小型企业发展政策优惠的，可以同时享受节能产品、环境标志产品优先采购政策。依照《财政部、司法部关于政府采购支持监狱企业发展有关问题的通知》（财库〔2014〕68号）之规定，监狱企业参加政府采购活动时，视同中小企业。同一项目中部分产品属于优先采购政策的，评审时只对该部分产品实行优先采购。</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（1）参加政府采购活动的中小企业应当提供《中小企业声明函》（见投标文件格式），不提供的或提供有瑕疵的，在评审时不享受政府采购优惠政策。</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（2）组成联合体的大中型企业与联合体中的中小企业之间不得存在投资关系；</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（3）参加政府采购活动的监狱企业应当提供由省级以上监狱管理局、戒毒管理局出具的属于监狱企业的证明文件，不提供的不视为中小企业。</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（4）参加政府采购活动的残疾人福利性单位应当提供《残疾人福利性单位声明函》（详见文件格式，）不提供的或提供有瑕疵的，在评审时不享受政府采购优惠政策。</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20、投标保证金</w:t>
      </w:r>
    </w:p>
    <w:p>
      <w:pPr>
        <w:pStyle w:val="16"/>
        <w:keepLines w:val="0"/>
        <w:pageBreakBefore w:val="0"/>
        <w:widowControl w:val="0"/>
        <w:kinsoku/>
        <w:wordWrap/>
        <w:overflowPunct/>
        <w:topLinePunct w:val="0"/>
        <w:bidi w:val="0"/>
        <w:snapToGrid/>
        <w:spacing w:before="133" w:line="500" w:lineRule="exact"/>
        <w:ind w:firstLine="420" w:firstLineChars="200"/>
        <w:jc w:val="both"/>
        <w:textAlignment w:val="auto"/>
        <w:rPr>
          <w:rFonts w:hint="eastAsia" w:ascii="宋体" w:hAnsi="宋体" w:eastAsia="宋体" w:cs="宋体"/>
          <w:color w:val="000000"/>
          <w:highlight w:val="none"/>
        </w:rPr>
      </w:pPr>
      <w:r>
        <w:rPr>
          <w:rFonts w:hint="eastAsia" w:ascii="宋体" w:hAnsi="宋体" w:eastAsia="宋体" w:cs="宋体"/>
          <w:highlight w:val="none"/>
        </w:rPr>
        <w:t>本项目不提交投标保证金。</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21、投标有效期</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21.1  投标有效期见</w:t>
      </w:r>
      <w:r>
        <w:rPr>
          <w:rFonts w:hint="eastAsia" w:ascii="宋体" w:hAnsi="宋体" w:eastAsia="宋体" w:cs="宋体"/>
          <w:highlight w:val="none"/>
          <w:lang w:eastAsia="zh-CN"/>
        </w:rPr>
        <w:t>投标供应商</w:t>
      </w:r>
      <w:r>
        <w:rPr>
          <w:rFonts w:hint="eastAsia" w:ascii="宋体" w:hAnsi="宋体" w:eastAsia="宋体" w:cs="宋体"/>
          <w:highlight w:val="none"/>
        </w:rPr>
        <w:t>须知前附表。投标有效期短于此规定期限的投标，将被拒绝。</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21.2  特殊情况下，采购代理机构可于投标有效期满之前要求</w:t>
      </w:r>
      <w:r>
        <w:rPr>
          <w:rFonts w:hint="eastAsia" w:ascii="宋体" w:hAnsi="宋体" w:eastAsia="宋体" w:cs="宋体"/>
          <w:highlight w:val="none"/>
          <w:lang w:eastAsia="zh-CN"/>
        </w:rPr>
        <w:t>投标供应商</w:t>
      </w:r>
      <w:r>
        <w:rPr>
          <w:rFonts w:hint="eastAsia" w:ascii="宋体" w:hAnsi="宋体" w:eastAsia="宋体" w:cs="宋体"/>
          <w:highlight w:val="none"/>
        </w:rPr>
        <w:t>同意延长有效期，要求与答复均应为书面形式。</w:t>
      </w:r>
      <w:r>
        <w:rPr>
          <w:rFonts w:hint="eastAsia" w:ascii="宋体" w:hAnsi="宋体" w:eastAsia="宋体" w:cs="宋体"/>
          <w:highlight w:val="none"/>
          <w:lang w:eastAsia="zh-CN"/>
        </w:rPr>
        <w:t>投标供应商</w:t>
      </w:r>
      <w:r>
        <w:rPr>
          <w:rFonts w:hint="eastAsia" w:ascii="宋体" w:hAnsi="宋体" w:eastAsia="宋体" w:cs="宋体"/>
          <w:highlight w:val="none"/>
        </w:rPr>
        <w:t>可以拒绝上述要求，其投标保证金不被没收。拒绝延长投标有效期的</w:t>
      </w:r>
      <w:r>
        <w:rPr>
          <w:rFonts w:hint="eastAsia" w:ascii="宋体" w:hAnsi="宋体" w:eastAsia="宋体" w:cs="宋体"/>
          <w:highlight w:val="none"/>
          <w:lang w:eastAsia="zh-CN"/>
        </w:rPr>
        <w:t>投标供应商</w:t>
      </w:r>
      <w:r>
        <w:rPr>
          <w:rFonts w:hint="eastAsia" w:ascii="宋体" w:hAnsi="宋体" w:eastAsia="宋体" w:cs="宋体"/>
          <w:highlight w:val="none"/>
        </w:rPr>
        <w:t>不得再参与该项目后续采购活动。同意延长投标有效期的</w:t>
      </w:r>
      <w:r>
        <w:rPr>
          <w:rFonts w:hint="eastAsia" w:ascii="宋体" w:hAnsi="宋体" w:eastAsia="宋体" w:cs="宋体"/>
          <w:highlight w:val="none"/>
          <w:lang w:eastAsia="zh-CN"/>
        </w:rPr>
        <w:t>投标供应商</w:t>
      </w:r>
      <w:r>
        <w:rPr>
          <w:rFonts w:hint="eastAsia" w:ascii="宋体" w:hAnsi="宋体" w:eastAsia="宋体" w:cs="宋体"/>
          <w:highlight w:val="none"/>
        </w:rPr>
        <w:t>不能修改其投标文件，关于投标保证金的有关规定在延长的投标有效期内继续有效。</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22、投标文件的制作和签署</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 22.1</w:t>
      </w:r>
      <w:r>
        <w:rPr>
          <w:rFonts w:hint="eastAsia" w:ascii="宋体" w:hAnsi="宋体" w:eastAsia="宋体" w:cs="宋体"/>
          <w:highlight w:val="none"/>
          <w:lang w:val="en-US" w:eastAsia="zh-CN"/>
        </w:rPr>
        <w:t>投标</w:t>
      </w:r>
      <w:r>
        <w:rPr>
          <w:rFonts w:hint="eastAsia" w:ascii="宋体" w:hAnsi="宋体" w:eastAsia="宋体" w:cs="宋体"/>
          <w:highlight w:val="none"/>
        </w:rPr>
        <w:t>文件应按第六章“</w:t>
      </w:r>
      <w:r>
        <w:rPr>
          <w:rFonts w:hint="eastAsia" w:ascii="宋体" w:hAnsi="宋体" w:eastAsia="宋体" w:cs="宋体"/>
          <w:highlight w:val="none"/>
          <w:lang w:val="en-US" w:eastAsia="zh-CN"/>
        </w:rPr>
        <w:t>投标</w:t>
      </w:r>
      <w:r>
        <w:rPr>
          <w:rFonts w:hint="eastAsia" w:ascii="宋体" w:hAnsi="宋体" w:eastAsia="宋体" w:cs="宋体"/>
          <w:highlight w:val="none"/>
        </w:rPr>
        <w:t>文件格式”进行编写，如有必要，可以增加附页，作为</w:t>
      </w:r>
      <w:r>
        <w:rPr>
          <w:rFonts w:hint="eastAsia" w:ascii="宋体" w:hAnsi="宋体" w:eastAsia="宋体" w:cs="宋体"/>
          <w:highlight w:val="none"/>
          <w:lang w:val="en-US" w:eastAsia="zh-CN"/>
        </w:rPr>
        <w:t>投标</w:t>
      </w:r>
      <w:r>
        <w:rPr>
          <w:rFonts w:hint="eastAsia" w:ascii="宋体" w:hAnsi="宋体" w:eastAsia="宋体" w:cs="宋体"/>
          <w:highlight w:val="none"/>
        </w:rPr>
        <w:t>文件的组成部分。其中，投标函附录在满足</w:t>
      </w:r>
      <w:r>
        <w:rPr>
          <w:rFonts w:hint="eastAsia" w:ascii="宋体" w:hAnsi="宋体" w:eastAsia="宋体" w:cs="宋体"/>
          <w:highlight w:val="none"/>
          <w:lang w:val="en-US" w:eastAsia="zh-CN"/>
        </w:rPr>
        <w:t>招标</w:t>
      </w:r>
      <w:r>
        <w:rPr>
          <w:rFonts w:hint="eastAsia" w:ascii="宋体" w:hAnsi="宋体" w:eastAsia="宋体" w:cs="宋体"/>
          <w:highlight w:val="none"/>
        </w:rPr>
        <w:t>文件实质性要求的基础上，可以提出比</w:t>
      </w:r>
      <w:r>
        <w:rPr>
          <w:rFonts w:hint="eastAsia" w:ascii="宋体" w:hAnsi="宋体" w:eastAsia="宋体" w:cs="宋体"/>
          <w:highlight w:val="none"/>
          <w:lang w:val="en-US" w:eastAsia="zh-CN"/>
        </w:rPr>
        <w:t>招标</w:t>
      </w:r>
      <w:r>
        <w:rPr>
          <w:rFonts w:hint="eastAsia" w:ascii="宋体" w:hAnsi="宋体" w:eastAsia="宋体" w:cs="宋体"/>
          <w:highlight w:val="none"/>
        </w:rPr>
        <w:t>文件要求更有利于采购人的承诺。</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 22.</w:t>
      </w:r>
      <w:r>
        <w:rPr>
          <w:rFonts w:hint="eastAsia" w:ascii="宋体" w:hAnsi="宋体" w:eastAsia="宋体" w:cs="宋体"/>
          <w:highlight w:val="none"/>
          <w:lang w:val="en-US" w:eastAsia="zh-CN"/>
        </w:rPr>
        <w:t>2</w:t>
      </w:r>
      <w:r>
        <w:rPr>
          <w:rFonts w:hint="eastAsia" w:ascii="宋体" w:hAnsi="宋体" w:eastAsia="宋体" w:cs="宋体"/>
          <w:highlight w:val="none"/>
        </w:rPr>
        <w:t xml:space="preserve"> </w:t>
      </w:r>
      <w:r>
        <w:rPr>
          <w:rFonts w:hint="eastAsia" w:ascii="宋体" w:hAnsi="宋体" w:eastAsia="宋体" w:cs="宋体"/>
          <w:highlight w:val="none"/>
          <w:lang w:val="en-US" w:eastAsia="zh-CN"/>
        </w:rPr>
        <w:t>投标</w:t>
      </w:r>
      <w:r>
        <w:rPr>
          <w:rFonts w:hint="eastAsia" w:ascii="宋体" w:hAnsi="宋体" w:eastAsia="宋体" w:cs="宋体"/>
          <w:highlight w:val="none"/>
        </w:rPr>
        <w:t>文件应当对</w:t>
      </w:r>
      <w:r>
        <w:rPr>
          <w:rFonts w:hint="eastAsia" w:ascii="宋体" w:hAnsi="宋体" w:eastAsia="宋体" w:cs="宋体"/>
          <w:highlight w:val="none"/>
          <w:lang w:val="en-US" w:eastAsia="zh-CN"/>
        </w:rPr>
        <w:t>招标</w:t>
      </w:r>
      <w:r>
        <w:rPr>
          <w:rFonts w:hint="eastAsia" w:ascii="宋体" w:hAnsi="宋体" w:eastAsia="宋体" w:cs="宋体"/>
          <w:highlight w:val="none"/>
        </w:rPr>
        <w:t>文件有关</w:t>
      </w:r>
      <w:r>
        <w:rPr>
          <w:rFonts w:hint="eastAsia" w:ascii="宋体" w:hAnsi="宋体" w:eastAsia="宋体" w:cs="宋体"/>
          <w:highlight w:val="none"/>
          <w:lang w:val="en-US" w:eastAsia="zh-CN"/>
        </w:rPr>
        <w:t>服务期限</w:t>
      </w:r>
      <w:r>
        <w:rPr>
          <w:rFonts w:hint="eastAsia" w:ascii="宋体" w:hAnsi="宋体" w:eastAsia="宋体" w:cs="宋体"/>
          <w:highlight w:val="none"/>
        </w:rPr>
        <w:t>、</w:t>
      </w:r>
      <w:r>
        <w:rPr>
          <w:rFonts w:hint="eastAsia" w:ascii="宋体" w:hAnsi="宋体" w:eastAsia="宋体" w:cs="宋体"/>
          <w:highlight w:val="none"/>
          <w:lang w:val="en-US" w:eastAsia="zh-CN"/>
        </w:rPr>
        <w:t>投标</w:t>
      </w:r>
      <w:r>
        <w:rPr>
          <w:rFonts w:hint="eastAsia" w:ascii="宋体" w:hAnsi="宋体" w:eastAsia="宋体" w:cs="宋体"/>
          <w:highlight w:val="none"/>
        </w:rPr>
        <w:t>有效期、质量要求、</w:t>
      </w:r>
      <w:r>
        <w:rPr>
          <w:rFonts w:hint="eastAsia" w:ascii="宋体" w:hAnsi="宋体" w:eastAsia="宋体" w:cs="宋体"/>
          <w:highlight w:val="none"/>
          <w:lang w:val="en-US" w:eastAsia="zh-CN"/>
        </w:rPr>
        <w:t>服务</w:t>
      </w:r>
      <w:r>
        <w:rPr>
          <w:rFonts w:hint="eastAsia" w:ascii="宋体" w:hAnsi="宋体" w:eastAsia="宋体" w:cs="宋体"/>
          <w:highlight w:val="none"/>
        </w:rPr>
        <w:t>标准和要求等实质性内容做出响应。投标文件在满足招标文件实质性要求的基础上，可以提出比招标文件要求更有利于采购人的承诺。</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rPr>
        <w:t xml:space="preserve"> 22.</w:t>
      </w:r>
      <w:r>
        <w:rPr>
          <w:rFonts w:hint="eastAsia" w:ascii="宋体" w:hAnsi="宋体" w:eastAsia="宋体" w:cs="宋体"/>
          <w:highlight w:val="none"/>
          <w:lang w:val="en-US" w:eastAsia="zh-CN"/>
        </w:rPr>
        <w:t>3</w:t>
      </w:r>
      <w:r>
        <w:rPr>
          <w:rFonts w:hint="eastAsia" w:ascii="宋体" w:hAnsi="宋体" w:eastAsia="宋体" w:cs="宋体"/>
          <w:highlight w:val="none"/>
        </w:rPr>
        <w:t>中标人提供</w:t>
      </w:r>
      <w:r>
        <w:rPr>
          <w:rFonts w:hint="eastAsia" w:ascii="宋体" w:hAnsi="宋体" w:eastAsia="宋体" w:cs="宋体"/>
          <w:highlight w:val="none"/>
          <w:lang w:val="en-US" w:eastAsia="zh-CN"/>
        </w:rPr>
        <w:t>的投标</w:t>
      </w:r>
      <w:r>
        <w:rPr>
          <w:rFonts w:hint="eastAsia" w:ascii="宋体" w:hAnsi="宋体" w:eastAsia="宋体" w:cs="宋体"/>
          <w:highlight w:val="none"/>
        </w:rPr>
        <w:t>文件，应用不褪色的材料书写或打印，并由</w:t>
      </w:r>
      <w:r>
        <w:rPr>
          <w:rFonts w:hint="eastAsia" w:ascii="宋体" w:hAnsi="宋体" w:eastAsia="宋体" w:cs="宋体"/>
          <w:highlight w:val="none"/>
          <w:lang w:eastAsia="zh-CN"/>
        </w:rPr>
        <w:t>投标供应商</w:t>
      </w:r>
      <w:r>
        <w:rPr>
          <w:rFonts w:hint="eastAsia" w:ascii="宋体" w:hAnsi="宋体" w:eastAsia="宋体" w:cs="宋体"/>
          <w:highlight w:val="none"/>
        </w:rPr>
        <w:t>的法定代表人或其委托代理人签字或盖单位章。委托代理人签字的</w:t>
      </w:r>
      <w:r>
        <w:rPr>
          <w:rFonts w:hint="eastAsia" w:ascii="宋体" w:hAnsi="宋体" w:eastAsia="宋体" w:cs="宋体"/>
          <w:highlight w:val="none"/>
          <w:lang w:val="en-US" w:eastAsia="zh-CN"/>
        </w:rPr>
        <w:t>投标</w:t>
      </w:r>
      <w:r>
        <w:rPr>
          <w:rFonts w:hint="eastAsia" w:ascii="宋体" w:hAnsi="宋体" w:eastAsia="宋体" w:cs="宋体"/>
          <w:highlight w:val="none"/>
        </w:rPr>
        <w:t>文件应附法定代表人签署的授权委托书。</w:t>
      </w:r>
      <w:r>
        <w:rPr>
          <w:rFonts w:hint="eastAsia" w:ascii="宋体" w:hAnsi="宋体" w:eastAsia="宋体" w:cs="宋体"/>
          <w:highlight w:val="none"/>
          <w:lang w:val="en-US" w:eastAsia="zh-CN"/>
        </w:rPr>
        <w:t>投标</w:t>
      </w:r>
      <w:r>
        <w:rPr>
          <w:rFonts w:hint="eastAsia" w:ascii="宋体" w:hAnsi="宋体" w:eastAsia="宋体" w:cs="宋体"/>
          <w:highlight w:val="none"/>
        </w:rPr>
        <w:t>文件应尽量避免涂改、行间插字。如果出现上述情况，改动之处应加盖单位章或由</w:t>
      </w:r>
      <w:r>
        <w:rPr>
          <w:rFonts w:hint="eastAsia" w:ascii="宋体" w:hAnsi="宋体" w:eastAsia="宋体" w:cs="宋体"/>
          <w:highlight w:val="none"/>
          <w:lang w:eastAsia="zh-CN"/>
        </w:rPr>
        <w:t>投标供应商</w:t>
      </w:r>
      <w:r>
        <w:rPr>
          <w:rFonts w:hint="eastAsia" w:ascii="宋体" w:hAnsi="宋体" w:eastAsia="宋体" w:cs="宋体"/>
          <w:highlight w:val="none"/>
        </w:rPr>
        <w:t>的法定代表人或其授权的代理人签字确认。签字、盖章的具体要求见响应</w:t>
      </w:r>
      <w:r>
        <w:rPr>
          <w:rFonts w:hint="eastAsia" w:ascii="宋体" w:hAnsi="宋体" w:eastAsia="宋体" w:cs="宋体"/>
          <w:highlight w:val="none"/>
          <w:lang w:eastAsia="zh-CN"/>
        </w:rPr>
        <w:t>投标供应商</w:t>
      </w:r>
      <w:r>
        <w:rPr>
          <w:rFonts w:hint="eastAsia" w:ascii="宋体" w:hAnsi="宋体" w:eastAsia="宋体" w:cs="宋体"/>
          <w:highlight w:val="none"/>
        </w:rPr>
        <w:t>须知前附表。字迹潦草、表达</w:t>
      </w:r>
      <w:r>
        <w:rPr>
          <w:rFonts w:hint="eastAsia" w:ascii="宋体" w:hAnsi="宋体" w:eastAsia="宋体" w:cs="宋体"/>
          <w:highlight w:val="none"/>
          <w:lang w:val="en-US" w:eastAsia="zh-CN"/>
        </w:rPr>
        <w:t>不清或可能导致非唯一理解造成不利后果的投标文件由投标供应商自己负责。</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22.4本项目采用电子投标文件的形式。编制电子投标文件时，投标供应商应使用最新发布的电子招标文件及专用制作工具进行编制。并使用数字认证证书（CA 锁）对电子投标文件进行签章、加密、递交及开标时解密等相关招投标事宜。如因投标供应商自身原因造成未能解密、解密失败或解密超时，按无效投标对待。（注：投标人应在开标前 1个小时内进行电子签到） </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22.5电子投标文件制作、递交、不见面开标参加具体详见投标人须知前附表。</w:t>
      </w:r>
    </w:p>
    <w:p>
      <w:pPr>
        <w:keepLines w:val="0"/>
        <w:pageBreakBefore w:val="0"/>
        <w:widowControl w:val="0"/>
        <w:kinsoku/>
        <w:wordWrap/>
        <w:overflowPunct/>
        <w:topLinePunct w:val="0"/>
        <w:bidi w:val="0"/>
        <w:snapToGrid/>
        <w:spacing w:before="240" w:after="120" w:line="500" w:lineRule="exact"/>
        <w:jc w:val="both"/>
        <w:textAlignment w:val="auto"/>
        <w:outlineLvl w:val="2"/>
        <w:rPr>
          <w:rFonts w:hint="eastAsia" w:ascii="宋体" w:hAnsi="宋体" w:eastAsia="宋体" w:cs="宋体"/>
          <w:b/>
          <w:bCs/>
          <w:sz w:val="28"/>
          <w:highlight w:val="none"/>
        </w:rPr>
      </w:pPr>
      <w:r>
        <w:rPr>
          <w:rFonts w:hint="eastAsia" w:ascii="宋体" w:hAnsi="宋体" w:eastAsia="宋体" w:cs="宋体"/>
          <w:b/>
          <w:bCs/>
          <w:sz w:val="28"/>
          <w:highlight w:val="none"/>
        </w:rPr>
        <w:t>四、投标</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b/>
          <w:bCs/>
          <w:kern w:val="0"/>
          <w:sz w:val="24"/>
          <w:highlight w:val="none"/>
        </w:rPr>
        <w:t>23、投标文件的密封和标注</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23.1 </w:t>
      </w:r>
      <w:r>
        <w:rPr>
          <w:rFonts w:hint="eastAsia" w:ascii="宋体" w:hAnsi="宋体" w:eastAsia="宋体" w:cs="宋体"/>
          <w:highlight w:val="none"/>
          <w:lang w:val="en-US" w:eastAsia="zh-CN"/>
        </w:rPr>
        <w:t>投标</w:t>
      </w:r>
      <w:r>
        <w:rPr>
          <w:rFonts w:hint="eastAsia" w:ascii="宋体" w:hAnsi="宋体" w:eastAsia="宋体" w:cs="宋体"/>
          <w:highlight w:val="none"/>
        </w:rPr>
        <w:t>文件的密封：本项目采用不见面开标，</w:t>
      </w:r>
      <w:r>
        <w:rPr>
          <w:rFonts w:hint="eastAsia" w:ascii="宋体" w:hAnsi="宋体" w:eastAsia="宋体" w:cs="宋体"/>
          <w:highlight w:val="none"/>
          <w:lang w:val="en-US" w:eastAsia="zh-CN"/>
        </w:rPr>
        <w:t>投标供应商</w:t>
      </w:r>
      <w:r>
        <w:rPr>
          <w:rFonts w:hint="eastAsia" w:ascii="宋体" w:hAnsi="宋体" w:eastAsia="宋体" w:cs="宋体"/>
          <w:highlight w:val="none"/>
        </w:rPr>
        <w:t>无需提供纸质版</w:t>
      </w:r>
      <w:r>
        <w:rPr>
          <w:rFonts w:hint="eastAsia" w:ascii="宋体" w:hAnsi="宋体" w:eastAsia="宋体" w:cs="宋体"/>
          <w:highlight w:val="none"/>
          <w:lang w:val="en-US" w:eastAsia="zh-CN"/>
        </w:rPr>
        <w:t>投标</w:t>
      </w:r>
      <w:r>
        <w:rPr>
          <w:rFonts w:hint="eastAsia" w:ascii="宋体" w:hAnsi="宋体" w:eastAsia="宋体" w:cs="宋体"/>
          <w:highlight w:val="none"/>
        </w:rPr>
        <w:t>文件。</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23.2 </w:t>
      </w:r>
      <w:r>
        <w:rPr>
          <w:rFonts w:hint="eastAsia" w:ascii="宋体" w:hAnsi="宋体" w:eastAsia="宋体" w:cs="宋体"/>
          <w:highlight w:val="none"/>
          <w:lang w:val="en-US" w:eastAsia="zh-CN"/>
        </w:rPr>
        <w:t>投标</w:t>
      </w:r>
      <w:r>
        <w:rPr>
          <w:rFonts w:hint="eastAsia" w:ascii="宋体" w:hAnsi="宋体" w:eastAsia="宋体" w:cs="宋体"/>
          <w:highlight w:val="none"/>
        </w:rPr>
        <w:t>文件封套的标记：本项目采用不见面开标，</w:t>
      </w:r>
      <w:r>
        <w:rPr>
          <w:rFonts w:hint="eastAsia" w:ascii="宋体" w:hAnsi="宋体" w:eastAsia="宋体" w:cs="宋体"/>
          <w:highlight w:val="none"/>
          <w:lang w:val="en-US" w:eastAsia="zh-CN"/>
        </w:rPr>
        <w:t>投标供应商</w:t>
      </w:r>
      <w:r>
        <w:rPr>
          <w:rFonts w:hint="eastAsia" w:ascii="宋体" w:hAnsi="宋体" w:eastAsia="宋体" w:cs="宋体"/>
          <w:highlight w:val="none"/>
        </w:rPr>
        <w:t>无需提供纸质版</w:t>
      </w:r>
      <w:r>
        <w:rPr>
          <w:rFonts w:hint="eastAsia" w:ascii="宋体" w:hAnsi="宋体" w:eastAsia="宋体" w:cs="宋体"/>
          <w:highlight w:val="none"/>
          <w:lang w:val="en-US" w:eastAsia="zh-CN"/>
        </w:rPr>
        <w:t>投标</w:t>
      </w:r>
      <w:r>
        <w:rPr>
          <w:rFonts w:hint="eastAsia" w:ascii="宋体" w:hAnsi="宋体" w:eastAsia="宋体" w:cs="宋体"/>
          <w:highlight w:val="none"/>
        </w:rPr>
        <w:t>文件。</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 xml:space="preserve">24、投标文件的递交 </w:t>
      </w:r>
    </w:p>
    <w:p>
      <w:pPr>
        <w:spacing w:line="360" w:lineRule="auto"/>
        <w:ind w:firstLine="420" w:firstLineChars="200"/>
        <w:rPr>
          <w:rFonts w:hint="eastAsia" w:ascii="宋体" w:hAnsi="宋体" w:eastAsia="宋体" w:cs="宋体"/>
          <w:highlight w:val="none"/>
        </w:rPr>
      </w:pP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24.1 </w:t>
      </w:r>
      <w:r>
        <w:rPr>
          <w:rFonts w:hint="eastAsia" w:ascii="宋体" w:hAnsi="宋体" w:eastAsia="宋体" w:cs="宋体"/>
          <w:highlight w:val="none"/>
          <w:lang w:val="en-US" w:eastAsia="zh-CN"/>
        </w:rPr>
        <w:t>投标供应商</w:t>
      </w:r>
      <w:r>
        <w:rPr>
          <w:rFonts w:hint="eastAsia" w:ascii="宋体" w:hAnsi="宋体" w:eastAsia="宋体" w:cs="宋体"/>
          <w:highlight w:val="none"/>
        </w:rPr>
        <w:t>应在</w:t>
      </w:r>
      <w:bookmarkStart w:id="13" w:name="_Toc26752"/>
      <w:bookmarkStart w:id="14" w:name="_Toc4683195"/>
      <w:bookmarkStart w:id="15" w:name="_Toc293040569"/>
      <w:r>
        <w:rPr>
          <w:rFonts w:hint="eastAsia" w:ascii="宋体" w:hAnsi="宋体" w:eastAsia="宋体" w:cs="宋体"/>
          <w:highlight w:val="none"/>
          <w:lang w:val="en-US" w:eastAsia="zh-CN"/>
        </w:rPr>
        <w:t>投标供应商</w:t>
      </w:r>
      <w:r>
        <w:rPr>
          <w:rFonts w:hint="eastAsia" w:ascii="宋体" w:hAnsi="宋体" w:eastAsia="宋体" w:cs="宋体"/>
          <w:highlight w:val="none"/>
        </w:rPr>
        <w:t>须知前附表</w:t>
      </w:r>
      <w:bookmarkEnd w:id="13"/>
      <w:bookmarkEnd w:id="14"/>
      <w:bookmarkEnd w:id="15"/>
      <w:r>
        <w:rPr>
          <w:rFonts w:hint="eastAsia" w:ascii="宋体" w:hAnsi="宋体" w:eastAsia="宋体" w:cs="宋体"/>
          <w:highlight w:val="none"/>
        </w:rPr>
        <w:t>规定的</w:t>
      </w:r>
      <w:r>
        <w:rPr>
          <w:rFonts w:hint="eastAsia" w:ascii="宋体" w:hAnsi="宋体" w:eastAsia="宋体" w:cs="宋体"/>
          <w:highlight w:val="none"/>
          <w:lang w:val="en-US" w:eastAsia="zh-CN"/>
        </w:rPr>
        <w:t>投标文件</w:t>
      </w:r>
      <w:r>
        <w:rPr>
          <w:rFonts w:hint="eastAsia" w:ascii="宋体" w:hAnsi="宋体" w:eastAsia="宋体" w:cs="宋体"/>
          <w:highlight w:val="none"/>
        </w:rPr>
        <w:t>截止时间前递交电子</w:t>
      </w:r>
      <w:r>
        <w:rPr>
          <w:rFonts w:hint="eastAsia" w:ascii="宋体" w:hAnsi="宋体" w:eastAsia="宋体" w:cs="宋体"/>
          <w:highlight w:val="none"/>
          <w:lang w:val="en-US" w:eastAsia="zh-CN"/>
        </w:rPr>
        <w:t>投标</w:t>
      </w:r>
      <w:r>
        <w:rPr>
          <w:rFonts w:hint="eastAsia" w:ascii="宋体" w:hAnsi="宋体" w:eastAsia="宋体" w:cs="宋体"/>
          <w:highlight w:val="none"/>
        </w:rPr>
        <w:t>文件。</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24</w:t>
      </w:r>
      <w:r>
        <w:rPr>
          <w:rFonts w:hint="eastAsia" w:ascii="宋体" w:hAnsi="宋体" w:eastAsia="宋体" w:cs="宋体"/>
          <w:highlight w:val="none"/>
        </w:rPr>
        <w:t xml:space="preserve">.2 </w:t>
      </w:r>
      <w:r>
        <w:rPr>
          <w:rFonts w:hint="eastAsia" w:ascii="宋体" w:hAnsi="宋体" w:eastAsia="宋体" w:cs="宋体"/>
          <w:highlight w:val="none"/>
          <w:lang w:val="en-US" w:eastAsia="zh-CN"/>
        </w:rPr>
        <w:t>投标供应商</w:t>
      </w:r>
      <w:r>
        <w:rPr>
          <w:rFonts w:hint="eastAsia" w:ascii="宋体" w:hAnsi="宋体" w:eastAsia="宋体" w:cs="宋体"/>
          <w:highlight w:val="none"/>
        </w:rPr>
        <w:t>递交</w:t>
      </w:r>
      <w:r>
        <w:rPr>
          <w:rFonts w:hint="eastAsia" w:ascii="宋体" w:hAnsi="宋体" w:eastAsia="宋体" w:cs="宋体"/>
          <w:highlight w:val="none"/>
          <w:lang w:val="en-US" w:eastAsia="zh-CN"/>
        </w:rPr>
        <w:t>投标</w:t>
      </w:r>
      <w:r>
        <w:rPr>
          <w:rFonts w:hint="eastAsia" w:ascii="宋体" w:hAnsi="宋体" w:eastAsia="宋体" w:cs="宋体"/>
          <w:highlight w:val="none"/>
        </w:rPr>
        <w:t>文件的地点：见响应</w:t>
      </w:r>
      <w:r>
        <w:rPr>
          <w:rFonts w:hint="eastAsia" w:ascii="宋体" w:hAnsi="宋体" w:eastAsia="宋体" w:cs="宋体"/>
          <w:highlight w:val="none"/>
          <w:lang w:val="en-US" w:eastAsia="zh-CN"/>
        </w:rPr>
        <w:t>投标供应商</w:t>
      </w:r>
      <w:r>
        <w:rPr>
          <w:rFonts w:hint="eastAsia" w:ascii="宋体" w:hAnsi="宋体" w:eastAsia="宋体" w:cs="宋体"/>
          <w:highlight w:val="none"/>
        </w:rPr>
        <w:t>须知前附表。</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24.3 除</w:t>
      </w:r>
      <w:r>
        <w:rPr>
          <w:rFonts w:hint="eastAsia" w:ascii="宋体" w:hAnsi="宋体" w:eastAsia="宋体" w:cs="宋体"/>
          <w:highlight w:val="none"/>
          <w:lang w:val="en-US" w:eastAsia="zh-CN"/>
        </w:rPr>
        <w:t>投标供应商</w:t>
      </w:r>
      <w:r>
        <w:rPr>
          <w:rFonts w:hint="eastAsia" w:ascii="宋体" w:hAnsi="宋体" w:eastAsia="宋体" w:cs="宋体"/>
          <w:highlight w:val="none"/>
        </w:rPr>
        <w:t>须知前附表另有规定外，</w:t>
      </w:r>
      <w:r>
        <w:rPr>
          <w:rFonts w:hint="eastAsia" w:ascii="宋体" w:hAnsi="宋体" w:eastAsia="宋体" w:cs="宋体"/>
          <w:highlight w:val="none"/>
          <w:lang w:val="en-US" w:eastAsia="zh-CN"/>
        </w:rPr>
        <w:t>投标供应商</w:t>
      </w:r>
      <w:r>
        <w:rPr>
          <w:rFonts w:hint="eastAsia" w:ascii="宋体" w:hAnsi="宋体" w:eastAsia="宋体" w:cs="宋体"/>
          <w:highlight w:val="none"/>
        </w:rPr>
        <w:t>所递交的</w:t>
      </w:r>
      <w:r>
        <w:rPr>
          <w:rFonts w:hint="eastAsia" w:ascii="宋体" w:hAnsi="宋体" w:eastAsia="宋体" w:cs="宋体"/>
          <w:highlight w:val="none"/>
          <w:lang w:val="en-US" w:eastAsia="zh-CN"/>
        </w:rPr>
        <w:t>投标</w:t>
      </w:r>
      <w:r>
        <w:rPr>
          <w:rFonts w:hint="eastAsia" w:ascii="宋体" w:hAnsi="宋体" w:eastAsia="宋体" w:cs="宋体"/>
          <w:highlight w:val="none"/>
        </w:rPr>
        <w:t>文件不予退还。</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24.</w:t>
      </w:r>
      <w:r>
        <w:rPr>
          <w:rFonts w:hint="eastAsia" w:ascii="宋体" w:hAnsi="宋体" w:eastAsia="宋体" w:cs="宋体"/>
          <w:highlight w:val="none"/>
          <w:lang w:val="en-US" w:eastAsia="zh-CN"/>
        </w:rPr>
        <w:t>4</w:t>
      </w:r>
      <w:r>
        <w:rPr>
          <w:rFonts w:hint="eastAsia" w:ascii="宋体" w:hAnsi="宋体" w:eastAsia="宋体" w:cs="宋体"/>
          <w:highlight w:val="none"/>
        </w:rPr>
        <w:t xml:space="preserve"> 逾期上传的或者未上传指定地点的磋商响应文件，采购人不予受理。</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24.</w:t>
      </w:r>
      <w:r>
        <w:rPr>
          <w:rFonts w:hint="eastAsia" w:ascii="宋体" w:hAnsi="宋体" w:eastAsia="宋体" w:cs="宋体"/>
          <w:highlight w:val="none"/>
          <w:lang w:val="en-US" w:eastAsia="zh-CN"/>
        </w:rPr>
        <w:t>5</w:t>
      </w:r>
      <w:r>
        <w:rPr>
          <w:rFonts w:hint="eastAsia" w:ascii="宋体" w:hAnsi="宋体" w:eastAsia="宋体" w:cs="宋体"/>
          <w:highlight w:val="none"/>
        </w:rPr>
        <w:t xml:space="preserve"> 递交投标文件截止时间止，若收到的投标文件少于3个，采购人将报请监督管理机构批准变更采购方式或择日重新组织招标；</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25、投标文件的补充、修改和撤回</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25.1在投标供应商须知前附表规定的投标截止时间前，投标供应商可以修改或撤回已递交的电子投标文件。</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25.2对电子投标文件进行补充、修改的，应先从电子交易平台上撤回旧版投标文件，再重新提交补充、修改后的投标文件。 </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25.3电子投标文件提交截止时间后，供应商不得对其电子投标文件做任何补充、修改或撤回投标。</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25.4供应商在提交电子投标文件截止时间后撤回电子投标文件的，采购人有权将此情况如实反映财政部门，由财政部门予以记录并纳入供应商失信行为名单。</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25.5供应商提交响应文件时，出现下列情况之一的，其响应文件将被拒绝接收： </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25.5.1 逾期提交电子投标文件的； </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25.5.2 提交的电子投标文件与本项目不相符的</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26、投标纪律要求</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eastAsia="zh-CN"/>
        </w:rPr>
        <w:t>投标供应商</w:t>
      </w:r>
      <w:r>
        <w:rPr>
          <w:rFonts w:hint="eastAsia" w:ascii="宋体" w:hAnsi="宋体" w:eastAsia="宋体" w:cs="宋体"/>
          <w:highlight w:val="none"/>
        </w:rPr>
        <w:t>参加投标不得有下列情形：</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（1）提供虚假材料谋取中标；</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（2）采取不正当手段诋毁、排挤其他</w:t>
      </w:r>
      <w:r>
        <w:rPr>
          <w:rFonts w:hint="eastAsia" w:ascii="宋体" w:hAnsi="宋体" w:eastAsia="宋体" w:cs="宋体"/>
          <w:highlight w:val="none"/>
          <w:lang w:eastAsia="zh-CN"/>
        </w:rPr>
        <w:t>投标供应商</w:t>
      </w:r>
      <w:r>
        <w:rPr>
          <w:rFonts w:hint="eastAsia" w:ascii="宋体" w:hAnsi="宋体" w:eastAsia="宋体" w:cs="宋体"/>
          <w:highlight w:val="none"/>
        </w:rPr>
        <w:t>；</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（3）与采购单位、其他</w:t>
      </w:r>
      <w:r>
        <w:rPr>
          <w:rFonts w:hint="eastAsia" w:ascii="宋体" w:hAnsi="宋体" w:eastAsia="宋体" w:cs="宋体"/>
          <w:highlight w:val="none"/>
          <w:lang w:eastAsia="zh-CN"/>
        </w:rPr>
        <w:t>投标供应商</w:t>
      </w:r>
      <w:r>
        <w:rPr>
          <w:rFonts w:hint="eastAsia" w:ascii="宋体" w:hAnsi="宋体" w:eastAsia="宋体" w:cs="宋体"/>
          <w:highlight w:val="none"/>
        </w:rPr>
        <w:t>恶意串通；</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（4）向采购人、采购代理机构单位、评标委员会成员行贿或者提供其他不正当利益；</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（5）在采购过程中与采购单位进行协商谈判；</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（6）拒绝有关部门的监督检查或者向监督检查部门提供虚假情况。</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有上述情形之一的</w:t>
      </w:r>
      <w:r>
        <w:rPr>
          <w:rFonts w:hint="eastAsia" w:ascii="宋体" w:hAnsi="宋体" w:eastAsia="宋体" w:cs="宋体"/>
          <w:highlight w:val="none"/>
          <w:lang w:eastAsia="zh-CN"/>
        </w:rPr>
        <w:t>投标供应商</w:t>
      </w:r>
      <w:r>
        <w:rPr>
          <w:rFonts w:hint="eastAsia" w:ascii="宋体" w:hAnsi="宋体" w:eastAsia="宋体" w:cs="宋体"/>
          <w:highlight w:val="none"/>
        </w:rPr>
        <w:t>，属于不合格</w:t>
      </w:r>
      <w:r>
        <w:rPr>
          <w:rFonts w:hint="eastAsia" w:ascii="宋体" w:hAnsi="宋体" w:eastAsia="宋体" w:cs="宋体"/>
          <w:highlight w:val="none"/>
          <w:lang w:eastAsia="zh-CN"/>
        </w:rPr>
        <w:t>投标供应商</w:t>
      </w:r>
      <w:r>
        <w:rPr>
          <w:rFonts w:hint="eastAsia" w:ascii="宋体" w:hAnsi="宋体" w:eastAsia="宋体" w:cs="宋体"/>
          <w:highlight w:val="none"/>
        </w:rPr>
        <w:t>，其投标或中标资格将被取消。</w:t>
      </w:r>
    </w:p>
    <w:p>
      <w:pPr>
        <w:keepLines w:val="0"/>
        <w:pageBreakBefore w:val="0"/>
        <w:widowControl w:val="0"/>
        <w:kinsoku/>
        <w:wordWrap/>
        <w:overflowPunct/>
        <w:topLinePunct w:val="0"/>
        <w:bidi w:val="0"/>
        <w:snapToGrid/>
        <w:spacing w:before="240" w:after="120" w:line="500" w:lineRule="exact"/>
        <w:jc w:val="both"/>
        <w:textAlignment w:val="auto"/>
        <w:outlineLvl w:val="2"/>
        <w:rPr>
          <w:rFonts w:hint="eastAsia" w:ascii="宋体" w:hAnsi="宋体" w:eastAsia="宋体" w:cs="宋体"/>
          <w:b/>
          <w:bCs/>
          <w:sz w:val="28"/>
          <w:highlight w:val="none"/>
        </w:rPr>
      </w:pPr>
      <w:r>
        <w:rPr>
          <w:rFonts w:hint="eastAsia" w:ascii="宋体" w:hAnsi="宋体" w:eastAsia="宋体" w:cs="宋体"/>
          <w:b/>
          <w:bCs/>
          <w:sz w:val="28"/>
          <w:highlight w:val="none"/>
        </w:rPr>
        <w:t>五、开标</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27、开标时间和地点</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27.1  采购代理机构在</w:t>
      </w:r>
      <w:r>
        <w:rPr>
          <w:rFonts w:hint="eastAsia" w:ascii="宋体" w:hAnsi="宋体" w:eastAsia="宋体" w:cs="宋体"/>
          <w:highlight w:val="none"/>
          <w:lang w:eastAsia="zh-CN"/>
        </w:rPr>
        <w:t>投标供应商</w:t>
      </w:r>
      <w:r>
        <w:rPr>
          <w:rFonts w:hint="eastAsia" w:ascii="宋体" w:hAnsi="宋体" w:eastAsia="宋体" w:cs="宋体"/>
          <w:highlight w:val="none"/>
        </w:rPr>
        <w:t>须知前附表中规定的投标截止时间和地点组织公开开标，</w:t>
      </w:r>
      <w:r>
        <w:rPr>
          <w:rFonts w:hint="eastAsia" w:ascii="宋体" w:hAnsi="宋体" w:eastAsia="宋体" w:cs="宋体"/>
          <w:szCs w:val="21"/>
          <w:highlight w:val="none"/>
        </w:rPr>
        <w:t>所有</w:t>
      </w:r>
      <w:r>
        <w:rPr>
          <w:rFonts w:hint="eastAsia" w:ascii="宋体" w:hAnsi="宋体" w:eastAsia="宋体" w:cs="宋体"/>
          <w:szCs w:val="21"/>
          <w:highlight w:val="none"/>
          <w:lang w:val="en-US" w:eastAsia="zh-CN"/>
        </w:rPr>
        <w:t>投标供应商</w:t>
      </w:r>
      <w:r>
        <w:rPr>
          <w:rFonts w:hint="eastAsia" w:ascii="宋体" w:hAnsi="宋体" w:eastAsia="宋体" w:cs="宋体"/>
          <w:szCs w:val="21"/>
          <w:highlight w:val="none"/>
        </w:rPr>
        <w:t>的法定代表人或其委托代理人应</w:t>
      </w:r>
      <w:r>
        <w:rPr>
          <w:rFonts w:hint="eastAsia" w:ascii="宋体" w:hAnsi="宋体" w:eastAsia="宋体" w:cs="宋体"/>
          <w:szCs w:val="21"/>
          <w:highlight w:val="none"/>
          <w:lang w:val="en-US" w:eastAsia="zh-CN"/>
        </w:rPr>
        <w:t>按照不见面开标要求</w:t>
      </w:r>
      <w:r>
        <w:rPr>
          <w:rFonts w:hint="eastAsia" w:ascii="宋体" w:hAnsi="宋体" w:eastAsia="宋体" w:cs="宋体"/>
          <w:szCs w:val="21"/>
          <w:highlight w:val="none"/>
        </w:rPr>
        <w:t>准时参加</w:t>
      </w:r>
      <w:r>
        <w:rPr>
          <w:rFonts w:hint="eastAsia" w:ascii="宋体" w:hAnsi="宋体" w:eastAsia="宋体" w:cs="宋体"/>
          <w:szCs w:val="21"/>
          <w:highlight w:val="none"/>
          <w:lang w:val="en-US" w:eastAsia="zh-CN"/>
        </w:rPr>
        <w:t>线上开标</w:t>
      </w:r>
      <w:r>
        <w:rPr>
          <w:rFonts w:hint="eastAsia" w:ascii="宋体" w:hAnsi="宋体" w:eastAsia="宋体" w:cs="宋体"/>
          <w:szCs w:val="21"/>
          <w:highlight w:val="none"/>
        </w:rPr>
        <w:t>。</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27.2  按规定提交合格的撤回通知的投标文件不予开封，并退还给</w:t>
      </w:r>
      <w:r>
        <w:rPr>
          <w:rFonts w:hint="eastAsia" w:ascii="宋体" w:hAnsi="宋体" w:eastAsia="宋体" w:cs="宋体"/>
          <w:highlight w:val="none"/>
          <w:lang w:eastAsia="zh-CN"/>
        </w:rPr>
        <w:t>投标供应商</w:t>
      </w:r>
      <w:r>
        <w:rPr>
          <w:rFonts w:hint="eastAsia" w:ascii="宋体" w:hAnsi="宋体" w:eastAsia="宋体" w:cs="宋体"/>
          <w:highlight w:val="none"/>
        </w:rPr>
        <w:t>；按本须知规定为无效的投标文件，不予送交评标委员会评审。</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28、开标</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28.1  开标会议由采购代理机构主持；</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(1)投标供应商阅读开标流程，并在开标倒计时结束前完成在线签到。 </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(2)公布投标供应商名称，宣布开标会议开始，同时开启录音录像设备。</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(3)远程解密，进入解密阶段后，投标供应商需在规定时间内进行远程电子投标文件解密操作。</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解密完成后开启投标文件，以公开唱标的形式将开标一览表的内容公布，无异议后，开标记录由投标供应商的法定代表人或授权代表人远程确认、监标人开标现场签字确认。开标时未宣读和记录的投标价格在评标时将不予考虑。</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(5)宣布结果公告查询网站、公告期及相关事宜，开标会议结束。</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28.2 在开标时没有成功上传或规定时间内未解密成功的投标文件，在评标时将不予考虑，按无效投标处理。</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28.</w:t>
      </w:r>
      <w:r>
        <w:rPr>
          <w:rFonts w:hint="eastAsia" w:ascii="宋体" w:hAnsi="宋体" w:eastAsia="宋体" w:cs="宋体"/>
          <w:highlight w:val="none"/>
          <w:lang w:val="en-US" w:eastAsia="zh-CN"/>
        </w:rPr>
        <w:t>3</w:t>
      </w:r>
      <w:r>
        <w:rPr>
          <w:rFonts w:hint="eastAsia" w:ascii="宋体" w:hAnsi="宋体" w:eastAsia="宋体" w:cs="宋体"/>
          <w:highlight w:val="none"/>
        </w:rPr>
        <w:t xml:space="preserve"> 开标后，直到向中标的</w:t>
      </w:r>
      <w:r>
        <w:rPr>
          <w:rFonts w:hint="eastAsia" w:ascii="宋体" w:hAnsi="宋体" w:eastAsia="宋体" w:cs="宋体"/>
          <w:highlight w:val="none"/>
          <w:lang w:eastAsia="zh-CN"/>
        </w:rPr>
        <w:t>投标供应商</w:t>
      </w:r>
      <w:r>
        <w:rPr>
          <w:rFonts w:hint="eastAsia" w:ascii="宋体" w:hAnsi="宋体" w:eastAsia="宋体" w:cs="宋体"/>
          <w:highlight w:val="none"/>
        </w:rPr>
        <w:t>授予合同为止，凡与审查、澄清、评价和比较投标的有关资料及授标意见等内容，任何人均不得向</w:t>
      </w:r>
      <w:r>
        <w:rPr>
          <w:rFonts w:hint="eastAsia" w:ascii="宋体" w:hAnsi="宋体" w:eastAsia="宋体" w:cs="宋体"/>
          <w:highlight w:val="none"/>
          <w:lang w:eastAsia="zh-CN"/>
        </w:rPr>
        <w:t>投标供应商</w:t>
      </w:r>
      <w:r>
        <w:rPr>
          <w:rFonts w:hint="eastAsia" w:ascii="宋体" w:hAnsi="宋体" w:eastAsia="宋体" w:cs="宋体"/>
          <w:highlight w:val="none"/>
        </w:rPr>
        <w:t>及与评标无关的其他人透露。</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28.</w:t>
      </w:r>
      <w:r>
        <w:rPr>
          <w:rFonts w:hint="eastAsia" w:ascii="宋体" w:hAnsi="宋体" w:eastAsia="宋体" w:cs="宋体"/>
          <w:highlight w:val="none"/>
          <w:lang w:val="en-US" w:eastAsia="zh-CN"/>
        </w:rPr>
        <w:t>4</w:t>
      </w:r>
      <w:r>
        <w:rPr>
          <w:rFonts w:hint="eastAsia" w:ascii="宋体" w:hAnsi="宋体" w:eastAsia="宋体" w:cs="宋体"/>
          <w:highlight w:val="none"/>
        </w:rPr>
        <w:t xml:space="preserve"> 开标结束后，采购人将依法对各</w:t>
      </w:r>
      <w:r>
        <w:rPr>
          <w:rFonts w:hint="eastAsia" w:ascii="宋体" w:hAnsi="宋体" w:eastAsia="宋体" w:cs="宋体"/>
          <w:highlight w:val="none"/>
          <w:lang w:eastAsia="zh-CN"/>
        </w:rPr>
        <w:t>投标供应商</w:t>
      </w:r>
      <w:r>
        <w:rPr>
          <w:rFonts w:hint="eastAsia" w:ascii="宋体" w:hAnsi="宋体" w:eastAsia="宋体" w:cs="宋体"/>
          <w:highlight w:val="none"/>
        </w:rPr>
        <w:t>的资格证明文件进行审查，签字确认并宣读检查结果。未通过资格性审查的按无效投标文件处理，合格</w:t>
      </w:r>
      <w:r>
        <w:rPr>
          <w:rFonts w:hint="eastAsia" w:ascii="宋体" w:hAnsi="宋体" w:eastAsia="宋体" w:cs="宋体"/>
          <w:highlight w:val="none"/>
          <w:lang w:eastAsia="zh-CN"/>
        </w:rPr>
        <w:t>投标供应商</w:t>
      </w:r>
      <w:r>
        <w:rPr>
          <w:rFonts w:hint="eastAsia" w:ascii="宋体" w:hAnsi="宋体" w:eastAsia="宋体" w:cs="宋体"/>
          <w:highlight w:val="none"/>
        </w:rPr>
        <w:t>不足三家的，不进行评标。</w:t>
      </w:r>
    </w:p>
    <w:p>
      <w:pPr>
        <w:keepLines w:val="0"/>
        <w:pageBreakBefore w:val="0"/>
        <w:widowControl w:val="0"/>
        <w:kinsoku/>
        <w:wordWrap/>
        <w:overflowPunct/>
        <w:topLinePunct w:val="0"/>
        <w:bidi w:val="0"/>
        <w:snapToGrid/>
        <w:spacing w:before="240" w:after="120" w:line="500" w:lineRule="exact"/>
        <w:jc w:val="both"/>
        <w:textAlignment w:val="auto"/>
        <w:outlineLvl w:val="2"/>
        <w:rPr>
          <w:rFonts w:hint="eastAsia" w:ascii="宋体" w:hAnsi="宋体" w:eastAsia="宋体" w:cs="宋体"/>
          <w:b/>
          <w:bCs/>
          <w:sz w:val="28"/>
          <w:highlight w:val="none"/>
        </w:rPr>
      </w:pPr>
      <w:r>
        <w:rPr>
          <w:rFonts w:hint="eastAsia" w:ascii="宋体" w:hAnsi="宋体" w:eastAsia="宋体" w:cs="宋体"/>
          <w:b/>
          <w:bCs/>
          <w:sz w:val="28"/>
          <w:highlight w:val="none"/>
        </w:rPr>
        <w:t>六、评标</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29、评标委员会</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29.1  采购人将根据本次采购项目的特点，参照《中华人民共和国政府采购法》、中华人民共和国2015年第658号国务院令--《中华人民共和国政府采购法实施条例》和中华人民共和国财政部令第87号--《政府采购货物和服务招标投标管理办法》等政策法规的规定，依法组建评标委员会。评标委员会按照</w:t>
      </w:r>
      <w:r>
        <w:rPr>
          <w:rFonts w:hint="eastAsia" w:ascii="宋体" w:hAnsi="宋体" w:eastAsia="宋体" w:cs="宋体"/>
          <w:highlight w:val="none"/>
          <w:lang w:eastAsia="zh-CN"/>
        </w:rPr>
        <w:t>招标文件</w:t>
      </w:r>
      <w:r>
        <w:rPr>
          <w:rFonts w:hint="eastAsia" w:ascii="宋体" w:hAnsi="宋体" w:eastAsia="宋体" w:cs="宋体"/>
          <w:highlight w:val="none"/>
        </w:rPr>
        <w:t>规定的评标方法独立进行评标工作。</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29.2  评委会成员到位后，推荐一名评审专家担任评审组长，并由评审组长牵头组织该项目评审工作，采购人授权的评审专家，不得担任评审组长。</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29.3  评标委员会成员有下列情形之一的，应当回避：</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（1）采购人或</w:t>
      </w:r>
      <w:r>
        <w:rPr>
          <w:rFonts w:hint="eastAsia" w:ascii="宋体" w:hAnsi="宋体" w:eastAsia="宋体" w:cs="宋体"/>
          <w:highlight w:val="none"/>
          <w:lang w:eastAsia="zh-CN"/>
        </w:rPr>
        <w:t>投标供应商</w:t>
      </w:r>
      <w:r>
        <w:rPr>
          <w:rFonts w:hint="eastAsia" w:ascii="宋体" w:hAnsi="宋体" w:eastAsia="宋体" w:cs="宋体"/>
          <w:highlight w:val="none"/>
        </w:rPr>
        <w:t>的主要负责人的近亲属；</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（2）项目主管部门或者行政监督部门的人员；</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（3）与</w:t>
      </w:r>
      <w:r>
        <w:rPr>
          <w:rFonts w:hint="eastAsia" w:ascii="宋体" w:hAnsi="宋体" w:eastAsia="宋体" w:cs="宋体"/>
          <w:highlight w:val="none"/>
          <w:lang w:eastAsia="zh-CN"/>
        </w:rPr>
        <w:t>投标供应商</w:t>
      </w:r>
      <w:r>
        <w:rPr>
          <w:rFonts w:hint="eastAsia" w:ascii="宋体" w:hAnsi="宋体" w:eastAsia="宋体" w:cs="宋体"/>
          <w:highlight w:val="none"/>
        </w:rPr>
        <w:t>有经济利益关系，可能影响对投标公正评审的；</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（4）曾因在招标、评标以及其他与招标投标有关活动中从事违法行为而受过行政处罚或刑事处罚的。</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29.4  </w:t>
      </w:r>
      <w:r>
        <w:rPr>
          <w:rFonts w:hint="eastAsia" w:ascii="宋体" w:hAnsi="宋体" w:eastAsia="宋体" w:cs="宋体"/>
          <w:highlight w:val="none"/>
          <w:lang w:eastAsia="zh-CN"/>
        </w:rPr>
        <w:t>招标文件</w:t>
      </w:r>
      <w:r>
        <w:rPr>
          <w:rFonts w:hint="eastAsia" w:ascii="宋体" w:hAnsi="宋体" w:eastAsia="宋体" w:cs="宋体"/>
          <w:highlight w:val="none"/>
        </w:rPr>
        <w:t>和投标文件是评标的依据。在评标中，不得改变</w:t>
      </w:r>
      <w:r>
        <w:rPr>
          <w:rFonts w:hint="eastAsia" w:ascii="宋体" w:hAnsi="宋体" w:eastAsia="宋体" w:cs="宋体"/>
          <w:highlight w:val="none"/>
          <w:lang w:eastAsia="zh-CN"/>
        </w:rPr>
        <w:t>招标文件</w:t>
      </w:r>
      <w:r>
        <w:rPr>
          <w:rFonts w:hint="eastAsia" w:ascii="宋体" w:hAnsi="宋体" w:eastAsia="宋体" w:cs="宋体"/>
          <w:highlight w:val="none"/>
        </w:rPr>
        <w:t>中规定的评标标准、方法和中标条件。</w:t>
      </w:r>
      <w:r>
        <w:rPr>
          <w:rFonts w:hint="eastAsia" w:ascii="宋体" w:hAnsi="宋体" w:eastAsia="宋体" w:cs="宋体"/>
          <w:highlight w:val="none"/>
          <w:lang w:eastAsia="zh-CN"/>
        </w:rPr>
        <w:t>投标供应商</w:t>
      </w:r>
      <w:r>
        <w:rPr>
          <w:rFonts w:hint="eastAsia" w:ascii="宋体" w:hAnsi="宋体" w:eastAsia="宋体" w:cs="宋体"/>
          <w:highlight w:val="none"/>
        </w:rPr>
        <w:t>不得在开标后使用任何方式对投标文件的实质性内容做任何更改。</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29.5  在评标期间，对投标文件中含义不明确、同类问题表述不一致或者有明显文字和计算错误的内容，评标委员会可以书面形式（由评标委员会专家签字）要求</w:t>
      </w:r>
      <w:r>
        <w:rPr>
          <w:rFonts w:hint="eastAsia" w:ascii="宋体" w:hAnsi="宋体" w:eastAsia="宋体" w:cs="宋体"/>
          <w:highlight w:val="none"/>
          <w:lang w:eastAsia="zh-CN"/>
        </w:rPr>
        <w:t>投标供应商</w:t>
      </w:r>
      <w:r>
        <w:rPr>
          <w:rFonts w:hint="eastAsia" w:ascii="宋体" w:hAnsi="宋体" w:eastAsia="宋体" w:cs="宋体"/>
          <w:highlight w:val="none"/>
        </w:rPr>
        <w:t>作出必要的澄清、说明或者纠正。</w:t>
      </w:r>
      <w:r>
        <w:rPr>
          <w:rFonts w:hint="eastAsia" w:ascii="宋体" w:hAnsi="宋体" w:eastAsia="宋体" w:cs="宋体"/>
          <w:highlight w:val="none"/>
          <w:lang w:eastAsia="zh-CN"/>
        </w:rPr>
        <w:t>投标供应商</w:t>
      </w:r>
      <w:r>
        <w:rPr>
          <w:rFonts w:hint="eastAsia" w:ascii="宋体" w:hAnsi="宋体" w:eastAsia="宋体" w:cs="宋体"/>
          <w:highlight w:val="none"/>
        </w:rPr>
        <w:t>的澄清、说明或者补正应当采用书面形式，由其授权的代表签字，并不得超出投标文件的范围或者改变投标文件的实质性内容。</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29.6  如果</w:t>
      </w:r>
      <w:r>
        <w:rPr>
          <w:rFonts w:hint="eastAsia" w:ascii="宋体" w:hAnsi="宋体" w:eastAsia="宋体" w:cs="宋体"/>
          <w:highlight w:val="none"/>
          <w:lang w:eastAsia="zh-CN"/>
        </w:rPr>
        <w:t>投标供应商</w:t>
      </w:r>
      <w:r>
        <w:rPr>
          <w:rFonts w:hint="eastAsia" w:ascii="宋体" w:hAnsi="宋体" w:eastAsia="宋体" w:cs="宋体"/>
          <w:highlight w:val="none"/>
        </w:rPr>
        <w:t>在澄清规定期限内，未能答复或拒绝答复评委会提出的澄清要求，将由评标委员会根据其投标文件按最大风险进行评标。</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29.7 </w:t>
      </w:r>
      <w:r>
        <w:rPr>
          <w:rFonts w:hint="eastAsia" w:ascii="宋体" w:hAnsi="宋体" w:eastAsia="宋体" w:cs="宋体"/>
          <w:highlight w:val="none"/>
          <w:lang w:val="en-US" w:eastAsia="zh-CN"/>
        </w:rPr>
        <w:t xml:space="preserve"> </w:t>
      </w:r>
      <w:r>
        <w:rPr>
          <w:rFonts w:hint="eastAsia" w:ascii="宋体" w:hAnsi="宋体" w:eastAsia="宋体" w:cs="宋体"/>
          <w:highlight w:val="none"/>
        </w:rPr>
        <w:t>评标委员会成员对各</w:t>
      </w:r>
      <w:r>
        <w:rPr>
          <w:rFonts w:hint="eastAsia" w:ascii="宋体" w:hAnsi="宋体" w:eastAsia="宋体" w:cs="宋体"/>
          <w:highlight w:val="none"/>
          <w:lang w:eastAsia="zh-CN"/>
        </w:rPr>
        <w:t>投标供应商</w:t>
      </w:r>
      <w:r>
        <w:rPr>
          <w:rFonts w:hint="eastAsia" w:ascii="宋体" w:hAnsi="宋体" w:eastAsia="宋体" w:cs="宋体"/>
          <w:highlight w:val="none"/>
        </w:rPr>
        <w:t>投标文件进行审查、质疑、评估和比较，并推荐</w:t>
      </w:r>
      <w:r>
        <w:rPr>
          <w:rFonts w:hint="eastAsia" w:ascii="宋体" w:hAnsi="宋体" w:eastAsia="宋体" w:cs="宋体"/>
          <w:highlight w:val="none"/>
          <w:lang w:eastAsia="zh-CN"/>
        </w:rPr>
        <w:t>前三</w:t>
      </w:r>
      <w:r>
        <w:rPr>
          <w:rFonts w:hint="eastAsia" w:ascii="宋体" w:hAnsi="宋体" w:eastAsia="宋体" w:cs="宋体"/>
          <w:highlight w:val="none"/>
        </w:rPr>
        <w:t>名中标候选人。</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 xml:space="preserve">30、评标原则   </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评标原则应遵循公平、公正、科学和择优的原则，并以相同的评标程序和标准对待所有的</w:t>
      </w:r>
      <w:r>
        <w:rPr>
          <w:rFonts w:hint="eastAsia" w:ascii="宋体" w:hAnsi="宋体" w:eastAsia="宋体" w:cs="宋体"/>
          <w:highlight w:val="none"/>
          <w:lang w:eastAsia="zh-CN"/>
        </w:rPr>
        <w:t>投标供应商</w:t>
      </w:r>
      <w:r>
        <w:rPr>
          <w:rFonts w:hint="eastAsia" w:ascii="宋体" w:hAnsi="宋体" w:eastAsia="宋体" w:cs="宋体"/>
          <w:highlight w:val="none"/>
        </w:rPr>
        <w:t>。</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31、评标</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31.1  评标委员会严格按照《政府采购货物和服务招标投标管理办法》（财政部第87号令）规定的程序和</w:t>
      </w:r>
      <w:r>
        <w:rPr>
          <w:rFonts w:hint="eastAsia" w:ascii="宋体" w:hAnsi="宋体" w:eastAsia="宋体" w:cs="宋体"/>
          <w:highlight w:val="none"/>
          <w:lang w:eastAsia="zh-CN"/>
        </w:rPr>
        <w:t>招标文件</w:t>
      </w:r>
      <w:r>
        <w:rPr>
          <w:rFonts w:hint="eastAsia" w:ascii="宋体" w:hAnsi="宋体" w:eastAsia="宋体" w:cs="宋体"/>
          <w:highlight w:val="none"/>
        </w:rPr>
        <w:t>规定的评标办法及标准对各投标文件进行评审。</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31.2  评标委员会负责具体评标事务，并独立履行下列职责：</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（1）审查投标文件是否符合</w:t>
      </w:r>
      <w:r>
        <w:rPr>
          <w:rFonts w:hint="eastAsia" w:ascii="宋体" w:hAnsi="宋体" w:eastAsia="宋体" w:cs="宋体"/>
          <w:highlight w:val="none"/>
          <w:lang w:eastAsia="zh-CN"/>
        </w:rPr>
        <w:t>招标文件</w:t>
      </w:r>
      <w:r>
        <w:rPr>
          <w:rFonts w:hint="eastAsia" w:ascii="宋体" w:hAnsi="宋体" w:eastAsia="宋体" w:cs="宋体"/>
          <w:highlight w:val="none"/>
        </w:rPr>
        <w:t>要求，并做出评价；</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（2）以书面形式要求</w:t>
      </w:r>
      <w:r>
        <w:rPr>
          <w:rFonts w:hint="eastAsia" w:ascii="宋体" w:hAnsi="宋体" w:eastAsia="宋体" w:cs="宋体"/>
          <w:highlight w:val="none"/>
          <w:lang w:eastAsia="zh-CN"/>
        </w:rPr>
        <w:t>投标供应商</w:t>
      </w:r>
      <w:r>
        <w:rPr>
          <w:rFonts w:hint="eastAsia" w:ascii="宋体" w:hAnsi="宋体" w:eastAsia="宋体" w:cs="宋体"/>
          <w:highlight w:val="none"/>
        </w:rPr>
        <w:t>就投标文件中含义不明确的内容及有关事项做出解释或者澄清，并提供相关材料；</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（3）推荐中标候选</w:t>
      </w:r>
      <w:r>
        <w:rPr>
          <w:rFonts w:hint="eastAsia" w:ascii="宋体" w:hAnsi="宋体" w:eastAsia="宋体" w:cs="宋体"/>
          <w:highlight w:val="none"/>
          <w:lang w:eastAsia="zh-CN"/>
        </w:rPr>
        <w:t>投标供应商</w:t>
      </w:r>
      <w:r>
        <w:rPr>
          <w:rFonts w:hint="eastAsia" w:ascii="宋体" w:hAnsi="宋体" w:eastAsia="宋体" w:cs="宋体"/>
          <w:highlight w:val="none"/>
        </w:rPr>
        <w:t>名单，或者受采购人委托按照事先确定的办法直接确定中标人；</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（4）配合采购人、采购代理机构答复各</w:t>
      </w:r>
      <w:r>
        <w:rPr>
          <w:rFonts w:hint="eastAsia" w:ascii="宋体" w:hAnsi="宋体" w:eastAsia="宋体" w:cs="宋体"/>
          <w:highlight w:val="none"/>
          <w:lang w:eastAsia="zh-CN"/>
        </w:rPr>
        <w:t>投标供应商</w:t>
      </w:r>
      <w:r>
        <w:rPr>
          <w:rFonts w:hint="eastAsia" w:ascii="宋体" w:hAnsi="宋体" w:eastAsia="宋体" w:cs="宋体"/>
          <w:highlight w:val="none"/>
        </w:rPr>
        <w:t>提出的质疑；</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（5）向采购单位或者有关部门报告非法干预评标工作的行为。</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31.3  评标过程严格保密</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（1）评标委员会成员和与评标活动有关的工作人员不得泄露有关投标文件的评审和比较、中标候选人的推荐以及与评标有关的其他情况。</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（2）在评标过程中，如果</w:t>
      </w:r>
      <w:r>
        <w:rPr>
          <w:rFonts w:hint="eastAsia" w:ascii="宋体" w:hAnsi="宋体" w:eastAsia="宋体" w:cs="宋体"/>
          <w:highlight w:val="none"/>
          <w:lang w:eastAsia="zh-CN"/>
        </w:rPr>
        <w:t>投标供应商</w:t>
      </w:r>
      <w:r>
        <w:rPr>
          <w:rFonts w:hint="eastAsia" w:ascii="宋体" w:hAnsi="宋体" w:eastAsia="宋体" w:cs="宋体"/>
          <w:highlight w:val="none"/>
        </w:rPr>
        <w:t>试图在投标文件的评审和比较、中标候选人的推荐以及与评标有关的其他方面，向评标人、采购人和采购代理机构施加任何影响的任何行为，都将会导致其投标被拒绝。</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中标人确定后，采购人和代理机构不对未中标人就评标过程以及未能中标原因作出任何解释。未中标人不得向评标委员会组成人员或其他有关人员索问评标过程的情况和材料，其投标文件不予退还（含纸质及电子版文件）。</w:t>
      </w:r>
    </w:p>
    <w:p>
      <w:pPr>
        <w:keepLines w:val="0"/>
        <w:pageBreakBefore w:val="0"/>
        <w:widowControl w:val="0"/>
        <w:kinsoku/>
        <w:wordWrap/>
        <w:overflowPunct/>
        <w:topLinePunct w:val="0"/>
        <w:bidi w:val="0"/>
        <w:snapToGrid/>
        <w:spacing w:before="240" w:after="120" w:line="500" w:lineRule="exact"/>
        <w:jc w:val="both"/>
        <w:textAlignment w:val="auto"/>
        <w:outlineLvl w:val="2"/>
        <w:rPr>
          <w:rFonts w:hint="eastAsia" w:ascii="宋体" w:hAnsi="宋体" w:eastAsia="宋体" w:cs="宋体"/>
          <w:b/>
          <w:bCs/>
          <w:sz w:val="28"/>
          <w:highlight w:val="none"/>
        </w:rPr>
      </w:pPr>
      <w:r>
        <w:rPr>
          <w:rFonts w:hint="eastAsia" w:ascii="宋体" w:hAnsi="宋体" w:eastAsia="宋体" w:cs="宋体"/>
          <w:b/>
          <w:bCs/>
          <w:sz w:val="28"/>
          <w:highlight w:val="none"/>
        </w:rPr>
        <w:t>七、定标</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32、定标原则</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采购人根据评标委员会推荐的中标候选人名单，按顺序确定中标人。</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33、定标程序</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33.1 </w:t>
      </w:r>
      <w:r>
        <w:rPr>
          <w:rFonts w:hint="eastAsia" w:ascii="宋体" w:hAnsi="宋体" w:eastAsia="宋体" w:cs="宋体"/>
          <w:highlight w:val="none"/>
          <w:lang w:val="en-US" w:eastAsia="zh-CN"/>
        </w:rPr>
        <w:t xml:space="preserve"> </w:t>
      </w:r>
      <w:r>
        <w:rPr>
          <w:rFonts w:hint="eastAsia" w:ascii="宋体" w:hAnsi="宋体" w:eastAsia="宋体" w:cs="宋体"/>
          <w:highlight w:val="none"/>
        </w:rPr>
        <w:t>评标委员会根据评标办法的规定对</w:t>
      </w:r>
      <w:r>
        <w:rPr>
          <w:rFonts w:hint="eastAsia" w:ascii="宋体" w:hAnsi="宋体" w:eastAsia="宋体" w:cs="宋体"/>
          <w:highlight w:val="none"/>
          <w:lang w:eastAsia="zh-CN"/>
        </w:rPr>
        <w:t>投标供应商</w:t>
      </w:r>
      <w:r>
        <w:rPr>
          <w:rFonts w:hint="eastAsia" w:ascii="宋体" w:hAnsi="宋体" w:eastAsia="宋体" w:cs="宋体"/>
          <w:highlight w:val="none"/>
        </w:rPr>
        <w:t>进行评审排序，推荐</w:t>
      </w:r>
      <w:r>
        <w:rPr>
          <w:rFonts w:hint="eastAsia" w:ascii="宋体" w:hAnsi="宋体" w:eastAsia="宋体" w:cs="宋体"/>
          <w:highlight w:val="none"/>
          <w:lang w:eastAsia="zh-CN"/>
        </w:rPr>
        <w:t>前三</w:t>
      </w:r>
      <w:r>
        <w:rPr>
          <w:rFonts w:hint="eastAsia" w:ascii="宋体" w:hAnsi="宋体" w:eastAsia="宋体" w:cs="宋体"/>
          <w:highlight w:val="none"/>
        </w:rPr>
        <w:t>名中标候选人，形成评标报告，评审报告由评标委员会全体成员签字确认。</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33.2  采购代理机构应在评标结束后2个工作日内，将评标报告送采购人定标。</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33.3  采购人在收到评标报告后5个工作日内，根据评标报告中推荐的中标候选人排列顺序，确定排名第一的为中标人，也可以书面授权评标委员会评标后直接确定中标人，同时复函采购代理机构。</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33.4  采购代理机构在接到采购人的定标复函之日起2个工作日内，根据采购人确定的中标人，在财政部门指定的政府采购信息发布媒体上公告。</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33.5  采购单位不解释中标或落标原因，未中标人不得向评标委员会组成人员或其他有关人员索问评标过程的情况和材料。不退回投标文件和其他投标资料。</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 xml:space="preserve">33.6  </w:t>
      </w:r>
      <w:r>
        <w:rPr>
          <w:rFonts w:hint="eastAsia" w:ascii="宋体" w:hAnsi="宋体" w:eastAsia="宋体" w:cs="宋体"/>
          <w:highlight w:val="none"/>
          <w:lang w:eastAsia="zh-CN"/>
        </w:rPr>
        <w:t>投标供应商</w:t>
      </w:r>
      <w:r>
        <w:rPr>
          <w:rFonts w:hint="eastAsia" w:ascii="宋体" w:hAnsi="宋体" w:eastAsia="宋体" w:cs="宋体"/>
          <w:highlight w:val="none"/>
        </w:rPr>
        <w:t>对中标公告有异议的，按照《中华人民共和国政府采购法》第五十二条之规定执行。提出质疑的</w:t>
      </w:r>
      <w:r>
        <w:rPr>
          <w:rFonts w:hint="eastAsia" w:ascii="宋体" w:hAnsi="宋体" w:eastAsia="宋体" w:cs="宋体"/>
          <w:highlight w:val="none"/>
          <w:lang w:eastAsia="zh-CN"/>
        </w:rPr>
        <w:t>投标供应商</w:t>
      </w:r>
      <w:r>
        <w:rPr>
          <w:rFonts w:hint="eastAsia" w:ascii="宋体" w:hAnsi="宋体" w:eastAsia="宋体" w:cs="宋体"/>
          <w:highlight w:val="none"/>
        </w:rPr>
        <w:t>应当有明确的请求和必要的证明材料，应保证提出的质疑内容及相应证明材料的真实性及来源的合法性，并承担相应的法律责任。</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33.7  中标人拒绝与采购人签订合同的，采购人可以按照评审报告推荐的中标候选人名单排序，确定下一候选人为中标人，也可以重新开展政府采购活动。</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34、中标通知书</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34.1  中标人确定之后，</w:t>
      </w:r>
      <w:r>
        <w:rPr>
          <w:rFonts w:hint="eastAsia" w:ascii="宋体" w:hAnsi="宋体" w:eastAsia="宋体" w:cs="宋体"/>
          <w:highlight w:val="none"/>
          <w:lang w:eastAsia="zh-CN"/>
        </w:rPr>
        <w:t>瑞信国际项目管理有限公司</w:t>
      </w:r>
      <w:r>
        <w:rPr>
          <w:rFonts w:hint="eastAsia" w:ascii="宋体" w:hAnsi="宋体" w:eastAsia="宋体" w:cs="宋体"/>
          <w:highlight w:val="none"/>
        </w:rPr>
        <w:t>将发出《中标通知书》。</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34.2  中标通知书为签订政府采购合同的依据，是合同的重要组成部分。</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34.3  中标通知书对采购人和中标人均具有法律效力。中标通知书发出后，采购人改变中标结果，或者中标人无正当理由放弃中标的，应当承担相应的法律责任。</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34.4  中标人在接到采购代理机构通知之日起7日内领取《中标通知书》。如果已中标的</w:t>
      </w:r>
      <w:r>
        <w:rPr>
          <w:rFonts w:hint="eastAsia" w:ascii="宋体" w:hAnsi="宋体" w:eastAsia="宋体" w:cs="宋体"/>
          <w:highlight w:val="none"/>
          <w:lang w:eastAsia="zh-CN"/>
        </w:rPr>
        <w:t>投标供应商</w:t>
      </w:r>
      <w:r>
        <w:rPr>
          <w:rFonts w:hint="eastAsia" w:ascii="宋体" w:hAnsi="宋体" w:eastAsia="宋体" w:cs="宋体"/>
          <w:highlight w:val="none"/>
        </w:rPr>
        <w:t>不能按投标文件，包括补充文件（如澄清、承诺等）中承诺的条件履行签约行为，采购人有权取消其中标资格，并扣除其投标保证金。</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34.5  在《中标通知书》发出后，发现中标人有政府采购法律法规规章制度规定的中标无效情形的，采购代理机构在取得监督管理机构的认定以后，应当宣布发出的《中标通知书》无效，并收回发出的《中标通知书》（中标人也应当缴回），依法重新确定中标人或者重新开展采购活动。</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34.6  </w:t>
      </w:r>
      <w:r>
        <w:rPr>
          <w:rFonts w:hint="eastAsia" w:ascii="宋体" w:hAnsi="宋体" w:eastAsia="宋体" w:cs="宋体"/>
          <w:color w:val="000000"/>
          <w:highlight w:val="none"/>
        </w:rPr>
        <w:t>若排名第一的中标候选人放弃中标、因不可抗力不能履行合同、或者被查实存在影响中标结果的违法行为等情形，不符合中标条件的，采购人可以按照评标委员会提出的中标候选人名单排序依次确定其他中标候选人为中标人，也可以重新招标。属于自身原因放弃中标者将失去其投标保证金</w:t>
      </w:r>
      <w:r>
        <w:rPr>
          <w:rFonts w:hint="eastAsia" w:ascii="宋体" w:hAnsi="宋体" w:eastAsia="宋体" w:cs="宋体"/>
          <w:highlight w:val="none"/>
        </w:rPr>
        <w:t>。</w:t>
      </w:r>
    </w:p>
    <w:p>
      <w:pPr>
        <w:keepLines w:val="0"/>
        <w:pageBreakBefore w:val="0"/>
        <w:widowControl w:val="0"/>
        <w:kinsoku/>
        <w:wordWrap/>
        <w:overflowPunct/>
        <w:topLinePunct w:val="0"/>
        <w:bidi w:val="0"/>
        <w:snapToGrid/>
        <w:spacing w:before="240" w:after="120" w:line="500" w:lineRule="exact"/>
        <w:jc w:val="both"/>
        <w:textAlignment w:val="auto"/>
        <w:outlineLvl w:val="2"/>
        <w:rPr>
          <w:rFonts w:hint="eastAsia" w:ascii="宋体" w:hAnsi="宋体" w:eastAsia="宋体" w:cs="宋体"/>
          <w:b/>
          <w:bCs/>
          <w:sz w:val="28"/>
          <w:highlight w:val="none"/>
        </w:rPr>
      </w:pPr>
      <w:r>
        <w:rPr>
          <w:rFonts w:hint="eastAsia" w:ascii="宋体" w:hAnsi="宋体" w:eastAsia="宋体" w:cs="宋体"/>
          <w:b/>
          <w:bCs/>
          <w:sz w:val="28"/>
          <w:highlight w:val="none"/>
        </w:rPr>
        <w:t>八、废标</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35、废标的情形</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招标采购中，出现下列情形之一的，予以废标：</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（1）出现影响采购公正的违法、违规行为的；</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（2）</w:t>
      </w:r>
      <w:r>
        <w:rPr>
          <w:rFonts w:hint="eastAsia" w:ascii="宋体" w:hAnsi="宋体" w:eastAsia="宋体" w:cs="宋体"/>
          <w:highlight w:val="none"/>
          <w:lang w:eastAsia="zh-CN"/>
        </w:rPr>
        <w:t>投标供应商</w:t>
      </w:r>
      <w:r>
        <w:rPr>
          <w:rFonts w:hint="eastAsia" w:ascii="宋体" w:hAnsi="宋体" w:eastAsia="宋体" w:cs="宋体"/>
          <w:highlight w:val="none"/>
        </w:rPr>
        <w:t>的投标报价均超过了采购预算，采购人不能支付的；</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（3）评标委员会三分之二以上的评委认定所有投标报价存在价格不实的现象；</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（4）有证据证明有围标现象的发生；</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（5）有证据证明有《中华人民共和国财政部令第87号》第37条</w:t>
      </w:r>
      <w:r>
        <w:rPr>
          <w:rFonts w:hint="eastAsia" w:ascii="宋体" w:hAnsi="宋体" w:eastAsia="宋体" w:cs="宋体"/>
          <w:highlight w:val="none"/>
          <w:lang w:val="en-US" w:eastAsia="zh-CN"/>
        </w:rPr>
        <w:t>串</w:t>
      </w:r>
      <w:r>
        <w:rPr>
          <w:rFonts w:hint="eastAsia" w:ascii="宋体" w:hAnsi="宋体" w:eastAsia="宋体" w:cs="宋体"/>
          <w:highlight w:val="none"/>
        </w:rPr>
        <w:t>标情形的；</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（6）因重大变故，采购任务取消的。</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废标后，采购代理机构应在财政部门指定采购网上公告，并公告废标的详细理由。</w:t>
      </w:r>
    </w:p>
    <w:p>
      <w:pPr>
        <w:keepLines w:val="0"/>
        <w:pageBreakBefore w:val="0"/>
        <w:widowControl w:val="0"/>
        <w:kinsoku/>
        <w:wordWrap/>
        <w:overflowPunct/>
        <w:topLinePunct w:val="0"/>
        <w:bidi w:val="0"/>
        <w:snapToGrid/>
        <w:spacing w:before="240" w:after="120" w:line="500" w:lineRule="exact"/>
        <w:jc w:val="both"/>
        <w:textAlignment w:val="auto"/>
        <w:outlineLvl w:val="2"/>
        <w:rPr>
          <w:rFonts w:hint="eastAsia" w:ascii="宋体" w:hAnsi="宋体" w:eastAsia="宋体" w:cs="宋体"/>
          <w:b/>
          <w:bCs/>
          <w:sz w:val="28"/>
          <w:highlight w:val="none"/>
        </w:rPr>
      </w:pPr>
      <w:r>
        <w:rPr>
          <w:rFonts w:hint="eastAsia" w:ascii="宋体" w:hAnsi="宋体" w:eastAsia="宋体" w:cs="宋体"/>
          <w:b/>
          <w:bCs/>
          <w:sz w:val="28"/>
          <w:highlight w:val="none"/>
        </w:rPr>
        <w:t>九、合同授予</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36、签订合同</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36.1  采购人应当自《中标通知书》发出之日起30日内，按照</w:t>
      </w:r>
      <w:r>
        <w:rPr>
          <w:rFonts w:hint="eastAsia" w:ascii="宋体" w:hAnsi="宋体" w:eastAsia="宋体" w:cs="宋体"/>
          <w:highlight w:val="none"/>
          <w:lang w:eastAsia="zh-CN"/>
        </w:rPr>
        <w:t>招标文件</w:t>
      </w:r>
      <w:r>
        <w:rPr>
          <w:rFonts w:hint="eastAsia" w:ascii="宋体" w:hAnsi="宋体" w:eastAsia="宋体" w:cs="宋体"/>
          <w:highlight w:val="none"/>
        </w:rPr>
        <w:t>和中标人投标文件（包括评标中形成的澄清文件）的约定，与中标人签订书面合同。所签订的合同不得对</w:t>
      </w:r>
      <w:r>
        <w:rPr>
          <w:rFonts w:hint="eastAsia" w:ascii="宋体" w:hAnsi="宋体" w:eastAsia="宋体" w:cs="宋体"/>
          <w:highlight w:val="none"/>
          <w:lang w:eastAsia="zh-CN"/>
        </w:rPr>
        <w:t>招标文件</w:t>
      </w:r>
      <w:r>
        <w:rPr>
          <w:rFonts w:hint="eastAsia" w:ascii="宋体" w:hAnsi="宋体" w:eastAsia="宋体" w:cs="宋体"/>
          <w:highlight w:val="none"/>
        </w:rPr>
        <w:t>和中标人的投标文件（包括评标中形成的澄清文件）作实质性修改。</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36.2  中标人因不可抗力或者自身原因不能履行采购合同或放弃中标的，采购人可以与排在中标人之后第一位的中标候选人签订政府采购合同，以此类推。</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highlight w:val="none"/>
        </w:rPr>
      </w:pPr>
      <w:r>
        <w:rPr>
          <w:rFonts w:hint="eastAsia" w:ascii="宋体" w:hAnsi="宋体" w:eastAsia="宋体" w:cs="宋体"/>
          <w:highlight w:val="none"/>
        </w:rPr>
        <w:t>36.3  采购人自政府采购合同签订之日起2个工作日内，将政府采购合同在省级以上人民政府财政部门指定的媒体上公告，但政府采购合同中涉及国家秘密、商业秘密的内容除外。</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37、合同实施</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37.1  中标人应在合同签订后7个日历日内安排人员与采购人签订合同。</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37.2  若未能在合同期内完成合同规定的义务，由此对采购人造成的延误和一切损失，由中标人承担和赔偿。</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37.3  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37.4  政府采购合同履行中，采购人需追加与合同标的相同的货物的，在不改变合同其他条款的前提下，可以与</w:t>
      </w:r>
      <w:r>
        <w:rPr>
          <w:rFonts w:hint="eastAsia" w:ascii="宋体" w:hAnsi="宋体" w:eastAsia="宋体" w:cs="宋体"/>
          <w:highlight w:val="none"/>
          <w:lang w:eastAsia="zh-CN"/>
        </w:rPr>
        <w:t>投标供应商</w:t>
      </w:r>
      <w:r>
        <w:rPr>
          <w:rFonts w:hint="eastAsia" w:ascii="宋体" w:hAnsi="宋体" w:eastAsia="宋体" w:cs="宋体"/>
          <w:highlight w:val="none"/>
        </w:rPr>
        <w:t>签订补充合同，但所补充合同的采购金额不得超过原合同采购金额的百分之十。签订补充合同的应按规定备案。</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38、转包与分包</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38.1  本项目不允许采取转包方式履行合同。</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38.2  本项目经采购人同意，可以将中标项目的部分非主体、非关键性工作分包给他人完成，本项目“主体和关键性工作”是指：</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【根据项目具体情况确定】。接受分包的</w:t>
      </w:r>
      <w:r>
        <w:rPr>
          <w:rFonts w:hint="eastAsia" w:ascii="宋体" w:hAnsi="宋体" w:eastAsia="宋体" w:cs="宋体"/>
          <w:highlight w:val="none"/>
          <w:lang w:eastAsia="zh-CN"/>
        </w:rPr>
        <w:t>投标供应商</w:t>
      </w:r>
      <w:r>
        <w:rPr>
          <w:rFonts w:hint="eastAsia" w:ascii="宋体" w:hAnsi="宋体" w:eastAsia="宋体" w:cs="宋体"/>
          <w:highlight w:val="none"/>
        </w:rPr>
        <w:t>应当具备相应的资格条件，并不得再次分包。</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38.3  采购合同实行分包履行的，中标人就采购项目和分包项目向采购人负责，分包</w:t>
      </w:r>
      <w:r>
        <w:rPr>
          <w:rFonts w:hint="eastAsia" w:ascii="宋体" w:hAnsi="宋体" w:eastAsia="宋体" w:cs="宋体"/>
          <w:highlight w:val="none"/>
          <w:lang w:eastAsia="zh-CN"/>
        </w:rPr>
        <w:t>投标供应商</w:t>
      </w:r>
      <w:r>
        <w:rPr>
          <w:rFonts w:hint="eastAsia" w:ascii="宋体" w:hAnsi="宋体" w:eastAsia="宋体" w:cs="宋体"/>
          <w:highlight w:val="none"/>
        </w:rPr>
        <w:t>就分包项目承担责任。</w:t>
      </w:r>
    </w:p>
    <w:p>
      <w:pPr>
        <w:keepLines w:val="0"/>
        <w:pageBreakBefore w:val="0"/>
        <w:widowControl w:val="0"/>
        <w:kinsoku/>
        <w:wordWrap/>
        <w:overflowPunct/>
        <w:topLinePunct w:val="0"/>
        <w:bidi w:val="0"/>
        <w:snapToGrid/>
        <w:spacing w:before="240" w:after="120" w:line="500" w:lineRule="exact"/>
        <w:jc w:val="both"/>
        <w:textAlignment w:val="auto"/>
        <w:outlineLvl w:val="2"/>
        <w:rPr>
          <w:rFonts w:hint="eastAsia" w:ascii="宋体" w:hAnsi="宋体" w:eastAsia="宋体" w:cs="宋体"/>
          <w:b/>
          <w:bCs/>
          <w:sz w:val="28"/>
          <w:highlight w:val="none"/>
        </w:rPr>
      </w:pPr>
      <w:r>
        <w:rPr>
          <w:rFonts w:hint="eastAsia" w:ascii="宋体" w:hAnsi="宋体" w:eastAsia="宋体" w:cs="宋体"/>
          <w:b/>
          <w:bCs/>
          <w:sz w:val="28"/>
          <w:highlight w:val="none"/>
        </w:rPr>
        <w:t>十、其他</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39、采购代理服务费</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39.1  不论投标结果如何，</w:t>
      </w:r>
      <w:r>
        <w:rPr>
          <w:rFonts w:hint="eastAsia" w:ascii="宋体" w:hAnsi="宋体" w:eastAsia="宋体" w:cs="宋体"/>
          <w:highlight w:val="none"/>
          <w:lang w:eastAsia="zh-CN"/>
        </w:rPr>
        <w:t>投标供应商</w:t>
      </w:r>
      <w:r>
        <w:rPr>
          <w:rFonts w:hint="eastAsia" w:ascii="宋体" w:hAnsi="宋体" w:eastAsia="宋体" w:cs="宋体"/>
          <w:highlight w:val="none"/>
        </w:rPr>
        <w:t>应承担其参加本招标活动自身所发生的全部费用。</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39.2  中标人应向采购代理机构交纳采购代理服务费。此服务费应计入投标报价中，但不需要单独开列。</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39.3  采购代理服务费的交纳方式：中标人在领取《中标通知书》前，须向采购代理机构交纳采购代理服务费，采用</w:t>
      </w:r>
      <w:r>
        <w:rPr>
          <w:rFonts w:hint="eastAsia" w:ascii="宋体" w:hAnsi="宋体" w:eastAsia="宋体" w:cs="宋体"/>
          <w:highlight w:val="none"/>
          <w:lang w:val="zh-CN"/>
        </w:rPr>
        <w:t>现金、银行</w:t>
      </w:r>
      <w:r>
        <w:rPr>
          <w:rFonts w:hint="eastAsia" w:ascii="宋体" w:hAnsi="宋体" w:eastAsia="宋体" w:cs="宋体"/>
          <w:highlight w:val="none"/>
          <w:lang w:val="en-US" w:eastAsia="zh-CN"/>
        </w:rPr>
        <w:t>转账</w:t>
      </w:r>
      <w:r>
        <w:rPr>
          <w:rFonts w:hint="eastAsia" w:ascii="宋体" w:hAnsi="宋体" w:eastAsia="宋体" w:cs="宋体"/>
          <w:highlight w:val="none"/>
          <w:lang w:val="zh-CN"/>
        </w:rPr>
        <w:t>、电汇、网银等</w:t>
      </w:r>
      <w:r>
        <w:rPr>
          <w:rFonts w:hint="eastAsia" w:ascii="宋体" w:hAnsi="宋体" w:eastAsia="宋体" w:cs="宋体"/>
          <w:highlight w:val="none"/>
        </w:rPr>
        <w:t>方式一次性交纳。</w:t>
      </w:r>
    </w:p>
    <w:p>
      <w:pPr>
        <w:keepLines w:val="0"/>
        <w:pageBreakBefore w:val="0"/>
        <w:widowControl w:val="0"/>
        <w:kinsoku/>
        <w:wordWrap/>
        <w:overflowPunct/>
        <w:topLinePunct w:val="0"/>
        <w:autoSpaceDE w:val="0"/>
        <w:autoSpaceDN w:val="0"/>
        <w:bidi w:val="0"/>
        <w:adjustRightInd w:val="0"/>
        <w:snapToGrid/>
        <w:spacing w:line="500" w:lineRule="exact"/>
        <w:ind w:right="6" w:firstLine="420"/>
        <w:textAlignment w:val="auto"/>
        <w:rPr>
          <w:rFonts w:hint="eastAsia" w:ascii="宋体" w:hAnsi="宋体" w:eastAsia="宋体" w:cs="宋体"/>
          <w:color w:val="000000"/>
          <w:szCs w:val="21"/>
          <w:highlight w:val="none"/>
        </w:rPr>
      </w:pPr>
      <w:r>
        <w:rPr>
          <w:rFonts w:hint="eastAsia" w:ascii="宋体" w:hAnsi="宋体" w:eastAsia="宋体" w:cs="宋体"/>
          <w:highlight w:val="none"/>
        </w:rPr>
        <w:t xml:space="preserve">39.4  </w:t>
      </w:r>
      <w:r>
        <w:rPr>
          <w:rFonts w:hint="eastAsia" w:ascii="宋体" w:hAnsi="宋体" w:eastAsia="宋体" w:cs="宋体"/>
          <w:szCs w:val="21"/>
          <w:highlight w:val="none"/>
        </w:rPr>
        <w:t>服务费参照《国家计委关于印发&lt;招标代理服务收费管理暂行办法&gt;的通知》（计价格[2002]1980号）规定标准</w:t>
      </w:r>
      <w:r>
        <w:rPr>
          <w:rFonts w:hint="eastAsia" w:ascii="宋体" w:hAnsi="宋体" w:eastAsia="宋体" w:cs="宋体"/>
          <w:color w:val="000000"/>
          <w:szCs w:val="21"/>
          <w:highlight w:val="none"/>
        </w:rPr>
        <w:t>和（发改办价格[2003]857号）</w:t>
      </w:r>
      <w:r>
        <w:rPr>
          <w:rFonts w:hint="eastAsia" w:ascii="宋体" w:hAnsi="宋体" w:eastAsia="宋体" w:cs="宋体"/>
          <w:szCs w:val="21"/>
          <w:highlight w:val="none"/>
        </w:rPr>
        <w:t>，中标服务费由</w:t>
      </w:r>
      <w:r>
        <w:rPr>
          <w:rFonts w:hint="eastAsia" w:ascii="宋体" w:hAnsi="宋体" w:eastAsia="宋体" w:cs="宋体"/>
          <w:szCs w:val="21"/>
          <w:highlight w:val="none"/>
          <w:lang w:eastAsia="zh-CN"/>
        </w:rPr>
        <w:t>中标人</w:t>
      </w:r>
      <w:r>
        <w:rPr>
          <w:rFonts w:hint="eastAsia" w:ascii="宋体" w:hAnsi="宋体" w:eastAsia="宋体" w:cs="宋体"/>
          <w:szCs w:val="21"/>
          <w:highlight w:val="none"/>
        </w:rPr>
        <w:t>向采购代理机构支付。</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40、重新招标或者变更采购方式</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highlight w:val="none"/>
        </w:rPr>
      </w:pPr>
      <w:r>
        <w:rPr>
          <w:rFonts w:hint="eastAsia" w:ascii="宋体" w:hAnsi="宋体" w:eastAsia="宋体" w:cs="宋体"/>
          <w:highlight w:val="none"/>
        </w:rPr>
        <w:t xml:space="preserve">    40.1  投标截止时间结束后，参加投标的</w:t>
      </w:r>
      <w:r>
        <w:rPr>
          <w:rFonts w:hint="eastAsia" w:ascii="宋体" w:hAnsi="宋体" w:eastAsia="宋体" w:cs="宋体"/>
          <w:highlight w:val="none"/>
          <w:lang w:eastAsia="zh-CN"/>
        </w:rPr>
        <w:t>投标供应商</w:t>
      </w:r>
      <w:r>
        <w:rPr>
          <w:rFonts w:hint="eastAsia" w:ascii="宋体" w:hAnsi="宋体" w:eastAsia="宋体" w:cs="宋体"/>
          <w:highlight w:val="none"/>
        </w:rPr>
        <w:t>不足三家或在评标期间，出现符合专业条件的</w:t>
      </w:r>
      <w:r>
        <w:rPr>
          <w:rFonts w:hint="eastAsia" w:ascii="宋体" w:hAnsi="宋体" w:eastAsia="宋体" w:cs="宋体"/>
          <w:highlight w:val="none"/>
          <w:lang w:eastAsia="zh-CN"/>
        </w:rPr>
        <w:t>投标供应商</w:t>
      </w:r>
      <w:r>
        <w:rPr>
          <w:rFonts w:hint="eastAsia" w:ascii="宋体" w:hAnsi="宋体" w:eastAsia="宋体" w:cs="宋体"/>
          <w:highlight w:val="none"/>
        </w:rPr>
        <w:t>不足三家或对</w:t>
      </w:r>
      <w:r>
        <w:rPr>
          <w:rFonts w:hint="eastAsia" w:ascii="宋体" w:hAnsi="宋体" w:eastAsia="宋体" w:cs="宋体"/>
          <w:highlight w:val="none"/>
          <w:lang w:eastAsia="zh-CN"/>
        </w:rPr>
        <w:t>招标文件</w:t>
      </w:r>
      <w:r>
        <w:rPr>
          <w:rFonts w:hint="eastAsia" w:ascii="宋体" w:hAnsi="宋体" w:eastAsia="宋体" w:cs="宋体"/>
          <w:highlight w:val="none"/>
        </w:rPr>
        <w:t>实质响应的</w:t>
      </w:r>
      <w:r>
        <w:rPr>
          <w:rFonts w:hint="eastAsia" w:ascii="宋体" w:hAnsi="宋体" w:eastAsia="宋体" w:cs="宋体"/>
          <w:highlight w:val="none"/>
          <w:lang w:eastAsia="zh-CN"/>
        </w:rPr>
        <w:t>投标供应商</w:t>
      </w:r>
      <w:r>
        <w:rPr>
          <w:rFonts w:hint="eastAsia" w:ascii="宋体" w:hAnsi="宋体" w:eastAsia="宋体" w:cs="宋体"/>
          <w:highlight w:val="none"/>
        </w:rPr>
        <w:t>不足三家，按《政府采购货物和服务招标投标管理办法》（第87号令）第四十三条规定的相关原则处理。</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sz w:val="36"/>
          <w:szCs w:val="36"/>
          <w:highlight w:val="none"/>
        </w:rPr>
      </w:pPr>
      <w:r>
        <w:rPr>
          <w:rFonts w:hint="eastAsia" w:ascii="宋体" w:hAnsi="宋体" w:eastAsia="宋体" w:cs="宋体"/>
          <w:highlight w:val="none"/>
        </w:rPr>
        <w:t xml:space="preserve">    40.2  </w:t>
      </w:r>
      <w:r>
        <w:rPr>
          <w:rFonts w:hint="eastAsia" w:ascii="宋体" w:hAnsi="宋体" w:eastAsia="宋体" w:cs="宋体"/>
          <w:highlight w:val="none"/>
          <w:lang w:eastAsia="zh-CN"/>
        </w:rPr>
        <w:t>投标供应商</w:t>
      </w:r>
      <w:r>
        <w:rPr>
          <w:rFonts w:hint="eastAsia" w:ascii="宋体" w:hAnsi="宋体" w:eastAsia="宋体" w:cs="宋体"/>
          <w:highlight w:val="none"/>
        </w:rPr>
        <w:t>的投标报价超过财政限额，根据“政府采购法”的有关规定，报监督机构批准，进行重新招标。</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 xml:space="preserve">41、质疑和投诉 </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41.1质疑</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认为</w:t>
      </w:r>
      <w:r>
        <w:rPr>
          <w:rFonts w:hint="eastAsia" w:ascii="宋体" w:hAnsi="宋体" w:eastAsia="宋体" w:cs="宋体"/>
          <w:color w:val="000000"/>
          <w:highlight w:val="none"/>
          <w:lang w:eastAsia="zh-CN"/>
        </w:rPr>
        <w:t>招标文件</w:t>
      </w:r>
      <w:r>
        <w:rPr>
          <w:rFonts w:hint="eastAsia" w:ascii="宋体" w:hAnsi="宋体" w:eastAsia="宋体" w:cs="宋体"/>
          <w:color w:val="000000"/>
          <w:highlight w:val="none"/>
        </w:rPr>
        <w:t xml:space="preserve">、采购过程和中标、成交结果使自己的权益受到损害的， </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可以在知道或者应知其权益受到损害之日起七个工作日内，以书面形式向采购人提出质疑。采购 </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人委托采购代理机构采购的，</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 xml:space="preserve">可以向采购代理机构提出询问或者质疑。 </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质疑函接收人：</w:t>
      </w:r>
      <w:r>
        <w:rPr>
          <w:rFonts w:hint="eastAsia" w:ascii="宋体" w:hAnsi="宋体" w:eastAsia="宋体" w:cs="宋体"/>
          <w:color w:val="000000"/>
          <w:highlight w:val="none"/>
          <w:lang w:eastAsia="zh-CN"/>
        </w:rPr>
        <w:t>杨玲</w:t>
      </w:r>
      <w:r>
        <w:rPr>
          <w:rFonts w:hint="eastAsia" w:ascii="宋体" w:hAnsi="宋体" w:eastAsia="宋体" w:cs="宋体"/>
          <w:color w:val="000000"/>
          <w:highlight w:val="none"/>
        </w:rPr>
        <w:t xml:space="preserve"> </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电话：</w:t>
      </w:r>
      <w:r>
        <w:rPr>
          <w:rFonts w:hint="eastAsia" w:ascii="宋体" w:hAnsi="宋体" w:eastAsia="宋体" w:cs="宋体"/>
          <w:color w:val="000000"/>
          <w:highlight w:val="none"/>
          <w:lang w:eastAsia="zh-CN"/>
        </w:rPr>
        <w:t>029-89609851</w:t>
      </w:r>
      <w:r>
        <w:rPr>
          <w:rFonts w:hint="eastAsia" w:ascii="宋体" w:hAnsi="宋体" w:eastAsia="宋体" w:cs="宋体"/>
          <w:color w:val="000000"/>
          <w:highlight w:val="none"/>
        </w:rPr>
        <w:t xml:space="preserve"> </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color w:val="000000"/>
          <w:highlight w:val="none"/>
          <w:lang w:eastAsia="zh-CN"/>
        </w:rPr>
      </w:pPr>
      <w:r>
        <w:rPr>
          <w:rFonts w:hint="eastAsia" w:ascii="宋体" w:hAnsi="宋体" w:eastAsia="宋体" w:cs="宋体"/>
          <w:color w:val="000000"/>
          <w:highlight w:val="none"/>
        </w:rPr>
        <w:t>地址：</w:t>
      </w:r>
      <w:r>
        <w:rPr>
          <w:rFonts w:hint="eastAsia" w:ascii="宋体" w:hAnsi="宋体" w:eastAsia="宋体" w:cs="宋体"/>
          <w:color w:val="000000"/>
          <w:highlight w:val="none"/>
          <w:lang w:eastAsia="zh-CN"/>
        </w:rPr>
        <w:t>陕西省西安市文景路中段150号文景广场C座22楼</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采购人或者采购代理机构应当在 3 个工作日内对</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 xml:space="preserve">依法提出的询问作出答复。 </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color w:val="000000"/>
          <w:highlight w:val="none"/>
        </w:rPr>
      </w:pP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 xml:space="preserve">应知其权益受到损害之日，是指： </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（1）对可以质疑的</w:t>
      </w:r>
      <w:r>
        <w:rPr>
          <w:rFonts w:hint="eastAsia" w:ascii="宋体" w:hAnsi="宋体" w:eastAsia="宋体" w:cs="宋体"/>
          <w:color w:val="000000"/>
          <w:highlight w:val="none"/>
          <w:lang w:eastAsia="zh-CN"/>
        </w:rPr>
        <w:t>招标文件</w:t>
      </w:r>
      <w:r>
        <w:rPr>
          <w:rFonts w:hint="eastAsia" w:ascii="宋体" w:hAnsi="宋体" w:eastAsia="宋体" w:cs="宋体"/>
          <w:color w:val="000000"/>
          <w:highlight w:val="none"/>
        </w:rPr>
        <w:t>提出质疑的，为收到</w:t>
      </w:r>
      <w:r>
        <w:rPr>
          <w:rFonts w:hint="eastAsia" w:ascii="宋体" w:hAnsi="宋体" w:eastAsia="宋体" w:cs="宋体"/>
          <w:color w:val="000000"/>
          <w:highlight w:val="none"/>
          <w:lang w:eastAsia="zh-CN"/>
        </w:rPr>
        <w:t>招标文件</w:t>
      </w:r>
      <w:r>
        <w:rPr>
          <w:rFonts w:hint="eastAsia" w:ascii="宋体" w:hAnsi="宋体" w:eastAsia="宋体" w:cs="宋体"/>
          <w:color w:val="000000"/>
          <w:highlight w:val="none"/>
        </w:rPr>
        <w:t>之日或者</w:t>
      </w:r>
      <w:r>
        <w:rPr>
          <w:rFonts w:hint="eastAsia" w:ascii="宋体" w:hAnsi="宋体" w:eastAsia="宋体" w:cs="宋体"/>
          <w:color w:val="000000"/>
          <w:highlight w:val="none"/>
          <w:lang w:eastAsia="zh-CN"/>
        </w:rPr>
        <w:t>招标文件</w:t>
      </w:r>
      <w:r>
        <w:rPr>
          <w:rFonts w:hint="eastAsia" w:ascii="宋体" w:hAnsi="宋体" w:eastAsia="宋体" w:cs="宋体"/>
          <w:color w:val="000000"/>
          <w:highlight w:val="none"/>
        </w:rPr>
        <w:t>公告期限届满之日；</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（2）对采购过程提出质疑的，为各采购程序环节结束之日； </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（3）对中标或者成交结果提出质疑的，为中标或者成交结果公告期限届满之日。 </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41.2 投诉。质疑</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 xml:space="preserve">对采购人、采购代理机构的答复不满意或者采购人、采购代理机构 </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未在规定的时间内作出答复的，可以在答复期满后十五个工作日内向同级政府采购监督管理部门 </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投诉。政府采购监督管理部门应当在收到投诉后三十个工作日内，对投诉事项作出处理决定，并 </w:t>
      </w:r>
    </w:p>
    <w:p>
      <w:pPr>
        <w:keepLines w:val="0"/>
        <w:pageBreakBefore w:val="0"/>
        <w:widowControl w:val="0"/>
        <w:kinsoku/>
        <w:wordWrap/>
        <w:overflowPunct/>
        <w:topLinePunct w:val="0"/>
        <w:autoSpaceDE w:val="0"/>
        <w:autoSpaceDN w:val="0"/>
        <w:bidi w:val="0"/>
        <w:adjustRightInd w:val="0"/>
        <w:snapToGrid/>
        <w:spacing w:line="500" w:lineRule="exact"/>
        <w:ind w:right="6"/>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以书面形式通知投诉人和与投诉事项有关的当事人。 </w:t>
      </w:r>
    </w:p>
    <w:p>
      <w:pPr>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41.3 </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质疑、投诉应当有明确的请求和必要的证明材料。</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投诉的事项不得超出已质疑事项的范围。</w:t>
      </w:r>
    </w:p>
    <w:p>
      <w:pPr>
        <w:pStyle w:val="18"/>
        <w:rPr>
          <w:rFonts w:hint="eastAsia" w:ascii="宋体" w:hAnsi="宋体" w:eastAsia="宋体" w:cs="宋体"/>
          <w:color w:val="000000"/>
          <w:highlight w:val="none"/>
        </w:rPr>
      </w:pPr>
    </w:p>
    <w:p>
      <w:pPr>
        <w:pStyle w:val="18"/>
        <w:rPr>
          <w:rFonts w:hint="eastAsia" w:ascii="宋体" w:hAnsi="宋体" w:eastAsia="宋体" w:cs="宋体"/>
          <w:color w:val="000000"/>
          <w:highlight w:val="none"/>
        </w:rPr>
      </w:pPr>
    </w:p>
    <w:p>
      <w:pPr>
        <w:pStyle w:val="18"/>
        <w:rPr>
          <w:rFonts w:hint="eastAsia" w:ascii="宋体" w:hAnsi="宋体" w:eastAsia="宋体" w:cs="宋体"/>
          <w:color w:val="000000"/>
          <w:highlight w:val="none"/>
        </w:rPr>
      </w:pPr>
    </w:p>
    <w:p>
      <w:pPr>
        <w:pStyle w:val="18"/>
        <w:rPr>
          <w:rFonts w:hint="eastAsia" w:ascii="宋体" w:hAnsi="宋体" w:eastAsia="宋体" w:cs="宋体"/>
          <w:color w:val="000000"/>
          <w:highlight w:val="none"/>
        </w:rPr>
      </w:pPr>
    </w:p>
    <w:p>
      <w:pPr>
        <w:pStyle w:val="18"/>
        <w:rPr>
          <w:rFonts w:hint="eastAsia" w:ascii="宋体" w:hAnsi="宋体" w:eastAsia="宋体" w:cs="宋体"/>
          <w:color w:val="000000"/>
          <w:highlight w:val="none"/>
        </w:rPr>
      </w:pPr>
    </w:p>
    <w:p>
      <w:pPr>
        <w:pStyle w:val="18"/>
        <w:rPr>
          <w:rFonts w:hint="eastAsia" w:ascii="宋体" w:hAnsi="宋体" w:eastAsia="宋体" w:cs="宋体"/>
          <w:color w:val="000000"/>
          <w:highlight w:val="none"/>
        </w:rPr>
      </w:pPr>
    </w:p>
    <w:p>
      <w:pPr>
        <w:pStyle w:val="18"/>
        <w:rPr>
          <w:rFonts w:hint="eastAsia" w:ascii="宋体" w:hAnsi="宋体" w:eastAsia="宋体" w:cs="宋体"/>
          <w:color w:val="000000"/>
          <w:highlight w:val="none"/>
        </w:rPr>
      </w:pPr>
    </w:p>
    <w:p>
      <w:pPr>
        <w:pStyle w:val="18"/>
        <w:rPr>
          <w:rFonts w:hint="eastAsia" w:ascii="宋体" w:hAnsi="宋体" w:eastAsia="宋体" w:cs="宋体"/>
          <w:color w:val="000000"/>
          <w:highlight w:val="none"/>
        </w:rPr>
      </w:pPr>
    </w:p>
    <w:p>
      <w:pPr>
        <w:pStyle w:val="18"/>
        <w:rPr>
          <w:rFonts w:hint="eastAsia" w:ascii="宋体" w:hAnsi="宋体" w:eastAsia="宋体" w:cs="宋体"/>
          <w:color w:val="000000"/>
          <w:highlight w:val="none"/>
        </w:rPr>
      </w:pPr>
    </w:p>
    <w:p>
      <w:pPr>
        <w:pStyle w:val="18"/>
        <w:rPr>
          <w:rFonts w:hint="eastAsia" w:ascii="宋体" w:hAnsi="宋体" w:eastAsia="宋体" w:cs="宋体"/>
          <w:color w:val="000000"/>
          <w:highlight w:val="none"/>
        </w:rPr>
      </w:pPr>
    </w:p>
    <w:p>
      <w:pPr>
        <w:pStyle w:val="18"/>
        <w:rPr>
          <w:rFonts w:hint="eastAsia" w:ascii="宋体" w:hAnsi="宋体" w:eastAsia="宋体" w:cs="宋体"/>
          <w:color w:val="000000"/>
          <w:highlight w:val="none"/>
        </w:rPr>
      </w:pPr>
    </w:p>
    <w:p>
      <w:pPr>
        <w:pStyle w:val="18"/>
        <w:rPr>
          <w:rFonts w:hint="eastAsia" w:ascii="宋体" w:hAnsi="宋体" w:eastAsia="宋体" w:cs="宋体"/>
          <w:color w:val="000000"/>
          <w:highlight w:val="none"/>
        </w:rPr>
      </w:pPr>
    </w:p>
    <w:p>
      <w:pPr>
        <w:pStyle w:val="18"/>
        <w:rPr>
          <w:rFonts w:hint="eastAsia" w:ascii="宋体" w:hAnsi="宋体" w:eastAsia="宋体" w:cs="宋体"/>
          <w:color w:val="000000"/>
          <w:highlight w:val="none"/>
        </w:rPr>
      </w:pPr>
    </w:p>
    <w:p>
      <w:pPr>
        <w:pStyle w:val="18"/>
        <w:rPr>
          <w:rFonts w:hint="eastAsia" w:ascii="宋体" w:hAnsi="宋体" w:eastAsia="宋体" w:cs="宋体"/>
          <w:color w:val="000000"/>
          <w:highlight w:val="none"/>
        </w:rPr>
      </w:pPr>
    </w:p>
    <w:p>
      <w:pPr>
        <w:pStyle w:val="18"/>
        <w:rPr>
          <w:rFonts w:hint="eastAsia" w:ascii="宋体" w:hAnsi="宋体" w:eastAsia="宋体" w:cs="宋体"/>
          <w:color w:val="000000"/>
          <w:highlight w:val="none"/>
        </w:rPr>
      </w:pPr>
    </w:p>
    <w:p>
      <w:pPr>
        <w:pStyle w:val="18"/>
        <w:rPr>
          <w:rFonts w:hint="eastAsia" w:ascii="宋体" w:hAnsi="宋体" w:eastAsia="宋体" w:cs="宋体"/>
          <w:color w:val="000000"/>
          <w:highlight w:val="none"/>
        </w:rPr>
      </w:pPr>
    </w:p>
    <w:p>
      <w:pPr>
        <w:pStyle w:val="18"/>
        <w:rPr>
          <w:rFonts w:hint="eastAsia" w:ascii="宋体" w:hAnsi="宋体" w:eastAsia="宋体" w:cs="宋体"/>
          <w:color w:val="000000"/>
          <w:highlight w:val="none"/>
        </w:rPr>
      </w:pPr>
    </w:p>
    <w:p>
      <w:pPr>
        <w:pStyle w:val="3"/>
        <w:numPr>
          <w:ilvl w:val="0"/>
          <w:numId w:val="0"/>
        </w:numPr>
        <w:rPr>
          <w:rFonts w:hint="eastAsia" w:ascii="宋体" w:hAnsi="宋体" w:eastAsia="宋体" w:cs="宋体"/>
          <w:b/>
          <w:bCs/>
          <w:sz w:val="36"/>
          <w:szCs w:val="36"/>
          <w:highlight w:val="none"/>
        </w:rPr>
      </w:pPr>
      <w:bookmarkStart w:id="16" w:name="_Toc22431"/>
      <w:r>
        <w:rPr>
          <w:rFonts w:hint="eastAsia" w:ascii="宋体" w:hAnsi="宋体" w:eastAsia="宋体" w:cs="宋体"/>
          <w:b/>
          <w:bCs/>
          <w:sz w:val="36"/>
          <w:szCs w:val="36"/>
          <w:highlight w:val="none"/>
        </w:rPr>
        <w:t>第三章  评标办法</w:t>
      </w:r>
      <w:bookmarkEnd w:id="16"/>
    </w:p>
    <w:p>
      <w:pPr>
        <w:spacing w:line="500" w:lineRule="exact"/>
        <w:ind w:firstLine="420"/>
        <w:rPr>
          <w:rFonts w:hint="eastAsia" w:ascii="宋体" w:hAnsi="宋体" w:eastAsia="宋体" w:cs="宋体"/>
          <w:szCs w:val="21"/>
          <w:highlight w:val="none"/>
        </w:rPr>
      </w:pPr>
      <w:bookmarkStart w:id="17" w:name="_Toc222740127"/>
      <w:r>
        <w:rPr>
          <w:rFonts w:hint="eastAsia" w:ascii="宋体" w:hAnsi="宋体" w:eastAsia="宋体" w:cs="宋体"/>
          <w:szCs w:val="21"/>
          <w:highlight w:val="none"/>
        </w:rPr>
        <w:t>根据《中华人民共和国政府采购法》、中华人民共和国2015年第658号国务院令--《中华人民共和国政府采购法实施条例》和中华人民共和国财政部2017年第87号令--《政府采购货物和服务招标投标管理办法》的规定，结合采购项目特点制定本评标办法。</w:t>
      </w:r>
    </w:p>
    <w:p>
      <w:pPr>
        <w:spacing w:before="240" w:after="120"/>
        <w:jc w:val="left"/>
        <w:outlineLvl w:val="2"/>
        <w:rPr>
          <w:rFonts w:hint="eastAsia" w:ascii="宋体" w:hAnsi="宋体" w:eastAsia="宋体" w:cs="宋体"/>
          <w:b/>
          <w:bCs/>
          <w:sz w:val="28"/>
          <w:highlight w:val="none"/>
        </w:rPr>
      </w:pPr>
      <w:r>
        <w:rPr>
          <w:rFonts w:hint="eastAsia" w:ascii="宋体" w:hAnsi="宋体" w:eastAsia="宋体" w:cs="宋体"/>
          <w:b/>
          <w:bCs/>
          <w:sz w:val="28"/>
          <w:highlight w:val="none"/>
        </w:rPr>
        <w:t>1、评标程序</w:t>
      </w:r>
    </w:p>
    <w:p>
      <w:pPr>
        <w:spacing w:before="240" w:after="120"/>
        <w:jc w:val="left"/>
        <w:outlineLvl w:val="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1.1  本采购项目评标按照下列工作程序进行：</w:t>
      </w:r>
    </w:p>
    <w:p>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 xml:space="preserve">    1.1.1 投标文件初审；</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1.1.2 澄清有关问题；</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1.1.3 比较与评价；</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1.1.4 推荐中标人名单；</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1.1.5 编写评标报告。</w:t>
      </w:r>
    </w:p>
    <w:p>
      <w:pPr>
        <w:spacing w:before="240" w:after="120"/>
        <w:jc w:val="left"/>
        <w:outlineLvl w:val="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1.2  投标文件的初审</w:t>
      </w:r>
    </w:p>
    <w:p>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 xml:space="preserve">   初审分为资格性检查和符合性检查。分别按照以下内容对投标文件进行检查，一项不合格即按照无效投标处理。</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1.2.1 投标文件的资格性审查：按照本章附件一资格审查内容；</w:t>
      </w:r>
    </w:p>
    <w:p>
      <w:pPr>
        <w:spacing w:line="500" w:lineRule="exact"/>
        <w:rPr>
          <w:rFonts w:hint="eastAsia" w:ascii="宋体" w:hAnsi="宋体" w:eastAsia="宋体" w:cs="宋体"/>
          <w:color w:val="FF0000"/>
          <w:szCs w:val="21"/>
          <w:highlight w:val="none"/>
        </w:rPr>
      </w:pPr>
      <w:r>
        <w:rPr>
          <w:rFonts w:hint="eastAsia" w:ascii="宋体" w:hAnsi="宋体" w:eastAsia="宋体" w:cs="宋体"/>
          <w:szCs w:val="21"/>
          <w:highlight w:val="none"/>
        </w:rPr>
        <w:t xml:space="preserve">    1.2.2 投标文件的符合性审查：按照本章附件二符合审查内容；</w:t>
      </w:r>
      <w:r>
        <w:rPr>
          <w:rFonts w:hint="eastAsia" w:ascii="宋体" w:hAnsi="宋体" w:eastAsia="宋体" w:cs="宋体"/>
          <w:color w:val="FF0000"/>
          <w:szCs w:val="21"/>
          <w:highlight w:val="none"/>
        </w:rPr>
        <w:t xml:space="preserve"> </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1.2.2.1 投标文件的有效性审查。</w:t>
      </w:r>
    </w:p>
    <w:p>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 xml:space="preserve">    （1）投标文件的签署、加盖印章是否合格、有效；提供的各种证明文件、数据、资料是否真实、有效；</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（2）是否提交了合格有效的本次采购特别要求的服务合格性证明文件。</w:t>
      </w:r>
    </w:p>
    <w:p>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 xml:space="preserve">    1.2.2.2 投标文件的实质响应性审查。</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（1）投标有效期是否符合</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的要求；</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（2）投标文件响应内容是否符合国家法律法规，是否实质性响应了</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要求的全部条款、条件和规格要求，并且提供了支持文件，没有重大偏离。对于重大偏离，在开标后不得澄清、纠正及补充；</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（3）付款条件和</w:t>
      </w:r>
      <w:r>
        <w:rPr>
          <w:rFonts w:hint="eastAsia" w:ascii="宋体" w:hAnsi="宋体" w:eastAsia="宋体" w:cs="宋体"/>
          <w:szCs w:val="21"/>
          <w:highlight w:val="none"/>
          <w:lang w:val="en-US" w:eastAsia="zh-CN"/>
        </w:rPr>
        <w:t>服务期限</w:t>
      </w:r>
      <w:r>
        <w:rPr>
          <w:rFonts w:hint="eastAsia" w:ascii="宋体" w:hAnsi="宋体" w:eastAsia="宋体" w:cs="宋体"/>
          <w:szCs w:val="21"/>
          <w:highlight w:val="none"/>
        </w:rPr>
        <w:t>是否满足要求，对</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中规定的双方的权利和义务是否做出了实质性响应。</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1.2.3 经过对</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及投标文件的资格性和符合性审查，出现下列情况者（但不限于），按无效投标处理。</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未经过正常渠道</w:t>
      </w:r>
      <w:r>
        <w:rPr>
          <w:rFonts w:hint="eastAsia" w:ascii="宋体" w:hAnsi="宋体" w:eastAsia="宋体" w:cs="宋体"/>
          <w:szCs w:val="21"/>
          <w:highlight w:val="none"/>
          <w:lang w:val="en-US" w:eastAsia="zh-CN"/>
        </w:rPr>
        <w:t>获取</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或</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的名称与登记</w:t>
      </w:r>
      <w:r>
        <w:rPr>
          <w:rFonts w:hint="eastAsia" w:ascii="宋体" w:hAnsi="宋体" w:eastAsia="宋体" w:cs="宋体"/>
          <w:szCs w:val="21"/>
          <w:highlight w:val="none"/>
          <w:lang w:val="en-US" w:eastAsia="zh-CN"/>
        </w:rPr>
        <w:t>获取</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单位的名称不符；</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（2）投标文件中未提交法定代表人授权书（法定代表人直接投标未按要求提交其有效身份证）或授权书的合法性或有效性不符合</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规定。授权代表本单位证明的有效性或符合性不符合要求的；</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资质的有效性或符合性不符合要求的；</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）投标文件的格式不符合</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要求、关键内容字迹模糊、无法辨认的；</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）投标文件未按</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规定有效签字和盖章，或由</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委托代理人签字的，但未随投标文件一起提交有效的“授权委托书”原件的；</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）无投标有效期或有效期达不到</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要求的；</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）无投标技术方案或投标技术方案不符合要求；</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）投标截止时间内未上传电子投标文件的；</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）电子化投标文件，因自身原因导致无法读取或解密失败的；</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针对同一项目递交两份或多份内容不同的投标文件，未书面声明哪一份是有效的；出现选择性报价的；投标报价超出采购预算；</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的必备资格证明文件不全、无效或达不到招标文件规定要求的；</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）投标内容的技术要求达不到招标文件要求，出现负偏离、少报、漏报、降低服务质量的；</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）未按招标文件指定格式填写“开标一览表”或“分项报价表”，或出现漏项或投标服务内容与招标文件要求不符(数量不足)；</w:t>
      </w:r>
    </w:p>
    <w:p>
      <w:pPr>
        <w:spacing w:line="500" w:lineRule="exact"/>
        <w:ind w:firstLine="420"/>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14</w:t>
      </w:r>
      <w:r>
        <w:rPr>
          <w:rFonts w:hint="eastAsia" w:ascii="宋体" w:hAnsi="宋体" w:eastAsia="宋体" w:cs="宋体"/>
          <w:szCs w:val="21"/>
          <w:highlight w:val="none"/>
        </w:rPr>
        <w:t>）</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拒不按照要求对投标文件进行澄清、说明或者补正的，评标委员会可以否决其投标</w:t>
      </w:r>
      <w:r>
        <w:rPr>
          <w:rFonts w:hint="eastAsia" w:ascii="宋体" w:hAnsi="宋体" w:cs="宋体"/>
          <w:szCs w:val="21"/>
          <w:highlight w:val="none"/>
          <w:lang w:eastAsia="zh-CN"/>
        </w:rPr>
        <w:t>；</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）投标文件的合同主要条款响应与</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要求不一致（</w:t>
      </w:r>
      <w:r>
        <w:rPr>
          <w:rFonts w:hint="eastAsia" w:ascii="宋体" w:hAnsi="宋体" w:eastAsia="宋体" w:cs="宋体"/>
          <w:szCs w:val="21"/>
          <w:highlight w:val="none"/>
          <w:lang w:val="en-US" w:eastAsia="zh-CN"/>
        </w:rPr>
        <w:t>服务期限</w:t>
      </w:r>
      <w:r>
        <w:rPr>
          <w:rFonts w:hint="eastAsia" w:ascii="宋体" w:hAnsi="宋体" w:eastAsia="宋体" w:cs="宋体"/>
          <w:szCs w:val="21"/>
          <w:highlight w:val="none"/>
        </w:rPr>
        <w:t>、付款、验收、售后服务等项），附加了采购人难以接受的条件；</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16</w:t>
      </w:r>
      <w:r>
        <w:rPr>
          <w:rFonts w:hint="eastAsia" w:ascii="宋体" w:hAnsi="宋体" w:eastAsia="宋体" w:cs="宋体"/>
          <w:szCs w:val="21"/>
          <w:highlight w:val="none"/>
        </w:rPr>
        <w:t>）提供虚假证明，开具虚假资质，出现虚假应答，除按无效标处理外，还进行相应的处罚；</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17</w:t>
      </w:r>
      <w:r>
        <w:rPr>
          <w:rFonts w:hint="eastAsia" w:ascii="宋体" w:hAnsi="宋体" w:eastAsia="宋体" w:cs="宋体"/>
          <w:szCs w:val="21"/>
          <w:highlight w:val="none"/>
        </w:rPr>
        <w:t>）</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在境内参与政府采购活动中有违法违规行为的；</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18</w:t>
      </w:r>
      <w:r>
        <w:rPr>
          <w:rFonts w:hint="eastAsia" w:ascii="宋体" w:hAnsi="宋体" w:eastAsia="宋体" w:cs="宋体"/>
          <w:szCs w:val="21"/>
          <w:highlight w:val="none"/>
        </w:rPr>
        <w:t>）投标报价超出采购预算的；</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19</w:t>
      </w:r>
      <w:r>
        <w:rPr>
          <w:rFonts w:hint="eastAsia" w:ascii="宋体" w:hAnsi="宋体" w:eastAsia="宋体" w:cs="宋体"/>
          <w:szCs w:val="21"/>
          <w:highlight w:val="none"/>
        </w:rPr>
        <w:t>）其他法律法规规定的情况。</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1.2.4 在投标文件初审过程中，如果出现评标委员会成员意见不一致的情况，按照少数服从多数的原则确定。</w:t>
      </w:r>
    </w:p>
    <w:p>
      <w:pPr>
        <w:spacing w:before="240" w:after="120"/>
        <w:jc w:val="left"/>
        <w:outlineLvl w:val="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1.3  投标文件的澄清</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对于投标文件中的非重大偏离，如果出现含义不明确、同类问题表述不一致或者有明显文字和计算错误的内容，评标委员会可以书面形式（由评标委员会专家签字）要求</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作出必要的澄清、说明或者纠正。</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的澄清、说明或者补正应当采用书面形式，由其授权的投标代表签字，并不得超出投标文件的范围或者改变投标文件的实质性内容。</w:t>
      </w:r>
    </w:p>
    <w:p>
      <w:pPr>
        <w:spacing w:before="240" w:after="120"/>
        <w:jc w:val="left"/>
        <w:outlineLvl w:val="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1.4  投标文件的比较和评价</w:t>
      </w:r>
    </w:p>
    <w:p>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 xml:space="preserve">    1.4.1 评委会应按照</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中规定的评标方法和标准，对资格性检查和符合性检查合格的投标文件进行商务和技术评估，综合比较与评价。最低报价不做为中标的唯一条件。</w:t>
      </w:r>
    </w:p>
    <w:p>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 xml:space="preserve">    1.4.2 如果投标文件没有实质性响应</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的要求，评委会将予以拒绝。</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不得通过修正或撤消不合要求的偏离或保留，从而使其投标成为实质性响应的投标。</w:t>
      </w:r>
    </w:p>
    <w:p>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 xml:space="preserve">    1.4.3 评标程序：采取逐项分步评审方式，每一步评审不符合者，不进入下一步评审，全部评审合格的</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进行最后的综合评审和打分，按最后得分由高向低排序，推荐中标候选单位。</w:t>
      </w:r>
    </w:p>
    <w:p>
      <w:pPr>
        <w:spacing w:before="240" w:after="120"/>
        <w:jc w:val="left"/>
        <w:outlineLvl w:val="2"/>
        <w:rPr>
          <w:rFonts w:hint="eastAsia" w:ascii="宋体" w:hAnsi="宋体" w:eastAsia="宋体" w:cs="宋体"/>
          <w:b/>
          <w:bCs/>
          <w:sz w:val="28"/>
          <w:highlight w:val="none"/>
        </w:rPr>
      </w:pPr>
      <w:r>
        <w:rPr>
          <w:rFonts w:hint="eastAsia" w:ascii="宋体" w:hAnsi="宋体" w:eastAsia="宋体" w:cs="宋体"/>
          <w:b/>
          <w:bCs/>
          <w:sz w:val="28"/>
          <w:highlight w:val="none"/>
        </w:rPr>
        <w:t>2、评标办法</w:t>
      </w:r>
    </w:p>
    <w:p>
      <w:pPr>
        <w:spacing w:before="240" w:after="120"/>
        <w:jc w:val="left"/>
        <w:outlineLvl w:val="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2.1  综合评分法</w:t>
      </w:r>
    </w:p>
    <w:p>
      <w:pPr>
        <w:spacing w:line="5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本次评标采用综合评分法。即在最大限度地满足</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实质性要求前提下，按照</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中规定的各项因素和相应的权重分值进行综合评审后，以总得分最高的</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作为中标候选人并依次排序。</w:t>
      </w:r>
    </w:p>
    <w:p>
      <w:pPr>
        <w:spacing w:before="240" w:after="120"/>
        <w:jc w:val="left"/>
        <w:outlineLvl w:val="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2.2  评标细则及标准：</w:t>
      </w:r>
    </w:p>
    <w:p>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 xml:space="preserve">    2.2.1 评标委员会将综合分析</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的各项评审因素，而不以单项评审因素的优劣评选出中标单位。对所有</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的投标评估，都采用相同的程序和标准，严格按照</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的要求和条件进行。</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2.2.2 评审因素包括：价格、技术、信誉、业绩、服务、对</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的响应程度，以及相应的比重或者权值等，但不包括“</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须知前附表”规定的</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资格条件。</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2.2.3 综合评分操作程序为：</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2.2.3.1 根据</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和评标原则，按下表《综合评分明细表》所列评分因素和各评分因素的权重进行评标。</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2.2.3.2 评标价格的确定： </w:t>
      </w:r>
    </w:p>
    <w:p>
      <w:pPr>
        <w:spacing w:line="5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 xml:space="preserve"> 按照财政部的有关规定，以本次满足</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要求的最低投标评审价为投标基准价</w:t>
      </w:r>
      <w:r>
        <w:rPr>
          <w:rFonts w:hint="eastAsia" w:ascii="宋体" w:hAnsi="宋体" w:eastAsia="宋体" w:cs="宋体"/>
          <w:szCs w:val="21"/>
          <w:highlight w:val="none"/>
          <w:lang w:eastAsia="zh-CN"/>
        </w:rPr>
        <w:t>。</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 xml:space="preserve"> 非实质性偏离是指投标文件在实质上响应</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的要求，但在个别地方存在一些不规则、不一致、不完整的内容，并且澄清、说明或者补正这些内容不会改变投标文件的实质性内容。以下情况属于非实质性偏离：</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1）文字表述的内容含义不明确；</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2）同类问题表述不一致；</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3）有明显文字和计算错误；</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4）提供的技术信息和数据资料不完整；</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5）投标文件未按</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要求进行编制目录、页码；</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6）评标委员会认定的其他非实质性偏离。</w:t>
      </w:r>
    </w:p>
    <w:p>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投标文件有上述（1）至（4）情形之一的，评标委员会应当书面要求</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在规定的时间内予以澄清、说明或补正。</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拒不或在规定的时间内没有进行澄清、说明或补正或澄清、说明、补正的内容也不能说明问题的，视为投标文件制作不规范，按每一项非实质性偏离进行扣分处理，直至该项分值扣完为止。</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2.2.3.</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 xml:space="preserve"> 在投标文件初审过程中，如果出现评标委员会成员意见不一致的情况，按照少数服从多数的原则确定。</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2.2.3.</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 xml:space="preserve"> 评审标准中应考虑下列因素：</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《政府采购促进中小企业发展管理办法》（财库〔2020〕46号）</w:t>
      </w:r>
      <w:r>
        <w:rPr>
          <w:rFonts w:hint="eastAsia" w:ascii="宋体" w:hAnsi="宋体" w:eastAsia="宋体" w:cs="宋体"/>
          <w:szCs w:val="21"/>
          <w:highlight w:val="none"/>
        </w:rPr>
        <w:t>、《财政部 司法部关于政府采购支持监狱企业发展有关问题的通知》（财库〔2014〕68号）和《三部门联合发布关于促进残疾人就业政府采购政策的通知》（财库〔2017〕141号）的规定，对满足价格扣除条件且在投标文件中提交了《</w:t>
      </w:r>
      <w:r>
        <w:rPr>
          <w:rFonts w:hint="eastAsia" w:ascii="宋体" w:hAnsi="宋体" w:eastAsia="宋体" w:cs="宋体"/>
          <w:color w:val="auto"/>
          <w:kern w:val="2"/>
          <w:sz w:val="21"/>
          <w:szCs w:val="21"/>
          <w:highlight w:val="none"/>
          <w:lang w:bidi="ar"/>
        </w:rPr>
        <w:t>中小企业声明函</w:t>
      </w:r>
      <w:r>
        <w:rPr>
          <w:rFonts w:hint="eastAsia" w:ascii="宋体" w:hAnsi="宋体" w:eastAsia="宋体" w:cs="宋体"/>
          <w:szCs w:val="21"/>
          <w:highlight w:val="none"/>
        </w:rPr>
        <w:t>》、《残疾人福利性单位声明函》或省级以上监狱管理局、戒毒管理局（含新疆生产建设兵团）出具的属于监狱企业的证明文件的</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，其投标报价扣除</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%后参与评审。对于同时属于小微企业、监狱企业或残疾人福利性单位的，不重复进行投标报价扣除。</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（2）大中型企业与</w:t>
      </w:r>
      <w:r>
        <w:rPr>
          <w:rFonts w:hint="eastAsia" w:ascii="宋体" w:hAnsi="宋体" w:eastAsia="宋体" w:cs="宋体"/>
          <w:szCs w:val="21"/>
          <w:highlight w:val="none"/>
        </w:rPr>
        <w:t>小型、微型企业</w:t>
      </w:r>
      <w:r>
        <w:rPr>
          <w:rFonts w:hint="eastAsia" w:ascii="宋体" w:hAnsi="宋体" w:eastAsia="宋体" w:cs="宋体"/>
          <w:szCs w:val="21"/>
          <w:highlight w:val="none"/>
          <w:lang w:eastAsia="zh-CN"/>
        </w:rPr>
        <w:t>、</w:t>
      </w:r>
      <w:r>
        <w:rPr>
          <w:rFonts w:hint="eastAsia" w:ascii="宋体" w:hAnsi="宋体" w:eastAsia="宋体" w:cs="宋体"/>
          <w:szCs w:val="21"/>
          <w:highlight w:val="none"/>
        </w:rPr>
        <w:t>监狱企业组成联合体共同参加非专门面向中小企业的政府采购活动</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联合协议中约定，小型、微型企业</w:t>
      </w:r>
      <w:r>
        <w:rPr>
          <w:rFonts w:hint="eastAsia" w:ascii="宋体" w:hAnsi="宋体" w:eastAsia="宋体" w:cs="宋体"/>
          <w:szCs w:val="21"/>
          <w:highlight w:val="none"/>
          <w:lang w:eastAsia="zh-CN"/>
        </w:rPr>
        <w:t>、</w:t>
      </w:r>
      <w:r>
        <w:rPr>
          <w:rFonts w:hint="eastAsia" w:ascii="宋体" w:hAnsi="宋体" w:eastAsia="宋体" w:cs="宋体"/>
          <w:szCs w:val="21"/>
          <w:highlight w:val="none"/>
        </w:rPr>
        <w:t>监狱企业的协议合同金额占到联合体协议合同总金额30%以上的，可给予联合体</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%的价格扣除</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用扣除后的价格参加评审</w:t>
      </w:r>
      <w:r>
        <w:rPr>
          <w:rFonts w:hint="eastAsia" w:ascii="宋体" w:hAnsi="宋体" w:eastAsia="宋体" w:cs="宋体"/>
          <w:szCs w:val="21"/>
          <w:highlight w:val="none"/>
        </w:rPr>
        <w:t>。联合体各方均为小型、微型企业和监狱企业的，联合体视同为小型、微型企业和监狱企业。组成联合体的小微企业与联合体内其他企业之间存在直接控股、管理关系的，不享受价格扣除优惠政策。</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为提供服务所伴随的货物属于节能产品、环境标志产品品目清单范围内，且</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所投产品具有有效期内的产品认证证书，在评标时予以优先采购，具体见评审因素和指标内容。</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如</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为提供服务所伴随的货物为政府强制采购的节能产品，</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所投产品的品牌及型号必须为清单中有效期内产品并提供证明文件，否则其投标将作为无效投标被拒绝。</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 xml:space="preserve">中标候选人并列时的处理方式：   </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如采用综合评标法，则：评标结果按评审后得分由高到低顺序排列。得分相同的，按投标报价由低到高顺序排列。得分且投标报价相同的</w:t>
      </w:r>
      <w:r>
        <w:rPr>
          <w:rFonts w:hint="eastAsia" w:ascii="宋体" w:hAnsi="宋体" w:eastAsia="宋体" w:cs="宋体"/>
          <w:szCs w:val="21"/>
          <w:highlight w:val="none"/>
          <w:lang w:val="en-US" w:eastAsia="zh-CN"/>
        </w:rPr>
        <w:t>依次比较企业业绩、</w:t>
      </w:r>
      <w:r>
        <w:rPr>
          <w:rFonts w:hint="eastAsia" w:ascii="宋体" w:hAnsi="宋体" w:eastAsia="宋体" w:cs="宋体"/>
          <w:szCs w:val="21"/>
          <w:highlight w:val="none"/>
          <w:lang w:val="zh-CN" w:eastAsia="zh-CN"/>
        </w:rPr>
        <w:t>服务承诺、</w:t>
      </w:r>
      <w:r>
        <w:rPr>
          <w:rFonts w:hint="eastAsia" w:ascii="宋体" w:hAnsi="宋体" w:eastAsia="宋体" w:cs="宋体"/>
          <w:szCs w:val="21"/>
          <w:highlight w:val="none"/>
          <w:lang w:val="en-US" w:eastAsia="zh-CN"/>
        </w:rPr>
        <w:t>机械设备、技术方案各分项得分，得分高者排序在前</w:t>
      </w:r>
      <w:r>
        <w:rPr>
          <w:rFonts w:hint="eastAsia" w:ascii="宋体" w:hAnsi="宋体" w:eastAsia="宋体" w:cs="宋体"/>
          <w:szCs w:val="21"/>
          <w:highlight w:val="none"/>
        </w:rPr>
        <w:t>。投标文件满足招标文件全部实质性要求，且按照评审因素的量化指标评审得分最高的</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为排名第一的中标候选人。</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2.2.3.</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本采购项目的评标因素和标准见下列综合评分明细表。</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本项目采用综合评分法，总分为100分，具体评分方法如下：</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综合评分法：即在满足</w:t>
      </w:r>
      <w:r>
        <w:rPr>
          <w:rFonts w:hint="eastAsia" w:ascii="宋体" w:hAnsi="宋体" w:eastAsia="宋体" w:cs="宋体"/>
          <w:color w:val="000000"/>
          <w:szCs w:val="21"/>
          <w:highlight w:val="none"/>
          <w:lang w:eastAsia="zh-CN"/>
        </w:rPr>
        <w:t>招标文件</w:t>
      </w:r>
      <w:r>
        <w:rPr>
          <w:rFonts w:hint="eastAsia" w:ascii="宋体" w:hAnsi="宋体" w:eastAsia="宋体" w:cs="宋体"/>
          <w:color w:val="000000"/>
          <w:szCs w:val="21"/>
          <w:highlight w:val="none"/>
        </w:rPr>
        <w:t>全部实质性要求前提下，按照评审因素的量化指标，以评审总得分由高到低顺序推荐</w:t>
      </w:r>
      <w:r>
        <w:rPr>
          <w:rFonts w:hint="eastAsia" w:ascii="宋体" w:hAnsi="宋体" w:eastAsia="宋体" w:cs="宋体"/>
          <w:color w:val="000000"/>
          <w:szCs w:val="21"/>
          <w:highlight w:val="none"/>
          <w:lang w:val="en-US" w:eastAsia="zh-CN"/>
        </w:rPr>
        <w:t>中标</w:t>
      </w:r>
      <w:r>
        <w:rPr>
          <w:rFonts w:hint="eastAsia" w:ascii="宋体" w:hAnsi="宋体" w:eastAsia="宋体" w:cs="宋体"/>
          <w:color w:val="000000"/>
          <w:szCs w:val="21"/>
          <w:highlight w:val="none"/>
        </w:rPr>
        <w:t>候选人。具体评审因素和分值如下。</w:t>
      </w:r>
    </w:p>
    <w:p>
      <w:pPr>
        <w:pStyle w:val="22"/>
        <w:rPr>
          <w:rFonts w:hint="eastAsia" w:ascii="宋体" w:hAnsi="宋体" w:eastAsia="宋体" w:cs="宋体"/>
          <w:color w:val="000000"/>
          <w:szCs w:val="21"/>
          <w:highlight w:val="none"/>
        </w:rPr>
      </w:pPr>
    </w:p>
    <w:p>
      <w:pPr>
        <w:pStyle w:val="22"/>
        <w:rPr>
          <w:rFonts w:hint="eastAsia" w:ascii="宋体" w:hAnsi="宋体" w:eastAsia="宋体" w:cs="宋体"/>
          <w:color w:val="000000"/>
          <w:szCs w:val="21"/>
          <w:highlight w:val="none"/>
        </w:rPr>
      </w:pPr>
    </w:p>
    <w:p>
      <w:pPr>
        <w:pStyle w:val="22"/>
        <w:rPr>
          <w:rFonts w:hint="eastAsia" w:ascii="宋体" w:hAnsi="宋体" w:eastAsia="宋体" w:cs="宋体"/>
          <w:color w:val="000000"/>
          <w:szCs w:val="21"/>
          <w:highlight w:val="none"/>
        </w:rPr>
      </w:pPr>
    </w:p>
    <w:p>
      <w:pPr>
        <w:pStyle w:val="22"/>
        <w:rPr>
          <w:rFonts w:hint="eastAsia" w:ascii="宋体" w:hAnsi="宋体" w:eastAsia="宋体" w:cs="宋体"/>
          <w:color w:val="000000"/>
          <w:szCs w:val="21"/>
          <w:highlight w:val="none"/>
        </w:rPr>
      </w:pPr>
    </w:p>
    <w:p>
      <w:pPr>
        <w:pStyle w:val="22"/>
        <w:rPr>
          <w:rFonts w:hint="eastAsia" w:ascii="宋体" w:hAnsi="宋体" w:eastAsia="宋体" w:cs="宋体"/>
          <w:color w:val="000000"/>
          <w:szCs w:val="21"/>
          <w:highlight w:val="none"/>
        </w:rPr>
      </w:pPr>
    </w:p>
    <w:p>
      <w:pPr>
        <w:pStyle w:val="22"/>
        <w:rPr>
          <w:rFonts w:hint="eastAsia" w:ascii="宋体" w:hAnsi="宋体" w:eastAsia="宋体" w:cs="宋体"/>
          <w:color w:val="000000"/>
          <w:szCs w:val="21"/>
          <w:highlight w:val="none"/>
        </w:rPr>
      </w:pPr>
    </w:p>
    <w:p>
      <w:pPr>
        <w:pStyle w:val="22"/>
        <w:rPr>
          <w:rFonts w:hint="eastAsia" w:ascii="宋体" w:hAnsi="宋体" w:eastAsia="宋体" w:cs="宋体"/>
          <w:color w:val="000000"/>
          <w:szCs w:val="21"/>
          <w:highlight w:val="none"/>
        </w:rPr>
      </w:pPr>
    </w:p>
    <w:p>
      <w:pPr>
        <w:pStyle w:val="22"/>
        <w:rPr>
          <w:rFonts w:hint="eastAsia" w:ascii="宋体" w:hAnsi="宋体" w:eastAsia="宋体" w:cs="宋体"/>
          <w:color w:val="000000"/>
          <w:szCs w:val="21"/>
          <w:highlight w:val="none"/>
        </w:rPr>
      </w:pPr>
    </w:p>
    <w:p>
      <w:pPr>
        <w:pStyle w:val="22"/>
        <w:rPr>
          <w:rFonts w:hint="eastAsia" w:ascii="宋体" w:hAnsi="宋体" w:eastAsia="宋体" w:cs="宋体"/>
          <w:color w:val="000000"/>
          <w:szCs w:val="21"/>
          <w:highlight w:val="none"/>
        </w:rPr>
      </w:pPr>
    </w:p>
    <w:p>
      <w:pPr>
        <w:spacing w:line="440" w:lineRule="exact"/>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综合评分明细表</w:t>
      </w:r>
    </w:p>
    <w:tbl>
      <w:tblPr>
        <w:tblStyle w:val="37"/>
        <w:tblW w:w="9429" w:type="dxa"/>
        <w:tblInd w:w="93" w:type="dxa"/>
        <w:tblLayout w:type="fixed"/>
        <w:tblCellMar>
          <w:top w:w="0" w:type="dxa"/>
          <w:left w:w="108" w:type="dxa"/>
          <w:bottom w:w="0" w:type="dxa"/>
          <w:right w:w="108" w:type="dxa"/>
        </w:tblCellMar>
      </w:tblPr>
      <w:tblGrid>
        <w:gridCol w:w="1326"/>
        <w:gridCol w:w="795"/>
        <w:gridCol w:w="7308"/>
      </w:tblGrid>
      <w:tr>
        <w:tblPrEx>
          <w:tblCellMar>
            <w:top w:w="0" w:type="dxa"/>
            <w:left w:w="108" w:type="dxa"/>
            <w:bottom w:w="0" w:type="dxa"/>
            <w:right w:w="108" w:type="dxa"/>
          </w:tblCellMar>
        </w:tblPrEx>
        <w:trPr>
          <w:trHeight w:val="440" w:hRule="atLeast"/>
        </w:trPr>
        <w:tc>
          <w:tcPr>
            <w:tcW w:w="13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评分因素</w:t>
            </w: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分值</w:t>
            </w:r>
          </w:p>
        </w:tc>
        <w:tc>
          <w:tcPr>
            <w:tcW w:w="73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20"/>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内容</w:t>
            </w:r>
          </w:p>
        </w:tc>
      </w:tr>
      <w:tr>
        <w:tblPrEx>
          <w:tblCellMar>
            <w:top w:w="0" w:type="dxa"/>
            <w:left w:w="108" w:type="dxa"/>
            <w:bottom w:w="0" w:type="dxa"/>
            <w:right w:w="108" w:type="dxa"/>
          </w:tblCellMar>
        </w:tblPrEx>
        <w:trPr>
          <w:trHeight w:val="312" w:hRule="atLeast"/>
        </w:trPr>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20"/>
              <w:rPr>
                <w:rFonts w:hint="eastAsia" w:ascii="宋体" w:hAnsi="宋体" w:eastAsia="宋体" w:cs="宋体"/>
                <w:color w:val="000000"/>
                <w:szCs w:val="21"/>
                <w:highlight w:val="none"/>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20"/>
              <w:rPr>
                <w:rFonts w:hint="eastAsia" w:ascii="宋体" w:hAnsi="宋体" w:eastAsia="宋体" w:cs="宋体"/>
                <w:color w:val="000000"/>
                <w:szCs w:val="21"/>
                <w:highlight w:val="none"/>
              </w:rPr>
            </w:pPr>
          </w:p>
        </w:tc>
        <w:tc>
          <w:tcPr>
            <w:tcW w:w="73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20"/>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1769" w:hRule="atLeast"/>
        </w:trPr>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投标报价</w:t>
            </w:r>
          </w:p>
          <w:p>
            <w:pPr>
              <w:pStyle w:val="16"/>
              <w:rPr>
                <w:rFonts w:hint="eastAsia" w:ascii="宋体" w:hAnsi="宋体" w:eastAsia="宋体" w:cs="宋体"/>
                <w:highlight w:val="none"/>
                <w:lang w:val="en-US" w:eastAsia="zh-CN"/>
              </w:rPr>
            </w:pPr>
            <w:r>
              <w:rPr>
                <w:rFonts w:hint="eastAsia" w:ascii="宋体" w:hAnsi="宋体" w:eastAsia="宋体" w:cs="宋体"/>
                <w:color w:val="000000"/>
                <w:kern w:val="2"/>
                <w:sz w:val="21"/>
                <w:szCs w:val="21"/>
                <w:highlight w:val="none"/>
                <w:lang w:val="en-US" w:eastAsia="zh-CN" w:bidi="ar-SA"/>
              </w:rPr>
              <w:t>（</w:t>
            </w:r>
            <w:r>
              <w:rPr>
                <w:rFonts w:hint="eastAsia" w:ascii="宋体" w:hAnsi="宋体" w:eastAsia="宋体" w:cs="宋体"/>
                <w:color w:val="000000"/>
                <w:szCs w:val="21"/>
                <w:highlight w:val="none"/>
                <w:lang w:val="en-US" w:eastAsia="zh-CN"/>
              </w:rPr>
              <w:t>10</w:t>
            </w:r>
            <w:r>
              <w:rPr>
                <w:rFonts w:hint="eastAsia" w:ascii="宋体" w:hAnsi="宋体" w:eastAsia="宋体" w:cs="宋体"/>
                <w:color w:val="000000"/>
                <w:szCs w:val="21"/>
                <w:highlight w:val="none"/>
              </w:rPr>
              <w:t>分</w:t>
            </w:r>
            <w:r>
              <w:rPr>
                <w:rFonts w:hint="eastAsia" w:ascii="宋体" w:hAnsi="宋体" w:eastAsia="宋体" w:cs="宋体"/>
                <w:color w:val="000000"/>
                <w:kern w:val="2"/>
                <w:sz w:val="21"/>
                <w:szCs w:val="21"/>
                <w:highlight w:val="none"/>
                <w:lang w:val="en-US" w:eastAsia="zh-CN" w:bidi="ar-SA"/>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10</w:t>
            </w:r>
            <w:r>
              <w:rPr>
                <w:rFonts w:hint="eastAsia" w:ascii="宋体" w:hAnsi="宋体" w:eastAsia="宋体" w:cs="宋体"/>
                <w:color w:val="000000"/>
                <w:szCs w:val="21"/>
                <w:highlight w:val="none"/>
              </w:rPr>
              <w:t>分</w:t>
            </w:r>
          </w:p>
        </w:tc>
        <w:tc>
          <w:tcPr>
            <w:tcW w:w="73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w:t>
            </w:r>
            <w:r>
              <w:rPr>
                <w:rFonts w:hint="eastAsia" w:ascii="宋体" w:hAnsi="宋体" w:eastAsia="宋体" w:cs="宋体"/>
                <w:highlight w:val="none"/>
              </w:rPr>
              <w:t>满足招标文件要求且投标价格最低的投标报价为评标基准价，其价格分为满分。其他</w:t>
            </w:r>
            <w:r>
              <w:rPr>
                <w:rFonts w:hint="eastAsia" w:ascii="宋体" w:hAnsi="宋体" w:eastAsia="宋体" w:cs="宋体"/>
                <w:highlight w:val="none"/>
                <w:lang w:eastAsia="zh-CN"/>
              </w:rPr>
              <w:t>投标供应商</w:t>
            </w:r>
            <w:r>
              <w:rPr>
                <w:rFonts w:hint="eastAsia" w:ascii="宋体" w:hAnsi="宋体" w:eastAsia="宋体" w:cs="宋体"/>
                <w:highlight w:val="none"/>
              </w:rPr>
              <w:t>的价格分统一按照下列公式计算：投标报价得分=（评标基准价/投标报价）×价格权值</w:t>
            </w:r>
          </w:p>
          <w:p>
            <w:pPr>
              <w:spacing w:line="44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eastAsia="宋体" w:cs="宋体"/>
                <w:highlight w:val="none"/>
              </w:rPr>
              <w:t>投标报价不完整的，不进入评标基准价的计算，本项得0分。</w:t>
            </w:r>
          </w:p>
        </w:tc>
      </w:tr>
      <w:tr>
        <w:tblPrEx>
          <w:tblCellMar>
            <w:top w:w="0" w:type="dxa"/>
            <w:left w:w="108" w:type="dxa"/>
            <w:bottom w:w="0" w:type="dxa"/>
            <w:right w:w="108" w:type="dxa"/>
          </w:tblCellMar>
        </w:tblPrEx>
        <w:trPr>
          <w:trHeight w:val="8577" w:hRule="atLeast"/>
        </w:trPr>
        <w:tc>
          <w:tcPr>
            <w:tcW w:w="1326" w:type="dxa"/>
            <w:vMerge w:val="restart"/>
            <w:tcBorders>
              <w:top w:val="single" w:color="auto" w:sz="4" w:space="0"/>
              <w:left w:val="single" w:color="auto" w:sz="4" w:space="0"/>
              <w:right w:val="single" w:color="auto" w:sz="4" w:space="0"/>
            </w:tcBorders>
            <w:noWrap w:val="0"/>
            <w:vAlign w:val="center"/>
          </w:tcPr>
          <w:p>
            <w:pPr>
              <w:spacing w:line="440" w:lineRule="exact"/>
              <w:ind w:firstLine="420"/>
              <w:rPr>
                <w:rFonts w:hint="eastAsia" w:ascii="宋体" w:hAnsi="宋体" w:eastAsia="宋体" w:cs="宋体"/>
                <w:highlight w:val="none"/>
              </w:rPr>
            </w:pPr>
          </w:p>
          <w:p>
            <w:pPr>
              <w:pStyle w:val="18"/>
              <w:rPr>
                <w:rFonts w:hint="eastAsia" w:ascii="宋体" w:hAnsi="宋体" w:eastAsia="宋体" w:cs="宋体"/>
                <w:color w:val="000000"/>
                <w:szCs w:val="21"/>
                <w:highlight w:val="none"/>
              </w:rPr>
            </w:pPr>
          </w:p>
          <w:p>
            <w:pPr>
              <w:pStyle w:val="18"/>
              <w:rPr>
                <w:rFonts w:hint="eastAsia" w:ascii="宋体" w:hAnsi="宋体" w:eastAsia="宋体" w:cs="宋体"/>
                <w:color w:val="000000"/>
                <w:szCs w:val="21"/>
                <w:highlight w:val="none"/>
              </w:rPr>
            </w:pPr>
          </w:p>
          <w:p>
            <w:pPr>
              <w:pStyle w:val="18"/>
              <w:rPr>
                <w:rFonts w:hint="eastAsia" w:ascii="宋体" w:hAnsi="宋体" w:eastAsia="宋体" w:cs="宋体"/>
                <w:color w:val="000000"/>
                <w:szCs w:val="21"/>
                <w:highlight w:val="none"/>
              </w:rPr>
            </w:pPr>
          </w:p>
          <w:p>
            <w:pPr>
              <w:pStyle w:val="18"/>
              <w:rPr>
                <w:rFonts w:hint="eastAsia" w:ascii="宋体" w:hAnsi="宋体" w:eastAsia="宋体" w:cs="宋体"/>
                <w:color w:val="000000"/>
                <w:szCs w:val="21"/>
                <w:highlight w:val="none"/>
              </w:rPr>
            </w:pPr>
          </w:p>
          <w:p>
            <w:pPr>
              <w:pStyle w:val="18"/>
              <w:rPr>
                <w:rFonts w:hint="eastAsia" w:ascii="宋体" w:hAnsi="宋体" w:eastAsia="宋体" w:cs="宋体"/>
                <w:color w:val="000000"/>
                <w:szCs w:val="21"/>
                <w:highlight w:val="none"/>
              </w:rPr>
            </w:pPr>
          </w:p>
          <w:p>
            <w:pPr>
              <w:pStyle w:val="18"/>
              <w:rPr>
                <w:rFonts w:hint="eastAsia" w:ascii="宋体" w:hAnsi="宋体" w:eastAsia="宋体" w:cs="宋体"/>
                <w:color w:val="000000"/>
                <w:szCs w:val="21"/>
                <w:highlight w:val="none"/>
              </w:rPr>
            </w:pPr>
          </w:p>
          <w:p>
            <w:pPr>
              <w:pStyle w:val="18"/>
              <w:rPr>
                <w:rFonts w:hint="eastAsia" w:ascii="宋体" w:hAnsi="宋体" w:eastAsia="宋体" w:cs="宋体"/>
                <w:color w:val="000000"/>
                <w:szCs w:val="21"/>
                <w:highlight w:val="none"/>
              </w:rPr>
            </w:pPr>
          </w:p>
          <w:p>
            <w:pPr>
              <w:pStyle w:val="18"/>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技术方案</w:t>
            </w:r>
          </w:p>
          <w:p>
            <w:pPr>
              <w:pStyle w:val="18"/>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（80）</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000000"/>
                <w:szCs w:val="21"/>
                <w:highlight w:val="none"/>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lang w:val="zh-CN" w:eastAsia="zh-CN"/>
              </w:rPr>
              <w:t>分</w:t>
            </w:r>
          </w:p>
        </w:tc>
        <w:tc>
          <w:tcPr>
            <w:tcW w:w="730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项目人员配备情况：</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人员配备情况（5分）：根据投标供应商拟投入本项目的项目管理技术岗人员情况（包括能力、经验）、其他养护人员（除管理技术岗人员）情况（包括岗位设置完善、人员层次丰富、人员数量合理、工作内容和区域分配科学性）情况评审；</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人员结构合理，人员配备齐全，得 </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 xml:space="preserve">5-3）分； </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人员结构较合理，人员配备较齐全，得 </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 xml:space="preserve">3-1）分； </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人员结构不够合理，人员配备不够齐全，得 </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1-0]分。</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备注：其中安保人员、保洁人员、园林植保工、绿化工、花卉工工种类别配备齐全，人员提供身份证、园林绿化相关岗位证书的扫描件加盖公章。</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人员考核方案（5分）：人员考核方案（包括人员考核方案、奖惩方案）是否完善科学情况、人员安全培训管理方案（包括人员培训方案、人员安全保障措施）、人员保障规范方案（包括合同执行期间的人员数量保障方案、人员管理规范方案）是否完善科学情况进行评审；</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人员考核方案全面、具体、可行、完善、科学合理，得</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5-3）分；</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人员考核方案较为全面、具体、可行、完善、科学合理，得</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3-1）分；</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人员考核方案不太全面、具体、可行、完善、科学合理，</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1-0]分；</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3.投标供应商拟派的项目负责人情况（2分）：具有园林绿化专业中级及以上职称证书的得2分，没有不得分。</w:t>
            </w:r>
          </w:p>
        </w:tc>
      </w:tr>
      <w:tr>
        <w:tblPrEx>
          <w:tblCellMar>
            <w:top w:w="0" w:type="dxa"/>
            <w:left w:w="108" w:type="dxa"/>
            <w:bottom w:w="0" w:type="dxa"/>
            <w:right w:w="108" w:type="dxa"/>
          </w:tblCellMar>
        </w:tblPrEx>
        <w:trPr>
          <w:trHeight w:val="2792" w:hRule="atLeast"/>
        </w:trPr>
        <w:tc>
          <w:tcPr>
            <w:tcW w:w="1326" w:type="dxa"/>
            <w:vMerge w:val="continue"/>
            <w:tcBorders>
              <w:left w:val="single" w:color="auto" w:sz="4" w:space="0"/>
              <w:right w:val="single" w:color="auto" w:sz="4" w:space="0"/>
            </w:tcBorders>
            <w:noWrap w:val="0"/>
            <w:vAlign w:val="center"/>
          </w:tcPr>
          <w:p>
            <w:pPr>
              <w:pStyle w:val="18"/>
              <w:rPr>
                <w:rFonts w:hint="eastAsia" w:ascii="宋体" w:hAnsi="宋体" w:eastAsia="宋体" w:cs="宋体"/>
                <w:color w:val="000000"/>
                <w:szCs w:val="21"/>
                <w:highlight w:val="none"/>
                <w:lang w:val="en-US" w:eastAsia="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rPr>
              <w:t>分</w:t>
            </w:r>
          </w:p>
        </w:tc>
        <w:tc>
          <w:tcPr>
            <w:tcW w:w="730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机械设备配备：</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根据投标供应商拟投入本项目的机械设备的种类齐全、数量合理、性能优良、维修保障方案（包括维修保障能力、专人化维护方案完善）、机械设备的定期维护时间安排合理性情况评审；</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拟投入机械设备齐全、先进、合理可行，得</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5-3）分；</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拟投入机械设备不够齐全、先进、不合理可行，还需后期补充完善数量和类型的，得</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3-0]分；</w:t>
            </w:r>
          </w:p>
        </w:tc>
      </w:tr>
      <w:tr>
        <w:tblPrEx>
          <w:tblCellMar>
            <w:top w:w="0" w:type="dxa"/>
            <w:left w:w="108" w:type="dxa"/>
            <w:bottom w:w="0" w:type="dxa"/>
            <w:right w:w="108" w:type="dxa"/>
          </w:tblCellMar>
        </w:tblPrEx>
        <w:trPr>
          <w:trHeight w:val="2792" w:hRule="atLeast"/>
        </w:trPr>
        <w:tc>
          <w:tcPr>
            <w:tcW w:w="1326" w:type="dxa"/>
            <w:vMerge w:val="continue"/>
            <w:tcBorders>
              <w:left w:val="single" w:color="auto" w:sz="4" w:space="0"/>
              <w:right w:val="single" w:color="auto" w:sz="4" w:space="0"/>
            </w:tcBorders>
            <w:noWrap w:val="0"/>
            <w:vAlign w:val="center"/>
          </w:tcPr>
          <w:p>
            <w:pPr>
              <w:pStyle w:val="18"/>
              <w:rPr>
                <w:rFonts w:hint="eastAsia" w:ascii="宋体" w:hAnsi="宋体" w:eastAsia="宋体" w:cs="宋体"/>
                <w:color w:val="000000"/>
                <w:szCs w:val="21"/>
                <w:highlight w:val="none"/>
                <w:lang w:val="en-US" w:eastAsia="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10" w:firstLineChars="100"/>
              <w:jc w:val="both"/>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rPr>
              <w:t>分</w:t>
            </w:r>
          </w:p>
        </w:tc>
        <w:tc>
          <w:tcPr>
            <w:tcW w:w="730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交通工具及安保用具</w:t>
            </w:r>
            <w:r>
              <w:rPr>
                <w:rFonts w:hint="eastAsia" w:ascii="宋体" w:hAnsi="宋体" w:eastAsia="宋体" w:cs="宋体"/>
                <w:sz w:val="21"/>
                <w:szCs w:val="21"/>
                <w:highlight w:val="none"/>
                <w:lang w:val="en-US" w:eastAsia="zh-CN"/>
              </w:rPr>
              <w:t>配备：</w:t>
            </w:r>
          </w:p>
          <w:p>
            <w:pPr>
              <w:spacing w:line="440" w:lineRule="exac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根据投入本项目的交通工具及安保用具情况，</w:t>
            </w:r>
            <w:r>
              <w:rPr>
                <w:rFonts w:hint="eastAsia" w:ascii="宋体" w:hAnsi="宋体" w:eastAsia="宋体" w:cs="宋体"/>
                <w:sz w:val="21"/>
                <w:szCs w:val="21"/>
                <w:highlight w:val="none"/>
                <w:lang w:val="en-US" w:eastAsia="zh-CN"/>
              </w:rPr>
              <w:t>包含但不限于</w:t>
            </w:r>
            <w:r>
              <w:rPr>
                <w:rFonts w:hint="eastAsia" w:ascii="宋体" w:hAnsi="宋体" w:eastAsia="宋体" w:cs="宋体"/>
                <w:sz w:val="21"/>
                <w:szCs w:val="21"/>
                <w:highlight w:val="none"/>
                <w:lang w:val="zh-CN" w:eastAsia="zh-CN"/>
              </w:rPr>
              <w:t>巡逻车、</w:t>
            </w:r>
            <w:r>
              <w:rPr>
                <w:rFonts w:hint="eastAsia" w:ascii="宋体" w:hAnsi="宋体" w:eastAsia="宋体" w:cs="宋体"/>
                <w:sz w:val="21"/>
                <w:szCs w:val="21"/>
                <w:highlight w:val="none"/>
                <w:lang w:val="en-US" w:eastAsia="zh-CN"/>
              </w:rPr>
              <w:t>货车、</w:t>
            </w:r>
            <w:r>
              <w:rPr>
                <w:rFonts w:hint="eastAsia" w:ascii="宋体" w:hAnsi="宋体" w:eastAsia="宋体" w:cs="宋体"/>
                <w:sz w:val="21"/>
                <w:szCs w:val="21"/>
                <w:highlight w:val="none"/>
                <w:lang w:val="zh-CN" w:eastAsia="zh-CN"/>
              </w:rPr>
              <w:t>对讲机、</w:t>
            </w:r>
            <w:r>
              <w:rPr>
                <w:rFonts w:hint="eastAsia" w:ascii="宋体" w:hAnsi="宋体" w:eastAsia="宋体" w:cs="宋体"/>
                <w:sz w:val="21"/>
                <w:szCs w:val="21"/>
                <w:highlight w:val="none"/>
                <w:lang w:val="en-US" w:eastAsia="zh-CN"/>
              </w:rPr>
              <w:t>专业服装</w:t>
            </w:r>
            <w:r>
              <w:rPr>
                <w:rFonts w:hint="eastAsia" w:ascii="宋体" w:hAnsi="宋体" w:eastAsia="宋体" w:cs="宋体"/>
                <w:sz w:val="21"/>
                <w:szCs w:val="21"/>
                <w:highlight w:val="none"/>
                <w:lang w:val="zh-CN" w:eastAsia="zh-CN"/>
              </w:rPr>
              <w:t>等设备配备</w:t>
            </w:r>
            <w:r>
              <w:rPr>
                <w:rFonts w:hint="eastAsia" w:ascii="宋体" w:hAnsi="宋体" w:eastAsia="宋体" w:cs="宋体"/>
                <w:sz w:val="21"/>
                <w:szCs w:val="21"/>
                <w:highlight w:val="none"/>
                <w:lang w:val="en-US" w:eastAsia="zh-CN"/>
              </w:rPr>
              <w:t>情况评审</w:t>
            </w:r>
            <w:r>
              <w:rPr>
                <w:rFonts w:hint="eastAsia" w:ascii="宋体" w:hAnsi="宋体" w:eastAsia="宋体" w:cs="宋体"/>
                <w:sz w:val="21"/>
                <w:szCs w:val="21"/>
                <w:highlight w:val="none"/>
                <w:lang w:val="zh-CN" w:eastAsia="zh-CN"/>
              </w:rPr>
              <w:t>；</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拟投入</w:t>
            </w:r>
            <w:r>
              <w:rPr>
                <w:rFonts w:hint="eastAsia" w:ascii="宋体" w:hAnsi="宋体" w:eastAsia="宋体" w:cs="宋体"/>
                <w:sz w:val="21"/>
                <w:szCs w:val="21"/>
                <w:highlight w:val="none"/>
                <w:lang w:val="zh-CN" w:eastAsia="zh-CN"/>
              </w:rPr>
              <w:t>交通工具及安保用具</w:t>
            </w:r>
            <w:r>
              <w:rPr>
                <w:rFonts w:hint="eastAsia" w:ascii="宋体" w:hAnsi="宋体" w:eastAsia="宋体" w:cs="宋体"/>
                <w:sz w:val="21"/>
                <w:szCs w:val="21"/>
                <w:highlight w:val="none"/>
                <w:lang w:val="en-US" w:eastAsia="zh-CN"/>
              </w:rPr>
              <w:t>齐全、先进、合理可行，得[5-3）分；</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拟投入</w:t>
            </w:r>
            <w:r>
              <w:rPr>
                <w:rFonts w:hint="eastAsia" w:ascii="宋体" w:hAnsi="宋体" w:eastAsia="宋体" w:cs="宋体"/>
                <w:sz w:val="21"/>
                <w:szCs w:val="21"/>
                <w:highlight w:val="none"/>
                <w:lang w:val="zh-CN" w:eastAsia="zh-CN"/>
              </w:rPr>
              <w:t>交通工具及安保用具</w:t>
            </w:r>
            <w:r>
              <w:rPr>
                <w:rFonts w:hint="eastAsia" w:ascii="宋体" w:hAnsi="宋体" w:eastAsia="宋体" w:cs="宋体"/>
                <w:sz w:val="21"/>
                <w:szCs w:val="21"/>
                <w:highlight w:val="none"/>
                <w:lang w:val="en-US" w:eastAsia="zh-CN"/>
              </w:rPr>
              <w:t>不够齐全、先进、不合理可行，还需</w:t>
            </w:r>
            <w:r>
              <w:rPr>
                <w:rFonts w:hint="eastAsia" w:ascii="宋体" w:hAnsi="宋体" w:eastAsia="宋体" w:cs="宋体"/>
                <w:color w:val="auto"/>
                <w:kern w:val="2"/>
                <w:sz w:val="21"/>
                <w:szCs w:val="21"/>
                <w:highlight w:val="none"/>
                <w:lang w:val="en-US" w:eastAsia="zh-CN" w:bidi="ar-SA"/>
              </w:rPr>
              <w:t>后期补充完善数量和类型的，得[3-0]分；</w:t>
            </w:r>
          </w:p>
        </w:tc>
      </w:tr>
      <w:tr>
        <w:tblPrEx>
          <w:tblCellMar>
            <w:top w:w="0" w:type="dxa"/>
            <w:left w:w="108" w:type="dxa"/>
            <w:bottom w:w="0" w:type="dxa"/>
            <w:right w:w="108" w:type="dxa"/>
          </w:tblCellMar>
        </w:tblPrEx>
        <w:trPr>
          <w:trHeight w:val="90" w:hRule="atLeast"/>
        </w:trPr>
        <w:tc>
          <w:tcPr>
            <w:tcW w:w="1326" w:type="dxa"/>
            <w:vMerge w:val="continue"/>
            <w:tcBorders>
              <w:left w:val="single" w:color="auto" w:sz="4" w:space="0"/>
              <w:right w:val="single" w:color="auto" w:sz="4" w:space="0"/>
            </w:tcBorders>
            <w:noWrap w:val="0"/>
            <w:vAlign w:val="center"/>
          </w:tcPr>
          <w:p>
            <w:pPr>
              <w:spacing w:line="440" w:lineRule="exact"/>
              <w:ind w:firstLine="420"/>
              <w:rPr>
                <w:rFonts w:hint="eastAsia" w:ascii="宋体" w:hAnsi="宋体" w:eastAsia="宋体" w:cs="宋体"/>
                <w:color w:val="000000"/>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8分</w:t>
            </w:r>
          </w:p>
        </w:tc>
        <w:tc>
          <w:tcPr>
            <w:tcW w:w="730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绿化养护管理服务方案：</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根据投标供应商针对本项目的绿化养护管理服务方案情况进行评审；</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绿化养护管理方案完善、全面、合理，得[8-6）分；</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绿化养护管理方案较完善、全面、合理，得[6-3）分；</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绿化养护管理方案不太完善、全面、合理，得[3-0]分；</w:t>
            </w:r>
          </w:p>
        </w:tc>
      </w:tr>
      <w:tr>
        <w:tblPrEx>
          <w:tblCellMar>
            <w:top w:w="0" w:type="dxa"/>
            <w:left w:w="108" w:type="dxa"/>
            <w:bottom w:w="0" w:type="dxa"/>
            <w:right w:w="108" w:type="dxa"/>
          </w:tblCellMar>
        </w:tblPrEx>
        <w:trPr>
          <w:trHeight w:val="90" w:hRule="atLeast"/>
        </w:trPr>
        <w:tc>
          <w:tcPr>
            <w:tcW w:w="1326" w:type="dxa"/>
            <w:vMerge w:val="continue"/>
            <w:tcBorders>
              <w:left w:val="single" w:color="auto" w:sz="4" w:space="0"/>
              <w:right w:val="single" w:color="auto" w:sz="4" w:space="0"/>
            </w:tcBorders>
            <w:noWrap w:val="0"/>
            <w:vAlign w:val="center"/>
          </w:tcPr>
          <w:p>
            <w:pPr>
              <w:spacing w:line="440" w:lineRule="exact"/>
              <w:ind w:firstLine="420"/>
              <w:rPr>
                <w:rFonts w:hint="eastAsia" w:ascii="宋体" w:hAnsi="宋体" w:eastAsia="宋体" w:cs="宋体"/>
                <w:color w:val="000000"/>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10" w:firstLineChars="100"/>
              <w:jc w:val="both"/>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5分</w:t>
            </w:r>
          </w:p>
        </w:tc>
        <w:tc>
          <w:tcPr>
            <w:tcW w:w="730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养护进度计划</w:t>
            </w:r>
            <w:r>
              <w:rPr>
                <w:rFonts w:hint="eastAsia" w:ascii="宋体" w:hAnsi="宋体" w:eastAsia="宋体" w:cs="宋体"/>
                <w:sz w:val="21"/>
                <w:szCs w:val="21"/>
                <w:highlight w:val="none"/>
                <w:lang w:val="en-US" w:eastAsia="zh-CN"/>
              </w:rPr>
              <w:t>及保证</w:t>
            </w:r>
            <w:r>
              <w:rPr>
                <w:rFonts w:hint="eastAsia" w:ascii="宋体" w:hAnsi="宋体" w:eastAsia="宋体" w:cs="宋体"/>
                <w:sz w:val="21"/>
                <w:szCs w:val="21"/>
                <w:highlight w:val="none"/>
                <w:lang w:val="zh-CN" w:eastAsia="zh-CN"/>
              </w:rPr>
              <w:t>措施：</w:t>
            </w:r>
          </w:p>
          <w:p>
            <w:pPr>
              <w:spacing w:line="440" w:lineRule="exac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 xml:space="preserve">针对本项目，有具体、可行的确保进度计划的技术组织措施。 </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措施</w:t>
            </w:r>
            <w:r>
              <w:rPr>
                <w:rFonts w:hint="eastAsia" w:ascii="宋体" w:hAnsi="宋体" w:eastAsia="宋体" w:cs="宋体"/>
                <w:sz w:val="21"/>
                <w:szCs w:val="21"/>
                <w:highlight w:val="none"/>
                <w:lang w:val="zh-CN" w:eastAsia="zh-CN"/>
              </w:rPr>
              <w:t>内容科学具体，有针对性</w:t>
            </w:r>
            <w:r>
              <w:rPr>
                <w:rFonts w:hint="eastAsia" w:ascii="宋体" w:hAnsi="宋体" w:eastAsia="宋体" w:cs="宋体"/>
                <w:sz w:val="21"/>
                <w:szCs w:val="21"/>
                <w:highlight w:val="none"/>
                <w:lang w:val="en-US" w:eastAsia="zh-CN"/>
              </w:rPr>
              <w:t>，得[5-3）分；</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sz w:val="21"/>
                <w:szCs w:val="21"/>
                <w:highlight w:val="none"/>
                <w:lang w:val="en-US" w:eastAsia="zh-CN"/>
              </w:rPr>
              <w:t>措施</w:t>
            </w:r>
            <w:r>
              <w:rPr>
                <w:rFonts w:hint="eastAsia" w:ascii="宋体" w:hAnsi="宋体" w:eastAsia="宋体" w:cs="宋体"/>
                <w:color w:val="auto"/>
                <w:kern w:val="2"/>
                <w:sz w:val="21"/>
                <w:szCs w:val="21"/>
                <w:highlight w:val="none"/>
                <w:lang w:val="zh-CN" w:eastAsia="zh-CN" w:bidi="ar-SA"/>
              </w:rPr>
              <w:t>内容</w:t>
            </w:r>
            <w:r>
              <w:rPr>
                <w:rFonts w:hint="eastAsia" w:ascii="宋体" w:hAnsi="宋体" w:eastAsia="宋体" w:cs="宋体"/>
                <w:color w:val="auto"/>
                <w:kern w:val="2"/>
                <w:sz w:val="21"/>
                <w:szCs w:val="21"/>
                <w:highlight w:val="none"/>
                <w:lang w:val="en-US" w:eastAsia="zh-CN" w:bidi="ar-SA"/>
              </w:rPr>
              <w:t>较</w:t>
            </w:r>
            <w:r>
              <w:rPr>
                <w:rFonts w:hint="eastAsia" w:ascii="宋体" w:hAnsi="宋体" w:eastAsia="宋体" w:cs="宋体"/>
                <w:color w:val="auto"/>
                <w:kern w:val="2"/>
                <w:sz w:val="21"/>
                <w:szCs w:val="21"/>
                <w:highlight w:val="none"/>
                <w:lang w:val="zh-CN" w:eastAsia="zh-CN" w:bidi="ar-SA"/>
              </w:rPr>
              <w:t>科学具体，针对性</w:t>
            </w:r>
            <w:r>
              <w:rPr>
                <w:rFonts w:hint="eastAsia" w:ascii="宋体" w:hAnsi="宋体" w:eastAsia="宋体" w:cs="宋体"/>
                <w:color w:val="auto"/>
                <w:kern w:val="2"/>
                <w:sz w:val="21"/>
                <w:szCs w:val="21"/>
                <w:highlight w:val="none"/>
                <w:lang w:val="en-US" w:eastAsia="zh-CN" w:bidi="ar-SA"/>
              </w:rPr>
              <w:t>不强</w:t>
            </w:r>
            <w:r>
              <w:rPr>
                <w:rFonts w:hint="eastAsia" w:ascii="宋体" w:hAnsi="宋体" w:eastAsia="宋体" w:cs="宋体"/>
                <w:color w:val="auto"/>
                <w:kern w:val="2"/>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3-1</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p>
            <w:pPr>
              <w:pStyle w:val="150"/>
              <w:numPr>
                <w:ilvl w:val="0"/>
                <w:numId w:val="0"/>
              </w:numPr>
              <w:spacing w:before="128" w:line="360" w:lineRule="auto"/>
              <w:ind w:left="0" w:leftChars="0" w:firstLine="0" w:firstLineChars="0"/>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措施</w:t>
            </w:r>
            <w:r>
              <w:rPr>
                <w:rFonts w:hint="eastAsia" w:ascii="宋体" w:hAnsi="宋体" w:eastAsia="宋体" w:cs="宋体"/>
                <w:color w:val="auto"/>
                <w:kern w:val="2"/>
                <w:sz w:val="21"/>
                <w:szCs w:val="21"/>
                <w:highlight w:val="none"/>
                <w:lang w:val="zh-CN" w:eastAsia="zh-CN" w:bidi="ar-SA"/>
              </w:rPr>
              <w:t>内容</w:t>
            </w:r>
            <w:r>
              <w:rPr>
                <w:rFonts w:hint="eastAsia" w:ascii="宋体" w:hAnsi="宋体" w:eastAsia="宋体" w:cs="宋体"/>
                <w:color w:val="auto"/>
                <w:kern w:val="2"/>
                <w:sz w:val="21"/>
                <w:szCs w:val="21"/>
                <w:highlight w:val="none"/>
                <w:lang w:val="en-US" w:eastAsia="zh-CN" w:bidi="ar-SA"/>
              </w:rPr>
              <w:t>不够</w:t>
            </w:r>
            <w:r>
              <w:rPr>
                <w:rFonts w:hint="eastAsia" w:ascii="宋体" w:hAnsi="宋体" w:eastAsia="宋体" w:cs="宋体"/>
                <w:color w:val="auto"/>
                <w:kern w:val="2"/>
                <w:sz w:val="21"/>
                <w:szCs w:val="21"/>
                <w:highlight w:val="none"/>
                <w:lang w:val="zh-CN" w:eastAsia="zh-CN" w:bidi="ar-SA"/>
              </w:rPr>
              <w:t>科学具体，针对性</w:t>
            </w:r>
            <w:r>
              <w:rPr>
                <w:rFonts w:hint="eastAsia" w:ascii="宋体" w:hAnsi="宋体" w:eastAsia="宋体" w:cs="宋体"/>
                <w:color w:val="auto"/>
                <w:kern w:val="2"/>
                <w:sz w:val="21"/>
                <w:szCs w:val="21"/>
                <w:highlight w:val="none"/>
                <w:lang w:val="en-US" w:eastAsia="zh-CN" w:bidi="ar-SA"/>
              </w:rPr>
              <w:t>弱</w:t>
            </w:r>
            <w:r>
              <w:rPr>
                <w:rFonts w:hint="eastAsia" w:ascii="宋体" w:hAnsi="宋体" w:eastAsia="宋体" w:cs="宋体"/>
                <w:color w:val="auto"/>
                <w:kern w:val="2"/>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tc>
      </w:tr>
      <w:tr>
        <w:tblPrEx>
          <w:tblCellMar>
            <w:top w:w="0" w:type="dxa"/>
            <w:left w:w="108" w:type="dxa"/>
            <w:bottom w:w="0" w:type="dxa"/>
            <w:right w:w="108" w:type="dxa"/>
          </w:tblCellMar>
        </w:tblPrEx>
        <w:trPr>
          <w:trHeight w:val="90" w:hRule="atLeast"/>
        </w:trPr>
        <w:tc>
          <w:tcPr>
            <w:tcW w:w="1326" w:type="dxa"/>
            <w:vMerge w:val="continue"/>
            <w:tcBorders>
              <w:left w:val="single" w:color="auto" w:sz="4" w:space="0"/>
              <w:right w:val="single" w:color="auto" w:sz="4" w:space="0"/>
            </w:tcBorders>
            <w:noWrap w:val="0"/>
            <w:vAlign w:val="center"/>
          </w:tcPr>
          <w:p>
            <w:pPr>
              <w:spacing w:line="440" w:lineRule="exact"/>
              <w:ind w:firstLine="420"/>
              <w:rPr>
                <w:rFonts w:hint="eastAsia" w:ascii="宋体" w:hAnsi="宋体" w:eastAsia="宋体" w:cs="宋体"/>
                <w:color w:val="000000"/>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10" w:firstLineChars="100"/>
              <w:jc w:val="both"/>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rPr>
              <w:t>分</w:t>
            </w:r>
          </w:p>
        </w:tc>
        <w:tc>
          <w:tcPr>
            <w:tcW w:w="730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养护质量承诺与</w:t>
            </w:r>
            <w:r>
              <w:rPr>
                <w:rFonts w:hint="eastAsia" w:ascii="宋体" w:hAnsi="宋体" w:eastAsia="宋体" w:cs="宋体"/>
                <w:sz w:val="21"/>
                <w:szCs w:val="21"/>
                <w:highlight w:val="none"/>
                <w:lang w:val="en-US" w:eastAsia="zh-CN"/>
              </w:rPr>
              <w:t>保证措施：</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养护质量保证承诺、措施力度、软硬件条件、监督考核等方面内容进行评</w:t>
            </w:r>
            <w:r>
              <w:rPr>
                <w:rFonts w:hint="eastAsia" w:ascii="宋体" w:hAnsi="宋体" w:eastAsia="宋体" w:cs="宋体"/>
                <w:sz w:val="21"/>
                <w:szCs w:val="21"/>
                <w:highlight w:val="none"/>
                <w:lang w:val="en-US" w:eastAsia="zh-CN"/>
              </w:rPr>
              <w:t>审；</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sz w:val="21"/>
                <w:szCs w:val="21"/>
                <w:highlight w:val="none"/>
              </w:rPr>
              <w:t>承诺与</w:t>
            </w:r>
            <w:r>
              <w:rPr>
                <w:rFonts w:hint="eastAsia" w:ascii="宋体" w:hAnsi="宋体" w:eastAsia="宋体" w:cs="宋体"/>
                <w:sz w:val="21"/>
                <w:szCs w:val="21"/>
                <w:highlight w:val="none"/>
                <w:lang w:val="en-US" w:eastAsia="zh-CN"/>
              </w:rPr>
              <w:t>措施</w:t>
            </w:r>
            <w:r>
              <w:rPr>
                <w:rFonts w:hint="eastAsia" w:ascii="宋体" w:hAnsi="宋体" w:eastAsia="宋体" w:cs="宋体"/>
                <w:color w:val="auto"/>
                <w:kern w:val="2"/>
                <w:sz w:val="21"/>
                <w:szCs w:val="21"/>
                <w:highlight w:val="none"/>
                <w:lang w:val="en-US" w:eastAsia="zh-CN"/>
              </w:rPr>
              <w:t>全面、合理、得力，得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5-3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承诺与</w:t>
            </w:r>
            <w:r>
              <w:rPr>
                <w:rFonts w:hint="eastAsia" w:ascii="宋体" w:hAnsi="宋体" w:eastAsia="宋体" w:cs="宋体"/>
                <w:sz w:val="21"/>
                <w:szCs w:val="21"/>
                <w:highlight w:val="none"/>
                <w:lang w:val="en-US" w:eastAsia="zh-CN"/>
              </w:rPr>
              <w:t>措施较全面、合理、得力，得</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3-1</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z w:val="21"/>
                <w:szCs w:val="21"/>
                <w:highlight w:val="none"/>
                <w:lang w:val="en-US" w:eastAsia="zh-CN"/>
              </w:rPr>
              <w:t>分；</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承诺与</w:t>
            </w:r>
            <w:r>
              <w:rPr>
                <w:rFonts w:hint="eastAsia" w:ascii="宋体" w:hAnsi="宋体" w:eastAsia="宋体" w:cs="宋体"/>
                <w:sz w:val="21"/>
                <w:szCs w:val="21"/>
                <w:highlight w:val="none"/>
                <w:lang w:val="en-US" w:eastAsia="zh-CN"/>
              </w:rPr>
              <w:t>措施不太全面、合理、得力，得</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z w:val="21"/>
                <w:szCs w:val="21"/>
                <w:highlight w:val="none"/>
                <w:lang w:val="en-US" w:eastAsia="zh-CN"/>
              </w:rPr>
              <w:t>分；</w:t>
            </w:r>
          </w:p>
        </w:tc>
      </w:tr>
      <w:tr>
        <w:tblPrEx>
          <w:tblCellMar>
            <w:top w:w="0" w:type="dxa"/>
            <w:left w:w="108" w:type="dxa"/>
            <w:bottom w:w="0" w:type="dxa"/>
            <w:right w:w="108" w:type="dxa"/>
          </w:tblCellMar>
        </w:tblPrEx>
        <w:trPr>
          <w:trHeight w:val="498" w:hRule="atLeast"/>
        </w:trPr>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20"/>
              <w:rPr>
                <w:rFonts w:hint="eastAsia" w:ascii="宋体" w:hAnsi="宋体" w:eastAsia="宋体" w:cs="宋体"/>
                <w:color w:val="000000"/>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000000"/>
                <w:szCs w:val="21"/>
                <w:highlight w:val="none"/>
              </w:rPr>
            </w:pPr>
            <w:r>
              <w:rPr>
                <w:rFonts w:hint="eastAsia" w:ascii="宋体" w:hAnsi="宋体" w:eastAsia="宋体" w:cs="Times New Roman"/>
                <w:color w:val="auto"/>
                <w:kern w:val="2"/>
                <w:sz w:val="21"/>
                <w:szCs w:val="21"/>
                <w:highlight w:val="none"/>
                <w:lang w:val="en-US" w:eastAsia="zh-CN"/>
              </w:rPr>
              <w:t>5分</w:t>
            </w:r>
          </w:p>
        </w:tc>
        <w:tc>
          <w:tcPr>
            <w:tcW w:w="730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养护管理制度：</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根据投标供应商针对本项目的养护管理制度（包括养护管理体系完善、养护管理制度规程齐全、养护管理措施保障完善）响应程度进行评审；</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措施全面、合理、得力，得[5-3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措施较全面、合理、得力，得[3-1</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p>
            <w:pPr>
              <w:spacing w:line="440" w:lineRule="exact"/>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措施不太全面、合理、得力，得[1-0</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tc>
      </w:tr>
      <w:tr>
        <w:tblPrEx>
          <w:tblCellMar>
            <w:top w:w="0" w:type="dxa"/>
            <w:left w:w="108" w:type="dxa"/>
            <w:bottom w:w="0" w:type="dxa"/>
            <w:right w:w="108" w:type="dxa"/>
          </w:tblCellMar>
        </w:tblPrEx>
        <w:trPr>
          <w:trHeight w:val="643" w:hRule="atLeast"/>
        </w:trPr>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20"/>
              <w:rPr>
                <w:rFonts w:hint="eastAsia" w:ascii="宋体" w:hAnsi="宋体" w:eastAsia="宋体" w:cs="宋体"/>
                <w:color w:val="000000"/>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10" w:firstLineChars="100"/>
              <w:jc w:val="both"/>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5分</w:t>
            </w:r>
          </w:p>
        </w:tc>
        <w:tc>
          <w:tcPr>
            <w:tcW w:w="730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对配套设施的维护管理及措施：</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对配套设施的维护管理及措施包括各类配套设施的养护管理等。 </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sz w:val="21"/>
                <w:szCs w:val="21"/>
                <w:highlight w:val="none"/>
                <w:lang w:val="en-US" w:eastAsia="zh-CN"/>
              </w:rPr>
              <w:t>措施</w:t>
            </w:r>
            <w:r>
              <w:rPr>
                <w:rFonts w:hint="eastAsia" w:ascii="宋体" w:hAnsi="宋体" w:eastAsia="宋体" w:cs="宋体"/>
                <w:color w:val="auto"/>
                <w:kern w:val="2"/>
                <w:sz w:val="21"/>
                <w:szCs w:val="21"/>
                <w:highlight w:val="none"/>
                <w:lang w:val="en-US" w:eastAsia="zh-CN"/>
              </w:rPr>
              <w:t>全面、合理、得力，得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5-3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措施</w:t>
            </w:r>
            <w:r>
              <w:rPr>
                <w:rFonts w:hint="eastAsia" w:ascii="宋体" w:hAnsi="宋体" w:eastAsia="宋体" w:cs="宋体"/>
                <w:color w:val="auto"/>
                <w:kern w:val="2"/>
                <w:sz w:val="21"/>
                <w:szCs w:val="21"/>
                <w:highlight w:val="none"/>
                <w:lang w:val="en-US" w:eastAsia="zh-CN"/>
              </w:rPr>
              <w:t>较全面、合理、得力，得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3-1</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p>
            <w:pPr>
              <w:spacing w:line="440" w:lineRule="exact"/>
              <w:rPr>
                <w:rFonts w:hint="eastAsia" w:ascii="宋体" w:hAnsi="宋体" w:eastAsia="宋体" w:cs="宋体"/>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措施</w:t>
            </w:r>
            <w:r>
              <w:rPr>
                <w:rFonts w:hint="eastAsia" w:ascii="宋体" w:hAnsi="宋体" w:eastAsia="宋体" w:cs="宋体"/>
                <w:color w:val="auto"/>
                <w:kern w:val="2"/>
                <w:sz w:val="21"/>
                <w:szCs w:val="21"/>
                <w:highlight w:val="none"/>
                <w:lang w:val="en-US" w:eastAsia="zh-CN"/>
              </w:rPr>
              <w:t>不太全面、合理、得力，得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tc>
      </w:tr>
      <w:tr>
        <w:tblPrEx>
          <w:tblCellMar>
            <w:top w:w="0" w:type="dxa"/>
            <w:left w:w="108" w:type="dxa"/>
            <w:bottom w:w="0" w:type="dxa"/>
            <w:right w:w="108" w:type="dxa"/>
          </w:tblCellMar>
        </w:tblPrEx>
        <w:trPr>
          <w:trHeight w:val="558" w:hRule="atLeast"/>
        </w:trPr>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630" w:firstLineChars="300"/>
              <w:rPr>
                <w:rFonts w:hint="eastAsia" w:ascii="宋体" w:hAnsi="宋体" w:eastAsia="宋体" w:cs="宋体"/>
                <w:color w:val="000000"/>
                <w:szCs w:val="21"/>
                <w:highlight w:val="none"/>
                <w:lang w:eastAsia="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10" w:firstLineChars="100"/>
              <w:jc w:val="both"/>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rPr>
              <w:t>分</w:t>
            </w:r>
          </w:p>
        </w:tc>
        <w:tc>
          <w:tcPr>
            <w:tcW w:w="73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针对各类植物养护方法及技术措施：</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根据投标供应商针对本项目的各类植物养护方法及技术措施情况进行评审；</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方案及措施完善、全面、合理、得力，得</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lang w:val="en-US" w:eastAsia="zh-CN"/>
              </w:rPr>
              <w:t>5-3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z w:val="21"/>
                <w:szCs w:val="21"/>
                <w:highlight w:val="none"/>
                <w:lang w:val="en-US" w:eastAsia="zh-CN"/>
              </w:rPr>
              <w:t>分；</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方案及措施较完善、全面、合理、得力，得</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lang w:val="en-US" w:eastAsia="zh-CN"/>
              </w:rPr>
              <w:t>3-1</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z w:val="21"/>
                <w:szCs w:val="21"/>
                <w:highlight w:val="none"/>
                <w:lang w:val="en-US" w:eastAsia="zh-CN"/>
              </w:rPr>
              <w:t>分；</w:t>
            </w:r>
          </w:p>
          <w:p>
            <w:pPr>
              <w:spacing w:line="440" w:lineRule="exact"/>
              <w:rPr>
                <w:rFonts w:hint="eastAsia" w:ascii="宋体" w:hAnsi="宋体" w:eastAsia="宋体" w:cs="宋体"/>
                <w:highlight w:val="none"/>
                <w:lang w:val="en-US" w:eastAsia="zh-CN"/>
              </w:rPr>
            </w:pPr>
            <w:r>
              <w:rPr>
                <w:rFonts w:hint="eastAsia" w:ascii="宋体" w:hAnsi="宋体" w:eastAsia="宋体" w:cs="宋体"/>
                <w:sz w:val="21"/>
                <w:szCs w:val="21"/>
                <w:highlight w:val="none"/>
                <w:lang w:val="en-US" w:eastAsia="zh-CN"/>
              </w:rPr>
              <w:t>方案及措施不太完善、全面、合理、得力，得</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lang w:val="en-US" w:eastAsia="zh-CN"/>
              </w:rPr>
              <w:t>1-0</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z w:val="21"/>
                <w:szCs w:val="21"/>
                <w:highlight w:val="none"/>
                <w:lang w:val="en-US" w:eastAsia="zh-CN"/>
              </w:rPr>
              <w:t>分；</w:t>
            </w:r>
          </w:p>
        </w:tc>
      </w:tr>
      <w:tr>
        <w:tblPrEx>
          <w:tblCellMar>
            <w:top w:w="0" w:type="dxa"/>
            <w:left w:w="108" w:type="dxa"/>
            <w:bottom w:w="0" w:type="dxa"/>
            <w:right w:w="108" w:type="dxa"/>
          </w:tblCellMar>
        </w:tblPrEx>
        <w:trPr>
          <w:trHeight w:val="468" w:hRule="atLeast"/>
        </w:trPr>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20"/>
              <w:rPr>
                <w:rFonts w:hint="eastAsia" w:ascii="宋体" w:hAnsi="宋体" w:eastAsia="宋体" w:cs="宋体"/>
                <w:color w:val="000000"/>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w:t>
            </w:r>
          </w:p>
        </w:tc>
        <w:tc>
          <w:tcPr>
            <w:tcW w:w="73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针对不同季节的绿化养护方案及措施：</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根据投标供应商针对本项目的不同季节的养护方案及措施</w:t>
            </w:r>
            <w:r>
              <w:rPr>
                <w:rFonts w:hint="eastAsia" w:ascii="宋体" w:hAnsi="宋体" w:eastAsia="宋体" w:cs="宋体"/>
                <w:color w:val="auto"/>
                <w:kern w:val="2"/>
                <w:sz w:val="21"/>
                <w:szCs w:val="21"/>
                <w:highlight w:val="none"/>
                <w:lang w:val="en-US" w:eastAsia="zh-CN"/>
              </w:rPr>
              <w:t>情况进行评审</w:t>
            </w:r>
            <w:r>
              <w:rPr>
                <w:rFonts w:hint="eastAsia" w:ascii="宋体" w:hAnsi="宋体" w:eastAsia="宋体" w:cs="宋体"/>
                <w:sz w:val="21"/>
                <w:szCs w:val="21"/>
                <w:highlight w:val="none"/>
                <w:lang w:val="en-US" w:eastAsia="zh-CN"/>
              </w:rPr>
              <w:t>；</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sz w:val="21"/>
                <w:szCs w:val="21"/>
                <w:highlight w:val="none"/>
                <w:lang w:val="en-US" w:eastAsia="zh-CN"/>
              </w:rPr>
              <w:t>方案及措施</w:t>
            </w:r>
            <w:r>
              <w:rPr>
                <w:rFonts w:hint="eastAsia" w:ascii="宋体" w:hAnsi="宋体" w:eastAsia="宋体" w:cs="宋体"/>
                <w:color w:val="auto"/>
                <w:kern w:val="2"/>
                <w:sz w:val="21"/>
                <w:szCs w:val="21"/>
                <w:highlight w:val="none"/>
                <w:lang w:val="en-US" w:eastAsia="zh-CN"/>
              </w:rPr>
              <w:t>完善、全面、合理、得力，得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5-3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sz w:val="21"/>
                <w:szCs w:val="21"/>
                <w:highlight w:val="none"/>
                <w:lang w:val="en-US" w:eastAsia="zh-CN"/>
              </w:rPr>
              <w:t>方案及</w:t>
            </w:r>
            <w:r>
              <w:rPr>
                <w:rFonts w:hint="eastAsia" w:ascii="宋体" w:hAnsi="宋体" w:eastAsia="宋体" w:cs="宋体"/>
                <w:snapToGrid w:val="0"/>
                <w:color w:val="auto"/>
                <w:spacing w:val="-4"/>
                <w:kern w:val="2"/>
                <w:sz w:val="21"/>
                <w:szCs w:val="21"/>
                <w:highlight w:val="none"/>
                <w:lang w:val="en-US" w:eastAsia="zh-CN"/>
              </w:rPr>
              <w:t>措施</w:t>
            </w:r>
            <w:r>
              <w:rPr>
                <w:rFonts w:hint="eastAsia" w:ascii="宋体" w:hAnsi="宋体" w:eastAsia="宋体" w:cs="宋体"/>
                <w:color w:val="auto"/>
                <w:kern w:val="2"/>
                <w:sz w:val="21"/>
                <w:szCs w:val="21"/>
                <w:highlight w:val="none"/>
                <w:lang w:val="en-US" w:eastAsia="zh-CN"/>
              </w:rPr>
              <w:t>较完善、全面、合理、得力，得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3-1</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p>
            <w:pPr>
              <w:spacing w:line="440" w:lineRule="exact"/>
              <w:rPr>
                <w:rFonts w:hint="eastAsia" w:ascii="宋体" w:hAnsi="宋体" w:eastAsia="宋体" w:cs="宋体"/>
                <w:highlight w:val="none"/>
                <w:lang w:val="en-US" w:eastAsia="zh-CN"/>
              </w:rPr>
            </w:pPr>
            <w:r>
              <w:rPr>
                <w:rFonts w:hint="eastAsia" w:ascii="宋体" w:hAnsi="宋体" w:eastAsia="宋体" w:cs="宋体"/>
                <w:sz w:val="21"/>
                <w:szCs w:val="21"/>
                <w:highlight w:val="none"/>
                <w:lang w:val="en-US" w:eastAsia="zh-CN"/>
              </w:rPr>
              <w:t>方案及</w:t>
            </w:r>
            <w:r>
              <w:rPr>
                <w:rFonts w:hint="eastAsia" w:ascii="宋体" w:hAnsi="宋体" w:eastAsia="宋体" w:cs="宋体"/>
                <w:snapToGrid w:val="0"/>
                <w:color w:val="auto"/>
                <w:spacing w:val="-4"/>
                <w:kern w:val="2"/>
                <w:sz w:val="21"/>
                <w:szCs w:val="21"/>
                <w:highlight w:val="none"/>
                <w:lang w:val="en-US" w:eastAsia="zh-CN"/>
              </w:rPr>
              <w:t>措施</w:t>
            </w:r>
            <w:r>
              <w:rPr>
                <w:rFonts w:hint="eastAsia" w:ascii="宋体" w:hAnsi="宋体" w:eastAsia="宋体" w:cs="宋体"/>
                <w:color w:val="auto"/>
                <w:kern w:val="2"/>
                <w:sz w:val="21"/>
                <w:szCs w:val="21"/>
                <w:highlight w:val="none"/>
                <w:lang w:val="en-US" w:eastAsia="zh-CN"/>
              </w:rPr>
              <w:t>不太完善、全面、合理、得力，得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tc>
      </w:tr>
      <w:tr>
        <w:tblPrEx>
          <w:tblCellMar>
            <w:top w:w="0" w:type="dxa"/>
            <w:left w:w="108" w:type="dxa"/>
            <w:bottom w:w="0" w:type="dxa"/>
            <w:right w:w="108" w:type="dxa"/>
          </w:tblCellMar>
        </w:tblPrEx>
        <w:trPr>
          <w:trHeight w:val="558" w:hRule="atLeast"/>
        </w:trPr>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20"/>
              <w:rPr>
                <w:rFonts w:hint="eastAsia" w:ascii="宋体" w:hAnsi="宋体" w:eastAsia="宋体" w:cs="宋体"/>
                <w:color w:val="000000"/>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w:t>
            </w:r>
          </w:p>
        </w:tc>
        <w:tc>
          <w:tcPr>
            <w:tcW w:w="73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特殊时期的应急保障措施：</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sz w:val="21"/>
                <w:szCs w:val="21"/>
                <w:highlight w:val="none"/>
                <w:shd w:val="clear" w:color="auto" w:fill="auto"/>
                <w:lang w:val="en-US" w:eastAsia="zh-CN"/>
              </w:rPr>
              <w:t>根据</w:t>
            </w:r>
            <w:r>
              <w:rPr>
                <w:rFonts w:hint="eastAsia" w:ascii="宋体" w:hAnsi="宋体" w:eastAsia="宋体" w:cs="宋体"/>
                <w:color w:val="auto"/>
                <w:sz w:val="21"/>
                <w:szCs w:val="21"/>
                <w:highlight w:val="none"/>
                <w:shd w:val="clear" w:color="auto" w:fill="auto"/>
                <w:lang w:eastAsia="zh-CN"/>
              </w:rPr>
              <w:t>投标供应商</w:t>
            </w:r>
            <w:r>
              <w:rPr>
                <w:rFonts w:hint="eastAsia" w:ascii="宋体" w:hAnsi="宋体" w:eastAsia="宋体" w:cs="宋体"/>
                <w:color w:val="auto"/>
                <w:kern w:val="2"/>
                <w:sz w:val="21"/>
                <w:szCs w:val="21"/>
                <w:highlight w:val="none"/>
                <w:lang w:val="en-US" w:eastAsia="zh-CN"/>
              </w:rPr>
              <w:t>针对本项目的活动节日时期（包括</w:t>
            </w:r>
            <w:r>
              <w:rPr>
                <w:rFonts w:hint="eastAsia" w:ascii="宋体" w:hAnsi="宋体" w:eastAsia="宋体" w:cs="宋体"/>
                <w:color w:val="auto"/>
                <w:sz w:val="21"/>
                <w:szCs w:val="21"/>
                <w:highlight w:val="none"/>
                <w:shd w:val="clear" w:color="auto" w:fill="auto"/>
              </w:rPr>
              <w:t>大型活动、节庆假日</w:t>
            </w:r>
            <w:r>
              <w:rPr>
                <w:rFonts w:hint="eastAsia" w:ascii="宋体" w:hAnsi="宋体" w:eastAsia="宋体" w:cs="宋体"/>
                <w:color w:val="auto"/>
                <w:sz w:val="21"/>
                <w:szCs w:val="21"/>
                <w:highlight w:val="none"/>
                <w:shd w:val="clear" w:color="auto" w:fill="auto"/>
                <w:lang w:val="en-US" w:eastAsia="zh-CN"/>
              </w:rPr>
              <w:t>等</w:t>
            </w:r>
            <w:r>
              <w:rPr>
                <w:rFonts w:hint="eastAsia" w:ascii="宋体" w:hAnsi="宋体" w:eastAsia="宋体" w:cs="宋体"/>
                <w:color w:val="auto"/>
                <w:kern w:val="2"/>
                <w:sz w:val="21"/>
                <w:szCs w:val="21"/>
                <w:highlight w:val="none"/>
                <w:lang w:val="en-US" w:eastAsia="zh-CN"/>
              </w:rPr>
              <w:t>）、突发事件特殊时期（包括</w:t>
            </w:r>
            <w:r>
              <w:rPr>
                <w:rFonts w:hint="eastAsia" w:ascii="宋体" w:hAnsi="宋体" w:eastAsia="宋体" w:cs="宋体"/>
                <w:color w:val="auto"/>
                <w:spacing w:val="-7"/>
                <w:kern w:val="2"/>
                <w:sz w:val="21"/>
                <w:szCs w:val="21"/>
                <w:highlight w:val="none"/>
                <w:lang w:val="en-US" w:eastAsia="zh-CN" w:bidi="ar-SA"/>
              </w:rPr>
              <w:t>特殊气候天气、</w:t>
            </w:r>
            <w:r>
              <w:rPr>
                <w:rFonts w:hint="eastAsia" w:ascii="宋体" w:hAnsi="宋体" w:eastAsia="宋体" w:cs="宋体"/>
                <w:color w:val="auto"/>
                <w:sz w:val="21"/>
                <w:szCs w:val="21"/>
                <w:highlight w:val="none"/>
                <w:shd w:val="clear" w:color="auto" w:fill="auto"/>
              </w:rPr>
              <w:t>自然灾害</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创优评优和突击检查</w:t>
            </w:r>
            <w:r>
              <w:rPr>
                <w:rFonts w:hint="eastAsia" w:ascii="宋体" w:hAnsi="宋体" w:eastAsia="宋体" w:cs="宋体"/>
                <w:color w:val="auto"/>
                <w:sz w:val="21"/>
                <w:szCs w:val="21"/>
                <w:highlight w:val="none"/>
                <w:shd w:val="clear" w:color="auto" w:fill="auto"/>
                <w:lang w:val="en-US" w:eastAsia="zh-CN"/>
              </w:rPr>
              <w:t>等</w:t>
            </w:r>
            <w:r>
              <w:rPr>
                <w:rFonts w:hint="eastAsia" w:ascii="宋体" w:hAnsi="宋体" w:eastAsia="宋体" w:cs="宋体"/>
                <w:color w:val="auto"/>
                <w:kern w:val="2"/>
                <w:sz w:val="21"/>
                <w:szCs w:val="21"/>
                <w:highlight w:val="none"/>
                <w:lang w:val="en-US" w:eastAsia="zh-CN"/>
              </w:rPr>
              <w:t>）的应急保障措施情况进行评审；</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措施</w:t>
            </w:r>
            <w:r>
              <w:rPr>
                <w:rFonts w:hint="eastAsia" w:ascii="宋体" w:hAnsi="宋体" w:eastAsia="宋体" w:cs="宋体"/>
                <w:color w:val="auto"/>
                <w:kern w:val="2"/>
                <w:sz w:val="21"/>
                <w:szCs w:val="21"/>
                <w:highlight w:val="none"/>
                <w:lang w:val="en-US" w:eastAsia="zh-CN"/>
              </w:rPr>
              <w:t>完善、全面、合理、响应及时，得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5-3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措施</w:t>
            </w:r>
            <w:r>
              <w:rPr>
                <w:rFonts w:hint="eastAsia" w:ascii="宋体" w:hAnsi="宋体" w:eastAsia="宋体" w:cs="宋体"/>
                <w:color w:val="auto"/>
                <w:kern w:val="2"/>
                <w:sz w:val="21"/>
                <w:szCs w:val="21"/>
                <w:highlight w:val="none"/>
                <w:lang w:val="en-US" w:eastAsia="zh-CN"/>
              </w:rPr>
              <w:t>较完善、全面、合理、响应及时，得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3-1</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p>
            <w:pPr>
              <w:spacing w:line="440" w:lineRule="exact"/>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snapToGrid w:val="0"/>
                <w:color w:val="auto"/>
                <w:spacing w:val="-4"/>
                <w:kern w:val="2"/>
                <w:sz w:val="21"/>
                <w:szCs w:val="21"/>
                <w:highlight w:val="none"/>
                <w:lang w:val="en-US" w:eastAsia="zh-CN"/>
              </w:rPr>
              <w:t>措施</w:t>
            </w:r>
            <w:r>
              <w:rPr>
                <w:rFonts w:hint="eastAsia" w:ascii="宋体" w:hAnsi="宋体" w:eastAsia="宋体" w:cs="宋体"/>
                <w:color w:val="auto"/>
                <w:kern w:val="2"/>
                <w:sz w:val="21"/>
                <w:szCs w:val="21"/>
                <w:highlight w:val="none"/>
                <w:lang w:val="en-US" w:eastAsia="zh-CN"/>
              </w:rPr>
              <w:t>不太完善、全面、合理、响应不及时，得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tc>
      </w:tr>
      <w:tr>
        <w:tblPrEx>
          <w:tblCellMar>
            <w:top w:w="0" w:type="dxa"/>
            <w:left w:w="108" w:type="dxa"/>
            <w:bottom w:w="0" w:type="dxa"/>
            <w:right w:w="108" w:type="dxa"/>
          </w:tblCellMar>
        </w:tblPrEx>
        <w:trPr>
          <w:trHeight w:val="558" w:hRule="atLeast"/>
        </w:trPr>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20"/>
              <w:rPr>
                <w:rFonts w:hint="eastAsia" w:ascii="宋体" w:hAnsi="宋体" w:eastAsia="宋体" w:cs="宋体"/>
                <w:color w:val="000000"/>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w:t>
            </w:r>
          </w:p>
        </w:tc>
        <w:tc>
          <w:tcPr>
            <w:tcW w:w="73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snapToGrid w:val="0"/>
                <w:color w:val="auto"/>
                <w:spacing w:val="-4"/>
                <w:kern w:val="2"/>
                <w:sz w:val="21"/>
                <w:szCs w:val="21"/>
                <w:highlight w:val="none"/>
                <w:lang w:val="en-US" w:eastAsia="zh-CN"/>
              </w:rPr>
              <w:t>安全生产、文明施工、环保措施</w:t>
            </w:r>
            <w:r>
              <w:rPr>
                <w:rFonts w:hint="eastAsia" w:ascii="宋体" w:hAnsi="宋体" w:eastAsia="宋体" w:cs="宋体"/>
                <w:color w:val="auto"/>
                <w:spacing w:val="-7"/>
                <w:kern w:val="2"/>
                <w:sz w:val="21"/>
                <w:szCs w:val="21"/>
                <w:highlight w:val="none"/>
                <w:lang w:val="en-US" w:eastAsia="zh-CN" w:bidi="ar-SA"/>
              </w:rPr>
              <w:t>：</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pacing w:val="-7"/>
                <w:kern w:val="2"/>
                <w:sz w:val="21"/>
                <w:szCs w:val="21"/>
                <w:highlight w:val="none"/>
                <w:lang w:val="en-US" w:eastAsia="zh-CN" w:bidi="ar-SA"/>
              </w:rPr>
              <w:t>根</w:t>
            </w:r>
            <w:r>
              <w:rPr>
                <w:rFonts w:hint="eastAsia" w:ascii="宋体" w:hAnsi="宋体" w:eastAsia="宋体" w:cs="宋体"/>
                <w:color w:val="auto"/>
                <w:kern w:val="2"/>
                <w:sz w:val="21"/>
                <w:szCs w:val="21"/>
                <w:highlight w:val="none"/>
                <w:lang w:val="en-US" w:eastAsia="zh-CN"/>
              </w:rPr>
              <w:t>据投标供应商针对本项目的安全生产方案、文明施工方案、环保措施措施情况进行评审；</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方案全面、合理、针对性强，得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5-3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方案较全面、合理、针对性强，得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3-1</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p>
            <w:pPr>
              <w:spacing w:line="440" w:lineRule="exact"/>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方案不太全面、合理、针对性弱，得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tc>
      </w:tr>
      <w:tr>
        <w:tblPrEx>
          <w:tblCellMar>
            <w:top w:w="0" w:type="dxa"/>
            <w:left w:w="108" w:type="dxa"/>
            <w:bottom w:w="0" w:type="dxa"/>
            <w:right w:w="108" w:type="dxa"/>
          </w:tblCellMar>
        </w:tblPrEx>
        <w:trPr>
          <w:trHeight w:val="558" w:hRule="atLeast"/>
        </w:trPr>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20"/>
              <w:rPr>
                <w:rFonts w:hint="eastAsia" w:ascii="宋体" w:hAnsi="宋体" w:eastAsia="宋体" w:cs="宋体"/>
                <w:color w:val="000000"/>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w:t>
            </w:r>
          </w:p>
        </w:tc>
        <w:tc>
          <w:tcPr>
            <w:tcW w:w="73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服务</w:t>
            </w:r>
            <w:r>
              <w:rPr>
                <w:rFonts w:hint="eastAsia" w:ascii="宋体" w:hAnsi="宋体" w:eastAsia="宋体" w:cs="宋体"/>
                <w:color w:val="auto"/>
                <w:spacing w:val="-7"/>
                <w:kern w:val="2"/>
                <w:sz w:val="21"/>
                <w:szCs w:val="21"/>
                <w:highlight w:val="none"/>
                <w:lang w:val="zh-CN" w:eastAsia="zh-CN" w:bidi="ar-SA"/>
              </w:rPr>
              <w:t>保障</w:t>
            </w:r>
            <w:r>
              <w:rPr>
                <w:rFonts w:hint="eastAsia" w:ascii="宋体" w:hAnsi="宋体" w:eastAsia="宋体" w:cs="宋体"/>
                <w:color w:val="auto"/>
                <w:sz w:val="21"/>
                <w:szCs w:val="21"/>
                <w:highlight w:val="none"/>
                <w:shd w:val="clear" w:color="auto" w:fill="auto"/>
              </w:rPr>
              <w:t>措施</w:t>
            </w:r>
            <w:r>
              <w:rPr>
                <w:rFonts w:hint="eastAsia" w:ascii="宋体" w:hAnsi="宋体" w:eastAsia="宋体" w:cs="宋体"/>
                <w:color w:val="auto"/>
                <w:sz w:val="21"/>
                <w:szCs w:val="21"/>
                <w:highlight w:val="none"/>
                <w:shd w:val="clear" w:color="auto" w:fill="auto"/>
                <w:lang w:eastAsia="zh-CN"/>
              </w:rPr>
              <w:t>：</w:t>
            </w:r>
          </w:p>
          <w:p>
            <w:pPr>
              <w:spacing w:line="440" w:lineRule="exact"/>
              <w:rPr>
                <w:rFonts w:hint="eastAsia" w:ascii="宋体" w:hAnsi="宋体" w:eastAsia="宋体" w:cs="宋体"/>
                <w:color w:val="auto"/>
                <w:spacing w:val="-7"/>
                <w:kern w:val="2"/>
                <w:sz w:val="21"/>
                <w:szCs w:val="21"/>
                <w:highlight w:val="none"/>
                <w:lang w:val="zh-CN" w:eastAsia="zh-CN" w:bidi="ar-SA"/>
              </w:rPr>
            </w:pPr>
            <w:r>
              <w:rPr>
                <w:rFonts w:hint="eastAsia" w:ascii="宋体" w:hAnsi="宋体" w:eastAsia="宋体" w:cs="宋体"/>
                <w:color w:val="auto"/>
                <w:spacing w:val="-7"/>
                <w:kern w:val="2"/>
                <w:sz w:val="21"/>
                <w:szCs w:val="21"/>
                <w:highlight w:val="none"/>
                <w:lang w:val="zh-CN" w:eastAsia="zh-CN" w:bidi="ar-SA"/>
              </w:rPr>
              <w:t>有完善的服务保障措施，包括组织保障、人员保障</w:t>
            </w:r>
            <w:r>
              <w:rPr>
                <w:rFonts w:hint="eastAsia" w:ascii="宋体" w:hAnsi="宋体" w:eastAsia="宋体" w:cs="宋体"/>
                <w:color w:val="auto"/>
                <w:kern w:val="2"/>
                <w:sz w:val="21"/>
                <w:szCs w:val="21"/>
                <w:highlight w:val="none"/>
                <w:lang w:val="en-US" w:eastAsia="zh-CN"/>
              </w:rPr>
              <w:t>情况进行评审</w:t>
            </w:r>
            <w:r>
              <w:rPr>
                <w:rFonts w:hint="eastAsia" w:ascii="宋体" w:hAnsi="宋体" w:eastAsia="宋体" w:cs="宋体"/>
                <w:color w:val="auto"/>
                <w:spacing w:val="-7"/>
                <w:kern w:val="2"/>
                <w:sz w:val="21"/>
                <w:szCs w:val="21"/>
                <w:highlight w:val="none"/>
                <w:lang w:val="zh-CN" w:eastAsia="zh-CN" w:bidi="ar-SA"/>
              </w:rPr>
              <w:t>，</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措施</w:t>
            </w:r>
            <w:r>
              <w:rPr>
                <w:rFonts w:hint="eastAsia" w:ascii="宋体" w:hAnsi="宋体" w:eastAsia="宋体" w:cs="宋体"/>
                <w:color w:val="auto"/>
                <w:kern w:val="2"/>
                <w:sz w:val="21"/>
                <w:szCs w:val="21"/>
                <w:highlight w:val="none"/>
                <w:lang w:val="zh-CN" w:eastAsia="zh-CN"/>
              </w:rPr>
              <w:t>内容</w:t>
            </w:r>
            <w:r>
              <w:rPr>
                <w:rFonts w:hint="eastAsia" w:ascii="宋体" w:hAnsi="宋体" w:eastAsia="宋体" w:cs="宋体"/>
                <w:color w:val="auto"/>
                <w:kern w:val="2"/>
                <w:sz w:val="21"/>
                <w:szCs w:val="21"/>
                <w:highlight w:val="none"/>
                <w:lang w:val="en-US" w:eastAsia="zh-CN"/>
              </w:rPr>
              <w:t>全面、</w:t>
            </w:r>
            <w:r>
              <w:rPr>
                <w:rFonts w:hint="eastAsia" w:ascii="宋体" w:hAnsi="宋体" w:eastAsia="宋体" w:cs="宋体"/>
                <w:color w:val="auto"/>
                <w:kern w:val="2"/>
                <w:sz w:val="21"/>
                <w:szCs w:val="21"/>
                <w:highlight w:val="none"/>
                <w:lang w:val="zh-CN" w:eastAsia="zh-CN"/>
              </w:rPr>
              <w:t>详实、</w:t>
            </w:r>
            <w:r>
              <w:rPr>
                <w:rFonts w:hint="eastAsia" w:ascii="宋体" w:hAnsi="宋体" w:eastAsia="宋体" w:cs="宋体"/>
                <w:color w:val="auto"/>
                <w:kern w:val="2"/>
                <w:sz w:val="21"/>
                <w:szCs w:val="21"/>
                <w:highlight w:val="none"/>
                <w:lang w:val="en-US" w:eastAsia="zh-CN"/>
              </w:rPr>
              <w:t>得力</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5-3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措施</w:t>
            </w:r>
            <w:r>
              <w:rPr>
                <w:rFonts w:hint="eastAsia" w:ascii="宋体" w:hAnsi="宋体" w:eastAsia="宋体" w:cs="宋体"/>
                <w:color w:val="auto"/>
                <w:kern w:val="2"/>
                <w:sz w:val="21"/>
                <w:szCs w:val="21"/>
                <w:highlight w:val="none"/>
                <w:lang w:val="zh-CN" w:eastAsia="zh-CN"/>
              </w:rPr>
              <w:t>内容</w:t>
            </w:r>
            <w:r>
              <w:rPr>
                <w:rFonts w:hint="eastAsia" w:ascii="宋体" w:hAnsi="宋体" w:eastAsia="宋体" w:cs="宋体"/>
                <w:color w:val="auto"/>
                <w:kern w:val="2"/>
                <w:sz w:val="21"/>
                <w:szCs w:val="21"/>
                <w:highlight w:val="none"/>
                <w:lang w:val="en-US" w:eastAsia="zh-CN"/>
              </w:rPr>
              <w:t>较全面、</w:t>
            </w:r>
            <w:r>
              <w:rPr>
                <w:rFonts w:hint="eastAsia" w:ascii="宋体" w:hAnsi="宋体" w:eastAsia="宋体" w:cs="宋体"/>
                <w:color w:val="auto"/>
                <w:kern w:val="2"/>
                <w:sz w:val="21"/>
                <w:szCs w:val="21"/>
                <w:highlight w:val="none"/>
                <w:lang w:val="zh-CN" w:eastAsia="zh-CN"/>
              </w:rPr>
              <w:t>详实、</w:t>
            </w:r>
            <w:r>
              <w:rPr>
                <w:rFonts w:hint="eastAsia" w:ascii="宋体" w:hAnsi="宋体" w:eastAsia="宋体" w:cs="宋体"/>
                <w:color w:val="auto"/>
                <w:kern w:val="2"/>
                <w:sz w:val="21"/>
                <w:szCs w:val="21"/>
                <w:highlight w:val="none"/>
                <w:lang w:val="en-US" w:eastAsia="zh-CN"/>
              </w:rPr>
              <w:t>得力</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3-1</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p>
            <w:pPr>
              <w:spacing w:line="440" w:lineRule="exact"/>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措施</w:t>
            </w:r>
            <w:r>
              <w:rPr>
                <w:rFonts w:hint="eastAsia" w:ascii="宋体" w:hAnsi="宋体" w:eastAsia="宋体" w:cs="宋体"/>
                <w:color w:val="auto"/>
                <w:kern w:val="2"/>
                <w:sz w:val="21"/>
                <w:szCs w:val="21"/>
                <w:highlight w:val="none"/>
                <w:lang w:val="zh-CN" w:eastAsia="zh-CN"/>
              </w:rPr>
              <w:t>内容</w:t>
            </w:r>
            <w:r>
              <w:rPr>
                <w:rFonts w:hint="eastAsia" w:ascii="宋体" w:hAnsi="宋体" w:eastAsia="宋体" w:cs="宋体"/>
                <w:color w:val="auto"/>
                <w:kern w:val="2"/>
                <w:sz w:val="21"/>
                <w:szCs w:val="21"/>
                <w:highlight w:val="none"/>
                <w:lang w:val="en-US" w:eastAsia="zh-CN"/>
              </w:rPr>
              <w:t>不够全面、</w:t>
            </w:r>
            <w:r>
              <w:rPr>
                <w:rFonts w:hint="eastAsia" w:ascii="宋体" w:hAnsi="宋体" w:eastAsia="宋体" w:cs="宋体"/>
                <w:color w:val="auto"/>
                <w:kern w:val="2"/>
                <w:sz w:val="21"/>
                <w:szCs w:val="21"/>
                <w:highlight w:val="none"/>
                <w:lang w:val="zh-CN" w:eastAsia="zh-CN"/>
              </w:rPr>
              <w:t>详实、</w:t>
            </w:r>
            <w:r>
              <w:rPr>
                <w:rFonts w:hint="eastAsia" w:ascii="宋体" w:hAnsi="宋体" w:eastAsia="宋体" w:cs="宋体"/>
                <w:color w:val="auto"/>
                <w:kern w:val="2"/>
                <w:sz w:val="21"/>
                <w:szCs w:val="21"/>
                <w:highlight w:val="none"/>
                <w:lang w:val="en-US" w:eastAsia="zh-CN"/>
              </w:rPr>
              <w:t>得力</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tc>
      </w:tr>
      <w:tr>
        <w:tblPrEx>
          <w:tblCellMar>
            <w:top w:w="0" w:type="dxa"/>
            <w:left w:w="108" w:type="dxa"/>
            <w:bottom w:w="0" w:type="dxa"/>
            <w:right w:w="108" w:type="dxa"/>
          </w:tblCellMar>
        </w:tblPrEx>
        <w:trPr>
          <w:trHeight w:val="2635" w:hRule="atLeast"/>
        </w:trPr>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20"/>
              <w:rPr>
                <w:rFonts w:hint="eastAsia" w:ascii="宋体" w:hAnsi="宋体" w:eastAsia="宋体" w:cs="宋体"/>
                <w:color w:val="000000"/>
                <w:szCs w:val="21"/>
                <w:highlight w:val="none"/>
              </w:rPr>
            </w:pPr>
          </w:p>
        </w:tc>
        <w:tc>
          <w:tcPr>
            <w:tcW w:w="795" w:type="dxa"/>
            <w:tcBorders>
              <w:top w:val="single" w:color="auto" w:sz="4" w:space="0"/>
              <w:left w:val="single" w:color="auto" w:sz="4" w:space="0"/>
              <w:right w:val="single" w:color="auto" w:sz="4" w:space="0"/>
            </w:tcBorders>
            <w:noWrap w:val="0"/>
            <w:vAlign w:val="center"/>
          </w:tcPr>
          <w:p>
            <w:pPr>
              <w:spacing w:line="440" w:lineRule="exact"/>
              <w:ind w:firstLine="210" w:firstLineChars="100"/>
              <w:jc w:val="both"/>
              <w:rPr>
                <w:rFonts w:hint="eastAsia" w:ascii="宋体" w:hAnsi="宋体" w:eastAsia="宋体" w:cs="宋体"/>
                <w:color w:val="auto"/>
                <w:kern w:val="0"/>
                <w:sz w:val="21"/>
                <w:szCs w:val="21"/>
                <w:highlight w:val="none"/>
                <w:lang w:val="en-US" w:eastAsia="zh-CN" w:bidi="ar-SA"/>
              </w:rPr>
            </w:pP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rPr>
              <w:t>分</w:t>
            </w:r>
          </w:p>
        </w:tc>
        <w:tc>
          <w:tcPr>
            <w:tcW w:w="730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重难点分析及解决方案：</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根据投标供应商针对本项目的重难点分析（养护区域重点难点分析有针对性）及重难点的解决方案（包括对养护区域重点难点解决方案完整）情况进行评审；</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分析及</w:t>
            </w:r>
            <w:r>
              <w:rPr>
                <w:rFonts w:hint="eastAsia" w:ascii="宋体" w:hAnsi="宋体" w:eastAsia="宋体" w:cs="宋体"/>
                <w:sz w:val="21"/>
                <w:szCs w:val="21"/>
                <w:highlight w:val="none"/>
                <w:lang w:val="en-US" w:eastAsia="zh-CN"/>
              </w:rPr>
              <w:t>措施针对性强、</w:t>
            </w:r>
            <w:r>
              <w:rPr>
                <w:rFonts w:hint="eastAsia" w:ascii="宋体" w:hAnsi="宋体" w:eastAsia="宋体" w:cs="宋体"/>
                <w:color w:val="auto"/>
                <w:kern w:val="2"/>
                <w:sz w:val="21"/>
                <w:szCs w:val="21"/>
                <w:highlight w:val="none"/>
                <w:lang w:val="en-US" w:eastAsia="zh-CN"/>
              </w:rPr>
              <w:t>全面、合理、可行，得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5-3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分析及</w:t>
            </w:r>
            <w:r>
              <w:rPr>
                <w:rFonts w:hint="eastAsia" w:ascii="宋体" w:hAnsi="宋体" w:eastAsia="宋体" w:cs="宋体"/>
                <w:sz w:val="21"/>
                <w:szCs w:val="21"/>
                <w:highlight w:val="none"/>
                <w:lang w:val="en-US" w:eastAsia="zh-CN"/>
              </w:rPr>
              <w:t>措施较强针对性、</w:t>
            </w:r>
            <w:r>
              <w:rPr>
                <w:rFonts w:hint="eastAsia" w:ascii="宋体" w:hAnsi="宋体" w:eastAsia="宋体" w:cs="宋体"/>
                <w:color w:val="auto"/>
                <w:kern w:val="2"/>
                <w:sz w:val="21"/>
                <w:szCs w:val="21"/>
                <w:highlight w:val="none"/>
                <w:lang w:val="en-US" w:eastAsia="zh-CN"/>
              </w:rPr>
              <w:t>全面、合理、可行，得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3-1</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p>
            <w:pPr>
              <w:spacing w:line="440" w:lineRule="exact"/>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分析及</w:t>
            </w:r>
            <w:r>
              <w:rPr>
                <w:rFonts w:hint="eastAsia" w:ascii="宋体" w:hAnsi="宋体" w:eastAsia="宋体" w:cs="宋体"/>
                <w:sz w:val="21"/>
                <w:szCs w:val="21"/>
                <w:highlight w:val="none"/>
                <w:lang w:val="en-US" w:eastAsia="zh-CN"/>
              </w:rPr>
              <w:t>措施针对性不强、不太</w:t>
            </w:r>
            <w:r>
              <w:rPr>
                <w:rFonts w:hint="eastAsia" w:ascii="宋体" w:hAnsi="宋体" w:eastAsia="宋体" w:cs="宋体"/>
                <w:color w:val="auto"/>
                <w:kern w:val="2"/>
                <w:sz w:val="21"/>
                <w:szCs w:val="21"/>
                <w:highlight w:val="none"/>
                <w:lang w:val="en-US" w:eastAsia="zh-CN"/>
              </w:rPr>
              <w:t>全面、合理、可行，得</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分；</w:t>
            </w:r>
          </w:p>
        </w:tc>
      </w:tr>
      <w:tr>
        <w:tblPrEx>
          <w:tblCellMar>
            <w:top w:w="0" w:type="dxa"/>
            <w:left w:w="108" w:type="dxa"/>
            <w:bottom w:w="0" w:type="dxa"/>
            <w:right w:w="108" w:type="dxa"/>
          </w:tblCellMar>
        </w:tblPrEx>
        <w:trPr>
          <w:trHeight w:val="942" w:hRule="atLeast"/>
        </w:trPr>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企业业绩</w:t>
            </w:r>
          </w:p>
          <w:p>
            <w:pPr>
              <w:spacing w:line="440" w:lineRule="exact"/>
              <w:jc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（10分）</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10分</w:t>
            </w:r>
          </w:p>
        </w:tc>
        <w:tc>
          <w:tcPr>
            <w:tcW w:w="73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zh-CN" w:eastAsia="zh-CN" w:bidi="ar-SA"/>
              </w:rPr>
              <w:t>1.投标供应商提供近三年</w:t>
            </w:r>
            <w:r>
              <w:rPr>
                <w:rFonts w:hint="eastAsia" w:ascii="宋体" w:hAnsi="宋体" w:eastAsia="宋体" w:cs="宋体"/>
                <w:color w:val="auto"/>
                <w:spacing w:val="-7"/>
                <w:kern w:val="2"/>
                <w:sz w:val="21"/>
                <w:szCs w:val="21"/>
                <w:highlight w:val="none"/>
                <w:lang w:val="zh-CN" w:eastAsia="zh-CN" w:bidi="ar-SA"/>
              </w:rPr>
              <w:t>（20</w:t>
            </w:r>
            <w:r>
              <w:rPr>
                <w:rFonts w:hint="eastAsia" w:ascii="宋体" w:hAnsi="宋体" w:eastAsia="宋体" w:cs="宋体"/>
                <w:color w:val="auto"/>
                <w:spacing w:val="-7"/>
                <w:kern w:val="2"/>
                <w:sz w:val="21"/>
                <w:szCs w:val="21"/>
                <w:highlight w:val="none"/>
                <w:lang w:val="en-US" w:eastAsia="zh-CN" w:bidi="ar-SA"/>
              </w:rPr>
              <w:t>20</w:t>
            </w:r>
            <w:r>
              <w:rPr>
                <w:rFonts w:hint="eastAsia" w:ascii="宋体" w:hAnsi="宋体" w:eastAsia="宋体" w:cs="宋体"/>
                <w:color w:val="auto"/>
                <w:spacing w:val="-7"/>
                <w:kern w:val="2"/>
                <w:sz w:val="21"/>
                <w:szCs w:val="21"/>
                <w:highlight w:val="none"/>
                <w:lang w:val="zh-CN" w:eastAsia="zh-CN" w:bidi="ar-SA"/>
              </w:rPr>
              <w:t>年</w:t>
            </w:r>
            <w:r>
              <w:rPr>
                <w:rFonts w:hint="eastAsia" w:ascii="宋体" w:hAnsi="宋体" w:cs="宋体"/>
                <w:color w:val="auto"/>
                <w:spacing w:val="-7"/>
                <w:kern w:val="2"/>
                <w:sz w:val="21"/>
                <w:szCs w:val="21"/>
                <w:highlight w:val="none"/>
                <w:lang w:val="en-US" w:eastAsia="zh-CN" w:bidi="ar-SA"/>
              </w:rPr>
              <w:t>7</w:t>
            </w:r>
            <w:r>
              <w:rPr>
                <w:rFonts w:hint="eastAsia" w:ascii="宋体" w:hAnsi="宋体" w:eastAsia="宋体" w:cs="宋体"/>
                <w:color w:val="auto"/>
                <w:spacing w:val="-7"/>
                <w:kern w:val="2"/>
                <w:sz w:val="21"/>
                <w:szCs w:val="21"/>
                <w:highlight w:val="none"/>
                <w:lang w:val="zh-CN" w:eastAsia="zh-CN" w:bidi="ar-SA"/>
              </w:rPr>
              <w:t>月1日至今）</w:t>
            </w:r>
            <w:r>
              <w:rPr>
                <w:rFonts w:hint="eastAsia" w:ascii="宋体" w:hAnsi="宋体" w:eastAsia="宋体" w:cs="宋体"/>
                <w:color w:val="auto"/>
                <w:spacing w:val="-7"/>
                <w:kern w:val="2"/>
                <w:sz w:val="21"/>
                <w:szCs w:val="21"/>
                <w:highlight w:val="none"/>
                <w:lang w:val="zh-CN" w:eastAsia="zh-CN" w:bidi="ar-SA"/>
              </w:rPr>
              <w:t>的类似项目业绩【</w:t>
            </w:r>
            <w:r>
              <w:rPr>
                <w:rFonts w:hint="eastAsia" w:ascii="宋体" w:hAnsi="宋体" w:eastAsia="宋体" w:cs="宋体"/>
                <w:color w:val="auto"/>
                <w:spacing w:val="-7"/>
                <w:kern w:val="2"/>
                <w:sz w:val="21"/>
                <w:szCs w:val="21"/>
                <w:highlight w:val="none"/>
                <w:lang w:val="en-US" w:eastAsia="zh-CN" w:bidi="ar-SA"/>
              </w:rPr>
              <w:t>绿化养护服务业绩或园林绿化工程施工业绩（含养护）</w:t>
            </w:r>
            <w:r>
              <w:rPr>
                <w:rFonts w:hint="eastAsia" w:ascii="宋体" w:hAnsi="宋体" w:eastAsia="宋体" w:cs="宋体"/>
                <w:color w:val="auto"/>
                <w:spacing w:val="-7"/>
                <w:kern w:val="2"/>
                <w:sz w:val="21"/>
                <w:szCs w:val="21"/>
                <w:highlight w:val="none"/>
                <w:lang w:val="zh-CN" w:eastAsia="zh-CN" w:bidi="ar-SA"/>
              </w:rPr>
              <w:t>】每提供一项得</w:t>
            </w:r>
            <w:r>
              <w:rPr>
                <w:rFonts w:hint="eastAsia" w:ascii="宋体" w:hAnsi="宋体" w:eastAsia="宋体" w:cs="宋体"/>
                <w:color w:val="auto"/>
                <w:spacing w:val="-7"/>
                <w:kern w:val="2"/>
                <w:sz w:val="21"/>
                <w:szCs w:val="21"/>
                <w:highlight w:val="none"/>
                <w:lang w:val="en-US" w:eastAsia="zh-CN" w:bidi="ar-SA"/>
              </w:rPr>
              <w:t>5</w:t>
            </w:r>
            <w:r>
              <w:rPr>
                <w:rFonts w:hint="eastAsia" w:ascii="宋体" w:hAnsi="宋体" w:eastAsia="宋体" w:cs="宋体"/>
                <w:color w:val="auto"/>
                <w:spacing w:val="-7"/>
                <w:kern w:val="2"/>
                <w:sz w:val="21"/>
                <w:szCs w:val="21"/>
                <w:highlight w:val="none"/>
                <w:lang w:val="zh-CN" w:eastAsia="zh-CN" w:bidi="ar-SA"/>
              </w:rPr>
              <w:t>分，最高得</w:t>
            </w:r>
            <w:r>
              <w:rPr>
                <w:rFonts w:hint="eastAsia" w:ascii="宋体" w:hAnsi="宋体" w:eastAsia="宋体" w:cs="宋体"/>
                <w:color w:val="auto"/>
                <w:spacing w:val="-7"/>
                <w:kern w:val="2"/>
                <w:sz w:val="21"/>
                <w:szCs w:val="21"/>
                <w:highlight w:val="none"/>
                <w:lang w:val="en-US" w:eastAsia="zh-CN" w:bidi="ar-SA"/>
              </w:rPr>
              <w:t>10</w:t>
            </w:r>
            <w:r>
              <w:rPr>
                <w:rFonts w:hint="eastAsia" w:ascii="宋体" w:hAnsi="宋体" w:eastAsia="宋体" w:cs="宋体"/>
                <w:color w:val="auto"/>
                <w:spacing w:val="-7"/>
                <w:kern w:val="2"/>
                <w:sz w:val="21"/>
                <w:szCs w:val="21"/>
                <w:highlight w:val="none"/>
                <w:lang w:val="zh-CN" w:eastAsia="zh-CN" w:bidi="ar-SA"/>
              </w:rPr>
              <w:t>分，业绩证明以</w:t>
            </w:r>
            <w:r>
              <w:rPr>
                <w:rFonts w:hint="eastAsia" w:ascii="宋体" w:hAnsi="宋体" w:eastAsia="宋体" w:cs="宋体"/>
                <w:color w:val="auto"/>
                <w:spacing w:val="-7"/>
                <w:kern w:val="2"/>
                <w:sz w:val="21"/>
                <w:szCs w:val="21"/>
                <w:highlight w:val="none"/>
                <w:lang w:val="en-US" w:eastAsia="zh-CN" w:bidi="ar-SA"/>
              </w:rPr>
              <w:t>加盖公章的</w:t>
            </w:r>
            <w:r>
              <w:rPr>
                <w:rFonts w:hint="eastAsia" w:ascii="宋体" w:hAnsi="宋体" w:eastAsia="宋体" w:cs="宋体"/>
                <w:color w:val="auto"/>
                <w:spacing w:val="-7"/>
                <w:kern w:val="2"/>
                <w:sz w:val="21"/>
                <w:szCs w:val="21"/>
                <w:highlight w:val="none"/>
                <w:lang w:val="zh-CN" w:eastAsia="zh-CN" w:bidi="ar-SA"/>
              </w:rPr>
              <w:t>合同</w:t>
            </w:r>
            <w:r>
              <w:rPr>
                <w:rFonts w:hint="eastAsia" w:ascii="宋体" w:hAnsi="宋体" w:eastAsia="宋体" w:cs="宋体"/>
                <w:color w:val="auto"/>
                <w:spacing w:val="-7"/>
                <w:kern w:val="2"/>
                <w:sz w:val="21"/>
                <w:szCs w:val="21"/>
                <w:highlight w:val="none"/>
                <w:lang w:val="en-US" w:eastAsia="zh-CN" w:bidi="ar-SA"/>
              </w:rPr>
              <w:t>扫描件</w:t>
            </w:r>
            <w:r>
              <w:rPr>
                <w:rFonts w:hint="eastAsia" w:ascii="宋体" w:hAnsi="宋体" w:eastAsia="宋体" w:cs="宋体"/>
                <w:color w:val="auto"/>
                <w:spacing w:val="-7"/>
                <w:kern w:val="2"/>
                <w:sz w:val="21"/>
                <w:szCs w:val="21"/>
                <w:highlight w:val="none"/>
                <w:lang w:val="zh-CN" w:eastAsia="zh-CN" w:bidi="ar-SA"/>
              </w:rPr>
              <w:t>为准。</w:t>
            </w:r>
          </w:p>
        </w:tc>
      </w:tr>
    </w:tbl>
    <w:p>
      <w:pPr>
        <w:spacing w:before="240" w:after="120"/>
        <w:jc w:val="left"/>
        <w:outlineLvl w:val="2"/>
        <w:rPr>
          <w:rFonts w:hint="eastAsia" w:ascii="宋体" w:hAnsi="宋体" w:eastAsia="宋体" w:cs="宋体"/>
          <w:b/>
          <w:bCs/>
          <w:sz w:val="28"/>
          <w:highlight w:val="none"/>
        </w:rPr>
      </w:pPr>
      <w:r>
        <w:rPr>
          <w:rFonts w:hint="eastAsia" w:ascii="宋体" w:hAnsi="宋体" w:eastAsia="宋体" w:cs="宋体"/>
          <w:b/>
          <w:bCs/>
          <w:sz w:val="28"/>
          <w:highlight w:val="none"/>
        </w:rPr>
        <w:t>3、评审程序</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依照</w:t>
      </w:r>
      <w:r>
        <w:rPr>
          <w:rFonts w:hint="eastAsia" w:ascii="宋体" w:hAnsi="宋体" w:eastAsia="宋体" w:cs="宋体"/>
          <w:color w:val="000000"/>
          <w:szCs w:val="21"/>
          <w:highlight w:val="none"/>
          <w:lang w:eastAsia="zh-CN"/>
        </w:rPr>
        <w:t>招标文件</w:t>
      </w:r>
      <w:r>
        <w:rPr>
          <w:rFonts w:hint="eastAsia" w:ascii="宋体" w:hAnsi="宋体" w:eastAsia="宋体" w:cs="宋体"/>
          <w:color w:val="000000"/>
          <w:szCs w:val="21"/>
          <w:highlight w:val="none"/>
        </w:rPr>
        <w:t>的要求和规定，采用分步评审，</w:t>
      </w:r>
      <w:r>
        <w:rPr>
          <w:rFonts w:hint="eastAsia" w:ascii="宋体" w:hAnsi="宋体" w:eastAsia="宋体" w:cs="宋体"/>
          <w:color w:val="000000"/>
          <w:szCs w:val="21"/>
          <w:highlight w:val="none"/>
          <w:lang w:val="en-US" w:eastAsia="zh-CN"/>
        </w:rPr>
        <w:t>开标结束后</w:t>
      </w:r>
      <w:r>
        <w:rPr>
          <w:rFonts w:hint="eastAsia" w:ascii="宋体" w:hAnsi="宋体" w:eastAsia="宋体" w:cs="宋体"/>
          <w:color w:val="000000"/>
          <w:szCs w:val="21"/>
          <w:highlight w:val="none"/>
        </w:rPr>
        <w:t>首</w:t>
      </w:r>
      <w:r>
        <w:rPr>
          <w:rFonts w:hint="eastAsia" w:ascii="宋体" w:hAnsi="宋体" w:eastAsia="宋体" w:cs="宋体"/>
          <w:color w:val="000000"/>
          <w:szCs w:val="21"/>
          <w:highlight w:val="none"/>
          <w:lang w:val="en-US" w:eastAsia="zh-CN"/>
        </w:rPr>
        <w:t>先由采购人或者采购代理机构对</w:t>
      </w:r>
      <w:r>
        <w:rPr>
          <w:rFonts w:hint="eastAsia" w:ascii="宋体" w:hAnsi="宋体" w:eastAsia="宋体" w:cs="宋体"/>
          <w:color w:val="000000"/>
          <w:szCs w:val="21"/>
          <w:highlight w:val="none"/>
          <w:lang w:eastAsia="zh-CN"/>
        </w:rPr>
        <w:t>投标供应商</w:t>
      </w:r>
      <w:r>
        <w:rPr>
          <w:rFonts w:hint="eastAsia" w:ascii="宋体" w:hAnsi="宋体" w:eastAsia="宋体" w:cs="宋体"/>
          <w:color w:val="000000"/>
          <w:szCs w:val="21"/>
          <w:highlight w:val="none"/>
        </w:rPr>
        <w:t>的投标资格进行审查，</w:t>
      </w:r>
      <w:r>
        <w:rPr>
          <w:rFonts w:hint="eastAsia" w:ascii="宋体" w:hAnsi="宋体" w:eastAsia="宋体" w:cs="宋体"/>
          <w:color w:val="000000"/>
          <w:szCs w:val="21"/>
          <w:highlight w:val="none"/>
          <w:lang w:val="en-US" w:eastAsia="zh-CN"/>
        </w:rPr>
        <w:t>审查后由</w:t>
      </w:r>
      <w:r>
        <w:rPr>
          <w:rFonts w:hint="eastAsia" w:ascii="宋体" w:hAnsi="宋体" w:eastAsia="宋体" w:cs="宋体"/>
          <w:color w:val="000000"/>
          <w:szCs w:val="21"/>
          <w:highlight w:val="none"/>
        </w:rPr>
        <w:t>评标委员会对</w:t>
      </w:r>
      <w:r>
        <w:rPr>
          <w:rFonts w:hint="eastAsia" w:ascii="宋体" w:hAnsi="宋体" w:eastAsia="宋体" w:cs="宋体"/>
          <w:color w:val="000000"/>
          <w:szCs w:val="21"/>
          <w:highlight w:val="none"/>
          <w:lang w:eastAsia="zh-CN"/>
        </w:rPr>
        <w:t>投标供应商</w:t>
      </w:r>
      <w:r>
        <w:rPr>
          <w:rFonts w:hint="eastAsia" w:ascii="宋体" w:hAnsi="宋体" w:eastAsia="宋体" w:cs="宋体"/>
          <w:color w:val="000000"/>
          <w:szCs w:val="21"/>
          <w:highlight w:val="none"/>
        </w:rPr>
        <w:t>的投标文件进行符合性审查。资格性审查不通过的不进入符合性审查，符合性审查不通过的</w:t>
      </w:r>
      <w:r>
        <w:rPr>
          <w:rFonts w:hint="eastAsia" w:ascii="宋体" w:hAnsi="宋体" w:eastAsia="宋体" w:cs="宋体"/>
          <w:color w:val="000000"/>
          <w:szCs w:val="21"/>
          <w:highlight w:val="none"/>
          <w:lang w:eastAsia="zh-CN"/>
        </w:rPr>
        <w:t>投标供应商</w:t>
      </w:r>
      <w:r>
        <w:rPr>
          <w:rFonts w:hint="eastAsia" w:ascii="宋体" w:hAnsi="宋体" w:eastAsia="宋体" w:cs="宋体"/>
          <w:color w:val="000000"/>
          <w:szCs w:val="21"/>
          <w:highlight w:val="none"/>
        </w:rPr>
        <w:t>，将不再进入下一阶段的评审。审查均合格的投标文件进行详细评审。</w:t>
      </w:r>
    </w:p>
    <w:p>
      <w:pPr>
        <w:spacing w:before="240" w:after="120"/>
        <w:jc w:val="left"/>
        <w:outlineLvl w:val="2"/>
        <w:rPr>
          <w:rFonts w:hint="eastAsia" w:ascii="宋体" w:hAnsi="宋体" w:eastAsia="宋体" w:cs="宋体"/>
          <w:b/>
          <w:bCs/>
          <w:sz w:val="28"/>
          <w:highlight w:val="none"/>
        </w:rPr>
      </w:pPr>
      <w:r>
        <w:rPr>
          <w:rFonts w:hint="eastAsia" w:ascii="宋体" w:hAnsi="宋体" w:eastAsia="宋体" w:cs="宋体"/>
          <w:b/>
          <w:bCs/>
          <w:sz w:val="28"/>
          <w:highlight w:val="none"/>
        </w:rPr>
        <w:t>4、汇总得分</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评标委员会成员独立评分，按评审后综合得分由高到低顺序排列。得分相同的，按投标报价由低到高顺序排列。得分且投标报价相同的，</w:t>
      </w:r>
      <w:r>
        <w:rPr>
          <w:rFonts w:hint="eastAsia" w:ascii="宋体" w:hAnsi="宋体" w:eastAsia="宋体" w:cs="宋体"/>
          <w:szCs w:val="21"/>
          <w:highlight w:val="none"/>
          <w:lang w:val="en-US" w:eastAsia="zh-CN"/>
        </w:rPr>
        <w:t>依次比较企业业绩、</w:t>
      </w:r>
      <w:r>
        <w:rPr>
          <w:rFonts w:hint="eastAsia" w:ascii="宋体" w:hAnsi="宋体" w:eastAsia="宋体" w:cs="宋体"/>
          <w:szCs w:val="21"/>
          <w:highlight w:val="none"/>
          <w:lang w:val="zh-CN" w:eastAsia="zh-CN"/>
        </w:rPr>
        <w:t>服务承诺、</w:t>
      </w:r>
      <w:r>
        <w:rPr>
          <w:rFonts w:hint="eastAsia" w:ascii="宋体" w:hAnsi="宋体" w:eastAsia="宋体" w:cs="宋体"/>
          <w:szCs w:val="21"/>
          <w:highlight w:val="none"/>
          <w:lang w:val="en-US" w:eastAsia="zh-CN"/>
        </w:rPr>
        <w:t>机械设备、技术方案各分项得分</w:t>
      </w:r>
      <w:r>
        <w:rPr>
          <w:rFonts w:hint="eastAsia" w:ascii="宋体" w:hAnsi="宋体" w:eastAsia="宋体" w:cs="宋体"/>
          <w:color w:val="000000"/>
          <w:szCs w:val="21"/>
          <w:highlight w:val="none"/>
        </w:rPr>
        <w:t>，此技术得分高者排在前；评委评分超过得分界限或未按照本办法规定时，该评委的该项评分作废，不计入汇总；数字均保留二位小数，第三位“四舍五入”。 评审过程中，若出现本办法以外的特殊情况时，将暂停评标，有关情况待评标委员会确定后，再行评定。</w:t>
      </w:r>
    </w:p>
    <w:p>
      <w:pPr>
        <w:spacing w:before="240" w:after="120"/>
        <w:jc w:val="left"/>
        <w:outlineLvl w:val="2"/>
        <w:rPr>
          <w:rFonts w:hint="eastAsia" w:ascii="宋体" w:hAnsi="宋体" w:eastAsia="宋体" w:cs="宋体"/>
          <w:b/>
          <w:bCs/>
          <w:sz w:val="28"/>
          <w:highlight w:val="none"/>
          <w:lang w:val="zh-CN"/>
        </w:rPr>
      </w:pPr>
      <w:r>
        <w:rPr>
          <w:rFonts w:hint="eastAsia" w:ascii="宋体" w:hAnsi="宋体" w:eastAsia="宋体" w:cs="宋体"/>
          <w:b/>
          <w:bCs/>
          <w:sz w:val="28"/>
          <w:highlight w:val="none"/>
        </w:rPr>
        <w:t>5、</w:t>
      </w:r>
      <w:r>
        <w:rPr>
          <w:rFonts w:hint="eastAsia" w:ascii="宋体" w:hAnsi="宋体" w:eastAsia="宋体" w:cs="宋体"/>
          <w:b/>
          <w:bCs/>
          <w:sz w:val="28"/>
          <w:highlight w:val="none"/>
          <w:lang w:val="zh-CN"/>
        </w:rPr>
        <w:t>需要落实的政府采购政策</w:t>
      </w:r>
    </w:p>
    <w:p>
      <w:pPr>
        <w:spacing w:line="440" w:lineRule="exact"/>
        <w:ind w:firstLine="420"/>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如果投标企业符合相关需落实政府采购政策的，将按以下各标准执行。</w:t>
      </w:r>
    </w:p>
    <w:p>
      <w:pPr>
        <w:spacing w:line="440" w:lineRule="exact"/>
        <w:ind w:firstLine="420"/>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5.1 投标企业政府采购政策</w:t>
      </w:r>
    </w:p>
    <w:p>
      <w:pPr>
        <w:spacing w:line="440" w:lineRule="exact"/>
        <w:ind w:firstLine="420"/>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5.1.1中小企业落实政府采购政策</w:t>
      </w:r>
    </w:p>
    <w:p>
      <w:pPr>
        <w:spacing w:line="440" w:lineRule="exact"/>
        <w:ind w:firstLine="420"/>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（1）中小企业应符合工信部联企业[2011]300号文件规定，采购活动执行《政府采购促进中小企业发展管理办法》（财库﹝2020﹞46号）的规定。</w:t>
      </w:r>
    </w:p>
    <w:p>
      <w:pPr>
        <w:spacing w:line="440" w:lineRule="exact"/>
        <w:ind w:firstLine="420"/>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（2）投标供应商出具《中小企业声明函》，由评委会审定，</w:t>
      </w:r>
      <w:r>
        <w:rPr>
          <w:rFonts w:hint="eastAsia" w:ascii="宋体" w:hAnsi="宋体" w:eastAsia="宋体" w:cs="宋体"/>
          <w:color w:val="000000"/>
          <w:szCs w:val="21"/>
          <w:highlight w:val="none"/>
          <w:lang w:val="en-US" w:eastAsia="zh-CN"/>
        </w:rPr>
        <w:t>本项目专门面向中小微企业</w:t>
      </w:r>
      <w:r>
        <w:rPr>
          <w:rFonts w:hint="eastAsia" w:ascii="宋体" w:hAnsi="宋体" w:eastAsia="宋体" w:cs="宋体"/>
          <w:color w:val="000000"/>
          <w:szCs w:val="21"/>
          <w:highlight w:val="none"/>
          <w:lang w:val="zh-CN"/>
        </w:rPr>
        <w:t>。</w:t>
      </w:r>
    </w:p>
    <w:p>
      <w:pPr>
        <w:spacing w:line="440" w:lineRule="exact"/>
        <w:ind w:firstLine="420"/>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5.1.2监狱和戒毒企业应符合《财政部 司法部关于政府采购支持监狱企业发展有关问题的通知》--财库〔2014〕68号的相关规定，并提供由省级以上监狱管理局、戒毒管理局(含新疆生产建设兵团)出具的属于监狱企业的证明。监狱和戒毒企业视为小型或微型企业。</w:t>
      </w:r>
    </w:p>
    <w:p>
      <w:pPr>
        <w:spacing w:line="440" w:lineRule="exact"/>
        <w:ind w:firstLine="420"/>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5.1.3根据财政部 民政部 中国残疾人联合会三部门联合发布的《关于促进残疾人就业政府采购政策的通知》（财库〔2017〕141号）符合条件的残疾人福利性单位在参加政府采购活动时，应当提供本通知规定的《残疾人福利性单位声明函》，并对声明的真实性负责。</w:t>
      </w:r>
      <w:r>
        <w:rPr>
          <w:rFonts w:hint="eastAsia" w:ascii="宋体" w:hAnsi="宋体" w:eastAsia="宋体" w:cs="宋体"/>
          <w:color w:val="000000"/>
          <w:szCs w:val="21"/>
          <w:highlight w:val="none"/>
          <w:lang w:val="zh-CN" w:eastAsia="zh-CN"/>
        </w:rPr>
        <w:t>投标供应商</w:t>
      </w:r>
      <w:r>
        <w:rPr>
          <w:rFonts w:hint="eastAsia" w:ascii="宋体" w:hAnsi="宋体" w:eastAsia="宋体" w:cs="宋体"/>
          <w:color w:val="000000"/>
          <w:szCs w:val="21"/>
          <w:highlight w:val="none"/>
          <w:lang w:val="zh-CN"/>
        </w:rPr>
        <w:t>提供的《残疾人福利性单位声明函》与事实不符的，依照《政府采购法》第七十七条第一款的规定追究法律责任。</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r>
        <w:rPr>
          <w:rFonts w:hint="eastAsia" w:ascii="宋体" w:hAnsi="宋体" w:eastAsia="宋体" w:cs="宋体"/>
          <w:color w:val="000000"/>
          <w:szCs w:val="21"/>
          <w:highlight w:val="none"/>
          <w:lang w:val="zh-CN"/>
        </w:rPr>
        <w:t>.1.</w:t>
      </w:r>
      <w:r>
        <w:rPr>
          <w:rFonts w:hint="eastAsia" w:ascii="宋体" w:hAnsi="宋体" w:eastAsia="宋体" w:cs="宋体"/>
          <w:color w:val="000000"/>
          <w:szCs w:val="21"/>
          <w:highlight w:val="none"/>
        </w:rPr>
        <w:t>4</w:t>
      </w:r>
      <w:r>
        <w:rPr>
          <w:rFonts w:hint="eastAsia" w:ascii="宋体" w:hAnsi="宋体" w:eastAsia="宋体" w:cs="宋体"/>
          <w:color w:val="000000"/>
          <w:szCs w:val="21"/>
          <w:highlight w:val="none"/>
          <w:lang w:eastAsia="zh-CN"/>
        </w:rPr>
        <w:t>投标供应商</w:t>
      </w:r>
      <w:r>
        <w:rPr>
          <w:rFonts w:hint="eastAsia" w:ascii="宋体" w:hAnsi="宋体" w:eastAsia="宋体" w:cs="宋体"/>
          <w:color w:val="000000"/>
          <w:szCs w:val="21"/>
          <w:highlight w:val="none"/>
        </w:rPr>
        <w:t>应如实提供以上证明文件，如存在虚假应标，将取消其投标资格。</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5.1.5监狱和戒毒企业、残疾人福利性单位视为小型或微型企业，不重复享受价格优惠政策。</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5.2</w:t>
      </w:r>
      <w:r>
        <w:rPr>
          <w:rFonts w:hint="eastAsia" w:ascii="宋体" w:hAnsi="宋体" w:eastAsia="宋体" w:cs="宋体"/>
          <w:color w:val="000000"/>
          <w:szCs w:val="21"/>
          <w:highlight w:val="none"/>
          <w:lang w:val="zh-CN"/>
        </w:rPr>
        <w:t>投标产品政府采购政策（本项目不适用）</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5.2.1节能产品</w:t>
      </w:r>
      <w:r>
        <w:rPr>
          <w:rFonts w:hint="eastAsia" w:ascii="宋体" w:hAnsi="宋体" w:eastAsia="宋体" w:cs="宋体"/>
          <w:color w:val="000000"/>
          <w:szCs w:val="21"/>
          <w:highlight w:val="none"/>
          <w:lang w:val="zh-CN"/>
        </w:rPr>
        <w:t>根据《国务院办公厅关于建立政府强制采购节能产品制度的通知》</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zh-CN"/>
        </w:rPr>
        <w:t>国办发</w:t>
      </w:r>
      <w:r>
        <w:rPr>
          <w:rFonts w:hint="eastAsia" w:ascii="宋体" w:hAnsi="宋体" w:eastAsia="宋体" w:cs="宋体"/>
          <w:color w:val="000000"/>
          <w:szCs w:val="21"/>
          <w:highlight w:val="none"/>
        </w:rPr>
        <w:t>〔2007〕51号）</w:t>
      </w:r>
      <w:r>
        <w:rPr>
          <w:rFonts w:hint="eastAsia" w:ascii="宋体" w:hAnsi="宋体" w:eastAsia="宋体" w:cs="宋体"/>
          <w:color w:val="000000"/>
          <w:szCs w:val="21"/>
          <w:highlight w:val="none"/>
          <w:lang w:val="zh-CN"/>
        </w:rPr>
        <w:t>的规定</w:t>
      </w:r>
      <w:r>
        <w:rPr>
          <w:rFonts w:hint="eastAsia" w:ascii="宋体" w:hAnsi="宋体" w:eastAsia="宋体" w:cs="宋体"/>
          <w:color w:val="000000"/>
          <w:szCs w:val="21"/>
          <w:highlight w:val="none"/>
        </w:rPr>
        <w:t>，以</w:t>
      </w:r>
      <w:r>
        <w:rPr>
          <w:rFonts w:hint="eastAsia" w:ascii="宋体" w:hAnsi="宋体" w:eastAsia="宋体" w:cs="宋体"/>
          <w:color w:val="000000"/>
          <w:szCs w:val="21"/>
          <w:highlight w:val="none"/>
          <w:lang w:val="zh-CN"/>
        </w:rPr>
        <w:t>财库〔2019〕9号为准。</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5.2.2环境标志产品</w:t>
      </w:r>
      <w:r>
        <w:rPr>
          <w:rFonts w:hint="eastAsia" w:ascii="宋体" w:hAnsi="宋体" w:eastAsia="宋体" w:cs="宋体"/>
          <w:color w:val="000000"/>
          <w:szCs w:val="21"/>
          <w:highlight w:val="none"/>
          <w:lang w:val="zh-CN"/>
        </w:rPr>
        <w:t>根据《环境标志产品政府采购实施的意见》</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zh-CN"/>
        </w:rPr>
        <w:t>财库</w:t>
      </w:r>
      <w:r>
        <w:rPr>
          <w:rFonts w:hint="eastAsia" w:ascii="宋体" w:hAnsi="宋体" w:eastAsia="宋体" w:cs="宋体"/>
          <w:color w:val="000000"/>
          <w:szCs w:val="21"/>
          <w:highlight w:val="none"/>
        </w:rPr>
        <w:t>[2006]90</w:t>
      </w:r>
      <w:r>
        <w:rPr>
          <w:rFonts w:hint="eastAsia" w:ascii="宋体" w:hAnsi="宋体" w:eastAsia="宋体" w:cs="宋体"/>
          <w:color w:val="000000"/>
          <w:szCs w:val="21"/>
          <w:highlight w:val="none"/>
          <w:lang w:val="zh-CN"/>
        </w:rPr>
        <w:t>号</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zh-CN"/>
        </w:rPr>
        <w:t>的规定</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zh-CN"/>
        </w:rPr>
        <w:t>以财库〔2019〕9号为准。</w:t>
      </w:r>
    </w:p>
    <w:p>
      <w:pPr>
        <w:spacing w:line="440" w:lineRule="exact"/>
        <w:ind w:firstLine="420"/>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lang w:val="zh-CN"/>
        </w:rPr>
        <w:t>.2.3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spacing w:line="440" w:lineRule="exact"/>
        <w:ind w:firstLine="420"/>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rPr>
        <w:t>5</w:t>
      </w:r>
      <w:r>
        <w:rPr>
          <w:rFonts w:hint="eastAsia" w:ascii="宋体" w:hAnsi="宋体" w:eastAsia="宋体" w:cs="宋体"/>
          <w:color w:val="000000"/>
          <w:szCs w:val="21"/>
          <w:highlight w:val="none"/>
          <w:lang w:val="zh-CN"/>
        </w:rPr>
        <w:t>.2.4 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spacing w:line="440" w:lineRule="exact"/>
        <w:ind w:firstLine="420"/>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rPr>
        <w:t>5</w:t>
      </w:r>
      <w:r>
        <w:rPr>
          <w:rFonts w:hint="eastAsia" w:ascii="宋体" w:hAnsi="宋体" w:eastAsia="宋体" w:cs="宋体"/>
          <w:color w:val="000000"/>
          <w:szCs w:val="21"/>
          <w:highlight w:val="none"/>
          <w:lang w:val="zh-CN"/>
        </w:rPr>
        <w:t>.2.5 对于已列入品目清单的产品类别，采购人可在采购需求中提出更高的节约资源和保护环境要求，对符合条件的获证产品给予优先待遇。</w:t>
      </w:r>
    </w:p>
    <w:p>
      <w:pPr>
        <w:spacing w:before="240" w:after="120"/>
        <w:jc w:val="left"/>
        <w:outlineLvl w:val="2"/>
        <w:rPr>
          <w:rFonts w:hint="eastAsia" w:ascii="宋体" w:hAnsi="宋体" w:eastAsia="宋体" w:cs="宋体"/>
          <w:b/>
          <w:bCs/>
          <w:sz w:val="28"/>
          <w:highlight w:val="none"/>
        </w:rPr>
      </w:pPr>
      <w:r>
        <w:rPr>
          <w:rFonts w:hint="eastAsia" w:ascii="宋体" w:hAnsi="宋体" w:eastAsia="宋体" w:cs="宋体"/>
          <w:b/>
          <w:bCs/>
          <w:sz w:val="28"/>
          <w:highlight w:val="none"/>
        </w:rPr>
        <w:t>6、特殊情况的处理</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6.1 投标文件中如果出现计算错误，可按以下原则进行修正：</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（1）投标文件中的大写金额与小写金额不一致的，以大写金额为准；</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（2）投标文件中的总价金额与按单价计算的汇总金额不一致的，以单价计算的汇总金额为准；</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（3）投标文件中的单价金额有明显小数点错误的，以总价为准，并修改单价；</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（4）投标文件中有关分项表内容与“开标一览表”不一致的，以“开标一览表”为准；</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（5）投标文件中图表与文字表述不一致的，以文字表述为准；</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）对不同文字文本投标文件的解释发生异议的，以中文文本为准。</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按上述修正错误的方法调整的投标报价应对</w:t>
      </w:r>
      <w:r>
        <w:rPr>
          <w:rFonts w:hint="eastAsia" w:ascii="宋体" w:hAnsi="宋体" w:eastAsia="宋体" w:cs="宋体"/>
          <w:color w:val="000000"/>
          <w:szCs w:val="21"/>
          <w:highlight w:val="none"/>
          <w:lang w:eastAsia="zh-CN"/>
        </w:rPr>
        <w:t>投标供应商</w:t>
      </w:r>
      <w:r>
        <w:rPr>
          <w:rFonts w:hint="eastAsia" w:ascii="宋体" w:hAnsi="宋体" w:eastAsia="宋体" w:cs="宋体"/>
          <w:color w:val="000000"/>
          <w:szCs w:val="21"/>
          <w:highlight w:val="none"/>
        </w:rPr>
        <w:t>具有约束力。如果</w:t>
      </w:r>
      <w:r>
        <w:rPr>
          <w:rFonts w:hint="eastAsia" w:ascii="宋体" w:hAnsi="宋体" w:eastAsia="宋体" w:cs="宋体"/>
          <w:color w:val="000000"/>
          <w:szCs w:val="21"/>
          <w:highlight w:val="none"/>
          <w:lang w:eastAsia="zh-CN"/>
        </w:rPr>
        <w:t>投标供应商</w:t>
      </w:r>
      <w:r>
        <w:rPr>
          <w:rFonts w:hint="eastAsia" w:ascii="宋体" w:hAnsi="宋体" w:eastAsia="宋体" w:cs="宋体"/>
          <w:color w:val="000000"/>
          <w:szCs w:val="21"/>
          <w:highlight w:val="none"/>
        </w:rPr>
        <w:t>不接受修正后的价格，其投标将被拒绝。</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6.2 投标文件中，若某项有不合理报价（或零报价、漏报价）的，经评委会评审后，此项得分为零，不参与投标报价分值的计算。</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6.3 评委评分超过得分界限或未按照本办法规定时，该评委的该项评分作废，不计入汇总；计算采用插入法，各种数字均保留两位小数，第三位“四舍五入”；评审过程中，若出现本办法以外的特殊情况时，将暂停评标，有关情况待评标委员会确定后，再行评定。</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6.4 评标结果汇总完成后，除下列情形外，任何人不得修改评标结果：</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（1）分值汇总计算错误的；</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（2）分项评分超出评分标准范围的；</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（3）评标委员会对客观评审因素评分不一致的；</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（4）经评标委员会认定评分畸高、畸低的。</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中标结果的，书面报本级财政部门认定。</w:t>
      </w:r>
    </w:p>
    <w:p>
      <w:pPr>
        <w:spacing w:before="240" w:after="120"/>
        <w:jc w:val="left"/>
        <w:outlineLvl w:val="2"/>
        <w:rPr>
          <w:rFonts w:hint="eastAsia" w:ascii="宋体" w:hAnsi="宋体" w:eastAsia="宋体" w:cs="宋体"/>
          <w:b/>
          <w:bCs/>
          <w:sz w:val="28"/>
          <w:highlight w:val="none"/>
        </w:rPr>
      </w:pPr>
      <w:r>
        <w:rPr>
          <w:rFonts w:hint="eastAsia" w:ascii="宋体" w:hAnsi="宋体" w:eastAsia="宋体" w:cs="宋体"/>
          <w:b/>
          <w:bCs/>
          <w:sz w:val="28"/>
          <w:highlight w:val="none"/>
        </w:rPr>
        <w:t>7、与采购人、采购代理机构和评标委员会接触</w:t>
      </w:r>
    </w:p>
    <w:p>
      <w:pPr>
        <w:spacing w:line="44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投标供应商</w:t>
      </w:r>
      <w:r>
        <w:rPr>
          <w:rFonts w:hint="eastAsia" w:ascii="宋体" w:hAnsi="宋体" w:eastAsia="宋体" w:cs="宋体"/>
          <w:color w:val="000000"/>
          <w:szCs w:val="21"/>
          <w:highlight w:val="none"/>
        </w:rPr>
        <w:t>试图对采购人、采购代理机构和评标委员会的评标、比较或授予合同的决定进行影响，都可能导致其投标被拒绝。</w:t>
      </w:r>
    </w:p>
    <w:p>
      <w:pPr>
        <w:pStyle w:val="16"/>
        <w:rPr>
          <w:rFonts w:hint="eastAsia" w:ascii="宋体" w:hAnsi="宋体" w:eastAsia="宋体" w:cs="宋体"/>
          <w:color w:val="000000"/>
          <w:szCs w:val="21"/>
          <w:highlight w:val="none"/>
        </w:rPr>
      </w:pPr>
    </w:p>
    <w:p>
      <w:pPr>
        <w:pStyle w:val="36"/>
        <w:rPr>
          <w:rFonts w:hint="eastAsia" w:ascii="宋体" w:hAnsi="宋体" w:eastAsia="宋体" w:cs="宋体"/>
          <w:color w:val="000000"/>
          <w:szCs w:val="21"/>
          <w:highlight w:val="none"/>
        </w:rPr>
      </w:pPr>
    </w:p>
    <w:p>
      <w:pPr>
        <w:pStyle w:val="36"/>
        <w:rPr>
          <w:rFonts w:hint="eastAsia" w:ascii="宋体" w:hAnsi="宋体" w:eastAsia="宋体" w:cs="宋体"/>
          <w:color w:val="000000"/>
          <w:szCs w:val="21"/>
          <w:highlight w:val="none"/>
        </w:rPr>
      </w:pPr>
    </w:p>
    <w:p>
      <w:pPr>
        <w:pStyle w:val="36"/>
        <w:rPr>
          <w:rFonts w:hint="eastAsia" w:ascii="宋体" w:hAnsi="宋体" w:eastAsia="宋体" w:cs="宋体"/>
          <w:color w:val="000000"/>
          <w:szCs w:val="21"/>
          <w:highlight w:val="none"/>
        </w:rPr>
      </w:pPr>
    </w:p>
    <w:p>
      <w:pPr>
        <w:pStyle w:val="36"/>
        <w:rPr>
          <w:rFonts w:hint="eastAsia" w:ascii="宋体" w:hAnsi="宋体" w:eastAsia="宋体" w:cs="宋体"/>
          <w:color w:val="000000"/>
          <w:szCs w:val="21"/>
          <w:highlight w:val="none"/>
        </w:rPr>
      </w:pPr>
    </w:p>
    <w:p>
      <w:pPr>
        <w:pStyle w:val="36"/>
        <w:rPr>
          <w:rFonts w:hint="eastAsia" w:ascii="宋体" w:hAnsi="宋体" w:eastAsia="宋体" w:cs="宋体"/>
          <w:color w:val="000000"/>
          <w:szCs w:val="21"/>
          <w:highlight w:val="none"/>
        </w:rPr>
      </w:pPr>
    </w:p>
    <w:p>
      <w:pPr>
        <w:pStyle w:val="36"/>
        <w:rPr>
          <w:rFonts w:hint="eastAsia" w:ascii="宋体" w:hAnsi="宋体" w:eastAsia="宋体" w:cs="宋体"/>
          <w:color w:val="000000"/>
          <w:szCs w:val="21"/>
          <w:highlight w:val="none"/>
        </w:rPr>
      </w:pPr>
    </w:p>
    <w:p>
      <w:pPr>
        <w:widowControl/>
        <w:autoSpaceDE w:val="0"/>
        <w:autoSpaceDN w:val="0"/>
        <w:spacing w:line="500" w:lineRule="exact"/>
        <w:ind w:right="53"/>
        <w:textAlignment w:val="bottom"/>
        <w:rPr>
          <w:rFonts w:hint="eastAsia" w:ascii="宋体" w:hAnsi="宋体" w:eastAsia="宋体" w:cs="宋体"/>
          <w:b/>
          <w:bCs/>
          <w:sz w:val="28"/>
          <w:szCs w:val="28"/>
          <w:highlight w:val="none"/>
        </w:rPr>
      </w:pPr>
    </w:p>
    <w:p>
      <w:pPr>
        <w:widowControl/>
        <w:autoSpaceDE w:val="0"/>
        <w:autoSpaceDN w:val="0"/>
        <w:spacing w:line="500" w:lineRule="exact"/>
        <w:ind w:right="53"/>
        <w:textAlignment w:val="bottom"/>
        <w:rPr>
          <w:rFonts w:hint="eastAsia" w:ascii="宋体" w:hAnsi="宋体" w:eastAsia="宋体" w:cs="宋体"/>
          <w:b/>
          <w:bCs/>
          <w:sz w:val="28"/>
          <w:szCs w:val="28"/>
          <w:highlight w:val="none"/>
        </w:rPr>
      </w:pPr>
    </w:p>
    <w:p>
      <w:pPr>
        <w:widowControl/>
        <w:autoSpaceDE w:val="0"/>
        <w:autoSpaceDN w:val="0"/>
        <w:spacing w:line="500" w:lineRule="exact"/>
        <w:ind w:right="53"/>
        <w:textAlignment w:val="bottom"/>
        <w:rPr>
          <w:rFonts w:hint="eastAsia" w:ascii="宋体" w:hAnsi="宋体" w:eastAsia="宋体" w:cs="宋体"/>
          <w:b/>
          <w:bCs/>
          <w:sz w:val="28"/>
          <w:szCs w:val="28"/>
          <w:highlight w:val="none"/>
        </w:rPr>
      </w:pPr>
    </w:p>
    <w:p>
      <w:pPr>
        <w:widowControl/>
        <w:autoSpaceDE w:val="0"/>
        <w:autoSpaceDN w:val="0"/>
        <w:spacing w:line="500" w:lineRule="exact"/>
        <w:ind w:right="53"/>
        <w:textAlignment w:val="bottom"/>
        <w:rPr>
          <w:rFonts w:hint="eastAsia" w:ascii="宋体" w:hAnsi="宋体" w:eastAsia="宋体" w:cs="宋体"/>
          <w:b/>
          <w:bCs/>
          <w:sz w:val="28"/>
          <w:szCs w:val="28"/>
          <w:highlight w:val="none"/>
        </w:rPr>
      </w:pPr>
    </w:p>
    <w:p>
      <w:pPr>
        <w:widowControl/>
        <w:autoSpaceDE w:val="0"/>
        <w:autoSpaceDN w:val="0"/>
        <w:spacing w:line="500" w:lineRule="exact"/>
        <w:ind w:right="53"/>
        <w:textAlignment w:val="bottom"/>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附件一：</w:t>
      </w:r>
    </w:p>
    <w:p>
      <w:pPr>
        <w:keepNext w:val="0"/>
        <w:keepLines w:val="0"/>
        <w:pageBreakBefore w:val="0"/>
        <w:widowControl/>
        <w:kinsoku/>
        <w:wordWrap/>
        <w:overflowPunct/>
        <w:topLinePunct w:val="0"/>
        <w:autoSpaceDE w:val="0"/>
        <w:autoSpaceDN w:val="0"/>
        <w:bidi w:val="0"/>
        <w:adjustRightInd/>
        <w:snapToGrid/>
        <w:spacing w:line="500" w:lineRule="exact"/>
        <w:ind w:right="0"/>
        <w:jc w:val="center"/>
        <w:textAlignment w:val="bottom"/>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资格性审查内容</w:t>
      </w:r>
    </w:p>
    <w:tbl>
      <w:tblPr>
        <w:tblStyle w:val="37"/>
        <w:tblpPr w:leftFromText="180" w:rightFromText="180" w:vertAnchor="text" w:horzAnchor="page" w:tblpX="1311" w:tblpY="839"/>
        <w:tblOverlap w:val="never"/>
        <w:tblW w:w="94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545"/>
        <w:gridCol w:w="5886"/>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noWrap w:val="0"/>
            <w:vAlign w:val="center"/>
          </w:tcPr>
          <w:p>
            <w:pPr>
              <w:pStyle w:val="32"/>
              <w:spacing w:before="0" w:beforeAutospacing="0" w:after="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545" w:type="dxa"/>
            <w:noWrap w:val="0"/>
            <w:vAlign w:val="center"/>
          </w:tcPr>
          <w:p>
            <w:pPr>
              <w:pStyle w:val="32"/>
              <w:spacing w:before="0" w:beforeAutospacing="0" w:after="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资格审查项</w:t>
            </w:r>
          </w:p>
        </w:tc>
        <w:tc>
          <w:tcPr>
            <w:tcW w:w="5886" w:type="dxa"/>
            <w:noWrap w:val="0"/>
            <w:vAlign w:val="center"/>
          </w:tcPr>
          <w:p>
            <w:pPr>
              <w:pStyle w:val="32"/>
              <w:spacing w:before="0" w:beforeAutospacing="0" w:after="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审查内容</w:t>
            </w:r>
          </w:p>
        </w:tc>
        <w:tc>
          <w:tcPr>
            <w:tcW w:w="1173" w:type="dxa"/>
            <w:noWrap w:val="0"/>
            <w:vAlign w:val="center"/>
          </w:tcPr>
          <w:p>
            <w:pPr>
              <w:pStyle w:val="32"/>
              <w:spacing w:before="0" w:beforeAutospacing="0" w:after="0" w:afterAutospacing="0" w:line="50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审查标准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855" w:type="dxa"/>
            <w:noWrap w:val="0"/>
            <w:vAlign w:val="center"/>
          </w:tcPr>
          <w:p>
            <w:pPr>
              <w:pStyle w:val="32"/>
              <w:spacing w:before="0" w:beforeAutospacing="0" w:after="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45" w:type="dxa"/>
            <w:noWrap w:val="0"/>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营业执照等主体资格证明文件</w:t>
            </w:r>
          </w:p>
        </w:tc>
        <w:tc>
          <w:tcPr>
            <w:tcW w:w="5886" w:type="dxa"/>
            <w:noWrap w:val="0"/>
            <w:vAlign w:val="center"/>
          </w:tcPr>
          <w:p>
            <w:pPr>
              <w:spacing w:line="40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具有独立承担民事责任能力的法人、其他组织或自然人，并出具合法有效的统一社会信用代码的营业执照或事业单位法人证书等国家规定的相关证明，自然人参与的提供其身份证明；</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eastAsia="zh-CN"/>
              </w:rPr>
              <w:t>评审依据：</w:t>
            </w:r>
            <w:r>
              <w:rPr>
                <w:rFonts w:hint="eastAsia" w:ascii="宋体" w:hAnsi="宋体" w:eastAsia="宋体" w:cs="宋体"/>
                <w:highlight w:val="none"/>
                <w:lang w:val="en-US" w:eastAsia="zh-CN"/>
              </w:rPr>
              <w:t>投标</w:t>
            </w:r>
            <w:r>
              <w:rPr>
                <w:rFonts w:hint="eastAsia" w:ascii="宋体" w:hAnsi="宋体" w:eastAsia="宋体" w:cs="宋体"/>
                <w:highlight w:val="none"/>
                <w:lang w:eastAsia="zh-CN"/>
              </w:rPr>
              <w:t>供应商是法人或其他组织的应提供营业执照等证明文件，</w:t>
            </w:r>
            <w:r>
              <w:rPr>
                <w:rFonts w:hint="eastAsia" w:ascii="宋体" w:hAnsi="宋体" w:eastAsia="宋体" w:cs="宋体"/>
                <w:highlight w:val="none"/>
                <w:lang w:val="en-US" w:eastAsia="zh-CN"/>
              </w:rPr>
              <w:t>投标</w:t>
            </w:r>
            <w:r>
              <w:rPr>
                <w:rFonts w:hint="eastAsia" w:ascii="宋体" w:hAnsi="宋体" w:eastAsia="宋体" w:cs="宋体"/>
                <w:highlight w:val="none"/>
                <w:lang w:eastAsia="zh-CN"/>
              </w:rPr>
              <w:t>供应商是自然人的应提供有效的自然人身份证。证明材料电子件或扫描</w:t>
            </w:r>
            <w:r>
              <w:rPr>
                <w:rFonts w:hint="eastAsia" w:ascii="宋体" w:hAnsi="宋体" w:eastAsia="宋体" w:cs="宋体"/>
                <w:highlight w:val="none"/>
                <w:lang w:val="en-US" w:eastAsia="zh-CN"/>
              </w:rPr>
              <w:t>件。</w:t>
            </w:r>
          </w:p>
        </w:tc>
        <w:tc>
          <w:tcPr>
            <w:tcW w:w="1173" w:type="dxa"/>
            <w:noWrap w:val="0"/>
            <w:vAlign w:val="center"/>
          </w:tcPr>
          <w:p>
            <w:pPr>
              <w:spacing w:line="400" w:lineRule="exact"/>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符合招标文件要求，合法有效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855" w:type="dxa"/>
            <w:noWrap w:val="0"/>
            <w:vAlign w:val="center"/>
          </w:tcPr>
          <w:p>
            <w:pPr>
              <w:pStyle w:val="32"/>
              <w:spacing w:before="0" w:beforeAutospacing="0" w:after="0" w:afterAutospacing="0"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545" w:type="dxa"/>
            <w:noWrap w:val="0"/>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落实政府采购政策需满足的资格要求</w:t>
            </w:r>
          </w:p>
        </w:tc>
        <w:tc>
          <w:tcPr>
            <w:tcW w:w="5886" w:type="dxa"/>
            <w:noWrap w:val="0"/>
            <w:vAlign w:val="center"/>
          </w:tcPr>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专门面向中小企业采购，投标供应商应为中小微企业或监狱企业或残疾人福利性单位。投标供应商为中型、小型、微型企业的，提供《中小企业声明函》；投标供应商为监狱企业的，应提供监狱企业的证明文件；投标供应商为残疾人福利性单位的，应提供《残疾人福利性单位声明函》。</w:t>
            </w:r>
          </w:p>
          <w:p>
            <w:pPr>
              <w:spacing w:line="40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评审依据：投标文件内中小企业声明函或监狱企业的证明文件或残疾人福利性单位声明函。</w:t>
            </w:r>
          </w:p>
        </w:tc>
        <w:tc>
          <w:tcPr>
            <w:tcW w:w="1173" w:type="dxa"/>
            <w:noWrap w:val="0"/>
            <w:vAlign w:val="center"/>
          </w:tcPr>
          <w:p>
            <w:pPr>
              <w:pStyle w:val="32"/>
              <w:spacing w:before="0" w:beforeAutospacing="0" w:after="0" w:afterAutospacing="0" w:line="500" w:lineRule="exact"/>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符合招标文件要求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noWrap w:val="0"/>
            <w:vAlign w:val="center"/>
          </w:tcPr>
          <w:p>
            <w:pPr>
              <w:pStyle w:val="32"/>
              <w:spacing w:before="0" w:beforeAutospacing="0" w:after="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1545" w:type="dxa"/>
            <w:noWrap w:val="0"/>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基本资格条件承诺函</w:t>
            </w:r>
          </w:p>
        </w:tc>
        <w:tc>
          <w:tcPr>
            <w:tcW w:w="5886" w:type="dxa"/>
            <w:noWrap w:val="0"/>
            <w:vAlign w:val="center"/>
          </w:tcPr>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投标供应商提供基本资</w:t>
            </w:r>
            <w:r>
              <w:rPr>
                <w:rFonts w:hint="eastAsia" w:ascii="宋体" w:hAnsi="宋体" w:eastAsia="宋体" w:cs="宋体"/>
                <w:highlight w:val="none"/>
                <w:lang w:eastAsia="zh-CN"/>
              </w:rPr>
              <w:t>格条件承诺函：</w:t>
            </w:r>
            <w:r>
              <w:rPr>
                <w:rFonts w:hint="eastAsia" w:ascii="宋体" w:hAnsi="宋体" w:eastAsia="宋体" w:cs="宋体"/>
                <w:highlight w:val="none"/>
                <w:lang w:val="en-US" w:eastAsia="zh-CN"/>
              </w:rPr>
              <w:t>以下</w:t>
            </w:r>
            <w:r>
              <w:rPr>
                <w:rFonts w:hint="eastAsia" w:ascii="宋体" w:hAnsi="宋体" w:eastAsia="宋体" w:cs="宋体"/>
                <w:highlight w:val="none"/>
                <w:lang w:eastAsia="zh-CN"/>
              </w:rPr>
              <w:t>①</w:t>
            </w:r>
            <w:r>
              <w:rPr>
                <w:rFonts w:hint="eastAsia" w:ascii="宋体" w:hAnsi="宋体" w:eastAsia="宋体" w:cs="宋体"/>
                <w:highlight w:val="none"/>
                <w:lang w:val="en-US" w:eastAsia="zh-CN"/>
              </w:rPr>
              <w:t>-</w:t>
            </w:r>
            <w:r>
              <w:rPr>
                <w:rFonts w:hint="eastAsia" w:ascii="宋体" w:hAnsi="宋体" w:eastAsia="宋体" w:cs="宋体"/>
                <w:highlight w:val="none"/>
                <w:lang w:eastAsia="zh-CN"/>
              </w:rPr>
              <w:t>④</w:t>
            </w:r>
            <w:r>
              <w:rPr>
                <w:rFonts w:hint="eastAsia" w:ascii="宋体" w:hAnsi="宋体" w:eastAsia="宋体" w:cs="宋体"/>
                <w:highlight w:val="none"/>
                <w:lang w:val="en-US" w:eastAsia="zh-CN"/>
              </w:rPr>
              <w:t>条要求的相关材料供应商可提供</w:t>
            </w:r>
            <w:r>
              <w:rPr>
                <w:rFonts w:hint="eastAsia" w:ascii="宋体" w:hAnsi="宋体" w:eastAsia="宋体" w:cs="宋体"/>
                <w:highlight w:val="none"/>
                <w:lang w:eastAsia="zh-CN"/>
              </w:rPr>
              <w:t>《基本资格条件承诺函》</w:t>
            </w:r>
            <w:r>
              <w:rPr>
                <w:rFonts w:hint="eastAsia" w:ascii="宋体" w:hAnsi="宋体" w:eastAsia="宋体" w:cs="宋体"/>
                <w:highlight w:val="none"/>
                <w:lang w:val="en-US" w:eastAsia="zh-CN"/>
              </w:rPr>
              <w:t>替代，</w:t>
            </w:r>
            <w:r>
              <w:rPr>
                <w:rFonts w:hint="eastAsia" w:ascii="宋体" w:hAnsi="宋体" w:eastAsia="宋体" w:cs="宋体"/>
                <w:highlight w:val="none"/>
                <w:lang w:eastAsia="zh-CN"/>
              </w:rPr>
              <w:t>供应商应对</w:t>
            </w:r>
            <w:r>
              <w:rPr>
                <w:rFonts w:hint="eastAsia" w:ascii="宋体" w:hAnsi="宋体" w:eastAsia="宋体" w:cs="宋体"/>
                <w:highlight w:val="none"/>
                <w:lang w:val="en-US" w:eastAsia="zh-CN"/>
              </w:rPr>
              <w:t>其资格信用</w:t>
            </w:r>
            <w:r>
              <w:rPr>
                <w:rFonts w:hint="eastAsia" w:ascii="宋体" w:hAnsi="宋体" w:eastAsia="宋体" w:cs="宋体"/>
                <w:highlight w:val="none"/>
                <w:lang w:eastAsia="zh-CN"/>
              </w:rPr>
              <w:t>承诺内容的真实性、合法性、有效性负责。</w:t>
            </w:r>
            <w:r>
              <w:rPr>
                <w:rFonts w:hint="eastAsia" w:ascii="宋体" w:hAnsi="宋体" w:eastAsia="宋体" w:cs="宋体"/>
                <w:highlight w:val="none"/>
                <w:lang w:val="en-US" w:eastAsia="zh-CN"/>
              </w:rPr>
              <w:t>如做出虚假承诺，视同</w:t>
            </w:r>
            <w:r>
              <w:rPr>
                <w:rFonts w:hint="eastAsia" w:ascii="宋体" w:hAnsi="宋体" w:eastAsia="宋体" w:cs="宋体"/>
                <w:highlight w:val="none"/>
                <w:lang w:eastAsia="zh-CN"/>
              </w:rPr>
              <w:t>“提供虚假材料谋取中标</w:t>
            </w:r>
            <w:r>
              <w:rPr>
                <w:rFonts w:hint="eastAsia" w:ascii="宋体" w:hAnsi="宋体" w:eastAsia="宋体" w:cs="宋体"/>
                <w:highlight w:val="none"/>
                <w:lang w:val="en-US" w:eastAsia="zh-CN"/>
              </w:rPr>
              <w:t>(</w:t>
            </w:r>
            <w:r>
              <w:rPr>
                <w:rFonts w:hint="eastAsia" w:ascii="宋体" w:hAnsi="宋体" w:eastAsia="宋体" w:cs="宋体"/>
                <w:highlight w:val="none"/>
                <w:lang w:eastAsia="zh-CN"/>
              </w:rPr>
              <w:t>成交</w:t>
            </w:r>
            <w:r>
              <w:rPr>
                <w:rFonts w:hint="eastAsia" w:ascii="宋体" w:hAnsi="宋体" w:eastAsia="宋体" w:cs="宋体"/>
                <w:highlight w:val="none"/>
                <w:lang w:val="en-US" w:eastAsia="zh-CN"/>
              </w:rPr>
              <w:t>)</w:t>
            </w:r>
            <w:r>
              <w:rPr>
                <w:rFonts w:hint="eastAsia" w:ascii="宋体" w:hAnsi="宋体" w:eastAsia="宋体" w:cs="宋体"/>
                <w:highlight w:val="none"/>
                <w:lang w:eastAsia="zh-CN"/>
              </w:rPr>
              <w:t>”的违法行为，</w:t>
            </w:r>
            <w:r>
              <w:rPr>
                <w:rFonts w:hint="eastAsia" w:ascii="宋体" w:hAnsi="宋体" w:eastAsia="宋体" w:cs="宋体"/>
                <w:highlight w:val="none"/>
                <w:lang w:val="en-US" w:eastAsia="zh-CN"/>
              </w:rPr>
              <w:t>经调查核实后，按照</w:t>
            </w:r>
            <w:r>
              <w:rPr>
                <w:rFonts w:hint="eastAsia" w:ascii="宋体" w:hAnsi="宋体" w:eastAsia="宋体" w:cs="宋体"/>
                <w:highlight w:val="none"/>
                <w:lang w:eastAsia="zh-CN"/>
              </w:rPr>
              <w:t>《中华人民共和国政府采购法》等法律法规追究相应责任。承诺函格式详情见招标文件第六章</w:t>
            </w:r>
            <w:r>
              <w:rPr>
                <w:rFonts w:hint="eastAsia" w:ascii="宋体" w:hAnsi="宋体" w:eastAsia="宋体" w:cs="宋体"/>
                <w:highlight w:val="none"/>
                <w:lang w:val="en-US" w:eastAsia="zh-CN"/>
              </w:rPr>
              <w:t>投标</w:t>
            </w:r>
            <w:r>
              <w:rPr>
                <w:rFonts w:hint="eastAsia" w:ascii="宋体" w:hAnsi="宋体" w:eastAsia="宋体" w:cs="宋体"/>
                <w:highlight w:val="none"/>
                <w:lang w:eastAsia="zh-CN"/>
              </w:rPr>
              <w:t>文件格式。不提供《基本资格条件承诺函》的</w:t>
            </w:r>
            <w:r>
              <w:rPr>
                <w:rFonts w:hint="eastAsia" w:ascii="宋体" w:hAnsi="宋体" w:eastAsia="宋体" w:cs="宋体"/>
                <w:highlight w:val="none"/>
                <w:lang w:val="en-US" w:eastAsia="zh-CN"/>
              </w:rPr>
              <w:t>投标供应商</w:t>
            </w:r>
            <w:r>
              <w:rPr>
                <w:rFonts w:hint="eastAsia" w:ascii="宋体" w:hAnsi="宋体" w:eastAsia="宋体" w:cs="宋体"/>
                <w:highlight w:val="none"/>
                <w:lang w:eastAsia="zh-CN"/>
              </w:rPr>
              <w:t>需提交如下资格证明文件：</w:t>
            </w:r>
          </w:p>
          <w:p>
            <w:pPr>
              <w:spacing w:line="40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①良好的财务状况：提供2022年度的财务审计报告（至少包括资产负债表和利润表，成立时间至提交</w:t>
            </w:r>
            <w:r>
              <w:rPr>
                <w:rFonts w:hint="eastAsia" w:ascii="宋体" w:hAnsi="宋体" w:eastAsia="宋体" w:cs="宋体"/>
                <w:highlight w:val="none"/>
                <w:lang w:val="en-US" w:eastAsia="zh-CN"/>
              </w:rPr>
              <w:t>响应</w:t>
            </w:r>
            <w:r>
              <w:rPr>
                <w:rFonts w:hint="eastAsia" w:ascii="宋体" w:hAnsi="宋体" w:eastAsia="宋体" w:cs="宋体"/>
                <w:highlight w:val="none"/>
                <w:lang w:eastAsia="zh-CN"/>
              </w:rPr>
              <w:t>文件截止时间不足一年的可提供成立后任意时段的资产负债表）或开标前六个月内其基本存款账户开户银行出具的资信证明（附开户许可证或基本账户证明）；</w:t>
            </w:r>
          </w:p>
          <w:p>
            <w:pPr>
              <w:spacing w:line="40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②依法缴纳税收和社会保障资金情况：提供202</w:t>
            </w:r>
            <w:r>
              <w:rPr>
                <w:rFonts w:hint="eastAsia" w:ascii="宋体" w:hAnsi="宋体" w:cs="宋体"/>
                <w:highlight w:val="none"/>
                <w:lang w:val="en-US" w:eastAsia="zh-CN"/>
              </w:rPr>
              <w:t>3</w:t>
            </w:r>
            <w:r>
              <w:rPr>
                <w:rFonts w:hint="eastAsia" w:ascii="宋体" w:hAnsi="宋体" w:eastAsia="宋体" w:cs="宋体"/>
                <w:highlight w:val="none"/>
                <w:lang w:eastAsia="zh-CN"/>
              </w:rPr>
              <w:t>年度至今已缴纳的至少三个月的纳税证明或完税证明及社会保障资金缴存单据或社保机构开具的社会保险参保缴费情况证明，依法免税或不需要缴纳社会保障资金的单位应提供相关证明材料；</w:t>
            </w:r>
          </w:p>
          <w:p>
            <w:pPr>
              <w:spacing w:line="40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③具备履行合同所必需的设备和专业技术能力；</w:t>
            </w:r>
          </w:p>
          <w:p>
            <w:pPr>
              <w:spacing w:line="40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④参加本次政府采购活动前三年内，在经营活动中没有重大违法记录的书面声明。</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w:t>
            </w:r>
            <w:r>
              <w:rPr>
                <w:rFonts w:hint="eastAsia" w:ascii="宋体" w:hAnsi="宋体" w:eastAsia="宋体" w:cs="宋体"/>
                <w:highlight w:val="none"/>
                <w:lang w:eastAsia="zh-CN"/>
              </w:rPr>
              <w:t>审依据：投标文件中所附材料为准。</w:t>
            </w:r>
          </w:p>
        </w:tc>
        <w:tc>
          <w:tcPr>
            <w:tcW w:w="1173" w:type="dxa"/>
            <w:noWrap w:val="0"/>
            <w:vAlign w:val="center"/>
          </w:tcPr>
          <w:p>
            <w:pPr>
              <w:spacing w:line="400" w:lineRule="exact"/>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符合招标文件要求，合法有效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855" w:type="dxa"/>
            <w:noWrap w:val="0"/>
            <w:vAlign w:val="center"/>
          </w:tcPr>
          <w:p>
            <w:pPr>
              <w:pStyle w:val="32"/>
              <w:spacing w:before="0" w:beforeAutospacing="0" w:after="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545" w:type="dxa"/>
            <w:noWrap w:val="0"/>
            <w:vAlign w:val="center"/>
          </w:tcPr>
          <w:p>
            <w:pPr>
              <w:spacing w:line="40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法定代表人身份证明/法定代表人授权委托书</w:t>
            </w:r>
          </w:p>
        </w:tc>
        <w:tc>
          <w:tcPr>
            <w:tcW w:w="5886" w:type="dxa"/>
            <w:noWrap w:val="0"/>
            <w:vAlign w:val="center"/>
          </w:tcPr>
          <w:p>
            <w:pPr>
              <w:spacing w:line="40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法定代表人直接参加投标的，须提供法定代表人身份证明及身份证扫描件；法定代表人授权他人参加投标的，须提供法定代表人授权委托书（附法定代表人、被授权人身份证扫描件），自然人提供其身份证扫描件；</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highlight w:val="none"/>
                <w:lang w:val="en-US" w:eastAsia="zh-CN"/>
              </w:rPr>
              <w:t>评</w:t>
            </w:r>
            <w:r>
              <w:rPr>
                <w:rFonts w:hint="eastAsia" w:ascii="宋体" w:hAnsi="宋体" w:eastAsia="宋体" w:cs="宋体"/>
                <w:highlight w:val="none"/>
                <w:lang w:eastAsia="zh-CN"/>
              </w:rPr>
              <w:t>审依据：投标文件中所附材料为准。</w:t>
            </w:r>
          </w:p>
        </w:tc>
        <w:tc>
          <w:tcPr>
            <w:tcW w:w="1173" w:type="dxa"/>
            <w:noWrap w:val="0"/>
            <w:vAlign w:val="center"/>
          </w:tcPr>
          <w:p>
            <w:pPr>
              <w:pStyle w:val="32"/>
              <w:spacing w:before="0" w:beforeAutospacing="0" w:after="0" w:afterAutospacing="0" w:line="500" w:lineRule="exact"/>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符合招标文件要求，合法有效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855" w:type="dxa"/>
            <w:noWrap w:val="0"/>
            <w:vAlign w:val="center"/>
          </w:tcPr>
          <w:p>
            <w:pPr>
              <w:pStyle w:val="32"/>
              <w:spacing w:before="0" w:beforeAutospacing="0" w:after="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1545" w:type="dxa"/>
            <w:noWrap w:val="0"/>
            <w:vAlign w:val="center"/>
          </w:tcPr>
          <w:p>
            <w:pPr>
              <w:spacing w:line="40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信用记录</w:t>
            </w:r>
          </w:p>
        </w:tc>
        <w:tc>
          <w:tcPr>
            <w:tcW w:w="5886" w:type="dxa"/>
            <w:noWrap w:val="0"/>
            <w:vAlign w:val="center"/>
          </w:tcPr>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供应商不得在“中国执行信息公开网”网站（http://zxgk.court.gov.cn/）中被列入失信被执行人、不得在“信用中国”网站（www.creditchina.gov.cn）被列为重大税收违法案件当事人，不得为“中国政府采购网”（www.ccgp.gov.cn）政府采购严重违法失信行为记录名单中被财政部门禁止参加政府采购活动的供应商</w:t>
            </w:r>
          </w:p>
          <w:p>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评审依据：投标文件中所附证明材料或网查信息为准。</w:t>
            </w:r>
          </w:p>
        </w:tc>
        <w:tc>
          <w:tcPr>
            <w:tcW w:w="1173" w:type="dxa"/>
            <w:noWrap w:val="0"/>
            <w:vAlign w:val="center"/>
          </w:tcPr>
          <w:p>
            <w:pPr>
              <w:spacing w:line="400" w:lineRule="exact"/>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符合招标文件要求，合法有效</w:t>
            </w:r>
          </w:p>
        </w:tc>
      </w:tr>
    </w:tbl>
    <w:p>
      <w:pPr>
        <w:widowControl/>
        <w:autoSpaceDE w:val="0"/>
        <w:autoSpaceDN w:val="0"/>
        <w:spacing w:after="240" w:afterLines="100" w:line="500" w:lineRule="exact"/>
        <w:ind w:right="53"/>
        <w:jc w:val="left"/>
        <w:textAlignment w:val="bottom"/>
        <w:rPr>
          <w:rFonts w:hint="eastAsia" w:ascii="宋体" w:hAnsi="宋体" w:eastAsia="宋体" w:cs="宋体"/>
          <w:b/>
          <w:bCs/>
          <w:sz w:val="28"/>
          <w:szCs w:val="28"/>
          <w:highlight w:val="none"/>
        </w:rPr>
      </w:pPr>
    </w:p>
    <w:p>
      <w:pPr>
        <w:pStyle w:val="2"/>
        <w:rPr>
          <w:rFonts w:hint="eastAsia" w:ascii="宋体" w:hAnsi="宋体" w:eastAsia="宋体" w:cs="宋体"/>
          <w:b/>
          <w:bCs/>
          <w:sz w:val="28"/>
          <w:szCs w:val="28"/>
          <w:highlight w:val="none"/>
        </w:rPr>
      </w:pPr>
    </w:p>
    <w:p>
      <w:pPr>
        <w:pStyle w:val="2"/>
        <w:rPr>
          <w:rFonts w:hint="eastAsia" w:ascii="宋体" w:hAnsi="宋体" w:eastAsia="宋体" w:cs="宋体"/>
          <w:b/>
          <w:bCs/>
          <w:sz w:val="28"/>
          <w:szCs w:val="28"/>
          <w:highlight w:val="none"/>
        </w:rPr>
      </w:pPr>
    </w:p>
    <w:p>
      <w:pPr>
        <w:pStyle w:val="2"/>
        <w:rPr>
          <w:rFonts w:hint="eastAsia" w:ascii="宋体" w:hAnsi="宋体" w:eastAsia="宋体" w:cs="宋体"/>
          <w:b/>
          <w:bCs/>
          <w:sz w:val="28"/>
          <w:szCs w:val="28"/>
          <w:highlight w:val="none"/>
        </w:rPr>
      </w:pPr>
    </w:p>
    <w:p>
      <w:pPr>
        <w:pStyle w:val="2"/>
        <w:rPr>
          <w:rFonts w:hint="eastAsia" w:ascii="宋体" w:hAnsi="宋体" w:eastAsia="宋体" w:cs="宋体"/>
          <w:b/>
          <w:bCs/>
          <w:sz w:val="28"/>
          <w:szCs w:val="28"/>
          <w:highlight w:val="none"/>
        </w:rPr>
      </w:pPr>
    </w:p>
    <w:p>
      <w:pPr>
        <w:pStyle w:val="2"/>
        <w:rPr>
          <w:rFonts w:hint="eastAsia" w:ascii="宋体" w:hAnsi="宋体" w:eastAsia="宋体" w:cs="宋体"/>
          <w:b/>
          <w:bCs/>
          <w:sz w:val="28"/>
          <w:szCs w:val="28"/>
          <w:highlight w:val="none"/>
        </w:rPr>
      </w:pPr>
    </w:p>
    <w:p>
      <w:pPr>
        <w:pStyle w:val="2"/>
        <w:rPr>
          <w:rFonts w:hint="eastAsia" w:ascii="宋体" w:hAnsi="宋体" w:eastAsia="宋体" w:cs="宋体"/>
          <w:b/>
          <w:bCs/>
          <w:sz w:val="28"/>
          <w:szCs w:val="28"/>
          <w:highlight w:val="none"/>
        </w:rPr>
      </w:pPr>
    </w:p>
    <w:p>
      <w:pPr>
        <w:pStyle w:val="2"/>
        <w:rPr>
          <w:rFonts w:hint="eastAsia" w:ascii="宋体" w:hAnsi="宋体" w:eastAsia="宋体" w:cs="宋体"/>
          <w:b/>
          <w:bCs/>
          <w:sz w:val="28"/>
          <w:szCs w:val="28"/>
          <w:highlight w:val="none"/>
        </w:rPr>
      </w:pPr>
    </w:p>
    <w:p>
      <w:pPr>
        <w:pStyle w:val="2"/>
        <w:rPr>
          <w:rFonts w:hint="eastAsia" w:ascii="宋体" w:hAnsi="宋体" w:eastAsia="宋体" w:cs="宋体"/>
          <w:b/>
          <w:bCs/>
          <w:sz w:val="28"/>
          <w:szCs w:val="28"/>
          <w:highlight w:val="none"/>
        </w:rPr>
      </w:pPr>
    </w:p>
    <w:p>
      <w:pPr>
        <w:pStyle w:val="2"/>
        <w:rPr>
          <w:rFonts w:hint="eastAsia" w:ascii="宋体" w:hAnsi="宋体" w:eastAsia="宋体" w:cs="宋体"/>
          <w:b/>
          <w:bCs/>
          <w:sz w:val="28"/>
          <w:szCs w:val="28"/>
          <w:highlight w:val="none"/>
        </w:rPr>
      </w:pPr>
    </w:p>
    <w:p>
      <w:pPr>
        <w:pStyle w:val="2"/>
        <w:rPr>
          <w:rFonts w:hint="eastAsia" w:ascii="宋体" w:hAnsi="宋体" w:eastAsia="宋体" w:cs="宋体"/>
          <w:b/>
          <w:bCs/>
          <w:sz w:val="28"/>
          <w:szCs w:val="28"/>
          <w:highlight w:val="none"/>
        </w:rPr>
      </w:pPr>
    </w:p>
    <w:p>
      <w:pPr>
        <w:pStyle w:val="2"/>
        <w:rPr>
          <w:rFonts w:hint="eastAsia" w:ascii="宋体" w:hAnsi="宋体" w:eastAsia="宋体" w:cs="宋体"/>
          <w:b/>
          <w:bCs/>
          <w:sz w:val="28"/>
          <w:szCs w:val="28"/>
          <w:highlight w:val="none"/>
        </w:rPr>
      </w:pPr>
    </w:p>
    <w:p>
      <w:pPr>
        <w:pStyle w:val="2"/>
        <w:rPr>
          <w:rFonts w:hint="eastAsia" w:ascii="宋体" w:hAnsi="宋体" w:eastAsia="宋体" w:cs="宋体"/>
          <w:b/>
          <w:bCs/>
          <w:sz w:val="28"/>
          <w:szCs w:val="28"/>
          <w:highlight w:val="none"/>
        </w:rPr>
      </w:pPr>
    </w:p>
    <w:p>
      <w:pPr>
        <w:pStyle w:val="2"/>
        <w:rPr>
          <w:rFonts w:hint="eastAsia" w:ascii="宋体" w:hAnsi="宋体" w:eastAsia="宋体" w:cs="宋体"/>
          <w:b/>
          <w:bCs/>
          <w:sz w:val="28"/>
          <w:szCs w:val="28"/>
          <w:highlight w:val="none"/>
        </w:rPr>
      </w:pPr>
    </w:p>
    <w:p>
      <w:pPr>
        <w:pStyle w:val="2"/>
        <w:rPr>
          <w:rFonts w:hint="eastAsia" w:ascii="宋体" w:hAnsi="宋体" w:eastAsia="宋体" w:cs="宋体"/>
          <w:b/>
          <w:bCs/>
          <w:sz w:val="28"/>
          <w:szCs w:val="28"/>
          <w:highlight w:val="none"/>
        </w:rPr>
      </w:pPr>
    </w:p>
    <w:p>
      <w:pPr>
        <w:pStyle w:val="2"/>
        <w:rPr>
          <w:rFonts w:hint="eastAsia" w:ascii="宋体" w:hAnsi="宋体" w:eastAsia="宋体" w:cs="宋体"/>
          <w:b/>
          <w:bCs/>
          <w:sz w:val="28"/>
          <w:szCs w:val="28"/>
          <w:highlight w:val="none"/>
        </w:rPr>
      </w:pPr>
    </w:p>
    <w:p>
      <w:pPr>
        <w:pStyle w:val="2"/>
        <w:rPr>
          <w:rFonts w:hint="eastAsia" w:ascii="宋体" w:hAnsi="宋体" w:eastAsia="宋体" w:cs="宋体"/>
          <w:b/>
          <w:bCs/>
          <w:sz w:val="28"/>
          <w:szCs w:val="28"/>
          <w:highlight w:val="none"/>
        </w:rPr>
      </w:pPr>
    </w:p>
    <w:p>
      <w:pPr>
        <w:widowControl/>
        <w:autoSpaceDE w:val="0"/>
        <w:autoSpaceDN w:val="0"/>
        <w:spacing w:after="240" w:afterLines="100" w:line="500" w:lineRule="exact"/>
        <w:ind w:right="53"/>
        <w:jc w:val="left"/>
        <w:textAlignment w:val="bottom"/>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附件二：</w:t>
      </w:r>
    </w:p>
    <w:p>
      <w:pPr>
        <w:widowControl/>
        <w:autoSpaceDE w:val="0"/>
        <w:autoSpaceDN w:val="0"/>
        <w:spacing w:after="240" w:afterLines="100" w:line="500" w:lineRule="exact"/>
        <w:ind w:right="53"/>
        <w:jc w:val="center"/>
        <w:textAlignment w:val="bottom"/>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符合性审查内容</w:t>
      </w:r>
    </w:p>
    <w:tbl>
      <w:tblPr>
        <w:tblStyle w:val="37"/>
        <w:tblW w:w="874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83"/>
        <w:gridCol w:w="57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99" w:type="dxa"/>
            <w:noWrap w:val="0"/>
            <w:vAlign w:val="center"/>
          </w:tcPr>
          <w:p>
            <w:pPr>
              <w:pStyle w:val="32"/>
              <w:spacing w:before="0" w:beforeAutospacing="0" w:after="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183" w:type="dxa"/>
            <w:noWrap w:val="0"/>
            <w:vAlign w:val="center"/>
          </w:tcPr>
          <w:p>
            <w:pPr>
              <w:pStyle w:val="32"/>
              <w:spacing w:before="0" w:beforeAutospacing="0" w:after="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审查内容</w:t>
            </w:r>
          </w:p>
        </w:tc>
        <w:tc>
          <w:tcPr>
            <w:tcW w:w="5767" w:type="dxa"/>
            <w:noWrap w:val="0"/>
            <w:vAlign w:val="center"/>
          </w:tcPr>
          <w:p>
            <w:pPr>
              <w:pStyle w:val="32"/>
              <w:spacing w:before="0" w:beforeAutospacing="0" w:after="0" w:afterAutospacing="0" w:line="50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审查标准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99" w:type="dxa"/>
            <w:noWrap w:val="0"/>
            <w:vAlign w:val="center"/>
          </w:tcPr>
          <w:p>
            <w:pPr>
              <w:pStyle w:val="32"/>
              <w:spacing w:before="0" w:beforeAutospacing="0" w:after="0" w:afterAutospacing="0" w:line="500" w:lineRule="exact"/>
              <w:jc w:val="center"/>
              <w:rPr>
                <w:rFonts w:hint="eastAsia" w:ascii="宋体" w:hAnsi="宋体" w:eastAsia="宋体" w:cs="宋体"/>
                <w:b/>
                <w:bCs/>
                <w:sz w:val="21"/>
                <w:szCs w:val="21"/>
                <w:highlight w:val="none"/>
                <w:lang w:val="en-US" w:eastAsia="zh-CN"/>
              </w:rPr>
            </w:pPr>
            <w:bookmarkStart w:id="18" w:name="OLE_LINK1"/>
            <w:bookmarkStart w:id="19" w:name="_Toc222740141"/>
            <w:r>
              <w:rPr>
                <w:rFonts w:hint="eastAsia" w:ascii="宋体" w:hAnsi="宋体" w:eastAsia="宋体" w:cs="宋体"/>
                <w:b w:val="0"/>
                <w:bCs w:val="0"/>
                <w:sz w:val="21"/>
                <w:szCs w:val="21"/>
                <w:highlight w:val="none"/>
                <w:lang w:val="en-US" w:eastAsia="zh-CN"/>
              </w:rPr>
              <w:t>1</w:t>
            </w:r>
          </w:p>
        </w:tc>
        <w:tc>
          <w:tcPr>
            <w:tcW w:w="2183" w:type="dxa"/>
            <w:noWrap w:val="0"/>
            <w:vAlign w:val="center"/>
          </w:tcPr>
          <w:p>
            <w:pPr>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投标文件中的项目名称</w:t>
            </w:r>
          </w:p>
        </w:tc>
        <w:tc>
          <w:tcPr>
            <w:tcW w:w="5767" w:type="dxa"/>
            <w:noWrap w:val="0"/>
            <w:vAlign w:val="center"/>
          </w:tcPr>
          <w:p>
            <w:pPr>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与所投项目名称完全一致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99" w:type="dxa"/>
            <w:noWrap w:val="0"/>
            <w:vAlign w:val="center"/>
          </w:tcPr>
          <w:p>
            <w:pPr>
              <w:pStyle w:val="32"/>
              <w:spacing w:before="0" w:beforeAutospacing="0" w:after="0" w:afterAutospacing="0"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2183" w:type="dxa"/>
            <w:noWrap w:val="0"/>
            <w:vAlign w:val="top"/>
          </w:tcPr>
          <w:p>
            <w:pPr>
              <w:jc w:val="left"/>
              <w:rPr>
                <w:rFonts w:hint="eastAsia" w:ascii="宋体" w:hAnsi="宋体" w:eastAsia="宋体" w:cs="宋体"/>
                <w:kern w:val="2"/>
                <w:sz w:val="21"/>
                <w:szCs w:val="24"/>
                <w:highlight w:val="none"/>
                <w:lang w:val="en-US" w:eastAsia="zh-CN" w:bidi="ar-SA"/>
              </w:rPr>
            </w:pPr>
          </w:p>
          <w:p>
            <w:pPr>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投标文件的签署盖章</w:t>
            </w:r>
          </w:p>
        </w:tc>
        <w:tc>
          <w:tcPr>
            <w:tcW w:w="5767" w:type="dxa"/>
            <w:noWrap w:val="0"/>
            <w:vAlign w:val="top"/>
          </w:tcPr>
          <w:p>
            <w:pPr>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投标文件上投标供应商、法定代表人或其授权代表人的签字、盖章符合招标文件要求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99" w:type="dxa"/>
            <w:noWrap w:val="0"/>
            <w:vAlign w:val="center"/>
          </w:tcPr>
          <w:p>
            <w:pPr>
              <w:pStyle w:val="32"/>
              <w:spacing w:before="0" w:beforeAutospacing="0" w:after="0" w:afterAutospacing="0"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2183" w:type="dxa"/>
            <w:noWrap w:val="0"/>
            <w:vAlign w:val="center"/>
          </w:tcPr>
          <w:p>
            <w:pPr>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投标文件组成</w:t>
            </w:r>
          </w:p>
        </w:tc>
        <w:tc>
          <w:tcPr>
            <w:tcW w:w="5767" w:type="dxa"/>
            <w:noWrap w:val="0"/>
            <w:vAlign w:val="center"/>
          </w:tcPr>
          <w:p>
            <w:pPr>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zh-CN" w:eastAsia="zh-CN" w:bidi="ar-SA"/>
              </w:rPr>
              <w:t>按照招标文件</w:t>
            </w:r>
            <w:r>
              <w:rPr>
                <w:rFonts w:hint="eastAsia" w:ascii="宋体" w:hAnsi="宋体" w:eastAsia="宋体" w:cs="宋体"/>
                <w:kern w:val="2"/>
                <w:sz w:val="21"/>
                <w:szCs w:val="24"/>
                <w:highlight w:val="none"/>
                <w:lang w:val="en-US" w:eastAsia="zh-CN" w:bidi="ar-SA"/>
              </w:rPr>
              <w:t>第六章投标文件</w:t>
            </w:r>
            <w:r>
              <w:rPr>
                <w:rFonts w:hint="eastAsia" w:ascii="宋体" w:hAnsi="宋体" w:eastAsia="宋体" w:cs="宋体"/>
                <w:kern w:val="2"/>
                <w:sz w:val="21"/>
                <w:szCs w:val="24"/>
                <w:highlight w:val="none"/>
                <w:lang w:val="zh-CN" w:eastAsia="zh-CN" w:bidi="ar-SA"/>
              </w:rPr>
              <w:t>格式</w:t>
            </w:r>
            <w:r>
              <w:rPr>
                <w:rFonts w:hint="eastAsia" w:ascii="宋体" w:hAnsi="宋体" w:eastAsia="宋体" w:cs="宋体"/>
                <w:kern w:val="2"/>
                <w:sz w:val="21"/>
                <w:szCs w:val="24"/>
                <w:highlight w:val="none"/>
                <w:lang w:val="en-US" w:eastAsia="zh-CN" w:bidi="ar-SA"/>
              </w:rPr>
              <w:t>要求</w:t>
            </w:r>
            <w:r>
              <w:rPr>
                <w:rFonts w:hint="eastAsia" w:ascii="宋体" w:hAnsi="宋体" w:eastAsia="宋体" w:cs="宋体"/>
                <w:kern w:val="2"/>
                <w:sz w:val="21"/>
                <w:szCs w:val="24"/>
                <w:highlight w:val="none"/>
                <w:lang w:val="zh-CN" w:eastAsia="zh-CN" w:bidi="ar-SA"/>
              </w:rPr>
              <w:t>编写，</w:t>
            </w:r>
            <w:r>
              <w:rPr>
                <w:rFonts w:hint="eastAsia" w:ascii="宋体" w:hAnsi="宋体" w:eastAsia="宋体" w:cs="宋体"/>
                <w:kern w:val="2"/>
                <w:sz w:val="21"/>
                <w:szCs w:val="24"/>
                <w:highlight w:val="none"/>
                <w:lang w:val="en-US" w:eastAsia="zh-CN" w:bidi="ar-SA"/>
              </w:rPr>
              <w:t>内容齐全、</w:t>
            </w:r>
            <w:r>
              <w:rPr>
                <w:rFonts w:hint="eastAsia" w:ascii="宋体" w:hAnsi="宋体" w:eastAsia="宋体" w:cs="宋体"/>
                <w:kern w:val="2"/>
                <w:sz w:val="21"/>
                <w:szCs w:val="24"/>
                <w:highlight w:val="none"/>
                <w:lang w:val="zh-CN" w:eastAsia="zh-CN" w:bidi="ar-SA"/>
              </w:rPr>
              <w:t>无缺漏项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99" w:type="dxa"/>
            <w:noWrap w:val="0"/>
            <w:vAlign w:val="center"/>
          </w:tcPr>
          <w:p>
            <w:pPr>
              <w:pStyle w:val="32"/>
              <w:spacing w:before="0" w:beforeAutospacing="0" w:after="0" w:afterAutospacing="0"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2183" w:type="dxa"/>
            <w:noWrap w:val="0"/>
            <w:vAlign w:val="center"/>
          </w:tcPr>
          <w:p>
            <w:pPr>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投标报价</w:t>
            </w:r>
          </w:p>
        </w:tc>
        <w:tc>
          <w:tcPr>
            <w:tcW w:w="5767" w:type="dxa"/>
            <w:noWrap w:val="0"/>
            <w:vAlign w:val="center"/>
          </w:tcPr>
          <w:p>
            <w:pPr>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投标报价唯一，未超出采购预算或招标文件规定的最高限价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99" w:type="dxa"/>
            <w:noWrap w:val="0"/>
            <w:vAlign w:val="center"/>
          </w:tcPr>
          <w:p>
            <w:pPr>
              <w:pStyle w:val="32"/>
              <w:spacing w:before="0" w:beforeAutospacing="0" w:after="0" w:afterAutospacing="0"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2183" w:type="dxa"/>
            <w:noWrap w:val="0"/>
            <w:vAlign w:val="center"/>
          </w:tcPr>
          <w:p>
            <w:pPr>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投标文件内容</w:t>
            </w:r>
          </w:p>
        </w:tc>
        <w:tc>
          <w:tcPr>
            <w:tcW w:w="5767" w:type="dxa"/>
            <w:noWrap w:val="0"/>
            <w:vAlign w:val="center"/>
          </w:tcPr>
          <w:p>
            <w:pPr>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投标文件内容齐全、无遗漏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99" w:type="dxa"/>
            <w:noWrap w:val="0"/>
            <w:vAlign w:val="center"/>
          </w:tcPr>
          <w:p>
            <w:pPr>
              <w:pStyle w:val="32"/>
              <w:spacing w:before="0" w:beforeAutospacing="0" w:after="0" w:afterAutospacing="0"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2183" w:type="dxa"/>
            <w:noWrap w:val="0"/>
            <w:vAlign w:val="center"/>
          </w:tcPr>
          <w:p>
            <w:pPr>
              <w:jc w:val="center"/>
              <w:rPr>
                <w:rFonts w:hint="eastAsia" w:ascii="宋体" w:hAnsi="宋体" w:eastAsia="宋体" w:cs="宋体"/>
                <w:kern w:val="2"/>
                <w:sz w:val="21"/>
                <w:szCs w:val="24"/>
                <w:highlight w:val="none"/>
                <w:lang w:val="en-US" w:eastAsia="zh-CN" w:bidi="ar-SA"/>
              </w:rPr>
            </w:pPr>
          </w:p>
          <w:p>
            <w:pPr>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服务期限要求</w:t>
            </w:r>
          </w:p>
        </w:tc>
        <w:tc>
          <w:tcPr>
            <w:tcW w:w="5767" w:type="dxa"/>
            <w:noWrap w:val="0"/>
            <w:vAlign w:val="center"/>
          </w:tcPr>
          <w:p>
            <w:pPr>
              <w:jc w:val="left"/>
              <w:rPr>
                <w:rFonts w:hint="eastAsia" w:ascii="宋体" w:hAnsi="宋体" w:eastAsia="宋体" w:cs="宋体"/>
                <w:kern w:val="2"/>
                <w:sz w:val="21"/>
                <w:szCs w:val="24"/>
                <w:highlight w:val="none"/>
                <w:lang w:val="en-US" w:eastAsia="zh-CN" w:bidi="ar-SA"/>
              </w:rPr>
            </w:pPr>
          </w:p>
          <w:p>
            <w:pPr>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应满足招标文件中要求的服务期限要求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99" w:type="dxa"/>
            <w:noWrap w:val="0"/>
            <w:vAlign w:val="center"/>
          </w:tcPr>
          <w:p>
            <w:pPr>
              <w:pStyle w:val="32"/>
              <w:spacing w:before="0" w:beforeAutospacing="0" w:after="0" w:afterAutospacing="0"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2183" w:type="dxa"/>
            <w:noWrap w:val="0"/>
            <w:vAlign w:val="top"/>
          </w:tcPr>
          <w:p>
            <w:pPr>
              <w:pStyle w:val="150"/>
              <w:ind w:left="348" w:leftChars="0"/>
              <w:jc w:val="center"/>
              <w:rPr>
                <w:rFonts w:hint="eastAsia" w:ascii="宋体" w:hAnsi="宋体" w:eastAsia="宋体" w:cs="宋体"/>
                <w:kern w:val="2"/>
                <w:sz w:val="21"/>
                <w:szCs w:val="24"/>
                <w:highlight w:val="none"/>
                <w:lang w:val="en-US" w:eastAsia="zh-CN" w:bidi="ar-SA"/>
              </w:rPr>
            </w:pPr>
          </w:p>
          <w:p>
            <w:pPr>
              <w:pStyle w:val="150"/>
              <w:ind w:left="348" w:leftChars="0"/>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投标有效期</w:t>
            </w:r>
          </w:p>
        </w:tc>
        <w:tc>
          <w:tcPr>
            <w:tcW w:w="5767" w:type="dxa"/>
            <w:noWrap w:val="0"/>
            <w:vAlign w:val="top"/>
          </w:tcPr>
          <w:p>
            <w:pPr>
              <w:pStyle w:val="150"/>
              <w:jc w:val="left"/>
              <w:rPr>
                <w:rFonts w:hint="eastAsia" w:ascii="宋体" w:hAnsi="宋体" w:eastAsia="宋体" w:cs="宋体"/>
                <w:kern w:val="2"/>
                <w:sz w:val="21"/>
                <w:szCs w:val="24"/>
                <w:highlight w:val="none"/>
                <w:lang w:val="en-US" w:eastAsia="zh-CN" w:bidi="ar-SA"/>
              </w:rPr>
            </w:pPr>
          </w:p>
          <w:p>
            <w:pPr>
              <w:pStyle w:val="150"/>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应满足招标文件中的规定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99" w:type="dxa"/>
            <w:noWrap w:val="0"/>
            <w:vAlign w:val="center"/>
          </w:tcPr>
          <w:p>
            <w:pPr>
              <w:pStyle w:val="32"/>
              <w:spacing w:before="0" w:beforeAutospacing="0" w:after="0" w:afterAutospacing="0"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2183" w:type="dxa"/>
            <w:noWrap w:val="0"/>
            <w:vAlign w:val="center"/>
          </w:tcPr>
          <w:p>
            <w:pPr>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合同条款</w:t>
            </w:r>
          </w:p>
        </w:tc>
        <w:tc>
          <w:tcPr>
            <w:tcW w:w="5767" w:type="dxa"/>
            <w:noWrap w:val="0"/>
            <w:vAlign w:val="center"/>
          </w:tcPr>
          <w:p>
            <w:pPr>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响应招标文件合同条款未出现负偏离且</w:t>
            </w:r>
            <w:r>
              <w:rPr>
                <w:rFonts w:hint="eastAsia" w:ascii="宋体" w:hAnsi="宋体" w:eastAsia="宋体" w:cs="宋体"/>
                <w:kern w:val="2"/>
                <w:sz w:val="21"/>
                <w:szCs w:val="24"/>
                <w:highlight w:val="none"/>
                <w:lang w:val="zh-CN" w:eastAsia="zh-CN" w:bidi="ar-SA"/>
              </w:rPr>
              <w:t>响应的内容</w:t>
            </w:r>
            <w:r>
              <w:rPr>
                <w:rFonts w:hint="eastAsia" w:ascii="宋体" w:hAnsi="宋体" w:eastAsia="宋体" w:cs="宋体"/>
                <w:kern w:val="2"/>
                <w:sz w:val="21"/>
                <w:szCs w:val="24"/>
                <w:highlight w:val="none"/>
                <w:lang w:val="en-US" w:eastAsia="zh-CN" w:bidi="ar-SA"/>
              </w:rPr>
              <w:t>中</w:t>
            </w:r>
            <w:r>
              <w:rPr>
                <w:rFonts w:hint="eastAsia" w:ascii="宋体" w:hAnsi="宋体" w:eastAsia="宋体" w:cs="宋体"/>
                <w:kern w:val="2"/>
                <w:sz w:val="21"/>
                <w:szCs w:val="24"/>
                <w:highlight w:val="none"/>
                <w:lang w:val="zh-CN" w:eastAsia="zh-CN" w:bidi="ar-SA"/>
              </w:rPr>
              <w:t>未</w:t>
            </w:r>
            <w:r>
              <w:rPr>
                <w:rFonts w:hint="eastAsia" w:ascii="宋体" w:hAnsi="宋体" w:eastAsia="宋体" w:cs="宋体"/>
                <w:kern w:val="2"/>
                <w:sz w:val="21"/>
                <w:szCs w:val="24"/>
                <w:highlight w:val="none"/>
                <w:lang w:val="en-US" w:eastAsia="zh-CN" w:bidi="ar-SA"/>
              </w:rPr>
              <w:t>附有采购人不能接受的附加条件。</w:t>
            </w:r>
          </w:p>
        </w:tc>
      </w:tr>
      <w:bookmarkEnd w:id="17"/>
    </w:tbl>
    <w:p>
      <w:pPr>
        <w:pStyle w:val="16"/>
        <w:rPr>
          <w:rFonts w:hint="eastAsia" w:ascii="宋体" w:hAnsi="宋体" w:eastAsia="宋体" w:cs="宋体"/>
          <w:highlight w:val="none"/>
        </w:rPr>
      </w:pPr>
    </w:p>
    <w:p>
      <w:pPr>
        <w:spacing w:before="120" w:beforeLines="50" w:after="120" w:afterLines="50" w:line="600" w:lineRule="exact"/>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br w:type="page"/>
      </w:r>
      <w:bookmarkEnd w:id="18"/>
    </w:p>
    <w:p>
      <w:pPr>
        <w:pStyle w:val="3"/>
        <w:numPr>
          <w:ilvl w:val="0"/>
          <w:numId w:val="0"/>
        </w:numPr>
        <w:rPr>
          <w:rFonts w:hint="eastAsia" w:ascii="宋体" w:hAnsi="宋体" w:eastAsia="宋体" w:cs="宋体"/>
          <w:b/>
          <w:bCs/>
          <w:sz w:val="36"/>
          <w:szCs w:val="36"/>
          <w:highlight w:val="none"/>
        </w:rPr>
      </w:pPr>
      <w:bookmarkStart w:id="20" w:name="_Toc18083"/>
      <w:r>
        <w:rPr>
          <w:rFonts w:hint="eastAsia" w:ascii="宋体" w:hAnsi="宋体" w:eastAsia="宋体" w:cs="宋体"/>
          <w:b/>
          <w:bCs/>
          <w:sz w:val="36"/>
          <w:szCs w:val="36"/>
          <w:highlight w:val="none"/>
        </w:rPr>
        <w:t>第四章  采购内容及技术要求</w:t>
      </w:r>
      <w:bookmarkEnd w:id="20"/>
    </w:p>
    <w:p>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一、项目概况</w:t>
      </w:r>
    </w:p>
    <w:p>
      <w:pPr>
        <w:pStyle w:val="16"/>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秦汉新城绿化养护二标段，绿化养护面积约为</w:t>
      </w:r>
      <w:r>
        <w:rPr>
          <w:rFonts w:hint="eastAsia" w:ascii="宋体" w:hAnsi="宋体" w:eastAsia="宋体" w:cs="宋体"/>
          <w:color w:val="000000"/>
          <w:kern w:val="2"/>
          <w:sz w:val="21"/>
          <w:szCs w:val="21"/>
          <w:highlight w:val="none"/>
          <w:lang w:val="en-US" w:eastAsia="zh-CN" w:bidi="ar-SA"/>
        </w:rPr>
        <w:t>655025.6㎡</w:t>
      </w:r>
      <w:r>
        <w:rPr>
          <w:rFonts w:hint="eastAsia" w:ascii="宋体" w:hAnsi="宋体" w:cs="宋体"/>
          <w:color w:val="000000"/>
          <w:kern w:val="2"/>
          <w:sz w:val="21"/>
          <w:szCs w:val="21"/>
          <w:highlight w:val="none"/>
          <w:lang w:val="en-US" w:eastAsia="zh-CN" w:bidi="ar-SA"/>
        </w:rPr>
        <w:t>，行道树总数量约1895株</w:t>
      </w:r>
      <w:r>
        <w:rPr>
          <w:rFonts w:hint="eastAsia" w:ascii="宋体" w:hAnsi="宋体" w:eastAsia="宋体" w:cs="宋体"/>
          <w:color w:val="000000"/>
          <w:kern w:val="2"/>
          <w:sz w:val="21"/>
          <w:szCs w:val="21"/>
          <w:highlight w:val="none"/>
          <w:lang w:val="en-US" w:eastAsia="zh-CN" w:bidi="ar-SA"/>
        </w:rPr>
        <w:t>。绿化养护服务范围及养护等级、绿化面积，行道树数量详见下表：</w:t>
      </w:r>
    </w:p>
    <w:tbl>
      <w:tblPr>
        <w:tblStyle w:val="37"/>
        <w:tblpPr w:leftFromText="180" w:rightFromText="180" w:vertAnchor="page" w:horzAnchor="page" w:tblpX="1460" w:tblpY="3399"/>
        <w:tblOverlap w:val="never"/>
        <w:tblW w:w="87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6"/>
        <w:gridCol w:w="2946"/>
        <w:gridCol w:w="1223"/>
        <w:gridCol w:w="1920"/>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7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4499"/>
              </w:tabs>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秦汉新城绿化养护二标段清单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2946"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区域位置</w:t>
            </w:r>
          </w:p>
        </w:tc>
        <w:tc>
          <w:tcPr>
            <w:tcW w:w="122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等级</w:t>
            </w:r>
          </w:p>
        </w:tc>
        <w:tc>
          <w:tcPr>
            <w:tcW w:w="19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绿化养护面积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w:t>
            </w:r>
          </w:p>
        </w:tc>
        <w:tc>
          <w:tcPr>
            <w:tcW w:w="134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行道树数量</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1356"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946" w:type="dxa"/>
            <w:vMerge w:val="restart"/>
            <w:tcBorders>
              <w:top w:val="single" w:color="auto" w:sz="4" w:space="0"/>
              <w:left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泾渭大道以东、兰池大道周边区域</w:t>
            </w:r>
          </w:p>
        </w:tc>
        <w:tc>
          <w:tcPr>
            <w:tcW w:w="12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一级</w:t>
            </w:r>
          </w:p>
        </w:tc>
        <w:tc>
          <w:tcPr>
            <w:tcW w:w="192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461825.5</w:t>
            </w:r>
            <w:r>
              <w:rPr>
                <w:rFonts w:hint="eastAsia" w:ascii="宋体" w:hAnsi="宋体" w:cs="宋体"/>
                <w:i w:val="0"/>
                <w:iCs w:val="0"/>
                <w:color w:val="000000"/>
                <w:kern w:val="0"/>
                <w:sz w:val="21"/>
                <w:szCs w:val="21"/>
                <w:highlight w:val="none"/>
                <w:u w:val="none"/>
                <w:lang w:val="en-US" w:eastAsia="zh-CN" w:bidi="ar"/>
              </w:rPr>
              <w:t>0</w:t>
            </w:r>
          </w:p>
        </w:tc>
        <w:tc>
          <w:tcPr>
            <w:tcW w:w="1349"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1356"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946" w:type="dxa"/>
            <w:vMerge w:val="continue"/>
            <w:tcBorders>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p>
        </w:tc>
        <w:tc>
          <w:tcPr>
            <w:tcW w:w="12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二级</w:t>
            </w:r>
          </w:p>
        </w:tc>
        <w:tc>
          <w:tcPr>
            <w:tcW w:w="192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193200.1</w:t>
            </w:r>
            <w:r>
              <w:rPr>
                <w:rFonts w:hint="eastAsia" w:ascii="宋体" w:hAnsi="宋体" w:cs="宋体"/>
                <w:i w:val="0"/>
                <w:iCs w:val="0"/>
                <w:color w:val="000000"/>
                <w:kern w:val="0"/>
                <w:sz w:val="21"/>
                <w:szCs w:val="21"/>
                <w:highlight w:val="none"/>
                <w:u w:val="none"/>
                <w:lang w:val="en-US" w:eastAsia="zh-CN" w:bidi="ar"/>
              </w:rPr>
              <w:t>0</w:t>
            </w:r>
          </w:p>
        </w:tc>
        <w:tc>
          <w:tcPr>
            <w:tcW w:w="1349"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bl>
    <w:p>
      <w:pPr>
        <w:rPr>
          <w:rFonts w:hint="eastAsia" w:ascii="宋体" w:hAnsi="宋体" w:eastAsia="宋体" w:cs="宋体"/>
          <w:color w:val="000000"/>
          <w:kern w:val="2"/>
          <w:sz w:val="21"/>
          <w:szCs w:val="21"/>
          <w:highlight w:val="none"/>
          <w:lang w:val="en-US" w:eastAsia="zh-CN" w:bidi="ar-SA"/>
        </w:rPr>
      </w:pPr>
    </w:p>
    <w:p>
      <w:pPr>
        <w:pStyle w:val="16"/>
        <w:spacing w:line="360" w:lineRule="auto"/>
        <w:ind w:firstLine="482" w:firstLineChars="200"/>
        <w:jc w:val="both"/>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二、绿化养护服务内容</w:t>
      </w:r>
    </w:p>
    <w:p>
      <w:pPr>
        <w:pStyle w:val="16"/>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 1.植物养护：植物修剪、灌溉与排水、施肥、有害生物防治、松土除草、绿地防护及补植（主要因养护因素造成的苗木长势不良、死株等移除后的补栽工作）等日常养护全部工作。</w:t>
      </w:r>
    </w:p>
    <w:p>
      <w:pPr>
        <w:pStyle w:val="16"/>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2.绿地管理：绿地、附属道路、景观平台等清理与保洁、园路、景观池等附属设施维修、景观水体管理、绿地安全保护巡查等全部工作。</w:t>
      </w:r>
    </w:p>
    <w:p>
      <w:pPr>
        <w:pStyle w:val="16"/>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3.甲方指定的苗木移栽、场地恢复等零星应急工程。</w:t>
      </w:r>
    </w:p>
    <w:p>
      <w:pPr>
        <w:pStyle w:val="16"/>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4.养护面积核准、复测、资产盘点、台账管理等。</w:t>
      </w:r>
    </w:p>
    <w:p>
      <w:pPr>
        <w:pStyle w:val="16"/>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后期有新接收的养护区域等级参照就近道路等级定级。</w:t>
      </w:r>
    </w:p>
    <w:p>
      <w:pPr>
        <w:pStyle w:val="16"/>
        <w:spacing w:line="360" w:lineRule="auto"/>
        <w:ind w:firstLine="482" w:firstLineChars="200"/>
        <w:jc w:val="both"/>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三、本项目养护限价及费用结算原则</w:t>
      </w:r>
    </w:p>
    <w:p>
      <w:pPr>
        <w:pStyle w:val="16"/>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1.一级养护区域：全费用综合单价限价为11元/平方米·年；</w:t>
      </w:r>
    </w:p>
    <w:p>
      <w:pPr>
        <w:pStyle w:val="16"/>
        <w:spacing w:line="360" w:lineRule="auto"/>
        <w:ind w:firstLine="630" w:firstLineChars="300"/>
        <w:jc w:val="both"/>
        <w:rPr>
          <w:rFonts w:hint="eastAsia" w:ascii="宋体" w:hAnsi="宋体" w:cs="宋体"/>
          <w:highlight w:val="none"/>
          <w:lang w:val="en-US" w:eastAsia="zh-CN"/>
        </w:rPr>
      </w:pPr>
      <w:r>
        <w:rPr>
          <w:rFonts w:hint="eastAsia" w:ascii="宋体" w:hAnsi="宋体" w:eastAsia="宋体" w:cs="宋体"/>
          <w:highlight w:val="none"/>
          <w:lang w:val="en-US" w:eastAsia="zh-CN"/>
        </w:rPr>
        <w:t>二级养护区域：全费用综合单价限价为9元/平方米·年</w:t>
      </w:r>
      <w:r>
        <w:rPr>
          <w:rFonts w:hint="eastAsia" w:ascii="宋体" w:hAnsi="宋体" w:cs="宋体"/>
          <w:highlight w:val="none"/>
          <w:lang w:val="en-US" w:eastAsia="zh-CN"/>
        </w:rPr>
        <w:t>；</w:t>
      </w:r>
    </w:p>
    <w:p>
      <w:pPr>
        <w:pStyle w:val="16"/>
        <w:spacing w:line="360" w:lineRule="auto"/>
        <w:ind w:firstLine="630" w:firstLineChars="300"/>
        <w:jc w:val="both"/>
        <w:rPr>
          <w:rFonts w:hint="eastAsia" w:ascii="宋体" w:hAnsi="宋体" w:eastAsia="宋体" w:cs="宋体"/>
          <w:highlight w:val="none"/>
          <w:lang w:val="en-US" w:eastAsia="zh-CN"/>
        </w:rPr>
      </w:pPr>
      <w:r>
        <w:rPr>
          <w:rFonts w:hint="eastAsia"/>
          <w:highlight w:val="none"/>
          <w:lang w:val="en-US" w:eastAsia="zh-CN"/>
        </w:rPr>
        <w:t>行道树：全费用综合单价限价为22元/株·年。</w:t>
      </w:r>
    </w:p>
    <w:p>
      <w:pPr>
        <w:pStyle w:val="16"/>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考虑到养护期间内存在新建绿化养护移交情况，本项目设置有</w:t>
      </w:r>
      <w:r>
        <w:rPr>
          <w:rFonts w:hint="eastAsia" w:ascii="宋体" w:hAnsi="宋体" w:cs="宋体"/>
          <w:color w:val="000000"/>
          <w:kern w:val="2"/>
          <w:sz w:val="21"/>
          <w:szCs w:val="21"/>
          <w:highlight w:val="none"/>
          <w:lang w:val="en-US" w:eastAsia="zh-CN" w:bidi="ar-SA"/>
        </w:rPr>
        <w:t>5</w:t>
      </w:r>
      <w:r>
        <w:rPr>
          <w:rFonts w:hint="eastAsia" w:ascii="宋体" w:hAnsi="宋体" w:eastAsia="宋体" w:cs="宋体"/>
          <w:color w:val="000000"/>
          <w:kern w:val="2"/>
          <w:sz w:val="21"/>
          <w:szCs w:val="21"/>
          <w:highlight w:val="none"/>
          <w:lang w:val="en-US" w:eastAsia="zh-CN" w:bidi="ar-SA"/>
        </w:rPr>
        <w:t>%暂列金</w:t>
      </w:r>
      <w:r>
        <w:rPr>
          <w:rFonts w:hint="eastAsia" w:ascii="宋体" w:hAnsi="宋体" w:eastAsia="宋体" w:cs="宋体"/>
          <w:color w:val="000000"/>
          <w:kern w:val="2"/>
          <w:sz w:val="21"/>
          <w:szCs w:val="21"/>
          <w:highlight w:val="none"/>
          <w:lang w:val="en-US" w:eastAsia="zh-CN" w:bidi="ar-SA"/>
        </w:rPr>
        <w:t>用于新增绿化养护和零星应急工程费用。暂列金按招标文件规定金额计入投标总价，投标报价时不得更改暂列金金额。</w:t>
      </w:r>
    </w:p>
    <w:p>
      <w:pPr>
        <w:pStyle w:val="16"/>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养护费用依据实际进场复测实际绿化面积及行道树数量与中标单价相乘所得。</w:t>
      </w:r>
    </w:p>
    <w:p>
      <w:pPr>
        <w:pStyle w:val="16"/>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零星工程参照市政工程相关规范、招标文件、官方信息价、《零星、应急工程预算》等相关资料进行编制，报相关部门审核后据实结算。</w:t>
      </w:r>
    </w:p>
    <w:p>
      <w:pPr>
        <w:pStyle w:val="16"/>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color w:val="000000"/>
          <w:kern w:val="2"/>
          <w:sz w:val="21"/>
          <w:szCs w:val="21"/>
          <w:highlight w:val="none"/>
          <w:lang w:val="en-US" w:eastAsia="zh-CN" w:bidi="ar-SA"/>
        </w:rPr>
        <w:t>如因政府采购程序需要额外时间的，在未移交给中标人负责之前，养护作业继续由原养护管理单位负责，费用由中标人申请资金后根据中标价和实际养护天数计算后与原养护管理单位进行结算。</w:t>
      </w:r>
    </w:p>
    <w:p>
      <w:pPr>
        <w:pStyle w:val="16"/>
        <w:spacing w:line="360" w:lineRule="auto"/>
        <w:ind w:firstLine="482" w:firstLineChars="200"/>
        <w:jc w:val="both"/>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四、招标范围</w:t>
      </w:r>
    </w:p>
    <w:p>
      <w:pPr>
        <w:pStyle w:val="16"/>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泾渭大道以东、兰池大道周边区域所包含的绿化养护服务内容的所有工作。</w:t>
      </w:r>
    </w:p>
    <w:p>
      <w:pPr>
        <w:pStyle w:val="16"/>
        <w:spacing w:line="360" w:lineRule="auto"/>
        <w:ind w:firstLine="482" w:firstLineChars="200"/>
        <w:jc w:val="both"/>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五、服务期限：</w:t>
      </w:r>
    </w:p>
    <w:p>
      <w:pPr>
        <w:pStyle w:val="16"/>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服务期限为三年（合同为每年签订一次，服务期一年，服务供应商在服务期内达不到采购人要求的，采购人有权更换服务供应商）。</w:t>
      </w:r>
    </w:p>
    <w:p>
      <w:pPr>
        <w:pStyle w:val="16"/>
        <w:spacing w:line="360" w:lineRule="auto"/>
        <w:ind w:firstLine="482" w:firstLineChars="200"/>
        <w:jc w:val="both"/>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六、考核</w:t>
      </w:r>
    </w:p>
    <w:p>
      <w:pPr>
        <w:pStyle w:val="16"/>
        <w:numPr>
          <w:ilvl w:val="0"/>
          <w:numId w:val="0"/>
        </w:numPr>
        <w:spacing w:line="360" w:lineRule="auto"/>
        <w:ind w:right="-84" w:rightChars="-40"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本项目按照秦汉新城绿化养护考核管理标准相关要求进行考核。</w:t>
      </w:r>
    </w:p>
    <w:p>
      <w:pPr>
        <w:pStyle w:val="16"/>
        <w:spacing w:line="360" w:lineRule="auto"/>
        <w:ind w:firstLine="482" w:firstLineChars="200"/>
        <w:jc w:val="both"/>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七、绿化养护（管理）标准</w:t>
      </w:r>
    </w:p>
    <w:p>
      <w:pPr>
        <w:keepNext w:val="0"/>
        <w:keepLines w:val="0"/>
        <w:pageBreakBefore w:val="0"/>
        <w:widowControl w:val="0"/>
        <w:wordWrap/>
        <w:overflowPunct/>
        <w:topLinePunct w:val="0"/>
        <w:autoSpaceDE/>
        <w:autoSpaceDN/>
        <w:bidi w:val="0"/>
        <w:adjustRightInd w:val="0"/>
        <w:snapToGrid w:val="0"/>
        <w:spacing w:line="360" w:lineRule="auto"/>
        <w:jc w:val="center"/>
        <w:textAlignment w:val="auto"/>
        <w:rPr>
          <w:rFonts w:hint="eastAsia" w:ascii="宋体" w:hAnsi="宋体" w:eastAsia="宋体" w:cs="宋体"/>
          <w:b/>
          <w:snapToGrid w:val="0"/>
          <w:kern w:val="0"/>
          <w:sz w:val="24"/>
          <w:szCs w:val="24"/>
          <w:highlight w:val="none"/>
        </w:rPr>
      </w:pPr>
      <w:r>
        <w:rPr>
          <w:rFonts w:hint="eastAsia" w:ascii="宋体" w:hAnsi="宋体" w:eastAsia="宋体" w:cs="宋体"/>
          <w:sz w:val="24"/>
          <w:szCs w:val="24"/>
          <w:highlight w:val="none"/>
          <w:lang w:val="en-US" w:eastAsia="zh-CN"/>
        </w:rPr>
        <w:t>秦汉新城</w:t>
      </w:r>
      <w:r>
        <w:rPr>
          <w:rFonts w:hint="eastAsia" w:ascii="宋体" w:hAnsi="宋体" w:eastAsia="宋体" w:cs="宋体"/>
          <w:sz w:val="24"/>
          <w:szCs w:val="24"/>
          <w:highlight w:val="none"/>
        </w:rPr>
        <w:t>绿化养护（管理）标准</w:t>
      </w:r>
    </w:p>
    <w:p>
      <w:pPr>
        <w:pStyle w:val="3"/>
        <w:keepNext w:val="0"/>
        <w:keepLines w:val="0"/>
        <w:pageBreakBefore w:val="0"/>
        <w:widowControl w:val="0"/>
        <w:numPr>
          <w:ilvl w:val="0"/>
          <w:numId w:val="0"/>
        </w:numPr>
        <w:wordWrap/>
        <w:overflowPunct/>
        <w:topLinePunct w:val="0"/>
        <w:autoSpaceDE/>
        <w:autoSpaceDN/>
        <w:bidi w:val="0"/>
        <w:adjustRightInd w:val="0"/>
        <w:snapToGrid w:val="0"/>
        <w:spacing w:line="360" w:lineRule="auto"/>
        <w:ind w:leftChars="0" w:firstLine="3360" w:firstLineChars="140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第一章  总则</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为巩固绿化建设成果，提高绿化养护质量，创建优美生态环境，根据《国家园林城市标准》、《西安市城市绿化管理条例》等有关文件规定，结合</w:t>
      </w:r>
      <w:r>
        <w:rPr>
          <w:rFonts w:hint="eastAsia" w:ascii="宋体" w:hAnsi="宋体" w:eastAsia="宋体" w:cs="宋体"/>
          <w:highlight w:val="none"/>
          <w:lang w:eastAsia="zh-CN"/>
        </w:rPr>
        <w:t>新</w:t>
      </w:r>
      <w:r>
        <w:rPr>
          <w:rFonts w:hint="eastAsia" w:ascii="宋体" w:hAnsi="宋体" w:eastAsia="宋体" w:cs="宋体"/>
          <w:highlight w:val="none"/>
        </w:rPr>
        <w:t>区绿化建设管理的实际情况，制订本标准。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1.本标准引用并参照了《园林绿化工程施工及验收规范》CJJ82-2012。</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2.本标准适用于</w:t>
      </w:r>
      <w:r>
        <w:rPr>
          <w:rFonts w:hint="eastAsia" w:ascii="宋体" w:hAnsi="宋体" w:eastAsia="宋体" w:cs="宋体"/>
          <w:highlight w:val="none"/>
          <w:lang w:eastAsia="zh-CN"/>
        </w:rPr>
        <w:t>陕西省西咸新区</w:t>
      </w:r>
      <w:r>
        <w:rPr>
          <w:rFonts w:hint="eastAsia" w:ascii="宋体" w:hAnsi="宋体" w:eastAsia="宋体" w:cs="宋体"/>
          <w:highlight w:val="none"/>
          <w:lang w:val="en-US" w:eastAsia="zh-CN"/>
        </w:rPr>
        <w:t>秦汉新城</w:t>
      </w:r>
      <w:r>
        <w:rPr>
          <w:rFonts w:hint="eastAsia" w:ascii="宋体" w:hAnsi="宋体" w:eastAsia="宋体" w:cs="宋体"/>
          <w:highlight w:val="none"/>
        </w:rPr>
        <w:t>规划范围内的城市绿地养护管理。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本标准所称城市绿地主要包括城市公园绿地、防护绿地和附属绿地等。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3.本标准规定了园林绿化中的乔木、灌木、藤本、竹类、花卉、草坪及地被植物、水生植物、古树名木等的养护管理规范及技术措施。</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4.绿地的养护管理，除应按本标准执行外，还应遵守国家、行业、地方有关标准及规范的规定。</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2400" w:firstLineChars="100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第二章  绿化养护内容及管理质量标准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本标准所规定园林植物养护管理主要包括对园林植物采取灌溉、排涝、修剪、防治病虫、防寒、支撑、除草、中耕、施肥、冲洗、清掏、补栽等技术措施。</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一、等级划分原则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根据园林绿化所处的位置重要程度及植物的种类，将养护管理由高到低分为一级养护、</w:t>
      </w:r>
      <w:r>
        <w:rPr>
          <w:rFonts w:hint="eastAsia" w:ascii="宋体" w:hAnsi="宋体" w:eastAsia="宋体" w:cs="宋体"/>
          <w:highlight w:val="none"/>
          <w:lang w:eastAsia="zh-CN"/>
        </w:rPr>
        <w:t>二</w:t>
      </w:r>
      <w:r>
        <w:rPr>
          <w:rFonts w:hint="eastAsia" w:ascii="宋体" w:hAnsi="宋体" w:eastAsia="宋体" w:cs="宋体"/>
          <w:highlight w:val="none"/>
        </w:rPr>
        <w:t>级养护和</w:t>
      </w:r>
      <w:r>
        <w:rPr>
          <w:rFonts w:hint="eastAsia" w:ascii="宋体" w:hAnsi="宋体" w:eastAsia="宋体" w:cs="宋体"/>
          <w:highlight w:val="none"/>
          <w:lang w:eastAsia="zh-CN"/>
        </w:rPr>
        <w:t>三</w:t>
      </w:r>
      <w:r>
        <w:rPr>
          <w:rFonts w:hint="eastAsia" w:ascii="宋体" w:hAnsi="宋体" w:eastAsia="宋体" w:cs="宋体"/>
          <w:highlight w:val="none"/>
        </w:rPr>
        <w:t>级养护3个标准等级。城市一类道路、风景名胜区的绿化（包括植物和设施）、重要旅游点、造型植物及古树名木的养护管理划为一级养护；城市二三类道路、旅游点绿化（包括植物和设施）的养护管理划为二级养护；偏远地方、地段的绿化养护划为三级养护。</w:t>
      </w:r>
      <w:r>
        <w:rPr>
          <w:rFonts w:hint="eastAsia" w:ascii="宋体" w:hAnsi="宋体" w:eastAsia="宋体" w:cs="宋体"/>
          <w:highlight w:val="none"/>
          <w:lang w:val="en-US" w:eastAsia="zh-CN"/>
        </w:rPr>
        <w:t>具体划分结合新城实际进行。</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二、各类绿地、树木、花卉、草坪养护管理应遵循的原则</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1.符合植物的生长习性。</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2.符合不同类型绿地的功能和景观要求。</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3.符合生态环境保护要求。</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三、园林绿化养护管理标准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eastAsia="zh-CN"/>
        </w:rPr>
        <w:t>一</w:t>
      </w:r>
      <w:r>
        <w:rPr>
          <w:rFonts w:hint="eastAsia" w:ascii="宋体" w:hAnsi="宋体" w:eastAsia="宋体" w:cs="宋体"/>
          <w:highlight w:val="none"/>
        </w:rPr>
        <w:t>）一级园林绿化养护管理标准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绿化养护技术措施完善，管理到位，达到黄土不</w:t>
      </w:r>
      <w:r>
        <w:rPr>
          <w:rFonts w:hint="eastAsia" w:ascii="宋体" w:hAnsi="宋体" w:eastAsia="宋体" w:cs="宋体"/>
          <w:highlight w:val="none"/>
          <w:lang w:eastAsia="zh-CN"/>
        </w:rPr>
        <w:t>裸露</w:t>
      </w:r>
      <w:r>
        <w:rPr>
          <w:rFonts w:hint="eastAsia" w:ascii="宋体" w:hAnsi="宋体" w:eastAsia="宋体" w:cs="宋体"/>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1.乔木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（1）生长正常，树冠完整，分枝点合适，主侧枝分布均匀、数量适宜。</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（2）枝干正常，枝条粗壮，无明显的人为损坏。</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（3）树木叶色、大小、厚度正常，在一般条件下发生黄叶、焦叶、卷叶、落叶株数低于5%。</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修剪基本合理，树形完整。行道树保持内膛不空又通风透光，确保每年至少进行2次大规模的修剪工作，随时剪除枯死枝、病虫枝、伤残枝、徒长枝、萌蘖枝等，下垂枝尖端不得低于2米，不能影响高压线、路灯和交通指示牌。</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（5）根据季节和生长情况适时灌溉排水，保持适当水分。确保浇灌次数不少于12次/年，灌溉水渗入土层深度应达到80-100厘米。雨水偏多时期或地势低洼区域，乔木树池内积水不得超过24小时。</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（6）树木保存率99%以上，及时补栽成活率95%以上。</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（7）行道树无缺株；新补植树同原有树种、规格、定干高度一致，有支撑措施，苗木支架须按统一标准设置，且不得影响行人通行；行道树及林荫广场树池保持覆盖植物生长良好和硬质覆盖材料完整。</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（8）确保病虫害防治不少于6次/年。叶上虫粪、虫网、病斑及被啃食叶片每株低于5%。枝条粗壮，无蛀干害虫的活卵、活虫。</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（9）春秋季重点施肥</w:t>
      </w:r>
      <w:r>
        <w:rPr>
          <w:rFonts w:hint="eastAsia" w:ascii="宋体" w:hAnsi="宋体" w:eastAsia="宋体" w:cs="宋体"/>
          <w:highlight w:val="none"/>
          <w:lang w:val="en-US" w:eastAsia="zh-CN"/>
        </w:rPr>
        <w:t>3</w:t>
      </w:r>
      <w:r>
        <w:rPr>
          <w:rFonts w:hint="eastAsia" w:ascii="宋体" w:hAnsi="宋体" w:eastAsia="宋体" w:cs="宋体"/>
          <w:highlight w:val="none"/>
        </w:rPr>
        <w:t>次，施肥量依据树木种类和生长情况确定，同一区域内生长较弱和新补植苗木适当增加施肥次数和施肥量。</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（10）确保树木安全越冬。每年秋冬到次年早春组织彻底清掏工作，日常清掏定期开展。持续一周无有效降水的情况下对行道树进行冲洗。</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（11）及时清除单株乔木根部1米范围内的杂草并及时松土，保持树木根部土壤疏松。</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古树名木参照《西安市古树名木保护条例》进行养护。</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2.灌木和花卉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（1）灌木长势好，叶色正常，株型较丰满。花灌木开花及时，花期内开花不断，基本无枯枝败叶、残花败花。</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（2）修剪基本合理，至少保证花灌木修剪2次/年，绿篱修剪16次/年。花后适时修剪，促进花芽正常生长；常年开花植物要有目的地培养花枝，延长花期。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（3）灌溉、施肥</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要根据植物的生长及开花特性进行合理灌溉和施肥。在雨水缺少的季节，要适时浇水。至少保证花灌木灌溉15次/年，绿篱灌溉25次/年。一般在每年春、秋季结合除草松土适当施肥，确保达到2次/年以上。花灌木要适当控水施肥，延长花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（4）除杂草、松土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要经常除杂草和松土。深度不小于20厘米的表土疏松、平整，并低于周围表土5厘米。除杂松土时要保护根系，不能伤根及造成根系裸露，更不能造成黄土裸露。</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（5）补植</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要求及时清理死苗，补栽苗木与原品种规格保持一致，以保证景观效果。补植按照种植规范进行，施足基肥并加强浇水等保养措施，保证成活率达95%以上。</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（6）病虫害防治</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精心养护，增强植物抗病虫害能力。要及时做好病虫害的防治工作，以防为主，早发现早处理。采取综合防治、化学防治、物理人工防治和生物防治等方法防止病虫害蔓延和影响植物生长。尽量采用生物防治的办法，以减少对环境的污染。用化学方法防治时，喷药一般要在晚上进行，且要求配药当天喷完。药物、用量及对环境的影响，要符合环保的要求和标准。发生病虫</w:t>
      </w:r>
      <w:r>
        <w:rPr>
          <w:rFonts w:hint="eastAsia" w:ascii="宋体" w:hAnsi="宋体" w:eastAsia="宋体" w:cs="宋体"/>
          <w:highlight w:val="none"/>
          <w:lang w:val="en-US" w:eastAsia="zh-CN"/>
        </w:rPr>
        <w:t>危</w:t>
      </w:r>
      <w:r>
        <w:rPr>
          <w:rFonts w:hint="eastAsia" w:ascii="宋体" w:hAnsi="宋体" w:eastAsia="宋体" w:cs="宋体"/>
          <w:highlight w:val="none"/>
        </w:rPr>
        <w:t>害，危害率控制在5%以下。</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（7）绿篱、色块</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生长正常，修剪合理，整齐一致，无死株断垄现象。</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（8）露地花卉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生长正常，开花适时，基本无病虫害。</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3.草坪与地被植物</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（1）长势良好，叶色青绿，无枯黄叶，基本无病虫害。覆盖率不低于98%，杂草控制在3%以下。草坪绿色期：冷季型草不少于280天，暖季型草不少于240天。</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（2）修剪</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观花地被植物，须在开花后适当压低，或者结合种子采收，适当修剪。要根据草坪生长特性结合季节特点，合理控制草坪刈剪高度。至少保证修剪草坪16次/年。</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（3）灌溉、施肥</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要根据草坪植物的生长需要淋水和施肥，保证肥水充足，肥料的施用方法和用量科学。在雨水缺少的季节，要适时灌溉，特别在10月-次年2月份要勤淋水多施肥，适当进行根外追肥，使草坪保持优良的长势度过干旱冬季。确保灌溉25次/年以上，施肥2次/年以上，每2年需结合打孔施基肥1次。</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（4）除草、松土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要经常清除杂草。草坪纯度标准为每平方米不超过10株非目的草种。要采用打孔疏松、覆沙等措施，利于草坪生长。</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（5）补植</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对被破坏或其它原因引起死亡的草坪植物应及时补植，使草坪保持完整，无裸露地。补植要与原草坪相同的草种，适当密植，补植后加强保养，保证一个月内覆盖率达98%。</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（6）病虫害防治</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精心养护，增强植物抗病虫害能力。要及时做好病虫害的防治工作，以防为主，早发现早处理。采取综合防治、化学防治、物理人工防治和生物防治等方法防止病虫害蔓延和影响植物生长。尽量采用生物防治的办法，以减少对环境的污染。用化学方法防治时，一般在晚上进行喷药，且要求配药当天喷完。药物、用量及对环境的影响，要符合环保的要求和标准。发生病虫害率控制在5%以下。</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4.水生植物</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（1）在水生植物群落营造前期和幼苗期，应加强人工维护，去除该群落中生长的其他品种的水生植物和杂草。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（2）水面上水生植物的覆盖度应小于水面面积的30%，漂浮植物或浮水植物应进行围合，固定其位置和范围。因繁殖而密度过大时，应剔除部分老植株。</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（3）水生植物应随着立叶或浮叶的生长调节水位。非流动水域，为避免蚊虫孳生或水质恶化，当用水发生混浊时，即必须换水，夏季则须增加换水次数。</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（4）沿岸的观花或挺水植物，每年至少应施肥1次。施肥应以腐熟的有机肥为主，应用可分解的纸做袋装肥或用泥做成团施入泥中。</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（5）重视病虫害防治，以防为主，早发现早处理。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5.藤本和攀缘植物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（1）生长良好；适时采取相应的牵引、设置网架等技术措施；视攀缘植物生长习性，覆盖率不低于90%；观花的攀缘植物适时开花。</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（2）藤本植物的修剪应以促进分枝为主，并剪除徒长枝和下垂枝。多年生的藤本植物应定期翻蔓，清除枯枝，疏删老弱藤蔓。</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（3）雨季应做好排水，秋季停止施肥、灌水，冬季及时清除藤蔓、棚架上的积雪。</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（4）在墙体、桥体等处的植株，应加强水肥管理和固定措施，确保美化效果。</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6.竹类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（1）生长正常，竹干疏密有间，无病虫害。</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（2）灌溉、施肥</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竹类浇水要抓住关键季节，春季出笋前要浇足催笋水，5、6月要浇拔节水，夏季雨水充沛可不浇或少浇，秋季浇孕笋水，冬季过于干旱的可适当喷水。</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施肥以有机肥为主，时间以11-12月为宜。</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（3）培土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竹林要每年培土，厚度以5厘米为宜，时间利用冬季。</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（4）病虫害防治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要及时做好病虫害的防治工作，加强抚育管理，合理砍伐，使林内通风透光，及早砍除病竹销毁。</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eastAsia="zh-CN"/>
        </w:rPr>
        <w:t>二</w:t>
      </w:r>
      <w:r>
        <w:rPr>
          <w:rFonts w:hint="eastAsia" w:ascii="宋体" w:hAnsi="宋体" w:eastAsia="宋体" w:cs="宋体"/>
          <w:highlight w:val="none"/>
        </w:rPr>
        <w:t>）二级园林绿化养护管理标准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绿化养护技术措施基本完善，裸露土地不明显。</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1.乔木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（1）树木保存率9</w:t>
      </w:r>
      <w:r>
        <w:rPr>
          <w:rFonts w:hint="eastAsia" w:ascii="宋体" w:hAnsi="宋体" w:eastAsia="宋体" w:cs="宋体"/>
          <w:highlight w:val="none"/>
          <w:lang w:val="en-US" w:eastAsia="zh-CN"/>
        </w:rPr>
        <w:t>5</w:t>
      </w:r>
      <w:r>
        <w:rPr>
          <w:rFonts w:hint="eastAsia" w:ascii="宋体" w:hAnsi="宋体" w:eastAsia="宋体" w:cs="宋体"/>
          <w:highlight w:val="none"/>
        </w:rPr>
        <w:t>%以上，及时补栽成活率9</w:t>
      </w:r>
      <w:r>
        <w:rPr>
          <w:rFonts w:hint="eastAsia" w:ascii="宋体" w:hAnsi="宋体" w:eastAsia="宋体" w:cs="宋体"/>
          <w:highlight w:val="none"/>
          <w:lang w:val="en-US" w:eastAsia="zh-CN"/>
        </w:rPr>
        <w:t>0</w:t>
      </w:r>
      <w:r>
        <w:rPr>
          <w:rFonts w:hint="eastAsia" w:ascii="宋体" w:hAnsi="宋体" w:eastAsia="宋体" w:cs="宋体"/>
          <w:highlight w:val="none"/>
        </w:rPr>
        <w:t>%以上。生长正常，叶色、大小、厚度正常，在一般条件下发生黄叶、焦叶、卷叶的株数低于8%。</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（2）行道树无缺株；新补植树同原有树种、规格、定干高度一致，有支撑措施，苗木支架须按统一标准设置，且不得影响行人通行。</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树冠完整，分枝点合适，主侧枝分布均匀、数量适宜，修剪基本合理。行道树保持内膛不空又通风透光，确保每年至少进行1次大规模的修剪工作，随时剪除枯死枝、病虫枝、伤残枝、徒长枝、萌蘖枝等，下垂枝尖端不得低于2米，不能影响高压线、路灯和交通指示牌。</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（4）根据季节和生长情况适时灌溉排水，保持适当水分。确保浇灌次数不少于10次/年，灌溉水渗入土层深度应达到80-100厘米。雨水偏多时期或地势低洼区域，乔木树池内积水不得超过24小时。</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（5）确保病虫害防治不少于5次/年。叶上虫粪、虫网、病斑及被啃食叶片每株低于10%。枝条粗壮，无蛀干害虫的活卵、活虫。</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（6）春秋季重点施肥</w:t>
      </w:r>
      <w:r>
        <w:rPr>
          <w:rFonts w:hint="eastAsia" w:ascii="宋体" w:hAnsi="宋体" w:eastAsia="宋体" w:cs="宋体"/>
          <w:highlight w:val="none"/>
          <w:lang w:val="en-US" w:eastAsia="zh-CN"/>
        </w:rPr>
        <w:t>2</w:t>
      </w:r>
      <w:r>
        <w:rPr>
          <w:rFonts w:hint="eastAsia" w:ascii="宋体" w:hAnsi="宋体" w:eastAsia="宋体" w:cs="宋体"/>
          <w:highlight w:val="none"/>
        </w:rPr>
        <w:t>次，施肥量依据树木种类和生长情况确定，同一区域内生长较弱和新补植苗木适当增加施肥次数和施肥量。</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（7）确保树木安全越冬。每年秋冬到次年早春组织彻底清掏工作，日常清掏定期开展。持续半月无有效降水的情况下对行道树进行冲洗。</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（8）及时清除单株乔木根部1米范围内的杂草并及时松土，保持树木根部土壤疏松。</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2.灌木和花卉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（1）生长正常，株型完整，病虫害控制及时；花灌木开花正常，花后修剪合理。确保花灌木修剪2次/年以上，绿篱修剪1</w:t>
      </w:r>
      <w:r>
        <w:rPr>
          <w:rFonts w:hint="eastAsia" w:ascii="宋体" w:hAnsi="宋体" w:eastAsia="宋体" w:cs="宋体"/>
          <w:highlight w:val="none"/>
          <w:lang w:val="en-US" w:eastAsia="zh-CN"/>
        </w:rPr>
        <w:t>2</w:t>
      </w:r>
      <w:r>
        <w:rPr>
          <w:rFonts w:hint="eastAsia" w:ascii="宋体" w:hAnsi="宋体" w:eastAsia="宋体" w:cs="宋体"/>
          <w:highlight w:val="none"/>
        </w:rPr>
        <w:t>次/年以上。</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（2）灌溉、施肥</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要根据植物的生长及开花特性进行合理灌溉和施肥。在雨水缺少的季节，要适时灌溉。冬季和春季要适时浇水，有利植物安全越冬和生长。花灌木要适当控水，保证花期，适时开放。确保花灌木灌溉15次/年以上，绿篱灌溉20次/年以上。施肥2次/年以上。</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（3）除杂草、松土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要经常除杂草和松土，除杂松土时要保护根系，不能伤根及造成根系裸露，更不能造成黄土裸露。</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（4）补植</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要求及时清理死苗，补栽苗木与原品种规格保持一致。补植按照种植规范进行，施足基肥并加强浇水等保养措施。</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（5）病虫害防治</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精心养护，增强植物抗病虫害能力。要及时做好病虫害的防治工作，以防为主，早发现早处理。采取综合防治、化学防治、物理人工防治和生物防治等方法防止病虫害蔓延和影响植物生长。用化学方法防治时，药物、用量及对环境的影响，要符合环保的要求和标准。发生病虫害率控制在10%以下。</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（6）绿篱、色块</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生长正常，修剪及时，整齐一致，轮廓清晰，基本无死株断垄现象。</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（7）露地花卉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生长正常，开花适时，基本无病虫害和黄土裸露。</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3.草坪与地被植物</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（1）生长正常，生长量与平均年生长量持平，叶色正常无枯黄叶。覆盖率不低于95%，杂草控制在5%以下。</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（2）修剪</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观花地被植物，须在开花后适当压低，或者结合种子采收，适当修剪。草坪要考虑季节特点和草种的生长发育特性，及时修剪，控制高度，使绿地呈现自然景观效果。确保修剪1</w:t>
      </w:r>
      <w:r>
        <w:rPr>
          <w:rFonts w:hint="eastAsia" w:ascii="宋体" w:hAnsi="宋体" w:eastAsia="宋体" w:cs="宋体"/>
          <w:highlight w:val="none"/>
          <w:lang w:val="en-US" w:eastAsia="zh-CN"/>
        </w:rPr>
        <w:t>2</w:t>
      </w:r>
      <w:r>
        <w:rPr>
          <w:rFonts w:hint="eastAsia" w:ascii="宋体" w:hAnsi="宋体" w:eastAsia="宋体" w:cs="宋体"/>
          <w:highlight w:val="none"/>
        </w:rPr>
        <w:t>次/年以上。</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（3）灌溉、施肥</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要根据草坪植物的生长需要加强淋水和施肥，确保灌溉20次/年以上，施肥2次/年以上，每2年需结合打孔施基肥1次，保证肥水充足。肥料的施用方法和用量科学，防止过量或不均匀引起肥伤。在雨水缺少的季节，要适时灌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冬季要适当浇水施肥，使草坪保持较好的长势度过干旱冬季。</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（4）除草、松土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要经常清除杂草，疏松坪地，促进草坪生长。</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（5）补植</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对被破坏或其它原因引起死亡的草坪植物应及时补植，使草坪保持完整，无裸露地。</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（6）病虫害防治</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精心养护，增强植物抗病虫害能力。要及时做好病虫害的防治工作，以防为主，早发现早处理。采取综合防治、化学防治、物理人工防治和生物防治等方法防止病虫害蔓延和影响植物生长。用化学方法防治时，药物、用量及对环境的影响，要符合环保的要求和标准。发生病虫危害率控制在10%以下。</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4.水生植物</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（1）在水生植物群落营造前期和幼苗期，应加强人工维护，去除该群落中生长的其他品种的水生植物和杂草。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（2）水面上水生植物的覆盖度应小于水面面积的30%，漂浮植物或浮水植物应进行围合，固定其位置和范围。因繁殖而密度过大时，应剔除部分老植株。</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（3）水生植物应随着立叶或浮叶的生长调节水位。非流动水域，为避免蚊虫孳生或水质恶化，当用水发生混浊时，即必须换水，夏季则须增加换水次数。</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（4）沿岸的观花或挺水植物，每年至少应施肥1次。施肥应以腐熟的有机肥为主，应用可分解的纸做袋装肥或用泥做成团施入泥中。</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（5）重视病虫害防治，以防为主，早发现早处理。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5.藤本和攀缘植物</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（1）生长正常；适时采取相应的牵引、设置网架等技术措施；观花的攀缘植物适时开花。</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（2）藤本植物的修剪应以促进分枝为主，并剪除徒长枝和下垂枝。多年生的藤本植物应定期翻蔓，清除枯枝，疏删老弱藤蔓。</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（3）雨季应做好排水，秋季停止施肥、灌水，冬季及时清除藤蔓、棚架上的积雪。</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6.竹类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（1）生长正常竹干疏密有间，无病虫害。</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（2）灌溉、施肥</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竹类浇水要抓住关键季节，春季出笋前要浇足催笋水，5、6月要浇拔节水，夏季雨水充沛可不浇或少浇，秋季浇孕笋水，冬季过于干旱的可适当喷水。</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施肥有机肥为主，时间以11-12月为宜。</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（3）培土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竹林要每年培土，厚度以5厘米为宜，时间利用冬季。</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（4）病虫害防治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要及时做好病虫害的防治工作，加强抚育管理，合理砍伐，使林内通风透光，及早砍除病竹销毁。</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eastAsia="zh-CN"/>
        </w:rPr>
        <w:t>三</w:t>
      </w:r>
      <w:r>
        <w:rPr>
          <w:rFonts w:hint="eastAsia" w:ascii="宋体" w:hAnsi="宋体" w:eastAsia="宋体" w:cs="宋体"/>
          <w:highlight w:val="none"/>
        </w:rPr>
        <w:t>）</w:t>
      </w:r>
      <w:r>
        <w:rPr>
          <w:rFonts w:hint="eastAsia" w:ascii="宋体" w:hAnsi="宋体" w:eastAsia="宋体" w:cs="宋体"/>
          <w:highlight w:val="none"/>
          <w:lang w:eastAsia="zh-CN"/>
        </w:rPr>
        <w:t>三</w:t>
      </w:r>
      <w:r>
        <w:rPr>
          <w:rFonts w:hint="eastAsia" w:ascii="宋体" w:hAnsi="宋体" w:eastAsia="宋体" w:cs="宋体"/>
          <w:highlight w:val="none"/>
        </w:rPr>
        <w:t>级园林绿化养护管理标准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绿化养护技术措施基本完善，裸露土地不明显。</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1.乔木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（1）树木保存率9</w:t>
      </w:r>
      <w:r>
        <w:rPr>
          <w:rFonts w:hint="eastAsia" w:ascii="宋体" w:hAnsi="宋体" w:eastAsia="宋体" w:cs="宋体"/>
          <w:highlight w:val="none"/>
          <w:lang w:val="en-US" w:eastAsia="zh-CN"/>
        </w:rPr>
        <w:t>0</w:t>
      </w:r>
      <w:r>
        <w:rPr>
          <w:rFonts w:hint="eastAsia" w:ascii="宋体" w:hAnsi="宋体" w:eastAsia="宋体" w:cs="宋体"/>
          <w:highlight w:val="none"/>
        </w:rPr>
        <w:t>%以上，及时补栽成活率90%以上。生长正常，叶色、大小、厚度正常，在一般条件下发生黄叶、焦叶、卷叶的株数低于</w:t>
      </w:r>
      <w:r>
        <w:rPr>
          <w:rFonts w:hint="eastAsia" w:ascii="宋体" w:hAnsi="宋体" w:eastAsia="宋体" w:cs="宋体"/>
          <w:highlight w:val="none"/>
          <w:lang w:val="en-US" w:eastAsia="zh-CN"/>
        </w:rPr>
        <w:t>11</w:t>
      </w:r>
      <w:r>
        <w:rPr>
          <w:rFonts w:hint="eastAsia" w:ascii="宋体" w:hAnsi="宋体" w:eastAsia="宋体" w:cs="宋体"/>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（2）行道树无缺株；新补植树同原有树种、规格、定干高度一致，有支撑措施，苗木支架须按统一标准设置，且不得影响行人通行。</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（3）树冠完整，分枝点合适，主侧枝分布均匀、数量适宜，修剪基本合理。行道树保持内膛不空又通风透光，确保每</w:t>
      </w:r>
      <w:r>
        <w:rPr>
          <w:rFonts w:hint="eastAsia" w:ascii="宋体" w:hAnsi="宋体" w:eastAsia="宋体" w:cs="宋体"/>
          <w:highlight w:val="none"/>
          <w:lang w:val="en-US" w:eastAsia="zh-CN"/>
        </w:rPr>
        <w:t>2</w:t>
      </w:r>
      <w:r>
        <w:rPr>
          <w:rFonts w:hint="eastAsia" w:ascii="宋体" w:hAnsi="宋体" w:eastAsia="宋体" w:cs="宋体"/>
          <w:highlight w:val="none"/>
        </w:rPr>
        <w:t>年至少进行1次大规模的修剪工作，随时剪除枯死枝、病虫枝、伤残枝、徒长枝、萌蘖枝等，下垂枝尖端不得低于2米，不能影响高压线、路灯和交通指示牌。</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（4）根据季节和生长情况适时灌溉排水，保持适当水分。确保浇灌次数不少于</w:t>
      </w:r>
      <w:r>
        <w:rPr>
          <w:rFonts w:hint="eastAsia" w:ascii="宋体" w:hAnsi="宋体" w:eastAsia="宋体" w:cs="宋体"/>
          <w:highlight w:val="none"/>
          <w:lang w:val="en-US" w:eastAsia="zh-CN"/>
        </w:rPr>
        <w:t>6</w:t>
      </w:r>
      <w:r>
        <w:rPr>
          <w:rFonts w:hint="eastAsia" w:ascii="宋体" w:hAnsi="宋体" w:eastAsia="宋体" w:cs="宋体"/>
          <w:highlight w:val="none"/>
        </w:rPr>
        <w:t>次/年，灌溉水渗入土层深度应达到80-100厘米。雨水偏多时期或地势低洼区域，乔木树池内积水不得超过24小时。</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（5）确保病虫害防治不少于</w:t>
      </w:r>
      <w:r>
        <w:rPr>
          <w:rFonts w:hint="eastAsia" w:ascii="宋体" w:hAnsi="宋体" w:eastAsia="宋体" w:cs="宋体"/>
          <w:highlight w:val="none"/>
          <w:lang w:val="en-US" w:eastAsia="zh-CN"/>
        </w:rPr>
        <w:t>3</w:t>
      </w:r>
      <w:r>
        <w:rPr>
          <w:rFonts w:hint="eastAsia" w:ascii="宋体" w:hAnsi="宋体" w:eastAsia="宋体" w:cs="宋体"/>
          <w:highlight w:val="none"/>
        </w:rPr>
        <w:t>次/年。叶上虫粪、虫网、病斑及被啃食叶片每株低于1</w:t>
      </w:r>
      <w:r>
        <w:rPr>
          <w:rFonts w:hint="eastAsia" w:ascii="宋体" w:hAnsi="宋体" w:eastAsia="宋体" w:cs="宋体"/>
          <w:highlight w:val="none"/>
          <w:lang w:val="en-US" w:eastAsia="zh-CN"/>
        </w:rPr>
        <w:t>2</w:t>
      </w:r>
      <w:r>
        <w:rPr>
          <w:rFonts w:hint="eastAsia" w:ascii="宋体" w:hAnsi="宋体" w:eastAsia="宋体" w:cs="宋体"/>
          <w:highlight w:val="none"/>
        </w:rPr>
        <w:t>%。枝条粗壮，无蛀干害虫的活卵、活虫。</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（6）春秋季重点施肥1次，施肥量依据树木种类和生长情况确定，同一区域内生长较弱和新补植苗木适当增加施肥次数和施肥量。</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（7）确保树木安全越冬。每年秋冬到次年早春组织彻底清掏工作，日常清掏定期开展。持续</w:t>
      </w:r>
      <w:r>
        <w:rPr>
          <w:rFonts w:hint="eastAsia" w:ascii="宋体" w:hAnsi="宋体" w:eastAsia="宋体" w:cs="宋体"/>
          <w:highlight w:val="none"/>
          <w:lang w:val="en-US" w:eastAsia="zh-CN"/>
        </w:rPr>
        <w:t>1</w:t>
      </w:r>
      <w:r>
        <w:rPr>
          <w:rFonts w:hint="eastAsia" w:ascii="宋体" w:hAnsi="宋体" w:eastAsia="宋体" w:cs="宋体"/>
          <w:highlight w:val="none"/>
        </w:rPr>
        <w:t>月无有效降水的情况下对行道树进行冲洗。</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（8）及时清除单株乔木根部1米范围内的杂草并及时松土，保持树木根部土壤疏松。</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2.灌木和花卉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（1）生长正常，株型完整，病虫害控制及时；花灌木开花正常，花后修剪合理。确保花灌木修剪2次/年以上，绿篱修剪</w:t>
      </w:r>
      <w:r>
        <w:rPr>
          <w:rFonts w:hint="eastAsia" w:ascii="宋体" w:hAnsi="宋体" w:eastAsia="宋体" w:cs="宋体"/>
          <w:highlight w:val="none"/>
          <w:lang w:val="en-US" w:eastAsia="zh-CN"/>
        </w:rPr>
        <w:t>8</w:t>
      </w:r>
      <w:r>
        <w:rPr>
          <w:rFonts w:hint="eastAsia" w:ascii="宋体" w:hAnsi="宋体" w:eastAsia="宋体" w:cs="宋体"/>
          <w:highlight w:val="none"/>
        </w:rPr>
        <w:t>次/年以上。</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（2）灌溉、施肥</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要根据植物的生长及开花特性进行合理灌溉和施肥。在雨水缺少的季节，要适时灌溉。冬季和春季要适时浇水，有利植物安全越冬和生长。花灌木要适当控水，保证花期，适时开放。确保花灌木灌溉1</w:t>
      </w:r>
      <w:r>
        <w:rPr>
          <w:rFonts w:hint="eastAsia" w:ascii="宋体" w:hAnsi="宋体" w:eastAsia="宋体" w:cs="宋体"/>
          <w:highlight w:val="none"/>
          <w:lang w:val="en-US" w:eastAsia="zh-CN"/>
        </w:rPr>
        <w:t>0</w:t>
      </w:r>
      <w:r>
        <w:rPr>
          <w:rFonts w:hint="eastAsia" w:ascii="宋体" w:hAnsi="宋体" w:eastAsia="宋体" w:cs="宋体"/>
          <w:highlight w:val="none"/>
        </w:rPr>
        <w:t>次/年以上，绿篱灌溉</w:t>
      </w:r>
      <w:r>
        <w:rPr>
          <w:rFonts w:hint="eastAsia" w:ascii="宋体" w:hAnsi="宋体" w:eastAsia="宋体" w:cs="宋体"/>
          <w:highlight w:val="none"/>
          <w:lang w:val="en-US" w:eastAsia="zh-CN"/>
        </w:rPr>
        <w:t>15</w:t>
      </w:r>
      <w:r>
        <w:rPr>
          <w:rFonts w:hint="eastAsia" w:ascii="宋体" w:hAnsi="宋体" w:eastAsia="宋体" w:cs="宋体"/>
          <w:highlight w:val="none"/>
        </w:rPr>
        <w:t>次/年以上。施肥</w:t>
      </w:r>
      <w:r>
        <w:rPr>
          <w:rFonts w:hint="eastAsia" w:ascii="宋体" w:hAnsi="宋体" w:eastAsia="宋体" w:cs="宋体"/>
          <w:highlight w:val="none"/>
          <w:lang w:val="en-US" w:eastAsia="zh-CN"/>
        </w:rPr>
        <w:t>1</w:t>
      </w:r>
      <w:r>
        <w:rPr>
          <w:rFonts w:hint="eastAsia" w:ascii="宋体" w:hAnsi="宋体" w:eastAsia="宋体" w:cs="宋体"/>
          <w:highlight w:val="none"/>
        </w:rPr>
        <w:t>次/年以上。</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（3）除杂草、松土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要经常除杂草和松土，除杂松土时要保护根系，不能伤根及造成根系裸露，更不能造成黄土裸露。</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（4）补植</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要求及时清理死苗，补栽苗木与原品种规格保持一致。补植按照种植规范进行，施足基肥并加强浇水等保养措施。</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（5）病虫害防治</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精心养护，增强植物抗病虫害能力。要及时做好病虫害的防治工作，以防为主，早发现早处理。采取综合防治、化学防治、物理人工防治和生物防治等方法防止病虫害蔓延和影响植物生长。用化学方法防治时，药物、用量及对环境的影响，要符合环保的要求和标准。发生病虫害率控制在1</w:t>
      </w:r>
      <w:r>
        <w:rPr>
          <w:rFonts w:hint="eastAsia" w:ascii="宋体" w:hAnsi="宋体" w:eastAsia="宋体" w:cs="宋体"/>
          <w:highlight w:val="none"/>
          <w:lang w:val="en-US" w:eastAsia="zh-CN"/>
        </w:rPr>
        <w:t>5</w:t>
      </w:r>
      <w:r>
        <w:rPr>
          <w:rFonts w:hint="eastAsia" w:ascii="宋体" w:hAnsi="宋体" w:eastAsia="宋体" w:cs="宋体"/>
          <w:highlight w:val="none"/>
        </w:rPr>
        <w:t>%以下。</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（6）绿篱、色块</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生长正常，修剪及时，整齐一致，轮廓清晰，基本无死株断垄现象。</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（7）露地花卉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生长正常，开花适时，基本无病虫害和黄土裸露。</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3.草坪与地被植物</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（1）生长正常，生长量与平均年生长量持平，叶色正常无枯黄叶。覆盖率不低于9</w:t>
      </w:r>
      <w:r>
        <w:rPr>
          <w:rFonts w:hint="eastAsia" w:ascii="宋体" w:hAnsi="宋体" w:eastAsia="宋体" w:cs="宋体"/>
          <w:highlight w:val="none"/>
          <w:lang w:val="en-US" w:eastAsia="zh-CN"/>
        </w:rPr>
        <w:t>0</w:t>
      </w:r>
      <w:r>
        <w:rPr>
          <w:rFonts w:hint="eastAsia" w:ascii="宋体" w:hAnsi="宋体" w:eastAsia="宋体" w:cs="宋体"/>
          <w:highlight w:val="none"/>
        </w:rPr>
        <w:t>%，杂草控制在</w:t>
      </w:r>
      <w:r>
        <w:rPr>
          <w:rFonts w:hint="eastAsia" w:ascii="宋体" w:hAnsi="宋体" w:eastAsia="宋体" w:cs="宋体"/>
          <w:highlight w:val="none"/>
          <w:lang w:val="en-US" w:eastAsia="zh-CN"/>
        </w:rPr>
        <w:t>8</w:t>
      </w:r>
      <w:r>
        <w:rPr>
          <w:rFonts w:hint="eastAsia" w:ascii="宋体" w:hAnsi="宋体" w:eastAsia="宋体" w:cs="宋体"/>
          <w:highlight w:val="none"/>
        </w:rPr>
        <w:t>%以下。</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（2）修剪</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观花地被植物，须在开花后适当压低，或者结合种子采收，适当修剪。草坪要考虑季节特点和草种的生长发育特性，及时修剪，控制高度，使绿地呈现自然景观效果。确保修剪</w:t>
      </w:r>
      <w:r>
        <w:rPr>
          <w:rFonts w:hint="eastAsia" w:ascii="宋体" w:hAnsi="宋体" w:eastAsia="宋体" w:cs="宋体"/>
          <w:highlight w:val="none"/>
          <w:lang w:val="en-US" w:eastAsia="zh-CN"/>
        </w:rPr>
        <w:t>8</w:t>
      </w:r>
      <w:r>
        <w:rPr>
          <w:rFonts w:hint="eastAsia" w:ascii="宋体" w:hAnsi="宋体" w:eastAsia="宋体" w:cs="宋体"/>
          <w:highlight w:val="none"/>
        </w:rPr>
        <w:t>次/年以上。</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（3）灌溉、施肥</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要根据草坪植物的生长需要加强淋水和施肥，确保灌溉</w:t>
      </w:r>
      <w:r>
        <w:rPr>
          <w:rFonts w:hint="eastAsia" w:ascii="宋体" w:hAnsi="宋体" w:eastAsia="宋体" w:cs="宋体"/>
          <w:highlight w:val="none"/>
          <w:lang w:val="en-US" w:eastAsia="zh-CN"/>
        </w:rPr>
        <w:t>15</w:t>
      </w:r>
      <w:r>
        <w:rPr>
          <w:rFonts w:hint="eastAsia" w:ascii="宋体" w:hAnsi="宋体" w:eastAsia="宋体" w:cs="宋体"/>
          <w:highlight w:val="none"/>
        </w:rPr>
        <w:t>次/年以上，施肥2次/年以上，每2年需结合打孔施基肥1次，保证肥水充足。肥料的施用方法和用量科学，防止过量或不均匀引起肥伤。在雨水缺少的季节，要适时灌溉。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冬季要适当浇水施肥，使草坪保持较好的长势度过干旱冬季。</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（4）除草、松土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要经常清除杂草，疏松坪地，促进草坪生长。</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（5）补植</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对被破坏或其它原因引起死亡的草坪植物应及时补植，使草坪保持完整，无裸露地。</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（6）病虫害防治</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精心养护，增强植物抗病虫害能力。要及时做好病虫害的防治工作，以防为主，早发现早处理。采取综合防治、化学防治、物理人工防治和生物防治等方法防止病虫害蔓延和影响植物生长。用化学方法防治时，药物、用量及对环境的影响，要符合环保的要求和标准。发生病虫危害率控制在1</w:t>
      </w:r>
      <w:r>
        <w:rPr>
          <w:rFonts w:hint="eastAsia" w:ascii="宋体" w:hAnsi="宋体" w:eastAsia="宋体" w:cs="宋体"/>
          <w:highlight w:val="none"/>
          <w:lang w:val="en-US" w:eastAsia="zh-CN"/>
        </w:rPr>
        <w:t>5</w:t>
      </w:r>
      <w:r>
        <w:rPr>
          <w:rFonts w:hint="eastAsia" w:ascii="宋体" w:hAnsi="宋体" w:eastAsia="宋体" w:cs="宋体"/>
          <w:highlight w:val="none"/>
        </w:rPr>
        <w:t>%以下。</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4.水生植物</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（1）在水生植物群落营造前期和幼苗期，应加强人工维护，去除该群落中生长的其他品种的水生植物和杂草。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（2）水面上水生植物的覆盖度应小于水面面积的30%，漂浮植物或浮水植物应进行围合，固定其位置和范围。因繁殖而密度过大时，应剔除部分老植株。</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（3）水生植物应随着立叶或浮叶的生长调节水位。非流动水域，为避免蚊虫孳生或水质恶化，当用水发生混浊时，即必须换水，夏季则须增加换水次数。</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（4）沿岸的观花或挺水植物，每年至少应施肥1次。施肥应以腐熟的有机肥为主，应用可分解的纸做袋装肥或用泥做成团施入泥中。</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（5）重视病虫害防治，以防为主，早发现早处理。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5.藤本和攀缘植物</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（1）生长正常；适时采取相应的牵引、设置网架等技术措施；观花的攀缘植物适时开花。</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（2）藤本植物的修剪应以促进分枝为主，并剪除徒长枝和下垂枝。多年生的藤本植物应定期翻蔓，清除枯枝，疏删老弱藤蔓。</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（3）雨季应做好排水，秋季停止施肥、灌水，冬季及时清除藤蔓、棚架上的积雪。</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6.竹类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（1）生长正常竹干疏密有间，无病虫害。</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（2）灌溉、施肥</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竹类浇水要抓住关键季节，春季出笋前要浇足催笋水，5、6月要浇拔节水，夏季雨水充沛可不浇或少浇，秋季浇孕笋水，冬季过于干旱的可适当喷水。</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施肥有机肥为主，时间以11-12月为宜。</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（3）培土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竹林要每年培土，厚度以5厘米为宜，时间利用冬季。</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（4）病虫害防治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要及时做好病虫害的防治工作，加强抚育管理，合理砍伐，使林内通风透光，及早砍除病竹销毁。</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四、人员及设备配备要求</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（一）人员配备</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各级绿化养护区域须配备足额养护人员。一级养护区域每</w:t>
      </w:r>
      <w:r>
        <w:rPr>
          <w:rFonts w:hint="eastAsia" w:ascii="宋体" w:hAnsi="宋体" w:eastAsia="宋体" w:cs="宋体"/>
          <w:highlight w:val="none"/>
          <w:lang w:val="en-US" w:eastAsia="zh-CN"/>
        </w:rPr>
        <w:t>5</w:t>
      </w:r>
      <w:r>
        <w:rPr>
          <w:rFonts w:hint="eastAsia" w:ascii="宋体" w:hAnsi="宋体" w:eastAsia="宋体" w:cs="宋体"/>
          <w:highlight w:val="none"/>
        </w:rPr>
        <w:t>000平方米配备1名养护工，每10000平方米配备1名修剪工；二级养护区域每8000平方米配备1名养护工，每15000平方米配备1名修剪工；</w:t>
      </w:r>
      <w:r>
        <w:rPr>
          <w:rFonts w:hint="eastAsia" w:ascii="宋体" w:hAnsi="宋体" w:eastAsia="宋体" w:cs="宋体"/>
          <w:highlight w:val="none"/>
          <w:lang w:eastAsia="zh-CN"/>
        </w:rPr>
        <w:t>三</w:t>
      </w:r>
      <w:r>
        <w:rPr>
          <w:rFonts w:hint="eastAsia" w:ascii="宋体" w:hAnsi="宋体" w:eastAsia="宋体" w:cs="宋体"/>
          <w:highlight w:val="none"/>
        </w:rPr>
        <w:t>级养护区域每</w:t>
      </w:r>
      <w:r>
        <w:rPr>
          <w:rFonts w:hint="eastAsia" w:ascii="宋体" w:hAnsi="宋体" w:eastAsia="宋体" w:cs="宋体"/>
          <w:highlight w:val="none"/>
          <w:lang w:val="en-US" w:eastAsia="zh-CN"/>
        </w:rPr>
        <w:t>10</w:t>
      </w:r>
      <w:r>
        <w:rPr>
          <w:rFonts w:hint="eastAsia" w:ascii="宋体" w:hAnsi="宋体" w:eastAsia="宋体" w:cs="宋体"/>
          <w:highlight w:val="none"/>
        </w:rPr>
        <w:t>000平方米配备1名养护工，每</w:t>
      </w:r>
      <w:r>
        <w:rPr>
          <w:rFonts w:hint="eastAsia" w:ascii="宋体" w:hAnsi="宋体" w:eastAsia="宋体" w:cs="宋体"/>
          <w:highlight w:val="none"/>
          <w:lang w:val="en-US" w:eastAsia="zh-CN"/>
        </w:rPr>
        <w:t>20</w:t>
      </w:r>
      <w:r>
        <w:rPr>
          <w:rFonts w:hint="eastAsia" w:ascii="宋体" w:hAnsi="宋体" w:eastAsia="宋体" w:cs="宋体"/>
          <w:highlight w:val="none"/>
        </w:rPr>
        <w:t>000平方米配备1名修剪工须结合工作要求配备专业植保工及其他必要的技术工种。</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绿化养护人员须按照</w:t>
      </w:r>
      <w:r>
        <w:rPr>
          <w:rFonts w:hint="eastAsia" w:ascii="宋体" w:hAnsi="宋体" w:eastAsia="宋体" w:cs="宋体"/>
          <w:highlight w:val="none"/>
          <w:lang w:eastAsia="zh-CN"/>
        </w:rPr>
        <w:t>新</w:t>
      </w:r>
      <w:r>
        <w:rPr>
          <w:rFonts w:hint="eastAsia" w:ascii="宋体" w:hAnsi="宋体" w:eastAsia="宋体" w:cs="宋体"/>
          <w:highlight w:val="none"/>
        </w:rPr>
        <w:t>区绿化养护着装要求统一挂牌上岗。</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（二）设备配备</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各级绿化养护区域须足额高标准配备水车、垃圾清运车、喷药机、修剪机、水泵等绿化养护车辆及机械设备。其中，浇灌水源不可及区域须按照8万平方米/台的标准配备水车（10吨及以上），浇灌水源可及区域须配备缺水期应急浇灌水补给设施设备。</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绿化养护车辆及机械设备须按照生态区绿化养护设备管理要求统一喷绘标识。</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firstLine="2160" w:firstLineChars="90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第三章  绿地景观设施维护及保护</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一、设施维护</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绿地设施包括喷灌、照明、音响系统和园路、铺装、护栏、坐凳、喷泉、雕塑、移动花钵、果皮箱、直饮水、管理用房等景观设施。</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（一）喷灌设施</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保护绿化供水设施，要保持喷洒正常、开关灵活、管道无漏水。景观喷泉管道、喷嘴及水池完好率不低于95%。</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（二）园林照明、音响设施</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绿地上的灯光、音响，要经常进行检修，发现线路破损、灯泡烧毁、灯罩破损、音箱损坏的要及时进行修复、更换，保持设备正常运作。景观照明设施设备完好率必须保持在99%以上。</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（三）水池喷泉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保持水面及水池内外清洁，水质良好，水量适度，喷泉运作正常。池壁美观，不漏水，设施完好无损；要求及时清除杂物，定时</w:t>
      </w:r>
      <w:r>
        <w:rPr>
          <w:rFonts w:hint="eastAsia" w:ascii="宋体" w:hAnsi="宋体" w:eastAsia="宋体" w:cs="宋体"/>
          <w:highlight w:val="none"/>
          <w:lang w:val="en-US" w:eastAsia="zh-CN"/>
        </w:rPr>
        <w:t>消</w:t>
      </w:r>
      <w:r>
        <w:rPr>
          <w:rFonts w:hint="eastAsia" w:ascii="宋体" w:hAnsi="宋体" w:eastAsia="宋体" w:cs="宋体"/>
          <w:highlight w:val="none"/>
        </w:rPr>
        <w:t>杀蚊子幼虫，定时清洗水池。</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（四）护栏</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护栏要保持整洁完整,定期清理，不能有倾斜的现象，被损坏的要及时修补。遇到节日庆典和大型活动应派专人定时定点进行清洗和维护。</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（五）园路</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绿地内园路要保持清洁、美观，完好无损。要及时清除路面垃圾杂物，修补破损并保持完好。</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（六）园林雕塑</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园林雕塑要保持整洁、美观，完好无损，对其上的乱涂、乱画、乱张贴要及时清理干净，以增强园林美化效果。</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（七）移动花钵</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花钵内的植物生长旺盛，株形优美，叶片、叶色正常，无病虫害，开花植物要及时清理残花和残枝。花钵表面整洁无垃圾和杂物，钵体无乱划、乱画等现象。</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（八）果皮箱</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果皮箱箱体干净无污渍、无破损，摆放端正；及时维修、刷新、更换老旧破损的果皮箱；每日擦洗2次，及时清掏，无垃圾爆满、落地和翻拾垃圾现象。</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九</w:t>
      </w:r>
      <w:r>
        <w:rPr>
          <w:rFonts w:hint="eastAsia" w:ascii="宋体" w:hAnsi="宋体" w:eastAsia="宋体" w:cs="宋体"/>
          <w:highlight w:val="none"/>
        </w:rPr>
        <w:t>）其他公共设施</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定期维护擦洗刷新绿地内管理用房、导视牌、宣传栏、直饮水池及休闲座椅、健身器材等各类城市家具，表面整洁，无明显泥污、浮尘，无乱划、乱画等现象；破损后维修、更换要及时，1个工作日内修复；管理用房应实现物品摆放整齐，地面及门窗整洁无污渍。</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二、绿地保护</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依法严格执行《西安市城市绿化条例》和《西安市公园条例》，加强人员巡查，规划线内绿地不被侵占，绿地版图完整。保护绿地内的花草树木不受损害，对任何侵占和破坏行为要加以制止并及时报告绿化管理部门。</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第四章  绿地保洁</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80" w:firstLineChars="200"/>
        <w:textAlignment w:val="auto"/>
        <w:rPr>
          <w:rFonts w:hint="eastAsia" w:ascii="宋体" w:hAnsi="宋体" w:eastAsia="宋体" w:cs="宋体"/>
          <w:highlight w:val="none"/>
        </w:rPr>
      </w:pPr>
      <w:r>
        <w:rPr>
          <w:rFonts w:hint="eastAsia" w:ascii="宋体" w:hAnsi="宋体" w:eastAsia="宋体" w:cs="宋体"/>
          <w:b w:val="0"/>
          <w:snapToGrid w:val="0"/>
          <w:kern w:val="0"/>
          <w:sz w:val="24"/>
          <w:szCs w:val="24"/>
          <w:highlight w:val="none"/>
        </w:rPr>
        <w:t>一、</w:t>
      </w:r>
      <w:r>
        <w:rPr>
          <w:rFonts w:hint="eastAsia" w:ascii="宋体" w:hAnsi="宋体" w:eastAsia="宋体" w:cs="宋体"/>
          <w:highlight w:val="none"/>
        </w:rPr>
        <w:t>公园广场保洁</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（一）人员配备要求</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公园广场保洁参照现行《城市环境卫生质量标准》、《城市容貌标准》GB 50449、《西安市市容环境卫生工作管理标准》及生态区道路保洁标准执行，按照两班作业制、4600平方米/人的标准配备。</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清扫保洁工作实行定员定岗管理，责任到人；保洁员实行两班作业制；做好保洁检查记录；保洁员上岗时必须着统一工装挂牌上岗。</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（二）作业标准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公园广场内的白色垃圾要及时发现、及时清理。广场、园路、树池、收水井口、隔离墩必须清扫干净，保持干净整洁。雨雪后广场园路上的泥水、积雪必须及时清理，不得有垃圾堆积、不能漏扫，不能因清扫不当造成二次污染。公园广场内清理积雪不得使用融雪剂。</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二、景观水域保洁</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水体质量应符合现行国家标准《地表水环境质量标准》GB 3838规定。景观水体及人体非直接接触的娱乐用水应达到Ⅳ类水质标准。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景观水体保洁质量应按现行行业标准《城市水域保洁作业及质量标准》CJJ/T 174的一级标准执行。</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建立水域巡视机制，实行全天保洁，确保水面无漂浮垃圾、杂物。水域垃圾日产日清。人员及设备按照水域保洁员2名/船，水域垃圾清理按30000平方米/船/天配备。</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三</w:t>
      </w:r>
      <w:r>
        <w:rPr>
          <w:rFonts w:hint="eastAsia" w:ascii="宋体" w:hAnsi="宋体" w:eastAsia="宋体" w:cs="宋体"/>
          <w:highlight w:val="none"/>
        </w:rPr>
        <w:t>、病媒生物防治</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病媒生物防治标准应符合现行《国家卫生城市标准》和《病媒生物密度控制水平》GB/T 27770、GB/T 27771、GB/T 27772、GB/T 27773的A级要求。</w:t>
      </w:r>
    </w:p>
    <w:p>
      <w:pPr>
        <w:rPr>
          <w:rFonts w:hint="eastAsia" w:ascii="宋体" w:hAnsi="宋体" w:eastAsia="宋体" w:cs="宋体"/>
          <w:b/>
          <w:bCs/>
          <w:sz w:val="24"/>
          <w:szCs w:val="32"/>
          <w:highlight w:val="none"/>
          <w:lang w:val="en-US" w:eastAsia="zh-CN"/>
        </w:rPr>
      </w:pPr>
    </w:p>
    <w:p>
      <w:pPr>
        <w:pStyle w:val="16"/>
        <w:rPr>
          <w:rFonts w:hint="eastAsia" w:ascii="宋体" w:hAnsi="宋体" w:eastAsia="宋体" w:cs="宋体"/>
          <w:b/>
          <w:bCs/>
          <w:sz w:val="24"/>
          <w:szCs w:val="32"/>
          <w:highlight w:val="none"/>
          <w:lang w:val="en-US" w:eastAsia="zh-CN"/>
        </w:rPr>
      </w:pPr>
    </w:p>
    <w:p>
      <w:pPr>
        <w:rPr>
          <w:rFonts w:hint="eastAsia" w:ascii="宋体" w:hAnsi="宋体" w:eastAsia="宋体" w:cs="宋体"/>
          <w:b/>
          <w:bCs/>
          <w:sz w:val="24"/>
          <w:szCs w:val="32"/>
          <w:highlight w:val="none"/>
          <w:lang w:val="en-US" w:eastAsia="zh-CN"/>
        </w:rPr>
      </w:pPr>
    </w:p>
    <w:p>
      <w:pPr>
        <w:pStyle w:val="16"/>
        <w:rPr>
          <w:rFonts w:hint="eastAsia" w:ascii="宋体" w:hAnsi="宋体" w:eastAsia="宋体" w:cs="宋体"/>
          <w:b/>
          <w:bCs/>
          <w:sz w:val="24"/>
          <w:szCs w:val="32"/>
          <w:highlight w:val="none"/>
          <w:lang w:val="en-US" w:eastAsia="zh-CN"/>
        </w:rPr>
      </w:pPr>
    </w:p>
    <w:p>
      <w:pPr>
        <w:rPr>
          <w:rFonts w:hint="eastAsia" w:ascii="宋体" w:hAnsi="宋体" w:eastAsia="宋体" w:cs="宋体"/>
          <w:highlight w:val="none"/>
          <w:lang w:val="en-US" w:eastAsia="zh-CN"/>
        </w:rPr>
      </w:pPr>
    </w:p>
    <w:p>
      <w:pPr>
        <w:rPr>
          <w:rFonts w:hint="eastAsia" w:ascii="宋体" w:hAnsi="宋体" w:eastAsia="宋体" w:cs="宋体"/>
          <w:b/>
          <w:bCs/>
          <w:sz w:val="24"/>
          <w:szCs w:val="32"/>
          <w:highlight w:val="none"/>
          <w:lang w:val="en-US" w:eastAsia="zh-CN"/>
        </w:rPr>
      </w:pPr>
    </w:p>
    <w:p>
      <w:pPr>
        <w:pStyle w:val="22"/>
        <w:rPr>
          <w:rFonts w:hint="eastAsia" w:ascii="宋体" w:hAnsi="宋体" w:eastAsia="宋体" w:cs="宋体"/>
          <w:b/>
          <w:bCs/>
          <w:sz w:val="24"/>
          <w:szCs w:val="32"/>
          <w:highlight w:val="none"/>
          <w:lang w:val="en-US" w:eastAsia="zh-CN"/>
        </w:rPr>
      </w:pPr>
    </w:p>
    <w:p>
      <w:pPr>
        <w:pStyle w:val="22"/>
        <w:rPr>
          <w:rFonts w:hint="eastAsia" w:ascii="宋体" w:hAnsi="宋体" w:eastAsia="宋体" w:cs="宋体"/>
          <w:b/>
          <w:bCs/>
          <w:sz w:val="24"/>
          <w:szCs w:val="32"/>
          <w:highlight w:val="none"/>
          <w:lang w:val="en-US" w:eastAsia="zh-CN"/>
        </w:rPr>
      </w:pPr>
    </w:p>
    <w:p>
      <w:pPr>
        <w:pStyle w:val="22"/>
        <w:rPr>
          <w:rFonts w:hint="eastAsia" w:ascii="宋体" w:hAnsi="宋体" w:eastAsia="宋体" w:cs="宋体"/>
          <w:b/>
          <w:bCs/>
          <w:sz w:val="24"/>
          <w:szCs w:val="32"/>
          <w:highlight w:val="none"/>
          <w:lang w:val="en-US" w:eastAsia="zh-CN"/>
        </w:rPr>
      </w:pPr>
    </w:p>
    <w:p>
      <w:pPr>
        <w:pStyle w:val="22"/>
        <w:rPr>
          <w:rFonts w:hint="eastAsia" w:ascii="宋体" w:hAnsi="宋体" w:eastAsia="宋体" w:cs="宋体"/>
          <w:b/>
          <w:bCs/>
          <w:sz w:val="24"/>
          <w:szCs w:val="32"/>
          <w:highlight w:val="none"/>
          <w:lang w:val="en-US" w:eastAsia="zh-CN"/>
        </w:rPr>
      </w:pPr>
    </w:p>
    <w:p>
      <w:pPr>
        <w:pStyle w:val="22"/>
        <w:rPr>
          <w:rFonts w:hint="eastAsia" w:ascii="宋体" w:hAnsi="宋体" w:eastAsia="宋体" w:cs="宋体"/>
          <w:highlight w:val="none"/>
          <w:lang w:val="en-US" w:eastAsia="zh-CN"/>
        </w:rPr>
      </w:pPr>
    </w:p>
    <w:p>
      <w:pPr>
        <w:pStyle w:val="22"/>
        <w:rPr>
          <w:rFonts w:hint="eastAsia" w:ascii="宋体" w:hAnsi="宋体" w:eastAsia="宋体" w:cs="宋体"/>
          <w:highlight w:val="none"/>
          <w:lang w:val="en-US" w:eastAsia="zh-CN"/>
        </w:rPr>
      </w:pPr>
    </w:p>
    <w:p>
      <w:pPr>
        <w:pStyle w:val="22"/>
        <w:rPr>
          <w:rFonts w:hint="eastAsia" w:ascii="宋体" w:hAnsi="宋体" w:eastAsia="宋体" w:cs="宋体"/>
          <w:highlight w:val="none"/>
          <w:lang w:val="en-US" w:eastAsia="zh-CN"/>
        </w:rPr>
      </w:pPr>
    </w:p>
    <w:p>
      <w:pPr>
        <w:pStyle w:val="22"/>
        <w:rPr>
          <w:rFonts w:hint="eastAsia" w:ascii="宋体" w:hAnsi="宋体" w:eastAsia="宋体" w:cs="宋体"/>
          <w:highlight w:val="none"/>
          <w:lang w:val="en-US" w:eastAsia="zh-CN"/>
        </w:rPr>
      </w:pPr>
    </w:p>
    <w:p>
      <w:pPr>
        <w:pStyle w:val="3"/>
        <w:numPr>
          <w:ilvl w:val="0"/>
          <w:numId w:val="0"/>
        </w:numPr>
        <w:rPr>
          <w:rFonts w:hint="eastAsia" w:ascii="宋体" w:hAnsi="宋体" w:eastAsia="宋体" w:cs="宋体"/>
          <w:b/>
          <w:bCs/>
          <w:sz w:val="36"/>
          <w:szCs w:val="36"/>
          <w:highlight w:val="none"/>
        </w:rPr>
      </w:pPr>
      <w:bookmarkStart w:id="21" w:name="_Toc20463"/>
      <w:r>
        <w:rPr>
          <w:rFonts w:hint="eastAsia" w:ascii="宋体" w:hAnsi="宋体" w:eastAsia="宋体" w:cs="宋体"/>
          <w:b/>
          <w:bCs/>
          <w:sz w:val="36"/>
          <w:szCs w:val="36"/>
          <w:highlight w:val="none"/>
        </w:rPr>
        <w:t>第五章  合同格式与主要条款</w:t>
      </w:r>
      <w:bookmarkEnd w:id="21"/>
    </w:p>
    <w:p>
      <w:pPr>
        <w:rPr>
          <w:rFonts w:hint="eastAsia" w:ascii="宋体" w:hAnsi="宋体" w:eastAsia="宋体" w:cs="宋体"/>
          <w:kern w:val="2"/>
          <w:sz w:val="21"/>
          <w:szCs w:val="24"/>
          <w:highlight w:val="none"/>
          <w:lang w:val="en-US" w:eastAsia="zh-CN" w:bidi="ar-SA"/>
        </w:rPr>
      </w:pPr>
    </w:p>
    <w:p>
      <w:pPr>
        <w:rPr>
          <w:rFonts w:hint="eastAsia" w:ascii="宋体" w:hAnsi="宋体" w:eastAsia="宋体" w:cs="宋体"/>
          <w:kern w:val="2"/>
          <w:sz w:val="21"/>
          <w:szCs w:val="24"/>
          <w:highlight w:val="none"/>
          <w:lang w:val="en-US" w:eastAsia="zh-CN" w:bidi="ar-SA"/>
        </w:rPr>
      </w:pPr>
    </w:p>
    <w:p>
      <w:pPr>
        <w:rPr>
          <w:rFonts w:hint="eastAsia" w:ascii="宋体" w:hAnsi="宋体" w:eastAsia="宋体" w:cs="宋体"/>
          <w:kern w:val="2"/>
          <w:sz w:val="21"/>
          <w:szCs w:val="24"/>
          <w:highlight w:val="none"/>
          <w:lang w:val="en-US" w:eastAsia="zh-CN" w:bidi="ar-SA"/>
        </w:rPr>
      </w:pPr>
    </w:p>
    <w:p>
      <w:pPr>
        <w:rPr>
          <w:rFonts w:hint="eastAsia" w:ascii="宋体" w:hAnsi="宋体" w:eastAsia="宋体" w:cs="宋体"/>
          <w:kern w:val="2"/>
          <w:sz w:val="21"/>
          <w:szCs w:val="24"/>
          <w:highlight w:val="none"/>
          <w:lang w:val="en-US" w:eastAsia="zh-CN" w:bidi="ar-SA"/>
        </w:rPr>
      </w:pPr>
    </w:p>
    <w:p>
      <w:pPr>
        <w:rPr>
          <w:rFonts w:hint="eastAsia" w:ascii="宋体" w:hAnsi="宋体" w:eastAsia="宋体" w:cs="宋体"/>
          <w:kern w:val="2"/>
          <w:sz w:val="21"/>
          <w:szCs w:val="24"/>
          <w:highlight w:val="none"/>
          <w:lang w:val="en-US" w:eastAsia="zh-CN" w:bidi="ar-SA"/>
        </w:rPr>
      </w:pPr>
    </w:p>
    <w:p>
      <w:pPr>
        <w:rPr>
          <w:rFonts w:hint="eastAsia" w:ascii="宋体" w:hAnsi="宋体" w:eastAsia="宋体" w:cs="宋体"/>
          <w:kern w:val="2"/>
          <w:sz w:val="21"/>
          <w:szCs w:val="24"/>
          <w:highlight w:val="none"/>
          <w:lang w:val="en-US" w:eastAsia="zh-CN" w:bidi="ar-SA"/>
        </w:rPr>
      </w:pPr>
    </w:p>
    <w:p>
      <w:pPr>
        <w:rPr>
          <w:rFonts w:hint="eastAsia" w:ascii="宋体" w:hAnsi="宋体" w:eastAsia="宋体" w:cs="宋体"/>
          <w:sz w:val="30"/>
          <w:szCs w:val="30"/>
          <w:highlight w:val="none"/>
          <w:lang w:val="en-US"/>
        </w:rPr>
      </w:pPr>
      <w:r>
        <w:rPr>
          <w:rFonts w:hint="eastAsia" w:ascii="宋体" w:hAnsi="宋体" w:eastAsia="宋体" w:cs="宋体"/>
          <w:kern w:val="2"/>
          <w:sz w:val="21"/>
          <w:szCs w:val="24"/>
          <w:highlight w:val="none"/>
          <w:lang w:val="en-US" w:eastAsia="zh-CN" w:bidi="ar-SA"/>
        </w:rPr>
        <w:drawing>
          <wp:inline distT="0" distB="0" distL="114300" distR="114300">
            <wp:extent cx="1717040" cy="253365"/>
            <wp:effectExtent l="0" t="0" r="1651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717040" cy="253365"/>
                    </a:xfrm>
                    <a:prstGeom prst="rect">
                      <a:avLst/>
                    </a:prstGeom>
                    <a:noFill/>
                    <a:ln>
                      <a:noFill/>
                    </a:ln>
                  </pic:spPr>
                </pic:pic>
              </a:graphicData>
            </a:graphic>
          </wp:inline>
        </w:drawing>
      </w:r>
      <w:r>
        <w:rPr>
          <w:rFonts w:hint="eastAsia" w:ascii="宋体" w:hAnsi="宋体" w:eastAsia="宋体" w:cs="宋体"/>
          <w:kern w:val="2"/>
          <w:sz w:val="21"/>
          <w:szCs w:val="24"/>
          <w:highlight w:val="none"/>
          <w:lang w:val="en-US" w:eastAsia="zh-CN" w:bidi="ar-SA"/>
        </w:rPr>
        <w:t xml:space="preserve">               </w:t>
      </w:r>
      <w:r>
        <w:rPr>
          <w:rFonts w:hint="eastAsia" w:ascii="宋体" w:hAnsi="宋体" w:eastAsia="宋体" w:cs="宋体"/>
          <w:sz w:val="30"/>
          <w:szCs w:val="30"/>
          <w:highlight w:val="none"/>
        </w:rPr>
        <w:t>编号：</w:t>
      </w:r>
      <w:r>
        <w:rPr>
          <w:rFonts w:hint="eastAsia" w:ascii="宋体" w:hAnsi="宋体" w:eastAsia="宋体" w:cs="宋体"/>
          <w:sz w:val="30"/>
          <w:szCs w:val="30"/>
          <w:highlight w:val="none"/>
          <w:u w:val="single"/>
        </w:rPr>
        <w:t>QH(20</w:t>
      </w:r>
      <w:r>
        <w:rPr>
          <w:rFonts w:hint="eastAsia" w:ascii="宋体" w:hAnsi="宋体" w:eastAsia="宋体" w:cs="宋体"/>
          <w:sz w:val="30"/>
          <w:szCs w:val="30"/>
          <w:highlight w:val="none"/>
          <w:u w:val="single"/>
          <w:lang w:val="en-US" w:eastAsia="zh-CN"/>
        </w:rPr>
        <w:t xml:space="preserve">23)               </w:t>
      </w:r>
    </w:p>
    <w:p>
      <w:pPr>
        <w:rPr>
          <w:rFonts w:hint="eastAsia" w:ascii="宋体" w:hAnsi="宋体" w:eastAsia="宋体" w:cs="宋体"/>
          <w:sz w:val="30"/>
          <w:szCs w:val="30"/>
          <w:highlight w:val="none"/>
        </w:rPr>
      </w:pPr>
    </w:p>
    <w:p>
      <w:pPr>
        <w:pStyle w:val="16"/>
        <w:rPr>
          <w:rFonts w:hint="eastAsia" w:ascii="宋体" w:hAnsi="宋体" w:eastAsia="宋体" w:cs="宋体"/>
          <w:highlight w:val="none"/>
        </w:rPr>
      </w:pPr>
    </w:p>
    <w:p>
      <w:pPr>
        <w:rPr>
          <w:rFonts w:hint="eastAsia" w:ascii="宋体" w:hAnsi="宋体" w:eastAsia="宋体" w:cs="宋体"/>
          <w:sz w:val="52"/>
          <w:szCs w:val="52"/>
          <w:highlight w:val="none"/>
        </w:rPr>
      </w:pPr>
    </w:p>
    <w:p>
      <w:pPr>
        <w:pStyle w:val="2"/>
        <w:rPr>
          <w:rFonts w:hint="eastAsia" w:ascii="宋体" w:hAnsi="宋体" w:eastAsia="宋体" w:cs="宋体"/>
          <w:sz w:val="52"/>
          <w:szCs w:val="52"/>
          <w:highlight w:val="none"/>
        </w:rPr>
      </w:pPr>
    </w:p>
    <w:p>
      <w:pPr>
        <w:pStyle w:val="2"/>
        <w:rPr>
          <w:rFonts w:hint="eastAsia" w:ascii="宋体" w:hAnsi="宋体" w:eastAsia="宋体" w:cs="宋体"/>
          <w:sz w:val="52"/>
          <w:szCs w:val="52"/>
          <w:highlight w:val="none"/>
        </w:rPr>
      </w:pPr>
    </w:p>
    <w:p>
      <w:pPr>
        <w:pStyle w:val="2"/>
        <w:rPr>
          <w:rFonts w:hint="eastAsia" w:ascii="宋体" w:hAnsi="宋体" w:eastAsia="宋体" w:cs="宋体"/>
          <w:sz w:val="52"/>
          <w:szCs w:val="52"/>
          <w:highlight w:val="none"/>
        </w:rPr>
      </w:pPr>
    </w:p>
    <w:p>
      <w:pPr>
        <w:pStyle w:val="16"/>
        <w:rPr>
          <w:rFonts w:hint="eastAsia" w:ascii="宋体" w:hAnsi="宋体" w:eastAsia="宋体" w:cs="宋体"/>
          <w:highlight w:val="none"/>
        </w:rPr>
      </w:pPr>
    </w:p>
    <w:p>
      <w:pPr>
        <w:ind w:left="2518" w:leftChars="342" w:hanging="1800" w:hangingChars="500"/>
        <w:jc w:val="both"/>
        <w:rPr>
          <w:rFonts w:hint="eastAsia" w:ascii="宋体" w:hAnsi="宋体" w:eastAsia="宋体" w:cs="宋体"/>
          <w:sz w:val="36"/>
          <w:szCs w:val="44"/>
          <w:highlight w:val="none"/>
          <w:u w:val="single"/>
          <w:lang w:val="en-US" w:eastAsia="zh-CN"/>
        </w:rPr>
      </w:pPr>
      <w:r>
        <w:rPr>
          <w:rFonts w:hint="eastAsia" w:ascii="宋体" w:hAnsi="宋体" w:eastAsia="宋体" w:cs="宋体"/>
          <w:sz w:val="36"/>
          <w:szCs w:val="44"/>
          <w:highlight w:val="none"/>
          <w:lang w:val="en-US" w:eastAsia="zh-CN"/>
        </w:rPr>
        <w:t>合同名称：秦汉新城绿化养护二标段</w:t>
      </w:r>
    </w:p>
    <w:p>
      <w:pPr>
        <w:ind w:left="1800" w:hanging="1800" w:hangingChars="500"/>
        <w:jc w:val="center"/>
        <w:rPr>
          <w:rFonts w:hint="eastAsia" w:ascii="宋体" w:hAnsi="宋体" w:eastAsia="宋体" w:cs="宋体"/>
          <w:sz w:val="36"/>
          <w:szCs w:val="44"/>
          <w:highlight w:val="none"/>
        </w:rPr>
      </w:pPr>
    </w:p>
    <w:p>
      <w:pPr>
        <w:pStyle w:val="16"/>
        <w:rPr>
          <w:rFonts w:hint="eastAsia" w:ascii="宋体" w:hAnsi="宋体" w:eastAsia="宋体" w:cs="宋体"/>
          <w:sz w:val="44"/>
          <w:szCs w:val="44"/>
          <w:highlight w:val="none"/>
        </w:rPr>
      </w:pPr>
    </w:p>
    <w:p>
      <w:pPr>
        <w:pStyle w:val="16"/>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16"/>
        <w:rPr>
          <w:rFonts w:hint="eastAsia" w:ascii="宋体" w:hAnsi="宋体" w:eastAsia="宋体" w:cs="宋体"/>
          <w:highlight w:val="none"/>
        </w:rPr>
      </w:pPr>
    </w:p>
    <w:p>
      <w:pPr>
        <w:ind w:firstLine="720" w:firstLineChars="200"/>
        <w:jc w:val="both"/>
        <w:rPr>
          <w:rFonts w:hint="eastAsia" w:ascii="宋体" w:hAnsi="宋体" w:eastAsia="宋体" w:cs="宋体"/>
          <w:color w:val="auto"/>
          <w:sz w:val="36"/>
          <w:szCs w:val="36"/>
          <w:highlight w:val="none"/>
          <w:u w:val="single"/>
          <w:lang w:val="en-US" w:eastAsia="zh-CN"/>
        </w:rPr>
      </w:pPr>
      <w:r>
        <w:rPr>
          <w:rFonts w:hint="eastAsia" w:ascii="宋体" w:hAnsi="宋体" w:eastAsia="宋体" w:cs="宋体"/>
          <w:sz w:val="36"/>
          <w:szCs w:val="36"/>
          <w:highlight w:val="none"/>
        </w:rPr>
        <w:t>甲方：</w:t>
      </w:r>
      <w:r>
        <w:rPr>
          <w:rFonts w:hint="eastAsia" w:ascii="宋体" w:hAnsi="宋体" w:eastAsia="宋体" w:cs="宋体"/>
          <w:color w:val="auto"/>
          <w:sz w:val="36"/>
          <w:szCs w:val="36"/>
          <w:highlight w:val="none"/>
          <w:u w:val="single"/>
          <w:lang w:val="en-US" w:eastAsia="zh-CN"/>
        </w:rPr>
        <w:t xml:space="preserve">                         </w:t>
      </w:r>
    </w:p>
    <w:p>
      <w:pPr>
        <w:ind w:firstLine="720" w:firstLineChars="200"/>
        <w:jc w:val="both"/>
        <w:rPr>
          <w:rFonts w:hint="eastAsia" w:ascii="宋体" w:hAnsi="宋体" w:eastAsia="宋体" w:cs="宋体"/>
          <w:color w:val="auto"/>
          <w:sz w:val="36"/>
          <w:szCs w:val="36"/>
          <w:highlight w:val="none"/>
          <w:u w:val="single"/>
          <w:lang w:val="en-US" w:eastAsia="zh-CN"/>
        </w:rPr>
      </w:pPr>
      <w:r>
        <w:rPr>
          <w:rFonts w:hint="eastAsia" w:ascii="宋体" w:hAnsi="宋体" w:eastAsia="宋体" w:cs="宋体"/>
          <w:color w:val="auto"/>
          <w:sz w:val="36"/>
          <w:szCs w:val="36"/>
          <w:highlight w:val="none"/>
        </w:rPr>
        <w:t>乙方：</w:t>
      </w:r>
      <w:r>
        <w:rPr>
          <w:rFonts w:hint="eastAsia" w:ascii="宋体" w:hAnsi="宋体" w:eastAsia="宋体" w:cs="宋体"/>
          <w:color w:val="auto"/>
          <w:sz w:val="36"/>
          <w:szCs w:val="36"/>
          <w:highlight w:val="none"/>
          <w:u w:val="single"/>
          <w:lang w:val="en-US" w:eastAsia="zh-CN"/>
        </w:rPr>
        <w:t xml:space="preserve">                         </w:t>
      </w:r>
    </w:p>
    <w:p>
      <w:pPr>
        <w:ind w:firstLine="900" w:firstLineChars="250"/>
        <w:rPr>
          <w:rFonts w:hint="eastAsia" w:ascii="宋体" w:hAnsi="宋体" w:eastAsia="宋体" w:cs="宋体"/>
          <w:sz w:val="36"/>
          <w:szCs w:val="36"/>
          <w:highlight w:val="none"/>
          <w:u w:val="single"/>
        </w:rPr>
      </w:pPr>
    </w:p>
    <w:p>
      <w:pPr>
        <w:ind w:firstLine="900" w:firstLineChars="250"/>
        <w:rPr>
          <w:rFonts w:hint="eastAsia" w:ascii="宋体" w:hAnsi="宋体" w:eastAsia="宋体" w:cs="宋体"/>
          <w:sz w:val="36"/>
          <w:szCs w:val="36"/>
          <w:highlight w:val="none"/>
          <w:u w:val="single"/>
        </w:rPr>
      </w:pPr>
    </w:p>
    <w:p>
      <w:pPr>
        <w:pStyle w:val="16"/>
        <w:rPr>
          <w:rFonts w:hint="eastAsia" w:ascii="宋体" w:hAnsi="宋体" w:eastAsia="宋体" w:cs="宋体"/>
          <w:highlight w:val="none"/>
        </w:rPr>
      </w:pPr>
    </w:p>
    <w:p>
      <w:pPr>
        <w:ind w:firstLine="720" w:firstLineChars="200"/>
        <w:rPr>
          <w:rFonts w:hint="eastAsia" w:ascii="宋体" w:hAnsi="宋体" w:eastAsia="宋体" w:cs="宋体"/>
          <w:sz w:val="36"/>
          <w:szCs w:val="36"/>
          <w:highlight w:val="none"/>
        </w:rPr>
      </w:pPr>
      <w:r>
        <w:rPr>
          <w:rFonts w:hint="eastAsia" w:ascii="宋体" w:hAnsi="宋体" w:eastAsia="宋体" w:cs="宋体"/>
          <w:sz w:val="36"/>
          <w:szCs w:val="36"/>
          <w:highlight w:val="none"/>
        </w:rPr>
        <w:t>签订时间：</w:t>
      </w:r>
      <w:r>
        <w:rPr>
          <w:rFonts w:hint="eastAsia" w:ascii="宋体" w:hAnsi="宋体" w:eastAsia="宋体" w:cs="宋体"/>
          <w:sz w:val="36"/>
          <w:szCs w:val="36"/>
          <w:highlight w:val="none"/>
          <w:u w:val="single"/>
        </w:rPr>
        <w:t>20</w:t>
      </w:r>
      <w:r>
        <w:rPr>
          <w:rFonts w:hint="eastAsia" w:ascii="宋体" w:hAnsi="宋体" w:eastAsia="宋体" w:cs="宋体"/>
          <w:sz w:val="36"/>
          <w:szCs w:val="36"/>
          <w:highlight w:val="none"/>
          <w:u w:val="single"/>
          <w:lang w:val="en-US" w:eastAsia="zh-CN"/>
        </w:rPr>
        <w:t>23</w:t>
      </w:r>
      <w:r>
        <w:rPr>
          <w:rFonts w:hint="eastAsia" w:ascii="宋体" w:hAnsi="宋体" w:eastAsia="宋体" w:cs="宋体"/>
          <w:sz w:val="36"/>
          <w:szCs w:val="36"/>
          <w:highlight w:val="none"/>
        </w:rPr>
        <w:t>年</w:t>
      </w:r>
      <w:r>
        <w:rPr>
          <w:rFonts w:hint="eastAsia" w:ascii="宋体" w:hAnsi="宋体" w:eastAsia="宋体" w:cs="宋体"/>
          <w:sz w:val="36"/>
          <w:szCs w:val="36"/>
          <w:highlight w:val="none"/>
          <w:u w:val="single"/>
          <w:lang w:val="en-US" w:eastAsia="zh-CN"/>
        </w:rPr>
        <w:t xml:space="preserve">   </w:t>
      </w:r>
      <w:r>
        <w:rPr>
          <w:rFonts w:hint="eastAsia" w:ascii="宋体" w:hAnsi="宋体" w:eastAsia="宋体" w:cs="宋体"/>
          <w:sz w:val="36"/>
          <w:szCs w:val="36"/>
          <w:highlight w:val="none"/>
        </w:rPr>
        <w:t>月</w:t>
      </w:r>
      <w:r>
        <w:rPr>
          <w:rFonts w:hint="eastAsia" w:ascii="宋体" w:hAnsi="宋体" w:eastAsia="宋体" w:cs="宋体"/>
          <w:sz w:val="36"/>
          <w:szCs w:val="36"/>
          <w:highlight w:val="none"/>
          <w:u w:val="single"/>
          <w:lang w:val="en-US" w:eastAsia="zh-CN"/>
        </w:rPr>
        <w:t xml:space="preserve">   </w:t>
      </w:r>
      <w:r>
        <w:rPr>
          <w:rFonts w:hint="eastAsia" w:ascii="宋体" w:hAnsi="宋体" w:eastAsia="宋体" w:cs="宋体"/>
          <w:sz w:val="36"/>
          <w:szCs w:val="36"/>
          <w:highlight w:val="none"/>
        </w:rPr>
        <w:t>日</w:t>
      </w:r>
    </w:p>
    <w:p>
      <w:pPr>
        <w:pStyle w:val="3"/>
        <w:numPr>
          <w:ilvl w:val="0"/>
          <w:numId w:val="0"/>
        </w:numPr>
        <w:ind w:firstLine="720" w:firstLineChars="200"/>
        <w:jc w:val="both"/>
        <w:rPr>
          <w:rFonts w:hint="eastAsia" w:ascii="宋体" w:hAnsi="宋体" w:eastAsia="宋体" w:cs="宋体"/>
          <w:sz w:val="36"/>
          <w:szCs w:val="36"/>
          <w:highlight w:val="none"/>
          <w:u w:val="single"/>
          <w:lang w:val="en-US" w:eastAsia="zh-CN"/>
        </w:rPr>
      </w:pPr>
      <w:r>
        <w:rPr>
          <w:rFonts w:hint="eastAsia" w:ascii="宋体" w:hAnsi="宋体" w:eastAsia="宋体" w:cs="宋体"/>
          <w:sz w:val="36"/>
          <w:szCs w:val="36"/>
          <w:highlight w:val="none"/>
        </w:rPr>
        <w:t>签订地点：</w:t>
      </w:r>
      <w:r>
        <w:rPr>
          <w:rFonts w:hint="eastAsia" w:ascii="宋体" w:hAnsi="宋体" w:eastAsia="宋体" w:cs="宋体"/>
          <w:sz w:val="36"/>
          <w:szCs w:val="36"/>
          <w:highlight w:val="none"/>
          <w:u w:val="single"/>
          <w:lang w:val="en-US" w:eastAsia="zh-CN"/>
        </w:rPr>
        <w:t xml:space="preserve">                </w:t>
      </w:r>
    </w:p>
    <w:p>
      <w:pPr>
        <w:rPr>
          <w:rFonts w:hint="eastAsia" w:ascii="宋体" w:hAnsi="宋体" w:eastAsia="宋体" w:cs="宋体"/>
          <w:sz w:val="36"/>
          <w:szCs w:val="36"/>
          <w:highlight w:val="none"/>
          <w:u w:val="single"/>
        </w:rPr>
      </w:pPr>
    </w:p>
    <w:p>
      <w:pPr>
        <w:pStyle w:val="2"/>
        <w:rPr>
          <w:rFonts w:hint="eastAsia" w:ascii="宋体" w:hAnsi="宋体" w:eastAsia="宋体" w:cs="宋体"/>
          <w:highlight w:val="none"/>
        </w:rPr>
      </w:pPr>
    </w:p>
    <w:p>
      <w:pPr>
        <w:jc w:val="center"/>
        <w:rPr>
          <w:rFonts w:hint="eastAsia" w:ascii="宋体" w:hAnsi="宋体" w:eastAsia="宋体" w:cs="宋体"/>
          <w:sz w:val="44"/>
          <w:szCs w:val="44"/>
          <w:highlight w:val="none"/>
          <w:lang w:val="en-US" w:eastAsia="zh-CN"/>
        </w:rPr>
      </w:pPr>
    </w:p>
    <w:p>
      <w:pPr>
        <w:pStyle w:val="2"/>
        <w:rPr>
          <w:rFonts w:hint="eastAsia" w:ascii="宋体" w:hAnsi="宋体" w:eastAsia="宋体" w:cs="宋体"/>
          <w:highlight w:val="none"/>
          <w:lang w:val="en-US" w:eastAsia="zh-CN"/>
        </w:rPr>
      </w:pPr>
    </w:p>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秦汉新城绿化养护二标段合同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（以下简称“甲方”）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承包方：</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（以下简称“乙方”）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b/>
      </w:r>
      <w:r>
        <w:rPr>
          <w:rFonts w:hint="eastAsia" w:ascii="宋体" w:hAnsi="宋体" w:eastAsia="宋体" w:cs="宋体"/>
          <w:sz w:val="21"/>
          <w:szCs w:val="21"/>
          <w:highlight w:val="none"/>
        </w:rPr>
        <w:t>依据相关法律、法规的规定，遵循平等、自愿、公平和诚实信用的原则，结合本项目的具体情况经双方协商一致，订立本合同。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val="0"/>
          <w:bCs w:val="0"/>
          <w:sz w:val="21"/>
          <w:szCs w:val="21"/>
          <w:highlight w:val="none"/>
        </w:rPr>
        <w:t>一、项目</w:t>
      </w:r>
      <w:r>
        <w:rPr>
          <w:rFonts w:hint="eastAsia" w:ascii="宋体" w:hAnsi="宋体" w:eastAsia="宋体" w:cs="宋体"/>
          <w:b w:val="0"/>
          <w:bCs w:val="0"/>
          <w:sz w:val="21"/>
          <w:szCs w:val="21"/>
          <w:highlight w:val="none"/>
          <w:lang w:val="en-US" w:eastAsia="zh-CN"/>
        </w:rPr>
        <w:t>概况</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1.1</w:t>
      </w:r>
      <w:r>
        <w:rPr>
          <w:rFonts w:hint="eastAsia" w:ascii="宋体" w:hAnsi="宋体" w:eastAsia="宋体" w:cs="宋体"/>
          <w:sz w:val="21"/>
          <w:szCs w:val="21"/>
          <w:highlight w:val="none"/>
          <w:lang w:val="en-US" w:eastAsia="zh-CN"/>
        </w:rPr>
        <w:t>养护</w:t>
      </w:r>
      <w:r>
        <w:rPr>
          <w:rFonts w:hint="eastAsia" w:ascii="宋体" w:hAnsi="宋体" w:eastAsia="宋体" w:cs="宋体"/>
          <w:sz w:val="21"/>
          <w:szCs w:val="21"/>
          <w:highlight w:val="none"/>
        </w:rPr>
        <w:t>项目名称：秦汉新城绿化养护二标段</w:t>
      </w:r>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1.2</w:t>
      </w:r>
      <w:r>
        <w:rPr>
          <w:rFonts w:hint="eastAsia" w:ascii="宋体" w:hAnsi="宋体" w:eastAsia="宋体" w:cs="宋体"/>
          <w:sz w:val="21"/>
          <w:szCs w:val="21"/>
          <w:highlight w:val="none"/>
          <w:lang w:val="en-US" w:eastAsia="zh-CN"/>
        </w:rPr>
        <w:t>养护</w:t>
      </w: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范围</w:t>
      </w:r>
      <w:r>
        <w:rPr>
          <w:rFonts w:hint="eastAsia" w:ascii="宋体" w:hAnsi="宋体" w:eastAsia="宋体" w:cs="宋体"/>
          <w:sz w:val="21"/>
          <w:szCs w:val="21"/>
          <w:highlight w:val="none"/>
        </w:rPr>
        <w:t>：泾渭大道以东、兰池大道周边区域</w:t>
      </w:r>
      <w:r>
        <w:rPr>
          <w:rFonts w:hint="eastAsia" w:ascii="宋体" w:hAnsi="宋体" w:eastAsia="宋体" w:cs="宋体"/>
          <w:sz w:val="21"/>
          <w:szCs w:val="21"/>
          <w:highlight w:val="none"/>
          <w:lang w:val="en-US" w:eastAsia="zh-CN"/>
        </w:rPr>
        <w:t>包</w:t>
      </w:r>
      <w:r>
        <w:rPr>
          <w:rFonts w:hint="eastAsia" w:ascii="宋体" w:hAnsi="宋体" w:eastAsia="宋体" w:cs="宋体"/>
          <w:sz w:val="21"/>
          <w:szCs w:val="21"/>
          <w:highlight w:val="none"/>
          <w:lang w:eastAsia="zh-CN"/>
        </w:rPr>
        <w:t>括</w:t>
      </w:r>
      <w:r>
        <w:rPr>
          <w:rFonts w:hint="eastAsia" w:ascii="宋体" w:hAnsi="宋体" w:eastAsia="宋体" w:cs="宋体"/>
          <w:sz w:val="21"/>
          <w:szCs w:val="21"/>
          <w:highlight w:val="none"/>
          <w:lang w:val="en-US" w:eastAsia="zh-CN"/>
        </w:rPr>
        <w:t>的绿化养护</w:t>
      </w:r>
      <w:r>
        <w:rPr>
          <w:rFonts w:hint="eastAsia" w:ascii="宋体" w:hAnsi="宋体" w:eastAsia="宋体" w:cs="宋体"/>
          <w:sz w:val="21"/>
          <w:szCs w:val="21"/>
          <w:highlight w:val="none"/>
          <w:lang w:eastAsia="zh-CN"/>
        </w:rPr>
        <w:t>，如有新移交的绿化项目按照就近的原则划分至相</w:t>
      </w:r>
      <w:r>
        <w:rPr>
          <w:rFonts w:hint="eastAsia" w:ascii="宋体" w:hAnsi="宋体" w:eastAsia="宋体" w:cs="宋体"/>
          <w:sz w:val="21"/>
          <w:szCs w:val="21"/>
          <w:highlight w:val="none"/>
          <w:lang w:val="en-US" w:eastAsia="zh-CN"/>
        </w:rPr>
        <w:t>应区域</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1.2.1后期有新接收的养护区域等级参照就近道路等级定级。</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1.2.2养护范围及新增设施量划分的约定说明：</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在合同执行过程中，绿化养护范围除上述现可养护面积外，还包括养护地点（各街道对应管辖范围内）及其周边。</w:t>
      </w:r>
    </w:p>
    <w:tbl>
      <w:tblPr>
        <w:tblStyle w:val="37"/>
        <w:tblpPr w:leftFromText="180" w:rightFromText="180" w:vertAnchor="page" w:horzAnchor="page" w:tblpX="1965" w:tblpY="9380"/>
        <w:tblOverlap w:val="never"/>
        <w:tblW w:w="87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6"/>
        <w:gridCol w:w="2946"/>
        <w:gridCol w:w="1223"/>
        <w:gridCol w:w="1920"/>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87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4499"/>
              </w:tabs>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秦汉新城绿化养护二标段清单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2946"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区域位置</w:t>
            </w:r>
          </w:p>
        </w:tc>
        <w:tc>
          <w:tcPr>
            <w:tcW w:w="122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等级</w:t>
            </w:r>
          </w:p>
        </w:tc>
        <w:tc>
          <w:tcPr>
            <w:tcW w:w="19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绿化养护面积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w:t>
            </w:r>
          </w:p>
        </w:tc>
        <w:tc>
          <w:tcPr>
            <w:tcW w:w="134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行道树数量</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1356"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946" w:type="dxa"/>
            <w:vMerge w:val="restart"/>
            <w:tcBorders>
              <w:top w:val="single" w:color="auto" w:sz="4" w:space="0"/>
              <w:left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泾渭大道以东、兰池大道周边区域</w:t>
            </w:r>
          </w:p>
        </w:tc>
        <w:tc>
          <w:tcPr>
            <w:tcW w:w="12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一级</w:t>
            </w:r>
          </w:p>
        </w:tc>
        <w:tc>
          <w:tcPr>
            <w:tcW w:w="192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461825.5</w:t>
            </w:r>
            <w:r>
              <w:rPr>
                <w:rFonts w:hint="eastAsia" w:ascii="宋体" w:hAnsi="宋体" w:cs="宋体"/>
                <w:i w:val="0"/>
                <w:iCs w:val="0"/>
                <w:color w:val="000000"/>
                <w:kern w:val="0"/>
                <w:sz w:val="21"/>
                <w:szCs w:val="21"/>
                <w:highlight w:val="none"/>
                <w:u w:val="none"/>
                <w:lang w:val="en-US" w:eastAsia="zh-CN" w:bidi="ar"/>
              </w:rPr>
              <w:t>0</w:t>
            </w:r>
          </w:p>
        </w:tc>
        <w:tc>
          <w:tcPr>
            <w:tcW w:w="1349"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1356"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946" w:type="dxa"/>
            <w:vMerge w:val="continue"/>
            <w:tcBorders>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p>
        </w:tc>
        <w:tc>
          <w:tcPr>
            <w:tcW w:w="12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二级</w:t>
            </w:r>
          </w:p>
        </w:tc>
        <w:tc>
          <w:tcPr>
            <w:tcW w:w="192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193200.1</w:t>
            </w:r>
            <w:r>
              <w:rPr>
                <w:rFonts w:hint="eastAsia" w:ascii="宋体" w:hAnsi="宋体" w:cs="宋体"/>
                <w:i w:val="0"/>
                <w:iCs w:val="0"/>
                <w:color w:val="000000"/>
                <w:kern w:val="0"/>
                <w:sz w:val="21"/>
                <w:szCs w:val="21"/>
                <w:highlight w:val="none"/>
                <w:u w:val="none"/>
                <w:lang w:val="en-US" w:eastAsia="zh-CN" w:bidi="ar"/>
              </w:rPr>
              <w:t>0</w:t>
            </w:r>
          </w:p>
        </w:tc>
        <w:tc>
          <w:tcPr>
            <w:tcW w:w="1349"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如新增养护设施量在多个区域周边或交界处，由甲方确定该养护任务的分派，乙方须服从甲方的养护任务安排，不得有异议。</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如单个区域养护范围内新增设施量核增金额可能致使该区域累计核增金额超过年度合同总金额的10%，则该次新增设施量由临近区域的中标人负责实施养护。如同时存在多个临近区域，甲方有权将新增设施量分配给其中一个区域的中标人，乙方需无条件服从采购人的安排。</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w:t>
      </w:r>
      <w:r>
        <w:rPr>
          <w:rFonts w:hint="eastAsia" w:ascii="宋体" w:hAnsi="宋体" w:eastAsia="宋体" w:cs="宋体"/>
          <w:sz w:val="21"/>
          <w:szCs w:val="21"/>
          <w:highlight w:val="none"/>
          <w:lang w:val="en-US" w:eastAsia="zh-CN"/>
        </w:rPr>
        <w:t>养护服务</w:t>
      </w:r>
      <w:r>
        <w:rPr>
          <w:rFonts w:hint="eastAsia" w:ascii="宋体" w:hAnsi="宋体" w:eastAsia="宋体" w:cs="宋体"/>
          <w:sz w:val="21"/>
          <w:szCs w:val="21"/>
          <w:highlight w:val="none"/>
        </w:rPr>
        <w:t>内容：</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1.3.1植物养护：植物修剪、灌溉与排水、施肥、有害生物防治、松土除草、绿地防护及补植（主要因养护因素造成的苗木长势不良、死株等移除后的补栽工作）等日常养护全部工作。</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1.3.2绿地管理：园路、景观池水池、喷泉、园路、井盖、果皮箱、浇灌管道等附属设施维修、更新；景观水体管理、绿地、附属道路等日常清理与保洁、安全保护巡查等全部工作。</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1.3.3应急处置。包括绿地内积水处理、防台抗雪、防洪抗涝、抗旱、防疫，节庆和重大活动等应急任务，以及应急物资储备等工作。</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1.3.4做好12345、110联动等投诉件或反映件的处理、及时整改等工作。</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1.3.5甲方指定的苗木移栽、场地恢复等零星应急工程。</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1.3.6养护面积核准、复测、资产盘点、台账管理等。</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二、服务期限</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服务期限：自2023年 月 日至2024年 月 日止。</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质保期：除日常养护之外的所有项目的质量保修期为12个月，自单个项目验收合格之日起开始计算。</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三、服务费用</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sz w:val="21"/>
          <w:szCs w:val="21"/>
          <w:highlight w:val="none"/>
          <w:lang w:val="en-US" w:eastAsia="zh-CN"/>
        </w:rPr>
        <w:t>根据招投标文件，本项目养护项目合同全费用综合单价为一级养护区域：</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元/㎡·年；二级养护区域：</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元/㎡·年</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行道树为：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元/株·年</w:t>
      </w:r>
      <w:r>
        <w:rPr>
          <w:rFonts w:hint="eastAsia" w:ascii="宋体" w:hAnsi="宋体" w:eastAsia="宋体" w:cs="宋体"/>
          <w:sz w:val="21"/>
          <w:szCs w:val="21"/>
          <w:highlight w:val="none"/>
          <w:lang w:val="en-US" w:eastAsia="zh-CN"/>
        </w:rPr>
        <w:t>。全年养护经费为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元（其中包括暂列金</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元），具体服务费用根据现场实际面积变化据实结算，采用按季核拨的办法，每季第一个月为上季养护经费拨款日期，直至服务履行期限届满为止。</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应急类绿化移栽，零星工程等项目，参照秦汉新城财政金融部评审报告单价计量计费。</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四、养护承包方式</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乙方在确定的范围内包工包料，固定全费用综合单价。</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 </w:t>
      </w:r>
      <w:r>
        <w:rPr>
          <w:rFonts w:hint="eastAsia" w:ascii="宋体" w:hAnsi="宋体" w:eastAsia="宋体" w:cs="宋体"/>
          <w:sz w:val="21"/>
          <w:szCs w:val="21"/>
          <w:highlight w:val="none"/>
          <w:lang w:val="en-US" w:eastAsia="zh-CN"/>
        </w:rPr>
        <w:t>养护绿地面积及行道树数量根据现场实际情况据实核算</w:t>
      </w:r>
      <w:r>
        <w:rPr>
          <w:rFonts w:hint="eastAsia" w:ascii="宋体" w:hAnsi="宋体" w:eastAsia="宋体" w:cs="宋体"/>
          <w:sz w:val="21"/>
          <w:szCs w:val="21"/>
          <w:highlight w:val="none"/>
        </w:rPr>
        <w:t>。以上数量在合同期间会因新接管建成绿地或占道开挖绿地发生增减变化，同时根据道路交付情况以实际交付日期及清点面积及数量计算养护期及养护费用。</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4.3 </w:t>
      </w:r>
      <w:r>
        <w:rPr>
          <w:rFonts w:hint="eastAsia" w:ascii="宋体" w:hAnsi="宋体" w:eastAsia="宋体" w:cs="宋体"/>
          <w:sz w:val="21"/>
          <w:szCs w:val="21"/>
          <w:highlight w:val="none"/>
        </w:rPr>
        <w:t>乙方应当按照本合同约定完成养护任务，不得向他人转包或分包，一经发现，甲方有权立即终止本合同。</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 xml:space="preserve">4 </w:t>
      </w:r>
      <w:r>
        <w:rPr>
          <w:rFonts w:hint="eastAsia" w:ascii="宋体" w:hAnsi="宋体" w:eastAsia="宋体" w:cs="宋体"/>
          <w:sz w:val="21"/>
          <w:szCs w:val="21"/>
          <w:highlight w:val="none"/>
        </w:rPr>
        <w:t>养护所需一般材料、成品、设备等，均由乙方自行解决，必须符合有关养护及施工技术规程、规范要求，但特殊材料及新工艺、新材料需报甲方认可。</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五、养护等级要求</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参照《西咸新区园林绿化养护标准》，一级道路达到城市园林绿化养护标准一级标准、二级道路达到城市园林绿化养护标准二级标准。</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六、组成合同的文件</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6.1</w:t>
      </w:r>
      <w:r>
        <w:rPr>
          <w:rFonts w:hint="eastAsia" w:ascii="宋体" w:hAnsi="宋体" w:eastAsia="宋体" w:cs="宋体"/>
          <w:sz w:val="21"/>
          <w:szCs w:val="21"/>
          <w:highlight w:val="none"/>
        </w:rPr>
        <w:t>在实施过程中双方共同签署的补充与修正文件、附加协议。</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6.2</w:t>
      </w:r>
      <w:r>
        <w:rPr>
          <w:rFonts w:hint="eastAsia" w:ascii="宋体" w:hAnsi="宋体" w:eastAsia="宋体" w:cs="宋体"/>
          <w:sz w:val="21"/>
          <w:szCs w:val="21"/>
          <w:highlight w:val="none"/>
        </w:rPr>
        <w:t>本合同协议书</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6.3</w:t>
      </w:r>
      <w:r>
        <w:rPr>
          <w:rFonts w:hint="eastAsia" w:ascii="宋体" w:hAnsi="宋体" w:eastAsia="宋体" w:cs="宋体"/>
          <w:sz w:val="21"/>
          <w:szCs w:val="21"/>
          <w:highlight w:val="none"/>
        </w:rPr>
        <w:t>中标通知书</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6.4</w:t>
      </w:r>
      <w:r>
        <w:rPr>
          <w:rFonts w:hint="eastAsia" w:ascii="宋体" w:hAnsi="宋体" w:eastAsia="宋体" w:cs="宋体"/>
          <w:sz w:val="21"/>
          <w:szCs w:val="21"/>
          <w:highlight w:val="none"/>
        </w:rPr>
        <w:t>投标书、报价单或预算书及其附件</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6.5</w:t>
      </w:r>
      <w:r>
        <w:rPr>
          <w:rFonts w:hint="eastAsia" w:ascii="宋体" w:hAnsi="宋体" w:eastAsia="宋体" w:cs="宋体"/>
          <w:sz w:val="21"/>
          <w:szCs w:val="21"/>
          <w:highlight w:val="none"/>
        </w:rPr>
        <w:t>招标文件、答疑纪要及工程量清单</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6.6</w:t>
      </w:r>
      <w:r>
        <w:rPr>
          <w:rFonts w:hint="eastAsia" w:ascii="宋体" w:hAnsi="宋体" w:eastAsia="宋体" w:cs="宋体"/>
          <w:sz w:val="21"/>
          <w:szCs w:val="21"/>
          <w:highlight w:val="none"/>
        </w:rPr>
        <w:t>标准、规范及有关技术文件双方为履行本合同的有关洽商、变更等书面协议、文件，视为本合同的组成部分。</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上述文件互相补充和解释，如有不明确或不一致之处以合同约定次序在先者为准。</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七、管理标准及考核标准</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7.1日常养护管理</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7.1.1人员机构配置：实行项目经理负责制。项目部设经理1名，技术人员若干，养护人员参照《西咸新区园林绿化养护标准》足额配备。</w:t>
      </w:r>
    </w:p>
    <w:p>
      <w:pPr>
        <w:spacing w:line="600" w:lineRule="exact"/>
        <w:ind w:firstLine="420" w:firstLineChars="200"/>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7.1.2管护机具设备配置：乙方自备绿化机具、工具，参照《西咸新区园林绿化养护标准》足额配备。</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7.1.3工作计划：按照甲方的统一安排，乙方编制年度、月计划和总结，进场前3天内编制年度养护计划，每月末28日前编制月度养护总结，本合同年养护期满前15日内向甲方提交年度工作总结，每日报送养护工作动态及相关情况。</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7.1.4日常绿化养护质量，参照《园林绿化养护标准》（CJJ/T287-2018）、《城市绿化工程施工及验收规范》(CJ82-2012 )、《西咸新区园林绿化养护标准》及其他国家、省市规范标准要求。</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7.2零星应急工程</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施工质量达到CJJ/T82-2012《城市绿化工程施工及验收规范》及其他国家、省市规范标准要求。</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7.3养护考核</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7.3.1乙方应认真按照园林绿化行业的标准、规范、本合同的要求以及甲方代表人依据本合同发出的指令进行养护，随时接受甲方的检查和考核，为检查、考核提供便利条件。</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7.3.2甲方可按照合同约定的时间、标准进行随机检查和定期考核，发现养护质量达不到约定标准的部分，甲方可要求乙方采取补种、更换、重做、修复等一切补救</w:t>
      </w:r>
      <w:r>
        <w:rPr>
          <w:rFonts w:hint="eastAsia" w:ascii="宋体" w:hAnsi="宋体" w:eastAsia="宋体" w:cs="宋体"/>
          <w:sz w:val="21"/>
          <w:szCs w:val="21"/>
          <w:highlight w:val="none"/>
        </w:rPr>
        <w:t>措施，直到符合约定标准。因乙方原因达不到约定标准，由乙方承担由于采取补救措施而产生的一切费用。</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7.3.3检查和考核的时间、标准、奖惩措施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双方约定如下：按照《秦汉新城绿化养护管理考核办法》实施。</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7.3.4养护期间因养护不当、失养或失管造成的绿化树木、地被植物、花卉枯萎死亡或损坏等由乙方无偿补种修复。</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八、双方一般权利和义务</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8.1甲方的权利</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8.1.1甲方任命</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为甲方代表，负责行使合同内甲方权责，下达工作指令，乙方对甲方代表的指令应予执行。乙方认为甲方代表指令不合理，应在收到指令后48小时内向甲方代表提出修改指令的书面报告，甲方代表在收到</w:t>
      </w:r>
      <w:r>
        <w:rPr>
          <w:rFonts w:hint="eastAsia" w:ascii="宋体" w:hAnsi="宋体" w:eastAsia="宋体" w:cs="宋体"/>
          <w:sz w:val="21"/>
          <w:szCs w:val="21"/>
          <w:highlight w:val="none"/>
        </w:rPr>
        <w:t>乙方报告后48 小时内作出</w:t>
      </w:r>
      <w:r>
        <w:rPr>
          <w:rFonts w:hint="eastAsia" w:ascii="宋体" w:hAnsi="宋体" w:eastAsia="宋体" w:cs="宋体"/>
          <w:sz w:val="21"/>
          <w:szCs w:val="21"/>
          <w:highlight w:val="none"/>
        </w:rPr>
        <w:t>修改指令或继续执行原指令的决定，并以书面形式通知乙方，乙方应予执行。</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8.1.2对乙方日常养护的质量、安全工作及资料台账进行定期或不定期的检查及组织月度考核；发现乙方未按合同要求进行养护时，可以要求乙方限期整改。合同时间内三次整改及其以上不达标的，甲方有权解除养护合同。</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8.1.3审阅乙方的年度和月度养护计划，检查养护计划执行情况；审定乙方上报的季度养护费；</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8.1.4向乙方提供有关绿化养护所需的资料和考核办法，下发各类报表样式，指导乙方健全内业资料。</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8.1.5做好养护工作中涉及其他单位的协调工作。</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8.1.6按照本合同约定，检查、考核乙方的工作。</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8.2甲方的义务</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8.2.1组织养护单位对区域内的树木、草坪、花卉、绿篱、水生植物、水体、园林设施及其他需要养护的设施，列明范围、清单、图片或影像资料并予以确认。</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8.2.2协助乙方解决养护所需用水、用电的接驳点，保证养护期间的需要。</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8.2.3组织召开养护作业要求交底会。</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8.2.4在乙方开展养护工作时，协调乙方与政府部门、相关单位和人员的联系。</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8.2.5按合</w:t>
      </w:r>
      <w:r>
        <w:rPr>
          <w:rFonts w:hint="eastAsia" w:ascii="宋体" w:hAnsi="宋体" w:eastAsia="宋体" w:cs="宋体"/>
          <w:sz w:val="21"/>
          <w:szCs w:val="21"/>
          <w:highlight w:val="none"/>
        </w:rPr>
        <w:t>同约定向乙方支付养护</w:t>
      </w:r>
      <w:r>
        <w:rPr>
          <w:rFonts w:hint="eastAsia" w:ascii="宋体" w:hAnsi="宋体" w:eastAsia="宋体" w:cs="宋体"/>
          <w:sz w:val="21"/>
          <w:szCs w:val="21"/>
          <w:highlight w:val="none"/>
        </w:rPr>
        <w:t>费用。</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8.3乙方的权利</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8.3.1乙方任命</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为乙方代表，代表乙</w:t>
      </w:r>
      <w:r>
        <w:rPr>
          <w:rFonts w:hint="eastAsia" w:ascii="宋体" w:hAnsi="宋体" w:eastAsia="宋体" w:cs="宋体"/>
          <w:sz w:val="21"/>
          <w:szCs w:val="21"/>
          <w:highlight w:val="none"/>
        </w:rPr>
        <w:t>方履行本合同义务。</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8.3.2乙方依据合同发出的通知，以书面形式由乙方代表签字后送交甲方代表，甲方代表在回执上签署姓名和收到时间后生效。</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8.3.3乙方代表按照本合同的约定或甲方代表依据合同发出的指令组织养护工作。在情况紧急且无法与甲方代表联系时，乙方代表应当采取保证人员生命、财产安全的紧急措施并在采取措施后48小时内向甲方代表提交报告。责任在甲方的，由甲方承担由此发生的追加合同价款；责任在乙方的，由</w:t>
      </w:r>
      <w:r>
        <w:rPr>
          <w:rFonts w:hint="eastAsia" w:ascii="宋体" w:hAnsi="宋体" w:eastAsia="宋体" w:cs="宋体"/>
          <w:sz w:val="21"/>
          <w:szCs w:val="21"/>
          <w:highlight w:val="none"/>
        </w:rPr>
        <w:t>乙方承担费用，并赔偿</w:t>
      </w:r>
      <w:r>
        <w:rPr>
          <w:rFonts w:hint="eastAsia" w:ascii="宋体" w:hAnsi="宋体" w:eastAsia="宋体" w:cs="宋体"/>
          <w:sz w:val="21"/>
          <w:szCs w:val="21"/>
          <w:highlight w:val="none"/>
        </w:rPr>
        <w:t>甲方损失。</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8.4.乙方义务</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8.4.1由乙方承包养护的本合同养护项目应达到规定绿地养护标准。承包养护期限内，乙方应按照园林绿化养护操作规程及园林绿化养护质量标准，合理组织，精心养护，保质、保量完成养护管理任务。</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8.4.2对本合同养护项目实施养护管理所需的一切劳动力、材料、设备和服务由乙方自行组织，由此产生的一切费用由乙方承担。</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8.4.3承包期限内，合同养护苗木、附属设施毁损的，乙方应予及时补齐或修复，并自行承担所需费用。合同期限届满时，乙方应保证本合同养护项目设施量无减少、无毁损。</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8.4.4乙方有责任发现并及时制止合同范围内绿化遭损坏或侵害，并以书面形式做好报告、调查、修复等工作，并通知甲方和相关执法部门。</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8.4.5及时处理12345、数字城管及甲方要求整改事项的交办事项，保证办结率和回复率达到100%，满意率98%以上。</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8.4.6建立养护档案，健全日常养护、巡查等作业的文字和影像记录，做好台账的整理和归档工作，建立养护活动的“追溯机制”，以备检查。每年底对日常养护、特殊情况、突发事件、服务保障、更新改造、应急抢险等工作进行总结，形成年度养护报告并存档。</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8.4.7在实施和完成本合同的养护作业过程中，遵守国家、省、市颁布的法律、法令、条例以及有关规定，遵守有关部门的规章细则等，养护操作中涉及的有关审批及协调手续由乙方办理，由于乙方违反上述有关规定而导致各种罚款和责任，由乙方自行负责。</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8.4.8根据本合同约定，及时制定该区域养护期内年度绿化养护管理方案，报请甲方代表审核批准，作为实施依据。甲方代表收到乙方方案后，应于7天内予以确认或提出修改意见，逾期不确认也不提出修改意见的，视为同意。</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8.4.9建立完善的养护机构，制定养护岗位职责以及各岗位规范、操作规程、养护制度（包括节假日值班制度、应急抢险工作制度、定期职业技能培训制度、技术比武及观摩学习制度）。根据合同约定，配备技术管理人员和养护操作人员，并将岗位规范、操作规程、管理制度及工作人员的名单提交甲方审批备案。养护期间应保证与养护设施相匹配的机具设备，不得另作他用。</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8.4.10乙方如需要更换乙方代表，应至少提前7天以书面形式征得甲方同意后任乙方代表继续行使合同约定的职权和义务。</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8.4.11乙方代表不称职时，甲方可以要求撤换；收到甲方要求撤换乙方代表的通知时，乙方须按甲方要求，另行选择以称职人员替代。</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8.4.12根据季节、气候、土壤、植物的生长习性和生长阶段及养护场地的具体情况合理安排、开展</w:t>
      </w:r>
      <w:r>
        <w:rPr>
          <w:rFonts w:hint="eastAsia" w:ascii="宋体" w:hAnsi="宋体" w:eastAsia="宋体" w:cs="宋体"/>
          <w:sz w:val="21"/>
          <w:szCs w:val="21"/>
          <w:highlight w:val="none"/>
        </w:rPr>
        <w:t>养护工作，根据甲方要求</w:t>
      </w:r>
      <w:r>
        <w:rPr>
          <w:rFonts w:hint="eastAsia" w:ascii="宋体" w:hAnsi="宋体" w:eastAsia="宋体" w:cs="宋体"/>
          <w:sz w:val="21"/>
          <w:szCs w:val="21"/>
          <w:highlight w:val="none"/>
        </w:rPr>
        <w:t>及时做好养护区域的局部调整，保证绿化观赏的整体性，并向甲方提供年、季、月度养护管理方案。</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8.4.13负责区域内各类植物养护及日常巡视检查，要求配备专职巡查员每天对养护区域进行巡查，如发现各类苗木、设施有破损、被盗等情况时，应及时向甲方汇报后立即进行补缺、恢复。</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8.4.14开展养护工作时，严格遵守政府和有关主管部门对噪声污染、环境保护和安全生产等的管理规定，文明施工；对外开放的养护区域，处理好养护工作与路人的关系。绿化垃圾须堆放于甲方指定位置，除双方另有约定外，垃圾由乙方负责清理外运。</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8.4.15养护期间，做好养护范围内的地下管线和现有建筑物、构筑物的保护工作。</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8.4.16接受甲方的管理、监督、检查和考核，对甲方发出的整改通知，及时按要求进行整改。乙方整改达不到要求或无正当理由拒绝整改时，甲方可以另行委托他人予以整改，所发生的费用由乙方承担。</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8.4.17负责养护维护管理进程中的一切安全责任，包括但不限于工伤事故及工作人员的作业或非作业性的人身安全第三方的人身损害等责任；负责养护维护管理过程中因自身原因造成的一切人身财产损失。</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8.4.18乙方必须按时发工资，聘用人员工资待遇不能低于当地政府的最低工资待遇标准（社会保险和意外保险另算），任何劳资纠纷全由乙方负责。</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8.4.19乙方必须按法律、法规及有关政策规定为其服务人员购买社会保险、意外保险等相关保险。</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8.4.20乙方必须执行国家劳动法的相关规定，落实好安全生产的措施和配置安全作业的劳保用品，且服务人员数量必须满足采购人的实际工作要求，且穿着统一标识的工作服。</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8.4.21建立和健全养护管理档案，对养护管理工作中采集的各种信息、资料及时做好分析整理和归档保存工作，并报送甲方备案。养护管理期满后十个工作日内，将养护管理的所有档案资料及养护范围内的各类植物、设施完好地移交给甲方。</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8.4.22当自身管理或改造任务达不到要求时，无条件服从甲方的批评、罚款、暂停计量支付、调整养护范围、暂停养护施工直至解除合同等处罚。</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8.4.23遇到应急、抢险及其他特殊情况时；乙方无条件服从甲方工作调整安排。乙方必须配合甲方参加市、区布置的各重大节庆和重大活动的临时布置任务。</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8.4.24对本合同养护项目实施养护管理所需的养护管理方由乙方自行解决，乙方应在合同签订前确定好具体的办公地点、库房、员工休息区域，做好相应区域管理规范。在合同签订时告知甲方，便于养护开始后甲方开展检查工作。</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8.4.25乙方必须按甲方代表确认的养护管理方案和养护计划组织养护，接受甲方代表对养护计划的检查、监督和考核。</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九、养护计划</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涉及重大活动或其他原因，甲方代表认为确有必要暂停养护工作计划时，应当以书面形式要求乙方养护人员调整养护时间或更改养护措施，乙方应遵从甲方要求，因该项调整导致的费用增减双方按照本合同约定据实结算。</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十、考核及支付</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10.1考核</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10.1.1考核办法。甲方每月采取定期普查与随机抽查相结合的办法对乙方养护质量进行考核验收。考核验收按照招标文件、投标文件、养护合同中的相关标准和要求，以及《西咸新区园林绿化养护标准》执行，由招标人组织相关部门进行考评，评分结果作为养护费发放的依据。合同期限内考核办法若有修改，则以新考核办法执行。</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10.1.2甲方在每月</w:t>
      </w:r>
      <w:r>
        <w:rPr>
          <w:rFonts w:hint="eastAsia" w:ascii="宋体" w:hAnsi="宋体" w:eastAsia="宋体" w:cs="宋体"/>
          <w:sz w:val="21"/>
          <w:szCs w:val="21"/>
          <w:highlight w:val="none"/>
          <w:lang w:val="zh-CN"/>
        </w:rPr>
        <w:t>考核的基础上对乙方养护质量开展全方位监管，遇重大活动、节假日，或上级布置各项重大任务时，根据保障要求开展有针对性的重点督查，对考核中存在的问题采取直接</w:t>
      </w:r>
      <w:r>
        <w:rPr>
          <w:rFonts w:hint="eastAsia" w:ascii="宋体" w:hAnsi="宋体" w:eastAsia="宋体" w:cs="宋体"/>
          <w:sz w:val="21"/>
          <w:szCs w:val="21"/>
          <w:highlight w:val="none"/>
        </w:rPr>
        <w:t>扣分或</w:t>
      </w:r>
      <w:r>
        <w:rPr>
          <w:rFonts w:hint="eastAsia" w:ascii="宋体" w:hAnsi="宋体" w:eastAsia="宋体" w:cs="宋体"/>
          <w:sz w:val="21"/>
          <w:szCs w:val="21"/>
          <w:highlight w:val="none"/>
          <w:lang w:val="zh-CN"/>
        </w:rPr>
        <w:t>扣款形式，在季度拨款中予以扣除。</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10.2合同价款支付</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10.2.1由考核验收结果引起的经济扣罚直接在当季度核拨的养护经费中扣除。</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10.2.2养护费分为基础养护费和考核绩效费两部分，其中基础养护费为养护费用的50%，考核绩效费为养护费用的50%。</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甲方每月对乙方的养护工作进行考核，根据考核结果按月核算养护经费按季度进行核拨。</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每月养护费核算金额与每月考核结果挂钩：</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（1）月考核总分在95分（含）以上的为优秀，全额拨付月基础养护费和月考核绩效费。</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（2）94—90分（含）为良好，90分（含）以上全额拨付月基础养护费和50%的月考核绩效费，每增加1分奖月考核绩效费的10%。</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（3）89—70分（含）为合格，70分（含）以上全额拨付月基础养护费，每增加1分奖月考核绩效费的2.5%。</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（4）月度考核分在70分以下为不合格，不拨付该月所有养护费。</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以上考核分数保留小数点后2位，按实际分数的比重计算。</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10.2.3养护合同期满不续签合同的当年第四季支付养护经费时，乙方须同甲方对养护范围的养护设施进行清点，如有损坏等须修复或补种完成，否则不支付养护经费。</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10.2.4设施数量的增加或减少，则以实际工作量按各类别中标综合单价按实结算，在次季度核拨的养护经费中增加或扣除。如新增的绿地养护等级本区域中没有对应价格，按照不同绿地养护等级的限价，同等比例下浮后取下浮比例大的为结算综合单价【其他养护等级绿地养护结算综合单价=其他养护等级绿地养护限价×（年度中标价－年度暂列金额）/（年度限价－年度暂列金额）】（不同绿地养护等级的限价：</w:t>
      </w:r>
      <w:r>
        <w:rPr>
          <w:rFonts w:hint="eastAsia" w:ascii="宋体" w:hAnsi="宋体" w:eastAsia="宋体" w:cs="宋体"/>
          <w:sz w:val="21"/>
          <w:szCs w:val="21"/>
          <w:highlight w:val="none"/>
        </w:rPr>
        <w:t>一级养护区域：单价不超过11元/平方米·年；二级养护区域：单价不超过9元/平方米·年；三级养护区域：单价不超过4元/平方米·年</w:t>
      </w:r>
      <w:r>
        <w:rPr>
          <w:rFonts w:hint="eastAsia" w:ascii="宋体" w:hAnsi="宋体" w:eastAsia="宋体" w:cs="宋体"/>
          <w:sz w:val="21"/>
          <w:szCs w:val="21"/>
          <w:highlight w:val="none"/>
        </w:rPr>
        <w:t>；行道树22元/株·年</w:t>
      </w:r>
      <w:r>
        <w:rPr>
          <w:rFonts w:hint="eastAsia" w:ascii="宋体" w:hAnsi="宋体" w:eastAsia="宋体" w:cs="宋体"/>
          <w:sz w:val="21"/>
          <w:szCs w:val="21"/>
          <w:highlight w:val="none"/>
        </w:rPr>
        <w:t>）。</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.5甲方凭乙方出具的正式发票，以银行转账方式支付乙方养护费用。</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临时（应急）绿化施工项目费用</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.1价款计算依据：</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（1）日常养护类工程量按实际发生量计量计费，养护费单价按照中标价格全费用固定综合单价计算。</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（2）应急类绿化移栽，零星工程等项目，参照秦汉新城财政金融部评审报告单价计量计费。</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2工程价款支付：无预付款，临时（应急）绿化施工项目完工后进行验收，验收合格，上报项目结算。原则上每季度结算一次（当某月累计完成的工程额超过30万元时，该月可单独上报进行结算），甲方在接到乙方结算单60日内审核完毕。乙方应严格按照招标文件、本合同确定的计算方法编制竣工结算，不得高估冒报，如送审价超出审计结算价的5%，则超出部分的审计费用由乙方承担。根据甲方财政管理部门出具的财政投资评审结果，60个工作日内支付当</w:t>
      </w:r>
      <w:r>
        <w:rPr>
          <w:rFonts w:hint="eastAsia" w:ascii="宋体" w:hAnsi="宋体" w:eastAsia="宋体" w:cs="宋体"/>
          <w:sz w:val="21"/>
          <w:szCs w:val="21"/>
          <w:highlight w:val="none"/>
        </w:rPr>
        <w:t>期应付工程款的50%，六个月后支</w:t>
      </w:r>
      <w:r>
        <w:rPr>
          <w:rFonts w:hint="eastAsia" w:ascii="宋体" w:hAnsi="宋体" w:eastAsia="宋体" w:cs="宋体"/>
          <w:sz w:val="21"/>
          <w:szCs w:val="21"/>
          <w:highlight w:val="none"/>
        </w:rPr>
        <w:t>付应付工程款的20%，剩余30%为养护保证金。工程养护保证金在竣工验收合格后一年，在质保期满后、乙方完成养护责任，经验收合格后，甲方向乙方一次性支付竣工结算价款余</w:t>
      </w:r>
      <w:r>
        <w:rPr>
          <w:rFonts w:hint="eastAsia" w:ascii="宋体" w:hAnsi="宋体" w:eastAsia="宋体" w:cs="宋体"/>
          <w:sz w:val="21"/>
          <w:szCs w:val="21"/>
          <w:highlight w:val="none"/>
        </w:rPr>
        <w:t>下的30%（不计利息）。</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.3因乙方自身原因导致的养护变更或者养护补救措施，乙方无权要求追加合同价款。</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.4在施工过程中如遇国家法律法规或政策性调整（含管委会及甲方相关规定），双方应依照执行。</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十一、安全防护及事故处理</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11.1一般要求</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11.1.1乙方在养护期间，应当严格遵守安全生产作业的有关管理制度，并随时接受行业安全检查人员依法实施的监督检查，采取必要的安全防护措施，消除事故隐患。期间造成事故的责任和因此发生的费用由乙方承担，同时甲方可暂停进度款支付，对于造成不良影响的，乙方同时支付给甲方5000-20000元违约金；后果严重者，甲方有权单方面终止合同。</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11.1.2乙方应对其在养护场地的工作人员进行安全教育，并对他们的安全负责。</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11.1.3甲方不得要求乙方违反安全管理的规定进行养护工作。</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11.1.4乙方对养护区域范围内发生的事故造成的资产（乔灌木、草坪等固定资产、因养护因素造成的车辆及其他损失）、人员（因养护工作期间造成的人员伤亡、交通事故造成的养护人员伤亡等）损害，由乙方自行负责处理。</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11.2.安全防范</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11.2.1乙方在从事喷洒农药、控制有害生物、修剪树木、修理设施、清理道路或水体、防汛等工作时应自行采取相应的安全防护措施，除双方另有约定外，安全防护费用由乙方自行承担。</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11.2.2乙方应保证养护范围内的各项设施能够安全使用，对于存在安全隐患的设施、物品，应及时修理或更换。对养护范围内的树木或其他可能造成人员伤亡的场所，乙方应及时设置禁止吸烟、禁止火种等安全警告铭牌。</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11.2.3乙方对土壤进行消毒或防治病虫害时，应使用符合环保要求的药剂，不得使用国家禁止使用的剧毒、高残留或可能造成其他公害的药剂。乙方喷洒药物之前；须将喷洒时间、药物种类提前报甲方批准，按监理及甲方批准的时间和路线进行喷洒。残留药剂和容器，乙方应按规定妥善收集和处理。乙方未按规定使用药剂，造成的责任由乙方自行承担。</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11.3环境保护</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11.3.1养护期间，乙方应遵守国家有关环境保护的政策、法规。养护范围内的绿化垃圾及生活垃圾严禁随意堆放，应按规定清理、外运。</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十二、养护施工所需机械、材料、器具设备</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12.1.乙方自行准备的机械、材料、器具设备</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12.1.1除双方另有约定外，乙方应自行配置养护管理所需要的交通工具以及其他养护所需机械、材料、器具设备。</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12.1.2乙方应当对投入使用的机械、材料、器具设备的质量负责。乙方投入使用的机械、材料、器具设备的数量、规格和品质达不到合同约定标准时，须承担违约责任。</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12.1.3乙方应保证其提供的机械、材料、器具设备符合安全标准。在乙方使用前，应按规范要求进行检验或试验.不合格的不得使用。</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12.1.4甲方发现乙方提供或使用不符合约定的机械、材料、器具设备时，乙方应当按照甲方的要求负责采取更换、重做等补救措施，并自行承担相应费用。</w:t>
      </w:r>
    </w:p>
    <w:p>
      <w:pPr>
        <w:spacing w:line="6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12.1.5乙方需要使用代用机械、材料、器具设备时，应经甲方代表认可后才能使用。由此增减的合同价款.除非双方另有约定，增加的合同价款由乙方自行承担，减少的合同价款须从合同总价中核减</w:t>
      </w:r>
      <w:r>
        <w:rPr>
          <w:rFonts w:hint="eastAsia" w:ascii="宋体" w:hAnsi="宋体" w:eastAsia="宋体" w:cs="宋体"/>
          <w:sz w:val="21"/>
          <w:szCs w:val="21"/>
          <w:highlight w:val="none"/>
          <w:lang w:eastAsia="zh-CN"/>
        </w:rPr>
        <w:t>。</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十三、违约责任</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13.1乙方违约责任</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13.1.1 因乙方原因养护质量未达到合同约定的养护标准，乙方应积极采取补救措施尽量将损失降低，且承担损失费用0.1%的违约金；对于发生质量、安全、养护不及时或管理不到位等问题，累计达3次或3次以上时，甲方有权单方面终止合同。</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13.1.2未经甲方书面同意，乙方擅自将承包的养护项目进行分包或转包给他人，应承担赔偿责任，并接受甲方的处罚，造成不良影响者，甲方有权单方面终止合同，且乙方应赔偿因此给甲方造成的一切损失。</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十四、其他约定</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14.1甲方有权对材料（含设备、成品半成品）进行抽查，若抽查发现不合格产品或者私自使用未经甲方认可的材料该批次产品不得继续使用，已使用的需进行退修，并罚款1万元。若抽查发现3次及以上使用不合格产品，甲方有权单方面终止合同。</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14.2若乙方未履行合同约定的义务、维护的工作内容及质量标准的，或履行不到位时，乙方承担由此带来的全部责任和经济损失，甲方有权暂停其养护工作或调整其养护范围。若同类问题每月出现三次及以上时，三次及以上部分乙方支付违约金500-1000元/次，并有权单方面终止合同，另行委托其他单位实施本协议规定维护内容。</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14.3对于甲方委托的事项，乙方应在完成后7日内按照甲方有关制度及时上报，每月15日前完成上一个月质量的签认工作，否则甲方可按照1000-3000元/次要求乙方支付违约金。</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14.4甲方履约检查时乙方承诺的养护项目经理、养护技术负责人未到场的按每次支付违约金1000元；其他承诺的人员未到场的按每次300元人支付违约金。</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14.5本合同项下因乙方违约甲方单方终止合同后，乙方应赔偿由此给甲方及第三方造成的一切直接及间接损失。</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14.6乙方应严格遵守甲方有关管理、奖罚制度，否则甲方将按照有关管理、奖罚制度进行处理。</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14.7苗木迁改责任和处罚：应急绿化过程中苗木移栽成活率定为</w:t>
      </w:r>
      <w:r>
        <w:rPr>
          <w:rFonts w:hint="eastAsia" w:ascii="宋体" w:hAnsi="宋体" w:eastAsia="宋体" w:cs="宋体"/>
          <w:sz w:val="21"/>
          <w:szCs w:val="21"/>
          <w:highlight w:val="none"/>
        </w:rPr>
        <w:t>100%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乙方迁移已</w:t>
      </w:r>
      <w:r>
        <w:rPr>
          <w:rFonts w:hint="eastAsia" w:ascii="宋体" w:hAnsi="宋体" w:eastAsia="宋体" w:cs="宋体"/>
          <w:sz w:val="21"/>
          <w:szCs w:val="21"/>
          <w:highlight w:val="none"/>
        </w:rPr>
        <w:t>有苗木出现死亡的，乙方应按不低于原苗木规格进行补植，否则甲方可按相应苗木价格扣减乙方费用，且不支付死亡苗木的迁移费用。</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14.8本合同服务期限到期时，如因特殊情况后续养护单位未确定，甲方以书面形式确定本协议顺延及相关事宜。</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合同履行过程中，双方可根据有关法律、行政法规规定结合养护项目的实际情况，经协商一致后订立补充协议。补充协议视为本合同的组成部分。</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十五、合同争议的解决</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本合同执行过程中发生争议，由当事人双方协商解决，或向工程所在地建设行政主管部门申请调解。当事人不愿协商，调解解决或者调解不成的，双方均有权向甲方所在地的人民法院起诉。</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十六、附则</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w:t>
      </w:r>
      <w:r>
        <w:rPr>
          <w:rFonts w:hint="eastAsia" w:ascii="宋体" w:hAnsi="宋体" w:eastAsia="宋体" w:cs="宋体"/>
          <w:sz w:val="21"/>
          <w:szCs w:val="21"/>
          <w:highlight w:val="none"/>
          <w:lang w:val="en-US" w:eastAsia="zh-CN"/>
        </w:rPr>
        <w:t>自双方签字盖章之日起生效，</w:t>
      </w:r>
      <w:r>
        <w:rPr>
          <w:rFonts w:hint="eastAsia" w:ascii="宋体" w:hAnsi="宋体" w:eastAsia="宋体" w:cs="宋体"/>
          <w:sz w:val="21"/>
          <w:szCs w:val="21"/>
          <w:highlight w:val="none"/>
        </w:rPr>
        <w:t>正本贰份，双方各执壹份，副本柒份，甲方伍份，乙方贰份。</w:t>
      </w:r>
    </w:p>
    <w:p>
      <w:pPr>
        <w:spacing w:line="6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十七、其他</w:t>
      </w:r>
    </w:p>
    <w:p>
      <w:pPr>
        <w:spacing w:line="6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1.因绿化养护工作时限要求的特殊性，中标通知书下发之后，以发包方入场服务指令单中时间为服务起始日期，约定3年服务期限不变。</w:t>
      </w:r>
    </w:p>
    <w:p>
      <w:pPr>
        <w:spacing w:line="6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2.如因政府采购程序需要额外时间的，在未移交给新的中标人负责之前，养护作业继续由原养护单位负责，费用由中标人申请资金后根据中标价和实际养护天数计算后与原养护管理单位进行结算。</w:t>
      </w:r>
    </w:p>
    <w:p>
      <w:pPr>
        <w:spacing w:line="6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3.上述条款所称额外时间，包含在约定服务期3年内。</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附件：中标通知书</w:t>
      </w:r>
    </w:p>
    <w:p>
      <w:pPr>
        <w:pStyle w:val="2"/>
        <w:rPr>
          <w:rFonts w:hint="eastAsia" w:ascii="宋体" w:hAnsi="宋体" w:eastAsia="宋体" w:cs="宋体"/>
          <w:sz w:val="21"/>
          <w:szCs w:val="21"/>
          <w:highlight w:val="none"/>
          <w:lang w:val="en-US" w:eastAsia="zh-CN"/>
        </w:rPr>
      </w:pP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发包方（盖章）：              </w:t>
            </w:r>
          </w:p>
        </w:tc>
        <w:tc>
          <w:tcPr>
            <w:tcW w:w="426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承包方（盖章）：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26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法定代表人：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或委托代理人：               </w:t>
            </w:r>
          </w:p>
        </w:tc>
        <w:tc>
          <w:tcPr>
            <w:tcW w:w="426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法定代表人：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电  话：                      </w:t>
            </w:r>
          </w:p>
        </w:tc>
        <w:tc>
          <w:tcPr>
            <w:tcW w:w="426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地  址：                     </w:t>
            </w:r>
          </w:p>
        </w:tc>
        <w:tc>
          <w:tcPr>
            <w:tcW w:w="426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开户行：</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 xml:space="preserve"> </w:t>
            </w:r>
          </w:p>
        </w:tc>
        <w:tc>
          <w:tcPr>
            <w:tcW w:w="426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开户行：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账号：</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 xml:space="preserve">     </w:t>
            </w:r>
          </w:p>
        </w:tc>
        <w:tc>
          <w:tcPr>
            <w:tcW w:w="426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账号：</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FF0000"/>
          <w:sz w:val="24"/>
          <w:szCs w:val="24"/>
          <w:highlight w:val="none"/>
          <w:lang w:val="en-US" w:eastAsia="zh-CN"/>
        </w:rPr>
      </w:pPr>
    </w:p>
    <w:p>
      <w:pPr>
        <w:pStyle w:val="16"/>
        <w:rPr>
          <w:rFonts w:hint="eastAsia" w:ascii="宋体" w:hAnsi="宋体" w:eastAsia="宋体" w:cs="宋体"/>
          <w:b/>
          <w:bCs/>
          <w:sz w:val="36"/>
          <w:highlight w:val="none"/>
        </w:rPr>
      </w:pPr>
    </w:p>
    <w:p>
      <w:pPr>
        <w:rPr>
          <w:rFonts w:hint="eastAsia" w:ascii="宋体" w:hAnsi="宋体" w:eastAsia="宋体" w:cs="宋体"/>
          <w:b/>
          <w:bCs/>
          <w:sz w:val="36"/>
          <w:highlight w:val="none"/>
        </w:rPr>
      </w:pPr>
    </w:p>
    <w:p>
      <w:pPr>
        <w:pStyle w:val="22"/>
        <w:rPr>
          <w:rFonts w:hint="eastAsia" w:ascii="宋体" w:hAnsi="宋体" w:eastAsia="宋体" w:cs="宋体"/>
          <w:b/>
          <w:bCs/>
          <w:sz w:val="36"/>
          <w:highlight w:val="none"/>
        </w:rPr>
      </w:pPr>
    </w:p>
    <w:p>
      <w:pPr>
        <w:pStyle w:val="22"/>
        <w:ind w:left="0" w:leftChars="0" w:firstLine="0" w:firstLineChars="0"/>
        <w:rPr>
          <w:rFonts w:hint="eastAsia" w:ascii="宋体" w:hAnsi="宋体" w:eastAsia="宋体" w:cs="宋体"/>
          <w:b/>
          <w:bCs/>
          <w:sz w:val="36"/>
          <w:highlight w:val="none"/>
        </w:rPr>
      </w:pPr>
    </w:p>
    <w:p>
      <w:pPr>
        <w:pStyle w:val="3"/>
        <w:numPr>
          <w:ilvl w:val="0"/>
          <w:numId w:val="0"/>
        </w:numPr>
        <w:rPr>
          <w:rFonts w:hint="eastAsia" w:ascii="宋体" w:hAnsi="宋体" w:eastAsia="宋体" w:cs="宋体"/>
          <w:b/>
          <w:bCs/>
          <w:sz w:val="36"/>
          <w:szCs w:val="36"/>
          <w:highlight w:val="none"/>
        </w:rPr>
      </w:pPr>
      <w:bookmarkStart w:id="22" w:name="_Toc9715"/>
      <w:r>
        <w:rPr>
          <w:rFonts w:hint="eastAsia" w:ascii="宋体" w:hAnsi="宋体" w:eastAsia="宋体" w:cs="宋体"/>
          <w:b/>
          <w:bCs/>
          <w:sz w:val="36"/>
          <w:szCs w:val="36"/>
          <w:highlight w:val="none"/>
        </w:rPr>
        <w:t>第六章  投标文件格式</w:t>
      </w:r>
      <w:bookmarkEnd w:id="22"/>
    </w:p>
    <w:p>
      <w:pPr>
        <w:pStyle w:val="16"/>
        <w:rPr>
          <w:rFonts w:hint="eastAsia" w:ascii="宋体" w:hAnsi="宋体" w:eastAsia="宋体" w:cs="宋体"/>
          <w:highlight w:val="none"/>
        </w:rPr>
      </w:pPr>
      <w:r>
        <w:rPr>
          <w:rFonts w:hint="eastAsia" w:ascii="宋体" w:hAnsi="宋体" w:eastAsia="宋体" w:cs="宋体"/>
          <w:highlight w:val="none"/>
        </w:rPr>
        <w:br w:type="page"/>
      </w:r>
    </w:p>
    <w:p>
      <w:pPr>
        <w:spacing w:line="360" w:lineRule="auto"/>
        <w:jc w:val="center"/>
        <w:rPr>
          <w:rFonts w:hint="eastAsia" w:ascii="宋体" w:hAnsi="宋体" w:eastAsia="宋体" w:cs="宋体"/>
          <w:b/>
          <w:sz w:val="36"/>
          <w:szCs w:val="36"/>
          <w:highlight w:val="none"/>
          <w:lang w:eastAsia="zh-CN"/>
        </w:rPr>
      </w:pPr>
    </w:p>
    <w:p>
      <w:pPr>
        <w:spacing w:line="360" w:lineRule="auto"/>
        <w:jc w:val="center"/>
        <w:rPr>
          <w:rFonts w:hint="eastAsia" w:ascii="宋体" w:hAnsi="宋体" w:eastAsia="宋体" w:cs="宋体"/>
          <w:b/>
          <w:sz w:val="36"/>
          <w:szCs w:val="36"/>
          <w:highlight w:val="none"/>
          <w:lang w:eastAsia="zh-CN"/>
        </w:rPr>
      </w:pPr>
    </w:p>
    <w:p>
      <w:pPr>
        <w:spacing w:line="360" w:lineRule="auto"/>
        <w:jc w:val="center"/>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eastAsia="zh-CN"/>
        </w:rPr>
        <w:t>秦汉新城绿化养护二标段</w:t>
      </w:r>
      <w:r>
        <w:rPr>
          <w:rFonts w:hint="eastAsia" w:ascii="宋体" w:hAnsi="宋体" w:eastAsia="宋体" w:cs="宋体"/>
          <w:b/>
          <w:sz w:val="36"/>
          <w:szCs w:val="36"/>
          <w:highlight w:val="none"/>
          <w:lang w:val="en-US" w:eastAsia="zh-CN"/>
        </w:rPr>
        <w:t xml:space="preserve"> </w:t>
      </w:r>
    </w:p>
    <w:p>
      <w:pPr>
        <w:spacing w:after="360" w:afterLines="150" w:line="900" w:lineRule="exact"/>
        <w:jc w:val="center"/>
        <w:rPr>
          <w:rFonts w:hint="eastAsia" w:ascii="宋体" w:hAnsi="宋体" w:eastAsia="宋体" w:cs="宋体"/>
          <w:sz w:val="28"/>
          <w:szCs w:val="28"/>
          <w:highlight w:val="none"/>
          <w:lang w:val="en-US" w:eastAsia="zh-CN"/>
        </w:rPr>
      </w:pPr>
      <w:r>
        <w:rPr>
          <w:rFonts w:hint="eastAsia" w:ascii="宋体" w:hAnsi="宋体" w:eastAsia="宋体" w:cs="宋体"/>
          <w:b/>
          <w:sz w:val="28"/>
          <w:szCs w:val="28"/>
          <w:highlight w:val="none"/>
          <w:lang w:val="en-US" w:eastAsia="zh-CN"/>
        </w:rPr>
        <w:t>项目编号</w:t>
      </w:r>
      <w:r>
        <w:rPr>
          <w:rFonts w:hint="eastAsia" w:ascii="宋体" w:hAnsi="宋体" w:eastAsia="宋体" w:cs="宋体"/>
          <w:b/>
          <w:sz w:val="28"/>
          <w:szCs w:val="28"/>
          <w:highlight w:val="none"/>
        </w:rPr>
        <w:t xml:space="preserve">: </w:t>
      </w:r>
    </w:p>
    <w:p>
      <w:pPr>
        <w:spacing w:after="48" w:afterLines="20"/>
        <w:jc w:val="center"/>
        <w:rPr>
          <w:rFonts w:hint="eastAsia" w:ascii="宋体" w:hAnsi="宋体" w:eastAsia="宋体" w:cs="宋体"/>
          <w:b/>
          <w:sz w:val="104"/>
          <w:highlight w:val="none"/>
        </w:rPr>
      </w:pPr>
    </w:p>
    <w:p>
      <w:pPr>
        <w:rPr>
          <w:rFonts w:hint="eastAsia" w:ascii="宋体" w:hAnsi="宋体" w:eastAsia="宋体" w:cs="宋体"/>
          <w:highlight w:val="none"/>
        </w:rPr>
      </w:pPr>
    </w:p>
    <w:p>
      <w:pPr>
        <w:spacing w:after="48" w:afterLines="20"/>
        <w:jc w:val="center"/>
        <w:rPr>
          <w:rFonts w:hint="eastAsia" w:ascii="宋体" w:hAnsi="宋体" w:eastAsia="宋体" w:cs="宋体"/>
          <w:b/>
          <w:sz w:val="104"/>
          <w:highlight w:val="none"/>
        </w:rPr>
      </w:pPr>
      <w:r>
        <w:rPr>
          <w:rFonts w:hint="eastAsia" w:ascii="宋体" w:hAnsi="宋体" w:eastAsia="宋体" w:cs="宋体"/>
          <w:b/>
          <w:sz w:val="72"/>
          <w:szCs w:val="72"/>
          <w:highlight w:val="none"/>
        </w:rPr>
        <w:t>投标文件</w:t>
      </w:r>
    </w:p>
    <w:p>
      <w:pPr>
        <w:rPr>
          <w:rFonts w:hint="eastAsia" w:ascii="宋体" w:hAnsi="宋体" w:eastAsia="宋体" w:cs="宋体"/>
          <w:b/>
          <w:sz w:val="52"/>
          <w:highlight w:val="none"/>
        </w:rPr>
      </w:pPr>
    </w:p>
    <w:p>
      <w:pPr>
        <w:pStyle w:val="16"/>
        <w:jc w:val="both"/>
        <w:rPr>
          <w:rFonts w:hint="eastAsia" w:ascii="宋体" w:hAnsi="宋体" w:eastAsia="宋体" w:cs="宋体"/>
          <w:sz w:val="30"/>
          <w:highlight w:val="none"/>
          <w:u w:val="single"/>
          <w:vertAlign w:val="subscript"/>
        </w:rPr>
      </w:pPr>
    </w:p>
    <w:p>
      <w:pPr>
        <w:rPr>
          <w:rFonts w:hint="eastAsia" w:ascii="宋体" w:hAnsi="宋体" w:eastAsia="宋体" w:cs="宋体"/>
          <w:sz w:val="30"/>
          <w:highlight w:val="none"/>
          <w:u w:val="single"/>
          <w:vertAlign w:val="subscript"/>
        </w:rPr>
      </w:pPr>
    </w:p>
    <w:p>
      <w:pPr>
        <w:pStyle w:val="18"/>
        <w:rPr>
          <w:rFonts w:hint="eastAsia" w:ascii="宋体" w:hAnsi="宋体" w:eastAsia="宋体" w:cs="宋体"/>
          <w:sz w:val="30"/>
          <w:highlight w:val="none"/>
          <w:u w:val="single"/>
          <w:vertAlign w:val="subscript"/>
        </w:rPr>
      </w:pPr>
    </w:p>
    <w:p>
      <w:pPr>
        <w:pStyle w:val="18"/>
        <w:rPr>
          <w:rFonts w:hint="eastAsia" w:ascii="宋体" w:hAnsi="宋体" w:eastAsia="宋体" w:cs="宋体"/>
          <w:sz w:val="30"/>
          <w:highlight w:val="none"/>
          <w:u w:val="single"/>
          <w:vertAlign w:val="subscript"/>
        </w:rPr>
      </w:pPr>
    </w:p>
    <w:p>
      <w:pPr>
        <w:rPr>
          <w:rFonts w:hint="eastAsia" w:ascii="宋体" w:hAnsi="宋体" w:eastAsia="宋体" w:cs="宋体"/>
          <w:highlight w:val="none"/>
        </w:rPr>
      </w:pPr>
    </w:p>
    <w:p>
      <w:pPr>
        <w:rPr>
          <w:rFonts w:hint="eastAsia" w:ascii="宋体" w:hAnsi="宋体" w:eastAsia="宋体" w:cs="宋体"/>
          <w:sz w:val="30"/>
          <w:highlight w:val="none"/>
        </w:rPr>
      </w:pPr>
      <w:r>
        <w:rPr>
          <w:rFonts w:hint="eastAsia" w:ascii="宋体" w:hAnsi="宋体" w:eastAsia="宋体" w:cs="宋体"/>
          <w:sz w:val="30"/>
          <w:highlight w:val="none"/>
        </w:rPr>
        <w:t xml:space="preserve">              </w:t>
      </w:r>
    </w:p>
    <w:p>
      <w:pPr>
        <w:spacing w:after="192" w:afterLines="80"/>
        <w:ind w:firstLine="1506" w:firstLineChars="500"/>
        <w:rPr>
          <w:rFonts w:hint="eastAsia" w:ascii="宋体" w:hAnsi="宋体" w:eastAsia="宋体" w:cs="宋体"/>
          <w:b/>
          <w:bCs/>
          <w:sz w:val="30"/>
          <w:highlight w:val="none"/>
          <w:u w:val="single"/>
        </w:rPr>
      </w:pPr>
      <w:r>
        <w:rPr>
          <w:rFonts w:hint="eastAsia" w:ascii="宋体" w:hAnsi="宋体" w:eastAsia="宋体" w:cs="宋体"/>
          <w:b/>
          <w:bCs/>
          <w:sz w:val="30"/>
          <w:highlight w:val="none"/>
          <w:lang w:eastAsia="zh-CN"/>
        </w:rPr>
        <w:t>投标供应商</w:t>
      </w:r>
      <w:r>
        <w:rPr>
          <w:rFonts w:hint="eastAsia" w:ascii="宋体" w:hAnsi="宋体" w:eastAsia="宋体" w:cs="宋体"/>
          <w:b/>
          <w:bCs/>
          <w:sz w:val="30"/>
          <w:highlight w:val="none"/>
        </w:rPr>
        <w:t>：</w:t>
      </w:r>
      <w:r>
        <w:rPr>
          <w:rFonts w:hint="eastAsia" w:ascii="宋体" w:hAnsi="宋体" w:eastAsia="宋体" w:cs="宋体"/>
          <w:b/>
          <w:bCs/>
          <w:sz w:val="30"/>
          <w:highlight w:val="none"/>
          <w:u w:val="single"/>
        </w:rPr>
        <w:t xml:space="preserve">                           </w:t>
      </w:r>
      <w:r>
        <w:rPr>
          <w:rFonts w:hint="eastAsia" w:ascii="宋体" w:hAnsi="宋体" w:eastAsia="宋体" w:cs="宋体"/>
          <w:b/>
          <w:bCs/>
          <w:sz w:val="30"/>
          <w:highlight w:val="none"/>
        </w:rPr>
        <w:t>（盖章）</w:t>
      </w:r>
    </w:p>
    <w:p>
      <w:pPr>
        <w:rPr>
          <w:rFonts w:hint="eastAsia" w:ascii="宋体" w:hAnsi="宋体" w:eastAsia="宋体" w:cs="宋体"/>
          <w:b/>
          <w:bCs/>
          <w:sz w:val="30"/>
          <w:highlight w:val="none"/>
        </w:rPr>
      </w:pPr>
      <w:r>
        <w:rPr>
          <w:rFonts w:hint="eastAsia" w:ascii="宋体" w:hAnsi="宋体" w:eastAsia="宋体" w:cs="宋体"/>
          <w:b/>
          <w:bCs/>
          <w:sz w:val="30"/>
          <w:highlight w:val="none"/>
        </w:rPr>
        <w:t xml:space="preserve">              </w:t>
      </w:r>
    </w:p>
    <w:p>
      <w:pPr>
        <w:ind w:firstLine="1506" w:firstLineChars="500"/>
        <w:rPr>
          <w:rFonts w:hint="eastAsia" w:ascii="宋体" w:hAnsi="宋体" w:eastAsia="宋体" w:cs="宋体"/>
          <w:b/>
          <w:bCs/>
          <w:sz w:val="30"/>
          <w:highlight w:val="none"/>
        </w:rPr>
      </w:pPr>
      <w:r>
        <w:rPr>
          <w:rFonts w:hint="eastAsia" w:ascii="宋体" w:hAnsi="宋体" w:eastAsia="宋体" w:cs="宋体"/>
          <w:b/>
          <w:bCs/>
          <w:sz w:val="30"/>
          <w:highlight w:val="none"/>
        </w:rPr>
        <w:t>法定代表人或其委托代理人：</w:t>
      </w:r>
      <w:r>
        <w:rPr>
          <w:rFonts w:hint="eastAsia" w:ascii="宋体" w:hAnsi="宋体" w:eastAsia="宋体" w:cs="宋体"/>
          <w:b/>
          <w:bCs/>
          <w:sz w:val="30"/>
          <w:highlight w:val="none"/>
          <w:u w:val="single"/>
        </w:rPr>
        <w:t xml:space="preserve">         </w:t>
      </w:r>
      <w:r>
        <w:rPr>
          <w:rFonts w:hint="eastAsia" w:ascii="宋体" w:hAnsi="宋体" w:eastAsia="宋体" w:cs="宋体"/>
          <w:b/>
          <w:bCs/>
          <w:sz w:val="30"/>
          <w:highlight w:val="none"/>
        </w:rPr>
        <w:t>（盖章或签字）</w:t>
      </w:r>
    </w:p>
    <w:p>
      <w:pPr>
        <w:spacing w:line="400" w:lineRule="exact"/>
        <w:rPr>
          <w:rFonts w:hint="eastAsia" w:ascii="宋体" w:hAnsi="宋体" w:eastAsia="宋体" w:cs="宋体"/>
          <w:b/>
          <w:bCs/>
          <w:sz w:val="30"/>
          <w:highlight w:val="none"/>
        </w:rPr>
      </w:pPr>
    </w:p>
    <w:p>
      <w:pPr>
        <w:spacing w:before="240" w:beforeLines="100"/>
        <w:jc w:val="center"/>
        <w:rPr>
          <w:rFonts w:hint="eastAsia" w:ascii="宋体" w:hAnsi="宋体" w:eastAsia="宋体" w:cs="宋体"/>
          <w:b/>
          <w:bCs/>
          <w:sz w:val="30"/>
          <w:highlight w:val="none"/>
        </w:rPr>
      </w:pPr>
      <w:r>
        <w:rPr>
          <w:rFonts w:hint="eastAsia" w:ascii="宋体" w:hAnsi="宋体" w:eastAsia="宋体" w:cs="宋体"/>
          <w:b/>
          <w:bCs/>
          <w:sz w:val="30"/>
          <w:highlight w:val="none"/>
        </w:rPr>
        <w:t xml:space="preserve">   </w:t>
      </w:r>
      <w:r>
        <w:rPr>
          <w:rFonts w:hint="eastAsia" w:ascii="宋体" w:hAnsi="宋体" w:eastAsia="宋体" w:cs="宋体"/>
          <w:b/>
          <w:bCs/>
          <w:sz w:val="30"/>
          <w:highlight w:val="none"/>
          <w:u w:val="single"/>
        </w:rPr>
        <w:t xml:space="preserve">    </w:t>
      </w:r>
      <w:r>
        <w:rPr>
          <w:rFonts w:hint="eastAsia" w:ascii="宋体" w:hAnsi="宋体" w:eastAsia="宋体" w:cs="宋体"/>
          <w:b/>
          <w:bCs/>
          <w:sz w:val="30"/>
          <w:highlight w:val="none"/>
        </w:rPr>
        <w:t>年</w:t>
      </w:r>
      <w:r>
        <w:rPr>
          <w:rFonts w:hint="eastAsia" w:ascii="宋体" w:hAnsi="宋体" w:eastAsia="宋体" w:cs="宋体"/>
          <w:b/>
          <w:bCs/>
          <w:sz w:val="30"/>
          <w:highlight w:val="none"/>
          <w:u w:val="single"/>
        </w:rPr>
        <w:t xml:space="preserve">    </w:t>
      </w:r>
      <w:r>
        <w:rPr>
          <w:rFonts w:hint="eastAsia" w:ascii="宋体" w:hAnsi="宋体" w:eastAsia="宋体" w:cs="宋体"/>
          <w:b/>
          <w:bCs/>
          <w:sz w:val="30"/>
          <w:highlight w:val="none"/>
        </w:rPr>
        <w:t>月</w:t>
      </w:r>
      <w:r>
        <w:rPr>
          <w:rFonts w:hint="eastAsia" w:ascii="宋体" w:hAnsi="宋体" w:eastAsia="宋体" w:cs="宋体"/>
          <w:b/>
          <w:bCs/>
          <w:sz w:val="30"/>
          <w:highlight w:val="none"/>
          <w:u w:val="single"/>
        </w:rPr>
        <w:t xml:space="preserve">    </w:t>
      </w:r>
      <w:r>
        <w:rPr>
          <w:rFonts w:hint="eastAsia" w:ascii="宋体" w:hAnsi="宋体" w:eastAsia="宋体" w:cs="宋体"/>
          <w:b/>
          <w:bCs/>
          <w:sz w:val="30"/>
          <w:highlight w:val="none"/>
        </w:rPr>
        <w:t>日</w:t>
      </w:r>
    </w:p>
    <w:p>
      <w:pPr>
        <w:spacing w:line="600" w:lineRule="exact"/>
        <w:rPr>
          <w:rFonts w:hint="eastAsia" w:ascii="宋体" w:hAnsi="宋体" w:eastAsia="宋体" w:cs="宋体"/>
          <w:b/>
          <w:bCs/>
          <w:sz w:val="30"/>
          <w:highlight w:val="none"/>
        </w:rPr>
      </w:pPr>
    </w:p>
    <w:p>
      <w:pPr>
        <w:pStyle w:val="22"/>
        <w:rPr>
          <w:rFonts w:hint="eastAsia" w:ascii="宋体" w:hAnsi="宋体" w:eastAsia="宋体" w:cs="宋体"/>
          <w:highlight w:val="none"/>
        </w:rPr>
      </w:pPr>
    </w:p>
    <w:p>
      <w:pPr>
        <w:pStyle w:val="25"/>
        <w:rPr>
          <w:rFonts w:hint="eastAsia" w:ascii="宋体" w:hAnsi="宋体" w:eastAsia="宋体" w:cs="宋体"/>
          <w:b/>
          <w:bCs/>
          <w:sz w:val="30"/>
          <w:highlight w:val="none"/>
        </w:rPr>
      </w:pPr>
    </w:p>
    <w:p>
      <w:pPr>
        <w:pStyle w:val="25"/>
        <w:rPr>
          <w:rFonts w:hint="eastAsia" w:ascii="宋体" w:hAnsi="宋体" w:eastAsia="宋体" w:cs="宋体"/>
          <w:b/>
          <w:bCs/>
          <w:sz w:val="30"/>
          <w:highlight w:val="none"/>
        </w:rPr>
      </w:pPr>
    </w:p>
    <w:p>
      <w:pPr>
        <w:pStyle w:val="25"/>
        <w:rPr>
          <w:rFonts w:hint="eastAsia" w:ascii="宋体" w:hAnsi="宋体" w:eastAsia="宋体" w:cs="宋体"/>
          <w:b/>
          <w:bCs/>
          <w:sz w:val="30"/>
          <w:highlight w:val="none"/>
        </w:rPr>
      </w:pPr>
    </w:p>
    <w:p>
      <w:pPr>
        <w:pStyle w:val="25"/>
        <w:rPr>
          <w:rFonts w:hint="eastAsia" w:ascii="宋体" w:hAnsi="宋体" w:eastAsia="宋体" w:cs="宋体"/>
          <w:b/>
          <w:bCs/>
          <w:sz w:val="30"/>
          <w:highlight w:val="none"/>
        </w:rPr>
      </w:pPr>
    </w:p>
    <w:p>
      <w:pPr>
        <w:spacing w:line="600" w:lineRule="exact"/>
        <w:jc w:val="center"/>
        <w:rPr>
          <w:rFonts w:hint="eastAsia" w:ascii="宋体" w:hAnsi="宋体" w:eastAsia="宋体" w:cs="宋体"/>
          <w:sz w:val="24"/>
          <w:highlight w:val="none"/>
        </w:rPr>
      </w:pPr>
      <w:r>
        <w:rPr>
          <w:rFonts w:hint="eastAsia" w:ascii="宋体" w:hAnsi="宋体" w:eastAsia="宋体" w:cs="宋体"/>
          <w:b/>
          <w:bCs/>
          <w:sz w:val="30"/>
          <w:highlight w:val="none"/>
        </w:rPr>
        <w:t>目    录</w:t>
      </w:r>
    </w:p>
    <w:p>
      <w:pPr>
        <w:tabs>
          <w:tab w:val="left" w:pos="1418"/>
        </w:tabs>
        <w:spacing w:line="360" w:lineRule="auto"/>
        <w:ind w:firstLine="872" w:firstLineChars="400"/>
        <w:rPr>
          <w:rFonts w:hint="eastAsia" w:ascii="宋体" w:hAnsi="宋体" w:eastAsia="宋体" w:cs="宋体"/>
          <w:spacing w:val="4"/>
          <w:szCs w:val="24"/>
          <w:highlight w:val="none"/>
        </w:rPr>
      </w:pPr>
      <w:r>
        <w:rPr>
          <w:rFonts w:hint="eastAsia" w:ascii="宋体" w:hAnsi="宋体" w:eastAsia="宋体" w:cs="宋体"/>
          <w:spacing w:val="4"/>
          <w:szCs w:val="24"/>
          <w:highlight w:val="none"/>
        </w:rPr>
        <w:t>一、投标函</w:t>
      </w:r>
    </w:p>
    <w:p>
      <w:pPr>
        <w:tabs>
          <w:tab w:val="left" w:pos="1418"/>
        </w:tabs>
        <w:spacing w:line="360" w:lineRule="auto"/>
        <w:ind w:firstLine="872" w:firstLineChars="400"/>
        <w:rPr>
          <w:rFonts w:hint="eastAsia" w:ascii="宋体" w:hAnsi="宋体" w:eastAsia="宋体" w:cs="宋体"/>
          <w:spacing w:val="4"/>
          <w:szCs w:val="24"/>
          <w:highlight w:val="none"/>
        </w:rPr>
      </w:pPr>
      <w:r>
        <w:rPr>
          <w:rFonts w:hint="eastAsia" w:ascii="宋体" w:hAnsi="宋体" w:eastAsia="宋体" w:cs="宋体"/>
          <w:spacing w:val="4"/>
          <w:szCs w:val="24"/>
          <w:highlight w:val="none"/>
        </w:rPr>
        <w:t>二、开标一览表</w:t>
      </w:r>
    </w:p>
    <w:p>
      <w:pPr>
        <w:tabs>
          <w:tab w:val="left" w:pos="1418"/>
        </w:tabs>
        <w:spacing w:line="360" w:lineRule="auto"/>
        <w:ind w:firstLine="872" w:firstLineChars="400"/>
        <w:rPr>
          <w:rFonts w:hint="eastAsia" w:ascii="宋体" w:hAnsi="宋体" w:eastAsia="宋体" w:cs="宋体"/>
          <w:spacing w:val="4"/>
          <w:szCs w:val="24"/>
          <w:highlight w:val="none"/>
          <w:lang w:val="en-US" w:eastAsia="zh-CN"/>
        </w:rPr>
      </w:pPr>
      <w:r>
        <w:rPr>
          <w:rFonts w:hint="eastAsia" w:ascii="宋体" w:hAnsi="宋体" w:eastAsia="宋体" w:cs="宋体"/>
          <w:spacing w:val="4"/>
          <w:szCs w:val="24"/>
          <w:highlight w:val="none"/>
          <w:lang w:val="en-US" w:eastAsia="zh-CN"/>
        </w:rPr>
        <w:t>三、</w:t>
      </w:r>
      <w:r>
        <w:rPr>
          <w:rFonts w:hint="eastAsia" w:ascii="宋体" w:hAnsi="宋体" w:eastAsia="宋体" w:cs="宋体"/>
          <w:spacing w:val="4"/>
          <w:szCs w:val="24"/>
          <w:highlight w:val="none"/>
        </w:rPr>
        <w:t>投标分项报价表</w:t>
      </w:r>
    </w:p>
    <w:p>
      <w:pPr>
        <w:tabs>
          <w:tab w:val="left" w:pos="1418"/>
        </w:tabs>
        <w:spacing w:line="360" w:lineRule="auto"/>
        <w:ind w:firstLine="872" w:firstLineChars="400"/>
        <w:rPr>
          <w:rFonts w:hint="eastAsia" w:ascii="宋体" w:hAnsi="宋体" w:eastAsia="宋体" w:cs="宋体"/>
          <w:spacing w:val="4"/>
          <w:szCs w:val="24"/>
          <w:highlight w:val="none"/>
        </w:rPr>
      </w:pPr>
      <w:r>
        <w:rPr>
          <w:rFonts w:hint="eastAsia" w:ascii="宋体" w:hAnsi="宋体" w:eastAsia="宋体" w:cs="宋体"/>
          <w:spacing w:val="4"/>
          <w:szCs w:val="24"/>
          <w:highlight w:val="none"/>
          <w:lang w:val="en-US" w:eastAsia="zh-CN"/>
        </w:rPr>
        <w:t>四</w:t>
      </w:r>
      <w:r>
        <w:rPr>
          <w:rFonts w:hint="eastAsia" w:ascii="宋体" w:hAnsi="宋体" w:eastAsia="宋体" w:cs="宋体"/>
          <w:spacing w:val="4"/>
          <w:szCs w:val="24"/>
          <w:highlight w:val="none"/>
        </w:rPr>
        <w:t>、资格证明文件</w:t>
      </w:r>
    </w:p>
    <w:p>
      <w:pPr>
        <w:tabs>
          <w:tab w:val="left" w:pos="1418"/>
        </w:tabs>
        <w:spacing w:line="360" w:lineRule="auto"/>
        <w:ind w:firstLine="872" w:firstLineChars="400"/>
        <w:rPr>
          <w:rFonts w:hint="eastAsia" w:ascii="宋体" w:hAnsi="宋体" w:eastAsia="宋体" w:cs="宋体"/>
          <w:spacing w:val="4"/>
          <w:szCs w:val="24"/>
          <w:highlight w:val="none"/>
        </w:rPr>
      </w:pPr>
      <w:r>
        <w:rPr>
          <w:rFonts w:hint="eastAsia" w:ascii="宋体" w:hAnsi="宋体" w:eastAsia="宋体" w:cs="宋体"/>
          <w:spacing w:val="4"/>
          <w:szCs w:val="24"/>
          <w:highlight w:val="none"/>
          <w:lang w:val="en-US" w:eastAsia="zh-CN"/>
        </w:rPr>
        <w:t>五</w:t>
      </w:r>
      <w:r>
        <w:rPr>
          <w:rFonts w:hint="eastAsia" w:ascii="宋体" w:hAnsi="宋体" w:eastAsia="宋体" w:cs="宋体"/>
          <w:spacing w:val="4"/>
          <w:szCs w:val="24"/>
          <w:highlight w:val="none"/>
        </w:rPr>
        <w:t>、供应商概况</w:t>
      </w:r>
    </w:p>
    <w:p>
      <w:pPr>
        <w:tabs>
          <w:tab w:val="left" w:pos="1418"/>
        </w:tabs>
        <w:spacing w:line="360" w:lineRule="auto"/>
        <w:ind w:firstLine="872" w:firstLineChars="400"/>
        <w:rPr>
          <w:rFonts w:hint="eastAsia" w:ascii="宋体" w:hAnsi="宋体" w:eastAsia="宋体" w:cs="宋体"/>
          <w:spacing w:val="4"/>
          <w:szCs w:val="24"/>
          <w:highlight w:val="none"/>
        </w:rPr>
      </w:pPr>
      <w:r>
        <w:rPr>
          <w:rFonts w:hint="eastAsia" w:ascii="宋体" w:hAnsi="宋体" w:eastAsia="宋体" w:cs="宋体"/>
          <w:spacing w:val="4"/>
          <w:szCs w:val="24"/>
          <w:highlight w:val="none"/>
          <w:lang w:val="en-US" w:eastAsia="zh-CN"/>
        </w:rPr>
        <w:t>六</w:t>
      </w:r>
      <w:r>
        <w:rPr>
          <w:rFonts w:hint="eastAsia" w:ascii="宋体" w:hAnsi="宋体" w:eastAsia="宋体" w:cs="宋体"/>
          <w:spacing w:val="4"/>
          <w:szCs w:val="24"/>
          <w:highlight w:val="none"/>
        </w:rPr>
        <w:t>、供应商参加政府采购活动承诺书</w:t>
      </w:r>
    </w:p>
    <w:p>
      <w:pPr>
        <w:tabs>
          <w:tab w:val="left" w:pos="1418"/>
        </w:tabs>
        <w:spacing w:line="360" w:lineRule="auto"/>
        <w:ind w:firstLine="872" w:firstLineChars="400"/>
        <w:rPr>
          <w:rFonts w:hint="eastAsia" w:ascii="宋体" w:hAnsi="宋体" w:eastAsia="宋体" w:cs="宋体"/>
          <w:spacing w:val="4"/>
          <w:szCs w:val="24"/>
          <w:highlight w:val="none"/>
        </w:rPr>
      </w:pPr>
      <w:r>
        <w:rPr>
          <w:rFonts w:hint="eastAsia" w:ascii="宋体" w:hAnsi="宋体" w:eastAsia="宋体" w:cs="宋体"/>
          <w:spacing w:val="4"/>
          <w:szCs w:val="24"/>
          <w:highlight w:val="none"/>
          <w:lang w:val="en-US" w:eastAsia="zh-CN"/>
        </w:rPr>
        <w:t>七</w:t>
      </w:r>
      <w:r>
        <w:rPr>
          <w:rFonts w:hint="eastAsia" w:ascii="宋体" w:hAnsi="宋体" w:eastAsia="宋体" w:cs="宋体"/>
          <w:spacing w:val="4"/>
          <w:szCs w:val="24"/>
          <w:highlight w:val="none"/>
        </w:rPr>
        <w:t>、投标</w:t>
      </w:r>
      <w:r>
        <w:rPr>
          <w:rFonts w:hint="eastAsia" w:ascii="宋体" w:hAnsi="宋体" w:eastAsia="宋体" w:cs="宋体"/>
          <w:spacing w:val="4"/>
          <w:szCs w:val="24"/>
          <w:highlight w:val="none"/>
          <w:lang w:val="en-US" w:eastAsia="zh-CN"/>
        </w:rPr>
        <w:t>技术</w:t>
      </w:r>
      <w:r>
        <w:rPr>
          <w:rFonts w:hint="eastAsia" w:ascii="宋体" w:hAnsi="宋体" w:eastAsia="宋体" w:cs="宋体"/>
          <w:spacing w:val="4"/>
          <w:szCs w:val="24"/>
          <w:highlight w:val="none"/>
        </w:rPr>
        <w:t>方案</w:t>
      </w:r>
    </w:p>
    <w:p>
      <w:pPr>
        <w:tabs>
          <w:tab w:val="left" w:pos="1418"/>
        </w:tabs>
        <w:spacing w:line="360" w:lineRule="auto"/>
        <w:ind w:firstLine="872" w:firstLineChars="400"/>
        <w:rPr>
          <w:rFonts w:hint="eastAsia" w:ascii="宋体" w:hAnsi="宋体" w:eastAsia="宋体" w:cs="宋体"/>
          <w:spacing w:val="4"/>
          <w:szCs w:val="24"/>
          <w:highlight w:val="none"/>
          <w:lang w:val="en-US" w:eastAsia="zh-CN"/>
        </w:rPr>
      </w:pPr>
      <w:r>
        <w:rPr>
          <w:rFonts w:hint="eastAsia" w:ascii="宋体" w:hAnsi="宋体" w:eastAsia="宋体" w:cs="宋体"/>
          <w:spacing w:val="4"/>
          <w:szCs w:val="24"/>
          <w:highlight w:val="none"/>
          <w:lang w:val="en-US" w:eastAsia="zh-CN"/>
        </w:rPr>
        <w:t>八、企业业绩</w:t>
      </w:r>
    </w:p>
    <w:p>
      <w:pPr>
        <w:tabs>
          <w:tab w:val="left" w:pos="1418"/>
        </w:tabs>
        <w:spacing w:line="360" w:lineRule="auto"/>
        <w:ind w:firstLine="872" w:firstLineChars="400"/>
        <w:rPr>
          <w:rFonts w:hint="eastAsia" w:ascii="宋体" w:hAnsi="宋体" w:eastAsia="宋体" w:cs="宋体"/>
          <w:spacing w:val="4"/>
          <w:szCs w:val="24"/>
          <w:highlight w:val="none"/>
        </w:rPr>
      </w:pPr>
      <w:r>
        <w:rPr>
          <w:rFonts w:hint="eastAsia" w:ascii="宋体" w:hAnsi="宋体" w:eastAsia="宋体" w:cs="宋体"/>
          <w:spacing w:val="4"/>
          <w:szCs w:val="24"/>
          <w:highlight w:val="none"/>
          <w:lang w:val="en-US" w:eastAsia="zh-CN"/>
        </w:rPr>
        <w:t>九</w:t>
      </w:r>
      <w:r>
        <w:rPr>
          <w:rFonts w:hint="eastAsia" w:ascii="宋体" w:hAnsi="宋体" w:eastAsia="宋体" w:cs="宋体"/>
          <w:spacing w:val="4"/>
          <w:szCs w:val="24"/>
          <w:highlight w:val="none"/>
        </w:rPr>
        <w:t>、技术偏离表</w:t>
      </w:r>
    </w:p>
    <w:p>
      <w:pPr>
        <w:tabs>
          <w:tab w:val="left" w:pos="1418"/>
        </w:tabs>
        <w:spacing w:line="360" w:lineRule="auto"/>
        <w:ind w:firstLine="872" w:firstLineChars="400"/>
        <w:rPr>
          <w:rFonts w:hint="eastAsia" w:ascii="宋体" w:hAnsi="宋体" w:eastAsia="宋体" w:cs="宋体"/>
          <w:spacing w:val="4"/>
          <w:szCs w:val="24"/>
          <w:highlight w:val="none"/>
        </w:rPr>
      </w:pPr>
      <w:r>
        <w:rPr>
          <w:rFonts w:hint="eastAsia" w:ascii="宋体" w:hAnsi="宋体" w:eastAsia="宋体" w:cs="宋体"/>
          <w:spacing w:val="4"/>
          <w:szCs w:val="24"/>
          <w:highlight w:val="none"/>
          <w:lang w:val="en-US" w:eastAsia="zh-CN"/>
        </w:rPr>
        <w:t>十</w:t>
      </w:r>
      <w:r>
        <w:rPr>
          <w:rFonts w:hint="eastAsia" w:ascii="宋体" w:hAnsi="宋体" w:eastAsia="宋体" w:cs="宋体"/>
          <w:spacing w:val="4"/>
          <w:szCs w:val="24"/>
          <w:highlight w:val="none"/>
        </w:rPr>
        <w:t>、商务偏离表</w:t>
      </w:r>
    </w:p>
    <w:p>
      <w:pPr>
        <w:tabs>
          <w:tab w:val="left" w:pos="1418"/>
        </w:tabs>
        <w:spacing w:line="360" w:lineRule="auto"/>
        <w:ind w:firstLine="872" w:firstLineChars="400"/>
        <w:rPr>
          <w:rFonts w:hint="eastAsia" w:ascii="宋体" w:hAnsi="宋体" w:eastAsia="宋体" w:cs="宋体"/>
          <w:spacing w:val="4"/>
          <w:szCs w:val="24"/>
          <w:highlight w:val="none"/>
        </w:rPr>
      </w:pPr>
      <w:r>
        <w:rPr>
          <w:rFonts w:hint="eastAsia" w:ascii="宋体" w:hAnsi="宋体" w:eastAsia="宋体" w:cs="宋体"/>
          <w:spacing w:val="4"/>
          <w:szCs w:val="24"/>
          <w:highlight w:val="none"/>
        </w:rPr>
        <w:t>十</w:t>
      </w:r>
      <w:r>
        <w:rPr>
          <w:rFonts w:hint="eastAsia" w:ascii="宋体" w:hAnsi="宋体" w:eastAsia="宋体" w:cs="宋体"/>
          <w:spacing w:val="4"/>
          <w:szCs w:val="24"/>
          <w:highlight w:val="none"/>
          <w:lang w:val="en-US" w:eastAsia="zh-CN"/>
        </w:rPr>
        <w:t>一</w:t>
      </w:r>
      <w:r>
        <w:rPr>
          <w:rFonts w:hint="eastAsia" w:ascii="宋体" w:hAnsi="宋体" w:eastAsia="宋体" w:cs="宋体"/>
          <w:spacing w:val="4"/>
          <w:szCs w:val="24"/>
          <w:highlight w:val="none"/>
        </w:rPr>
        <w:t>、投标供应商认为需提交的其他资料</w:t>
      </w:r>
    </w:p>
    <w:p>
      <w:pPr>
        <w:spacing w:line="720" w:lineRule="exact"/>
        <w:ind w:firstLine="1680" w:firstLineChars="800"/>
        <w:rPr>
          <w:rFonts w:hint="eastAsia" w:ascii="宋体" w:hAnsi="宋体" w:eastAsia="宋体" w:cs="宋体"/>
          <w:color w:val="000000"/>
          <w:szCs w:val="21"/>
          <w:highlight w:val="none"/>
        </w:rPr>
      </w:pPr>
    </w:p>
    <w:p>
      <w:pPr>
        <w:spacing w:line="500" w:lineRule="exact"/>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br w:type="page"/>
      </w:r>
      <w:r>
        <w:rPr>
          <w:rFonts w:hint="eastAsia" w:ascii="宋体" w:hAnsi="宋体" w:eastAsia="宋体" w:cs="宋体"/>
          <w:b/>
          <w:bCs/>
          <w:color w:val="000000"/>
          <w:sz w:val="36"/>
          <w:szCs w:val="36"/>
          <w:highlight w:val="none"/>
        </w:rPr>
        <w:t>一、投标函</w:t>
      </w:r>
    </w:p>
    <w:p>
      <w:pPr>
        <w:pStyle w:val="22"/>
        <w:spacing w:line="500" w:lineRule="exact"/>
        <w:ind w:firstLine="0"/>
        <w:rPr>
          <w:rFonts w:hint="eastAsia" w:ascii="宋体" w:hAnsi="宋体" w:eastAsia="宋体" w:cs="宋体"/>
          <w:b/>
          <w:bCs/>
          <w:szCs w:val="28"/>
          <w:highlight w:val="none"/>
          <w:lang w:eastAsia="zh-CN"/>
        </w:rPr>
      </w:pPr>
      <w:r>
        <w:rPr>
          <w:rFonts w:hint="eastAsia" w:ascii="宋体" w:hAnsi="宋体" w:eastAsia="宋体" w:cs="宋体"/>
          <w:b/>
          <w:bCs/>
          <w:szCs w:val="28"/>
          <w:highlight w:val="none"/>
        </w:rPr>
        <w:t>致：</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u w:val="single"/>
          <w:lang w:eastAsia="zh-CN"/>
        </w:rPr>
        <w:t>（</w:t>
      </w:r>
      <w:r>
        <w:rPr>
          <w:rFonts w:hint="eastAsia" w:ascii="宋体" w:hAnsi="宋体" w:eastAsia="宋体" w:cs="宋体"/>
          <w:szCs w:val="24"/>
          <w:highlight w:val="none"/>
          <w:u w:val="single"/>
          <w:lang w:val="en-US" w:eastAsia="zh-CN"/>
        </w:rPr>
        <w:t>采购人</w:t>
      </w:r>
      <w:r>
        <w:rPr>
          <w:rFonts w:hint="eastAsia" w:ascii="宋体" w:hAnsi="宋体" w:eastAsia="宋体" w:cs="宋体"/>
          <w:szCs w:val="24"/>
          <w:highlight w:val="none"/>
          <w:u w:val="single"/>
          <w:lang w:eastAsia="zh-CN"/>
        </w:rPr>
        <w:t>）</w:t>
      </w:r>
      <w:r>
        <w:rPr>
          <w:rFonts w:hint="eastAsia" w:ascii="宋体" w:hAnsi="宋体" w:eastAsia="宋体" w:cs="宋体"/>
          <w:szCs w:val="24"/>
          <w:highlight w:val="none"/>
          <w:u w:val="single"/>
        </w:rPr>
        <w:t xml:space="preserve">      </w:t>
      </w:r>
    </w:p>
    <w:p>
      <w:pPr>
        <w:pStyle w:val="22"/>
        <w:spacing w:line="400" w:lineRule="exact"/>
        <w:ind w:firstLine="420"/>
        <w:rPr>
          <w:rFonts w:hint="eastAsia" w:ascii="宋体" w:hAnsi="宋体" w:eastAsia="宋体" w:cs="宋体"/>
          <w:bCs/>
          <w:szCs w:val="28"/>
          <w:highlight w:val="none"/>
        </w:rPr>
      </w:pPr>
      <w:r>
        <w:rPr>
          <w:rFonts w:hint="eastAsia" w:ascii="宋体" w:hAnsi="宋体" w:eastAsia="宋体" w:cs="宋体"/>
          <w:bCs/>
          <w:szCs w:val="28"/>
          <w:highlight w:val="none"/>
        </w:rPr>
        <w:t>我方全面研究了“</w:t>
      </w:r>
      <w:r>
        <w:rPr>
          <w:rFonts w:hint="eastAsia" w:ascii="宋体" w:hAnsi="宋体" w:eastAsia="宋体" w:cs="宋体"/>
          <w:bCs/>
          <w:szCs w:val="28"/>
          <w:highlight w:val="none"/>
          <w:u w:val="single"/>
        </w:rPr>
        <w:t xml:space="preserve">                  </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u w:val="single"/>
          <w:lang w:val="en-US" w:eastAsia="zh-CN"/>
        </w:rPr>
        <w:t>采购项目名称</w:t>
      </w:r>
      <w:r>
        <w:rPr>
          <w:rFonts w:hint="eastAsia" w:ascii="宋体" w:hAnsi="宋体" w:eastAsia="宋体" w:cs="宋体"/>
          <w:szCs w:val="24"/>
          <w:highlight w:val="none"/>
          <w:u w:val="single"/>
        </w:rPr>
        <w:t>)</w:t>
      </w:r>
      <w:r>
        <w:rPr>
          <w:rFonts w:hint="eastAsia" w:ascii="宋体" w:hAnsi="宋体" w:eastAsia="宋体" w:cs="宋体"/>
          <w:bCs/>
          <w:szCs w:val="28"/>
          <w:highlight w:val="none"/>
          <w:u w:val="single"/>
        </w:rPr>
        <w:t xml:space="preserve">       </w:t>
      </w:r>
      <w:r>
        <w:rPr>
          <w:rFonts w:hint="eastAsia" w:ascii="宋体" w:hAnsi="宋体" w:eastAsia="宋体" w:cs="宋体"/>
          <w:bCs/>
          <w:szCs w:val="28"/>
          <w:highlight w:val="none"/>
        </w:rPr>
        <w:t>”采购项目</w:t>
      </w:r>
      <w:r>
        <w:rPr>
          <w:rFonts w:hint="eastAsia" w:ascii="宋体" w:hAnsi="宋体" w:eastAsia="宋体" w:cs="宋体"/>
          <w:bCs/>
          <w:szCs w:val="28"/>
          <w:highlight w:val="none"/>
          <w:lang w:eastAsia="zh-CN"/>
        </w:rPr>
        <w:t>招标文件</w:t>
      </w:r>
      <w:r>
        <w:rPr>
          <w:rFonts w:hint="eastAsia" w:ascii="宋体" w:hAnsi="宋体" w:eastAsia="宋体" w:cs="宋体"/>
          <w:bCs/>
          <w:szCs w:val="28"/>
          <w:highlight w:val="none"/>
        </w:rPr>
        <w:t>的全部内容，知悉参加投标的风险，我方承诺接受</w:t>
      </w:r>
      <w:r>
        <w:rPr>
          <w:rFonts w:hint="eastAsia" w:ascii="宋体" w:hAnsi="宋体" w:eastAsia="宋体" w:cs="宋体"/>
          <w:bCs/>
          <w:szCs w:val="28"/>
          <w:highlight w:val="none"/>
          <w:lang w:eastAsia="zh-CN"/>
        </w:rPr>
        <w:t>招标文件</w:t>
      </w:r>
      <w:r>
        <w:rPr>
          <w:rFonts w:hint="eastAsia" w:ascii="宋体" w:hAnsi="宋体" w:eastAsia="宋体" w:cs="宋体"/>
          <w:bCs/>
          <w:szCs w:val="28"/>
          <w:highlight w:val="none"/>
        </w:rPr>
        <w:t>的全部条款且无任何异议，决定参加贵单位组织的本项目招标。我方正式授权</w:t>
      </w:r>
      <w:r>
        <w:rPr>
          <w:rFonts w:hint="eastAsia" w:ascii="宋体" w:hAnsi="宋体" w:eastAsia="宋体" w:cs="宋体"/>
          <w:bCs/>
          <w:szCs w:val="28"/>
          <w:highlight w:val="none"/>
          <w:u w:val="single"/>
          <w:lang w:val="en-US" w:eastAsia="zh-CN"/>
        </w:rPr>
        <w:t xml:space="preserve">        </w:t>
      </w:r>
      <w:r>
        <w:rPr>
          <w:rFonts w:hint="eastAsia" w:ascii="宋体" w:hAnsi="宋体" w:eastAsia="宋体" w:cs="宋体"/>
          <w:bCs/>
          <w:szCs w:val="28"/>
          <w:highlight w:val="none"/>
          <w:u w:val="single"/>
        </w:rPr>
        <w:t>（姓名、职务）</w:t>
      </w:r>
      <w:r>
        <w:rPr>
          <w:rFonts w:hint="eastAsia" w:ascii="宋体" w:hAnsi="宋体" w:eastAsia="宋体" w:cs="宋体"/>
          <w:bCs/>
          <w:szCs w:val="28"/>
          <w:highlight w:val="none"/>
          <w:u w:val="single"/>
          <w:lang w:val="en-US" w:eastAsia="zh-CN"/>
        </w:rPr>
        <w:t xml:space="preserve">      </w:t>
      </w:r>
      <w:r>
        <w:rPr>
          <w:rFonts w:hint="eastAsia" w:ascii="宋体" w:hAnsi="宋体" w:eastAsia="宋体" w:cs="宋体"/>
          <w:bCs/>
          <w:szCs w:val="28"/>
          <w:highlight w:val="none"/>
        </w:rPr>
        <w:t>代表我方</w:t>
      </w:r>
      <w:r>
        <w:rPr>
          <w:rFonts w:hint="eastAsia" w:ascii="宋体" w:hAnsi="宋体" w:eastAsia="宋体" w:cs="宋体"/>
          <w:bCs/>
          <w:szCs w:val="28"/>
          <w:highlight w:val="none"/>
          <w:u w:val="single"/>
        </w:rPr>
        <w:t xml:space="preserve">     </w:t>
      </w:r>
      <w:r>
        <w:rPr>
          <w:rFonts w:hint="eastAsia" w:ascii="宋体" w:hAnsi="宋体" w:eastAsia="宋体" w:cs="宋体"/>
          <w:bCs/>
          <w:szCs w:val="28"/>
          <w:highlight w:val="none"/>
          <w:u w:val="single"/>
          <w:lang w:val="en-US" w:eastAsia="zh-CN"/>
        </w:rPr>
        <w:t xml:space="preserve">   </w:t>
      </w:r>
      <w:r>
        <w:rPr>
          <w:rFonts w:hint="eastAsia" w:ascii="宋体" w:hAnsi="宋体" w:eastAsia="宋体" w:cs="宋体"/>
          <w:bCs/>
          <w:szCs w:val="28"/>
          <w:highlight w:val="none"/>
          <w:u w:val="single"/>
        </w:rPr>
        <w:t xml:space="preserve">    </w:t>
      </w:r>
      <w:r>
        <w:rPr>
          <w:rFonts w:hint="eastAsia" w:ascii="宋体" w:hAnsi="宋体" w:eastAsia="宋体" w:cs="宋体"/>
          <w:bCs/>
          <w:szCs w:val="28"/>
          <w:highlight w:val="none"/>
        </w:rPr>
        <w:t>（投标单位的名称）全权处理本项目投标的有关事宜。</w:t>
      </w:r>
    </w:p>
    <w:p>
      <w:pPr>
        <w:pStyle w:val="22"/>
        <w:spacing w:line="400" w:lineRule="exact"/>
        <w:ind w:firstLine="420"/>
        <w:rPr>
          <w:rFonts w:hint="eastAsia" w:ascii="宋体" w:hAnsi="宋体" w:eastAsia="宋体" w:cs="宋体"/>
          <w:bCs/>
          <w:szCs w:val="28"/>
          <w:highlight w:val="none"/>
        </w:rPr>
      </w:pPr>
      <w:r>
        <w:rPr>
          <w:rFonts w:hint="eastAsia" w:ascii="宋体" w:hAnsi="宋体" w:eastAsia="宋体" w:cs="宋体"/>
          <w:bCs/>
          <w:szCs w:val="28"/>
          <w:highlight w:val="none"/>
        </w:rPr>
        <w:t>在此，我方郑重声明以下诸点，并负法律责任。</w:t>
      </w:r>
    </w:p>
    <w:p>
      <w:pPr>
        <w:pStyle w:val="22"/>
        <w:spacing w:line="400" w:lineRule="exact"/>
        <w:ind w:firstLine="420"/>
        <w:rPr>
          <w:rFonts w:hint="eastAsia" w:ascii="宋体" w:hAnsi="宋体" w:eastAsia="宋体" w:cs="宋体"/>
          <w:szCs w:val="24"/>
          <w:highlight w:val="none"/>
        </w:rPr>
      </w:pPr>
      <w:r>
        <w:rPr>
          <w:rFonts w:hint="eastAsia" w:ascii="宋体" w:hAnsi="宋体" w:eastAsia="宋体" w:cs="宋体"/>
          <w:szCs w:val="24"/>
          <w:highlight w:val="none"/>
        </w:rPr>
        <w:t>1、我方提交</w:t>
      </w:r>
      <w:r>
        <w:rPr>
          <w:rFonts w:hint="eastAsia" w:ascii="宋体" w:hAnsi="宋体" w:eastAsia="宋体" w:cs="宋体"/>
          <w:szCs w:val="24"/>
          <w:highlight w:val="none"/>
          <w:lang w:val="en-US" w:eastAsia="zh-CN"/>
        </w:rPr>
        <w:t>电子</w:t>
      </w:r>
      <w:r>
        <w:rPr>
          <w:rFonts w:hint="eastAsia" w:ascii="宋体" w:hAnsi="宋体" w:eastAsia="宋体" w:cs="宋体"/>
          <w:szCs w:val="24"/>
          <w:highlight w:val="none"/>
        </w:rPr>
        <w:t>投标文件</w:t>
      </w:r>
      <w:r>
        <w:rPr>
          <w:rFonts w:hint="eastAsia" w:ascii="宋体" w:hAnsi="宋体" w:eastAsia="宋体" w:cs="宋体"/>
          <w:szCs w:val="24"/>
          <w:highlight w:val="none"/>
          <w:lang w:eastAsia="zh-CN"/>
        </w:rPr>
        <w:t>，</w:t>
      </w:r>
      <w:r>
        <w:rPr>
          <w:rFonts w:hint="eastAsia" w:ascii="宋体" w:hAnsi="宋体" w:eastAsia="宋体" w:cs="宋体"/>
          <w:szCs w:val="24"/>
          <w:highlight w:val="none"/>
        </w:rPr>
        <w:t>并保证投标文件提供的数据和材料真实、准确。</w:t>
      </w:r>
    </w:p>
    <w:p>
      <w:pPr>
        <w:pStyle w:val="22"/>
        <w:spacing w:line="400" w:lineRule="exact"/>
        <w:ind w:firstLine="420"/>
        <w:rPr>
          <w:rFonts w:hint="eastAsia" w:ascii="宋体" w:hAnsi="宋体" w:eastAsia="宋体" w:cs="宋体"/>
          <w:szCs w:val="24"/>
          <w:highlight w:val="none"/>
        </w:rPr>
      </w:pPr>
      <w:r>
        <w:rPr>
          <w:rFonts w:hint="eastAsia" w:ascii="宋体" w:hAnsi="宋体" w:eastAsia="宋体" w:cs="宋体"/>
          <w:szCs w:val="24"/>
          <w:highlight w:val="none"/>
        </w:rPr>
        <w:t>2、我方按</w:t>
      </w:r>
      <w:r>
        <w:rPr>
          <w:rFonts w:hint="eastAsia" w:ascii="宋体" w:hAnsi="宋体" w:eastAsia="宋体" w:cs="宋体"/>
          <w:szCs w:val="24"/>
          <w:highlight w:val="none"/>
          <w:lang w:eastAsia="zh-CN"/>
        </w:rPr>
        <w:t>招标文件</w:t>
      </w:r>
      <w:r>
        <w:rPr>
          <w:rFonts w:hint="eastAsia" w:ascii="宋体" w:hAnsi="宋体" w:eastAsia="宋体" w:cs="宋体"/>
          <w:szCs w:val="24"/>
          <w:highlight w:val="none"/>
        </w:rPr>
        <w:t>规定，投标</w:t>
      </w:r>
      <w:r>
        <w:rPr>
          <w:rFonts w:hint="eastAsia" w:ascii="宋体" w:hAnsi="宋体" w:eastAsia="宋体" w:cs="宋体"/>
          <w:szCs w:val="24"/>
          <w:highlight w:val="none"/>
          <w:lang w:val="en-US" w:eastAsia="zh-CN"/>
        </w:rPr>
        <w:t>总</w:t>
      </w:r>
      <w:r>
        <w:rPr>
          <w:rFonts w:hint="eastAsia" w:ascii="宋体" w:hAnsi="宋体" w:eastAsia="宋体" w:cs="宋体"/>
          <w:szCs w:val="24"/>
          <w:highlight w:val="none"/>
        </w:rPr>
        <w:t>报价为</w:t>
      </w:r>
      <w:r>
        <w:rPr>
          <w:rFonts w:hint="eastAsia" w:ascii="宋体" w:hAnsi="宋体" w:eastAsia="宋体" w:cs="宋体"/>
          <w:szCs w:val="24"/>
          <w:highlight w:val="none"/>
          <w:u w:val="single"/>
        </w:rPr>
        <w:t>人民币（大写</w:t>
      </w:r>
      <w:r>
        <w:rPr>
          <w:rFonts w:hint="eastAsia" w:ascii="宋体" w:hAnsi="宋体" w:eastAsia="宋体" w:cs="宋体"/>
          <w:szCs w:val="24"/>
          <w:highlight w:val="none"/>
          <w:u w:val="single"/>
          <w:lang w:eastAsia="zh-CN"/>
        </w:rPr>
        <w:t>：</w:t>
      </w:r>
      <w:r>
        <w:rPr>
          <w:rFonts w:hint="eastAsia" w:ascii="宋体" w:hAnsi="宋体" w:eastAsia="宋体" w:cs="宋体"/>
          <w:szCs w:val="24"/>
          <w:highlight w:val="none"/>
          <w:u w:val="single"/>
          <w:lang w:val="en-US" w:eastAsia="zh-CN"/>
        </w:rPr>
        <w:t xml:space="preserve">           </w:t>
      </w:r>
      <w:r>
        <w:rPr>
          <w:rFonts w:hint="eastAsia" w:ascii="宋体" w:hAnsi="宋体" w:eastAsia="宋体" w:cs="宋体"/>
          <w:szCs w:val="24"/>
          <w:highlight w:val="none"/>
          <w:u w:val="single"/>
        </w:rPr>
        <w:t xml:space="preserve">）元（￥： </w:t>
      </w:r>
      <w:r>
        <w:rPr>
          <w:rFonts w:hint="eastAsia" w:ascii="宋体" w:hAnsi="宋体" w:eastAsia="宋体" w:cs="宋体"/>
          <w:szCs w:val="24"/>
          <w:highlight w:val="none"/>
          <w:u w:val="single"/>
          <w:lang w:val="en-US" w:eastAsia="zh-CN"/>
        </w:rPr>
        <w:t xml:space="preserve">     </w:t>
      </w:r>
      <w:r>
        <w:rPr>
          <w:rFonts w:hint="eastAsia" w:ascii="宋体" w:hAnsi="宋体" w:eastAsia="宋体" w:cs="宋体"/>
          <w:szCs w:val="24"/>
          <w:highlight w:val="none"/>
          <w:u w:val="single"/>
        </w:rPr>
        <w:t xml:space="preserve"> 元）</w:t>
      </w:r>
      <w:r>
        <w:rPr>
          <w:rFonts w:hint="eastAsia" w:ascii="宋体" w:hAnsi="宋体" w:eastAsia="宋体" w:cs="宋体"/>
          <w:szCs w:val="24"/>
          <w:highlight w:val="none"/>
        </w:rPr>
        <w:t>。</w:t>
      </w:r>
    </w:p>
    <w:p>
      <w:pPr>
        <w:pStyle w:val="22"/>
        <w:spacing w:line="400" w:lineRule="exact"/>
        <w:ind w:firstLine="420"/>
        <w:rPr>
          <w:rFonts w:hint="eastAsia" w:ascii="宋体" w:hAnsi="宋体" w:eastAsia="宋体" w:cs="宋体"/>
          <w:szCs w:val="24"/>
          <w:highlight w:val="none"/>
        </w:rPr>
      </w:pP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如果我方中标，我方根据</w:t>
      </w:r>
      <w:r>
        <w:rPr>
          <w:rFonts w:hint="eastAsia" w:ascii="宋体" w:hAnsi="宋体" w:eastAsia="宋体" w:cs="宋体"/>
          <w:szCs w:val="24"/>
          <w:highlight w:val="none"/>
          <w:lang w:eastAsia="zh-CN"/>
        </w:rPr>
        <w:t>招标文件</w:t>
      </w:r>
      <w:r>
        <w:rPr>
          <w:rFonts w:hint="eastAsia" w:ascii="宋体" w:hAnsi="宋体" w:eastAsia="宋体" w:cs="宋体"/>
          <w:szCs w:val="24"/>
          <w:highlight w:val="none"/>
        </w:rPr>
        <w:t>的规定，履行合同的责任和义务；</w:t>
      </w:r>
    </w:p>
    <w:p>
      <w:pPr>
        <w:pStyle w:val="22"/>
        <w:spacing w:line="400" w:lineRule="exact"/>
        <w:ind w:firstLine="420"/>
        <w:rPr>
          <w:rFonts w:hint="eastAsia" w:ascii="宋体" w:hAnsi="宋体" w:eastAsia="宋体" w:cs="宋体"/>
          <w:bCs/>
          <w:szCs w:val="28"/>
          <w:highlight w:val="none"/>
        </w:rPr>
      </w:pPr>
      <w:r>
        <w:rPr>
          <w:rFonts w:hint="eastAsia" w:ascii="宋体" w:hAnsi="宋体" w:eastAsia="宋体" w:cs="宋体"/>
          <w:szCs w:val="24"/>
          <w:highlight w:val="none"/>
          <w:lang w:val="en-US" w:eastAsia="zh-CN"/>
        </w:rPr>
        <w:t>4</w:t>
      </w:r>
      <w:r>
        <w:rPr>
          <w:rFonts w:hint="eastAsia" w:ascii="宋体" w:hAnsi="宋体" w:eastAsia="宋体" w:cs="宋体"/>
          <w:szCs w:val="24"/>
          <w:highlight w:val="none"/>
        </w:rPr>
        <w:t>、我方已仔细阅读了</w:t>
      </w:r>
      <w:r>
        <w:rPr>
          <w:rFonts w:hint="eastAsia" w:ascii="宋体" w:hAnsi="宋体" w:eastAsia="宋体" w:cs="宋体"/>
          <w:szCs w:val="24"/>
          <w:highlight w:val="none"/>
          <w:lang w:eastAsia="zh-CN"/>
        </w:rPr>
        <w:t>招标文件</w:t>
      </w:r>
      <w:r>
        <w:rPr>
          <w:rFonts w:hint="eastAsia" w:ascii="宋体" w:hAnsi="宋体" w:eastAsia="宋体" w:cs="宋体"/>
          <w:szCs w:val="24"/>
          <w:highlight w:val="none"/>
        </w:rPr>
        <w:t>的全部内容（含修改部分，如有的话），完全理解并放弃提出含糊不清或易形成歧义的</w:t>
      </w:r>
      <w:r>
        <w:rPr>
          <w:rFonts w:hint="eastAsia" w:ascii="宋体" w:hAnsi="宋体" w:eastAsia="宋体" w:cs="宋体"/>
          <w:bCs/>
          <w:sz w:val="21"/>
          <w:szCs w:val="21"/>
          <w:highlight w:val="none"/>
        </w:rPr>
        <w:t>表述和资料，同意和放弃对</w:t>
      </w:r>
      <w:r>
        <w:rPr>
          <w:rFonts w:hint="eastAsia" w:ascii="宋体" w:hAnsi="宋体" w:eastAsia="宋体" w:cs="宋体"/>
          <w:bCs/>
          <w:sz w:val="21"/>
          <w:szCs w:val="21"/>
          <w:highlight w:val="none"/>
          <w:lang w:eastAsia="zh-CN"/>
        </w:rPr>
        <w:t>招标文件</w:t>
      </w:r>
      <w:r>
        <w:rPr>
          <w:rFonts w:hint="eastAsia" w:ascii="宋体" w:hAnsi="宋体" w:eastAsia="宋体" w:cs="宋体"/>
          <w:bCs/>
          <w:sz w:val="21"/>
          <w:szCs w:val="21"/>
          <w:highlight w:val="none"/>
        </w:rPr>
        <w:t>不明或误解而询问、质疑和投</w:t>
      </w:r>
      <w:r>
        <w:rPr>
          <w:rFonts w:hint="eastAsia" w:ascii="宋体" w:hAnsi="宋体" w:eastAsia="宋体" w:cs="宋体"/>
          <w:bCs/>
          <w:szCs w:val="28"/>
          <w:highlight w:val="none"/>
        </w:rPr>
        <w:t>诉的权利。</w:t>
      </w:r>
    </w:p>
    <w:p>
      <w:pPr>
        <w:pStyle w:val="22"/>
        <w:spacing w:line="400" w:lineRule="exact"/>
        <w:ind w:firstLine="0"/>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r>
        <w:rPr>
          <w:rFonts w:hint="eastAsia" w:ascii="宋体" w:hAnsi="宋体" w:eastAsia="宋体" w:cs="宋体"/>
          <w:bCs/>
          <w:szCs w:val="28"/>
          <w:highlight w:val="none"/>
          <w:lang w:val="en-US" w:eastAsia="zh-CN"/>
        </w:rPr>
        <w:t>5</w:t>
      </w:r>
      <w:r>
        <w:rPr>
          <w:rFonts w:hint="eastAsia" w:ascii="宋体" w:hAnsi="宋体" w:eastAsia="宋体" w:cs="宋体"/>
          <w:bCs/>
          <w:szCs w:val="28"/>
          <w:highlight w:val="none"/>
        </w:rPr>
        <w:t>、开标后在规定的投标有效期内撤回投标，我们愿接受政府采购的有关处罚决定。</w:t>
      </w:r>
    </w:p>
    <w:p>
      <w:pPr>
        <w:pStyle w:val="22"/>
        <w:spacing w:line="400" w:lineRule="exact"/>
        <w:ind w:left="420" w:firstLine="0"/>
        <w:rPr>
          <w:rFonts w:hint="eastAsia" w:ascii="宋体" w:hAnsi="宋体" w:eastAsia="宋体" w:cs="宋体"/>
          <w:bCs/>
          <w:szCs w:val="28"/>
          <w:highlight w:val="none"/>
        </w:rPr>
      </w:pPr>
      <w:r>
        <w:rPr>
          <w:rFonts w:hint="eastAsia" w:ascii="宋体" w:hAnsi="宋体" w:eastAsia="宋体" w:cs="宋体"/>
          <w:bCs/>
          <w:szCs w:val="28"/>
          <w:highlight w:val="none"/>
          <w:lang w:val="en-US" w:eastAsia="zh-CN"/>
        </w:rPr>
        <w:t>6</w:t>
      </w:r>
      <w:r>
        <w:rPr>
          <w:rFonts w:hint="eastAsia" w:ascii="宋体" w:hAnsi="宋体" w:eastAsia="宋体" w:cs="宋体"/>
          <w:bCs/>
          <w:szCs w:val="28"/>
          <w:highlight w:val="none"/>
        </w:rPr>
        <w:t>、同意向贵方提供可能要求的，与本次投标有关的任何证据或资料，并保证我方已提供和将要提供的文件资料是真实、准确的，否则，愿承担《中华人民共和国政府采购法》第七十七条规定的法律责任。我们完全理解最低投标报价不作为中标的唯一条件，且尊重评标委员会的评标结论和定标结果。</w:t>
      </w:r>
    </w:p>
    <w:p>
      <w:pPr>
        <w:pStyle w:val="22"/>
        <w:spacing w:line="400" w:lineRule="exact"/>
        <w:ind w:firstLine="420"/>
        <w:rPr>
          <w:rFonts w:hint="eastAsia" w:ascii="宋体" w:hAnsi="宋体" w:eastAsia="宋体" w:cs="宋体"/>
          <w:bCs/>
          <w:szCs w:val="28"/>
          <w:highlight w:val="none"/>
        </w:rPr>
      </w:pPr>
      <w:r>
        <w:rPr>
          <w:rFonts w:hint="eastAsia" w:ascii="宋体" w:hAnsi="宋体" w:eastAsia="宋体" w:cs="宋体"/>
          <w:bCs/>
          <w:szCs w:val="28"/>
          <w:highlight w:val="none"/>
          <w:lang w:val="en-US" w:eastAsia="zh-CN"/>
        </w:rPr>
        <w:t>7</w:t>
      </w:r>
      <w:r>
        <w:rPr>
          <w:rFonts w:hint="eastAsia" w:ascii="宋体" w:hAnsi="宋体" w:eastAsia="宋体" w:cs="宋体"/>
          <w:bCs/>
          <w:szCs w:val="28"/>
          <w:highlight w:val="none"/>
        </w:rPr>
        <w:t>、按照</w:t>
      </w:r>
      <w:r>
        <w:rPr>
          <w:rFonts w:hint="eastAsia" w:ascii="宋体" w:hAnsi="宋体" w:eastAsia="宋体" w:cs="宋体"/>
          <w:bCs/>
          <w:szCs w:val="28"/>
          <w:highlight w:val="none"/>
          <w:lang w:eastAsia="zh-CN"/>
        </w:rPr>
        <w:t>招标文件</w:t>
      </w:r>
      <w:r>
        <w:rPr>
          <w:rFonts w:hint="eastAsia" w:ascii="宋体" w:hAnsi="宋体" w:eastAsia="宋体" w:cs="宋体"/>
          <w:bCs/>
          <w:szCs w:val="28"/>
          <w:highlight w:val="none"/>
        </w:rPr>
        <w:t>确定的事项签订政府采购合同，履行双方所签订的合同，并承担合同规定的责任和义务，按合同约定实施和完成项目的</w:t>
      </w:r>
      <w:r>
        <w:rPr>
          <w:rFonts w:hint="eastAsia" w:ascii="宋体" w:hAnsi="宋体" w:eastAsia="宋体" w:cs="宋体"/>
          <w:bCs/>
          <w:szCs w:val="28"/>
          <w:highlight w:val="none"/>
          <w:lang w:val="en-US" w:eastAsia="zh-CN"/>
        </w:rPr>
        <w:t>服务内容</w:t>
      </w:r>
      <w:r>
        <w:rPr>
          <w:rFonts w:hint="eastAsia" w:ascii="宋体" w:hAnsi="宋体" w:eastAsia="宋体" w:cs="宋体"/>
          <w:bCs/>
          <w:szCs w:val="28"/>
          <w:highlight w:val="none"/>
        </w:rPr>
        <w:t>。</w:t>
      </w:r>
    </w:p>
    <w:p>
      <w:pPr>
        <w:pStyle w:val="22"/>
        <w:spacing w:line="400" w:lineRule="exact"/>
        <w:ind w:firstLine="0"/>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r>
        <w:rPr>
          <w:rFonts w:hint="eastAsia" w:ascii="宋体" w:hAnsi="宋体" w:eastAsia="宋体" w:cs="宋体"/>
          <w:bCs/>
          <w:szCs w:val="28"/>
          <w:highlight w:val="none"/>
          <w:lang w:val="en-US" w:eastAsia="zh-CN"/>
        </w:rPr>
        <w:t>8</w:t>
      </w:r>
      <w:r>
        <w:rPr>
          <w:rFonts w:hint="eastAsia" w:ascii="宋体" w:hAnsi="宋体" w:eastAsia="宋体" w:cs="宋体"/>
          <w:bCs/>
          <w:szCs w:val="28"/>
          <w:highlight w:val="none"/>
        </w:rPr>
        <w:t>、我方的投标文件在自开标之日起有效期为90个日历日，若我方中标，投标文件有效期延长至合同执行完毕。</w:t>
      </w:r>
    </w:p>
    <w:p>
      <w:pPr>
        <w:pStyle w:val="22"/>
        <w:spacing w:line="400" w:lineRule="exact"/>
        <w:ind w:firstLine="420"/>
        <w:rPr>
          <w:rFonts w:hint="eastAsia" w:ascii="宋体" w:hAnsi="宋体" w:eastAsia="宋体" w:cs="宋体"/>
          <w:bCs/>
          <w:szCs w:val="28"/>
          <w:highlight w:val="none"/>
        </w:rPr>
      </w:pPr>
      <w:r>
        <w:rPr>
          <w:rFonts w:hint="eastAsia" w:ascii="宋体" w:hAnsi="宋体" w:eastAsia="宋体" w:cs="宋体"/>
          <w:bCs/>
          <w:szCs w:val="28"/>
          <w:highlight w:val="none"/>
          <w:lang w:val="en-US" w:eastAsia="zh-CN"/>
        </w:rPr>
        <w:t>9</w:t>
      </w:r>
      <w:r>
        <w:rPr>
          <w:rFonts w:hint="eastAsia" w:ascii="宋体" w:hAnsi="宋体" w:eastAsia="宋体" w:cs="宋体"/>
          <w:bCs/>
          <w:szCs w:val="28"/>
          <w:highlight w:val="none"/>
        </w:rPr>
        <w:t>、有关本项目的所有函电，请按下列地址联系：</w:t>
      </w:r>
    </w:p>
    <w:p>
      <w:pPr>
        <w:pStyle w:val="22"/>
        <w:spacing w:line="400" w:lineRule="exact"/>
        <w:ind w:firstLine="0"/>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r>
        <w:rPr>
          <w:rFonts w:hint="eastAsia" w:ascii="宋体" w:hAnsi="宋体" w:eastAsia="宋体" w:cs="宋体"/>
          <w:bCs/>
          <w:szCs w:val="28"/>
          <w:highlight w:val="none"/>
          <w:lang w:eastAsia="zh-CN"/>
        </w:rPr>
        <w:t>投标供应商</w:t>
      </w:r>
      <w:r>
        <w:rPr>
          <w:rFonts w:hint="eastAsia" w:ascii="宋体" w:hAnsi="宋体" w:eastAsia="宋体" w:cs="宋体"/>
          <w:bCs/>
          <w:szCs w:val="28"/>
          <w:highlight w:val="none"/>
        </w:rPr>
        <w:t>名称：</w:t>
      </w:r>
      <w:r>
        <w:rPr>
          <w:rFonts w:hint="eastAsia" w:ascii="宋体" w:hAnsi="宋体" w:eastAsia="宋体" w:cs="宋体"/>
          <w:bCs/>
          <w:szCs w:val="28"/>
          <w:highlight w:val="none"/>
          <w:u w:val="single"/>
        </w:rPr>
        <w:t xml:space="preserve"> </w:t>
      </w:r>
      <w:r>
        <w:rPr>
          <w:rFonts w:hint="eastAsia" w:ascii="宋体" w:hAnsi="宋体" w:eastAsia="宋体" w:cs="宋体"/>
          <w:bCs/>
          <w:szCs w:val="28"/>
          <w:highlight w:val="none"/>
          <w:u w:val="single"/>
          <w:lang w:val="en-US" w:eastAsia="zh-CN"/>
        </w:rPr>
        <w:t xml:space="preserve">         </w:t>
      </w:r>
      <w:r>
        <w:rPr>
          <w:rFonts w:hint="eastAsia" w:ascii="宋体" w:hAnsi="宋体" w:eastAsia="宋体" w:cs="宋体"/>
          <w:bCs/>
          <w:szCs w:val="28"/>
          <w:highlight w:val="none"/>
          <w:u w:val="none"/>
        </w:rPr>
        <w:t>（</w:t>
      </w:r>
      <w:r>
        <w:rPr>
          <w:rFonts w:hint="eastAsia" w:ascii="宋体" w:hAnsi="宋体" w:eastAsia="宋体" w:cs="宋体"/>
          <w:b w:val="0"/>
          <w:sz w:val="21"/>
          <w:szCs w:val="21"/>
          <w:highlight w:val="none"/>
          <w:u w:val="none"/>
        </w:rPr>
        <w:t>单位全称、盖章</w:t>
      </w:r>
      <w:r>
        <w:rPr>
          <w:rFonts w:hint="eastAsia" w:ascii="宋体" w:hAnsi="宋体" w:eastAsia="宋体" w:cs="宋体"/>
          <w:bCs/>
          <w:szCs w:val="28"/>
          <w:highlight w:val="none"/>
          <w:u w:val="none"/>
        </w:rPr>
        <w:t>）</w:t>
      </w:r>
    </w:p>
    <w:p>
      <w:pPr>
        <w:pStyle w:val="22"/>
        <w:spacing w:line="400" w:lineRule="exact"/>
        <w:ind w:firstLine="2520" w:firstLineChars="1200"/>
        <w:rPr>
          <w:rFonts w:hint="eastAsia" w:ascii="宋体" w:hAnsi="宋体" w:eastAsia="宋体" w:cs="宋体"/>
          <w:bCs/>
          <w:szCs w:val="28"/>
          <w:highlight w:val="none"/>
          <w:u w:val="single"/>
        </w:rPr>
      </w:pPr>
      <w:r>
        <w:rPr>
          <w:rFonts w:hint="eastAsia" w:ascii="宋体" w:hAnsi="宋体" w:eastAsia="宋体" w:cs="宋体"/>
          <w:bCs/>
          <w:szCs w:val="28"/>
          <w:highlight w:val="none"/>
        </w:rPr>
        <w:t xml:space="preserve">                      法定代表人或授权代表（盖章或签字）：</w:t>
      </w:r>
      <w:r>
        <w:rPr>
          <w:rFonts w:hint="eastAsia" w:ascii="宋体" w:hAnsi="宋体" w:eastAsia="宋体" w:cs="宋体"/>
          <w:bCs/>
          <w:szCs w:val="28"/>
          <w:highlight w:val="none"/>
          <w:u w:val="single"/>
        </w:rPr>
        <w:t xml:space="preserve">   </w:t>
      </w:r>
      <w:r>
        <w:rPr>
          <w:rFonts w:hint="eastAsia" w:ascii="宋体" w:hAnsi="宋体" w:eastAsia="宋体" w:cs="宋体"/>
          <w:bCs/>
          <w:szCs w:val="28"/>
          <w:highlight w:val="none"/>
          <w:u w:val="single"/>
          <w:lang w:val="en-US" w:eastAsia="zh-CN"/>
        </w:rPr>
        <w:t xml:space="preserve"> </w:t>
      </w:r>
      <w:r>
        <w:rPr>
          <w:rFonts w:hint="eastAsia" w:ascii="宋体" w:hAnsi="宋体" w:eastAsia="宋体" w:cs="宋体"/>
          <w:bCs/>
          <w:szCs w:val="28"/>
          <w:highlight w:val="none"/>
          <w:u w:val="single"/>
        </w:rPr>
        <w:t xml:space="preserve">            </w:t>
      </w:r>
    </w:p>
    <w:p>
      <w:pPr>
        <w:pStyle w:val="22"/>
        <w:spacing w:line="400" w:lineRule="exact"/>
        <w:ind w:firstLine="2520" w:firstLineChars="1200"/>
        <w:rPr>
          <w:rFonts w:hint="eastAsia" w:ascii="宋体" w:hAnsi="宋体" w:eastAsia="宋体" w:cs="宋体"/>
          <w:bCs/>
          <w:szCs w:val="28"/>
          <w:highlight w:val="none"/>
          <w:u w:val="single"/>
        </w:rPr>
      </w:pPr>
      <w:r>
        <w:rPr>
          <w:rFonts w:hint="eastAsia" w:ascii="宋体" w:hAnsi="宋体" w:eastAsia="宋体" w:cs="宋体"/>
          <w:bCs/>
          <w:szCs w:val="28"/>
          <w:highlight w:val="none"/>
        </w:rPr>
        <w:t xml:space="preserve">                      通讯地址：</w:t>
      </w:r>
      <w:r>
        <w:rPr>
          <w:rFonts w:hint="eastAsia" w:ascii="宋体" w:hAnsi="宋体" w:eastAsia="宋体" w:cs="宋体"/>
          <w:bCs/>
          <w:szCs w:val="28"/>
          <w:highlight w:val="none"/>
          <w:u w:val="single"/>
        </w:rPr>
        <w:t xml:space="preserve">                                 </w:t>
      </w:r>
    </w:p>
    <w:p>
      <w:pPr>
        <w:pStyle w:val="22"/>
        <w:spacing w:line="400" w:lineRule="exact"/>
        <w:ind w:firstLine="2520" w:firstLineChars="1200"/>
        <w:rPr>
          <w:rFonts w:hint="eastAsia" w:ascii="宋体" w:hAnsi="宋体" w:eastAsia="宋体" w:cs="宋体"/>
          <w:bCs/>
          <w:szCs w:val="28"/>
          <w:highlight w:val="none"/>
          <w:u w:val="single"/>
        </w:rPr>
      </w:pPr>
      <w:r>
        <w:rPr>
          <w:rFonts w:hint="eastAsia" w:ascii="宋体" w:hAnsi="宋体" w:eastAsia="宋体" w:cs="宋体"/>
          <w:bCs/>
          <w:szCs w:val="28"/>
          <w:highlight w:val="none"/>
        </w:rPr>
        <w:t xml:space="preserve">                      联系电话：</w:t>
      </w:r>
      <w:r>
        <w:rPr>
          <w:rFonts w:hint="eastAsia" w:ascii="宋体" w:hAnsi="宋体" w:eastAsia="宋体" w:cs="宋体"/>
          <w:bCs/>
          <w:szCs w:val="28"/>
          <w:highlight w:val="none"/>
          <w:u w:val="single"/>
        </w:rPr>
        <w:t xml:space="preserve">                                  </w:t>
      </w:r>
    </w:p>
    <w:p>
      <w:pPr>
        <w:pStyle w:val="22"/>
        <w:spacing w:line="400" w:lineRule="exact"/>
        <w:ind w:firstLine="2520" w:firstLineChars="1200"/>
        <w:rPr>
          <w:rFonts w:hint="eastAsia" w:ascii="宋体" w:hAnsi="宋体" w:eastAsia="宋体" w:cs="宋体"/>
          <w:bCs/>
          <w:szCs w:val="28"/>
          <w:highlight w:val="none"/>
          <w:u w:val="single"/>
        </w:rPr>
      </w:pPr>
      <w:r>
        <w:rPr>
          <w:rFonts w:hint="eastAsia" w:ascii="宋体" w:hAnsi="宋体" w:eastAsia="宋体" w:cs="宋体"/>
          <w:bCs/>
          <w:szCs w:val="28"/>
          <w:highlight w:val="none"/>
        </w:rPr>
        <w:t xml:space="preserve">                      传    真：</w:t>
      </w:r>
      <w:r>
        <w:rPr>
          <w:rFonts w:hint="eastAsia" w:ascii="宋体" w:hAnsi="宋体" w:eastAsia="宋体" w:cs="宋体"/>
          <w:bCs/>
          <w:szCs w:val="28"/>
          <w:highlight w:val="none"/>
          <w:u w:val="single"/>
        </w:rPr>
        <w:t xml:space="preserve">                                 </w:t>
      </w:r>
    </w:p>
    <w:p>
      <w:pPr>
        <w:pStyle w:val="22"/>
        <w:spacing w:line="400" w:lineRule="exact"/>
        <w:ind w:firstLine="2520" w:firstLineChars="1200"/>
        <w:rPr>
          <w:rFonts w:hint="eastAsia" w:ascii="宋体" w:hAnsi="宋体" w:eastAsia="宋体" w:cs="宋体"/>
          <w:bCs/>
          <w:szCs w:val="28"/>
          <w:highlight w:val="none"/>
          <w:u w:val="single"/>
        </w:rPr>
      </w:pPr>
      <w:r>
        <w:rPr>
          <w:rFonts w:hint="eastAsia" w:ascii="宋体" w:hAnsi="宋体" w:eastAsia="宋体" w:cs="宋体"/>
          <w:bCs/>
          <w:szCs w:val="28"/>
          <w:highlight w:val="none"/>
        </w:rPr>
        <w:t xml:space="preserve">                      电子邮件：</w:t>
      </w:r>
      <w:r>
        <w:rPr>
          <w:rFonts w:hint="eastAsia" w:ascii="宋体" w:hAnsi="宋体" w:eastAsia="宋体" w:cs="宋体"/>
          <w:bCs/>
          <w:szCs w:val="28"/>
          <w:highlight w:val="none"/>
          <w:u w:val="single"/>
        </w:rPr>
        <w:t xml:space="preserve">                                    </w:t>
      </w:r>
    </w:p>
    <w:p>
      <w:pPr>
        <w:pStyle w:val="22"/>
        <w:spacing w:line="400" w:lineRule="exact"/>
        <w:ind w:firstLine="2520" w:firstLineChars="1200"/>
        <w:rPr>
          <w:rFonts w:hint="eastAsia" w:ascii="宋体" w:hAnsi="宋体" w:eastAsia="宋体" w:cs="宋体"/>
          <w:bCs/>
          <w:szCs w:val="28"/>
          <w:highlight w:val="none"/>
          <w:u w:val="single"/>
        </w:rPr>
      </w:pPr>
      <w:r>
        <w:rPr>
          <w:rFonts w:hint="eastAsia" w:ascii="宋体" w:hAnsi="宋体" w:eastAsia="宋体" w:cs="宋体"/>
          <w:bCs/>
          <w:szCs w:val="28"/>
          <w:highlight w:val="none"/>
        </w:rPr>
        <w:t xml:space="preserve">                      开户银行：</w:t>
      </w:r>
      <w:r>
        <w:rPr>
          <w:rFonts w:hint="eastAsia" w:ascii="宋体" w:hAnsi="宋体" w:eastAsia="宋体" w:cs="宋体"/>
          <w:bCs/>
          <w:szCs w:val="28"/>
          <w:highlight w:val="none"/>
          <w:u w:val="single"/>
        </w:rPr>
        <w:t xml:space="preserve">                                    </w:t>
      </w:r>
    </w:p>
    <w:p>
      <w:pPr>
        <w:pStyle w:val="22"/>
        <w:spacing w:line="400" w:lineRule="exact"/>
        <w:ind w:firstLine="2520" w:firstLineChars="1200"/>
        <w:rPr>
          <w:rFonts w:hint="eastAsia" w:ascii="宋体" w:hAnsi="宋体" w:eastAsia="宋体" w:cs="宋体"/>
          <w:bCs/>
          <w:szCs w:val="28"/>
          <w:highlight w:val="none"/>
          <w:u w:val="single"/>
        </w:rPr>
      </w:pPr>
      <w:r>
        <w:rPr>
          <w:rFonts w:hint="eastAsia" w:ascii="宋体" w:hAnsi="宋体" w:eastAsia="宋体" w:cs="宋体"/>
          <w:bCs/>
          <w:szCs w:val="28"/>
          <w:highlight w:val="none"/>
        </w:rPr>
        <w:t xml:space="preserve">                      帐    号：</w:t>
      </w:r>
      <w:r>
        <w:rPr>
          <w:rFonts w:hint="eastAsia" w:ascii="宋体" w:hAnsi="宋体" w:eastAsia="宋体" w:cs="宋体"/>
          <w:bCs/>
          <w:szCs w:val="28"/>
          <w:highlight w:val="none"/>
          <w:u w:val="single"/>
        </w:rPr>
        <w:t xml:space="preserve">                                   </w:t>
      </w:r>
    </w:p>
    <w:p>
      <w:pPr>
        <w:pStyle w:val="22"/>
        <w:spacing w:line="400" w:lineRule="exact"/>
        <w:ind w:firstLine="2520" w:firstLineChars="1200"/>
        <w:rPr>
          <w:rFonts w:hint="eastAsia" w:ascii="宋体" w:hAnsi="宋体" w:eastAsia="宋体" w:cs="宋体"/>
          <w:bCs/>
          <w:szCs w:val="28"/>
          <w:highlight w:val="none"/>
          <w:u w:val="single"/>
        </w:rPr>
      </w:pPr>
      <w:r>
        <w:rPr>
          <w:rFonts w:hint="eastAsia" w:ascii="宋体" w:hAnsi="宋体" w:eastAsia="宋体" w:cs="宋体"/>
          <w:bCs/>
          <w:szCs w:val="28"/>
          <w:highlight w:val="none"/>
        </w:rPr>
        <w:t xml:space="preserve">                      日    期：</w:t>
      </w:r>
      <w:r>
        <w:rPr>
          <w:rFonts w:hint="eastAsia" w:ascii="宋体" w:hAnsi="宋体" w:eastAsia="宋体" w:cs="宋体"/>
          <w:bCs/>
          <w:szCs w:val="28"/>
          <w:highlight w:val="none"/>
          <w:u w:val="single"/>
        </w:rPr>
        <w:t xml:space="preserve">                                </w:t>
      </w:r>
    </w:p>
    <w:p>
      <w:pPr>
        <w:spacing w:line="600" w:lineRule="exact"/>
        <w:jc w:val="center"/>
        <w:rPr>
          <w:rFonts w:hint="eastAsia" w:ascii="宋体" w:hAnsi="宋体" w:eastAsia="宋体" w:cs="宋体"/>
          <w:b/>
          <w:bCs/>
          <w:color w:val="000000"/>
          <w:sz w:val="36"/>
          <w:szCs w:val="36"/>
          <w:highlight w:val="none"/>
        </w:rPr>
      </w:pPr>
    </w:p>
    <w:p>
      <w:pPr>
        <w:pStyle w:val="16"/>
        <w:rPr>
          <w:rFonts w:hint="eastAsia" w:ascii="宋体" w:hAnsi="宋体" w:eastAsia="宋体" w:cs="宋体"/>
          <w:highlight w:val="none"/>
        </w:rPr>
      </w:pPr>
    </w:p>
    <w:p>
      <w:pPr>
        <w:spacing w:line="600" w:lineRule="exact"/>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二、开标一览表</w:t>
      </w:r>
    </w:p>
    <w:p>
      <w:pPr>
        <w:spacing w:line="360" w:lineRule="auto"/>
        <w:rPr>
          <w:rFonts w:hint="eastAsia" w:ascii="宋体" w:hAnsi="宋体" w:eastAsia="宋体" w:cs="宋体"/>
          <w:highlight w:val="none"/>
        </w:rPr>
      </w:pPr>
      <w:r>
        <w:rPr>
          <w:rFonts w:hint="eastAsia" w:ascii="宋体" w:hAnsi="宋体" w:eastAsia="宋体" w:cs="宋体"/>
          <w:b/>
          <w:bCs/>
          <w:highlight w:val="none"/>
        </w:rPr>
        <w:t xml:space="preserve">     </w:t>
      </w:r>
      <w:r>
        <w:rPr>
          <w:rFonts w:hint="eastAsia" w:ascii="宋体" w:hAnsi="宋体" w:eastAsia="宋体" w:cs="宋体"/>
          <w:highlight w:val="none"/>
        </w:rPr>
        <w:t xml:space="preserve">                  </w:t>
      </w:r>
    </w:p>
    <w:tbl>
      <w:tblPr>
        <w:tblStyle w:val="37"/>
        <w:tblW w:w="4985" w:type="pct"/>
        <w:jc w:val="center"/>
        <w:tblLayout w:type="autofit"/>
        <w:tblCellMar>
          <w:top w:w="0" w:type="dxa"/>
          <w:left w:w="108" w:type="dxa"/>
          <w:bottom w:w="0" w:type="dxa"/>
          <w:right w:w="108" w:type="dxa"/>
        </w:tblCellMar>
      </w:tblPr>
      <w:tblGrid>
        <w:gridCol w:w="2876"/>
        <w:gridCol w:w="6497"/>
      </w:tblGrid>
      <w:tr>
        <w:tblPrEx>
          <w:tblCellMar>
            <w:top w:w="0" w:type="dxa"/>
            <w:left w:w="108" w:type="dxa"/>
            <w:bottom w:w="0" w:type="dxa"/>
            <w:right w:w="108" w:type="dxa"/>
          </w:tblCellMar>
        </w:tblPrEx>
        <w:trPr>
          <w:trHeight w:val="570" w:hRule="atLeast"/>
          <w:jc w:val="center"/>
        </w:trPr>
        <w:tc>
          <w:tcPr>
            <w:tcW w:w="153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采购项目名称</w:t>
            </w:r>
          </w:p>
        </w:tc>
        <w:tc>
          <w:tcPr>
            <w:tcW w:w="3465" w:type="pct"/>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napToGrid w:val="0"/>
              <w:jc w:val="center"/>
              <w:rPr>
                <w:rFonts w:hint="eastAsia" w:ascii="宋体" w:hAnsi="宋体" w:eastAsia="宋体" w:cs="宋体"/>
                <w:sz w:val="32"/>
                <w:szCs w:val="32"/>
                <w:highlight w:val="none"/>
                <w:lang w:eastAsia="zh-CN"/>
              </w:rPr>
            </w:pPr>
          </w:p>
        </w:tc>
      </w:tr>
      <w:tr>
        <w:tblPrEx>
          <w:tblCellMar>
            <w:top w:w="0" w:type="dxa"/>
            <w:left w:w="108" w:type="dxa"/>
            <w:bottom w:w="0" w:type="dxa"/>
            <w:right w:w="108" w:type="dxa"/>
          </w:tblCellMar>
        </w:tblPrEx>
        <w:trPr>
          <w:trHeight w:val="398" w:hRule="atLeast"/>
          <w:jc w:val="center"/>
        </w:trPr>
        <w:tc>
          <w:tcPr>
            <w:tcW w:w="153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采购项目编号</w:t>
            </w:r>
          </w:p>
        </w:tc>
        <w:tc>
          <w:tcPr>
            <w:tcW w:w="3465" w:type="pct"/>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napToGrid w:val="0"/>
              <w:spacing w:line="360" w:lineRule="auto"/>
              <w:jc w:val="center"/>
              <w:rPr>
                <w:rFonts w:hint="eastAsia" w:ascii="宋体" w:hAnsi="宋体" w:eastAsia="宋体" w:cs="宋体"/>
                <w:sz w:val="32"/>
                <w:szCs w:val="32"/>
                <w:highlight w:val="none"/>
                <w:lang w:eastAsia="zh-CN"/>
              </w:rPr>
            </w:pPr>
          </w:p>
        </w:tc>
      </w:tr>
      <w:tr>
        <w:tblPrEx>
          <w:tblCellMar>
            <w:top w:w="0" w:type="dxa"/>
            <w:left w:w="108" w:type="dxa"/>
            <w:bottom w:w="0" w:type="dxa"/>
            <w:right w:w="108" w:type="dxa"/>
          </w:tblCellMar>
        </w:tblPrEx>
        <w:trPr>
          <w:trHeight w:val="788" w:hRule="atLeast"/>
          <w:jc w:val="center"/>
        </w:trPr>
        <w:tc>
          <w:tcPr>
            <w:tcW w:w="1534" w:type="pct"/>
            <w:tcBorders>
              <w:top w:val="single" w:color="auto" w:sz="6" w:space="0"/>
              <w:left w:val="single" w:color="auto" w:sz="6" w:space="0"/>
              <w:bottom w:val="single" w:color="auto" w:sz="6" w:space="0"/>
              <w:right w:val="single" w:color="auto" w:sz="6" w:space="0"/>
            </w:tcBorders>
            <w:noWrap w:val="0"/>
            <w:vAlign w:val="center"/>
          </w:tcPr>
          <w:p>
            <w:pPr>
              <w:pStyle w:val="16"/>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投标总报价</w:t>
            </w:r>
          </w:p>
          <w:p>
            <w:pPr>
              <w:pStyle w:val="16"/>
              <w:ind w:right="-84" w:rightChars="-4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（元/年）</w:t>
            </w:r>
          </w:p>
        </w:tc>
        <w:tc>
          <w:tcPr>
            <w:tcW w:w="3465" w:type="pct"/>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napToGrid w:val="0"/>
              <w:spacing w:line="240" w:lineRule="auto"/>
              <w:rPr>
                <w:rFonts w:hint="eastAsia" w:ascii="宋体" w:hAnsi="宋体" w:eastAsia="宋体" w:cs="宋体"/>
                <w:sz w:val="32"/>
                <w:szCs w:val="32"/>
                <w:highlight w:val="none"/>
                <w:u w:val="single"/>
                <w:lang w:val="en-US" w:eastAsia="zh-CN"/>
              </w:rPr>
            </w:pPr>
            <w:r>
              <w:rPr>
                <w:rFonts w:hint="eastAsia" w:ascii="宋体" w:hAnsi="宋体" w:eastAsia="宋体" w:cs="宋体"/>
                <w:color w:val="000000"/>
                <w:kern w:val="2"/>
                <w:sz w:val="21"/>
                <w:szCs w:val="21"/>
                <w:highlight w:val="none"/>
                <w:lang w:val="en-US" w:eastAsia="zh-CN" w:bidi="ar-SA"/>
              </w:rPr>
              <w:t>大写：</w:t>
            </w:r>
            <w:r>
              <w:rPr>
                <w:rFonts w:hint="eastAsia" w:ascii="宋体" w:hAnsi="宋体" w:eastAsia="宋体" w:cs="宋体"/>
                <w:sz w:val="32"/>
                <w:szCs w:val="32"/>
                <w:highlight w:val="none"/>
                <w:u w:val="single"/>
                <w:lang w:val="en-US" w:eastAsia="zh-CN"/>
              </w:rPr>
              <w:t xml:space="preserve">            </w:t>
            </w:r>
          </w:p>
          <w:p>
            <w:pPr>
              <w:autoSpaceDE w:val="0"/>
              <w:autoSpaceDN w:val="0"/>
              <w:adjustRightInd w:val="0"/>
              <w:snapToGrid w:val="0"/>
              <w:spacing w:line="240" w:lineRule="auto"/>
              <w:rPr>
                <w:rFonts w:hint="eastAsia" w:ascii="宋体" w:hAnsi="宋体" w:eastAsia="宋体" w:cs="宋体"/>
                <w:sz w:val="32"/>
                <w:szCs w:val="32"/>
                <w:highlight w:val="none"/>
                <w:lang w:eastAsia="zh-CN"/>
              </w:rPr>
            </w:pPr>
            <w:r>
              <w:rPr>
                <w:rFonts w:hint="eastAsia" w:ascii="宋体" w:hAnsi="宋体" w:eastAsia="宋体" w:cs="宋体"/>
                <w:color w:val="000000"/>
                <w:kern w:val="2"/>
                <w:sz w:val="21"/>
                <w:szCs w:val="21"/>
                <w:highlight w:val="none"/>
                <w:lang w:val="en-US" w:eastAsia="zh-CN" w:bidi="ar-SA"/>
              </w:rPr>
              <w:t>小写：</w:t>
            </w:r>
            <w:r>
              <w:rPr>
                <w:rFonts w:hint="eastAsia" w:ascii="宋体" w:hAnsi="宋体" w:eastAsia="宋体" w:cs="宋体"/>
                <w:sz w:val="32"/>
                <w:szCs w:val="32"/>
                <w:highlight w:val="none"/>
                <w:u w:val="single"/>
                <w:lang w:val="en-US" w:eastAsia="zh-CN"/>
              </w:rPr>
              <w:t xml:space="preserve">            </w:t>
            </w:r>
          </w:p>
        </w:tc>
      </w:tr>
      <w:tr>
        <w:tblPrEx>
          <w:tblCellMar>
            <w:top w:w="0" w:type="dxa"/>
            <w:left w:w="108" w:type="dxa"/>
            <w:bottom w:w="0" w:type="dxa"/>
            <w:right w:w="108" w:type="dxa"/>
          </w:tblCellMar>
        </w:tblPrEx>
        <w:trPr>
          <w:trHeight w:val="800" w:hRule="atLeast"/>
          <w:jc w:val="center"/>
        </w:trPr>
        <w:tc>
          <w:tcPr>
            <w:tcW w:w="153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tabs>
                <w:tab w:val="left" w:pos="4499"/>
              </w:tabs>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一级绿化养护</w:t>
            </w:r>
          </w:p>
          <w:p>
            <w:pPr>
              <w:keepNext w:val="0"/>
              <w:keepLines w:val="0"/>
              <w:widowControl/>
              <w:suppressLineNumbers w:val="0"/>
              <w:tabs>
                <w:tab w:val="left" w:pos="4499"/>
              </w:tabs>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全费用综合单价</w:t>
            </w:r>
          </w:p>
          <w:p>
            <w:pPr>
              <w:autoSpaceDE w:val="0"/>
              <w:autoSpaceDN w:val="0"/>
              <w:adjustRightInd w:val="0"/>
              <w:snapToGrid w:val="0"/>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（元/平方米·年）</w:t>
            </w:r>
          </w:p>
        </w:tc>
        <w:tc>
          <w:tcPr>
            <w:tcW w:w="3465" w:type="pct"/>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napToGrid w:val="0"/>
              <w:jc w:val="left"/>
              <w:rPr>
                <w:rFonts w:hint="eastAsia" w:ascii="宋体" w:hAnsi="宋体" w:eastAsia="宋体" w:cs="宋体"/>
                <w:sz w:val="32"/>
                <w:szCs w:val="32"/>
                <w:highlight w:val="none"/>
                <w:lang w:eastAsia="zh-CN"/>
              </w:rPr>
            </w:pPr>
            <w:r>
              <w:rPr>
                <w:rFonts w:hint="eastAsia" w:ascii="宋体" w:hAnsi="宋体" w:eastAsia="宋体" w:cs="宋体"/>
                <w:color w:val="000000"/>
                <w:kern w:val="2"/>
                <w:sz w:val="21"/>
                <w:szCs w:val="21"/>
                <w:highlight w:val="none"/>
                <w:lang w:val="en-US" w:eastAsia="zh-CN" w:bidi="ar-SA"/>
              </w:rPr>
              <w:t>小写：</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color w:val="000000"/>
                <w:kern w:val="2"/>
                <w:sz w:val="21"/>
                <w:szCs w:val="21"/>
                <w:highlight w:val="none"/>
                <w:lang w:val="en-US" w:eastAsia="zh-CN" w:bidi="ar-SA"/>
              </w:rPr>
              <w:t>元/平方米·年</w:t>
            </w:r>
          </w:p>
        </w:tc>
      </w:tr>
      <w:tr>
        <w:tblPrEx>
          <w:tblCellMar>
            <w:top w:w="0" w:type="dxa"/>
            <w:left w:w="108" w:type="dxa"/>
            <w:bottom w:w="0" w:type="dxa"/>
            <w:right w:w="108" w:type="dxa"/>
          </w:tblCellMar>
        </w:tblPrEx>
        <w:trPr>
          <w:trHeight w:val="800" w:hRule="atLeast"/>
          <w:jc w:val="center"/>
        </w:trPr>
        <w:tc>
          <w:tcPr>
            <w:tcW w:w="153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tabs>
                <w:tab w:val="left" w:pos="4499"/>
              </w:tabs>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二级绿化养护</w:t>
            </w:r>
          </w:p>
          <w:p>
            <w:pPr>
              <w:keepNext w:val="0"/>
              <w:keepLines w:val="0"/>
              <w:widowControl/>
              <w:suppressLineNumbers w:val="0"/>
              <w:tabs>
                <w:tab w:val="left" w:pos="4499"/>
              </w:tabs>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全费用综合单价</w:t>
            </w:r>
          </w:p>
          <w:p>
            <w:pPr>
              <w:autoSpaceDE w:val="0"/>
              <w:autoSpaceDN w:val="0"/>
              <w:adjustRightInd w:val="0"/>
              <w:snapToGrid w:val="0"/>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（元/平方米·年）</w:t>
            </w:r>
          </w:p>
        </w:tc>
        <w:tc>
          <w:tcPr>
            <w:tcW w:w="3465" w:type="pct"/>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napToGrid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小写：</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color w:val="000000"/>
                <w:kern w:val="2"/>
                <w:sz w:val="21"/>
                <w:szCs w:val="21"/>
                <w:highlight w:val="none"/>
                <w:lang w:val="en-US" w:eastAsia="zh-CN" w:bidi="ar-SA"/>
              </w:rPr>
              <w:t>元/平方米·年</w:t>
            </w:r>
          </w:p>
        </w:tc>
      </w:tr>
      <w:tr>
        <w:tblPrEx>
          <w:tblCellMar>
            <w:top w:w="0" w:type="dxa"/>
            <w:left w:w="108" w:type="dxa"/>
            <w:bottom w:w="0" w:type="dxa"/>
            <w:right w:w="108" w:type="dxa"/>
          </w:tblCellMar>
        </w:tblPrEx>
        <w:trPr>
          <w:trHeight w:val="800" w:hRule="atLeast"/>
          <w:jc w:val="center"/>
        </w:trPr>
        <w:tc>
          <w:tcPr>
            <w:tcW w:w="28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tabs>
                <w:tab w:val="left" w:pos="4499"/>
              </w:tabs>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行道树养护全费用综合单价</w:t>
            </w:r>
          </w:p>
          <w:p>
            <w:pPr>
              <w:autoSpaceDE w:val="0"/>
              <w:autoSpaceDN w:val="0"/>
              <w:adjustRightInd w:val="0"/>
              <w:snapToGrid w:val="0"/>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（元/株·年）</w:t>
            </w:r>
          </w:p>
        </w:tc>
        <w:tc>
          <w:tcPr>
            <w:tcW w:w="6497"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napToGrid w:val="0"/>
              <w:spacing w:line="24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小写：</w:t>
            </w:r>
            <w:r>
              <w:rPr>
                <w:rFonts w:hint="eastAsia" w:ascii="仿宋_GB2312" w:hAnsi="宋体" w:eastAsia="仿宋_GB2312" w:cs="Times New Roman"/>
                <w:sz w:val="32"/>
                <w:szCs w:val="32"/>
                <w:highlight w:val="none"/>
                <w:u w:val="single"/>
                <w:lang w:val="en-US" w:eastAsia="zh-CN"/>
              </w:rPr>
              <w:t xml:space="preserve">      </w:t>
            </w:r>
            <w:r>
              <w:rPr>
                <w:rFonts w:hint="eastAsia" w:ascii="宋体" w:hAnsi="宋体" w:eastAsia="宋体" w:cs="宋体"/>
                <w:color w:val="000000"/>
                <w:kern w:val="2"/>
                <w:sz w:val="21"/>
                <w:szCs w:val="21"/>
                <w:highlight w:val="none"/>
                <w:lang w:val="en-US" w:eastAsia="zh-CN" w:bidi="ar-SA"/>
              </w:rPr>
              <w:t>元/株·年</w:t>
            </w:r>
          </w:p>
        </w:tc>
      </w:tr>
      <w:tr>
        <w:tblPrEx>
          <w:tblCellMar>
            <w:top w:w="0" w:type="dxa"/>
            <w:left w:w="108" w:type="dxa"/>
            <w:bottom w:w="0" w:type="dxa"/>
            <w:right w:w="108" w:type="dxa"/>
          </w:tblCellMar>
        </w:tblPrEx>
        <w:trPr>
          <w:trHeight w:val="668" w:hRule="atLeast"/>
          <w:jc w:val="center"/>
        </w:trPr>
        <w:tc>
          <w:tcPr>
            <w:tcW w:w="153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质量标准 </w:t>
            </w:r>
          </w:p>
        </w:tc>
        <w:tc>
          <w:tcPr>
            <w:tcW w:w="346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Cs w:val="21"/>
                <w:highlight w:val="none"/>
                <w:lang w:val="en-US" w:eastAsia="zh-CN"/>
              </w:rPr>
              <w:t>达到“合格”标准及满足第四章“采购内容及技术要求”的要求</w:t>
            </w:r>
          </w:p>
        </w:tc>
      </w:tr>
      <w:tr>
        <w:tblPrEx>
          <w:tblCellMar>
            <w:top w:w="0" w:type="dxa"/>
            <w:left w:w="108" w:type="dxa"/>
            <w:bottom w:w="0" w:type="dxa"/>
            <w:right w:w="108" w:type="dxa"/>
          </w:tblCellMar>
        </w:tblPrEx>
        <w:trPr>
          <w:trHeight w:val="827" w:hRule="atLeast"/>
          <w:jc w:val="center"/>
        </w:trPr>
        <w:tc>
          <w:tcPr>
            <w:tcW w:w="153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服务期限</w:t>
            </w:r>
          </w:p>
        </w:tc>
        <w:tc>
          <w:tcPr>
            <w:tcW w:w="346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auto"/>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三年（合同为每年签订一次，服务期一年，服务供应商在服务期内达不到采购人要求的，采购人有权更换服务供应商）。</w:t>
            </w:r>
          </w:p>
        </w:tc>
      </w:tr>
      <w:tr>
        <w:tblPrEx>
          <w:tblCellMar>
            <w:top w:w="0" w:type="dxa"/>
            <w:left w:w="108" w:type="dxa"/>
            <w:bottom w:w="0" w:type="dxa"/>
            <w:right w:w="108" w:type="dxa"/>
          </w:tblCellMar>
        </w:tblPrEx>
        <w:trPr>
          <w:trHeight w:val="1216" w:hRule="atLeast"/>
          <w:jc w:val="center"/>
        </w:trPr>
        <w:tc>
          <w:tcPr>
            <w:tcW w:w="5000" w:type="pct"/>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240" w:lineRule="auto"/>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注：</w:t>
            </w:r>
          </w:p>
          <w:p>
            <w:pPr>
              <w:spacing w:line="56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w:t>
            </w:r>
            <w:r>
              <w:rPr>
                <w:rFonts w:hint="eastAsia" w:ascii="宋体" w:hAnsi="宋体" w:eastAsia="宋体" w:cs="宋体"/>
                <w:szCs w:val="21"/>
                <w:highlight w:val="none"/>
              </w:rPr>
              <w:t>本表中报价数字保留小数点后两位</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第三位四舍五入。</w:t>
            </w:r>
          </w:p>
          <w:p>
            <w:pPr>
              <w:autoSpaceDE w:val="0"/>
              <w:autoSpaceDN w:val="0"/>
              <w:adjustRightInd w:val="0"/>
              <w:snapToGrid w:val="0"/>
              <w:spacing w:line="240" w:lineRule="auto"/>
              <w:jc w:val="left"/>
              <w:rPr>
                <w:rFonts w:hint="eastAsia" w:ascii="宋体" w:hAnsi="宋体" w:eastAsia="宋体" w:cs="宋体"/>
                <w:szCs w:val="21"/>
                <w:highlight w:val="none"/>
                <w:lang w:eastAsia="zh-CN"/>
              </w:rPr>
            </w:pP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szCs w:val="21"/>
                <w:highlight w:val="none"/>
              </w:rPr>
              <w:t>本表所列各项数据与投标文件其他地方表述不一致时，以本表为准</w:t>
            </w:r>
            <w:r>
              <w:rPr>
                <w:rFonts w:hint="eastAsia" w:ascii="宋体" w:hAnsi="宋体" w:eastAsia="宋体" w:cs="宋体"/>
                <w:szCs w:val="21"/>
                <w:highlight w:val="none"/>
                <w:lang w:eastAsia="zh-CN"/>
              </w:rPr>
              <w:t>。</w:t>
            </w:r>
          </w:p>
          <w:p>
            <w:pPr>
              <w:autoSpaceDE w:val="0"/>
              <w:autoSpaceDN w:val="0"/>
              <w:adjustRightInd w:val="0"/>
              <w:snapToGrid w:val="0"/>
              <w:spacing w:line="240" w:lineRule="auto"/>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Cs w:val="21"/>
                <w:highlight w:val="none"/>
                <w:lang w:val="en-US" w:eastAsia="zh-CN"/>
              </w:rPr>
              <w:t>3.</w:t>
            </w:r>
            <w:r>
              <w:rPr>
                <w:rFonts w:hint="eastAsia" w:ascii="宋体" w:hAnsi="宋体" w:eastAsia="宋体" w:cs="宋体"/>
                <w:color w:val="000000"/>
                <w:kern w:val="2"/>
                <w:sz w:val="21"/>
                <w:szCs w:val="21"/>
                <w:highlight w:val="none"/>
                <w:lang w:val="en-US" w:eastAsia="zh-CN" w:bidi="ar-SA"/>
              </w:rPr>
              <w:t>报价大小写不一致时，以大写为准。</w:t>
            </w:r>
          </w:p>
        </w:tc>
      </w:tr>
    </w:tbl>
    <w:p>
      <w:pPr>
        <w:tabs>
          <w:tab w:val="left" w:pos="1800"/>
          <w:tab w:val="left" w:pos="5580"/>
        </w:tabs>
        <w:wordWrap w:val="0"/>
        <w:spacing w:line="360" w:lineRule="auto"/>
        <w:ind w:left="1080" w:leftChars="257" w:right="84" w:rightChars="40" w:hanging="540"/>
        <w:jc w:val="center"/>
        <w:rPr>
          <w:rFonts w:hint="eastAsia" w:ascii="宋体" w:hAnsi="宋体" w:eastAsia="宋体" w:cs="宋体"/>
          <w:sz w:val="24"/>
          <w:highlight w:val="none"/>
        </w:rPr>
      </w:pPr>
    </w:p>
    <w:p>
      <w:pPr>
        <w:pStyle w:val="134"/>
        <w:spacing w:line="500" w:lineRule="exact"/>
        <w:ind w:firstLine="4830" w:firstLineChars="2300"/>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eastAsia="zh-CN"/>
        </w:rPr>
        <w:t>投标供应商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（单位全称、盖章）   </w:t>
      </w:r>
    </w:p>
    <w:p>
      <w:pPr>
        <w:pStyle w:val="134"/>
        <w:spacing w:line="500" w:lineRule="exact"/>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法定代表人或授权代表：</w:t>
      </w:r>
      <w:r>
        <w:rPr>
          <w:rFonts w:hint="eastAsia" w:ascii="宋体" w:hAnsi="宋体" w:eastAsia="宋体" w:cs="宋体"/>
          <w:b w:val="0"/>
          <w:sz w:val="21"/>
          <w:szCs w:val="21"/>
          <w:highlight w:val="none"/>
          <w:u w:val="single"/>
        </w:rPr>
        <w:t xml:space="preserve">     （盖章或签字）    </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投标日期：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tabs>
          <w:tab w:val="left" w:pos="1800"/>
          <w:tab w:val="left" w:pos="5580"/>
        </w:tabs>
        <w:wordWrap w:val="0"/>
        <w:spacing w:line="360" w:lineRule="auto"/>
        <w:ind w:left="1080" w:leftChars="257" w:right="84" w:rightChars="40" w:hanging="540"/>
        <w:jc w:val="center"/>
        <w:rPr>
          <w:rFonts w:hint="eastAsia" w:ascii="宋体" w:hAnsi="宋体" w:eastAsia="宋体" w:cs="宋体"/>
          <w:sz w:val="24"/>
          <w:highlight w:val="none"/>
        </w:rPr>
      </w:pPr>
    </w:p>
    <w:p>
      <w:pPr>
        <w:tabs>
          <w:tab w:val="left" w:pos="1800"/>
          <w:tab w:val="left" w:pos="5580"/>
        </w:tabs>
        <w:wordWrap w:val="0"/>
        <w:spacing w:line="360" w:lineRule="auto"/>
        <w:ind w:left="1080" w:leftChars="257" w:right="84" w:rightChars="40" w:hanging="540"/>
        <w:jc w:val="center"/>
        <w:rPr>
          <w:rFonts w:hint="eastAsia" w:ascii="宋体" w:hAnsi="宋体" w:eastAsia="宋体" w:cs="宋体"/>
          <w:sz w:val="24"/>
          <w:highlight w:val="none"/>
        </w:rPr>
      </w:pPr>
    </w:p>
    <w:p>
      <w:pPr>
        <w:tabs>
          <w:tab w:val="left" w:pos="1800"/>
          <w:tab w:val="left" w:pos="5580"/>
        </w:tabs>
        <w:wordWrap w:val="0"/>
        <w:spacing w:line="360" w:lineRule="auto"/>
        <w:ind w:left="1080" w:leftChars="257" w:right="84" w:rightChars="40" w:hanging="540"/>
        <w:jc w:val="center"/>
        <w:rPr>
          <w:rFonts w:hint="eastAsia" w:ascii="宋体" w:hAnsi="宋体" w:eastAsia="宋体" w:cs="宋体"/>
          <w:sz w:val="24"/>
          <w:highlight w:val="none"/>
        </w:rPr>
      </w:pPr>
    </w:p>
    <w:p>
      <w:pPr>
        <w:tabs>
          <w:tab w:val="left" w:pos="1800"/>
          <w:tab w:val="left" w:pos="5580"/>
        </w:tabs>
        <w:wordWrap w:val="0"/>
        <w:spacing w:line="360" w:lineRule="auto"/>
        <w:ind w:left="1080" w:leftChars="257" w:right="84" w:rightChars="40" w:hanging="540"/>
        <w:jc w:val="center"/>
        <w:rPr>
          <w:rFonts w:hint="eastAsia" w:ascii="宋体" w:hAnsi="宋体" w:eastAsia="宋体" w:cs="宋体"/>
          <w:sz w:val="24"/>
          <w:highlight w:val="none"/>
        </w:rPr>
      </w:pPr>
    </w:p>
    <w:bookmarkEnd w:id="19"/>
    <w:p>
      <w:pPr>
        <w:spacing w:line="560" w:lineRule="exact"/>
        <w:jc w:val="both"/>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br w:type="page"/>
      </w:r>
    </w:p>
    <w:p>
      <w:pPr>
        <w:numPr>
          <w:ilvl w:val="0"/>
          <w:numId w:val="7"/>
        </w:numPr>
        <w:spacing w:line="600" w:lineRule="exact"/>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投标分项报价表</w:t>
      </w:r>
    </w:p>
    <w:p>
      <w:pPr>
        <w:pStyle w:val="22"/>
        <w:rPr>
          <w:rFonts w:hint="eastAsia" w:ascii="宋体" w:hAnsi="宋体" w:eastAsia="宋体" w:cs="宋体"/>
          <w:highlight w:val="none"/>
        </w:rPr>
      </w:pPr>
    </w:p>
    <w:p>
      <w:pPr>
        <w:pStyle w:val="22"/>
        <w:widowControl w:val="0"/>
        <w:numPr>
          <w:ilvl w:val="0"/>
          <w:numId w:val="0"/>
        </w:numPr>
        <w:tabs>
          <w:tab w:val="left" w:pos="8199"/>
        </w:tabs>
        <w:spacing w:line="360"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项目名称：秦汉新城绿化养护二标段</w:t>
      </w:r>
    </w:p>
    <w:tbl>
      <w:tblPr>
        <w:tblStyle w:val="37"/>
        <w:tblpPr w:leftFromText="180" w:rightFromText="180" w:vertAnchor="page" w:horzAnchor="page" w:tblpX="1526" w:tblpY="3019"/>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0"/>
        <w:gridCol w:w="1000"/>
        <w:gridCol w:w="850"/>
        <w:gridCol w:w="1300"/>
        <w:gridCol w:w="2584"/>
        <w:gridCol w:w="1633"/>
        <w:gridCol w:w="1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4499"/>
              </w:tabs>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秦汉新城绿化养护二标段分项报价表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000"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区域位置</w:t>
            </w:r>
          </w:p>
        </w:tc>
        <w:tc>
          <w:tcPr>
            <w:tcW w:w="8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等级</w:t>
            </w:r>
          </w:p>
        </w:tc>
        <w:tc>
          <w:tcPr>
            <w:tcW w:w="1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绿化养护面积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w:t>
            </w:r>
          </w:p>
        </w:tc>
        <w:tc>
          <w:tcPr>
            <w:tcW w:w="25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tabs>
                <w:tab w:val="left" w:pos="4499"/>
              </w:tabs>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全费用综合单价</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（元/平方米·年）/(元/株·年)</w:t>
            </w:r>
          </w:p>
        </w:tc>
        <w:tc>
          <w:tcPr>
            <w:tcW w:w="16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合价</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（元/年）</w:t>
            </w:r>
          </w:p>
        </w:tc>
        <w:tc>
          <w:tcPr>
            <w:tcW w:w="16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trPr>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0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泾渭大道以东、兰池大道周边区域</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一级</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461825.5</w:t>
            </w:r>
            <w:r>
              <w:rPr>
                <w:rFonts w:hint="eastAsia" w:ascii="宋体" w:hAnsi="宋体" w:cs="宋体"/>
                <w:i w:val="0"/>
                <w:iCs w:val="0"/>
                <w:color w:val="000000"/>
                <w:kern w:val="0"/>
                <w:sz w:val="18"/>
                <w:szCs w:val="18"/>
                <w:highlight w:val="none"/>
                <w:u w:val="none"/>
                <w:lang w:val="en-US" w:eastAsia="zh-CN" w:bidi="ar"/>
              </w:rPr>
              <w:t>0</w:t>
            </w:r>
          </w:p>
        </w:tc>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i w:val="0"/>
                <w:iCs w:val="0"/>
                <w:color w:val="000000"/>
                <w:kern w:val="0"/>
                <w:sz w:val="18"/>
                <w:szCs w:val="18"/>
                <w:highlight w:val="none"/>
                <w:u w:val="none"/>
                <w:lang w:val="en-US" w:eastAsia="zh-CN" w:bidi="ar"/>
              </w:rPr>
              <w:t>元/平方米·年</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4499"/>
              </w:tabs>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合价</w:t>
            </w:r>
          </w:p>
          <w:p>
            <w:pPr>
              <w:keepNext w:val="0"/>
              <w:keepLines w:val="0"/>
              <w:widowControl/>
              <w:suppressLineNumbers w:val="0"/>
              <w:tabs>
                <w:tab w:val="left" w:pos="4499"/>
              </w:tabs>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=绿化养护面积*一级绿化养护</w:t>
            </w:r>
          </w:p>
          <w:p>
            <w:pPr>
              <w:keepNext w:val="0"/>
              <w:keepLines w:val="0"/>
              <w:widowControl/>
              <w:suppressLineNumbers w:val="0"/>
              <w:tabs>
                <w:tab w:val="left" w:pos="4499"/>
              </w:tabs>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全费用综合单价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trPr>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00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二级</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193200.1</w:t>
            </w:r>
            <w:r>
              <w:rPr>
                <w:rFonts w:hint="eastAsia" w:ascii="宋体" w:hAnsi="宋体" w:cs="宋体"/>
                <w:i w:val="0"/>
                <w:iCs w:val="0"/>
                <w:color w:val="000000"/>
                <w:kern w:val="0"/>
                <w:sz w:val="18"/>
                <w:szCs w:val="18"/>
                <w:highlight w:val="none"/>
                <w:u w:val="none"/>
                <w:lang w:val="en-US" w:eastAsia="zh-CN" w:bidi="ar"/>
              </w:rPr>
              <w:t>0</w:t>
            </w:r>
          </w:p>
        </w:tc>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i w:val="0"/>
                <w:iCs w:val="0"/>
                <w:color w:val="000000"/>
                <w:kern w:val="0"/>
                <w:sz w:val="18"/>
                <w:szCs w:val="18"/>
                <w:highlight w:val="none"/>
                <w:u w:val="none"/>
                <w:lang w:val="en-US" w:eastAsia="zh-CN" w:bidi="ar"/>
              </w:rPr>
              <w:t>元/平方米·年</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4499"/>
              </w:tabs>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合价</w:t>
            </w:r>
          </w:p>
          <w:p>
            <w:pPr>
              <w:keepNext w:val="0"/>
              <w:keepLines w:val="0"/>
              <w:widowControl/>
              <w:suppressLineNumbers w:val="0"/>
              <w:tabs>
                <w:tab w:val="left" w:pos="4499"/>
              </w:tabs>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=绿化养护面积*二级绿化养护</w:t>
            </w:r>
          </w:p>
          <w:p>
            <w:pPr>
              <w:keepNext w:val="0"/>
              <w:keepLines w:val="0"/>
              <w:widowControl/>
              <w:suppressLineNumbers w:val="0"/>
              <w:tabs>
                <w:tab w:val="left" w:pos="4499"/>
              </w:tabs>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全费用综合单价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trPr>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3</w:t>
            </w:r>
          </w:p>
        </w:tc>
        <w:tc>
          <w:tcPr>
            <w:tcW w:w="100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行道树数量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（株）</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1895</w:t>
            </w:r>
          </w:p>
        </w:tc>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32"/>
                <w:szCs w:val="32"/>
                <w:highlight w:val="none"/>
                <w:u w:val="single"/>
                <w:lang w:val="en-US" w:eastAsia="zh-CN"/>
              </w:rPr>
            </w:pPr>
            <w:r>
              <w:rPr>
                <w:rFonts w:hint="eastAsia" w:ascii="仿宋_GB2312" w:hAnsi="宋体" w:eastAsia="仿宋_GB2312" w:cs="Times New Roman"/>
                <w:sz w:val="32"/>
                <w:szCs w:val="32"/>
                <w:highlight w:val="none"/>
                <w:u w:val="single"/>
                <w:lang w:val="en-US" w:eastAsia="zh-CN"/>
              </w:rPr>
              <w:t xml:space="preserve">    </w:t>
            </w:r>
            <w:r>
              <w:rPr>
                <w:rFonts w:hint="eastAsia" w:ascii="宋体" w:hAnsi="宋体" w:eastAsia="宋体" w:cs="宋体"/>
                <w:i w:val="0"/>
                <w:iCs w:val="0"/>
                <w:color w:val="000000"/>
                <w:kern w:val="0"/>
                <w:sz w:val="18"/>
                <w:szCs w:val="18"/>
                <w:highlight w:val="none"/>
                <w:u w:val="none"/>
                <w:lang w:val="en-US" w:eastAsia="zh-CN" w:bidi="ar"/>
              </w:rPr>
              <w:t>元/株·年</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4499"/>
              </w:tabs>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360" w:firstLineChars="200"/>
              <w:jc w:val="both"/>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合价</w:t>
            </w:r>
          </w:p>
          <w:p>
            <w:pPr>
              <w:keepNext w:val="0"/>
              <w:keepLines w:val="0"/>
              <w:widowControl/>
              <w:suppressLineNumbers w:val="0"/>
              <w:tabs>
                <w:tab w:val="left" w:pos="4499"/>
              </w:tabs>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行道树数量</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行道树数量养护</w:t>
            </w:r>
          </w:p>
          <w:p>
            <w:pPr>
              <w:keepNext w:val="0"/>
              <w:keepLines w:val="0"/>
              <w:widowControl/>
              <w:suppressLineNumbers w:val="0"/>
              <w:tabs>
                <w:tab w:val="left" w:pos="4499"/>
              </w:tabs>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全费用综合单价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4</w:t>
            </w:r>
          </w:p>
        </w:tc>
        <w:tc>
          <w:tcPr>
            <w:tcW w:w="57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投标报价小计（元/年）</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4499"/>
              </w:tabs>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4499"/>
              </w:tabs>
              <w:jc w:val="both"/>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投标报价小计=</w:t>
            </w:r>
            <w:r>
              <w:rPr>
                <w:rFonts w:hint="eastAsia" w:ascii="宋体" w:hAnsi="宋体" w:cs="宋体"/>
                <w:i w:val="0"/>
                <w:iCs w:val="0"/>
                <w:color w:val="000000"/>
                <w:kern w:val="0"/>
                <w:sz w:val="18"/>
                <w:szCs w:val="18"/>
                <w:highlight w:val="none"/>
                <w:u w:val="none"/>
                <w:lang w:val="en-US" w:eastAsia="zh-CN" w:bidi="ar"/>
              </w:rPr>
              <w:t>序号1合价+序号2合价+序号3合价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4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highlight w:val="none"/>
                <w:u w:val="none"/>
                <w:lang w:val="en-US" w:eastAsia="zh-CN"/>
              </w:rPr>
            </w:pPr>
            <w:r>
              <w:rPr>
                <w:rFonts w:hint="eastAsia" w:ascii="宋体" w:hAnsi="宋体" w:cs="宋体"/>
                <w:b w:val="0"/>
                <w:bCs w:val="0"/>
                <w:i w:val="0"/>
                <w:iCs w:val="0"/>
                <w:color w:val="000000"/>
                <w:sz w:val="18"/>
                <w:szCs w:val="18"/>
                <w:highlight w:val="none"/>
                <w:u w:val="none"/>
                <w:lang w:val="en-US" w:eastAsia="zh-CN"/>
              </w:rPr>
              <w:t>5</w:t>
            </w:r>
          </w:p>
        </w:tc>
        <w:tc>
          <w:tcPr>
            <w:tcW w:w="5734" w:type="dxa"/>
            <w:gridSpan w:val="4"/>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移栽、恢复等零星应急暂列金（元/年）</w:t>
            </w:r>
          </w:p>
        </w:tc>
        <w:tc>
          <w:tcPr>
            <w:tcW w:w="16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 xml:space="preserve">343029 </w:t>
            </w:r>
          </w:p>
        </w:tc>
        <w:tc>
          <w:tcPr>
            <w:tcW w:w="16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7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投标总报价合计：小写</w:t>
            </w:r>
            <w:r>
              <w:rPr>
                <w:rFonts w:hint="eastAsia" w:ascii="宋体" w:hAnsi="宋体" w:eastAsia="宋体" w:cs="宋体"/>
                <w:highlight w:val="none"/>
                <w:u w:val="single"/>
                <w:lang w:val="en-US" w:eastAsia="zh-CN"/>
              </w:rPr>
              <w:t xml:space="preserve">               </w:t>
            </w:r>
            <w:r>
              <w:rPr>
                <w:rFonts w:hint="eastAsia" w:ascii="宋体" w:hAnsi="宋体" w:eastAsia="宋体" w:cs="宋体"/>
                <w:i w:val="0"/>
                <w:iCs w:val="0"/>
                <w:color w:val="000000"/>
                <w:kern w:val="0"/>
                <w:sz w:val="18"/>
                <w:szCs w:val="18"/>
                <w:highlight w:val="none"/>
                <w:u w:val="none"/>
                <w:lang w:val="en-US" w:eastAsia="zh-CN" w:bidi="ar"/>
              </w:rPr>
              <w:t>（元/年）</w:t>
            </w:r>
          </w:p>
          <w:p>
            <w:pPr>
              <w:pStyle w:val="22"/>
              <w:widowControl w:val="0"/>
              <w:numPr>
                <w:ilvl w:val="0"/>
                <w:numId w:val="0"/>
              </w:numPr>
              <w:spacing w:line="360" w:lineRule="auto"/>
              <w:jc w:val="both"/>
              <w:rPr>
                <w:rFonts w:hint="eastAsia" w:ascii="宋体" w:hAnsi="宋体" w:eastAsia="宋体" w:cs="宋体"/>
                <w:b/>
                <w:bCs/>
                <w:i w:val="0"/>
                <w:iCs w:val="0"/>
                <w:color w:val="000000"/>
                <w:kern w:val="0"/>
                <w:sz w:val="18"/>
                <w:szCs w:val="18"/>
                <w:highlight w:val="none"/>
                <w:u w:val="none"/>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numPr>
                <w:ilvl w:val="0"/>
                <w:numId w:val="0"/>
              </w:numPr>
              <w:spacing w:line="360" w:lineRule="auto"/>
              <w:jc w:val="both"/>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投标总报价=投标报价小计+暂列金金额</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p>
      <w:pPr>
        <w:pStyle w:val="2"/>
        <w:rPr>
          <w:rFonts w:hint="eastAsia" w:ascii="宋体" w:hAnsi="宋体" w:eastAsia="宋体" w:cs="宋体"/>
          <w:highlight w:val="none"/>
          <w:lang w:val="en-US" w:eastAsia="zh-CN"/>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注：1.暂列金金额应按上述清单中列出的金额填写。不得更改，否则投标报价按不合格处理，否决其投标。</w:t>
      </w:r>
    </w:p>
    <w:p>
      <w:pPr>
        <w:keepNext w:val="0"/>
        <w:keepLines w:val="0"/>
        <w:widowControl/>
        <w:numPr>
          <w:ilvl w:val="0"/>
          <w:numId w:val="0"/>
        </w:numPr>
        <w:suppressLineNumbers w:val="0"/>
        <w:ind w:left="720" w:left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2.暂列金额均为估算、预测数量，虽在投标时计入投标供应商的投标报价中，但为属于采购人的金额，不应为投标人所有。移栽、恢复等零星应急事项发生时据实计取，按招标文件相关要求结算。</w:t>
      </w:r>
    </w:p>
    <w:p>
      <w:pPr>
        <w:pStyle w:val="22"/>
        <w:numPr>
          <w:ilvl w:val="0"/>
          <w:numId w:val="0"/>
        </w:numPr>
        <w:ind w:left="720" w:leftChars="0"/>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3.所有报价小数点后保留两位小数，第三位四舍五入。</w:t>
      </w:r>
    </w:p>
    <w:p>
      <w:pPr>
        <w:pStyle w:val="22"/>
        <w:widowControl w:val="0"/>
        <w:numPr>
          <w:ilvl w:val="0"/>
          <w:numId w:val="0"/>
        </w:numPr>
        <w:spacing w:line="360" w:lineRule="auto"/>
        <w:jc w:val="both"/>
        <w:rPr>
          <w:rFonts w:hint="eastAsia" w:ascii="宋体" w:hAnsi="宋体" w:eastAsia="宋体" w:cs="宋体"/>
          <w:highlight w:val="none"/>
        </w:rPr>
      </w:pPr>
    </w:p>
    <w:p>
      <w:pPr>
        <w:rPr>
          <w:rFonts w:hint="eastAsia" w:ascii="宋体" w:hAnsi="宋体" w:eastAsia="宋体" w:cs="宋体"/>
          <w:b/>
          <w:bCs/>
          <w:spacing w:val="4"/>
          <w:sz w:val="30"/>
          <w:szCs w:val="30"/>
          <w:highlight w:val="none"/>
        </w:rPr>
      </w:pPr>
    </w:p>
    <w:p>
      <w:pPr>
        <w:pStyle w:val="2"/>
        <w:rPr>
          <w:rFonts w:hint="eastAsia" w:ascii="宋体" w:hAnsi="宋体" w:eastAsia="宋体" w:cs="宋体"/>
          <w:highlight w:val="none"/>
        </w:rPr>
      </w:pPr>
    </w:p>
    <w:p>
      <w:pPr>
        <w:pStyle w:val="134"/>
        <w:spacing w:line="500" w:lineRule="exact"/>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r>
        <w:rPr>
          <w:rFonts w:hint="eastAsia" w:ascii="宋体" w:hAnsi="宋体" w:eastAsia="宋体" w:cs="宋体"/>
          <w:b w:val="0"/>
          <w:sz w:val="21"/>
          <w:szCs w:val="21"/>
          <w:highlight w:val="none"/>
          <w:lang w:val="en-US" w:eastAsia="zh-CN"/>
        </w:rPr>
        <w:t xml:space="preserve">                                            </w:t>
      </w:r>
      <w:r>
        <w:rPr>
          <w:rFonts w:hint="eastAsia" w:ascii="宋体" w:hAnsi="宋体" w:eastAsia="宋体" w:cs="宋体"/>
          <w:b w:val="0"/>
          <w:sz w:val="21"/>
          <w:szCs w:val="21"/>
          <w:highlight w:val="none"/>
          <w:lang w:eastAsia="zh-CN"/>
        </w:rPr>
        <w:t>投标供应商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（单位全称、盖章）   </w:t>
      </w:r>
    </w:p>
    <w:p>
      <w:pPr>
        <w:pStyle w:val="134"/>
        <w:spacing w:line="500" w:lineRule="exact"/>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法定代表人或授权代表：</w:t>
      </w:r>
      <w:r>
        <w:rPr>
          <w:rFonts w:hint="eastAsia" w:ascii="宋体" w:hAnsi="宋体" w:eastAsia="宋体" w:cs="宋体"/>
          <w:b w:val="0"/>
          <w:sz w:val="21"/>
          <w:szCs w:val="21"/>
          <w:highlight w:val="none"/>
          <w:u w:val="single"/>
        </w:rPr>
        <w:t xml:space="preserve">     （盖章或签字）    </w:t>
      </w:r>
    </w:p>
    <w:p>
      <w:pPr>
        <w:spacing w:line="440" w:lineRule="exact"/>
        <w:rPr>
          <w:rFonts w:hint="eastAsia" w:ascii="宋体" w:hAnsi="宋体" w:eastAsia="宋体" w:cs="宋体"/>
          <w:b/>
          <w:bCs/>
          <w:spacing w:val="4"/>
          <w:sz w:val="30"/>
          <w:szCs w:val="30"/>
          <w:highlight w:val="none"/>
        </w:rPr>
      </w:pPr>
      <w:r>
        <w:rPr>
          <w:rFonts w:hint="eastAsia" w:ascii="宋体" w:hAnsi="宋体" w:eastAsia="宋体" w:cs="宋体"/>
          <w:szCs w:val="21"/>
          <w:highlight w:val="none"/>
        </w:rPr>
        <w:t xml:space="preserve">                                             投标日期：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numPr>
          <w:ilvl w:val="0"/>
          <w:numId w:val="8"/>
        </w:numPr>
        <w:spacing w:line="560" w:lineRule="exact"/>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资格</w:t>
      </w:r>
      <w:r>
        <w:rPr>
          <w:rFonts w:hint="eastAsia" w:ascii="宋体" w:hAnsi="宋体" w:eastAsia="宋体" w:cs="宋体"/>
          <w:b/>
          <w:bCs/>
          <w:color w:val="000000"/>
          <w:sz w:val="36"/>
          <w:szCs w:val="36"/>
          <w:highlight w:val="none"/>
          <w:lang w:val="en-US" w:eastAsia="zh-CN"/>
        </w:rPr>
        <w:t>证明</w:t>
      </w:r>
      <w:r>
        <w:rPr>
          <w:rFonts w:hint="eastAsia" w:ascii="宋体" w:hAnsi="宋体" w:eastAsia="宋体" w:cs="宋体"/>
          <w:b/>
          <w:bCs/>
          <w:color w:val="000000"/>
          <w:sz w:val="36"/>
          <w:szCs w:val="36"/>
          <w:highlight w:val="none"/>
        </w:rPr>
        <w:t>文件</w:t>
      </w:r>
    </w:p>
    <w:p>
      <w:pPr>
        <w:spacing w:line="400" w:lineRule="exact"/>
        <w:rPr>
          <w:rFonts w:hint="eastAsia" w:ascii="宋体" w:hAnsi="宋体" w:eastAsia="宋体" w:cs="宋体"/>
          <w:highlight w:val="none"/>
          <w:lang w:eastAsia="zh-CN"/>
        </w:rPr>
      </w:pPr>
      <w:r>
        <w:rPr>
          <w:rFonts w:hint="eastAsia" w:ascii="宋体" w:hAnsi="宋体" w:eastAsia="宋体" w:cs="宋体"/>
          <w:highlight w:val="none"/>
          <w:lang w:val="en-US" w:eastAsia="zh-CN"/>
        </w:rPr>
        <w:t>1.满足《中华人民共和国政府采购法》第二十二条的规定</w:t>
      </w:r>
      <w:r>
        <w:rPr>
          <w:rFonts w:hint="eastAsia" w:ascii="宋体" w:hAnsi="宋体" w:eastAsia="宋体" w:cs="宋体"/>
          <w:highlight w:val="none"/>
          <w:lang w:eastAsia="zh-CN"/>
        </w:rPr>
        <w:t>：</w:t>
      </w:r>
    </w:p>
    <w:p>
      <w:pPr>
        <w:spacing w:line="400" w:lineRule="exact"/>
        <w:rPr>
          <w:rFonts w:hint="eastAsia" w:ascii="宋体" w:hAnsi="宋体" w:eastAsia="宋体" w:cs="宋体"/>
          <w:highlight w:val="none"/>
          <w:lang w:eastAsia="zh-CN"/>
        </w:rPr>
      </w:pPr>
      <w:r>
        <w:rPr>
          <w:rFonts w:hint="eastAsia" w:ascii="宋体" w:hAnsi="宋体" w:eastAsia="宋体" w:cs="宋体"/>
          <w:highlight w:val="none"/>
          <w:lang w:val="en-US" w:eastAsia="zh-CN"/>
        </w:rPr>
        <w:t>（1）</w:t>
      </w:r>
      <w:r>
        <w:rPr>
          <w:rFonts w:hint="eastAsia" w:ascii="宋体" w:hAnsi="宋体" w:eastAsia="宋体" w:cs="宋体"/>
          <w:highlight w:val="none"/>
          <w:lang w:eastAsia="zh-CN"/>
        </w:rPr>
        <w:t>具有独立承担民事责任能力的法人、其他组织或自然人，并出具合法有效的统一社会信用代码的营业执照或事业单位法人证书等国家规定的相关证明，自然人参与的提供其身份证明；</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（2）投标供应商提供基本资</w:t>
      </w:r>
      <w:r>
        <w:rPr>
          <w:rFonts w:hint="eastAsia" w:ascii="宋体" w:hAnsi="宋体" w:eastAsia="宋体" w:cs="宋体"/>
          <w:highlight w:val="none"/>
          <w:lang w:eastAsia="zh-CN"/>
        </w:rPr>
        <w:t>格条件承诺函：</w:t>
      </w:r>
      <w:r>
        <w:rPr>
          <w:rFonts w:hint="eastAsia" w:ascii="宋体" w:hAnsi="宋体" w:eastAsia="宋体" w:cs="宋体"/>
          <w:highlight w:val="none"/>
          <w:lang w:val="en-US" w:eastAsia="zh-CN"/>
        </w:rPr>
        <w:t>以下</w:t>
      </w:r>
      <w:r>
        <w:rPr>
          <w:rFonts w:hint="eastAsia" w:ascii="宋体" w:hAnsi="宋体" w:eastAsia="宋体" w:cs="宋体"/>
          <w:highlight w:val="none"/>
          <w:lang w:eastAsia="zh-CN"/>
        </w:rPr>
        <w:t>①</w:t>
      </w:r>
      <w:r>
        <w:rPr>
          <w:rFonts w:hint="eastAsia" w:ascii="宋体" w:hAnsi="宋体" w:eastAsia="宋体" w:cs="宋体"/>
          <w:highlight w:val="none"/>
          <w:lang w:val="en-US" w:eastAsia="zh-CN"/>
        </w:rPr>
        <w:t>-</w:t>
      </w:r>
      <w:r>
        <w:rPr>
          <w:rFonts w:hint="eastAsia" w:ascii="宋体" w:hAnsi="宋体" w:eastAsia="宋体" w:cs="宋体"/>
          <w:highlight w:val="none"/>
          <w:lang w:eastAsia="zh-CN"/>
        </w:rPr>
        <w:t>④</w:t>
      </w:r>
      <w:r>
        <w:rPr>
          <w:rFonts w:hint="eastAsia" w:ascii="宋体" w:hAnsi="宋体" w:eastAsia="宋体" w:cs="宋体"/>
          <w:highlight w:val="none"/>
          <w:lang w:val="en-US" w:eastAsia="zh-CN"/>
        </w:rPr>
        <w:t>条要求的相关材料供应商可提供</w:t>
      </w:r>
      <w:r>
        <w:rPr>
          <w:rFonts w:hint="eastAsia" w:ascii="宋体" w:hAnsi="宋体" w:eastAsia="宋体" w:cs="宋体"/>
          <w:highlight w:val="none"/>
          <w:lang w:eastAsia="zh-CN"/>
        </w:rPr>
        <w:t>《基本资格条件承诺函》</w:t>
      </w:r>
      <w:r>
        <w:rPr>
          <w:rFonts w:hint="eastAsia" w:ascii="宋体" w:hAnsi="宋体" w:eastAsia="宋体" w:cs="宋体"/>
          <w:highlight w:val="none"/>
          <w:lang w:val="en-US" w:eastAsia="zh-CN"/>
        </w:rPr>
        <w:t>替代，</w:t>
      </w:r>
      <w:r>
        <w:rPr>
          <w:rFonts w:hint="eastAsia" w:ascii="宋体" w:hAnsi="宋体" w:eastAsia="宋体" w:cs="宋体"/>
          <w:highlight w:val="none"/>
          <w:lang w:eastAsia="zh-CN"/>
        </w:rPr>
        <w:t>供应商应对</w:t>
      </w:r>
      <w:r>
        <w:rPr>
          <w:rFonts w:hint="eastAsia" w:ascii="宋体" w:hAnsi="宋体" w:eastAsia="宋体" w:cs="宋体"/>
          <w:highlight w:val="none"/>
          <w:lang w:val="en-US" w:eastAsia="zh-CN"/>
        </w:rPr>
        <w:t>其资格信用</w:t>
      </w:r>
      <w:r>
        <w:rPr>
          <w:rFonts w:hint="eastAsia" w:ascii="宋体" w:hAnsi="宋体" w:eastAsia="宋体" w:cs="宋体"/>
          <w:highlight w:val="none"/>
          <w:lang w:eastAsia="zh-CN"/>
        </w:rPr>
        <w:t>承诺内容的真实性、合法性、有效性负责。</w:t>
      </w:r>
      <w:r>
        <w:rPr>
          <w:rFonts w:hint="eastAsia" w:ascii="宋体" w:hAnsi="宋体" w:eastAsia="宋体" w:cs="宋体"/>
          <w:highlight w:val="none"/>
          <w:lang w:val="en-US" w:eastAsia="zh-CN"/>
        </w:rPr>
        <w:t>如做出虚假承诺，视同</w:t>
      </w:r>
      <w:r>
        <w:rPr>
          <w:rFonts w:hint="eastAsia" w:ascii="宋体" w:hAnsi="宋体" w:eastAsia="宋体" w:cs="宋体"/>
          <w:highlight w:val="none"/>
          <w:lang w:eastAsia="zh-CN"/>
        </w:rPr>
        <w:t>“提供虚假材料谋取中标</w:t>
      </w:r>
      <w:r>
        <w:rPr>
          <w:rFonts w:hint="eastAsia" w:ascii="宋体" w:hAnsi="宋体" w:eastAsia="宋体" w:cs="宋体"/>
          <w:highlight w:val="none"/>
          <w:lang w:val="en-US" w:eastAsia="zh-CN"/>
        </w:rPr>
        <w:t>(</w:t>
      </w:r>
      <w:r>
        <w:rPr>
          <w:rFonts w:hint="eastAsia" w:ascii="宋体" w:hAnsi="宋体" w:eastAsia="宋体" w:cs="宋体"/>
          <w:highlight w:val="none"/>
          <w:lang w:eastAsia="zh-CN"/>
        </w:rPr>
        <w:t>成交</w:t>
      </w:r>
      <w:r>
        <w:rPr>
          <w:rFonts w:hint="eastAsia" w:ascii="宋体" w:hAnsi="宋体" w:eastAsia="宋体" w:cs="宋体"/>
          <w:highlight w:val="none"/>
          <w:lang w:val="en-US" w:eastAsia="zh-CN"/>
        </w:rPr>
        <w:t>)</w:t>
      </w:r>
      <w:r>
        <w:rPr>
          <w:rFonts w:hint="eastAsia" w:ascii="宋体" w:hAnsi="宋体" w:eastAsia="宋体" w:cs="宋体"/>
          <w:highlight w:val="none"/>
          <w:lang w:eastAsia="zh-CN"/>
        </w:rPr>
        <w:t>”的违法行为，</w:t>
      </w:r>
      <w:r>
        <w:rPr>
          <w:rFonts w:hint="eastAsia" w:ascii="宋体" w:hAnsi="宋体" w:eastAsia="宋体" w:cs="宋体"/>
          <w:highlight w:val="none"/>
          <w:lang w:val="en-US" w:eastAsia="zh-CN"/>
        </w:rPr>
        <w:t>经调查核实后，按照</w:t>
      </w:r>
      <w:r>
        <w:rPr>
          <w:rFonts w:hint="eastAsia" w:ascii="宋体" w:hAnsi="宋体" w:eastAsia="宋体" w:cs="宋体"/>
          <w:highlight w:val="none"/>
          <w:lang w:eastAsia="zh-CN"/>
        </w:rPr>
        <w:t>《中华人民共和国政府采购法》等法律法规追究相应责任。承诺函格式详情见招标文件第六章</w:t>
      </w:r>
      <w:r>
        <w:rPr>
          <w:rFonts w:hint="eastAsia" w:ascii="宋体" w:hAnsi="宋体" w:eastAsia="宋体" w:cs="宋体"/>
          <w:highlight w:val="none"/>
          <w:lang w:val="en-US" w:eastAsia="zh-CN"/>
        </w:rPr>
        <w:t>投标</w:t>
      </w:r>
      <w:r>
        <w:rPr>
          <w:rFonts w:hint="eastAsia" w:ascii="宋体" w:hAnsi="宋体" w:eastAsia="宋体" w:cs="宋体"/>
          <w:highlight w:val="none"/>
          <w:lang w:eastAsia="zh-CN"/>
        </w:rPr>
        <w:t>文件格式。不提供《基本资格条件承诺函》的</w:t>
      </w:r>
      <w:r>
        <w:rPr>
          <w:rFonts w:hint="eastAsia" w:ascii="宋体" w:hAnsi="宋体" w:eastAsia="宋体" w:cs="宋体"/>
          <w:highlight w:val="none"/>
          <w:lang w:val="en-US" w:eastAsia="zh-CN"/>
        </w:rPr>
        <w:t>投标供应商</w:t>
      </w:r>
      <w:r>
        <w:rPr>
          <w:rFonts w:hint="eastAsia" w:ascii="宋体" w:hAnsi="宋体" w:eastAsia="宋体" w:cs="宋体"/>
          <w:highlight w:val="none"/>
          <w:lang w:eastAsia="zh-CN"/>
        </w:rPr>
        <w:t>需提交如下资格证明文件：</w:t>
      </w:r>
    </w:p>
    <w:p>
      <w:pPr>
        <w:spacing w:line="40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①良好的财务状况：提供2022年度的财务审计报告（至少包括资产负债表和利润表，成立时间至提交</w:t>
      </w:r>
      <w:r>
        <w:rPr>
          <w:rFonts w:hint="eastAsia" w:ascii="宋体" w:hAnsi="宋体" w:eastAsia="宋体" w:cs="宋体"/>
          <w:highlight w:val="none"/>
          <w:lang w:val="en-US" w:eastAsia="zh-CN"/>
        </w:rPr>
        <w:t>响应</w:t>
      </w:r>
      <w:r>
        <w:rPr>
          <w:rFonts w:hint="eastAsia" w:ascii="宋体" w:hAnsi="宋体" w:eastAsia="宋体" w:cs="宋体"/>
          <w:highlight w:val="none"/>
          <w:lang w:eastAsia="zh-CN"/>
        </w:rPr>
        <w:t>文件截止时间不足一年的可提供成立后任意时段的资产负债表）或开标前六个月内其基本存款账户开户银行出具的资信证明（附开户许可证或基本账户证明）；</w:t>
      </w:r>
    </w:p>
    <w:p>
      <w:pPr>
        <w:spacing w:line="40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②依法缴纳税收和社会保障资金情况：提供202</w:t>
      </w:r>
      <w:r>
        <w:rPr>
          <w:rFonts w:hint="eastAsia" w:ascii="宋体" w:hAnsi="宋体" w:cs="宋体"/>
          <w:highlight w:val="none"/>
          <w:lang w:val="en-US" w:eastAsia="zh-CN"/>
        </w:rPr>
        <w:t>3</w:t>
      </w:r>
      <w:r>
        <w:rPr>
          <w:rFonts w:hint="eastAsia" w:ascii="宋体" w:hAnsi="宋体" w:eastAsia="宋体" w:cs="宋体"/>
          <w:highlight w:val="none"/>
          <w:lang w:eastAsia="zh-CN"/>
        </w:rPr>
        <w:t>年度至今已缴纳的至少三个月的纳税证明或完税证明及社会保障资金缴存单据或社保机构开具的社会保险参保缴费情况证明，依法免税或不需要缴纳社会保障资金的单位应提供相关证明材料；</w:t>
      </w:r>
    </w:p>
    <w:p>
      <w:pPr>
        <w:spacing w:line="40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③具备履行合同所必需的设备和专业技术能力；</w:t>
      </w:r>
    </w:p>
    <w:p>
      <w:pPr>
        <w:spacing w:line="40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④参加本次政府采购活动前三年内，在经营活动中没有重大违法记录的书面声明。</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2.落实政府采购政策需满足的资格要求；</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专门面向中小企业采购，仅限符合《政府采购促进中小企业发展暂行办法》（财库〔2020〕46号）条件的中小企业参与，投标供应商应填写中小企业声明函并对真实性负责。残疾人福利性单位及监狱企业视同为小型、微型企业，残疾人福利性单位应符合《关于促进残疾人就业政府采购政策的通知》（财库〔2017〕141号）要求，监狱企业应符合《关于政府采购支持监狱企业发展有关问题的通知》（财库〔2014〕68号）要求。</w:t>
      </w:r>
    </w:p>
    <w:p>
      <w:pPr>
        <w:spacing w:line="400" w:lineRule="exact"/>
        <w:rPr>
          <w:rFonts w:hint="eastAsia" w:ascii="宋体" w:hAnsi="宋体" w:eastAsia="宋体" w:cs="宋体"/>
          <w:highlight w:val="none"/>
          <w:lang w:eastAsia="zh-CN"/>
        </w:rPr>
      </w:pPr>
      <w:r>
        <w:rPr>
          <w:rFonts w:hint="eastAsia" w:ascii="宋体" w:hAnsi="宋体" w:eastAsia="宋体" w:cs="宋体"/>
          <w:highlight w:val="none"/>
          <w:lang w:val="en-US" w:eastAsia="zh-CN"/>
        </w:rPr>
        <w:t>3.</w:t>
      </w:r>
      <w:r>
        <w:rPr>
          <w:rFonts w:hint="eastAsia" w:ascii="宋体" w:hAnsi="宋体" w:eastAsia="宋体" w:cs="宋体"/>
          <w:highlight w:val="none"/>
          <w:lang w:eastAsia="zh-CN"/>
        </w:rPr>
        <w:t>本项目的特定资格要求：</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1）法定代表人直接参加投标的，须提供法定代表人身份证明及身份证扫描件；法定代表人授权他人参加投标的，须提供法定代表人授权委托书（附法定代表人、被授权人身份证扫描件），自然人提供其身份证扫描件；</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2）投标供应商不得在“中国执行信息公开网”网站（http://zxgk.court.gov.cn/）中被列入失信被执行人、不得在“信用中国”网站（www.creditchina.gov.cn）被列为重大税收违法案件当事人，不得为“中国政府采购网”（www.ccgp.gov.cn）政府采购严重违法失信行为记录名单中被财政部门禁止参加政府采购活动的供应商；</w:t>
      </w:r>
    </w:p>
    <w:p>
      <w:pPr>
        <w:spacing w:line="400" w:lineRule="exact"/>
        <w:rPr>
          <w:rFonts w:hint="eastAsia" w:ascii="宋体" w:hAnsi="宋体" w:eastAsia="宋体" w:cs="宋体"/>
          <w:highlight w:val="none"/>
          <w:lang w:eastAsia="zh-CN"/>
        </w:rPr>
      </w:pPr>
      <w:r>
        <w:rPr>
          <w:rFonts w:hint="eastAsia" w:ascii="宋体" w:hAnsi="宋体" w:eastAsia="宋体" w:cs="宋体"/>
          <w:highlight w:val="none"/>
          <w:lang w:val="en-US" w:eastAsia="zh-CN"/>
        </w:rPr>
        <w:t>（3）本项目不接受联合体投标。</w:t>
      </w:r>
    </w:p>
    <w:p>
      <w:pPr>
        <w:pStyle w:val="16"/>
        <w:jc w:val="left"/>
        <w:rPr>
          <w:rFonts w:hint="eastAsia" w:ascii="宋体" w:hAnsi="宋体" w:eastAsia="宋体" w:cs="宋体"/>
          <w:highlight w:val="none"/>
        </w:rPr>
      </w:pPr>
      <w:r>
        <w:rPr>
          <w:rFonts w:hint="eastAsia" w:ascii="宋体" w:hAnsi="宋体" w:eastAsia="宋体" w:cs="宋体"/>
          <w:b/>
          <w:bCs/>
          <w:highlight w:val="none"/>
          <w:lang w:eastAsia="zh-CN"/>
        </w:rPr>
        <w:t>注：</w:t>
      </w:r>
      <w:r>
        <w:rPr>
          <w:rFonts w:hint="eastAsia" w:ascii="宋体" w:hAnsi="宋体" w:eastAsia="宋体" w:cs="宋体"/>
          <w:b/>
          <w:bCs/>
          <w:highlight w:val="none"/>
          <w:lang w:val="en-US" w:eastAsia="zh-CN"/>
        </w:rPr>
        <w:t>1.</w:t>
      </w:r>
      <w:r>
        <w:rPr>
          <w:rFonts w:hint="eastAsia" w:ascii="宋体" w:hAnsi="宋体" w:eastAsia="宋体" w:cs="宋体"/>
          <w:b/>
          <w:bCs/>
          <w:highlight w:val="none"/>
          <w:lang w:eastAsia="zh-CN"/>
        </w:rPr>
        <w:t>上述资格证明文件为必备资格，缺项或者符合性、有效性、合法</w:t>
      </w:r>
      <w:r>
        <w:rPr>
          <w:rFonts w:hint="eastAsia" w:ascii="宋体" w:hAnsi="宋体" w:eastAsia="宋体" w:cs="宋体"/>
          <w:b/>
          <w:bCs/>
          <w:highlight w:val="none"/>
          <w:lang w:val="en-US" w:eastAsia="zh-CN"/>
        </w:rPr>
        <w:t>性审查不合格的，</w:t>
      </w:r>
      <w:r>
        <w:rPr>
          <w:rFonts w:hint="eastAsia" w:ascii="宋体" w:hAnsi="宋体" w:eastAsia="宋体" w:cs="宋体"/>
          <w:b/>
          <w:bCs/>
          <w:highlight w:val="none"/>
          <w:lang w:eastAsia="zh-CN"/>
        </w:rPr>
        <w:t>按无效投标文件处理</w:t>
      </w:r>
      <w:r>
        <w:rPr>
          <w:rFonts w:hint="eastAsia" w:ascii="宋体" w:hAnsi="宋体" w:eastAsia="宋体" w:cs="宋体"/>
          <w:b/>
          <w:bCs/>
          <w:highlight w:val="none"/>
          <w:lang w:val="en-US" w:eastAsia="zh-CN"/>
        </w:rPr>
        <w:t>。</w:t>
      </w:r>
      <w:r>
        <w:rPr>
          <w:rFonts w:hint="eastAsia" w:ascii="宋体" w:hAnsi="宋体" w:eastAsia="宋体" w:cs="宋体"/>
          <w:b/>
          <w:bCs/>
          <w:highlight w:val="none"/>
          <w:lang w:eastAsia="zh-CN"/>
        </w:rPr>
        <w:t>资格审查时以投标文件中所附</w:t>
      </w:r>
      <w:r>
        <w:rPr>
          <w:rFonts w:hint="eastAsia" w:ascii="宋体" w:hAnsi="宋体" w:eastAsia="宋体" w:cs="宋体"/>
          <w:b/>
          <w:bCs/>
          <w:highlight w:val="none"/>
          <w:lang w:val="en-US" w:eastAsia="zh-CN"/>
        </w:rPr>
        <w:t>扫描件</w:t>
      </w:r>
      <w:r>
        <w:rPr>
          <w:rFonts w:hint="eastAsia" w:ascii="宋体" w:hAnsi="宋体" w:eastAsia="宋体" w:cs="宋体"/>
          <w:b/>
          <w:bCs/>
          <w:highlight w:val="none"/>
          <w:lang w:eastAsia="zh-CN"/>
        </w:rPr>
        <w:t>加盖公章证明材料</w:t>
      </w:r>
      <w:r>
        <w:rPr>
          <w:rFonts w:hint="eastAsia" w:ascii="宋体" w:hAnsi="宋体" w:eastAsia="宋体" w:cs="宋体"/>
          <w:b/>
          <w:bCs/>
          <w:highlight w:val="none"/>
          <w:lang w:val="en-US" w:eastAsia="zh-CN"/>
        </w:rPr>
        <w:t>和现场相关网站查询</w:t>
      </w:r>
      <w:r>
        <w:rPr>
          <w:rFonts w:hint="eastAsia" w:ascii="宋体" w:hAnsi="宋体" w:eastAsia="宋体" w:cs="宋体"/>
          <w:b/>
          <w:bCs/>
          <w:highlight w:val="none"/>
          <w:lang w:eastAsia="zh-CN"/>
        </w:rPr>
        <w:t>为准（信用中国、中国政府采购网查询结果，由代理机构进行查询并留存）。</w:t>
      </w:r>
    </w:p>
    <w:p>
      <w:pPr>
        <w:adjustRightInd w:val="0"/>
        <w:snapToGrid w:val="0"/>
        <w:spacing w:line="360" w:lineRule="auto"/>
        <w:jc w:val="both"/>
        <w:outlineLvl w:val="2"/>
        <w:rPr>
          <w:rFonts w:hint="eastAsia" w:ascii="宋体" w:hAnsi="宋体" w:eastAsia="宋体" w:cs="宋体"/>
          <w:b/>
          <w:szCs w:val="21"/>
          <w:highlight w:val="none"/>
          <w:lang w:eastAsia="zh-CN"/>
        </w:rPr>
      </w:pPr>
      <w:r>
        <w:rPr>
          <w:rFonts w:hint="eastAsia" w:ascii="宋体" w:hAnsi="宋体" w:eastAsia="宋体" w:cs="宋体"/>
          <w:b/>
          <w:szCs w:val="21"/>
          <w:highlight w:val="none"/>
          <w:lang w:eastAsia="zh-CN"/>
        </w:rPr>
        <w:t>附件1：投标供应商基本情况表</w:t>
      </w:r>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2049"/>
        <w:gridCol w:w="1880"/>
        <w:gridCol w:w="1880"/>
        <w:gridCol w:w="18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11"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名称</w:t>
            </w:r>
          </w:p>
        </w:tc>
        <w:tc>
          <w:tcPr>
            <w:tcW w:w="7690" w:type="dxa"/>
            <w:gridSpan w:val="4"/>
            <w:noWrap w:val="0"/>
            <w:vAlign w:val="center"/>
          </w:tcPr>
          <w:p>
            <w:pPr>
              <w:autoSpaceDE w:val="0"/>
              <w:autoSpaceDN w:val="0"/>
              <w:adjustRightInd w:val="0"/>
              <w:spacing w:line="40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11"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929" w:type="dxa"/>
            <w:gridSpan w:val="2"/>
            <w:noWrap w:val="0"/>
            <w:vAlign w:val="center"/>
          </w:tcPr>
          <w:p>
            <w:pPr>
              <w:autoSpaceDE w:val="0"/>
              <w:autoSpaceDN w:val="0"/>
              <w:adjustRightInd w:val="0"/>
              <w:spacing w:line="400" w:lineRule="exact"/>
              <w:jc w:val="center"/>
              <w:rPr>
                <w:rFonts w:hint="eastAsia" w:ascii="宋体" w:hAnsi="宋体" w:eastAsia="宋体" w:cs="宋体"/>
                <w:szCs w:val="21"/>
                <w:highlight w:val="none"/>
              </w:rPr>
            </w:pPr>
          </w:p>
        </w:tc>
        <w:tc>
          <w:tcPr>
            <w:tcW w:w="1880"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1881" w:type="dxa"/>
            <w:noWrap w:val="0"/>
            <w:vAlign w:val="center"/>
          </w:tcPr>
          <w:p>
            <w:pPr>
              <w:spacing w:line="44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1" w:type="dxa"/>
            <w:vMerge w:val="restart"/>
            <w:noWrap w:val="0"/>
            <w:vAlign w:val="center"/>
          </w:tcPr>
          <w:p>
            <w:pPr>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联系方式</w:t>
            </w:r>
          </w:p>
        </w:tc>
        <w:tc>
          <w:tcPr>
            <w:tcW w:w="2049"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880"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p>
        </w:tc>
        <w:tc>
          <w:tcPr>
            <w:tcW w:w="1880"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1881" w:type="dxa"/>
            <w:noWrap w:val="0"/>
            <w:vAlign w:val="center"/>
          </w:tcPr>
          <w:p>
            <w:pPr>
              <w:spacing w:line="44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11" w:type="dxa"/>
            <w:vMerge w:val="continue"/>
            <w:noWrap w:val="0"/>
            <w:vAlign w:val="center"/>
          </w:tcPr>
          <w:p>
            <w:pPr>
              <w:spacing w:line="440" w:lineRule="exact"/>
              <w:jc w:val="center"/>
              <w:rPr>
                <w:rFonts w:hint="eastAsia" w:ascii="宋体" w:hAnsi="宋体" w:eastAsia="宋体" w:cs="宋体"/>
                <w:szCs w:val="21"/>
                <w:highlight w:val="none"/>
              </w:rPr>
            </w:pPr>
          </w:p>
        </w:tc>
        <w:tc>
          <w:tcPr>
            <w:tcW w:w="2049"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传真</w:t>
            </w:r>
          </w:p>
        </w:tc>
        <w:tc>
          <w:tcPr>
            <w:tcW w:w="1880"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p>
        </w:tc>
        <w:tc>
          <w:tcPr>
            <w:tcW w:w="1880"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网址</w:t>
            </w:r>
          </w:p>
        </w:tc>
        <w:tc>
          <w:tcPr>
            <w:tcW w:w="1881" w:type="dxa"/>
            <w:noWrap w:val="0"/>
            <w:vAlign w:val="center"/>
          </w:tcPr>
          <w:p>
            <w:pPr>
              <w:spacing w:line="44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11" w:type="dxa"/>
            <w:noWrap w:val="0"/>
            <w:vAlign w:val="center"/>
          </w:tcPr>
          <w:p>
            <w:pPr>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单位性质</w:t>
            </w:r>
          </w:p>
        </w:tc>
        <w:tc>
          <w:tcPr>
            <w:tcW w:w="7690" w:type="dxa"/>
            <w:gridSpan w:val="4"/>
            <w:noWrap w:val="0"/>
            <w:vAlign w:val="center"/>
          </w:tcPr>
          <w:p>
            <w:pPr>
              <w:spacing w:line="44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1" w:type="dxa"/>
            <w:noWrap w:val="0"/>
            <w:vAlign w:val="center"/>
          </w:tcPr>
          <w:p>
            <w:pPr>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法定代表人（或负责人）</w:t>
            </w:r>
          </w:p>
        </w:tc>
        <w:tc>
          <w:tcPr>
            <w:tcW w:w="2049"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1880" w:type="dxa"/>
            <w:noWrap w:val="0"/>
            <w:vAlign w:val="center"/>
          </w:tcPr>
          <w:p>
            <w:pPr>
              <w:spacing w:line="440" w:lineRule="exact"/>
              <w:jc w:val="center"/>
              <w:rPr>
                <w:rFonts w:hint="eastAsia" w:ascii="宋体" w:hAnsi="宋体" w:eastAsia="宋体" w:cs="宋体"/>
                <w:szCs w:val="21"/>
                <w:highlight w:val="none"/>
              </w:rPr>
            </w:pPr>
          </w:p>
        </w:tc>
        <w:tc>
          <w:tcPr>
            <w:tcW w:w="1880"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1881" w:type="dxa"/>
            <w:noWrap w:val="0"/>
            <w:vAlign w:val="center"/>
          </w:tcPr>
          <w:p>
            <w:pPr>
              <w:spacing w:line="44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11" w:type="dxa"/>
            <w:noWrap w:val="0"/>
            <w:vAlign w:val="center"/>
          </w:tcPr>
          <w:p>
            <w:pPr>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技术负责人</w:t>
            </w:r>
          </w:p>
        </w:tc>
        <w:tc>
          <w:tcPr>
            <w:tcW w:w="2049"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1880" w:type="dxa"/>
            <w:noWrap w:val="0"/>
            <w:vAlign w:val="center"/>
          </w:tcPr>
          <w:p>
            <w:pPr>
              <w:spacing w:line="440" w:lineRule="exact"/>
              <w:jc w:val="center"/>
              <w:rPr>
                <w:rFonts w:hint="eastAsia" w:ascii="宋体" w:hAnsi="宋体" w:eastAsia="宋体" w:cs="宋体"/>
                <w:szCs w:val="21"/>
                <w:highlight w:val="none"/>
              </w:rPr>
            </w:pPr>
          </w:p>
        </w:tc>
        <w:tc>
          <w:tcPr>
            <w:tcW w:w="1880"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1881" w:type="dxa"/>
            <w:noWrap w:val="0"/>
            <w:vAlign w:val="center"/>
          </w:tcPr>
          <w:p>
            <w:pPr>
              <w:spacing w:line="44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11"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企业资质等级</w:t>
            </w:r>
          </w:p>
        </w:tc>
        <w:tc>
          <w:tcPr>
            <w:tcW w:w="3929" w:type="dxa"/>
            <w:gridSpan w:val="2"/>
            <w:noWrap w:val="0"/>
            <w:vAlign w:val="center"/>
          </w:tcPr>
          <w:p>
            <w:pPr>
              <w:autoSpaceDE w:val="0"/>
              <w:autoSpaceDN w:val="0"/>
              <w:adjustRightInd w:val="0"/>
              <w:spacing w:line="400" w:lineRule="exact"/>
              <w:jc w:val="center"/>
              <w:rPr>
                <w:rFonts w:hint="eastAsia" w:ascii="宋体" w:hAnsi="宋体" w:eastAsia="宋体" w:cs="宋体"/>
                <w:szCs w:val="21"/>
                <w:highlight w:val="none"/>
              </w:rPr>
            </w:pPr>
          </w:p>
        </w:tc>
        <w:tc>
          <w:tcPr>
            <w:tcW w:w="1880"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成立时间</w:t>
            </w:r>
          </w:p>
        </w:tc>
        <w:tc>
          <w:tcPr>
            <w:tcW w:w="1881" w:type="dxa"/>
            <w:noWrap w:val="0"/>
            <w:vAlign w:val="center"/>
          </w:tcPr>
          <w:p>
            <w:pPr>
              <w:spacing w:line="44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11"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kern w:val="0"/>
                <w:sz w:val="24"/>
                <w:highlight w:val="none"/>
              </w:rPr>
              <w:t>营业执照号</w:t>
            </w:r>
          </w:p>
        </w:tc>
        <w:tc>
          <w:tcPr>
            <w:tcW w:w="7690" w:type="dxa"/>
            <w:gridSpan w:val="4"/>
            <w:noWrap w:val="0"/>
            <w:vAlign w:val="center"/>
          </w:tcPr>
          <w:p>
            <w:pPr>
              <w:spacing w:line="44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1"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2049" w:type="dxa"/>
            <w:noWrap w:val="0"/>
            <w:vAlign w:val="center"/>
          </w:tcPr>
          <w:p>
            <w:pPr>
              <w:autoSpaceDE w:val="0"/>
              <w:autoSpaceDN w:val="0"/>
              <w:adjustRightInd w:val="0"/>
              <w:spacing w:line="40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w:t>
            </w:r>
          </w:p>
        </w:tc>
        <w:tc>
          <w:tcPr>
            <w:tcW w:w="1880" w:type="dxa"/>
            <w:vMerge w:val="restart"/>
            <w:noWrap w:val="0"/>
            <w:vAlign w:val="center"/>
          </w:tcPr>
          <w:p>
            <w:pPr>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固定资产</w:t>
            </w:r>
          </w:p>
        </w:tc>
        <w:tc>
          <w:tcPr>
            <w:tcW w:w="1880"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原值</w:t>
            </w:r>
          </w:p>
        </w:tc>
        <w:tc>
          <w:tcPr>
            <w:tcW w:w="1881" w:type="dxa"/>
            <w:noWrap w:val="0"/>
            <w:vAlign w:val="center"/>
          </w:tcPr>
          <w:p>
            <w:pPr>
              <w:autoSpaceDE w:val="0"/>
              <w:autoSpaceDN w:val="0"/>
              <w:adjustRightInd w:val="0"/>
              <w:spacing w:line="400" w:lineRule="exact"/>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1"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流动资金</w:t>
            </w:r>
          </w:p>
        </w:tc>
        <w:tc>
          <w:tcPr>
            <w:tcW w:w="2049" w:type="dxa"/>
            <w:noWrap w:val="0"/>
            <w:vAlign w:val="center"/>
          </w:tcPr>
          <w:p>
            <w:pPr>
              <w:autoSpaceDE w:val="0"/>
              <w:autoSpaceDN w:val="0"/>
              <w:adjustRightInd w:val="0"/>
              <w:spacing w:line="40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w:t>
            </w:r>
          </w:p>
        </w:tc>
        <w:tc>
          <w:tcPr>
            <w:tcW w:w="1880" w:type="dxa"/>
            <w:vMerge w:val="continue"/>
            <w:noWrap w:val="0"/>
            <w:vAlign w:val="center"/>
          </w:tcPr>
          <w:p>
            <w:pPr>
              <w:spacing w:line="440" w:lineRule="exact"/>
              <w:jc w:val="center"/>
              <w:rPr>
                <w:rFonts w:hint="eastAsia" w:ascii="宋体" w:hAnsi="宋体" w:eastAsia="宋体" w:cs="宋体"/>
                <w:szCs w:val="21"/>
                <w:highlight w:val="none"/>
              </w:rPr>
            </w:pPr>
          </w:p>
        </w:tc>
        <w:tc>
          <w:tcPr>
            <w:tcW w:w="1880"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净值</w:t>
            </w:r>
          </w:p>
        </w:tc>
        <w:tc>
          <w:tcPr>
            <w:tcW w:w="1881" w:type="dxa"/>
            <w:noWrap w:val="0"/>
            <w:vAlign w:val="center"/>
          </w:tcPr>
          <w:p>
            <w:pPr>
              <w:autoSpaceDE w:val="0"/>
              <w:autoSpaceDN w:val="0"/>
              <w:adjustRightInd w:val="0"/>
              <w:spacing w:line="400" w:lineRule="exact"/>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1"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开户银行</w:t>
            </w:r>
          </w:p>
        </w:tc>
        <w:tc>
          <w:tcPr>
            <w:tcW w:w="2049"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p>
        </w:tc>
        <w:tc>
          <w:tcPr>
            <w:tcW w:w="1880" w:type="dxa"/>
            <w:vMerge w:val="restart"/>
            <w:noWrap w:val="0"/>
            <w:vAlign w:val="center"/>
          </w:tcPr>
          <w:p>
            <w:pPr>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职工人数</w:t>
            </w:r>
          </w:p>
        </w:tc>
        <w:tc>
          <w:tcPr>
            <w:tcW w:w="1880"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生产工人</w:t>
            </w:r>
          </w:p>
        </w:tc>
        <w:tc>
          <w:tcPr>
            <w:tcW w:w="1881" w:type="dxa"/>
            <w:noWrap w:val="0"/>
            <w:vAlign w:val="center"/>
          </w:tcPr>
          <w:p>
            <w:pPr>
              <w:autoSpaceDE w:val="0"/>
              <w:autoSpaceDN w:val="0"/>
              <w:adjustRightInd w:val="0"/>
              <w:spacing w:line="400" w:lineRule="exact"/>
              <w:jc w:val="right"/>
              <w:rPr>
                <w:rFonts w:hint="eastAsia" w:ascii="宋体" w:hAnsi="宋体" w:eastAsia="宋体" w:cs="宋体"/>
                <w:szCs w:val="21"/>
                <w:highlight w:val="none"/>
              </w:rPr>
            </w:pPr>
            <w:r>
              <w:rPr>
                <w:rFonts w:hint="eastAsia" w:ascii="宋体" w:hAnsi="宋体" w:eastAsia="宋体" w:cs="宋体"/>
                <w:bCs/>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bCs/>
                <w:szCs w:val="21"/>
                <w:highlight w:val="non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1"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账号</w:t>
            </w:r>
          </w:p>
        </w:tc>
        <w:tc>
          <w:tcPr>
            <w:tcW w:w="2049"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基本银行账号</w:t>
            </w:r>
          </w:p>
        </w:tc>
        <w:tc>
          <w:tcPr>
            <w:tcW w:w="1880" w:type="dxa"/>
            <w:vMerge w:val="continue"/>
            <w:noWrap w:val="0"/>
            <w:vAlign w:val="center"/>
          </w:tcPr>
          <w:p>
            <w:pPr>
              <w:spacing w:line="440" w:lineRule="exact"/>
              <w:jc w:val="center"/>
              <w:rPr>
                <w:rFonts w:hint="eastAsia" w:ascii="宋体" w:hAnsi="宋体" w:eastAsia="宋体" w:cs="宋体"/>
                <w:szCs w:val="21"/>
                <w:highlight w:val="none"/>
              </w:rPr>
            </w:pPr>
          </w:p>
        </w:tc>
        <w:tc>
          <w:tcPr>
            <w:tcW w:w="1880"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技术人员</w:t>
            </w:r>
          </w:p>
        </w:tc>
        <w:tc>
          <w:tcPr>
            <w:tcW w:w="1881" w:type="dxa"/>
            <w:noWrap w:val="0"/>
            <w:vAlign w:val="center"/>
          </w:tcPr>
          <w:p>
            <w:pPr>
              <w:autoSpaceDE w:val="0"/>
              <w:autoSpaceDN w:val="0"/>
              <w:adjustRightInd w:val="0"/>
              <w:spacing w:line="400" w:lineRule="exact"/>
              <w:jc w:val="right"/>
              <w:rPr>
                <w:rFonts w:hint="eastAsia" w:ascii="宋体" w:hAnsi="宋体" w:eastAsia="宋体" w:cs="宋体"/>
                <w:szCs w:val="21"/>
                <w:highlight w:val="none"/>
              </w:rPr>
            </w:pPr>
            <w:r>
              <w:rPr>
                <w:rFonts w:hint="eastAsia" w:ascii="宋体" w:hAnsi="宋体" w:eastAsia="宋体" w:cs="宋体"/>
                <w:bCs/>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bCs/>
                <w:szCs w:val="21"/>
                <w:highlight w:val="non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711"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经营范围</w:t>
            </w:r>
          </w:p>
        </w:tc>
        <w:tc>
          <w:tcPr>
            <w:tcW w:w="7690" w:type="dxa"/>
            <w:gridSpan w:val="4"/>
            <w:noWrap w:val="0"/>
            <w:vAlign w:val="center"/>
          </w:tcPr>
          <w:p>
            <w:pPr>
              <w:autoSpaceDE w:val="0"/>
              <w:autoSpaceDN w:val="0"/>
              <w:adjustRightInd w:val="0"/>
              <w:spacing w:line="40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711" w:type="dxa"/>
            <w:noWrap w:val="0"/>
            <w:vAlign w:val="center"/>
          </w:tcPr>
          <w:p>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7690" w:type="dxa"/>
            <w:gridSpan w:val="4"/>
            <w:noWrap w:val="0"/>
            <w:vAlign w:val="center"/>
          </w:tcPr>
          <w:p>
            <w:pPr>
              <w:autoSpaceDE w:val="0"/>
              <w:autoSpaceDN w:val="0"/>
              <w:adjustRightInd w:val="0"/>
              <w:spacing w:line="400" w:lineRule="exact"/>
              <w:jc w:val="center"/>
              <w:rPr>
                <w:rFonts w:hint="eastAsia" w:ascii="宋体" w:hAnsi="宋体" w:eastAsia="宋体" w:cs="宋体"/>
                <w:szCs w:val="21"/>
                <w:highlight w:val="none"/>
              </w:rPr>
            </w:pPr>
          </w:p>
        </w:tc>
      </w:tr>
    </w:tbl>
    <w:p>
      <w:pPr>
        <w:spacing w:line="440" w:lineRule="exac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此表后附：合法有效的统一社会信用代码的营业执照或事业单位法人证书等国家规定的相关证明，自然人参与的提供其身份证</w:t>
      </w:r>
      <w:r>
        <w:rPr>
          <w:rFonts w:hint="eastAsia" w:ascii="宋体" w:hAnsi="宋体" w:eastAsia="宋体" w:cs="宋体"/>
          <w:highlight w:val="none"/>
          <w:lang w:val="en-US" w:eastAsia="zh-CN"/>
        </w:rPr>
        <w:t>，以上证明材料扫描件加盖公章。</w:t>
      </w:r>
    </w:p>
    <w:p>
      <w:pPr>
        <w:pStyle w:val="134"/>
        <w:spacing w:line="500" w:lineRule="exact"/>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r>
        <w:rPr>
          <w:rFonts w:hint="eastAsia" w:ascii="宋体" w:hAnsi="宋体" w:eastAsia="宋体" w:cs="宋体"/>
          <w:b w:val="0"/>
          <w:sz w:val="21"/>
          <w:szCs w:val="21"/>
          <w:highlight w:val="none"/>
          <w:lang w:eastAsia="zh-CN"/>
        </w:rPr>
        <w:t>投标供应商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（单位全称、盖章）   </w:t>
      </w:r>
    </w:p>
    <w:p>
      <w:pPr>
        <w:pStyle w:val="134"/>
        <w:spacing w:line="500" w:lineRule="exact"/>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法定代表人或授权代表：</w:t>
      </w:r>
      <w:r>
        <w:rPr>
          <w:rFonts w:hint="eastAsia" w:ascii="宋体" w:hAnsi="宋体" w:eastAsia="宋体" w:cs="宋体"/>
          <w:b w:val="0"/>
          <w:sz w:val="21"/>
          <w:szCs w:val="21"/>
          <w:highlight w:val="none"/>
          <w:u w:val="single"/>
        </w:rPr>
        <w:t xml:space="preserve">     （盖章或签字）    </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投标日期：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adjustRightInd w:val="0"/>
        <w:snapToGrid w:val="0"/>
        <w:spacing w:line="360" w:lineRule="auto"/>
        <w:jc w:val="both"/>
        <w:outlineLvl w:val="2"/>
        <w:rPr>
          <w:rFonts w:hint="eastAsia" w:ascii="宋体" w:hAnsi="宋体" w:eastAsia="宋体" w:cs="宋体"/>
          <w:b/>
          <w:szCs w:val="21"/>
          <w:highlight w:val="none"/>
          <w:lang w:val="en-US" w:eastAsia="zh-CN"/>
        </w:rPr>
      </w:pPr>
    </w:p>
    <w:p>
      <w:pPr>
        <w:adjustRightInd w:val="0"/>
        <w:snapToGrid w:val="0"/>
        <w:spacing w:line="360" w:lineRule="auto"/>
        <w:jc w:val="both"/>
        <w:outlineLvl w:val="2"/>
        <w:rPr>
          <w:rFonts w:hint="eastAsia" w:ascii="宋体" w:hAnsi="宋体" w:eastAsia="宋体" w:cs="宋体"/>
          <w:b/>
          <w:szCs w:val="21"/>
          <w:highlight w:val="none"/>
          <w:lang w:val="en-US" w:eastAsia="zh-CN"/>
        </w:rPr>
      </w:pPr>
    </w:p>
    <w:p>
      <w:pPr>
        <w:adjustRightInd w:val="0"/>
        <w:snapToGrid w:val="0"/>
        <w:spacing w:line="360" w:lineRule="auto"/>
        <w:jc w:val="both"/>
        <w:outlineLvl w:val="2"/>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附件2：基本资格条件承诺函</w:t>
      </w:r>
    </w:p>
    <w:p>
      <w:pPr>
        <w:pStyle w:val="2"/>
        <w:rPr>
          <w:rFonts w:hint="eastAsia" w:ascii="宋体" w:hAnsi="宋体" w:eastAsia="宋体" w:cs="宋体"/>
          <w:b/>
          <w:szCs w:val="21"/>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3162" w:firstLineChars="15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基本资格条件承诺函</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致 </w:t>
      </w:r>
      <w:r>
        <w:rPr>
          <w:rFonts w:hint="eastAsia" w:ascii="宋体" w:hAnsi="宋体" w:eastAsia="宋体" w:cs="宋体"/>
          <w:kern w:val="2"/>
          <w:sz w:val="21"/>
          <w:szCs w:val="21"/>
          <w:highlight w:val="none"/>
          <w:u w:val="single"/>
          <w:lang w:val="en-US" w:eastAsia="zh-CN" w:bidi="ar-SA"/>
        </w:rPr>
        <w:t xml:space="preserve">                (采购代理机构名称)</w:t>
      </w:r>
      <w:r>
        <w:rPr>
          <w:rFonts w:hint="eastAsia" w:ascii="宋体" w:hAnsi="宋体" w:eastAsia="宋体" w:cs="宋体"/>
          <w:kern w:val="2"/>
          <w:sz w:val="21"/>
          <w:szCs w:val="21"/>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u w:val="single"/>
          <w:lang w:val="en-US" w:eastAsia="zh-CN" w:bidi="ar-SA"/>
        </w:rPr>
        <w:tab/>
      </w:r>
      <w:r>
        <w:rPr>
          <w:rFonts w:hint="eastAsia" w:ascii="宋体" w:hAnsi="宋体" w:eastAsia="宋体" w:cs="宋体"/>
          <w:kern w:val="2"/>
          <w:sz w:val="21"/>
          <w:szCs w:val="21"/>
          <w:highlight w:val="none"/>
          <w:u w:val="single"/>
          <w:lang w:val="en-US" w:eastAsia="zh-CN" w:bidi="ar-SA"/>
        </w:rPr>
        <w:t xml:space="preserve">       (投标人名称)   </w:t>
      </w:r>
      <w:r>
        <w:rPr>
          <w:rFonts w:hint="eastAsia" w:ascii="宋体" w:hAnsi="宋体" w:eastAsia="宋体" w:cs="宋体"/>
          <w:kern w:val="2"/>
          <w:sz w:val="21"/>
          <w:szCs w:val="21"/>
          <w:highlight w:val="none"/>
          <w:lang w:val="en-US" w:eastAsia="zh-CN" w:bidi="ar-SA"/>
        </w:rPr>
        <w:t>郑重承诺：</w:t>
      </w:r>
    </w:p>
    <w:p>
      <w:pPr>
        <w:pStyle w:val="2"/>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1.我方具有良好的商业信誉和健全的财务会计制度，具有 履行合同所必需的设备和专业技术能力，具有依法缴纳税收和 社会保障金的良好记录，参加本项目采购活动前三年内无重大违法活动记录。</w:t>
      </w:r>
    </w:p>
    <w:p>
      <w:pPr>
        <w:pStyle w:val="2"/>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2.我方未列入在信用中国网站(www.creditchina.gov.cn)  “失信被执行人”、  “重大税收违法案件当事人名单”中，也 未列入中国政府采购网(www.ccgp.gov.cn)  “政府采购严重违法失信行 为记录名单”中。</w:t>
      </w:r>
    </w:p>
    <w:p>
      <w:pPr>
        <w:pStyle w:val="2"/>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3.我方在采购项目评审(评标)环节结束后，随时接受采购人、采购代理机构的检查验证，配合提供相关证明材料，证明符合《中华人民共和国政府采购法》规定的投标人基本资格条件。</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我方对以上承诺负全部法律责任。</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特此承诺。</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620" w:firstLineChars="2200"/>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eastAsia="zh-CN"/>
        </w:rPr>
        <w:t>投标供应商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kern w:val="2"/>
          <w:sz w:val="21"/>
          <w:szCs w:val="21"/>
          <w:highlight w:val="none"/>
          <w:lang w:val="en-US" w:eastAsia="zh-CN" w:bidi="ar-SA"/>
        </w:rPr>
        <w:t>(投标人公章)</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spacing w:line="400" w:lineRule="exact"/>
        <w:rPr>
          <w:rFonts w:hint="eastAsia" w:ascii="宋体" w:hAnsi="宋体" w:eastAsia="宋体" w:cs="宋体"/>
          <w:highlight w:val="none"/>
          <w:lang w:val="en-US" w:eastAsia="zh-CN"/>
        </w:rPr>
      </w:pPr>
    </w:p>
    <w:p>
      <w:pPr>
        <w:spacing w:line="400" w:lineRule="exact"/>
        <w:rPr>
          <w:rFonts w:hint="eastAsia" w:ascii="宋体" w:hAnsi="宋体" w:eastAsia="宋体" w:cs="宋体"/>
          <w:highlight w:val="none"/>
          <w:lang w:val="en-US" w:eastAsia="zh-CN"/>
        </w:rPr>
      </w:pPr>
    </w:p>
    <w:p>
      <w:pPr>
        <w:spacing w:line="400" w:lineRule="exact"/>
        <w:rPr>
          <w:rFonts w:hint="eastAsia" w:ascii="宋体" w:hAnsi="宋体" w:eastAsia="宋体" w:cs="宋体"/>
          <w:highlight w:val="none"/>
          <w:lang w:val="en-US" w:eastAsia="zh-CN"/>
        </w:rPr>
      </w:pPr>
    </w:p>
    <w:p>
      <w:pPr>
        <w:spacing w:line="400" w:lineRule="exact"/>
        <w:rPr>
          <w:rFonts w:hint="eastAsia" w:ascii="宋体" w:hAnsi="宋体" w:eastAsia="宋体" w:cs="宋体"/>
          <w:highlight w:val="none"/>
          <w:lang w:val="en-US" w:eastAsia="zh-CN"/>
        </w:rPr>
      </w:pPr>
    </w:p>
    <w:p>
      <w:pPr>
        <w:spacing w:line="400" w:lineRule="exact"/>
        <w:rPr>
          <w:rFonts w:hint="eastAsia" w:ascii="宋体" w:hAnsi="宋体" w:eastAsia="宋体" w:cs="宋体"/>
          <w:highlight w:val="none"/>
          <w:lang w:val="en-US" w:eastAsia="zh-CN"/>
        </w:rPr>
      </w:pPr>
    </w:p>
    <w:p>
      <w:pPr>
        <w:spacing w:line="400" w:lineRule="exact"/>
        <w:rPr>
          <w:rFonts w:hint="eastAsia" w:ascii="宋体" w:hAnsi="宋体" w:eastAsia="宋体" w:cs="宋体"/>
          <w:highlight w:val="none"/>
          <w:lang w:val="en-US" w:eastAsia="zh-CN"/>
        </w:rPr>
      </w:pPr>
    </w:p>
    <w:p>
      <w:pPr>
        <w:spacing w:line="400" w:lineRule="exact"/>
        <w:rPr>
          <w:rFonts w:hint="eastAsia" w:ascii="宋体" w:hAnsi="宋体" w:eastAsia="宋体" w:cs="宋体"/>
          <w:highlight w:val="none"/>
          <w:lang w:val="en-US" w:eastAsia="zh-CN"/>
        </w:rPr>
      </w:pPr>
    </w:p>
    <w:p>
      <w:pPr>
        <w:spacing w:line="400" w:lineRule="exact"/>
        <w:rPr>
          <w:rFonts w:hint="eastAsia" w:ascii="宋体" w:hAnsi="宋体" w:eastAsia="宋体" w:cs="宋体"/>
          <w:highlight w:val="none"/>
          <w:lang w:val="en-US" w:eastAsia="zh-CN"/>
        </w:rPr>
      </w:pPr>
    </w:p>
    <w:p>
      <w:pPr>
        <w:spacing w:line="400" w:lineRule="exact"/>
        <w:rPr>
          <w:rFonts w:hint="eastAsia" w:ascii="宋体" w:hAnsi="宋体" w:eastAsia="宋体" w:cs="宋体"/>
          <w:highlight w:val="none"/>
          <w:lang w:val="en-US" w:eastAsia="zh-CN"/>
        </w:rPr>
      </w:pP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说明：</w:t>
      </w:r>
      <w:r>
        <w:rPr>
          <w:rFonts w:hint="eastAsia" w:ascii="宋体" w:hAnsi="宋体" w:eastAsia="宋体" w:cs="宋体"/>
          <w:highlight w:val="none"/>
          <w:lang w:eastAsia="zh-CN"/>
        </w:rPr>
        <w:t>供应商应对</w:t>
      </w:r>
      <w:r>
        <w:rPr>
          <w:rFonts w:hint="eastAsia" w:ascii="宋体" w:hAnsi="宋体" w:eastAsia="宋体" w:cs="宋体"/>
          <w:highlight w:val="none"/>
          <w:lang w:val="en-US" w:eastAsia="zh-CN"/>
        </w:rPr>
        <w:t>其资格信用</w:t>
      </w:r>
      <w:r>
        <w:rPr>
          <w:rFonts w:hint="eastAsia" w:ascii="宋体" w:hAnsi="宋体" w:eastAsia="宋体" w:cs="宋体"/>
          <w:highlight w:val="none"/>
          <w:lang w:eastAsia="zh-CN"/>
        </w:rPr>
        <w:t>承诺内容的真实性、合法性、有效性负责。</w:t>
      </w:r>
      <w:r>
        <w:rPr>
          <w:rFonts w:hint="eastAsia" w:ascii="宋体" w:hAnsi="宋体" w:eastAsia="宋体" w:cs="宋体"/>
          <w:highlight w:val="none"/>
          <w:lang w:val="en-US" w:eastAsia="zh-CN"/>
        </w:rPr>
        <w:t>如做出虚假承诺，视同</w:t>
      </w:r>
      <w:r>
        <w:rPr>
          <w:rFonts w:hint="eastAsia" w:ascii="宋体" w:hAnsi="宋体" w:eastAsia="宋体" w:cs="宋体"/>
          <w:highlight w:val="none"/>
          <w:lang w:eastAsia="zh-CN"/>
        </w:rPr>
        <w:t>“提供虚假材料谋取中标</w:t>
      </w:r>
      <w:r>
        <w:rPr>
          <w:rFonts w:hint="eastAsia" w:ascii="宋体" w:hAnsi="宋体" w:eastAsia="宋体" w:cs="宋体"/>
          <w:highlight w:val="none"/>
          <w:lang w:val="en-US" w:eastAsia="zh-CN"/>
        </w:rPr>
        <w:t>(</w:t>
      </w:r>
      <w:r>
        <w:rPr>
          <w:rFonts w:hint="eastAsia" w:ascii="宋体" w:hAnsi="宋体" w:eastAsia="宋体" w:cs="宋体"/>
          <w:highlight w:val="none"/>
          <w:lang w:eastAsia="zh-CN"/>
        </w:rPr>
        <w:t>成交</w:t>
      </w:r>
      <w:r>
        <w:rPr>
          <w:rFonts w:hint="eastAsia" w:ascii="宋体" w:hAnsi="宋体" w:eastAsia="宋体" w:cs="宋体"/>
          <w:highlight w:val="none"/>
          <w:lang w:val="en-US" w:eastAsia="zh-CN"/>
        </w:rPr>
        <w:t>)</w:t>
      </w:r>
      <w:r>
        <w:rPr>
          <w:rFonts w:hint="eastAsia" w:ascii="宋体" w:hAnsi="宋体" w:eastAsia="宋体" w:cs="宋体"/>
          <w:highlight w:val="none"/>
          <w:lang w:eastAsia="zh-CN"/>
        </w:rPr>
        <w:t>”的违法行为，</w:t>
      </w:r>
      <w:r>
        <w:rPr>
          <w:rFonts w:hint="eastAsia" w:ascii="宋体" w:hAnsi="宋体" w:eastAsia="宋体" w:cs="宋体"/>
          <w:highlight w:val="none"/>
          <w:lang w:val="en-US" w:eastAsia="zh-CN"/>
        </w:rPr>
        <w:t>经调查核实后，按照</w:t>
      </w:r>
      <w:r>
        <w:rPr>
          <w:rFonts w:hint="eastAsia" w:ascii="宋体" w:hAnsi="宋体" w:eastAsia="宋体" w:cs="宋体"/>
          <w:highlight w:val="none"/>
          <w:lang w:eastAsia="zh-CN"/>
        </w:rPr>
        <w:t>《中华人民共和国政府采购法》等法律法规追究相应责任。承诺函格式详情见招标文件第六章</w:t>
      </w:r>
      <w:r>
        <w:rPr>
          <w:rFonts w:hint="eastAsia" w:ascii="宋体" w:hAnsi="宋体" w:eastAsia="宋体" w:cs="宋体"/>
          <w:highlight w:val="none"/>
          <w:lang w:val="en-US" w:eastAsia="zh-CN"/>
        </w:rPr>
        <w:t>投标</w:t>
      </w:r>
      <w:r>
        <w:rPr>
          <w:rFonts w:hint="eastAsia" w:ascii="宋体" w:hAnsi="宋体" w:eastAsia="宋体" w:cs="宋体"/>
          <w:highlight w:val="none"/>
          <w:lang w:eastAsia="zh-CN"/>
        </w:rPr>
        <w:t>文件格式。不提供《基本资格条件承诺函》的</w:t>
      </w:r>
      <w:r>
        <w:rPr>
          <w:rFonts w:hint="eastAsia" w:ascii="宋体" w:hAnsi="宋体" w:eastAsia="宋体" w:cs="宋体"/>
          <w:highlight w:val="none"/>
          <w:lang w:val="en-US" w:eastAsia="zh-CN"/>
        </w:rPr>
        <w:t>投标供应商</w:t>
      </w:r>
      <w:r>
        <w:rPr>
          <w:rFonts w:hint="eastAsia" w:ascii="宋体" w:hAnsi="宋体" w:eastAsia="宋体" w:cs="宋体"/>
          <w:highlight w:val="none"/>
          <w:lang w:eastAsia="zh-CN"/>
        </w:rPr>
        <w:t>需提交如下资格证明文件：</w:t>
      </w:r>
    </w:p>
    <w:p>
      <w:pPr>
        <w:spacing w:line="40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①良好的财务状况：提供2022年度的财务审计报告（至少包括资产负债表和利润表，成立时间至提交</w:t>
      </w:r>
      <w:r>
        <w:rPr>
          <w:rFonts w:hint="eastAsia" w:ascii="宋体" w:hAnsi="宋体" w:eastAsia="宋体" w:cs="宋体"/>
          <w:highlight w:val="none"/>
          <w:lang w:val="en-US" w:eastAsia="zh-CN"/>
        </w:rPr>
        <w:t>响应</w:t>
      </w:r>
      <w:r>
        <w:rPr>
          <w:rFonts w:hint="eastAsia" w:ascii="宋体" w:hAnsi="宋体" w:eastAsia="宋体" w:cs="宋体"/>
          <w:highlight w:val="none"/>
          <w:lang w:eastAsia="zh-CN"/>
        </w:rPr>
        <w:t>文件截止时间不足一年的可提供成立后任意时段的资产负债表）或开标前六个月内其基本存款账户开户银行出具的资信证明（附开户许可证或基本账户证明）；</w:t>
      </w:r>
    </w:p>
    <w:p>
      <w:pPr>
        <w:spacing w:line="40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②依法缴纳税收和社会保障资金情况：提供202</w:t>
      </w:r>
      <w:r>
        <w:rPr>
          <w:rFonts w:hint="eastAsia" w:ascii="宋体" w:hAnsi="宋体" w:cs="宋体"/>
          <w:highlight w:val="none"/>
          <w:lang w:val="en-US" w:eastAsia="zh-CN"/>
        </w:rPr>
        <w:t>3</w:t>
      </w:r>
      <w:r>
        <w:rPr>
          <w:rFonts w:hint="eastAsia" w:ascii="宋体" w:hAnsi="宋体" w:eastAsia="宋体" w:cs="宋体"/>
          <w:highlight w:val="none"/>
          <w:lang w:eastAsia="zh-CN"/>
        </w:rPr>
        <w:t>年度至今已缴纳的至少三个月的纳税证明或完税证明及社会保障资金缴存单据或社保机构开具的社会保险参保缴费情况证明，依法免税或不需要缴纳社会保障资金的单位应提供相关证明材料；</w:t>
      </w:r>
    </w:p>
    <w:p>
      <w:pPr>
        <w:spacing w:line="40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③具备履行合同所必需的设备和专业技术能力；</w:t>
      </w:r>
    </w:p>
    <w:p>
      <w:pPr>
        <w:spacing w:line="40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④参加本次政府采购活动前三年内，在经营活动中没有重大违法记录的书面声明。</w:t>
      </w:r>
    </w:p>
    <w:p>
      <w:pPr>
        <w:pStyle w:val="2"/>
        <w:rPr>
          <w:rFonts w:hint="eastAsia" w:ascii="宋体" w:hAnsi="宋体" w:eastAsia="宋体" w:cs="宋体"/>
          <w:b/>
          <w:szCs w:val="21"/>
          <w:highlight w:val="none"/>
          <w:lang w:val="en-US" w:eastAsia="zh-CN"/>
        </w:rPr>
      </w:pPr>
    </w:p>
    <w:p>
      <w:pPr>
        <w:spacing w:line="440" w:lineRule="exact"/>
        <w:ind w:firstLine="2108" w:firstLineChars="1000"/>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eastAsia="zh-CN"/>
        </w:rPr>
        <w:t>具备履行合同所必需的设备和专业技术能力</w:t>
      </w:r>
    </w:p>
    <w:p>
      <w:pPr>
        <w:ind w:firstLine="3600" w:firstLineChars="1500"/>
        <w:rPr>
          <w:rFonts w:hint="eastAsia" w:ascii="宋体" w:hAnsi="宋体" w:eastAsia="宋体" w:cs="宋体"/>
          <w:kern w:val="0"/>
          <w:sz w:val="24"/>
          <w:szCs w:val="24"/>
          <w:highlight w:val="none"/>
        </w:rPr>
      </w:pPr>
    </w:p>
    <w:p>
      <w:pPr>
        <w:ind w:firstLine="3600" w:firstLineChars="15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b/>
          <w:sz w:val="24"/>
          <w:szCs w:val="24"/>
          <w:highlight w:val="none"/>
        </w:rPr>
        <w:t>承诺书</w:t>
      </w:r>
    </w:p>
    <w:p>
      <w:pPr>
        <w:rPr>
          <w:rFonts w:hint="eastAsia" w:ascii="宋体" w:hAnsi="宋体" w:eastAsia="宋体" w:cs="宋体"/>
          <w:kern w:val="0"/>
          <w:sz w:val="24"/>
          <w:szCs w:val="24"/>
          <w:highlight w:val="none"/>
        </w:rPr>
      </w:pPr>
    </w:p>
    <w:p>
      <w:pPr>
        <w:spacing w:line="480"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致：</w:t>
      </w:r>
      <w:r>
        <w:rPr>
          <w:rFonts w:hint="eastAsia" w:ascii="宋体" w:hAnsi="宋体" w:eastAsia="宋体" w:cs="宋体"/>
          <w:color w:val="000000"/>
          <w:kern w:val="0"/>
          <w:szCs w:val="21"/>
          <w:highlight w:val="none"/>
          <w:u w:val="single"/>
        </w:rPr>
        <w:t xml:space="preserve">     （采购人名称）    </w:t>
      </w:r>
      <w:r>
        <w:rPr>
          <w:rFonts w:hint="eastAsia" w:ascii="宋体" w:hAnsi="宋体" w:eastAsia="宋体" w:cs="宋体"/>
          <w:color w:val="000000"/>
          <w:kern w:val="0"/>
          <w:szCs w:val="21"/>
          <w:highlight w:val="none"/>
        </w:rPr>
        <w:t>：</w:t>
      </w:r>
    </w:p>
    <w:p>
      <w:pPr>
        <w:spacing w:line="48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u w:val="single"/>
          <w:lang w:eastAsia="zh-CN"/>
        </w:rPr>
        <w:t>投标供应商</w:t>
      </w:r>
      <w:r>
        <w:rPr>
          <w:rFonts w:hint="eastAsia" w:ascii="宋体" w:hAnsi="宋体" w:eastAsia="宋体" w:cs="宋体"/>
          <w:color w:val="000000"/>
          <w:kern w:val="0"/>
          <w:szCs w:val="21"/>
          <w:highlight w:val="none"/>
          <w:u w:val="single"/>
        </w:rPr>
        <w:t xml:space="preserve">名称）     </w:t>
      </w:r>
      <w:r>
        <w:rPr>
          <w:rFonts w:hint="eastAsia" w:ascii="宋体" w:hAnsi="宋体" w:eastAsia="宋体" w:cs="宋体"/>
          <w:color w:val="000000"/>
          <w:kern w:val="0"/>
          <w:szCs w:val="21"/>
          <w:highlight w:val="none"/>
        </w:rPr>
        <w:t>于</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年</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日在中华人民共和国境内</w:t>
      </w:r>
      <w:r>
        <w:rPr>
          <w:rFonts w:hint="eastAsia" w:ascii="宋体" w:hAnsi="宋体" w:eastAsia="宋体" w:cs="宋体"/>
          <w:color w:val="000000"/>
          <w:kern w:val="0"/>
          <w:szCs w:val="21"/>
          <w:highlight w:val="none"/>
          <w:u w:val="single"/>
        </w:rPr>
        <w:t xml:space="preserve">               （详细注册地址）    </w:t>
      </w:r>
      <w:r>
        <w:rPr>
          <w:rFonts w:hint="eastAsia" w:ascii="宋体" w:hAnsi="宋体" w:eastAsia="宋体" w:cs="宋体"/>
          <w:color w:val="000000"/>
          <w:kern w:val="0"/>
          <w:szCs w:val="21"/>
          <w:highlight w:val="none"/>
        </w:rPr>
        <w:t xml:space="preserve"> 合法注册并经营，公司主营业务为</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，营业（生产经营）面积为</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，现有员工数量为</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，其中与履行本合同相关的专业技术人员有（</w:t>
      </w:r>
      <w:r>
        <w:rPr>
          <w:rFonts w:hint="eastAsia" w:ascii="宋体" w:hAnsi="宋体" w:eastAsia="宋体" w:cs="宋体"/>
          <w:color w:val="000000"/>
          <w:kern w:val="0"/>
          <w:szCs w:val="21"/>
          <w:highlight w:val="none"/>
          <w:u w:val="single"/>
        </w:rPr>
        <w:t xml:space="preserve">             专业能力        </w:t>
      </w:r>
      <w:r>
        <w:rPr>
          <w:rFonts w:hint="eastAsia" w:ascii="宋体" w:hAnsi="宋体" w:eastAsia="宋体" w:cs="宋体"/>
          <w:color w:val="000000"/>
          <w:kern w:val="0"/>
          <w:szCs w:val="21"/>
          <w:highlight w:val="none"/>
        </w:rPr>
        <w:t>），本公司郑重承诺，具有履行本合同所必需的专业技术能力。</w:t>
      </w:r>
    </w:p>
    <w:p>
      <w:pPr>
        <w:spacing w:before="240" w:beforeLines="100" w:after="240" w:afterLines="100" w:line="480" w:lineRule="exact"/>
        <w:ind w:firstLine="2940" w:firstLineChars="1400"/>
        <w:rPr>
          <w:rFonts w:hint="eastAsia" w:ascii="宋体" w:hAnsi="宋体" w:eastAsia="宋体" w:cs="宋体"/>
          <w:szCs w:val="21"/>
          <w:highlight w:val="none"/>
        </w:rPr>
      </w:pP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（单位全称、盖章）</w:t>
      </w:r>
    </w:p>
    <w:p>
      <w:pPr>
        <w:rPr>
          <w:rFonts w:hint="eastAsia" w:ascii="宋体" w:hAnsi="宋体" w:eastAsia="宋体" w:cs="宋体"/>
          <w:szCs w:val="21"/>
          <w:highlight w:val="none"/>
        </w:rPr>
      </w:pPr>
      <w:r>
        <w:rPr>
          <w:rFonts w:hint="eastAsia" w:ascii="宋体" w:hAnsi="宋体" w:eastAsia="宋体" w:cs="宋体"/>
          <w:szCs w:val="21"/>
          <w:highlight w:val="none"/>
        </w:rPr>
        <w:t xml:space="preserve">                            投标日期：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rPr>
          <w:rFonts w:hint="eastAsia" w:ascii="宋体" w:hAnsi="宋体" w:eastAsia="宋体" w:cs="宋体"/>
          <w:highlight w:val="none"/>
        </w:rPr>
      </w:pPr>
      <w:r>
        <w:rPr>
          <w:rFonts w:hint="eastAsia" w:ascii="宋体" w:hAnsi="宋体" w:eastAsia="宋体" w:cs="宋体"/>
          <w:szCs w:val="21"/>
          <w:highlight w:val="none"/>
        </w:rPr>
        <w:br w:type="page"/>
      </w:r>
    </w:p>
    <w:p>
      <w:pPr>
        <w:spacing w:line="440" w:lineRule="exact"/>
        <w:ind w:firstLine="1476" w:firstLineChars="700"/>
        <w:rPr>
          <w:rFonts w:hint="eastAsia" w:ascii="宋体" w:hAnsi="宋体" w:eastAsia="宋体" w:cs="宋体"/>
          <w:b/>
          <w:szCs w:val="21"/>
          <w:highlight w:val="none"/>
        </w:rPr>
      </w:pPr>
      <w:r>
        <w:rPr>
          <w:rFonts w:hint="eastAsia" w:ascii="宋体" w:hAnsi="宋体" w:eastAsia="宋体" w:cs="宋体"/>
          <w:b/>
          <w:szCs w:val="21"/>
          <w:highlight w:val="none"/>
          <w:lang w:eastAsia="zh-CN"/>
        </w:rPr>
        <w:t>参加本次政府采购活动前三年内，在经营活动中没有重大违法记录的书面声明</w:t>
      </w:r>
    </w:p>
    <w:p>
      <w:pPr>
        <w:pStyle w:val="12"/>
        <w:spacing w:after="240" w:afterLines="100"/>
        <w:ind w:firstLine="0"/>
        <w:jc w:val="center"/>
        <w:rPr>
          <w:rFonts w:hint="eastAsia" w:ascii="宋体" w:hAnsi="宋体" w:eastAsia="宋体" w:cs="宋体"/>
          <w:b/>
          <w:szCs w:val="21"/>
          <w:highlight w:val="none"/>
        </w:rPr>
      </w:pPr>
    </w:p>
    <w:p>
      <w:pPr>
        <w:pStyle w:val="12"/>
        <w:spacing w:after="240" w:afterLines="100"/>
        <w:ind w:firstLine="0"/>
        <w:jc w:val="center"/>
        <w:rPr>
          <w:rFonts w:hint="eastAsia" w:ascii="宋体" w:hAnsi="宋体" w:eastAsia="宋体" w:cs="宋体"/>
          <w:b/>
          <w:szCs w:val="21"/>
          <w:highlight w:val="none"/>
        </w:rPr>
      </w:pPr>
      <w:r>
        <w:rPr>
          <w:rFonts w:hint="eastAsia" w:ascii="宋体" w:hAnsi="宋体" w:eastAsia="宋体" w:cs="宋体"/>
          <w:b/>
          <w:szCs w:val="21"/>
          <w:highlight w:val="none"/>
        </w:rPr>
        <w:t>声明书</w:t>
      </w:r>
    </w:p>
    <w:p>
      <w:pPr>
        <w:pStyle w:val="12"/>
        <w:spacing w:after="120" w:afterLines="50" w:line="360" w:lineRule="auto"/>
        <w:ind w:firstLine="0"/>
        <w:rPr>
          <w:rFonts w:hint="eastAsia" w:ascii="宋体" w:hAnsi="宋体" w:eastAsia="宋体" w:cs="宋体"/>
          <w:b/>
          <w:szCs w:val="21"/>
          <w:highlight w:val="none"/>
        </w:rPr>
      </w:pP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zh-CN"/>
        </w:rPr>
        <w:t xml:space="preserve"> </w:t>
      </w:r>
      <w:r>
        <w:rPr>
          <w:rFonts w:hint="eastAsia" w:ascii="宋体" w:hAnsi="宋体" w:eastAsia="宋体" w:cs="宋体"/>
          <w:b/>
          <w:sz w:val="21"/>
          <w:szCs w:val="21"/>
          <w:highlight w:val="none"/>
          <w:u w:val="single"/>
          <w:lang w:eastAsia="zh-CN"/>
        </w:rPr>
        <w:t>（</w:t>
      </w:r>
      <w:r>
        <w:rPr>
          <w:rFonts w:hint="eastAsia" w:ascii="宋体" w:hAnsi="宋体" w:eastAsia="宋体" w:cs="宋体"/>
          <w:b/>
          <w:szCs w:val="21"/>
          <w:highlight w:val="none"/>
          <w:u w:val="single"/>
          <w:lang w:val="en-US" w:eastAsia="zh-CN"/>
        </w:rPr>
        <w:t xml:space="preserve">采购人） </w:t>
      </w:r>
      <w:r>
        <w:rPr>
          <w:rFonts w:hint="eastAsia" w:ascii="宋体" w:hAnsi="宋体" w:eastAsia="宋体" w:cs="宋体"/>
          <w:sz w:val="21"/>
          <w:szCs w:val="21"/>
          <w:highlight w:val="none"/>
          <w:u w:val="single"/>
          <w:lang w:val="zh-CN"/>
        </w:rPr>
        <w:t xml:space="preserve">  </w:t>
      </w:r>
      <w:r>
        <w:rPr>
          <w:rFonts w:hint="eastAsia" w:ascii="宋体" w:hAnsi="宋体" w:eastAsia="宋体" w:cs="宋体"/>
          <w:b/>
          <w:szCs w:val="21"/>
          <w:highlight w:val="none"/>
        </w:rPr>
        <w:t>：</w:t>
      </w:r>
    </w:p>
    <w:p>
      <w:pPr>
        <w:pStyle w:val="12"/>
        <w:spacing w:line="500" w:lineRule="exact"/>
        <w:ind w:firstLine="0"/>
        <w:rPr>
          <w:rFonts w:hint="eastAsia" w:ascii="宋体" w:hAnsi="宋体" w:eastAsia="宋体" w:cs="宋体"/>
          <w:szCs w:val="21"/>
          <w:highlight w:val="none"/>
        </w:rPr>
      </w:pPr>
      <w:r>
        <w:rPr>
          <w:rFonts w:hint="eastAsia" w:ascii="宋体" w:hAnsi="宋体" w:eastAsia="宋体" w:cs="宋体"/>
          <w:sz w:val="18"/>
          <w:szCs w:val="18"/>
          <w:highlight w:val="none"/>
        </w:rPr>
        <w:t xml:space="preserve">    </w:t>
      </w:r>
      <w:r>
        <w:rPr>
          <w:rFonts w:hint="eastAsia" w:ascii="宋体" w:hAnsi="宋体" w:eastAsia="宋体" w:cs="宋体"/>
          <w:szCs w:val="21"/>
          <w:highlight w:val="none"/>
        </w:rPr>
        <w:t>我公司</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 xml:space="preserve">名称），就参加 </w:t>
      </w:r>
      <w:r>
        <w:rPr>
          <w:rFonts w:hint="eastAsia" w:ascii="宋体" w:hAnsi="宋体" w:eastAsia="宋体" w:cs="宋体"/>
          <w:szCs w:val="21"/>
          <w:highlight w:val="none"/>
          <w:u w:val="single"/>
        </w:rPr>
        <w:t xml:space="preserve">    </w:t>
      </w:r>
      <w:r>
        <w:rPr>
          <w:rFonts w:hint="eastAsia" w:ascii="宋体" w:hAnsi="宋体" w:eastAsia="宋体" w:cs="宋体"/>
          <w:sz w:val="21"/>
          <w:szCs w:val="21"/>
          <w:highlight w:val="none"/>
          <w:u w:val="single"/>
          <w:lang w:val="zh-CN"/>
        </w:rPr>
        <w:t xml:space="preserve"> （采购项目名称、采购项目编号）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项目投标事宜，在此郑重声明：</w:t>
      </w:r>
    </w:p>
    <w:p>
      <w:pPr>
        <w:pStyle w:val="12"/>
        <w:spacing w:line="500" w:lineRule="exact"/>
        <w:ind w:firstLine="573"/>
        <w:rPr>
          <w:rFonts w:hint="eastAsia" w:ascii="宋体" w:hAnsi="宋体" w:eastAsia="宋体" w:cs="宋体"/>
          <w:szCs w:val="21"/>
          <w:highlight w:val="none"/>
        </w:rPr>
      </w:pPr>
      <w:r>
        <w:rPr>
          <w:rFonts w:hint="eastAsia" w:ascii="宋体" w:hAnsi="宋体" w:eastAsia="宋体" w:cs="宋体"/>
          <w:b/>
          <w:bCs/>
          <w:szCs w:val="21"/>
          <w:highlight w:val="none"/>
        </w:rPr>
        <w:t>我公司</w:t>
      </w:r>
      <w:r>
        <w:rPr>
          <w:rFonts w:hint="eastAsia" w:ascii="宋体" w:hAnsi="宋体" w:eastAsia="宋体" w:cs="宋体"/>
          <w:b/>
          <w:bCs/>
          <w:szCs w:val="21"/>
          <w:highlight w:val="none"/>
          <w:lang w:eastAsia="zh-CN"/>
        </w:rPr>
        <w:t>参加</w:t>
      </w:r>
      <w:r>
        <w:rPr>
          <w:rFonts w:hint="eastAsia" w:ascii="宋体" w:hAnsi="宋体" w:eastAsia="宋体" w:cs="宋体"/>
          <w:b/>
          <w:szCs w:val="21"/>
          <w:highlight w:val="none"/>
          <w:lang w:eastAsia="zh-CN"/>
        </w:rPr>
        <w:t>本次政府采购活动前三年内，在经营活动中没有重大违法记录</w:t>
      </w:r>
      <w:r>
        <w:rPr>
          <w:rFonts w:hint="eastAsia" w:ascii="宋体" w:hAnsi="宋体" w:eastAsia="宋体" w:cs="宋体"/>
          <w:szCs w:val="21"/>
          <w:highlight w:val="none"/>
        </w:rPr>
        <w:t>。</w:t>
      </w:r>
    </w:p>
    <w:p>
      <w:pPr>
        <w:pStyle w:val="12"/>
        <w:spacing w:line="500" w:lineRule="exact"/>
        <w:ind w:firstLine="573"/>
        <w:rPr>
          <w:rFonts w:hint="eastAsia" w:ascii="宋体" w:hAnsi="宋体" w:eastAsia="宋体" w:cs="宋体"/>
          <w:szCs w:val="21"/>
          <w:highlight w:val="none"/>
        </w:rPr>
      </w:pPr>
      <w:r>
        <w:rPr>
          <w:rFonts w:hint="eastAsia" w:ascii="宋体" w:hAnsi="宋体" w:eastAsia="宋体" w:cs="宋体"/>
          <w:szCs w:val="21"/>
          <w:highlight w:val="none"/>
        </w:rPr>
        <w:t>以上声明若有违反，一经查实，我公司愿意接受政府有关部门的相应处罚，并愿意承担由此带来的法律后果。</w:t>
      </w:r>
    </w:p>
    <w:p>
      <w:pPr>
        <w:pStyle w:val="12"/>
        <w:spacing w:line="500" w:lineRule="exact"/>
        <w:ind w:firstLine="570"/>
        <w:rPr>
          <w:rFonts w:hint="eastAsia" w:ascii="宋体" w:hAnsi="宋体" w:eastAsia="宋体" w:cs="宋体"/>
          <w:szCs w:val="21"/>
          <w:highlight w:val="none"/>
        </w:rPr>
      </w:pPr>
      <w:r>
        <w:rPr>
          <w:rFonts w:hint="eastAsia" w:ascii="宋体" w:hAnsi="宋体" w:eastAsia="宋体" w:cs="宋体"/>
          <w:szCs w:val="21"/>
          <w:highlight w:val="none"/>
        </w:rPr>
        <w:t>特此声明！</w:t>
      </w:r>
    </w:p>
    <w:p>
      <w:pPr>
        <w:pStyle w:val="12"/>
        <w:spacing w:line="500" w:lineRule="exact"/>
        <w:ind w:firstLine="570"/>
        <w:rPr>
          <w:rFonts w:hint="eastAsia" w:ascii="宋体" w:hAnsi="宋体" w:eastAsia="宋体" w:cs="宋体"/>
          <w:szCs w:val="21"/>
          <w:highlight w:val="none"/>
        </w:rPr>
      </w:pPr>
    </w:p>
    <w:p>
      <w:pPr>
        <w:pStyle w:val="12"/>
        <w:spacing w:line="500" w:lineRule="exact"/>
        <w:ind w:firstLine="570"/>
        <w:rPr>
          <w:rFonts w:hint="eastAsia" w:ascii="宋体" w:hAnsi="宋体" w:eastAsia="宋体" w:cs="宋体"/>
          <w:szCs w:val="21"/>
          <w:highlight w:val="none"/>
        </w:rPr>
      </w:pPr>
      <w:r>
        <w:rPr>
          <w:rFonts w:hint="eastAsia" w:ascii="宋体" w:hAnsi="宋体" w:eastAsia="宋体" w:cs="宋体"/>
          <w:szCs w:val="21"/>
          <w:highlight w:val="none"/>
        </w:rPr>
        <w:t>声  明  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名称、公章）</w:t>
      </w:r>
    </w:p>
    <w:p>
      <w:pPr>
        <w:pStyle w:val="12"/>
        <w:spacing w:line="500" w:lineRule="exact"/>
        <w:ind w:firstLine="573"/>
        <w:rPr>
          <w:rFonts w:hint="eastAsia" w:ascii="宋体" w:hAnsi="宋体" w:eastAsia="宋体" w:cs="宋体"/>
          <w:szCs w:val="21"/>
          <w:highlight w:val="none"/>
        </w:rPr>
      </w:pPr>
      <w:r>
        <w:rPr>
          <w:rFonts w:hint="eastAsia" w:ascii="宋体" w:hAnsi="宋体" w:eastAsia="宋体" w:cs="宋体"/>
          <w:szCs w:val="21"/>
          <w:highlight w:val="none"/>
        </w:rPr>
        <w:t xml:space="preserve">日      期：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pStyle w:val="2"/>
        <w:rPr>
          <w:rFonts w:hint="eastAsia" w:ascii="宋体" w:hAnsi="宋体" w:eastAsia="宋体" w:cs="宋体"/>
          <w:b/>
          <w:szCs w:val="21"/>
          <w:highlight w:val="none"/>
          <w:lang w:val="en-US" w:eastAsia="zh-CN"/>
        </w:rPr>
      </w:pPr>
    </w:p>
    <w:p>
      <w:pPr>
        <w:snapToGrid w:val="0"/>
        <w:spacing w:afterLines="50" w:line="360" w:lineRule="auto"/>
        <w:ind w:right="-57" w:rightChars="-27"/>
        <w:jc w:val="left"/>
        <w:rPr>
          <w:rFonts w:hint="eastAsia" w:ascii="宋体" w:hAnsi="宋体" w:eastAsia="宋体" w:cs="宋体"/>
          <w:b/>
          <w:bCs/>
          <w:sz w:val="24"/>
          <w:szCs w:val="22"/>
          <w:highlight w:val="none"/>
        </w:rPr>
      </w:pPr>
      <w:r>
        <w:rPr>
          <w:rFonts w:hint="eastAsia" w:ascii="宋体" w:hAnsi="宋体" w:eastAsia="宋体" w:cs="宋体"/>
          <w:b/>
          <w:szCs w:val="21"/>
          <w:highlight w:val="none"/>
          <w:lang w:val="en-US" w:eastAsia="zh-CN"/>
        </w:rPr>
        <w:t>附件3：</w:t>
      </w:r>
      <w:r>
        <w:rPr>
          <w:rFonts w:hint="eastAsia" w:ascii="宋体" w:hAnsi="宋体" w:eastAsia="宋体" w:cs="宋体"/>
          <w:b/>
          <w:bCs/>
          <w:sz w:val="24"/>
          <w:szCs w:val="22"/>
          <w:highlight w:val="none"/>
        </w:rPr>
        <w:t>中小微企业、监狱企业、残疾人福利单位的声明函或证明材料</w:t>
      </w:r>
    </w:p>
    <w:p>
      <w:pPr>
        <w:spacing w:line="400" w:lineRule="exact"/>
        <w:ind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t>本项目专门面向中小企业采购，供应商应为中小微企业或监狱企业或残疾人福利性单位。</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供应商为中型、小型、微型企业的，提供《中小企业声明函》；供应商为监狱企业的，应提供监狱企业的证明文件；供应商为残疾人福利性单位的，应提供《残疾人福利性单位声明函》。</w:t>
      </w:r>
    </w:p>
    <w:p>
      <w:pPr>
        <w:spacing w:line="600" w:lineRule="exact"/>
        <w:ind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特别提醒：供应商性质（声明函或证明文件）将随成交公告一同公布。</w:t>
      </w:r>
    </w:p>
    <w:p>
      <w:pPr>
        <w:spacing w:line="600" w:lineRule="exact"/>
        <w:ind w:firstLine="422" w:firstLineChars="200"/>
        <w:jc w:val="center"/>
        <w:rPr>
          <w:rFonts w:hint="eastAsia" w:ascii="宋体" w:hAnsi="宋体" w:eastAsia="宋体" w:cs="宋体"/>
          <w:b/>
          <w:bCs/>
          <w:szCs w:val="24"/>
          <w:highlight w:val="none"/>
        </w:rPr>
      </w:pPr>
      <w:r>
        <w:rPr>
          <w:rFonts w:hint="eastAsia" w:ascii="宋体" w:hAnsi="宋体" w:eastAsia="宋体" w:cs="宋体"/>
          <w:b/>
          <w:bCs/>
          <w:szCs w:val="24"/>
          <w:highlight w:val="none"/>
        </w:rPr>
        <w:t>（一）中小企业声明函</w:t>
      </w:r>
    </w:p>
    <w:p>
      <w:pPr>
        <w:pStyle w:val="16"/>
        <w:spacing w:line="302" w:lineRule="auto"/>
        <w:ind w:right="415" w:firstLine="640"/>
        <w:jc w:val="both"/>
        <w:rPr>
          <w:rFonts w:hint="eastAsia" w:ascii="宋体" w:hAnsi="宋体" w:eastAsia="宋体" w:cs="宋体"/>
          <w:spacing w:val="5"/>
          <w:szCs w:val="21"/>
          <w:highlight w:val="none"/>
        </w:rPr>
      </w:pPr>
    </w:p>
    <w:p>
      <w:pPr>
        <w:pStyle w:val="16"/>
        <w:keepNext w:val="0"/>
        <w:keepLines w:val="0"/>
        <w:pageBreakBefore w:val="0"/>
        <w:widowControl w:val="0"/>
        <w:kinsoku/>
        <w:wordWrap/>
        <w:overflowPunct/>
        <w:topLinePunct w:val="0"/>
        <w:autoSpaceDE/>
        <w:autoSpaceDN/>
        <w:bidi w:val="0"/>
        <w:adjustRightInd/>
        <w:snapToGrid/>
        <w:spacing w:line="360" w:lineRule="auto"/>
        <w:ind w:right="415" w:firstLine="640"/>
        <w:jc w:val="both"/>
        <w:textAlignment w:val="auto"/>
        <w:rPr>
          <w:rFonts w:hint="eastAsia" w:ascii="宋体" w:hAnsi="宋体" w:eastAsia="宋体" w:cs="宋体"/>
          <w:spacing w:val="5"/>
          <w:szCs w:val="21"/>
          <w:highlight w:val="none"/>
        </w:rPr>
      </w:pPr>
      <w:r>
        <w:rPr>
          <w:rFonts w:hint="eastAsia" w:ascii="宋体" w:hAnsi="宋体" w:eastAsia="宋体" w:cs="宋体"/>
          <w:spacing w:val="5"/>
          <w:szCs w:val="21"/>
          <w:highlight w:val="none"/>
        </w:rPr>
        <w:t>本公司郑重声明，根据《政府采购促进中小企业发展管理办法》（财库﹝2020﹞46 号）的规定，本公司参加</w:t>
      </w:r>
      <w:r>
        <w:rPr>
          <w:rFonts w:hint="eastAsia" w:ascii="宋体" w:hAnsi="宋体" w:eastAsia="宋体" w:cs="宋体"/>
          <w:spacing w:val="5"/>
          <w:szCs w:val="21"/>
          <w:highlight w:val="none"/>
          <w:u w:val="single"/>
        </w:rPr>
        <w:t xml:space="preserve">        （单位名称）</w:t>
      </w:r>
      <w:r>
        <w:rPr>
          <w:rFonts w:hint="eastAsia" w:ascii="宋体" w:hAnsi="宋体" w:eastAsia="宋体" w:cs="宋体"/>
          <w:spacing w:val="5"/>
          <w:szCs w:val="21"/>
          <w:highlight w:val="none"/>
        </w:rPr>
        <w:t>的</w:t>
      </w:r>
      <w:r>
        <w:rPr>
          <w:rFonts w:hint="eastAsia" w:ascii="宋体" w:hAnsi="宋体" w:eastAsia="宋体" w:cs="宋体"/>
          <w:spacing w:val="5"/>
          <w:szCs w:val="21"/>
          <w:highlight w:val="none"/>
          <w:u w:val="single"/>
        </w:rPr>
        <w:t xml:space="preserve">      （项目名称）</w:t>
      </w:r>
      <w:r>
        <w:rPr>
          <w:rFonts w:hint="eastAsia" w:ascii="宋体" w:hAnsi="宋体" w:eastAsia="宋体" w:cs="宋体"/>
          <w:spacing w:val="5"/>
          <w:szCs w:val="21"/>
          <w:highlight w:val="none"/>
        </w:rPr>
        <w:t>采购活动，服务全部由符合政策要求的中小企业承接。相关企业的具体情况如下：</w:t>
      </w:r>
    </w:p>
    <w:p>
      <w:pPr>
        <w:pStyle w:val="16"/>
        <w:keepNext w:val="0"/>
        <w:keepLines w:val="0"/>
        <w:pageBreakBefore w:val="0"/>
        <w:widowControl w:val="0"/>
        <w:kinsoku/>
        <w:wordWrap/>
        <w:overflowPunct/>
        <w:topLinePunct w:val="0"/>
        <w:autoSpaceDE/>
        <w:autoSpaceDN/>
        <w:bidi w:val="0"/>
        <w:adjustRightInd/>
        <w:snapToGrid/>
        <w:spacing w:line="360" w:lineRule="auto"/>
        <w:ind w:right="415" w:firstLine="640"/>
        <w:jc w:val="both"/>
        <w:textAlignment w:val="auto"/>
        <w:rPr>
          <w:rFonts w:hint="eastAsia" w:ascii="宋体" w:hAnsi="宋体" w:eastAsia="宋体" w:cs="宋体"/>
          <w:spacing w:val="5"/>
          <w:szCs w:val="21"/>
          <w:highlight w:val="none"/>
        </w:rPr>
      </w:pPr>
      <w:r>
        <w:rPr>
          <w:rFonts w:hint="eastAsia" w:ascii="宋体" w:hAnsi="宋体" w:eastAsia="宋体" w:cs="宋体"/>
          <w:spacing w:val="5"/>
          <w:szCs w:val="21"/>
          <w:highlight w:val="none"/>
          <w:u w:val="single"/>
        </w:rPr>
        <w:t xml:space="preserve">      （标的名称） </w:t>
      </w:r>
      <w:r>
        <w:rPr>
          <w:rFonts w:hint="eastAsia" w:ascii="宋体" w:hAnsi="宋体" w:eastAsia="宋体" w:cs="宋体"/>
          <w:spacing w:val="5"/>
          <w:szCs w:val="21"/>
          <w:highlight w:val="none"/>
        </w:rPr>
        <w:t>，属于</w:t>
      </w:r>
      <w:r>
        <w:rPr>
          <w:rFonts w:hint="eastAsia" w:ascii="宋体" w:hAnsi="宋体" w:eastAsia="宋体" w:cs="宋体"/>
          <w:spacing w:val="5"/>
          <w:szCs w:val="21"/>
          <w:highlight w:val="none"/>
          <w:u w:val="single"/>
        </w:rPr>
        <w:t xml:space="preserve">      （采购文件中明确的所属行业）</w:t>
      </w:r>
      <w:r>
        <w:rPr>
          <w:rFonts w:hint="eastAsia" w:ascii="宋体" w:hAnsi="宋体" w:eastAsia="宋体" w:cs="宋体"/>
          <w:spacing w:val="5"/>
          <w:szCs w:val="21"/>
          <w:highlight w:val="none"/>
        </w:rPr>
        <w:t>；承接企业为</w:t>
      </w:r>
      <w:r>
        <w:rPr>
          <w:rFonts w:hint="eastAsia" w:ascii="宋体" w:hAnsi="宋体" w:eastAsia="宋体" w:cs="宋体"/>
          <w:spacing w:val="5"/>
          <w:szCs w:val="21"/>
          <w:highlight w:val="none"/>
          <w:u w:val="single"/>
        </w:rPr>
        <w:t xml:space="preserve">       （企业名称）             </w:t>
      </w:r>
      <w:r>
        <w:rPr>
          <w:rFonts w:hint="eastAsia" w:ascii="宋体" w:hAnsi="宋体" w:eastAsia="宋体" w:cs="宋体"/>
          <w:spacing w:val="5"/>
          <w:szCs w:val="21"/>
          <w:highlight w:val="none"/>
        </w:rPr>
        <w:t>，从业人员</w:t>
      </w:r>
      <w:r>
        <w:rPr>
          <w:rFonts w:hint="eastAsia" w:ascii="宋体" w:hAnsi="宋体" w:eastAsia="宋体" w:cs="宋体"/>
          <w:spacing w:val="5"/>
          <w:szCs w:val="21"/>
          <w:highlight w:val="none"/>
          <w:u w:val="single"/>
        </w:rPr>
        <w:t xml:space="preserve">           </w:t>
      </w:r>
      <w:r>
        <w:rPr>
          <w:rFonts w:hint="eastAsia" w:ascii="宋体" w:hAnsi="宋体" w:eastAsia="宋体" w:cs="宋体"/>
          <w:spacing w:val="5"/>
          <w:szCs w:val="21"/>
          <w:highlight w:val="none"/>
        </w:rPr>
        <w:t>人，营业收入为</w:t>
      </w:r>
      <w:r>
        <w:rPr>
          <w:rFonts w:hint="eastAsia" w:ascii="宋体" w:hAnsi="宋体" w:eastAsia="宋体" w:cs="宋体"/>
          <w:spacing w:val="5"/>
          <w:szCs w:val="21"/>
          <w:highlight w:val="none"/>
          <w:u w:val="single"/>
        </w:rPr>
        <w:t xml:space="preserve">        </w:t>
      </w:r>
      <w:r>
        <w:rPr>
          <w:rFonts w:hint="eastAsia" w:ascii="宋体" w:hAnsi="宋体" w:eastAsia="宋体" w:cs="宋体"/>
          <w:spacing w:val="5"/>
          <w:szCs w:val="21"/>
          <w:highlight w:val="none"/>
        </w:rPr>
        <w:t>万元，资产总额为</w:t>
      </w:r>
      <w:r>
        <w:rPr>
          <w:rFonts w:hint="eastAsia" w:ascii="宋体" w:hAnsi="宋体" w:eastAsia="宋体" w:cs="宋体"/>
          <w:spacing w:val="5"/>
          <w:szCs w:val="21"/>
          <w:highlight w:val="none"/>
          <w:u w:val="single"/>
        </w:rPr>
        <w:t xml:space="preserve">         </w:t>
      </w:r>
      <w:r>
        <w:rPr>
          <w:rFonts w:hint="eastAsia" w:ascii="宋体" w:hAnsi="宋体" w:eastAsia="宋体" w:cs="宋体"/>
          <w:spacing w:val="5"/>
          <w:szCs w:val="21"/>
          <w:highlight w:val="none"/>
        </w:rPr>
        <w:t>万元，属于</w:t>
      </w:r>
      <w:r>
        <w:rPr>
          <w:rFonts w:hint="eastAsia" w:ascii="宋体" w:hAnsi="宋体" w:eastAsia="宋体" w:cs="宋体"/>
          <w:spacing w:val="5"/>
          <w:szCs w:val="21"/>
          <w:highlight w:val="none"/>
          <w:u w:val="single"/>
        </w:rPr>
        <w:t xml:space="preserve">            （中型企业/小型企业/微型企业）     </w:t>
      </w:r>
      <w:r>
        <w:rPr>
          <w:rFonts w:hint="eastAsia" w:ascii="宋体" w:hAnsi="宋体" w:eastAsia="宋体" w:cs="宋体"/>
          <w:spacing w:val="5"/>
          <w:szCs w:val="21"/>
          <w:highlight w:val="none"/>
        </w:rPr>
        <w:t>；</w:t>
      </w:r>
    </w:p>
    <w:p>
      <w:pPr>
        <w:pStyle w:val="16"/>
        <w:keepNext w:val="0"/>
        <w:keepLines w:val="0"/>
        <w:pageBreakBefore w:val="0"/>
        <w:widowControl w:val="0"/>
        <w:kinsoku/>
        <w:wordWrap/>
        <w:overflowPunct/>
        <w:topLinePunct w:val="0"/>
        <w:autoSpaceDE/>
        <w:autoSpaceDN/>
        <w:bidi w:val="0"/>
        <w:adjustRightInd/>
        <w:snapToGrid/>
        <w:spacing w:line="360" w:lineRule="auto"/>
        <w:ind w:right="415" w:firstLine="640"/>
        <w:jc w:val="both"/>
        <w:textAlignment w:val="auto"/>
        <w:rPr>
          <w:rFonts w:hint="eastAsia" w:ascii="宋体" w:hAnsi="宋体" w:eastAsia="宋体" w:cs="宋体"/>
          <w:spacing w:val="5"/>
          <w:szCs w:val="21"/>
          <w:highlight w:val="none"/>
        </w:rPr>
      </w:pPr>
      <w:r>
        <w:rPr>
          <w:rFonts w:hint="eastAsia" w:ascii="宋体" w:hAnsi="宋体" w:eastAsia="宋体" w:cs="宋体"/>
          <w:spacing w:val="5"/>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pacing w:val="5"/>
          <w:szCs w:val="21"/>
          <w:highlight w:val="none"/>
        </w:rPr>
      </w:pPr>
      <w:r>
        <w:rPr>
          <w:rFonts w:hint="eastAsia" w:ascii="宋体" w:hAnsi="宋体" w:eastAsia="宋体" w:cs="宋体"/>
          <w:spacing w:val="5"/>
          <w:szCs w:val="21"/>
          <w:highlight w:val="none"/>
        </w:rPr>
        <w:t>本企业对上述</w:t>
      </w:r>
      <w:r>
        <w:rPr>
          <w:rFonts w:hint="eastAsia" w:ascii="宋体" w:hAnsi="宋体" w:eastAsia="宋体" w:cs="宋体"/>
          <w:szCs w:val="24"/>
          <w:highlight w:val="none"/>
        </w:rPr>
        <w:t>声明</w:t>
      </w:r>
      <w:r>
        <w:rPr>
          <w:rFonts w:hint="eastAsia" w:ascii="宋体" w:hAnsi="宋体" w:eastAsia="宋体" w:cs="宋体"/>
          <w:spacing w:val="5"/>
          <w:szCs w:val="21"/>
          <w:highlight w:val="none"/>
        </w:rPr>
        <w:t>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供应商：（加盖公章）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szCs w:val="21"/>
          <w:highlight w:val="none"/>
        </w:rPr>
      </w:pPr>
      <w:r>
        <w:rPr>
          <w:rFonts w:hint="eastAsia" w:ascii="宋体" w:hAnsi="宋体" w:eastAsia="宋体" w:cs="宋体"/>
          <w:szCs w:val="21"/>
          <w:highlight w:val="none"/>
        </w:rPr>
        <w:t>法定代表人或授权代表：（签字或盖章）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szCs w:val="21"/>
          <w:highlight w:val="none"/>
        </w:rPr>
      </w:pPr>
      <w:r>
        <w:rPr>
          <w:rFonts w:hint="eastAsia" w:ascii="宋体" w:hAnsi="宋体" w:eastAsia="宋体" w:cs="宋体"/>
          <w:szCs w:val="21"/>
          <w:highlight w:val="none"/>
        </w:rPr>
        <w:t>日　期：　　年　月　日</w:t>
      </w:r>
    </w:p>
    <w:p>
      <w:pPr>
        <w:spacing w:line="600" w:lineRule="exact"/>
        <w:ind w:firstLine="420" w:firstLineChars="200"/>
        <w:jc w:val="left"/>
        <w:rPr>
          <w:rFonts w:hint="eastAsia" w:ascii="宋体" w:hAnsi="宋体" w:eastAsia="宋体" w:cs="宋体"/>
          <w:szCs w:val="21"/>
          <w:highlight w:val="none"/>
        </w:rPr>
      </w:pPr>
    </w:p>
    <w:p>
      <w:pPr>
        <w:spacing w:line="600" w:lineRule="exact"/>
        <w:ind w:firstLine="420" w:firstLineChars="200"/>
        <w:jc w:val="left"/>
        <w:rPr>
          <w:rFonts w:hint="eastAsia" w:ascii="宋体" w:hAnsi="宋体" w:eastAsia="宋体" w:cs="宋体"/>
          <w:szCs w:val="24"/>
          <w:highlight w:val="none"/>
        </w:rPr>
      </w:pPr>
    </w:p>
    <w:p>
      <w:pPr>
        <w:spacing w:line="600" w:lineRule="exact"/>
        <w:ind w:firstLine="420" w:firstLineChars="200"/>
        <w:jc w:val="left"/>
        <w:rPr>
          <w:rFonts w:hint="eastAsia" w:ascii="宋体" w:hAnsi="宋体" w:eastAsia="宋体" w:cs="宋体"/>
          <w:szCs w:val="24"/>
          <w:highlight w:val="none"/>
        </w:rPr>
      </w:pPr>
    </w:p>
    <w:p>
      <w:pPr>
        <w:spacing w:line="600" w:lineRule="exact"/>
        <w:ind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备注：填写前请认真阅读《工业和信息化部、国家统计局、国家发展和改革委员会、财政部关于印发中小企业划型标准规定的通知》（工信部联企业[2011]300号）和根据《政府采购促进中小企业发展管理办法》（财库﹝2020﹞46 号）的相关规定。</w:t>
      </w:r>
    </w:p>
    <w:p>
      <w:pPr>
        <w:spacing w:line="600" w:lineRule="exact"/>
        <w:ind w:firstLine="420" w:firstLineChars="200"/>
        <w:jc w:val="left"/>
        <w:rPr>
          <w:rFonts w:hint="eastAsia" w:ascii="宋体" w:hAnsi="宋体" w:eastAsia="宋体" w:cs="宋体"/>
          <w:szCs w:val="24"/>
          <w:highlight w:val="none"/>
        </w:rPr>
      </w:pPr>
    </w:p>
    <w:p>
      <w:pPr>
        <w:widowControl/>
        <w:tabs>
          <w:tab w:val="left" w:pos="5670"/>
        </w:tabs>
        <w:spacing w:line="500" w:lineRule="exact"/>
        <w:jc w:val="left"/>
        <w:rPr>
          <w:rFonts w:hint="eastAsia" w:ascii="宋体" w:hAnsi="宋体" w:eastAsia="宋体" w:cs="宋体"/>
          <w:sz w:val="28"/>
          <w:szCs w:val="28"/>
          <w:highlight w:val="none"/>
        </w:rPr>
      </w:pPr>
    </w:p>
    <w:p>
      <w:pPr>
        <w:pStyle w:val="2"/>
        <w:rPr>
          <w:rFonts w:hint="eastAsia" w:ascii="宋体" w:hAnsi="宋体" w:eastAsia="宋体" w:cs="宋体"/>
          <w:highlight w:val="none"/>
        </w:rPr>
      </w:pPr>
    </w:p>
    <w:p>
      <w:pPr>
        <w:pStyle w:val="25"/>
        <w:rPr>
          <w:rFonts w:hint="eastAsia" w:ascii="宋体" w:hAnsi="宋体" w:eastAsia="宋体" w:cs="宋体"/>
          <w:highlight w:val="none"/>
        </w:rPr>
      </w:pPr>
    </w:p>
    <w:p>
      <w:pPr>
        <w:spacing w:line="600" w:lineRule="exact"/>
        <w:ind w:firstLine="422" w:firstLineChars="200"/>
        <w:jc w:val="center"/>
        <w:rPr>
          <w:rFonts w:hint="eastAsia" w:ascii="宋体" w:hAnsi="宋体" w:eastAsia="宋体" w:cs="宋体"/>
          <w:b/>
          <w:bCs/>
          <w:szCs w:val="24"/>
          <w:highlight w:val="none"/>
        </w:rPr>
      </w:pPr>
      <w:r>
        <w:rPr>
          <w:rFonts w:hint="eastAsia" w:ascii="宋体" w:hAnsi="宋体" w:eastAsia="宋体" w:cs="宋体"/>
          <w:b/>
          <w:bCs/>
          <w:szCs w:val="24"/>
          <w:highlight w:val="none"/>
        </w:rPr>
        <w:t>（二）残疾人福利性单位声明函</w:t>
      </w:r>
    </w:p>
    <w:p>
      <w:pPr>
        <w:spacing w:line="600" w:lineRule="exact"/>
        <w:ind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本单位郑重声明，根据《财政部 民政部 中国残疾人联合会关于促进残疾人就业政府采购政策的通知》（财库〔2017〕141号）的规定，本单位为符合条件的残疾人福利性单位，且本单位参加且本单位参加</w:t>
      </w:r>
      <w:r>
        <w:rPr>
          <w:rFonts w:hint="eastAsia" w:ascii="宋体" w:hAnsi="宋体" w:eastAsia="宋体" w:cs="宋体"/>
          <w:szCs w:val="24"/>
          <w:highlight w:val="none"/>
          <w:u w:val="single"/>
          <w:lang w:val="en-US" w:eastAsia="zh-CN"/>
        </w:rPr>
        <w:t xml:space="preserve">             </w:t>
      </w:r>
      <w:r>
        <w:rPr>
          <w:rFonts w:hint="eastAsia" w:ascii="宋体" w:hAnsi="宋体" w:eastAsia="宋体" w:cs="宋体"/>
          <w:szCs w:val="24"/>
          <w:highlight w:val="none"/>
          <w:lang w:val="en-US" w:eastAsia="zh-CN"/>
        </w:rPr>
        <w:t>单位的</w:t>
      </w:r>
      <w:r>
        <w:rPr>
          <w:rFonts w:hint="eastAsia" w:ascii="宋体" w:hAnsi="宋体" w:eastAsia="宋体" w:cs="宋体"/>
          <w:szCs w:val="24"/>
          <w:highlight w:val="none"/>
          <w:u w:val="single"/>
          <w:lang w:val="en-US" w:eastAsia="zh-CN"/>
        </w:rPr>
        <w:t xml:space="preserve">   </w:t>
      </w:r>
      <w:r>
        <w:rPr>
          <w:rFonts w:hint="eastAsia" w:ascii="宋体" w:hAnsi="宋体" w:eastAsia="宋体" w:cs="宋体"/>
          <w:szCs w:val="24"/>
          <w:highlight w:val="none"/>
          <w:u w:val="single"/>
        </w:rPr>
        <w:t>项目名称</w:t>
      </w:r>
      <w:r>
        <w:rPr>
          <w:rFonts w:hint="eastAsia" w:ascii="宋体" w:hAnsi="宋体" w:eastAsia="宋体" w:cs="宋体"/>
          <w:szCs w:val="24"/>
          <w:highlight w:val="none"/>
          <w:u w:val="single"/>
          <w:lang w:val="en-US" w:eastAsia="zh-CN"/>
        </w:rPr>
        <w:t xml:space="preserve">   </w:t>
      </w:r>
      <w:r>
        <w:rPr>
          <w:rFonts w:hint="eastAsia" w:ascii="宋体" w:hAnsi="宋体" w:eastAsia="宋体" w:cs="宋体"/>
          <w:szCs w:val="24"/>
          <w:highlight w:val="none"/>
        </w:rPr>
        <w:t>（项目编号：____）</w:t>
      </w:r>
      <w:r>
        <w:rPr>
          <w:rFonts w:hint="eastAsia" w:ascii="宋体" w:hAnsi="宋体" w:eastAsia="宋体" w:cs="宋体"/>
          <w:szCs w:val="24"/>
          <w:highlight w:val="none"/>
          <w:lang w:eastAsia="zh-CN"/>
        </w:rPr>
        <w:t>项目</w:t>
      </w:r>
      <w:r>
        <w:rPr>
          <w:rFonts w:hint="eastAsia" w:ascii="宋体" w:hAnsi="宋体" w:eastAsia="宋体" w:cs="宋体"/>
          <w:szCs w:val="24"/>
          <w:highlight w:val="none"/>
        </w:rPr>
        <w:t>采购活动提供本单位制造的货物（由本单位承担工程/提供服务），或者提供其他残疾人福利性单位制造的货物（不包括使用非残疾人福利性单位注册商标的货物）。</w:t>
      </w:r>
    </w:p>
    <w:p>
      <w:pPr>
        <w:spacing w:line="600" w:lineRule="exact"/>
        <w:ind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本单位对上述声明的真实性负责。如有虚假，将依法承担相应责任。</w:t>
      </w:r>
    </w:p>
    <w:p>
      <w:pPr>
        <w:spacing w:line="600" w:lineRule="exact"/>
        <w:ind w:firstLine="420" w:firstLineChars="200"/>
        <w:jc w:val="left"/>
        <w:rPr>
          <w:rFonts w:hint="eastAsia" w:ascii="宋体" w:hAnsi="宋体" w:eastAsia="宋体" w:cs="宋体"/>
          <w:szCs w:val="24"/>
          <w:highlight w:val="none"/>
        </w:rPr>
      </w:pPr>
    </w:p>
    <w:p>
      <w:pPr>
        <w:spacing w:line="600" w:lineRule="exact"/>
        <w:ind w:firstLine="420" w:firstLineChars="200"/>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 xml:space="preserve">                                </w:t>
      </w:r>
      <w:r>
        <w:rPr>
          <w:rFonts w:hint="eastAsia" w:ascii="宋体" w:hAnsi="宋体" w:eastAsia="宋体" w:cs="宋体"/>
          <w:szCs w:val="24"/>
          <w:highlight w:val="none"/>
        </w:rPr>
        <w:t>供应商：（加盖公章）</w:t>
      </w:r>
    </w:p>
    <w:p>
      <w:pPr>
        <w:spacing w:line="600" w:lineRule="exact"/>
        <w:ind w:firstLine="420" w:firstLineChars="200"/>
        <w:jc w:val="right"/>
        <w:rPr>
          <w:rFonts w:hint="eastAsia" w:ascii="宋体" w:hAnsi="宋体" w:eastAsia="宋体" w:cs="宋体"/>
          <w:szCs w:val="24"/>
          <w:highlight w:val="none"/>
        </w:rPr>
      </w:pPr>
      <w:r>
        <w:rPr>
          <w:rFonts w:hint="eastAsia" w:ascii="宋体" w:hAnsi="宋体" w:eastAsia="宋体" w:cs="宋体"/>
          <w:szCs w:val="24"/>
          <w:highlight w:val="none"/>
        </w:rPr>
        <w:t>法定代表人或授权代表：（签字或盖章）</w:t>
      </w:r>
    </w:p>
    <w:p>
      <w:pPr>
        <w:spacing w:line="600" w:lineRule="exact"/>
        <w:ind w:firstLine="420" w:firstLineChars="200"/>
        <w:jc w:val="right"/>
        <w:rPr>
          <w:rFonts w:hint="eastAsia" w:ascii="宋体" w:hAnsi="宋体" w:eastAsia="宋体" w:cs="宋体"/>
          <w:szCs w:val="24"/>
          <w:highlight w:val="none"/>
        </w:rPr>
      </w:pPr>
      <w:r>
        <w:rPr>
          <w:rFonts w:hint="eastAsia" w:ascii="宋体" w:hAnsi="宋体" w:eastAsia="宋体" w:cs="宋体"/>
          <w:szCs w:val="24"/>
          <w:highlight w:val="none"/>
        </w:rPr>
        <w:t>日　期：　　年　月　日</w:t>
      </w:r>
    </w:p>
    <w:p>
      <w:pPr>
        <w:spacing w:line="600" w:lineRule="exact"/>
        <w:ind w:firstLine="420" w:firstLineChars="200"/>
        <w:jc w:val="left"/>
        <w:rPr>
          <w:rFonts w:hint="eastAsia" w:ascii="宋体" w:hAnsi="宋体" w:eastAsia="宋体" w:cs="宋体"/>
          <w:szCs w:val="24"/>
          <w:highlight w:val="none"/>
        </w:rPr>
      </w:pPr>
    </w:p>
    <w:p>
      <w:pPr>
        <w:spacing w:line="600" w:lineRule="exact"/>
        <w:ind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备注：根据《财政部 民政部 中国残疾人联合会关于促进残疾人就业政府采购政策的通知》（财库〔2017〕141号）的规定：</w:t>
      </w:r>
    </w:p>
    <w:p>
      <w:pPr>
        <w:spacing w:line="600" w:lineRule="exact"/>
        <w:ind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一、享受政府采购支持政策的残疾人福利性单位应当同时满足以下条件：</w:t>
      </w:r>
    </w:p>
    <w:p>
      <w:pPr>
        <w:spacing w:line="600" w:lineRule="exact"/>
        <w:ind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（一）安置的残疾人占本单位在职职工人数的比例不低于25%（含25%），并且安置的残疾人人数不少于10人（含10人）；</w:t>
      </w:r>
    </w:p>
    <w:p>
      <w:pPr>
        <w:spacing w:line="600" w:lineRule="exact"/>
        <w:ind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（二）依法与安置的每位残疾人签订了一年以上（含一年）的劳动合同或服务协议；</w:t>
      </w:r>
    </w:p>
    <w:p>
      <w:pPr>
        <w:spacing w:line="600" w:lineRule="exact"/>
        <w:ind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（三）为安置的每位残疾人按月足额缴纳了基本养老保险、基本医疗保险、失业保险、工伤保险和生育保险等社会保险费；</w:t>
      </w:r>
    </w:p>
    <w:p>
      <w:pPr>
        <w:spacing w:line="600" w:lineRule="exact"/>
        <w:ind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（四）通过银行等金融机构向安置的每位残疾人，按月支付了不低于单位所在区县适用的经省级人民政府批准的月最低工资标准的工资；</w:t>
      </w:r>
    </w:p>
    <w:p>
      <w:pPr>
        <w:spacing w:line="600" w:lineRule="exact"/>
        <w:ind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（五）提供本单位制造的货物、承担的工程或者服务（以下简称产品），或者提供其他残疾人福利性单位制造的货物（不包括使用非残疾人福利性单位注册商标的货物）。</w:t>
      </w:r>
    </w:p>
    <w:p>
      <w:pPr>
        <w:spacing w:line="600" w:lineRule="exact"/>
        <w:ind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600" w:lineRule="exact"/>
        <w:ind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二、中标、成交供应商为残疾人福利性单位的，采购人或者其委托的采购代理机构应当随中标、成交结果同时公告其《残疾人福利性单位声明函》，接受社会监督。</w:t>
      </w:r>
    </w:p>
    <w:p>
      <w:pPr>
        <w:spacing w:line="600" w:lineRule="exact"/>
        <w:ind w:firstLine="422" w:firstLineChars="200"/>
        <w:jc w:val="center"/>
        <w:rPr>
          <w:rFonts w:hint="eastAsia" w:ascii="宋体" w:hAnsi="宋体" w:eastAsia="宋体" w:cs="宋体"/>
          <w:b/>
          <w:bCs/>
          <w:szCs w:val="24"/>
          <w:highlight w:val="none"/>
        </w:rPr>
      </w:pPr>
      <w:r>
        <w:rPr>
          <w:rFonts w:hint="eastAsia" w:ascii="宋体" w:hAnsi="宋体" w:eastAsia="宋体" w:cs="宋体"/>
          <w:b/>
          <w:bCs/>
          <w:szCs w:val="24"/>
          <w:highlight w:val="none"/>
        </w:rPr>
        <w:t>（三）监狱企业证明函</w:t>
      </w:r>
    </w:p>
    <w:p>
      <w:pPr>
        <w:spacing w:line="600" w:lineRule="exact"/>
        <w:ind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600" w:lineRule="exact"/>
        <w:ind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监狱企业参加政府采购活动时，应当提供由省级以上监狱管理局、戒毒管理局（含新疆生产建设兵团）出具的属于监狱企业的证明文件。</w:t>
      </w:r>
    </w:p>
    <w:p>
      <w:pPr>
        <w:adjustRightInd w:val="0"/>
        <w:snapToGrid w:val="0"/>
        <w:spacing w:line="360" w:lineRule="auto"/>
        <w:jc w:val="both"/>
        <w:outlineLvl w:val="2"/>
        <w:rPr>
          <w:rFonts w:hint="eastAsia" w:ascii="宋体" w:hAnsi="宋体" w:eastAsia="宋体" w:cs="宋体"/>
          <w:b/>
          <w:szCs w:val="21"/>
          <w:highlight w:val="none"/>
          <w:lang w:eastAsia="zh-CN"/>
        </w:rPr>
      </w:pPr>
    </w:p>
    <w:p>
      <w:pPr>
        <w:adjustRightInd w:val="0"/>
        <w:snapToGrid w:val="0"/>
        <w:spacing w:line="360" w:lineRule="auto"/>
        <w:jc w:val="both"/>
        <w:outlineLvl w:val="2"/>
        <w:rPr>
          <w:rFonts w:hint="eastAsia" w:ascii="宋体" w:hAnsi="宋体" w:eastAsia="宋体" w:cs="宋体"/>
          <w:b/>
          <w:szCs w:val="21"/>
          <w:highlight w:val="none"/>
          <w:lang w:eastAsia="zh-CN"/>
        </w:rPr>
      </w:pPr>
    </w:p>
    <w:p>
      <w:pPr>
        <w:adjustRightInd w:val="0"/>
        <w:snapToGrid w:val="0"/>
        <w:spacing w:line="360" w:lineRule="auto"/>
        <w:jc w:val="both"/>
        <w:outlineLvl w:val="2"/>
        <w:rPr>
          <w:rFonts w:hint="eastAsia" w:ascii="宋体" w:hAnsi="宋体" w:eastAsia="宋体" w:cs="宋体"/>
          <w:b/>
          <w:szCs w:val="21"/>
          <w:highlight w:val="none"/>
          <w:lang w:eastAsia="zh-CN"/>
        </w:rPr>
      </w:pPr>
    </w:p>
    <w:p>
      <w:pPr>
        <w:adjustRightInd w:val="0"/>
        <w:snapToGrid w:val="0"/>
        <w:spacing w:line="360" w:lineRule="auto"/>
        <w:jc w:val="both"/>
        <w:outlineLvl w:val="2"/>
        <w:rPr>
          <w:rFonts w:hint="eastAsia" w:ascii="宋体" w:hAnsi="宋体" w:eastAsia="宋体" w:cs="宋体"/>
          <w:b/>
          <w:szCs w:val="21"/>
          <w:highlight w:val="none"/>
          <w:lang w:eastAsia="zh-CN"/>
        </w:rPr>
      </w:pPr>
    </w:p>
    <w:p>
      <w:pPr>
        <w:adjustRightInd w:val="0"/>
        <w:snapToGrid w:val="0"/>
        <w:spacing w:line="360" w:lineRule="auto"/>
        <w:jc w:val="both"/>
        <w:outlineLvl w:val="2"/>
        <w:rPr>
          <w:rFonts w:hint="eastAsia" w:ascii="宋体" w:hAnsi="宋体" w:eastAsia="宋体" w:cs="宋体"/>
          <w:b/>
          <w:szCs w:val="21"/>
          <w:highlight w:val="none"/>
          <w:lang w:eastAsia="zh-CN"/>
        </w:rPr>
      </w:pPr>
    </w:p>
    <w:p>
      <w:pPr>
        <w:adjustRightInd w:val="0"/>
        <w:snapToGrid w:val="0"/>
        <w:spacing w:line="360" w:lineRule="auto"/>
        <w:jc w:val="both"/>
        <w:outlineLvl w:val="2"/>
        <w:rPr>
          <w:rFonts w:hint="eastAsia" w:ascii="宋体" w:hAnsi="宋体" w:eastAsia="宋体" w:cs="宋体"/>
          <w:b/>
          <w:szCs w:val="21"/>
          <w:highlight w:val="none"/>
          <w:lang w:eastAsia="zh-CN"/>
        </w:rPr>
      </w:pPr>
    </w:p>
    <w:p>
      <w:pPr>
        <w:adjustRightInd w:val="0"/>
        <w:snapToGrid w:val="0"/>
        <w:spacing w:line="360" w:lineRule="auto"/>
        <w:jc w:val="both"/>
        <w:outlineLvl w:val="2"/>
        <w:rPr>
          <w:rFonts w:hint="eastAsia" w:ascii="宋体" w:hAnsi="宋体" w:eastAsia="宋体" w:cs="宋体"/>
          <w:b/>
          <w:szCs w:val="21"/>
          <w:highlight w:val="none"/>
          <w:lang w:eastAsia="zh-CN"/>
        </w:rPr>
      </w:pPr>
    </w:p>
    <w:p>
      <w:pPr>
        <w:adjustRightInd w:val="0"/>
        <w:snapToGrid w:val="0"/>
        <w:spacing w:line="360" w:lineRule="auto"/>
        <w:jc w:val="both"/>
        <w:outlineLvl w:val="2"/>
        <w:rPr>
          <w:rFonts w:hint="eastAsia" w:ascii="宋体" w:hAnsi="宋体" w:eastAsia="宋体" w:cs="宋体"/>
          <w:b/>
          <w:szCs w:val="21"/>
          <w:highlight w:val="none"/>
          <w:lang w:eastAsia="zh-CN"/>
        </w:rPr>
      </w:pPr>
    </w:p>
    <w:p>
      <w:pPr>
        <w:adjustRightInd w:val="0"/>
        <w:snapToGrid w:val="0"/>
        <w:spacing w:line="360" w:lineRule="auto"/>
        <w:jc w:val="both"/>
        <w:outlineLvl w:val="2"/>
        <w:rPr>
          <w:rFonts w:hint="eastAsia" w:ascii="宋体" w:hAnsi="宋体" w:eastAsia="宋体" w:cs="宋体"/>
          <w:b/>
          <w:szCs w:val="21"/>
          <w:highlight w:val="none"/>
          <w:lang w:eastAsia="zh-CN"/>
        </w:rPr>
      </w:pPr>
    </w:p>
    <w:p>
      <w:pPr>
        <w:adjustRightInd w:val="0"/>
        <w:snapToGrid w:val="0"/>
        <w:spacing w:line="360" w:lineRule="auto"/>
        <w:jc w:val="both"/>
        <w:outlineLvl w:val="2"/>
        <w:rPr>
          <w:rFonts w:hint="eastAsia" w:ascii="宋体" w:hAnsi="宋体" w:eastAsia="宋体" w:cs="宋体"/>
          <w:b/>
          <w:szCs w:val="21"/>
          <w:highlight w:val="none"/>
          <w:lang w:eastAsia="zh-CN"/>
        </w:rPr>
      </w:pPr>
    </w:p>
    <w:p>
      <w:pPr>
        <w:adjustRightInd w:val="0"/>
        <w:snapToGrid w:val="0"/>
        <w:spacing w:line="360" w:lineRule="auto"/>
        <w:jc w:val="both"/>
        <w:outlineLvl w:val="2"/>
        <w:rPr>
          <w:rFonts w:hint="eastAsia" w:ascii="宋体" w:hAnsi="宋体" w:eastAsia="宋体" w:cs="宋体"/>
          <w:b/>
          <w:szCs w:val="21"/>
          <w:highlight w:val="none"/>
          <w:lang w:eastAsia="zh-CN"/>
        </w:rPr>
      </w:pPr>
    </w:p>
    <w:p>
      <w:pPr>
        <w:adjustRightInd w:val="0"/>
        <w:snapToGrid w:val="0"/>
        <w:spacing w:line="360" w:lineRule="auto"/>
        <w:jc w:val="both"/>
        <w:outlineLvl w:val="2"/>
        <w:rPr>
          <w:rFonts w:hint="eastAsia" w:ascii="宋体" w:hAnsi="宋体" w:eastAsia="宋体" w:cs="宋体"/>
          <w:b/>
          <w:szCs w:val="21"/>
          <w:highlight w:val="none"/>
          <w:lang w:eastAsia="zh-CN"/>
        </w:rPr>
      </w:pPr>
    </w:p>
    <w:p>
      <w:pPr>
        <w:adjustRightInd w:val="0"/>
        <w:snapToGrid w:val="0"/>
        <w:spacing w:line="360" w:lineRule="auto"/>
        <w:jc w:val="both"/>
        <w:outlineLvl w:val="2"/>
        <w:rPr>
          <w:rFonts w:hint="eastAsia" w:ascii="宋体" w:hAnsi="宋体" w:eastAsia="宋体" w:cs="宋体"/>
          <w:b/>
          <w:szCs w:val="21"/>
          <w:highlight w:val="none"/>
          <w:lang w:eastAsia="zh-CN"/>
        </w:rPr>
      </w:pPr>
    </w:p>
    <w:p>
      <w:pPr>
        <w:adjustRightInd w:val="0"/>
        <w:snapToGrid w:val="0"/>
        <w:spacing w:line="360" w:lineRule="auto"/>
        <w:jc w:val="both"/>
        <w:outlineLvl w:val="2"/>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eastAsia="zh-CN"/>
        </w:rPr>
        <w:t>附件</w:t>
      </w:r>
      <w:r>
        <w:rPr>
          <w:rFonts w:hint="eastAsia" w:ascii="宋体" w:hAnsi="宋体" w:eastAsia="宋体" w:cs="宋体"/>
          <w:b/>
          <w:szCs w:val="21"/>
          <w:highlight w:val="none"/>
          <w:lang w:val="en-US" w:eastAsia="zh-CN"/>
        </w:rPr>
        <w:t>4：法定代表人身份证明格式</w:t>
      </w:r>
    </w:p>
    <w:p>
      <w:pPr>
        <w:adjustRightInd w:val="0"/>
        <w:snapToGrid w:val="0"/>
        <w:spacing w:line="360" w:lineRule="auto"/>
        <w:jc w:val="center"/>
        <w:outlineLvl w:val="2"/>
        <w:rPr>
          <w:rFonts w:hint="eastAsia" w:ascii="宋体" w:hAnsi="宋体" w:eastAsia="宋体" w:cs="宋体"/>
          <w:b/>
          <w:bCs/>
          <w:sz w:val="21"/>
          <w:szCs w:val="21"/>
          <w:highlight w:val="none"/>
        </w:rPr>
      </w:pPr>
    </w:p>
    <w:p>
      <w:pPr>
        <w:adjustRightInd w:val="0"/>
        <w:snapToGrid w:val="0"/>
        <w:spacing w:line="360" w:lineRule="auto"/>
        <w:jc w:val="center"/>
        <w:outlineLvl w:val="2"/>
        <w:rPr>
          <w:rFonts w:hint="eastAsia" w:ascii="宋体" w:hAnsi="宋体" w:eastAsia="宋体" w:cs="宋体"/>
          <w:b/>
          <w:bCs/>
          <w:sz w:val="21"/>
          <w:szCs w:val="21"/>
          <w:highlight w:val="none"/>
        </w:rPr>
      </w:pPr>
    </w:p>
    <w:p>
      <w:pPr>
        <w:adjustRightInd w:val="0"/>
        <w:snapToGrid w:val="0"/>
        <w:spacing w:line="360" w:lineRule="auto"/>
        <w:jc w:val="center"/>
        <w:outlineLvl w:val="2"/>
        <w:rPr>
          <w:rFonts w:hint="eastAsia" w:ascii="宋体" w:hAnsi="宋体" w:eastAsia="宋体" w:cs="宋体"/>
          <w:b/>
          <w:sz w:val="21"/>
          <w:szCs w:val="21"/>
          <w:highlight w:val="none"/>
        </w:rPr>
      </w:pPr>
      <w:r>
        <w:rPr>
          <w:rFonts w:hint="eastAsia" w:ascii="宋体" w:hAnsi="宋体" w:eastAsia="宋体" w:cs="宋体"/>
          <w:b/>
          <w:bCs/>
          <w:sz w:val="21"/>
          <w:szCs w:val="21"/>
          <w:highlight w:val="none"/>
        </w:rPr>
        <w:t>法定代表人身份证明</w:t>
      </w:r>
    </w:p>
    <w:p>
      <w:pPr>
        <w:snapToGrid w:val="0"/>
        <w:spacing w:line="480" w:lineRule="auto"/>
        <w:rPr>
          <w:rFonts w:hint="eastAsia" w:ascii="宋体" w:hAnsi="宋体" w:eastAsia="宋体" w:cs="宋体"/>
          <w:sz w:val="21"/>
          <w:szCs w:val="21"/>
          <w:highlight w:val="none"/>
        </w:rPr>
      </w:pPr>
    </w:p>
    <w:p>
      <w:pPr>
        <w:autoSpaceDE w:val="0"/>
        <w:autoSpaceDN w:val="0"/>
        <w:adjustRightInd w:val="0"/>
        <w:snapToGrid w:val="0"/>
        <w:spacing w:before="120" w:beforeLines="50" w:line="360" w:lineRule="auto"/>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lang w:eastAsia="zh-CN"/>
        </w:rPr>
        <w:t>投标供应商</w:t>
      </w:r>
      <w:r>
        <w:rPr>
          <w:rFonts w:hint="eastAsia" w:ascii="宋体" w:hAnsi="宋体" w:eastAsia="宋体" w:cs="宋体"/>
          <w:kern w:val="0"/>
          <w:sz w:val="21"/>
          <w:szCs w:val="21"/>
          <w:highlight w:val="none"/>
        </w:rPr>
        <w:t>名称：</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 xml:space="preserve"> </w:t>
      </w:r>
    </w:p>
    <w:p>
      <w:pPr>
        <w:autoSpaceDE w:val="0"/>
        <w:autoSpaceDN w:val="0"/>
        <w:adjustRightInd w:val="0"/>
        <w:snapToGrid w:val="0"/>
        <w:spacing w:before="120" w:beforeLines="50" w:line="360" w:lineRule="auto"/>
        <w:jc w:val="left"/>
        <w:rPr>
          <w:rFonts w:hint="eastAsia" w:ascii="宋体" w:hAnsi="宋体" w:eastAsia="宋体" w:cs="宋体"/>
          <w:kern w:val="0"/>
          <w:sz w:val="21"/>
          <w:szCs w:val="21"/>
          <w:highlight w:val="none"/>
        </w:rPr>
      </w:pPr>
      <w:r>
        <w:rPr>
          <w:rFonts w:hint="eastAsia" w:ascii="宋体" w:hAnsi="宋体" w:eastAsia="宋体" w:cs="宋体"/>
          <w:highlight w:val="none"/>
        </w:rPr>
        <w:t>统一社会信用代码</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注册地址：</w:t>
      </w:r>
      <w:r>
        <w:rPr>
          <w:rFonts w:hint="eastAsia" w:ascii="宋体" w:hAnsi="宋体" w:eastAsia="宋体" w:cs="宋体"/>
          <w:kern w:val="0"/>
          <w:sz w:val="21"/>
          <w:szCs w:val="21"/>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成立时间：</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年</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rPr>
        <w:t>月</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rPr>
        <w:t>日</w:t>
      </w:r>
    </w:p>
    <w:p>
      <w:pPr>
        <w:autoSpaceDE w:val="0"/>
        <w:autoSpaceDN w:val="0"/>
        <w:adjustRightInd w:val="0"/>
        <w:snapToGrid w:val="0"/>
        <w:spacing w:before="120" w:beforeLines="50" w:line="360" w:lineRule="auto"/>
        <w:jc w:val="left"/>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经营期限：</w:t>
      </w:r>
      <w:r>
        <w:rPr>
          <w:rFonts w:hint="eastAsia" w:ascii="宋体" w:hAnsi="宋体" w:eastAsia="宋体" w:cs="宋体"/>
          <w:kern w:val="0"/>
          <w:sz w:val="21"/>
          <w:szCs w:val="21"/>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姓名：</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 xml:space="preserve"> 性别：</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rPr>
        <w:t xml:space="preserve"> 年龄：</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rPr>
        <w:t xml:space="preserve"> 系</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lang w:eastAsia="zh-CN"/>
        </w:rPr>
        <w:t>投标供应商</w:t>
      </w:r>
      <w:r>
        <w:rPr>
          <w:rFonts w:hint="eastAsia" w:ascii="宋体" w:hAnsi="宋体" w:eastAsia="宋体" w:cs="宋体"/>
          <w:kern w:val="0"/>
          <w:sz w:val="21"/>
          <w:szCs w:val="21"/>
          <w:highlight w:val="none"/>
        </w:rPr>
        <w:t>名称）的法定代表人。</w:t>
      </w:r>
    </w:p>
    <w:p>
      <w:pPr>
        <w:autoSpaceDE w:val="0"/>
        <w:autoSpaceDN w:val="0"/>
        <w:adjustRightInd w:val="0"/>
        <w:snapToGrid w:val="0"/>
        <w:spacing w:before="120" w:beforeLines="50"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特此证明。</w:t>
      </w:r>
    </w:p>
    <w:p>
      <w:pPr>
        <w:autoSpaceDE w:val="0"/>
        <w:autoSpaceDN w:val="0"/>
        <w:adjustRightInd w:val="0"/>
        <w:snapToGrid w:val="0"/>
        <w:spacing w:before="120" w:beforeLines="50" w:line="360" w:lineRule="auto"/>
        <w:jc w:val="left"/>
        <w:rPr>
          <w:rFonts w:hint="eastAsia" w:ascii="宋体" w:hAnsi="宋体" w:eastAsia="宋体" w:cs="宋体"/>
          <w:sz w:val="21"/>
          <w:szCs w:val="21"/>
          <w:highlight w:val="none"/>
        </w:rPr>
      </w:pPr>
    </w:p>
    <w:p>
      <w:pPr>
        <w:autoSpaceDE w:val="0"/>
        <w:autoSpaceDN w:val="0"/>
        <w:adjustRightInd w:val="0"/>
        <w:snapToGrid w:val="0"/>
        <w:spacing w:before="120" w:beforeLines="50" w:line="360" w:lineRule="auto"/>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附：法定代表人身份证复印件</w:t>
      </w:r>
    </w:p>
    <w:p>
      <w:pPr>
        <w:snapToGrid w:val="0"/>
        <w:spacing w:line="480" w:lineRule="auto"/>
        <w:rPr>
          <w:rFonts w:hint="eastAsia" w:ascii="宋体" w:hAnsi="宋体" w:eastAsia="宋体" w:cs="宋体"/>
          <w:sz w:val="21"/>
          <w:szCs w:val="21"/>
          <w:highlight w:val="none"/>
        </w:rPr>
      </w:pPr>
    </w:p>
    <w:tbl>
      <w:tblPr>
        <w:tblStyle w:val="37"/>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pPr>
              <w:snapToGrid w:val="0"/>
              <w:spacing w:line="480" w:lineRule="auto"/>
              <w:jc w:val="center"/>
              <w:rPr>
                <w:rFonts w:hint="eastAsia" w:ascii="宋体" w:hAnsi="宋体" w:eastAsia="宋体" w:cs="宋体"/>
                <w:sz w:val="21"/>
                <w:szCs w:val="21"/>
                <w:highlight w:val="none"/>
              </w:rPr>
            </w:pPr>
          </w:p>
          <w:p>
            <w:pPr>
              <w:snapToGrid w:val="0"/>
              <w:spacing w:line="480" w:lineRule="auto"/>
              <w:jc w:val="center"/>
              <w:rPr>
                <w:rFonts w:hint="eastAsia" w:ascii="宋体" w:hAnsi="宋体" w:eastAsia="宋体" w:cs="宋体"/>
                <w:sz w:val="21"/>
                <w:szCs w:val="21"/>
                <w:highlight w:val="none"/>
              </w:rPr>
            </w:pPr>
          </w:p>
          <w:p>
            <w:pPr>
              <w:spacing w:after="120"/>
              <w:jc w:val="center"/>
              <w:rPr>
                <w:rFonts w:hint="eastAsia" w:ascii="宋体" w:hAnsi="宋体" w:eastAsia="宋体" w:cs="宋体"/>
                <w:highlight w:val="none"/>
              </w:rPr>
            </w:pPr>
            <w:r>
              <w:rPr>
                <w:rFonts w:hint="eastAsia" w:ascii="宋体" w:hAnsi="宋体" w:eastAsia="宋体" w:cs="宋体"/>
                <w:sz w:val="21"/>
                <w:szCs w:val="21"/>
                <w:highlight w:val="none"/>
              </w:rPr>
              <w:t>法定代表人身份证复印件</w:t>
            </w:r>
            <w:r>
              <w:rPr>
                <w:rFonts w:hint="eastAsia" w:ascii="宋体" w:hAnsi="宋体" w:eastAsia="宋体" w:cs="宋体"/>
                <w:sz w:val="21"/>
                <w:szCs w:val="21"/>
                <w:highlight w:val="none"/>
                <w:lang w:eastAsia="zh-CN"/>
              </w:rPr>
              <w:t>黏</w:t>
            </w:r>
            <w:r>
              <w:rPr>
                <w:rFonts w:hint="eastAsia" w:ascii="宋体" w:hAnsi="宋体" w:eastAsia="宋体" w:cs="宋体"/>
                <w:sz w:val="21"/>
                <w:szCs w:val="21"/>
                <w:highlight w:val="none"/>
              </w:rPr>
              <w:t>贴处</w:t>
            </w:r>
            <w:r>
              <w:rPr>
                <w:rFonts w:hint="eastAsia" w:ascii="宋体" w:hAnsi="宋体" w:eastAsia="宋体" w:cs="宋体"/>
                <w:szCs w:val="21"/>
                <w:highlight w:val="none"/>
              </w:rPr>
              <w:t>（正反面）</w:t>
            </w:r>
          </w:p>
          <w:p>
            <w:pPr>
              <w:autoSpaceDE w:val="0"/>
              <w:autoSpaceDN w:val="0"/>
              <w:adjustRightInd w:val="0"/>
              <w:snapToGrid w:val="0"/>
              <w:spacing w:before="120" w:beforeLines="50" w:line="360" w:lineRule="auto"/>
              <w:jc w:val="center"/>
              <w:rPr>
                <w:rFonts w:hint="eastAsia" w:ascii="宋体" w:hAnsi="宋体" w:eastAsia="宋体" w:cs="宋体"/>
                <w:kern w:val="0"/>
                <w:sz w:val="21"/>
                <w:szCs w:val="21"/>
                <w:highlight w:val="none"/>
              </w:rPr>
            </w:pPr>
          </w:p>
          <w:p>
            <w:pPr>
              <w:snapToGrid w:val="0"/>
              <w:spacing w:line="480" w:lineRule="auto"/>
              <w:jc w:val="center"/>
              <w:rPr>
                <w:rFonts w:hint="eastAsia" w:ascii="宋体" w:hAnsi="宋体" w:eastAsia="宋体" w:cs="宋体"/>
                <w:sz w:val="21"/>
                <w:szCs w:val="21"/>
                <w:highlight w:val="none"/>
              </w:rPr>
            </w:pPr>
          </w:p>
          <w:p>
            <w:pPr>
              <w:snapToGrid w:val="0"/>
              <w:spacing w:line="480" w:lineRule="auto"/>
              <w:jc w:val="center"/>
              <w:rPr>
                <w:rFonts w:hint="eastAsia" w:ascii="宋体" w:hAnsi="宋体" w:eastAsia="宋体" w:cs="宋体"/>
                <w:sz w:val="21"/>
                <w:szCs w:val="21"/>
                <w:highlight w:val="none"/>
              </w:rPr>
            </w:pPr>
          </w:p>
        </w:tc>
      </w:tr>
    </w:tbl>
    <w:p>
      <w:pPr>
        <w:snapToGrid w:val="0"/>
        <w:spacing w:line="480" w:lineRule="auto"/>
        <w:rPr>
          <w:rFonts w:hint="eastAsia" w:ascii="宋体" w:hAnsi="宋体" w:eastAsia="宋体" w:cs="宋体"/>
          <w:sz w:val="21"/>
          <w:szCs w:val="21"/>
          <w:highlight w:val="none"/>
        </w:rPr>
      </w:pPr>
    </w:p>
    <w:p>
      <w:pPr>
        <w:snapToGrid w:val="0"/>
        <w:rPr>
          <w:rFonts w:hint="eastAsia" w:ascii="宋体" w:hAnsi="宋体" w:eastAsia="宋体" w:cs="宋体"/>
          <w:sz w:val="21"/>
          <w:szCs w:val="21"/>
          <w:highlight w:val="none"/>
        </w:rPr>
      </w:pPr>
    </w:p>
    <w:p>
      <w:pPr>
        <w:snapToGrid w:val="0"/>
        <w:rPr>
          <w:rFonts w:hint="eastAsia" w:ascii="宋体" w:hAnsi="宋体" w:eastAsia="宋体" w:cs="宋体"/>
          <w:sz w:val="21"/>
          <w:szCs w:val="21"/>
          <w:highlight w:val="none"/>
        </w:rPr>
      </w:pPr>
    </w:p>
    <w:p>
      <w:pPr>
        <w:snapToGrid w:val="0"/>
        <w:rPr>
          <w:rFonts w:hint="eastAsia" w:ascii="宋体" w:hAnsi="宋体" w:eastAsia="宋体" w:cs="宋体"/>
          <w:sz w:val="21"/>
          <w:szCs w:val="21"/>
          <w:highlight w:val="none"/>
        </w:rPr>
      </w:pPr>
    </w:p>
    <w:p>
      <w:pPr>
        <w:snapToGrid w:val="0"/>
        <w:rPr>
          <w:rFonts w:hint="eastAsia" w:ascii="宋体" w:hAnsi="宋体" w:eastAsia="宋体" w:cs="宋体"/>
          <w:sz w:val="21"/>
          <w:szCs w:val="21"/>
          <w:highlight w:val="none"/>
        </w:rPr>
      </w:pPr>
    </w:p>
    <w:p>
      <w:pPr>
        <w:adjustRightInd w:val="0"/>
        <w:snapToGrid w:val="0"/>
        <w:spacing w:line="360" w:lineRule="auto"/>
        <w:rPr>
          <w:rFonts w:hint="eastAsia" w:ascii="宋体" w:hAnsi="宋体" w:eastAsia="宋体" w:cs="宋体"/>
          <w:sz w:val="21"/>
          <w:szCs w:val="21"/>
          <w:highlight w:val="none"/>
        </w:rPr>
      </w:pPr>
    </w:p>
    <w:p>
      <w:pPr>
        <w:adjustRightInd w:val="0"/>
        <w:snapToGrid w:val="0"/>
        <w:spacing w:line="360" w:lineRule="auto"/>
        <w:ind w:right="420"/>
        <w:rPr>
          <w:rFonts w:hint="eastAsia" w:ascii="宋体" w:hAnsi="宋体" w:eastAsia="宋体" w:cs="宋体"/>
          <w:sz w:val="21"/>
          <w:szCs w:val="21"/>
          <w:highlight w:val="none"/>
        </w:rPr>
      </w:pPr>
    </w:p>
    <w:p>
      <w:pPr>
        <w:adjustRightInd w:val="0"/>
        <w:snapToGrid w:val="0"/>
        <w:spacing w:line="360" w:lineRule="auto"/>
        <w:ind w:right="420"/>
        <w:rPr>
          <w:rFonts w:hint="eastAsia" w:ascii="宋体" w:hAnsi="宋体" w:eastAsia="宋体" w:cs="宋体"/>
          <w:sz w:val="21"/>
          <w:szCs w:val="21"/>
          <w:highlight w:val="none"/>
        </w:rPr>
      </w:pPr>
    </w:p>
    <w:p>
      <w:pPr>
        <w:adjustRightInd w:val="0"/>
        <w:snapToGrid w:val="0"/>
        <w:spacing w:line="360" w:lineRule="auto"/>
        <w:ind w:right="420"/>
        <w:rPr>
          <w:rFonts w:hint="eastAsia" w:ascii="宋体" w:hAnsi="宋体" w:eastAsia="宋体" w:cs="宋体"/>
          <w:sz w:val="21"/>
          <w:szCs w:val="21"/>
          <w:highlight w:val="none"/>
        </w:rPr>
      </w:pPr>
    </w:p>
    <w:p>
      <w:pPr>
        <w:adjustRightInd w:val="0"/>
        <w:snapToGrid w:val="0"/>
        <w:spacing w:line="360" w:lineRule="auto"/>
        <w:ind w:right="420"/>
        <w:rPr>
          <w:rFonts w:hint="eastAsia" w:ascii="宋体" w:hAnsi="宋体" w:eastAsia="宋体" w:cs="宋体"/>
          <w:sz w:val="21"/>
          <w:szCs w:val="21"/>
          <w:highlight w:val="none"/>
        </w:rPr>
      </w:pPr>
    </w:p>
    <w:p>
      <w:pPr>
        <w:adjustRightInd w:val="0"/>
        <w:snapToGrid w:val="0"/>
        <w:spacing w:line="360" w:lineRule="auto"/>
        <w:ind w:right="420" w:firstLine="210" w:firstLineChars="100"/>
        <w:rPr>
          <w:rFonts w:hint="eastAsia" w:ascii="宋体" w:hAnsi="宋体" w:eastAsia="宋体" w:cs="宋体"/>
          <w:sz w:val="21"/>
          <w:szCs w:val="21"/>
          <w:highlight w:val="none"/>
        </w:rPr>
      </w:pPr>
    </w:p>
    <w:p>
      <w:pPr>
        <w:pStyle w:val="134"/>
        <w:spacing w:line="500" w:lineRule="exact"/>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r>
        <w:rPr>
          <w:rFonts w:hint="eastAsia" w:ascii="宋体" w:hAnsi="宋体" w:eastAsia="宋体" w:cs="宋体"/>
          <w:b w:val="0"/>
          <w:sz w:val="21"/>
          <w:szCs w:val="21"/>
          <w:highlight w:val="none"/>
          <w:lang w:val="en-US" w:eastAsia="zh-CN"/>
        </w:rPr>
        <w:t xml:space="preserve">                                            </w:t>
      </w:r>
      <w:r>
        <w:rPr>
          <w:rFonts w:hint="eastAsia" w:ascii="宋体" w:hAnsi="宋体" w:eastAsia="宋体" w:cs="宋体"/>
          <w:b w:val="0"/>
          <w:sz w:val="21"/>
          <w:szCs w:val="21"/>
          <w:highlight w:val="none"/>
          <w:lang w:eastAsia="zh-CN"/>
        </w:rPr>
        <w:t>投标供应商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（单位全称、盖章）</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投标日期：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adjustRightInd w:val="0"/>
        <w:snapToGrid w:val="0"/>
        <w:spacing w:line="360" w:lineRule="auto"/>
        <w:ind w:right="420" w:firstLine="4830" w:firstLineChars="2300"/>
        <w:rPr>
          <w:rFonts w:hint="eastAsia" w:ascii="宋体" w:hAnsi="宋体" w:eastAsia="宋体" w:cs="宋体"/>
          <w:sz w:val="21"/>
          <w:szCs w:val="21"/>
          <w:highlight w:val="none"/>
        </w:rPr>
      </w:pPr>
    </w:p>
    <w:p>
      <w:pPr>
        <w:adjustRightInd w:val="0"/>
        <w:snapToGrid w:val="0"/>
        <w:spacing w:line="360" w:lineRule="auto"/>
        <w:ind w:right="420" w:firstLine="210" w:firstLineChars="100"/>
        <w:rPr>
          <w:rFonts w:hint="eastAsia" w:ascii="宋体" w:hAnsi="宋体" w:eastAsia="宋体" w:cs="宋体"/>
          <w:sz w:val="21"/>
          <w:szCs w:val="21"/>
          <w:highlight w:val="none"/>
        </w:rPr>
      </w:pPr>
    </w:p>
    <w:p>
      <w:pPr>
        <w:adjustRightInd w:val="0"/>
        <w:snapToGrid w:val="0"/>
        <w:spacing w:line="360" w:lineRule="auto"/>
        <w:jc w:val="both"/>
        <w:outlineLvl w:val="2"/>
        <w:rPr>
          <w:rFonts w:hint="eastAsia" w:ascii="宋体" w:hAnsi="宋体" w:eastAsia="宋体" w:cs="宋体"/>
          <w:b/>
          <w:szCs w:val="21"/>
          <w:highlight w:val="none"/>
          <w:lang w:val="en-US" w:eastAsia="zh-CN"/>
        </w:rPr>
      </w:pPr>
      <w:r>
        <w:rPr>
          <w:rFonts w:hint="eastAsia" w:ascii="宋体" w:hAnsi="宋体" w:eastAsia="宋体" w:cs="宋体"/>
          <w:b/>
          <w:sz w:val="36"/>
          <w:szCs w:val="36"/>
          <w:highlight w:val="none"/>
        </w:rPr>
        <w:br w:type="page"/>
      </w:r>
      <w:bookmarkStart w:id="23" w:name="_Toc18150"/>
      <w:r>
        <w:rPr>
          <w:rFonts w:hint="eastAsia" w:ascii="宋体" w:hAnsi="宋体" w:eastAsia="宋体" w:cs="宋体"/>
          <w:b/>
          <w:szCs w:val="21"/>
          <w:highlight w:val="none"/>
          <w:lang w:eastAsia="zh-CN"/>
        </w:rPr>
        <w:t>附件</w:t>
      </w:r>
      <w:r>
        <w:rPr>
          <w:rFonts w:hint="eastAsia" w:ascii="宋体" w:hAnsi="宋体" w:eastAsia="宋体" w:cs="宋体"/>
          <w:b/>
          <w:szCs w:val="21"/>
          <w:highlight w:val="none"/>
          <w:lang w:val="en-US" w:eastAsia="zh-CN"/>
        </w:rPr>
        <w:t>5：法定代表人授权书格式</w:t>
      </w:r>
    </w:p>
    <w:p>
      <w:pPr>
        <w:spacing w:line="360" w:lineRule="auto"/>
        <w:jc w:val="center"/>
        <w:outlineLvl w:val="2"/>
        <w:rPr>
          <w:rFonts w:hint="eastAsia" w:ascii="宋体" w:hAnsi="宋体" w:eastAsia="宋体" w:cs="宋体"/>
          <w:b/>
          <w:sz w:val="21"/>
          <w:szCs w:val="21"/>
          <w:highlight w:val="none"/>
        </w:rPr>
      </w:pPr>
      <w:r>
        <w:rPr>
          <w:rFonts w:hint="eastAsia" w:ascii="宋体" w:hAnsi="宋体" w:eastAsia="宋体" w:cs="宋体"/>
          <w:b/>
          <w:bCs/>
          <w:sz w:val="21"/>
          <w:szCs w:val="21"/>
          <w:highlight w:val="none"/>
        </w:rPr>
        <w:t>法定代表人授权书</w:t>
      </w:r>
      <w:bookmarkEnd w:id="23"/>
    </w:p>
    <w:p>
      <w:pPr>
        <w:spacing w:line="360" w:lineRule="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rPr>
        <w:t>致：</w:t>
      </w:r>
      <w:r>
        <w:rPr>
          <w:rFonts w:hint="eastAsia" w:ascii="宋体" w:hAnsi="宋体" w:eastAsia="宋体" w:cs="宋体"/>
          <w:sz w:val="21"/>
          <w:szCs w:val="21"/>
          <w:highlight w:val="none"/>
          <w:u w:val="single"/>
          <w:lang w:val="zh-CN"/>
        </w:rPr>
        <w:t xml:space="preserve">    </w:t>
      </w:r>
      <w:r>
        <w:rPr>
          <w:rFonts w:hint="eastAsia" w:ascii="宋体" w:hAnsi="宋体" w:eastAsia="宋体" w:cs="宋体"/>
          <w:b/>
          <w:sz w:val="21"/>
          <w:szCs w:val="21"/>
          <w:highlight w:val="none"/>
          <w:u w:val="single"/>
          <w:lang w:eastAsia="zh-CN"/>
        </w:rPr>
        <w:t>（</w:t>
      </w:r>
      <w:r>
        <w:rPr>
          <w:rFonts w:hint="eastAsia" w:ascii="宋体" w:hAnsi="宋体" w:eastAsia="宋体" w:cs="宋体"/>
          <w:b/>
          <w:szCs w:val="21"/>
          <w:highlight w:val="none"/>
          <w:u w:val="single"/>
          <w:lang w:val="en-US" w:eastAsia="zh-CN"/>
        </w:rPr>
        <w:t>采购人）</w:t>
      </w:r>
      <w:r>
        <w:rPr>
          <w:rFonts w:hint="eastAsia" w:ascii="宋体" w:hAnsi="宋体" w:eastAsia="宋体" w:cs="宋体"/>
          <w:sz w:val="21"/>
          <w:szCs w:val="21"/>
          <w:highlight w:val="none"/>
          <w:u w:val="single"/>
          <w:lang w:val="zh-CN"/>
        </w:rPr>
        <w:t xml:space="preserve">     </w:t>
      </w:r>
    </w:p>
    <w:p>
      <w:pPr>
        <w:spacing w:line="400" w:lineRule="exact"/>
        <w:ind w:firstLine="420" w:firstLineChars="200"/>
        <w:rPr>
          <w:rFonts w:hint="eastAsia" w:ascii="宋体" w:hAnsi="宋体" w:eastAsia="宋体" w:cs="宋体"/>
          <w:sz w:val="21"/>
          <w:szCs w:val="21"/>
          <w:highlight w:val="none"/>
        </w:rPr>
      </w:pP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注册于</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（工商行政管理局名称）之</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（投标供应商全称）法定代表人</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（姓名、职务）授权</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（被授权人姓名、职务）为我方的合法全权代表，就</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（采购项目名称、采购项目编号）的投标及采购合同的执行和完成，以我方的名义全权处理一切与之有关的事宜，</w:t>
      </w:r>
      <w:r>
        <w:rPr>
          <w:rFonts w:hint="eastAsia" w:ascii="宋体" w:hAnsi="宋体" w:eastAsia="宋体" w:cs="宋体"/>
          <w:kern w:val="0"/>
          <w:sz w:val="21"/>
          <w:szCs w:val="21"/>
          <w:highlight w:val="none"/>
        </w:rPr>
        <w:t>其法律后果由我方承担。</w:t>
      </w:r>
    </w:p>
    <w:p>
      <w:pPr>
        <w:spacing w:line="480" w:lineRule="auto"/>
        <w:ind w:firstLine="420" w:firstLineChars="200"/>
        <w:rPr>
          <w:rFonts w:hint="eastAsia" w:ascii="宋体" w:hAnsi="宋体" w:eastAsia="宋体" w:cs="宋体"/>
          <w:b/>
          <w:bCs/>
          <w:sz w:val="21"/>
          <w:szCs w:val="21"/>
          <w:highlight w:val="none"/>
          <w:lang w:val="zh-CN"/>
        </w:rPr>
      </w:pPr>
      <w:r>
        <w:rPr>
          <w:rFonts w:hint="eastAsia" w:ascii="宋体" w:hAnsi="宋体" w:eastAsia="宋体" w:cs="宋体"/>
          <w:sz w:val="21"/>
          <w:szCs w:val="21"/>
          <w:highlight w:val="none"/>
          <w:lang w:val="zh-CN"/>
        </w:rPr>
        <w:t>本授权有效期：</w:t>
      </w:r>
      <w:r>
        <w:rPr>
          <w:rFonts w:hint="eastAsia" w:ascii="宋体" w:hAnsi="宋体" w:eastAsia="宋体" w:cs="宋体"/>
          <w:highlight w:val="none"/>
        </w:rPr>
        <w:t>本授权书有效期自开标之日起</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ab/>
      </w:r>
      <w:r>
        <w:rPr>
          <w:rFonts w:hint="eastAsia" w:ascii="宋体" w:hAnsi="宋体" w:eastAsia="宋体" w:cs="宋体"/>
          <w:highlight w:val="none"/>
        </w:rPr>
        <w:t>天</w:t>
      </w:r>
      <w:r>
        <w:rPr>
          <w:rFonts w:hint="eastAsia" w:ascii="宋体" w:hAnsi="宋体" w:eastAsia="宋体" w:cs="宋体"/>
          <w:sz w:val="21"/>
          <w:szCs w:val="21"/>
          <w:highlight w:val="none"/>
          <w:lang w:val="zh-CN"/>
        </w:rPr>
        <w:t>。</w:t>
      </w:r>
    </w:p>
    <w:p>
      <w:pPr>
        <w:spacing w:line="360" w:lineRule="auto"/>
        <w:ind w:firstLine="420" w:firstLineChars="200"/>
        <w:rPr>
          <w:rFonts w:hint="eastAsia" w:ascii="宋体" w:hAnsi="宋体" w:eastAsia="宋体" w:cs="宋体"/>
          <w:sz w:val="21"/>
          <w:szCs w:val="21"/>
          <w:highlight w:val="none"/>
          <w:lang w:val="zh-CN"/>
        </w:rPr>
      </w:pPr>
    </w:p>
    <w:p>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zh-CN"/>
        </w:rPr>
        <w:t>附：全权代表姓名：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lang w:val="zh-CN"/>
        </w:rPr>
        <w:t>性别：</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lang w:val="zh-CN"/>
        </w:rPr>
        <w:t>年龄：</w:t>
      </w:r>
      <w:r>
        <w:rPr>
          <w:rFonts w:hint="eastAsia" w:ascii="宋体" w:hAnsi="宋体" w:eastAsia="宋体" w:cs="宋体"/>
          <w:sz w:val="21"/>
          <w:szCs w:val="21"/>
          <w:highlight w:val="none"/>
          <w:u w:val="single"/>
        </w:rPr>
        <w:t xml:space="preserve">        </w:t>
      </w:r>
    </w:p>
    <w:p>
      <w:pPr>
        <w:spacing w:line="360" w:lineRule="auto"/>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职</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lang w:val="zh-CN"/>
        </w:rPr>
        <w:t>身份证号码：</w:t>
      </w:r>
      <w:r>
        <w:rPr>
          <w:rFonts w:hint="eastAsia" w:ascii="宋体" w:hAnsi="宋体" w:eastAsia="宋体" w:cs="宋体"/>
          <w:sz w:val="21"/>
          <w:szCs w:val="21"/>
          <w:highlight w:val="none"/>
          <w:u w:val="single"/>
        </w:rPr>
        <w:t xml:space="preserve">             </w:t>
      </w:r>
    </w:p>
    <w:p>
      <w:pPr>
        <w:spacing w:line="360" w:lineRule="auto"/>
        <w:ind w:firstLine="840" w:firstLineChars="400"/>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zh-CN"/>
        </w:rPr>
        <w:t>通讯地址：</w:t>
      </w:r>
      <w:r>
        <w:rPr>
          <w:rFonts w:hint="eastAsia" w:ascii="宋体" w:hAnsi="宋体" w:eastAsia="宋体" w:cs="宋体"/>
          <w:sz w:val="21"/>
          <w:szCs w:val="21"/>
          <w:highlight w:val="none"/>
          <w:u w:val="single"/>
        </w:rPr>
        <w:t xml:space="preserve">                                      </w:t>
      </w:r>
    </w:p>
    <w:p>
      <w:pPr>
        <w:spacing w:line="360" w:lineRule="auto"/>
        <w:ind w:firstLine="840" w:firstLineChars="400"/>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zh-CN"/>
        </w:rPr>
        <w:t>邮政编码：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lang w:val="zh-CN"/>
        </w:rPr>
        <w:t>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lang w:val="zh-CN"/>
        </w:rPr>
        <w:t>电传：</w:t>
      </w:r>
      <w:r>
        <w:rPr>
          <w:rFonts w:hint="eastAsia" w:ascii="宋体" w:hAnsi="宋体" w:eastAsia="宋体" w:cs="宋体"/>
          <w:sz w:val="21"/>
          <w:szCs w:val="21"/>
          <w:highlight w:val="none"/>
          <w:u w:val="single"/>
        </w:rPr>
        <w:t xml:space="preserve">         </w:t>
      </w:r>
    </w:p>
    <w:p>
      <w:pPr>
        <w:spacing w:before="240" w:line="360" w:lineRule="auto"/>
        <w:ind w:firstLine="840" w:firstLineChars="400"/>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zh-CN"/>
        </w:rPr>
        <w:t>法定代表人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授权代表身份证复印件</w:t>
      </w:r>
    </w:p>
    <w:tbl>
      <w:tblPr>
        <w:tblStyle w:val="37"/>
        <w:tblW w:w="0" w:type="auto"/>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296"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zh-CN"/>
              </w:rPr>
              <w:t>法定代表人身份证复印件正面</w:t>
            </w:r>
          </w:p>
        </w:tc>
        <w:tc>
          <w:tcPr>
            <w:tcW w:w="39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zh-CN"/>
              </w:rPr>
              <w:t>法定代表人身份证复印件反面</w:t>
            </w:r>
          </w:p>
        </w:tc>
      </w:tr>
      <w:tr>
        <w:tblPrEx>
          <w:tblCellMar>
            <w:top w:w="0" w:type="dxa"/>
            <w:left w:w="108" w:type="dxa"/>
            <w:bottom w:w="0" w:type="dxa"/>
            <w:right w:w="108" w:type="dxa"/>
          </w:tblCellMar>
        </w:tblPrEx>
        <w:trPr>
          <w:trHeight w:val="2735"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授权代表身份证复印件正面</w:t>
            </w:r>
          </w:p>
        </w:tc>
        <w:tc>
          <w:tcPr>
            <w:tcW w:w="39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授权代表身份证复印件反面</w:t>
            </w:r>
          </w:p>
        </w:tc>
      </w:tr>
    </w:tbl>
    <w:p>
      <w:pPr>
        <w:rPr>
          <w:rFonts w:hint="eastAsia" w:ascii="宋体" w:hAnsi="宋体" w:eastAsia="宋体" w:cs="宋体"/>
          <w:sz w:val="21"/>
          <w:szCs w:val="21"/>
          <w:highlight w:val="none"/>
        </w:rPr>
      </w:pPr>
    </w:p>
    <w:p>
      <w:pPr>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投</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人： </w:t>
      </w:r>
      <w:r>
        <w:rPr>
          <w:rFonts w:hint="eastAsia" w:ascii="宋体" w:hAnsi="宋体" w:eastAsia="宋体" w:cs="宋体"/>
          <w:sz w:val="21"/>
          <w:szCs w:val="21"/>
          <w:highlight w:val="none"/>
          <w:u w:val="single"/>
        </w:rPr>
        <w:t xml:space="preserve">    （盖章）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法定代表人： </w:t>
      </w:r>
      <w:r>
        <w:rPr>
          <w:rFonts w:hint="eastAsia" w:ascii="宋体" w:hAnsi="宋体" w:eastAsia="宋体" w:cs="宋体"/>
          <w:sz w:val="21"/>
          <w:szCs w:val="21"/>
          <w:highlight w:val="none"/>
          <w:u w:val="single"/>
        </w:rPr>
        <w:t xml:space="preserve">    （签名或盖章）</w:t>
      </w:r>
    </w:p>
    <w:p>
      <w:pPr>
        <w:rPr>
          <w:rFonts w:hint="eastAsia" w:ascii="宋体" w:hAnsi="宋体" w:eastAsia="宋体" w:cs="宋体"/>
          <w:sz w:val="21"/>
          <w:szCs w:val="21"/>
          <w:highlight w:val="none"/>
        </w:rPr>
      </w:pPr>
    </w:p>
    <w:p>
      <w:pPr>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被授权人：</w:t>
      </w:r>
      <w:r>
        <w:rPr>
          <w:rFonts w:hint="eastAsia" w:ascii="宋体" w:hAnsi="宋体" w:eastAsia="宋体" w:cs="宋体"/>
          <w:sz w:val="21"/>
          <w:szCs w:val="21"/>
          <w:highlight w:val="none"/>
          <w:u w:val="single"/>
        </w:rPr>
        <w:t xml:space="preserve">   （签名或盖章）  </w:t>
      </w:r>
      <w:r>
        <w:rPr>
          <w:rFonts w:hint="eastAsia" w:ascii="宋体" w:hAnsi="宋体" w:eastAsia="宋体" w:cs="宋体"/>
          <w:sz w:val="21"/>
          <w:szCs w:val="21"/>
          <w:highlight w:val="none"/>
        </w:rPr>
        <w:t xml:space="preserve">      授权日期：</w:t>
      </w:r>
      <w:r>
        <w:rPr>
          <w:rFonts w:hint="eastAsia" w:ascii="宋体" w:hAnsi="宋体" w:eastAsia="宋体" w:cs="宋体"/>
          <w:sz w:val="21"/>
          <w:szCs w:val="21"/>
          <w:highlight w:val="none"/>
          <w:u w:val="single"/>
        </w:rPr>
        <w:t xml:space="preserve">    年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月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日</w:t>
      </w:r>
    </w:p>
    <w:p>
      <w:pPr>
        <w:ind w:firstLine="420" w:firstLineChars="200"/>
        <w:rPr>
          <w:rFonts w:hint="eastAsia" w:ascii="宋体" w:hAnsi="宋体" w:eastAsia="宋体" w:cs="宋体"/>
          <w:bCs/>
          <w:sz w:val="21"/>
          <w:szCs w:val="21"/>
          <w:highlight w:val="none"/>
          <w:lang w:val="zh-CN"/>
        </w:rPr>
      </w:pP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说明：本授权有效期自开标之日起不得少于</w:t>
      </w:r>
      <w:r>
        <w:rPr>
          <w:rFonts w:hint="eastAsia" w:ascii="宋体" w:hAnsi="宋体" w:eastAsia="宋体" w:cs="宋体"/>
          <w:sz w:val="21"/>
          <w:szCs w:val="21"/>
          <w:highlight w:val="none"/>
        </w:rPr>
        <w:t>90</w:t>
      </w:r>
      <w:r>
        <w:rPr>
          <w:rFonts w:hint="eastAsia" w:ascii="宋体" w:hAnsi="宋体" w:eastAsia="宋体" w:cs="宋体"/>
          <w:sz w:val="21"/>
          <w:szCs w:val="21"/>
          <w:highlight w:val="none"/>
          <w:lang w:val="zh-CN"/>
        </w:rPr>
        <w:t>天。</w:t>
      </w:r>
    </w:p>
    <w:p>
      <w:pPr>
        <w:spacing w:line="440" w:lineRule="exact"/>
        <w:rPr>
          <w:rFonts w:hint="eastAsia" w:ascii="宋体" w:hAnsi="宋体" w:eastAsia="宋体" w:cs="宋体"/>
          <w:b/>
          <w:sz w:val="21"/>
          <w:szCs w:val="21"/>
          <w:highlight w:val="none"/>
          <w:lang w:val="en-US" w:eastAsia="zh-CN"/>
        </w:rPr>
      </w:pPr>
    </w:p>
    <w:p>
      <w:pPr>
        <w:spacing w:line="440" w:lineRule="exact"/>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br w:type="page"/>
      </w:r>
    </w:p>
    <w:p>
      <w:pPr>
        <w:spacing w:line="440" w:lineRule="exact"/>
        <w:rPr>
          <w:rFonts w:hint="eastAsia" w:ascii="宋体" w:hAnsi="宋体" w:eastAsia="宋体" w:cs="宋体"/>
          <w:b/>
          <w:szCs w:val="21"/>
          <w:highlight w:val="none"/>
          <w:lang w:eastAsia="zh-CN"/>
        </w:rPr>
      </w:pPr>
      <w:r>
        <w:rPr>
          <w:rFonts w:hint="eastAsia" w:ascii="宋体" w:hAnsi="宋体" w:eastAsia="宋体" w:cs="宋体"/>
          <w:b/>
          <w:szCs w:val="21"/>
          <w:highlight w:val="none"/>
          <w:lang w:eastAsia="zh-CN"/>
        </w:rPr>
        <w:t>附件</w:t>
      </w:r>
      <w:r>
        <w:rPr>
          <w:rFonts w:hint="eastAsia" w:ascii="宋体" w:hAnsi="宋体" w:eastAsia="宋体" w:cs="宋体"/>
          <w:b/>
          <w:szCs w:val="21"/>
          <w:highlight w:val="none"/>
          <w:lang w:val="en-US" w:eastAsia="zh-CN"/>
        </w:rPr>
        <w:t>6：</w:t>
      </w:r>
      <w:r>
        <w:rPr>
          <w:rFonts w:hint="eastAsia" w:ascii="宋体" w:hAnsi="宋体" w:eastAsia="宋体" w:cs="宋体"/>
          <w:b/>
          <w:szCs w:val="21"/>
          <w:highlight w:val="none"/>
          <w:lang w:eastAsia="zh-CN"/>
        </w:rPr>
        <w:t>投标供应商企业关系关联承诺书</w:t>
      </w:r>
    </w:p>
    <w:p>
      <w:pPr>
        <w:autoSpaceDE w:val="0"/>
        <w:autoSpaceDN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投标供应商</w:t>
      </w:r>
      <w:r>
        <w:rPr>
          <w:rFonts w:hint="eastAsia" w:ascii="宋体" w:hAnsi="宋体" w:eastAsia="宋体" w:cs="宋体"/>
          <w:sz w:val="21"/>
          <w:szCs w:val="21"/>
          <w:highlight w:val="none"/>
        </w:rPr>
        <w:t>在本招标项目中，不存在与其它</w:t>
      </w:r>
      <w:r>
        <w:rPr>
          <w:rFonts w:hint="eastAsia" w:ascii="宋体" w:hAnsi="宋体" w:eastAsia="宋体" w:cs="宋体"/>
          <w:sz w:val="21"/>
          <w:szCs w:val="21"/>
          <w:highlight w:val="none"/>
          <w:lang w:eastAsia="zh-CN"/>
        </w:rPr>
        <w:t>投标供应商</w:t>
      </w:r>
      <w:r>
        <w:rPr>
          <w:rFonts w:hint="eastAsia" w:ascii="宋体" w:hAnsi="宋体" w:eastAsia="宋体" w:cs="宋体"/>
          <w:sz w:val="21"/>
          <w:szCs w:val="21"/>
          <w:highlight w:val="none"/>
        </w:rPr>
        <w:t>负责人为同一人，有控股、管理等关联关系承诺。</w:t>
      </w:r>
    </w:p>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-1、管理关系说明：</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我单位管理的具有独立法人的下属单位有：</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我单位的上级管理单位有</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-2、股权关系说明：</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我单位控股的单位有</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我单位被</w:t>
      </w:r>
      <w:r>
        <w:rPr>
          <w:rFonts w:hint="eastAsia" w:ascii="宋体" w:hAnsi="宋体" w:eastAsia="宋体" w:cs="宋体"/>
          <w:i/>
          <w:iCs/>
          <w:sz w:val="21"/>
          <w:szCs w:val="21"/>
          <w:highlight w:val="none"/>
          <w:u w:val="single"/>
        </w:rPr>
        <w:t xml:space="preserve">        </w:t>
      </w:r>
      <w:r>
        <w:rPr>
          <w:rFonts w:hint="eastAsia" w:ascii="宋体" w:hAnsi="宋体" w:eastAsia="宋体" w:cs="宋体"/>
          <w:i/>
          <w:iCs/>
          <w:sz w:val="21"/>
          <w:szCs w:val="21"/>
          <w:highlight w:val="none"/>
          <w:u w:val="single"/>
          <w:lang w:val="en-US" w:eastAsia="zh-CN"/>
        </w:rPr>
        <w:t xml:space="preserve">   </w:t>
      </w:r>
      <w:r>
        <w:rPr>
          <w:rFonts w:hint="eastAsia" w:ascii="宋体" w:hAnsi="宋体" w:eastAsia="宋体" w:cs="宋体"/>
          <w:i/>
          <w:iCs/>
          <w:sz w:val="21"/>
          <w:szCs w:val="21"/>
          <w:highlight w:val="none"/>
          <w:u w:val="singl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单位控股。</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-3、单位负责人：</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、其他与本项目有关的利害关系说明：</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我单位承诺以上说明真实有效，无虚假内容或隐瞒。</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w:t>
      </w:r>
    </w:p>
    <w:p>
      <w:pPr>
        <w:spacing w:before="240" w:beforeLines="100" w:after="240" w:afterLines="100" w:line="480" w:lineRule="exact"/>
        <w:ind w:firstLine="2940" w:firstLineChars="1400"/>
        <w:rPr>
          <w:rFonts w:hint="eastAsia" w:ascii="宋体" w:hAnsi="宋体" w:eastAsia="宋体" w:cs="宋体"/>
          <w:szCs w:val="21"/>
          <w:highlight w:val="none"/>
        </w:rPr>
      </w:pP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（单位全称、盖章）</w:t>
      </w:r>
    </w:p>
    <w:p>
      <w:pPr>
        <w:spacing w:before="240" w:beforeLines="100" w:after="240" w:afterLines="100" w:line="48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法定代表人或授权代表：</w:t>
      </w:r>
      <w:r>
        <w:rPr>
          <w:rFonts w:hint="eastAsia" w:ascii="宋体" w:hAnsi="宋体" w:eastAsia="宋体" w:cs="宋体"/>
          <w:szCs w:val="21"/>
          <w:highlight w:val="none"/>
          <w:u w:val="single"/>
        </w:rPr>
        <w:t xml:space="preserve">   （盖章或签字）           </w:t>
      </w:r>
    </w:p>
    <w:p>
      <w:pPr>
        <w:rPr>
          <w:rFonts w:hint="eastAsia" w:ascii="宋体" w:hAnsi="宋体" w:eastAsia="宋体" w:cs="宋体"/>
          <w:szCs w:val="21"/>
          <w:highlight w:val="none"/>
        </w:rPr>
      </w:pPr>
      <w:r>
        <w:rPr>
          <w:rFonts w:hint="eastAsia" w:ascii="宋体" w:hAnsi="宋体" w:eastAsia="宋体" w:cs="宋体"/>
          <w:szCs w:val="21"/>
          <w:highlight w:val="none"/>
        </w:rPr>
        <w:t xml:space="preserve">                            投标日期：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spacing w:before="156" w:beforeLines="50" w:line="440" w:lineRule="exact"/>
        <w:ind w:left="-103" w:leftChars="-49"/>
        <w:jc w:val="center"/>
        <w:rPr>
          <w:rFonts w:hint="eastAsia" w:ascii="宋体" w:hAnsi="宋体" w:eastAsia="宋体" w:cs="宋体"/>
          <w:sz w:val="24"/>
          <w:szCs w:val="24"/>
          <w:highlight w:val="none"/>
        </w:rPr>
      </w:pPr>
    </w:p>
    <w:p>
      <w:pPr>
        <w:spacing w:after="240" w:afterLines="100" w:line="560" w:lineRule="exact"/>
        <w:jc w:val="center"/>
        <w:rPr>
          <w:rFonts w:hint="eastAsia" w:ascii="宋体" w:hAnsi="宋体" w:eastAsia="宋体" w:cs="宋体"/>
          <w:highlight w:val="none"/>
          <w:lang w:val="en-US" w:eastAsia="zh-CN"/>
        </w:rPr>
      </w:pPr>
    </w:p>
    <w:p>
      <w:pPr>
        <w:spacing w:after="240" w:afterLines="100" w:line="560" w:lineRule="exact"/>
        <w:jc w:val="center"/>
        <w:rPr>
          <w:rFonts w:hint="eastAsia" w:ascii="宋体" w:hAnsi="宋体" w:eastAsia="宋体" w:cs="宋体"/>
          <w:highlight w:val="none"/>
          <w:lang w:val="en-US" w:eastAsia="zh-CN"/>
        </w:rPr>
      </w:pPr>
    </w:p>
    <w:p>
      <w:pPr>
        <w:spacing w:after="240" w:afterLines="100" w:line="560" w:lineRule="exact"/>
        <w:jc w:val="center"/>
        <w:rPr>
          <w:rFonts w:hint="eastAsia" w:ascii="宋体" w:hAnsi="宋体" w:eastAsia="宋体" w:cs="宋体"/>
          <w:highlight w:val="none"/>
          <w:lang w:val="en-US" w:eastAsia="zh-CN"/>
        </w:rPr>
      </w:pPr>
    </w:p>
    <w:p>
      <w:pPr>
        <w:spacing w:after="240" w:afterLines="100" w:line="560" w:lineRule="exact"/>
        <w:jc w:val="center"/>
        <w:rPr>
          <w:rFonts w:hint="eastAsia" w:ascii="宋体" w:hAnsi="宋体" w:eastAsia="宋体" w:cs="宋体"/>
          <w:highlight w:val="none"/>
          <w:lang w:val="en-US" w:eastAsia="zh-CN"/>
        </w:rPr>
      </w:pPr>
    </w:p>
    <w:p>
      <w:pPr>
        <w:spacing w:after="240" w:afterLines="100" w:line="560" w:lineRule="exact"/>
        <w:jc w:val="center"/>
        <w:rPr>
          <w:rFonts w:hint="eastAsia" w:ascii="宋体" w:hAnsi="宋体" w:eastAsia="宋体" w:cs="宋体"/>
          <w:b/>
          <w:bCs/>
          <w:sz w:val="36"/>
          <w:szCs w:val="36"/>
          <w:highlight w:val="none"/>
          <w:lang w:val="en-GB" w:eastAsia="zh-CN"/>
        </w:rPr>
      </w:pPr>
      <w:r>
        <w:rPr>
          <w:rFonts w:hint="eastAsia" w:ascii="宋体" w:hAnsi="宋体" w:eastAsia="宋体" w:cs="宋体"/>
          <w:b/>
          <w:bCs/>
          <w:highlight w:val="none"/>
          <w:lang w:val="en-US" w:eastAsia="zh-CN"/>
        </w:rPr>
        <w:t>附件7：</w:t>
      </w:r>
      <w:r>
        <w:rPr>
          <w:rFonts w:hint="eastAsia" w:ascii="宋体" w:hAnsi="宋体" w:eastAsia="宋体" w:cs="宋体"/>
          <w:highlight w:val="none"/>
          <w:lang w:val="en-US" w:eastAsia="zh-CN"/>
        </w:rPr>
        <w:t>投标供应商不得在“中国执行信息公开网”网站（http://zxgk.court.gov.cn/）中被列入失信被执行人、不得在“信用中国”网站（www.creditchina.gov.cn）被列为重大税收违法案件当事人，不得为“中国政府采购网”（www.ccgp.gov.cn）政府采购严重违法失信行为记录名单中被财政部门禁止参加政府采购活动的供应商；</w:t>
      </w:r>
      <w:r>
        <w:rPr>
          <w:rFonts w:hint="eastAsia" w:ascii="宋体" w:hAnsi="宋体" w:eastAsia="宋体" w:cs="宋体"/>
          <w:b/>
          <w:bCs/>
          <w:sz w:val="36"/>
          <w:szCs w:val="36"/>
          <w:highlight w:val="none"/>
          <w:lang w:val="en-GB" w:eastAsia="zh-CN"/>
        </w:rPr>
        <w:br w:type="page"/>
      </w:r>
    </w:p>
    <w:p>
      <w:pPr>
        <w:spacing w:after="240" w:afterLines="100" w:line="56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五</w:t>
      </w:r>
      <w:r>
        <w:rPr>
          <w:rFonts w:hint="eastAsia" w:ascii="宋体" w:hAnsi="宋体" w:eastAsia="宋体" w:cs="宋体"/>
          <w:b/>
          <w:bCs/>
          <w:sz w:val="36"/>
          <w:szCs w:val="36"/>
          <w:highlight w:val="none"/>
          <w:lang w:val="en-GB" w:eastAsia="zh-CN"/>
        </w:rPr>
        <w:t>、</w:t>
      </w:r>
      <w:r>
        <w:rPr>
          <w:rFonts w:hint="eastAsia" w:ascii="宋体" w:hAnsi="宋体" w:eastAsia="宋体" w:cs="宋体"/>
          <w:b/>
          <w:bCs/>
          <w:sz w:val="36"/>
          <w:szCs w:val="36"/>
          <w:highlight w:val="none"/>
          <w:lang w:val="en-US" w:eastAsia="zh-CN"/>
        </w:rPr>
        <w:t>供应商概况</w:t>
      </w:r>
    </w:p>
    <w:p>
      <w:pPr>
        <w:spacing w:after="240" w:afterLines="100" w:line="560" w:lineRule="exact"/>
        <w:jc w:val="center"/>
        <w:rPr>
          <w:rFonts w:hint="eastAsia" w:ascii="宋体" w:hAnsi="宋体" w:eastAsia="宋体" w:cs="宋体"/>
          <w:b/>
          <w:bCs/>
          <w:sz w:val="36"/>
          <w:szCs w:val="36"/>
          <w:highlight w:val="none"/>
          <w:lang w:val="en-GB" w:eastAsia="zh-CN"/>
        </w:rPr>
      </w:pPr>
    </w:p>
    <w:p>
      <w:pPr>
        <w:pStyle w:val="22"/>
        <w:rPr>
          <w:rFonts w:hint="eastAsia" w:ascii="宋体" w:hAnsi="宋体" w:eastAsia="宋体" w:cs="宋体"/>
          <w:b/>
          <w:bCs/>
          <w:sz w:val="36"/>
          <w:szCs w:val="36"/>
          <w:highlight w:val="none"/>
          <w:lang w:val="en-GB" w:eastAsia="zh-CN"/>
        </w:rPr>
      </w:pPr>
    </w:p>
    <w:p>
      <w:pPr>
        <w:pStyle w:val="22"/>
        <w:rPr>
          <w:rFonts w:hint="eastAsia" w:ascii="宋体" w:hAnsi="宋体" w:eastAsia="宋体" w:cs="宋体"/>
          <w:b/>
          <w:bCs/>
          <w:sz w:val="36"/>
          <w:szCs w:val="36"/>
          <w:highlight w:val="none"/>
          <w:lang w:val="en-GB" w:eastAsia="zh-CN"/>
        </w:rPr>
      </w:pPr>
    </w:p>
    <w:p>
      <w:pPr>
        <w:pStyle w:val="22"/>
        <w:rPr>
          <w:rFonts w:hint="eastAsia" w:ascii="宋体" w:hAnsi="宋体" w:eastAsia="宋体" w:cs="宋体"/>
          <w:b/>
          <w:bCs/>
          <w:sz w:val="36"/>
          <w:szCs w:val="36"/>
          <w:highlight w:val="none"/>
          <w:lang w:val="en-GB" w:eastAsia="zh-CN"/>
        </w:rPr>
      </w:pPr>
    </w:p>
    <w:p>
      <w:pPr>
        <w:pStyle w:val="22"/>
        <w:rPr>
          <w:rFonts w:hint="eastAsia" w:ascii="宋体" w:hAnsi="宋体" w:eastAsia="宋体" w:cs="宋体"/>
          <w:b/>
          <w:bCs/>
          <w:sz w:val="36"/>
          <w:szCs w:val="36"/>
          <w:highlight w:val="none"/>
          <w:lang w:val="en-GB" w:eastAsia="zh-CN"/>
        </w:rPr>
      </w:pPr>
    </w:p>
    <w:p>
      <w:pPr>
        <w:pStyle w:val="22"/>
        <w:rPr>
          <w:rFonts w:hint="eastAsia" w:ascii="宋体" w:hAnsi="宋体" w:eastAsia="宋体" w:cs="宋体"/>
          <w:b/>
          <w:bCs/>
          <w:sz w:val="36"/>
          <w:szCs w:val="36"/>
          <w:highlight w:val="none"/>
          <w:lang w:val="en-GB" w:eastAsia="zh-CN"/>
        </w:rPr>
      </w:pPr>
    </w:p>
    <w:p>
      <w:pPr>
        <w:pStyle w:val="22"/>
        <w:rPr>
          <w:rFonts w:hint="eastAsia" w:ascii="宋体" w:hAnsi="宋体" w:eastAsia="宋体" w:cs="宋体"/>
          <w:b/>
          <w:bCs/>
          <w:sz w:val="36"/>
          <w:szCs w:val="36"/>
          <w:highlight w:val="none"/>
          <w:lang w:val="en-GB" w:eastAsia="zh-CN"/>
        </w:rPr>
      </w:pPr>
    </w:p>
    <w:p>
      <w:pPr>
        <w:pStyle w:val="22"/>
        <w:rPr>
          <w:rFonts w:hint="eastAsia" w:ascii="宋体" w:hAnsi="宋体" w:eastAsia="宋体" w:cs="宋体"/>
          <w:b/>
          <w:bCs/>
          <w:sz w:val="36"/>
          <w:szCs w:val="36"/>
          <w:highlight w:val="none"/>
          <w:lang w:val="en-GB" w:eastAsia="zh-CN"/>
        </w:rPr>
      </w:pPr>
    </w:p>
    <w:p>
      <w:pPr>
        <w:pStyle w:val="22"/>
        <w:rPr>
          <w:rFonts w:hint="eastAsia" w:ascii="宋体" w:hAnsi="宋体" w:eastAsia="宋体" w:cs="宋体"/>
          <w:b/>
          <w:bCs/>
          <w:sz w:val="36"/>
          <w:szCs w:val="36"/>
          <w:highlight w:val="none"/>
          <w:lang w:val="en-GB" w:eastAsia="zh-CN"/>
        </w:rPr>
      </w:pPr>
    </w:p>
    <w:p>
      <w:pPr>
        <w:pStyle w:val="22"/>
        <w:rPr>
          <w:rFonts w:hint="eastAsia" w:ascii="宋体" w:hAnsi="宋体" w:eastAsia="宋体" w:cs="宋体"/>
          <w:b/>
          <w:bCs/>
          <w:sz w:val="36"/>
          <w:szCs w:val="36"/>
          <w:highlight w:val="none"/>
          <w:lang w:val="en-GB" w:eastAsia="zh-CN"/>
        </w:rPr>
      </w:pPr>
    </w:p>
    <w:p>
      <w:pPr>
        <w:pStyle w:val="22"/>
        <w:rPr>
          <w:rFonts w:hint="eastAsia" w:ascii="宋体" w:hAnsi="宋体" w:eastAsia="宋体" w:cs="宋体"/>
          <w:b/>
          <w:bCs/>
          <w:sz w:val="36"/>
          <w:szCs w:val="36"/>
          <w:highlight w:val="none"/>
          <w:lang w:val="en-GB" w:eastAsia="zh-CN"/>
        </w:rPr>
      </w:pPr>
    </w:p>
    <w:p>
      <w:pPr>
        <w:pStyle w:val="22"/>
        <w:rPr>
          <w:rFonts w:hint="eastAsia" w:ascii="宋体" w:hAnsi="宋体" w:eastAsia="宋体" w:cs="宋体"/>
          <w:b/>
          <w:bCs/>
          <w:sz w:val="36"/>
          <w:szCs w:val="36"/>
          <w:highlight w:val="none"/>
          <w:lang w:val="en-GB" w:eastAsia="zh-CN"/>
        </w:rPr>
      </w:pPr>
    </w:p>
    <w:p>
      <w:pPr>
        <w:pStyle w:val="22"/>
        <w:rPr>
          <w:rFonts w:hint="eastAsia" w:ascii="宋体" w:hAnsi="宋体" w:eastAsia="宋体" w:cs="宋体"/>
          <w:b/>
          <w:bCs/>
          <w:sz w:val="36"/>
          <w:szCs w:val="36"/>
          <w:highlight w:val="none"/>
          <w:lang w:val="en-GB" w:eastAsia="zh-CN"/>
        </w:rPr>
      </w:pPr>
    </w:p>
    <w:p>
      <w:pPr>
        <w:pStyle w:val="22"/>
        <w:rPr>
          <w:rFonts w:hint="eastAsia" w:ascii="宋体" w:hAnsi="宋体" w:eastAsia="宋体" w:cs="宋体"/>
          <w:b/>
          <w:bCs/>
          <w:sz w:val="36"/>
          <w:szCs w:val="36"/>
          <w:highlight w:val="none"/>
          <w:lang w:val="en-GB" w:eastAsia="zh-CN"/>
        </w:rPr>
      </w:pPr>
    </w:p>
    <w:p>
      <w:pPr>
        <w:pStyle w:val="22"/>
        <w:rPr>
          <w:rFonts w:hint="eastAsia" w:ascii="宋体" w:hAnsi="宋体" w:eastAsia="宋体" w:cs="宋体"/>
          <w:b/>
          <w:bCs/>
          <w:sz w:val="36"/>
          <w:szCs w:val="36"/>
          <w:highlight w:val="none"/>
          <w:lang w:val="en-GB" w:eastAsia="zh-CN"/>
        </w:rPr>
      </w:pPr>
    </w:p>
    <w:p>
      <w:pPr>
        <w:pStyle w:val="22"/>
        <w:rPr>
          <w:rFonts w:hint="eastAsia" w:ascii="宋体" w:hAnsi="宋体" w:eastAsia="宋体" w:cs="宋体"/>
          <w:b/>
          <w:bCs/>
          <w:sz w:val="36"/>
          <w:szCs w:val="36"/>
          <w:highlight w:val="none"/>
          <w:lang w:val="en-GB" w:eastAsia="zh-CN"/>
        </w:rPr>
      </w:pPr>
    </w:p>
    <w:p>
      <w:pPr>
        <w:pStyle w:val="22"/>
        <w:rPr>
          <w:rFonts w:hint="eastAsia" w:ascii="宋体" w:hAnsi="宋体" w:eastAsia="宋体" w:cs="宋体"/>
          <w:b/>
          <w:bCs/>
          <w:sz w:val="36"/>
          <w:szCs w:val="36"/>
          <w:highlight w:val="none"/>
          <w:lang w:val="en-GB" w:eastAsia="zh-CN"/>
        </w:rPr>
      </w:pPr>
    </w:p>
    <w:p>
      <w:pPr>
        <w:pStyle w:val="22"/>
        <w:rPr>
          <w:rFonts w:hint="eastAsia" w:ascii="宋体" w:hAnsi="宋体" w:eastAsia="宋体" w:cs="宋体"/>
          <w:b/>
          <w:bCs/>
          <w:sz w:val="36"/>
          <w:szCs w:val="36"/>
          <w:highlight w:val="none"/>
          <w:lang w:val="en-GB" w:eastAsia="zh-CN"/>
        </w:rPr>
      </w:pPr>
    </w:p>
    <w:p>
      <w:pPr>
        <w:spacing w:after="240" w:afterLines="100" w:line="56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六</w:t>
      </w:r>
      <w:r>
        <w:rPr>
          <w:rFonts w:hint="eastAsia" w:ascii="宋体" w:hAnsi="宋体" w:eastAsia="宋体" w:cs="宋体"/>
          <w:b/>
          <w:bCs/>
          <w:sz w:val="36"/>
          <w:szCs w:val="36"/>
          <w:highlight w:val="none"/>
          <w:lang w:val="en-GB" w:eastAsia="zh-CN"/>
        </w:rPr>
        <w:t>、</w:t>
      </w:r>
      <w:r>
        <w:rPr>
          <w:rFonts w:hint="eastAsia" w:ascii="宋体" w:hAnsi="宋体" w:eastAsia="宋体" w:cs="宋体"/>
          <w:b/>
          <w:bCs/>
          <w:sz w:val="32"/>
          <w:szCs w:val="32"/>
          <w:highlight w:val="none"/>
        </w:rPr>
        <w:t>供应商参加政府采购活动承诺书</w:t>
      </w:r>
    </w:p>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为响应党中央、国务院关于治理政府采购领域商业贿赂行为的号召，我公司在此庄严承诺：</w:t>
      </w:r>
    </w:p>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1、在参与政府采购活动中遵纪守法、诚信经营、公平竞标。</w:t>
      </w:r>
    </w:p>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2、不向政府采购人、采购代理机构和政府采购评审专家进行任何形式的商业贿赂以谋取交易机会。</w:t>
      </w:r>
    </w:p>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3、不向政府采购代理机构和采购人提供虚假资质文件或采用虚假应标方式参与政府采购市场竞争并谋取中标、成交。</w:t>
      </w:r>
    </w:p>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4、不采取“围标、陪标”等商业欺诈手段获得政府采购定单。</w:t>
      </w:r>
    </w:p>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5、不采取不正当手段诋毁、排挤其他投标供应商。</w:t>
      </w:r>
    </w:p>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6、不在提供商品和服务时“偷梁换柱、以次充好”损害采购人的合法权益。</w:t>
      </w:r>
    </w:p>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7、不与采购人、采购代理机构政府采购评审专家或其它投标供应商恶意串通，进行质疑和投诉，维护政府采购市场秩序。</w:t>
      </w:r>
    </w:p>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8、尊重和接受政府采购监督管理部门的监督和政府采购代理机构招标采购要求，承担因违约行为给采购人造成的损失。</w:t>
      </w:r>
    </w:p>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9、不发生其他有悖于政府采购公开、公平、公正和诚信原则的行为。</w:t>
      </w:r>
    </w:p>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承诺单位（盖章）：</w:t>
      </w:r>
    </w:p>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全权代表（签字）：</w:t>
      </w:r>
    </w:p>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  址：                        </w:t>
      </w:r>
    </w:p>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邮  编：</w:t>
      </w:r>
    </w:p>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  话：                             </w:t>
      </w:r>
    </w:p>
    <w:p>
      <w:pPr>
        <w:keepNext w:val="0"/>
        <w:keepLines w:val="0"/>
        <w:pageBreakBefore w:val="0"/>
        <w:widowControl w:val="0"/>
        <w:kinsoku/>
        <w:wordWrap/>
        <w:overflowPunct/>
        <w:topLinePunct w:val="0"/>
        <w:bidi w:val="0"/>
        <w:snapToGrid w:val="0"/>
        <w:spacing w:line="500" w:lineRule="exact"/>
        <w:ind w:firstLine="3150" w:firstLineChars="15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年   月   日</w:t>
      </w:r>
    </w:p>
    <w:p>
      <w:pPr>
        <w:spacing w:after="240" w:afterLines="100" w:line="560" w:lineRule="exact"/>
        <w:jc w:val="center"/>
        <w:rPr>
          <w:rFonts w:hint="eastAsia" w:ascii="宋体" w:hAnsi="宋体" w:eastAsia="宋体" w:cs="宋体"/>
          <w:b/>
          <w:bCs/>
          <w:sz w:val="36"/>
          <w:szCs w:val="36"/>
          <w:highlight w:val="none"/>
          <w:lang w:val="en-US" w:eastAsia="zh-CN"/>
        </w:rPr>
      </w:pPr>
    </w:p>
    <w:p>
      <w:pPr>
        <w:pStyle w:val="16"/>
        <w:rPr>
          <w:rFonts w:hint="eastAsia" w:ascii="宋体" w:hAnsi="宋体" w:eastAsia="宋体" w:cs="宋体"/>
          <w:b/>
          <w:bCs/>
          <w:sz w:val="36"/>
          <w:szCs w:val="36"/>
          <w:highlight w:val="none"/>
          <w:lang w:val="en-US" w:eastAsia="zh-CN"/>
        </w:rPr>
      </w:pPr>
    </w:p>
    <w:p>
      <w:pPr>
        <w:rPr>
          <w:rFonts w:hint="eastAsia" w:ascii="宋体" w:hAnsi="宋体" w:eastAsia="宋体" w:cs="宋体"/>
          <w:b/>
          <w:bCs/>
          <w:sz w:val="36"/>
          <w:szCs w:val="36"/>
          <w:highlight w:val="none"/>
          <w:lang w:val="en-US" w:eastAsia="zh-CN"/>
        </w:rPr>
      </w:pPr>
    </w:p>
    <w:p>
      <w:pPr>
        <w:pStyle w:val="16"/>
        <w:rPr>
          <w:rFonts w:hint="eastAsia" w:ascii="宋体" w:hAnsi="宋体" w:eastAsia="宋体" w:cs="宋体"/>
          <w:b/>
          <w:bCs/>
          <w:sz w:val="36"/>
          <w:szCs w:val="36"/>
          <w:highlight w:val="none"/>
          <w:lang w:val="en-US" w:eastAsia="zh-CN"/>
        </w:rPr>
      </w:pPr>
    </w:p>
    <w:p>
      <w:pPr>
        <w:rPr>
          <w:rFonts w:hint="eastAsia" w:ascii="宋体" w:hAnsi="宋体" w:eastAsia="宋体" w:cs="宋体"/>
          <w:b/>
          <w:bCs/>
          <w:sz w:val="36"/>
          <w:szCs w:val="36"/>
          <w:highlight w:val="none"/>
          <w:lang w:val="en-US" w:eastAsia="zh-CN"/>
        </w:rPr>
      </w:pPr>
    </w:p>
    <w:p>
      <w:pPr>
        <w:pStyle w:val="16"/>
        <w:rPr>
          <w:rFonts w:hint="eastAsia" w:ascii="宋体" w:hAnsi="宋体" w:eastAsia="宋体" w:cs="宋体"/>
          <w:b/>
          <w:bCs/>
          <w:sz w:val="36"/>
          <w:szCs w:val="36"/>
          <w:highlight w:val="none"/>
          <w:lang w:val="en-US" w:eastAsia="zh-CN"/>
        </w:rPr>
      </w:pPr>
    </w:p>
    <w:p>
      <w:pPr>
        <w:rPr>
          <w:rFonts w:hint="eastAsia" w:ascii="宋体" w:hAnsi="宋体" w:eastAsia="宋体" w:cs="宋体"/>
          <w:highlight w:val="none"/>
          <w:lang w:val="en-US" w:eastAsia="zh-CN"/>
        </w:rPr>
      </w:pPr>
    </w:p>
    <w:p>
      <w:pPr>
        <w:spacing w:after="240" w:afterLines="100" w:line="56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七、投标技术方案</w:t>
      </w:r>
    </w:p>
    <w:p>
      <w:pPr>
        <w:adjustRightInd w:val="0"/>
        <w:snapToGrid w:val="0"/>
        <w:spacing w:line="360" w:lineRule="auto"/>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格式自定，参照招标文件《评标方法》各条款的要求，结合招标文件第</w:t>
      </w:r>
      <w:r>
        <w:rPr>
          <w:rFonts w:hint="eastAsia" w:ascii="宋体" w:hAnsi="宋体" w:eastAsia="宋体" w:cs="宋体"/>
          <w:szCs w:val="24"/>
          <w:highlight w:val="none"/>
          <w:lang w:val="en-US" w:eastAsia="zh-CN"/>
        </w:rPr>
        <w:t>四章</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采购</w:t>
      </w:r>
      <w:r>
        <w:rPr>
          <w:rFonts w:hint="eastAsia" w:ascii="宋体" w:hAnsi="宋体" w:eastAsia="宋体" w:cs="宋体"/>
          <w:szCs w:val="24"/>
          <w:highlight w:val="none"/>
        </w:rPr>
        <w:t>内容及技术要求》编制投标</w:t>
      </w:r>
      <w:r>
        <w:rPr>
          <w:rFonts w:hint="eastAsia" w:ascii="宋体" w:hAnsi="宋体" w:eastAsia="宋体" w:cs="宋体"/>
          <w:szCs w:val="24"/>
          <w:highlight w:val="none"/>
          <w:lang w:val="en-US" w:eastAsia="zh-CN"/>
        </w:rPr>
        <w:t>技术</w:t>
      </w:r>
      <w:r>
        <w:rPr>
          <w:rFonts w:hint="eastAsia" w:ascii="宋体" w:hAnsi="宋体" w:eastAsia="宋体" w:cs="宋体"/>
          <w:szCs w:val="24"/>
          <w:highlight w:val="none"/>
        </w:rPr>
        <w:t>方案。</w:t>
      </w:r>
    </w:p>
    <w:p>
      <w:pPr>
        <w:adjustRightInd w:val="0"/>
        <w:snapToGrid w:val="0"/>
        <w:spacing w:line="360" w:lineRule="auto"/>
        <w:ind w:firstLine="420" w:firstLineChars="200"/>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pStyle w:val="22"/>
        <w:rPr>
          <w:rFonts w:hint="eastAsia" w:ascii="宋体" w:hAnsi="宋体" w:eastAsia="宋体" w:cs="宋体"/>
          <w:szCs w:val="24"/>
          <w:highlight w:val="none"/>
        </w:rPr>
      </w:pPr>
    </w:p>
    <w:p>
      <w:pPr>
        <w:spacing w:line="480" w:lineRule="auto"/>
        <w:rPr>
          <w:rFonts w:hint="eastAsia" w:ascii="宋体" w:hAnsi="宋体" w:eastAsia="宋体" w:cs="宋体"/>
          <w:highlight w:val="none"/>
        </w:rPr>
      </w:pPr>
      <w:r>
        <w:rPr>
          <w:rFonts w:hint="eastAsia" w:ascii="宋体" w:hAnsi="宋体" w:eastAsia="宋体" w:cs="宋体"/>
          <w:highlight w:val="none"/>
          <w:lang w:val="en-US" w:eastAsia="zh-CN"/>
        </w:rPr>
        <w:t>附件1：</w:t>
      </w:r>
      <w:r>
        <w:rPr>
          <w:rFonts w:hint="eastAsia" w:ascii="宋体" w:hAnsi="宋体" w:eastAsia="宋体" w:cs="宋体"/>
          <w:highlight w:val="none"/>
        </w:rPr>
        <w:t>项目负责人简历表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704"/>
        <w:gridCol w:w="2245"/>
        <w:gridCol w:w="1611"/>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41" w:type="dxa"/>
            <w:noWrap w:val="0"/>
            <w:vAlign w:val="center"/>
          </w:tcPr>
          <w:p>
            <w:pPr>
              <w:spacing w:line="480" w:lineRule="exact"/>
              <w:jc w:val="center"/>
              <w:rPr>
                <w:rFonts w:hint="eastAsia" w:ascii="宋体" w:hAnsi="宋体" w:eastAsia="宋体" w:cs="宋体"/>
                <w:caps/>
                <w:sz w:val="21"/>
                <w:szCs w:val="21"/>
                <w:highlight w:val="none"/>
              </w:rPr>
            </w:pPr>
            <w:r>
              <w:rPr>
                <w:rFonts w:hint="eastAsia" w:ascii="宋体" w:hAnsi="宋体" w:eastAsia="宋体" w:cs="宋体"/>
                <w:caps/>
                <w:sz w:val="21"/>
                <w:szCs w:val="21"/>
                <w:highlight w:val="none"/>
              </w:rPr>
              <w:t>姓名</w:t>
            </w:r>
          </w:p>
        </w:tc>
        <w:tc>
          <w:tcPr>
            <w:tcW w:w="2949" w:type="dxa"/>
            <w:gridSpan w:val="2"/>
            <w:noWrap w:val="0"/>
            <w:vAlign w:val="top"/>
          </w:tcPr>
          <w:p>
            <w:pPr>
              <w:spacing w:line="480" w:lineRule="exact"/>
              <w:jc w:val="center"/>
              <w:rPr>
                <w:rFonts w:hint="eastAsia" w:ascii="宋体" w:hAnsi="宋体" w:eastAsia="宋体" w:cs="宋体"/>
                <w:caps/>
                <w:sz w:val="21"/>
                <w:szCs w:val="21"/>
                <w:highlight w:val="none"/>
              </w:rPr>
            </w:pPr>
          </w:p>
        </w:tc>
        <w:tc>
          <w:tcPr>
            <w:tcW w:w="1611" w:type="dxa"/>
            <w:noWrap w:val="0"/>
            <w:vAlign w:val="center"/>
          </w:tcPr>
          <w:p>
            <w:pPr>
              <w:spacing w:line="480" w:lineRule="exact"/>
              <w:jc w:val="center"/>
              <w:rPr>
                <w:rFonts w:hint="eastAsia" w:ascii="宋体" w:hAnsi="宋体" w:eastAsia="宋体" w:cs="宋体"/>
                <w:caps/>
                <w:sz w:val="21"/>
                <w:szCs w:val="21"/>
                <w:highlight w:val="none"/>
              </w:rPr>
            </w:pPr>
            <w:r>
              <w:rPr>
                <w:rFonts w:hint="eastAsia" w:ascii="宋体" w:hAnsi="宋体" w:eastAsia="宋体" w:cs="宋体"/>
                <w:caps/>
                <w:sz w:val="21"/>
                <w:szCs w:val="21"/>
                <w:highlight w:val="none"/>
              </w:rPr>
              <w:t>年龄</w:t>
            </w:r>
          </w:p>
        </w:tc>
        <w:tc>
          <w:tcPr>
            <w:tcW w:w="2880" w:type="dxa"/>
            <w:noWrap w:val="0"/>
            <w:vAlign w:val="top"/>
          </w:tcPr>
          <w:p>
            <w:pPr>
              <w:spacing w:line="480" w:lineRule="exact"/>
              <w:jc w:val="center"/>
              <w:rPr>
                <w:rFonts w:hint="eastAsia" w:ascii="宋体" w:hAnsi="宋体" w:eastAsia="宋体" w:cs="宋体"/>
                <w:cap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41" w:type="dxa"/>
            <w:noWrap w:val="0"/>
            <w:vAlign w:val="center"/>
          </w:tcPr>
          <w:p>
            <w:pPr>
              <w:spacing w:line="480" w:lineRule="exact"/>
              <w:jc w:val="center"/>
              <w:rPr>
                <w:rFonts w:hint="eastAsia" w:ascii="宋体" w:hAnsi="宋体" w:eastAsia="宋体" w:cs="宋体"/>
                <w:caps/>
                <w:sz w:val="21"/>
                <w:szCs w:val="21"/>
                <w:highlight w:val="none"/>
              </w:rPr>
            </w:pPr>
            <w:r>
              <w:rPr>
                <w:rFonts w:hint="eastAsia" w:ascii="宋体" w:hAnsi="宋体" w:eastAsia="宋体" w:cs="宋体"/>
                <w:caps/>
                <w:sz w:val="21"/>
                <w:szCs w:val="21"/>
                <w:highlight w:val="none"/>
              </w:rPr>
              <w:t>性别</w:t>
            </w:r>
          </w:p>
        </w:tc>
        <w:tc>
          <w:tcPr>
            <w:tcW w:w="2949" w:type="dxa"/>
            <w:gridSpan w:val="2"/>
            <w:noWrap w:val="0"/>
            <w:vAlign w:val="top"/>
          </w:tcPr>
          <w:p>
            <w:pPr>
              <w:spacing w:line="480" w:lineRule="exact"/>
              <w:jc w:val="center"/>
              <w:rPr>
                <w:rFonts w:hint="eastAsia" w:ascii="宋体" w:hAnsi="宋体" w:eastAsia="宋体" w:cs="宋体"/>
                <w:caps/>
                <w:sz w:val="21"/>
                <w:szCs w:val="21"/>
                <w:highlight w:val="none"/>
              </w:rPr>
            </w:pPr>
          </w:p>
        </w:tc>
        <w:tc>
          <w:tcPr>
            <w:tcW w:w="1611" w:type="dxa"/>
            <w:noWrap w:val="0"/>
            <w:vAlign w:val="center"/>
          </w:tcPr>
          <w:p>
            <w:pPr>
              <w:spacing w:line="480" w:lineRule="exact"/>
              <w:jc w:val="center"/>
              <w:rPr>
                <w:rFonts w:hint="eastAsia" w:ascii="宋体" w:hAnsi="宋体" w:eastAsia="宋体" w:cs="宋体"/>
                <w:caps/>
                <w:sz w:val="21"/>
                <w:szCs w:val="21"/>
                <w:highlight w:val="none"/>
              </w:rPr>
            </w:pPr>
            <w:r>
              <w:rPr>
                <w:rFonts w:hint="eastAsia" w:ascii="宋体" w:hAnsi="宋体" w:eastAsia="宋体" w:cs="宋体"/>
                <w:caps/>
                <w:sz w:val="21"/>
                <w:szCs w:val="21"/>
                <w:highlight w:val="none"/>
              </w:rPr>
              <w:t>学历</w:t>
            </w:r>
          </w:p>
        </w:tc>
        <w:tc>
          <w:tcPr>
            <w:tcW w:w="2880" w:type="dxa"/>
            <w:noWrap w:val="0"/>
            <w:vAlign w:val="top"/>
          </w:tcPr>
          <w:p>
            <w:pPr>
              <w:spacing w:line="480" w:lineRule="exact"/>
              <w:jc w:val="center"/>
              <w:rPr>
                <w:rFonts w:hint="eastAsia" w:ascii="宋体" w:hAnsi="宋体" w:eastAsia="宋体" w:cs="宋体"/>
                <w:cap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41" w:type="dxa"/>
            <w:noWrap w:val="0"/>
            <w:vAlign w:val="center"/>
          </w:tcPr>
          <w:p>
            <w:pPr>
              <w:spacing w:line="480" w:lineRule="exact"/>
              <w:jc w:val="center"/>
              <w:rPr>
                <w:rFonts w:hint="eastAsia" w:ascii="宋体" w:hAnsi="宋体" w:eastAsia="宋体" w:cs="宋体"/>
                <w:caps/>
                <w:sz w:val="21"/>
                <w:szCs w:val="21"/>
                <w:highlight w:val="none"/>
              </w:rPr>
            </w:pPr>
            <w:r>
              <w:rPr>
                <w:rFonts w:hint="eastAsia" w:ascii="宋体" w:hAnsi="宋体" w:eastAsia="宋体" w:cs="宋体"/>
                <w:caps/>
                <w:sz w:val="21"/>
                <w:szCs w:val="21"/>
                <w:highlight w:val="none"/>
              </w:rPr>
              <w:t>职务</w:t>
            </w:r>
          </w:p>
        </w:tc>
        <w:tc>
          <w:tcPr>
            <w:tcW w:w="2949" w:type="dxa"/>
            <w:gridSpan w:val="2"/>
            <w:noWrap w:val="0"/>
            <w:vAlign w:val="top"/>
          </w:tcPr>
          <w:p>
            <w:pPr>
              <w:spacing w:line="480" w:lineRule="exact"/>
              <w:jc w:val="center"/>
              <w:rPr>
                <w:rFonts w:hint="eastAsia" w:ascii="宋体" w:hAnsi="宋体" w:eastAsia="宋体" w:cs="宋体"/>
                <w:caps/>
                <w:sz w:val="21"/>
                <w:szCs w:val="21"/>
                <w:highlight w:val="none"/>
              </w:rPr>
            </w:pPr>
          </w:p>
        </w:tc>
        <w:tc>
          <w:tcPr>
            <w:tcW w:w="1611" w:type="dxa"/>
            <w:noWrap w:val="0"/>
            <w:vAlign w:val="center"/>
          </w:tcPr>
          <w:p>
            <w:pPr>
              <w:spacing w:line="480" w:lineRule="exact"/>
              <w:jc w:val="center"/>
              <w:rPr>
                <w:rFonts w:hint="eastAsia" w:ascii="宋体" w:hAnsi="宋体" w:eastAsia="宋体" w:cs="宋体"/>
                <w:caps/>
                <w:sz w:val="21"/>
                <w:szCs w:val="21"/>
                <w:highlight w:val="none"/>
              </w:rPr>
            </w:pPr>
            <w:r>
              <w:rPr>
                <w:rFonts w:hint="eastAsia" w:ascii="宋体" w:hAnsi="宋体" w:eastAsia="宋体" w:cs="宋体"/>
                <w:caps/>
                <w:sz w:val="21"/>
                <w:szCs w:val="21"/>
                <w:highlight w:val="none"/>
              </w:rPr>
              <w:t>职称</w:t>
            </w:r>
          </w:p>
        </w:tc>
        <w:tc>
          <w:tcPr>
            <w:tcW w:w="2880" w:type="dxa"/>
            <w:noWrap w:val="0"/>
            <w:vAlign w:val="top"/>
          </w:tcPr>
          <w:p>
            <w:pPr>
              <w:spacing w:line="480" w:lineRule="exact"/>
              <w:jc w:val="center"/>
              <w:rPr>
                <w:rFonts w:hint="eastAsia" w:ascii="宋体" w:hAnsi="宋体" w:eastAsia="宋体" w:cs="宋体"/>
                <w:cap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41" w:type="dxa"/>
            <w:vMerge w:val="restart"/>
            <w:noWrap w:val="0"/>
            <w:vAlign w:val="center"/>
          </w:tcPr>
          <w:p>
            <w:pPr>
              <w:spacing w:line="480" w:lineRule="exact"/>
              <w:jc w:val="center"/>
              <w:rPr>
                <w:rFonts w:hint="eastAsia" w:ascii="宋体" w:hAnsi="宋体" w:eastAsia="宋体" w:cs="宋体"/>
                <w:caps/>
                <w:sz w:val="21"/>
                <w:szCs w:val="21"/>
                <w:highlight w:val="none"/>
              </w:rPr>
            </w:pPr>
            <w:r>
              <w:rPr>
                <w:rFonts w:hint="eastAsia" w:ascii="宋体" w:hAnsi="宋体" w:eastAsia="宋体" w:cs="宋体"/>
                <w:caps/>
                <w:sz w:val="21"/>
                <w:szCs w:val="21"/>
                <w:highlight w:val="none"/>
              </w:rPr>
              <w:t>资格证书名称及编号</w:t>
            </w:r>
          </w:p>
        </w:tc>
        <w:tc>
          <w:tcPr>
            <w:tcW w:w="2949" w:type="dxa"/>
            <w:gridSpan w:val="2"/>
            <w:noWrap w:val="0"/>
            <w:vAlign w:val="top"/>
          </w:tcPr>
          <w:p>
            <w:pPr>
              <w:spacing w:line="480" w:lineRule="exact"/>
              <w:jc w:val="center"/>
              <w:rPr>
                <w:rFonts w:hint="eastAsia" w:ascii="宋体" w:hAnsi="宋体" w:eastAsia="宋体" w:cs="宋体"/>
                <w:caps/>
                <w:sz w:val="21"/>
                <w:szCs w:val="21"/>
                <w:highlight w:val="none"/>
              </w:rPr>
            </w:pPr>
            <w:r>
              <w:rPr>
                <w:rFonts w:hint="eastAsia" w:ascii="宋体" w:hAnsi="宋体" w:eastAsia="宋体" w:cs="宋体"/>
                <w:caps/>
                <w:sz w:val="21"/>
                <w:szCs w:val="21"/>
                <w:highlight w:val="none"/>
              </w:rPr>
              <w:t>证书名称</w:t>
            </w:r>
          </w:p>
        </w:tc>
        <w:tc>
          <w:tcPr>
            <w:tcW w:w="4491" w:type="dxa"/>
            <w:gridSpan w:val="2"/>
            <w:noWrap w:val="0"/>
            <w:vAlign w:val="top"/>
          </w:tcPr>
          <w:p>
            <w:pPr>
              <w:spacing w:line="480" w:lineRule="exact"/>
              <w:jc w:val="center"/>
              <w:rPr>
                <w:rFonts w:hint="eastAsia" w:ascii="宋体" w:hAnsi="宋体" w:eastAsia="宋体" w:cs="宋体"/>
                <w:caps/>
                <w:sz w:val="21"/>
                <w:szCs w:val="21"/>
                <w:highlight w:val="none"/>
              </w:rPr>
            </w:pPr>
            <w:r>
              <w:rPr>
                <w:rFonts w:hint="eastAsia" w:ascii="宋体" w:hAnsi="宋体" w:eastAsia="宋体" w:cs="宋体"/>
                <w:caps/>
                <w:sz w:val="21"/>
                <w:szCs w:val="21"/>
                <w:highlight w:val="none"/>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41" w:type="dxa"/>
            <w:vMerge w:val="continue"/>
            <w:noWrap w:val="0"/>
            <w:vAlign w:val="center"/>
          </w:tcPr>
          <w:p>
            <w:pPr>
              <w:spacing w:line="480" w:lineRule="exact"/>
              <w:jc w:val="center"/>
              <w:rPr>
                <w:rFonts w:hint="eastAsia" w:ascii="宋体" w:hAnsi="宋体" w:eastAsia="宋体" w:cs="宋体"/>
                <w:sz w:val="21"/>
                <w:szCs w:val="21"/>
                <w:highlight w:val="none"/>
              </w:rPr>
            </w:pPr>
          </w:p>
        </w:tc>
        <w:tc>
          <w:tcPr>
            <w:tcW w:w="2949" w:type="dxa"/>
            <w:gridSpan w:val="2"/>
            <w:noWrap w:val="0"/>
            <w:vAlign w:val="top"/>
          </w:tcPr>
          <w:p>
            <w:pPr>
              <w:spacing w:line="480" w:lineRule="exact"/>
              <w:jc w:val="center"/>
              <w:rPr>
                <w:rFonts w:hint="eastAsia" w:ascii="宋体" w:hAnsi="宋体" w:eastAsia="宋体" w:cs="宋体"/>
                <w:caps/>
                <w:sz w:val="21"/>
                <w:szCs w:val="21"/>
                <w:highlight w:val="none"/>
              </w:rPr>
            </w:pPr>
          </w:p>
        </w:tc>
        <w:tc>
          <w:tcPr>
            <w:tcW w:w="4491" w:type="dxa"/>
            <w:gridSpan w:val="2"/>
            <w:noWrap w:val="0"/>
            <w:vAlign w:val="top"/>
          </w:tcPr>
          <w:p>
            <w:pPr>
              <w:spacing w:line="480" w:lineRule="exact"/>
              <w:jc w:val="center"/>
              <w:rPr>
                <w:rFonts w:hint="eastAsia" w:ascii="宋体" w:hAnsi="宋体" w:eastAsia="宋体" w:cs="宋体"/>
                <w:cap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541" w:type="dxa"/>
            <w:vMerge w:val="continue"/>
            <w:noWrap w:val="0"/>
            <w:vAlign w:val="center"/>
          </w:tcPr>
          <w:p>
            <w:pPr>
              <w:spacing w:line="480" w:lineRule="exact"/>
              <w:jc w:val="center"/>
              <w:rPr>
                <w:rFonts w:hint="eastAsia" w:ascii="宋体" w:hAnsi="宋体" w:eastAsia="宋体" w:cs="宋体"/>
                <w:caps/>
                <w:sz w:val="21"/>
                <w:szCs w:val="21"/>
                <w:highlight w:val="none"/>
              </w:rPr>
            </w:pPr>
          </w:p>
        </w:tc>
        <w:tc>
          <w:tcPr>
            <w:tcW w:w="2949" w:type="dxa"/>
            <w:gridSpan w:val="2"/>
            <w:noWrap w:val="0"/>
            <w:vAlign w:val="top"/>
          </w:tcPr>
          <w:p>
            <w:pPr>
              <w:spacing w:line="480" w:lineRule="exact"/>
              <w:jc w:val="center"/>
              <w:rPr>
                <w:rFonts w:hint="eastAsia" w:ascii="宋体" w:hAnsi="宋体" w:eastAsia="宋体" w:cs="宋体"/>
                <w:caps/>
                <w:sz w:val="21"/>
                <w:szCs w:val="21"/>
                <w:highlight w:val="none"/>
              </w:rPr>
            </w:pPr>
          </w:p>
        </w:tc>
        <w:tc>
          <w:tcPr>
            <w:tcW w:w="4491" w:type="dxa"/>
            <w:gridSpan w:val="2"/>
            <w:noWrap w:val="0"/>
            <w:vAlign w:val="top"/>
          </w:tcPr>
          <w:p>
            <w:pPr>
              <w:spacing w:line="480" w:lineRule="exact"/>
              <w:jc w:val="center"/>
              <w:rPr>
                <w:rFonts w:hint="eastAsia" w:ascii="宋体" w:hAnsi="宋体" w:eastAsia="宋体" w:cs="宋体"/>
                <w:cap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541" w:type="dxa"/>
            <w:noWrap w:val="0"/>
            <w:vAlign w:val="center"/>
          </w:tcPr>
          <w:p>
            <w:pPr>
              <w:spacing w:line="480" w:lineRule="exact"/>
              <w:jc w:val="center"/>
              <w:rPr>
                <w:rFonts w:hint="eastAsia" w:ascii="宋体" w:hAnsi="宋体" w:eastAsia="宋体" w:cs="宋体"/>
                <w:caps/>
                <w:sz w:val="21"/>
                <w:szCs w:val="21"/>
                <w:highlight w:val="none"/>
              </w:rPr>
            </w:pPr>
            <w:r>
              <w:rPr>
                <w:rFonts w:hint="eastAsia" w:ascii="宋体" w:hAnsi="宋体" w:eastAsia="宋体" w:cs="宋体"/>
                <w:caps/>
                <w:sz w:val="21"/>
                <w:szCs w:val="21"/>
                <w:highlight w:val="none"/>
              </w:rPr>
              <w:t>在本单位从业年限</w:t>
            </w:r>
          </w:p>
        </w:tc>
        <w:tc>
          <w:tcPr>
            <w:tcW w:w="7440" w:type="dxa"/>
            <w:gridSpan w:val="4"/>
            <w:noWrap w:val="0"/>
            <w:vAlign w:val="top"/>
          </w:tcPr>
          <w:p>
            <w:pPr>
              <w:spacing w:line="480" w:lineRule="exact"/>
              <w:jc w:val="center"/>
              <w:rPr>
                <w:rFonts w:hint="eastAsia" w:ascii="宋体" w:hAnsi="宋体" w:eastAsia="宋体" w:cs="宋体"/>
                <w:cap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490" w:type="dxa"/>
            <w:gridSpan w:val="3"/>
            <w:noWrap w:val="0"/>
            <w:vAlign w:val="center"/>
          </w:tcPr>
          <w:p>
            <w:pPr>
              <w:spacing w:line="480" w:lineRule="exact"/>
              <w:jc w:val="center"/>
              <w:rPr>
                <w:rFonts w:hint="eastAsia" w:ascii="宋体" w:hAnsi="宋体" w:eastAsia="宋体" w:cs="宋体"/>
                <w:caps/>
                <w:sz w:val="21"/>
                <w:szCs w:val="21"/>
                <w:highlight w:val="none"/>
              </w:rPr>
            </w:pPr>
            <w:r>
              <w:rPr>
                <w:rFonts w:hint="eastAsia" w:ascii="宋体" w:hAnsi="宋体" w:eastAsia="宋体" w:cs="宋体"/>
                <w:caps/>
                <w:sz w:val="21"/>
                <w:szCs w:val="21"/>
                <w:highlight w:val="none"/>
              </w:rPr>
              <w:t>从事工作年限</w:t>
            </w:r>
          </w:p>
        </w:tc>
        <w:tc>
          <w:tcPr>
            <w:tcW w:w="4491" w:type="dxa"/>
            <w:gridSpan w:val="2"/>
            <w:noWrap w:val="0"/>
            <w:vAlign w:val="top"/>
          </w:tcPr>
          <w:p>
            <w:pPr>
              <w:spacing w:line="480" w:lineRule="exact"/>
              <w:jc w:val="center"/>
              <w:rPr>
                <w:rFonts w:hint="eastAsia" w:ascii="宋体" w:hAnsi="宋体" w:eastAsia="宋体" w:cs="宋体"/>
                <w:cap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2245" w:type="dxa"/>
            <w:gridSpan w:val="2"/>
            <w:noWrap w:val="0"/>
            <w:vAlign w:val="center"/>
          </w:tcPr>
          <w:p>
            <w:pPr>
              <w:spacing w:line="480" w:lineRule="exact"/>
              <w:jc w:val="center"/>
              <w:rPr>
                <w:rFonts w:hint="eastAsia" w:ascii="宋体" w:hAnsi="宋体" w:eastAsia="宋体" w:cs="宋体"/>
                <w:caps/>
                <w:sz w:val="21"/>
                <w:szCs w:val="21"/>
                <w:highlight w:val="none"/>
              </w:rPr>
            </w:pPr>
            <w:r>
              <w:rPr>
                <w:rFonts w:hint="eastAsia" w:ascii="宋体" w:hAnsi="宋体" w:eastAsia="宋体" w:cs="宋体"/>
                <w:caps/>
                <w:sz w:val="21"/>
                <w:szCs w:val="21"/>
                <w:highlight w:val="none"/>
              </w:rPr>
              <w:t>类似项目工作业绩及担任的主要工作</w:t>
            </w:r>
          </w:p>
        </w:tc>
        <w:tc>
          <w:tcPr>
            <w:tcW w:w="6736" w:type="dxa"/>
            <w:gridSpan w:val="3"/>
            <w:noWrap w:val="0"/>
            <w:vAlign w:val="top"/>
          </w:tcPr>
          <w:p>
            <w:pPr>
              <w:spacing w:line="480" w:lineRule="exact"/>
              <w:jc w:val="center"/>
              <w:rPr>
                <w:rFonts w:hint="eastAsia" w:ascii="宋体" w:hAnsi="宋体" w:eastAsia="宋体" w:cs="宋体"/>
                <w:caps/>
                <w:sz w:val="21"/>
                <w:szCs w:val="21"/>
                <w:highlight w:val="none"/>
              </w:rPr>
            </w:pPr>
          </w:p>
        </w:tc>
      </w:tr>
    </w:tbl>
    <w:p>
      <w:pPr>
        <w:spacing w:line="480" w:lineRule="exact"/>
        <w:jc w:val="both"/>
        <w:rPr>
          <w:rFonts w:hint="eastAsia" w:ascii="宋体" w:hAnsi="宋体" w:eastAsia="宋体" w:cs="宋体"/>
          <w:caps/>
          <w:sz w:val="21"/>
          <w:szCs w:val="21"/>
          <w:highlight w:val="none"/>
        </w:rPr>
      </w:pPr>
      <w:r>
        <w:rPr>
          <w:rFonts w:hint="eastAsia" w:ascii="宋体" w:hAnsi="宋体" w:eastAsia="宋体" w:cs="宋体"/>
          <w:caps/>
          <w:sz w:val="21"/>
          <w:szCs w:val="21"/>
          <w:highlight w:val="none"/>
        </w:rPr>
        <w:t>注：附项目负责人相关资格证书</w:t>
      </w:r>
      <w:r>
        <w:rPr>
          <w:rFonts w:hint="eastAsia" w:ascii="宋体" w:hAnsi="宋体" w:eastAsia="宋体" w:cs="宋体"/>
          <w:caps/>
          <w:sz w:val="21"/>
          <w:szCs w:val="21"/>
          <w:highlight w:val="none"/>
          <w:lang w:val="en-US" w:eastAsia="zh-CN"/>
        </w:rPr>
        <w:t>等</w:t>
      </w:r>
      <w:r>
        <w:rPr>
          <w:rFonts w:hint="eastAsia" w:ascii="宋体" w:hAnsi="宋体" w:eastAsia="宋体" w:cs="宋体"/>
          <w:caps/>
          <w:sz w:val="21"/>
          <w:szCs w:val="21"/>
          <w:highlight w:val="none"/>
        </w:rPr>
        <w:t>文件</w:t>
      </w:r>
      <w:r>
        <w:rPr>
          <w:rFonts w:hint="eastAsia" w:ascii="宋体" w:hAnsi="宋体" w:eastAsia="宋体" w:cs="宋体"/>
          <w:b w:val="0"/>
          <w:bCs/>
          <w:color w:val="000000"/>
          <w:sz w:val="21"/>
          <w:szCs w:val="21"/>
          <w:highlight w:val="none"/>
          <w:lang w:val="en-US" w:eastAsia="zh-CN" w:bidi="ar"/>
        </w:rPr>
        <w:t>扫描</w:t>
      </w:r>
      <w:r>
        <w:rPr>
          <w:rFonts w:hint="eastAsia" w:ascii="宋体" w:hAnsi="宋体" w:eastAsia="宋体" w:cs="宋体"/>
          <w:b w:val="0"/>
          <w:bCs/>
          <w:color w:val="000000"/>
          <w:sz w:val="21"/>
          <w:szCs w:val="21"/>
          <w:highlight w:val="none"/>
          <w:lang w:bidi="ar"/>
        </w:rPr>
        <w:t>件加盖公司公章</w:t>
      </w:r>
      <w:r>
        <w:rPr>
          <w:rFonts w:hint="eastAsia" w:ascii="宋体" w:hAnsi="宋体" w:eastAsia="宋体" w:cs="宋体"/>
          <w:caps/>
          <w:sz w:val="21"/>
          <w:szCs w:val="21"/>
          <w:highlight w:val="none"/>
        </w:rPr>
        <w:t>。</w:t>
      </w:r>
    </w:p>
    <w:p>
      <w:pPr>
        <w:spacing w:line="440" w:lineRule="exact"/>
        <w:rPr>
          <w:rFonts w:hint="eastAsia" w:ascii="宋体" w:hAnsi="宋体" w:eastAsia="宋体" w:cs="宋体"/>
          <w:b/>
          <w:sz w:val="24"/>
          <w:highlight w:val="none"/>
        </w:rPr>
      </w:pPr>
    </w:p>
    <w:p>
      <w:pPr>
        <w:spacing w:before="240" w:beforeLines="100" w:after="240" w:afterLines="100" w:line="480" w:lineRule="exact"/>
        <w:rPr>
          <w:rFonts w:hint="eastAsia" w:ascii="宋体" w:hAnsi="宋体" w:eastAsia="宋体" w:cs="宋体"/>
          <w:sz w:val="24"/>
          <w:highlight w:val="none"/>
        </w:rPr>
      </w:pPr>
    </w:p>
    <w:p>
      <w:pPr>
        <w:spacing w:before="240" w:beforeLines="100" w:after="240" w:afterLines="100" w:line="480" w:lineRule="exact"/>
        <w:ind w:firstLine="2940" w:firstLineChars="1400"/>
        <w:rPr>
          <w:rFonts w:hint="eastAsia" w:ascii="宋体" w:hAnsi="宋体" w:eastAsia="宋体" w:cs="宋体"/>
          <w:szCs w:val="21"/>
          <w:highlight w:val="none"/>
        </w:rPr>
      </w:pP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（单位全称、盖章）</w:t>
      </w:r>
    </w:p>
    <w:p>
      <w:pPr>
        <w:spacing w:before="240" w:beforeLines="100" w:after="240" w:afterLines="100" w:line="48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法定代表人或授权代表：</w:t>
      </w:r>
      <w:r>
        <w:rPr>
          <w:rFonts w:hint="eastAsia" w:ascii="宋体" w:hAnsi="宋体" w:eastAsia="宋体" w:cs="宋体"/>
          <w:szCs w:val="21"/>
          <w:highlight w:val="none"/>
          <w:u w:val="single"/>
        </w:rPr>
        <w:t xml:space="preserve">   （盖章或签字）           </w:t>
      </w:r>
    </w:p>
    <w:p>
      <w:pPr>
        <w:rPr>
          <w:rFonts w:hint="eastAsia" w:ascii="宋体" w:hAnsi="宋体" w:eastAsia="宋体" w:cs="宋体"/>
          <w:szCs w:val="21"/>
          <w:highlight w:val="none"/>
        </w:rPr>
      </w:pPr>
      <w:r>
        <w:rPr>
          <w:rFonts w:hint="eastAsia" w:ascii="宋体" w:hAnsi="宋体" w:eastAsia="宋体" w:cs="宋体"/>
          <w:szCs w:val="21"/>
          <w:highlight w:val="none"/>
        </w:rPr>
        <w:t xml:space="preserve">                            投标日期：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adjustRightInd w:val="0"/>
        <w:snapToGrid w:val="0"/>
        <w:spacing w:line="360" w:lineRule="auto"/>
        <w:rPr>
          <w:rFonts w:hint="eastAsia" w:ascii="宋体" w:hAnsi="宋体" w:eastAsia="宋体" w:cs="宋体"/>
          <w:highlight w:val="none"/>
        </w:rPr>
      </w:pPr>
    </w:p>
    <w:p>
      <w:pPr>
        <w:adjustRightInd w:val="0"/>
        <w:snapToGrid w:val="0"/>
        <w:spacing w:line="360" w:lineRule="auto"/>
        <w:rPr>
          <w:rFonts w:hint="eastAsia" w:ascii="宋体" w:hAnsi="宋体" w:eastAsia="宋体" w:cs="宋体"/>
          <w:highlight w:val="none"/>
        </w:rPr>
      </w:pPr>
    </w:p>
    <w:p>
      <w:pPr>
        <w:adjustRightInd w:val="0"/>
        <w:snapToGrid w:val="0"/>
        <w:spacing w:line="360" w:lineRule="auto"/>
        <w:rPr>
          <w:rFonts w:hint="eastAsia" w:ascii="宋体" w:hAnsi="宋体" w:eastAsia="宋体" w:cs="宋体"/>
          <w:highlight w:val="none"/>
        </w:rPr>
      </w:pPr>
    </w:p>
    <w:p>
      <w:pPr>
        <w:jc w:val="both"/>
        <w:rPr>
          <w:rFonts w:hint="eastAsia" w:ascii="宋体" w:hAnsi="宋体" w:eastAsia="宋体" w:cs="宋体"/>
          <w:highlight w:val="none"/>
        </w:rPr>
      </w:pPr>
      <w:r>
        <w:rPr>
          <w:rFonts w:hint="eastAsia" w:ascii="宋体" w:hAnsi="宋体" w:eastAsia="宋体" w:cs="宋体"/>
          <w:highlight w:val="none"/>
        </w:rPr>
        <w:t>附件</w:t>
      </w:r>
      <w:r>
        <w:rPr>
          <w:rFonts w:hint="eastAsia" w:ascii="宋体" w:hAnsi="宋体" w:eastAsia="宋体" w:cs="宋体"/>
          <w:highlight w:val="none"/>
          <w:lang w:val="en-US" w:eastAsia="zh-CN"/>
        </w:rPr>
        <w:t>2</w:t>
      </w:r>
      <w:r>
        <w:rPr>
          <w:rFonts w:hint="eastAsia" w:ascii="宋体" w:hAnsi="宋体" w:eastAsia="宋体" w:cs="宋体"/>
          <w:highlight w:val="none"/>
        </w:rPr>
        <w:t>：拟投入本项目人员组成</w:t>
      </w:r>
    </w:p>
    <w:p>
      <w:pPr>
        <w:pStyle w:val="22"/>
        <w:rPr>
          <w:rFonts w:hint="eastAsia" w:ascii="宋体" w:hAnsi="宋体" w:eastAsia="宋体" w:cs="宋体"/>
          <w:highlight w:val="none"/>
        </w:rPr>
      </w:pPr>
    </w:p>
    <w:tbl>
      <w:tblPr>
        <w:tblStyle w:val="38"/>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885"/>
        <w:gridCol w:w="696"/>
        <w:gridCol w:w="857"/>
        <w:gridCol w:w="887"/>
        <w:gridCol w:w="102"/>
        <w:gridCol w:w="1168"/>
        <w:gridCol w:w="915"/>
        <w:gridCol w:w="1383"/>
        <w:gridCol w:w="1172"/>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559" w:type="dxa"/>
            <w:gridSpan w:val="2"/>
            <w:noWrap w:val="0"/>
            <w:vAlign w:val="center"/>
          </w:tcPr>
          <w:p>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项目项目名称</w:t>
            </w:r>
          </w:p>
        </w:tc>
        <w:tc>
          <w:tcPr>
            <w:tcW w:w="2440" w:type="dxa"/>
            <w:gridSpan w:val="3"/>
            <w:noWrap w:val="0"/>
            <w:vAlign w:val="center"/>
          </w:tcPr>
          <w:p>
            <w:pPr>
              <w:jc w:val="center"/>
              <w:rPr>
                <w:rFonts w:hint="eastAsia" w:ascii="宋体" w:hAnsi="宋体" w:eastAsia="宋体" w:cs="宋体"/>
                <w:sz w:val="21"/>
                <w:szCs w:val="21"/>
                <w:highlight w:val="none"/>
                <w:vertAlign w:val="baseline"/>
              </w:rPr>
            </w:pPr>
          </w:p>
        </w:tc>
        <w:tc>
          <w:tcPr>
            <w:tcW w:w="2185" w:type="dxa"/>
            <w:gridSpan w:val="3"/>
            <w:noWrap w:val="0"/>
            <w:vAlign w:val="center"/>
          </w:tcPr>
          <w:p>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项目项目编号</w:t>
            </w:r>
          </w:p>
        </w:tc>
        <w:tc>
          <w:tcPr>
            <w:tcW w:w="3231" w:type="dxa"/>
            <w:gridSpan w:val="3"/>
            <w:noWrap w:val="0"/>
            <w:vAlign w:val="center"/>
          </w:tcPr>
          <w:p>
            <w:pPr>
              <w:jc w:val="cente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415" w:type="dxa"/>
            <w:gridSpan w:val="11"/>
            <w:noWrap w:val="0"/>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拟投入本项目人员</w:t>
            </w:r>
            <w:r>
              <w:rPr>
                <w:rFonts w:hint="eastAsia" w:ascii="宋体" w:hAnsi="宋体" w:eastAsia="宋体" w:cs="宋体"/>
                <w:sz w:val="21"/>
                <w:szCs w:val="21"/>
                <w:highlight w:val="none"/>
                <w:vertAlign w:val="baseline"/>
                <w:lang w:val="en-US" w:eastAsia="zh-CN"/>
              </w:rPr>
              <w:t>组成</w:t>
            </w:r>
            <w:r>
              <w:rPr>
                <w:rFonts w:hint="eastAsia" w:ascii="宋体" w:hAnsi="宋体" w:eastAsia="宋体" w:cs="宋体"/>
                <w:sz w:val="21"/>
                <w:szCs w:val="21"/>
                <w:highlight w:val="none"/>
                <w:vertAlign w:val="baseline"/>
                <w:lang w:eastAsia="zh-CN"/>
              </w:rPr>
              <w:t>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noWrap w:val="0"/>
            <w:vAlign w:val="center"/>
          </w:tcPr>
          <w:p>
            <w:pPr>
              <w:jc w:val="center"/>
              <w:rPr>
                <w:rFonts w:hint="eastAsia" w:ascii="宋体" w:hAnsi="宋体" w:eastAsia="宋体" w:cs="宋体"/>
                <w:sz w:val="21"/>
                <w:szCs w:val="21"/>
                <w:highlight w:val="none"/>
                <w:vertAlign w:val="baseline"/>
              </w:rPr>
            </w:pPr>
            <w:r>
              <w:rPr>
                <w:rFonts w:hint="eastAsia" w:ascii="宋体" w:hAnsi="宋体" w:eastAsia="宋体" w:cs="宋体"/>
                <w:color w:val="000000"/>
                <w:sz w:val="21"/>
                <w:szCs w:val="21"/>
                <w:highlight w:val="none"/>
                <w:lang w:bidi="ar"/>
              </w:rPr>
              <w:t>序号</w:t>
            </w:r>
          </w:p>
        </w:tc>
        <w:tc>
          <w:tcPr>
            <w:tcW w:w="885" w:type="dxa"/>
            <w:noWrap w:val="0"/>
            <w:vAlign w:val="center"/>
          </w:tcPr>
          <w:p>
            <w:pPr>
              <w:jc w:val="center"/>
              <w:rPr>
                <w:rFonts w:hint="eastAsia" w:ascii="宋体" w:hAnsi="宋体" w:eastAsia="宋体" w:cs="宋体"/>
                <w:sz w:val="21"/>
                <w:szCs w:val="21"/>
                <w:highlight w:val="none"/>
                <w:vertAlign w:val="baseline"/>
              </w:rPr>
            </w:pPr>
            <w:r>
              <w:rPr>
                <w:rFonts w:hint="eastAsia" w:ascii="宋体" w:hAnsi="宋体" w:eastAsia="宋体" w:cs="宋体"/>
                <w:color w:val="000000"/>
                <w:sz w:val="21"/>
                <w:szCs w:val="21"/>
                <w:highlight w:val="none"/>
                <w:lang w:bidi="ar"/>
              </w:rPr>
              <w:t>姓名</w:t>
            </w:r>
          </w:p>
        </w:tc>
        <w:tc>
          <w:tcPr>
            <w:tcW w:w="696" w:type="dxa"/>
            <w:noWrap w:val="0"/>
            <w:vAlign w:val="center"/>
          </w:tcPr>
          <w:p>
            <w:pPr>
              <w:jc w:val="center"/>
              <w:rPr>
                <w:rFonts w:hint="eastAsia" w:ascii="宋体" w:hAnsi="宋体" w:eastAsia="宋体" w:cs="宋体"/>
                <w:sz w:val="21"/>
                <w:szCs w:val="21"/>
                <w:highlight w:val="none"/>
                <w:vertAlign w:val="baseline"/>
              </w:rPr>
            </w:pPr>
            <w:r>
              <w:rPr>
                <w:rFonts w:hint="eastAsia" w:ascii="宋体" w:hAnsi="宋体" w:eastAsia="宋体" w:cs="宋体"/>
                <w:color w:val="000000"/>
                <w:sz w:val="21"/>
                <w:szCs w:val="21"/>
                <w:highlight w:val="none"/>
                <w:lang w:bidi="ar"/>
              </w:rPr>
              <w:t>性别</w:t>
            </w:r>
          </w:p>
        </w:tc>
        <w:tc>
          <w:tcPr>
            <w:tcW w:w="857" w:type="dxa"/>
            <w:noWrap w:val="0"/>
            <w:vAlign w:val="center"/>
          </w:tcPr>
          <w:p>
            <w:pPr>
              <w:jc w:val="center"/>
              <w:rPr>
                <w:rFonts w:hint="eastAsia" w:ascii="宋体" w:hAnsi="宋体" w:eastAsia="宋体" w:cs="宋体"/>
                <w:sz w:val="21"/>
                <w:szCs w:val="21"/>
                <w:highlight w:val="none"/>
                <w:vertAlign w:val="baseline"/>
              </w:rPr>
            </w:pPr>
            <w:r>
              <w:rPr>
                <w:rFonts w:hint="eastAsia" w:ascii="宋体" w:hAnsi="宋体" w:eastAsia="宋体" w:cs="宋体"/>
                <w:color w:val="000000"/>
                <w:sz w:val="21"/>
                <w:szCs w:val="21"/>
                <w:highlight w:val="none"/>
                <w:lang w:bidi="ar"/>
              </w:rPr>
              <w:t>年龄</w:t>
            </w:r>
          </w:p>
        </w:tc>
        <w:tc>
          <w:tcPr>
            <w:tcW w:w="989" w:type="dxa"/>
            <w:gridSpan w:val="2"/>
            <w:noWrap w:val="0"/>
            <w:vAlign w:val="center"/>
          </w:tcPr>
          <w:p>
            <w:pPr>
              <w:jc w:val="center"/>
              <w:rPr>
                <w:rFonts w:hint="eastAsia" w:ascii="宋体" w:hAnsi="宋体" w:eastAsia="宋体" w:cs="宋体"/>
                <w:sz w:val="21"/>
                <w:szCs w:val="21"/>
                <w:highlight w:val="none"/>
                <w:vertAlign w:val="baseline"/>
              </w:rPr>
            </w:pPr>
            <w:r>
              <w:rPr>
                <w:rFonts w:hint="eastAsia" w:ascii="宋体" w:hAnsi="宋体" w:eastAsia="宋体" w:cs="宋体"/>
                <w:color w:val="000000"/>
                <w:sz w:val="21"/>
                <w:szCs w:val="21"/>
                <w:highlight w:val="none"/>
                <w:lang w:bidi="ar"/>
              </w:rPr>
              <w:t>学历</w:t>
            </w:r>
          </w:p>
        </w:tc>
        <w:tc>
          <w:tcPr>
            <w:tcW w:w="1168" w:type="dxa"/>
            <w:noWrap w:val="0"/>
            <w:vAlign w:val="center"/>
          </w:tcPr>
          <w:p>
            <w:pPr>
              <w:jc w:val="center"/>
              <w:rPr>
                <w:rFonts w:hint="eastAsia" w:ascii="宋体" w:hAnsi="宋体" w:eastAsia="宋体" w:cs="宋体"/>
                <w:sz w:val="21"/>
                <w:szCs w:val="21"/>
                <w:highlight w:val="none"/>
                <w:vertAlign w:val="baseline"/>
              </w:rPr>
            </w:pPr>
            <w:r>
              <w:rPr>
                <w:rFonts w:hint="eastAsia" w:ascii="宋体" w:hAnsi="宋体" w:eastAsia="宋体" w:cs="宋体"/>
                <w:color w:val="000000"/>
                <w:sz w:val="21"/>
                <w:szCs w:val="21"/>
                <w:highlight w:val="none"/>
                <w:lang w:bidi="ar"/>
              </w:rPr>
              <w:t>资格证书</w:t>
            </w:r>
          </w:p>
        </w:tc>
        <w:tc>
          <w:tcPr>
            <w:tcW w:w="915" w:type="dxa"/>
            <w:noWrap w:val="0"/>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eastAsia="宋体" w:cs="宋体"/>
                <w:color w:val="000000"/>
                <w:sz w:val="21"/>
                <w:szCs w:val="21"/>
                <w:highlight w:val="none"/>
                <w:lang w:eastAsia="zh-CN" w:bidi="ar"/>
              </w:rPr>
              <w:t>职称</w:t>
            </w:r>
          </w:p>
        </w:tc>
        <w:tc>
          <w:tcPr>
            <w:tcW w:w="1383"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bidi="ar"/>
              </w:rPr>
              <w:t>拟任</w:t>
            </w:r>
            <w:r>
              <w:rPr>
                <w:rFonts w:hint="eastAsia" w:ascii="宋体" w:hAnsi="宋体" w:eastAsia="宋体" w:cs="宋体"/>
                <w:color w:val="000000"/>
                <w:sz w:val="21"/>
                <w:szCs w:val="21"/>
                <w:highlight w:val="none"/>
                <w:lang w:bidi="ar"/>
              </w:rPr>
              <w:t>职务</w:t>
            </w:r>
          </w:p>
          <w:p>
            <w:pPr>
              <w:jc w:val="center"/>
              <w:rPr>
                <w:rFonts w:hint="eastAsia" w:ascii="宋体" w:hAnsi="宋体" w:eastAsia="宋体" w:cs="宋体"/>
                <w:sz w:val="21"/>
                <w:szCs w:val="21"/>
                <w:highlight w:val="none"/>
                <w:vertAlign w:val="baseline"/>
              </w:rPr>
            </w:pPr>
          </w:p>
        </w:tc>
        <w:tc>
          <w:tcPr>
            <w:tcW w:w="1172" w:type="dxa"/>
            <w:noWrap w:val="0"/>
            <w:vAlign w:val="center"/>
          </w:tcPr>
          <w:p>
            <w:pPr>
              <w:jc w:val="center"/>
              <w:rPr>
                <w:rFonts w:hint="eastAsia" w:ascii="宋体" w:hAnsi="宋体" w:eastAsia="宋体" w:cs="宋体"/>
                <w:sz w:val="21"/>
                <w:szCs w:val="21"/>
                <w:highlight w:val="none"/>
                <w:vertAlign w:val="baseline"/>
              </w:rPr>
            </w:pPr>
            <w:r>
              <w:rPr>
                <w:rFonts w:hint="eastAsia" w:ascii="宋体" w:hAnsi="宋体" w:eastAsia="宋体" w:cs="宋体"/>
                <w:caps/>
                <w:szCs w:val="21"/>
                <w:highlight w:val="none"/>
              </w:rPr>
              <w:t>从事</w:t>
            </w:r>
            <w:r>
              <w:rPr>
                <w:rFonts w:hint="eastAsia" w:ascii="宋体" w:hAnsi="宋体" w:eastAsia="宋体" w:cs="宋体"/>
                <w:caps/>
                <w:szCs w:val="21"/>
                <w:highlight w:val="none"/>
                <w:lang w:eastAsia="zh-CN"/>
              </w:rPr>
              <w:t>本专业</w:t>
            </w:r>
            <w:r>
              <w:rPr>
                <w:rFonts w:hint="eastAsia" w:ascii="宋体" w:hAnsi="宋体" w:eastAsia="宋体" w:cs="宋体"/>
                <w:caps/>
                <w:szCs w:val="21"/>
                <w:highlight w:val="none"/>
              </w:rPr>
              <w:t>年限</w:t>
            </w:r>
          </w:p>
        </w:tc>
        <w:tc>
          <w:tcPr>
            <w:tcW w:w="676"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bidi="ar"/>
              </w:rPr>
              <w:t>备注</w:t>
            </w:r>
          </w:p>
          <w:p>
            <w:pPr>
              <w:jc w:val="cente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74" w:type="dxa"/>
            <w:noWrap w:val="0"/>
            <w:vAlign w:val="center"/>
          </w:tcPr>
          <w:p>
            <w:pPr>
              <w:jc w:val="center"/>
              <w:rPr>
                <w:rFonts w:hint="eastAsia" w:ascii="宋体" w:hAnsi="宋体" w:eastAsia="宋体" w:cs="宋体"/>
                <w:sz w:val="21"/>
                <w:szCs w:val="21"/>
                <w:highlight w:val="none"/>
                <w:vertAlign w:val="baseline"/>
              </w:rPr>
            </w:pPr>
          </w:p>
        </w:tc>
        <w:tc>
          <w:tcPr>
            <w:tcW w:w="885" w:type="dxa"/>
            <w:noWrap w:val="0"/>
            <w:vAlign w:val="center"/>
          </w:tcPr>
          <w:p>
            <w:pPr>
              <w:jc w:val="center"/>
              <w:rPr>
                <w:rFonts w:hint="eastAsia" w:ascii="宋体" w:hAnsi="宋体" w:eastAsia="宋体" w:cs="宋体"/>
                <w:sz w:val="21"/>
                <w:szCs w:val="21"/>
                <w:highlight w:val="none"/>
                <w:vertAlign w:val="baseline"/>
              </w:rPr>
            </w:pPr>
          </w:p>
        </w:tc>
        <w:tc>
          <w:tcPr>
            <w:tcW w:w="696" w:type="dxa"/>
            <w:noWrap w:val="0"/>
            <w:vAlign w:val="center"/>
          </w:tcPr>
          <w:p>
            <w:pPr>
              <w:jc w:val="center"/>
              <w:rPr>
                <w:rFonts w:hint="eastAsia" w:ascii="宋体" w:hAnsi="宋体" w:eastAsia="宋体" w:cs="宋体"/>
                <w:sz w:val="21"/>
                <w:szCs w:val="21"/>
                <w:highlight w:val="none"/>
                <w:vertAlign w:val="baseline"/>
              </w:rPr>
            </w:pPr>
          </w:p>
        </w:tc>
        <w:tc>
          <w:tcPr>
            <w:tcW w:w="857" w:type="dxa"/>
            <w:noWrap w:val="0"/>
            <w:vAlign w:val="center"/>
          </w:tcPr>
          <w:p>
            <w:pPr>
              <w:jc w:val="center"/>
              <w:rPr>
                <w:rFonts w:hint="eastAsia" w:ascii="宋体" w:hAnsi="宋体" w:eastAsia="宋体" w:cs="宋体"/>
                <w:sz w:val="21"/>
                <w:szCs w:val="21"/>
                <w:highlight w:val="none"/>
                <w:vertAlign w:val="baseline"/>
              </w:rPr>
            </w:pPr>
          </w:p>
        </w:tc>
        <w:tc>
          <w:tcPr>
            <w:tcW w:w="989" w:type="dxa"/>
            <w:gridSpan w:val="2"/>
            <w:noWrap w:val="0"/>
            <w:vAlign w:val="center"/>
          </w:tcPr>
          <w:p>
            <w:pPr>
              <w:jc w:val="center"/>
              <w:rPr>
                <w:rFonts w:hint="eastAsia" w:ascii="宋体" w:hAnsi="宋体" w:eastAsia="宋体" w:cs="宋体"/>
                <w:sz w:val="21"/>
                <w:szCs w:val="21"/>
                <w:highlight w:val="none"/>
                <w:vertAlign w:val="baseline"/>
              </w:rPr>
            </w:pPr>
          </w:p>
        </w:tc>
        <w:tc>
          <w:tcPr>
            <w:tcW w:w="1168" w:type="dxa"/>
            <w:noWrap w:val="0"/>
            <w:vAlign w:val="center"/>
          </w:tcPr>
          <w:p>
            <w:pPr>
              <w:jc w:val="center"/>
              <w:rPr>
                <w:rFonts w:hint="eastAsia" w:ascii="宋体" w:hAnsi="宋体" w:eastAsia="宋体" w:cs="宋体"/>
                <w:sz w:val="21"/>
                <w:szCs w:val="21"/>
                <w:highlight w:val="none"/>
                <w:vertAlign w:val="baseline"/>
              </w:rPr>
            </w:pPr>
          </w:p>
        </w:tc>
        <w:tc>
          <w:tcPr>
            <w:tcW w:w="915" w:type="dxa"/>
            <w:noWrap w:val="0"/>
            <w:vAlign w:val="center"/>
          </w:tcPr>
          <w:p>
            <w:pPr>
              <w:jc w:val="center"/>
              <w:rPr>
                <w:rFonts w:hint="eastAsia" w:ascii="宋体" w:hAnsi="宋体" w:eastAsia="宋体" w:cs="宋体"/>
                <w:sz w:val="21"/>
                <w:szCs w:val="21"/>
                <w:highlight w:val="none"/>
                <w:vertAlign w:val="baseline"/>
              </w:rPr>
            </w:pPr>
          </w:p>
        </w:tc>
        <w:tc>
          <w:tcPr>
            <w:tcW w:w="1383" w:type="dxa"/>
            <w:noWrap w:val="0"/>
            <w:vAlign w:val="center"/>
          </w:tcPr>
          <w:p>
            <w:pPr>
              <w:jc w:val="center"/>
              <w:rPr>
                <w:rFonts w:hint="eastAsia" w:ascii="宋体" w:hAnsi="宋体" w:eastAsia="宋体" w:cs="宋体"/>
                <w:sz w:val="21"/>
                <w:szCs w:val="21"/>
                <w:highlight w:val="none"/>
                <w:vertAlign w:val="baseline"/>
              </w:rPr>
            </w:pPr>
          </w:p>
        </w:tc>
        <w:tc>
          <w:tcPr>
            <w:tcW w:w="1172" w:type="dxa"/>
            <w:noWrap w:val="0"/>
            <w:vAlign w:val="center"/>
          </w:tcPr>
          <w:p>
            <w:pPr>
              <w:jc w:val="center"/>
              <w:rPr>
                <w:rFonts w:hint="eastAsia" w:ascii="宋体" w:hAnsi="宋体" w:eastAsia="宋体" w:cs="宋体"/>
                <w:sz w:val="21"/>
                <w:szCs w:val="21"/>
                <w:highlight w:val="none"/>
                <w:vertAlign w:val="baseline"/>
              </w:rPr>
            </w:pPr>
          </w:p>
        </w:tc>
        <w:tc>
          <w:tcPr>
            <w:tcW w:w="676" w:type="dxa"/>
            <w:noWrap w:val="0"/>
            <w:vAlign w:val="center"/>
          </w:tcPr>
          <w:p>
            <w:pPr>
              <w:jc w:val="cente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74" w:type="dxa"/>
            <w:noWrap w:val="0"/>
            <w:vAlign w:val="center"/>
          </w:tcPr>
          <w:p>
            <w:pPr>
              <w:jc w:val="center"/>
              <w:rPr>
                <w:rFonts w:hint="eastAsia" w:ascii="宋体" w:hAnsi="宋体" w:eastAsia="宋体" w:cs="宋体"/>
                <w:sz w:val="21"/>
                <w:szCs w:val="21"/>
                <w:highlight w:val="none"/>
                <w:vertAlign w:val="baseline"/>
              </w:rPr>
            </w:pPr>
          </w:p>
        </w:tc>
        <w:tc>
          <w:tcPr>
            <w:tcW w:w="885" w:type="dxa"/>
            <w:noWrap w:val="0"/>
            <w:vAlign w:val="center"/>
          </w:tcPr>
          <w:p>
            <w:pPr>
              <w:jc w:val="center"/>
              <w:rPr>
                <w:rFonts w:hint="eastAsia" w:ascii="宋体" w:hAnsi="宋体" w:eastAsia="宋体" w:cs="宋体"/>
                <w:sz w:val="21"/>
                <w:szCs w:val="21"/>
                <w:highlight w:val="none"/>
                <w:vertAlign w:val="baseline"/>
              </w:rPr>
            </w:pPr>
          </w:p>
        </w:tc>
        <w:tc>
          <w:tcPr>
            <w:tcW w:w="696" w:type="dxa"/>
            <w:noWrap w:val="0"/>
            <w:vAlign w:val="center"/>
          </w:tcPr>
          <w:p>
            <w:pPr>
              <w:jc w:val="center"/>
              <w:rPr>
                <w:rFonts w:hint="eastAsia" w:ascii="宋体" w:hAnsi="宋体" w:eastAsia="宋体" w:cs="宋体"/>
                <w:sz w:val="21"/>
                <w:szCs w:val="21"/>
                <w:highlight w:val="none"/>
                <w:vertAlign w:val="baseline"/>
              </w:rPr>
            </w:pPr>
          </w:p>
        </w:tc>
        <w:tc>
          <w:tcPr>
            <w:tcW w:w="857" w:type="dxa"/>
            <w:noWrap w:val="0"/>
            <w:vAlign w:val="center"/>
          </w:tcPr>
          <w:p>
            <w:pPr>
              <w:jc w:val="center"/>
              <w:rPr>
                <w:rFonts w:hint="eastAsia" w:ascii="宋体" w:hAnsi="宋体" w:eastAsia="宋体" w:cs="宋体"/>
                <w:sz w:val="21"/>
                <w:szCs w:val="21"/>
                <w:highlight w:val="none"/>
                <w:vertAlign w:val="baseline"/>
              </w:rPr>
            </w:pPr>
          </w:p>
        </w:tc>
        <w:tc>
          <w:tcPr>
            <w:tcW w:w="989" w:type="dxa"/>
            <w:gridSpan w:val="2"/>
            <w:noWrap w:val="0"/>
            <w:vAlign w:val="center"/>
          </w:tcPr>
          <w:p>
            <w:pPr>
              <w:jc w:val="center"/>
              <w:rPr>
                <w:rFonts w:hint="eastAsia" w:ascii="宋体" w:hAnsi="宋体" w:eastAsia="宋体" w:cs="宋体"/>
                <w:sz w:val="21"/>
                <w:szCs w:val="21"/>
                <w:highlight w:val="none"/>
                <w:vertAlign w:val="baseline"/>
              </w:rPr>
            </w:pPr>
          </w:p>
        </w:tc>
        <w:tc>
          <w:tcPr>
            <w:tcW w:w="1168" w:type="dxa"/>
            <w:noWrap w:val="0"/>
            <w:vAlign w:val="center"/>
          </w:tcPr>
          <w:p>
            <w:pPr>
              <w:jc w:val="center"/>
              <w:rPr>
                <w:rFonts w:hint="eastAsia" w:ascii="宋体" w:hAnsi="宋体" w:eastAsia="宋体" w:cs="宋体"/>
                <w:sz w:val="21"/>
                <w:szCs w:val="21"/>
                <w:highlight w:val="none"/>
                <w:vertAlign w:val="baseline"/>
              </w:rPr>
            </w:pPr>
          </w:p>
        </w:tc>
        <w:tc>
          <w:tcPr>
            <w:tcW w:w="915" w:type="dxa"/>
            <w:noWrap w:val="0"/>
            <w:vAlign w:val="center"/>
          </w:tcPr>
          <w:p>
            <w:pPr>
              <w:jc w:val="center"/>
              <w:rPr>
                <w:rFonts w:hint="eastAsia" w:ascii="宋体" w:hAnsi="宋体" w:eastAsia="宋体" w:cs="宋体"/>
                <w:sz w:val="21"/>
                <w:szCs w:val="21"/>
                <w:highlight w:val="none"/>
                <w:vertAlign w:val="baseline"/>
              </w:rPr>
            </w:pPr>
          </w:p>
        </w:tc>
        <w:tc>
          <w:tcPr>
            <w:tcW w:w="1383" w:type="dxa"/>
            <w:noWrap w:val="0"/>
            <w:vAlign w:val="center"/>
          </w:tcPr>
          <w:p>
            <w:pPr>
              <w:jc w:val="center"/>
              <w:rPr>
                <w:rFonts w:hint="eastAsia" w:ascii="宋体" w:hAnsi="宋体" w:eastAsia="宋体" w:cs="宋体"/>
                <w:sz w:val="21"/>
                <w:szCs w:val="21"/>
                <w:highlight w:val="none"/>
                <w:vertAlign w:val="baseline"/>
              </w:rPr>
            </w:pPr>
          </w:p>
        </w:tc>
        <w:tc>
          <w:tcPr>
            <w:tcW w:w="1172" w:type="dxa"/>
            <w:noWrap w:val="0"/>
            <w:vAlign w:val="center"/>
          </w:tcPr>
          <w:p>
            <w:pPr>
              <w:jc w:val="center"/>
              <w:rPr>
                <w:rFonts w:hint="eastAsia" w:ascii="宋体" w:hAnsi="宋体" w:eastAsia="宋体" w:cs="宋体"/>
                <w:sz w:val="21"/>
                <w:szCs w:val="21"/>
                <w:highlight w:val="none"/>
                <w:vertAlign w:val="baseline"/>
              </w:rPr>
            </w:pPr>
          </w:p>
        </w:tc>
        <w:tc>
          <w:tcPr>
            <w:tcW w:w="676" w:type="dxa"/>
            <w:noWrap w:val="0"/>
            <w:vAlign w:val="center"/>
          </w:tcPr>
          <w:p>
            <w:pPr>
              <w:jc w:val="cente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74" w:type="dxa"/>
            <w:noWrap w:val="0"/>
            <w:vAlign w:val="center"/>
          </w:tcPr>
          <w:p>
            <w:pPr>
              <w:jc w:val="center"/>
              <w:rPr>
                <w:rFonts w:hint="eastAsia" w:ascii="宋体" w:hAnsi="宋体" w:eastAsia="宋体" w:cs="宋体"/>
                <w:sz w:val="21"/>
                <w:szCs w:val="21"/>
                <w:highlight w:val="none"/>
                <w:vertAlign w:val="baseline"/>
              </w:rPr>
            </w:pPr>
          </w:p>
        </w:tc>
        <w:tc>
          <w:tcPr>
            <w:tcW w:w="885" w:type="dxa"/>
            <w:noWrap w:val="0"/>
            <w:vAlign w:val="center"/>
          </w:tcPr>
          <w:p>
            <w:pPr>
              <w:jc w:val="center"/>
              <w:rPr>
                <w:rFonts w:hint="eastAsia" w:ascii="宋体" w:hAnsi="宋体" w:eastAsia="宋体" w:cs="宋体"/>
                <w:sz w:val="21"/>
                <w:szCs w:val="21"/>
                <w:highlight w:val="none"/>
                <w:vertAlign w:val="baseline"/>
              </w:rPr>
            </w:pPr>
          </w:p>
        </w:tc>
        <w:tc>
          <w:tcPr>
            <w:tcW w:w="696" w:type="dxa"/>
            <w:noWrap w:val="0"/>
            <w:vAlign w:val="center"/>
          </w:tcPr>
          <w:p>
            <w:pPr>
              <w:jc w:val="center"/>
              <w:rPr>
                <w:rFonts w:hint="eastAsia" w:ascii="宋体" w:hAnsi="宋体" w:eastAsia="宋体" w:cs="宋体"/>
                <w:sz w:val="21"/>
                <w:szCs w:val="21"/>
                <w:highlight w:val="none"/>
                <w:vertAlign w:val="baseline"/>
              </w:rPr>
            </w:pPr>
          </w:p>
        </w:tc>
        <w:tc>
          <w:tcPr>
            <w:tcW w:w="857" w:type="dxa"/>
            <w:noWrap w:val="0"/>
            <w:vAlign w:val="center"/>
          </w:tcPr>
          <w:p>
            <w:pPr>
              <w:jc w:val="center"/>
              <w:rPr>
                <w:rFonts w:hint="eastAsia" w:ascii="宋体" w:hAnsi="宋体" w:eastAsia="宋体" w:cs="宋体"/>
                <w:sz w:val="21"/>
                <w:szCs w:val="21"/>
                <w:highlight w:val="none"/>
                <w:vertAlign w:val="baseline"/>
              </w:rPr>
            </w:pPr>
          </w:p>
        </w:tc>
        <w:tc>
          <w:tcPr>
            <w:tcW w:w="989" w:type="dxa"/>
            <w:gridSpan w:val="2"/>
            <w:noWrap w:val="0"/>
            <w:vAlign w:val="center"/>
          </w:tcPr>
          <w:p>
            <w:pPr>
              <w:jc w:val="center"/>
              <w:rPr>
                <w:rFonts w:hint="eastAsia" w:ascii="宋体" w:hAnsi="宋体" w:eastAsia="宋体" w:cs="宋体"/>
                <w:sz w:val="21"/>
                <w:szCs w:val="21"/>
                <w:highlight w:val="none"/>
                <w:vertAlign w:val="baseline"/>
              </w:rPr>
            </w:pPr>
          </w:p>
        </w:tc>
        <w:tc>
          <w:tcPr>
            <w:tcW w:w="1168" w:type="dxa"/>
            <w:noWrap w:val="0"/>
            <w:vAlign w:val="center"/>
          </w:tcPr>
          <w:p>
            <w:pPr>
              <w:jc w:val="center"/>
              <w:rPr>
                <w:rFonts w:hint="eastAsia" w:ascii="宋体" w:hAnsi="宋体" w:eastAsia="宋体" w:cs="宋体"/>
                <w:sz w:val="21"/>
                <w:szCs w:val="21"/>
                <w:highlight w:val="none"/>
                <w:vertAlign w:val="baseline"/>
              </w:rPr>
            </w:pPr>
          </w:p>
        </w:tc>
        <w:tc>
          <w:tcPr>
            <w:tcW w:w="915" w:type="dxa"/>
            <w:noWrap w:val="0"/>
            <w:vAlign w:val="center"/>
          </w:tcPr>
          <w:p>
            <w:pPr>
              <w:jc w:val="center"/>
              <w:rPr>
                <w:rFonts w:hint="eastAsia" w:ascii="宋体" w:hAnsi="宋体" w:eastAsia="宋体" w:cs="宋体"/>
                <w:sz w:val="21"/>
                <w:szCs w:val="21"/>
                <w:highlight w:val="none"/>
                <w:vertAlign w:val="baseline"/>
              </w:rPr>
            </w:pPr>
          </w:p>
        </w:tc>
        <w:tc>
          <w:tcPr>
            <w:tcW w:w="1383" w:type="dxa"/>
            <w:noWrap w:val="0"/>
            <w:vAlign w:val="center"/>
          </w:tcPr>
          <w:p>
            <w:pPr>
              <w:jc w:val="center"/>
              <w:rPr>
                <w:rFonts w:hint="eastAsia" w:ascii="宋体" w:hAnsi="宋体" w:eastAsia="宋体" w:cs="宋体"/>
                <w:sz w:val="21"/>
                <w:szCs w:val="21"/>
                <w:highlight w:val="none"/>
                <w:vertAlign w:val="baseline"/>
              </w:rPr>
            </w:pPr>
          </w:p>
        </w:tc>
        <w:tc>
          <w:tcPr>
            <w:tcW w:w="1172" w:type="dxa"/>
            <w:noWrap w:val="0"/>
            <w:vAlign w:val="center"/>
          </w:tcPr>
          <w:p>
            <w:pPr>
              <w:jc w:val="center"/>
              <w:rPr>
                <w:rFonts w:hint="eastAsia" w:ascii="宋体" w:hAnsi="宋体" w:eastAsia="宋体" w:cs="宋体"/>
                <w:sz w:val="21"/>
                <w:szCs w:val="21"/>
                <w:highlight w:val="none"/>
                <w:vertAlign w:val="baseline"/>
              </w:rPr>
            </w:pPr>
          </w:p>
        </w:tc>
        <w:tc>
          <w:tcPr>
            <w:tcW w:w="676" w:type="dxa"/>
            <w:noWrap w:val="0"/>
            <w:vAlign w:val="center"/>
          </w:tcPr>
          <w:p>
            <w:pPr>
              <w:jc w:val="cente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74" w:type="dxa"/>
            <w:noWrap w:val="0"/>
            <w:vAlign w:val="center"/>
          </w:tcPr>
          <w:p>
            <w:pPr>
              <w:jc w:val="center"/>
              <w:rPr>
                <w:rFonts w:hint="eastAsia" w:ascii="宋体" w:hAnsi="宋体" w:eastAsia="宋体" w:cs="宋体"/>
                <w:sz w:val="21"/>
                <w:szCs w:val="21"/>
                <w:highlight w:val="none"/>
                <w:vertAlign w:val="baseline"/>
              </w:rPr>
            </w:pPr>
          </w:p>
        </w:tc>
        <w:tc>
          <w:tcPr>
            <w:tcW w:w="885" w:type="dxa"/>
            <w:noWrap w:val="0"/>
            <w:vAlign w:val="center"/>
          </w:tcPr>
          <w:p>
            <w:pPr>
              <w:jc w:val="center"/>
              <w:rPr>
                <w:rFonts w:hint="eastAsia" w:ascii="宋体" w:hAnsi="宋体" w:eastAsia="宋体" w:cs="宋体"/>
                <w:sz w:val="21"/>
                <w:szCs w:val="21"/>
                <w:highlight w:val="none"/>
                <w:vertAlign w:val="baseline"/>
              </w:rPr>
            </w:pPr>
          </w:p>
        </w:tc>
        <w:tc>
          <w:tcPr>
            <w:tcW w:w="696" w:type="dxa"/>
            <w:noWrap w:val="0"/>
            <w:vAlign w:val="center"/>
          </w:tcPr>
          <w:p>
            <w:pPr>
              <w:jc w:val="center"/>
              <w:rPr>
                <w:rFonts w:hint="eastAsia" w:ascii="宋体" w:hAnsi="宋体" w:eastAsia="宋体" w:cs="宋体"/>
                <w:sz w:val="21"/>
                <w:szCs w:val="21"/>
                <w:highlight w:val="none"/>
                <w:vertAlign w:val="baseline"/>
              </w:rPr>
            </w:pPr>
          </w:p>
        </w:tc>
        <w:tc>
          <w:tcPr>
            <w:tcW w:w="857" w:type="dxa"/>
            <w:noWrap w:val="0"/>
            <w:vAlign w:val="center"/>
          </w:tcPr>
          <w:p>
            <w:pPr>
              <w:jc w:val="center"/>
              <w:rPr>
                <w:rFonts w:hint="eastAsia" w:ascii="宋体" w:hAnsi="宋体" w:eastAsia="宋体" w:cs="宋体"/>
                <w:sz w:val="21"/>
                <w:szCs w:val="21"/>
                <w:highlight w:val="none"/>
                <w:vertAlign w:val="baseline"/>
              </w:rPr>
            </w:pPr>
          </w:p>
        </w:tc>
        <w:tc>
          <w:tcPr>
            <w:tcW w:w="989" w:type="dxa"/>
            <w:gridSpan w:val="2"/>
            <w:noWrap w:val="0"/>
            <w:vAlign w:val="center"/>
          </w:tcPr>
          <w:p>
            <w:pPr>
              <w:jc w:val="center"/>
              <w:rPr>
                <w:rFonts w:hint="eastAsia" w:ascii="宋体" w:hAnsi="宋体" w:eastAsia="宋体" w:cs="宋体"/>
                <w:sz w:val="21"/>
                <w:szCs w:val="21"/>
                <w:highlight w:val="none"/>
                <w:vertAlign w:val="baseline"/>
              </w:rPr>
            </w:pPr>
          </w:p>
        </w:tc>
        <w:tc>
          <w:tcPr>
            <w:tcW w:w="1168" w:type="dxa"/>
            <w:noWrap w:val="0"/>
            <w:vAlign w:val="center"/>
          </w:tcPr>
          <w:p>
            <w:pPr>
              <w:jc w:val="center"/>
              <w:rPr>
                <w:rFonts w:hint="eastAsia" w:ascii="宋体" w:hAnsi="宋体" w:eastAsia="宋体" w:cs="宋体"/>
                <w:sz w:val="21"/>
                <w:szCs w:val="21"/>
                <w:highlight w:val="none"/>
                <w:vertAlign w:val="baseline"/>
              </w:rPr>
            </w:pPr>
          </w:p>
        </w:tc>
        <w:tc>
          <w:tcPr>
            <w:tcW w:w="915" w:type="dxa"/>
            <w:noWrap w:val="0"/>
            <w:vAlign w:val="center"/>
          </w:tcPr>
          <w:p>
            <w:pPr>
              <w:jc w:val="center"/>
              <w:rPr>
                <w:rFonts w:hint="eastAsia" w:ascii="宋体" w:hAnsi="宋体" w:eastAsia="宋体" w:cs="宋体"/>
                <w:sz w:val="21"/>
                <w:szCs w:val="21"/>
                <w:highlight w:val="none"/>
                <w:vertAlign w:val="baseline"/>
              </w:rPr>
            </w:pPr>
          </w:p>
        </w:tc>
        <w:tc>
          <w:tcPr>
            <w:tcW w:w="1383" w:type="dxa"/>
            <w:noWrap w:val="0"/>
            <w:vAlign w:val="center"/>
          </w:tcPr>
          <w:p>
            <w:pPr>
              <w:jc w:val="center"/>
              <w:rPr>
                <w:rFonts w:hint="eastAsia" w:ascii="宋体" w:hAnsi="宋体" w:eastAsia="宋体" w:cs="宋体"/>
                <w:sz w:val="21"/>
                <w:szCs w:val="21"/>
                <w:highlight w:val="none"/>
                <w:vertAlign w:val="baseline"/>
              </w:rPr>
            </w:pPr>
          </w:p>
        </w:tc>
        <w:tc>
          <w:tcPr>
            <w:tcW w:w="1172" w:type="dxa"/>
            <w:noWrap w:val="0"/>
            <w:vAlign w:val="center"/>
          </w:tcPr>
          <w:p>
            <w:pPr>
              <w:jc w:val="center"/>
              <w:rPr>
                <w:rFonts w:hint="eastAsia" w:ascii="宋体" w:hAnsi="宋体" w:eastAsia="宋体" w:cs="宋体"/>
                <w:sz w:val="21"/>
                <w:szCs w:val="21"/>
                <w:highlight w:val="none"/>
                <w:vertAlign w:val="baseline"/>
              </w:rPr>
            </w:pPr>
          </w:p>
        </w:tc>
        <w:tc>
          <w:tcPr>
            <w:tcW w:w="676" w:type="dxa"/>
            <w:noWrap w:val="0"/>
            <w:vAlign w:val="center"/>
          </w:tcPr>
          <w:p>
            <w:pPr>
              <w:jc w:val="cente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74" w:type="dxa"/>
            <w:noWrap w:val="0"/>
            <w:vAlign w:val="center"/>
          </w:tcPr>
          <w:p>
            <w:pPr>
              <w:jc w:val="center"/>
              <w:rPr>
                <w:rFonts w:hint="eastAsia" w:ascii="宋体" w:hAnsi="宋体" w:eastAsia="宋体" w:cs="宋体"/>
                <w:sz w:val="21"/>
                <w:szCs w:val="21"/>
                <w:highlight w:val="none"/>
                <w:vertAlign w:val="baseline"/>
              </w:rPr>
            </w:pPr>
          </w:p>
        </w:tc>
        <w:tc>
          <w:tcPr>
            <w:tcW w:w="885" w:type="dxa"/>
            <w:noWrap w:val="0"/>
            <w:vAlign w:val="center"/>
          </w:tcPr>
          <w:p>
            <w:pPr>
              <w:jc w:val="center"/>
              <w:rPr>
                <w:rFonts w:hint="eastAsia" w:ascii="宋体" w:hAnsi="宋体" w:eastAsia="宋体" w:cs="宋体"/>
                <w:sz w:val="21"/>
                <w:szCs w:val="21"/>
                <w:highlight w:val="none"/>
                <w:vertAlign w:val="baseline"/>
              </w:rPr>
            </w:pPr>
          </w:p>
        </w:tc>
        <w:tc>
          <w:tcPr>
            <w:tcW w:w="696" w:type="dxa"/>
            <w:noWrap w:val="0"/>
            <w:vAlign w:val="center"/>
          </w:tcPr>
          <w:p>
            <w:pPr>
              <w:jc w:val="center"/>
              <w:rPr>
                <w:rFonts w:hint="eastAsia" w:ascii="宋体" w:hAnsi="宋体" w:eastAsia="宋体" w:cs="宋体"/>
                <w:sz w:val="21"/>
                <w:szCs w:val="21"/>
                <w:highlight w:val="none"/>
                <w:vertAlign w:val="baseline"/>
              </w:rPr>
            </w:pPr>
          </w:p>
        </w:tc>
        <w:tc>
          <w:tcPr>
            <w:tcW w:w="857" w:type="dxa"/>
            <w:noWrap w:val="0"/>
            <w:vAlign w:val="center"/>
          </w:tcPr>
          <w:p>
            <w:pPr>
              <w:jc w:val="center"/>
              <w:rPr>
                <w:rFonts w:hint="eastAsia" w:ascii="宋体" w:hAnsi="宋体" w:eastAsia="宋体" w:cs="宋体"/>
                <w:sz w:val="21"/>
                <w:szCs w:val="21"/>
                <w:highlight w:val="none"/>
                <w:vertAlign w:val="baseline"/>
              </w:rPr>
            </w:pPr>
          </w:p>
        </w:tc>
        <w:tc>
          <w:tcPr>
            <w:tcW w:w="989" w:type="dxa"/>
            <w:gridSpan w:val="2"/>
            <w:noWrap w:val="0"/>
            <w:vAlign w:val="center"/>
          </w:tcPr>
          <w:p>
            <w:pPr>
              <w:jc w:val="center"/>
              <w:rPr>
                <w:rFonts w:hint="eastAsia" w:ascii="宋体" w:hAnsi="宋体" w:eastAsia="宋体" w:cs="宋体"/>
                <w:sz w:val="21"/>
                <w:szCs w:val="21"/>
                <w:highlight w:val="none"/>
                <w:vertAlign w:val="baseline"/>
              </w:rPr>
            </w:pPr>
          </w:p>
        </w:tc>
        <w:tc>
          <w:tcPr>
            <w:tcW w:w="1168" w:type="dxa"/>
            <w:noWrap w:val="0"/>
            <w:vAlign w:val="center"/>
          </w:tcPr>
          <w:p>
            <w:pPr>
              <w:jc w:val="center"/>
              <w:rPr>
                <w:rFonts w:hint="eastAsia" w:ascii="宋体" w:hAnsi="宋体" w:eastAsia="宋体" w:cs="宋体"/>
                <w:sz w:val="21"/>
                <w:szCs w:val="21"/>
                <w:highlight w:val="none"/>
                <w:vertAlign w:val="baseline"/>
              </w:rPr>
            </w:pPr>
          </w:p>
        </w:tc>
        <w:tc>
          <w:tcPr>
            <w:tcW w:w="915" w:type="dxa"/>
            <w:noWrap w:val="0"/>
            <w:vAlign w:val="center"/>
          </w:tcPr>
          <w:p>
            <w:pPr>
              <w:jc w:val="center"/>
              <w:rPr>
                <w:rFonts w:hint="eastAsia" w:ascii="宋体" w:hAnsi="宋体" w:eastAsia="宋体" w:cs="宋体"/>
                <w:sz w:val="21"/>
                <w:szCs w:val="21"/>
                <w:highlight w:val="none"/>
                <w:vertAlign w:val="baseline"/>
              </w:rPr>
            </w:pPr>
          </w:p>
        </w:tc>
        <w:tc>
          <w:tcPr>
            <w:tcW w:w="1383" w:type="dxa"/>
            <w:noWrap w:val="0"/>
            <w:vAlign w:val="center"/>
          </w:tcPr>
          <w:p>
            <w:pPr>
              <w:jc w:val="center"/>
              <w:rPr>
                <w:rFonts w:hint="eastAsia" w:ascii="宋体" w:hAnsi="宋体" w:eastAsia="宋体" w:cs="宋体"/>
                <w:sz w:val="21"/>
                <w:szCs w:val="21"/>
                <w:highlight w:val="none"/>
                <w:vertAlign w:val="baseline"/>
              </w:rPr>
            </w:pPr>
          </w:p>
        </w:tc>
        <w:tc>
          <w:tcPr>
            <w:tcW w:w="1172" w:type="dxa"/>
            <w:noWrap w:val="0"/>
            <w:vAlign w:val="center"/>
          </w:tcPr>
          <w:p>
            <w:pPr>
              <w:jc w:val="center"/>
              <w:rPr>
                <w:rFonts w:hint="eastAsia" w:ascii="宋体" w:hAnsi="宋体" w:eastAsia="宋体" w:cs="宋体"/>
                <w:sz w:val="21"/>
                <w:szCs w:val="21"/>
                <w:highlight w:val="none"/>
                <w:vertAlign w:val="baseline"/>
              </w:rPr>
            </w:pPr>
          </w:p>
        </w:tc>
        <w:tc>
          <w:tcPr>
            <w:tcW w:w="676" w:type="dxa"/>
            <w:noWrap w:val="0"/>
            <w:vAlign w:val="center"/>
          </w:tcPr>
          <w:p>
            <w:pPr>
              <w:jc w:val="cente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74" w:type="dxa"/>
            <w:noWrap w:val="0"/>
            <w:vAlign w:val="center"/>
          </w:tcPr>
          <w:p>
            <w:pPr>
              <w:jc w:val="center"/>
              <w:rPr>
                <w:rFonts w:hint="eastAsia" w:ascii="宋体" w:hAnsi="宋体" w:eastAsia="宋体" w:cs="宋体"/>
                <w:sz w:val="21"/>
                <w:szCs w:val="21"/>
                <w:highlight w:val="none"/>
                <w:vertAlign w:val="baseline"/>
              </w:rPr>
            </w:pPr>
          </w:p>
        </w:tc>
        <w:tc>
          <w:tcPr>
            <w:tcW w:w="885" w:type="dxa"/>
            <w:noWrap w:val="0"/>
            <w:vAlign w:val="center"/>
          </w:tcPr>
          <w:p>
            <w:pPr>
              <w:jc w:val="center"/>
              <w:rPr>
                <w:rFonts w:hint="eastAsia" w:ascii="宋体" w:hAnsi="宋体" w:eastAsia="宋体" w:cs="宋体"/>
                <w:sz w:val="21"/>
                <w:szCs w:val="21"/>
                <w:highlight w:val="none"/>
                <w:vertAlign w:val="baseline"/>
              </w:rPr>
            </w:pPr>
          </w:p>
        </w:tc>
        <w:tc>
          <w:tcPr>
            <w:tcW w:w="696" w:type="dxa"/>
            <w:noWrap w:val="0"/>
            <w:vAlign w:val="center"/>
          </w:tcPr>
          <w:p>
            <w:pPr>
              <w:jc w:val="center"/>
              <w:rPr>
                <w:rFonts w:hint="eastAsia" w:ascii="宋体" w:hAnsi="宋体" w:eastAsia="宋体" w:cs="宋体"/>
                <w:sz w:val="21"/>
                <w:szCs w:val="21"/>
                <w:highlight w:val="none"/>
                <w:vertAlign w:val="baseline"/>
              </w:rPr>
            </w:pPr>
          </w:p>
        </w:tc>
        <w:tc>
          <w:tcPr>
            <w:tcW w:w="857" w:type="dxa"/>
            <w:noWrap w:val="0"/>
            <w:vAlign w:val="center"/>
          </w:tcPr>
          <w:p>
            <w:pPr>
              <w:jc w:val="center"/>
              <w:rPr>
                <w:rFonts w:hint="eastAsia" w:ascii="宋体" w:hAnsi="宋体" w:eastAsia="宋体" w:cs="宋体"/>
                <w:sz w:val="21"/>
                <w:szCs w:val="21"/>
                <w:highlight w:val="none"/>
                <w:vertAlign w:val="baseline"/>
              </w:rPr>
            </w:pPr>
          </w:p>
        </w:tc>
        <w:tc>
          <w:tcPr>
            <w:tcW w:w="989" w:type="dxa"/>
            <w:gridSpan w:val="2"/>
            <w:noWrap w:val="0"/>
            <w:vAlign w:val="center"/>
          </w:tcPr>
          <w:p>
            <w:pPr>
              <w:jc w:val="center"/>
              <w:rPr>
                <w:rFonts w:hint="eastAsia" w:ascii="宋体" w:hAnsi="宋体" w:eastAsia="宋体" w:cs="宋体"/>
                <w:sz w:val="21"/>
                <w:szCs w:val="21"/>
                <w:highlight w:val="none"/>
                <w:vertAlign w:val="baseline"/>
              </w:rPr>
            </w:pPr>
          </w:p>
        </w:tc>
        <w:tc>
          <w:tcPr>
            <w:tcW w:w="1168" w:type="dxa"/>
            <w:noWrap w:val="0"/>
            <w:vAlign w:val="center"/>
          </w:tcPr>
          <w:p>
            <w:pPr>
              <w:jc w:val="center"/>
              <w:rPr>
                <w:rFonts w:hint="eastAsia" w:ascii="宋体" w:hAnsi="宋体" w:eastAsia="宋体" w:cs="宋体"/>
                <w:sz w:val="21"/>
                <w:szCs w:val="21"/>
                <w:highlight w:val="none"/>
                <w:vertAlign w:val="baseline"/>
              </w:rPr>
            </w:pPr>
          </w:p>
        </w:tc>
        <w:tc>
          <w:tcPr>
            <w:tcW w:w="915" w:type="dxa"/>
            <w:noWrap w:val="0"/>
            <w:vAlign w:val="center"/>
          </w:tcPr>
          <w:p>
            <w:pPr>
              <w:jc w:val="center"/>
              <w:rPr>
                <w:rFonts w:hint="eastAsia" w:ascii="宋体" w:hAnsi="宋体" w:eastAsia="宋体" w:cs="宋体"/>
                <w:sz w:val="21"/>
                <w:szCs w:val="21"/>
                <w:highlight w:val="none"/>
                <w:vertAlign w:val="baseline"/>
              </w:rPr>
            </w:pPr>
          </w:p>
        </w:tc>
        <w:tc>
          <w:tcPr>
            <w:tcW w:w="1383" w:type="dxa"/>
            <w:noWrap w:val="0"/>
            <w:vAlign w:val="center"/>
          </w:tcPr>
          <w:p>
            <w:pPr>
              <w:jc w:val="center"/>
              <w:rPr>
                <w:rFonts w:hint="eastAsia" w:ascii="宋体" w:hAnsi="宋体" w:eastAsia="宋体" w:cs="宋体"/>
                <w:sz w:val="21"/>
                <w:szCs w:val="21"/>
                <w:highlight w:val="none"/>
                <w:vertAlign w:val="baseline"/>
              </w:rPr>
            </w:pPr>
          </w:p>
        </w:tc>
        <w:tc>
          <w:tcPr>
            <w:tcW w:w="1172" w:type="dxa"/>
            <w:noWrap w:val="0"/>
            <w:vAlign w:val="center"/>
          </w:tcPr>
          <w:p>
            <w:pPr>
              <w:jc w:val="center"/>
              <w:rPr>
                <w:rFonts w:hint="eastAsia" w:ascii="宋体" w:hAnsi="宋体" w:eastAsia="宋体" w:cs="宋体"/>
                <w:sz w:val="21"/>
                <w:szCs w:val="21"/>
                <w:highlight w:val="none"/>
                <w:vertAlign w:val="baseline"/>
              </w:rPr>
            </w:pPr>
          </w:p>
        </w:tc>
        <w:tc>
          <w:tcPr>
            <w:tcW w:w="676" w:type="dxa"/>
            <w:noWrap w:val="0"/>
            <w:vAlign w:val="center"/>
          </w:tcPr>
          <w:p>
            <w:pPr>
              <w:jc w:val="cente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74" w:type="dxa"/>
            <w:noWrap w:val="0"/>
            <w:vAlign w:val="center"/>
          </w:tcPr>
          <w:p>
            <w:pPr>
              <w:jc w:val="center"/>
              <w:rPr>
                <w:rFonts w:hint="eastAsia" w:ascii="宋体" w:hAnsi="宋体" w:eastAsia="宋体" w:cs="宋体"/>
                <w:sz w:val="21"/>
                <w:szCs w:val="21"/>
                <w:highlight w:val="none"/>
                <w:vertAlign w:val="baseline"/>
              </w:rPr>
            </w:pPr>
          </w:p>
        </w:tc>
        <w:tc>
          <w:tcPr>
            <w:tcW w:w="885" w:type="dxa"/>
            <w:noWrap w:val="0"/>
            <w:vAlign w:val="center"/>
          </w:tcPr>
          <w:p>
            <w:pPr>
              <w:jc w:val="center"/>
              <w:rPr>
                <w:rFonts w:hint="eastAsia" w:ascii="宋体" w:hAnsi="宋体" w:eastAsia="宋体" w:cs="宋体"/>
                <w:sz w:val="21"/>
                <w:szCs w:val="21"/>
                <w:highlight w:val="none"/>
                <w:vertAlign w:val="baseline"/>
              </w:rPr>
            </w:pPr>
          </w:p>
        </w:tc>
        <w:tc>
          <w:tcPr>
            <w:tcW w:w="696" w:type="dxa"/>
            <w:noWrap w:val="0"/>
            <w:vAlign w:val="center"/>
          </w:tcPr>
          <w:p>
            <w:pPr>
              <w:jc w:val="center"/>
              <w:rPr>
                <w:rFonts w:hint="eastAsia" w:ascii="宋体" w:hAnsi="宋体" w:eastAsia="宋体" w:cs="宋体"/>
                <w:sz w:val="21"/>
                <w:szCs w:val="21"/>
                <w:highlight w:val="none"/>
                <w:vertAlign w:val="baseline"/>
              </w:rPr>
            </w:pPr>
          </w:p>
        </w:tc>
        <w:tc>
          <w:tcPr>
            <w:tcW w:w="857" w:type="dxa"/>
            <w:noWrap w:val="0"/>
            <w:vAlign w:val="center"/>
          </w:tcPr>
          <w:p>
            <w:pPr>
              <w:jc w:val="center"/>
              <w:rPr>
                <w:rFonts w:hint="eastAsia" w:ascii="宋体" w:hAnsi="宋体" w:eastAsia="宋体" w:cs="宋体"/>
                <w:sz w:val="21"/>
                <w:szCs w:val="21"/>
                <w:highlight w:val="none"/>
                <w:vertAlign w:val="baseline"/>
              </w:rPr>
            </w:pPr>
          </w:p>
        </w:tc>
        <w:tc>
          <w:tcPr>
            <w:tcW w:w="989" w:type="dxa"/>
            <w:gridSpan w:val="2"/>
            <w:noWrap w:val="0"/>
            <w:vAlign w:val="center"/>
          </w:tcPr>
          <w:p>
            <w:pPr>
              <w:jc w:val="center"/>
              <w:rPr>
                <w:rFonts w:hint="eastAsia" w:ascii="宋体" w:hAnsi="宋体" w:eastAsia="宋体" w:cs="宋体"/>
                <w:sz w:val="21"/>
                <w:szCs w:val="21"/>
                <w:highlight w:val="none"/>
                <w:vertAlign w:val="baseline"/>
              </w:rPr>
            </w:pPr>
          </w:p>
        </w:tc>
        <w:tc>
          <w:tcPr>
            <w:tcW w:w="1168" w:type="dxa"/>
            <w:noWrap w:val="0"/>
            <w:vAlign w:val="center"/>
          </w:tcPr>
          <w:p>
            <w:pPr>
              <w:jc w:val="center"/>
              <w:rPr>
                <w:rFonts w:hint="eastAsia" w:ascii="宋体" w:hAnsi="宋体" w:eastAsia="宋体" w:cs="宋体"/>
                <w:sz w:val="21"/>
                <w:szCs w:val="21"/>
                <w:highlight w:val="none"/>
                <w:vertAlign w:val="baseline"/>
              </w:rPr>
            </w:pPr>
          </w:p>
        </w:tc>
        <w:tc>
          <w:tcPr>
            <w:tcW w:w="915" w:type="dxa"/>
            <w:noWrap w:val="0"/>
            <w:vAlign w:val="center"/>
          </w:tcPr>
          <w:p>
            <w:pPr>
              <w:jc w:val="center"/>
              <w:rPr>
                <w:rFonts w:hint="eastAsia" w:ascii="宋体" w:hAnsi="宋体" w:eastAsia="宋体" w:cs="宋体"/>
                <w:sz w:val="21"/>
                <w:szCs w:val="21"/>
                <w:highlight w:val="none"/>
                <w:vertAlign w:val="baseline"/>
              </w:rPr>
            </w:pPr>
          </w:p>
        </w:tc>
        <w:tc>
          <w:tcPr>
            <w:tcW w:w="1383" w:type="dxa"/>
            <w:noWrap w:val="0"/>
            <w:vAlign w:val="center"/>
          </w:tcPr>
          <w:p>
            <w:pPr>
              <w:jc w:val="center"/>
              <w:rPr>
                <w:rFonts w:hint="eastAsia" w:ascii="宋体" w:hAnsi="宋体" w:eastAsia="宋体" w:cs="宋体"/>
                <w:sz w:val="21"/>
                <w:szCs w:val="21"/>
                <w:highlight w:val="none"/>
                <w:vertAlign w:val="baseline"/>
              </w:rPr>
            </w:pPr>
          </w:p>
        </w:tc>
        <w:tc>
          <w:tcPr>
            <w:tcW w:w="1172" w:type="dxa"/>
            <w:noWrap w:val="0"/>
            <w:vAlign w:val="center"/>
          </w:tcPr>
          <w:p>
            <w:pPr>
              <w:jc w:val="center"/>
              <w:rPr>
                <w:rFonts w:hint="eastAsia" w:ascii="宋体" w:hAnsi="宋体" w:eastAsia="宋体" w:cs="宋体"/>
                <w:sz w:val="21"/>
                <w:szCs w:val="21"/>
                <w:highlight w:val="none"/>
                <w:vertAlign w:val="baseline"/>
              </w:rPr>
            </w:pPr>
          </w:p>
        </w:tc>
        <w:tc>
          <w:tcPr>
            <w:tcW w:w="676" w:type="dxa"/>
            <w:noWrap w:val="0"/>
            <w:vAlign w:val="center"/>
          </w:tcPr>
          <w:p>
            <w:pPr>
              <w:jc w:val="cente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74" w:type="dxa"/>
            <w:noWrap w:val="0"/>
            <w:vAlign w:val="center"/>
          </w:tcPr>
          <w:p>
            <w:pPr>
              <w:jc w:val="center"/>
              <w:rPr>
                <w:rFonts w:hint="eastAsia" w:ascii="宋体" w:hAnsi="宋体" w:eastAsia="宋体" w:cs="宋体"/>
                <w:sz w:val="21"/>
                <w:szCs w:val="21"/>
                <w:highlight w:val="none"/>
                <w:vertAlign w:val="baseline"/>
              </w:rPr>
            </w:pPr>
          </w:p>
        </w:tc>
        <w:tc>
          <w:tcPr>
            <w:tcW w:w="885" w:type="dxa"/>
            <w:noWrap w:val="0"/>
            <w:vAlign w:val="center"/>
          </w:tcPr>
          <w:p>
            <w:pPr>
              <w:jc w:val="center"/>
              <w:rPr>
                <w:rFonts w:hint="eastAsia" w:ascii="宋体" w:hAnsi="宋体" w:eastAsia="宋体" w:cs="宋体"/>
                <w:sz w:val="21"/>
                <w:szCs w:val="21"/>
                <w:highlight w:val="none"/>
                <w:vertAlign w:val="baseline"/>
              </w:rPr>
            </w:pPr>
          </w:p>
        </w:tc>
        <w:tc>
          <w:tcPr>
            <w:tcW w:w="696" w:type="dxa"/>
            <w:noWrap w:val="0"/>
            <w:vAlign w:val="center"/>
          </w:tcPr>
          <w:p>
            <w:pPr>
              <w:jc w:val="center"/>
              <w:rPr>
                <w:rFonts w:hint="eastAsia" w:ascii="宋体" w:hAnsi="宋体" w:eastAsia="宋体" w:cs="宋体"/>
                <w:sz w:val="21"/>
                <w:szCs w:val="21"/>
                <w:highlight w:val="none"/>
                <w:vertAlign w:val="baseline"/>
              </w:rPr>
            </w:pPr>
          </w:p>
        </w:tc>
        <w:tc>
          <w:tcPr>
            <w:tcW w:w="857" w:type="dxa"/>
            <w:noWrap w:val="0"/>
            <w:vAlign w:val="center"/>
          </w:tcPr>
          <w:p>
            <w:pPr>
              <w:jc w:val="center"/>
              <w:rPr>
                <w:rFonts w:hint="eastAsia" w:ascii="宋体" w:hAnsi="宋体" w:eastAsia="宋体" w:cs="宋体"/>
                <w:sz w:val="21"/>
                <w:szCs w:val="21"/>
                <w:highlight w:val="none"/>
                <w:vertAlign w:val="baseline"/>
              </w:rPr>
            </w:pPr>
          </w:p>
        </w:tc>
        <w:tc>
          <w:tcPr>
            <w:tcW w:w="989" w:type="dxa"/>
            <w:gridSpan w:val="2"/>
            <w:noWrap w:val="0"/>
            <w:vAlign w:val="center"/>
          </w:tcPr>
          <w:p>
            <w:pPr>
              <w:jc w:val="center"/>
              <w:rPr>
                <w:rFonts w:hint="eastAsia" w:ascii="宋体" w:hAnsi="宋体" w:eastAsia="宋体" w:cs="宋体"/>
                <w:sz w:val="21"/>
                <w:szCs w:val="21"/>
                <w:highlight w:val="none"/>
                <w:vertAlign w:val="baseline"/>
              </w:rPr>
            </w:pPr>
          </w:p>
        </w:tc>
        <w:tc>
          <w:tcPr>
            <w:tcW w:w="1168" w:type="dxa"/>
            <w:noWrap w:val="0"/>
            <w:vAlign w:val="center"/>
          </w:tcPr>
          <w:p>
            <w:pPr>
              <w:jc w:val="center"/>
              <w:rPr>
                <w:rFonts w:hint="eastAsia" w:ascii="宋体" w:hAnsi="宋体" w:eastAsia="宋体" w:cs="宋体"/>
                <w:sz w:val="21"/>
                <w:szCs w:val="21"/>
                <w:highlight w:val="none"/>
                <w:vertAlign w:val="baseline"/>
              </w:rPr>
            </w:pPr>
          </w:p>
        </w:tc>
        <w:tc>
          <w:tcPr>
            <w:tcW w:w="915" w:type="dxa"/>
            <w:noWrap w:val="0"/>
            <w:vAlign w:val="center"/>
          </w:tcPr>
          <w:p>
            <w:pPr>
              <w:jc w:val="center"/>
              <w:rPr>
                <w:rFonts w:hint="eastAsia" w:ascii="宋体" w:hAnsi="宋体" w:eastAsia="宋体" w:cs="宋体"/>
                <w:sz w:val="21"/>
                <w:szCs w:val="21"/>
                <w:highlight w:val="none"/>
                <w:vertAlign w:val="baseline"/>
              </w:rPr>
            </w:pPr>
          </w:p>
        </w:tc>
        <w:tc>
          <w:tcPr>
            <w:tcW w:w="1383" w:type="dxa"/>
            <w:noWrap w:val="0"/>
            <w:vAlign w:val="center"/>
          </w:tcPr>
          <w:p>
            <w:pPr>
              <w:jc w:val="center"/>
              <w:rPr>
                <w:rFonts w:hint="eastAsia" w:ascii="宋体" w:hAnsi="宋体" w:eastAsia="宋体" w:cs="宋体"/>
                <w:sz w:val="21"/>
                <w:szCs w:val="21"/>
                <w:highlight w:val="none"/>
                <w:vertAlign w:val="baseline"/>
              </w:rPr>
            </w:pPr>
          </w:p>
        </w:tc>
        <w:tc>
          <w:tcPr>
            <w:tcW w:w="1172" w:type="dxa"/>
            <w:noWrap w:val="0"/>
            <w:vAlign w:val="center"/>
          </w:tcPr>
          <w:p>
            <w:pPr>
              <w:jc w:val="center"/>
              <w:rPr>
                <w:rFonts w:hint="eastAsia" w:ascii="宋体" w:hAnsi="宋体" w:eastAsia="宋体" w:cs="宋体"/>
                <w:sz w:val="21"/>
                <w:szCs w:val="21"/>
                <w:highlight w:val="none"/>
                <w:vertAlign w:val="baseline"/>
              </w:rPr>
            </w:pPr>
          </w:p>
        </w:tc>
        <w:tc>
          <w:tcPr>
            <w:tcW w:w="676" w:type="dxa"/>
            <w:noWrap w:val="0"/>
            <w:vAlign w:val="center"/>
          </w:tcPr>
          <w:p>
            <w:pPr>
              <w:jc w:val="cente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74" w:type="dxa"/>
            <w:noWrap w:val="0"/>
            <w:vAlign w:val="center"/>
          </w:tcPr>
          <w:p>
            <w:pPr>
              <w:jc w:val="center"/>
              <w:rPr>
                <w:rFonts w:hint="eastAsia" w:ascii="宋体" w:hAnsi="宋体" w:eastAsia="宋体" w:cs="宋体"/>
                <w:sz w:val="21"/>
                <w:szCs w:val="21"/>
                <w:highlight w:val="none"/>
                <w:vertAlign w:val="baseline"/>
              </w:rPr>
            </w:pPr>
          </w:p>
        </w:tc>
        <w:tc>
          <w:tcPr>
            <w:tcW w:w="885" w:type="dxa"/>
            <w:noWrap w:val="0"/>
            <w:vAlign w:val="center"/>
          </w:tcPr>
          <w:p>
            <w:pPr>
              <w:jc w:val="center"/>
              <w:rPr>
                <w:rFonts w:hint="eastAsia" w:ascii="宋体" w:hAnsi="宋体" w:eastAsia="宋体" w:cs="宋体"/>
                <w:sz w:val="21"/>
                <w:szCs w:val="21"/>
                <w:highlight w:val="none"/>
                <w:vertAlign w:val="baseline"/>
              </w:rPr>
            </w:pPr>
          </w:p>
        </w:tc>
        <w:tc>
          <w:tcPr>
            <w:tcW w:w="696" w:type="dxa"/>
            <w:noWrap w:val="0"/>
            <w:vAlign w:val="center"/>
          </w:tcPr>
          <w:p>
            <w:pPr>
              <w:jc w:val="center"/>
              <w:rPr>
                <w:rFonts w:hint="eastAsia" w:ascii="宋体" w:hAnsi="宋体" w:eastAsia="宋体" w:cs="宋体"/>
                <w:sz w:val="21"/>
                <w:szCs w:val="21"/>
                <w:highlight w:val="none"/>
                <w:vertAlign w:val="baseline"/>
              </w:rPr>
            </w:pPr>
          </w:p>
        </w:tc>
        <w:tc>
          <w:tcPr>
            <w:tcW w:w="857" w:type="dxa"/>
            <w:noWrap w:val="0"/>
            <w:vAlign w:val="center"/>
          </w:tcPr>
          <w:p>
            <w:pPr>
              <w:jc w:val="center"/>
              <w:rPr>
                <w:rFonts w:hint="eastAsia" w:ascii="宋体" w:hAnsi="宋体" w:eastAsia="宋体" w:cs="宋体"/>
                <w:sz w:val="21"/>
                <w:szCs w:val="21"/>
                <w:highlight w:val="none"/>
                <w:vertAlign w:val="baseline"/>
              </w:rPr>
            </w:pPr>
          </w:p>
        </w:tc>
        <w:tc>
          <w:tcPr>
            <w:tcW w:w="989" w:type="dxa"/>
            <w:gridSpan w:val="2"/>
            <w:noWrap w:val="0"/>
            <w:vAlign w:val="center"/>
          </w:tcPr>
          <w:p>
            <w:pPr>
              <w:jc w:val="center"/>
              <w:rPr>
                <w:rFonts w:hint="eastAsia" w:ascii="宋体" w:hAnsi="宋体" w:eastAsia="宋体" w:cs="宋体"/>
                <w:sz w:val="21"/>
                <w:szCs w:val="21"/>
                <w:highlight w:val="none"/>
                <w:vertAlign w:val="baseline"/>
              </w:rPr>
            </w:pPr>
          </w:p>
        </w:tc>
        <w:tc>
          <w:tcPr>
            <w:tcW w:w="1168" w:type="dxa"/>
            <w:noWrap w:val="0"/>
            <w:vAlign w:val="center"/>
          </w:tcPr>
          <w:p>
            <w:pPr>
              <w:jc w:val="center"/>
              <w:rPr>
                <w:rFonts w:hint="eastAsia" w:ascii="宋体" w:hAnsi="宋体" w:eastAsia="宋体" w:cs="宋体"/>
                <w:sz w:val="21"/>
                <w:szCs w:val="21"/>
                <w:highlight w:val="none"/>
                <w:vertAlign w:val="baseline"/>
              </w:rPr>
            </w:pPr>
          </w:p>
        </w:tc>
        <w:tc>
          <w:tcPr>
            <w:tcW w:w="915" w:type="dxa"/>
            <w:noWrap w:val="0"/>
            <w:vAlign w:val="center"/>
          </w:tcPr>
          <w:p>
            <w:pPr>
              <w:jc w:val="center"/>
              <w:rPr>
                <w:rFonts w:hint="eastAsia" w:ascii="宋体" w:hAnsi="宋体" w:eastAsia="宋体" w:cs="宋体"/>
                <w:sz w:val="21"/>
                <w:szCs w:val="21"/>
                <w:highlight w:val="none"/>
                <w:vertAlign w:val="baseline"/>
              </w:rPr>
            </w:pPr>
          </w:p>
        </w:tc>
        <w:tc>
          <w:tcPr>
            <w:tcW w:w="1383" w:type="dxa"/>
            <w:noWrap w:val="0"/>
            <w:vAlign w:val="center"/>
          </w:tcPr>
          <w:p>
            <w:pPr>
              <w:jc w:val="center"/>
              <w:rPr>
                <w:rFonts w:hint="eastAsia" w:ascii="宋体" w:hAnsi="宋体" w:eastAsia="宋体" w:cs="宋体"/>
                <w:sz w:val="21"/>
                <w:szCs w:val="21"/>
                <w:highlight w:val="none"/>
                <w:vertAlign w:val="baseline"/>
              </w:rPr>
            </w:pPr>
          </w:p>
        </w:tc>
        <w:tc>
          <w:tcPr>
            <w:tcW w:w="1172" w:type="dxa"/>
            <w:noWrap w:val="0"/>
            <w:vAlign w:val="center"/>
          </w:tcPr>
          <w:p>
            <w:pPr>
              <w:jc w:val="center"/>
              <w:rPr>
                <w:rFonts w:hint="eastAsia" w:ascii="宋体" w:hAnsi="宋体" w:eastAsia="宋体" w:cs="宋体"/>
                <w:sz w:val="21"/>
                <w:szCs w:val="21"/>
                <w:highlight w:val="none"/>
                <w:vertAlign w:val="baseline"/>
              </w:rPr>
            </w:pPr>
          </w:p>
        </w:tc>
        <w:tc>
          <w:tcPr>
            <w:tcW w:w="676" w:type="dxa"/>
            <w:noWrap w:val="0"/>
            <w:vAlign w:val="center"/>
          </w:tcPr>
          <w:p>
            <w:pPr>
              <w:jc w:val="center"/>
              <w:rPr>
                <w:rFonts w:hint="eastAsia" w:ascii="宋体" w:hAnsi="宋体" w:eastAsia="宋体" w:cs="宋体"/>
                <w:sz w:val="21"/>
                <w:szCs w:val="21"/>
                <w:highlight w:val="none"/>
                <w:vertAlign w:val="baseline"/>
              </w:rPr>
            </w:pPr>
          </w:p>
        </w:tc>
      </w:tr>
    </w:tbl>
    <w:p>
      <w:pPr>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Cs w:val="21"/>
          <w:highlight w:val="none"/>
          <w:lang w:eastAsia="zh-CN"/>
        </w:rPr>
      </w:pPr>
      <w:r>
        <w:rPr>
          <w:rFonts w:hint="eastAsia" w:ascii="宋体" w:hAnsi="宋体" w:eastAsia="宋体" w:cs="宋体"/>
          <w:b w:val="0"/>
          <w:bCs/>
          <w:color w:val="000000"/>
          <w:sz w:val="21"/>
          <w:szCs w:val="21"/>
          <w:highlight w:val="none"/>
          <w:lang w:bidi="ar"/>
        </w:rPr>
        <w:t>注：</w:t>
      </w:r>
      <w:r>
        <w:rPr>
          <w:rFonts w:hint="eastAsia" w:ascii="宋体" w:hAnsi="宋体" w:eastAsia="宋体" w:cs="宋体"/>
          <w:b w:val="0"/>
          <w:bCs/>
          <w:color w:val="000000"/>
          <w:sz w:val="21"/>
          <w:szCs w:val="21"/>
          <w:highlight w:val="none"/>
          <w:lang w:val="en-US" w:eastAsia="zh-CN" w:bidi="ar"/>
        </w:rPr>
        <w:t>1、</w:t>
      </w:r>
      <w:r>
        <w:rPr>
          <w:rFonts w:hint="eastAsia" w:ascii="宋体" w:hAnsi="宋体" w:eastAsia="宋体" w:cs="宋体"/>
          <w:szCs w:val="21"/>
          <w:highlight w:val="none"/>
          <w:lang w:eastAsia="zh-CN"/>
        </w:rPr>
        <w:t>项目组成人员须包括但不限于项目负责人、项目组成员等。</w:t>
      </w:r>
    </w:p>
    <w:p>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val="en-US" w:eastAsia="zh-CN" w:bidi="ar"/>
        </w:rPr>
        <w:t>2</w:t>
      </w:r>
      <w:r>
        <w:rPr>
          <w:rFonts w:hint="eastAsia" w:ascii="宋体" w:hAnsi="宋体" w:eastAsia="宋体" w:cs="宋体"/>
          <w:b w:val="0"/>
          <w:bCs/>
          <w:color w:val="000000"/>
          <w:sz w:val="21"/>
          <w:szCs w:val="21"/>
          <w:highlight w:val="none"/>
          <w:lang w:bidi="ar"/>
        </w:rPr>
        <w:t>、可适当调整该表格式，但不得减少信息内容。</w:t>
      </w:r>
    </w:p>
    <w:p>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val="en-US" w:eastAsia="zh-CN" w:bidi="ar"/>
        </w:rPr>
        <w:t>3</w:t>
      </w:r>
      <w:r>
        <w:rPr>
          <w:rFonts w:hint="eastAsia" w:ascii="宋体" w:hAnsi="宋体" w:eastAsia="宋体" w:cs="宋体"/>
          <w:b w:val="0"/>
          <w:bCs/>
          <w:color w:val="000000"/>
          <w:sz w:val="21"/>
          <w:szCs w:val="21"/>
          <w:highlight w:val="none"/>
          <w:lang w:bidi="ar"/>
        </w:rPr>
        <w:t>、表后</w:t>
      </w:r>
      <w:r>
        <w:rPr>
          <w:rFonts w:hint="eastAsia" w:ascii="宋体" w:hAnsi="宋体" w:eastAsia="宋体" w:cs="宋体"/>
          <w:b w:val="0"/>
          <w:bCs/>
          <w:color w:val="000000"/>
          <w:sz w:val="21"/>
          <w:szCs w:val="21"/>
          <w:highlight w:val="none"/>
          <w:lang w:val="en-US" w:eastAsia="zh-CN" w:bidi="ar"/>
        </w:rPr>
        <w:t>可</w:t>
      </w:r>
      <w:r>
        <w:rPr>
          <w:rFonts w:hint="eastAsia" w:ascii="宋体" w:hAnsi="宋体" w:eastAsia="宋体" w:cs="宋体"/>
          <w:b w:val="0"/>
          <w:bCs/>
          <w:color w:val="000000"/>
          <w:sz w:val="21"/>
          <w:szCs w:val="21"/>
          <w:highlight w:val="none"/>
          <w:lang w:bidi="ar"/>
        </w:rPr>
        <w:t>附项目人员身份证、毕业证、职称证、资格证</w:t>
      </w:r>
      <w:r>
        <w:rPr>
          <w:rFonts w:hint="eastAsia" w:ascii="宋体" w:hAnsi="宋体" w:eastAsia="宋体" w:cs="宋体"/>
          <w:b w:val="0"/>
          <w:bCs/>
          <w:color w:val="000000"/>
          <w:sz w:val="21"/>
          <w:szCs w:val="21"/>
          <w:highlight w:val="none"/>
          <w:lang w:val="en-US" w:eastAsia="zh-CN" w:bidi="ar"/>
        </w:rPr>
        <w:t>等资料扫描</w:t>
      </w:r>
      <w:r>
        <w:rPr>
          <w:rFonts w:hint="eastAsia" w:ascii="宋体" w:hAnsi="宋体" w:eastAsia="宋体" w:cs="宋体"/>
          <w:b w:val="0"/>
          <w:bCs/>
          <w:color w:val="000000"/>
          <w:sz w:val="21"/>
          <w:szCs w:val="21"/>
          <w:highlight w:val="none"/>
          <w:lang w:bidi="ar"/>
        </w:rPr>
        <w:t>件加盖公司公章。</w:t>
      </w:r>
    </w:p>
    <w:p>
      <w:pPr>
        <w:spacing w:line="600" w:lineRule="auto"/>
        <w:ind w:firstLine="4560" w:firstLineChars="1900"/>
        <w:rPr>
          <w:rFonts w:hint="eastAsia" w:ascii="宋体" w:hAnsi="宋体" w:eastAsia="宋体" w:cs="宋体"/>
          <w:sz w:val="24"/>
          <w:szCs w:val="24"/>
          <w:highlight w:val="none"/>
        </w:rPr>
      </w:pPr>
    </w:p>
    <w:p>
      <w:pPr>
        <w:spacing w:before="240" w:beforeLines="100" w:after="240" w:afterLines="100" w:line="480" w:lineRule="exact"/>
        <w:ind w:firstLine="2940" w:firstLineChars="1400"/>
        <w:rPr>
          <w:rFonts w:hint="eastAsia" w:ascii="宋体" w:hAnsi="宋体" w:eastAsia="宋体" w:cs="宋体"/>
          <w:szCs w:val="21"/>
          <w:highlight w:val="none"/>
        </w:rPr>
      </w:pP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（单位全称、盖章）</w:t>
      </w:r>
    </w:p>
    <w:p>
      <w:pPr>
        <w:spacing w:before="240" w:beforeLines="100" w:after="240" w:afterLines="100" w:line="48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法定代表人或授权代表：</w:t>
      </w:r>
      <w:r>
        <w:rPr>
          <w:rFonts w:hint="eastAsia" w:ascii="宋体" w:hAnsi="宋体" w:eastAsia="宋体" w:cs="宋体"/>
          <w:szCs w:val="21"/>
          <w:highlight w:val="none"/>
          <w:u w:val="single"/>
        </w:rPr>
        <w:t xml:space="preserve">   （盖章或签字）           </w:t>
      </w:r>
    </w:p>
    <w:p>
      <w:pPr>
        <w:rPr>
          <w:rFonts w:hint="eastAsia" w:ascii="宋体" w:hAnsi="宋体" w:eastAsia="宋体" w:cs="宋体"/>
          <w:szCs w:val="21"/>
          <w:highlight w:val="none"/>
        </w:rPr>
      </w:pPr>
      <w:r>
        <w:rPr>
          <w:rFonts w:hint="eastAsia" w:ascii="宋体" w:hAnsi="宋体" w:eastAsia="宋体" w:cs="宋体"/>
          <w:szCs w:val="21"/>
          <w:highlight w:val="none"/>
        </w:rPr>
        <w:t xml:space="preserve">                            投标日期：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adjustRightInd w:val="0"/>
        <w:snapToGrid w:val="0"/>
        <w:spacing w:line="360" w:lineRule="auto"/>
        <w:rPr>
          <w:rFonts w:hint="eastAsia" w:ascii="宋体" w:hAnsi="宋体" w:eastAsia="宋体" w:cs="宋体"/>
          <w:highlight w:val="none"/>
        </w:rPr>
      </w:pPr>
    </w:p>
    <w:p>
      <w:pPr>
        <w:adjustRightInd w:val="0"/>
        <w:snapToGrid w:val="0"/>
        <w:spacing w:line="360" w:lineRule="auto"/>
        <w:rPr>
          <w:rFonts w:hint="eastAsia" w:ascii="宋体" w:hAnsi="宋体" w:eastAsia="宋体" w:cs="宋体"/>
          <w:highlight w:val="none"/>
        </w:rPr>
      </w:pPr>
    </w:p>
    <w:p>
      <w:pPr>
        <w:adjustRightInd w:val="0"/>
        <w:snapToGrid w:val="0"/>
        <w:spacing w:line="360" w:lineRule="auto"/>
        <w:rPr>
          <w:rFonts w:hint="eastAsia" w:ascii="宋体" w:hAnsi="宋体" w:eastAsia="宋体" w:cs="宋体"/>
          <w:highlight w:val="none"/>
        </w:rPr>
      </w:pPr>
    </w:p>
    <w:p>
      <w:pPr>
        <w:pStyle w:val="22"/>
        <w:rPr>
          <w:rFonts w:hint="eastAsia" w:ascii="宋体" w:hAnsi="宋体" w:eastAsia="宋体" w:cs="宋体"/>
          <w:highlight w:val="none"/>
        </w:rPr>
      </w:pPr>
    </w:p>
    <w:p>
      <w:pPr>
        <w:pStyle w:val="22"/>
        <w:rPr>
          <w:rFonts w:hint="eastAsia" w:ascii="宋体" w:hAnsi="宋体" w:eastAsia="宋体" w:cs="宋体"/>
          <w:highlight w:val="none"/>
        </w:rPr>
      </w:pPr>
    </w:p>
    <w:p>
      <w:pPr>
        <w:pStyle w:val="22"/>
        <w:rPr>
          <w:rFonts w:hint="eastAsia" w:ascii="宋体" w:hAnsi="宋体" w:eastAsia="宋体" w:cs="宋体"/>
          <w:highlight w:val="none"/>
        </w:rPr>
      </w:pPr>
    </w:p>
    <w:p>
      <w:pPr>
        <w:jc w:val="both"/>
        <w:rPr>
          <w:rFonts w:hint="eastAsia" w:ascii="宋体" w:hAnsi="宋体" w:eastAsia="宋体" w:cs="宋体"/>
          <w:highlight w:val="none"/>
          <w:lang w:val="en-US" w:eastAsia="zh-CN"/>
        </w:rPr>
      </w:pPr>
      <w:r>
        <w:rPr>
          <w:rFonts w:hint="eastAsia" w:ascii="宋体" w:hAnsi="宋体" w:eastAsia="宋体" w:cs="宋体"/>
          <w:highlight w:val="none"/>
        </w:rPr>
        <w:t>附件</w:t>
      </w:r>
      <w:r>
        <w:rPr>
          <w:rFonts w:hint="eastAsia" w:ascii="宋体" w:hAnsi="宋体" w:eastAsia="宋体" w:cs="宋体"/>
          <w:highlight w:val="none"/>
          <w:lang w:val="en-US" w:eastAsia="zh-CN"/>
        </w:rPr>
        <w:t>3：机械设备配备</w:t>
      </w:r>
    </w:p>
    <w:p>
      <w:pPr>
        <w:spacing w:line="480" w:lineRule="auto"/>
        <w:jc w:val="center"/>
        <w:rPr>
          <w:rFonts w:hint="eastAsia" w:ascii="宋体" w:hAnsi="宋体" w:eastAsia="宋体" w:cs="宋体"/>
          <w:highlight w:val="none"/>
        </w:rPr>
      </w:pPr>
      <w:r>
        <w:rPr>
          <w:rFonts w:hint="eastAsia" w:ascii="宋体" w:hAnsi="宋体" w:eastAsia="宋体" w:cs="宋体"/>
          <w:highlight w:val="none"/>
        </w:rPr>
        <w:t>拟投入本项目的主要机械设备配置情况表</w:t>
      </w:r>
    </w:p>
    <w:tbl>
      <w:tblPr>
        <w:tblStyle w:val="37"/>
        <w:tblW w:w="10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35"/>
        <w:gridCol w:w="2127"/>
        <w:gridCol w:w="1687"/>
        <w:gridCol w:w="185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08" w:type="dxa"/>
            <w:noWrap w:val="0"/>
            <w:vAlign w:val="center"/>
          </w:tcPr>
          <w:p>
            <w:pPr>
              <w:spacing w:line="480" w:lineRule="auto"/>
              <w:jc w:val="center"/>
              <w:rPr>
                <w:rFonts w:hint="eastAsia" w:ascii="宋体" w:hAnsi="宋体" w:eastAsia="宋体" w:cs="宋体"/>
                <w:highlight w:val="none"/>
              </w:rPr>
            </w:pPr>
            <w:r>
              <w:rPr>
                <w:rFonts w:hint="eastAsia" w:ascii="宋体" w:hAnsi="宋体" w:eastAsia="宋体" w:cs="宋体"/>
                <w:highlight w:val="none"/>
              </w:rPr>
              <w:t>序号</w:t>
            </w:r>
          </w:p>
        </w:tc>
        <w:tc>
          <w:tcPr>
            <w:tcW w:w="1935" w:type="dxa"/>
            <w:noWrap w:val="0"/>
            <w:vAlign w:val="center"/>
          </w:tcPr>
          <w:p>
            <w:pPr>
              <w:spacing w:line="480" w:lineRule="auto"/>
              <w:jc w:val="center"/>
              <w:rPr>
                <w:rFonts w:hint="eastAsia" w:ascii="宋体" w:hAnsi="宋体" w:eastAsia="宋体" w:cs="宋体"/>
                <w:highlight w:val="none"/>
              </w:rPr>
            </w:pPr>
            <w:r>
              <w:rPr>
                <w:rFonts w:hint="eastAsia" w:ascii="宋体" w:hAnsi="宋体" w:eastAsia="宋体" w:cs="宋体"/>
                <w:highlight w:val="none"/>
              </w:rPr>
              <w:t>机械设备名称</w:t>
            </w:r>
          </w:p>
        </w:tc>
        <w:tc>
          <w:tcPr>
            <w:tcW w:w="2127" w:type="dxa"/>
            <w:noWrap w:val="0"/>
            <w:vAlign w:val="center"/>
          </w:tcPr>
          <w:p>
            <w:pPr>
              <w:spacing w:line="480" w:lineRule="auto"/>
              <w:jc w:val="center"/>
              <w:rPr>
                <w:rFonts w:hint="eastAsia" w:ascii="宋体" w:hAnsi="宋体" w:eastAsia="宋体" w:cs="宋体"/>
                <w:highlight w:val="none"/>
              </w:rPr>
            </w:pPr>
            <w:r>
              <w:rPr>
                <w:rFonts w:hint="eastAsia" w:ascii="宋体" w:hAnsi="宋体" w:eastAsia="宋体" w:cs="宋体"/>
                <w:highlight w:val="none"/>
              </w:rPr>
              <w:t>规格型号</w:t>
            </w:r>
          </w:p>
        </w:tc>
        <w:tc>
          <w:tcPr>
            <w:tcW w:w="1687" w:type="dxa"/>
            <w:noWrap w:val="0"/>
            <w:vAlign w:val="center"/>
          </w:tcPr>
          <w:p>
            <w:pPr>
              <w:spacing w:line="480" w:lineRule="auto"/>
              <w:jc w:val="center"/>
              <w:rPr>
                <w:rFonts w:hint="eastAsia" w:ascii="宋体" w:hAnsi="宋体" w:eastAsia="宋体" w:cs="宋体"/>
                <w:highlight w:val="none"/>
              </w:rPr>
            </w:pPr>
            <w:r>
              <w:rPr>
                <w:rFonts w:hint="eastAsia" w:ascii="宋体" w:hAnsi="宋体" w:eastAsia="宋体" w:cs="宋体"/>
                <w:highlight w:val="none"/>
              </w:rPr>
              <w:t>数 量</w:t>
            </w:r>
          </w:p>
        </w:tc>
        <w:tc>
          <w:tcPr>
            <w:tcW w:w="1856" w:type="dxa"/>
            <w:noWrap w:val="0"/>
            <w:vAlign w:val="center"/>
          </w:tcPr>
          <w:p>
            <w:pPr>
              <w:spacing w:line="48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自有/租赁</w:t>
            </w:r>
          </w:p>
        </w:tc>
        <w:tc>
          <w:tcPr>
            <w:tcW w:w="1417" w:type="dxa"/>
            <w:noWrap w:val="0"/>
            <w:vAlign w:val="center"/>
          </w:tcPr>
          <w:p>
            <w:pPr>
              <w:spacing w:line="48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08" w:type="dxa"/>
            <w:noWrap w:val="0"/>
            <w:vAlign w:val="center"/>
          </w:tcPr>
          <w:p>
            <w:pPr>
              <w:jc w:val="center"/>
              <w:rPr>
                <w:rFonts w:hint="eastAsia" w:ascii="宋体" w:hAnsi="宋体" w:eastAsia="宋体" w:cs="宋体"/>
                <w:highlight w:val="none"/>
              </w:rPr>
            </w:pPr>
          </w:p>
        </w:tc>
        <w:tc>
          <w:tcPr>
            <w:tcW w:w="1935" w:type="dxa"/>
            <w:noWrap w:val="0"/>
            <w:vAlign w:val="center"/>
          </w:tcPr>
          <w:p>
            <w:pPr>
              <w:rPr>
                <w:rFonts w:hint="eastAsia" w:ascii="宋体" w:hAnsi="宋体" w:eastAsia="宋体" w:cs="宋体"/>
                <w:highlight w:val="none"/>
              </w:rPr>
            </w:pPr>
          </w:p>
        </w:tc>
        <w:tc>
          <w:tcPr>
            <w:tcW w:w="2127" w:type="dxa"/>
            <w:noWrap w:val="0"/>
            <w:vAlign w:val="center"/>
          </w:tcPr>
          <w:p>
            <w:pPr>
              <w:jc w:val="center"/>
              <w:rPr>
                <w:rFonts w:hint="eastAsia" w:ascii="宋体" w:hAnsi="宋体" w:eastAsia="宋体" w:cs="宋体"/>
                <w:highlight w:val="none"/>
              </w:rPr>
            </w:pPr>
          </w:p>
        </w:tc>
        <w:tc>
          <w:tcPr>
            <w:tcW w:w="1687" w:type="dxa"/>
            <w:noWrap w:val="0"/>
            <w:vAlign w:val="center"/>
          </w:tcPr>
          <w:p>
            <w:pPr>
              <w:jc w:val="center"/>
              <w:rPr>
                <w:rFonts w:hint="eastAsia" w:ascii="宋体" w:hAnsi="宋体" w:eastAsia="宋体" w:cs="宋体"/>
                <w:highlight w:val="none"/>
              </w:rPr>
            </w:pPr>
          </w:p>
        </w:tc>
        <w:tc>
          <w:tcPr>
            <w:tcW w:w="1856" w:type="dxa"/>
            <w:noWrap w:val="0"/>
            <w:vAlign w:val="center"/>
          </w:tcPr>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tc>
        <w:tc>
          <w:tcPr>
            <w:tcW w:w="1417" w:type="dxa"/>
            <w:noWrap w:val="0"/>
            <w:vAlign w:val="center"/>
          </w:tcPr>
          <w:p>
            <w:pPr>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8" w:type="dxa"/>
            <w:noWrap w:val="0"/>
            <w:vAlign w:val="center"/>
          </w:tcPr>
          <w:p>
            <w:pPr>
              <w:jc w:val="center"/>
              <w:rPr>
                <w:rFonts w:hint="eastAsia" w:ascii="宋体" w:hAnsi="宋体" w:eastAsia="宋体" w:cs="宋体"/>
                <w:highlight w:val="none"/>
              </w:rPr>
            </w:pPr>
          </w:p>
        </w:tc>
        <w:tc>
          <w:tcPr>
            <w:tcW w:w="1935" w:type="dxa"/>
            <w:noWrap w:val="0"/>
            <w:vAlign w:val="center"/>
          </w:tcPr>
          <w:p>
            <w:pPr>
              <w:rPr>
                <w:rFonts w:hint="eastAsia" w:ascii="宋体" w:hAnsi="宋体" w:eastAsia="宋体" w:cs="宋体"/>
                <w:highlight w:val="none"/>
              </w:rPr>
            </w:pPr>
          </w:p>
        </w:tc>
        <w:tc>
          <w:tcPr>
            <w:tcW w:w="2127" w:type="dxa"/>
            <w:noWrap w:val="0"/>
            <w:vAlign w:val="center"/>
          </w:tcPr>
          <w:p>
            <w:pPr>
              <w:jc w:val="center"/>
              <w:rPr>
                <w:rFonts w:hint="eastAsia" w:ascii="宋体" w:hAnsi="宋体" w:eastAsia="宋体" w:cs="宋体"/>
                <w:highlight w:val="none"/>
              </w:rPr>
            </w:pPr>
          </w:p>
        </w:tc>
        <w:tc>
          <w:tcPr>
            <w:tcW w:w="1687" w:type="dxa"/>
            <w:noWrap w:val="0"/>
            <w:vAlign w:val="center"/>
          </w:tcPr>
          <w:p>
            <w:pPr>
              <w:jc w:val="center"/>
              <w:rPr>
                <w:rFonts w:hint="eastAsia" w:ascii="宋体" w:hAnsi="宋体" w:eastAsia="宋体" w:cs="宋体"/>
                <w:highlight w:val="none"/>
              </w:rPr>
            </w:pPr>
          </w:p>
        </w:tc>
        <w:tc>
          <w:tcPr>
            <w:tcW w:w="1856" w:type="dxa"/>
            <w:noWrap w:val="0"/>
            <w:vAlign w:val="center"/>
          </w:tcPr>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tc>
        <w:tc>
          <w:tcPr>
            <w:tcW w:w="1417" w:type="dxa"/>
            <w:noWrap w:val="0"/>
            <w:vAlign w:val="center"/>
          </w:tcPr>
          <w:p>
            <w:pPr>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08" w:type="dxa"/>
            <w:noWrap w:val="0"/>
            <w:vAlign w:val="center"/>
          </w:tcPr>
          <w:p>
            <w:pPr>
              <w:jc w:val="center"/>
              <w:rPr>
                <w:rFonts w:hint="eastAsia" w:ascii="宋体" w:hAnsi="宋体" w:eastAsia="宋体" w:cs="宋体"/>
                <w:highlight w:val="none"/>
              </w:rPr>
            </w:pPr>
          </w:p>
        </w:tc>
        <w:tc>
          <w:tcPr>
            <w:tcW w:w="1935" w:type="dxa"/>
            <w:noWrap w:val="0"/>
            <w:vAlign w:val="center"/>
          </w:tcPr>
          <w:p>
            <w:pPr>
              <w:rPr>
                <w:rFonts w:hint="eastAsia" w:ascii="宋体" w:hAnsi="宋体" w:eastAsia="宋体" w:cs="宋体"/>
                <w:highlight w:val="none"/>
              </w:rPr>
            </w:pPr>
          </w:p>
        </w:tc>
        <w:tc>
          <w:tcPr>
            <w:tcW w:w="2127" w:type="dxa"/>
            <w:noWrap w:val="0"/>
            <w:vAlign w:val="center"/>
          </w:tcPr>
          <w:p>
            <w:pPr>
              <w:jc w:val="center"/>
              <w:rPr>
                <w:rFonts w:hint="eastAsia" w:ascii="宋体" w:hAnsi="宋体" w:eastAsia="宋体" w:cs="宋体"/>
                <w:highlight w:val="none"/>
              </w:rPr>
            </w:pPr>
          </w:p>
        </w:tc>
        <w:tc>
          <w:tcPr>
            <w:tcW w:w="1687" w:type="dxa"/>
            <w:noWrap w:val="0"/>
            <w:vAlign w:val="center"/>
          </w:tcPr>
          <w:p>
            <w:pPr>
              <w:jc w:val="center"/>
              <w:rPr>
                <w:rFonts w:hint="eastAsia" w:ascii="宋体" w:hAnsi="宋体" w:eastAsia="宋体" w:cs="宋体"/>
                <w:highlight w:val="none"/>
              </w:rPr>
            </w:pPr>
          </w:p>
        </w:tc>
        <w:tc>
          <w:tcPr>
            <w:tcW w:w="1856" w:type="dxa"/>
            <w:noWrap w:val="0"/>
            <w:vAlign w:val="center"/>
          </w:tcPr>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tc>
        <w:tc>
          <w:tcPr>
            <w:tcW w:w="1417" w:type="dxa"/>
            <w:noWrap w:val="0"/>
            <w:vAlign w:val="center"/>
          </w:tcPr>
          <w:p>
            <w:pPr>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8" w:type="dxa"/>
            <w:noWrap w:val="0"/>
            <w:vAlign w:val="center"/>
          </w:tcPr>
          <w:p>
            <w:pPr>
              <w:jc w:val="center"/>
              <w:rPr>
                <w:rFonts w:hint="eastAsia" w:ascii="宋体" w:hAnsi="宋体" w:eastAsia="宋体" w:cs="宋体"/>
                <w:highlight w:val="none"/>
              </w:rPr>
            </w:pPr>
          </w:p>
        </w:tc>
        <w:tc>
          <w:tcPr>
            <w:tcW w:w="1935" w:type="dxa"/>
            <w:noWrap w:val="0"/>
            <w:vAlign w:val="center"/>
          </w:tcPr>
          <w:p>
            <w:pPr>
              <w:rPr>
                <w:rFonts w:hint="eastAsia" w:ascii="宋体" w:hAnsi="宋体" w:eastAsia="宋体" w:cs="宋体"/>
                <w:highlight w:val="none"/>
              </w:rPr>
            </w:pPr>
          </w:p>
        </w:tc>
        <w:tc>
          <w:tcPr>
            <w:tcW w:w="2127" w:type="dxa"/>
            <w:noWrap w:val="0"/>
            <w:vAlign w:val="center"/>
          </w:tcPr>
          <w:p>
            <w:pPr>
              <w:jc w:val="center"/>
              <w:rPr>
                <w:rFonts w:hint="eastAsia" w:ascii="宋体" w:hAnsi="宋体" w:eastAsia="宋体" w:cs="宋体"/>
                <w:highlight w:val="none"/>
              </w:rPr>
            </w:pPr>
          </w:p>
        </w:tc>
        <w:tc>
          <w:tcPr>
            <w:tcW w:w="1687" w:type="dxa"/>
            <w:noWrap w:val="0"/>
            <w:vAlign w:val="center"/>
          </w:tcPr>
          <w:p>
            <w:pPr>
              <w:jc w:val="center"/>
              <w:rPr>
                <w:rFonts w:hint="eastAsia" w:ascii="宋体" w:hAnsi="宋体" w:eastAsia="宋体" w:cs="宋体"/>
                <w:highlight w:val="none"/>
              </w:rPr>
            </w:pPr>
          </w:p>
        </w:tc>
        <w:tc>
          <w:tcPr>
            <w:tcW w:w="1856" w:type="dxa"/>
            <w:noWrap w:val="0"/>
            <w:vAlign w:val="center"/>
          </w:tcPr>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tc>
        <w:tc>
          <w:tcPr>
            <w:tcW w:w="1417" w:type="dxa"/>
            <w:noWrap w:val="0"/>
            <w:vAlign w:val="center"/>
          </w:tcPr>
          <w:p>
            <w:pPr>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8" w:type="dxa"/>
            <w:noWrap w:val="0"/>
            <w:vAlign w:val="center"/>
          </w:tcPr>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tc>
        <w:tc>
          <w:tcPr>
            <w:tcW w:w="1935" w:type="dxa"/>
            <w:noWrap w:val="0"/>
            <w:vAlign w:val="center"/>
          </w:tcPr>
          <w:p>
            <w:pPr>
              <w:rPr>
                <w:rFonts w:hint="eastAsia" w:ascii="宋体" w:hAnsi="宋体" w:eastAsia="宋体" w:cs="宋体"/>
                <w:highlight w:val="none"/>
              </w:rPr>
            </w:pPr>
          </w:p>
        </w:tc>
        <w:tc>
          <w:tcPr>
            <w:tcW w:w="2127" w:type="dxa"/>
            <w:noWrap w:val="0"/>
            <w:vAlign w:val="center"/>
          </w:tcPr>
          <w:p>
            <w:pPr>
              <w:jc w:val="center"/>
              <w:rPr>
                <w:rFonts w:hint="eastAsia" w:ascii="宋体" w:hAnsi="宋体" w:eastAsia="宋体" w:cs="宋体"/>
                <w:highlight w:val="none"/>
              </w:rPr>
            </w:pPr>
          </w:p>
        </w:tc>
        <w:tc>
          <w:tcPr>
            <w:tcW w:w="1687" w:type="dxa"/>
            <w:noWrap w:val="0"/>
            <w:vAlign w:val="center"/>
          </w:tcPr>
          <w:p>
            <w:pPr>
              <w:jc w:val="center"/>
              <w:rPr>
                <w:rFonts w:hint="eastAsia" w:ascii="宋体" w:hAnsi="宋体" w:eastAsia="宋体" w:cs="宋体"/>
                <w:highlight w:val="none"/>
              </w:rPr>
            </w:pPr>
          </w:p>
        </w:tc>
        <w:tc>
          <w:tcPr>
            <w:tcW w:w="1856" w:type="dxa"/>
            <w:noWrap w:val="0"/>
            <w:vAlign w:val="center"/>
          </w:tcPr>
          <w:p>
            <w:pPr>
              <w:jc w:val="center"/>
              <w:rPr>
                <w:rFonts w:hint="eastAsia" w:ascii="宋体" w:hAnsi="宋体" w:eastAsia="宋体" w:cs="宋体"/>
                <w:highlight w:val="none"/>
              </w:rPr>
            </w:pPr>
          </w:p>
        </w:tc>
        <w:tc>
          <w:tcPr>
            <w:tcW w:w="1417" w:type="dxa"/>
            <w:noWrap w:val="0"/>
            <w:vAlign w:val="center"/>
          </w:tcPr>
          <w:p>
            <w:pPr>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08" w:type="dxa"/>
            <w:noWrap w:val="0"/>
            <w:vAlign w:val="center"/>
          </w:tcPr>
          <w:p>
            <w:pPr>
              <w:jc w:val="center"/>
              <w:rPr>
                <w:rFonts w:hint="eastAsia" w:ascii="宋体" w:hAnsi="宋体" w:eastAsia="宋体" w:cs="宋体"/>
                <w:highlight w:val="none"/>
              </w:rPr>
            </w:pPr>
          </w:p>
          <w:p>
            <w:pPr>
              <w:jc w:val="center"/>
              <w:rPr>
                <w:rFonts w:hint="eastAsia" w:ascii="宋体" w:hAnsi="宋体" w:eastAsia="宋体" w:cs="宋体"/>
                <w:highlight w:val="none"/>
              </w:rPr>
            </w:pPr>
          </w:p>
        </w:tc>
        <w:tc>
          <w:tcPr>
            <w:tcW w:w="1935" w:type="dxa"/>
            <w:noWrap w:val="0"/>
            <w:vAlign w:val="center"/>
          </w:tcPr>
          <w:p>
            <w:pPr>
              <w:rPr>
                <w:rFonts w:hint="eastAsia" w:ascii="宋体" w:hAnsi="宋体" w:eastAsia="宋体" w:cs="宋体"/>
                <w:highlight w:val="none"/>
              </w:rPr>
            </w:pPr>
          </w:p>
        </w:tc>
        <w:tc>
          <w:tcPr>
            <w:tcW w:w="2127" w:type="dxa"/>
            <w:noWrap w:val="0"/>
            <w:vAlign w:val="center"/>
          </w:tcPr>
          <w:p>
            <w:pPr>
              <w:jc w:val="center"/>
              <w:rPr>
                <w:rFonts w:hint="eastAsia" w:ascii="宋体" w:hAnsi="宋体" w:eastAsia="宋体" w:cs="宋体"/>
                <w:highlight w:val="none"/>
              </w:rPr>
            </w:pPr>
          </w:p>
        </w:tc>
        <w:tc>
          <w:tcPr>
            <w:tcW w:w="1687" w:type="dxa"/>
            <w:noWrap w:val="0"/>
            <w:vAlign w:val="center"/>
          </w:tcPr>
          <w:p>
            <w:pPr>
              <w:jc w:val="center"/>
              <w:rPr>
                <w:rFonts w:hint="eastAsia" w:ascii="宋体" w:hAnsi="宋体" w:eastAsia="宋体" w:cs="宋体"/>
                <w:highlight w:val="none"/>
              </w:rPr>
            </w:pPr>
          </w:p>
        </w:tc>
        <w:tc>
          <w:tcPr>
            <w:tcW w:w="1856" w:type="dxa"/>
            <w:noWrap w:val="0"/>
            <w:vAlign w:val="center"/>
          </w:tcPr>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tc>
        <w:tc>
          <w:tcPr>
            <w:tcW w:w="1417" w:type="dxa"/>
            <w:noWrap w:val="0"/>
            <w:vAlign w:val="center"/>
          </w:tcPr>
          <w:p>
            <w:pPr>
              <w:jc w:val="center"/>
              <w:rPr>
                <w:rFonts w:hint="eastAsia" w:ascii="宋体" w:hAnsi="宋体" w:eastAsia="宋体" w:cs="宋体"/>
                <w:highlight w:val="none"/>
              </w:rPr>
            </w:pPr>
          </w:p>
        </w:tc>
      </w:tr>
    </w:tbl>
    <w:p>
      <w:pPr>
        <w:ind w:left="899" w:leftChars="428" w:right="-29"/>
        <w:rPr>
          <w:rFonts w:hint="eastAsia" w:ascii="宋体" w:hAnsi="宋体" w:eastAsia="宋体" w:cs="宋体"/>
          <w:sz w:val="24"/>
          <w:szCs w:val="21"/>
          <w:highlight w:val="none"/>
        </w:rPr>
      </w:pPr>
    </w:p>
    <w:p>
      <w:pPr>
        <w:ind w:left="899" w:leftChars="428" w:right="-29" w:firstLine="2640" w:firstLineChars="1100"/>
        <w:rPr>
          <w:rFonts w:hint="eastAsia" w:ascii="宋体" w:hAnsi="宋体" w:eastAsia="宋体" w:cs="宋体"/>
          <w:sz w:val="24"/>
          <w:szCs w:val="21"/>
          <w:highlight w:val="none"/>
        </w:rPr>
      </w:pPr>
    </w:p>
    <w:p>
      <w:pPr>
        <w:spacing w:before="240" w:beforeLines="100" w:after="240" w:afterLines="100" w:line="480" w:lineRule="exact"/>
        <w:ind w:firstLine="2940" w:firstLineChars="1400"/>
        <w:rPr>
          <w:rFonts w:hint="eastAsia" w:ascii="宋体" w:hAnsi="宋体" w:eastAsia="宋体" w:cs="宋体"/>
          <w:szCs w:val="21"/>
          <w:highlight w:val="none"/>
        </w:rPr>
      </w:pP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（单位全称、盖章）</w:t>
      </w:r>
    </w:p>
    <w:p>
      <w:pPr>
        <w:spacing w:before="240" w:beforeLines="100" w:after="240" w:afterLines="100" w:line="48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法定代表人或授权代表：</w:t>
      </w:r>
      <w:r>
        <w:rPr>
          <w:rFonts w:hint="eastAsia" w:ascii="宋体" w:hAnsi="宋体" w:eastAsia="宋体" w:cs="宋体"/>
          <w:szCs w:val="21"/>
          <w:highlight w:val="none"/>
          <w:u w:val="single"/>
        </w:rPr>
        <w:t xml:space="preserve">   （盖章或签字）           </w:t>
      </w:r>
    </w:p>
    <w:p>
      <w:pPr>
        <w:rPr>
          <w:rFonts w:hint="eastAsia" w:ascii="宋体" w:hAnsi="宋体" w:eastAsia="宋体" w:cs="宋体"/>
          <w:szCs w:val="21"/>
          <w:highlight w:val="none"/>
        </w:rPr>
      </w:pPr>
      <w:r>
        <w:rPr>
          <w:rFonts w:hint="eastAsia" w:ascii="宋体" w:hAnsi="宋体" w:eastAsia="宋体" w:cs="宋体"/>
          <w:szCs w:val="21"/>
          <w:highlight w:val="none"/>
        </w:rPr>
        <w:t xml:space="preserve">                            投标日期：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spacing w:after="240" w:afterLines="100" w:line="560" w:lineRule="exact"/>
        <w:jc w:val="center"/>
        <w:rPr>
          <w:rFonts w:hint="eastAsia" w:ascii="宋体" w:hAnsi="宋体" w:eastAsia="宋体" w:cs="宋体"/>
          <w:b/>
          <w:bCs/>
          <w:sz w:val="36"/>
          <w:szCs w:val="36"/>
          <w:highlight w:val="none"/>
          <w:lang w:val="en-GB" w:eastAsia="zh-CN"/>
        </w:rPr>
      </w:pPr>
    </w:p>
    <w:p>
      <w:pPr>
        <w:pStyle w:val="56"/>
        <w:rPr>
          <w:rFonts w:hint="eastAsia" w:ascii="宋体" w:hAnsi="宋体" w:eastAsia="宋体" w:cs="宋体"/>
          <w:highlight w:val="none"/>
        </w:rPr>
      </w:pPr>
    </w:p>
    <w:p>
      <w:pPr>
        <w:spacing w:after="240" w:afterLines="100" w:line="560" w:lineRule="exact"/>
        <w:jc w:val="center"/>
        <w:rPr>
          <w:rFonts w:hint="eastAsia" w:ascii="宋体" w:hAnsi="宋体" w:eastAsia="宋体" w:cs="宋体"/>
          <w:b/>
          <w:bCs/>
          <w:sz w:val="36"/>
          <w:szCs w:val="36"/>
          <w:highlight w:val="none"/>
          <w:lang w:val="en-US" w:eastAsia="zh-CN"/>
        </w:rPr>
      </w:pPr>
    </w:p>
    <w:p>
      <w:pPr>
        <w:spacing w:after="240" w:afterLines="100" w:line="560" w:lineRule="exact"/>
        <w:jc w:val="both"/>
        <w:rPr>
          <w:rFonts w:hint="eastAsia" w:ascii="宋体" w:hAnsi="宋体" w:eastAsia="宋体" w:cs="宋体"/>
          <w:b/>
          <w:bCs/>
          <w:sz w:val="36"/>
          <w:szCs w:val="36"/>
          <w:highlight w:val="none"/>
          <w:lang w:val="en-US" w:eastAsia="zh-CN"/>
        </w:rPr>
      </w:pPr>
    </w:p>
    <w:p>
      <w:pPr>
        <w:numPr>
          <w:ilvl w:val="0"/>
          <w:numId w:val="0"/>
        </w:numPr>
        <w:spacing w:line="44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八、企业业绩</w:t>
      </w:r>
    </w:p>
    <w:p>
      <w:pPr>
        <w:pStyle w:val="22"/>
        <w:rPr>
          <w:rFonts w:hint="eastAsia" w:ascii="宋体" w:hAnsi="宋体" w:eastAsia="宋体" w:cs="宋体"/>
          <w:highlight w:val="none"/>
          <w:lang w:val="en-US" w:eastAsia="zh-CN"/>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579"/>
        <w:gridCol w:w="2396"/>
        <w:gridCol w:w="1344"/>
        <w:gridCol w:w="1845"/>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78" w:type="dxa"/>
            <w:noWrap w:val="0"/>
            <w:vAlign w:val="center"/>
          </w:tcPr>
          <w:p>
            <w:pPr>
              <w:jc w:val="center"/>
              <w:rPr>
                <w:rFonts w:hint="eastAsia" w:ascii="宋体" w:hAnsi="宋体" w:eastAsia="宋体" w:cs="宋体"/>
                <w:b w:val="0"/>
                <w:bCs/>
                <w:szCs w:val="24"/>
                <w:highlight w:val="none"/>
              </w:rPr>
            </w:pPr>
            <w:r>
              <w:rPr>
                <w:rFonts w:hint="eastAsia" w:ascii="宋体" w:hAnsi="宋体" w:eastAsia="宋体" w:cs="宋体"/>
                <w:b w:val="0"/>
                <w:bCs/>
                <w:szCs w:val="24"/>
                <w:highlight w:val="none"/>
                <w:lang w:bidi="ar"/>
              </w:rPr>
              <w:t>序号</w:t>
            </w:r>
          </w:p>
        </w:tc>
        <w:tc>
          <w:tcPr>
            <w:tcW w:w="1579" w:type="dxa"/>
            <w:noWrap w:val="0"/>
            <w:vAlign w:val="center"/>
          </w:tcPr>
          <w:p>
            <w:pPr>
              <w:jc w:val="center"/>
              <w:rPr>
                <w:rFonts w:hint="eastAsia" w:ascii="宋体" w:hAnsi="宋体" w:eastAsia="宋体" w:cs="宋体"/>
                <w:b w:val="0"/>
                <w:bCs/>
                <w:szCs w:val="24"/>
                <w:highlight w:val="none"/>
              </w:rPr>
            </w:pPr>
            <w:r>
              <w:rPr>
                <w:rFonts w:hint="eastAsia" w:ascii="宋体" w:hAnsi="宋体" w:eastAsia="宋体" w:cs="宋体"/>
                <w:b w:val="0"/>
                <w:bCs/>
                <w:szCs w:val="24"/>
                <w:highlight w:val="none"/>
                <w:lang w:bidi="ar"/>
              </w:rPr>
              <w:t>项目名称</w:t>
            </w:r>
          </w:p>
        </w:tc>
        <w:tc>
          <w:tcPr>
            <w:tcW w:w="2396" w:type="dxa"/>
            <w:noWrap w:val="0"/>
            <w:vAlign w:val="center"/>
          </w:tcPr>
          <w:p>
            <w:pPr>
              <w:jc w:val="center"/>
              <w:rPr>
                <w:rFonts w:hint="eastAsia" w:ascii="宋体" w:hAnsi="宋体" w:eastAsia="宋体" w:cs="宋体"/>
                <w:b w:val="0"/>
                <w:bCs/>
                <w:szCs w:val="24"/>
                <w:highlight w:val="none"/>
              </w:rPr>
            </w:pPr>
            <w:r>
              <w:rPr>
                <w:rFonts w:hint="eastAsia" w:ascii="宋体" w:hAnsi="宋体" w:eastAsia="宋体" w:cs="宋体"/>
                <w:b w:val="0"/>
                <w:bCs/>
                <w:szCs w:val="24"/>
                <w:highlight w:val="none"/>
                <w:lang w:bidi="ar"/>
              </w:rPr>
              <w:t>合同签订时间</w:t>
            </w:r>
          </w:p>
        </w:tc>
        <w:tc>
          <w:tcPr>
            <w:tcW w:w="1344" w:type="dxa"/>
            <w:noWrap w:val="0"/>
            <w:vAlign w:val="center"/>
          </w:tcPr>
          <w:p>
            <w:pPr>
              <w:jc w:val="center"/>
              <w:rPr>
                <w:rFonts w:hint="eastAsia" w:ascii="宋体" w:hAnsi="宋体" w:eastAsia="宋体" w:cs="宋体"/>
                <w:b w:val="0"/>
                <w:bCs/>
                <w:szCs w:val="24"/>
                <w:highlight w:val="none"/>
              </w:rPr>
            </w:pPr>
            <w:r>
              <w:rPr>
                <w:rFonts w:hint="eastAsia" w:ascii="宋体" w:hAnsi="宋体" w:eastAsia="宋体" w:cs="宋体"/>
                <w:b w:val="0"/>
                <w:bCs/>
                <w:szCs w:val="24"/>
                <w:highlight w:val="none"/>
                <w:lang w:bidi="ar"/>
              </w:rPr>
              <w:t>用户名称</w:t>
            </w:r>
          </w:p>
        </w:tc>
        <w:tc>
          <w:tcPr>
            <w:tcW w:w="1845" w:type="dxa"/>
            <w:noWrap w:val="0"/>
            <w:vAlign w:val="center"/>
          </w:tcPr>
          <w:p>
            <w:pPr>
              <w:jc w:val="center"/>
              <w:rPr>
                <w:rFonts w:hint="eastAsia" w:ascii="宋体" w:hAnsi="宋体" w:eastAsia="宋体" w:cs="宋体"/>
                <w:b w:val="0"/>
                <w:bCs/>
                <w:szCs w:val="24"/>
                <w:highlight w:val="none"/>
              </w:rPr>
            </w:pPr>
            <w:r>
              <w:rPr>
                <w:rFonts w:hint="eastAsia" w:ascii="宋体" w:hAnsi="宋体" w:eastAsia="宋体" w:cs="宋体"/>
                <w:b w:val="0"/>
                <w:bCs/>
                <w:szCs w:val="24"/>
                <w:highlight w:val="none"/>
                <w:lang w:bidi="ar"/>
              </w:rPr>
              <w:t>联系人及电话</w:t>
            </w:r>
          </w:p>
        </w:tc>
        <w:tc>
          <w:tcPr>
            <w:tcW w:w="1107" w:type="dxa"/>
            <w:noWrap w:val="0"/>
            <w:vAlign w:val="center"/>
          </w:tcPr>
          <w:p>
            <w:pPr>
              <w:jc w:val="center"/>
              <w:rPr>
                <w:rFonts w:hint="eastAsia" w:ascii="宋体" w:hAnsi="宋体" w:eastAsia="宋体" w:cs="宋体"/>
                <w:b w:val="0"/>
                <w:bCs/>
                <w:szCs w:val="24"/>
                <w:highlight w:val="none"/>
              </w:rPr>
            </w:pPr>
            <w:r>
              <w:rPr>
                <w:rFonts w:hint="eastAsia" w:ascii="宋体" w:hAnsi="宋体" w:eastAsia="宋体" w:cs="宋体"/>
                <w:b w:val="0"/>
                <w:bCs/>
                <w:szCs w:val="24"/>
                <w:highlight w:val="none"/>
                <w:lang w:bidi="ar"/>
              </w:rPr>
              <w:t>合同</w:t>
            </w:r>
          </w:p>
          <w:p>
            <w:pPr>
              <w:jc w:val="center"/>
              <w:rPr>
                <w:rFonts w:hint="eastAsia" w:ascii="宋体" w:hAnsi="宋体" w:eastAsia="宋体" w:cs="宋体"/>
                <w:b w:val="0"/>
                <w:bCs/>
                <w:szCs w:val="24"/>
                <w:highlight w:val="none"/>
              </w:rPr>
            </w:pPr>
            <w:r>
              <w:rPr>
                <w:rFonts w:hint="eastAsia" w:ascii="宋体" w:hAnsi="宋体" w:eastAsia="宋体" w:cs="宋体"/>
                <w:b w:val="0"/>
                <w:bCs/>
                <w:szCs w:val="24"/>
                <w:highlight w:val="none"/>
                <w:lang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78" w:type="dxa"/>
            <w:noWrap w:val="0"/>
            <w:vAlign w:val="top"/>
          </w:tcPr>
          <w:p>
            <w:pPr>
              <w:rPr>
                <w:rFonts w:hint="eastAsia" w:ascii="宋体" w:hAnsi="宋体" w:eastAsia="宋体" w:cs="宋体"/>
                <w:szCs w:val="24"/>
                <w:highlight w:val="none"/>
              </w:rPr>
            </w:pPr>
          </w:p>
        </w:tc>
        <w:tc>
          <w:tcPr>
            <w:tcW w:w="1579" w:type="dxa"/>
            <w:noWrap w:val="0"/>
            <w:vAlign w:val="top"/>
          </w:tcPr>
          <w:p>
            <w:pPr>
              <w:rPr>
                <w:rFonts w:hint="eastAsia" w:ascii="宋体" w:hAnsi="宋体" w:eastAsia="宋体" w:cs="宋体"/>
                <w:szCs w:val="24"/>
                <w:highlight w:val="none"/>
              </w:rPr>
            </w:pPr>
          </w:p>
        </w:tc>
        <w:tc>
          <w:tcPr>
            <w:tcW w:w="2396" w:type="dxa"/>
            <w:noWrap w:val="0"/>
            <w:vAlign w:val="top"/>
          </w:tcPr>
          <w:p>
            <w:pPr>
              <w:rPr>
                <w:rFonts w:hint="eastAsia" w:ascii="宋体" w:hAnsi="宋体" w:eastAsia="宋体" w:cs="宋体"/>
                <w:szCs w:val="24"/>
                <w:highlight w:val="none"/>
              </w:rPr>
            </w:pPr>
          </w:p>
        </w:tc>
        <w:tc>
          <w:tcPr>
            <w:tcW w:w="1344" w:type="dxa"/>
            <w:noWrap w:val="0"/>
            <w:vAlign w:val="top"/>
          </w:tcPr>
          <w:p>
            <w:pPr>
              <w:rPr>
                <w:rFonts w:hint="eastAsia" w:ascii="宋体" w:hAnsi="宋体" w:eastAsia="宋体" w:cs="宋体"/>
                <w:szCs w:val="24"/>
                <w:highlight w:val="none"/>
              </w:rPr>
            </w:pPr>
          </w:p>
        </w:tc>
        <w:tc>
          <w:tcPr>
            <w:tcW w:w="1845" w:type="dxa"/>
            <w:noWrap w:val="0"/>
            <w:vAlign w:val="top"/>
          </w:tcPr>
          <w:p>
            <w:pPr>
              <w:rPr>
                <w:rFonts w:hint="eastAsia" w:ascii="宋体" w:hAnsi="宋体" w:eastAsia="宋体" w:cs="宋体"/>
                <w:szCs w:val="24"/>
                <w:highlight w:val="none"/>
              </w:rPr>
            </w:pPr>
          </w:p>
        </w:tc>
        <w:tc>
          <w:tcPr>
            <w:tcW w:w="1107" w:type="dxa"/>
            <w:noWrap w:val="0"/>
            <w:vAlign w:val="top"/>
          </w:tcPr>
          <w:p>
            <w:pPr>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78" w:type="dxa"/>
            <w:noWrap w:val="0"/>
            <w:vAlign w:val="top"/>
          </w:tcPr>
          <w:p>
            <w:pPr>
              <w:rPr>
                <w:rFonts w:hint="eastAsia" w:ascii="宋体" w:hAnsi="宋体" w:eastAsia="宋体" w:cs="宋体"/>
                <w:szCs w:val="24"/>
                <w:highlight w:val="none"/>
              </w:rPr>
            </w:pPr>
          </w:p>
        </w:tc>
        <w:tc>
          <w:tcPr>
            <w:tcW w:w="1579" w:type="dxa"/>
            <w:noWrap w:val="0"/>
            <w:vAlign w:val="top"/>
          </w:tcPr>
          <w:p>
            <w:pPr>
              <w:rPr>
                <w:rFonts w:hint="eastAsia" w:ascii="宋体" w:hAnsi="宋体" w:eastAsia="宋体" w:cs="宋体"/>
                <w:szCs w:val="24"/>
                <w:highlight w:val="none"/>
              </w:rPr>
            </w:pPr>
          </w:p>
        </w:tc>
        <w:tc>
          <w:tcPr>
            <w:tcW w:w="2396" w:type="dxa"/>
            <w:noWrap w:val="0"/>
            <w:vAlign w:val="top"/>
          </w:tcPr>
          <w:p>
            <w:pPr>
              <w:rPr>
                <w:rFonts w:hint="eastAsia" w:ascii="宋体" w:hAnsi="宋体" w:eastAsia="宋体" w:cs="宋体"/>
                <w:szCs w:val="24"/>
                <w:highlight w:val="none"/>
              </w:rPr>
            </w:pPr>
          </w:p>
        </w:tc>
        <w:tc>
          <w:tcPr>
            <w:tcW w:w="1344" w:type="dxa"/>
            <w:noWrap w:val="0"/>
            <w:vAlign w:val="top"/>
          </w:tcPr>
          <w:p>
            <w:pPr>
              <w:rPr>
                <w:rFonts w:hint="eastAsia" w:ascii="宋体" w:hAnsi="宋体" w:eastAsia="宋体" w:cs="宋体"/>
                <w:szCs w:val="24"/>
                <w:highlight w:val="none"/>
              </w:rPr>
            </w:pPr>
          </w:p>
        </w:tc>
        <w:tc>
          <w:tcPr>
            <w:tcW w:w="1845" w:type="dxa"/>
            <w:noWrap w:val="0"/>
            <w:vAlign w:val="top"/>
          </w:tcPr>
          <w:p>
            <w:pPr>
              <w:rPr>
                <w:rFonts w:hint="eastAsia" w:ascii="宋体" w:hAnsi="宋体" w:eastAsia="宋体" w:cs="宋体"/>
                <w:szCs w:val="24"/>
                <w:highlight w:val="none"/>
              </w:rPr>
            </w:pPr>
          </w:p>
        </w:tc>
        <w:tc>
          <w:tcPr>
            <w:tcW w:w="1107" w:type="dxa"/>
            <w:noWrap w:val="0"/>
            <w:vAlign w:val="top"/>
          </w:tcPr>
          <w:p>
            <w:pPr>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78" w:type="dxa"/>
            <w:noWrap w:val="0"/>
            <w:vAlign w:val="top"/>
          </w:tcPr>
          <w:p>
            <w:pPr>
              <w:rPr>
                <w:rFonts w:hint="eastAsia" w:ascii="宋体" w:hAnsi="宋体" w:eastAsia="宋体" w:cs="宋体"/>
                <w:szCs w:val="24"/>
                <w:highlight w:val="none"/>
              </w:rPr>
            </w:pPr>
          </w:p>
        </w:tc>
        <w:tc>
          <w:tcPr>
            <w:tcW w:w="1579" w:type="dxa"/>
            <w:noWrap w:val="0"/>
            <w:vAlign w:val="top"/>
          </w:tcPr>
          <w:p>
            <w:pPr>
              <w:rPr>
                <w:rFonts w:hint="eastAsia" w:ascii="宋体" w:hAnsi="宋体" w:eastAsia="宋体" w:cs="宋体"/>
                <w:szCs w:val="24"/>
                <w:highlight w:val="none"/>
              </w:rPr>
            </w:pPr>
          </w:p>
        </w:tc>
        <w:tc>
          <w:tcPr>
            <w:tcW w:w="2396" w:type="dxa"/>
            <w:noWrap w:val="0"/>
            <w:vAlign w:val="top"/>
          </w:tcPr>
          <w:p>
            <w:pPr>
              <w:rPr>
                <w:rFonts w:hint="eastAsia" w:ascii="宋体" w:hAnsi="宋体" w:eastAsia="宋体" w:cs="宋体"/>
                <w:szCs w:val="24"/>
                <w:highlight w:val="none"/>
              </w:rPr>
            </w:pPr>
          </w:p>
        </w:tc>
        <w:tc>
          <w:tcPr>
            <w:tcW w:w="1344" w:type="dxa"/>
            <w:noWrap w:val="0"/>
            <w:vAlign w:val="top"/>
          </w:tcPr>
          <w:p>
            <w:pPr>
              <w:rPr>
                <w:rFonts w:hint="eastAsia" w:ascii="宋体" w:hAnsi="宋体" w:eastAsia="宋体" w:cs="宋体"/>
                <w:szCs w:val="24"/>
                <w:highlight w:val="none"/>
              </w:rPr>
            </w:pPr>
          </w:p>
        </w:tc>
        <w:tc>
          <w:tcPr>
            <w:tcW w:w="1845" w:type="dxa"/>
            <w:noWrap w:val="0"/>
            <w:vAlign w:val="top"/>
          </w:tcPr>
          <w:p>
            <w:pPr>
              <w:rPr>
                <w:rFonts w:hint="eastAsia" w:ascii="宋体" w:hAnsi="宋体" w:eastAsia="宋体" w:cs="宋体"/>
                <w:szCs w:val="24"/>
                <w:highlight w:val="none"/>
              </w:rPr>
            </w:pPr>
          </w:p>
        </w:tc>
        <w:tc>
          <w:tcPr>
            <w:tcW w:w="1107" w:type="dxa"/>
            <w:noWrap w:val="0"/>
            <w:vAlign w:val="top"/>
          </w:tcPr>
          <w:p>
            <w:pPr>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78" w:type="dxa"/>
            <w:noWrap w:val="0"/>
            <w:vAlign w:val="top"/>
          </w:tcPr>
          <w:p>
            <w:pPr>
              <w:rPr>
                <w:rFonts w:hint="eastAsia" w:ascii="宋体" w:hAnsi="宋体" w:eastAsia="宋体" w:cs="宋体"/>
                <w:szCs w:val="24"/>
                <w:highlight w:val="none"/>
              </w:rPr>
            </w:pPr>
          </w:p>
        </w:tc>
        <w:tc>
          <w:tcPr>
            <w:tcW w:w="1579" w:type="dxa"/>
            <w:noWrap w:val="0"/>
            <w:vAlign w:val="top"/>
          </w:tcPr>
          <w:p>
            <w:pPr>
              <w:rPr>
                <w:rFonts w:hint="eastAsia" w:ascii="宋体" w:hAnsi="宋体" w:eastAsia="宋体" w:cs="宋体"/>
                <w:szCs w:val="24"/>
                <w:highlight w:val="none"/>
              </w:rPr>
            </w:pPr>
          </w:p>
        </w:tc>
        <w:tc>
          <w:tcPr>
            <w:tcW w:w="2396" w:type="dxa"/>
            <w:noWrap w:val="0"/>
            <w:vAlign w:val="top"/>
          </w:tcPr>
          <w:p>
            <w:pPr>
              <w:rPr>
                <w:rFonts w:hint="eastAsia" w:ascii="宋体" w:hAnsi="宋体" w:eastAsia="宋体" w:cs="宋体"/>
                <w:szCs w:val="24"/>
                <w:highlight w:val="none"/>
              </w:rPr>
            </w:pPr>
          </w:p>
        </w:tc>
        <w:tc>
          <w:tcPr>
            <w:tcW w:w="1344" w:type="dxa"/>
            <w:noWrap w:val="0"/>
            <w:vAlign w:val="top"/>
          </w:tcPr>
          <w:p>
            <w:pPr>
              <w:rPr>
                <w:rFonts w:hint="eastAsia" w:ascii="宋体" w:hAnsi="宋体" w:eastAsia="宋体" w:cs="宋体"/>
                <w:szCs w:val="24"/>
                <w:highlight w:val="none"/>
              </w:rPr>
            </w:pPr>
          </w:p>
        </w:tc>
        <w:tc>
          <w:tcPr>
            <w:tcW w:w="1845" w:type="dxa"/>
            <w:noWrap w:val="0"/>
            <w:vAlign w:val="top"/>
          </w:tcPr>
          <w:p>
            <w:pPr>
              <w:rPr>
                <w:rFonts w:hint="eastAsia" w:ascii="宋体" w:hAnsi="宋体" w:eastAsia="宋体" w:cs="宋体"/>
                <w:szCs w:val="24"/>
                <w:highlight w:val="none"/>
              </w:rPr>
            </w:pPr>
          </w:p>
        </w:tc>
        <w:tc>
          <w:tcPr>
            <w:tcW w:w="1107" w:type="dxa"/>
            <w:noWrap w:val="0"/>
            <w:vAlign w:val="top"/>
          </w:tcPr>
          <w:p>
            <w:pPr>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78" w:type="dxa"/>
            <w:noWrap w:val="0"/>
            <w:vAlign w:val="top"/>
          </w:tcPr>
          <w:p>
            <w:pPr>
              <w:rPr>
                <w:rFonts w:hint="eastAsia" w:ascii="宋体" w:hAnsi="宋体" w:eastAsia="宋体" w:cs="宋体"/>
                <w:szCs w:val="24"/>
                <w:highlight w:val="none"/>
              </w:rPr>
            </w:pPr>
          </w:p>
        </w:tc>
        <w:tc>
          <w:tcPr>
            <w:tcW w:w="1579" w:type="dxa"/>
            <w:noWrap w:val="0"/>
            <w:vAlign w:val="top"/>
          </w:tcPr>
          <w:p>
            <w:pPr>
              <w:rPr>
                <w:rFonts w:hint="eastAsia" w:ascii="宋体" w:hAnsi="宋体" w:eastAsia="宋体" w:cs="宋体"/>
                <w:szCs w:val="24"/>
                <w:highlight w:val="none"/>
              </w:rPr>
            </w:pPr>
          </w:p>
        </w:tc>
        <w:tc>
          <w:tcPr>
            <w:tcW w:w="2396" w:type="dxa"/>
            <w:noWrap w:val="0"/>
            <w:vAlign w:val="top"/>
          </w:tcPr>
          <w:p>
            <w:pPr>
              <w:rPr>
                <w:rFonts w:hint="eastAsia" w:ascii="宋体" w:hAnsi="宋体" w:eastAsia="宋体" w:cs="宋体"/>
                <w:szCs w:val="24"/>
                <w:highlight w:val="none"/>
              </w:rPr>
            </w:pPr>
          </w:p>
        </w:tc>
        <w:tc>
          <w:tcPr>
            <w:tcW w:w="1344" w:type="dxa"/>
            <w:noWrap w:val="0"/>
            <w:vAlign w:val="top"/>
          </w:tcPr>
          <w:p>
            <w:pPr>
              <w:rPr>
                <w:rFonts w:hint="eastAsia" w:ascii="宋体" w:hAnsi="宋体" w:eastAsia="宋体" w:cs="宋体"/>
                <w:szCs w:val="24"/>
                <w:highlight w:val="none"/>
              </w:rPr>
            </w:pPr>
          </w:p>
        </w:tc>
        <w:tc>
          <w:tcPr>
            <w:tcW w:w="1845" w:type="dxa"/>
            <w:noWrap w:val="0"/>
            <w:vAlign w:val="top"/>
          </w:tcPr>
          <w:p>
            <w:pPr>
              <w:rPr>
                <w:rFonts w:hint="eastAsia" w:ascii="宋体" w:hAnsi="宋体" w:eastAsia="宋体" w:cs="宋体"/>
                <w:szCs w:val="24"/>
                <w:highlight w:val="none"/>
              </w:rPr>
            </w:pPr>
          </w:p>
        </w:tc>
        <w:tc>
          <w:tcPr>
            <w:tcW w:w="1107" w:type="dxa"/>
            <w:noWrap w:val="0"/>
            <w:vAlign w:val="top"/>
          </w:tcPr>
          <w:p>
            <w:pPr>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78" w:type="dxa"/>
            <w:noWrap w:val="0"/>
            <w:vAlign w:val="top"/>
          </w:tcPr>
          <w:p>
            <w:pPr>
              <w:rPr>
                <w:rFonts w:hint="eastAsia" w:ascii="宋体" w:hAnsi="宋体" w:eastAsia="宋体" w:cs="宋体"/>
                <w:szCs w:val="24"/>
                <w:highlight w:val="none"/>
              </w:rPr>
            </w:pPr>
          </w:p>
        </w:tc>
        <w:tc>
          <w:tcPr>
            <w:tcW w:w="1579" w:type="dxa"/>
            <w:noWrap w:val="0"/>
            <w:vAlign w:val="top"/>
          </w:tcPr>
          <w:p>
            <w:pPr>
              <w:rPr>
                <w:rFonts w:hint="eastAsia" w:ascii="宋体" w:hAnsi="宋体" w:eastAsia="宋体" w:cs="宋体"/>
                <w:szCs w:val="24"/>
                <w:highlight w:val="none"/>
              </w:rPr>
            </w:pPr>
          </w:p>
        </w:tc>
        <w:tc>
          <w:tcPr>
            <w:tcW w:w="2396" w:type="dxa"/>
            <w:noWrap w:val="0"/>
            <w:vAlign w:val="top"/>
          </w:tcPr>
          <w:p>
            <w:pPr>
              <w:rPr>
                <w:rFonts w:hint="eastAsia" w:ascii="宋体" w:hAnsi="宋体" w:eastAsia="宋体" w:cs="宋体"/>
                <w:szCs w:val="24"/>
                <w:highlight w:val="none"/>
              </w:rPr>
            </w:pPr>
          </w:p>
        </w:tc>
        <w:tc>
          <w:tcPr>
            <w:tcW w:w="1344" w:type="dxa"/>
            <w:noWrap w:val="0"/>
            <w:vAlign w:val="top"/>
          </w:tcPr>
          <w:p>
            <w:pPr>
              <w:rPr>
                <w:rFonts w:hint="eastAsia" w:ascii="宋体" w:hAnsi="宋体" w:eastAsia="宋体" w:cs="宋体"/>
                <w:szCs w:val="24"/>
                <w:highlight w:val="none"/>
              </w:rPr>
            </w:pPr>
          </w:p>
        </w:tc>
        <w:tc>
          <w:tcPr>
            <w:tcW w:w="1845" w:type="dxa"/>
            <w:noWrap w:val="0"/>
            <w:vAlign w:val="top"/>
          </w:tcPr>
          <w:p>
            <w:pPr>
              <w:rPr>
                <w:rFonts w:hint="eastAsia" w:ascii="宋体" w:hAnsi="宋体" w:eastAsia="宋体" w:cs="宋体"/>
                <w:szCs w:val="24"/>
                <w:highlight w:val="none"/>
              </w:rPr>
            </w:pPr>
          </w:p>
        </w:tc>
        <w:tc>
          <w:tcPr>
            <w:tcW w:w="1107" w:type="dxa"/>
            <w:noWrap w:val="0"/>
            <w:vAlign w:val="top"/>
          </w:tcPr>
          <w:p>
            <w:pPr>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78" w:type="dxa"/>
            <w:noWrap w:val="0"/>
            <w:vAlign w:val="top"/>
          </w:tcPr>
          <w:p>
            <w:pPr>
              <w:rPr>
                <w:rFonts w:hint="eastAsia" w:ascii="宋体" w:hAnsi="宋体" w:eastAsia="宋体" w:cs="宋体"/>
                <w:szCs w:val="24"/>
                <w:highlight w:val="none"/>
              </w:rPr>
            </w:pPr>
          </w:p>
        </w:tc>
        <w:tc>
          <w:tcPr>
            <w:tcW w:w="1579" w:type="dxa"/>
            <w:noWrap w:val="0"/>
            <w:vAlign w:val="top"/>
          </w:tcPr>
          <w:p>
            <w:pPr>
              <w:rPr>
                <w:rFonts w:hint="eastAsia" w:ascii="宋体" w:hAnsi="宋体" w:eastAsia="宋体" w:cs="宋体"/>
                <w:szCs w:val="24"/>
                <w:highlight w:val="none"/>
              </w:rPr>
            </w:pPr>
          </w:p>
        </w:tc>
        <w:tc>
          <w:tcPr>
            <w:tcW w:w="2396" w:type="dxa"/>
            <w:noWrap w:val="0"/>
            <w:vAlign w:val="top"/>
          </w:tcPr>
          <w:p>
            <w:pPr>
              <w:rPr>
                <w:rFonts w:hint="eastAsia" w:ascii="宋体" w:hAnsi="宋体" w:eastAsia="宋体" w:cs="宋体"/>
                <w:szCs w:val="24"/>
                <w:highlight w:val="none"/>
              </w:rPr>
            </w:pPr>
          </w:p>
        </w:tc>
        <w:tc>
          <w:tcPr>
            <w:tcW w:w="1344" w:type="dxa"/>
            <w:noWrap w:val="0"/>
            <w:vAlign w:val="top"/>
          </w:tcPr>
          <w:p>
            <w:pPr>
              <w:rPr>
                <w:rFonts w:hint="eastAsia" w:ascii="宋体" w:hAnsi="宋体" w:eastAsia="宋体" w:cs="宋体"/>
                <w:szCs w:val="24"/>
                <w:highlight w:val="none"/>
              </w:rPr>
            </w:pPr>
          </w:p>
        </w:tc>
        <w:tc>
          <w:tcPr>
            <w:tcW w:w="1845" w:type="dxa"/>
            <w:noWrap w:val="0"/>
            <w:vAlign w:val="top"/>
          </w:tcPr>
          <w:p>
            <w:pPr>
              <w:rPr>
                <w:rFonts w:hint="eastAsia" w:ascii="宋体" w:hAnsi="宋体" w:eastAsia="宋体" w:cs="宋体"/>
                <w:szCs w:val="24"/>
                <w:highlight w:val="none"/>
              </w:rPr>
            </w:pPr>
          </w:p>
        </w:tc>
        <w:tc>
          <w:tcPr>
            <w:tcW w:w="1107" w:type="dxa"/>
            <w:noWrap w:val="0"/>
            <w:vAlign w:val="top"/>
          </w:tcPr>
          <w:p>
            <w:pPr>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78" w:type="dxa"/>
            <w:noWrap w:val="0"/>
            <w:vAlign w:val="top"/>
          </w:tcPr>
          <w:p>
            <w:pPr>
              <w:rPr>
                <w:rFonts w:hint="eastAsia" w:ascii="宋体" w:hAnsi="宋体" w:eastAsia="宋体" w:cs="宋体"/>
                <w:szCs w:val="24"/>
                <w:highlight w:val="none"/>
              </w:rPr>
            </w:pPr>
          </w:p>
        </w:tc>
        <w:tc>
          <w:tcPr>
            <w:tcW w:w="1579" w:type="dxa"/>
            <w:noWrap w:val="0"/>
            <w:vAlign w:val="top"/>
          </w:tcPr>
          <w:p>
            <w:pPr>
              <w:rPr>
                <w:rFonts w:hint="eastAsia" w:ascii="宋体" w:hAnsi="宋体" w:eastAsia="宋体" w:cs="宋体"/>
                <w:szCs w:val="24"/>
                <w:highlight w:val="none"/>
              </w:rPr>
            </w:pPr>
          </w:p>
        </w:tc>
        <w:tc>
          <w:tcPr>
            <w:tcW w:w="2396" w:type="dxa"/>
            <w:noWrap w:val="0"/>
            <w:vAlign w:val="top"/>
          </w:tcPr>
          <w:p>
            <w:pPr>
              <w:rPr>
                <w:rFonts w:hint="eastAsia" w:ascii="宋体" w:hAnsi="宋体" w:eastAsia="宋体" w:cs="宋体"/>
                <w:szCs w:val="24"/>
                <w:highlight w:val="none"/>
              </w:rPr>
            </w:pPr>
          </w:p>
        </w:tc>
        <w:tc>
          <w:tcPr>
            <w:tcW w:w="1344" w:type="dxa"/>
            <w:noWrap w:val="0"/>
            <w:vAlign w:val="top"/>
          </w:tcPr>
          <w:p>
            <w:pPr>
              <w:rPr>
                <w:rFonts w:hint="eastAsia" w:ascii="宋体" w:hAnsi="宋体" w:eastAsia="宋体" w:cs="宋体"/>
                <w:szCs w:val="24"/>
                <w:highlight w:val="none"/>
              </w:rPr>
            </w:pPr>
          </w:p>
        </w:tc>
        <w:tc>
          <w:tcPr>
            <w:tcW w:w="1845" w:type="dxa"/>
            <w:noWrap w:val="0"/>
            <w:vAlign w:val="top"/>
          </w:tcPr>
          <w:p>
            <w:pPr>
              <w:rPr>
                <w:rFonts w:hint="eastAsia" w:ascii="宋体" w:hAnsi="宋体" w:eastAsia="宋体" w:cs="宋体"/>
                <w:szCs w:val="24"/>
                <w:highlight w:val="none"/>
              </w:rPr>
            </w:pPr>
          </w:p>
        </w:tc>
        <w:tc>
          <w:tcPr>
            <w:tcW w:w="1107" w:type="dxa"/>
            <w:noWrap w:val="0"/>
            <w:vAlign w:val="top"/>
          </w:tcPr>
          <w:p>
            <w:pPr>
              <w:rPr>
                <w:rFonts w:hint="eastAsia" w:ascii="宋体" w:hAnsi="宋体" w:eastAsia="宋体" w:cs="宋体"/>
                <w:szCs w:val="24"/>
                <w:highlight w:val="none"/>
              </w:rPr>
            </w:pPr>
          </w:p>
        </w:tc>
      </w:tr>
    </w:tbl>
    <w:p>
      <w:pPr>
        <w:autoSpaceDE w:val="0"/>
        <w:autoSpaceDN w:val="0"/>
        <w:adjustRightInd w:val="0"/>
        <w:spacing w:line="560" w:lineRule="exact"/>
        <w:ind w:firstLine="420" w:firstLineChars="200"/>
        <w:rPr>
          <w:rFonts w:hint="eastAsia" w:ascii="宋体" w:hAnsi="宋体" w:eastAsia="宋体" w:cs="宋体"/>
          <w:szCs w:val="24"/>
          <w:highlight w:val="none"/>
          <w:lang w:val="zh-CN"/>
        </w:rPr>
      </w:pPr>
      <w:r>
        <w:rPr>
          <w:rFonts w:hint="eastAsia" w:ascii="宋体" w:hAnsi="宋体" w:eastAsia="宋体" w:cs="宋体"/>
          <w:szCs w:val="24"/>
          <w:highlight w:val="none"/>
          <w:lang w:val="zh-CN" w:bidi="ar"/>
        </w:rPr>
        <w:t>说明：</w:t>
      </w:r>
    </w:p>
    <w:p>
      <w:pPr>
        <w:autoSpaceDE w:val="0"/>
        <w:autoSpaceDN w:val="0"/>
        <w:adjustRightInd w:val="0"/>
        <w:spacing w:line="560" w:lineRule="exact"/>
        <w:ind w:firstLine="420" w:firstLineChars="200"/>
        <w:rPr>
          <w:rFonts w:hint="eastAsia" w:ascii="宋体" w:hAnsi="宋体" w:eastAsia="宋体" w:cs="宋体"/>
          <w:szCs w:val="24"/>
          <w:highlight w:val="none"/>
          <w:lang w:val="zh-CN"/>
        </w:rPr>
      </w:pPr>
      <w:r>
        <w:rPr>
          <w:rFonts w:hint="eastAsia" w:ascii="宋体" w:hAnsi="宋体" w:eastAsia="宋体" w:cs="宋体"/>
          <w:szCs w:val="24"/>
          <w:highlight w:val="none"/>
          <w:lang w:val="zh-CN" w:bidi="ar"/>
        </w:rPr>
        <w:t>1.本表后附合同复印件（加盖公章）。</w:t>
      </w:r>
    </w:p>
    <w:p>
      <w:pPr>
        <w:autoSpaceDE w:val="0"/>
        <w:autoSpaceDN w:val="0"/>
        <w:adjustRightInd w:val="0"/>
        <w:spacing w:line="560" w:lineRule="exact"/>
        <w:ind w:firstLine="420" w:firstLineChars="200"/>
        <w:rPr>
          <w:rFonts w:hint="eastAsia" w:ascii="宋体" w:hAnsi="宋体" w:eastAsia="宋体" w:cs="宋体"/>
          <w:szCs w:val="24"/>
          <w:highlight w:val="none"/>
          <w:lang w:val="zh-CN"/>
        </w:rPr>
      </w:pPr>
      <w:r>
        <w:rPr>
          <w:rFonts w:hint="eastAsia" w:ascii="宋体" w:hAnsi="宋体" w:eastAsia="宋体" w:cs="宋体"/>
          <w:szCs w:val="24"/>
          <w:highlight w:val="none"/>
          <w:lang w:val="zh-CN" w:bidi="ar"/>
        </w:rPr>
        <w:t>2.</w:t>
      </w:r>
      <w:r>
        <w:rPr>
          <w:rFonts w:hint="eastAsia" w:ascii="宋体" w:hAnsi="宋体" w:eastAsia="宋体" w:cs="宋体"/>
          <w:szCs w:val="24"/>
          <w:highlight w:val="none"/>
          <w:lang w:bidi="ar"/>
        </w:rPr>
        <w:t>投标</w:t>
      </w:r>
      <w:r>
        <w:rPr>
          <w:rFonts w:hint="eastAsia" w:ascii="宋体" w:hAnsi="宋体" w:eastAsia="宋体" w:cs="宋体"/>
          <w:szCs w:val="24"/>
          <w:highlight w:val="none"/>
          <w:lang w:val="zh-CN" w:bidi="ar"/>
        </w:rPr>
        <w:t>供应商应如实列出以上情况，如有隐瞒，一经查实将导致其</w:t>
      </w:r>
      <w:r>
        <w:rPr>
          <w:rFonts w:hint="eastAsia" w:ascii="宋体" w:hAnsi="宋体" w:eastAsia="宋体" w:cs="宋体"/>
          <w:szCs w:val="24"/>
          <w:highlight w:val="none"/>
          <w:lang w:bidi="ar"/>
        </w:rPr>
        <w:t>投标</w:t>
      </w:r>
      <w:r>
        <w:rPr>
          <w:rFonts w:hint="eastAsia" w:ascii="宋体" w:hAnsi="宋体" w:eastAsia="宋体" w:cs="宋体"/>
          <w:szCs w:val="24"/>
          <w:highlight w:val="none"/>
          <w:lang w:val="zh-CN" w:bidi="ar"/>
        </w:rPr>
        <w:t>文件被拒绝。</w:t>
      </w:r>
    </w:p>
    <w:p>
      <w:pPr>
        <w:autoSpaceDE w:val="0"/>
        <w:autoSpaceDN w:val="0"/>
        <w:adjustRightInd w:val="0"/>
        <w:spacing w:line="560" w:lineRule="exact"/>
        <w:ind w:firstLine="420" w:firstLineChars="200"/>
        <w:rPr>
          <w:rFonts w:hint="eastAsia" w:ascii="宋体" w:hAnsi="宋体" w:eastAsia="宋体" w:cs="宋体"/>
          <w:szCs w:val="24"/>
          <w:highlight w:val="none"/>
          <w:lang w:val="zh-CN"/>
        </w:rPr>
      </w:pPr>
      <w:r>
        <w:rPr>
          <w:rFonts w:hint="eastAsia" w:ascii="宋体" w:hAnsi="宋体" w:eastAsia="宋体" w:cs="宋体"/>
          <w:szCs w:val="24"/>
          <w:highlight w:val="none"/>
          <w:lang w:val="zh-CN" w:bidi="ar"/>
        </w:rPr>
        <w:t>3.未按上述要求提供、填写的，评审时不予以考虑。</w:t>
      </w:r>
    </w:p>
    <w:p>
      <w:pPr>
        <w:spacing w:line="360" w:lineRule="auto"/>
        <w:ind w:firstLine="1680" w:firstLineChars="800"/>
        <w:rPr>
          <w:rFonts w:hint="eastAsia" w:ascii="宋体" w:hAnsi="宋体" w:eastAsia="宋体" w:cs="宋体"/>
          <w:szCs w:val="24"/>
          <w:highlight w:val="none"/>
        </w:rPr>
      </w:pPr>
    </w:p>
    <w:p>
      <w:pPr>
        <w:spacing w:before="240" w:beforeLines="100" w:after="240" w:afterLines="100" w:line="480" w:lineRule="exact"/>
        <w:ind w:firstLine="2940" w:firstLineChars="1400"/>
        <w:rPr>
          <w:rFonts w:hint="eastAsia" w:ascii="宋体" w:hAnsi="宋体" w:eastAsia="宋体" w:cs="宋体"/>
          <w:szCs w:val="21"/>
          <w:highlight w:val="none"/>
        </w:rPr>
      </w:pP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（单位全称、盖章）</w:t>
      </w:r>
    </w:p>
    <w:p>
      <w:pPr>
        <w:spacing w:before="240" w:beforeLines="100" w:after="240" w:afterLines="100" w:line="48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法定代表人或授权代表：</w:t>
      </w:r>
      <w:r>
        <w:rPr>
          <w:rFonts w:hint="eastAsia" w:ascii="宋体" w:hAnsi="宋体" w:eastAsia="宋体" w:cs="宋体"/>
          <w:szCs w:val="21"/>
          <w:highlight w:val="none"/>
          <w:u w:val="single"/>
        </w:rPr>
        <w:t xml:space="preserve">   （盖章或签字）           </w:t>
      </w:r>
    </w:p>
    <w:p>
      <w:pPr>
        <w:rPr>
          <w:rFonts w:hint="eastAsia" w:ascii="宋体" w:hAnsi="宋体" w:eastAsia="宋体" w:cs="宋体"/>
          <w:szCs w:val="21"/>
          <w:highlight w:val="none"/>
        </w:rPr>
      </w:pPr>
      <w:r>
        <w:rPr>
          <w:rFonts w:hint="eastAsia" w:ascii="宋体" w:hAnsi="宋体" w:eastAsia="宋体" w:cs="宋体"/>
          <w:szCs w:val="21"/>
          <w:highlight w:val="none"/>
        </w:rPr>
        <w:t xml:space="preserve">                            投标日期：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spacing w:after="240" w:afterLines="100" w:line="560" w:lineRule="exact"/>
        <w:jc w:val="center"/>
        <w:rPr>
          <w:rFonts w:hint="eastAsia" w:ascii="宋体" w:hAnsi="宋体" w:eastAsia="宋体" w:cs="宋体"/>
          <w:b/>
          <w:bCs/>
          <w:sz w:val="36"/>
          <w:szCs w:val="36"/>
          <w:highlight w:val="none"/>
          <w:lang w:val="en-US" w:eastAsia="zh-CN"/>
        </w:rPr>
      </w:pPr>
    </w:p>
    <w:p>
      <w:pPr>
        <w:spacing w:after="240" w:afterLines="100" w:line="560" w:lineRule="exact"/>
        <w:jc w:val="center"/>
        <w:rPr>
          <w:rFonts w:hint="eastAsia" w:ascii="宋体" w:hAnsi="宋体" w:eastAsia="宋体" w:cs="宋体"/>
          <w:b/>
          <w:bCs/>
          <w:sz w:val="36"/>
          <w:szCs w:val="36"/>
          <w:highlight w:val="none"/>
          <w:lang w:val="en-US" w:eastAsia="zh-CN"/>
        </w:rPr>
      </w:pPr>
    </w:p>
    <w:p>
      <w:pPr>
        <w:spacing w:after="240" w:afterLines="100" w:line="560" w:lineRule="exact"/>
        <w:jc w:val="center"/>
        <w:rPr>
          <w:rFonts w:hint="eastAsia" w:ascii="宋体" w:hAnsi="宋体" w:eastAsia="宋体" w:cs="宋体"/>
          <w:b/>
          <w:bCs/>
          <w:sz w:val="36"/>
          <w:szCs w:val="36"/>
          <w:highlight w:val="none"/>
          <w:lang w:val="en-US" w:eastAsia="zh-CN"/>
        </w:rPr>
      </w:pPr>
    </w:p>
    <w:p>
      <w:pPr>
        <w:spacing w:after="240" w:afterLines="100" w:line="560" w:lineRule="exact"/>
        <w:jc w:val="both"/>
        <w:rPr>
          <w:rFonts w:hint="eastAsia" w:ascii="宋体" w:hAnsi="宋体" w:eastAsia="宋体" w:cs="宋体"/>
          <w:b/>
          <w:bCs/>
          <w:sz w:val="36"/>
          <w:szCs w:val="36"/>
          <w:highlight w:val="none"/>
          <w:lang w:val="en-US" w:eastAsia="zh-CN"/>
        </w:rPr>
      </w:pPr>
    </w:p>
    <w:p>
      <w:pPr>
        <w:spacing w:after="240" w:afterLines="100" w:line="560" w:lineRule="exact"/>
        <w:jc w:val="center"/>
        <w:rPr>
          <w:rFonts w:hint="eastAsia" w:ascii="宋体" w:hAnsi="宋体" w:eastAsia="宋体" w:cs="宋体"/>
          <w:b/>
          <w:bCs/>
          <w:sz w:val="36"/>
          <w:szCs w:val="36"/>
          <w:highlight w:val="none"/>
          <w:lang w:val="en-GB" w:eastAsia="zh-CN"/>
        </w:rPr>
      </w:pPr>
      <w:r>
        <w:rPr>
          <w:rFonts w:hint="eastAsia" w:ascii="宋体" w:hAnsi="宋体" w:eastAsia="宋体" w:cs="宋体"/>
          <w:b/>
          <w:bCs/>
          <w:sz w:val="36"/>
          <w:szCs w:val="36"/>
          <w:highlight w:val="none"/>
          <w:lang w:val="en-US" w:eastAsia="zh-CN"/>
        </w:rPr>
        <w:t>九、技术偏离表</w:t>
      </w:r>
    </w:p>
    <w:p>
      <w:pPr>
        <w:spacing w:line="460" w:lineRule="exact"/>
        <w:rPr>
          <w:rFonts w:hint="eastAsia" w:ascii="宋体" w:hAnsi="宋体" w:eastAsia="宋体" w:cs="宋体"/>
          <w:b/>
          <w:szCs w:val="21"/>
          <w:highlight w:val="none"/>
        </w:rPr>
      </w:pPr>
      <w:r>
        <w:rPr>
          <w:rFonts w:hint="eastAsia" w:ascii="宋体" w:hAnsi="宋体" w:eastAsia="宋体" w:cs="宋体"/>
          <w:b/>
          <w:szCs w:val="21"/>
          <w:highlight w:val="none"/>
          <w:lang w:eastAsia="zh-CN"/>
        </w:rPr>
        <w:t>项目名称</w:t>
      </w:r>
      <w:r>
        <w:rPr>
          <w:rFonts w:hint="eastAsia" w:ascii="宋体" w:hAnsi="宋体" w:eastAsia="宋体" w:cs="宋体"/>
          <w:b/>
          <w:szCs w:val="21"/>
          <w:highlight w:val="none"/>
        </w:rPr>
        <w:t xml:space="preserve">：                                            </w:t>
      </w:r>
      <w:r>
        <w:rPr>
          <w:rFonts w:hint="eastAsia" w:ascii="宋体" w:hAnsi="宋体" w:eastAsia="宋体" w:cs="宋体"/>
          <w:b/>
          <w:szCs w:val="21"/>
          <w:highlight w:val="none"/>
          <w:lang w:eastAsia="zh-CN"/>
        </w:rPr>
        <w:t>项目编号</w:t>
      </w:r>
      <w:r>
        <w:rPr>
          <w:rFonts w:hint="eastAsia" w:ascii="宋体" w:hAnsi="宋体" w:eastAsia="宋体" w:cs="宋体"/>
          <w:b/>
          <w:szCs w:val="21"/>
          <w:highlight w:val="none"/>
        </w:rPr>
        <w:t>：</w:t>
      </w:r>
    </w:p>
    <w:tbl>
      <w:tblPr>
        <w:tblStyle w:val="37"/>
        <w:tblW w:w="0" w:type="auto"/>
        <w:tblInd w:w="-10" w:type="dxa"/>
        <w:tblLayout w:type="fixed"/>
        <w:tblCellMar>
          <w:top w:w="0" w:type="dxa"/>
          <w:left w:w="0" w:type="dxa"/>
          <w:bottom w:w="0" w:type="dxa"/>
          <w:right w:w="0" w:type="dxa"/>
        </w:tblCellMar>
      </w:tblPr>
      <w:tblGrid>
        <w:gridCol w:w="952"/>
        <w:gridCol w:w="2852"/>
        <w:gridCol w:w="2447"/>
        <w:gridCol w:w="1834"/>
        <w:gridCol w:w="1268"/>
      </w:tblGrid>
      <w:tr>
        <w:tblPrEx>
          <w:tblCellMar>
            <w:top w:w="0" w:type="dxa"/>
            <w:left w:w="0" w:type="dxa"/>
            <w:bottom w:w="0" w:type="dxa"/>
            <w:right w:w="0" w:type="dxa"/>
          </w:tblCellMar>
        </w:tblPrEx>
        <w:trPr>
          <w:trHeight w:val="556" w:hRule="atLeast"/>
        </w:trPr>
        <w:tc>
          <w:tcPr>
            <w:tcW w:w="952" w:type="dxa"/>
            <w:tcBorders>
              <w:top w:val="single" w:color="auto" w:sz="8" w:space="0"/>
              <w:left w:val="single" w:color="auto" w:sz="8" w:space="0"/>
              <w:bottom w:val="single" w:color="auto" w:sz="4" w:space="0"/>
              <w:right w:val="single" w:color="auto" w:sz="8" w:space="0"/>
            </w:tcBorders>
            <w:noWrap w:val="0"/>
            <w:vAlign w:val="center"/>
          </w:tcPr>
          <w:p>
            <w:pPr>
              <w:jc w:val="center"/>
              <w:rPr>
                <w:rFonts w:hint="eastAsia" w:ascii="宋体" w:hAnsi="宋体" w:eastAsia="宋体" w:cs="宋体"/>
                <w:b w:val="0"/>
                <w:bCs/>
                <w:szCs w:val="21"/>
                <w:highlight w:val="none"/>
              </w:rPr>
            </w:pPr>
            <w:r>
              <w:rPr>
                <w:rFonts w:hint="eastAsia" w:ascii="宋体" w:hAnsi="宋体" w:eastAsia="宋体" w:cs="宋体"/>
                <w:b w:val="0"/>
                <w:bCs/>
                <w:szCs w:val="21"/>
                <w:highlight w:val="none"/>
              </w:rPr>
              <w:t>序号</w:t>
            </w:r>
          </w:p>
        </w:tc>
        <w:tc>
          <w:tcPr>
            <w:tcW w:w="2852" w:type="dxa"/>
            <w:tcBorders>
              <w:top w:val="single" w:color="auto" w:sz="8" w:space="0"/>
              <w:left w:val="nil"/>
              <w:bottom w:val="single" w:color="auto" w:sz="4" w:space="0"/>
              <w:right w:val="single" w:color="auto" w:sz="8" w:space="0"/>
            </w:tcBorders>
            <w:noWrap w:val="0"/>
            <w:vAlign w:val="center"/>
          </w:tcPr>
          <w:p>
            <w:pPr>
              <w:jc w:val="center"/>
              <w:rPr>
                <w:rFonts w:hint="eastAsia" w:ascii="宋体" w:hAnsi="宋体" w:eastAsia="宋体" w:cs="宋体"/>
                <w:b w:val="0"/>
                <w:bCs/>
                <w:szCs w:val="21"/>
                <w:highlight w:val="none"/>
              </w:rPr>
            </w:pPr>
            <w:r>
              <w:rPr>
                <w:rFonts w:hint="eastAsia" w:ascii="宋体" w:hAnsi="宋体" w:eastAsia="宋体" w:cs="宋体"/>
                <w:b w:val="0"/>
                <w:bCs/>
                <w:szCs w:val="21"/>
                <w:highlight w:val="none"/>
                <w:lang w:eastAsia="zh-CN"/>
              </w:rPr>
              <w:t>招标文件</w:t>
            </w:r>
            <w:r>
              <w:rPr>
                <w:rFonts w:hint="eastAsia" w:ascii="宋体" w:hAnsi="宋体" w:eastAsia="宋体" w:cs="宋体"/>
                <w:b w:val="0"/>
                <w:bCs/>
                <w:szCs w:val="21"/>
                <w:highlight w:val="none"/>
                <w:lang w:val="en-US" w:eastAsia="zh-CN"/>
              </w:rPr>
              <w:t>技术</w:t>
            </w:r>
            <w:r>
              <w:rPr>
                <w:rFonts w:hint="eastAsia" w:ascii="宋体" w:hAnsi="宋体" w:eastAsia="宋体" w:cs="宋体"/>
                <w:b w:val="0"/>
                <w:bCs/>
                <w:szCs w:val="21"/>
                <w:highlight w:val="none"/>
              </w:rPr>
              <w:t>要求</w:t>
            </w:r>
          </w:p>
        </w:tc>
        <w:tc>
          <w:tcPr>
            <w:tcW w:w="2447" w:type="dxa"/>
            <w:tcBorders>
              <w:top w:val="single" w:color="auto" w:sz="8" w:space="0"/>
              <w:left w:val="nil"/>
              <w:bottom w:val="single" w:color="auto" w:sz="4" w:space="0"/>
              <w:right w:val="single" w:color="auto" w:sz="8" w:space="0"/>
            </w:tcBorders>
            <w:noWrap w:val="0"/>
            <w:vAlign w:val="center"/>
          </w:tcPr>
          <w:p>
            <w:pPr>
              <w:jc w:val="center"/>
              <w:rPr>
                <w:rFonts w:hint="eastAsia" w:ascii="宋体" w:hAnsi="宋体" w:eastAsia="宋体" w:cs="宋体"/>
                <w:b w:val="0"/>
                <w:bCs/>
                <w:szCs w:val="21"/>
                <w:highlight w:val="none"/>
              </w:rPr>
            </w:pPr>
            <w:r>
              <w:rPr>
                <w:rFonts w:hint="eastAsia" w:ascii="宋体" w:hAnsi="宋体" w:eastAsia="宋体" w:cs="宋体"/>
                <w:b w:val="0"/>
                <w:bCs/>
                <w:szCs w:val="21"/>
                <w:highlight w:val="none"/>
              </w:rPr>
              <w:t>投标文件</w:t>
            </w:r>
            <w:r>
              <w:rPr>
                <w:rFonts w:hint="eastAsia" w:ascii="宋体" w:hAnsi="宋体" w:eastAsia="宋体" w:cs="宋体"/>
                <w:b w:val="0"/>
                <w:bCs/>
                <w:szCs w:val="21"/>
                <w:highlight w:val="none"/>
                <w:lang w:val="en-US" w:eastAsia="zh-CN"/>
              </w:rPr>
              <w:t>技术</w:t>
            </w:r>
            <w:r>
              <w:rPr>
                <w:rFonts w:hint="eastAsia" w:ascii="宋体" w:hAnsi="宋体" w:eastAsia="宋体" w:cs="宋体"/>
                <w:b w:val="0"/>
                <w:bCs/>
                <w:szCs w:val="21"/>
                <w:highlight w:val="none"/>
              </w:rPr>
              <w:t>响应</w:t>
            </w:r>
          </w:p>
        </w:tc>
        <w:tc>
          <w:tcPr>
            <w:tcW w:w="1834" w:type="dxa"/>
            <w:tcBorders>
              <w:top w:val="single" w:color="auto" w:sz="8" w:space="0"/>
              <w:left w:val="nil"/>
              <w:bottom w:val="single" w:color="auto" w:sz="4" w:space="0"/>
              <w:right w:val="single" w:color="auto" w:sz="8" w:space="0"/>
            </w:tcBorders>
            <w:noWrap w:val="0"/>
            <w:vAlign w:val="center"/>
          </w:tcPr>
          <w:p>
            <w:pPr>
              <w:jc w:val="center"/>
              <w:rPr>
                <w:rFonts w:hint="eastAsia" w:ascii="宋体" w:hAnsi="宋体" w:eastAsia="宋体" w:cs="宋体"/>
                <w:b w:val="0"/>
                <w:bCs/>
                <w:szCs w:val="21"/>
                <w:highlight w:val="none"/>
              </w:rPr>
            </w:pPr>
            <w:r>
              <w:rPr>
                <w:rFonts w:hint="eastAsia" w:ascii="宋体" w:hAnsi="宋体" w:eastAsia="宋体" w:cs="宋体"/>
                <w:b w:val="0"/>
                <w:bCs/>
                <w:szCs w:val="21"/>
                <w:highlight w:val="none"/>
              </w:rPr>
              <w:t>偏离情况</w:t>
            </w:r>
          </w:p>
        </w:tc>
        <w:tc>
          <w:tcPr>
            <w:tcW w:w="1268" w:type="dxa"/>
            <w:tcBorders>
              <w:top w:val="single" w:color="auto" w:sz="8" w:space="0"/>
              <w:left w:val="nil"/>
              <w:bottom w:val="single" w:color="auto" w:sz="4" w:space="0"/>
              <w:right w:val="single" w:color="auto" w:sz="8" w:space="0"/>
            </w:tcBorders>
            <w:noWrap w:val="0"/>
            <w:vAlign w:val="center"/>
          </w:tcPr>
          <w:p>
            <w:pPr>
              <w:jc w:val="center"/>
              <w:rPr>
                <w:rFonts w:hint="eastAsia" w:ascii="宋体" w:hAnsi="宋体" w:eastAsia="宋体" w:cs="宋体"/>
                <w:b w:val="0"/>
                <w:bCs/>
                <w:szCs w:val="21"/>
                <w:highlight w:val="none"/>
              </w:rPr>
            </w:pPr>
            <w:r>
              <w:rPr>
                <w:rFonts w:hint="eastAsia" w:ascii="宋体" w:hAnsi="宋体" w:eastAsia="宋体" w:cs="宋体"/>
                <w:b w:val="0"/>
                <w:bCs/>
                <w:szCs w:val="21"/>
                <w:highlight w:val="none"/>
              </w:rPr>
              <w:t>说明</w:t>
            </w:r>
          </w:p>
        </w:tc>
      </w:tr>
      <w:tr>
        <w:tblPrEx>
          <w:tblCellMar>
            <w:top w:w="0" w:type="dxa"/>
            <w:left w:w="0" w:type="dxa"/>
            <w:bottom w:w="0" w:type="dxa"/>
            <w:right w:w="0" w:type="dxa"/>
          </w:tblCellMar>
        </w:tblPrEx>
        <w:trPr>
          <w:trHeight w:val="576" w:hRule="atLeast"/>
        </w:trPr>
        <w:tc>
          <w:tcPr>
            <w:tcW w:w="952"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852" w:type="dxa"/>
            <w:tcBorders>
              <w:top w:val="single" w:color="auto" w:sz="4" w:space="0"/>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447" w:type="dxa"/>
            <w:tcBorders>
              <w:top w:val="single" w:color="auto" w:sz="4" w:space="0"/>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834" w:type="dxa"/>
            <w:tcBorders>
              <w:top w:val="single" w:color="auto" w:sz="4" w:space="0"/>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268" w:type="dxa"/>
            <w:tcBorders>
              <w:top w:val="single" w:color="auto" w:sz="4" w:space="0"/>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r>
      <w:tr>
        <w:tblPrEx>
          <w:tblCellMar>
            <w:top w:w="0" w:type="dxa"/>
            <w:left w:w="0" w:type="dxa"/>
            <w:bottom w:w="0" w:type="dxa"/>
            <w:right w:w="0" w:type="dxa"/>
          </w:tblCellMar>
        </w:tblPrEx>
        <w:trPr>
          <w:trHeight w:val="573" w:hRule="atLeast"/>
        </w:trPr>
        <w:tc>
          <w:tcPr>
            <w:tcW w:w="952"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852"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447"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834"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268"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r>
      <w:tr>
        <w:tblPrEx>
          <w:tblCellMar>
            <w:top w:w="0" w:type="dxa"/>
            <w:left w:w="0" w:type="dxa"/>
            <w:bottom w:w="0" w:type="dxa"/>
            <w:right w:w="0" w:type="dxa"/>
          </w:tblCellMar>
        </w:tblPrEx>
        <w:trPr>
          <w:trHeight w:val="576" w:hRule="atLeast"/>
        </w:trPr>
        <w:tc>
          <w:tcPr>
            <w:tcW w:w="952"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852"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447"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834"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268"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r>
      <w:tr>
        <w:tblPrEx>
          <w:tblCellMar>
            <w:top w:w="0" w:type="dxa"/>
            <w:left w:w="0" w:type="dxa"/>
            <w:bottom w:w="0" w:type="dxa"/>
            <w:right w:w="0" w:type="dxa"/>
          </w:tblCellMar>
        </w:tblPrEx>
        <w:trPr>
          <w:trHeight w:val="576" w:hRule="atLeast"/>
        </w:trPr>
        <w:tc>
          <w:tcPr>
            <w:tcW w:w="952"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852"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447"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834"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268"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r>
      <w:tr>
        <w:tblPrEx>
          <w:tblCellMar>
            <w:top w:w="0" w:type="dxa"/>
            <w:left w:w="0" w:type="dxa"/>
            <w:bottom w:w="0" w:type="dxa"/>
            <w:right w:w="0" w:type="dxa"/>
          </w:tblCellMar>
        </w:tblPrEx>
        <w:trPr>
          <w:trHeight w:val="573" w:hRule="atLeast"/>
        </w:trPr>
        <w:tc>
          <w:tcPr>
            <w:tcW w:w="952"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852"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447"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834"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268"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r>
      <w:tr>
        <w:tblPrEx>
          <w:tblCellMar>
            <w:top w:w="0" w:type="dxa"/>
            <w:left w:w="0" w:type="dxa"/>
            <w:bottom w:w="0" w:type="dxa"/>
            <w:right w:w="0" w:type="dxa"/>
          </w:tblCellMar>
        </w:tblPrEx>
        <w:trPr>
          <w:trHeight w:val="576" w:hRule="atLeast"/>
        </w:trPr>
        <w:tc>
          <w:tcPr>
            <w:tcW w:w="952"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852"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447"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834"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268"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r>
      <w:tr>
        <w:tblPrEx>
          <w:tblCellMar>
            <w:top w:w="0" w:type="dxa"/>
            <w:left w:w="0" w:type="dxa"/>
            <w:bottom w:w="0" w:type="dxa"/>
            <w:right w:w="0" w:type="dxa"/>
          </w:tblCellMar>
        </w:tblPrEx>
        <w:trPr>
          <w:trHeight w:val="576" w:hRule="atLeast"/>
        </w:trPr>
        <w:tc>
          <w:tcPr>
            <w:tcW w:w="952"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852"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447"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834"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268"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r>
      <w:tr>
        <w:tblPrEx>
          <w:tblCellMar>
            <w:top w:w="0" w:type="dxa"/>
            <w:left w:w="0" w:type="dxa"/>
            <w:bottom w:w="0" w:type="dxa"/>
            <w:right w:w="0" w:type="dxa"/>
          </w:tblCellMar>
        </w:tblPrEx>
        <w:trPr>
          <w:trHeight w:val="573" w:hRule="atLeast"/>
        </w:trPr>
        <w:tc>
          <w:tcPr>
            <w:tcW w:w="952"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852"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447"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834"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268"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r>
      <w:tr>
        <w:tblPrEx>
          <w:tblCellMar>
            <w:top w:w="0" w:type="dxa"/>
            <w:left w:w="0" w:type="dxa"/>
            <w:bottom w:w="0" w:type="dxa"/>
            <w:right w:w="0" w:type="dxa"/>
          </w:tblCellMar>
        </w:tblPrEx>
        <w:trPr>
          <w:trHeight w:val="576" w:hRule="atLeast"/>
        </w:trPr>
        <w:tc>
          <w:tcPr>
            <w:tcW w:w="952"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852"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447"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834"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268"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r>
    </w:tbl>
    <w:p>
      <w:pPr>
        <w:rPr>
          <w:rFonts w:hint="eastAsia" w:ascii="宋体" w:hAnsi="宋体" w:eastAsia="宋体" w:cs="宋体"/>
          <w:szCs w:val="21"/>
          <w:highlight w:val="none"/>
        </w:rPr>
      </w:pP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注：1.本表只填写投标文件中与</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有偏离（包括正偏离和负偏离）的内容，投标文件中的指标响应与</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要求完全一致的，不用在此表中列出，但必须提交空白表。</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必须据实填写，不得虚假响应，否则将取消其投标或中标资格，并按有关规定进行处罚。</w:t>
      </w:r>
    </w:p>
    <w:p>
      <w:pPr>
        <w:spacing w:line="360" w:lineRule="auto"/>
        <w:rPr>
          <w:rFonts w:hint="eastAsia" w:ascii="宋体" w:hAnsi="宋体" w:eastAsia="宋体" w:cs="宋体"/>
          <w:szCs w:val="21"/>
          <w:highlight w:val="none"/>
        </w:rPr>
      </w:pPr>
    </w:p>
    <w:p>
      <w:pPr>
        <w:spacing w:line="460" w:lineRule="exact"/>
        <w:ind w:firstLine="1470" w:firstLineChars="700"/>
        <w:rPr>
          <w:rFonts w:hint="eastAsia" w:ascii="宋体" w:hAnsi="宋体" w:eastAsia="宋体" w:cs="宋体"/>
          <w:szCs w:val="21"/>
          <w:highlight w:val="none"/>
        </w:rPr>
      </w:pPr>
    </w:p>
    <w:p>
      <w:pPr>
        <w:spacing w:line="460" w:lineRule="exact"/>
        <w:ind w:firstLine="1470" w:firstLineChars="700"/>
        <w:rPr>
          <w:rFonts w:hint="eastAsia" w:ascii="宋体" w:hAnsi="宋体" w:eastAsia="宋体" w:cs="宋体"/>
          <w:szCs w:val="21"/>
          <w:highlight w:val="none"/>
        </w:rPr>
      </w:pPr>
    </w:p>
    <w:p>
      <w:pPr>
        <w:spacing w:before="240" w:beforeLines="100" w:after="240" w:afterLines="100" w:line="480" w:lineRule="exact"/>
        <w:ind w:firstLine="2940" w:firstLineChars="1400"/>
        <w:rPr>
          <w:rFonts w:hint="eastAsia" w:ascii="宋体" w:hAnsi="宋体" w:eastAsia="宋体" w:cs="宋体"/>
          <w:szCs w:val="21"/>
          <w:highlight w:val="none"/>
        </w:rPr>
      </w:pP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（单位全称、盖章）</w:t>
      </w:r>
    </w:p>
    <w:p>
      <w:pPr>
        <w:spacing w:before="240" w:beforeLines="100" w:after="240" w:afterLines="100" w:line="48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法定代表人或授权代表：</w:t>
      </w:r>
      <w:r>
        <w:rPr>
          <w:rFonts w:hint="eastAsia" w:ascii="宋体" w:hAnsi="宋体" w:eastAsia="宋体" w:cs="宋体"/>
          <w:szCs w:val="21"/>
          <w:highlight w:val="none"/>
          <w:u w:val="single"/>
        </w:rPr>
        <w:t xml:space="preserve">   （盖章或签字）           </w:t>
      </w:r>
    </w:p>
    <w:p>
      <w:pPr>
        <w:spacing w:before="240" w:beforeLines="100" w:after="240" w:afterLines="100" w:line="480" w:lineRule="exact"/>
        <w:ind w:firstLine="2940" w:firstLineChars="1400"/>
        <w:rPr>
          <w:rFonts w:hint="eastAsia" w:ascii="宋体" w:hAnsi="宋体" w:eastAsia="宋体" w:cs="宋体"/>
          <w:color w:val="000000"/>
          <w:szCs w:val="21"/>
          <w:highlight w:val="none"/>
        </w:rPr>
      </w:pPr>
      <w:r>
        <w:rPr>
          <w:rFonts w:hint="eastAsia" w:ascii="宋体" w:hAnsi="宋体" w:eastAsia="宋体" w:cs="宋体"/>
          <w:szCs w:val="21"/>
          <w:highlight w:val="none"/>
        </w:rPr>
        <w:t>投标日期：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spacing w:line="560" w:lineRule="exact"/>
        <w:rPr>
          <w:rFonts w:hint="eastAsia" w:ascii="宋体" w:hAnsi="宋体" w:eastAsia="宋体" w:cs="宋体"/>
          <w:b/>
          <w:bCs/>
          <w:sz w:val="36"/>
          <w:szCs w:val="36"/>
          <w:highlight w:val="none"/>
          <w:lang w:val="en-GB"/>
        </w:rPr>
      </w:pPr>
    </w:p>
    <w:p>
      <w:pPr>
        <w:pStyle w:val="25"/>
        <w:rPr>
          <w:rFonts w:hint="eastAsia" w:ascii="宋体" w:hAnsi="宋体" w:eastAsia="宋体" w:cs="宋体"/>
          <w:highlight w:val="none"/>
          <w:lang w:val="en-GB"/>
        </w:rPr>
      </w:pPr>
    </w:p>
    <w:p>
      <w:pPr>
        <w:rPr>
          <w:rFonts w:hint="eastAsia" w:ascii="宋体" w:hAnsi="宋体" w:eastAsia="宋体" w:cs="宋体"/>
          <w:highlight w:val="none"/>
        </w:rPr>
      </w:pPr>
      <w:bookmarkStart w:id="24" w:name="_Toc188808842"/>
      <w:bookmarkStart w:id="25" w:name="_Toc194663942"/>
      <w:bookmarkStart w:id="26" w:name="_Toc193126905"/>
      <w:bookmarkStart w:id="27" w:name="_Toc193126891"/>
      <w:bookmarkStart w:id="28" w:name="_Toc193187111"/>
      <w:bookmarkStart w:id="29" w:name="_Toc188808855"/>
      <w:r>
        <w:rPr>
          <w:rFonts w:hint="eastAsia" w:ascii="宋体" w:hAnsi="宋体" w:eastAsia="宋体" w:cs="宋体"/>
          <w:szCs w:val="21"/>
          <w:highlight w:val="none"/>
        </w:rPr>
        <w:br w:type="page"/>
      </w:r>
    </w:p>
    <w:p>
      <w:pPr>
        <w:spacing w:after="240" w:afterLines="100" w:line="56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十</w:t>
      </w:r>
      <w:r>
        <w:rPr>
          <w:rFonts w:hint="eastAsia" w:ascii="宋体" w:hAnsi="宋体" w:eastAsia="宋体" w:cs="宋体"/>
          <w:b/>
          <w:bCs/>
          <w:sz w:val="36"/>
          <w:szCs w:val="36"/>
          <w:highlight w:val="none"/>
          <w:lang w:val="en-GB" w:eastAsia="zh-CN"/>
        </w:rPr>
        <w:t>、</w:t>
      </w:r>
      <w:r>
        <w:rPr>
          <w:rFonts w:hint="eastAsia" w:ascii="宋体" w:hAnsi="宋体" w:eastAsia="宋体" w:cs="宋体"/>
          <w:b/>
          <w:bCs/>
          <w:sz w:val="36"/>
          <w:szCs w:val="36"/>
          <w:highlight w:val="none"/>
          <w:lang w:val="en-US" w:eastAsia="zh-CN"/>
        </w:rPr>
        <w:t>商务偏离表</w:t>
      </w:r>
    </w:p>
    <w:p>
      <w:pPr>
        <w:spacing w:line="460" w:lineRule="exact"/>
        <w:rPr>
          <w:rFonts w:hint="eastAsia" w:ascii="宋体" w:hAnsi="宋体" w:eastAsia="宋体" w:cs="宋体"/>
          <w:b/>
          <w:szCs w:val="21"/>
          <w:highlight w:val="none"/>
        </w:rPr>
      </w:pPr>
      <w:r>
        <w:rPr>
          <w:rFonts w:hint="eastAsia" w:ascii="宋体" w:hAnsi="宋体" w:eastAsia="宋体" w:cs="宋体"/>
          <w:b/>
          <w:szCs w:val="21"/>
          <w:highlight w:val="none"/>
          <w:lang w:eastAsia="zh-CN"/>
        </w:rPr>
        <w:t>项目名称</w:t>
      </w:r>
      <w:r>
        <w:rPr>
          <w:rFonts w:hint="eastAsia" w:ascii="宋体" w:hAnsi="宋体" w:eastAsia="宋体" w:cs="宋体"/>
          <w:b/>
          <w:szCs w:val="21"/>
          <w:highlight w:val="none"/>
        </w:rPr>
        <w:t xml:space="preserve">：                                            </w:t>
      </w:r>
      <w:r>
        <w:rPr>
          <w:rFonts w:hint="eastAsia" w:ascii="宋体" w:hAnsi="宋体" w:eastAsia="宋体" w:cs="宋体"/>
          <w:b/>
          <w:szCs w:val="21"/>
          <w:highlight w:val="none"/>
          <w:lang w:eastAsia="zh-CN"/>
        </w:rPr>
        <w:t>项目编号</w:t>
      </w:r>
      <w:r>
        <w:rPr>
          <w:rFonts w:hint="eastAsia" w:ascii="宋体" w:hAnsi="宋体" w:eastAsia="宋体" w:cs="宋体"/>
          <w:b/>
          <w:szCs w:val="21"/>
          <w:highlight w:val="none"/>
        </w:rPr>
        <w:t>：</w:t>
      </w:r>
    </w:p>
    <w:tbl>
      <w:tblPr>
        <w:tblStyle w:val="37"/>
        <w:tblW w:w="0" w:type="auto"/>
        <w:tblInd w:w="-10" w:type="dxa"/>
        <w:tblLayout w:type="fixed"/>
        <w:tblCellMar>
          <w:top w:w="0" w:type="dxa"/>
          <w:left w:w="0" w:type="dxa"/>
          <w:bottom w:w="0" w:type="dxa"/>
          <w:right w:w="0" w:type="dxa"/>
        </w:tblCellMar>
      </w:tblPr>
      <w:tblGrid>
        <w:gridCol w:w="952"/>
        <w:gridCol w:w="2852"/>
        <w:gridCol w:w="2447"/>
        <w:gridCol w:w="1834"/>
        <w:gridCol w:w="1268"/>
      </w:tblGrid>
      <w:tr>
        <w:tblPrEx>
          <w:tblCellMar>
            <w:top w:w="0" w:type="dxa"/>
            <w:left w:w="0" w:type="dxa"/>
            <w:bottom w:w="0" w:type="dxa"/>
            <w:right w:w="0" w:type="dxa"/>
          </w:tblCellMar>
        </w:tblPrEx>
        <w:trPr>
          <w:trHeight w:val="556" w:hRule="atLeast"/>
        </w:trPr>
        <w:tc>
          <w:tcPr>
            <w:tcW w:w="952" w:type="dxa"/>
            <w:tcBorders>
              <w:top w:val="single" w:color="auto" w:sz="8" w:space="0"/>
              <w:left w:val="single" w:color="auto" w:sz="8" w:space="0"/>
              <w:bottom w:val="single" w:color="auto" w:sz="4" w:space="0"/>
              <w:right w:val="single" w:color="auto" w:sz="8" w:space="0"/>
            </w:tcBorders>
            <w:noWrap w:val="0"/>
            <w:vAlign w:val="center"/>
          </w:tcPr>
          <w:p>
            <w:pPr>
              <w:jc w:val="center"/>
              <w:rPr>
                <w:rFonts w:hint="eastAsia" w:ascii="宋体" w:hAnsi="宋体" w:eastAsia="宋体" w:cs="宋体"/>
                <w:b w:val="0"/>
                <w:bCs/>
                <w:szCs w:val="21"/>
                <w:highlight w:val="none"/>
              </w:rPr>
            </w:pPr>
            <w:r>
              <w:rPr>
                <w:rFonts w:hint="eastAsia" w:ascii="宋体" w:hAnsi="宋体" w:eastAsia="宋体" w:cs="宋体"/>
                <w:b w:val="0"/>
                <w:bCs/>
                <w:szCs w:val="21"/>
                <w:highlight w:val="none"/>
              </w:rPr>
              <w:t>序号</w:t>
            </w:r>
          </w:p>
        </w:tc>
        <w:tc>
          <w:tcPr>
            <w:tcW w:w="2852" w:type="dxa"/>
            <w:tcBorders>
              <w:top w:val="single" w:color="auto" w:sz="8" w:space="0"/>
              <w:left w:val="nil"/>
              <w:bottom w:val="single" w:color="auto" w:sz="4" w:space="0"/>
              <w:right w:val="single" w:color="auto" w:sz="8" w:space="0"/>
            </w:tcBorders>
            <w:noWrap w:val="0"/>
            <w:vAlign w:val="center"/>
          </w:tcPr>
          <w:p>
            <w:pPr>
              <w:jc w:val="center"/>
              <w:rPr>
                <w:rFonts w:hint="eastAsia" w:ascii="宋体" w:hAnsi="宋体" w:eastAsia="宋体" w:cs="宋体"/>
                <w:b w:val="0"/>
                <w:bCs/>
                <w:szCs w:val="21"/>
                <w:highlight w:val="none"/>
              </w:rPr>
            </w:pPr>
            <w:r>
              <w:rPr>
                <w:rFonts w:hint="eastAsia" w:ascii="宋体" w:hAnsi="宋体" w:eastAsia="宋体" w:cs="宋体"/>
                <w:b w:val="0"/>
                <w:bCs/>
                <w:szCs w:val="21"/>
                <w:highlight w:val="none"/>
                <w:lang w:eastAsia="zh-CN"/>
              </w:rPr>
              <w:t>招标文件</w:t>
            </w:r>
            <w:r>
              <w:rPr>
                <w:rFonts w:hint="eastAsia" w:ascii="宋体" w:hAnsi="宋体" w:eastAsia="宋体" w:cs="宋体"/>
                <w:b w:val="0"/>
                <w:bCs/>
                <w:szCs w:val="21"/>
                <w:highlight w:val="none"/>
              </w:rPr>
              <w:t>商务要求</w:t>
            </w:r>
          </w:p>
        </w:tc>
        <w:tc>
          <w:tcPr>
            <w:tcW w:w="2447" w:type="dxa"/>
            <w:tcBorders>
              <w:top w:val="single" w:color="auto" w:sz="8" w:space="0"/>
              <w:left w:val="nil"/>
              <w:bottom w:val="single" w:color="auto" w:sz="4" w:space="0"/>
              <w:right w:val="single" w:color="auto" w:sz="8" w:space="0"/>
            </w:tcBorders>
            <w:noWrap w:val="0"/>
            <w:vAlign w:val="center"/>
          </w:tcPr>
          <w:p>
            <w:pPr>
              <w:jc w:val="center"/>
              <w:rPr>
                <w:rFonts w:hint="eastAsia" w:ascii="宋体" w:hAnsi="宋体" w:eastAsia="宋体" w:cs="宋体"/>
                <w:b w:val="0"/>
                <w:bCs/>
                <w:szCs w:val="21"/>
                <w:highlight w:val="none"/>
              </w:rPr>
            </w:pPr>
            <w:r>
              <w:rPr>
                <w:rFonts w:hint="eastAsia" w:ascii="宋体" w:hAnsi="宋体" w:eastAsia="宋体" w:cs="宋体"/>
                <w:b w:val="0"/>
                <w:bCs/>
                <w:szCs w:val="21"/>
                <w:highlight w:val="none"/>
              </w:rPr>
              <w:t>投标文件商务响应</w:t>
            </w:r>
          </w:p>
        </w:tc>
        <w:tc>
          <w:tcPr>
            <w:tcW w:w="1834" w:type="dxa"/>
            <w:tcBorders>
              <w:top w:val="single" w:color="auto" w:sz="8" w:space="0"/>
              <w:left w:val="nil"/>
              <w:bottom w:val="single" w:color="auto" w:sz="4" w:space="0"/>
              <w:right w:val="single" w:color="auto" w:sz="8" w:space="0"/>
            </w:tcBorders>
            <w:noWrap w:val="0"/>
            <w:vAlign w:val="center"/>
          </w:tcPr>
          <w:p>
            <w:pPr>
              <w:jc w:val="center"/>
              <w:rPr>
                <w:rFonts w:hint="eastAsia" w:ascii="宋体" w:hAnsi="宋体" w:eastAsia="宋体" w:cs="宋体"/>
                <w:b w:val="0"/>
                <w:bCs/>
                <w:szCs w:val="21"/>
                <w:highlight w:val="none"/>
              </w:rPr>
            </w:pPr>
            <w:r>
              <w:rPr>
                <w:rFonts w:hint="eastAsia" w:ascii="宋体" w:hAnsi="宋体" w:eastAsia="宋体" w:cs="宋体"/>
                <w:b w:val="0"/>
                <w:bCs/>
                <w:szCs w:val="21"/>
                <w:highlight w:val="none"/>
              </w:rPr>
              <w:t>偏离情况</w:t>
            </w:r>
          </w:p>
        </w:tc>
        <w:tc>
          <w:tcPr>
            <w:tcW w:w="1268" w:type="dxa"/>
            <w:tcBorders>
              <w:top w:val="single" w:color="auto" w:sz="8" w:space="0"/>
              <w:left w:val="nil"/>
              <w:bottom w:val="single" w:color="auto" w:sz="4" w:space="0"/>
              <w:right w:val="single" w:color="auto" w:sz="8" w:space="0"/>
            </w:tcBorders>
            <w:noWrap w:val="0"/>
            <w:vAlign w:val="center"/>
          </w:tcPr>
          <w:p>
            <w:pPr>
              <w:jc w:val="center"/>
              <w:rPr>
                <w:rFonts w:hint="eastAsia" w:ascii="宋体" w:hAnsi="宋体" w:eastAsia="宋体" w:cs="宋体"/>
                <w:b w:val="0"/>
                <w:bCs/>
                <w:szCs w:val="21"/>
                <w:highlight w:val="none"/>
              </w:rPr>
            </w:pPr>
            <w:r>
              <w:rPr>
                <w:rFonts w:hint="eastAsia" w:ascii="宋体" w:hAnsi="宋体" w:eastAsia="宋体" w:cs="宋体"/>
                <w:b w:val="0"/>
                <w:bCs/>
                <w:szCs w:val="21"/>
                <w:highlight w:val="none"/>
              </w:rPr>
              <w:t>说明</w:t>
            </w:r>
          </w:p>
        </w:tc>
      </w:tr>
      <w:tr>
        <w:tblPrEx>
          <w:tblCellMar>
            <w:top w:w="0" w:type="dxa"/>
            <w:left w:w="0" w:type="dxa"/>
            <w:bottom w:w="0" w:type="dxa"/>
            <w:right w:w="0" w:type="dxa"/>
          </w:tblCellMar>
        </w:tblPrEx>
        <w:trPr>
          <w:trHeight w:val="576" w:hRule="atLeast"/>
        </w:trPr>
        <w:tc>
          <w:tcPr>
            <w:tcW w:w="952"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852" w:type="dxa"/>
            <w:tcBorders>
              <w:top w:val="single" w:color="auto" w:sz="4" w:space="0"/>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447" w:type="dxa"/>
            <w:tcBorders>
              <w:top w:val="single" w:color="auto" w:sz="4" w:space="0"/>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834" w:type="dxa"/>
            <w:tcBorders>
              <w:top w:val="single" w:color="auto" w:sz="4" w:space="0"/>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268" w:type="dxa"/>
            <w:tcBorders>
              <w:top w:val="single" w:color="auto" w:sz="4" w:space="0"/>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r>
      <w:tr>
        <w:tblPrEx>
          <w:tblCellMar>
            <w:top w:w="0" w:type="dxa"/>
            <w:left w:w="0" w:type="dxa"/>
            <w:bottom w:w="0" w:type="dxa"/>
            <w:right w:w="0" w:type="dxa"/>
          </w:tblCellMar>
        </w:tblPrEx>
        <w:trPr>
          <w:trHeight w:val="573" w:hRule="atLeast"/>
        </w:trPr>
        <w:tc>
          <w:tcPr>
            <w:tcW w:w="952"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852"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447"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834"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268"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r>
      <w:tr>
        <w:tblPrEx>
          <w:tblCellMar>
            <w:top w:w="0" w:type="dxa"/>
            <w:left w:w="0" w:type="dxa"/>
            <w:bottom w:w="0" w:type="dxa"/>
            <w:right w:w="0" w:type="dxa"/>
          </w:tblCellMar>
        </w:tblPrEx>
        <w:trPr>
          <w:trHeight w:val="576" w:hRule="atLeast"/>
        </w:trPr>
        <w:tc>
          <w:tcPr>
            <w:tcW w:w="952"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852"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447"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834"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268"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r>
      <w:tr>
        <w:tblPrEx>
          <w:tblCellMar>
            <w:top w:w="0" w:type="dxa"/>
            <w:left w:w="0" w:type="dxa"/>
            <w:bottom w:w="0" w:type="dxa"/>
            <w:right w:w="0" w:type="dxa"/>
          </w:tblCellMar>
        </w:tblPrEx>
        <w:trPr>
          <w:trHeight w:val="576" w:hRule="atLeast"/>
        </w:trPr>
        <w:tc>
          <w:tcPr>
            <w:tcW w:w="952"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852"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447"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834"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268"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r>
      <w:tr>
        <w:tblPrEx>
          <w:tblCellMar>
            <w:top w:w="0" w:type="dxa"/>
            <w:left w:w="0" w:type="dxa"/>
            <w:bottom w:w="0" w:type="dxa"/>
            <w:right w:w="0" w:type="dxa"/>
          </w:tblCellMar>
        </w:tblPrEx>
        <w:trPr>
          <w:trHeight w:val="573" w:hRule="atLeast"/>
        </w:trPr>
        <w:tc>
          <w:tcPr>
            <w:tcW w:w="952"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852"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447"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834"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268"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r>
      <w:tr>
        <w:tblPrEx>
          <w:tblCellMar>
            <w:top w:w="0" w:type="dxa"/>
            <w:left w:w="0" w:type="dxa"/>
            <w:bottom w:w="0" w:type="dxa"/>
            <w:right w:w="0" w:type="dxa"/>
          </w:tblCellMar>
        </w:tblPrEx>
        <w:trPr>
          <w:trHeight w:val="576" w:hRule="atLeast"/>
        </w:trPr>
        <w:tc>
          <w:tcPr>
            <w:tcW w:w="952"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852"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447"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834"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268"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r>
      <w:tr>
        <w:tblPrEx>
          <w:tblCellMar>
            <w:top w:w="0" w:type="dxa"/>
            <w:left w:w="0" w:type="dxa"/>
            <w:bottom w:w="0" w:type="dxa"/>
            <w:right w:w="0" w:type="dxa"/>
          </w:tblCellMar>
        </w:tblPrEx>
        <w:trPr>
          <w:trHeight w:val="576" w:hRule="atLeast"/>
        </w:trPr>
        <w:tc>
          <w:tcPr>
            <w:tcW w:w="952"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852"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447"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834"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268"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r>
      <w:tr>
        <w:tblPrEx>
          <w:tblCellMar>
            <w:top w:w="0" w:type="dxa"/>
            <w:left w:w="0" w:type="dxa"/>
            <w:bottom w:w="0" w:type="dxa"/>
            <w:right w:w="0" w:type="dxa"/>
          </w:tblCellMar>
        </w:tblPrEx>
        <w:trPr>
          <w:trHeight w:val="573" w:hRule="atLeast"/>
        </w:trPr>
        <w:tc>
          <w:tcPr>
            <w:tcW w:w="952"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852"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447"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834"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268"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r>
      <w:tr>
        <w:tblPrEx>
          <w:tblCellMar>
            <w:top w:w="0" w:type="dxa"/>
            <w:left w:w="0" w:type="dxa"/>
            <w:bottom w:w="0" w:type="dxa"/>
            <w:right w:w="0" w:type="dxa"/>
          </w:tblCellMar>
        </w:tblPrEx>
        <w:trPr>
          <w:trHeight w:val="576" w:hRule="atLeast"/>
        </w:trPr>
        <w:tc>
          <w:tcPr>
            <w:tcW w:w="952"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852"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2447"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834"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c>
          <w:tcPr>
            <w:tcW w:w="1268"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szCs w:val="21"/>
                <w:highlight w:val="none"/>
              </w:rPr>
            </w:pPr>
          </w:p>
        </w:tc>
      </w:tr>
    </w:tbl>
    <w:p>
      <w:pPr>
        <w:rPr>
          <w:rFonts w:hint="eastAsia" w:ascii="宋体" w:hAnsi="宋体" w:eastAsia="宋体" w:cs="宋体"/>
          <w:szCs w:val="21"/>
          <w:highlight w:val="none"/>
        </w:rPr>
      </w:pP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注：1.本表只填写投标文件中与</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有偏离（包括正偏离和负偏离）的内容，投标文件中的指标响应与</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要求完全一致的，不用在此表中列出，但必须提交空白表。</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必须据实填写，不得虚假响应，否则将取消其投标或中标资格，并按有关规定进行处罚。</w:t>
      </w:r>
    </w:p>
    <w:p>
      <w:pPr>
        <w:spacing w:line="360" w:lineRule="auto"/>
        <w:rPr>
          <w:rFonts w:hint="eastAsia" w:ascii="宋体" w:hAnsi="宋体" w:eastAsia="宋体" w:cs="宋体"/>
          <w:szCs w:val="21"/>
          <w:highlight w:val="none"/>
        </w:rPr>
      </w:pPr>
    </w:p>
    <w:p>
      <w:pPr>
        <w:spacing w:line="460" w:lineRule="exact"/>
        <w:ind w:firstLine="1470" w:firstLineChars="700"/>
        <w:rPr>
          <w:rFonts w:hint="eastAsia" w:ascii="宋体" w:hAnsi="宋体" w:eastAsia="宋体" w:cs="宋体"/>
          <w:szCs w:val="21"/>
          <w:highlight w:val="none"/>
        </w:rPr>
      </w:pPr>
    </w:p>
    <w:p>
      <w:pPr>
        <w:spacing w:line="460" w:lineRule="exact"/>
        <w:ind w:firstLine="1470" w:firstLineChars="700"/>
        <w:rPr>
          <w:rFonts w:hint="eastAsia" w:ascii="宋体" w:hAnsi="宋体" w:eastAsia="宋体" w:cs="宋体"/>
          <w:szCs w:val="21"/>
          <w:highlight w:val="none"/>
        </w:rPr>
      </w:pPr>
    </w:p>
    <w:p>
      <w:pPr>
        <w:spacing w:before="240" w:beforeLines="100" w:after="240" w:afterLines="100" w:line="480" w:lineRule="exact"/>
        <w:ind w:firstLine="2940" w:firstLineChars="1400"/>
        <w:rPr>
          <w:rFonts w:hint="eastAsia" w:ascii="宋体" w:hAnsi="宋体" w:eastAsia="宋体" w:cs="宋体"/>
          <w:szCs w:val="21"/>
          <w:highlight w:val="none"/>
        </w:rPr>
      </w:pPr>
      <w:r>
        <w:rPr>
          <w:rFonts w:hint="eastAsia" w:ascii="宋体" w:hAnsi="宋体" w:eastAsia="宋体" w:cs="宋体"/>
          <w:szCs w:val="21"/>
          <w:highlight w:val="none"/>
          <w:lang w:eastAsia="zh-CN"/>
        </w:rPr>
        <w:t>投标供应商</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（单位全称、盖章）</w:t>
      </w:r>
    </w:p>
    <w:p>
      <w:pPr>
        <w:spacing w:before="240" w:beforeLines="100" w:after="240" w:afterLines="100" w:line="48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法定代表人或授权代表：</w:t>
      </w:r>
      <w:r>
        <w:rPr>
          <w:rFonts w:hint="eastAsia" w:ascii="宋体" w:hAnsi="宋体" w:eastAsia="宋体" w:cs="宋体"/>
          <w:szCs w:val="21"/>
          <w:highlight w:val="none"/>
          <w:u w:val="single"/>
        </w:rPr>
        <w:t xml:space="preserve">   （盖章或签字）           </w:t>
      </w:r>
    </w:p>
    <w:p>
      <w:pPr>
        <w:spacing w:before="240" w:beforeLines="100" w:after="240" w:afterLines="100" w:line="480" w:lineRule="exact"/>
        <w:ind w:firstLine="2940" w:firstLineChars="1400"/>
        <w:rPr>
          <w:rFonts w:hint="eastAsia" w:ascii="宋体" w:hAnsi="宋体" w:eastAsia="宋体" w:cs="宋体"/>
          <w:color w:val="000000"/>
          <w:szCs w:val="21"/>
          <w:highlight w:val="none"/>
        </w:rPr>
      </w:pPr>
      <w:r>
        <w:rPr>
          <w:rFonts w:hint="eastAsia" w:ascii="宋体" w:hAnsi="宋体" w:eastAsia="宋体" w:cs="宋体"/>
          <w:szCs w:val="21"/>
          <w:highlight w:val="none"/>
        </w:rPr>
        <w:t>投标日期：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spacing w:line="560" w:lineRule="exact"/>
        <w:jc w:val="center"/>
        <w:rPr>
          <w:rFonts w:hint="eastAsia" w:ascii="宋体" w:hAnsi="宋体" w:eastAsia="宋体" w:cs="宋体"/>
          <w:b/>
          <w:bCs/>
          <w:sz w:val="36"/>
          <w:szCs w:val="36"/>
          <w:highlight w:val="none"/>
          <w:lang w:val="en-US" w:eastAsia="zh-CN"/>
        </w:rPr>
      </w:pPr>
    </w:p>
    <w:p>
      <w:pPr>
        <w:spacing w:line="560" w:lineRule="exact"/>
        <w:jc w:val="center"/>
        <w:rPr>
          <w:rFonts w:hint="eastAsia" w:ascii="宋体" w:hAnsi="宋体" w:eastAsia="宋体" w:cs="宋体"/>
          <w:b/>
          <w:bCs/>
          <w:sz w:val="36"/>
          <w:szCs w:val="36"/>
          <w:highlight w:val="none"/>
          <w:lang w:val="en-US" w:eastAsia="zh-CN"/>
        </w:rPr>
      </w:pPr>
    </w:p>
    <w:bookmarkEnd w:id="24"/>
    <w:bookmarkEnd w:id="25"/>
    <w:bookmarkEnd w:id="26"/>
    <w:bookmarkEnd w:id="27"/>
    <w:bookmarkEnd w:id="28"/>
    <w:bookmarkEnd w:id="29"/>
    <w:p>
      <w:pPr>
        <w:spacing w:before="120" w:beforeLines="50" w:after="120" w:afterLines="50" w:line="440" w:lineRule="exact"/>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val="en-US" w:eastAsia="zh-CN"/>
        </w:rPr>
        <w:t>十一、投标供应商认为需提交的其他资料</w:t>
      </w: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before="120" w:beforeLines="50" w:after="120" w:afterLines="50" w:line="440" w:lineRule="exact"/>
        <w:jc w:val="left"/>
        <w:rPr>
          <w:rFonts w:hint="eastAsia" w:ascii="宋体" w:hAnsi="宋体" w:eastAsia="宋体" w:cs="宋体"/>
          <w:b/>
          <w:bCs/>
          <w:sz w:val="36"/>
          <w:szCs w:val="36"/>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pStyle w:val="22"/>
        <w:rPr>
          <w:rFonts w:hint="eastAsia" w:ascii="宋体" w:hAnsi="宋体" w:eastAsia="宋体" w:cs="宋体"/>
          <w:szCs w:val="21"/>
          <w:highlight w:val="none"/>
        </w:rPr>
      </w:pPr>
    </w:p>
    <w:p>
      <w:pPr>
        <w:pStyle w:val="22"/>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pStyle w:val="87"/>
        <w:spacing w:line="500" w:lineRule="exact"/>
        <w:rPr>
          <w:rFonts w:hint="eastAsia" w:ascii="宋体" w:hAnsi="宋体" w:eastAsia="宋体" w:cs="宋体"/>
          <w:sz w:val="21"/>
          <w:szCs w:val="21"/>
          <w:highlight w:val="none"/>
        </w:rPr>
      </w:pPr>
    </w:p>
    <w:p>
      <w:pPr>
        <w:pStyle w:val="87"/>
        <w:spacing w:line="500" w:lineRule="exact"/>
        <w:rPr>
          <w:rFonts w:hint="eastAsia" w:ascii="宋体" w:hAnsi="宋体" w:eastAsia="宋体" w:cs="宋体"/>
          <w:sz w:val="21"/>
          <w:szCs w:val="21"/>
          <w:highlight w:val="none"/>
        </w:rPr>
      </w:pPr>
    </w:p>
    <w:p>
      <w:pPr>
        <w:pStyle w:val="87"/>
        <w:spacing w:line="500" w:lineRule="exact"/>
        <w:rPr>
          <w:rFonts w:hint="eastAsia" w:ascii="宋体" w:hAnsi="宋体" w:eastAsia="宋体" w:cs="宋体"/>
          <w:sz w:val="21"/>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jc w:val="center"/>
        <w:rPr>
          <w:rFonts w:hint="eastAsia" w:ascii="宋体" w:hAnsi="宋体" w:eastAsia="宋体" w:cs="宋体"/>
          <w:sz w:val="24"/>
          <w:highlight w:val="none"/>
        </w:rPr>
      </w:pPr>
      <w:r>
        <w:rPr>
          <w:rFonts w:hint="eastAsia" w:ascii="宋体" w:hAnsi="宋体" w:eastAsia="宋体" w:cs="宋体"/>
          <w:b/>
          <w:bCs/>
          <w:sz w:val="36"/>
          <w:szCs w:val="36"/>
          <w:highlight w:val="none"/>
        </w:rPr>
        <w:t>本页以下无内容</w:t>
      </w:r>
    </w:p>
    <w:bookmarkEnd w:id="30"/>
    <w:sectPr>
      <w:headerReference r:id="rId6" w:type="default"/>
      <w:footerReference r:id="rId7" w:type="default"/>
      <w:footnotePr>
        <w:numFmt w:val="decimalEnclosedCircleChinese"/>
        <w:numRestart w:val="eachPage"/>
      </w:footnotePr>
      <w:pgSz w:w="11907" w:h="16840"/>
      <w:pgMar w:top="1440" w:right="1361" w:bottom="1440" w:left="1361" w:header="720" w:footer="680" w:gutter="0"/>
      <w:pgBorders>
        <w:top w:val="none" w:sz="0" w:space="0"/>
        <w:left w:val="none" w:sz="0" w:space="0"/>
        <w:bottom w:val="thinThickSmallGap" w:color="auto" w:sz="24" w:space="1"/>
        <w:right w:val="none" w:sz="0" w:space="0"/>
      </w:pgBorders>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720"/>
      <w:rPr>
        <w:rFonts w:hint="eastAsia" w:ascii="宋体" w:hAnsi="宋体"/>
        <w:b/>
        <w:sz w:val="21"/>
        <w:szCs w:val="21"/>
      </w:rPr>
    </w:pPr>
  </w:p>
  <w:p>
    <w:pPr>
      <w:pStyle w:val="25"/>
      <w:tabs>
        <w:tab w:val="right" w:pos="9089"/>
        <w:tab w:val="clear" w:pos="4153"/>
      </w:tabs>
      <w:ind w:right="720"/>
      <w:rPr>
        <w:rFonts w:hint="default"/>
        <w:lang w:val="en-US"/>
      </w:rPr>
    </w:pPr>
    <w:r>
      <w:rPr>
        <w:rFonts w:hint="eastAsia" w:ascii="宋体" w:hAnsi="宋体"/>
        <w:b/>
        <w:sz w:val="21"/>
        <w:szCs w:val="21"/>
      </w:rPr>
      <w:t>采购代理机构：</w:t>
    </w:r>
    <w:r>
      <w:rPr>
        <w:rFonts w:hint="eastAsia" w:ascii="宋体" w:hAnsi="宋体"/>
        <w:b/>
        <w:sz w:val="21"/>
        <w:szCs w:val="21"/>
        <w:lang w:val="en-US" w:eastAsia="zh-CN"/>
      </w:rPr>
      <w:t>瑞信国际项目管理有限公司</w:t>
    </w:r>
    <w:r>
      <w:rPr>
        <w:rFonts w:hint="eastAsia" w:ascii="宋体" w:hAnsi="宋体"/>
        <w:b/>
        <w:sz w:val="21"/>
        <w:szCs w:val="21"/>
        <w:lang w:val="en-US" w:eastAsia="zh-CN"/>
      </w:rPr>
      <w:tab/>
    </w:r>
    <w:r>
      <w:rPr>
        <w:rFonts w:hint="eastAsia" w:ascii="宋体" w:hAnsi="宋体"/>
        <w:b/>
        <w:sz w:val="21"/>
        <w:szCs w:val="21"/>
        <w:lang w:val="en-US"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720"/>
      <w:rPr>
        <w:rFonts w:hint="eastAsia" w:ascii="宋体" w:hAnsi="宋体"/>
        <w:b/>
        <w:sz w:val="21"/>
        <w:szCs w:val="21"/>
      </w:rPr>
    </w:pPr>
  </w:p>
  <w:p>
    <w:pPr>
      <w:pStyle w:val="25"/>
      <w:tabs>
        <w:tab w:val="right" w:pos="9089"/>
        <w:tab w:val="clear" w:pos="4153"/>
      </w:tabs>
      <w:ind w:right="720"/>
      <w:rPr>
        <w:rFonts w:hint="default"/>
        <w:lang w:val="en-US"/>
      </w:rPr>
    </w:pPr>
    <w:r>
      <w:rPr>
        <w:rFonts w:hint="eastAsia" w:ascii="宋体" w:hAnsi="宋体"/>
        <w:b/>
        <w:sz w:val="21"/>
        <w:szCs w:val="21"/>
      </w:rPr>
      <w:t>采购代理机构：</w:t>
    </w:r>
    <w:r>
      <w:rPr>
        <w:rFonts w:hint="eastAsia" w:ascii="宋体" w:hAnsi="宋体"/>
        <w:b/>
        <w:sz w:val="21"/>
        <w:szCs w:val="21"/>
        <w:lang w:val="en-US" w:eastAsia="zh-CN"/>
      </w:rPr>
      <w:t>瑞信国际项目管理有限公司</w:t>
    </w:r>
    <w:r>
      <w:rPr>
        <w:rFonts w:hint="eastAsia" w:ascii="宋体" w:hAnsi="宋体"/>
        <w:b/>
        <w:sz w:val="21"/>
        <w:szCs w:val="21"/>
        <w:lang w:val="en-US" w:eastAsia="zh-CN"/>
      </w:rPr>
      <w:tab/>
    </w:r>
    <w:r>
      <w:rPr>
        <w:rFonts w:hint="eastAsia" w:ascii="宋体" w:hAnsi="宋体"/>
        <w:b/>
        <w:sz w:val="21"/>
        <w:szCs w:val="21"/>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720"/>
      <w:rPr>
        <w:rFonts w:hint="eastAsia" w:ascii="宋体" w:hAnsi="宋体"/>
        <w:b/>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left" w:pos="416"/>
        <w:tab w:val="right" w:pos="9206"/>
      </w:tabs>
      <w:spacing w:line="240" w:lineRule="exact"/>
      <w:ind w:right="-21" w:rightChars="-10"/>
      <w:rPr>
        <w:rFonts w:hint="eastAsia" w:ascii="宋体" w:hAnsi="宋体"/>
        <w:b/>
        <w:szCs w:val="21"/>
      </w:rPr>
    </w:pPr>
  </w:p>
  <w:p>
    <w:pPr>
      <w:pBdr>
        <w:bottom w:val="double" w:color="auto" w:sz="8" w:space="1"/>
      </w:pBdr>
      <w:tabs>
        <w:tab w:val="left" w:pos="416"/>
        <w:tab w:val="right" w:pos="9206"/>
      </w:tabs>
      <w:spacing w:line="240" w:lineRule="exact"/>
      <w:ind w:right="-21" w:rightChars="-10"/>
      <w:rPr>
        <w:rFonts w:ascii="宋体" w:hAnsi="宋体"/>
        <w:b/>
        <w:szCs w:val="21"/>
      </w:rPr>
    </w:pPr>
    <w:r>
      <w:rPr>
        <w:rFonts w:hint="eastAsia" w:ascii="宋体" w:hAnsi="宋体"/>
        <w:b/>
        <w:spacing w:val="0"/>
        <w:sz w:val="21"/>
        <w:szCs w:val="21"/>
        <w:lang w:val="en-US" w:eastAsia="zh-CN"/>
      </w:rPr>
      <w:t>秦汉新城绿化养护二标段</w:t>
    </w:r>
    <w:r>
      <w:rPr>
        <w:rFonts w:hint="eastAsia" w:ascii="宋体" w:hAnsi="宋体"/>
        <w:b/>
        <w:szCs w:val="21"/>
      </w:rPr>
      <w:t xml:space="preserve"> </w:t>
    </w:r>
    <w:r>
      <w:rPr>
        <w:rFonts w:hint="eastAsia" w:ascii="宋体" w:hAnsi="宋体"/>
        <w:b/>
        <w:szCs w:val="21"/>
        <w:lang w:val="en-US" w:eastAsia="zh-CN"/>
      </w:rPr>
      <w:t xml:space="preserve">                                                 招标文件</w:t>
    </w:r>
    <w:r>
      <w:rPr>
        <w:rFonts w:ascii="宋体" w:hAnsi="宋体"/>
        <w:b/>
        <w:szCs w:val="21"/>
      </w:rPr>
      <w:tab/>
    </w:r>
    <w:r>
      <w:rPr>
        <w:rFonts w:hint="eastAsia" w:ascii="宋体" w:hAnsi="宋体"/>
        <w:b/>
        <w:szCs w:val="21"/>
      </w:rPr>
      <w:t xml:space="preserve">  </w:t>
    </w:r>
    <w:r>
      <w:rPr>
        <w:rFonts w:ascii="宋体" w:hAnsi="宋体"/>
        <w:b/>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8" w:space="1"/>
      </w:pBdr>
      <w:tabs>
        <w:tab w:val="left" w:pos="416"/>
        <w:tab w:val="right" w:pos="9206"/>
      </w:tabs>
      <w:spacing w:line="240" w:lineRule="exact"/>
      <w:ind w:right="-21" w:rightChars="-10"/>
      <w:rPr>
        <w:rFonts w:hint="eastAsia" w:ascii="宋体" w:hAnsi="宋体"/>
        <w:b/>
        <w:szCs w:val="21"/>
      </w:rPr>
    </w:pPr>
    <w:r>
      <w:rPr>
        <w:rFonts w:hint="eastAsia" w:ascii="宋体" w:hAnsi="宋体"/>
        <w:b/>
        <w:szCs w:val="21"/>
      </w:rPr>
      <w:t xml:space="preserve"> </w:t>
    </w:r>
  </w:p>
  <w:p>
    <w:pPr>
      <w:pBdr>
        <w:bottom w:val="double" w:color="auto" w:sz="8" w:space="1"/>
      </w:pBdr>
      <w:tabs>
        <w:tab w:val="left" w:pos="416"/>
        <w:tab w:val="right" w:pos="9206"/>
      </w:tabs>
      <w:spacing w:line="240" w:lineRule="exact"/>
      <w:ind w:right="-21" w:rightChars="-10"/>
      <w:rPr>
        <w:rFonts w:ascii="宋体" w:hAnsi="宋体"/>
        <w:b/>
        <w:szCs w:val="21"/>
      </w:rPr>
    </w:pPr>
    <w:r>
      <w:rPr>
        <w:rFonts w:hint="eastAsia" w:ascii="宋体" w:hAnsi="宋体"/>
        <w:b/>
        <w:spacing w:val="0"/>
        <w:sz w:val="21"/>
        <w:szCs w:val="21"/>
        <w:lang w:val="en-US" w:eastAsia="zh-CN"/>
      </w:rPr>
      <w:t>秦汉新城绿化养护二标段</w:t>
    </w:r>
    <w:r>
      <w:rPr>
        <w:rFonts w:hint="eastAsia" w:ascii="宋体" w:hAnsi="宋体"/>
        <w:b/>
        <w:szCs w:val="21"/>
      </w:rPr>
      <w:t xml:space="preserve"> </w:t>
    </w:r>
    <w:r>
      <w:rPr>
        <w:rFonts w:hint="eastAsia" w:ascii="宋体" w:hAnsi="宋体"/>
        <w:b/>
        <w:szCs w:val="21"/>
        <w:lang w:val="en-US" w:eastAsia="zh-CN"/>
      </w:rPr>
      <w:t xml:space="preserve">                                                 招标文件</w:t>
    </w:r>
    <w:r>
      <w:rPr>
        <w:rFonts w:ascii="宋体" w:hAnsi="宋体"/>
        <w:b/>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501"/>
      <w:numFmt w:val="decimal"/>
      <w:pStyle w:val="24"/>
      <w:lvlText w:val="%1节"/>
      <w:lvlJc w:val="left"/>
      <w:pPr>
        <w:tabs>
          <w:tab w:val="left" w:pos="1005"/>
        </w:tabs>
        <w:ind w:left="1005" w:hanging="1005"/>
      </w:pPr>
      <w:rPr>
        <w:rFonts w:hint="eastAsia"/>
      </w:rPr>
    </w:lvl>
  </w:abstractNum>
  <w:abstractNum w:abstractNumId="1">
    <w:nsid w:val="00000006"/>
    <w:multiLevelType w:val="multilevel"/>
    <w:tmpl w:val="00000006"/>
    <w:lvl w:ilvl="0" w:tentative="0">
      <w:start w:val="1"/>
      <w:numFmt w:val="decimal"/>
      <w:pStyle w:val="88"/>
      <w:lvlText w:val="（%1）"/>
      <w:lvlJc w:val="left"/>
      <w:pPr>
        <w:tabs>
          <w:tab w:val="left" w:pos="1560"/>
        </w:tabs>
        <w:ind w:left="1560" w:hanging="72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00000008"/>
    <w:multiLevelType w:val="singleLevel"/>
    <w:tmpl w:val="00000008"/>
    <w:lvl w:ilvl="0" w:tentative="0">
      <w:start w:val="1"/>
      <w:numFmt w:val="upperLetter"/>
      <w:pStyle w:val="4"/>
      <w:lvlText w:val="%1、"/>
      <w:lvlJc w:val="left"/>
      <w:pPr>
        <w:tabs>
          <w:tab w:val="left" w:pos="960"/>
        </w:tabs>
        <w:ind w:left="960" w:hanging="324"/>
      </w:pPr>
      <w:rPr>
        <w:rFonts w:hint="eastAsia"/>
      </w:rPr>
    </w:lvl>
  </w:abstractNum>
  <w:abstractNum w:abstractNumId="3">
    <w:nsid w:val="0000000A"/>
    <w:multiLevelType w:val="singleLevel"/>
    <w:tmpl w:val="0000000A"/>
    <w:lvl w:ilvl="0" w:tentative="0">
      <w:start w:val="1"/>
      <w:numFmt w:val="upperLetter"/>
      <w:pStyle w:val="3"/>
      <w:lvlText w:val="%1．"/>
      <w:lvlJc w:val="left"/>
      <w:pPr>
        <w:tabs>
          <w:tab w:val="left" w:pos="324"/>
        </w:tabs>
        <w:ind w:left="324" w:hanging="324"/>
      </w:pPr>
      <w:rPr>
        <w:rFonts w:hint="eastAsia"/>
      </w:rPr>
    </w:lvl>
  </w:abstractNum>
  <w:abstractNum w:abstractNumId="4">
    <w:nsid w:val="0000000D"/>
    <w:multiLevelType w:val="singleLevel"/>
    <w:tmpl w:val="0000000D"/>
    <w:lvl w:ilvl="0" w:tentative="0">
      <w:start w:val="1"/>
      <w:numFmt w:val="upperLetter"/>
      <w:pStyle w:val="5"/>
      <w:lvlText w:val="%1、"/>
      <w:lvlJc w:val="left"/>
      <w:pPr>
        <w:tabs>
          <w:tab w:val="left" w:pos="960"/>
        </w:tabs>
        <w:ind w:left="960" w:hanging="324"/>
      </w:pPr>
      <w:rPr>
        <w:rFonts w:hint="eastAsia"/>
      </w:rPr>
    </w:lvl>
  </w:abstractNum>
  <w:abstractNum w:abstractNumId="5">
    <w:nsid w:val="00000013"/>
    <w:multiLevelType w:val="multilevel"/>
    <w:tmpl w:val="00000013"/>
    <w:lvl w:ilvl="0" w:tentative="0">
      <w:start w:val="2"/>
      <w:numFmt w:val="upperLetter"/>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BDEB8F"/>
    <w:multiLevelType w:val="singleLevel"/>
    <w:tmpl w:val="12BDEB8F"/>
    <w:lvl w:ilvl="0" w:tentative="0">
      <w:start w:val="3"/>
      <w:numFmt w:val="chineseCounting"/>
      <w:suff w:val="nothing"/>
      <w:lvlText w:val="%1、"/>
      <w:lvlJc w:val="left"/>
      <w:rPr>
        <w:rFonts w:hint="eastAsia"/>
      </w:rPr>
    </w:lvl>
  </w:abstractNum>
  <w:abstractNum w:abstractNumId="7">
    <w:nsid w:val="64787966"/>
    <w:multiLevelType w:val="singleLevel"/>
    <w:tmpl w:val="64787966"/>
    <w:lvl w:ilvl="0" w:tentative="0">
      <w:start w:val="4"/>
      <w:numFmt w:val="chineseCounting"/>
      <w:suff w:val="nothing"/>
      <w:lvlText w:val="%1、"/>
      <w:lvlJc w:val="left"/>
      <w:rPr>
        <w:rFonts w:hint="eastAsia"/>
      </w:r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OWQ5MWQ2M2U4MTYyY2I3N2JjNjJjNDA2ZDk5YmIifQ=="/>
  </w:docVars>
  <w:rsids>
    <w:rsidRoot w:val="00172A27"/>
    <w:rsid w:val="0000128A"/>
    <w:rsid w:val="000076D5"/>
    <w:rsid w:val="00011C66"/>
    <w:rsid w:val="000137C3"/>
    <w:rsid w:val="00020110"/>
    <w:rsid w:val="0002147A"/>
    <w:rsid w:val="00041D9D"/>
    <w:rsid w:val="0004349A"/>
    <w:rsid w:val="00076413"/>
    <w:rsid w:val="00076DA3"/>
    <w:rsid w:val="00082BE3"/>
    <w:rsid w:val="00094161"/>
    <w:rsid w:val="000A0345"/>
    <w:rsid w:val="000B2B61"/>
    <w:rsid w:val="000B7514"/>
    <w:rsid w:val="000C381D"/>
    <w:rsid w:val="000C709B"/>
    <w:rsid w:val="00111CB0"/>
    <w:rsid w:val="00126AEF"/>
    <w:rsid w:val="00141DB2"/>
    <w:rsid w:val="00151007"/>
    <w:rsid w:val="00157F44"/>
    <w:rsid w:val="00172CD9"/>
    <w:rsid w:val="00190953"/>
    <w:rsid w:val="001939D8"/>
    <w:rsid w:val="001A03D9"/>
    <w:rsid w:val="001A2DD0"/>
    <w:rsid w:val="001C0671"/>
    <w:rsid w:val="001C7C27"/>
    <w:rsid w:val="001D051E"/>
    <w:rsid w:val="001D787F"/>
    <w:rsid w:val="001F0A56"/>
    <w:rsid w:val="00211C51"/>
    <w:rsid w:val="002304E4"/>
    <w:rsid w:val="00260F5E"/>
    <w:rsid w:val="0026528C"/>
    <w:rsid w:val="0027618C"/>
    <w:rsid w:val="00283F79"/>
    <w:rsid w:val="002A2E0A"/>
    <w:rsid w:val="002A45CD"/>
    <w:rsid w:val="002A7D62"/>
    <w:rsid w:val="002B48B9"/>
    <w:rsid w:val="002C0490"/>
    <w:rsid w:val="002D51C6"/>
    <w:rsid w:val="002E4448"/>
    <w:rsid w:val="002F1682"/>
    <w:rsid w:val="002F3354"/>
    <w:rsid w:val="0031068B"/>
    <w:rsid w:val="00324228"/>
    <w:rsid w:val="00326D99"/>
    <w:rsid w:val="003778C2"/>
    <w:rsid w:val="003921D6"/>
    <w:rsid w:val="003A6C5D"/>
    <w:rsid w:val="003B33F1"/>
    <w:rsid w:val="003C060B"/>
    <w:rsid w:val="003F177E"/>
    <w:rsid w:val="003F20A4"/>
    <w:rsid w:val="0040273F"/>
    <w:rsid w:val="00402AA6"/>
    <w:rsid w:val="00422EA6"/>
    <w:rsid w:val="00425CC6"/>
    <w:rsid w:val="00443A28"/>
    <w:rsid w:val="00446412"/>
    <w:rsid w:val="00451F98"/>
    <w:rsid w:val="004524D3"/>
    <w:rsid w:val="00467E2B"/>
    <w:rsid w:val="00474486"/>
    <w:rsid w:val="004A3257"/>
    <w:rsid w:val="004A4F68"/>
    <w:rsid w:val="004C38AA"/>
    <w:rsid w:val="004C7783"/>
    <w:rsid w:val="004D429A"/>
    <w:rsid w:val="004D5C9D"/>
    <w:rsid w:val="004D7497"/>
    <w:rsid w:val="004E0379"/>
    <w:rsid w:val="004E0F0D"/>
    <w:rsid w:val="004E2BB6"/>
    <w:rsid w:val="004E7DCD"/>
    <w:rsid w:val="004F0D6A"/>
    <w:rsid w:val="004F3197"/>
    <w:rsid w:val="00507C35"/>
    <w:rsid w:val="00510A14"/>
    <w:rsid w:val="00512B25"/>
    <w:rsid w:val="00523AC0"/>
    <w:rsid w:val="005352F9"/>
    <w:rsid w:val="0055235A"/>
    <w:rsid w:val="00567A15"/>
    <w:rsid w:val="00587DA2"/>
    <w:rsid w:val="005942B3"/>
    <w:rsid w:val="00596403"/>
    <w:rsid w:val="005967CE"/>
    <w:rsid w:val="005A1281"/>
    <w:rsid w:val="005B0D03"/>
    <w:rsid w:val="005B70FE"/>
    <w:rsid w:val="005B7EA0"/>
    <w:rsid w:val="005C102F"/>
    <w:rsid w:val="005C2A9D"/>
    <w:rsid w:val="005D543F"/>
    <w:rsid w:val="005D6C8C"/>
    <w:rsid w:val="005E2296"/>
    <w:rsid w:val="005F77EE"/>
    <w:rsid w:val="00604610"/>
    <w:rsid w:val="00613BCC"/>
    <w:rsid w:val="00620F72"/>
    <w:rsid w:val="00635EC0"/>
    <w:rsid w:val="00652753"/>
    <w:rsid w:val="00660345"/>
    <w:rsid w:val="006650ED"/>
    <w:rsid w:val="00675CB2"/>
    <w:rsid w:val="006768FF"/>
    <w:rsid w:val="00687425"/>
    <w:rsid w:val="006A0B11"/>
    <w:rsid w:val="006C4BA9"/>
    <w:rsid w:val="006C5065"/>
    <w:rsid w:val="006E0644"/>
    <w:rsid w:val="006F61DE"/>
    <w:rsid w:val="00712239"/>
    <w:rsid w:val="00730112"/>
    <w:rsid w:val="007434A4"/>
    <w:rsid w:val="00797647"/>
    <w:rsid w:val="007B3E7D"/>
    <w:rsid w:val="007C1037"/>
    <w:rsid w:val="007C17F1"/>
    <w:rsid w:val="007D351D"/>
    <w:rsid w:val="007E63F1"/>
    <w:rsid w:val="008021BC"/>
    <w:rsid w:val="0081571E"/>
    <w:rsid w:val="00816BF8"/>
    <w:rsid w:val="00820F86"/>
    <w:rsid w:val="00830C91"/>
    <w:rsid w:val="008376AD"/>
    <w:rsid w:val="00887C2A"/>
    <w:rsid w:val="008B3954"/>
    <w:rsid w:val="008B6A1A"/>
    <w:rsid w:val="008D31DD"/>
    <w:rsid w:val="008E729D"/>
    <w:rsid w:val="00914FBD"/>
    <w:rsid w:val="009155FB"/>
    <w:rsid w:val="00916E80"/>
    <w:rsid w:val="009263DC"/>
    <w:rsid w:val="00945D58"/>
    <w:rsid w:val="00955CA1"/>
    <w:rsid w:val="00960B95"/>
    <w:rsid w:val="00967C3A"/>
    <w:rsid w:val="00971C36"/>
    <w:rsid w:val="00990F30"/>
    <w:rsid w:val="009C6578"/>
    <w:rsid w:val="009D7ABD"/>
    <w:rsid w:val="009E58F9"/>
    <w:rsid w:val="009F481D"/>
    <w:rsid w:val="00A22E49"/>
    <w:rsid w:val="00A23158"/>
    <w:rsid w:val="00A34547"/>
    <w:rsid w:val="00A3685A"/>
    <w:rsid w:val="00A70F0D"/>
    <w:rsid w:val="00A974AE"/>
    <w:rsid w:val="00AA277C"/>
    <w:rsid w:val="00AA5F0A"/>
    <w:rsid w:val="00AB6A07"/>
    <w:rsid w:val="00AD6140"/>
    <w:rsid w:val="00AF0486"/>
    <w:rsid w:val="00B235E5"/>
    <w:rsid w:val="00B26525"/>
    <w:rsid w:val="00B3447C"/>
    <w:rsid w:val="00B50C1E"/>
    <w:rsid w:val="00B573FA"/>
    <w:rsid w:val="00B57ED6"/>
    <w:rsid w:val="00B6124E"/>
    <w:rsid w:val="00B72C8A"/>
    <w:rsid w:val="00BA266A"/>
    <w:rsid w:val="00BB1698"/>
    <w:rsid w:val="00BB16FF"/>
    <w:rsid w:val="00BB2B9D"/>
    <w:rsid w:val="00BB6196"/>
    <w:rsid w:val="00BC2AE0"/>
    <w:rsid w:val="00BD0502"/>
    <w:rsid w:val="00BD2C72"/>
    <w:rsid w:val="00BD3417"/>
    <w:rsid w:val="00BD47AF"/>
    <w:rsid w:val="00BE3EB2"/>
    <w:rsid w:val="00BF5284"/>
    <w:rsid w:val="00C1478D"/>
    <w:rsid w:val="00C1616D"/>
    <w:rsid w:val="00C27FBC"/>
    <w:rsid w:val="00C56F6C"/>
    <w:rsid w:val="00C86978"/>
    <w:rsid w:val="00CA62CD"/>
    <w:rsid w:val="00CA6A82"/>
    <w:rsid w:val="00CB0D1A"/>
    <w:rsid w:val="00CE3376"/>
    <w:rsid w:val="00D010D6"/>
    <w:rsid w:val="00D01465"/>
    <w:rsid w:val="00D046D8"/>
    <w:rsid w:val="00D05CB8"/>
    <w:rsid w:val="00D07C0B"/>
    <w:rsid w:val="00D1623B"/>
    <w:rsid w:val="00D16397"/>
    <w:rsid w:val="00D25DB2"/>
    <w:rsid w:val="00D26A87"/>
    <w:rsid w:val="00D33DD9"/>
    <w:rsid w:val="00D35D6F"/>
    <w:rsid w:val="00D409AD"/>
    <w:rsid w:val="00D4374E"/>
    <w:rsid w:val="00D4663D"/>
    <w:rsid w:val="00D53240"/>
    <w:rsid w:val="00D60CE1"/>
    <w:rsid w:val="00D634B7"/>
    <w:rsid w:val="00D6592D"/>
    <w:rsid w:val="00D80D96"/>
    <w:rsid w:val="00D91631"/>
    <w:rsid w:val="00D934FC"/>
    <w:rsid w:val="00D944AA"/>
    <w:rsid w:val="00D97E29"/>
    <w:rsid w:val="00DA39CA"/>
    <w:rsid w:val="00DA41E6"/>
    <w:rsid w:val="00DA45A9"/>
    <w:rsid w:val="00DB5B6F"/>
    <w:rsid w:val="00DC18D0"/>
    <w:rsid w:val="00DF1E2A"/>
    <w:rsid w:val="00E07F51"/>
    <w:rsid w:val="00E33E89"/>
    <w:rsid w:val="00E35756"/>
    <w:rsid w:val="00E42405"/>
    <w:rsid w:val="00E5187A"/>
    <w:rsid w:val="00E55746"/>
    <w:rsid w:val="00E7665D"/>
    <w:rsid w:val="00E879AB"/>
    <w:rsid w:val="00EA10C1"/>
    <w:rsid w:val="00EA3FAD"/>
    <w:rsid w:val="00EB3F9E"/>
    <w:rsid w:val="00EC0FD7"/>
    <w:rsid w:val="00EC4F35"/>
    <w:rsid w:val="00EC7BA4"/>
    <w:rsid w:val="00ED6132"/>
    <w:rsid w:val="00ED747A"/>
    <w:rsid w:val="00EF5BA2"/>
    <w:rsid w:val="00EF793E"/>
    <w:rsid w:val="00F06DDF"/>
    <w:rsid w:val="00F1020D"/>
    <w:rsid w:val="00F13837"/>
    <w:rsid w:val="00F25EC8"/>
    <w:rsid w:val="00F27084"/>
    <w:rsid w:val="00F3538D"/>
    <w:rsid w:val="00F41C96"/>
    <w:rsid w:val="00F43657"/>
    <w:rsid w:val="00F67936"/>
    <w:rsid w:val="00F71EE5"/>
    <w:rsid w:val="00F7408E"/>
    <w:rsid w:val="00F8206D"/>
    <w:rsid w:val="00F87BF6"/>
    <w:rsid w:val="00F94F09"/>
    <w:rsid w:val="00FA024F"/>
    <w:rsid w:val="00FA28E8"/>
    <w:rsid w:val="00FC3ACA"/>
    <w:rsid w:val="00FC59C2"/>
    <w:rsid w:val="00FF01CB"/>
    <w:rsid w:val="010346F4"/>
    <w:rsid w:val="01036935"/>
    <w:rsid w:val="010A38A6"/>
    <w:rsid w:val="01101675"/>
    <w:rsid w:val="01145014"/>
    <w:rsid w:val="011B3AA5"/>
    <w:rsid w:val="01240E9C"/>
    <w:rsid w:val="012F6AF1"/>
    <w:rsid w:val="01552F51"/>
    <w:rsid w:val="01554AAB"/>
    <w:rsid w:val="01574519"/>
    <w:rsid w:val="015C588F"/>
    <w:rsid w:val="016C0200"/>
    <w:rsid w:val="01742E75"/>
    <w:rsid w:val="017B498F"/>
    <w:rsid w:val="01807E62"/>
    <w:rsid w:val="018B0556"/>
    <w:rsid w:val="01A20044"/>
    <w:rsid w:val="01B12E58"/>
    <w:rsid w:val="01E772A7"/>
    <w:rsid w:val="02054BFE"/>
    <w:rsid w:val="020C5A2F"/>
    <w:rsid w:val="021212B4"/>
    <w:rsid w:val="02147B23"/>
    <w:rsid w:val="02296408"/>
    <w:rsid w:val="02370261"/>
    <w:rsid w:val="023C634C"/>
    <w:rsid w:val="023C7C4B"/>
    <w:rsid w:val="02624152"/>
    <w:rsid w:val="028916A8"/>
    <w:rsid w:val="02956BA3"/>
    <w:rsid w:val="02B21FBB"/>
    <w:rsid w:val="02B7637D"/>
    <w:rsid w:val="02BF64DD"/>
    <w:rsid w:val="02C95070"/>
    <w:rsid w:val="02C9633A"/>
    <w:rsid w:val="02CF4857"/>
    <w:rsid w:val="02E229A6"/>
    <w:rsid w:val="02E31E03"/>
    <w:rsid w:val="02E334E5"/>
    <w:rsid w:val="02F76F90"/>
    <w:rsid w:val="02FE3E7B"/>
    <w:rsid w:val="030F5924"/>
    <w:rsid w:val="03144736"/>
    <w:rsid w:val="03232949"/>
    <w:rsid w:val="03243FDD"/>
    <w:rsid w:val="03285854"/>
    <w:rsid w:val="03455BC6"/>
    <w:rsid w:val="035007E7"/>
    <w:rsid w:val="035A307B"/>
    <w:rsid w:val="03627E48"/>
    <w:rsid w:val="036334B7"/>
    <w:rsid w:val="03704155"/>
    <w:rsid w:val="03726E0A"/>
    <w:rsid w:val="037A652C"/>
    <w:rsid w:val="03890A90"/>
    <w:rsid w:val="039163D5"/>
    <w:rsid w:val="039D7511"/>
    <w:rsid w:val="03B66DE6"/>
    <w:rsid w:val="03B70D88"/>
    <w:rsid w:val="03C755C8"/>
    <w:rsid w:val="03D613E2"/>
    <w:rsid w:val="03D96335"/>
    <w:rsid w:val="03DB41BC"/>
    <w:rsid w:val="03E85574"/>
    <w:rsid w:val="03FD3ADD"/>
    <w:rsid w:val="040D48F4"/>
    <w:rsid w:val="043A7135"/>
    <w:rsid w:val="04461F7D"/>
    <w:rsid w:val="044A6C0E"/>
    <w:rsid w:val="04620439"/>
    <w:rsid w:val="04657F2A"/>
    <w:rsid w:val="04853C33"/>
    <w:rsid w:val="04CC1D57"/>
    <w:rsid w:val="04D20042"/>
    <w:rsid w:val="04D914A5"/>
    <w:rsid w:val="04E72377"/>
    <w:rsid w:val="04EF43C3"/>
    <w:rsid w:val="04FC7F43"/>
    <w:rsid w:val="05404C1F"/>
    <w:rsid w:val="054508F8"/>
    <w:rsid w:val="05517B8A"/>
    <w:rsid w:val="055643A0"/>
    <w:rsid w:val="05636CAB"/>
    <w:rsid w:val="05664B26"/>
    <w:rsid w:val="05696B2F"/>
    <w:rsid w:val="05727F5C"/>
    <w:rsid w:val="057513FF"/>
    <w:rsid w:val="05857B6F"/>
    <w:rsid w:val="05A0582F"/>
    <w:rsid w:val="05A10EED"/>
    <w:rsid w:val="05AD7DE1"/>
    <w:rsid w:val="05B83BFF"/>
    <w:rsid w:val="05D9127F"/>
    <w:rsid w:val="05E07EC1"/>
    <w:rsid w:val="060B4371"/>
    <w:rsid w:val="06253E14"/>
    <w:rsid w:val="06361C06"/>
    <w:rsid w:val="064415F4"/>
    <w:rsid w:val="064F0A6E"/>
    <w:rsid w:val="06662200"/>
    <w:rsid w:val="06662719"/>
    <w:rsid w:val="0686267D"/>
    <w:rsid w:val="068A3588"/>
    <w:rsid w:val="068E5516"/>
    <w:rsid w:val="06983C5B"/>
    <w:rsid w:val="06AC1E40"/>
    <w:rsid w:val="06B87F57"/>
    <w:rsid w:val="06C469CF"/>
    <w:rsid w:val="06C71857"/>
    <w:rsid w:val="06E8505E"/>
    <w:rsid w:val="0700565B"/>
    <w:rsid w:val="070C28DE"/>
    <w:rsid w:val="0714309F"/>
    <w:rsid w:val="072576B4"/>
    <w:rsid w:val="074239A5"/>
    <w:rsid w:val="074D3623"/>
    <w:rsid w:val="075C1AB8"/>
    <w:rsid w:val="076B52E1"/>
    <w:rsid w:val="077C69D1"/>
    <w:rsid w:val="07972AF0"/>
    <w:rsid w:val="07A174CB"/>
    <w:rsid w:val="07A6748A"/>
    <w:rsid w:val="07BB6BC6"/>
    <w:rsid w:val="07C3629F"/>
    <w:rsid w:val="07CC09EB"/>
    <w:rsid w:val="07DD00E3"/>
    <w:rsid w:val="07FA45FD"/>
    <w:rsid w:val="08002443"/>
    <w:rsid w:val="080261BB"/>
    <w:rsid w:val="08037AB1"/>
    <w:rsid w:val="08055CAB"/>
    <w:rsid w:val="080A5070"/>
    <w:rsid w:val="081C6EE5"/>
    <w:rsid w:val="083F0F18"/>
    <w:rsid w:val="085530EF"/>
    <w:rsid w:val="085A706A"/>
    <w:rsid w:val="086B69B4"/>
    <w:rsid w:val="08715531"/>
    <w:rsid w:val="08744BDF"/>
    <w:rsid w:val="089D322D"/>
    <w:rsid w:val="08A31EFC"/>
    <w:rsid w:val="08AE1625"/>
    <w:rsid w:val="08B3524C"/>
    <w:rsid w:val="08B45776"/>
    <w:rsid w:val="08B57863"/>
    <w:rsid w:val="08B74776"/>
    <w:rsid w:val="08BB3547"/>
    <w:rsid w:val="08C416C3"/>
    <w:rsid w:val="08CB05F4"/>
    <w:rsid w:val="08FD60DC"/>
    <w:rsid w:val="09051375"/>
    <w:rsid w:val="09181A0E"/>
    <w:rsid w:val="091B682D"/>
    <w:rsid w:val="09524F20"/>
    <w:rsid w:val="095F3199"/>
    <w:rsid w:val="097209D4"/>
    <w:rsid w:val="098D223F"/>
    <w:rsid w:val="09905A49"/>
    <w:rsid w:val="099E2384"/>
    <w:rsid w:val="09AB05A5"/>
    <w:rsid w:val="09BF4B21"/>
    <w:rsid w:val="09C53944"/>
    <w:rsid w:val="09E10B06"/>
    <w:rsid w:val="09F9539C"/>
    <w:rsid w:val="0A014251"/>
    <w:rsid w:val="0A073F5D"/>
    <w:rsid w:val="0A0C3CA7"/>
    <w:rsid w:val="0A2F4EB9"/>
    <w:rsid w:val="0A2F5262"/>
    <w:rsid w:val="0A410AF1"/>
    <w:rsid w:val="0A4F76B2"/>
    <w:rsid w:val="0A570AB1"/>
    <w:rsid w:val="0A73514E"/>
    <w:rsid w:val="0AB614DF"/>
    <w:rsid w:val="0AB81E6D"/>
    <w:rsid w:val="0ABF1ED2"/>
    <w:rsid w:val="0ACE279A"/>
    <w:rsid w:val="0ACF3715"/>
    <w:rsid w:val="0AD16255"/>
    <w:rsid w:val="0AE0655C"/>
    <w:rsid w:val="0AEA10B8"/>
    <w:rsid w:val="0AF0297D"/>
    <w:rsid w:val="0B050F7D"/>
    <w:rsid w:val="0B175001"/>
    <w:rsid w:val="0B2B3C7B"/>
    <w:rsid w:val="0B3529AC"/>
    <w:rsid w:val="0B391BB2"/>
    <w:rsid w:val="0B5D1426"/>
    <w:rsid w:val="0B624C38"/>
    <w:rsid w:val="0B804A49"/>
    <w:rsid w:val="0B8A482D"/>
    <w:rsid w:val="0B8C6076"/>
    <w:rsid w:val="0B8F6477"/>
    <w:rsid w:val="0BC8771C"/>
    <w:rsid w:val="0BCF0AAA"/>
    <w:rsid w:val="0BD7351C"/>
    <w:rsid w:val="0BE72A16"/>
    <w:rsid w:val="0BF003AB"/>
    <w:rsid w:val="0C0C4E6D"/>
    <w:rsid w:val="0C113F9D"/>
    <w:rsid w:val="0C141A57"/>
    <w:rsid w:val="0C370A3F"/>
    <w:rsid w:val="0C515100"/>
    <w:rsid w:val="0C8E2BD8"/>
    <w:rsid w:val="0CE1639D"/>
    <w:rsid w:val="0CE632A9"/>
    <w:rsid w:val="0CE67AB5"/>
    <w:rsid w:val="0D075066"/>
    <w:rsid w:val="0D0903D8"/>
    <w:rsid w:val="0D0B5B12"/>
    <w:rsid w:val="0D125F29"/>
    <w:rsid w:val="0D1349C7"/>
    <w:rsid w:val="0D35353B"/>
    <w:rsid w:val="0D3D4A35"/>
    <w:rsid w:val="0D3D5CC6"/>
    <w:rsid w:val="0D646964"/>
    <w:rsid w:val="0D742B02"/>
    <w:rsid w:val="0D7770DA"/>
    <w:rsid w:val="0D8F0EF3"/>
    <w:rsid w:val="0D9316D5"/>
    <w:rsid w:val="0D9378B6"/>
    <w:rsid w:val="0DAF1F1A"/>
    <w:rsid w:val="0DB35B67"/>
    <w:rsid w:val="0DB70DF8"/>
    <w:rsid w:val="0DD107C1"/>
    <w:rsid w:val="0DD31038"/>
    <w:rsid w:val="0DDA54E4"/>
    <w:rsid w:val="0DDB092F"/>
    <w:rsid w:val="0DDE6DB3"/>
    <w:rsid w:val="0DEB5AA2"/>
    <w:rsid w:val="0DFC52CF"/>
    <w:rsid w:val="0E1A327A"/>
    <w:rsid w:val="0E201144"/>
    <w:rsid w:val="0E2B3A9D"/>
    <w:rsid w:val="0E2C508F"/>
    <w:rsid w:val="0E437F9D"/>
    <w:rsid w:val="0E467439"/>
    <w:rsid w:val="0E8C6ABD"/>
    <w:rsid w:val="0EAB6243"/>
    <w:rsid w:val="0EB00711"/>
    <w:rsid w:val="0EB63BD8"/>
    <w:rsid w:val="0EBC08CB"/>
    <w:rsid w:val="0EC8358F"/>
    <w:rsid w:val="0EC979ED"/>
    <w:rsid w:val="0ECF1787"/>
    <w:rsid w:val="0EDF091F"/>
    <w:rsid w:val="0EE12346"/>
    <w:rsid w:val="0EE44AC3"/>
    <w:rsid w:val="0EEE0111"/>
    <w:rsid w:val="0EFB7A9C"/>
    <w:rsid w:val="0EFF504D"/>
    <w:rsid w:val="0F176BD3"/>
    <w:rsid w:val="0F2A70C9"/>
    <w:rsid w:val="0F41676A"/>
    <w:rsid w:val="0F4470B9"/>
    <w:rsid w:val="0F4C5A66"/>
    <w:rsid w:val="0F5B3A48"/>
    <w:rsid w:val="0F740A37"/>
    <w:rsid w:val="0F851480"/>
    <w:rsid w:val="0F9927DF"/>
    <w:rsid w:val="0F994075"/>
    <w:rsid w:val="0F9E1FC7"/>
    <w:rsid w:val="0FD3668F"/>
    <w:rsid w:val="0FDD060B"/>
    <w:rsid w:val="0FF46997"/>
    <w:rsid w:val="101F39C3"/>
    <w:rsid w:val="10455EAF"/>
    <w:rsid w:val="10560798"/>
    <w:rsid w:val="106D2647"/>
    <w:rsid w:val="107D5927"/>
    <w:rsid w:val="109167D7"/>
    <w:rsid w:val="109919E1"/>
    <w:rsid w:val="10BB33AB"/>
    <w:rsid w:val="10C4485C"/>
    <w:rsid w:val="10D86EA2"/>
    <w:rsid w:val="10DF38DB"/>
    <w:rsid w:val="10E5419C"/>
    <w:rsid w:val="10E8616A"/>
    <w:rsid w:val="110F3AE3"/>
    <w:rsid w:val="112F592E"/>
    <w:rsid w:val="11437B92"/>
    <w:rsid w:val="11500382"/>
    <w:rsid w:val="1173012A"/>
    <w:rsid w:val="11823CAB"/>
    <w:rsid w:val="11A41CAB"/>
    <w:rsid w:val="11B13995"/>
    <w:rsid w:val="11B147AE"/>
    <w:rsid w:val="11C268F4"/>
    <w:rsid w:val="11C42733"/>
    <w:rsid w:val="11CE35B2"/>
    <w:rsid w:val="11E72CB8"/>
    <w:rsid w:val="11F56D91"/>
    <w:rsid w:val="11F70536"/>
    <w:rsid w:val="11FE21B2"/>
    <w:rsid w:val="12070B87"/>
    <w:rsid w:val="121E3667"/>
    <w:rsid w:val="122512A7"/>
    <w:rsid w:val="122519A0"/>
    <w:rsid w:val="12255B5C"/>
    <w:rsid w:val="12450324"/>
    <w:rsid w:val="12485112"/>
    <w:rsid w:val="124F5D45"/>
    <w:rsid w:val="125445FB"/>
    <w:rsid w:val="125C0BBE"/>
    <w:rsid w:val="12665599"/>
    <w:rsid w:val="126D40D3"/>
    <w:rsid w:val="12710E9C"/>
    <w:rsid w:val="12750F61"/>
    <w:rsid w:val="127F665A"/>
    <w:rsid w:val="1282771C"/>
    <w:rsid w:val="12900C1A"/>
    <w:rsid w:val="12963A75"/>
    <w:rsid w:val="12971F49"/>
    <w:rsid w:val="12BF5E24"/>
    <w:rsid w:val="12C9527E"/>
    <w:rsid w:val="12D63AC6"/>
    <w:rsid w:val="12DF0826"/>
    <w:rsid w:val="12EC1885"/>
    <w:rsid w:val="12F56C63"/>
    <w:rsid w:val="1348468D"/>
    <w:rsid w:val="134A6C68"/>
    <w:rsid w:val="1360599E"/>
    <w:rsid w:val="137140A7"/>
    <w:rsid w:val="137934CE"/>
    <w:rsid w:val="137A7C19"/>
    <w:rsid w:val="137C5ECD"/>
    <w:rsid w:val="13837595"/>
    <w:rsid w:val="138F691D"/>
    <w:rsid w:val="13A91BE1"/>
    <w:rsid w:val="13C31C76"/>
    <w:rsid w:val="13ED1E9D"/>
    <w:rsid w:val="13F76DF0"/>
    <w:rsid w:val="140D6614"/>
    <w:rsid w:val="142F6C43"/>
    <w:rsid w:val="14381330"/>
    <w:rsid w:val="143E36CE"/>
    <w:rsid w:val="14507D3E"/>
    <w:rsid w:val="145144DD"/>
    <w:rsid w:val="14530688"/>
    <w:rsid w:val="145B003E"/>
    <w:rsid w:val="145C302F"/>
    <w:rsid w:val="1460685B"/>
    <w:rsid w:val="147031DB"/>
    <w:rsid w:val="14A764CD"/>
    <w:rsid w:val="14B15E41"/>
    <w:rsid w:val="14B22D17"/>
    <w:rsid w:val="14B44864"/>
    <w:rsid w:val="14D40EDF"/>
    <w:rsid w:val="150B1775"/>
    <w:rsid w:val="15166F42"/>
    <w:rsid w:val="15252FEA"/>
    <w:rsid w:val="15255361"/>
    <w:rsid w:val="153E1E87"/>
    <w:rsid w:val="154A2F50"/>
    <w:rsid w:val="155D7127"/>
    <w:rsid w:val="156A0C6F"/>
    <w:rsid w:val="15756842"/>
    <w:rsid w:val="1576678F"/>
    <w:rsid w:val="157C427B"/>
    <w:rsid w:val="15822FE1"/>
    <w:rsid w:val="158E459C"/>
    <w:rsid w:val="159961D2"/>
    <w:rsid w:val="15AD0F32"/>
    <w:rsid w:val="15B97253"/>
    <w:rsid w:val="15BD5E17"/>
    <w:rsid w:val="15DF669E"/>
    <w:rsid w:val="15EB1F0E"/>
    <w:rsid w:val="15ED129F"/>
    <w:rsid w:val="15F072F0"/>
    <w:rsid w:val="161A0AD5"/>
    <w:rsid w:val="161C2AE8"/>
    <w:rsid w:val="16313926"/>
    <w:rsid w:val="163360DA"/>
    <w:rsid w:val="16392D2C"/>
    <w:rsid w:val="164756E1"/>
    <w:rsid w:val="16B8213B"/>
    <w:rsid w:val="16C23472"/>
    <w:rsid w:val="16D331EA"/>
    <w:rsid w:val="16FF0BDD"/>
    <w:rsid w:val="17005FBC"/>
    <w:rsid w:val="170671B4"/>
    <w:rsid w:val="17147CB9"/>
    <w:rsid w:val="17232F02"/>
    <w:rsid w:val="172566BF"/>
    <w:rsid w:val="17285CDB"/>
    <w:rsid w:val="17435EA8"/>
    <w:rsid w:val="177C7BEE"/>
    <w:rsid w:val="1785658A"/>
    <w:rsid w:val="17922C50"/>
    <w:rsid w:val="17982698"/>
    <w:rsid w:val="17987B29"/>
    <w:rsid w:val="17AF25C7"/>
    <w:rsid w:val="17C6633C"/>
    <w:rsid w:val="17D82143"/>
    <w:rsid w:val="18034A5F"/>
    <w:rsid w:val="18043658"/>
    <w:rsid w:val="180E2338"/>
    <w:rsid w:val="182C4B8E"/>
    <w:rsid w:val="183028D1"/>
    <w:rsid w:val="18383E4B"/>
    <w:rsid w:val="18417606"/>
    <w:rsid w:val="185136A5"/>
    <w:rsid w:val="18537BB1"/>
    <w:rsid w:val="185679C1"/>
    <w:rsid w:val="186A5E02"/>
    <w:rsid w:val="18707171"/>
    <w:rsid w:val="18800BFD"/>
    <w:rsid w:val="1880142B"/>
    <w:rsid w:val="18862E38"/>
    <w:rsid w:val="188A6965"/>
    <w:rsid w:val="188F284E"/>
    <w:rsid w:val="18962CA0"/>
    <w:rsid w:val="189D3DC1"/>
    <w:rsid w:val="18A33400"/>
    <w:rsid w:val="18AD2E28"/>
    <w:rsid w:val="18AE68FA"/>
    <w:rsid w:val="18BC7E5B"/>
    <w:rsid w:val="18E26AB2"/>
    <w:rsid w:val="18E63B17"/>
    <w:rsid w:val="1905604B"/>
    <w:rsid w:val="190C6BF0"/>
    <w:rsid w:val="191055A0"/>
    <w:rsid w:val="192A5572"/>
    <w:rsid w:val="19342BCD"/>
    <w:rsid w:val="193E726F"/>
    <w:rsid w:val="19423FBC"/>
    <w:rsid w:val="19460D0C"/>
    <w:rsid w:val="19710E34"/>
    <w:rsid w:val="1984369C"/>
    <w:rsid w:val="19AA2C22"/>
    <w:rsid w:val="19B47B74"/>
    <w:rsid w:val="19CA335A"/>
    <w:rsid w:val="19CE160F"/>
    <w:rsid w:val="19E731A7"/>
    <w:rsid w:val="19EA432E"/>
    <w:rsid w:val="19ED2C14"/>
    <w:rsid w:val="1A002CDD"/>
    <w:rsid w:val="1A005B74"/>
    <w:rsid w:val="1A1062AD"/>
    <w:rsid w:val="1A2E1092"/>
    <w:rsid w:val="1A471613"/>
    <w:rsid w:val="1A4772FE"/>
    <w:rsid w:val="1A5328A6"/>
    <w:rsid w:val="1A5B149D"/>
    <w:rsid w:val="1A6D08A4"/>
    <w:rsid w:val="1A7F4EF4"/>
    <w:rsid w:val="1A8A3DEE"/>
    <w:rsid w:val="1A970527"/>
    <w:rsid w:val="1AB86765"/>
    <w:rsid w:val="1ABA46D4"/>
    <w:rsid w:val="1AC40A4B"/>
    <w:rsid w:val="1ACC000D"/>
    <w:rsid w:val="1AD339E7"/>
    <w:rsid w:val="1AE04F9D"/>
    <w:rsid w:val="1AF75928"/>
    <w:rsid w:val="1B027E29"/>
    <w:rsid w:val="1B1726C6"/>
    <w:rsid w:val="1B186618"/>
    <w:rsid w:val="1B2702C6"/>
    <w:rsid w:val="1B2732BF"/>
    <w:rsid w:val="1B2A15ED"/>
    <w:rsid w:val="1B396375"/>
    <w:rsid w:val="1B3A3976"/>
    <w:rsid w:val="1B4608D9"/>
    <w:rsid w:val="1B492D72"/>
    <w:rsid w:val="1B4E42CC"/>
    <w:rsid w:val="1B5301B1"/>
    <w:rsid w:val="1B5A57C3"/>
    <w:rsid w:val="1B6F7F29"/>
    <w:rsid w:val="1B860BA9"/>
    <w:rsid w:val="1B8A054A"/>
    <w:rsid w:val="1B8D1DE8"/>
    <w:rsid w:val="1BA101F5"/>
    <w:rsid w:val="1BA17641"/>
    <w:rsid w:val="1BA23AE5"/>
    <w:rsid w:val="1BAB7CCE"/>
    <w:rsid w:val="1BB61597"/>
    <w:rsid w:val="1BB90E2F"/>
    <w:rsid w:val="1BC021BE"/>
    <w:rsid w:val="1BC51582"/>
    <w:rsid w:val="1BC81AE9"/>
    <w:rsid w:val="1BE428CB"/>
    <w:rsid w:val="1BF41E67"/>
    <w:rsid w:val="1BF446D7"/>
    <w:rsid w:val="1BFA3188"/>
    <w:rsid w:val="1C024B34"/>
    <w:rsid w:val="1C135551"/>
    <w:rsid w:val="1C1D42D9"/>
    <w:rsid w:val="1C1E586D"/>
    <w:rsid w:val="1C394721"/>
    <w:rsid w:val="1C7B6B94"/>
    <w:rsid w:val="1C8431EB"/>
    <w:rsid w:val="1C864ABA"/>
    <w:rsid w:val="1C881B0F"/>
    <w:rsid w:val="1C8946E0"/>
    <w:rsid w:val="1CA610F3"/>
    <w:rsid w:val="1CAD7F0F"/>
    <w:rsid w:val="1CB12B30"/>
    <w:rsid w:val="1CC42C1F"/>
    <w:rsid w:val="1CCB646F"/>
    <w:rsid w:val="1CCC28FF"/>
    <w:rsid w:val="1CCE4466"/>
    <w:rsid w:val="1CD70A79"/>
    <w:rsid w:val="1CD83F01"/>
    <w:rsid w:val="1CE578F5"/>
    <w:rsid w:val="1CE6227F"/>
    <w:rsid w:val="1D032C7E"/>
    <w:rsid w:val="1D156318"/>
    <w:rsid w:val="1D1A669A"/>
    <w:rsid w:val="1D2160CD"/>
    <w:rsid w:val="1D2C027C"/>
    <w:rsid w:val="1D2C40BC"/>
    <w:rsid w:val="1D3D1F24"/>
    <w:rsid w:val="1D3F7112"/>
    <w:rsid w:val="1D4330A6"/>
    <w:rsid w:val="1D471EA2"/>
    <w:rsid w:val="1D4C152D"/>
    <w:rsid w:val="1D4E37F9"/>
    <w:rsid w:val="1D541CE3"/>
    <w:rsid w:val="1D5F732F"/>
    <w:rsid w:val="1D665CDA"/>
    <w:rsid w:val="1D925B3A"/>
    <w:rsid w:val="1DA03868"/>
    <w:rsid w:val="1DA65F73"/>
    <w:rsid w:val="1DA86679"/>
    <w:rsid w:val="1DCC647F"/>
    <w:rsid w:val="1DE03D31"/>
    <w:rsid w:val="1E0930CF"/>
    <w:rsid w:val="1E1C65F9"/>
    <w:rsid w:val="1E2E3853"/>
    <w:rsid w:val="1E415C46"/>
    <w:rsid w:val="1E447858"/>
    <w:rsid w:val="1E5D1F46"/>
    <w:rsid w:val="1E8E6339"/>
    <w:rsid w:val="1E93077E"/>
    <w:rsid w:val="1E983DE3"/>
    <w:rsid w:val="1EA20C50"/>
    <w:rsid w:val="1EA26A70"/>
    <w:rsid w:val="1EA50E93"/>
    <w:rsid w:val="1EA9090A"/>
    <w:rsid w:val="1EC47672"/>
    <w:rsid w:val="1EC73863"/>
    <w:rsid w:val="1EDC5FC3"/>
    <w:rsid w:val="1EFD0799"/>
    <w:rsid w:val="1EFD265C"/>
    <w:rsid w:val="1F026F61"/>
    <w:rsid w:val="1F1577AA"/>
    <w:rsid w:val="1F394761"/>
    <w:rsid w:val="1F4246A9"/>
    <w:rsid w:val="1F4F7D4D"/>
    <w:rsid w:val="1F5763BB"/>
    <w:rsid w:val="1F67589F"/>
    <w:rsid w:val="1F68436E"/>
    <w:rsid w:val="1F6C0CB6"/>
    <w:rsid w:val="1F6C2376"/>
    <w:rsid w:val="1F877DA2"/>
    <w:rsid w:val="1F8B3820"/>
    <w:rsid w:val="1F9F595B"/>
    <w:rsid w:val="1FA604F6"/>
    <w:rsid w:val="1FA85442"/>
    <w:rsid w:val="1FA937E4"/>
    <w:rsid w:val="1FBE6A14"/>
    <w:rsid w:val="1FBF278C"/>
    <w:rsid w:val="1FD34602"/>
    <w:rsid w:val="2004485B"/>
    <w:rsid w:val="20063150"/>
    <w:rsid w:val="200B1492"/>
    <w:rsid w:val="200C10FE"/>
    <w:rsid w:val="20152D31"/>
    <w:rsid w:val="202379FD"/>
    <w:rsid w:val="2033133E"/>
    <w:rsid w:val="2039529F"/>
    <w:rsid w:val="203F2867"/>
    <w:rsid w:val="205B38CC"/>
    <w:rsid w:val="20735A50"/>
    <w:rsid w:val="20783067"/>
    <w:rsid w:val="207F2647"/>
    <w:rsid w:val="208233C0"/>
    <w:rsid w:val="2084649B"/>
    <w:rsid w:val="20947EF1"/>
    <w:rsid w:val="209723AB"/>
    <w:rsid w:val="20983C8D"/>
    <w:rsid w:val="20A13AD8"/>
    <w:rsid w:val="20A50BF5"/>
    <w:rsid w:val="20AE68C5"/>
    <w:rsid w:val="20B35E4D"/>
    <w:rsid w:val="20B63B8F"/>
    <w:rsid w:val="20CD2BCE"/>
    <w:rsid w:val="20D74F87"/>
    <w:rsid w:val="20DC771D"/>
    <w:rsid w:val="20FD35BB"/>
    <w:rsid w:val="21061C69"/>
    <w:rsid w:val="211D51F5"/>
    <w:rsid w:val="21324450"/>
    <w:rsid w:val="214D7707"/>
    <w:rsid w:val="21743712"/>
    <w:rsid w:val="218C3DB5"/>
    <w:rsid w:val="21A954A2"/>
    <w:rsid w:val="21B67162"/>
    <w:rsid w:val="21C95CAE"/>
    <w:rsid w:val="21F46927"/>
    <w:rsid w:val="22022DCA"/>
    <w:rsid w:val="220F745F"/>
    <w:rsid w:val="22142C3C"/>
    <w:rsid w:val="22147AE6"/>
    <w:rsid w:val="221E7C3E"/>
    <w:rsid w:val="222334A6"/>
    <w:rsid w:val="222D1B2B"/>
    <w:rsid w:val="22356D36"/>
    <w:rsid w:val="22433200"/>
    <w:rsid w:val="2247668D"/>
    <w:rsid w:val="225E43CA"/>
    <w:rsid w:val="22703116"/>
    <w:rsid w:val="22791318"/>
    <w:rsid w:val="228757E3"/>
    <w:rsid w:val="228C5F7E"/>
    <w:rsid w:val="22904326"/>
    <w:rsid w:val="229972C4"/>
    <w:rsid w:val="22B12860"/>
    <w:rsid w:val="22BB0C47"/>
    <w:rsid w:val="22C660A9"/>
    <w:rsid w:val="22C966DE"/>
    <w:rsid w:val="22F84534"/>
    <w:rsid w:val="22FA070F"/>
    <w:rsid w:val="230252E2"/>
    <w:rsid w:val="23285391"/>
    <w:rsid w:val="234C5294"/>
    <w:rsid w:val="234C6FB6"/>
    <w:rsid w:val="236424EE"/>
    <w:rsid w:val="236E3C6A"/>
    <w:rsid w:val="23780AF0"/>
    <w:rsid w:val="23923E7C"/>
    <w:rsid w:val="2393748F"/>
    <w:rsid w:val="23A947FE"/>
    <w:rsid w:val="23C82F67"/>
    <w:rsid w:val="23D44DC4"/>
    <w:rsid w:val="23D861F3"/>
    <w:rsid w:val="23DC390D"/>
    <w:rsid w:val="23E84D47"/>
    <w:rsid w:val="23EC4099"/>
    <w:rsid w:val="24005171"/>
    <w:rsid w:val="240D166A"/>
    <w:rsid w:val="24180B62"/>
    <w:rsid w:val="24326158"/>
    <w:rsid w:val="24352285"/>
    <w:rsid w:val="24506EB2"/>
    <w:rsid w:val="24516187"/>
    <w:rsid w:val="24553A5B"/>
    <w:rsid w:val="246C4A32"/>
    <w:rsid w:val="247022A7"/>
    <w:rsid w:val="247B0287"/>
    <w:rsid w:val="24865C29"/>
    <w:rsid w:val="248B4780"/>
    <w:rsid w:val="249B610B"/>
    <w:rsid w:val="24A33CB5"/>
    <w:rsid w:val="24B71C84"/>
    <w:rsid w:val="24D05F43"/>
    <w:rsid w:val="24EB08EA"/>
    <w:rsid w:val="24EF58CD"/>
    <w:rsid w:val="250F5524"/>
    <w:rsid w:val="251F1A45"/>
    <w:rsid w:val="25220DDB"/>
    <w:rsid w:val="25396B3D"/>
    <w:rsid w:val="25406624"/>
    <w:rsid w:val="2552693C"/>
    <w:rsid w:val="256C0CC0"/>
    <w:rsid w:val="2571178B"/>
    <w:rsid w:val="25776E9A"/>
    <w:rsid w:val="25792CFE"/>
    <w:rsid w:val="257A33DD"/>
    <w:rsid w:val="2591530F"/>
    <w:rsid w:val="25997FCE"/>
    <w:rsid w:val="259F1087"/>
    <w:rsid w:val="25B162EA"/>
    <w:rsid w:val="25BD32CA"/>
    <w:rsid w:val="25C8309C"/>
    <w:rsid w:val="25D479F8"/>
    <w:rsid w:val="25F80EDB"/>
    <w:rsid w:val="260C5E8C"/>
    <w:rsid w:val="261A5477"/>
    <w:rsid w:val="263A0DBE"/>
    <w:rsid w:val="26441E0E"/>
    <w:rsid w:val="26490113"/>
    <w:rsid w:val="266F3533"/>
    <w:rsid w:val="26795443"/>
    <w:rsid w:val="267C17D4"/>
    <w:rsid w:val="2690676A"/>
    <w:rsid w:val="269404CF"/>
    <w:rsid w:val="269A1F58"/>
    <w:rsid w:val="26B44EED"/>
    <w:rsid w:val="26BE4DB1"/>
    <w:rsid w:val="26C814B7"/>
    <w:rsid w:val="26E50D2A"/>
    <w:rsid w:val="26FA1EC1"/>
    <w:rsid w:val="27180336"/>
    <w:rsid w:val="271A6671"/>
    <w:rsid w:val="272428A8"/>
    <w:rsid w:val="272538F9"/>
    <w:rsid w:val="27405AFE"/>
    <w:rsid w:val="27737178"/>
    <w:rsid w:val="278542BB"/>
    <w:rsid w:val="27883E35"/>
    <w:rsid w:val="27890DBD"/>
    <w:rsid w:val="27A830DE"/>
    <w:rsid w:val="27AE55C0"/>
    <w:rsid w:val="27E72880"/>
    <w:rsid w:val="28102E9F"/>
    <w:rsid w:val="2843542F"/>
    <w:rsid w:val="2874680A"/>
    <w:rsid w:val="28797BAE"/>
    <w:rsid w:val="287F2012"/>
    <w:rsid w:val="288B091E"/>
    <w:rsid w:val="289724F8"/>
    <w:rsid w:val="289F5BDD"/>
    <w:rsid w:val="28BD5C89"/>
    <w:rsid w:val="28C16F41"/>
    <w:rsid w:val="28C64B8B"/>
    <w:rsid w:val="28D834B6"/>
    <w:rsid w:val="28D9666D"/>
    <w:rsid w:val="28DA1F8B"/>
    <w:rsid w:val="28DB2CEA"/>
    <w:rsid w:val="28DE0F0C"/>
    <w:rsid w:val="28E13773"/>
    <w:rsid w:val="28E277F3"/>
    <w:rsid w:val="28E35B89"/>
    <w:rsid w:val="28EF0DD1"/>
    <w:rsid w:val="28F242BC"/>
    <w:rsid w:val="28F56978"/>
    <w:rsid w:val="290851A4"/>
    <w:rsid w:val="290B0ADA"/>
    <w:rsid w:val="292D0766"/>
    <w:rsid w:val="29345F99"/>
    <w:rsid w:val="293F408B"/>
    <w:rsid w:val="294417F8"/>
    <w:rsid w:val="294C32E2"/>
    <w:rsid w:val="294E4BC3"/>
    <w:rsid w:val="29590AB8"/>
    <w:rsid w:val="29666F8A"/>
    <w:rsid w:val="29712D49"/>
    <w:rsid w:val="29746D21"/>
    <w:rsid w:val="29842A7C"/>
    <w:rsid w:val="2988673D"/>
    <w:rsid w:val="29AF15C3"/>
    <w:rsid w:val="29B278A6"/>
    <w:rsid w:val="29C72969"/>
    <w:rsid w:val="29D47989"/>
    <w:rsid w:val="29D7363B"/>
    <w:rsid w:val="29E25D55"/>
    <w:rsid w:val="29E66F7F"/>
    <w:rsid w:val="2A077209"/>
    <w:rsid w:val="2A1C6ED5"/>
    <w:rsid w:val="2A1D4493"/>
    <w:rsid w:val="2A2E0C3A"/>
    <w:rsid w:val="2A33461A"/>
    <w:rsid w:val="2A480EEE"/>
    <w:rsid w:val="2A5340F6"/>
    <w:rsid w:val="2A73664D"/>
    <w:rsid w:val="2A7744A6"/>
    <w:rsid w:val="2A78682C"/>
    <w:rsid w:val="2A832B5A"/>
    <w:rsid w:val="2A8409AC"/>
    <w:rsid w:val="2AA35184"/>
    <w:rsid w:val="2ABD41BE"/>
    <w:rsid w:val="2AED55A5"/>
    <w:rsid w:val="2AF7102C"/>
    <w:rsid w:val="2B02634F"/>
    <w:rsid w:val="2B0A0C70"/>
    <w:rsid w:val="2B0D39F1"/>
    <w:rsid w:val="2B133EB0"/>
    <w:rsid w:val="2B2F6A18"/>
    <w:rsid w:val="2B6A7CE9"/>
    <w:rsid w:val="2B774B23"/>
    <w:rsid w:val="2B8054C5"/>
    <w:rsid w:val="2B8A0391"/>
    <w:rsid w:val="2B930BAA"/>
    <w:rsid w:val="2B934B7D"/>
    <w:rsid w:val="2BB3723C"/>
    <w:rsid w:val="2BB979A3"/>
    <w:rsid w:val="2BBD151B"/>
    <w:rsid w:val="2BDE21B0"/>
    <w:rsid w:val="2BEF4F80"/>
    <w:rsid w:val="2BF6628B"/>
    <w:rsid w:val="2C4627CA"/>
    <w:rsid w:val="2C482126"/>
    <w:rsid w:val="2C4C48F9"/>
    <w:rsid w:val="2C4F78A5"/>
    <w:rsid w:val="2C866B0B"/>
    <w:rsid w:val="2C9A5EB8"/>
    <w:rsid w:val="2CAB2817"/>
    <w:rsid w:val="2CC37841"/>
    <w:rsid w:val="2CCF4463"/>
    <w:rsid w:val="2CD13F96"/>
    <w:rsid w:val="2CD21D51"/>
    <w:rsid w:val="2CD535EF"/>
    <w:rsid w:val="2CDA42A3"/>
    <w:rsid w:val="2CE24A67"/>
    <w:rsid w:val="2CEA5A8C"/>
    <w:rsid w:val="2CFD3520"/>
    <w:rsid w:val="2CFF401F"/>
    <w:rsid w:val="2D017170"/>
    <w:rsid w:val="2D1F486A"/>
    <w:rsid w:val="2D3043F4"/>
    <w:rsid w:val="2D510EC7"/>
    <w:rsid w:val="2D583CB6"/>
    <w:rsid w:val="2D5C5ABE"/>
    <w:rsid w:val="2D8A5DAA"/>
    <w:rsid w:val="2DB85208"/>
    <w:rsid w:val="2DD800B0"/>
    <w:rsid w:val="2DDE3975"/>
    <w:rsid w:val="2DFB0E33"/>
    <w:rsid w:val="2E020414"/>
    <w:rsid w:val="2E2C776F"/>
    <w:rsid w:val="2E466597"/>
    <w:rsid w:val="2E471AA7"/>
    <w:rsid w:val="2E532A1D"/>
    <w:rsid w:val="2E5D1AEE"/>
    <w:rsid w:val="2E6722C1"/>
    <w:rsid w:val="2E776F62"/>
    <w:rsid w:val="2E9C7C7F"/>
    <w:rsid w:val="2EAF5759"/>
    <w:rsid w:val="2EB2575B"/>
    <w:rsid w:val="2EB45BB2"/>
    <w:rsid w:val="2EB86D24"/>
    <w:rsid w:val="2ECD59AB"/>
    <w:rsid w:val="2ED54867"/>
    <w:rsid w:val="2EEF6799"/>
    <w:rsid w:val="2F191EB9"/>
    <w:rsid w:val="2F293DE8"/>
    <w:rsid w:val="2F2A46BA"/>
    <w:rsid w:val="2F2B41D9"/>
    <w:rsid w:val="2F4141FD"/>
    <w:rsid w:val="2F455096"/>
    <w:rsid w:val="2F466CB5"/>
    <w:rsid w:val="2F5938BC"/>
    <w:rsid w:val="2F745945"/>
    <w:rsid w:val="2F9910A3"/>
    <w:rsid w:val="2FB27C17"/>
    <w:rsid w:val="2FB87712"/>
    <w:rsid w:val="2FC92420"/>
    <w:rsid w:val="2FD444E7"/>
    <w:rsid w:val="2FD66B45"/>
    <w:rsid w:val="2FEC423C"/>
    <w:rsid w:val="2FEC7D80"/>
    <w:rsid w:val="300264A9"/>
    <w:rsid w:val="303C72B6"/>
    <w:rsid w:val="304E1EC9"/>
    <w:rsid w:val="305111DE"/>
    <w:rsid w:val="30605A89"/>
    <w:rsid w:val="306241D9"/>
    <w:rsid w:val="306600D4"/>
    <w:rsid w:val="30683B88"/>
    <w:rsid w:val="308747DB"/>
    <w:rsid w:val="30A532D8"/>
    <w:rsid w:val="30BF439A"/>
    <w:rsid w:val="30CB71E3"/>
    <w:rsid w:val="30D342E9"/>
    <w:rsid w:val="30D51E0F"/>
    <w:rsid w:val="30D86127"/>
    <w:rsid w:val="30E958BB"/>
    <w:rsid w:val="31033141"/>
    <w:rsid w:val="313C0B7E"/>
    <w:rsid w:val="315004DC"/>
    <w:rsid w:val="315C7E3B"/>
    <w:rsid w:val="31886AE6"/>
    <w:rsid w:val="31975CF2"/>
    <w:rsid w:val="319B4987"/>
    <w:rsid w:val="319F141A"/>
    <w:rsid w:val="31A904FD"/>
    <w:rsid w:val="31C252D0"/>
    <w:rsid w:val="31C421B2"/>
    <w:rsid w:val="31D410E5"/>
    <w:rsid w:val="31D95087"/>
    <w:rsid w:val="31DB16A7"/>
    <w:rsid w:val="322A33E1"/>
    <w:rsid w:val="32546D64"/>
    <w:rsid w:val="32547DD2"/>
    <w:rsid w:val="325F4087"/>
    <w:rsid w:val="32695606"/>
    <w:rsid w:val="32762D73"/>
    <w:rsid w:val="32780CA4"/>
    <w:rsid w:val="3283603F"/>
    <w:rsid w:val="32851613"/>
    <w:rsid w:val="328E198A"/>
    <w:rsid w:val="32997FE8"/>
    <w:rsid w:val="32A61601"/>
    <w:rsid w:val="32A777DC"/>
    <w:rsid w:val="32AB7B37"/>
    <w:rsid w:val="32B617CD"/>
    <w:rsid w:val="32C13559"/>
    <w:rsid w:val="32C25FFA"/>
    <w:rsid w:val="32CC75C4"/>
    <w:rsid w:val="32D96BA9"/>
    <w:rsid w:val="32EC5C87"/>
    <w:rsid w:val="32F36E2C"/>
    <w:rsid w:val="32F742BF"/>
    <w:rsid w:val="33036717"/>
    <w:rsid w:val="330A1DEE"/>
    <w:rsid w:val="331765A3"/>
    <w:rsid w:val="332E5807"/>
    <w:rsid w:val="333D0F7D"/>
    <w:rsid w:val="33462B51"/>
    <w:rsid w:val="335F65DA"/>
    <w:rsid w:val="336D4581"/>
    <w:rsid w:val="337663BB"/>
    <w:rsid w:val="337D3FE4"/>
    <w:rsid w:val="338D79DE"/>
    <w:rsid w:val="33985E4D"/>
    <w:rsid w:val="33A81058"/>
    <w:rsid w:val="33C54CD0"/>
    <w:rsid w:val="33C8335F"/>
    <w:rsid w:val="33CF2B46"/>
    <w:rsid w:val="33EF757B"/>
    <w:rsid w:val="34166CD6"/>
    <w:rsid w:val="34241B27"/>
    <w:rsid w:val="34360872"/>
    <w:rsid w:val="34457212"/>
    <w:rsid w:val="34556949"/>
    <w:rsid w:val="34623FA2"/>
    <w:rsid w:val="34627AEC"/>
    <w:rsid w:val="3468502C"/>
    <w:rsid w:val="3473600C"/>
    <w:rsid w:val="34856C3E"/>
    <w:rsid w:val="348F35C9"/>
    <w:rsid w:val="34B128F9"/>
    <w:rsid w:val="34C353CB"/>
    <w:rsid w:val="34CE4595"/>
    <w:rsid w:val="34D2062F"/>
    <w:rsid w:val="34D80320"/>
    <w:rsid w:val="34F5482E"/>
    <w:rsid w:val="34F84305"/>
    <w:rsid w:val="34FB0784"/>
    <w:rsid w:val="34FF56AD"/>
    <w:rsid w:val="350066FA"/>
    <w:rsid w:val="35015C62"/>
    <w:rsid w:val="35156301"/>
    <w:rsid w:val="351F5D4F"/>
    <w:rsid w:val="3533411E"/>
    <w:rsid w:val="35492E6F"/>
    <w:rsid w:val="35494D87"/>
    <w:rsid w:val="35753BC1"/>
    <w:rsid w:val="357B1815"/>
    <w:rsid w:val="358E07DF"/>
    <w:rsid w:val="35953C9C"/>
    <w:rsid w:val="35D874ED"/>
    <w:rsid w:val="35E06ACA"/>
    <w:rsid w:val="35E54E63"/>
    <w:rsid w:val="360D1C68"/>
    <w:rsid w:val="36146F36"/>
    <w:rsid w:val="362353CB"/>
    <w:rsid w:val="362A675A"/>
    <w:rsid w:val="362E6830"/>
    <w:rsid w:val="36340DB7"/>
    <w:rsid w:val="3647730B"/>
    <w:rsid w:val="365E4E20"/>
    <w:rsid w:val="3673540B"/>
    <w:rsid w:val="367D0F7F"/>
    <w:rsid w:val="367E5168"/>
    <w:rsid w:val="36806379"/>
    <w:rsid w:val="3687595A"/>
    <w:rsid w:val="369938DF"/>
    <w:rsid w:val="36AA767C"/>
    <w:rsid w:val="36B96997"/>
    <w:rsid w:val="36BA5D6D"/>
    <w:rsid w:val="36E068E3"/>
    <w:rsid w:val="36EF34FF"/>
    <w:rsid w:val="36F30DDD"/>
    <w:rsid w:val="36F602F1"/>
    <w:rsid w:val="36F80ED5"/>
    <w:rsid w:val="3712106E"/>
    <w:rsid w:val="37254AEE"/>
    <w:rsid w:val="372C4753"/>
    <w:rsid w:val="373770EB"/>
    <w:rsid w:val="373D3C5A"/>
    <w:rsid w:val="37547D16"/>
    <w:rsid w:val="37695060"/>
    <w:rsid w:val="37821945"/>
    <w:rsid w:val="378B3228"/>
    <w:rsid w:val="37A15487"/>
    <w:rsid w:val="37A205C2"/>
    <w:rsid w:val="37B05A28"/>
    <w:rsid w:val="37B5130F"/>
    <w:rsid w:val="37BB5CD8"/>
    <w:rsid w:val="37C36AB9"/>
    <w:rsid w:val="37E8067A"/>
    <w:rsid w:val="37E86E93"/>
    <w:rsid w:val="3809239F"/>
    <w:rsid w:val="38114DFD"/>
    <w:rsid w:val="38123949"/>
    <w:rsid w:val="3812395C"/>
    <w:rsid w:val="381A45AC"/>
    <w:rsid w:val="38207EDE"/>
    <w:rsid w:val="382262BE"/>
    <w:rsid w:val="38251EE0"/>
    <w:rsid w:val="382770EA"/>
    <w:rsid w:val="38691EC0"/>
    <w:rsid w:val="386D1FD4"/>
    <w:rsid w:val="38905C55"/>
    <w:rsid w:val="38942377"/>
    <w:rsid w:val="38B410A0"/>
    <w:rsid w:val="38B536A8"/>
    <w:rsid w:val="38B824E7"/>
    <w:rsid w:val="38CC58A6"/>
    <w:rsid w:val="38D53B04"/>
    <w:rsid w:val="38D70393"/>
    <w:rsid w:val="38DB2068"/>
    <w:rsid w:val="38ED3A6E"/>
    <w:rsid w:val="38F17D5C"/>
    <w:rsid w:val="38F52C52"/>
    <w:rsid w:val="38F5730B"/>
    <w:rsid w:val="38F60D30"/>
    <w:rsid w:val="390D6A98"/>
    <w:rsid w:val="39160F3A"/>
    <w:rsid w:val="391E1926"/>
    <w:rsid w:val="395C0834"/>
    <w:rsid w:val="395D0BF4"/>
    <w:rsid w:val="39670994"/>
    <w:rsid w:val="397C3CC8"/>
    <w:rsid w:val="39844898"/>
    <w:rsid w:val="39A153A0"/>
    <w:rsid w:val="39AB10FE"/>
    <w:rsid w:val="39B80A53"/>
    <w:rsid w:val="39C40E30"/>
    <w:rsid w:val="39CD5463"/>
    <w:rsid w:val="39F16814"/>
    <w:rsid w:val="39F271EE"/>
    <w:rsid w:val="39F95ACD"/>
    <w:rsid w:val="3A035C4A"/>
    <w:rsid w:val="3A1703F3"/>
    <w:rsid w:val="3A291DED"/>
    <w:rsid w:val="3A2C5D47"/>
    <w:rsid w:val="3A475EC2"/>
    <w:rsid w:val="3A7601BF"/>
    <w:rsid w:val="3A7A723F"/>
    <w:rsid w:val="3A886C66"/>
    <w:rsid w:val="3A997029"/>
    <w:rsid w:val="3A9F4640"/>
    <w:rsid w:val="3ABA76DA"/>
    <w:rsid w:val="3AEC11B5"/>
    <w:rsid w:val="3AED5FCA"/>
    <w:rsid w:val="3AEF33BD"/>
    <w:rsid w:val="3AF00785"/>
    <w:rsid w:val="3AF92173"/>
    <w:rsid w:val="3B271801"/>
    <w:rsid w:val="3B305644"/>
    <w:rsid w:val="3B361B52"/>
    <w:rsid w:val="3B3B0752"/>
    <w:rsid w:val="3B3C437D"/>
    <w:rsid w:val="3B40257B"/>
    <w:rsid w:val="3B464D56"/>
    <w:rsid w:val="3B4C08AF"/>
    <w:rsid w:val="3B632771"/>
    <w:rsid w:val="3B6439E9"/>
    <w:rsid w:val="3B6822B8"/>
    <w:rsid w:val="3B6B5F60"/>
    <w:rsid w:val="3B912905"/>
    <w:rsid w:val="3BD82A91"/>
    <w:rsid w:val="3BDF5FB3"/>
    <w:rsid w:val="3BE949C1"/>
    <w:rsid w:val="3BED6A64"/>
    <w:rsid w:val="3BEE647B"/>
    <w:rsid w:val="3BFF19DE"/>
    <w:rsid w:val="3C131635"/>
    <w:rsid w:val="3C143052"/>
    <w:rsid w:val="3C182E53"/>
    <w:rsid w:val="3C1C20BD"/>
    <w:rsid w:val="3C1D3F50"/>
    <w:rsid w:val="3C236125"/>
    <w:rsid w:val="3C2E1C1A"/>
    <w:rsid w:val="3C2F2C49"/>
    <w:rsid w:val="3C3008F9"/>
    <w:rsid w:val="3C427B1B"/>
    <w:rsid w:val="3C705CB1"/>
    <w:rsid w:val="3C7D5176"/>
    <w:rsid w:val="3C887370"/>
    <w:rsid w:val="3C966E1D"/>
    <w:rsid w:val="3C9C08FC"/>
    <w:rsid w:val="3CA871D7"/>
    <w:rsid w:val="3CC16E24"/>
    <w:rsid w:val="3CC4646D"/>
    <w:rsid w:val="3CCC056A"/>
    <w:rsid w:val="3CD53532"/>
    <w:rsid w:val="3CD70BBE"/>
    <w:rsid w:val="3CD81175"/>
    <w:rsid w:val="3CFB49AC"/>
    <w:rsid w:val="3D0C0967"/>
    <w:rsid w:val="3D193084"/>
    <w:rsid w:val="3D2959BD"/>
    <w:rsid w:val="3D3A3112"/>
    <w:rsid w:val="3D526FA9"/>
    <w:rsid w:val="3D5C310E"/>
    <w:rsid w:val="3D8175A7"/>
    <w:rsid w:val="3D960B78"/>
    <w:rsid w:val="3DB36EDA"/>
    <w:rsid w:val="3DB94D0C"/>
    <w:rsid w:val="3DE6740A"/>
    <w:rsid w:val="3DE97D05"/>
    <w:rsid w:val="3DF8538F"/>
    <w:rsid w:val="3DFB0B4E"/>
    <w:rsid w:val="3E1675C3"/>
    <w:rsid w:val="3E1D62B1"/>
    <w:rsid w:val="3E344619"/>
    <w:rsid w:val="3E4E3201"/>
    <w:rsid w:val="3E513B76"/>
    <w:rsid w:val="3E5B6670"/>
    <w:rsid w:val="3E5F1744"/>
    <w:rsid w:val="3E63036E"/>
    <w:rsid w:val="3E645253"/>
    <w:rsid w:val="3E8A5C6D"/>
    <w:rsid w:val="3E8C18E3"/>
    <w:rsid w:val="3EA239DB"/>
    <w:rsid w:val="3EA846BF"/>
    <w:rsid w:val="3EB9306E"/>
    <w:rsid w:val="3EC5154F"/>
    <w:rsid w:val="3EE65033"/>
    <w:rsid w:val="3EF618CF"/>
    <w:rsid w:val="3F140B36"/>
    <w:rsid w:val="3F2C52F0"/>
    <w:rsid w:val="3F383D1F"/>
    <w:rsid w:val="3F392CE3"/>
    <w:rsid w:val="3F397A0D"/>
    <w:rsid w:val="3F433B90"/>
    <w:rsid w:val="3F7B2B5F"/>
    <w:rsid w:val="3F7D2A37"/>
    <w:rsid w:val="3F8103A1"/>
    <w:rsid w:val="3F98091F"/>
    <w:rsid w:val="3FA05D5A"/>
    <w:rsid w:val="3FB67CAF"/>
    <w:rsid w:val="3FCD0B68"/>
    <w:rsid w:val="3FD70C5B"/>
    <w:rsid w:val="3FD74D2B"/>
    <w:rsid w:val="3FD916B9"/>
    <w:rsid w:val="3FDD2A8F"/>
    <w:rsid w:val="3FE46DFA"/>
    <w:rsid w:val="3FF658FE"/>
    <w:rsid w:val="3FFA719D"/>
    <w:rsid w:val="40051512"/>
    <w:rsid w:val="401D4BB3"/>
    <w:rsid w:val="40256535"/>
    <w:rsid w:val="40337D20"/>
    <w:rsid w:val="4042134E"/>
    <w:rsid w:val="405C51AD"/>
    <w:rsid w:val="40624CD4"/>
    <w:rsid w:val="40802C55"/>
    <w:rsid w:val="40894CA4"/>
    <w:rsid w:val="40B02412"/>
    <w:rsid w:val="40BC51B8"/>
    <w:rsid w:val="40C535FF"/>
    <w:rsid w:val="40CA2F17"/>
    <w:rsid w:val="40DC2EBA"/>
    <w:rsid w:val="40E03B90"/>
    <w:rsid w:val="40E65973"/>
    <w:rsid w:val="40E94D96"/>
    <w:rsid w:val="40EF3C00"/>
    <w:rsid w:val="410B630A"/>
    <w:rsid w:val="411E0665"/>
    <w:rsid w:val="413210A3"/>
    <w:rsid w:val="414E7D50"/>
    <w:rsid w:val="416637D7"/>
    <w:rsid w:val="41791DDE"/>
    <w:rsid w:val="418B016D"/>
    <w:rsid w:val="41983AF2"/>
    <w:rsid w:val="41A50FE6"/>
    <w:rsid w:val="41C2018E"/>
    <w:rsid w:val="41DC168F"/>
    <w:rsid w:val="41ED0B64"/>
    <w:rsid w:val="41ED27D0"/>
    <w:rsid w:val="41FC69BE"/>
    <w:rsid w:val="42286C18"/>
    <w:rsid w:val="422E3486"/>
    <w:rsid w:val="425C548F"/>
    <w:rsid w:val="426652B0"/>
    <w:rsid w:val="4277275E"/>
    <w:rsid w:val="428E4B84"/>
    <w:rsid w:val="429739DA"/>
    <w:rsid w:val="42A213AC"/>
    <w:rsid w:val="42B15402"/>
    <w:rsid w:val="42B75819"/>
    <w:rsid w:val="42C3074C"/>
    <w:rsid w:val="42CD6A43"/>
    <w:rsid w:val="42D7065A"/>
    <w:rsid w:val="42E90B7A"/>
    <w:rsid w:val="42F7754A"/>
    <w:rsid w:val="43054285"/>
    <w:rsid w:val="430E7476"/>
    <w:rsid w:val="431A4215"/>
    <w:rsid w:val="433528FD"/>
    <w:rsid w:val="43382C5D"/>
    <w:rsid w:val="43457E23"/>
    <w:rsid w:val="434A4470"/>
    <w:rsid w:val="43506783"/>
    <w:rsid w:val="437524B8"/>
    <w:rsid w:val="438566CE"/>
    <w:rsid w:val="43926907"/>
    <w:rsid w:val="43C40372"/>
    <w:rsid w:val="43C50C35"/>
    <w:rsid w:val="43CF780B"/>
    <w:rsid w:val="43D950F6"/>
    <w:rsid w:val="43E4263E"/>
    <w:rsid w:val="43FC3AEA"/>
    <w:rsid w:val="44051FB6"/>
    <w:rsid w:val="440E5B14"/>
    <w:rsid w:val="44107AC5"/>
    <w:rsid w:val="44187E5D"/>
    <w:rsid w:val="442F11C7"/>
    <w:rsid w:val="4442376C"/>
    <w:rsid w:val="444E2612"/>
    <w:rsid w:val="4458376F"/>
    <w:rsid w:val="445C40E3"/>
    <w:rsid w:val="446E63AB"/>
    <w:rsid w:val="44766C14"/>
    <w:rsid w:val="447D214A"/>
    <w:rsid w:val="448B118D"/>
    <w:rsid w:val="44915BF6"/>
    <w:rsid w:val="449F2C03"/>
    <w:rsid w:val="44A973E3"/>
    <w:rsid w:val="44B41EFA"/>
    <w:rsid w:val="44B70E9C"/>
    <w:rsid w:val="44BE2A4A"/>
    <w:rsid w:val="44CD1324"/>
    <w:rsid w:val="44CD2795"/>
    <w:rsid w:val="44D22256"/>
    <w:rsid w:val="44E724A8"/>
    <w:rsid w:val="44EC3BA9"/>
    <w:rsid w:val="44FE16A3"/>
    <w:rsid w:val="44FE2BD7"/>
    <w:rsid w:val="44FF3EC8"/>
    <w:rsid w:val="450875F1"/>
    <w:rsid w:val="450A60D4"/>
    <w:rsid w:val="450C7BC5"/>
    <w:rsid w:val="4525641C"/>
    <w:rsid w:val="45343151"/>
    <w:rsid w:val="45445ED7"/>
    <w:rsid w:val="45B40934"/>
    <w:rsid w:val="45D027C0"/>
    <w:rsid w:val="45E635BC"/>
    <w:rsid w:val="45F1347E"/>
    <w:rsid w:val="45F55316"/>
    <w:rsid w:val="45FE2534"/>
    <w:rsid w:val="46043A05"/>
    <w:rsid w:val="4607616F"/>
    <w:rsid w:val="46162269"/>
    <w:rsid w:val="46345C9D"/>
    <w:rsid w:val="46480D35"/>
    <w:rsid w:val="464F7B16"/>
    <w:rsid w:val="46512A35"/>
    <w:rsid w:val="465723A5"/>
    <w:rsid w:val="465869CB"/>
    <w:rsid w:val="46731500"/>
    <w:rsid w:val="46733805"/>
    <w:rsid w:val="4678706D"/>
    <w:rsid w:val="467D4B8B"/>
    <w:rsid w:val="467F43ED"/>
    <w:rsid w:val="468B4FF2"/>
    <w:rsid w:val="468D5409"/>
    <w:rsid w:val="46A4642A"/>
    <w:rsid w:val="46AD66B5"/>
    <w:rsid w:val="46C155FF"/>
    <w:rsid w:val="46D06EA9"/>
    <w:rsid w:val="46D30747"/>
    <w:rsid w:val="46D4017A"/>
    <w:rsid w:val="46D6359C"/>
    <w:rsid w:val="46E576CE"/>
    <w:rsid w:val="46F0146A"/>
    <w:rsid w:val="46F8751A"/>
    <w:rsid w:val="470E7721"/>
    <w:rsid w:val="47246BD4"/>
    <w:rsid w:val="47333540"/>
    <w:rsid w:val="474406B7"/>
    <w:rsid w:val="47693792"/>
    <w:rsid w:val="478C2F7C"/>
    <w:rsid w:val="478F793B"/>
    <w:rsid w:val="479C2318"/>
    <w:rsid w:val="47CA3276"/>
    <w:rsid w:val="47D07DE8"/>
    <w:rsid w:val="47D7074C"/>
    <w:rsid w:val="481501AC"/>
    <w:rsid w:val="481608EC"/>
    <w:rsid w:val="482D65F1"/>
    <w:rsid w:val="48503F5D"/>
    <w:rsid w:val="48537D92"/>
    <w:rsid w:val="485967C4"/>
    <w:rsid w:val="485E04E5"/>
    <w:rsid w:val="486C67E1"/>
    <w:rsid w:val="48730979"/>
    <w:rsid w:val="48743832"/>
    <w:rsid w:val="488F7A61"/>
    <w:rsid w:val="48942B03"/>
    <w:rsid w:val="4897208C"/>
    <w:rsid w:val="48AF28F9"/>
    <w:rsid w:val="48B41DB4"/>
    <w:rsid w:val="48BD345D"/>
    <w:rsid w:val="49030129"/>
    <w:rsid w:val="49086C92"/>
    <w:rsid w:val="490E5A67"/>
    <w:rsid w:val="4914001E"/>
    <w:rsid w:val="49282FCC"/>
    <w:rsid w:val="49393660"/>
    <w:rsid w:val="495D254A"/>
    <w:rsid w:val="496270ED"/>
    <w:rsid w:val="498126DD"/>
    <w:rsid w:val="499059DB"/>
    <w:rsid w:val="49BE7888"/>
    <w:rsid w:val="49DE7B2F"/>
    <w:rsid w:val="49E35145"/>
    <w:rsid w:val="49EC3FFA"/>
    <w:rsid w:val="49F53AA4"/>
    <w:rsid w:val="4A0067D6"/>
    <w:rsid w:val="4A034317"/>
    <w:rsid w:val="4A070E34"/>
    <w:rsid w:val="4A11128D"/>
    <w:rsid w:val="4A1F30B1"/>
    <w:rsid w:val="4A645FE3"/>
    <w:rsid w:val="4A72018E"/>
    <w:rsid w:val="4A895CED"/>
    <w:rsid w:val="4ABF0A33"/>
    <w:rsid w:val="4AD868A6"/>
    <w:rsid w:val="4AE34B98"/>
    <w:rsid w:val="4AEC627C"/>
    <w:rsid w:val="4B097A4E"/>
    <w:rsid w:val="4B182BCD"/>
    <w:rsid w:val="4B294C58"/>
    <w:rsid w:val="4B4265A0"/>
    <w:rsid w:val="4B43394C"/>
    <w:rsid w:val="4B5160DF"/>
    <w:rsid w:val="4BA80E27"/>
    <w:rsid w:val="4BA95182"/>
    <w:rsid w:val="4BAB57EF"/>
    <w:rsid w:val="4BD25FA6"/>
    <w:rsid w:val="4BD576DE"/>
    <w:rsid w:val="4BE55EE6"/>
    <w:rsid w:val="4BE64264"/>
    <w:rsid w:val="4C1E471C"/>
    <w:rsid w:val="4C3D2A92"/>
    <w:rsid w:val="4C5F5D1C"/>
    <w:rsid w:val="4C653BF0"/>
    <w:rsid w:val="4C742085"/>
    <w:rsid w:val="4CAC4CEA"/>
    <w:rsid w:val="4CC05FC0"/>
    <w:rsid w:val="4CDD4AE7"/>
    <w:rsid w:val="4CE030CB"/>
    <w:rsid w:val="4CE04BFD"/>
    <w:rsid w:val="4CEA4EA4"/>
    <w:rsid w:val="4CEF5BAF"/>
    <w:rsid w:val="4CF82C85"/>
    <w:rsid w:val="4D05239A"/>
    <w:rsid w:val="4D0B6C19"/>
    <w:rsid w:val="4D277867"/>
    <w:rsid w:val="4D646BC9"/>
    <w:rsid w:val="4D70344F"/>
    <w:rsid w:val="4D741C88"/>
    <w:rsid w:val="4D7F0CE1"/>
    <w:rsid w:val="4D841B65"/>
    <w:rsid w:val="4D864324"/>
    <w:rsid w:val="4D910270"/>
    <w:rsid w:val="4DAA6CCD"/>
    <w:rsid w:val="4DB0478D"/>
    <w:rsid w:val="4DB31DB8"/>
    <w:rsid w:val="4DED20EF"/>
    <w:rsid w:val="4DFA5ADB"/>
    <w:rsid w:val="4E0F2B13"/>
    <w:rsid w:val="4E1A60B8"/>
    <w:rsid w:val="4E5157E8"/>
    <w:rsid w:val="4E5E05D9"/>
    <w:rsid w:val="4E635F97"/>
    <w:rsid w:val="4E762CDF"/>
    <w:rsid w:val="4E7E543D"/>
    <w:rsid w:val="4E81209D"/>
    <w:rsid w:val="4EAD1B9A"/>
    <w:rsid w:val="4ECB0294"/>
    <w:rsid w:val="4ECF35E9"/>
    <w:rsid w:val="4ED359EE"/>
    <w:rsid w:val="4F2607CE"/>
    <w:rsid w:val="4F2A2208"/>
    <w:rsid w:val="4F2C2CCC"/>
    <w:rsid w:val="4F5709D9"/>
    <w:rsid w:val="4F642884"/>
    <w:rsid w:val="4F672375"/>
    <w:rsid w:val="4F72396F"/>
    <w:rsid w:val="4F822D18"/>
    <w:rsid w:val="4F8826E4"/>
    <w:rsid w:val="4FA113E3"/>
    <w:rsid w:val="4FA70744"/>
    <w:rsid w:val="4FBA1189"/>
    <w:rsid w:val="4FBD603C"/>
    <w:rsid w:val="4FC91598"/>
    <w:rsid w:val="4FCF4627"/>
    <w:rsid w:val="4FD80B7D"/>
    <w:rsid w:val="4FF05EC6"/>
    <w:rsid w:val="4FF27E90"/>
    <w:rsid w:val="4FF77255"/>
    <w:rsid w:val="502E4997"/>
    <w:rsid w:val="5033674E"/>
    <w:rsid w:val="503A2BE9"/>
    <w:rsid w:val="505070BC"/>
    <w:rsid w:val="50632B3C"/>
    <w:rsid w:val="50644EA6"/>
    <w:rsid w:val="506B236C"/>
    <w:rsid w:val="50701AF7"/>
    <w:rsid w:val="50854B6B"/>
    <w:rsid w:val="50871ECA"/>
    <w:rsid w:val="508970AB"/>
    <w:rsid w:val="50930375"/>
    <w:rsid w:val="50951FFB"/>
    <w:rsid w:val="509B40DC"/>
    <w:rsid w:val="509F093E"/>
    <w:rsid w:val="50CB03B5"/>
    <w:rsid w:val="50CD1192"/>
    <w:rsid w:val="50DD1804"/>
    <w:rsid w:val="51091AB3"/>
    <w:rsid w:val="510A67CE"/>
    <w:rsid w:val="511E119D"/>
    <w:rsid w:val="51282D05"/>
    <w:rsid w:val="513220D6"/>
    <w:rsid w:val="513403C7"/>
    <w:rsid w:val="513B1F40"/>
    <w:rsid w:val="51610292"/>
    <w:rsid w:val="51616685"/>
    <w:rsid w:val="519C16A6"/>
    <w:rsid w:val="51A23C45"/>
    <w:rsid w:val="51A4340C"/>
    <w:rsid w:val="51A5393F"/>
    <w:rsid w:val="51B7313F"/>
    <w:rsid w:val="51BC6201"/>
    <w:rsid w:val="51C76BB1"/>
    <w:rsid w:val="51EA482F"/>
    <w:rsid w:val="51F06651"/>
    <w:rsid w:val="521246E8"/>
    <w:rsid w:val="52302EF2"/>
    <w:rsid w:val="52337686"/>
    <w:rsid w:val="524456EC"/>
    <w:rsid w:val="524A3FB4"/>
    <w:rsid w:val="524E6A7E"/>
    <w:rsid w:val="525A383A"/>
    <w:rsid w:val="526E1E9B"/>
    <w:rsid w:val="52A336C4"/>
    <w:rsid w:val="52AF273C"/>
    <w:rsid w:val="52BC0ED0"/>
    <w:rsid w:val="52BE405A"/>
    <w:rsid w:val="52CF7879"/>
    <w:rsid w:val="52D70AA3"/>
    <w:rsid w:val="52F7756C"/>
    <w:rsid w:val="5301480F"/>
    <w:rsid w:val="53105482"/>
    <w:rsid w:val="53187E1D"/>
    <w:rsid w:val="532C4AAB"/>
    <w:rsid w:val="533B295C"/>
    <w:rsid w:val="533E5A2E"/>
    <w:rsid w:val="53524B49"/>
    <w:rsid w:val="536F35A6"/>
    <w:rsid w:val="5377735D"/>
    <w:rsid w:val="538633DC"/>
    <w:rsid w:val="53AA7E9F"/>
    <w:rsid w:val="53B06F4F"/>
    <w:rsid w:val="53B27E0E"/>
    <w:rsid w:val="53CA2895"/>
    <w:rsid w:val="53D55AFF"/>
    <w:rsid w:val="53DF7225"/>
    <w:rsid w:val="53E35449"/>
    <w:rsid w:val="540B2749"/>
    <w:rsid w:val="54135596"/>
    <w:rsid w:val="54146D1E"/>
    <w:rsid w:val="54210419"/>
    <w:rsid w:val="542B0CCC"/>
    <w:rsid w:val="542E1A8F"/>
    <w:rsid w:val="542E520F"/>
    <w:rsid w:val="543336FB"/>
    <w:rsid w:val="543D5495"/>
    <w:rsid w:val="545F361A"/>
    <w:rsid w:val="54691FF5"/>
    <w:rsid w:val="546A3E6D"/>
    <w:rsid w:val="54911FE8"/>
    <w:rsid w:val="54A51975"/>
    <w:rsid w:val="54AA5234"/>
    <w:rsid w:val="54AC1CEF"/>
    <w:rsid w:val="54B113F5"/>
    <w:rsid w:val="54C640D5"/>
    <w:rsid w:val="54C83448"/>
    <w:rsid w:val="54CE1ACB"/>
    <w:rsid w:val="54DB7D06"/>
    <w:rsid w:val="54E21B92"/>
    <w:rsid w:val="54F860F5"/>
    <w:rsid w:val="54F9581D"/>
    <w:rsid w:val="55282773"/>
    <w:rsid w:val="55286102"/>
    <w:rsid w:val="55462A67"/>
    <w:rsid w:val="55576D71"/>
    <w:rsid w:val="5568451C"/>
    <w:rsid w:val="55696483"/>
    <w:rsid w:val="557972B2"/>
    <w:rsid w:val="557E7D2D"/>
    <w:rsid w:val="5594590A"/>
    <w:rsid w:val="55A97243"/>
    <w:rsid w:val="55B44482"/>
    <w:rsid w:val="55B6370E"/>
    <w:rsid w:val="55B6393A"/>
    <w:rsid w:val="55C81B17"/>
    <w:rsid w:val="55D65B5E"/>
    <w:rsid w:val="55EC77F3"/>
    <w:rsid w:val="55F55AEB"/>
    <w:rsid w:val="55FC2B65"/>
    <w:rsid w:val="56071A85"/>
    <w:rsid w:val="560D1C1B"/>
    <w:rsid w:val="561B5F8D"/>
    <w:rsid w:val="5628260B"/>
    <w:rsid w:val="562D399B"/>
    <w:rsid w:val="563B6A16"/>
    <w:rsid w:val="56466840"/>
    <w:rsid w:val="56882500"/>
    <w:rsid w:val="56896EAE"/>
    <w:rsid w:val="569C778E"/>
    <w:rsid w:val="56A85C0D"/>
    <w:rsid w:val="56B40A7B"/>
    <w:rsid w:val="56B4491E"/>
    <w:rsid w:val="56CE2C30"/>
    <w:rsid w:val="56D416DB"/>
    <w:rsid w:val="56FF743B"/>
    <w:rsid w:val="570D4CC2"/>
    <w:rsid w:val="570E05AB"/>
    <w:rsid w:val="571B2A1B"/>
    <w:rsid w:val="571C1C97"/>
    <w:rsid w:val="572A7B83"/>
    <w:rsid w:val="5742100F"/>
    <w:rsid w:val="5761313A"/>
    <w:rsid w:val="576218EE"/>
    <w:rsid w:val="576D478E"/>
    <w:rsid w:val="576F0FAE"/>
    <w:rsid w:val="578A4E52"/>
    <w:rsid w:val="57CF2865"/>
    <w:rsid w:val="57D63BF4"/>
    <w:rsid w:val="57F370A5"/>
    <w:rsid w:val="57FE6E10"/>
    <w:rsid w:val="58051D15"/>
    <w:rsid w:val="58240E03"/>
    <w:rsid w:val="58303F2C"/>
    <w:rsid w:val="583D4AD8"/>
    <w:rsid w:val="58535651"/>
    <w:rsid w:val="586638C7"/>
    <w:rsid w:val="586971CE"/>
    <w:rsid w:val="589D44DF"/>
    <w:rsid w:val="58B57A05"/>
    <w:rsid w:val="58B679CE"/>
    <w:rsid w:val="58D85079"/>
    <w:rsid w:val="58EB5941"/>
    <w:rsid w:val="59097530"/>
    <w:rsid w:val="59367168"/>
    <w:rsid w:val="593B2F69"/>
    <w:rsid w:val="59464DA9"/>
    <w:rsid w:val="5947124D"/>
    <w:rsid w:val="59486E82"/>
    <w:rsid w:val="594E33E0"/>
    <w:rsid w:val="59507597"/>
    <w:rsid w:val="595F38C7"/>
    <w:rsid w:val="596A4D51"/>
    <w:rsid w:val="597926EB"/>
    <w:rsid w:val="597C5892"/>
    <w:rsid w:val="59851E6A"/>
    <w:rsid w:val="5987789B"/>
    <w:rsid w:val="59AD1760"/>
    <w:rsid w:val="59BA3C32"/>
    <w:rsid w:val="59BD4703"/>
    <w:rsid w:val="59C161BA"/>
    <w:rsid w:val="59D269F8"/>
    <w:rsid w:val="59E3084A"/>
    <w:rsid w:val="59E3585E"/>
    <w:rsid w:val="59F63D1F"/>
    <w:rsid w:val="5A1D165D"/>
    <w:rsid w:val="5A272C44"/>
    <w:rsid w:val="5A2C422F"/>
    <w:rsid w:val="5A33009A"/>
    <w:rsid w:val="5A6518A6"/>
    <w:rsid w:val="5A7152D2"/>
    <w:rsid w:val="5A7266CF"/>
    <w:rsid w:val="5A7A0667"/>
    <w:rsid w:val="5A853DCE"/>
    <w:rsid w:val="5A9164F8"/>
    <w:rsid w:val="5AA3160B"/>
    <w:rsid w:val="5AA32457"/>
    <w:rsid w:val="5AA44D16"/>
    <w:rsid w:val="5AB43874"/>
    <w:rsid w:val="5AC127D0"/>
    <w:rsid w:val="5AC127ED"/>
    <w:rsid w:val="5AEB2EA1"/>
    <w:rsid w:val="5AF00476"/>
    <w:rsid w:val="5AF93789"/>
    <w:rsid w:val="5B013F5E"/>
    <w:rsid w:val="5B09442C"/>
    <w:rsid w:val="5B0E2494"/>
    <w:rsid w:val="5B100C05"/>
    <w:rsid w:val="5B2E0048"/>
    <w:rsid w:val="5B2E3D47"/>
    <w:rsid w:val="5B741AC3"/>
    <w:rsid w:val="5B786988"/>
    <w:rsid w:val="5B8A4EFD"/>
    <w:rsid w:val="5BC36B85"/>
    <w:rsid w:val="5BD043CD"/>
    <w:rsid w:val="5BFA30A6"/>
    <w:rsid w:val="5C075671"/>
    <w:rsid w:val="5C18501B"/>
    <w:rsid w:val="5C1D6162"/>
    <w:rsid w:val="5C5123E2"/>
    <w:rsid w:val="5C561E66"/>
    <w:rsid w:val="5C694499"/>
    <w:rsid w:val="5C6B3F88"/>
    <w:rsid w:val="5C7C08FA"/>
    <w:rsid w:val="5C950160"/>
    <w:rsid w:val="5CAC0F13"/>
    <w:rsid w:val="5CB55EEB"/>
    <w:rsid w:val="5CB65AD3"/>
    <w:rsid w:val="5CC73CA3"/>
    <w:rsid w:val="5CD219F9"/>
    <w:rsid w:val="5CD30147"/>
    <w:rsid w:val="5CDF79EE"/>
    <w:rsid w:val="5CF05758"/>
    <w:rsid w:val="5D02548B"/>
    <w:rsid w:val="5D2D0892"/>
    <w:rsid w:val="5D33359C"/>
    <w:rsid w:val="5D39124A"/>
    <w:rsid w:val="5D7F5FDF"/>
    <w:rsid w:val="5D875A32"/>
    <w:rsid w:val="5D904EC5"/>
    <w:rsid w:val="5DA26AA2"/>
    <w:rsid w:val="5DA62075"/>
    <w:rsid w:val="5DAF6297"/>
    <w:rsid w:val="5DB6631B"/>
    <w:rsid w:val="5DBF7F66"/>
    <w:rsid w:val="5DC64402"/>
    <w:rsid w:val="5DCD5CF5"/>
    <w:rsid w:val="5DD44C43"/>
    <w:rsid w:val="5DE52508"/>
    <w:rsid w:val="5DE83505"/>
    <w:rsid w:val="5DE85D16"/>
    <w:rsid w:val="5DE94334"/>
    <w:rsid w:val="5DF63CD3"/>
    <w:rsid w:val="5E1D7128"/>
    <w:rsid w:val="5E2C229D"/>
    <w:rsid w:val="5E363CC0"/>
    <w:rsid w:val="5E38278A"/>
    <w:rsid w:val="5E3A0BC3"/>
    <w:rsid w:val="5E4905B8"/>
    <w:rsid w:val="5E4B7FB9"/>
    <w:rsid w:val="5E4C4C10"/>
    <w:rsid w:val="5E60690D"/>
    <w:rsid w:val="5E794778"/>
    <w:rsid w:val="5E914D18"/>
    <w:rsid w:val="5ECF6C61"/>
    <w:rsid w:val="5EF552A7"/>
    <w:rsid w:val="5EFC472E"/>
    <w:rsid w:val="5F047298"/>
    <w:rsid w:val="5F0666D6"/>
    <w:rsid w:val="5F316D5E"/>
    <w:rsid w:val="5F490BEC"/>
    <w:rsid w:val="5F605031"/>
    <w:rsid w:val="5F673415"/>
    <w:rsid w:val="5F6F0285"/>
    <w:rsid w:val="5F781A34"/>
    <w:rsid w:val="5F841E36"/>
    <w:rsid w:val="5F861A70"/>
    <w:rsid w:val="5F883E7F"/>
    <w:rsid w:val="5F902D6A"/>
    <w:rsid w:val="5F913A41"/>
    <w:rsid w:val="5FB55BCB"/>
    <w:rsid w:val="5FB7253E"/>
    <w:rsid w:val="5FD90B17"/>
    <w:rsid w:val="5FE5531C"/>
    <w:rsid w:val="5FEA4C14"/>
    <w:rsid w:val="5FF46D52"/>
    <w:rsid w:val="5FFF2CA0"/>
    <w:rsid w:val="600318E9"/>
    <w:rsid w:val="60041939"/>
    <w:rsid w:val="6008706E"/>
    <w:rsid w:val="60090E82"/>
    <w:rsid w:val="60140D70"/>
    <w:rsid w:val="601B2AEB"/>
    <w:rsid w:val="60255718"/>
    <w:rsid w:val="60407E37"/>
    <w:rsid w:val="60421C6F"/>
    <w:rsid w:val="6042276E"/>
    <w:rsid w:val="6071377F"/>
    <w:rsid w:val="60771CEC"/>
    <w:rsid w:val="608E3AF2"/>
    <w:rsid w:val="609A59BB"/>
    <w:rsid w:val="60A96349"/>
    <w:rsid w:val="60C03693"/>
    <w:rsid w:val="60C85DBE"/>
    <w:rsid w:val="60C90A59"/>
    <w:rsid w:val="60CD4808"/>
    <w:rsid w:val="60DD4126"/>
    <w:rsid w:val="60E732E5"/>
    <w:rsid w:val="61083E26"/>
    <w:rsid w:val="610B0DB2"/>
    <w:rsid w:val="610D4205"/>
    <w:rsid w:val="610E3978"/>
    <w:rsid w:val="61283C7C"/>
    <w:rsid w:val="612A0032"/>
    <w:rsid w:val="614E6EF1"/>
    <w:rsid w:val="615D24C4"/>
    <w:rsid w:val="61686204"/>
    <w:rsid w:val="61687490"/>
    <w:rsid w:val="616A7B73"/>
    <w:rsid w:val="618E45ED"/>
    <w:rsid w:val="61927F1F"/>
    <w:rsid w:val="619643C4"/>
    <w:rsid w:val="619C6335"/>
    <w:rsid w:val="61E734D8"/>
    <w:rsid w:val="61EE7307"/>
    <w:rsid w:val="61F050AA"/>
    <w:rsid w:val="62031A89"/>
    <w:rsid w:val="620D6CE1"/>
    <w:rsid w:val="620F4CFC"/>
    <w:rsid w:val="621546F4"/>
    <w:rsid w:val="6239507B"/>
    <w:rsid w:val="624D3F67"/>
    <w:rsid w:val="625177F7"/>
    <w:rsid w:val="62600C89"/>
    <w:rsid w:val="627119D2"/>
    <w:rsid w:val="628C3EBA"/>
    <w:rsid w:val="62905239"/>
    <w:rsid w:val="6299063F"/>
    <w:rsid w:val="629E7CB8"/>
    <w:rsid w:val="62A92EDE"/>
    <w:rsid w:val="62B8444F"/>
    <w:rsid w:val="62BA0BF8"/>
    <w:rsid w:val="62E13FA0"/>
    <w:rsid w:val="62E16575"/>
    <w:rsid w:val="62F85366"/>
    <w:rsid w:val="62FA28EA"/>
    <w:rsid w:val="630B4623"/>
    <w:rsid w:val="631F166E"/>
    <w:rsid w:val="6336626A"/>
    <w:rsid w:val="63483CB9"/>
    <w:rsid w:val="63760033"/>
    <w:rsid w:val="6377272F"/>
    <w:rsid w:val="63781EAB"/>
    <w:rsid w:val="63992714"/>
    <w:rsid w:val="639B23CF"/>
    <w:rsid w:val="63A151D2"/>
    <w:rsid w:val="63BF0D6B"/>
    <w:rsid w:val="63BF12BC"/>
    <w:rsid w:val="63D47B81"/>
    <w:rsid w:val="63E061AB"/>
    <w:rsid w:val="63E44935"/>
    <w:rsid w:val="640D3E11"/>
    <w:rsid w:val="64291364"/>
    <w:rsid w:val="64302F5C"/>
    <w:rsid w:val="643836A9"/>
    <w:rsid w:val="644D24A1"/>
    <w:rsid w:val="64542A70"/>
    <w:rsid w:val="64561BAF"/>
    <w:rsid w:val="64775488"/>
    <w:rsid w:val="64990483"/>
    <w:rsid w:val="649D0B4A"/>
    <w:rsid w:val="64B91308"/>
    <w:rsid w:val="64C76B55"/>
    <w:rsid w:val="64D140C0"/>
    <w:rsid w:val="64D87A63"/>
    <w:rsid w:val="64DB0A9B"/>
    <w:rsid w:val="64F6663B"/>
    <w:rsid w:val="64F93B19"/>
    <w:rsid w:val="65064B7F"/>
    <w:rsid w:val="650A75D2"/>
    <w:rsid w:val="6514334D"/>
    <w:rsid w:val="651A5A67"/>
    <w:rsid w:val="653F799B"/>
    <w:rsid w:val="655842F3"/>
    <w:rsid w:val="656C5B97"/>
    <w:rsid w:val="65896300"/>
    <w:rsid w:val="65901886"/>
    <w:rsid w:val="659717A7"/>
    <w:rsid w:val="65984656"/>
    <w:rsid w:val="659E5FAD"/>
    <w:rsid w:val="65A3006B"/>
    <w:rsid w:val="65A62A49"/>
    <w:rsid w:val="65A86515"/>
    <w:rsid w:val="65BC68BF"/>
    <w:rsid w:val="65C3305D"/>
    <w:rsid w:val="65C50098"/>
    <w:rsid w:val="65CC692F"/>
    <w:rsid w:val="65DB799A"/>
    <w:rsid w:val="65DC49B5"/>
    <w:rsid w:val="65E85CB1"/>
    <w:rsid w:val="65EE2446"/>
    <w:rsid w:val="65F04A1A"/>
    <w:rsid w:val="66076369"/>
    <w:rsid w:val="661204ED"/>
    <w:rsid w:val="661B6F3C"/>
    <w:rsid w:val="66273CAC"/>
    <w:rsid w:val="662B57A4"/>
    <w:rsid w:val="66465D2D"/>
    <w:rsid w:val="664A1D6B"/>
    <w:rsid w:val="665C36FE"/>
    <w:rsid w:val="666C1575"/>
    <w:rsid w:val="669A1B9B"/>
    <w:rsid w:val="669C16BE"/>
    <w:rsid w:val="66B53E9C"/>
    <w:rsid w:val="66DC4887"/>
    <w:rsid w:val="66F57DCC"/>
    <w:rsid w:val="66F83C76"/>
    <w:rsid w:val="670267B3"/>
    <w:rsid w:val="67104E99"/>
    <w:rsid w:val="67270FEB"/>
    <w:rsid w:val="67275C72"/>
    <w:rsid w:val="672C51DB"/>
    <w:rsid w:val="67323D93"/>
    <w:rsid w:val="673F79F1"/>
    <w:rsid w:val="67421872"/>
    <w:rsid w:val="67422C6A"/>
    <w:rsid w:val="674D45AF"/>
    <w:rsid w:val="676072E5"/>
    <w:rsid w:val="677413C0"/>
    <w:rsid w:val="677551D7"/>
    <w:rsid w:val="677F35CD"/>
    <w:rsid w:val="678F3DBF"/>
    <w:rsid w:val="679B017F"/>
    <w:rsid w:val="67AC3ECD"/>
    <w:rsid w:val="67B42064"/>
    <w:rsid w:val="67BE2FFD"/>
    <w:rsid w:val="67E2406C"/>
    <w:rsid w:val="67E33DF7"/>
    <w:rsid w:val="67E56EF3"/>
    <w:rsid w:val="67F87BB6"/>
    <w:rsid w:val="680103BA"/>
    <w:rsid w:val="68017AF1"/>
    <w:rsid w:val="680443F1"/>
    <w:rsid w:val="680635FA"/>
    <w:rsid w:val="68091DC3"/>
    <w:rsid w:val="680B54D5"/>
    <w:rsid w:val="68120273"/>
    <w:rsid w:val="681B7D03"/>
    <w:rsid w:val="68217682"/>
    <w:rsid w:val="682E071E"/>
    <w:rsid w:val="682F3871"/>
    <w:rsid w:val="683257DC"/>
    <w:rsid w:val="683B5501"/>
    <w:rsid w:val="683E3FD1"/>
    <w:rsid w:val="684D42A1"/>
    <w:rsid w:val="68735301"/>
    <w:rsid w:val="6873723D"/>
    <w:rsid w:val="68817BAC"/>
    <w:rsid w:val="688A69E5"/>
    <w:rsid w:val="68906041"/>
    <w:rsid w:val="68916ADB"/>
    <w:rsid w:val="68953657"/>
    <w:rsid w:val="6899729E"/>
    <w:rsid w:val="68D335BA"/>
    <w:rsid w:val="68F91E38"/>
    <w:rsid w:val="68FA07D5"/>
    <w:rsid w:val="68FC438E"/>
    <w:rsid w:val="69006D22"/>
    <w:rsid w:val="6905258B"/>
    <w:rsid w:val="69207B12"/>
    <w:rsid w:val="69325EB2"/>
    <w:rsid w:val="69390486"/>
    <w:rsid w:val="694430CC"/>
    <w:rsid w:val="69473755"/>
    <w:rsid w:val="695C1F25"/>
    <w:rsid w:val="695D6733"/>
    <w:rsid w:val="696518D8"/>
    <w:rsid w:val="696A4D66"/>
    <w:rsid w:val="696D5E86"/>
    <w:rsid w:val="6984688D"/>
    <w:rsid w:val="698711F2"/>
    <w:rsid w:val="699D0A15"/>
    <w:rsid w:val="69B3412D"/>
    <w:rsid w:val="69D91521"/>
    <w:rsid w:val="69DA3ABA"/>
    <w:rsid w:val="69F3299D"/>
    <w:rsid w:val="69FA7048"/>
    <w:rsid w:val="6A0A2DAF"/>
    <w:rsid w:val="6A1311F3"/>
    <w:rsid w:val="6A1E42A3"/>
    <w:rsid w:val="6A25275F"/>
    <w:rsid w:val="6A2C6BCD"/>
    <w:rsid w:val="6A2E54FB"/>
    <w:rsid w:val="6A314C86"/>
    <w:rsid w:val="6A461CEE"/>
    <w:rsid w:val="6A493484"/>
    <w:rsid w:val="6A5C4651"/>
    <w:rsid w:val="6A5F343C"/>
    <w:rsid w:val="6A607497"/>
    <w:rsid w:val="6A6C14B3"/>
    <w:rsid w:val="6A890F99"/>
    <w:rsid w:val="6A9F256B"/>
    <w:rsid w:val="6A9F6B82"/>
    <w:rsid w:val="6AB51E1B"/>
    <w:rsid w:val="6AB875E3"/>
    <w:rsid w:val="6AE53E49"/>
    <w:rsid w:val="6AE54422"/>
    <w:rsid w:val="6AE65AE8"/>
    <w:rsid w:val="6AFC1780"/>
    <w:rsid w:val="6B092642"/>
    <w:rsid w:val="6B0A6DCB"/>
    <w:rsid w:val="6B266955"/>
    <w:rsid w:val="6B2B1095"/>
    <w:rsid w:val="6B6C47C7"/>
    <w:rsid w:val="6B833C3B"/>
    <w:rsid w:val="6B8579B3"/>
    <w:rsid w:val="6B8754D9"/>
    <w:rsid w:val="6B8E6EC0"/>
    <w:rsid w:val="6BA5530E"/>
    <w:rsid w:val="6BB46A94"/>
    <w:rsid w:val="6BBD0EFB"/>
    <w:rsid w:val="6BCD5478"/>
    <w:rsid w:val="6BCF6E80"/>
    <w:rsid w:val="6BD41A44"/>
    <w:rsid w:val="6BE1162F"/>
    <w:rsid w:val="6BF13CD2"/>
    <w:rsid w:val="6BF31BCB"/>
    <w:rsid w:val="6BFC50BB"/>
    <w:rsid w:val="6BFE7473"/>
    <w:rsid w:val="6C1873BF"/>
    <w:rsid w:val="6C1D026B"/>
    <w:rsid w:val="6C2B055A"/>
    <w:rsid w:val="6C376888"/>
    <w:rsid w:val="6C395703"/>
    <w:rsid w:val="6C44161C"/>
    <w:rsid w:val="6C4E30B1"/>
    <w:rsid w:val="6C4F7584"/>
    <w:rsid w:val="6C53360D"/>
    <w:rsid w:val="6C614CDA"/>
    <w:rsid w:val="6C68355C"/>
    <w:rsid w:val="6C7B7393"/>
    <w:rsid w:val="6C7D3646"/>
    <w:rsid w:val="6C8204FA"/>
    <w:rsid w:val="6C8A4BC2"/>
    <w:rsid w:val="6C9F4AA4"/>
    <w:rsid w:val="6CB31203"/>
    <w:rsid w:val="6CC369E5"/>
    <w:rsid w:val="6CD30C48"/>
    <w:rsid w:val="6CD75FEC"/>
    <w:rsid w:val="6CF272CA"/>
    <w:rsid w:val="6CF523F3"/>
    <w:rsid w:val="6D0B038C"/>
    <w:rsid w:val="6D2A2CA5"/>
    <w:rsid w:val="6D3A0192"/>
    <w:rsid w:val="6D3B21C6"/>
    <w:rsid w:val="6D473E48"/>
    <w:rsid w:val="6D513FF0"/>
    <w:rsid w:val="6D65184A"/>
    <w:rsid w:val="6D884435"/>
    <w:rsid w:val="6D8F68C7"/>
    <w:rsid w:val="6D9B34BE"/>
    <w:rsid w:val="6DAB76AC"/>
    <w:rsid w:val="6DEB2733"/>
    <w:rsid w:val="6DEB2DBA"/>
    <w:rsid w:val="6DED208A"/>
    <w:rsid w:val="6E041063"/>
    <w:rsid w:val="6E0D2763"/>
    <w:rsid w:val="6E195F76"/>
    <w:rsid w:val="6E3000AA"/>
    <w:rsid w:val="6E5A1993"/>
    <w:rsid w:val="6E5B32E9"/>
    <w:rsid w:val="6E62021E"/>
    <w:rsid w:val="6E6B222A"/>
    <w:rsid w:val="6ED954DF"/>
    <w:rsid w:val="6EE202D1"/>
    <w:rsid w:val="6EEB3FD1"/>
    <w:rsid w:val="6EEB4A72"/>
    <w:rsid w:val="6EEF3031"/>
    <w:rsid w:val="6EF30D21"/>
    <w:rsid w:val="6EFC29F3"/>
    <w:rsid w:val="6EFF6855"/>
    <w:rsid w:val="6F032EAD"/>
    <w:rsid w:val="6F132006"/>
    <w:rsid w:val="6F286FD3"/>
    <w:rsid w:val="6F392F8E"/>
    <w:rsid w:val="6F4E300D"/>
    <w:rsid w:val="6F572DF1"/>
    <w:rsid w:val="6F5C4ECE"/>
    <w:rsid w:val="6F6B6069"/>
    <w:rsid w:val="6F6F4D52"/>
    <w:rsid w:val="6F7021DE"/>
    <w:rsid w:val="6F7B4E79"/>
    <w:rsid w:val="6FB3263C"/>
    <w:rsid w:val="6FBE5DD1"/>
    <w:rsid w:val="6FCC7DF6"/>
    <w:rsid w:val="6FCF4290"/>
    <w:rsid w:val="6FD06C0E"/>
    <w:rsid w:val="6FD7796C"/>
    <w:rsid w:val="6FE61F3E"/>
    <w:rsid w:val="6FEA4536"/>
    <w:rsid w:val="70067BE4"/>
    <w:rsid w:val="701A2DBF"/>
    <w:rsid w:val="70225A06"/>
    <w:rsid w:val="70273A49"/>
    <w:rsid w:val="703852C9"/>
    <w:rsid w:val="7040659E"/>
    <w:rsid w:val="705444F8"/>
    <w:rsid w:val="70612300"/>
    <w:rsid w:val="706E7D4A"/>
    <w:rsid w:val="7091065D"/>
    <w:rsid w:val="70971627"/>
    <w:rsid w:val="709B2BE5"/>
    <w:rsid w:val="70C328BF"/>
    <w:rsid w:val="70C40F7D"/>
    <w:rsid w:val="70CB454F"/>
    <w:rsid w:val="70D16F53"/>
    <w:rsid w:val="70E47CF6"/>
    <w:rsid w:val="70EB149B"/>
    <w:rsid w:val="70F76C5D"/>
    <w:rsid w:val="712832BA"/>
    <w:rsid w:val="71285068"/>
    <w:rsid w:val="712D6B22"/>
    <w:rsid w:val="71446F48"/>
    <w:rsid w:val="71560100"/>
    <w:rsid w:val="715F2711"/>
    <w:rsid w:val="71636F54"/>
    <w:rsid w:val="716A37EB"/>
    <w:rsid w:val="716D6EF7"/>
    <w:rsid w:val="71836E88"/>
    <w:rsid w:val="71864485"/>
    <w:rsid w:val="718D136F"/>
    <w:rsid w:val="719E2567"/>
    <w:rsid w:val="71B22ECF"/>
    <w:rsid w:val="71E85B9D"/>
    <w:rsid w:val="71EC6370"/>
    <w:rsid w:val="71ED1E0E"/>
    <w:rsid w:val="720366A0"/>
    <w:rsid w:val="722241AD"/>
    <w:rsid w:val="72270EC3"/>
    <w:rsid w:val="724C4D96"/>
    <w:rsid w:val="72596459"/>
    <w:rsid w:val="72783FDC"/>
    <w:rsid w:val="727E07C1"/>
    <w:rsid w:val="729D342B"/>
    <w:rsid w:val="72A025A7"/>
    <w:rsid w:val="72A90780"/>
    <w:rsid w:val="72D21F7D"/>
    <w:rsid w:val="72E70D52"/>
    <w:rsid w:val="731A35C4"/>
    <w:rsid w:val="731D62C9"/>
    <w:rsid w:val="73215C7D"/>
    <w:rsid w:val="734309EC"/>
    <w:rsid w:val="7354228F"/>
    <w:rsid w:val="735A5D20"/>
    <w:rsid w:val="735D2FC3"/>
    <w:rsid w:val="73653B44"/>
    <w:rsid w:val="7372472C"/>
    <w:rsid w:val="737C12EE"/>
    <w:rsid w:val="73867BD2"/>
    <w:rsid w:val="7395275D"/>
    <w:rsid w:val="73A10AEA"/>
    <w:rsid w:val="73BE16BA"/>
    <w:rsid w:val="73D31FC9"/>
    <w:rsid w:val="73E256A2"/>
    <w:rsid w:val="73E47E00"/>
    <w:rsid w:val="73F266C1"/>
    <w:rsid w:val="73FD7B89"/>
    <w:rsid w:val="73FE47A6"/>
    <w:rsid w:val="7409659E"/>
    <w:rsid w:val="741B6E56"/>
    <w:rsid w:val="741D7CFD"/>
    <w:rsid w:val="74332C19"/>
    <w:rsid w:val="743615E7"/>
    <w:rsid w:val="743B50B2"/>
    <w:rsid w:val="743E0C09"/>
    <w:rsid w:val="7443349F"/>
    <w:rsid w:val="74490FEA"/>
    <w:rsid w:val="7456013E"/>
    <w:rsid w:val="7478287A"/>
    <w:rsid w:val="747A2167"/>
    <w:rsid w:val="747C2ED6"/>
    <w:rsid w:val="749368B8"/>
    <w:rsid w:val="749471CE"/>
    <w:rsid w:val="74973EE6"/>
    <w:rsid w:val="749C5FA8"/>
    <w:rsid w:val="74A1166D"/>
    <w:rsid w:val="74AB6068"/>
    <w:rsid w:val="74B01D8B"/>
    <w:rsid w:val="74B20C8E"/>
    <w:rsid w:val="74B256B4"/>
    <w:rsid w:val="74D6302D"/>
    <w:rsid w:val="74F006CD"/>
    <w:rsid w:val="74FA3F82"/>
    <w:rsid w:val="74FB2A94"/>
    <w:rsid w:val="75063DA9"/>
    <w:rsid w:val="75181898"/>
    <w:rsid w:val="751F38D5"/>
    <w:rsid w:val="753136E7"/>
    <w:rsid w:val="754D7FC3"/>
    <w:rsid w:val="755221E5"/>
    <w:rsid w:val="756A2EF2"/>
    <w:rsid w:val="75954C96"/>
    <w:rsid w:val="759E3629"/>
    <w:rsid w:val="75B90E75"/>
    <w:rsid w:val="75BD2847"/>
    <w:rsid w:val="75C260BC"/>
    <w:rsid w:val="75C7670A"/>
    <w:rsid w:val="75D36132"/>
    <w:rsid w:val="75D36D67"/>
    <w:rsid w:val="75E90E00"/>
    <w:rsid w:val="75F8279B"/>
    <w:rsid w:val="76031347"/>
    <w:rsid w:val="76056334"/>
    <w:rsid w:val="762016F1"/>
    <w:rsid w:val="76263B40"/>
    <w:rsid w:val="762D2114"/>
    <w:rsid w:val="76315C42"/>
    <w:rsid w:val="763952CF"/>
    <w:rsid w:val="76424E1E"/>
    <w:rsid w:val="764A5ACF"/>
    <w:rsid w:val="76515061"/>
    <w:rsid w:val="765D3B8B"/>
    <w:rsid w:val="7665609A"/>
    <w:rsid w:val="767A63A9"/>
    <w:rsid w:val="76804E9D"/>
    <w:rsid w:val="768A37E6"/>
    <w:rsid w:val="768D6FDE"/>
    <w:rsid w:val="76944ACB"/>
    <w:rsid w:val="7697655E"/>
    <w:rsid w:val="769F1D91"/>
    <w:rsid w:val="769F5D9A"/>
    <w:rsid w:val="76AB6DE1"/>
    <w:rsid w:val="76B25D27"/>
    <w:rsid w:val="76D33BB0"/>
    <w:rsid w:val="76D95A12"/>
    <w:rsid w:val="76E57D88"/>
    <w:rsid w:val="77071BC4"/>
    <w:rsid w:val="77184DEE"/>
    <w:rsid w:val="77323B53"/>
    <w:rsid w:val="77416599"/>
    <w:rsid w:val="774D4D40"/>
    <w:rsid w:val="77550B81"/>
    <w:rsid w:val="77556389"/>
    <w:rsid w:val="775D19FB"/>
    <w:rsid w:val="77730473"/>
    <w:rsid w:val="77793A78"/>
    <w:rsid w:val="77822FF8"/>
    <w:rsid w:val="77865552"/>
    <w:rsid w:val="77A409A1"/>
    <w:rsid w:val="77A53922"/>
    <w:rsid w:val="77CB1205"/>
    <w:rsid w:val="77E206B8"/>
    <w:rsid w:val="77EE7673"/>
    <w:rsid w:val="77F31337"/>
    <w:rsid w:val="77F343CE"/>
    <w:rsid w:val="781B7D7F"/>
    <w:rsid w:val="78341AC1"/>
    <w:rsid w:val="78342FAB"/>
    <w:rsid w:val="784C7A97"/>
    <w:rsid w:val="785B05DA"/>
    <w:rsid w:val="78B01AD3"/>
    <w:rsid w:val="78D56449"/>
    <w:rsid w:val="78D83678"/>
    <w:rsid w:val="78F16A6D"/>
    <w:rsid w:val="78F87470"/>
    <w:rsid w:val="790243F1"/>
    <w:rsid w:val="790F7EFC"/>
    <w:rsid w:val="791E0CEE"/>
    <w:rsid w:val="79324545"/>
    <w:rsid w:val="794D126A"/>
    <w:rsid w:val="794E0A95"/>
    <w:rsid w:val="79566E01"/>
    <w:rsid w:val="796432FD"/>
    <w:rsid w:val="79825428"/>
    <w:rsid w:val="79856DD0"/>
    <w:rsid w:val="79876FEC"/>
    <w:rsid w:val="79AB3BA5"/>
    <w:rsid w:val="79BD2A3C"/>
    <w:rsid w:val="79D15552"/>
    <w:rsid w:val="79D408E2"/>
    <w:rsid w:val="79E823FF"/>
    <w:rsid w:val="79ED2596"/>
    <w:rsid w:val="79F01E68"/>
    <w:rsid w:val="79FF6A5B"/>
    <w:rsid w:val="7A060F29"/>
    <w:rsid w:val="7A0D772E"/>
    <w:rsid w:val="7A1A7507"/>
    <w:rsid w:val="7A3A5E0C"/>
    <w:rsid w:val="7A413367"/>
    <w:rsid w:val="7A4C198A"/>
    <w:rsid w:val="7A5F5442"/>
    <w:rsid w:val="7A7079E0"/>
    <w:rsid w:val="7A724105"/>
    <w:rsid w:val="7A9419C0"/>
    <w:rsid w:val="7A965738"/>
    <w:rsid w:val="7A9814B1"/>
    <w:rsid w:val="7A9C2241"/>
    <w:rsid w:val="7AB33D9E"/>
    <w:rsid w:val="7AC92404"/>
    <w:rsid w:val="7ACD42BF"/>
    <w:rsid w:val="7AD31326"/>
    <w:rsid w:val="7AD66B02"/>
    <w:rsid w:val="7ADA03F0"/>
    <w:rsid w:val="7AE446F6"/>
    <w:rsid w:val="7AE528A2"/>
    <w:rsid w:val="7AFC3CFC"/>
    <w:rsid w:val="7B1E0D4F"/>
    <w:rsid w:val="7B263453"/>
    <w:rsid w:val="7B272BE2"/>
    <w:rsid w:val="7B306E76"/>
    <w:rsid w:val="7B4D6097"/>
    <w:rsid w:val="7B515B18"/>
    <w:rsid w:val="7B530320"/>
    <w:rsid w:val="7B543EF4"/>
    <w:rsid w:val="7B8A06D2"/>
    <w:rsid w:val="7B8C3917"/>
    <w:rsid w:val="7B930A06"/>
    <w:rsid w:val="7BB75966"/>
    <w:rsid w:val="7BC85F2C"/>
    <w:rsid w:val="7BD22224"/>
    <w:rsid w:val="7BD45837"/>
    <w:rsid w:val="7BDF2D5E"/>
    <w:rsid w:val="7BE222A1"/>
    <w:rsid w:val="7BF003F6"/>
    <w:rsid w:val="7BF24BF0"/>
    <w:rsid w:val="7C08154A"/>
    <w:rsid w:val="7C084414"/>
    <w:rsid w:val="7C1179FC"/>
    <w:rsid w:val="7C4B2553"/>
    <w:rsid w:val="7C737814"/>
    <w:rsid w:val="7C7B1320"/>
    <w:rsid w:val="7C7E50B8"/>
    <w:rsid w:val="7C896BD7"/>
    <w:rsid w:val="7C900940"/>
    <w:rsid w:val="7CA8598A"/>
    <w:rsid w:val="7CB400F8"/>
    <w:rsid w:val="7CB869FF"/>
    <w:rsid w:val="7CC3658D"/>
    <w:rsid w:val="7CCA39FF"/>
    <w:rsid w:val="7CD746CA"/>
    <w:rsid w:val="7CDC7B83"/>
    <w:rsid w:val="7CE55E7F"/>
    <w:rsid w:val="7CFD1A9F"/>
    <w:rsid w:val="7D030CD1"/>
    <w:rsid w:val="7D0C1CE2"/>
    <w:rsid w:val="7D124E1E"/>
    <w:rsid w:val="7D162B61"/>
    <w:rsid w:val="7D2A0296"/>
    <w:rsid w:val="7D313E6C"/>
    <w:rsid w:val="7D314FD1"/>
    <w:rsid w:val="7D4E7440"/>
    <w:rsid w:val="7D753C60"/>
    <w:rsid w:val="7D797663"/>
    <w:rsid w:val="7D7C0005"/>
    <w:rsid w:val="7D8939CA"/>
    <w:rsid w:val="7DA94709"/>
    <w:rsid w:val="7DAC5273"/>
    <w:rsid w:val="7DB24525"/>
    <w:rsid w:val="7DB52379"/>
    <w:rsid w:val="7DCB0AAA"/>
    <w:rsid w:val="7DDB16B4"/>
    <w:rsid w:val="7DE2398E"/>
    <w:rsid w:val="7DEE65BE"/>
    <w:rsid w:val="7DF73CC5"/>
    <w:rsid w:val="7DF73D2F"/>
    <w:rsid w:val="7E094473"/>
    <w:rsid w:val="7E1663B1"/>
    <w:rsid w:val="7E7516B6"/>
    <w:rsid w:val="7E7B3DD3"/>
    <w:rsid w:val="7E7C2E97"/>
    <w:rsid w:val="7E823E1E"/>
    <w:rsid w:val="7E924469"/>
    <w:rsid w:val="7E955D07"/>
    <w:rsid w:val="7EB73ECF"/>
    <w:rsid w:val="7EB81DA4"/>
    <w:rsid w:val="7EC23727"/>
    <w:rsid w:val="7EC3035A"/>
    <w:rsid w:val="7EDB5A14"/>
    <w:rsid w:val="7EDD09A7"/>
    <w:rsid w:val="7EDF56BE"/>
    <w:rsid w:val="7EE24DDD"/>
    <w:rsid w:val="7EE81AAF"/>
    <w:rsid w:val="7EED6FB2"/>
    <w:rsid w:val="7F125CD3"/>
    <w:rsid w:val="7F3305D5"/>
    <w:rsid w:val="7F3517ED"/>
    <w:rsid w:val="7F397EF3"/>
    <w:rsid w:val="7F4860C3"/>
    <w:rsid w:val="7F777E67"/>
    <w:rsid w:val="7F791C3F"/>
    <w:rsid w:val="7F7A357E"/>
    <w:rsid w:val="7F86256C"/>
    <w:rsid w:val="7F9C07DA"/>
    <w:rsid w:val="7FA674C2"/>
    <w:rsid w:val="7FB14C72"/>
    <w:rsid w:val="7FF056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jc w:val="center"/>
      <w:outlineLvl w:val="0"/>
    </w:pPr>
    <w:rPr>
      <w:rFonts w:ascii="黑体" w:eastAsia="黑体"/>
      <w:sz w:val="30"/>
      <w:szCs w:val="20"/>
    </w:rPr>
  </w:style>
  <w:style w:type="paragraph" w:styleId="4">
    <w:name w:val="heading 2"/>
    <w:basedOn w:val="1"/>
    <w:next w:val="1"/>
    <w:link w:val="57"/>
    <w:qFormat/>
    <w:uiPriority w:val="0"/>
    <w:pPr>
      <w:keepNext/>
      <w:numPr>
        <w:ilvl w:val="0"/>
        <w:numId w:val="2"/>
      </w:numPr>
      <w:jc w:val="center"/>
      <w:outlineLvl w:val="1"/>
    </w:pPr>
    <w:rPr>
      <w:rFonts w:ascii="黑体" w:eastAsia="黑体"/>
      <w:color w:val="000000"/>
      <w:kern w:val="2"/>
      <w:sz w:val="28"/>
      <w:lang w:val="en-US" w:eastAsia="zh-CN" w:bidi="ar-SA"/>
    </w:rPr>
  </w:style>
  <w:style w:type="paragraph" w:styleId="5">
    <w:name w:val="heading 3"/>
    <w:basedOn w:val="1"/>
    <w:next w:val="1"/>
    <w:link w:val="58"/>
    <w:qFormat/>
    <w:uiPriority w:val="0"/>
    <w:pPr>
      <w:keepNext/>
      <w:numPr>
        <w:ilvl w:val="0"/>
        <w:numId w:val="3"/>
      </w:numPr>
      <w:jc w:val="center"/>
      <w:outlineLvl w:val="2"/>
    </w:pPr>
    <w:rPr>
      <w:rFonts w:ascii="黑体" w:eastAsia="黑体"/>
      <w:color w:val="000000"/>
      <w:kern w:val="2"/>
      <w:sz w:val="32"/>
      <w:lang w:val="en-US" w:eastAsia="zh-CN" w:bidi="ar-SA"/>
    </w:rPr>
  </w:style>
  <w:style w:type="paragraph" w:styleId="6">
    <w:name w:val="heading 4"/>
    <w:basedOn w:val="1"/>
    <w:next w:val="1"/>
    <w:link w:val="59"/>
    <w:qFormat/>
    <w:uiPriority w:val="0"/>
    <w:pPr>
      <w:keepNext/>
      <w:numPr>
        <w:ilvl w:val="0"/>
        <w:numId w:val="4"/>
      </w:numPr>
      <w:tabs>
        <w:tab w:val="left" w:pos="2715"/>
        <w:tab w:val="clear" w:pos="720"/>
      </w:tabs>
      <w:autoSpaceDE w:val="0"/>
      <w:autoSpaceDN w:val="0"/>
      <w:adjustRightInd w:val="0"/>
      <w:jc w:val="center"/>
      <w:outlineLvl w:val="3"/>
    </w:pPr>
    <w:rPr>
      <w:rFonts w:ascii="方正姚体" w:eastAsia="方正姚体"/>
      <w:kern w:val="2"/>
      <w:sz w:val="36"/>
      <w:szCs w:val="32"/>
      <w:lang w:val="en-US" w:eastAsia="zh-CN" w:bidi="ar-SA"/>
    </w:rPr>
  </w:style>
  <w:style w:type="paragraph" w:styleId="7">
    <w:name w:val="heading 5"/>
    <w:basedOn w:val="1"/>
    <w:next w:val="1"/>
    <w:qFormat/>
    <w:uiPriority w:val="0"/>
    <w:pPr>
      <w:keepNext/>
      <w:keepLines/>
      <w:spacing w:before="280" w:beforeLines="0" w:after="290" w:afterLines="0" w:line="376" w:lineRule="auto"/>
      <w:outlineLvl w:val="4"/>
    </w:pPr>
    <w:rPr>
      <w:b/>
      <w:bCs/>
      <w:sz w:val="28"/>
      <w:szCs w:val="28"/>
    </w:rPr>
  </w:style>
  <w:style w:type="paragraph" w:styleId="8">
    <w:name w:val="heading 6"/>
    <w:basedOn w:val="1"/>
    <w:next w:val="1"/>
    <w:link w:val="60"/>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b/>
      <w:bCs/>
      <w:sz w:val="24"/>
      <w:szCs w:val="24"/>
      <w:lang w:val="en-US" w:eastAsia="zh-CN" w:bidi="ar-SA"/>
    </w:rPr>
  </w:style>
  <w:style w:type="paragraph" w:styleId="9">
    <w:name w:val="heading 7"/>
    <w:basedOn w:val="1"/>
    <w:next w:val="1"/>
    <w:link w:val="61"/>
    <w:qFormat/>
    <w:uiPriority w:val="0"/>
    <w:pPr>
      <w:keepNext/>
      <w:keepLines/>
      <w:widowControl/>
      <w:tabs>
        <w:tab w:val="left" w:pos="2520"/>
      </w:tabs>
      <w:spacing w:before="240" w:beforeLines="0" w:after="64" w:afterLines="0" w:line="320" w:lineRule="auto"/>
      <w:ind w:left="1296" w:hanging="1296"/>
      <w:jc w:val="left"/>
      <w:outlineLvl w:val="6"/>
    </w:pPr>
    <w:rPr>
      <w:rFonts w:eastAsia="宋体"/>
      <w:b/>
      <w:bCs/>
      <w:sz w:val="24"/>
      <w:szCs w:val="24"/>
      <w:lang w:val="en-US" w:eastAsia="zh-CN" w:bidi="ar-SA"/>
    </w:rPr>
  </w:style>
  <w:style w:type="paragraph" w:styleId="10">
    <w:name w:val="heading 8"/>
    <w:basedOn w:val="1"/>
    <w:next w:val="1"/>
    <w:link w:val="62"/>
    <w:qFormat/>
    <w:uiPriority w:val="0"/>
    <w:pPr>
      <w:keepNext/>
      <w:keepLines/>
      <w:widowControl/>
      <w:tabs>
        <w:tab w:val="left" w:pos="1440"/>
      </w:tabs>
      <w:spacing w:before="240" w:beforeLines="0" w:after="64" w:afterLines="0" w:line="320" w:lineRule="auto"/>
      <w:ind w:left="1440" w:hanging="1440"/>
      <w:jc w:val="left"/>
      <w:outlineLvl w:val="7"/>
    </w:pPr>
    <w:rPr>
      <w:rFonts w:ascii="Arial" w:hAnsi="Arial" w:eastAsia="黑体"/>
      <w:sz w:val="24"/>
      <w:szCs w:val="24"/>
      <w:lang w:val="en-US" w:eastAsia="zh-CN" w:bidi="ar-SA"/>
    </w:rPr>
  </w:style>
  <w:style w:type="paragraph" w:styleId="11">
    <w:name w:val="heading 9"/>
    <w:basedOn w:val="1"/>
    <w:next w:val="1"/>
    <w:link w:val="63"/>
    <w:qFormat/>
    <w:uiPriority w:val="0"/>
    <w:pPr>
      <w:keepNext/>
      <w:keepLines/>
      <w:widowControl/>
      <w:tabs>
        <w:tab w:val="left" w:pos="1584"/>
      </w:tabs>
      <w:spacing w:before="240" w:beforeLines="0" w:after="64" w:afterLines="0" w:line="320" w:lineRule="auto"/>
      <w:ind w:left="1584" w:hanging="1584"/>
      <w:jc w:val="left"/>
      <w:outlineLvl w:val="8"/>
    </w:pPr>
    <w:rPr>
      <w:rFonts w:ascii="Arial" w:hAnsi="Arial" w:eastAsia="黑体"/>
      <w:sz w:val="21"/>
      <w:szCs w:val="21"/>
      <w:lang w:val="en-US" w:eastAsia="zh-CN" w:bidi="ar-SA"/>
    </w:rPr>
  </w:style>
  <w:style w:type="character" w:default="1" w:styleId="39">
    <w:name w:val="Default Paragraph Font"/>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Normal Indent"/>
    <w:basedOn w:val="1"/>
    <w:qFormat/>
    <w:uiPriority w:val="0"/>
    <w:pPr>
      <w:ind w:firstLine="420"/>
    </w:pPr>
    <w:rPr>
      <w:szCs w:val="20"/>
    </w:rPr>
  </w:style>
  <w:style w:type="paragraph" w:styleId="13">
    <w:name w:val="Document Map"/>
    <w:basedOn w:val="1"/>
    <w:link w:val="64"/>
    <w:qFormat/>
    <w:uiPriority w:val="0"/>
    <w:pPr>
      <w:shd w:val="clear" w:color="auto" w:fill="000080"/>
    </w:pPr>
    <w:rPr>
      <w:rFonts w:eastAsia="宋体"/>
      <w:kern w:val="2"/>
      <w:sz w:val="21"/>
      <w:szCs w:val="24"/>
      <w:lang w:val="en-US" w:eastAsia="zh-CN" w:bidi="ar-SA"/>
    </w:rPr>
  </w:style>
  <w:style w:type="paragraph" w:styleId="14">
    <w:name w:val="annotation text"/>
    <w:basedOn w:val="1"/>
    <w:link w:val="65"/>
    <w:qFormat/>
    <w:uiPriority w:val="0"/>
    <w:pPr>
      <w:jc w:val="left"/>
    </w:pPr>
    <w:rPr>
      <w:rFonts w:eastAsia="宋体"/>
      <w:kern w:val="2"/>
      <w:sz w:val="21"/>
      <w:szCs w:val="24"/>
      <w:lang w:val="en-US" w:eastAsia="zh-CN" w:bidi="ar-SA"/>
    </w:rPr>
  </w:style>
  <w:style w:type="paragraph" w:styleId="15">
    <w:name w:val="Body Text 3"/>
    <w:basedOn w:val="1"/>
    <w:link w:val="66"/>
    <w:qFormat/>
    <w:uiPriority w:val="0"/>
    <w:rPr>
      <w:rFonts w:ascii="宋体" w:eastAsia="宋体"/>
      <w:color w:val="000000"/>
      <w:kern w:val="2"/>
      <w:sz w:val="32"/>
      <w:lang w:val="en-US" w:eastAsia="zh-CN" w:bidi="ar-SA"/>
    </w:rPr>
  </w:style>
  <w:style w:type="paragraph" w:styleId="16">
    <w:name w:val="Body Text"/>
    <w:basedOn w:val="1"/>
    <w:next w:val="1"/>
    <w:link w:val="67"/>
    <w:qFormat/>
    <w:uiPriority w:val="0"/>
    <w:pPr>
      <w:ind w:right="-84" w:rightChars="-40"/>
      <w:jc w:val="center"/>
    </w:pPr>
    <w:rPr>
      <w:rFonts w:eastAsia="宋体"/>
      <w:kern w:val="2"/>
      <w:sz w:val="21"/>
      <w:szCs w:val="24"/>
      <w:lang w:val="en-US" w:eastAsia="zh-CN" w:bidi="ar-SA"/>
    </w:rPr>
  </w:style>
  <w:style w:type="paragraph" w:styleId="17">
    <w:name w:val="Body Text Indent"/>
    <w:basedOn w:val="1"/>
    <w:link w:val="68"/>
    <w:qFormat/>
    <w:uiPriority w:val="0"/>
    <w:pPr>
      <w:spacing w:line="360" w:lineRule="auto"/>
      <w:ind w:firstLine="480"/>
    </w:pPr>
    <w:rPr>
      <w:rFonts w:ascii="宋体" w:eastAsia="宋体"/>
      <w:kern w:val="2"/>
      <w:sz w:val="24"/>
      <w:szCs w:val="24"/>
      <w:lang w:val="en-US" w:eastAsia="zh-CN" w:bidi="ar-SA"/>
    </w:rPr>
  </w:style>
  <w:style w:type="paragraph" w:styleId="18">
    <w:name w:val="Block Text"/>
    <w:basedOn w:val="1"/>
    <w:qFormat/>
    <w:uiPriority w:val="0"/>
    <w:pPr>
      <w:ind w:left="-78" w:leftChars="-37" w:right="-162" w:rightChars="-77" w:firstLine="78" w:firstLineChars="37"/>
      <w:jc w:val="center"/>
    </w:pPr>
    <w:rPr>
      <w:rFonts w:ascii="宋体" w:hAnsi="宋体"/>
      <w:szCs w:val="21"/>
    </w:rPr>
  </w:style>
  <w:style w:type="paragraph" w:styleId="19">
    <w:name w:val="toc 3"/>
    <w:basedOn w:val="1"/>
    <w:next w:val="1"/>
    <w:qFormat/>
    <w:uiPriority w:val="39"/>
    <w:pPr>
      <w:ind w:left="840" w:leftChars="400"/>
    </w:pPr>
  </w:style>
  <w:style w:type="paragraph" w:styleId="20">
    <w:name w:val="Plain Text"/>
    <w:basedOn w:val="1"/>
    <w:link w:val="69"/>
    <w:qFormat/>
    <w:uiPriority w:val="0"/>
    <w:rPr>
      <w:rFonts w:ascii="宋体" w:hAnsi="Courier New" w:eastAsia="宋体" w:cs="黑体"/>
      <w:sz w:val="21"/>
      <w:szCs w:val="21"/>
      <w:lang w:val="en-US" w:eastAsia="zh-CN" w:bidi="ar-SA"/>
    </w:rPr>
  </w:style>
  <w:style w:type="paragraph" w:styleId="21">
    <w:name w:val="Date"/>
    <w:basedOn w:val="1"/>
    <w:next w:val="1"/>
    <w:qFormat/>
    <w:uiPriority w:val="0"/>
    <w:rPr>
      <w:szCs w:val="20"/>
    </w:rPr>
  </w:style>
  <w:style w:type="paragraph" w:styleId="22">
    <w:name w:val="Body Text Indent 2"/>
    <w:basedOn w:val="1"/>
    <w:qFormat/>
    <w:uiPriority w:val="0"/>
    <w:pPr>
      <w:spacing w:line="360" w:lineRule="auto"/>
      <w:ind w:firstLine="480"/>
    </w:pPr>
    <w:rPr>
      <w:rFonts w:ascii="宋体" w:hAnsi="宋体"/>
      <w:szCs w:val="21"/>
    </w:rPr>
  </w:style>
  <w:style w:type="paragraph" w:styleId="23">
    <w:name w:val="endnote text"/>
    <w:basedOn w:val="1"/>
    <w:link w:val="70"/>
    <w:qFormat/>
    <w:uiPriority w:val="0"/>
    <w:pPr>
      <w:snapToGrid w:val="0"/>
      <w:jc w:val="left"/>
    </w:pPr>
    <w:rPr>
      <w:rFonts w:eastAsia="宋体"/>
      <w:kern w:val="2"/>
      <w:sz w:val="21"/>
      <w:lang w:val="en-US" w:eastAsia="zh-CN" w:bidi="ar-SA"/>
    </w:rPr>
  </w:style>
  <w:style w:type="paragraph" w:styleId="24">
    <w:name w:val="Balloon Text"/>
    <w:basedOn w:val="1"/>
    <w:link w:val="71"/>
    <w:qFormat/>
    <w:uiPriority w:val="0"/>
    <w:pPr>
      <w:numPr>
        <w:ilvl w:val="0"/>
        <w:numId w:val="5"/>
      </w:numPr>
      <w:tabs>
        <w:tab w:val="clear" w:pos="1005"/>
      </w:tabs>
      <w:ind w:left="0" w:firstLine="0"/>
    </w:pPr>
    <w:rPr>
      <w:rFonts w:eastAsia="宋体"/>
      <w:kern w:val="2"/>
      <w:sz w:val="18"/>
      <w:szCs w:val="18"/>
      <w:lang w:val="en-US" w:eastAsia="zh-CN" w:bidi="ar-SA"/>
    </w:rPr>
  </w:style>
  <w:style w:type="paragraph" w:styleId="25">
    <w:name w:val="footer"/>
    <w:basedOn w:val="1"/>
    <w:next w:val="16"/>
    <w:link w:val="72"/>
    <w:qFormat/>
    <w:uiPriority w:val="99"/>
    <w:pPr>
      <w:tabs>
        <w:tab w:val="center" w:pos="4153"/>
        <w:tab w:val="right" w:pos="8306"/>
      </w:tabs>
      <w:snapToGrid w:val="0"/>
      <w:jc w:val="left"/>
    </w:pPr>
    <w:rPr>
      <w:rFonts w:eastAsia="宋体"/>
      <w:kern w:val="2"/>
      <w:sz w:val="18"/>
      <w:lang w:val="en-US" w:eastAsia="zh-CN" w:bidi="ar-SA"/>
    </w:rPr>
  </w:style>
  <w:style w:type="paragraph" w:styleId="26">
    <w:name w:val="header"/>
    <w:basedOn w:val="1"/>
    <w:link w:val="73"/>
    <w:qFormat/>
    <w:uiPriority w:val="99"/>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27">
    <w:name w:val="toc 1"/>
    <w:basedOn w:val="1"/>
    <w:next w:val="1"/>
    <w:qFormat/>
    <w:uiPriority w:val="0"/>
    <w:pPr>
      <w:tabs>
        <w:tab w:val="right" w:leader="dot" w:pos="8280"/>
        <w:tab w:val="right" w:leader="dot" w:pos="9360"/>
      </w:tabs>
      <w:adjustRightInd w:val="0"/>
      <w:snapToGrid w:val="0"/>
      <w:spacing w:line="300" w:lineRule="auto"/>
      <w:ind w:firstLine="538" w:firstLineChars="192"/>
    </w:pPr>
    <w:rPr>
      <w:rFonts w:ascii="宋体" w:hAnsi="宋体"/>
      <w:bCs/>
      <w:sz w:val="28"/>
    </w:rPr>
  </w:style>
  <w:style w:type="paragraph" w:styleId="28">
    <w:name w:val="footnote text"/>
    <w:basedOn w:val="1"/>
    <w:link w:val="74"/>
    <w:qFormat/>
    <w:uiPriority w:val="0"/>
    <w:pPr>
      <w:snapToGrid w:val="0"/>
      <w:jc w:val="left"/>
    </w:pPr>
    <w:rPr>
      <w:rFonts w:eastAsia="宋体"/>
      <w:kern w:val="2"/>
      <w:sz w:val="18"/>
      <w:lang w:val="en-US" w:eastAsia="zh-CN" w:bidi="ar-SA"/>
    </w:rPr>
  </w:style>
  <w:style w:type="paragraph" w:styleId="29">
    <w:name w:val="Body Text Indent 3"/>
    <w:basedOn w:val="1"/>
    <w:link w:val="75"/>
    <w:qFormat/>
    <w:uiPriority w:val="0"/>
    <w:pPr>
      <w:spacing w:line="480" w:lineRule="exact"/>
      <w:ind w:firstLine="540" w:firstLineChars="257"/>
    </w:pPr>
    <w:rPr>
      <w:rFonts w:ascii="宋体" w:hAnsi="宋体" w:eastAsia="宋体"/>
      <w:kern w:val="2"/>
      <w:sz w:val="21"/>
      <w:szCs w:val="21"/>
      <w:lang w:val="en-US" w:eastAsia="zh-CN" w:bidi="ar-SA"/>
    </w:rPr>
  </w:style>
  <w:style w:type="paragraph" w:styleId="30">
    <w:name w:val="toc 2"/>
    <w:basedOn w:val="1"/>
    <w:next w:val="1"/>
    <w:qFormat/>
    <w:uiPriority w:val="39"/>
    <w:pPr>
      <w:ind w:left="420" w:leftChars="200"/>
    </w:pPr>
  </w:style>
  <w:style w:type="paragraph" w:styleId="31">
    <w:name w:val="Body Text 2"/>
    <w:basedOn w:val="1"/>
    <w:link w:val="76"/>
    <w:qFormat/>
    <w:uiPriority w:val="0"/>
    <w:rPr>
      <w:rFonts w:ascii="宋体" w:eastAsia="宋体"/>
      <w:kern w:val="2"/>
      <w:sz w:val="28"/>
      <w:lang w:val="en-US" w:eastAsia="zh-CN" w:bidi="ar-SA"/>
    </w:rPr>
  </w:style>
  <w:style w:type="paragraph" w:styleId="3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33">
    <w:name w:val="index 1"/>
    <w:basedOn w:val="1"/>
    <w:next w:val="1"/>
    <w:qFormat/>
    <w:uiPriority w:val="0"/>
    <w:pPr>
      <w:spacing w:line="220" w:lineRule="exact"/>
      <w:jc w:val="center"/>
    </w:pPr>
    <w:rPr>
      <w:rFonts w:ascii="仿宋_GB2312" w:eastAsia="仿宋_GB2312"/>
      <w:szCs w:val="21"/>
    </w:rPr>
  </w:style>
  <w:style w:type="paragraph" w:styleId="34">
    <w:name w:val="Title"/>
    <w:basedOn w:val="1"/>
    <w:link w:val="77"/>
    <w:qFormat/>
    <w:uiPriority w:val="0"/>
    <w:pPr>
      <w:adjustRightInd w:val="0"/>
      <w:spacing w:before="240" w:beforeLines="0" w:after="60" w:afterLines="0" w:line="420" w:lineRule="atLeast"/>
      <w:jc w:val="center"/>
      <w:textAlignment w:val="baseline"/>
      <w:outlineLvl w:val="0"/>
    </w:pPr>
    <w:rPr>
      <w:rFonts w:ascii="Arial" w:hAnsi="Arial" w:eastAsia="宋体"/>
      <w:b/>
      <w:sz w:val="32"/>
      <w:lang w:val="en-US" w:eastAsia="zh-CN" w:bidi="ar-SA"/>
    </w:rPr>
  </w:style>
  <w:style w:type="paragraph" w:styleId="35">
    <w:name w:val="annotation subject"/>
    <w:basedOn w:val="14"/>
    <w:next w:val="14"/>
    <w:qFormat/>
    <w:uiPriority w:val="0"/>
    <w:rPr>
      <w:b/>
      <w:bCs/>
    </w:rPr>
  </w:style>
  <w:style w:type="paragraph" w:styleId="36">
    <w:name w:val="Body Text First Indent"/>
    <w:basedOn w:val="16"/>
    <w:qFormat/>
    <w:uiPriority w:val="0"/>
    <w:pPr>
      <w:spacing w:after="120" w:afterLines="0"/>
      <w:ind w:right="0" w:rightChars="0" w:firstLine="420" w:firstLineChars="100"/>
      <w:jc w:val="both"/>
    </w:pPr>
    <w:rPr>
      <w:szCs w:val="20"/>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basedOn w:val="39"/>
    <w:qFormat/>
    <w:uiPriority w:val="0"/>
    <w:rPr>
      <w:color w:val="800080"/>
      <w:u w:val="none"/>
    </w:rPr>
  </w:style>
  <w:style w:type="character" w:styleId="43">
    <w:name w:val="Emphasis"/>
    <w:qFormat/>
    <w:uiPriority w:val="20"/>
    <w:rPr>
      <w:i/>
      <w:iCs/>
    </w:rPr>
  </w:style>
  <w:style w:type="character" w:styleId="44">
    <w:name w:val="HTML Definition"/>
    <w:basedOn w:val="39"/>
    <w:qFormat/>
    <w:uiPriority w:val="0"/>
  </w:style>
  <w:style w:type="character" w:styleId="45">
    <w:name w:val="HTML Typewriter"/>
    <w:basedOn w:val="39"/>
    <w:qFormat/>
    <w:uiPriority w:val="0"/>
    <w:rPr>
      <w:rFonts w:hint="default" w:ascii="monospace" w:hAnsi="monospace" w:eastAsia="monospace" w:cs="monospace"/>
      <w:sz w:val="20"/>
    </w:rPr>
  </w:style>
  <w:style w:type="character" w:styleId="46">
    <w:name w:val="HTML Acronym"/>
    <w:basedOn w:val="39"/>
    <w:qFormat/>
    <w:uiPriority w:val="0"/>
  </w:style>
  <w:style w:type="character" w:styleId="47">
    <w:name w:val="HTML Variable"/>
    <w:basedOn w:val="39"/>
    <w:qFormat/>
    <w:uiPriority w:val="0"/>
  </w:style>
  <w:style w:type="character" w:styleId="48">
    <w:name w:val="Hyperlink"/>
    <w:basedOn w:val="39"/>
    <w:qFormat/>
    <w:uiPriority w:val="99"/>
    <w:rPr>
      <w:color w:val="0000FF"/>
      <w:u w:val="none"/>
    </w:rPr>
  </w:style>
  <w:style w:type="character" w:styleId="49">
    <w:name w:val="HTML Code"/>
    <w:basedOn w:val="39"/>
    <w:qFormat/>
    <w:uiPriority w:val="0"/>
    <w:rPr>
      <w:rFonts w:ascii="monospace" w:hAnsi="monospace" w:eastAsia="monospace" w:cs="monospace"/>
      <w:sz w:val="20"/>
    </w:rPr>
  </w:style>
  <w:style w:type="character" w:styleId="50">
    <w:name w:val="annotation reference"/>
    <w:qFormat/>
    <w:uiPriority w:val="0"/>
    <w:rPr>
      <w:sz w:val="21"/>
      <w:szCs w:val="21"/>
    </w:rPr>
  </w:style>
  <w:style w:type="character" w:styleId="51">
    <w:name w:val="HTML Cite"/>
    <w:basedOn w:val="39"/>
    <w:qFormat/>
    <w:uiPriority w:val="0"/>
  </w:style>
  <w:style w:type="character" w:styleId="52">
    <w:name w:val="footnote reference"/>
    <w:qFormat/>
    <w:uiPriority w:val="0"/>
    <w:rPr>
      <w:vertAlign w:val="superscript"/>
    </w:rPr>
  </w:style>
  <w:style w:type="character" w:styleId="53">
    <w:name w:val="HTML Keyboard"/>
    <w:basedOn w:val="39"/>
    <w:qFormat/>
    <w:uiPriority w:val="0"/>
    <w:rPr>
      <w:rFonts w:hint="default" w:ascii="monospace" w:hAnsi="monospace" w:eastAsia="monospace" w:cs="monospace"/>
      <w:sz w:val="20"/>
    </w:rPr>
  </w:style>
  <w:style w:type="character" w:styleId="54">
    <w:name w:val="HTML Sample"/>
    <w:basedOn w:val="39"/>
    <w:qFormat/>
    <w:uiPriority w:val="0"/>
    <w:rPr>
      <w:rFonts w:hint="default" w:ascii="monospace" w:hAnsi="monospace" w:eastAsia="monospace" w:cs="monospace"/>
    </w:rPr>
  </w:style>
  <w:style w:type="paragraph" w:customStyle="1" w:styleId="55">
    <w:name w:val="RFI Heading 2nd Level Char"/>
    <w:next w:val="56"/>
    <w:qFormat/>
    <w:uiPriority w:val="0"/>
    <w:pPr>
      <w:widowControl/>
      <w:autoSpaceDE/>
      <w:autoSpaceDN/>
      <w:spacing w:before="240" w:after="240" w:line="240" w:lineRule="auto"/>
      <w:ind w:left="1152" w:hanging="1152"/>
      <w:jc w:val="both"/>
      <w:outlineLvl w:val="1"/>
    </w:pPr>
    <w:rPr>
      <w:rFonts w:ascii="Arial (W1)" w:hAnsi="Times New Roman" w:eastAsia="Times New Roman" w:cs="Times New Roman"/>
      <w:b/>
      <w:color w:val="3366FF"/>
      <w:sz w:val="24"/>
      <w:lang w:val="en-US" w:eastAsia="zh-CN" w:bidi="ar-SA"/>
    </w:rPr>
  </w:style>
  <w:style w:type="paragraph" w:customStyle="1" w:styleId="56">
    <w:name w:val="Normal 0.51"/>
    <w:next w:val="1"/>
    <w:qFormat/>
    <w:uiPriority w:val="0"/>
    <w:pPr>
      <w:widowControl/>
      <w:autoSpaceDE/>
      <w:autoSpaceDN/>
      <w:spacing w:before="180" w:after="120" w:line="240" w:lineRule="auto"/>
      <w:ind w:left="720" w:firstLine="0"/>
      <w:jc w:val="both"/>
    </w:pPr>
    <w:rPr>
      <w:rFonts w:ascii="Times New Roman" w:hAnsi="Times New Roman" w:eastAsia="宋体" w:cs="Times New Roman"/>
      <w:sz w:val="24"/>
      <w:lang w:val="en-US" w:eastAsia="zh-CN" w:bidi="ar-SA"/>
    </w:rPr>
  </w:style>
  <w:style w:type="character" w:customStyle="1" w:styleId="57">
    <w:name w:val="标题 2 字符"/>
    <w:link w:val="4"/>
    <w:qFormat/>
    <w:uiPriority w:val="0"/>
    <w:rPr>
      <w:rFonts w:ascii="黑体" w:eastAsia="黑体"/>
      <w:color w:val="000000"/>
      <w:kern w:val="2"/>
      <w:sz w:val="28"/>
      <w:lang w:val="en-US" w:eastAsia="zh-CN" w:bidi="ar-SA"/>
    </w:rPr>
  </w:style>
  <w:style w:type="character" w:customStyle="1" w:styleId="58">
    <w:name w:val="标题 3 字符"/>
    <w:link w:val="5"/>
    <w:qFormat/>
    <w:uiPriority w:val="0"/>
    <w:rPr>
      <w:rFonts w:ascii="黑体" w:eastAsia="黑体"/>
      <w:color w:val="000000"/>
      <w:kern w:val="2"/>
      <w:sz w:val="32"/>
      <w:lang w:val="en-US" w:eastAsia="zh-CN" w:bidi="ar-SA"/>
    </w:rPr>
  </w:style>
  <w:style w:type="character" w:customStyle="1" w:styleId="59">
    <w:name w:val="标题 4 字符"/>
    <w:link w:val="6"/>
    <w:qFormat/>
    <w:uiPriority w:val="0"/>
    <w:rPr>
      <w:rFonts w:ascii="方正姚体" w:eastAsia="方正姚体"/>
      <w:kern w:val="2"/>
      <w:sz w:val="36"/>
      <w:szCs w:val="32"/>
      <w:lang w:val="en-US" w:eastAsia="zh-CN" w:bidi="ar-SA"/>
    </w:rPr>
  </w:style>
  <w:style w:type="character" w:customStyle="1" w:styleId="60">
    <w:name w:val="标题 6 字符"/>
    <w:link w:val="8"/>
    <w:qFormat/>
    <w:uiPriority w:val="0"/>
    <w:rPr>
      <w:rFonts w:ascii="Arial" w:hAnsi="Arial" w:eastAsia="黑体"/>
      <w:b/>
      <w:bCs/>
      <w:sz w:val="24"/>
      <w:szCs w:val="24"/>
      <w:lang w:val="en-US" w:eastAsia="zh-CN" w:bidi="ar-SA"/>
    </w:rPr>
  </w:style>
  <w:style w:type="character" w:customStyle="1" w:styleId="61">
    <w:name w:val="标题 7 字符"/>
    <w:link w:val="9"/>
    <w:qFormat/>
    <w:uiPriority w:val="0"/>
    <w:rPr>
      <w:rFonts w:eastAsia="宋体"/>
      <w:b/>
      <w:bCs/>
      <w:sz w:val="24"/>
      <w:szCs w:val="24"/>
      <w:lang w:val="en-US" w:eastAsia="zh-CN" w:bidi="ar-SA"/>
    </w:rPr>
  </w:style>
  <w:style w:type="character" w:customStyle="1" w:styleId="62">
    <w:name w:val="标题 8 字符"/>
    <w:link w:val="10"/>
    <w:qFormat/>
    <w:uiPriority w:val="0"/>
    <w:rPr>
      <w:rFonts w:ascii="Arial" w:hAnsi="Arial" w:eastAsia="黑体"/>
      <w:sz w:val="24"/>
      <w:szCs w:val="24"/>
      <w:lang w:val="en-US" w:eastAsia="zh-CN" w:bidi="ar-SA"/>
    </w:rPr>
  </w:style>
  <w:style w:type="character" w:customStyle="1" w:styleId="63">
    <w:name w:val="标题 9 字符"/>
    <w:link w:val="11"/>
    <w:qFormat/>
    <w:uiPriority w:val="0"/>
    <w:rPr>
      <w:rFonts w:ascii="Arial" w:hAnsi="Arial" w:eastAsia="黑体"/>
      <w:sz w:val="21"/>
      <w:szCs w:val="21"/>
      <w:lang w:val="en-US" w:eastAsia="zh-CN" w:bidi="ar-SA"/>
    </w:rPr>
  </w:style>
  <w:style w:type="character" w:customStyle="1" w:styleId="64">
    <w:name w:val="文档结构图 字符"/>
    <w:link w:val="13"/>
    <w:qFormat/>
    <w:uiPriority w:val="0"/>
    <w:rPr>
      <w:rFonts w:eastAsia="宋体"/>
      <w:kern w:val="2"/>
      <w:sz w:val="21"/>
      <w:szCs w:val="24"/>
      <w:lang w:val="en-US" w:eastAsia="zh-CN" w:bidi="ar-SA"/>
    </w:rPr>
  </w:style>
  <w:style w:type="character" w:customStyle="1" w:styleId="65">
    <w:name w:val="批注文字 字符"/>
    <w:link w:val="14"/>
    <w:qFormat/>
    <w:uiPriority w:val="0"/>
    <w:rPr>
      <w:rFonts w:eastAsia="宋体"/>
      <w:kern w:val="2"/>
      <w:sz w:val="21"/>
      <w:szCs w:val="24"/>
      <w:lang w:val="en-US" w:eastAsia="zh-CN" w:bidi="ar-SA"/>
    </w:rPr>
  </w:style>
  <w:style w:type="character" w:customStyle="1" w:styleId="66">
    <w:name w:val="正文文本 3 字符"/>
    <w:link w:val="15"/>
    <w:qFormat/>
    <w:uiPriority w:val="0"/>
    <w:rPr>
      <w:rFonts w:ascii="宋体" w:eastAsia="宋体"/>
      <w:color w:val="000000"/>
      <w:kern w:val="2"/>
      <w:sz w:val="32"/>
      <w:lang w:val="en-US" w:eastAsia="zh-CN" w:bidi="ar-SA"/>
    </w:rPr>
  </w:style>
  <w:style w:type="character" w:customStyle="1" w:styleId="67">
    <w:name w:val="正文文本 字符"/>
    <w:link w:val="16"/>
    <w:qFormat/>
    <w:uiPriority w:val="0"/>
    <w:rPr>
      <w:rFonts w:eastAsia="宋体"/>
      <w:kern w:val="2"/>
      <w:sz w:val="21"/>
      <w:szCs w:val="24"/>
      <w:lang w:val="en-US" w:eastAsia="zh-CN" w:bidi="ar-SA"/>
    </w:rPr>
  </w:style>
  <w:style w:type="character" w:customStyle="1" w:styleId="68">
    <w:name w:val="正文文本缩进 字符"/>
    <w:link w:val="17"/>
    <w:qFormat/>
    <w:uiPriority w:val="0"/>
    <w:rPr>
      <w:rFonts w:ascii="宋体" w:eastAsia="宋体"/>
      <w:kern w:val="2"/>
      <w:sz w:val="24"/>
      <w:szCs w:val="24"/>
      <w:lang w:val="en-US" w:eastAsia="zh-CN" w:bidi="ar-SA"/>
    </w:rPr>
  </w:style>
  <w:style w:type="character" w:customStyle="1" w:styleId="69">
    <w:name w:val="纯文本 字符"/>
    <w:link w:val="20"/>
    <w:qFormat/>
    <w:uiPriority w:val="0"/>
    <w:rPr>
      <w:rFonts w:ascii="宋体" w:hAnsi="Courier New" w:eastAsia="宋体" w:cs="黑体"/>
      <w:sz w:val="21"/>
      <w:szCs w:val="21"/>
      <w:lang w:val="en-US" w:eastAsia="zh-CN" w:bidi="ar-SA"/>
    </w:rPr>
  </w:style>
  <w:style w:type="character" w:customStyle="1" w:styleId="70">
    <w:name w:val="尾注文本 字符"/>
    <w:link w:val="23"/>
    <w:qFormat/>
    <w:uiPriority w:val="0"/>
    <w:rPr>
      <w:rFonts w:eastAsia="宋体"/>
      <w:kern w:val="2"/>
      <w:sz w:val="21"/>
      <w:lang w:val="en-US" w:eastAsia="zh-CN" w:bidi="ar-SA"/>
    </w:rPr>
  </w:style>
  <w:style w:type="character" w:customStyle="1" w:styleId="71">
    <w:name w:val="批注框文本 字符"/>
    <w:link w:val="24"/>
    <w:qFormat/>
    <w:uiPriority w:val="0"/>
    <w:rPr>
      <w:rFonts w:eastAsia="宋体"/>
      <w:kern w:val="2"/>
      <w:sz w:val="18"/>
      <w:szCs w:val="18"/>
      <w:lang w:val="en-US" w:eastAsia="zh-CN" w:bidi="ar-SA"/>
    </w:rPr>
  </w:style>
  <w:style w:type="character" w:customStyle="1" w:styleId="72">
    <w:name w:val="页脚 字符"/>
    <w:link w:val="25"/>
    <w:qFormat/>
    <w:uiPriority w:val="99"/>
    <w:rPr>
      <w:rFonts w:eastAsia="宋体"/>
      <w:kern w:val="2"/>
      <w:sz w:val="18"/>
      <w:lang w:val="en-US" w:eastAsia="zh-CN" w:bidi="ar-SA"/>
    </w:rPr>
  </w:style>
  <w:style w:type="character" w:customStyle="1" w:styleId="73">
    <w:name w:val="页眉 字符"/>
    <w:link w:val="26"/>
    <w:qFormat/>
    <w:uiPriority w:val="99"/>
    <w:rPr>
      <w:rFonts w:eastAsia="宋体"/>
      <w:kern w:val="2"/>
      <w:sz w:val="18"/>
      <w:szCs w:val="18"/>
      <w:lang w:val="en-US" w:eastAsia="zh-CN" w:bidi="ar-SA"/>
    </w:rPr>
  </w:style>
  <w:style w:type="character" w:customStyle="1" w:styleId="74">
    <w:name w:val="脚注文本 字符"/>
    <w:link w:val="28"/>
    <w:qFormat/>
    <w:uiPriority w:val="0"/>
    <w:rPr>
      <w:rFonts w:eastAsia="宋体"/>
      <w:kern w:val="2"/>
      <w:sz w:val="18"/>
      <w:lang w:val="en-US" w:eastAsia="zh-CN" w:bidi="ar-SA"/>
    </w:rPr>
  </w:style>
  <w:style w:type="character" w:customStyle="1" w:styleId="75">
    <w:name w:val="正文文本缩进 3 字符"/>
    <w:link w:val="29"/>
    <w:qFormat/>
    <w:uiPriority w:val="0"/>
    <w:rPr>
      <w:rFonts w:ascii="宋体" w:hAnsi="宋体" w:eastAsia="宋体"/>
      <w:kern w:val="2"/>
      <w:sz w:val="21"/>
      <w:szCs w:val="21"/>
      <w:lang w:val="en-US" w:eastAsia="zh-CN" w:bidi="ar-SA"/>
    </w:rPr>
  </w:style>
  <w:style w:type="character" w:customStyle="1" w:styleId="76">
    <w:name w:val="正文文本 2 字符"/>
    <w:link w:val="31"/>
    <w:qFormat/>
    <w:uiPriority w:val="0"/>
    <w:rPr>
      <w:rFonts w:ascii="宋体" w:eastAsia="宋体"/>
      <w:kern w:val="2"/>
      <w:sz w:val="28"/>
      <w:lang w:val="en-US" w:eastAsia="zh-CN" w:bidi="ar-SA"/>
    </w:rPr>
  </w:style>
  <w:style w:type="character" w:customStyle="1" w:styleId="77">
    <w:name w:val="标题 字符"/>
    <w:link w:val="34"/>
    <w:qFormat/>
    <w:uiPriority w:val="0"/>
    <w:rPr>
      <w:rFonts w:ascii="Arial" w:hAnsi="Arial" w:eastAsia="宋体"/>
      <w:b/>
      <w:sz w:val="32"/>
      <w:lang w:val="en-US" w:eastAsia="zh-CN" w:bidi="ar-SA"/>
    </w:rPr>
  </w:style>
  <w:style w:type="character" w:customStyle="1" w:styleId="78">
    <w:name w:val="我的正文 Char Char"/>
    <w:link w:val="79"/>
    <w:qFormat/>
    <w:uiPriority w:val="0"/>
    <w:rPr>
      <w:rFonts w:ascii="宋体" w:hAnsi="宋体" w:eastAsia="宋体"/>
      <w:kern w:val="2"/>
      <w:sz w:val="24"/>
      <w:szCs w:val="24"/>
      <w:lang w:val="en-US" w:eastAsia="zh-CN" w:bidi="ar-SA"/>
    </w:rPr>
  </w:style>
  <w:style w:type="paragraph" w:customStyle="1" w:styleId="79">
    <w:name w:val="我的正文"/>
    <w:basedOn w:val="1"/>
    <w:link w:val="78"/>
    <w:qFormat/>
    <w:uiPriority w:val="0"/>
    <w:pPr>
      <w:snapToGrid w:val="0"/>
      <w:spacing w:line="300" w:lineRule="auto"/>
      <w:ind w:firstLine="150" w:firstLineChars="150"/>
    </w:pPr>
    <w:rPr>
      <w:rFonts w:ascii="宋体" w:hAnsi="宋体" w:eastAsia="宋体"/>
      <w:kern w:val="2"/>
      <w:sz w:val="24"/>
      <w:szCs w:val="24"/>
      <w:lang w:val="en-US" w:eastAsia="zh-CN" w:bidi="ar-SA"/>
    </w:rPr>
  </w:style>
  <w:style w:type="paragraph" w:customStyle="1" w:styleId="80">
    <w:name w:val="表格文字"/>
    <w:basedOn w:val="1"/>
    <w:qFormat/>
    <w:uiPriority w:val="0"/>
    <w:pPr>
      <w:adjustRightInd w:val="0"/>
      <w:spacing w:line="420" w:lineRule="atLeast"/>
      <w:jc w:val="left"/>
      <w:textAlignment w:val="baseline"/>
    </w:pPr>
    <w:rPr>
      <w:kern w:val="0"/>
      <w:szCs w:val="20"/>
    </w:rPr>
  </w:style>
  <w:style w:type="paragraph" w:customStyle="1" w:styleId="81">
    <w:name w:val="xl47"/>
    <w:basedOn w:val="1"/>
    <w:qFormat/>
    <w:uiPriority w:val="0"/>
    <w:pPr>
      <w:widowControl/>
      <w:pBdr>
        <w:top w:val="single" w:color="auto" w:sz="8"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hint="eastAsia" w:ascii="黑体" w:hAnsi="Arial Unicode MS" w:eastAsia="黑体"/>
      <w:kern w:val="0"/>
      <w:sz w:val="24"/>
    </w:rPr>
  </w:style>
  <w:style w:type="paragraph" w:customStyle="1" w:styleId="82">
    <w:name w:val=":-)"/>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styleId="83">
    <w:name w:val="List Paragraph"/>
    <w:basedOn w:val="1"/>
    <w:qFormat/>
    <w:uiPriority w:val="0"/>
    <w:pPr>
      <w:ind w:firstLine="420" w:firstLineChars="200"/>
    </w:pPr>
    <w:rPr>
      <w:szCs w:val="20"/>
    </w:rPr>
  </w:style>
  <w:style w:type="paragraph" w:customStyle="1" w:styleId="84">
    <w:name w:val="简单回函地址"/>
    <w:basedOn w:val="1"/>
    <w:qFormat/>
    <w:uiPriority w:val="0"/>
  </w:style>
  <w:style w:type="paragraph" w:customStyle="1" w:styleId="85">
    <w:name w:val="样式 首行缩进:  2 字符"/>
    <w:basedOn w:val="1"/>
    <w:qFormat/>
    <w:uiPriority w:val="0"/>
    <w:pPr>
      <w:spacing w:line="400" w:lineRule="exact"/>
      <w:ind w:firstLine="200" w:firstLineChars="200"/>
    </w:pPr>
    <w:rPr>
      <w:rFonts w:cs="宋体"/>
      <w:szCs w:val="24"/>
    </w:rPr>
  </w:style>
  <w:style w:type="paragraph" w:customStyle="1" w:styleId="8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Char1"/>
    <w:basedOn w:val="1"/>
    <w:qFormat/>
    <w:uiPriority w:val="0"/>
    <w:rPr>
      <w:rFonts w:ascii="仿宋_GB2312" w:eastAsia="仿宋_GB2312"/>
      <w:b/>
      <w:sz w:val="32"/>
      <w:szCs w:val="32"/>
    </w:rPr>
  </w:style>
  <w:style w:type="paragraph" w:customStyle="1" w:styleId="88">
    <w:name w:val="样式2"/>
    <w:basedOn w:val="1"/>
    <w:qFormat/>
    <w:uiPriority w:val="0"/>
    <w:pPr>
      <w:numPr>
        <w:ilvl w:val="0"/>
        <w:numId w:val="6"/>
      </w:numPr>
      <w:spacing w:line="360" w:lineRule="auto"/>
      <w:jc w:val="center"/>
    </w:pPr>
    <w:rPr>
      <w:rFonts w:ascii="黑体" w:eastAsia="黑体"/>
      <w:szCs w:val="20"/>
    </w:rPr>
  </w:style>
  <w:style w:type="paragraph" w:customStyle="1" w:styleId="89">
    <w:name w:val="xl30"/>
    <w:basedOn w:val="1"/>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ascii="Arial Unicode MS" w:hAnsi="Arial Unicode MS"/>
      <w:kern w:val="0"/>
      <w:sz w:val="24"/>
    </w:rPr>
  </w:style>
  <w:style w:type="paragraph" w:customStyle="1" w:styleId="90">
    <w:name w:val=":-|"/>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91">
    <w:name w:val="xl39"/>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b/>
      <w:bCs/>
      <w:color w:val="FF0000"/>
      <w:kern w:val="0"/>
      <w:sz w:val="24"/>
    </w:rPr>
  </w:style>
  <w:style w:type="paragraph" w:customStyle="1" w:styleId="92">
    <w:name w:val="xl44"/>
    <w:basedOn w:val="1"/>
    <w:qFormat/>
    <w:uiPriority w:val="0"/>
    <w:pPr>
      <w:widowControl/>
      <w:pBdr>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kern w:val="0"/>
      <w:sz w:val="24"/>
    </w:rPr>
  </w:style>
  <w:style w:type="paragraph" w:customStyle="1" w:styleId="93">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kern w:val="0"/>
      <w:sz w:val="24"/>
    </w:rPr>
  </w:style>
  <w:style w:type="paragraph" w:customStyle="1" w:styleId="94">
    <w:name w:val="xl40"/>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95">
    <w:name w:val="font11"/>
    <w:basedOn w:val="1"/>
    <w:qFormat/>
    <w:uiPriority w:val="0"/>
    <w:pPr>
      <w:widowControl/>
      <w:spacing w:before="100" w:beforeLines="0" w:beforeAutospacing="1" w:after="100" w:afterLines="0" w:afterAutospacing="1"/>
      <w:jc w:val="left"/>
    </w:pPr>
    <w:rPr>
      <w:b/>
      <w:bCs/>
      <w:kern w:val="0"/>
      <w:sz w:val="24"/>
    </w:rPr>
  </w:style>
  <w:style w:type="paragraph" w:customStyle="1" w:styleId="96">
    <w:name w:val="xl36"/>
    <w:basedOn w:val="1"/>
    <w:qFormat/>
    <w:uiPriority w:val="0"/>
    <w:pPr>
      <w:widowControl/>
      <w:pBdr>
        <w:top w:val="single" w:color="auto" w:sz="4" w:space="0"/>
        <w:left w:val="single" w:color="auto" w:sz="4" w:space="0"/>
        <w:bottom w:val="single" w:color="auto" w:sz="8" w:space="0"/>
        <w:right w:val="single" w:color="auto" w:sz="8" w:space="0"/>
      </w:pBdr>
      <w:spacing w:before="100" w:beforeLines="0" w:beforeAutospacing="1" w:after="100" w:afterLines="0" w:afterAutospacing="1"/>
      <w:jc w:val="center"/>
      <w:textAlignment w:val="center"/>
    </w:pPr>
    <w:rPr>
      <w:kern w:val="0"/>
      <w:sz w:val="24"/>
    </w:rPr>
  </w:style>
  <w:style w:type="paragraph" w:customStyle="1" w:styleId="97">
    <w:name w:val="xl34"/>
    <w:basedOn w:val="1"/>
    <w:qFormat/>
    <w:uiPriority w:val="0"/>
    <w:pPr>
      <w:widowControl/>
      <w:pBdr>
        <w:top w:val="single" w:color="auto" w:sz="4" w:space="0"/>
        <w:left w:val="single" w:color="auto" w:sz="8" w:space="0"/>
        <w:bottom w:val="single" w:color="auto" w:sz="8"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9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b/>
      <w:bCs/>
      <w:color w:val="FF0000"/>
      <w:kern w:val="0"/>
      <w:sz w:val="24"/>
    </w:rPr>
  </w:style>
  <w:style w:type="paragraph" w:customStyle="1" w:styleId="99">
    <w:name w:val="&lt;=="/>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00">
    <w:name w:val="font0"/>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01">
    <w:name w:val="样式1"/>
    <w:basedOn w:val="1"/>
    <w:qFormat/>
    <w:uiPriority w:val="0"/>
    <w:pPr>
      <w:adjustRightInd w:val="0"/>
      <w:spacing w:before="360" w:beforeLines="0" w:after="240" w:afterLines="0" w:line="360" w:lineRule="auto"/>
      <w:jc w:val="center"/>
      <w:textAlignment w:val="baseline"/>
    </w:pPr>
    <w:rPr>
      <w:rFonts w:ascii="黑体" w:eastAsia="黑体"/>
      <w:kern w:val="0"/>
      <w:sz w:val="32"/>
      <w:szCs w:val="20"/>
    </w:rPr>
  </w:style>
  <w:style w:type="paragraph" w:customStyle="1" w:styleId="102">
    <w:name w:val="xl48"/>
    <w:basedOn w:val="1"/>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黑体" w:hAnsi="Arial Unicode MS" w:eastAsia="黑体"/>
      <w:kern w:val="0"/>
      <w:sz w:val="24"/>
    </w:rPr>
  </w:style>
  <w:style w:type="paragraph" w:customStyle="1" w:styleId="103">
    <w:name w:val="_Style 102"/>
    <w:unhideWhenUsed/>
    <w:qFormat/>
    <w:uiPriority w:val="99"/>
    <w:rPr>
      <w:rFonts w:ascii="Times New Roman" w:hAnsi="Times New Roman" w:eastAsia="宋体" w:cs="Times New Roman"/>
      <w:kern w:val="2"/>
      <w:sz w:val="21"/>
      <w:szCs w:val="24"/>
      <w:lang w:val="en-US" w:eastAsia="zh-CN" w:bidi="ar-SA"/>
    </w:rPr>
  </w:style>
  <w:style w:type="paragraph" w:customStyle="1" w:styleId="104">
    <w:name w:val="xl49"/>
    <w:basedOn w:val="1"/>
    <w:qFormat/>
    <w:uiPriority w:val="0"/>
    <w:pPr>
      <w:widowControl/>
      <w:pBdr>
        <w:top w:val="single" w:color="auto" w:sz="8"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hint="eastAsia" w:ascii="黑体" w:hAnsi="Arial Unicode MS" w:eastAsia="黑体"/>
      <w:kern w:val="0"/>
      <w:sz w:val="24"/>
    </w:rPr>
  </w:style>
  <w:style w:type="paragraph" w:customStyle="1" w:styleId="105">
    <w:name w:val="&lt;=&gt;"/>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06">
    <w:name w:val="xl51"/>
    <w:basedOn w:val="1"/>
    <w:qFormat/>
    <w:uiPriority w:val="0"/>
    <w:pPr>
      <w:widowControl/>
      <w:spacing w:before="100" w:beforeLines="0" w:beforeAutospacing="1" w:after="100" w:afterLines="0" w:afterAutospacing="1"/>
      <w:jc w:val="left"/>
      <w:textAlignment w:val="center"/>
    </w:pPr>
    <w:rPr>
      <w:rFonts w:ascii="Arial Unicode MS" w:hAnsi="Arial Unicode MS"/>
      <w:kern w:val="0"/>
      <w:sz w:val="24"/>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b/>
      <w:bCs/>
      <w:color w:val="FF0000"/>
      <w:kern w:val="0"/>
      <w:sz w:val="24"/>
    </w:rPr>
  </w:style>
  <w:style w:type="paragraph" w:customStyle="1" w:styleId="108">
    <w:name w:val="font9"/>
    <w:basedOn w:val="1"/>
    <w:qFormat/>
    <w:uiPriority w:val="0"/>
    <w:pPr>
      <w:widowControl/>
      <w:spacing w:before="100" w:beforeLines="0" w:beforeAutospacing="1" w:after="100" w:afterLines="0" w:afterAutospacing="1"/>
      <w:jc w:val="left"/>
    </w:pPr>
    <w:rPr>
      <w:kern w:val="0"/>
      <w:sz w:val="24"/>
      <w:u w:val="single"/>
    </w:rPr>
  </w:style>
  <w:style w:type="paragraph" w:customStyle="1" w:styleId="10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4"/>
    </w:rPr>
  </w:style>
  <w:style w:type="paragraph" w:customStyle="1" w:styleId="110">
    <w:name w:val="xl29"/>
    <w:basedOn w:val="1"/>
    <w:qFormat/>
    <w:uiPriority w:val="0"/>
    <w:pPr>
      <w:widowControl/>
      <w:pBdr>
        <w:bottom w:val="single" w:color="auto" w:sz="4" w:space="0"/>
      </w:pBdr>
      <w:spacing w:before="100" w:beforeLines="0" w:beforeAutospacing="1" w:after="100" w:afterLines="0" w:afterAutospacing="1"/>
      <w:jc w:val="left"/>
    </w:pPr>
    <w:rPr>
      <w:rFonts w:ascii="Arial Unicode MS" w:hAnsi="Arial Unicode MS"/>
      <w:kern w:val="0"/>
      <w:sz w:val="24"/>
    </w:rPr>
  </w:style>
  <w:style w:type="paragraph" w:customStyle="1" w:styleId="111">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112">
    <w:name w:val="font8"/>
    <w:basedOn w:val="1"/>
    <w:qFormat/>
    <w:uiPriority w:val="0"/>
    <w:pPr>
      <w:widowControl/>
      <w:spacing w:before="100" w:beforeLines="0" w:beforeAutospacing="1" w:after="100" w:afterLines="0" w:afterAutospacing="1"/>
      <w:jc w:val="left"/>
    </w:pPr>
    <w:rPr>
      <w:kern w:val="0"/>
      <w:sz w:val="24"/>
    </w:rPr>
  </w:style>
  <w:style w:type="paragraph" w:customStyle="1" w:styleId="11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color w:val="FF0000"/>
      <w:kern w:val="0"/>
      <w:sz w:val="24"/>
    </w:rPr>
  </w:style>
  <w:style w:type="paragraph" w:customStyle="1" w:styleId="114">
    <w:name w:val=":)"/>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15">
    <w:name w:val="样式 标题 2 + Times New Roman 四号 非加粗 段前: 5 磅 段后: 0 磅 行距: 固定值 20..."/>
    <w:basedOn w:val="4"/>
    <w:qFormat/>
    <w:uiPriority w:val="0"/>
    <w:pPr>
      <w:keepLines/>
      <w:numPr>
        <w:ilvl w:val="0"/>
        <w:numId w:val="0"/>
      </w:numPr>
      <w:spacing w:before="100" w:beforeLines="0" w:line="400" w:lineRule="exact"/>
      <w:jc w:val="both"/>
    </w:pPr>
    <w:rPr>
      <w:rFonts w:ascii="Times New Roman" w:cs="宋体"/>
      <w:color w:val="auto"/>
    </w:rPr>
  </w:style>
  <w:style w:type="paragraph" w:customStyle="1" w:styleId="116">
    <w:name w:val="xl50"/>
    <w:basedOn w:val="1"/>
    <w:qFormat/>
    <w:uiPriority w:val="0"/>
    <w:pPr>
      <w:widowControl/>
      <w:spacing w:before="100" w:beforeLines="0" w:beforeAutospacing="1" w:after="100" w:afterLines="0" w:afterAutospacing="1"/>
      <w:jc w:val="center"/>
      <w:textAlignment w:val="top"/>
    </w:pPr>
    <w:rPr>
      <w:rFonts w:hint="eastAsia" w:ascii="黑体" w:hAnsi="Arial Unicode MS" w:eastAsia="黑体"/>
      <w:b/>
      <w:bCs/>
      <w:kern w:val="0"/>
      <w:sz w:val="36"/>
      <w:szCs w:val="36"/>
    </w:rPr>
  </w:style>
  <w:style w:type="paragraph" w:customStyle="1" w:styleId="11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kern w:val="0"/>
      <w:sz w:val="24"/>
    </w:rPr>
  </w:style>
  <w:style w:type="paragraph" w:customStyle="1" w:styleId="118">
    <w:name w:val=":-("/>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19">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120">
    <w:name w:val="xl4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12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kern w:val="0"/>
      <w:sz w:val="24"/>
    </w:rPr>
  </w:style>
  <w:style w:type="paragraph" w:customStyle="1" w:styleId="122">
    <w:name w:val=" Char"/>
    <w:basedOn w:val="1"/>
    <w:qFormat/>
    <w:uiPriority w:val="0"/>
    <w:pPr>
      <w:widowControl/>
      <w:spacing w:after="160" w:afterLines="0" w:line="240" w:lineRule="exact"/>
      <w:jc w:val="left"/>
    </w:pPr>
    <w:rPr>
      <w:szCs w:val="20"/>
    </w:rPr>
  </w:style>
  <w:style w:type="paragraph" w:customStyle="1" w:styleId="123">
    <w:name w:val="==&gt;"/>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24">
    <w:name w:val="标题 3 New"/>
    <w:basedOn w:val="86"/>
    <w:next w:val="86"/>
    <w:qFormat/>
    <w:uiPriority w:val="0"/>
    <w:pPr>
      <w:keepNext/>
      <w:keepLines/>
      <w:spacing w:line="360" w:lineRule="auto"/>
      <w:ind w:firstLine="200" w:firstLineChars="200"/>
      <w:outlineLvl w:val="2"/>
    </w:pPr>
    <w:rPr>
      <w:b/>
      <w:bCs/>
      <w:szCs w:val="32"/>
    </w:rPr>
  </w:style>
  <w:style w:type="paragraph" w:customStyle="1" w:styleId="12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kern w:val="0"/>
      <w:sz w:val="24"/>
    </w:rPr>
  </w:style>
  <w:style w:type="paragraph" w:customStyle="1" w:styleId="126">
    <w:name w:val="样式 标题 2 + 宋体 四号 居中"/>
    <w:basedOn w:val="4"/>
    <w:qFormat/>
    <w:uiPriority w:val="0"/>
    <w:pPr>
      <w:keepLines/>
      <w:numPr>
        <w:ilvl w:val="0"/>
        <w:numId w:val="0"/>
      </w:numPr>
      <w:tabs>
        <w:tab w:val="clear" w:pos="960"/>
      </w:tabs>
      <w:spacing w:before="260" w:beforeLines="0" w:after="260" w:afterLines="0" w:line="415" w:lineRule="auto"/>
    </w:pPr>
    <w:rPr>
      <w:rFonts w:ascii="宋体" w:hAnsi="宋体" w:eastAsia="宋体" w:cs="宋体"/>
      <w:b/>
      <w:bCs/>
      <w:color w:val="auto"/>
      <w:sz w:val="30"/>
    </w:rPr>
  </w:style>
  <w:style w:type="paragraph" w:customStyle="1" w:styleId="127">
    <w:name w:val="p15"/>
    <w:basedOn w:val="1"/>
    <w:qFormat/>
    <w:uiPriority w:val="0"/>
    <w:pPr>
      <w:widowControl/>
      <w:spacing w:line="360" w:lineRule="auto"/>
      <w:jc w:val="left"/>
    </w:pPr>
    <w:rPr>
      <w:kern w:val="0"/>
      <w:sz w:val="24"/>
    </w:rPr>
  </w:style>
  <w:style w:type="paragraph" w:customStyle="1" w:styleId="128">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129">
    <w:name w:val="xl43"/>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b/>
      <w:bCs/>
      <w:color w:val="FF0000"/>
      <w:kern w:val="0"/>
      <w:sz w:val="24"/>
    </w:rPr>
  </w:style>
  <w:style w:type="paragraph" w:customStyle="1" w:styleId="13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kern w:val="0"/>
      <w:sz w:val="24"/>
    </w:rPr>
  </w:style>
  <w:style w:type="paragraph" w:customStyle="1" w:styleId="131">
    <w:name w:val="font6"/>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32">
    <w:name w:val="Plain Text"/>
    <w:basedOn w:val="1"/>
    <w:qFormat/>
    <w:uiPriority w:val="0"/>
    <w:pPr>
      <w:adjustRightInd w:val="0"/>
      <w:textAlignment w:val="baseline"/>
    </w:pPr>
    <w:rPr>
      <w:rFonts w:ascii="宋体" w:hAnsi="Courier New"/>
      <w:szCs w:val="20"/>
    </w:rPr>
  </w:style>
  <w:style w:type="paragraph" w:customStyle="1" w:styleId="133">
    <w:name w:val="font10"/>
    <w:basedOn w:val="1"/>
    <w:qFormat/>
    <w:uiPriority w:val="0"/>
    <w:pPr>
      <w:widowControl/>
      <w:spacing w:before="100" w:beforeLines="0" w:beforeAutospacing="1" w:after="100" w:afterLines="0" w:afterAutospacing="1"/>
      <w:jc w:val="left"/>
    </w:pPr>
    <w:rPr>
      <w:rFonts w:hint="eastAsia" w:ascii="宋体" w:hAnsi="宋体"/>
      <w:b/>
      <w:bCs/>
      <w:kern w:val="0"/>
      <w:sz w:val="24"/>
    </w:rPr>
  </w:style>
  <w:style w:type="paragraph" w:customStyle="1" w:styleId="134">
    <w:name w:val="目录"/>
    <w:basedOn w:val="1"/>
    <w:qFormat/>
    <w:uiPriority w:val="0"/>
    <w:pPr>
      <w:widowControl/>
      <w:jc w:val="center"/>
    </w:pPr>
    <w:rPr>
      <w:rFonts w:hAnsi="Times New Roman"/>
      <w:b/>
      <w:sz w:val="36"/>
    </w:rPr>
  </w:style>
  <w:style w:type="paragraph" w:customStyle="1" w:styleId="1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kern w:val="0"/>
      <w:sz w:val="24"/>
    </w:rPr>
  </w:style>
  <w:style w:type="paragraph" w:customStyle="1" w:styleId="136">
    <w:name w:val="xl4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kern w:val="0"/>
      <w:sz w:val="24"/>
    </w:rPr>
  </w:style>
  <w:style w:type="paragraph" w:customStyle="1" w:styleId="137">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38">
    <w:name w:val="样式 标题 2 + 宋体"/>
    <w:basedOn w:val="4"/>
    <w:qFormat/>
    <w:uiPriority w:val="0"/>
    <w:pPr>
      <w:keepLines/>
      <w:numPr>
        <w:ilvl w:val="0"/>
        <w:numId w:val="0"/>
      </w:numPr>
      <w:tabs>
        <w:tab w:val="clear" w:pos="960"/>
      </w:tabs>
      <w:spacing w:line="360" w:lineRule="auto"/>
      <w:ind w:firstLine="482" w:firstLineChars="200"/>
      <w:jc w:val="left"/>
    </w:pPr>
    <w:rPr>
      <w:rFonts w:ascii="宋体" w:hAnsi="宋体" w:eastAsia="宋体" w:cs="宋体"/>
      <w:b/>
      <w:bCs/>
      <w:color w:val="auto"/>
      <w:sz w:val="24"/>
    </w:rPr>
  </w:style>
  <w:style w:type="paragraph" w:customStyle="1" w:styleId="139">
    <w:name w:val="&lt;--"/>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40">
    <w:name w:val="font7"/>
    <w:basedOn w:val="1"/>
    <w:qFormat/>
    <w:uiPriority w:val="0"/>
    <w:pPr>
      <w:widowControl/>
      <w:spacing w:before="100" w:beforeLines="0" w:beforeAutospacing="1" w:after="100" w:afterLines="0" w:afterAutospacing="1"/>
      <w:jc w:val="left"/>
    </w:pPr>
    <w:rPr>
      <w:rFonts w:hint="eastAsia" w:ascii="宋体" w:hAnsi="宋体"/>
      <w:b/>
      <w:bCs/>
      <w:color w:val="000000"/>
      <w:kern w:val="0"/>
      <w:sz w:val="18"/>
      <w:szCs w:val="18"/>
    </w:rPr>
  </w:style>
  <w:style w:type="paragraph" w:customStyle="1" w:styleId="14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kern w:val="0"/>
      <w:sz w:val="24"/>
    </w:rPr>
  </w:style>
  <w:style w:type="paragraph" w:customStyle="1" w:styleId="142">
    <w:name w:val="xl52"/>
    <w:basedOn w:val="1"/>
    <w:qFormat/>
    <w:uiPriority w:val="0"/>
    <w:pPr>
      <w:widowControl/>
      <w:spacing w:before="100" w:beforeLines="0" w:beforeAutospacing="1" w:after="100" w:afterLines="0" w:afterAutospacing="1"/>
      <w:jc w:val="center"/>
      <w:textAlignment w:val="center"/>
    </w:pPr>
    <w:rPr>
      <w:rFonts w:ascii="Arial Unicode MS" w:hAnsi="Arial Unicode MS"/>
      <w:kern w:val="0"/>
      <w:sz w:val="24"/>
    </w:rPr>
  </w:style>
  <w:style w:type="paragraph" w:customStyle="1" w:styleId="143">
    <w:name w:val="表中"/>
    <w:basedOn w:val="1"/>
    <w:qFormat/>
    <w:uiPriority w:val="0"/>
    <w:pPr>
      <w:adjustRightInd w:val="0"/>
      <w:spacing w:line="360" w:lineRule="atLeast"/>
      <w:jc w:val="center"/>
      <w:textAlignment w:val="baseline"/>
    </w:pPr>
    <w:rPr>
      <w:kern w:val="0"/>
      <w:szCs w:val="20"/>
    </w:rPr>
  </w:style>
  <w:style w:type="paragraph" w:customStyle="1" w:styleId="144">
    <w:name w:val="font1"/>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45">
    <w:name w:val=":("/>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46">
    <w:name w:val="xl35"/>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147">
    <w:name w:val=":|"/>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48">
    <w:name w:val="_Style 147"/>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49">
    <w:name w:val="xl45"/>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textAlignment w:val="center"/>
    </w:pPr>
    <w:rPr>
      <w:kern w:val="0"/>
      <w:sz w:val="24"/>
    </w:rPr>
  </w:style>
  <w:style w:type="paragraph" w:customStyle="1" w:styleId="150">
    <w:name w:val="Table Paragraph"/>
    <w:basedOn w:val="1"/>
    <w:qFormat/>
    <w:uiPriority w:val="0"/>
    <w:pPr>
      <w:jc w:val="left"/>
    </w:pPr>
    <w:rPr>
      <w:rFonts w:ascii="宋体" w:hAnsi="宋体" w:eastAsia="宋体" w:cs="宋体"/>
      <w:kern w:val="0"/>
      <w:sz w:val="22"/>
      <w:szCs w:val="22"/>
      <w:lang w:eastAsia="en-US"/>
    </w:rPr>
  </w:style>
  <w:style w:type="paragraph" w:customStyle="1" w:styleId="151">
    <w:name w:val="title1"/>
    <w:basedOn w:val="1"/>
    <w:qFormat/>
    <w:uiPriority w:val="0"/>
    <w:pPr>
      <w:spacing w:before="150" w:beforeAutospacing="0" w:after="0" w:afterAutospacing="0"/>
      <w:ind w:left="0" w:right="0" w:firstLine="0"/>
      <w:jc w:val="left"/>
    </w:pPr>
    <w:rPr>
      <w:b/>
      <w:bCs/>
      <w:kern w:val="0"/>
      <w:sz w:val="22"/>
      <w:szCs w:val="22"/>
      <w:lang w:val="en-US" w:eastAsia="zh-CN" w:bidi="ar"/>
    </w:rPr>
  </w:style>
  <w:style w:type="character" w:customStyle="1" w:styleId="152">
    <w:name w:val="beforeinfotext"/>
    <w:basedOn w:val="39"/>
    <w:qFormat/>
    <w:uiPriority w:val="0"/>
    <w:rPr>
      <w:color w:val="666666"/>
    </w:rPr>
  </w:style>
  <w:style w:type="character" w:customStyle="1" w:styleId="153">
    <w:name w:val="proollist"/>
    <w:basedOn w:val="39"/>
    <w:qFormat/>
    <w:uiPriority w:val="0"/>
  </w:style>
  <w:style w:type="character" w:customStyle="1" w:styleId="154">
    <w:name w:val="phone"/>
    <w:basedOn w:val="39"/>
    <w:qFormat/>
    <w:uiPriority w:val="0"/>
    <w:rPr>
      <w:color w:val="FF8833"/>
      <w:sz w:val="18"/>
      <w:szCs w:val="18"/>
    </w:rPr>
  </w:style>
  <w:style w:type="character" w:customStyle="1" w:styleId="155">
    <w:name w:val="stclosebtn"/>
    <w:basedOn w:val="39"/>
    <w:qFormat/>
    <w:uiPriority w:val="0"/>
  </w:style>
  <w:style w:type="character" w:customStyle="1" w:styleId="156">
    <w:name w:val="number"/>
    <w:basedOn w:val="39"/>
    <w:qFormat/>
    <w:uiPriority w:val="0"/>
    <w:rPr>
      <w:color w:val="FF8833"/>
      <w:sz w:val="18"/>
      <w:szCs w:val="18"/>
    </w:rPr>
  </w:style>
  <w:style w:type="paragraph" w:customStyle="1" w:styleId="157">
    <w:name w:val="title11"/>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158">
    <w:name w:val="纯文本1"/>
    <w:basedOn w:val="1"/>
    <w:qFormat/>
    <w:uiPriority w:val="0"/>
    <w:rPr>
      <w:rFonts w:ascii="宋体" w:hAnsi="Courier New"/>
      <w:szCs w:val="21"/>
    </w:rPr>
  </w:style>
  <w:style w:type="character" w:customStyle="1" w:styleId="159">
    <w:name w:val="NormalCharacter"/>
    <w:semiHidden/>
    <w:qFormat/>
    <w:uiPriority w:val="0"/>
  </w:style>
  <w:style w:type="paragraph" w:customStyle="1" w:styleId="160">
    <w:name w:val="样式3"/>
    <w:basedOn w:val="20"/>
    <w:next w:val="1"/>
    <w:qFormat/>
    <w:uiPriority w:val="99"/>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jtj</Company>
  <Pages>99</Pages>
  <Words>57232</Words>
  <Characters>60433</Characters>
  <Lines>1</Lines>
  <Paragraphs>1</Paragraphs>
  <TotalTime>32</TotalTime>
  <ScaleCrop>false</ScaleCrop>
  <LinksUpToDate>false</LinksUpToDate>
  <CharactersWithSpaces>65122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2016-11-01T12:42:00Z</dcterms:created>
  <dc:creator>user25</dc:creator>
  <cp:lastModifiedBy>450702420</cp:lastModifiedBy>
  <cp:lastPrinted>2022-04-29T07:44:00Z</cp:lastPrinted>
  <dcterms:modified xsi:type="dcterms:W3CDTF">2023-07-27T09:46:54Z</dcterms:modified>
  <dc:title>第一篇    投标邀请书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0D1E3D986C85402D810E912F59E718E8</vt:lpwstr>
  </property>
  <property fmtid="{D5CDD505-2E9C-101B-9397-08002B2CF9AE}" pid="4" name="commondata">
    <vt:lpwstr>eyJoZGlkIjoiZTNhZTc3ZWY1YWFmNDYxYTE4YzQ4ZDBmYzYzNTE0OGUifQ==</vt:lpwstr>
  </property>
</Properties>
</file>