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adjustRightInd w:val="0"/>
        <w:snapToGrid w:val="0"/>
        <w:spacing w:line="360" w:lineRule="auto"/>
        <w:ind w:right="560"/>
        <w:jc w:val="center"/>
        <w:outlineLvl w:val="0"/>
        <w:rPr>
          <w:rFonts w:hint="eastAsia" w:ascii="宋体" w:hAnsi="宋体"/>
          <w:b/>
          <w:sz w:val="30"/>
          <w:szCs w:val="32"/>
        </w:rPr>
      </w:pPr>
      <w:bookmarkStart w:id="0" w:name="_Toc17094"/>
      <w:r>
        <w:rPr>
          <w:rFonts w:hint="eastAsia" w:ascii="宋体" w:hAnsi="宋体"/>
          <w:b/>
          <w:sz w:val="30"/>
          <w:szCs w:val="32"/>
        </w:rPr>
        <w:t>竞争性磋商采购内容及要求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一、项目概况 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迎宾佳苑南区二期项目EPC工程施工图预算造价评审送审金额48007.265209万元，我部现需进行造价评审。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二、服务范围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迎宾佳苑南区二期项目EPC工程施工图预算造价评审，并对该评审结果负责，配合与评审报告有关的其它事项。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三、服务期限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从合同签订之日至项目完成之日。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四、质量要求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（1）总体要求：成交供应商在评审期间，其评审程序及结果必须符合国家相关法律法规，并且详细、严谨、实事求是，无虚假、违规行为。若被发现存在弄虚作假，提供不实审计报告的行为，由其负全责且承担该行为造成的损失，并上报有关部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2）具体要求：对工程造价评审资料进行复审时，其复审误差率应在3%以内。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3）成果文件包括：成交供应商应提供全部工作成果，包括套价、图形算量、手工算量、表格等电子版文件以及签字盖章完整的书面文件，如采购人有必要，成交供应商应对工作成果作必要的解释和说明工作，方便采购人核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五、服务酬金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按成交费率，据实计算且不超过预算限价。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 xml:space="preserve">六、评审人员要求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</w:rPr>
      </w:pPr>
      <w:r>
        <w:rPr>
          <w:rFonts w:hint="eastAsia" w:ascii="宋体" w:hAnsi="宋体" w:eastAsia="宋体" w:cs="Times New Roman"/>
          <w:color w:val="000000"/>
          <w:lang w:val="en-US" w:eastAsia="zh-CN"/>
        </w:rPr>
        <w:t>实施评审项目时，工作小组配备须根据服务项目内容，配备人员满足评审类别及数量，且能够保障项目的服务质量要求，拟派项目负责人应为国家注册造价工程师并具有高级职称，熟悉国家有关法律、法规、规章和政策；具有良好的职业道德和较强的协调沟通能力；具有较强的工作责任感和敬业精神；身体健康，能够适应工程项目现场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5D8B47"/>
    <w:multiLevelType w:val="singleLevel"/>
    <w:tmpl w:val="425D8B47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YWYwYWEwY2YwM2ViOWEwYTJhNjFiNTE5NGMyYTQifQ=="/>
  </w:docVars>
  <w:rsids>
    <w:rsidRoot w:val="62222215"/>
    <w:rsid w:val="622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2024-01-08T09:37:00Z</dcterms:created>
  <dc:creator>暖洋洋^O^</dc:creator>
  <cp:lastModifiedBy>暖洋洋^O^</cp:lastModifiedBy>
  <dcterms:modified xsi:type="dcterms:W3CDTF">2024-01-08T09:37:38Z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58E70322F9EE4A36BDE060899CFA4B34_11</vt:lpwstr>
  </property>
</Properties>
</file>