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35"/>
          <w:rFonts w:hint="eastAsia" w:ascii="宋体" w:hAnsi="宋体" w:eastAsia="宋体" w:cs="宋体"/>
          <w:b/>
          <w:bCs/>
          <w:color w:val="auto"/>
          <w:szCs w:val="24"/>
          <w:highlight w:val="none"/>
        </w:rPr>
      </w:pPr>
    </w:p>
    <w:p>
      <w:pPr>
        <w:rPr>
          <w:rStyle w:val="35"/>
          <w:rFonts w:hint="default" w:ascii="宋体" w:hAnsi="宋体" w:eastAsia="宋体" w:cs="宋体"/>
          <w:b/>
          <w:bCs/>
          <w:color w:val="auto"/>
          <w:sz w:val="32"/>
          <w:szCs w:val="32"/>
          <w:highlight w:val="none"/>
          <w:lang w:val="en-US" w:eastAsia="zh-CN"/>
        </w:rPr>
      </w:pPr>
      <w:r>
        <w:rPr>
          <w:rStyle w:val="35"/>
          <w:rFonts w:hint="eastAsia" w:ascii="宋体" w:hAnsi="宋体" w:eastAsia="宋体" w:cs="宋体"/>
          <w:b/>
          <w:bCs/>
          <w:color w:val="auto"/>
          <w:sz w:val="32"/>
          <w:szCs w:val="32"/>
          <w:highlight w:val="none"/>
        </w:rPr>
        <w:t>项目编号:TCQC-2023-01</w:t>
      </w:r>
      <w:r>
        <w:rPr>
          <w:rStyle w:val="35"/>
          <w:rFonts w:hint="eastAsia" w:ascii="宋体" w:hAnsi="宋体" w:eastAsia="宋体" w:cs="宋体"/>
          <w:b/>
          <w:bCs/>
          <w:color w:val="auto"/>
          <w:sz w:val="32"/>
          <w:szCs w:val="32"/>
          <w:highlight w:val="none"/>
          <w:lang w:val="en-US" w:eastAsia="zh-CN"/>
        </w:rPr>
        <w:t>8</w:t>
      </w:r>
      <w:r>
        <w:rPr>
          <w:rStyle w:val="35"/>
          <w:rFonts w:hint="eastAsia" w:hAnsi="宋体" w:cs="宋体"/>
          <w:b/>
          <w:bCs/>
          <w:color w:val="auto"/>
          <w:sz w:val="32"/>
          <w:szCs w:val="32"/>
          <w:highlight w:val="none"/>
          <w:lang w:val="en-US" w:eastAsia="zh-CN"/>
        </w:rPr>
        <w:t>-1</w:t>
      </w:r>
    </w:p>
    <w:p>
      <w:pPr>
        <w:rPr>
          <w:rStyle w:val="35"/>
          <w:rFonts w:hint="eastAsia" w:ascii="宋体" w:hAnsi="宋体" w:eastAsia="宋体" w:cs="宋体"/>
          <w:b/>
          <w:color w:val="auto"/>
          <w:sz w:val="32"/>
          <w:szCs w:val="32"/>
          <w:highlight w:val="none"/>
        </w:rPr>
      </w:pPr>
    </w:p>
    <w:p>
      <w:pPr>
        <w:tabs>
          <w:tab w:val="left" w:pos="3375"/>
        </w:tabs>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ab/>
      </w:r>
    </w:p>
    <w:p>
      <w:pPr>
        <w:jc w:val="center"/>
        <w:rPr>
          <w:rStyle w:val="35"/>
          <w:rFonts w:hint="eastAsia" w:ascii="宋体" w:hAnsi="宋体" w:eastAsia="宋体" w:cs="宋体"/>
          <w:b/>
          <w:color w:val="auto"/>
          <w:szCs w:val="24"/>
          <w:highlight w:val="none"/>
        </w:rPr>
      </w:pPr>
    </w:p>
    <w:p>
      <w:pPr>
        <w:tabs>
          <w:tab w:val="left" w:pos="3375"/>
        </w:tabs>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空港新城金地幼儿园设备购置项目</w:t>
      </w:r>
    </w:p>
    <w:p>
      <w:pPr>
        <w:tabs>
          <w:tab w:val="left" w:pos="3375"/>
        </w:tabs>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第二批</w:t>
      </w: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合同包1</w:t>
      </w:r>
    </w:p>
    <w:p>
      <w:pPr>
        <w:spacing w:line="780" w:lineRule="auto"/>
        <w:jc w:val="center"/>
        <w:rPr>
          <w:rStyle w:val="35"/>
          <w:rFonts w:hint="eastAsia" w:ascii="宋体" w:hAnsi="宋体" w:eastAsia="宋体" w:cs="宋体"/>
          <w:b/>
          <w:color w:val="auto"/>
          <w:szCs w:val="24"/>
          <w:highlight w:val="none"/>
        </w:rPr>
      </w:pPr>
    </w:p>
    <w:p>
      <w:pPr>
        <w:pStyle w:val="2"/>
        <w:rPr>
          <w:rStyle w:val="35"/>
          <w:rFonts w:hint="eastAsia" w:ascii="宋体" w:hAnsi="宋体" w:eastAsia="宋体" w:cs="宋体"/>
          <w:b/>
          <w:color w:val="auto"/>
          <w:szCs w:val="24"/>
          <w:highlight w:val="none"/>
        </w:rPr>
      </w:pPr>
    </w:p>
    <w:p>
      <w:pPr>
        <w:rPr>
          <w:rFonts w:hint="eastAsia" w:ascii="宋体" w:hAnsi="宋体" w:eastAsia="宋体" w:cs="宋体"/>
          <w:color w:val="auto"/>
          <w:highlight w:val="none"/>
        </w:rPr>
      </w:pPr>
    </w:p>
    <w:p>
      <w:pPr>
        <w:pStyle w:val="25"/>
        <w:ind w:left="480" w:firstLine="482"/>
        <w:rPr>
          <w:rStyle w:val="35"/>
          <w:rFonts w:hint="eastAsia" w:ascii="宋体" w:hAnsi="宋体" w:eastAsia="宋体" w:cs="宋体"/>
          <w:b/>
          <w:color w:val="auto"/>
          <w:sz w:val="24"/>
          <w:highlight w:val="none"/>
        </w:rPr>
      </w:pPr>
    </w:p>
    <w:p>
      <w:pPr>
        <w:pStyle w:val="5"/>
        <w:rPr>
          <w:rFonts w:hint="eastAsia" w:ascii="宋体" w:hAnsi="宋体" w:eastAsia="宋体" w:cs="宋体"/>
          <w:color w:val="auto"/>
          <w:highlight w:val="none"/>
        </w:rPr>
      </w:pPr>
    </w:p>
    <w:p>
      <w:pPr>
        <w:spacing w:line="780" w:lineRule="auto"/>
        <w:jc w:val="center"/>
        <w:rPr>
          <w:rStyle w:val="35"/>
          <w:rFonts w:hint="eastAsia" w:ascii="宋体" w:hAnsi="宋体" w:eastAsia="宋体" w:cs="宋体"/>
          <w:b/>
          <w:color w:val="auto"/>
          <w:sz w:val="72"/>
          <w:szCs w:val="72"/>
          <w:highlight w:val="none"/>
        </w:rPr>
      </w:pPr>
      <w:r>
        <w:rPr>
          <w:rStyle w:val="35"/>
          <w:rFonts w:hint="eastAsia" w:ascii="宋体" w:hAnsi="宋体" w:eastAsia="宋体" w:cs="宋体"/>
          <w:b/>
          <w:color w:val="auto"/>
          <w:sz w:val="72"/>
          <w:szCs w:val="72"/>
          <w:highlight w:val="none"/>
        </w:rPr>
        <w:t>招 标 文 件</w:t>
      </w: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pStyle w:val="25"/>
        <w:ind w:left="480" w:firstLine="420"/>
        <w:rPr>
          <w:rFonts w:hint="eastAsia" w:ascii="宋体" w:hAnsi="宋体" w:eastAsia="宋体" w:cs="宋体"/>
          <w:color w:val="auto"/>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tabs>
          <w:tab w:val="left" w:pos="525"/>
        </w:tabs>
        <w:jc w:val="center"/>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 w:val="36"/>
          <w:szCs w:val="36"/>
          <w:highlight w:val="none"/>
        </w:rPr>
        <w:t>陕西同创启辰项目管理有限公司</w:t>
      </w:r>
    </w:p>
    <w:p>
      <w:pPr>
        <w:tabs>
          <w:tab w:val="left" w:pos="525"/>
        </w:tabs>
        <w:jc w:val="center"/>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 w:val="36"/>
          <w:szCs w:val="36"/>
          <w:highlight w:val="none"/>
        </w:rPr>
        <w:t>二〇二三年</w:t>
      </w:r>
      <w:r>
        <w:rPr>
          <w:rStyle w:val="35"/>
          <w:rFonts w:hint="eastAsia" w:ascii="宋体" w:hAnsi="宋体" w:eastAsia="宋体" w:cs="宋体"/>
          <w:b/>
          <w:bCs/>
          <w:color w:val="auto"/>
          <w:sz w:val="36"/>
          <w:szCs w:val="36"/>
          <w:highlight w:val="none"/>
          <w:lang w:val="en-US" w:eastAsia="zh-CN"/>
        </w:rPr>
        <w:t>六</w:t>
      </w:r>
      <w:r>
        <w:rPr>
          <w:rStyle w:val="35"/>
          <w:rFonts w:hint="eastAsia" w:ascii="宋体" w:hAnsi="宋体" w:eastAsia="宋体" w:cs="宋体"/>
          <w:b/>
          <w:bCs/>
          <w:color w:val="auto"/>
          <w:sz w:val="36"/>
          <w:szCs w:val="36"/>
          <w:highlight w:val="none"/>
        </w:rPr>
        <w:t>月</w:t>
      </w:r>
    </w:p>
    <w:p>
      <w:pPr>
        <w:rPr>
          <w:rStyle w:val="35"/>
          <w:rFonts w:hint="eastAsia" w:ascii="宋体" w:hAnsi="宋体" w:eastAsia="宋体" w:cs="宋体"/>
          <w:b/>
          <w:color w:val="auto"/>
          <w:szCs w:val="24"/>
          <w:highlight w:val="none"/>
        </w:rPr>
      </w:pPr>
    </w:p>
    <w:p>
      <w:pPr>
        <w:pStyle w:val="25"/>
        <w:ind w:left="480" w:firstLine="482"/>
        <w:rPr>
          <w:rStyle w:val="35"/>
          <w:rFonts w:hint="eastAsia" w:ascii="宋体" w:hAnsi="宋体" w:eastAsia="宋体" w:cs="宋体"/>
          <w:b/>
          <w:color w:val="auto"/>
          <w:sz w:val="24"/>
          <w:highlight w:val="none"/>
        </w:rPr>
      </w:pPr>
    </w:p>
    <w:p>
      <w:pPr>
        <w:pStyle w:val="5"/>
        <w:rPr>
          <w:rFonts w:hint="eastAsia" w:ascii="宋体" w:hAnsi="宋体" w:eastAsia="宋体" w:cs="宋体"/>
          <w:color w:val="auto"/>
          <w:highlight w:val="none"/>
        </w:rPr>
      </w:pPr>
    </w:p>
    <w:p>
      <w:pPr>
        <w:spacing w:before="166" w:beforeLines="50" w:after="166" w:afterLines="50" w:line="360" w:lineRule="auto"/>
        <w:jc w:val="center"/>
        <w:rPr>
          <w:rStyle w:val="35"/>
          <w:rFonts w:hint="eastAsia" w:ascii="宋体" w:hAnsi="宋体" w:eastAsia="宋体" w:cs="宋体"/>
          <w:b/>
          <w:color w:val="auto"/>
          <w:sz w:val="40"/>
          <w:szCs w:val="40"/>
          <w:highlight w:val="none"/>
        </w:rPr>
      </w:pPr>
      <w:r>
        <w:rPr>
          <w:rStyle w:val="35"/>
          <w:rFonts w:hint="eastAsia" w:ascii="宋体" w:hAnsi="宋体" w:eastAsia="宋体" w:cs="宋体"/>
          <w:b/>
          <w:color w:val="auto"/>
          <w:sz w:val="40"/>
          <w:szCs w:val="40"/>
          <w:highlight w:val="none"/>
        </w:rPr>
        <w:t>目 录</w:t>
      </w:r>
    </w:p>
    <w:p>
      <w:pPr>
        <w:pStyle w:val="25"/>
        <w:ind w:left="480" w:firstLine="440"/>
        <w:rPr>
          <w:rFonts w:hint="eastAsia" w:ascii="宋体" w:hAnsi="宋体" w:eastAsia="宋体" w:cs="宋体"/>
          <w:color w:val="auto"/>
          <w:sz w:val="22"/>
          <w:szCs w:val="28"/>
          <w:highlight w:val="none"/>
        </w:rPr>
      </w:pPr>
    </w:p>
    <w:p>
      <w:pPr>
        <w:pStyle w:val="19"/>
        <w:tabs>
          <w:tab w:val="right" w:leader="dot" w:pos="9072"/>
        </w:tabs>
        <w:spacing w:line="600" w:lineRule="auto"/>
        <w:rPr>
          <w:rFonts w:hint="eastAsia" w:ascii="宋体" w:hAnsi="宋体" w:eastAsia="宋体" w:cs="宋体"/>
          <w:color w:val="auto"/>
          <w:sz w:val="28"/>
          <w:szCs w:val="28"/>
          <w:highlight w:val="none"/>
        </w:rPr>
      </w:pPr>
      <w:r>
        <w:rPr>
          <w:rStyle w:val="35"/>
          <w:rFonts w:hint="eastAsia" w:ascii="宋体" w:hAnsi="宋体" w:eastAsia="宋体" w:cs="宋体"/>
          <w:color w:val="auto"/>
          <w:highlight w:val="none"/>
        </w:rPr>
        <w:fldChar w:fldCharType="begin"/>
      </w:r>
      <w:r>
        <w:rPr>
          <w:rStyle w:val="35"/>
          <w:rFonts w:hint="eastAsia" w:ascii="宋体" w:hAnsi="宋体" w:eastAsia="宋体" w:cs="宋体"/>
          <w:color w:val="auto"/>
          <w:sz w:val="28"/>
          <w:szCs w:val="28"/>
          <w:highlight w:val="none"/>
        </w:rPr>
        <w:instrText xml:space="preserve">TOC \o "1-1" \h \u </w:instrText>
      </w:r>
      <w:r>
        <w:rPr>
          <w:rStyle w:val="35"/>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"_Toc23433"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"_Toc30351"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_Toc30351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"_Toc12310"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"_Toc3304"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第四章 采购内容及技术要求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_Toc3304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"_Toc7857"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第五章 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_Toc7857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"_Toc25422"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8"/>
          <w:szCs w:val="28"/>
          <w:highlight w:val="none"/>
        </w:rPr>
        <w:t>第六章 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spacing w:line="600" w:lineRule="auto"/>
        <w:rPr>
          <w:rStyle w:val="35"/>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fldChar w:fldCharType="end"/>
      </w:r>
    </w:p>
    <w:p>
      <w:pPr>
        <w:pStyle w:val="34"/>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Cs w:val="24"/>
          <w:highlight w:val="none"/>
        </w:rPr>
      </w:pPr>
    </w:p>
    <w:p>
      <w:pPr>
        <w:pStyle w:val="34"/>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Cs w:val="24"/>
          <w:highlight w:val="none"/>
        </w:rPr>
      </w:pPr>
    </w:p>
    <w:p>
      <w:pPr>
        <w:pStyle w:val="34"/>
        <w:rPr>
          <w:rFonts w:hint="eastAsia" w:ascii="宋体" w:hAnsi="宋体" w:eastAsia="宋体" w:cs="宋体"/>
          <w:color w:val="auto"/>
          <w:sz w:val="24"/>
          <w:szCs w:val="24"/>
          <w:highlight w:val="none"/>
        </w:rPr>
      </w:pPr>
    </w:p>
    <w:p>
      <w:pPr>
        <w:spacing w:after="334" w:line="500" w:lineRule="exact"/>
        <w:jc w:val="center"/>
        <w:outlineLvl w:val="0"/>
        <w:rPr>
          <w:rStyle w:val="35"/>
          <w:rFonts w:hint="eastAsia" w:ascii="宋体" w:hAnsi="宋体" w:eastAsia="宋体" w:cs="宋体"/>
          <w:b/>
          <w:bCs/>
          <w:color w:val="auto"/>
          <w:szCs w:val="24"/>
          <w:highlight w:val="none"/>
        </w:rPr>
        <w:sectPr>
          <w:footerReference r:id="rId5" w:type="first"/>
          <w:headerReference r:id="rId3" w:type="default"/>
          <w:footerReference r:id="rId4" w:type="default"/>
          <w:pgSz w:w="11906" w:h="16838"/>
          <w:pgMar w:top="1417" w:right="1417" w:bottom="1417" w:left="1417" w:header="1134" w:footer="992" w:gutter="0"/>
          <w:cols w:space="425" w:num="1"/>
          <w:titlePg/>
          <w:docGrid w:type="lines" w:linePitch="333" w:charSpace="0"/>
        </w:sectPr>
      </w:pPr>
    </w:p>
    <w:p>
      <w:pPr>
        <w:spacing w:after="334" w:line="500" w:lineRule="exact"/>
        <w:jc w:val="center"/>
        <w:outlineLvl w:val="0"/>
        <w:rPr>
          <w:rStyle w:val="35"/>
          <w:rFonts w:hint="eastAsia" w:ascii="宋体" w:hAnsi="宋体" w:eastAsia="宋体" w:cs="宋体"/>
          <w:b/>
          <w:bCs/>
          <w:color w:val="auto"/>
          <w:sz w:val="40"/>
          <w:szCs w:val="40"/>
          <w:highlight w:val="none"/>
        </w:rPr>
      </w:pPr>
      <w:bookmarkStart w:id="0" w:name="_Toc23433"/>
      <w:r>
        <w:rPr>
          <w:rStyle w:val="35"/>
          <w:rFonts w:hint="eastAsia" w:ascii="宋体" w:hAnsi="宋体" w:eastAsia="宋体" w:cs="宋体"/>
          <w:b/>
          <w:bCs/>
          <w:color w:val="auto"/>
          <w:sz w:val="40"/>
          <w:szCs w:val="40"/>
          <w:highlight w:val="none"/>
        </w:rPr>
        <w:t>第一章 招标公告</w:t>
      </w:r>
      <w:bookmarkEnd w:id="0"/>
    </w:p>
    <w:p>
      <w:pPr>
        <w:spacing w:after="334" w:line="500" w:lineRule="exact"/>
        <w:jc w:val="center"/>
        <w:rPr>
          <w:rStyle w:val="35"/>
          <w:rFonts w:hint="eastAsia" w:ascii="宋体" w:hAnsi="宋体" w:eastAsia="宋体" w:cs="宋体"/>
          <w:b/>
          <w:bCs/>
          <w:color w:val="auto"/>
          <w:sz w:val="40"/>
          <w:szCs w:val="40"/>
          <w:highlight w:val="none"/>
        </w:rPr>
      </w:pPr>
      <w:r>
        <w:rPr>
          <w:rFonts w:hint="eastAsia" w:ascii="宋体" w:hAnsi="宋体" w:eastAsia="宋体" w:cs="宋体"/>
          <w:color w:val="auto"/>
          <w:sz w:val="40"/>
          <w:highlight w:val="none"/>
        </w:rPr>
        <mc:AlternateContent>
          <mc:Choice Requires="wps">
            <w:drawing>
              <wp:anchor distT="0" distB="0" distL="114300" distR="114300" simplePos="0" relativeHeight="251661312" behindDoc="0" locked="0" layoutInCell="1" allowOverlap="1">
                <wp:simplePos x="0" y="0"/>
                <wp:positionH relativeFrom="column">
                  <wp:posOffset>81280</wp:posOffset>
                </wp:positionH>
                <wp:positionV relativeFrom="paragraph">
                  <wp:posOffset>135890</wp:posOffset>
                </wp:positionV>
                <wp:extent cx="5531485" cy="1859280"/>
                <wp:effectExtent l="4445" t="4445" r="11430" b="10795"/>
                <wp:wrapNone/>
                <wp:docPr id="1" name="文本框 1"/>
                <wp:cNvGraphicFramePr/>
                <a:graphic xmlns:a="http://schemas.openxmlformats.org/drawingml/2006/main">
                  <a:graphicData uri="http://schemas.microsoft.com/office/word/2010/wordprocessingShape">
                    <wps:wsp>
                      <wps:cNvSpPr txBox="1"/>
                      <wps:spPr>
                        <a:xfrm>
                          <a:off x="1216025" y="1420495"/>
                          <a:ext cx="5531485" cy="1859280"/>
                        </a:xfrm>
                        <a:prstGeom prst="rect">
                          <a:avLst/>
                        </a:prstGeom>
                        <a:solidFill>
                          <a:srgbClr val="FFFFFF"/>
                        </a:solidFill>
                        <a:ln w="6350">
                          <a:solidFill>
                            <a:prstClr val="black"/>
                          </a:solidFill>
                        </a:ln>
                        <a:effectLst/>
                      </wps:spPr>
                      <wps:txbx>
                        <w:txbxContent>
                          <w:p>
                            <w:pPr>
                              <w:pStyle w:val="8"/>
                              <w:tabs>
                                <w:tab w:val="left" w:pos="1152"/>
                              </w:tabs>
                              <w:spacing w:before="150" w:beforeAutospacing="0" w:after="150" w:afterAutospacing="0" w:line="360" w:lineRule="auto"/>
                              <w:ind w:left="1122" w:leftChars="87" w:hanging="913" w:hangingChars="379"/>
                              <w:rPr>
                                <w:rStyle w:val="28"/>
                                <w:rFonts w:hint="eastAsia" w:ascii="宋体" w:hAnsi="宋体" w:eastAsia="宋体" w:cs="宋体"/>
                                <w:b/>
                                <w:bCs/>
                                <w:color w:val="333333"/>
                                <w:sz w:val="24"/>
                                <w:szCs w:val="24"/>
                                <w:shd w:val="clear" w:color="auto" w:fill="FFFFFF"/>
                              </w:rPr>
                            </w:pPr>
                            <w:r>
                              <w:rPr>
                                <w:rStyle w:val="28"/>
                                <w:rFonts w:hint="eastAsia" w:ascii="宋体" w:hAnsi="宋体" w:eastAsia="宋体" w:cs="宋体"/>
                                <w:b/>
                                <w:bCs/>
                                <w:color w:val="333333"/>
                                <w:sz w:val="24"/>
                                <w:szCs w:val="24"/>
                                <w:shd w:val="clear" w:color="auto" w:fill="FFFFFF"/>
                              </w:rPr>
                              <w:t>项目概况</w:t>
                            </w:r>
                          </w:p>
                          <w:p>
                            <w:pPr>
                              <w:pStyle w:val="8"/>
                              <w:spacing w:before="150" w:beforeAutospacing="0" w:after="150" w:afterAutospacing="0" w:line="360" w:lineRule="auto"/>
                              <w:ind w:left="0" w:leftChars="0" w:firstLine="480" w:firstLineChars="200"/>
                              <w:rPr>
                                <w:rFonts w:hint="eastAsia" w:ascii="宋体" w:hAnsi="宋体" w:eastAsia="宋体" w:cs="宋体"/>
                                <w:b w:val="0"/>
                                <w:bCs w:val="0"/>
                                <w:sz w:val="24"/>
                                <w:szCs w:val="24"/>
                              </w:rPr>
                            </w:pPr>
                            <w:r>
                              <w:rPr>
                                <w:rStyle w:val="28"/>
                                <w:rFonts w:hint="eastAsia" w:ascii="宋体" w:hAnsi="宋体" w:eastAsia="宋体" w:cs="宋体"/>
                                <w:b w:val="0"/>
                                <w:bCs w:val="0"/>
                                <w:color w:val="333333"/>
                                <w:sz w:val="24"/>
                                <w:szCs w:val="24"/>
                                <w:shd w:val="clear" w:color="auto" w:fill="FFFFFF"/>
                              </w:rPr>
                              <w:t>空港新城金地幼儿园设备购置项目（第二批）招标项目的潜在投标人应在全国公共资源交易平台（陕西省˙西咸新区）西咸新区公共资源交易中心自行下载获取招标文件，并于 2023年06月28日 09时30分 （北京时间）前递交投标文件。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10.7pt;height:146.4pt;width:435.55pt;z-index:251661312;mso-width-relative:page;mso-height-relative:page;" fillcolor="#FFFFFF" filled="t" stroked="t" coordsize="21600,21600" o:gfxdata="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vLD2K1gAAAAkBAAAPAAAAAAAAAAEAIAAAACIAAABkcnMvZG93bnJldi54bWxQ&#10;SwECFAAUAAAACACHTuJA5UWOxGsCAADSBAAADgAAAAAAAAABACAAAAAlAQAAZHJzL2Uyb0RvYy54&#10;bWxQSwUGAAAAAAYABgBZAQAAAgYAAAAA&#10;">
                <v:fill on="t" focussize="0,0"/>
                <v:stroke weight="0.5pt" color="#000000" joinstyle="round"/>
                <v:imagedata o:title=""/>
                <o:lock v:ext="edit" aspectratio="f"/>
                <v:textbox>
                  <w:txbxContent>
                    <w:p>
                      <w:pPr>
                        <w:pStyle w:val="8"/>
                        <w:tabs>
                          <w:tab w:val="left" w:pos="1152"/>
                        </w:tabs>
                        <w:spacing w:before="150" w:beforeAutospacing="0" w:after="150" w:afterAutospacing="0" w:line="360" w:lineRule="auto"/>
                        <w:ind w:left="1122" w:leftChars="87" w:hanging="913" w:hangingChars="379"/>
                        <w:rPr>
                          <w:rStyle w:val="28"/>
                          <w:rFonts w:hint="eastAsia" w:ascii="宋体" w:hAnsi="宋体" w:eastAsia="宋体" w:cs="宋体"/>
                          <w:b/>
                          <w:bCs/>
                          <w:color w:val="333333"/>
                          <w:sz w:val="24"/>
                          <w:szCs w:val="24"/>
                          <w:shd w:val="clear" w:color="auto" w:fill="FFFFFF"/>
                        </w:rPr>
                      </w:pPr>
                      <w:r>
                        <w:rPr>
                          <w:rStyle w:val="28"/>
                          <w:rFonts w:hint="eastAsia" w:ascii="宋体" w:hAnsi="宋体" w:eastAsia="宋体" w:cs="宋体"/>
                          <w:b/>
                          <w:bCs/>
                          <w:color w:val="333333"/>
                          <w:sz w:val="24"/>
                          <w:szCs w:val="24"/>
                          <w:shd w:val="clear" w:color="auto" w:fill="FFFFFF"/>
                        </w:rPr>
                        <w:t>项目概况</w:t>
                      </w:r>
                    </w:p>
                    <w:p>
                      <w:pPr>
                        <w:pStyle w:val="8"/>
                        <w:spacing w:before="150" w:beforeAutospacing="0" w:after="150" w:afterAutospacing="0" w:line="360" w:lineRule="auto"/>
                        <w:ind w:left="0" w:leftChars="0" w:firstLine="480" w:firstLineChars="200"/>
                        <w:rPr>
                          <w:rFonts w:hint="eastAsia" w:ascii="宋体" w:hAnsi="宋体" w:eastAsia="宋体" w:cs="宋体"/>
                          <w:b w:val="0"/>
                          <w:bCs w:val="0"/>
                          <w:sz w:val="24"/>
                          <w:szCs w:val="24"/>
                        </w:rPr>
                      </w:pPr>
                      <w:r>
                        <w:rPr>
                          <w:rStyle w:val="28"/>
                          <w:rFonts w:hint="eastAsia" w:ascii="宋体" w:hAnsi="宋体" w:eastAsia="宋体" w:cs="宋体"/>
                          <w:b w:val="0"/>
                          <w:bCs w:val="0"/>
                          <w:color w:val="333333"/>
                          <w:sz w:val="24"/>
                          <w:szCs w:val="24"/>
                          <w:shd w:val="clear" w:color="auto" w:fill="FFFFFF"/>
                        </w:rPr>
                        <w:t>空港新城金地幼儿园设备购置项目（第二批）招标项目的潜在投标人应在全国公共资源交易平台（陕西省˙西咸新区）西咸新区公共资源交易中心自行下载获取招标文件，并于 2023年06月28日 09时30分 （北京时间）前递交投标文件。</w:t>
                      </w:r>
                    </w:p>
                  </w:txbxContent>
                </v:textbox>
              </v:shape>
            </w:pict>
          </mc:Fallback>
        </mc:AlternateContent>
      </w:r>
    </w:p>
    <w:p>
      <w:pPr>
        <w:pStyle w:val="2"/>
        <w:rPr>
          <w:rStyle w:val="35"/>
          <w:rFonts w:hint="eastAsia" w:ascii="宋体" w:hAnsi="宋体" w:eastAsia="宋体" w:cs="宋体"/>
          <w:b/>
          <w:bCs/>
          <w:color w:val="auto"/>
          <w:sz w:val="40"/>
          <w:szCs w:val="40"/>
          <w:highlight w:val="none"/>
        </w:rPr>
      </w:pPr>
    </w:p>
    <w:p>
      <w:pPr>
        <w:rPr>
          <w:rStyle w:val="35"/>
          <w:rFonts w:hint="eastAsia" w:ascii="宋体" w:hAnsi="宋体" w:eastAsia="宋体" w:cs="宋体"/>
          <w:b/>
          <w:bCs/>
          <w:color w:val="auto"/>
          <w:sz w:val="40"/>
          <w:szCs w:val="40"/>
          <w:highlight w:val="none"/>
        </w:rPr>
      </w:pPr>
    </w:p>
    <w:p>
      <w:pPr>
        <w:pStyle w:val="2"/>
        <w:rPr>
          <w:rStyle w:val="35"/>
          <w:rFonts w:hint="eastAsia" w:ascii="宋体" w:hAnsi="宋体" w:eastAsia="宋体" w:cs="宋体"/>
          <w:b/>
          <w:bCs/>
          <w:color w:val="auto"/>
          <w:sz w:val="40"/>
          <w:szCs w:val="40"/>
          <w:highlight w:val="none"/>
        </w:rPr>
      </w:pPr>
    </w:p>
    <w:p>
      <w:pPr>
        <w:pStyle w:val="4"/>
        <w:keepNext w:val="0"/>
        <w:keepLines w:val="0"/>
        <w:tabs>
          <w:tab w:val="left" w:pos="864"/>
        </w:tabs>
        <w:spacing w:before="150" w:after="0" w:line="360" w:lineRule="auto"/>
        <w:ind w:left="0"/>
        <w:rPr>
          <w:rStyle w:val="28"/>
          <w:rFonts w:hint="eastAsia" w:ascii="宋体" w:hAnsi="宋体" w:eastAsia="宋体" w:cs="宋体"/>
          <w:b/>
          <w:bCs/>
          <w:color w:val="auto"/>
          <w:sz w:val="24"/>
          <w:szCs w:val="24"/>
          <w:highlight w:val="none"/>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项目编号：TCQC-2023—018</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项目名称：空港新城金地幼儿园设备购置项目（第二批）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预算金额：3,054,280.50元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合同包预算金额：614,376.00元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合同包最高限价：614,376.00元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4"/>
        <w:gridCol w:w="2009"/>
        <w:gridCol w:w="2009"/>
        <w:gridCol w:w="936"/>
        <w:gridCol w:w="1533"/>
        <w:gridCol w:w="1416"/>
        <w:gridCol w:w="14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办公家具及设备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614,376.00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614,376.00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合同包预算金额：1,237,916.00元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合同包最高限价：1,237,916.00元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9"/>
        <w:gridCol w:w="1859"/>
        <w:gridCol w:w="1859"/>
        <w:gridCol w:w="911"/>
        <w:gridCol w:w="1451"/>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家具及设备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1,237,916.00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1,237,916.00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合同包预算金额：1,201,988.50元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合同包最高限价：1,201,988.50元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9"/>
        <w:gridCol w:w="1859"/>
        <w:gridCol w:w="1859"/>
        <w:gridCol w:w="911"/>
        <w:gridCol w:w="1451"/>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教学设备及用具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1,201,988.50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1,201,988.50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三、获取招标文件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lef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时间：2023年06月08日至2023年06月14日 ，每天上午08:00:00至12:00:00，下午14:00:00至18:00:00（北京时间）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途径：全国公共资源交易平台（陕西省˙西咸新区）西咸新区公共资源交易中心自行下载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时间：2023年06月28日 09时30分00秒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提交投标文件地点：全国公共资源交易平台（陕西省˙西咸新区）网上递交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开标地点：陕西省西咸新区公共资源交易中心开标室0</w:t>
      </w:r>
      <w:r>
        <w:rPr>
          <w:rFonts w:hint="eastAsia" w:hAnsi="宋体" w:cs="宋体"/>
          <w:i w:val="0"/>
          <w:iCs w:val="0"/>
          <w:caps w:val="0"/>
          <w:color w:val="auto"/>
          <w:spacing w:val="0"/>
          <w:sz w:val="24"/>
          <w:szCs w:val="24"/>
          <w:shd w:val="clear" w:fill="FFFFFF"/>
          <w:lang w:val="en-US" w:eastAsia="zh-CN"/>
        </w:rPr>
        <w:t>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五、公告期限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六、其他补充事宜</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3、网上投标确认流程：登录全国公共资源交易平台（陕西省 西咸新区）（http://xxxq.sxggzyjy.cn/），选择“电子交易平台-陕西政府采购交易系统”进行登录，登录后选择“交易乙方”选择本项目选择“我要投标”填写相关信息后提交确认。   </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4、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5、办理CA锁方式：供应商初次使用交易平台，需前往陕西省数字证书认证中心股份有限公司办理CA锁，办理地址及咨询电话如下：西安市高新三路九号信息港大厦一层101室，咨询电话:4006369888 ；西安市长安北路14号省体育公寓B座一楼，咨询电话：029-88661241；西安市公共资源交易中心：西安市文景北路16号白桦林国际B座2楼最右12号窗口，电话：029-86510073转80211。</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6、各供应商可登录（http://ggzyjy.xixianxinqu.gov.cn/xwzx/002002/20210721/d7421699-e891-4f40-b441-dccc415e05b3.html）下载操作手册,并在投标截止时间前通过全国公共资源交易平台（陕西省·西咸新区）递交电子投标文件。因投标人自身设施故障或自身原因导致无法完成投标的，由投标人自行承担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名称：西咸新区空港新城阳光里幼儿园</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地址：西咸新区空港新城布政路阳光里A区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联系方式：15319089262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名称：陕西同创启辰项目管理有限公司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地址：陕西省咸阳市渭城区东风路15号亨星锦绣城Ｃ座3层3号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联系方式：029-33115382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项目联系人：鲁若莽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电话：029-33115382</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陕西同创启辰项目管理有限公司</w:t>
      </w:r>
    </w:p>
    <w:p>
      <w:pPr>
        <w:ind w:left="5520" w:leftChars="1900" w:hanging="960" w:hangingChars="400"/>
        <w:jc w:val="left"/>
        <w:rPr>
          <w:rFonts w:hint="eastAsia" w:ascii="宋体" w:hAnsi="宋体" w:eastAsia="宋体" w:cs="宋体"/>
          <w:color w:val="auto"/>
          <w:highlight w:val="none"/>
        </w:rPr>
      </w:pPr>
      <w:r>
        <w:rPr>
          <w:rFonts w:hint="eastAsia" w:ascii="宋体" w:hAnsi="宋体" w:eastAsia="宋体" w:cs="宋体"/>
          <w:color w:val="auto"/>
          <w:szCs w:val="24"/>
          <w:highlight w:val="none"/>
          <w:shd w:val="clear" w:color="auto" w:fill="FFFFFF"/>
        </w:rPr>
        <w:t xml:space="preserve">                                               </w:t>
      </w:r>
    </w:p>
    <w:p>
      <w:pPr>
        <w:rPr>
          <w:rFonts w:hint="eastAsia" w:ascii="宋体" w:hAnsi="宋体" w:eastAsia="宋体" w:cs="宋体"/>
          <w:color w:val="auto"/>
          <w:highlight w:val="none"/>
        </w:rPr>
      </w:pPr>
    </w:p>
    <w:p>
      <w:pPr>
        <w:pStyle w:val="22"/>
        <w:spacing w:beforeAutospacing="0" w:afterAutospacing="0" w:line="360" w:lineRule="auto"/>
        <w:ind w:firstLine="480"/>
        <w:jc w:val="center"/>
        <w:rPr>
          <w:rFonts w:hint="eastAsia" w:ascii="宋体" w:hAnsi="宋体" w:eastAsia="宋体" w:cs="宋体"/>
          <w:color w:val="auto"/>
          <w:szCs w:val="24"/>
          <w:highlight w:val="none"/>
          <w:shd w:val="clear" w:color="auto" w:fill="FFFFFF"/>
        </w:rPr>
      </w:pPr>
    </w:p>
    <w:p>
      <w:pP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br w:type="page"/>
      </w:r>
    </w:p>
    <w:p>
      <w:pPr>
        <w:spacing w:line="360" w:lineRule="auto"/>
        <w:jc w:val="center"/>
        <w:outlineLvl w:val="0"/>
        <w:rPr>
          <w:rStyle w:val="47"/>
          <w:rFonts w:hint="eastAsia" w:ascii="宋体" w:hAnsi="宋体" w:eastAsia="宋体" w:cs="宋体"/>
          <w:color w:val="auto"/>
          <w:sz w:val="36"/>
          <w:szCs w:val="36"/>
          <w:highlight w:val="none"/>
        </w:rPr>
      </w:pPr>
      <w:bookmarkStart w:id="1" w:name="_Toc30351"/>
      <w:r>
        <w:rPr>
          <w:rStyle w:val="47"/>
          <w:rFonts w:hint="eastAsia" w:ascii="宋体" w:hAnsi="宋体" w:eastAsia="宋体" w:cs="宋体"/>
          <w:color w:val="auto"/>
          <w:sz w:val="36"/>
          <w:szCs w:val="36"/>
          <w:highlight w:val="none"/>
        </w:rPr>
        <w:t>第二章 供应商须知</w:t>
      </w:r>
      <w:bookmarkEnd w:id="1"/>
    </w:p>
    <w:p>
      <w:pPr>
        <w:pStyle w:val="37"/>
        <w:spacing w:before="120" w:after="120"/>
        <w:ind w:left="0"/>
        <w:jc w:val="center"/>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供应商须知前附表</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5"/>
        <w:gridCol w:w="1937"/>
        <w:gridCol w:w="60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9" w:hRule="atLeast"/>
          <w:tblHeader/>
          <w:jc w:val="center"/>
        </w:trPr>
        <w:tc>
          <w:tcPr>
            <w:tcW w:w="945"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1937"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条款内容提示</w:t>
            </w:r>
          </w:p>
        </w:tc>
        <w:tc>
          <w:tcPr>
            <w:tcW w:w="6059"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w:t>
            </w:r>
          </w:p>
        </w:tc>
        <w:tc>
          <w:tcPr>
            <w:tcW w:w="6059" w:type="dxa"/>
          </w:tcPr>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名称：西咸新区空港新城阳光里幼儿园</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4"/>
                <w:highlight w:val="none"/>
                <w:shd w:val="clear" w:color="auto" w:fill="FFFFFF"/>
                <w:lang w:val="en-US" w:eastAsia="zh-CN"/>
              </w:rPr>
              <w:t>西咸新区空港新城布政路阳光里A区</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联系人：黄建红</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联系方式：15319089262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w:t>
            </w:r>
          </w:p>
        </w:tc>
        <w:tc>
          <w:tcPr>
            <w:tcW w:w="6059" w:type="dxa"/>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名称：陕西同创启辰项目管理有限公司</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4"/>
                <w:highlight w:val="none"/>
                <w:shd w:val="clear" w:color="auto" w:fill="FFFFFF"/>
              </w:rPr>
              <w:t>陕西省咸阳市渭城区东风路15号亨星锦绣城C座3层3号</w:t>
            </w:r>
          </w:p>
          <w:p>
            <w:pPr>
              <w:spacing w:line="288"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val="en-US" w:eastAsia="zh-CN"/>
              </w:rPr>
              <w:t>鲁若莽</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联系方式：029-33115382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监督机构</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同级人民政府财政部门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6059" w:type="dxa"/>
            <w:vAlign w:val="center"/>
          </w:tcPr>
          <w:p>
            <w:pPr>
              <w:spacing w:line="312"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lang w:eastAsia="zh-CN"/>
              </w:rPr>
              <w:t>空港新城金地幼儿园设备购置项目（第</w:t>
            </w:r>
            <w:r>
              <w:rPr>
                <w:rFonts w:hint="eastAsia" w:ascii="宋体" w:hAnsi="宋体" w:eastAsia="宋体" w:cs="宋体"/>
                <w:color w:val="auto"/>
                <w:szCs w:val="24"/>
                <w:highlight w:val="none"/>
                <w:shd w:val="clear" w:color="auto" w:fill="FFFFFF"/>
                <w:lang w:val="en-US" w:eastAsia="zh-CN"/>
              </w:rPr>
              <w:t>二</w:t>
            </w:r>
            <w:r>
              <w:rPr>
                <w:rFonts w:hint="eastAsia" w:ascii="宋体" w:hAnsi="宋体" w:eastAsia="宋体" w:cs="宋体"/>
                <w:color w:val="auto"/>
                <w:szCs w:val="24"/>
                <w:highlight w:val="none"/>
                <w:shd w:val="clear" w:color="auto" w:fill="FFFFFF"/>
                <w:lang w:eastAsia="zh-CN"/>
              </w:rPr>
              <w:t>批）</w:t>
            </w:r>
            <w:r>
              <w:rPr>
                <w:rFonts w:hint="eastAsia" w:ascii="宋体" w:hAnsi="宋体" w:eastAsia="宋体" w:cs="宋体"/>
                <w:color w:val="auto"/>
                <w:szCs w:val="24"/>
                <w:highlight w:val="none"/>
                <w:shd w:val="clear" w:color="auto" w:fill="FFFFFF"/>
                <w:lang w:val="en-US" w:eastAsia="zh-CN"/>
              </w:rPr>
              <w:t>合同包1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资金来源</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资金落实情况</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采购范围</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招标文件第四章规定的全部内容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交货期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合同签订后</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个日历日内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交货地点</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供应商资格要求</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）参加政府采购活动近三年内，在经营活动中没有重大违法记录的书面声明</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）控股管理关系：单位负责人为同一人 或者存在直接控股、管理关系的供应商，不得参加同一合同下的政府采购活动；</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）书面声明：供应商未为本项目提供整体设计、规范编制或者项目管理、监理、检测等服务的书面声明；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p>
        </w:tc>
        <w:tc>
          <w:tcPr>
            <w:tcW w:w="1937" w:type="dxa"/>
            <w:vAlign w:val="center"/>
          </w:tcPr>
          <w:p>
            <w:pPr>
              <w:spacing w:line="288" w:lineRule="auto"/>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联合体投标</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1.10.1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分包</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实质性要求和条件</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除招标文件允许以扣分形式体现的偏差外，其它内容均不允许偏差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投标保证金</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3.6.1</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是否允许备选方案</w:t>
            </w:r>
          </w:p>
        </w:tc>
        <w:tc>
          <w:tcPr>
            <w:tcW w:w="6059" w:type="dxa"/>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5.1.1</w:t>
            </w:r>
          </w:p>
        </w:tc>
        <w:tc>
          <w:tcPr>
            <w:tcW w:w="1937" w:type="dxa"/>
            <w:vAlign w:val="center"/>
          </w:tcPr>
          <w:p>
            <w:pPr>
              <w:spacing w:after="16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w:t>
            </w:r>
          </w:p>
        </w:tc>
        <w:tc>
          <w:tcPr>
            <w:tcW w:w="6059" w:type="dxa"/>
          </w:tcPr>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投标文件递交截止时间：详见招标公告</w:t>
            </w:r>
          </w:p>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5.2.1</w:t>
            </w:r>
          </w:p>
        </w:tc>
        <w:tc>
          <w:tcPr>
            <w:tcW w:w="1937" w:type="dxa"/>
            <w:vAlign w:val="center"/>
          </w:tcPr>
          <w:p>
            <w:pPr>
              <w:widowControl w:val="0"/>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开标时间和地点</w:t>
            </w:r>
          </w:p>
        </w:tc>
        <w:tc>
          <w:tcPr>
            <w:tcW w:w="6059" w:type="dxa"/>
          </w:tcPr>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开标时间：同投标文件递交截止时间</w:t>
            </w:r>
          </w:p>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开标地点：同投标文件递交地点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评审方法</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7.4.5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评标委员会推荐中标候选供应商的数量</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9.1</w:t>
            </w:r>
          </w:p>
        </w:tc>
        <w:tc>
          <w:tcPr>
            <w:tcW w:w="1937" w:type="dxa"/>
            <w:vAlign w:val="center"/>
          </w:tcPr>
          <w:p>
            <w:pPr>
              <w:pStyle w:val="286"/>
              <w:spacing w:line="288" w:lineRule="auto"/>
              <w:ind w:left="147" w:right="14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履约保证金</w:t>
            </w:r>
          </w:p>
        </w:tc>
        <w:tc>
          <w:tcPr>
            <w:tcW w:w="6059" w:type="dxa"/>
            <w:vAlign w:val="center"/>
          </w:tcPr>
          <w:p>
            <w:pPr>
              <w:pStyle w:val="286"/>
              <w:spacing w:line="312" w:lineRule="auto"/>
              <w:ind w:left="107"/>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7996" w:type="dxa"/>
            <w:gridSpan w:val="2"/>
            <w:vAlign w:val="center"/>
          </w:tcPr>
          <w:p>
            <w:pPr>
              <w:pStyle w:val="286"/>
              <w:spacing w:line="312" w:lineRule="auto"/>
              <w:ind w:left="107"/>
              <w:rPr>
                <w:rFonts w:hint="eastAsia" w:ascii="宋体" w:hAnsi="宋体" w:eastAsia="宋体" w:cs="宋体"/>
                <w:color w:val="auto"/>
                <w:szCs w:val="24"/>
                <w:highlight w:val="none"/>
                <w:lang w:val="en-US" w:bidi="ar-SA"/>
              </w:rPr>
            </w:pPr>
            <w:r>
              <w:rPr>
                <w:rFonts w:hint="eastAsia" w:ascii="宋体" w:hAnsi="宋体" w:eastAsia="宋体" w:cs="宋体"/>
                <w:color w:val="auto"/>
                <w:szCs w:val="24"/>
                <w:highlight w:val="none"/>
              </w:rPr>
              <w:t>需要补充的其他内容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关于信用记录的查询和使用</w:t>
            </w:r>
          </w:p>
        </w:tc>
        <w:tc>
          <w:tcPr>
            <w:tcW w:w="6059" w:type="dxa"/>
            <w:vAlign w:val="center"/>
          </w:tcPr>
          <w:p>
            <w:pPr>
              <w:wordWrap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1、采购人将在资格审查阶段通过【</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24"/>
                <w:szCs w:val="24"/>
                <w:highlight w:val="none"/>
              </w:rPr>
              <w:t>信用中国</w:t>
            </w:r>
            <w:r>
              <w:rPr>
                <w:rStyle w:val="32"/>
                <w:rFonts w:hint="eastAsia" w:ascii="宋体" w:hAnsi="宋体" w:eastAsia="宋体" w:cs="宋体"/>
                <w:color w:val="auto"/>
                <w:sz w:val="24"/>
                <w:szCs w:val="24"/>
                <w:highlight w:val="none"/>
              </w:rPr>
              <w:fldChar w:fldCharType="end"/>
            </w:r>
            <w:r>
              <w:rPr>
                <w:rFonts w:hint="eastAsia" w:ascii="宋体" w:hAnsi="宋体" w:eastAsia="宋体" w:cs="宋体"/>
                <w:color w:val="auto"/>
                <w:szCs w:val="24"/>
                <w:highlight w:val="none"/>
              </w:rPr>
              <w:t>（www.creditchina.gov.cn）】、【</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"http://www.ccgp.gov.cn/cr/list"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24"/>
                <w:szCs w:val="24"/>
                <w:highlight w:val="none"/>
              </w:rPr>
              <w:t>中国政府采购网</w:t>
            </w:r>
            <w:r>
              <w:rPr>
                <w:rStyle w:val="32"/>
                <w:rFonts w:hint="eastAsia" w:ascii="宋体" w:hAnsi="宋体" w:eastAsia="宋体" w:cs="宋体"/>
                <w:color w:val="auto"/>
                <w:sz w:val="24"/>
                <w:szCs w:val="24"/>
                <w:highlight w:val="none"/>
              </w:rPr>
              <w:fldChar w:fldCharType="end"/>
            </w:r>
            <w:r>
              <w:rPr>
                <w:rFonts w:hint="eastAsia" w:ascii="宋体" w:hAnsi="宋体" w:eastAsia="宋体" w:cs="宋体"/>
                <w:color w:val="auto"/>
                <w:szCs w:val="24"/>
                <w:highlight w:val="none"/>
              </w:rPr>
              <w:t>（www.ccgp.gov.cn）】网站对投标文件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投标或中标资格将被取消。</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2、供应商在参加政府采购活动前3年内因违法经营被禁止在一定期限内参加政府采购活动，期限届满的，可以参加政府采购活动的，但供应商应提供相关证明材料。</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信用记录及企业基本信息查询的时间段为“招标公告公告发布之日（含当日）至提交投标文件截止之日（含当日）”。信用记录及企业基本信息查询的结果，可以纸质截图或将截图保存至电子介质的形式留存。供应商未如实填报《供应商书面声明函》的，视为“供应商提供虚假材料谋取中标的”行为。</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关于产品的其他说明</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产品必须具有在中国境内法定许可的生产及销售资格，且为全新原厂制造，其核心关键部分为近10个月内所生产的非淘汰类产品；属于《中华人民共和国实施强制性产品认证的产品目录》的产品，不能提供超出此目录范畴外的替代品，此外，还须同时具备《中国国家强制性产品认证证书》（CCC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进口产品</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本采购项目拒绝进口产品参加投标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w:t>
            </w:r>
          </w:p>
        </w:tc>
        <w:tc>
          <w:tcPr>
            <w:tcW w:w="6059" w:type="dxa"/>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本项目不要求提供样品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知识产权</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所有涉及知识产权的产品及设计，供应商必须确保采购人拥有其合法的、不受限制的无偿使用权，并免受任何侵权诉讼或索偿，否则，由此产生的一切经济损失和法律责任由供应商承担。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收取标准：参照国家计委颁发的《招标代理服务收费管理暂行办法》（计价格[2002]1980号）和国家发展改革委员会办公厅颁发的《关于招标代理服务收费有关问题的通知》（发改办价格[2003]857号）的有关规定标准下浮20%收取。</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招标代理服务费公布方式：代理服务费金额将在成交公告中明确，成交单位在领取中标通知书前，须向采购代理机构一次性支付招标代理服务费。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14.7</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代理服务费账户</w:t>
            </w:r>
          </w:p>
        </w:tc>
        <w:tc>
          <w:tcPr>
            <w:tcW w:w="6059" w:type="dxa"/>
            <w:vAlign w:val="center"/>
          </w:tcPr>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户  名：陕西同创启辰项目管理有限公司</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开户行：长安银行咸阳东风路支行</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号：8060 3070 1421 0052 76</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请中标供应商按照要求将服务费汇入以上指定账户，如因自身原因发生错误，产生的不利后果均由供应商自行承担。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14.8</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项目属性及所属行业</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1、本项目属性：货物类。</w:t>
            </w:r>
          </w:p>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2、本项目采购标的所属行业为：制造业。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14.19</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一致性</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供应商须知前附表和须知不一致的地方，以前附表为准。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941" w:type="dxa"/>
            <w:gridSpan w:val="3"/>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评审时因供应商提供的投标文件中证明材料不清晰导致无法辨认的，或隐瞒相关不良信息的，造成不利于供应商的情况其后果由供应商自行负责。</w:t>
            </w:r>
          </w:p>
        </w:tc>
      </w:tr>
    </w:tbl>
    <w:p>
      <w:pPr>
        <w:spacing w:line="360" w:lineRule="auto"/>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p>
    <w:p>
      <w:pPr>
        <w:spacing w:line="360" w:lineRule="auto"/>
        <w:jc w:val="center"/>
        <w:outlineLvl w:val="1"/>
        <w:rPr>
          <w:rStyle w:val="35"/>
          <w:rFonts w:hint="eastAsia" w:ascii="宋体" w:hAnsi="宋体" w:eastAsia="宋体" w:cs="宋体"/>
          <w:color w:val="auto"/>
          <w:sz w:val="32"/>
          <w:szCs w:val="32"/>
          <w:highlight w:val="none"/>
        </w:rPr>
      </w:pPr>
      <w:r>
        <w:rPr>
          <w:rStyle w:val="35"/>
          <w:rFonts w:hint="eastAsia" w:ascii="宋体" w:hAnsi="宋体" w:eastAsia="宋体" w:cs="宋体"/>
          <w:b/>
          <w:color w:val="auto"/>
          <w:sz w:val="32"/>
          <w:szCs w:val="32"/>
          <w:highlight w:val="none"/>
        </w:rPr>
        <w:t>一、总  则</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1.1采购项目概况</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根据《中华人民共和国中华人民共和国政府采购法》及实施条例和《政府采购货物和服务招标投标管理办法》（财政部87号令）等有关法律、法规和规章的规定，本项目已具备采购条件，现对该项目采购进行公开采购。</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1.1.2采购人：详见供应商须知前附表。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1.1.3采购代理机构：详见供应商须知前附表。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1.1.4监督单位：详见供应商须知前附表。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1.1.5采购项目名称：详见供应商须知前附表。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1.2采购项目的资金来源和落实情况</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1.2.1资金来源：详见供应商须知前附表。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1.2.2资金落实情况：详见供应商须知前附表。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1.3采购范围、服务期、服务地点及质保期</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1.3.1采购范围：详见供应商须知前附表。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1.3.2交货期：详见供应商须知前附表。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1.3.3交货地点：详见供应商须知前附表。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1.3.4交货地点：详见供应商须知前附表。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1.4合格供应商</w:t>
      </w:r>
    </w:p>
    <w:p>
      <w:pPr>
        <w:pStyle w:val="17"/>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合格供应商应具备以下条件：</w:t>
      </w:r>
    </w:p>
    <w:p>
      <w:pPr>
        <w:pStyle w:val="17"/>
        <w:widowControl w:val="0"/>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1.4.1供应商资格要求：详见供应商须知前附表。</w:t>
      </w:r>
    </w:p>
    <w:p>
      <w:pPr>
        <w:widowControl w:val="0"/>
        <w:spacing w:line="360" w:lineRule="auto"/>
        <w:ind w:firstLine="48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1.4.2供应商须知前附表规定接受联合体投标的，联合体除应符合本章第 1.4项和供应商须知前附表的要求外，还应遵守以下规定：</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（1）联合体各方应按招标文件提供的格式签订联合体协议书，明确联合体牵头人和各方权利义务，并承诺就成交项目向采购人承担连带责任；</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（2）由同一专业的单位组成的联合体，按照资质等级较低的单位确定资质等级；</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（3）联合体各方不得再以自己名义单独或参加其他联合体在本采购项目中投标，否则各相关投标均无效。</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1.4.3供应商不得存在下列情形之一：</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（1）投标文件未按招标文件要求签署、盖章的；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（2）不具备招标文件中规定的资格要求的；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（3）报价超过招标文件中规定的预算金额或者最高限价的；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（4）投标文件含有采购人不能接受的附加条件的；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（5）无投标有效期或有效期达不到招标文件要求的；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（6）单位负责人为同一人或者存在直接控股、管理关系的不同供应商，参加本项目同一合同项下的投标的；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（7）为本采购项目提供整体设计、规范编制或者项目管理、监理、检测等服务的供应商，参加本采购项目投标的；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（8）提供虚假投标文件和资料的。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（9）法律、法规和招标文件规定的其他无效情形；</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（10）供应商未上传电子化投标文件。</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1.5合格的货物和相关服务</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1.5.1供应商提供的所有货物应当说明货物的来源地，符合国家有关标准要求，并满足招标文件要求的实质性要求及相关服务等要求。</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1.5.2采购人有权拒绝接受任何不合格的货物和服务，由此产生的费用及相关后果均由供应商自行承担。</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1.6费用承担</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投标费用自理。不论投标的结果如何，供应商均应自行承担所有与参加投标有关的费用。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1.7保密</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参与投标活动的各方应对招标文件和投标文件中的商业和技术等秘密保密，否则应承担相应的法律责任。</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1.8语言文字</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投标活动的所有文件、资料、函电文均使用简体中文，确需提交其他语言形成的资料，必须翻译成简体中文，如有差异，以简体中文为准。</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1.9计量单位</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所有计量均采用中华人民共和国法定计量单位。</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1.10分包</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1.10.1供应商拟在成交后将成交项目的非关键内容分包的，应符合供应商须知前附表规定的分包内容、分包金额和资质要求等限制性条件，除供应商须知前附表规定的非关键内容外，其他工作不得分包。</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1.10.2中标供应商不得向他人转让成交项目，接受分包的人不得再次分包。中标供应商应当就分包项目向采购人负责，接受分包的人就分包项目承担连带责任。</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1.11响应和偏差</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1.11.1投标文件应当对招标文件的实质性要求和条件作出满足性或更有利于采购人的响应，否则，供应商的投标将被否决。实质性要求和条件见供应商须知前附表。</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1.11.2供应商应根据招标文件的要求提供详细的技术服务和服务计划等内容以对招标文件作出响应。</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1.11.3投标文件对招标文件的全部偏差，均应按招标文件的要求在投标文件的相关偏离表中列明，除列明的内容外，视为供应商响应招标文件的全部要求。</w:t>
      </w:r>
    </w:p>
    <w:p>
      <w:pPr>
        <w:spacing w:line="500" w:lineRule="exact"/>
        <w:jc w:val="center"/>
        <w:textAlignment w:val="auto"/>
        <w:outlineLvl w:val="1"/>
        <w:rPr>
          <w:rFonts w:hint="eastAsia" w:ascii="宋体" w:hAnsi="宋体" w:eastAsia="宋体" w:cs="宋体"/>
          <w:b/>
          <w:color w:val="auto"/>
          <w:szCs w:val="24"/>
          <w:highlight w:val="none"/>
        </w:rPr>
      </w:pPr>
      <w:bookmarkStart w:id="2" w:name="_Toc403077640"/>
      <w:bookmarkStart w:id="3" w:name="_Toc363473973"/>
      <w:bookmarkStart w:id="4" w:name="_Toc363474018"/>
      <w:r>
        <w:rPr>
          <w:rFonts w:hint="eastAsia" w:ascii="宋体" w:hAnsi="宋体" w:eastAsia="宋体" w:cs="宋体"/>
          <w:b/>
          <w:color w:val="auto"/>
          <w:szCs w:val="24"/>
          <w:highlight w:val="none"/>
        </w:rPr>
        <w:t>二、招标文件</w:t>
      </w:r>
      <w:bookmarkEnd w:id="2"/>
      <w:bookmarkEnd w:id="3"/>
      <w:bookmarkEnd w:id="4"/>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2.1招标文件构成</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招标文件要求提供的货物、服务，招标程序和合同条件在招标文件中均有说明。招标文件共六章，内容如下：</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供应商须知前附表</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投标文件构成及格式  </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2.1.3本招标文件的解释权归（采购代理机构名称），如发现招标文件内容与现行法律法规不相符的情况，以现行法律法规为准。</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2.2招标文件的澄清修改及询问</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2.2.1采购人如果对已发出的招标文件进行必要的澄清或者修改，将在原公告发布媒体上发布澄清公告。澄清或者修改的内容为招标文件的组成部分。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2.2.2澄清或者修改的内容可能影响投标文件编制的，采购代理机构将在投标截止时间至少15日前，以书面形式通知所有获取招标文件的潜在供应商；不足15日的，采购代理机构将顺延提交投标文件的截止时间。</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2.2.3已经获取招标文件的供应商对招标文件有疑问的，采购代理机构将在3个工作日内采用适当方式予以澄清或以书面形式予以答复。</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2.2.4供应商在收到上述通知后，应立即向采购代理机构回函确认。</w:t>
      </w:r>
    </w:p>
    <w:p>
      <w:pPr>
        <w:spacing w:line="500" w:lineRule="exact"/>
        <w:jc w:val="center"/>
        <w:outlineLvl w:val="1"/>
        <w:rPr>
          <w:rFonts w:hint="eastAsia" w:ascii="宋体" w:hAnsi="宋体" w:eastAsia="宋体" w:cs="宋体"/>
          <w:b/>
          <w:color w:val="auto"/>
          <w:szCs w:val="24"/>
          <w:highlight w:val="none"/>
        </w:rPr>
      </w:pPr>
      <w:bookmarkStart w:id="5" w:name="_Toc403077641"/>
      <w:bookmarkStart w:id="6" w:name="_Toc363473974"/>
      <w:bookmarkStart w:id="7" w:name="_Toc363474019"/>
      <w:r>
        <w:rPr>
          <w:rFonts w:hint="eastAsia" w:ascii="宋体" w:hAnsi="宋体" w:eastAsia="宋体" w:cs="宋体"/>
          <w:b/>
          <w:color w:val="auto"/>
          <w:szCs w:val="24"/>
          <w:highlight w:val="none"/>
        </w:rPr>
        <w:t>三、投标文件</w:t>
      </w:r>
      <w:bookmarkEnd w:id="5"/>
      <w:bookmarkEnd w:id="6"/>
      <w:bookmarkEnd w:id="7"/>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3.1投标文件的组成</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3.1.1投标文件应包括下列内容：</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第一部分 资格证明文件</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（1）营业执照等主体资格证明文件</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（2）财务状况报告</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（3）社保缴纳证明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（4）税收缴纳证明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（5）履行合同承诺函</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（6）无重大违法记录书面声明</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（7）法定代表人身份证明/法定代表人授权委托书</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（8）信用记录</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（9）控股管理关系</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（10）供应商书面声明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（11）供应商提供参与投标的承诺函</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第二部分 符合性证明文件</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（1）响应函格式</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（2）报价一览表</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（3）供应商参加政府采购活动承诺书</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（4）商务条款偏离表</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第三部分 投标响应方案</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（1）供应商概况</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（2）技术方案</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（3）供应商认为有利于成交的其他情况说明</w:t>
      </w:r>
      <w:r>
        <w:rPr>
          <w:rFonts w:hint="eastAsia" w:ascii="宋体" w:hAnsi="宋体" w:eastAsia="宋体" w:cs="宋体"/>
          <w:bCs/>
          <w:color w:val="auto"/>
          <w:sz w:val="24"/>
          <w:szCs w:val="24"/>
          <w:highlight w:val="none"/>
        </w:rPr>
        <w:tab/>
      </w:r>
    </w:p>
    <w:p>
      <w:pPr>
        <w:pStyle w:val="2"/>
        <w:spacing w:after="0"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供应商在评标过程中作出的符合法律法规和招标文件规定的澄清确认，构成投标文件的组成部分。</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3.1.2 供应商应保证其投标文件中所提供的所有有关投标的资料、信息是真实的、并且来源于合法的渠道。因投标文件中所提供的有关投标的资料、信息不真实、或者其来源不合法而导致的所有法律责任，由供应商自行承担。</w:t>
      </w:r>
    </w:p>
    <w:p>
      <w:pP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3.2投标报价</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3.2.1投标报价是供应商响应招标项目要求的全部工作内容的价格体现，包括完成采购内容所需的直接费、间接费、利润、税金、招标代理服务费及其它相关的一切费用。供应商在报价时应充分考虑所有可能发生的费用，招标文件未列明，而供应商认为应当计取的费用均应列入报价中。报价时不论是否计取，采购人均按已计取对待。</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3.2.2供应商应严格按照《投标文件构成及格式》中《报价一览表》中的相关要求填写报价及其他需要响应的内容。</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3.2.3投标报价货币：人民币；单位：元。</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3.2.4投标报价只能提交唯一报价，并且在合同履行过程中是固定不变的，任何有选择的报价将不予接受，按无效响应处理。</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3.2.5因供应商对招标文件理解不透、误解、疏漏或对市场行情了解不清造成的后果和风险，均由供应商自己负责。</w:t>
      </w:r>
    </w:p>
    <w:p>
      <w:pPr>
        <w:widowControl w:val="0"/>
        <w:spacing w:line="500" w:lineRule="exac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3.3投标有效期</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3.3.1投标有效期：见供应商须知前附表。投标文件应在投标有效期内保持有效。投标有效期不满足规定有效期的投标文件将被视为无效投标而拒绝。</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3.3.2特殊情况下，在原投标有效期期满之前，采购代理机构可向供应商提出延长投标有效期的要求。这种要求与答复均应以书面的形式。</w:t>
      </w:r>
    </w:p>
    <w:p>
      <w:pPr>
        <w:spacing w:line="360" w:lineRule="auto"/>
        <w:jc w:val="left"/>
        <w:rPr>
          <w:rFonts w:hint="eastAsia" w:ascii="宋体" w:hAnsi="宋体" w:eastAsia="宋体" w:cs="宋体"/>
          <w:b/>
          <w:color w:val="auto"/>
          <w:szCs w:val="24"/>
          <w:highlight w:val="none"/>
        </w:rPr>
      </w:pPr>
      <w:bookmarkStart w:id="8" w:name="_Toc403077642"/>
      <w:bookmarkStart w:id="9" w:name="_Toc363473975"/>
      <w:bookmarkStart w:id="10" w:name="_Toc363474020"/>
      <w:r>
        <w:rPr>
          <w:rFonts w:hint="eastAsia" w:ascii="宋体" w:hAnsi="宋体" w:eastAsia="宋体" w:cs="宋体"/>
          <w:b/>
          <w:color w:val="auto"/>
          <w:szCs w:val="24"/>
          <w:highlight w:val="none"/>
        </w:rPr>
        <w:t>3.4投标保证金</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投标保证金：详见供应商须知前附表。</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3.5 资格审查资料</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供应商应按评标办法要求的资格审查标准提供资格审查资料，以证明其满足本章第 1.4 款规定的供应商资格要求。</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3.6备选投标响应方案</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3.6.1除供应商须知前附表规定允许外，供应商不得递交备选投标响应方案，否则其投标将被否决。</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3.6.2允许供应商递交备选投标响应方案的，只有中标供应商所递交的备选投标响应方案方可予以考虑。评标委员会认为中标供应商的备选投标响应方案优于其按照招标文件要求编制的投标响应方案的，采购人可以接受该备选投标响应方案。</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3.6.3供应商提供两个或两个以上投标报价，或者在投标文件中提供一个报价，但同时提供两个或两个以上供货方案的，视为提供备选方案。</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3.7.投标文件的编制</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3.7.1投标文件应按第六章“投标文件格式”进行编写，如有必要，可以增加附页，作为投标文件的组成部分。</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3.7.2投标文件应当对招标文件有关供货期、投标有效期、供货要求、采购内容等实质性内容作出响应。投标文件在满足招标文件实质性要求的基础上，可以提出比招标文件要求更有利于采购人的承诺。</w:t>
      </w:r>
    </w:p>
    <w:p>
      <w:pPr>
        <w:pStyle w:val="2"/>
        <w:wordWrap w:val="0"/>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3.7.3本项目采用不见面开标模式，采用电子化投标文件，供应商不需要提供纸质投标文件。供应商应在投标截止时间前登录招标文件载明的“不见面开标大厅”（http://www.xqggzyjy.cn:8081/BidOpening-XQGC/bidopeninghallaction/hall/login）网址，按系统提示完成开标流程。因供应商自身设施故障或自身原因导致无法完成投标的，由供应商自行承担后果。 </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3.7.4供应商须在陕西省·西咸新区公共资源交易平台登记企业信息，然后使用数字认证CA锁获取招标文件及其他文件。供应商应使用电子投标书制作工具制作、加密投标文件，并在规定时间上传经过数字证书加密的电子投标文件（投标文件为.SXSTF格式）。 </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3.7.5其他需要说明的事项：本项目招标所使用的交易平台为全国公共资源交易平台（陕西省·西咸新区） (sxggzyjy.cn)不见面开标系统，如有疑问，请及时与全国公共资源交易平台（陕西省·西咸新区）中心业务取得联系。（中心业务电话：029-33585731、在线技术支持客服热线:4009980000）。</w:t>
      </w:r>
    </w:p>
    <w:p>
      <w:pPr>
        <w:widowControl w:val="0"/>
        <w:spacing w:before="333" w:beforeLines="100" w:after="333" w:afterLines="100" w:line="500" w:lineRule="exact"/>
        <w:jc w:val="center"/>
        <w:textAlignment w:val="auto"/>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四、投标文件的递交</w:t>
      </w:r>
      <w:bookmarkEnd w:id="8"/>
      <w:bookmarkEnd w:id="9"/>
      <w:bookmarkEnd w:id="10"/>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1" w:name="_Toc29754"/>
      <w:r>
        <w:rPr>
          <w:rFonts w:hint="eastAsia" w:ascii="宋体" w:hAnsi="宋体" w:eastAsia="宋体" w:cs="宋体"/>
          <w:b/>
          <w:bCs/>
          <w:color w:val="auto"/>
          <w:spacing w:val="-1"/>
          <w:szCs w:val="24"/>
          <w:highlight w:val="none"/>
        </w:rPr>
        <w:t>4.1投标文件</w:t>
      </w:r>
      <w:bookmarkEnd w:id="11"/>
      <w:r>
        <w:rPr>
          <w:rFonts w:hint="eastAsia" w:ascii="宋体" w:hAnsi="宋体" w:eastAsia="宋体" w:cs="宋体"/>
          <w:b/>
          <w:bCs/>
          <w:color w:val="auto"/>
          <w:spacing w:val="-1"/>
          <w:szCs w:val="24"/>
          <w:highlight w:val="none"/>
        </w:rPr>
        <w:t>的递交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电子投标文件可于提交投标文件截止时间前任意时段登录全国公共资源交易平台（陕西省˙西咸新区）网站“电子交易平台&gt;企业端”进行提交，提交时，供应商应登录全国公共资源交易中心平台（陕西省˙西咸新区），选择“首页&gt;电子交易平台&gt;企业端&gt;我的项目”，点击“项目流程”，在打开的“项目管理”对话框中选择“上传投标文件”，上传加密的电子投标文件（*.SXSTF）。上传成功后，电子化平台将予以记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4.1.2在招标文件规定时间未上传投标文件或上传投标文件失败的，系统将拒绝接收。</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2" w:name="_Toc16048"/>
      <w:r>
        <w:rPr>
          <w:rFonts w:hint="eastAsia" w:ascii="宋体" w:hAnsi="宋体" w:eastAsia="宋体" w:cs="宋体"/>
          <w:b/>
          <w:bCs/>
          <w:color w:val="auto"/>
          <w:spacing w:val="-1"/>
          <w:szCs w:val="24"/>
          <w:highlight w:val="none"/>
        </w:rPr>
        <w:t>4.2投标的修改与撤回</w:t>
      </w:r>
      <w:bookmarkEnd w:id="12"/>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4.2.1供应商在递交投标文件后，且在提交投标文件截止时间前，可以对所提交的电子投标文件进行补充、修改或撤回。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4.2.2对电子投标文件进行补充、修改的，应先从电子交易平台上撤回旧版，再重新提交新版。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4.2.3电子投标文件提交截止时间后，供应商不得对其电子投标文件做任何修改。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4.2.4供应商在提交电子投标文件截止时间后撤回电子投标文件的，采购人有权将此情况如实反映财政部门，由财政部门予以记录并纳入供应商失信行为名单。</w:t>
      </w:r>
    </w:p>
    <w:p>
      <w:pPr>
        <w:spacing w:line="500" w:lineRule="exact"/>
        <w:jc w:val="center"/>
        <w:outlineLvl w:val="1"/>
        <w:rPr>
          <w:rFonts w:hint="eastAsia" w:ascii="宋体" w:hAnsi="宋体" w:eastAsia="宋体" w:cs="宋体"/>
          <w:b/>
          <w:color w:val="auto"/>
          <w:szCs w:val="24"/>
          <w:highlight w:val="none"/>
        </w:rPr>
      </w:pPr>
      <w:bookmarkStart w:id="13" w:name="_Toc403077643"/>
      <w:bookmarkStart w:id="14" w:name="_Toc363474021"/>
      <w:bookmarkStart w:id="15" w:name="_Toc363473976"/>
      <w:r>
        <w:rPr>
          <w:rFonts w:hint="eastAsia" w:ascii="宋体" w:hAnsi="宋体" w:eastAsia="宋体" w:cs="宋体"/>
          <w:b/>
          <w:color w:val="auto"/>
          <w:szCs w:val="24"/>
          <w:highlight w:val="none"/>
        </w:rPr>
        <w:t>五、开标</w:t>
      </w:r>
      <w:bookmarkEnd w:id="13"/>
      <w:bookmarkEnd w:id="14"/>
      <w:bookmarkEnd w:id="15"/>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6" w:name="_Toc8761"/>
      <w:bookmarkStart w:id="17" w:name="_Toc24523"/>
      <w:r>
        <w:rPr>
          <w:rFonts w:hint="eastAsia" w:ascii="宋体" w:hAnsi="宋体" w:eastAsia="宋体" w:cs="宋体"/>
          <w:b/>
          <w:bCs/>
          <w:color w:val="auto"/>
          <w:spacing w:val="-1"/>
          <w:szCs w:val="24"/>
          <w:highlight w:val="none"/>
        </w:rPr>
        <w:t>5.1开标</w:t>
      </w:r>
      <w:bookmarkEnd w:id="16"/>
      <w:bookmarkEnd w:id="17"/>
      <w:r>
        <w:rPr>
          <w:rFonts w:hint="eastAsia" w:ascii="宋体" w:hAnsi="宋体" w:eastAsia="宋体" w:cs="宋体"/>
          <w:b/>
          <w:bCs/>
          <w:color w:val="auto"/>
          <w:spacing w:val="-1"/>
          <w:szCs w:val="24"/>
          <w:highlight w:val="none"/>
        </w:rPr>
        <w:t>时间及地点</w:t>
      </w:r>
    </w:p>
    <w:p>
      <w:pPr>
        <w:spacing w:line="360" w:lineRule="auto"/>
        <w:ind w:firstLine="480" w:firstLineChars="200"/>
        <w:rPr>
          <w:rFonts w:hint="eastAsia" w:ascii="宋体" w:hAnsi="宋体" w:eastAsia="宋体" w:cs="宋体"/>
          <w:color w:val="auto"/>
          <w:szCs w:val="24"/>
          <w:highlight w:val="none"/>
        </w:rPr>
      </w:pPr>
      <w:bookmarkStart w:id="18" w:name="_Toc1352"/>
      <w:bookmarkStart w:id="19" w:name="_Toc18462"/>
      <w:r>
        <w:rPr>
          <w:rFonts w:hint="eastAsia" w:ascii="宋体" w:hAnsi="宋体" w:eastAsia="宋体" w:cs="宋体"/>
          <w:color w:val="auto"/>
          <w:szCs w:val="24"/>
          <w:highlight w:val="none"/>
        </w:rPr>
        <w:t>5.1.1 采购代理机构在供应商须知前附表规定的时间和地点组织公开开标，供应商需在开标前登录全国公共资源交易平台（陕西省·西咸新区）首页选择电子交易平台-“西咸新区公共资源交易不见面开标系统”，进行自行调试。开标时，按照工作人员要求进行投标文件解密，唱标及确认开标结果，远程观看开标直播。</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5.1.2只有在开标时唱出的价格和价格变动声明，评标时才能考虑。</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5.2开标程序</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5.2.1采购代理机构在</w:t>
      </w:r>
      <w:r>
        <w:rPr>
          <w:rFonts w:hint="eastAsia" w:ascii="宋体" w:hAnsi="宋体" w:eastAsia="宋体" w:cs="宋体"/>
          <w:bCs/>
          <w:color w:val="auto"/>
          <w:sz w:val="24"/>
          <w:szCs w:val="24"/>
          <w:highlight w:val="none"/>
        </w:rPr>
        <w:t>供应商须知前附表</w:t>
      </w:r>
      <w:r>
        <w:rPr>
          <w:rFonts w:hint="eastAsia" w:ascii="宋体" w:hAnsi="宋体" w:eastAsia="宋体" w:cs="宋体"/>
          <w:color w:val="auto"/>
          <w:sz w:val="24"/>
          <w:szCs w:val="24"/>
          <w:highlight w:val="none"/>
        </w:rPr>
        <w:t>规定的时间和地点组织开标，参加投标的供应商不足3家的，不得解密。</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（1）宣布大会纪律；</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（2）公布在投标截止时间前递交投标文件的供应商名称；</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（3）投标文件解密；</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（4）唱标；</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（5）开标结果确认；</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（6）会议结束。</w:t>
      </w:r>
    </w:p>
    <w:p>
      <w:pPr>
        <w:pStyle w:val="2"/>
        <w:spacing w:after="0" w:line="360" w:lineRule="auto"/>
        <w:ind w:firstLine="480" w:firstLineChars="200"/>
        <w:jc w:val="left"/>
        <w:rPr>
          <w:rFonts w:hint="eastAsia" w:ascii="宋体" w:hAnsi="宋体" w:eastAsia="宋体" w:cs="宋体"/>
          <w:color w:val="auto"/>
          <w:sz w:val="24"/>
          <w:szCs w:val="24"/>
          <w:highlight w:val="none"/>
        </w:rPr>
      </w:pPr>
      <w:bookmarkStart w:id="20" w:name="_bookmark54"/>
      <w:bookmarkEnd w:id="20"/>
      <w:r>
        <w:rPr>
          <w:rFonts w:hint="eastAsia" w:ascii="宋体" w:hAnsi="宋体" w:eastAsia="宋体" w:cs="宋体"/>
          <w:color w:val="auto"/>
          <w:sz w:val="24"/>
          <w:szCs w:val="24"/>
          <w:highlight w:val="none"/>
        </w:rPr>
        <w:t>5.2.2开启过程由采购代理机构指定专人记录，并由参于的相关工作人员签字确认后随采购文件一并存档。</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5.3异议</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供应商对开标过程有疑义，以及认为采购人、采购代理机构相关工作人员有需要回避情形的，应在开标现场提出询问或回避申请，采购人、采购代理机构应当当场作出答复，并制作记录。</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5.4在开标过程中出现下列情况之一的，其投标文件视为无效文件：</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5.4.1供应商拒绝对电子投标文件进行解密的；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5.4.2因供应商自身原因（如解密时使用的CA锁与制作电子投标文件使用的CA锁不一致、或沿用旧版招标文件编制投标文件等情形），导致在规定时间内无法解密投标文件的；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5.4.3上传的电子投标文件无法打开的；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5.4.4中华人民共和国政府采购法律法规规定的其他无效情形。</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5.5特殊情形下的应急处置</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在开标、评审过程中，如因停电、断网、电子化系统故障等特殊原因导致电子化开、评审无法正常进行时，将视投标文件解密情况特殊处理。</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5.5.1开标时投标文件未解密的，将另行确定时间继续完成开启程序；</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5.5.2开启后投标文件已解密但评审结论未形成的，按相关主管部门要求执行；</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5.5.3开启后投标文件已解密且评审结论已形成的，待特殊情况排除后，继续完成评审活动。</w:t>
      </w:r>
    </w:p>
    <w:p>
      <w:pPr>
        <w:pStyle w:val="2"/>
        <w:spacing w:after="0" w:line="360" w:lineRule="auto"/>
        <w:jc w:val="center"/>
        <w:rPr>
          <w:rFonts w:hint="eastAsia" w:ascii="宋体" w:hAnsi="宋体" w:eastAsia="宋体" w:cs="宋体"/>
          <w:b/>
          <w:bCs/>
          <w:color w:val="auto"/>
          <w:sz w:val="24"/>
          <w:szCs w:val="24"/>
          <w:highlight w:val="none"/>
        </w:rPr>
      </w:pPr>
      <w:bookmarkStart w:id="21" w:name="_Toc20111"/>
      <w:r>
        <w:rPr>
          <w:rFonts w:hint="eastAsia" w:ascii="宋体" w:hAnsi="宋体" w:eastAsia="宋体" w:cs="宋体"/>
          <w:b/>
          <w:bCs/>
          <w:color w:val="auto"/>
          <w:sz w:val="24"/>
          <w:szCs w:val="24"/>
          <w:highlight w:val="none"/>
        </w:rPr>
        <w:t>六、资格审查</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6.1开标结束后，由采购人委派的资格审查小组按照《政府采购货 物和服务招标投标管理办法》（财政部第 87 号令）有关规定，对电子投标文件中的供应商资格证明文件进行审查。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6.2出现下列情形的，投标文件将被视为无效：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（1）不具备招标文件中规定的资格要求的；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（2）未按招标文件要求提供资格证明文件，或未按招标文件要求加盖 公章的；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（3）资格审查小组认为投标供应商的资格证明文件存在疑点，要求投标供应商通过全国公共资源交易平台（陕西省·西咸新区）（以下简称“平台”）或电子邮件（在 平台无法支持的情况下）等形式提供更清晰有效的证明文件，投标供应商不能在规定时限内提供符合招标文件要求的证明文件的。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6.3资格审查结束后，资格审查小组成员应当对审查结果进行签字确认，并告知无效投标供应商资格审查未通过的原因。</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6.4合格供应商不足 3 家的，不得评标，应予以废标。</w:t>
      </w:r>
    </w:p>
    <w:p>
      <w:pPr>
        <w:spacing w:before="166" w:beforeLines="50" w:line="360" w:lineRule="auto"/>
        <w:jc w:val="center"/>
        <w:outlineLvl w:val="1"/>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七、组织评审</w:t>
      </w:r>
      <w:bookmarkEnd w:id="21"/>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7.1</w:t>
      </w:r>
      <w:bookmarkEnd w:id="18"/>
      <w:bookmarkEnd w:id="19"/>
      <w:r>
        <w:rPr>
          <w:rFonts w:hint="eastAsia" w:ascii="宋体" w:hAnsi="宋体" w:eastAsia="宋体" w:cs="宋体"/>
          <w:b/>
          <w:bCs/>
          <w:color w:val="auto"/>
          <w:spacing w:val="-1"/>
          <w:szCs w:val="24"/>
          <w:highlight w:val="none"/>
        </w:rPr>
        <w:t>评标委员会组成及抽取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7.1.1评标委员会组成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为了确保评标工作的公平、公正，依据中华人民共和国政府采购法和政府采购相关法规、规章，成立评标委员会。评标委员会由采购人代表和有关技术、经济等方面的专家组成，成员人数为5人以上单数。其中，评审专家不少于成员总数的三分之二。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采购项目符合下列情形之一的，评标委员会成员人数应当为7人以上单数：</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（1）采购预算金额在1000万元以上；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（2）技术复杂；</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（3）社会影响较大。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评审专家对本单位的采购项目只能作为采购人代表参与评标。（采购代理机构名称）工作人员不得参加由本机构代理的政府采购项目的评标。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评标委员会成员名单在评标结果公告前应当保密。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7.1.2评标委员会的抽取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7.1.3评标中因评标委员会成员缺席、回避或者健康等特殊原因导致评标委员会组成不符合规定的，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采购代理机构应当将变更、重新组建评标委员会的情况予以记录，并随采购文件一并存档。</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7.1.4评标委员会成员有下列情形之一的，应当回避：</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（1）参加采购活动前3年内与供应商存在劳动关系；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（2）参加采购活动前3年内担任供应商的董事、监事；</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（3）参加采购活动前3年内是供应商的控股股东或者实际控制人；</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（4）与供应商的法定代表人或者负责人有夫妻、直系血亲、三代以内旁系血亲或者近姻亲关系；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（5）与供应商有其他可能影响政府采购活动公平、公正进行的关系。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7.1.5评标过程中，评标委员会成员有回避事由、擅离职守或者因健康等原因不能继续评标的，采购人有权更换。被更换的评标委员会成员作出的评审结论无效，由更换后的评标委员会成员重新进行评审。</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7.2评标原则</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中华人民共和国政府采购法》及实施条例的规定，评标委员会成员应当按照客观、公正、审慎的原则，根据招标文件规定的评审程序、评审方法和评审标准进行独立评审。未实质性响应招标文件的投标文件按无效响应处理，评标委员会应当告知提交投标文件的供应商。</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2" w:name="_Toc9087"/>
      <w:bookmarkStart w:id="23" w:name="_Toc10826"/>
      <w:r>
        <w:rPr>
          <w:rFonts w:hint="eastAsia" w:ascii="宋体" w:hAnsi="宋体" w:eastAsia="宋体" w:cs="宋体"/>
          <w:b/>
          <w:bCs/>
          <w:color w:val="auto"/>
          <w:spacing w:val="-1"/>
          <w:szCs w:val="24"/>
          <w:highlight w:val="none"/>
        </w:rPr>
        <w:t>7.3评标方法</w:t>
      </w:r>
      <w:bookmarkEnd w:id="22"/>
      <w:bookmarkEnd w:id="23"/>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7.3.1按照《中华人民共和国中华人民共和国政府采购法实施条例》和《政府采购货物和服务招标投标管理办法》的规定，本次评标采用的评标方法详见“供应商须知前附表”。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评标方法分为最低评标价法和综合评分法。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（1）最低评标价法，是指投标文件满足招标文件全部实质性要求，且投标报价最低的供应商为中标候选人的评标方法。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（2）综合评分法，是指投标文件满足招标文件全部实质性要求，且按照评审因素的量化指标评审得分最高的供应商为中标候选人的评标方法。</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7.4评标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7.4.1按照《中华人民共和国中华人民共和国政府采购法》及实施条例和《政府采购货物和服务招标投标管理办法》（财政部87号令），依法组建评标委员会。评标委员会由采购人代表和评审专家组成，其中采购人代表须持有授权书。评标委员会按照招标文件规定的评审方法独立进行评审工作。</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7.4.2招标文件和投标文件是评标的依据。在评标中，不得改变招标文件中规定的评标标准、方法和中标条件。供应商不得在开标后使用任何方式对投标文件的实质性内容做任何更改。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并由其法人代表或授权代表签署全名。供应商的澄清、说明或者补正不得超出投标文件的范围或者改变投标文件的实质性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7.4.4如果供应商在规定时限内，未能答复或拒绝答复评委会提出的澄清、说明或者补正的要求，将由评委会根据其投标文件按最大风险进行评标。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7.4.5评审完成后，评标委员会应当向采购人提交书面评审报告和中标候选供应商名单。评标委员会推荐中标候选供应商的数量见供应商须知前附表。</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4" w:name="_Toc29623"/>
      <w:bookmarkStart w:id="25" w:name="_Toc4018"/>
      <w:r>
        <w:rPr>
          <w:rFonts w:hint="eastAsia" w:ascii="宋体" w:hAnsi="宋体" w:eastAsia="宋体" w:cs="宋体"/>
          <w:b/>
          <w:bCs/>
          <w:color w:val="auto"/>
          <w:spacing w:val="-1"/>
          <w:szCs w:val="24"/>
          <w:highlight w:val="none"/>
        </w:rPr>
        <w:t>7.5评标过程的保密</w:t>
      </w:r>
      <w:bookmarkEnd w:id="24"/>
      <w:bookmarkEnd w:id="25"/>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7.5.1评标委员会成员和与评标活动有关的工作人员不得泄露有关投标文件的评审和比较、中标候选人的推荐以及与评标有关的其他情况。</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7.5.2在评标过程中，如果供应商试图在投标文件的评审和比较、中标候选人的推荐以及与评标有关的其他方面，向评标人、采购人和采购代理机构施加任何影响，其投标应做无效投标处理。</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6" w:name="_Toc26334"/>
      <w:bookmarkStart w:id="27" w:name="_Toc9197"/>
      <w:r>
        <w:rPr>
          <w:rFonts w:hint="eastAsia" w:ascii="宋体" w:hAnsi="宋体" w:eastAsia="宋体" w:cs="宋体"/>
          <w:b/>
          <w:bCs/>
          <w:color w:val="auto"/>
          <w:spacing w:val="-1"/>
          <w:szCs w:val="24"/>
          <w:highlight w:val="none"/>
        </w:rPr>
        <w:t>7.6评标程序</w:t>
      </w:r>
      <w:bookmarkEnd w:id="26"/>
      <w:bookmarkEnd w:id="27"/>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pPr>
        <w:spacing w:line="500" w:lineRule="exact"/>
        <w:rPr>
          <w:rFonts w:hint="eastAsia" w:ascii="宋体" w:hAnsi="宋体" w:eastAsia="宋体" w:cs="宋体"/>
          <w:color w:val="auto"/>
          <w:szCs w:val="24"/>
          <w:highlight w:val="none"/>
        </w:rPr>
      </w:pPr>
    </w:p>
    <w:p>
      <w:pPr>
        <w:spacing w:line="500" w:lineRule="exact"/>
        <w:jc w:val="center"/>
        <w:outlineLvl w:val="1"/>
        <w:rPr>
          <w:rFonts w:hint="eastAsia" w:ascii="宋体" w:hAnsi="宋体" w:eastAsia="宋体" w:cs="宋体"/>
          <w:b/>
          <w:color w:val="auto"/>
          <w:szCs w:val="24"/>
          <w:highlight w:val="none"/>
        </w:rPr>
      </w:pPr>
      <w:bookmarkStart w:id="28" w:name="_Toc363474022"/>
      <w:bookmarkStart w:id="29" w:name="_Toc15564"/>
      <w:bookmarkStart w:id="30" w:name="_Toc7785"/>
      <w:bookmarkStart w:id="31" w:name="_Toc403077644"/>
      <w:bookmarkStart w:id="32" w:name="_Toc363473977"/>
      <w:r>
        <w:rPr>
          <w:rFonts w:hint="eastAsia" w:ascii="宋体" w:hAnsi="宋体" w:eastAsia="宋体" w:cs="宋体"/>
          <w:b/>
          <w:color w:val="auto"/>
          <w:szCs w:val="24"/>
          <w:highlight w:val="none"/>
        </w:rPr>
        <w:t>八、定标、中标通知</w:t>
      </w:r>
      <w:bookmarkEnd w:id="28"/>
      <w:bookmarkEnd w:id="29"/>
      <w:bookmarkEnd w:id="30"/>
      <w:bookmarkEnd w:id="31"/>
      <w:bookmarkEnd w:id="32"/>
    </w:p>
    <w:p>
      <w:pPr>
        <w:spacing w:line="500" w:lineRule="exact"/>
        <w:outlineLvl w:val="2"/>
        <w:rPr>
          <w:rFonts w:hint="eastAsia" w:ascii="宋体" w:hAnsi="宋体" w:eastAsia="宋体" w:cs="宋体"/>
          <w:b/>
          <w:color w:val="auto"/>
          <w:szCs w:val="24"/>
          <w:highlight w:val="none"/>
        </w:rPr>
      </w:pPr>
      <w:bookmarkStart w:id="33" w:name="_Toc31397"/>
      <w:bookmarkStart w:id="34" w:name="_Toc17765"/>
      <w:r>
        <w:rPr>
          <w:rFonts w:hint="eastAsia" w:ascii="宋体" w:hAnsi="宋体" w:eastAsia="宋体" w:cs="宋体"/>
          <w:b/>
          <w:color w:val="auto"/>
          <w:szCs w:val="24"/>
          <w:highlight w:val="none"/>
        </w:rPr>
        <w:t>8.1定标程序</w:t>
      </w:r>
      <w:bookmarkEnd w:id="33"/>
      <w:bookmarkEnd w:id="34"/>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8.1.1评标委员会根据评标方法的规定对供应商进行评审排序，推荐3名中标候选人，作为评标结果。评标结果由评标委员会成员签字确认。</w:t>
      </w:r>
    </w:p>
    <w:p>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8.1.2采购代理机构在评标结束后2个工作日内将评标报告送采购人。采购人应当在收到评标报告后5个工作日内，按照评标报告中推荐的中标候选人顺序和有关规定确定中标人。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8.1.4采购人也可以授权评标委员会评标后直接确定中标人。</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8.1.5中标人确定之后，中标结果将在财政部门指定的政府采购信息发布媒体上公告。</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8.1.6供应商或者其他利害关系人对评标结果有异议的，应当在法律规定的时间内提出。</w:t>
      </w:r>
    </w:p>
    <w:p>
      <w:pPr>
        <w:spacing w:line="500" w:lineRule="exact"/>
        <w:outlineLvl w:val="2"/>
        <w:rPr>
          <w:rFonts w:hint="eastAsia" w:ascii="宋体" w:hAnsi="宋体" w:eastAsia="宋体" w:cs="宋体"/>
          <w:b/>
          <w:color w:val="auto"/>
          <w:szCs w:val="24"/>
          <w:highlight w:val="none"/>
        </w:rPr>
      </w:pPr>
      <w:bookmarkStart w:id="35" w:name="_Toc25323"/>
      <w:bookmarkStart w:id="36" w:name="_Toc26443"/>
      <w:r>
        <w:rPr>
          <w:rFonts w:hint="eastAsia" w:ascii="宋体" w:hAnsi="宋体" w:eastAsia="宋体" w:cs="宋体"/>
          <w:b/>
          <w:color w:val="auto"/>
          <w:szCs w:val="24"/>
          <w:highlight w:val="none"/>
        </w:rPr>
        <w:t>8.2中标和落标通知</w:t>
      </w:r>
      <w:bookmarkEnd w:id="35"/>
      <w:bookmarkEnd w:id="36"/>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中标人领取中标通知书时须携带法定代表人授权书及加盖单位公章的被授权人身份证复印件。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8.2.2中标通知书对采购人和中标人具有同等法律效力。中标通知书发出之后，采购人改变中标结果，或者中标人放弃中标，应当承担相应的法律责任。</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8.2.3中标公告发布后，未中标供应商可致电采购代理机构获知本单位的评审得分与排序。</w:t>
      </w:r>
    </w:p>
    <w:p>
      <w:pPr>
        <w:spacing w:before="166" w:beforeLines="50" w:line="360" w:lineRule="auto"/>
        <w:jc w:val="center"/>
        <w:outlineLvl w:val="1"/>
        <w:rPr>
          <w:rFonts w:hint="eastAsia" w:ascii="宋体" w:hAnsi="宋体" w:eastAsia="宋体" w:cs="宋体"/>
          <w:b/>
          <w:bCs/>
          <w:color w:val="auto"/>
          <w:szCs w:val="24"/>
          <w:highlight w:val="none"/>
        </w:rPr>
      </w:pPr>
      <w:bookmarkStart w:id="37" w:name="_Toc23057"/>
      <w:bookmarkStart w:id="38" w:name="_Toc21272"/>
      <w:bookmarkStart w:id="39" w:name="_Toc32248"/>
      <w:r>
        <w:rPr>
          <w:rFonts w:hint="eastAsia" w:ascii="宋体" w:hAnsi="宋体" w:eastAsia="宋体" w:cs="宋体"/>
          <w:b/>
          <w:bCs/>
          <w:color w:val="auto"/>
          <w:szCs w:val="24"/>
          <w:highlight w:val="none"/>
        </w:rPr>
        <w:t>九、履约保证金</w:t>
      </w:r>
      <w:bookmarkEnd w:id="37"/>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在签订合同前，中标供应商应按供应商须知前附表规定的形式、金额和招标文件第三章“合同条款及格式”规定的或者事先经过采购人书面认可的履约保证金格式向采购人提交履约保证金。联合体成交的，其履约保证金以联合体各方或者联合体中牵头人的名义提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中标供应商不能按本章第9.1项要求提交履约保证金的，视为放弃成交，给采购人造成的损失的，中标供应商应当予以赔偿。</w:t>
      </w:r>
    </w:p>
    <w:p>
      <w:pPr>
        <w:spacing w:before="166" w:beforeLines="50" w:line="360" w:lineRule="auto"/>
        <w:jc w:val="center"/>
        <w:outlineLvl w:val="1"/>
        <w:rPr>
          <w:rFonts w:hint="eastAsia" w:ascii="宋体" w:hAnsi="宋体" w:eastAsia="宋体" w:cs="宋体"/>
          <w:b/>
          <w:bCs/>
          <w:color w:val="auto"/>
          <w:szCs w:val="24"/>
          <w:highlight w:val="none"/>
        </w:rPr>
      </w:pPr>
      <w:bookmarkStart w:id="40" w:name="_Toc28306"/>
      <w:bookmarkStart w:id="41" w:name="_Toc7005"/>
      <w:r>
        <w:rPr>
          <w:rFonts w:hint="eastAsia" w:ascii="宋体" w:hAnsi="宋体" w:eastAsia="宋体" w:cs="宋体"/>
          <w:b/>
          <w:bCs/>
          <w:color w:val="auto"/>
          <w:szCs w:val="24"/>
          <w:highlight w:val="none"/>
        </w:rPr>
        <w:t>十、合同</w:t>
      </w:r>
      <w:bookmarkEnd w:id="40"/>
      <w:r>
        <w:rPr>
          <w:rFonts w:hint="eastAsia" w:ascii="宋体" w:hAnsi="宋体" w:eastAsia="宋体" w:cs="宋体"/>
          <w:b/>
          <w:bCs/>
          <w:color w:val="auto"/>
          <w:szCs w:val="24"/>
          <w:highlight w:val="none"/>
        </w:rPr>
        <w:t>的签订</w:t>
      </w:r>
      <w:bookmarkEnd w:id="41"/>
    </w:p>
    <w:bookmarkEnd w:id="38"/>
    <w:bookmarkEnd w:id="39"/>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采购人不得向中标供应商提出任何不合理的要求作为签订合同的条件。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10.2中标供应商拒绝与采购人签订合同的，采购人可以按照评审报告推荐的中标候选供应商名单排序，确定下一候选供应商为中标供应商，也可以重新开展政府采购活动。</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10.3招标文件、中标供应商的投标文件、《中标通知书》及其澄清、说明文件、承诺等，均为签订采购合同的依据，作为采购合同的组成部分。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10.4政府采购合同应当包括采购人与中标供应商的名称和住所、标的、数量、质量、价款或者报酬、履行期限及地点和方式、验收要求、违约责任、解决争议的方法等内容。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10.5采购人自政府采购合同签订之日起2个工作日内，将政府采购合同在省级以上人民政府财政部门指定的媒体上公告，但政府采购合同中涉及国家秘密、商业秘密的内容除外。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10.6采购人与中标供应商应当根据合同的约定依法履行合同义务。政府采购合同的履行、违约责任和解决争议的方法等适用《中华人民共和国民法典》。</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10.7采购人应及时对采购项目进行验收。采购人可以邀请参加本项目的其他供应商或者第三方机构参与验收。参与验收的供应商或者第三方机构的意见作为验收书的参考资料一并存档。</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10.8采购人应当加强对中标供应商的履约管理，并按照采购合同约定，及时向中标供应商支付采购资金。对于中标供应商违反采购合同约定的行为，采购人应当及时处理，依法追究其违约责任。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10.9采购代理机构应当建立真实完整的招标采购档案，妥善保存每项采购活动的招标文件。</w:t>
      </w:r>
    </w:p>
    <w:p>
      <w:pPr>
        <w:spacing w:before="166" w:beforeLines="50" w:line="360" w:lineRule="auto"/>
        <w:jc w:val="center"/>
        <w:outlineLvl w:val="1"/>
        <w:rPr>
          <w:rFonts w:hint="eastAsia" w:ascii="宋体" w:hAnsi="宋体" w:eastAsia="宋体" w:cs="宋体"/>
          <w:b/>
          <w:bCs/>
          <w:color w:val="auto"/>
          <w:szCs w:val="24"/>
          <w:highlight w:val="none"/>
        </w:rPr>
      </w:pPr>
      <w:bookmarkStart w:id="42" w:name="_Toc22785"/>
      <w:bookmarkStart w:id="43" w:name="_Toc23244"/>
      <w:bookmarkStart w:id="44" w:name="_Toc1453"/>
      <w:r>
        <w:rPr>
          <w:rFonts w:hint="eastAsia" w:ascii="宋体" w:hAnsi="宋体" w:eastAsia="宋体" w:cs="宋体"/>
          <w:b/>
          <w:bCs/>
          <w:color w:val="auto"/>
          <w:szCs w:val="24"/>
          <w:highlight w:val="none"/>
        </w:rPr>
        <w:t>十一、质疑</w:t>
      </w:r>
      <w:bookmarkEnd w:id="42"/>
    </w:p>
    <w:bookmarkEnd w:id="43"/>
    <w:bookmarkEnd w:id="44"/>
    <w:p>
      <w:pPr>
        <w:widowControl w:val="0"/>
        <w:spacing w:line="500" w:lineRule="exact"/>
        <w:ind w:right="12"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11.1供应商认为招标文件、招标过程、中标结果使自己的权益受到损害的，可以在知道或者应知其权益受到损害之日起7个工作日内，以书面形式向采购人、采购代理机构提出质疑。</w:t>
      </w:r>
    </w:p>
    <w:p>
      <w:pPr>
        <w:widowControl w:val="0"/>
        <w:spacing w:line="500" w:lineRule="exact"/>
        <w:ind w:right="12" w:firstLine="480"/>
        <w:textAlignment w:val="auto"/>
        <w:rPr>
          <w:rStyle w:val="28"/>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11.2供应商必须在法定质疑期内一次性提出针对同一采购程序环节的质疑。</w:t>
      </w:r>
    </w:p>
    <w:p>
      <w:pPr>
        <w:widowControl w:val="0"/>
        <w:spacing w:line="500" w:lineRule="exact"/>
        <w:ind w:left="3" w:firstLine="518" w:firstLineChars="216"/>
        <w:textAlignment w:val="auto"/>
        <w:rPr>
          <w:rStyle w:val="28"/>
          <w:rFonts w:hint="eastAsia" w:ascii="宋体" w:hAnsi="宋体" w:eastAsia="宋体" w:cs="宋体"/>
          <w:b w:val="0"/>
          <w:color w:val="auto"/>
          <w:szCs w:val="24"/>
          <w:highlight w:val="none"/>
          <w:shd w:val="clear" w:color="auto" w:fill="FFFFFF"/>
        </w:rPr>
      </w:pPr>
      <w:r>
        <w:rPr>
          <w:rStyle w:val="28"/>
          <w:rFonts w:hint="eastAsia" w:ascii="宋体" w:hAnsi="宋体" w:eastAsia="宋体" w:cs="宋体"/>
          <w:b w:val="0"/>
          <w:color w:val="auto"/>
          <w:szCs w:val="24"/>
          <w:highlight w:val="none"/>
          <w:shd w:val="clear" w:color="auto" w:fill="FFFFFF"/>
        </w:rPr>
        <w:t>11.3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spacing w:line="500" w:lineRule="exact"/>
        <w:ind w:left="3" w:firstLine="518" w:firstLineChars="216"/>
        <w:textAlignment w:val="auto"/>
        <w:rPr>
          <w:rStyle w:val="28"/>
          <w:rFonts w:hint="eastAsia" w:ascii="宋体" w:hAnsi="宋体" w:eastAsia="宋体" w:cs="宋体"/>
          <w:b w:val="0"/>
          <w:color w:val="auto"/>
          <w:szCs w:val="24"/>
          <w:highlight w:val="none"/>
          <w:shd w:val="clear" w:color="auto" w:fill="FFFFFF"/>
        </w:rPr>
      </w:pPr>
      <w:r>
        <w:rPr>
          <w:rStyle w:val="28"/>
          <w:rFonts w:hint="eastAsia" w:ascii="宋体" w:hAnsi="宋体" w:eastAsia="宋体" w:cs="宋体"/>
          <w:b w:val="0"/>
          <w:color w:val="auto"/>
          <w:szCs w:val="24"/>
          <w:highlight w:val="none"/>
          <w:shd w:val="clear" w:color="auto" w:fill="FFFFFF"/>
        </w:rPr>
        <w:t>11.4以联合体形式参加政府采购活动的，其质疑应当由组成联合体的所有供应商共同提出。</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11.5供应商提出质疑应当提交质疑函和必要的证明材料。质疑函应当包括下列内容：</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11.5.1供应商的姓名或者名称、地址、邮编、联系人及联系电话；</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11.5.2质疑项目的名称、编号；</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11.5.3具体、明确的质疑事项和与质疑事项相关的请求；</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11.5.4事实依据；</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11.5.5必要的法律依据；</w:t>
      </w:r>
    </w:p>
    <w:p>
      <w:pPr>
        <w:widowControl w:val="0"/>
        <w:spacing w:line="500" w:lineRule="exact"/>
        <w:ind w:right="12" w:firstLine="480" w:firstLineChars="200"/>
        <w:textAlignment w:val="auto"/>
        <w:rPr>
          <w:rStyle w:val="2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11.5.6提出质疑的日期。</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11.6有下列情形之一的，属于无效质疑，采购代理机构和采购人不予受理：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11.6.1质疑供应商不是参与本次政府采购项目的供应商；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11.6.2质疑供应商与质疑事项不存在利害关系的；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11.6.3未在法定期限内提出质疑的；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11.6.4质疑未以书面形式提出，或质疑函主要内容构成不完整的；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11.6.5应当提交授权书而未提交的；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11.6.6以非法手段取得证据、材料的；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11.6.7质疑答复后，同一质疑人就同一事项或同一采购程序环节再次提出质疑的；</w:t>
      </w:r>
    </w:p>
    <w:p>
      <w:pPr>
        <w:spacing w:line="500" w:lineRule="exact"/>
        <w:ind w:firstLine="480" w:firstLineChars="200"/>
        <w:rPr>
          <w:rStyle w:val="2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11.6.8不符合法律、法规、规章和政府采购监管机构规定的其他条件的。</w:t>
      </w:r>
    </w:p>
    <w:p>
      <w:pPr>
        <w:widowControl w:val="0"/>
        <w:spacing w:line="500" w:lineRule="exact"/>
        <w:ind w:right="12"/>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11.7质疑答复</w:t>
      </w:r>
    </w:p>
    <w:p>
      <w:pPr>
        <w:pStyle w:val="287"/>
        <w:widowControl w:val="0"/>
        <w:spacing w:line="500" w:lineRule="exact"/>
        <w:ind w:firstLine="48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11.7.1采购人或采购代理机构在收到质疑函后7个工作日内作出答复，并以书面形式通知质疑供应商和其他有关供应商。</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11.7.2质疑供应商对采购人、采购代理机构的答复不满意，或者采购人、采购代理机构未在规定时间内作出答复的，可以在答复期满后15个工作日内向同级人民政府财政部门提起投诉。</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11.8其他需要说明的事项</w:t>
      </w:r>
    </w:p>
    <w:p>
      <w:pPr>
        <w:pStyle w:val="287"/>
        <w:widowControl w:val="0"/>
        <w:wordWrap w:val="0"/>
        <w:spacing w:line="500" w:lineRule="exact"/>
        <w:ind w:firstLine="482"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11.8.1质疑函须按财政部《质疑函范本》给定的格式进行填写，范本下载详见【财政部国库司（gks.mof.gov.cn）】网站〖首页·政府采购管理〗栏目中的《政府采购供应商质疑函范本》。《政府采购供应商质疑函范本》链接地址：http://gks.mof.gov.cn/ztztz/zhengfucaigouguanli/201802/t20180201_2804589.htm。</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11.8.2接收质疑函的方式：书面形式</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11.8.3联系部门：陕西同创启辰项目管理有限公司招标部</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11.8.4联系电话：见供应商须知前附表</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11.8.5通讯地址：</w:t>
      </w:r>
      <w:bookmarkStart w:id="45" w:name="_Toc26710"/>
      <w:r>
        <w:rPr>
          <w:rFonts w:hint="eastAsia" w:ascii="宋体" w:hAnsi="宋体" w:eastAsia="宋体" w:cs="宋体"/>
          <w:color w:val="auto"/>
          <w:szCs w:val="24"/>
          <w:highlight w:val="none"/>
        </w:rPr>
        <w:t>陕西省咸阳市渭城区东风路15号亨星锦绣城C座3层3号</w:t>
      </w:r>
    </w:p>
    <w:p>
      <w:pPr>
        <w:widowControl w:val="0"/>
        <w:spacing w:before="166" w:beforeLines="50" w:line="360" w:lineRule="auto"/>
        <w:jc w:val="center"/>
        <w:textAlignment w:val="auto"/>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十二、落实政府采购政策</w:t>
      </w:r>
      <w:bookmarkEnd w:id="45"/>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12.1根据《政府采购促进中小企业发展管理办法》（财库〔2020〕46号）的有关规定，在货物采购项目中，货物由小微企业制造，即货物由小微企业生产且使用该小微企业商号或者注册商标； 在工程采购项目中，工程由小微企业承建，即工程施工单位为小微企业； 在服务采购项目中，服务由小微企业承接，即提供服务的人员为小微企业依照《中华人民共和国劳动合同法》订立劳动合同的从业人员，则参与政府采购活动时，货物和服务项目对小型和微型企业产品的价格给予10%-20%的价格扣除，工程项目给予3%-5%的价格扣除，用扣除后的价格参与评审。</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在货物采购项目中，供应商提供的货物既有小微企业制造货物，也有大型、中型企业制造货物的，不享受政府采购价格扣除优惠政策。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参加政府采购活动的中小企业应提供《中小企业声明函》原件。未提供上述声明函原件的，不能享受招标文件规定的价格扣除，但不影响投标文件的有效性。实际价格扣除比例以本章组织评标中的约定为准。</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12.2监狱企业应符合《财政部 司法部关于政府采购支持监狱企业发展有关问题的通知》（财库〔2014〕68号）文件规定，并提供由省级以上监狱管理局、戒毒管理局(含新疆生产建设兵团)出具的属于监狱企业的证明文件。未提相关属于监狱企业的证明文件的，不能享受招标文件规定的价格扣除，但不影响投标文件的有效性。</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在政府采购活动中，监狱企业视同小型、微型企业，享受预留份额、评审中价格扣除等政府采购促进中小企业发展的政府采购政策。向监狱企业采购的金额，计入面向中小企业采购的统计数据。</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参加政府采购活动的残疾人单位应提供《残疾人福利性单位声明函》原件。未提供上述声明函原件，不能享受招标文件规定的价格扣除，但不影响投标文件的有效性。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根据国务院办公厅《关于建立政府强制采购节能产品制度的通知》（国办发〔2007〕51号）的有关规定，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12.6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12.7根据财政部、国家发改委、生态环境部、市场监管总局联合印发《关于调整优化节能产品、环境标志产品政府采购执行机制的通知》（财库〔2019〕9号）的有关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12.8根据财政部 农业农村部 国家乡村振兴局《关于运用政府采购政策支持乡村产业振兴的通知》（财库〔2021〕19 号）的有关规定，自2021年起，各级预算单位应当按照不低于10%的比例预留年度食堂食材采购份额，通过脱贫地区农副产品网络销售平台（原贫困地区农副产品网络销售平台）采购脱贫地区农副产品。脱贫地区农副产品是指在832个脱贫县域内注册的企业、农民专业合作社、家庭农场等出产的农副产品。</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12.9根据财政部 农业农村部 国家乡村振兴局 中华全国供销合作总社《关于印发&lt;关于深入开展政府采购脱贫地区农副产品工作推进乡村产业振兴的实施意见&gt;的通知》（财库〔2021〕20号）的有关规定，各级预算单位要按照不低于 10%的预留比例在“832 平台”填报预留份额。鼓励各级预算单位工会组织通过“832 平台”采购工会福利、慰问品等，有关采购金额计入本单位年度采购总额。</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12.10根据《陕西省财政厅关于进一步加强政府绿色采购有关问题的通知》（陕财办采〔2021〕29号）的有关规定，采购人使用财政性资金进行政府采购活动时，在技术、服务等满足采购需求的前提下，应当优先采购节能产品、环境标志产品。产品采购品目清单按照《关于印发环境标志产品政府采购品目清单的通知》（财库〔2019〕18号）、《关于印发节能产品政府采购品目清单的通知》（财库〔2019〕19号）执行。财政部、发展改革委、生态环境部等部门对品目清单进行调整的，按照最新调整的品目清单执行。二是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12.11根据《财政部关于在政府采购活动中落实平等对待内外资企业有关政策的通知》（财库〔2021〕35号）的有关规定，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12.11根据陕西省财政厅关于印发《陕西省中小企业政府采购信用融资办法》（陕财办采〔2018〕23号）的有关规定，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12.12 根据陕西省财政厅《关于加快推进我省中小企业政府采购信用融资工作的通知》（陕财办采〔2020〕15号）的规定，有融资需求的供应商可根据自身情况，在陕西省政府采购信用融资平台（含各市分平台）自主选择金融机构及其融资产品，凭政府采购中标（成交）通知书或政府采购合同向金融机构提出融资申请。</w:t>
      </w:r>
    </w:p>
    <w:p>
      <w:pPr>
        <w:spacing w:before="166" w:beforeLines="50" w:line="360" w:lineRule="auto"/>
        <w:jc w:val="center"/>
        <w:outlineLvl w:val="1"/>
        <w:rPr>
          <w:rFonts w:hint="eastAsia" w:ascii="宋体" w:hAnsi="宋体" w:eastAsia="宋体" w:cs="宋体"/>
          <w:b/>
          <w:bCs/>
          <w:color w:val="auto"/>
          <w:szCs w:val="24"/>
          <w:highlight w:val="none"/>
        </w:rPr>
      </w:pPr>
      <w:bookmarkStart w:id="46" w:name="_Toc28684"/>
      <w:r>
        <w:rPr>
          <w:rFonts w:hint="eastAsia" w:ascii="宋体" w:hAnsi="宋体" w:eastAsia="宋体" w:cs="宋体"/>
          <w:b/>
          <w:bCs/>
          <w:color w:val="auto"/>
          <w:szCs w:val="24"/>
          <w:highlight w:val="none"/>
        </w:rPr>
        <w:t>十三、其他</w:t>
      </w:r>
      <w:bookmarkEnd w:id="46"/>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13.1评标委员会发现招标文件存在歧义、重大缺陷导致评标工作无 法进行，或者招标文件内容违反国家有关强制性规定的，应当停止评标工 作，与采购人或者采购代理机构沟通并作书面记录。采购人或者采购代理机构确认后，应当修改招标文件，重新组 织采购活动。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13.2根据《中华人民共和国政府采购法》第三十六条规定，在招标采购中，出现下 列情形之一的，本项目按废标处理：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（1）出现影响采购公正的违法、违规行为的；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（2）供应商的报价均超过了采购预算，采购人不能支付的；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（3）因重大变故，采购任务取消的。 废标后，由采购代理机构发布废标公告。除采购任务 取消外，本项目将重新组织招标。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13.3在递交投标文件阶段、资格审查阶段以及评标委员会评标阶段，当出现有效投标供应商不足3 家时，除采购任务取消外，按照以下方式处理：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（1）招标文件存在不合理条款或者招标程序不符合规定的，采购人、采 购代理机构改正后依法重新招标；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（2）招标文件没有不合理条款、招标程序符合规定，需要采用其他采购 方式采购的，采购人应当依法报财政部门批准。</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13.4采购代理机构应当采取必要措施，保证评标在严格保密的情况下进行。除采购人代表、评标现场组织人员外，采购人的其他工作人员以 及与评标工作无关的人员不得进入评标现场。 有关人员对评标情况以及在评标过程中获悉的国家秘密、商业秘密负 有保密责任。   </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13.5招标文件未明确的其他事项，按《中华人民共和国政府采购法》及其相关法律 法规执行。</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 废标的情形</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13.6.1招标采购中，出现下列情形之一的，应予以废标：</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（1）符合专业条件的供应商或者对招标文件作实质响应的供应商不足3家的；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（3）供应商的报价均超过了采购预算，采购人不能支付的；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（4）因重大变故，采购任务取消的。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13.6.2废标后，采购代理机构应在财政部门指定采购网上公告，并公告废标的详细理由。</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13.7变更采购方式</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13.7.1存在下列情形之一的，除采购任务取消情形外，采购人经同级财政部门同意后，可按《政府采购货物和服务招标投标管理办法》（财政部87号令）第四十三条规定的方式处理：</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（1）投标截止后参加投标的人不足3家的；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（2）通过资格审查的供应商不足3家的；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（3）通过符合性审查的供应商不足3家的。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13.7.2通过符合性审查的供应商只有2家时，采购人经同级财政部门同意后，可以按《政府采购非招标采购方式管理办法》（财政部第74号令）的规定与该2家供应商进行竞争性谈判采购。</w:t>
      </w:r>
    </w:p>
    <w:p>
      <w:pPr>
        <w:spacing w:before="166" w:beforeLines="50" w:line="360" w:lineRule="auto"/>
        <w:jc w:val="center"/>
        <w:outlineLvl w:val="1"/>
        <w:rPr>
          <w:rFonts w:hint="eastAsia" w:ascii="宋体" w:hAnsi="宋体" w:eastAsia="宋体" w:cs="宋体"/>
          <w:b/>
          <w:bCs/>
          <w:color w:val="auto"/>
          <w:szCs w:val="24"/>
          <w:highlight w:val="none"/>
        </w:rPr>
      </w:pPr>
      <w:bookmarkStart w:id="47" w:name="_Toc19638"/>
      <w:r>
        <w:rPr>
          <w:rFonts w:hint="eastAsia" w:ascii="宋体" w:hAnsi="宋体" w:eastAsia="宋体" w:cs="宋体"/>
          <w:b/>
          <w:bCs/>
          <w:color w:val="auto"/>
          <w:szCs w:val="24"/>
          <w:highlight w:val="none"/>
        </w:rPr>
        <w:t>十四、需要补充的其他内容</w:t>
      </w:r>
      <w:bookmarkEnd w:id="47"/>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需要补充的其他内容：见供应商须知前附表。</w:t>
      </w:r>
    </w:p>
    <w:p>
      <w:pPr>
        <w:jc w:val="center"/>
        <w:outlineLvl w:val="0"/>
        <w:rPr>
          <w:rStyle w:val="35"/>
          <w:rFonts w:hint="eastAsia" w:ascii="宋体" w:hAnsi="宋体" w:eastAsia="宋体" w:cs="宋体"/>
          <w:b/>
          <w:bCs/>
          <w:color w:val="auto"/>
          <w:sz w:val="40"/>
          <w:szCs w:val="40"/>
          <w:highlight w:val="none"/>
        </w:rPr>
      </w:pPr>
      <w:r>
        <w:rPr>
          <w:rStyle w:val="35"/>
          <w:rFonts w:hint="eastAsia" w:ascii="宋体" w:hAnsi="宋体" w:eastAsia="宋体" w:cs="宋体"/>
          <w:b/>
          <w:bCs/>
          <w:color w:val="auto"/>
          <w:szCs w:val="24"/>
          <w:highlight w:val="none"/>
        </w:rPr>
        <w:br w:type="page"/>
      </w:r>
      <w:bookmarkStart w:id="48" w:name="_Toc12310"/>
      <w:r>
        <w:rPr>
          <w:rStyle w:val="35"/>
          <w:rFonts w:hint="eastAsia" w:ascii="宋体" w:hAnsi="宋体" w:eastAsia="宋体" w:cs="宋体"/>
          <w:b/>
          <w:bCs/>
          <w:color w:val="auto"/>
          <w:sz w:val="40"/>
          <w:szCs w:val="40"/>
          <w:highlight w:val="none"/>
        </w:rPr>
        <w:t>第三章 合同条款及格式</w:t>
      </w:r>
      <w:bookmarkEnd w:id="48"/>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mc:AlternateContent>
          <mc:Choice Requires="wps">
            <w:drawing>
              <wp:anchor distT="0" distB="0" distL="114300" distR="114300" simplePos="0" relativeHeight="251660288" behindDoc="1" locked="0" layoutInCell="1" allowOverlap="1">
                <wp:simplePos x="0" y="0"/>
                <wp:positionH relativeFrom="page">
                  <wp:posOffset>899160</wp:posOffset>
                </wp:positionH>
                <wp:positionV relativeFrom="paragraph">
                  <wp:posOffset>244475</wp:posOffset>
                </wp:positionV>
                <wp:extent cx="5863590" cy="1697990"/>
                <wp:effectExtent l="4445" t="4445" r="14605" b="19685"/>
                <wp:wrapTopAndBottom/>
                <wp:docPr id="4" name="文本框 22"/>
                <wp:cNvGraphicFramePr/>
                <a:graphic xmlns:a="http://schemas.openxmlformats.org/drawingml/2006/main">
                  <a:graphicData uri="http://schemas.microsoft.com/office/word/2010/wordprocessingShape">
                    <wps:wsp>
                      <wps:cNvSpPr txBox="1"/>
                      <wps:spPr>
                        <a:xfrm>
                          <a:off x="0" y="0"/>
                          <a:ext cx="5863590" cy="1697990"/>
                        </a:xfrm>
                        <a:prstGeom prst="rect">
                          <a:avLst/>
                        </a:prstGeom>
                        <a:noFill/>
                        <a:ln w="6096" cap="flat" cmpd="sng">
                          <a:solidFill>
                            <a:srgbClr val="000000"/>
                          </a:solidFill>
                          <a:prstDash val="solid"/>
                          <a:miter/>
                          <a:headEnd type="none" w="med" len="med"/>
                          <a:tailEnd type="none" w="med" len="med"/>
                        </a:ln>
                      </wps:spPr>
                      <wps:txbx>
                        <w:txbxContent>
                          <w:p>
                            <w:pPr>
                              <w:pStyle w:val="34"/>
                              <w:spacing w:before="123"/>
                              <w:ind w:firstLine="210" w:firstLineChars="100"/>
                              <w:rPr>
                                <w:rStyle w:val="35"/>
                                <w:rFonts w:ascii="仿宋" w:hAnsi="仿宋" w:eastAsia="仿宋"/>
                              </w:rPr>
                            </w:pPr>
                            <w:r>
                              <w:rPr>
                                <w:rStyle w:val="35"/>
                                <w:rFonts w:ascii="仿宋" w:hAnsi="仿宋" w:eastAsia="仿宋"/>
                              </w:rPr>
                              <w:t>注释：</w:t>
                            </w:r>
                          </w:p>
                          <w:p>
                            <w:pPr>
                              <w:pStyle w:val="34"/>
                              <w:spacing w:before="84" w:line="364" w:lineRule="auto"/>
                              <w:ind w:left="102" w:right="102" w:firstLine="480"/>
                              <w:rPr>
                                <w:rStyle w:val="35"/>
                                <w:rFonts w:ascii="仿宋" w:hAnsi="仿宋" w:eastAsia="仿宋"/>
                              </w:rPr>
                            </w:pPr>
                            <w:r>
                              <w:rPr>
                                <w:rStyle w:val="35"/>
                                <w:rFonts w:ascii="仿宋" w:hAnsi="仿宋" w:eastAsia="仿宋"/>
                              </w:rPr>
                              <w:t>本格式条款仅作为双方签订合同的参考，为阐明各方的权利和义务，经协商可增加新的条款。合同的标的、价款、付款方式、质量、履行期限等主要条款应当与招标文件和中标供应商的投标文件的内容一致，采购人和中标供应商不得再行订立背离合同实质性内容的其他协议。</w:t>
                            </w:r>
                          </w:p>
                          <w:p>
                            <w:pPr>
                              <w:rPr>
                                <w:rStyle w:val="35"/>
                              </w:rPr>
                            </w:pPr>
                          </w:p>
                        </w:txbxContent>
                      </wps:txbx>
                      <wps:bodyPr lIns="0" tIns="0" rIns="0" bIns="0" upright="1"/>
                    </wps:wsp>
                  </a:graphicData>
                </a:graphic>
              </wp:anchor>
            </w:drawing>
          </mc:Choice>
          <mc:Fallback>
            <w:pict>
              <v:shape id="文本框 22" o:spid="_x0000_s1026" o:spt="202" type="#_x0000_t202" style="position:absolute;left:0pt;margin-left:70.8pt;margin-top:19.25pt;height:133.7pt;width:461.7pt;mso-position-horizontal-relative:page;mso-wrap-distance-bottom:0pt;mso-wrap-distance-top:0pt;z-index:-251656192;mso-width-relative:page;mso-height-relative:page;" filled="f" stroked="t" coordsize="21600,21600" o:gfxdata="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fkgD1gAAAAsBAAAPAAAAAAAA&#10;AAEAIAAAACIAAABkcnMvZG93bnJldi54bWxQSwECFAAUAAAACACHTuJArIxw6RQCAAAzBAAADgAA&#10;AAAAAAABACAAAAAlAQAAZHJzL2Uyb0RvYy54bWxQSwUGAAAAAAYABgBZAQAAqwUAAAAA&#10;">
                <v:fill on="f" focussize="0,0"/>
                <v:stroke weight="0.48pt" color="#000000" joinstyle="miter"/>
                <v:imagedata o:title=""/>
                <o:lock v:ext="edit" aspectratio="f"/>
                <v:textbox inset="0mm,0mm,0mm,0mm">
                  <w:txbxContent>
                    <w:p>
                      <w:pPr>
                        <w:pStyle w:val="34"/>
                        <w:spacing w:before="123"/>
                        <w:ind w:firstLine="210" w:firstLineChars="100"/>
                        <w:rPr>
                          <w:rStyle w:val="35"/>
                          <w:rFonts w:ascii="仿宋" w:hAnsi="仿宋" w:eastAsia="仿宋"/>
                        </w:rPr>
                      </w:pPr>
                      <w:r>
                        <w:rPr>
                          <w:rStyle w:val="35"/>
                          <w:rFonts w:ascii="仿宋" w:hAnsi="仿宋" w:eastAsia="仿宋"/>
                        </w:rPr>
                        <w:t>注释：</w:t>
                      </w:r>
                    </w:p>
                    <w:p>
                      <w:pPr>
                        <w:pStyle w:val="34"/>
                        <w:spacing w:before="84" w:line="364" w:lineRule="auto"/>
                        <w:ind w:left="102" w:right="102" w:firstLine="480"/>
                        <w:rPr>
                          <w:rStyle w:val="35"/>
                          <w:rFonts w:ascii="仿宋" w:hAnsi="仿宋" w:eastAsia="仿宋"/>
                        </w:rPr>
                      </w:pPr>
                      <w:r>
                        <w:rPr>
                          <w:rStyle w:val="35"/>
                          <w:rFonts w:ascii="仿宋" w:hAnsi="仿宋" w:eastAsia="仿宋"/>
                        </w:rPr>
                        <w:t>本格式条款仅作为双方签订合同的参考，为阐明各方的权利和义务，经协商可增加新的条款。合同的标的、价款、付款方式、质量、履行期限等主要条款应当与招标文件和中标供应商的投标文件的内容一致，采购人和中标供应商不得再行订立背离合同实质性内容的其他协议。</w:t>
                      </w:r>
                    </w:p>
                    <w:p>
                      <w:pPr>
                        <w:rPr>
                          <w:rStyle w:val="35"/>
                        </w:rPr>
                      </w:pPr>
                    </w:p>
                  </w:txbxContent>
                </v:textbox>
                <w10:wrap type="topAndBottom"/>
              </v:shape>
            </w:pict>
          </mc:Fallback>
        </mc:AlternateConten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720" w:firstLineChars="200"/>
        <w:rPr>
          <w:rStyle w:val="35"/>
          <w:rFonts w:hint="eastAsia" w:ascii="宋体" w:hAnsi="宋体" w:eastAsia="宋体" w:cs="宋体"/>
          <w:color w:val="auto"/>
          <w:sz w:val="36"/>
          <w:szCs w:val="36"/>
          <w:highlight w:val="none"/>
        </w:rPr>
      </w:pPr>
    </w:p>
    <w:p>
      <w:pPr>
        <w:spacing w:line="500" w:lineRule="exact"/>
        <w:ind w:firstLine="480" w:firstLineChars="200"/>
        <w:rPr>
          <w:rStyle w:val="35"/>
          <w:rFonts w:hint="eastAsia" w:ascii="宋体" w:hAnsi="宋体" w:eastAsia="宋体" w:cs="宋体"/>
          <w:color w:val="auto"/>
          <w:szCs w:val="24"/>
          <w:highlight w:val="none"/>
        </w:rPr>
      </w:pPr>
    </w:p>
    <w:p>
      <w:pPr>
        <w:rPr>
          <w:rStyle w:val="35"/>
          <w:rFonts w:hint="eastAsia" w:ascii="宋体" w:hAnsi="宋体" w:eastAsia="宋体" w:cs="宋体"/>
          <w:b/>
          <w:bCs/>
          <w:color w:val="auto"/>
          <w:szCs w:val="24"/>
          <w:highlight w:val="none"/>
        </w:rPr>
      </w:pPr>
    </w:p>
    <w:p>
      <w:pPr>
        <w:rPr>
          <w:rStyle w:val="35"/>
          <w:rFonts w:hint="eastAsia" w:ascii="宋体" w:hAnsi="宋体" w:eastAsia="宋体" w:cs="宋体"/>
          <w:b/>
          <w:bCs/>
          <w:color w:val="auto"/>
          <w:szCs w:val="24"/>
          <w:highlight w:val="none"/>
        </w:rPr>
      </w:pPr>
    </w:p>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p>
    <w:p>
      <w:pPr>
        <w:adjustRightInd w:val="0"/>
        <w:snapToGrid w:val="0"/>
        <w:spacing w:line="360" w:lineRule="auto"/>
        <w:jc w:val="center"/>
        <w:rPr>
          <w:rFonts w:hint="eastAsia" w:ascii="宋体" w:hAnsi="宋体" w:eastAsia="宋体" w:cs="宋体"/>
          <w:b/>
          <w:bCs/>
          <w:color w:val="auto"/>
          <w:sz w:val="36"/>
          <w:szCs w:val="24"/>
          <w:highlight w:val="none"/>
        </w:rPr>
      </w:pPr>
      <w:r>
        <w:rPr>
          <w:rFonts w:hint="eastAsia" w:ascii="宋体" w:hAnsi="宋体" w:eastAsia="宋体" w:cs="宋体"/>
          <w:b/>
          <w:bCs/>
          <w:color w:val="auto"/>
          <w:sz w:val="36"/>
          <w:szCs w:val="24"/>
          <w:highlight w:val="none"/>
        </w:rPr>
        <w:t>采购合同范本</w:t>
      </w:r>
    </w:p>
    <w:p>
      <w:pPr>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（合同示范文件如下，最终以实际签订版本为准）</w:t>
      </w:r>
    </w:p>
    <w:p>
      <w:pPr>
        <w:pStyle w:val="2"/>
        <w:rPr>
          <w:rFonts w:hint="eastAsia" w:ascii="宋体" w:hAnsi="宋体" w:eastAsia="宋体" w:cs="宋体"/>
          <w:color w:val="auto"/>
          <w:highlight w:val="none"/>
        </w:rPr>
      </w:pPr>
    </w:p>
    <w:p>
      <w:pPr>
        <w:widowControl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采购人（全称）：                                  </w:t>
      </w:r>
    </w:p>
    <w:p>
      <w:pPr>
        <w:widowControl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供应商（全称）：         </w:t>
      </w:r>
      <w:r>
        <w:rPr>
          <w:rFonts w:hint="eastAsia" w:ascii="宋体" w:hAnsi="宋体" w:eastAsia="宋体" w:cs="宋体"/>
          <w:color w:val="auto"/>
          <w:highlight w:val="none"/>
        </w:rPr>
        <w:t xml:space="preserve">                         </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根据</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的采购结果，按照《中华人民共和国民法典》及其他有关法律、法规，遵循平等、自愿、公平和诚信的原则，双方就下述项目范围与相关服务事项协商一致，订立本合同。</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一、项目概况</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二、组成本合同的文件</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1、中标通知书、招标文件、投标文件、澄清、补充文件；</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2、相关服务建议书；</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3、本合同签订后，双方依法签订的补充协议也是本合同文件的组成部分。</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三、合同总价</w:t>
      </w:r>
    </w:p>
    <w:p>
      <w:pPr>
        <w:widowControl w:val="0"/>
        <w:adjustRightInd w:val="0"/>
        <w:snapToGrid w:val="0"/>
        <w:spacing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合同总价</w:t>
      </w: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合同总价即中标价</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不受市场价变化的影响</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若因</w:t>
      </w:r>
      <w:r>
        <w:rPr>
          <w:rFonts w:hint="eastAsia" w:ascii="宋体" w:hAnsi="宋体" w:eastAsia="宋体" w:cs="宋体"/>
          <w:color w:val="auto"/>
          <w:szCs w:val="24"/>
          <w:highlight w:val="none"/>
        </w:rPr>
        <w:t>实际工作量变化</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采购人有权调整货物种类及数量，调整部分据实结算，但不能超出项目预算价格</w:t>
      </w:r>
      <w:r>
        <w:rPr>
          <w:rFonts w:hint="eastAsia" w:ascii="宋体" w:hAnsi="宋体" w:eastAsia="宋体" w:cs="宋体"/>
          <w:color w:val="auto"/>
          <w:szCs w:val="24"/>
          <w:highlight w:val="none"/>
        </w:rPr>
        <w:t>。合同价格为含税价，包括但不限于设备费、安装调试费、运输费、人工费、其他费用等本项目包含的全部费用。</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附分项清单：</w:t>
      </w:r>
    </w:p>
    <w:tbl>
      <w:tblPr>
        <w:tblStyle w:val="2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17"/>
        <w:gridCol w:w="963"/>
        <w:gridCol w:w="1275"/>
        <w:gridCol w:w="1125"/>
        <w:gridCol w:w="1080"/>
        <w:gridCol w:w="129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894"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7"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963"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275"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125"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080"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1290"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116"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760" w:type="dxa"/>
            <w:gridSpan w:val="8"/>
            <w:vAlign w:val="center"/>
          </w:tcPr>
          <w:p>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t>合计金额：¥          万元；     大写：</w:t>
            </w:r>
          </w:p>
        </w:tc>
      </w:tr>
    </w:tbl>
    <w:p>
      <w:pPr>
        <w:adjustRightInd w:val="0"/>
        <w:snapToGrid w:val="0"/>
        <w:spacing w:line="56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注：此表应与招标文件、投标文件内容一致。</w:t>
      </w:r>
    </w:p>
    <w:p>
      <w:pPr>
        <w:widowControl w:val="0"/>
        <w:spacing w:line="360" w:lineRule="auto"/>
        <w:textAlignment w:val="auto"/>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四、结算方式：</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（1）结算单位：银行转账，由采购人以人民币负责结算。 </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（2）付款方式：</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Hans"/>
        </w:rPr>
        <w:t>）</w:t>
      </w:r>
      <w:r>
        <w:rPr>
          <w:rFonts w:hint="eastAsia" w:ascii="宋体" w:hAnsi="宋体" w:eastAsia="宋体" w:cs="宋体"/>
          <w:color w:val="auto"/>
          <w:szCs w:val="24"/>
          <w:highlight w:val="none"/>
        </w:rPr>
        <w:t>供应商按采购人的交货清单要求提供相应的货物后，供应商应根据采购人需要提供等额正规发票给采购人，</w:t>
      </w:r>
      <w:r>
        <w:rPr>
          <w:rFonts w:hint="eastAsia" w:ascii="宋体" w:hAnsi="宋体" w:eastAsia="宋体" w:cs="宋体"/>
          <w:color w:val="auto"/>
          <w:szCs w:val="24"/>
          <w:highlight w:val="none"/>
          <w:lang w:eastAsia="zh-Hans"/>
        </w:rPr>
        <w:t>并</w:t>
      </w:r>
      <w:r>
        <w:rPr>
          <w:rFonts w:hint="eastAsia" w:ascii="宋体" w:hAnsi="宋体" w:eastAsia="宋体" w:cs="宋体"/>
          <w:color w:val="auto"/>
          <w:szCs w:val="24"/>
          <w:highlight w:val="none"/>
        </w:rPr>
        <w:t>附详细清单。</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Hans"/>
        </w:rPr>
        <w:t>）</w:t>
      </w:r>
      <w:r>
        <w:rPr>
          <w:rFonts w:hint="eastAsia" w:ascii="宋体" w:hAnsi="宋体" w:eastAsia="宋体" w:cs="宋体"/>
          <w:color w:val="auto"/>
          <w:szCs w:val="24"/>
          <w:highlight w:val="none"/>
        </w:rPr>
        <w:t>甲方收到发票后10日内支付</w:t>
      </w:r>
      <w:r>
        <w:rPr>
          <w:rFonts w:hint="eastAsia" w:ascii="宋体" w:hAnsi="宋体" w:eastAsia="宋体" w:cs="宋体"/>
          <w:color w:val="auto"/>
          <w:szCs w:val="24"/>
          <w:highlight w:val="none"/>
          <w:lang w:eastAsia="zh-Hans"/>
        </w:rPr>
        <w:t>全部</w:t>
      </w:r>
      <w:r>
        <w:rPr>
          <w:rFonts w:hint="eastAsia" w:ascii="宋体" w:hAnsi="宋体" w:eastAsia="宋体" w:cs="宋体"/>
          <w:color w:val="auto"/>
          <w:szCs w:val="24"/>
          <w:highlight w:val="none"/>
        </w:rPr>
        <w:t>货款。</w:t>
      </w:r>
    </w:p>
    <w:p>
      <w:pPr>
        <w:widowControl w:val="0"/>
        <w:adjustRightInd w:val="0"/>
        <w:snapToGrid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五、交货地点及交货期</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1、交货地点：采购人指定地点</w:t>
      </w:r>
    </w:p>
    <w:p>
      <w:pPr>
        <w:pStyle w:val="22"/>
        <w:spacing w:beforeAutospacing="0" w:afterAutospacing="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2、交货期：</w:t>
      </w:r>
      <w:r>
        <w:rPr>
          <w:rFonts w:hint="eastAsia" w:ascii="宋体" w:hAnsi="宋体" w:eastAsia="宋体" w:cs="宋体"/>
          <w:color w:val="auto"/>
          <w:szCs w:val="24"/>
          <w:highlight w:val="none"/>
          <w:shd w:val="clear" w:color="auto" w:fill="FFFFFF"/>
          <w:lang w:bidi="ar"/>
        </w:rPr>
        <w:t>合同签订后5个日历日内</w:t>
      </w:r>
    </w:p>
    <w:p>
      <w:pPr>
        <w:widowControl w:val="0"/>
        <w:spacing w:line="360" w:lineRule="auto"/>
        <w:textAlignment w:val="auto"/>
        <w:rPr>
          <w:rFonts w:hint="eastAsia" w:ascii="宋体" w:hAnsi="宋体" w:eastAsia="宋体" w:cs="宋体"/>
          <w:b/>
          <w:bCs/>
          <w:color w:val="auto"/>
          <w:szCs w:val="24"/>
          <w:highlight w:val="none"/>
        </w:rPr>
      </w:pPr>
      <w:r>
        <w:rPr>
          <w:rFonts w:hint="eastAsia" w:ascii="宋体" w:hAnsi="宋体" w:eastAsia="宋体" w:cs="宋体"/>
          <w:b/>
          <w:bCs/>
          <w:color w:val="auto"/>
          <w:highlight w:val="none"/>
        </w:rPr>
        <w:t>六</w:t>
      </w:r>
      <w:r>
        <w:rPr>
          <w:rFonts w:hint="eastAsia" w:ascii="宋体" w:hAnsi="宋体" w:eastAsia="宋体" w:cs="宋体"/>
          <w:b/>
          <w:bCs/>
          <w:color w:val="auto"/>
          <w:szCs w:val="24"/>
          <w:highlight w:val="none"/>
        </w:rPr>
        <w:t>、双方承诺</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1、供应商向采购人承诺，按照本合同约定提供相关服务。</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2、采购人向供应商承诺，按照本合同约定支付服务款项。</w:t>
      </w:r>
    </w:p>
    <w:p>
      <w:pPr>
        <w:widowControl w:val="0"/>
        <w:adjustRightInd w:val="0"/>
        <w:snapToGrid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七、内容及要求：</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即交付的产品、服务内容、数量与投标文件、招标文件等所指明的，或者与本合同所指明的产品、服务内容相一致。</w:t>
      </w:r>
    </w:p>
    <w:p>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供货内容一览表</w:t>
      </w:r>
    </w:p>
    <w:tbl>
      <w:tblPr>
        <w:tblStyle w:val="26"/>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60"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485" w:type="dxa"/>
            <w:tcBorders>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49" w:name="_Toc27392"/>
            <w:r>
              <w:rPr>
                <w:rFonts w:hint="eastAsia" w:ascii="宋体" w:hAnsi="宋体" w:eastAsia="宋体" w:cs="宋体"/>
                <w:color w:val="auto"/>
                <w:sz w:val="24"/>
                <w:szCs w:val="24"/>
                <w:highlight w:val="none"/>
              </w:rPr>
              <w:t>品牌、规格及型号</w:t>
            </w:r>
            <w:bookmarkEnd w:id="49"/>
          </w:p>
        </w:tc>
        <w:tc>
          <w:tcPr>
            <w:tcW w:w="1695" w:type="dxa"/>
            <w:tcBorders>
              <w:lef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0" w:name="_Toc8981"/>
            <w:r>
              <w:rPr>
                <w:rFonts w:hint="eastAsia" w:ascii="宋体" w:hAnsi="宋体" w:eastAsia="宋体" w:cs="宋体"/>
                <w:color w:val="auto"/>
                <w:sz w:val="24"/>
                <w:szCs w:val="24"/>
                <w:highlight w:val="none"/>
              </w:rPr>
              <w:t>原产地及 制造厂名</w:t>
            </w:r>
            <w:bookmarkEnd w:id="50"/>
          </w:p>
        </w:tc>
        <w:tc>
          <w:tcPr>
            <w:tcW w:w="825" w:type="dxa"/>
            <w:tcBorders>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1" w:name="_Toc14127"/>
            <w:r>
              <w:rPr>
                <w:rFonts w:hint="eastAsia" w:ascii="宋体" w:hAnsi="宋体" w:eastAsia="宋体" w:cs="宋体"/>
                <w:color w:val="auto"/>
                <w:sz w:val="24"/>
                <w:szCs w:val="24"/>
                <w:highlight w:val="none"/>
              </w:rPr>
              <w:t>单价</w:t>
            </w:r>
            <w:bookmarkEnd w:id="51"/>
          </w:p>
        </w:tc>
        <w:tc>
          <w:tcPr>
            <w:tcW w:w="735" w:type="dxa"/>
            <w:tcBorders>
              <w:left w:val="single" w:color="auto" w:sz="4" w:space="0"/>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2" w:name="_Toc31109"/>
            <w:r>
              <w:rPr>
                <w:rFonts w:hint="eastAsia" w:ascii="宋体" w:hAnsi="宋体" w:eastAsia="宋体" w:cs="宋体"/>
                <w:color w:val="auto"/>
                <w:sz w:val="24"/>
                <w:szCs w:val="24"/>
                <w:highlight w:val="none"/>
              </w:rPr>
              <w:t>数量</w:t>
            </w:r>
            <w:bookmarkEnd w:id="52"/>
          </w:p>
        </w:tc>
        <w:tc>
          <w:tcPr>
            <w:tcW w:w="1050" w:type="dxa"/>
            <w:tcBorders>
              <w:lef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3" w:name="_Toc23428"/>
            <w:r>
              <w:rPr>
                <w:rFonts w:hint="eastAsia" w:ascii="宋体" w:hAnsi="宋体" w:eastAsia="宋体" w:cs="宋体"/>
                <w:color w:val="auto"/>
                <w:sz w:val="24"/>
                <w:szCs w:val="24"/>
                <w:highlight w:val="none"/>
              </w:rPr>
              <w:t>交付地点</w:t>
            </w:r>
            <w:bookmarkEnd w:id="53"/>
          </w:p>
        </w:tc>
        <w:tc>
          <w:tcPr>
            <w:tcW w:w="1215" w:type="dxa"/>
            <w:tcBorders>
              <w:righ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4" w:name="_Toc2991"/>
            <w:r>
              <w:rPr>
                <w:rFonts w:hint="eastAsia" w:ascii="宋体" w:hAnsi="宋体" w:eastAsia="宋体" w:cs="宋体"/>
                <w:color w:val="auto"/>
                <w:sz w:val="24"/>
                <w:szCs w:val="24"/>
                <w:highlight w:val="none"/>
              </w:rPr>
              <w:t>交付时间</w:t>
            </w:r>
            <w:bookmarkEnd w:id="54"/>
          </w:p>
        </w:tc>
        <w:tc>
          <w:tcPr>
            <w:tcW w:w="903" w:type="dxa"/>
            <w:tcBorders>
              <w:righ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5" w:name="_Toc17703"/>
            <w:r>
              <w:rPr>
                <w:rFonts w:hint="eastAsia" w:ascii="宋体" w:hAnsi="宋体" w:eastAsia="宋体" w:cs="宋体"/>
                <w:color w:val="auto"/>
                <w:sz w:val="24"/>
                <w:szCs w:val="24"/>
                <w:highlight w:val="none"/>
              </w:rPr>
              <w:t>备注</w:t>
            </w:r>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bl>
    <w:p>
      <w:pPr>
        <w:pStyle w:val="16"/>
        <w:ind w:left="1301"/>
        <w:rPr>
          <w:rFonts w:hint="eastAsia" w:ascii="宋体" w:hAnsi="宋体" w:eastAsia="宋体" w:cs="宋体"/>
          <w:color w:val="auto"/>
          <w:highlight w:val="none"/>
        </w:rPr>
      </w:pP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八、包装要求</w:t>
      </w:r>
    </w:p>
    <w:p>
      <w:pPr>
        <w:widowControl w:val="0"/>
        <w:tabs>
          <w:tab w:val="left" w:pos="840"/>
        </w:tabs>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1、除合同另有规定外，供应商提供的全部货物，均应按标准保护措施进行包装，并确保货物安全无损运至采购人指定地点。由于包装不良造成的损失和由此产生的费用均由供应商承担。</w:t>
      </w:r>
    </w:p>
    <w:p>
      <w:pPr>
        <w:widowControl w:val="0"/>
        <w:tabs>
          <w:tab w:val="left" w:pos="840"/>
        </w:tabs>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2、每一个包装箱内应附一份详细装箱单和质量合格证。</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九、运输、安装、调试要求：</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1、供应商根据产品特性，自行选择运输及包装方式，承担一切运输费用，包括从生产厂到采购人指定交货地点所需的装卸、运输（含保险费）及其他一切费用。</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2、由供应商负责派技术人员到现场进行安装、调试至验收合格。供应商应在合同签订后一周内，向采购人提供安装、调试及试运行的进度计划表。</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3、供应商应在合同规定的安装调试期内完成该项工作,如因供应商责任而造成延期，每超过一天按合同总价款的（1‰）支付采购人误期赔偿金，直至交货或提供服务结束为止，所有因延期而产生的费用由供应商承担。</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4、安装和调试期间所发生的费用均由供应商负责。</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5、供应商应对安装调试、整改等实施过程的安全负责，如发生人身伤亡、财产损失的由供应商负责解决并承担全部责任。</w:t>
      </w:r>
    </w:p>
    <w:p>
      <w:pPr>
        <w:pStyle w:val="14"/>
        <w:widowControl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十、双方的权利和义务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产品性能必须与其标示的技术指标相符合，甲方有权在产品的有效保证期内依据技术指标对该产品进行技术验收，其主要的技术参数达不到标准时，甲方有权无条件退货或依据有关法律索赔。</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提供热线及专属客户经理电话全年7*24小时的不间断服务，故障响应时间不超过   小时，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小时内到达现场。否则甲方有权指定第三方维修，维修费用由乙方承担或从质保金中扣除。每超一天从质保金扣除500--5000元，按天累计。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质保期内，所投设备发生故障，乙方接到通知后，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小时派出合格的维修人员到用户现场进行维修，维修全部费用由供应商承担，</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小时解决故障，若需将产品送回生产厂，供货方还需承担往返费用，若维修超过</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小时，供货方提供同型号备用产品。</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质保期内，设备出现故障在甲方及时通知乙方后，不能及时排除故障造成停诊时间超过一个月,甲方有权向乙方提出退货,乙方除退还全部货款外,还要支付货款总额的20%作为向甲方的赔偿。</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质保期满,继续享用甲方提供的优惠条件。</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 质保期满设备维修只收取材料费,工时费免。</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7. 质保期满消耗品只收取成本费,其他费用免。 </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 甲方保证按合同规定及时付款。</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1、乙方提供给甲方的产品必须是设计科学、技术成熟、工艺精良，原厂生产的未曾使用过的、全新的合格产品。</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2、设计技术专利、外型专利、应用软件专利等均应符合我国的有关法律及行业标准，凡因以上问题与第三方发生的任何纠纷均与甲方无关。</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3、安全可靠。在正常使用下不应对操作者造成任何人身伤害，如因产品质量或标示不明确而对操作者造成损失的，甲方将保留依法索赔的权利。</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4、有强制性安全标准的产品，乙方应提供该产品的制造许可证证明。</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乙方有义务对本合同项目甲方需要的关键设备提供有关咨询。</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十一、技术培训：</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十二、技术资料要求：</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供应商应向采购人提供全套中文技术资料一套，其费用包括在合同总价款中：</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1、完整的产品操作使用手册、说明书和维护、修理技术文件、图纸、保修卡等；</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2、制造厂的检验、测试报告、产品检验合格证书，质量保证书等文件验收时需提供；</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3、必须的其它技术资料；</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4、产品验收标准；</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5、技术说明书；</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6、零部件目录；</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7、备品备件、易损件清单；</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8、项目完工后提供验收报告；</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9、合同中要求的其他文件资料。</w:t>
      </w:r>
    </w:p>
    <w:p>
      <w:pPr>
        <w:pStyle w:val="14"/>
        <w:widowControl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十三、质保及维保服务（提供售后服务承诺书）：</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1、本项目的质保期为整体验收合格后3年。</w:t>
      </w:r>
      <w:r>
        <w:rPr>
          <w:rFonts w:hint="eastAsia" w:ascii="宋体" w:hAnsi="宋体" w:eastAsia="宋体" w:cs="宋体"/>
          <w:color w:val="auto"/>
          <w:szCs w:val="24"/>
          <w:highlight w:val="none"/>
        </w:rPr>
        <w:t>（单个产品若供应商提供的质保期超过3年的，执行厂家规定，若国家有明确规定且高于此质保期的，执行国家规定）。</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w:t>
      </w:r>
      <w:r>
        <w:rPr>
          <w:rFonts w:hint="eastAsia" w:ascii="宋体" w:hAnsi="宋体" w:eastAsia="宋体" w:cs="宋体"/>
          <w:color w:val="auto"/>
          <w:highlight w:val="none"/>
        </w:rPr>
        <w:t>提供的</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及材料必须保证质量可靠，为市场最新或主流</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，进货渠道正常，配置合理齐全，应全面满足招标文件的要求，招标文件未明确要求的内容，采购人须按磋商</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主流标准配置或以采购人的补充要求为准。所供产品工艺质量应严格按国家最新发布的规范标准执行，如发生质量问题由供应商承担全部责任。</w:t>
      </w:r>
      <w:r>
        <w:rPr>
          <w:rFonts w:hint="eastAsia" w:ascii="宋体" w:hAnsi="宋体" w:eastAsia="宋体" w:cs="宋体"/>
          <w:color w:val="auto"/>
          <w:szCs w:val="24"/>
          <w:highlight w:val="none"/>
        </w:rPr>
        <w:t>采购人使用产品过程中因产品质量、产品缺陷及安装质量等造成人身伤亡、财产损失的，由供应商负责解决并承担全部责任。</w:t>
      </w:r>
    </w:p>
    <w:p>
      <w:pPr>
        <w:widowControl w:val="0"/>
        <w:tabs>
          <w:tab w:val="left" w:pos="1080"/>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3、供应商应提供可承担维修职能的公司或全资分公司或办事处，并驻守多名维护技术人员，并提供地点、联系人（常驻工程师）及联系电话（服务热线），随时解答各种疑问（需提供相关证明材料）。</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4、服务方式：现场服务，</w:t>
      </w:r>
      <w:r>
        <w:rPr>
          <w:rFonts w:hint="eastAsia" w:ascii="宋体" w:hAnsi="宋体" w:eastAsia="宋体" w:cs="宋体"/>
          <w:color w:val="auto"/>
          <w:highlight w:val="none"/>
        </w:rPr>
        <w:t>产品按照国家三包规定执行，</w:t>
      </w:r>
      <w:r>
        <w:rPr>
          <w:rFonts w:hint="eastAsia" w:ascii="宋体" w:hAnsi="宋体" w:eastAsia="宋体" w:cs="宋体"/>
          <w:color w:val="auto"/>
          <w:szCs w:val="24"/>
          <w:highlight w:val="none"/>
        </w:rPr>
        <w:t>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5、每年至少二次免费上门维护，回访。</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6、对于存在质量问题或者短少的产品，供应商应在接到采购人的通知2个日历日内负责修复，调换、重新制作或补齐。</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7、在最终验收后的质量保证期内，供应商应对设计、工艺或材料等的缺陷而产生的故障负责（负责解决并承担全部费用）。质保期满后如出现此类问题亦应负责。</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供应商及所投产品的制造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widowControl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十四、验收: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1、到货验收：到货时，由采购人按合同要求组织对所供货物进行验收，确认货物类别及数量。由运输安全引起的相关责任由中标人承担，采购人有权终止合同。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乙方将货物运至现场，由甲方组织相关专业人员查验调货单据，对货物类别数量进行查验。检查合格后由各采购方向乙方出具收货单，并接受货物。若货物的规格、数量达不到招标要求，甲方有权拒收，并给予相应处罚。</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3、所验产品的指标、性能参数通过验收达不到招标文件要求和投标文件承诺的，或在使用中发现设计缺陷等，将视为产品验收不合格，供应商应无条件免费更换或退货。</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4、若发现供应商有弄虚作假的，在投标阶段故意或随意夸大产品技术性能，供应商应无条件退货，并赔偿采购人相应的损失。</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5、验收标准：按招标文件、投标文件及澄清函等技术指标进行验收。各项指标均应符合验收标准及要求。</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6、验收合格后，填写验收单，双方签字盖章后生效。</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7、验收依据：</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1）合同文本；</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2）投标文件及澄清函、招标文件；</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3）国家和行业制定的相应的标准和规范；</w:t>
      </w:r>
    </w:p>
    <w:p>
      <w:pPr>
        <w:widowControl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十五、保密</w:t>
      </w:r>
    </w:p>
    <w:p>
      <w:pPr>
        <w:widowControl w:val="0"/>
        <w:tabs>
          <w:tab w:val="left" w:pos="1080"/>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须严格保密，对工作中了解到的采购人的技术、机密等进行保密，不得向他人泄漏。本合同的解除或终止不免除供应商应承担的保密义务。</w:t>
      </w:r>
    </w:p>
    <w:p>
      <w:pPr>
        <w:widowControl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十六、知识产权</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十七、合同争议的解决：</w:t>
      </w:r>
      <w:r>
        <w:rPr>
          <w:rFonts w:hint="eastAsia" w:ascii="宋体" w:hAnsi="宋体" w:eastAsia="宋体" w:cs="宋体"/>
          <w:color w:val="auto"/>
          <w:szCs w:val="24"/>
          <w:highlight w:val="none"/>
        </w:rPr>
        <w:t>合同执行中发生争议的，当事人双方应协商解决，协商达不成一致时，可向当地行政仲裁机关申请仲裁或者向人民法院提请诉讼。</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十八、</w:t>
      </w:r>
      <w:r>
        <w:rPr>
          <w:rFonts w:hint="eastAsia" w:ascii="宋体" w:hAnsi="宋体" w:eastAsia="宋体" w:cs="宋体"/>
          <w:color w:val="auto"/>
          <w:szCs w:val="24"/>
          <w:highlight w:val="none"/>
        </w:rPr>
        <w:t>不可抗力情况下的免责约定，双方约定不可抗力情况包括：五级以上地震、大风、大雨、大雪。</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十九、</w:t>
      </w:r>
      <w:r>
        <w:rPr>
          <w:rFonts w:hint="eastAsia" w:ascii="宋体" w:hAnsi="宋体" w:eastAsia="宋体" w:cs="宋体"/>
          <w:color w:val="auto"/>
          <w:szCs w:val="24"/>
          <w:highlight w:val="none"/>
        </w:rPr>
        <w:t>合同执行中发生争议的，当事人双方应协商解决，协商达不成一致时，双方同意向西安市仲裁委员会申请仲裁。</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二十、违约责任：</w:t>
      </w:r>
      <w:r>
        <w:rPr>
          <w:rFonts w:hint="eastAsia" w:ascii="宋体" w:hAnsi="宋体" w:eastAsia="宋体" w:cs="宋体"/>
          <w:color w:val="auto"/>
          <w:szCs w:val="24"/>
          <w:highlight w:val="none"/>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二十一、其他（</w:t>
      </w:r>
      <w:r>
        <w:rPr>
          <w:rFonts w:hint="eastAsia" w:ascii="宋体" w:hAnsi="宋体" w:eastAsia="宋体" w:cs="宋体"/>
          <w:color w:val="auto"/>
          <w:szCs w:val="24"/>
          <w:highlight w:val="none"/>
        </w:rPr>
        <w:t>在合同中具体明确）</w:t>
      </w:r>
    </w:p>
    <w:p>
      <w:pPr>
        <w:widowControl w:val="0"/>
        <w:spacing w:line="360"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二十二、合同订立</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tabs>
          <w:tab w:val="left" w:pos="980"/>
        </w:tabs>
        <w:kinsoku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eastAsia="宋体" w:cs="宋体"/>
          <w:color w:val="auto"/>
          <w:szCs w:val="24"/>
          <w:highlight w:val="none"/>
        </w:rPr>
        <w:t>本合同一式</w:t>
      </w:r>
      <w:r>
        <w:rPr>
          <w:rFonts w:hint="eastAsia" w:ascii="宋体" w:hAnsi="宋体" w:eastAsia="宋体" w:cs="宋体"/>
          <w:color w:val="auto"/>
          <w:szCs w:val="24"/>
          <w:highlight w:val="none"/>
          <w:u w:val="single"/>
        </w:rPr>
        <w:t>陆</w:t>
      </w:r>
      <w:r>
        <w:rPr>
          <w:rFonts w:hint="eastAsia" w:ascii="宋体" w:hAnsi="宋体" w:eastAsia="宋体" w:cs="宋体"/>
          <w:color w:val="auto"/>
          <w:szCs w:val="24"/>
          <w:highlight w:val="none"/>
        </w:rPr>
        <w:t>份，其中，合同</w:t>
      </w:r>
      <w:r>
        <w:rPr>
          <w:rFonts w:hint="eastAsia" w:ascii="宋体" w:hAnsi="宋体" w:eastAsia="宋体" w:cs="宋体"/>
          <w:color w:val="auto"/>
          <w:szCs w:val="24"/>
          <w:highlight w:val="none"/>
          <w:u w:val="single"/>
        </w:rPr>
        <w:t>正本一式贰份</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副本一式肆份</w:t>
      </w:r>
      <w:r>
        <w:rPr>
          <w:rFonts w:hint="eastAsia" w:ascii="宋体" w:hAnsi="宋体" w:eastAsia="宋体" w:cs="宋体"/>
          <w:color w:val="auto"/>
          <w:szCs w:val="24"/>
          <w:highlight w:val="none"/>
        </w:rPr>
        <w:t>，具有同等法律效力，正副本不一致，以正本为准。采供双方各执</w:t>
      </w:r>
      <w:r>
        <w:rPr>
          <w:rFonts w:hint="eastAsia" w:ascii="宋体" w:hAnsi="宋体" w:eastAsia="宋体" w:cs="宋体"/>
          <w:color w:val="auto"/>
          <w:szCs w:val="24"/>
          <w:highlight w:val="none"/>
          <w:u w:val="single"/>
        </w:rPr>
        <w:t>正本壹份副本壹份</w:t>
      </w:r>
      <w:r>
        <w:rPr>
          <w:rFonts w:hint="eastAsia" w:ascii="宋体" w:hAnsi="宋体" w:eastAsia="宋体" w:cs="宋体"/>
          <w:color w:val="auto"/>
          <w:szCs w:val="24"/>
          <w:highlight w:val="none"/>
        </w:rPr>
        <w:t>，监管部门备案</w:t>
      </w:r>
      <w:r>
        <w:rPr>
          <w:rFonts w:hint="eastAsia" w:ascii="宋体" w:hAnsi="宋体" w:eastAsia="宋体" w:cs="宋体"/>
          <w:color w:val="auto"/>
          <w:szCs w:val="24"/>
          <w:highlight w:val="none"/>
          <w:u w:val="single"/>
        </w:rPr>
        <w:t>副本壹份</w:t>
      </w:r>
      <w:r>
        <w:rPr>
          <w:rFonts w:hint="eastAsia" w:ascii="宋体" w:hAnsi="宋体" w:eastAsia="宋体" w:cs="宋体"/>
          <w:color w:val="auto"/>
          <w:szCs w:val="24"/>
          <w:highlight w:val="none"/>
        </w:rPr>
        <w:t>、采购代理机构存档</w:t>
      </w:r>
      <w:r>
        <w:rPr>
          <w:rFonts w:hint="eastAsia" w:ascii="宋体" w:hAnsi="宋体" w:eastAsia="宋体" w:cs="宋体"/>
          <w:color w:val="auto"/>
          <w:szCs w:val="24"/>
          <w:highlight w:val="none"/>
          <w:u w:val="single"/>
        </w:rPr>
        <w:t>副本壹份</w:t>
      </w:r>
      <w:r>
        <w:rPr>
          <w:rFonts w:hint="eastAsia" w:ascii="宋体" w:hAnsi="宋体" w:eastAsia="宋体" w:cs="宋体"/>
          <w:color w:val="auto"/>
          <w:szCs w:val="24"/>
          <w:highlight w:val="none"/>
        </w:rPr>
        <w:t>。各方签字盖章后生效，合同执行完毕自动失效。（合同的服务承诺则长期有效）。</w:t>
      </w:r>
    </w:p>
    <w:p>
      <w:pPr>
        <w:tabs>
          <w:tab w:val="left" w:pos="980"/>
        </w:tabs>
        <w:kinsoku w:val="0"/>
        <w:spacing w:line="360" w:lineRule="auto"/>
        <w:ind w:firstLine="480" w:firstLineChars="200"/>
        <w:rPr>
          <w:rFonts w:hint="eastAsia" w:ascii="宋体" w:hAnsi="宋体" w:eastAsia="宋体" w:cs="宋体"/>
          <w:color w:val="auto"/>
          <w:szCs w:val="24"/>
          <w:highlight w:val="none"/>
        </w:rPr>
      </w:pP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w:t>
      </w:r>
      <w:r>
        <w:rPr>
          <w:rFonts w:hint="eastAsia" w:ascii="宋体" w:hAnsi="宋体" w:eastAsia="宋体" w:cs="宋体"/>
          <w:color w:val="auto"/>
          <w:szCs w:val="24"/>
          <w:highlight w:val="none"/>
          <w:u w:val="single"/>
        </w:rPr>
        <w:t xml:space="preserve">   （盖章）     </w:t>
      </w:r>
      <w:r>
        <w:rPr>
          <w:rFonts w:hint="eastAsia" w:ascii="宋体" w:hAnsi="宋体" w:eastAsia="宋体" w:cs="宋体"/>
          <w:color w:val="auto"/>
          <w:szCs w:val="24"/>
          <w:highlight w:val="none"/>
        </w:rPr>
        <w:t xml:space="preserve">           供应商：</w:t>
      </w:r>
      <w:r>
        <w:rPr>
          <w:rFonts w:hint="eastAsia" w:ascii="宋体" w:hAnsi="宋体" w:eastAsia="宋体" w:cs="宋体"/>
          <w:color w:val="auto"/>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地址：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地址： </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邮政编码：</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的代理人：</w:t>
      </w:r>
      <w:r>
        <w:rPr>
          <w:rFonts w:hint="eastAsia" w:ascii="宋体" w:hAnsi="宋体" w:eastAsia="宋体" w:cs="宋体"/>
          <w:color w:val="auto"/>
          <w:szCs w:val="24"/>
          <w:highlight w:val="none"/>
          <w:u w:val="single"/>
        </w:rPr>
        <w:t xml:space="preserve">（签字）      </w:t>
      </w:r>
      <w:r>
        <w:rPr>
          <w:rFonts w:hint="eastAsia" w:ascii="宋体" w:hAnsi="宋体" w:eastAsia="宋体" w:cs="宋体"/>
          <w:color w:val="auto"/>
          <w:szCs w:val="24"/>
          <w:highlight w:val="none"/>
        </w:rPr>
        <w:t xml:space="preserve">           的代理人：</w:t>
      </w:r>
      <w:r>
        <w:rPr>
          <w:rFonts w:hint="eastAsia" w:ascii="宋体" w:hAnsi="宋体" w:eastAsia="宋体" w:cs="宋体"/>
          <w:color w:val="auto"/>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开户银行：</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账号：</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电话：</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传真：</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电子邮箱：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电子邮箱：</w:t>
      </w:r>
      <w:r>
        <w:rPr>
          <w:rFonts w:hint="eastAsia" w:ascii="宋体" w:hAnsi="宋体" w:eastAsia="宋体" w:cs="宋体"/>
          <w:color w:val="auto"/>
          <w:szCs w:val="24"/>
          <w:highlight w:val="none"/>
          <w:u w:val="single"/>
        </w:rPr>
        <w:t xml:space="preserve">                  </w:t>
      </w:r>
    </w:p>
    <w:p>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br w:type="page"/>
      </w:r>
    </w:p>
    <w:p>
      <w:pPr>
        <w:numPr>
          <w:ilvl w:val="0"/>
          <w:numId w:val="5"/>
        </w:numPr>
        <w:spacing w:before="168" w:after="168" w:line="360" w:lineRule="auto"/>
        <w:ind w:firstLine="803" w:firstLineChars="200"/>
        <w:jc w:val="center"/>
        <w:outlineLvl w:val="0"/>
        <w:rPr>
          <w:rStyle w:val="35"/>
          <w:rFonts w:hint="eastAsia" w:ascii="宋体" w:hAnsi="宋体" w:eastAsia="宋体" w:cs="宋体"/>
          <w:b/>
          <w:color w:val="auto"/>
          <w:kern w:val="2"/>
          <w:sz w:val="40"/>
          <w:szCs w:val="40"/>
          <w:highlight w:val="none"/>
        </w:rPr>
      </w:pPr>
      <w:bookmarkStart w:id="56" w:name="_Toc3304"/>
      <w:r>
        <w:rPr>
          <w:rStyle w:val="35"/>
          <w:rFonts w:hint="eastAsia" w:ascii="宋体" w:hAnsi="宋体" w:eastAsia="宋体" w:cs="宋体"/>
          <w:b/>
          <w:color w:val="auto"/>
          <w:kern w:val="2"/>
          <w:sz w:val="40"/>
          <w:szCs w:val="40"/>
          <w:highlight w:val="none"/>
        </w:rPr>
        <w:t>采购内容及技术要求</w:t>
      </w:r>
      <w:bookmarkEnd w:id="56"/>
    </w:p>
    <w:p>
      <w:pPr>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空港新城金地幼儿园设备购置项目（第二批）合同包1</w:t>
      </w:r>
    </w:p>
    <w:p>
      <w:pPr>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汇总表</w:t>
      </w:r>
    </w:p>
    <w:p>
      <w:pPr>
        <w:jc w:val="center"/>
        <w:rPr>
          <w:rFonts w:hint="eastAsia" w:ascii="宋体" w:hAnsi="宋体" w:eastAsia="宋体" w:cs="宋体"/>
          <w:b/>
          <w:bCs/>
          <w:i w:val="0"/>
          <w:iCs w:val="0"/>
          <w:color w:val="auto"/>
          <w:kern w:val="0"/>
          <w:sz w:val="32"/>
          <w:szCs w:val="32"/>
          <w:u w:val="none"/>
          <w:lang w:val="en-US" w:eastAsia="zh-CN" w:bidi="ar"/>
        </w:rPr>
      </w:pPr>
    </w:p>
    <w:tbl>
      <w:tblPr>
        <w:tblStyle w:val="26"/>
        <w:tblpPr w:leftFromText="180" w:rightFromText="180" w:vertAnchor="page" w:horzAnchor="page" w:tblpX="1936" w:tblpY="2940"/>
        <w:tblOverlap w:val="never"/>
        <w:tblW w:w="7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4"/>
        <w:gridCol w:w="2956"/>
        <w:gridCol w:w="1654"/>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办公家具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厨房炊具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bl>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pStyle w:val="2"/>
        <w:rPr>
          <w:rFonts w:hint="eastAsia" w:ascii="宋体" w:hAnsi="宋体" w:eastAsia="宋体" w:cs="宋体"/>
          <w:b/>
          <w:bCs/>
          <w:i w:val="0"/>
          <w:iCs w:val="0"/>
          <w:color w:val="auto"/>
          <w:kern w:val="0"/>
          <w:sz w:val="32"/>
          <w:szCs w:val="32"/>
          <w:u w:val="none"/>
          <w:lang w:val="en-US" w:eastAsia="zh-CN" w:bidi="ar"/>
        </w:rPr>
      </w:pPr>
    </w:p>
    <w:p>
      <w:pPr>
        <w:rPr>
          <w:rFonts w:hint="eastAsia" w:ascii="宋体" w:hAnsi="宋体" w:eastAsia="宋体" w:cs="宋体"/>
          <w:b/>
          <w:bCs/>
          <w:i w:val="0"/>
          <w:iCs w:val="0"/>
          <w:color w:val="auto"/>
          <w:kern w:val="0"/>
          <w:sz w:val="32"/>
          <w:szCs w:val="32"/>
          <w:u w:val="none"/>
          <w:lang w:val="en-US" w:eastAsia="zh-CN" w:bidi="ar"/>
        </w:rPr>
      </w:pPr>
    </w:p>
    <w:p>
      <w:pPr>
        <w:pStyle w:val="2"/>
        <w:rPr>
          <w:rFonts w:hint="eastAsia" w:ascii="宋体" w:hAnsi="宋体" w:eastAsia="宋体" w:cs="宋体"/>
          <w:b/>
          <w:bCs/>
          <w:i w:val="0"/>
          <w:iCs w:val="0"/>
          <w:color w:val="auto"/>
          <w:kern w:val="0"/>
          <w:sz w:val="32"/>
          <w:szCs w:val="32"/>
          <w:u w:val="none"/>
          <w:lang w:val="en-US" w:eastAsia="zh-CN" w:bidi="ar"/>
        </w:rPr>
      </w:pPr>
    </w:p>
    <w:p>
      <w:pPr>
        <w:rPr>
          <w:rFonts w:hint="eastAsia"/>
          <w:lang w:val="en-US" w:eastAsia="zh-CN"/>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tbl>
      <w:tblPr>
        <w:tblStyle w:val="26"/>
        <w:tblW w:w="9032"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2"/>
        <w:gridCol w:w="1280"/>
        <w:gridCol w:w="5190"/>
        <w:gridCol w:w="919"/>
        <w:gridCol w:w="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32" w:type="dxa"/>
            <w:gridSpan w:val="5"/>
            <w:tcBorders>
              <w:bottom w:val="single" w:color="000000" w:sz="4" w:space="0"/>
            </w:tcBorders>
            <w:noWrap/>
            <w:vAlign w:val="center"/>
          </w:tcPr>
          <w:p>
            <w:pPr>
              <w:jc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办公设备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名称</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32" w:type="dxa"/>
            <w:gridSpan w:val="5"/>
            <w:tcBorders>
              <w:top w:val="single" w:color="000000" w:sz="4" w:space="0"/>
              <w:bottom w:val="single" w:color="000000" w:sz="4" w:space="0"/>
            </w:tcBorders>
            <w:noWrap w:val="0"/>
            <w:vAlign w:val="center"/>
          </w:tcPr>
          <w:p>
            <w:pP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教学设备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教学台式机</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处理器12代i5-12400， 内存16G，硬盘 512G SSD， win11)23英寸，含键盘鼠标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教学笔记本</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配置参数：处理器I5十代以上，内存16GB，硬盘512G固态，显卡，操作系统：windows 10以上版本，具有无线网卡，屏幕：14寸，外设设备：笔记本包 鼠标。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A3彩色激光打印复印一体机</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颜色类型 彩色</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涵盖功能 复印/打印/扫描</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速度类型 中速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最大原稿尺寸 A3</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供纸容量 标配纸盒：520页（2个）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耗材描述 墨粉：黑色W9040MC：34000页，青色W9041MC：32000页，黄色W9042MC：32000页，品红色W9043MC：32000页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双面器 标配</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自动输稿器 标配，双面自动输稿器，100页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网络功能 支持有线网络打印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接口类型 2个高速USB 2.0主机端口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1个高速USB 2.0设备端口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10Base-T/100Base-TX/1000Base-T（RJ-45网络接口）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1个硬件集成接口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1个传真调制解调器端口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最高月印量 60000页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复印方式 激光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复印速度 彩色/黑白：</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A4，正常模式：22cpm；A4，双面：17cpm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letter，正常模式：22cpm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扫描控制器 标准配置</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扫描速度 正常模式，A4：</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单面，黑白/彩色：80ipm；双面，黑白/彩色：160ipm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扫描分辨率 600×600dpi</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扫描其它性能 扫描类型：平板式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A4彩色激光打印机</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最大打印幅面 A4</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最高分辨率 1200×1200dpi</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黑白打印速度 A4</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双面打印 自动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接口类型 USB2.0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黑白激光打印一体机 </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涵盖功能 打印/复印/扫描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最大纸张尺寸 A4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最大月印量(标称) ：大致2万页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黑白打印速度 20ppm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室外LED屏</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单色条屏，像素间距为 10.0mm；像素密度 10000Dots/㎡；单元板尺寸320.0mm*160.0mm；最大功耗 400w,平均功耗 200w ；灯驱合一   驱动方式 1/2 扫恒流驱动；套件材料 ：聚碳酸脂 PC 料;防护等级(正面) IP5X</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拉杆音响</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灵敏度：85db</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喇叭尺寸：25mm压缩式真号角高音+12英寸中低音</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扬声器数量：2个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续航时间：不小于8小时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电源类型：电池供电</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频响范围：20Hz-20KHz</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无线连接方式：蓝牙5.0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电池容量：9000mAh</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理论功率：20w-40w</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接口：USB+3.5毫米音频接口</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其他：包含2只无线话筒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宽带接入</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运营商专线100M带宽，一年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会议室一体机</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裸机外形尺寸不小于 1971 mm ×  1176 mm × 89mm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显示参数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背光源类型 LED背光</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像素间距 0.4935 mm × 0.4935 mm</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物理分辨率 不小于3840 × 2160</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亮度 不小于500 cd/m</w:t>
            </w:r>
            <w:r>
              <w:rPr>
                <w:rStyle w:val="298"/>
                <w:rFonts w:ascii="宋体" w:hAnsi="宋体" w:eastAsia="宋体" w:cs="宋体"/>
                <w:color w:val="auto"/>
                <w:sz w:val="24"/>
                <w:szCs w:val="24"/>
                <w:lang w:val="en-US" w:eastAsia="zh-CN" w:bidi="ar"/>
              </w:rPr>
              <w:t>²</w:t>
            </w:r>
            <w:r>
              <w:rPr>
                <w:rStyle w:val="290"/>
                <w:color w:val="auto"/>
                <w:lang w:val="en-US" w:eastAsia="zh-CN" w:bidi="ar"/>
              </w:rPr>
              <w:br w:type="textWrapping"/>
            </w:r>
            <w:r>
              <w:rPr>
                <w:rStyle w:val="290"/>
                <w:color w:val="auto"/>
                <w:lang w:val="en-US" w:eastAsia="zh-CN" w:bidi="ar"/>
              </w:rPr>
              <w:t>对比度 不小于6000：1</w:t>
            </w:r>
            <w:r>
              <w:rPr>
                <w:rStyle w:val="290"/>
                <w:color w:val="auto"/>
                <w:lang w:val="en-US" w:eastAsia="zh-CN" w:bidi="ar"/>
              </w:rPr>
              <w:br w:type="textWrapping"/>
            </w:r>
            <w:r>
              <w:rPr>
                <w:rStyle w:val="290"/>
                <w:color w:val="auto"/>
                <w:lang w:val="en-US" w:eastAsia="zh-CN" w:bidi="ar"/>
              </w:rPr>
              <w:t>响应时间 8 ms</w:t>
            </w:r>
            <w:r>
              <w:rPr>
                <w:rStyle w:val="290"/>
                <w:color w:val="auto"/>
                <w:lang w:val="en-US" w:eastAsia="zh-CN" w:bidi="ar"/>
              </w:rPr>
              <w:br w:type="textWrapping"/>
            </w:r>
            <w:r>
              <w:rPr>
                <w:rStyle w:val="290"/>
                <w:color w:val="auto"/>
                <w:lang w:val="en-US" w:eastAsia="zh-CN" w:bidi="ar"/>
              </w:rPr>
              <w:t>对角线尺寸 不小于85inch</w:t>
            </w:r>
            <w:r>
              <w:rPr>
                <w:rStyle w:val="290"/>
                <w:color w:val="auto"/>
                <w:lang w:val="en-US" w:eastAsia="zh-CN" w:bidi="ar"/>
              </w:rPr>
              <w:br w:type="textWrapping"/>
            </w:r>
            <w:r>
              <w:rPr>
                <w:rStyle w:val="290"/>
                <w:color w:val="auto"/>
                <w:lang w:val="en-US" w:eastAsia="zh-CN" w:bidi="ar"/>
              </w:rPr>
              <w:t>色彩饱和度 92%</w:t>
            </w:r>
            <w:r>
              <w:rPr>
                <w:rStyle w:val="290"/>
                <w:color w:val="auto"/>
                <w:lang w:val="en-US" w:eastAsia="zh-CN" w:bidi="ar"/>
              </w:rPr>
              <w:br w:type="textWrapping"/>
            </w:r>
            <w:r>
              <w:rPr>
                <w:rStyle w:val="290"/>
                <w:color w:val="auto"/>
                <w:lang w:val="en-US" w:eastAsia="zh-CN" w:bidi="ar"/>
              </w:rPr>
              <w:t>屏幕活动域 不小于1895.04 mm × 1065.96 mm</w:t>
            </w:r>
            <w:r>
              <w:rPr>
                <w:rStyle w:val="290"/>
                <w:color w:val="auto"/>
                <w:lang w:val="en-US" w:eastAsia="zh-CN" w:bidi="ar"/>
              </w:rPr>
              <w:br w:type="textWrapping"/>
            </w:r>
            <w:r>
              <w:rPr>
                <w:rStyle w:val="290"/>
                <w:color w:val="auto"/>
                <w:lang w:val="en-US" w:eastAsia="zh-CN" w:bidi="ar"/>
              </w:rPr>
              <w:t>系统参数</w:t>
            </w:r>
            <w:r>
              <w:rPr>
                <w:rStyle w:val="290"/>
                <w:color w:val="auto"/>
                <w:lang w:val="en-US" w:eastAsia="zh-CN" w:bidi="ar"/>
              </w:rPr>
              <w:br w:type="textWrapping"/>
            </w:r>
            <w:r>
              <w:rPr>
                <w:rStyle w:val="290"/>
                <w:color w:val="auto"/>
                <w:lang w:val="en-US" w:eastAsia="zh-CN" w:bidi="ar"/>
              </w:rPr>
              <w:t>操作系统 Android 8.0</w:t>
            </w:r>
            <w:r>
              <w:rPr>
                <w:rStyle w:val="290"/>
                <w:color w:val="auto"/>
                <w:lang w:val="en-US" w:eastAsia="zh-CN" w:bidi="ar"/>
              </w:rPr>
              <w:br w:type="textWrapping"/>
            </w:r>
            <w:r>
              <w:rPr>
                <w:rStyle w:val="290"/>
                <w:color w:val="auto"/>
                <w:lang w:val="en-US" w:eastAsia="zh-CN" w:bidi="ar"/>
              </w:rPr>
              <w:t>CPU Cortex A73 2核 + A53 2核  1.4 G/1.1 GHz</w:t>
            </w:r>
            <w:r>
              <w:rPr>
                <w:rStyle w:val="290"/>
                <w:color w:val="auto"/>
                <w:lang w:val="en-US" w:eastAsia="zh-CN" w:bidi="ar"/>
              </w:rPr>
              <w:br w:type="textWrapping"/>
            </w:r>
            <w:r>
              <w:rPr>
                <w:rStyle w:val="290"/>
                <w:color w:val="auto"/>
                <w:lang w:val="en-US" w:eastAsia="zh-CN" w:bidi="ar"/>
              </w:rPr>
              <w:t>内存 3GB   DDR3 1GB DDR4 2GB</w:t>
            </w:r>
            <w:r>
              <w:rPr>
                <w:rStyle w:val="290"/>
                <w:color w:val="auto"/>
                <w:lang w:val="en-US" w:eastAsia="zh-CN" w:bidi="ar"/>
              </w:rPr>
              <w:br w:type="textWrapping"/>
            </w:r>
            <w:r>
              <w:rPr>
                <w:rStyle w:val="290"/>
                <w:color w:val="auto"/>
                <w:lang w:val="en-US" w:eastAsia="zh-CN" w:bidi="ar"/>
              </w:rPr>
              <w:t>内置存储 8 GB</w:t>
            </w:r>
            <w:r>
              <w:rPr>
                <w:rStyle w:val="290"/>
                <w:color w:val="auto"/>
                <w:lang w:val="en-US" w:eastAsia="zh-CN" w:bidi="ar"/>
              </w:rPr>
              <w:br w:type="textWrapping"/>
            </w:r>
            <w:r>
              <w:rPr>
                <w:rStyle w:val="290"/>
                <w:color w:val="auto"/>
                <w:lang w:val="en-US" w:eastAsia="zh-CN" w:bidi="ar"/>
              </w:rPr>
              <w:t>触控参数</w:t>
            </w:r>
            <w:r>
              <w:rPr>
                <w:rStyle w:val="290"/>
                <w:color w:val="auto"/>
                <w:lang w:val="en-US" w:eastAsia="zh-CN" w:bidi="ar"/>
              </w:rPr>
              <w:br w:type="textWrapping"/>
            </w:r>
            <w:r>
              <w:rPr>
                <w:rStyle w:val="290"/>
                <w:color w:val="auto"/>
                <w:lang w:val="en-US" w:eastAsia="zh-CN" w:bidi="ar"/>
              </w:rPr>
              <w:t>触摸方式 光学红外触摸</w:t>
            </w:r>
            <w:r>
              <w:rPr>
                <w:rStyle w:val="290"/>
                <w:color w:val="auto"/>
                <w:lang w:val="en-US" w:eastAsia="zh-CN" w:bidi="ar"/>
              </w:rPr>
              <w:br w:type="textWrapping"/>
            </w:r>
            <w:r>
              <w:rPr>
                <w:rStyle w:val="290"/>
                <w:color w:val="auto"/>
                <w:lang w:val="en-US" w:eastAsia="zh-CN" w:bidi="ar"/>
              </w:rPr>
              <w:t>触控点 最高20点触控书写</w:t>
            </w:r>
            <w:r>
              <w:rPr>
                <w:rStyle w:val="290"/>
                <w:color w:val="auto"/>
                <w:lang w:val="en-US" w:eastAsia="zh-CN" w:bidi="ar"/>
              </w:rPr>
              <w:br w:type="textWrapping"/>
            </w:r>
            <w:r>
              <w:rPr>
                <w:rStyle w:val="290"/>
                <w:color w:val="auto"/>
                <w:lang w:val="en-US" w:eastAsia="zh-CN" w:bidi="ar"/>
              </w:rPr>
              <w:t>触控响应速度 ≤  8 ms</w:t>
            </w:r>
            <w:r>
              <w:rPr>
                <w:rStyle w:val="290"/>
                <w:color w:val="auto"/>
                <w:lang w:val="en-US" w:eastAsia="zh-CN" w:bidi="ar"/>
              </w:rPr>
              <w:br w:type="textWrapping"/>
            </w:r>
            <w:r>
              <w:rPr>
                <w:rStyle w:val="290"/>
                <w:color w:val="auto"/>
                <w:lang w:val="en-US" w:eastAsia="zh-CN" w:bidi="ar"/>
              </w:rPr>
              <w:t>接口参数</w:t>
            </w:r>
            <w:r>
              <w:rPr>
                <w:rStyle w:val="290"/>
                <w:color w:val="auto"/>
                <w:lang w:val="en-US" w:eastAsia="zh-CN" w:bidi="ar"/>
              </w:rPr>
              <w:br w:type="textWrapping"/>
            </w:r>
            <w:r>
              <w:rPr>
                <w:rStyle w:val="290"/>
                <w:color w:val="auto"/>
                <w:lang w:val="en-US" w:eastAsia="zh-CN" w:bidi="ar"/>
              </w:rPr>
              <w:t>音视频输入接口 HDMI in × 2；VGA in × 1；Ypbpr × 1；CVBS in × 1；TV in × 1；Line in × 1；Audio in × 1；</w:t>
            </w:r>
            <w:r>
              <w:rPr>
                <w:rStyle w:val="290"/>
                <w:color w:val="auto"/>
                <w:lang w:val="en-US" w:eastAsia="zh-CN" w:bidi="ar"/>
              </w:rPr>
              <w:br w:type="textWrapping"/>
            </w:r>
            <w:r>
              <w:rPr>
                <w:rStyle w:val="290"/>
                <w:color w:val="auto"/>
                <w:lang w:val="en-US" w:eastAsia="zh-CN" w:bidi="ar"/>
              </w:rPr>
              <w:t>音视频输出接口 Line out × 1；SPDIF out × 1；</w:t>
            </w:r>
            <w:r>
              <w:rPr>
                <w:rStyle w:val="290"/>
                <w:color w:val="auto"/>
                <w:lang w:val="en-US" w:eastAsia="zh-CN" w:bidi="ar"/>
              </w:rPr>
              <w:br w:type="textWrapping"/>
            </w:r>
            <w:r>
              <w:rPr>
                <w:rStyle w:val="290"/>
                <w:color w:val="auto"/>
                <w:lang w:val="en-US" w:eastAsia="zh-CN" w:bidi="ar"/>
              </w:rPr>
              <w:t>网络接口 百兆网口 × 2</w:t>
            </w:r>
            <w:r>
              <w:rPr>
                <w:rStyle w:val="290"/>
                <w:color w:val="auto"/>
                <w:lang w:val="en-US" w:eastAsia="zh-CN" w:bidi="ar"/>
              </w:rPr>
              <w:br w:type="textWrapping"/>
            </w:r>
            <w:r>
              <w:rPr>
                <w:rStyle w:val="290"/>
                <w:color w:val="auto"/>
                <w:lang w:val="en-US" w:eastAsia="zh-CN" w:bidi="ar"/>
              </w:rPr>
              <w:t>存储控制接口 前置Type-A USB3.0 × 3；Type-C USB3.0 × 1；板载安卓USB2.0 × 1；multi USB2.0 × 1；</w:t>
            </w:r>
            <w:r>
              <w:rPr>
                <w:rStyle w:val="290"/>
                <w:color w:val="auto"/>
                <w:lang w:val="en-US" w:eastAsia="zh-CN" w:bidi="ar"/>
              </w:rPr>
              <w:br w:type="textWrapping"/>
            </w:r>
            <w:r>
              <w:rPr>
                <w:rStyle w:val="290"/>
                <w:color w:val="auto"/>
                <w:lang w:val="en-US" w:eastAsia="zh-CN" w:bidi="ar"/>
              </w:rPr>
              <w:t>功能参数</w:t>
            </w:r>
            <w:r>
              <w:rPr>
                <w:rStyle w:val="290"/>
                <w:color w:val="auto"/>
                <w:lang w:val="en-US" w:eastAsia="zh-CN" w:bidi="ar"/>
              </w:rPr>
              <w:br w:type="textWrapping"/>
            </w:r>
            <w:r>
              <w:rPr>
                <w:rStyle w:val="290"/>
                <w:color w:val="auto"/>
                <w:lang w:val="en-US" w:eastAsia="zh-CN" w:bidi="ar"/>
              </w:rPr>
              <w:t>内部喇叭 15 W × 2 + 20W × 1</w:t>
            </w:r>
            <w:r>
              <w:rPr>
                <w:rStyle w:val="290"/>
                <w:color w:val="auto"/>
                <w:lang w:val="en-US" w:eastAsia="zh-CN" w:bidi="ar"/>
              </w:rPr>
              <w:br w:type="textWrapping"/>
            </w:r>
            <w:r>
              <w:rPr>
                <w:rStyle w:val="290"/>
                <w:color w:val="auto"/>
                <w:lang w:val="en-US" w:eastAsia="zh-CN" w:bidi="ar"/>
              </w:rPr>
              <w:t>镜头 内置800万摄像头</w:t>
            </w:r>
            <w:r>
              <w:rPr>
                <w:rStyle w:val="290"/>
                <w:color w:val="auto"/>
                <w:lang w:val="en-US" w:eastAsia="zh-CN" w:bidi="ar"/>
              </w:rPr>
              <w:br w:type="textWrapping"/>
            </w:r>
            <w:r>
              <w:rPr>
                <w:rStyle w:val="290"/>
                <w:color w:val="auto"/>
                <w:lang w:val="en-US" w:eastAsia="zh-CN" w:bidi="ar"/>
              </w:rPr>
              <w:t>麦克风   内置阵列麦</w:t>
            </w:r>
            <w:r>
              <w:rPr>
                <w:rStyle w:val="290"/>
                <w:color w:val="auto"/>
                <w:lang w:val="en-US" w:eastAsia="zh-CN" w:bidi="ar"/>
              </w:rPr>
              <w:br w:type="textWrapping"/>
            </w:r>
            <w:r>
              <w:rPr>
                <w:rStyle w:val="290"/>
                <w:color w:val="auto"/>
                <w:lang w:val="en-US" w:eastAsia="zh-CN" w:bidi="ar"/>
              </w:rPr>
              <w:t>电源参数</w:t>
            </w:r>
            <w:r>
              <w:rPr>
                <w:rStyle w:val="290"/>
                <w:color w:val="auto"/>
                <w:lang w:val="en-US" w:eastAsia="zh-CN" w:bidi="ar"/>
              </w:rPr>
              <w:br w:type="textWrapping"/>
            </w:r>
            <w:r>
              <w:rPr>
                <w:rStyle w:val="290"/>
                <w:color w:val="auto"/>
                <w:lang w:val="en-US" w:eastAsia="zh-CN" w:bidi="ar"/>
              </w:rPr>
              <w:t>待机功耗 ≤ 0.5 W</w:t>
            </w:r>
            <w:r>
              <w:rPr>
                <w:rStyle w:val="290"/>
                <w:color w:val="auto"/>
                <w:lang w:val="en-US" w:eastAsia="zh-CN" w:bidi="ar"/>
              </w:rPr>
              <w:br w:type="textWrapping"/>
            </w:r>
            <w:r>
              <w:rPr>
                <w:rStyle w:val="290"/>
                <w:color w:val="auto"/>
                <w:lang w:val="en-US" w:eastAsia="zh-CN" w:bidi="ar"/>
              </w:rPr>
              <w:t>功耗 ≤ 450 W</w:t>
            </w:r>
            <w:r>
              <w:rPr>
                <w:rStyle w:val="290"/>
                <w:color w:val="auto"/>
                <w:lang w:val="en-US" w:eastAsia="zh-CN" w:bidi="ar"/>
              </w:rPr>
              <w:br w:type="textWrapping"/>
            </w:r>
            <w:r>
              <w:rPr>
                <w:rStyle w:val="290"/>
                <w:color w:val="auto"/>
                <w:lang w:val="en-US" w:eastAsia="zh-CN" w:bidi="ar"/>
              </w:rPr>
              <w:t>支架：适配一体机移动支架"</w:t>
            </w:r>
            <w:r>
              <w:rPr>
                <w:rStyle w:val="290"/>
                <w:color w:val="auto"/>
                <w:lang w:val="en-US" w:eastAsia="zh-CN" w:bidi="ar"/>
              </w:rPr>
              <w:br w:type="textWrapping"/>
            </w:r>
            <w:r>
              <w:rPr>
                <w:rStyle w:val="290"/>
                <w:color w:val="auto"/>
                <w:lang w:val="en-US" w:eastAsia="zh-CN" w:bidi="ar"/>
              </w:rPr>
              <w:t>适配教学软件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32" w:type="dxa"/>
            <w:gridSpan w:val="5"/>
            <w:tcBorders>
              <w:top w:val="single" w:color="000000" w:sz="4" w:space="0"/>
              <w:bottom w:val="single" w:color="000000" w:sz="4" w:space="0"/>
            </w:tcBorders>
            <w:noWrap w:val="0"/>
            <w:vAlign w:val="center"/>
          </w:tcPr>
          <w:p>
            <w:pP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安保器械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防爆盾牌</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PC材质，不小于50cm×90cm，厚度不小于5.0mm。透光率≥85%，耐冲击强度：≥147J动能冲击标准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防刺服</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内胆材质：高强度弹簧钢片/高分子量聚乙烯纤维。防护等级：≥24J动能；尺码：均满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防爆头盔</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高分子PC聚酯/玻璃钢，符合GB2811-2007安全部标准;结构：壳体（佩戴装置），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防爆棍</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优质橡胶棍，≥50cm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防割手套</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均码，5级户外防割手套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强光手电</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≥240流明。射程：≥200m；材质：铝合金；≥2档可调焦；连续照明时间：≥2小时。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防爆钢叉</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长≥2m，外径：≥32mm；壁厚≥1.2mm，材质：不锈钢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武装带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合成皮，厚≥4mm，黑白两色可选，尺码可定制。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防爆装备柜</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约长1200×宽400×高1600mm防爆装备柜；握把连接强度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≥500N。防爆器材柜整体采用1mm钢板制作；柜体采用全焊接；透视窗采用透明聚碳酸脂PC材料：透光率：84%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32" w:type="dxa"/>
            <w:gridSpan w:val="5"/>
            <w:tcBorders>
              <w:top w:val="single" w:color="000000" w:sz="4" w:space="0"/>
              <w:bottom w:val="single" w:color="000000" w:sz="4" w:space="0"/>
            </w:tcBorders>
            <w:noWrap w:val="0"/>
            <w:vAlign w:val="center"/>
          </w:tcPr>
          <w:p>
            <w:pP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多功能厅led屏及扩声设备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室内全彩显示屏</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1）小间距LED全彩显示屏；3.83m×2.88(净显示尺寸）</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2）像素间距：小于等于1.538mm；</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3）模组分辨率：208×104，模组尺寸：320 x 160;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4）像素密度：422500点/㎡ ；</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5）光学参数：显示屏亮度≥600cd/㎡，色温8000K—19000K可调，水平、垂直视角160°，亮度均匀性≥97%，色度均匀性±0.003Cx,Cy之内，最大对比度≥4000:1；刷新率：3840Hz</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6）电气参数：峰值功耗650W/㎡，平均功耗＜170W/㎡，供电要求220-240VAC；</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7工作温度范围0—40℃，存储温度范围-20—60℃，工作湿度范围（RH）无结露10-60%，存储湿度范围（RH）无结露10-80%。8）功能特性：支持任意方向、任意尺寸、任意造型拼接，画面均匀一致，无黑线，实现真正无缝拼接。</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视频服务器</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网口输出的集视频处理、视频控制功能于一体的 LED 视频控制器。单设备最大带载 390 万像素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点，最大宽度可达 10240 像素，最高 8192 像素，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带载分辨率：2048×1152@60Hz或1920×1200@60Hz；</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可接收多类视频信号，具备高清图像处理能力，支持输出画面缩放、OSD、低延迟、逐点亮色度校正等</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功能，可提供优异的图像显示。</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16bit处理深度，低亮高灰，真实还原图像色彩；</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3840Hz高刷新率，纳秒级响应时间，视频画面更细腻流畅；</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支持屏幕亮度自动调整,自适应环境光亮度（配合多功能卡使用）；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图像色温调节，标准、冷、暖三色可调；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接收卡</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r>
              <w:rPr>
                <w:rStyle w:val="295"/>
                <w:color w:val="auto"/>
                <w:lang w:val="en-US" w:eastAsia="zh-CN" w:bidi="ar"/>
              </w:rPr>
              <w:t xml:space="preserve"> 集成 12 个标准 HUB75 接口，免接 HUB 板。</w:t>
            </w:r>
            <w:r>
              <w:rPr>
                <w:rStyle w:val="295"/>
                <w:color w:val="auto"/>
                <w:lang w:val="en-US" w:eastAsia="zh-CN" w:bidi="ar"/>
              </w:rPr>
              <w:br w:type="textWrapping"/>
            </w:r>
            <w:r>
              <w:rPr>
                <w:rStyle w:val="299"/>
                <w:rFonts w:eastAsia="宋体"/>
                <w:color w:val="auto"/>
                <w:lang w:val="en-US" w:eastAsia="zh-CN" w:bidi="ar"/>
              </w:rPr>
              <w:t>•</w:t>
            </w:r>
            <w:r>
              <w:rPr>
                <w:rStyle w:val="295"/>
                <w:color w:val="auto"/>
                <w:lang w:val="en-US" w:eastAsia="zh-CN" w:bidi="ar"/>
              </w:rPr>
              <w:t xml:space="preserve"> 采用千兆网口，可以连接 PC 端。</w:t>
            </w:r>
            <w:r>
              <w:rPr>
                <w:rStyle w:val="295"/>
                <w:color w:val="auto"/>
                <w:lang w:val="en-US" w:eastAsia="zh-CN" w:bidi="ar"/>
              </w:rPr>
              <w:br w:type="textWrapping"/>
            </w:r>
            <w:r>
              <w:rPr>
                <w:rStyle w:val="299"/>
                <w:rFonts w:eastAsia="宋体"/>
                <w:color w:val="auto"/>
                <w:lang w:val="en-US" w:eastAsia="zh-CN" w:bidi="ar"/>
              </w:rPr>
              <w:t>•</w:t>
            </w:r>
            <w:r>
              <w:rPr>
                <w:rStyle w:val="295"/>
                <w:color w:val="auto"/>
                <w:lang w:val="en-US" w:eastAsia="zh-CN" w:bidi="ar"/>
              </w:rPr>
              <w:t xml:space="preserve"> 支持逐点亮色度校正。</w:t>
            </w:r>
            <w:r>
              <w:rPr>
                <w:rStyle w:val="295"/>
                <w:color w:val="auto"/>
                <w:lang w:val="en-US" w:eastAsia="zh-CN" w:bidi="ar"/>
              </w:rPr>
              <w:br w:type="textWrapping"/>
            </w:r>
            <w:r>
              <w:rPr>
                <w:rStyle w:val="299"/>
                <w:rFonts w:eastAsia="宋体"/>
                <w:color w:val="auto"/>
                <w:lang w:val="en-US" w:eastAsia="zh-CN" w:bidi="ar"/>
              </w:rPr>
              <w:t>•</w:t>
            </w:r>
            <w:r>
              <w:rPr>
                <w:rStyle w:val="295"/>
                <w:color w:val="auto"/>
                <w:lang w:val="en-US" w:eastAsia="zh-CN" w:bidi="ar"/>
              </w:rPr>
              <w:t xml:space="preserve"> 支持接收卡预存画面设置。</w:t>
            </w:r>
            <w:r>
              <w:rPr>
                <w:rStyle w:val="295"/>
                <w:color w:val="auto"/>
                <w:lang w:val="en-US" w:eastAsia="zh-CN" w:bidi="ar"/>
              </w:rPr>
              <w:br w:type="textWrapping"/>
            </w:r>
            <w:r>
              <w:rPr>
                <w:rStyle w:val="299"/>
                <w:rFonts w:eastAsia="宋体"/>
                <w:color w:val="auto"/>
                <w:lang w:val="en-US" w:eastAsia="zh-CN" w:bidi="ar"/>
              </w:rPr>
              <w:t>•</w:t>
            </w:r>
            <w:r>
              <w:rPr>
                <w:rStyle w:val="295"/>
                <w:color w:val="auto"/>
                <w:lang w:val="en-US" w:eastAsia="zh-CN" w:bidi="ar"/>
              </w:rPr>
              <w:t xml:space="preserve"> 支持温度、电压、网线通讯和视频源信号状态检测。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36</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电源</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适配电源模块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36</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LED辅材配件</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 框架结构</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2）包边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11.74</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配套设备</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LED专用组装配电柜</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备品</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含模组、接收卡、电源</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屏体线材</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屏体内线材配件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主音箱</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系统类型：8”两分频低频频率响应（±3dB）：75Hz-15kHz灵敏度（1w@1m）：90dB额定阻抗：8Ω最大声压级输出（1m）：112dB长期最大功率（118dB峰值）额定功率：150W覆盖角：150°×120°（H×V）低音单元：1×8”低音单元高音单元：2×3”高音单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功率放大器</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采用不小于2.1寸LCD彩色液晶屏显示；输出功率：500W/8Ω*2；信噪比：＞103dB失真度：＜0.01%灵敏度：0.775v/1.0v/1.4v输入阻抗(Ω)：20KΩ平衡Balance阻尼系数：＞200/8Ω频率响应：20Hz-20KHz(+0dB~-0.5dB,1kHz)；通道分离度：＞95dB；冷却方式：风扇；功放保护：具有短路、过流、欠压、过压和过温保护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调音台</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总输入通道：12路单声道/立体声道：4/4话放数量：4幻象电源：+48V单通道均衡：3段控制方式：旋钮USB声卡接口：2入/2出单通道压缩按钮：4个LED电平指示灯：2X4段效果/辅助送出：1FX送出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无线话筒</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中英文菜单切换,2.双色大屏显示工作状态和异常状态.3.单发射双接收一拖二无线话筒，四天线信号接收，主机、发射均带用电量显示。4.自动扫频搜索200米频率并锁定使用.5.发射手持金属外壳。6.接收机：8.频率振荡：PLL锁相环回路，7.通道组数：双通道，频率范围:600-900MHZ最大频道数:200频带宽度:50MHz信噪比:&gt;105dB(A)失真度:&lt;1%音频输出电平:8dBumax10.电源要求:12-16V直流,电流500MA,由外接电源供电，稳定接收130米。9.频率范围:600-900MHZ频带宽度:50MHZ13.谐波抑制:&gt;55dBc14.最大频偏:±48KHZ15.频率响应:50Hz-15KHz(-3dB)10.信噪比:&gt;105dB(A)11.失真度:&lt;1%12.电池要求:AA型1.5Vx2碱性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话筒支架</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三脚落地伸缩支架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8路电源时序器（带空气开关）</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8路电源时序器（带空气开关）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机柜</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24U,标准机柜.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音箱吊架</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万向可调音箱安装支架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36</w:t>
            </w:r>
          </w:p>
        </w:tc>
        <w:tc>
          <w:tcPr>
            <w:tcW w:w="122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安装调试</w:t>
            </w:r>
          </w:p>
        </w:tc>
        <w:tc>
          <w:tcPr>
            <w:tcW w:w="494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安装调试</w:t>
            </w:r>
          </w:p>
        </w:tc>
        <w:tc>
          <w:tcPr>
            <w:tcW w:w="10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35" w:type="dxa"/>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w:t>
            </w:r>
          </w:p>
        </w:tc>
      </w:tr>
    </w:tbl>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tbl>
      <w:tblPr>
        <w:tblStyle w:val="26"/>
        <w:tblW w:w="8865"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0"/>
        <w:gridCol w:w="1277"/>
        <w:gridCol w:w="1034"/>
        <w:gridCol w:w="3543"/>
        <w:gridCol w:w="1036"/>
        <w:gridCol w:w="1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865" w:type="dxa"/>
            <w:gridSpan w:val="6"/>
            <w:tcBorders>
              <w:bottom w:val="single" w:color="000000" w:sz="4" w:space="0"/>
            </w:tcBorders>
            <w:noWrap/>
            <w:vAlign w:val="center"/>
          </w:tcPr>
          <w:p>
            <w:pPr>
              <w:jc w:val="center"/>
              <w:rPr>
                <w:rFonts w:hint="eastAsia" w:ascii="仿宋" w:hAnsi="仿宋" w:eastAsia="仿宋" w:cs="仿宋"/>
                <w:b/>
                <w:bCs/>
                <w:i w:val="0"/>
                <w:iCs w:val="0"/>
                <w:color w:val="auto"/>
                <w:sz w:val="40"/>
                <w:szCs w:val="40"/>
                <w:u w:val="none"/>
              </w:rPr>
            </w:pPr>
            <w:r>
              <w:rPr>
                <w:rFonts w:hint="eastAsia" w:ascii="仿宋" w:hAnsi="仿宋" w:eastAsia="仿宋" w:cs="仿宋"/>
                <w:b/>
                <w:bCs/>
                <w:i w:val="0"/>
                <w:iCs w:val="0"/>
                <w:color w:val="auto"/>
                <w:kern w:val="0"/>
                <w:sz w:val="40"/>
                <w:szCs w:val="40"/>
                <w:u w:val="none"/>
                <w:lang w:val="en-US" w:eastAsia="zh-CN" w:bidi="ar"/>
              </w:rPr>
              <w:t>办公家具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名称</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技术要求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865" w:type="dxa"/>
            <w:gridSpan w:val="6"/>
            <w:tcBorders>
              <w:top w:val="single" w:color="000000" w:sz="4" w:space="0"/>
              <w:bottom w:val="single" w:color="000000" w:sz="4" w:space="0"/>
            </w:tcBorders>
            <w:noWrap w:val="0"/>
            <w:vAlign w:val="center"/>
          </w:tcPr>
          <w:p>
            <w:pP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一楼办公家具配置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教职工餐厅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餐桌椅</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不小于600*600*750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(一桌两椅)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餐桌椅</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不小于1600*800*750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(一桌4椅)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教具制作室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简洁办公桌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档案柜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医务保健室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档案柜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档案柜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200" w:type="dxa"/>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物资储存室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档案柜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200"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置物架</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不小于2000*500*2000mm，架钢制储物置架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警卫室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档案柜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单人床</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不小于1200*2000*450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65" w:type="dxa"/>
            <w:gridSpan w:val="6"/>
            <w:tcBorders>
              <w:top w:val="single" w:color="000000" w:sz="4" w:space="0"/>
              <w:bottom w:val="single" w:color="000000" w:sz="4" w:space="0"/>
            </w:tcBorders>
            <w:noWrap w:val="0"/>
            <w:vAlign w:val="center"/>
          </w:tcPr>
          <w:p>
            <w:pP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二楼办公家具配置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园长办公室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园长办公桌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不小于1800*1400*750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沙发</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三人位带茶几1800*800*450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备课室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简洁办公桌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不小于4700*1500*750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会议椅</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财务室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120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物资储存室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120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置物架</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不小于2000*500*2000mm，架钢制储物置架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保教办公室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党建室（教研室）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65" w:type="dxa"/>
            <w:gridSpan w:val="6"/>
            <w:tcBorders>
              <w:top w:val="single" w:color="000000" w:sz="4" w:space="0"/>
              <w:bottom w:val="single" w:color="000000" w:sz="4" w:space="0"/>
            </w:tcBorders>
            <w:noWrap w:val="0"/>
            <w:vAlign w:val="center"/>
          </w:tcPr>
          <w:p>
            <w:pP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三楼办公家具配置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副园长办公室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副园长办公桌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不小于1800*1400*750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auto"/>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沙发</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三人位带茶几1800*800*450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备课室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简洁办公桌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不小于1200*600*750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椅子</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不小于900*450*500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12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档案室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不小于800*400*2000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多功能厅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条桌</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不小于1400*400*750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0" w:type="auto"/>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w:t>
            </w:r>
          </w:p>
        </w:tc>
        <w:tc>
          <w:tcPr>
            <w:tcW w:w="1200" w:type="dxa"/>
            <w:vMerge w:val="continue"/>
            <w:tcBorders>
              <w:top w:val="single" w:color="000000" w:sz="4" w:space="0"/>
              <w:left w:val="single" w:color="000000" w:sz="4" w:space="0"/>
              <w:right w:val="single" w:color="000000" w:sz="4" w:space="0"/>
            </w:tcBorders>
            <w:noWrap w:val="0"/>
            <w:vAlign w:val="center"/>
          </w:tcPr>
          <w:p>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会议椅子</w:t>
            </w:r>
          </w:p>
        </w:tc>
        <w:tc>
          <w:tcPr>
            <w:tcW w:w="33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不小于700*450*500</w:t>
            </w:r>
          </w:p>
        </w:tc>
        <w:tc>
          <w:tcPr>
            <w:tcW w:w="10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1080" w:type="dxa"/>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r>
    </w:tbl>
    <w:tbl>
      <w:tblPr>
        <w:tblStyle w:val="26"/>
        <w:tblpPr w:leftFromText="180" w:rightFromText="180" w:vertAnchor="text" w:horzAnchor="page" w:tblpX="1902" w:tblpY="623"/>
        <w:tblOverlap w:val="never"/>
        <w:tblW w:w="8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2"/>
        <w:gridCol w:w="2294"/>
        <w:gridCol w:w="3585"/>
        <w:gridCol w:w="814"/>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厨房炊具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1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22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名称</w:t>
            </w:r>
          </w:p>
        </w:tc>
        <w:tc>
          <w:tcPr>
            <w:tcW w:w="358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技术要求</w:t>
            </w:r>
          </w:p>
        </w:tc>
        <w:tc>
          <w:tcPr>
            <w:tcW w:w="81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81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内径31cm带盖调料盒</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内径31cm，304不锈钢材质。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内径28cm带盖调料盒</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内径28cm，304不锈钢材质。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内径20cm带盖调料盒</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内径20cm，304不锈钢材质。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案板</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整木60*40*3cm，水果、生菜、熟菜、生肉、熟肉。</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刀</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7件套，水果1个、生菜2个、生肉2个、熟菜2个、熟肉2个。</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砍刀</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砍骨刀斩骨刀剁骨刀大骨，304不锈钢材质。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刀架</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每个刀架放置4把刀，304不锈钢材质。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内径51cm盛菜盆</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内径51cm，304不锈钢材质。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内径43cm盛菜盆</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内径43cm，304不锈钢材质。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蔬菜筐</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长45cm 宽35cm 高18cm</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11</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控水篮</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长43cm 宽34cm 高16cm</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带盖米缸</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内径46cm,高43cm</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13</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带盖面缸</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内径46cm,高43cm</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不带盖小盆</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内径30cm,高度16cm，304不锈钢材质。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不带盖小碗</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内径20cm,高度10cm，304不锈钢材质。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炒菜锨</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长1.07m，304不锈钢材质。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17</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炒菜勺</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长51cm，304不锈钢材质。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炒菜铲</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长56cm，304不锈钢材质。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19</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打汤桶</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35*35CM</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鸳鸯盆</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直径36CM，304不锈钢材质。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21</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打餐盆</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直径32cm，304不锈钢材质。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22</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打餐勺</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勺直径10.5cm，总长39cm。4两木柄勺，勺直径10.5cm，总长39cm，班级打菜、打汤每班各一个，厨房用2个。</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23</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带盖塑料盒</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长35cm 宽27cm 高16cm</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25</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24</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打汤桶</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内径46cm,高43cm，304不锈钢材质。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25</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漏勺</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长60cm，304不锈钢材质。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26</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控油漏勺</w:t>
            </w:r>
          </w:p>
        </w:tc>
        <w:tc>
          <w:tcPr>
            <w:tcW w:w="3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长50cm，304不锈钢材质。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个</w:t>
            </w:r>
          </w:p>
        </w:tc>
      </w:tr>
    </w:tbl>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p>
      <w:pPr>
        <w:jc w:val="center"/>
        <w:rPr>
          <w:rFonts w:hint="eastAsia" w:ascii="宋体" w:hAnsi="宋体" w:eastAsia="宋体" w:cs="宋体"/>
          <w:b/>
          <w:bCs/>
          <w:i w:val="0"/>
          <w:iCs w:val="0"/>
          <w:color w:val="auto"/>
          <w:kern w:val="0"/>
          <w:sz w:val="32"/>
          <w:szCs w:val="32"/>
          <w:u w:val="none"/>
          <w:lang w:val="en-US" w:eastAsia="zh-CN" w:bidi="ar"/>
        </w:rPr>
      </w:pPr>
    </w:p>
    <w:tbl>
      <w:tblPr>
        <w:tblStyle w:val="26"/>
        <w:tblW w:w="82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
        <w:gridCol w:w="875"/>
        <w:gridCol w:w="4997"/>
        <w:gridCol w:w="875"/>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297" w:type="dxa"/>
            <w:gridSpan w:val="5"/>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i w:val="0"/>
                <w:iCs w:val="0"/>
                <w:color w:val="auto"/>
                <w:sz w:val="40"/>
                <w:szCs w:val="40"/>
                <w:u w:val="none"/>
              </w:rPr>
            </w:pPr>
            <w:r>
              <w:rPr>
                <w:rFonts w:hint="eastAsia" w:ascii="仿宋" w:hAnsi="仿宋" w:eastAsia="仿宋" w:cs="仿宋"/>
                <w:b/>
                <w:bCs/>
                <w:i w:val="0"/>
                <w:iCs w:val="0"/>
                <w:color w:val="auto"/>
                <w:kern w:val="0"/>
                <w:sz w:val="40"/>
                <w:szCs w:val="40"/>
                <w:u w:val="none"/>
                <w:lang w:val="en-US" w:eastAsia="zh-CN" w:bidi="ar"/>
              </w:rPr>
              <w:t>窗帘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名称</w:t>
            </w:r>
          </w:p>
        </w:tc>
        <w:tc>
          <w:tcPr>
            <w:tcW w:w="4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技术要求</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标准教室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遮光窗帘</w:t>
            </w:r>
          </w:p>
        </w:tc>
        <w:tc>
          <w:tcPr>
            <w:tcW w:w="4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面料材质为棉麻 轨道材质为铝合金  安装方式分为顶装轨道和侧装轨道两种  窗帘制作工艺为韩折对开或者韩折单开 面料折光率百分之九十五以上，双倍褶皱，含轨道。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办公室及其他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遮光窗帘</w:t>
            </w:r>
          </w:p>
        </w:tc>
        <w:tc>
          <w:tcPr>
            <w:tcW w:w="4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面料材质为棉麻 轨道材质为铝合金  安装方式分为顶装轨道和侧装轨道两种  窗帘制作工艺为韩折对开或者韩折单开 面料折光率百分之九十五以上，双倍褶皱，含轨道.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r>
    </w:tbl>
    <w:p>
      <w:pPr>
        <w:rPr>
          <w:color w:val="auto"/>
        </w:rPr>
      </w:pPr>
    </w:p>
    <w:p>
      <w:pPr>
        <w:rPr>
          <w:rStyle w:val="35"/>
          <w:rFonts w:hint="eastAsia" w:ascii="宋体" w:hAnsi="宋体" w:eastAsia="宋体" w:cs="宋体"/>
          <w:b/>
          <w:color w:val="auto"/>
          <w:kern w:val="2"/>
          <w:szCs w:val="24"/>
          <w:highlight w:val="none"/>
        </w:rPr>
      </w:pPr>
      <w:r>
        <w:rPr>
          <w:rStyle w:val="35"/>
          <w:rFonts w:hint="eastAsia" w:ascii="宋体" w:hAnsi="宋体" w:eastAsia="宋体" w:cs="宋体"/>
          <w:b/>
          <w:color w:val="auto"/>
          <w:kern w:val="2"/>
          <w:szCs w:val="24"/>
          <w:highlight w:val="none"/>
        </w:rPr>
        <w:br w:type="page"/>
      </w:r>
    </w:p>
    <w:p>
      <w:pPr>
        <w:spacing w:line="360" w:lineRule="auto"/>
        <w:jc w:val="center"/>
        <w:outlineLvl w:val="0"/>
        <w:rPr>
          <w:rStyle w:val="35"/>
          <w:rFonts w:hint="eastAsia" w:ascii="宋体" w:hAnsi="宋体" w:eastAsia="宋体" w:cs="宋体"/>
          <w:b/>
          <w:color w:val="auto"/>
          <w:kern w:val="2"/>
          <w:sz w:val="40"/>
          <w:szCs w:val="40"/>
          <w:highlight w:val="none"/>
        </w:rPr>
      </w:pPr>
      <w:bookmarkStart w:id="57" w:name="_Toc7857"/>
      <w:r>
        <w:rPr>
          <w:rStyle w:val="35"/>
          <w:rFonts w:hint="eastAsia" w:ascii="宋体" w:hAnsi="宋体" w:eastAsia="宋体" w:cs="宋体"/>
          <w:b/>
          <w:color w:val="auto"/>
          <w:kern w:val="2"/>
          <w:sz w:val="40"/>
          <w:szCs w:val="40"/>
          <w:highlight w:val="none"/>
        </w:rPr>
        <w:t>第五章 评标方法</w:t>
      </w:r>
      <w:bookmarkEnd w:id="57"/>
    </w:p>
    <w:p>
      <w:pPr>
        <w:spacing w:line="500" w:lineRule="exact"/>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一、评标方法</w:t>
      </w:r>
    </w:p>
    <w:p>
      <w:pPr>
        <w:spacing w:line="360" w:lineRule="auto"/>
        <w:ind w:firstLine="480"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zCs w:val="24"/>
          <w:highlight w:val="none"/>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Style w:val="35"/>
          <w:rFonts w:hint="eastAsia" w:ascii="宋体" w:hAnsi="宋体" w:eastAsia="宋体" w:cs="宋体"/>
          <w:color w:val="auto"/>
          <w:spacing w:val="4"/>
          <w:szCs w:val="24"/>
          <w:highlight w:val="none"/>
        </w:rPr>
        <w:t>本次评标采用</w:t>
      </w:r>
      <w:r>
        <w:rPr>
          <w:rStyle w:val="35"/>
          <w:rFonts w:hint="eastAsia" w:ascii="宋体" w:hAnsi="宋体" w:eastAsia="宋体" w:cs="宋体"/>
          <w:b/>
          <w:color w:val="auto"/>
          <w:spacing w:val="4"/>
          <w:szCs w:val="24"/>
          <w:highlight w:val="none"/>
        </w:rPr>
        <w:t>综合评分法</w:t>
      </w:r>
      <w:r>
        <w:rPr>
          <w:rStyle w:val="35"/>
          <w:rFonts w:hint="eastAsia" w:ascii="宋体" w:hAnsi="宋体" w:eastAsia="宋体" w:cs="宋体"/>
          <w:color w:val="auto"/>
          <w:spacing w:val="4"/>
          <w:szCs w:val="24"/>
          <w:highlight w:val="none"/>
        </w:rPr>
        <w:t>--</w:t>
      </w:r>
      <w:r>
        <w:rPr>
          <w:rStyle w:val="35"/>
          <w:rFonts w:hint="eastAsia" w:ascii="宋体" w:hAnsi="宋体" w:eastAsia="宋体" w:cs="宋体"/>
          <w:color w:val="auto"/>
          <w:szCs w:val="24"/>
          <w:highlight w:val="none"/>
        </w:rPr>
        <w:t>投标文件满足招标文件全部实质性要求，且按照评审因素的量化指标评审得分最高的供应商为中标候选人。</w:t>
      </w:r>
      <w:r>
        <w:rPr>
          <w:rStyle w:val="35"/>
          <w:rFonts w:hint="eastAsia" w:ascii="宋体" w:hAnsi="宋体" w:eastAsia="宋体" w:cs="宋体"/>
          <w:color w:val="auto"/>
          <w:spacing w:val="4"/>
          <w:szCs w:val="24"/>
          <w:highlight w:val="none"/>
        </w:rPr>
        <w:t>（最低报价不是中标的唯一标准）。</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二、评标委员会负责具体评标事务，并独立履行下列职责</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2.1审查、评价投标文件是否符合招标文件的商务、技术、合同条款等实质性要求；</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2.2要求供应商对投标文件有关事项作出澄清或者说明；</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2.3对投标文件进行比较和评价；</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2.4确定中标候选人名单，以及根据采购人委托直接确定中标供应商；</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2.5向采购人、采购代理机构或者有关部门报告评标中发现的违法行为。</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三、供应商有下列情形之一的，视为供应商串通投标，其投标无效</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3.1不同供应商的投标文件由同一单位或者个人编制；</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3.2不同供应商委托同一单位或者个人办理投标事宜；</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3.3不同供应商的投标文件载明的项目管理成员或者联系人员为同一人；</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3.4不同供应商的投标文件异常一致或者投标报价呈规律性差异；</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3.5不同供应商的投标文件相互混装。</w:t>
      </w:r>
    </w:p>
    <w:p>
      <w:pPr>
        <w:spacing w:line="500" w:lineRule="exact"/>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四、评审标准</w:t>
      </w:r>
    </w:p>
    <w:p>
      <w:pPr>
        <w:tabs>
          <w:tab w:val="left" w:pos="0"/>
        </w:tabs>
        <w:snapToGrid w:val="0"/>
        <w:spacing w:line="500" w:lineRule="exact"/>
        <w:ind w:firstLine="470" w:firstLineChars="196"/>
        <w:outlineLvl w:val="2"/>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4.1初步评审标准：</w:t>
      </w:r>
    </w:p>
    <w:p>
      <w:pPr>
        <w:tabs>
          <w:tab w:val="left" w:pos="0"/>
        </w:tabs>
        <w:snapToGrid w:val="0"/>
        <w:spacing w:line="500" w:lineRule="exact"/>
        <w:ind w:firstLine="470" w:firstLineChars="196"/>
        <w:outlineLvl w:val="3"/>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4.1.1资格评审标准：</w:t>
      </w:r>
    </w:p>
    <w:p>
      <w:pPr>
        <w:pStyle w:val="2"/>
        <w:rPr>
          <w:rStyle w:val="35"/>
          <w:rFonts w:hint="eastAsia" w:ascii="宋体" w:hAnsi="宋体" w:eastAsia="宋体" w:cs="宋体"/>
          <w:bCs/>
          <w:color w:val="auto"/>
          <w:szCs w:val="24"/>
          <w:highlight w:val="none"/>
        </w:rPr>
      </w:pPr>
    </w:p>
    <w:p>
      <w:pPr>
        <w:rPr>
          <w:rStyle w:val="35"/>
          <w:rFonts w:hint="eastAsia" w:ascii="宋体" w:hAnsi="宋体" w:eastAsia="宋体" w:cs="宋体"/>
          <w:bCs/>
          <w:color w:val="auto"/>
          <w:szCs w:val="24"/>
          <w:highlight w:val="none"/>
        </w:rPr>
      </w:pPr>
    </w:p>
    <w:p>
      <w:pPr>
        <w:pStyle w:val="2"/>
        <w:rPr>
          <w:rStyle w:val="35"/>
          <w:rFonts w:hint="eastAsia" w:ascii="宋体" w:hAnsi="宋体" w:eastAsia="宋体" w:cs="宋体"/>
          <w:bCs/>
          <w:color w:val="auto"/>
          <w:szCs w:val="24"/>
          <w:highlight w:val="none"/>
        </w:rPr>
      </w:pPr>
    </w:p>
    <w:p>
      <w:pPr>
        <w:rPr>
          <w:rStyle w:val="35"/>
          <w:rFonts w:hint="eastAsia" w:ascii="宋体" w:hAnsi="宋体" w:eastAsia="宋体" w:cs="宋体"/>
          <w:bCs/>
          <w:color w:val="auto"/>
          <w:szCs w:val="24"/>
          <w:highlight w:val="none"/>
        </w:rPr>
      </w:pPr>
    </w:p>
    <w:p>
      <w:pPr>
        <w:pStyle w:val="2"/>
        <w:rPr>
          <w:rFonts w:hint="eastAsia" w:ascii="宋体" w:hAnsi="宋体" w:eastAsia="宋体" w:cs="宋体"/>
          <w:color w:val="auto"/>
        </w:rPr>
      </w:pPr>
    </w:p>
    <w:p>
      <w:pPr>
        <w:spacing w:line="480" w:lineRule="exact"/>
        <w:ind w:firstLine="482" w:firstLineChars="200"/>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资格审查评审标准</w:t>
      </w:r>
    </w:p>
    <w:tbl>
      <w:tblPr>
        <w:tblStyle w:val="2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783"/>
        <w:gridCol w:w="5691"/>
        <w:gridCol w:w="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blHeader/>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kern w:val="28"/>
                <w:szCs w:val="24"/>
                <w:highlight w:val="none"/>
              </w:rPr>
            </w:pPr>
            <w:r>
              <w:rPr>
                <w:rStyle w:val="35"/>
                <w:rFonts w:hint="eastAsia" w:ascii="宋体" w:hAnsi="宋体" w:eastAsia="宋体" w:cs="宋体"/>
                <w:b/>
                <w:bCs/>
                <w:color w:val="auto"/>
                <w:kern w:val="28"/>
                <w:szCs w:val="24"/>
                <w:highlight w:val="none"/>
              </w:rPr>
              <w:t>资格审查项</w:t>
            </w:r>
          </w:p>
        </w:tc>
        <w:tc>
          <w:tcPr>
            <w:tcW w:w="569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kern w:val="28"/>
                <w:szCs w:val="24"/>
                <w:highlight w:val="none"/>
              </w:rPr>
            </w:pPr>
            <w:r>
              <w:rPr>
                <w:rStyle w:val="35"/>
                <w:rFonts w:hint="eastAsia" w:ascii="宋体" w:hAnsi="宋体" w:eastAsia="宋体" w:cs="宋体"/>
                <w:b/>
                <w:bCs/>
                <w:color w:val="auto"/>
                <w:kern w:val="28"/>
                <w:szCs w:val="24"/>
                <w:highlight w:val="none"/>
              </w:rPr>
              <w:t>通过条件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kern w:val="28"/>
                <w:szCs w:val="24"/>
                <w:highlight w:val="none"/>
              </w:rPr>
            </w:pPr>
            <w:r>
              <w:rPr>
                <w:rStyle w:val="35"/>
                <w:rFonts w:hint="eastAsia" w:ascii="宋体" w:hAnsi="宋体" w:eastAsia="宋体" w:cs="宋体"/>
                <w:color w:val="auto"/>
                <w:kern w:val="28"/>
                <w:szCs w:val="24"/>
                <w:highlight w:val="none"/>
              </w:rPr>
              <w:t>营业执照等主体资格证明文件</w:t>
            </w:r>
          </w:p>
        </w:tc>
        <w:tc>
          <w:tcPr>
            <w:tcW w:w="5691"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提供合格有效的法人或者其他组织的营业执照等证明文件，自然人的身份证明；</w:t>
            </w:r>
          </w:p>
          <w:p>
            <w:pPr>
              <w:pStyle w:val="34"/>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评审依据：供应商是法人或其他组织的应提供营业执照等证明文件，供应商是自然人的应提供有效的自然人身份证明。证明材料复印件加盖供应商公章</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履行合同承诺函</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提供具有履行合同所必需的设备和专业技术能力的承诺函。</w:t>
            </w:r>
          </w:p>
          <w:p>
            <w:pPr>
              <w:rPr>
                <w:rFonts w:hint="eastAsia" w:ascii="宋体" w:hAnsi="宋体" w:eastAsia="宋体" w:cs="宋体"/>
                <w:color w:val="auto"/>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评审依据：投标文件中所附证明材料原件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szCs w:val="24"/>
                <w:highlight w:val="none"/>
              </w:rPr>
              <w:t>无重大违法记录书面声明</w:t>
            </w:r>
          </w:p>
        </w:tc>
        <w:tc>
          <w:tcPr>
            <w:tcW w:w="5691" w:type="dxa"/>
            <w:tcBorders>
              <w:top w:val="single" w:color="000000" w:sz="4" w:space="0"/>
              <w:left w:val="single" w:color="000000" w:sz="4" w:space="0"/>
              <w:bottom w:val="single" w:color="000000" w:sz="4" w:space="0"/>
              <w:right w:val="single" w:color="000000" w:sz="4" w:space="0"/>
            </w:tcBorders>
            <w:vAlign w:val="center"/>
          </w:tcPr>
          <w:p>
            <w:pPr>
              <w:pStyle w:val="76"/>
              <w:ind w:left="0" w:leftChars="0"/>
              <w:rPr>
                <w:rStyle w:val="35"/>
                <w:rFonts w:hint="eastAsia" w:ascii="宋体" w:hAnsi="宋体" w:eastAsia="宋体" w:cs="宋体"/>
                <w:b w:val="0"/>
                <w:bCs w:val="0"/>
                <w:color w:val="auto"/>
                <w:szCs w:val="24"/>
                <w:highlight w:val="none"/>
              </w:rPr>
            </w:pPr>
            <w:r>
              <w:rPr>
                <w:rStyle w:val="35"/>
                <w:rFonts w:hint="eastAsia" w:ascii="宋体" w:hAnsi="宋体" w:eastAsia="宋体" w:cs="宋体"/>
                <w:b w:val="0"/>
                <w:bCs w:val="0"/>
                <w:color w:val="auto"/>
                <w:szCs w:val="24"/>
                <w:highlight w:val="none"/>
              </w:rPr>
              <w:t>参加本次政府采购活动前3年内在经营活动中没有重大违法记录，以及未被列入失信被执行人、重大税收违法案件当事人名单、政府采购严重违法失信行为记录名单的书面声明。</w:t>
            </w:r>
          </w:p>
          <w:p>
            <w:pPr>
              <w:pStyle w:val="76"/>
              <w:ind w:left="0" w:leftChars="0"/>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评审依据：投标文件中所附证明材料原件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法定代表人身份证明/法定代表人授权委托书</w:t>
            </w:r>
          </w:p>
        </w:tc>
        <w:tc>
          <w:tcPr>
            <w:tcW w:w="5691" w:type="dxa"/>
            <w:tcBorders>
              <w:top w:val="single" w:color="000000" w:sz="4" w:space="0"/>
              <w:left w:val="single" w:color="000000" w:sz="4" w:space="0"/>
              <w:bottom w:val="single" w:color="000000" w:sz="4" w:space="0"/>
              <w:right w:val="single" w:color="000000" w:sz="4" w:space="0"/>
            </w:tcBorders>
            <w:vAlign w:val="center"/>
          </w:tcPr>
          <w:p>
            <w:pPr>
              <w:pStyle w:val="34"/>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法定代表人参加投标的，须提供本人身份证复印件（附在资格证明文件中）并出示身份证原件；法定代表人授权他人参加投标的，须提供法定代表人委托授权书并出示被授权代表的身份证原件。招标文件中凡是需要法定代表人签字或盖章之处，非法人单位的负责人均参照执行。</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信用记录</w:t>
            </w:r>
          </w:p>
        </w:tc>
        <w:tc>
          <w:tcPr>
            <w:tcW w:w="5691" w:type="dxa"/>
            <w:tcBorders>
              <w:top w:val="single" w:color="000000" w:sz="4" w:space="0"/>
              <w:left w:val="single" w:color="000000" w:sz="4" w:space="0"/>
              <w:bottom w:val="single" w:color="000000" w:sz="4" w:space="0"/>
              <w:right w:val="single" w:color="000000" w:sz="4" w:space="0"/>
            </w:tcBorders>
            <w:vAlign w:val="center"/>
          </w:tcPr>
          <w:p>
            <w:pPr>
              <w:wordWrap w:val="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提供《供应商信用记录书面声明函》（按格式填写，提供原件）。经查，供应商未被列入“信用中国”网站记录的“失信被执行人”或“重大税收违法案件当事人”名单；不处于“中国政府采购网”记录的“政府采购严重违法失信行为记录名单 ”中的禁止参加政府采购活动期间。</w:t>
            </w:r>
          </w:p>
          <w:p>
            <w:pPr>
              <w:rPr>
                <w:rFonts w:hint="eastAsia" w:ascii="宋体" w:hAnsi="宋体" w:eastAsia="宋体" w:cs="宋体"/>
                <w:color w:val="auto"/>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评审依据：投标文件中所附证明材料及网查信息为准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控股管理关系</w:t>
            </w:r>
          </w:p>
        </w:tc>
        <w:tc>
          <w:tcPr>
            <w:tcW w:w="5691"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单位负责人为同一人或者存在直接控股、管理关系的供应商，不得参加同一合同下的政府采购活动。</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供应商书面声明</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供应商未为本项目提供整体设计、规范编制或者项目管理、监理、检测等服务的书面声明。</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本项目不接受联合体投标，不允许分包</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符合招标文件要求。</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备注：以上资格证明材料需提供合格有效的证明材料，证明材料提供不全或签字盖章不符合要求的，均属于未按招标文件要求提供证明文件，不得通过资格审查。</w:t>
            </w:r>
          </w:p>
        </w:tc>
      </w:tr>
    </w:tbl>
    <w:p>
      <w:pPr>
        <w:tabs>
          <w:tab w:val="left" w:pos="0"/>
        </w:tabs>
        <w:snapToGrid w:val="0"/>
        <w:spacing w:line="500" w:lineRule="exact"/>
        <w:ind w:firstLine="470" w:firstLineChars="196"/>
        <w:outlineLvl w:val="3"/>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4.1.2符合性评审标准：</w:t>
      </w:r>
    </w:p>
    <w:p>
      <w:pPr>
        <w:spacing w:line="480" w:lineRule="exact"/>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符合性审查评审标准</w:t>
      </w:r>
    </w:p>
    <w:tbl>
      <w:tblPr>
        <w:tblStyle w:val="2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789"/>
        <w:gridCol w:w="5453"/>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符合性审查项</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审查标准</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投标文件的签署、盖章</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Cs/>
                <w:color w:val="auto"/>
                <w:szCs w:val="24"/>
                <w:highlight w:val="none"/>
              </w:rPr>
            </w:pPr>
            <w:r>
              <w:rPr>
                <w:rStyle w:val="35"/>
                <w:rFonts w:hint="eastAsia" w:ascii="宋体" w:hAnsi="宋体" w:eastAsia="宋体" w:cs="宋体"/>
                <w:color w:val="auto"/>
                <w:szCs w:val="24"/>
                <w:highlight w:val="none"/>
              </w:rPr>
              <w:t>投标报价</w:t>
            </w:r>
          </w:p>
        </w:tc>
        <w:tc>
          <w:tcPr>
            <w:tcW w:w="5453"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（1）投标报价符合唯一性要求：</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（2）开标一览表填写符合要求；</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（3）计量单位、报价货币均符合招标文件要求；</w:t>
            </w:r>
          </w:p>
          <w:p>
            <w:pPr>
              <w:rPr>
                <w:rStyle w:val="35"/>
                <w:rFonts w:hint="eastAsia" w:ascii="宋体" w:hAnsi="宋体" w:eastAsia="宋体" w:cs="宋体"/>
                <w:bCs/>
                <w:color w:val="auto"/>
                <w:szCs w:val="24"/>
                <w:highlight w:val="none"/>
              </w:rPr>
            </w:pPr>
            <w:r>
              <w:rPr>
                <w:rStyle w:val="35"/>
                <w:rFonts w:hint="eastAsia" w:ascii="宋体" w:hAnsi="宋体" w:eastAsia="宋体" w:cs="宋体"/>
                <w:color w:val="auto"/>
                <w:szCs w:val="24"/>
                <w:highlight w:val="none"/>
              </w:rPr>
              <w:t>（4）未超出采购预算或招标文件规定的最高限价。</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交货期</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投标有效期</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对招标文件响应程度</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要求实质性条款全部响应，不能有采购人不能接受的附加条件</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无其他招标文件或法规明确规定响应无效的事项</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没有不符合招标文件规定的被视为无效响应的其他条款。</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备注：以上要求，有一项不符合评审标准的，评标委员会应当否决其投标。</w:t>
            </w:r>
          </w:p>
        </w:tc>
      </w:tr>
    </w:tbl>
    <w:p>
      <w:pPr>
        <w:tabs>
          <w:tab w:val="left" w:pos="0"/>
        </w:tabs>
        <w:snapToGrid w:val="0"/>
        <w:spacing w:line="500" w:lineRule="exact"/>
        <w:ind w:firstLine="470" w:firstLineChars="196"/>
        <w:outlineLvl w:val="2"/>
        <w:rPr>
          <w:rStyle w:val="35"/>
          <w:rFonts w:hint="eastAsia" w:ascii="宋体" w:hAnsi="宋体" w:eastAsia="宋体" w:cs="宋体"/>
          <w:b/>
          <w:color w:val="auto"/>
          <w:szCs w:val="24"/>
          <w:highlight w:val="none"/>
        </w:rPr>
      </w:pPr>
      <w:r>
        <w:rPr>
          <w:rStyle w:val="35"/>
          <w:rFonts w:hint="eastAsia" w:ascii="宋体" w:hAnsi="宋体" w:eastAsia="宋体" w:cs="宋体"/>
          <w:bCs/>
          <w:color w:val="auto"/>
          <w:szCs w:val="24"/>
          <w:highlight w:val="none"/>
        </w:rPr>
        <w:t>4.2分值构成与评分标准</w:t>
      </w:r>
      <w:r>
        <w:rPr>
          <w:rStyle w:val="35"/>
          <w:rFonts w:hint="eastAsia" w:ascii="宋体" w:hAnsi="宋体" w:eastAsia="宋体" w:cs="宋体"/>
          <w:b/>
          <w:color w:val="auto"/>
          <w:szCs w:val="24"/>
          <w:highlight w:val="none"/>
        </w:rPr>
        <w:t>:</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88"/>
        <w:gridCol w:w="711"/>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Header/>
          <w:jc w:val="center"/>
        </w:trPr>
        <w:tc>
          <w:tcPr>
            <w:tcW w:w="232"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640"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评审因素</w:t>
            </w:r>
          </w:p>
        </w:tc>
        <w:tc>
          <w:tcPr>
            <w:tcW w:w="383"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分值</w:t>
            </w:r>
          </w:p>
        </w:tc>
        <w:tc>
          <w:tcPr>
            <w:tcW w:w="3744"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000" w:type="pct"/>
            <w:gridSpan w:val="4"/>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40"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383"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满足招标文件要求且评审报价最低的报价为评标基准价，其价格分为满分。其他供应商的价格分统一按照下列公式计算：</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投标报价得分=（评标基准价/有效投标报价）×30的公式计算其得分。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投标报价不完整的，不进入评标基准价的计算，本项得0分。符合招标文件规定的中小微企业、监狱企业、残疾人福利企业优惠条件的供应商，价格给予10%的扣除，用扣除后的价格参与评审。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widowControl w:val="0"/>
              <w:spacing w:line="288" w:lineRule="auto"/>
              <w:textAlignment w:val="auto"/>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产品选型</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投标产品选型合理，性能稳定，具有较好的使用效果。按产品优劣计1-3分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p>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技术参数</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投标设备（产品）参数、规格型号、性能等技术说明资料，产品彩页（如有）、所投产品检测报告表述清楚明确、充分。满足招标文件要求得20分，技术参数每负偏离1项扣1分，扣完为止。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供货渠道</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产品及备品备件货源渠道正规、供应充足，产地及制造商明确，货物来源渠道正规可追溯，提供相关证明材料(包括但不限于通过权威机构出具的检测报告复印件加盖厂家公章)。</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全面、完整、详尽的得4（含）-6分；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比较全面、完整、详尽的得2（含）-4分；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不完整的得0-2分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质量保证</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产品进货渠道正常，提供所投产品来源渠道合法的证明文件（包括但不限于销售协议、代理协议、原厂授权等），根据所投产品来源渠证明文件齐全完整度进行综合评审，得0</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实施方案</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1.针对本项目拟投入人员、人员安排有具体方案，分工合理、责任明确，能确保项目顺利实施。按其响应程度计0-4分。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2.供应商针对本项目有具体的供货组织安排，从仓储、运输、派送措施等方面，提供详细的实施方案和供货计划表，能确保按期交货，根据其响应程度计0-6分。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项目进度</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项目进度计划安排具体，实施人员落实到位，进度协调配套措施得力，按其响应程度计0-5分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网机构的设定（须提供规模、分布情况，机构正常运行情况的相关证明材料）,根据本项目及采购人实际需求提供具体可行的售后服务方案（拟投入售后服务人员配置情况、日常维护、应急预案、故障响应时间及应对措施，质量保证范围等，能有效保障本地化技术服务及售后服务的协调性、及时性）。</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售后服务方案内容具体、完整、详细、全面，具有可行性的计3（含）-5分；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售后服务方案内容欠缺、描述简单、可行性一般的计0-3分；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培训</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供应商提供的培训方案全面、完整、可行、有针对性。培训内容有层次，培训方式适当，能够保障使用单位能熟练操作维护和正常使用，根据培训方案的优劣情况赋1-5分。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2020年3月至今类似项目所投产品业绩，每提供一份得2分，满分10分；</w:t>
            </w:r>
          </w:p>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业绩证明（以投标文件中的合同复印件为准，原件备查；弄虚作假者取消其中标、成交资格）。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节能环保产品</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产品为节能、环境标志产品品目清单中优先采购的产品，须提供国家确定的认证机构出具的、处于有效期之内的节能、环境标志产品认证证书，每提供一个得0.5分，满分2分。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1、各评委应按照本评标方法独立打分。</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2、分项评分超出评分标准范围或评标委员会成员对客观评审因素评分不一致时，采购代理机构可以要求评标委员会复核或者书面说明理由，评标委员会拒绝的，应予记录并向本级财政部门报告。</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3、若出现综合得分并列时，比较投标价格，价格低的排序在前；若价格得分仍相同，比较技术得分，此分项得分高者排序在前；若技术得分仍相同，则由全体评标委员会成员无记名投票，得票高者排序在前。</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4、计算结果保留两位小数，第三位“四舍五入”。</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评标过程中，若出现特殊情况时，由评标委员会决定暂停评标，并提出具体处理意见。  </w:t>
            </w:r>
          </w:p>
        </w:tc>
      </w:tr>
    </w:tbl>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五、评审程序</w:t>
      </w:r>
    </w:p>
    <w:p>
      <w:pPr>
        <w:spacing w:line="360" w:lineRule="auto"/>
        <w:ind w:firstLine="482" w:firstLineChars="20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5.1本采购项目评标按照下列工作程序进行</w:t>
      </w:r>
      <w:r>
        <w:rPr>
          <w:rStyle w:val="35"/>
          <w:rFonts w:hint="eastAsia" w:ascii="宋体" w:hAnsi="宋体" w:eastAsia="宋体" w:cs="宋体"/>
          <w:bCs/>
          <w:color w:val="auto"/>
          <w:szCs w:val="24"/>
          <w:highlight w:val="none"/>
        </w:rPr>
        <w:t>（在上一步评审中被认定无效投标者，不进入下一步的评审）</w:t>
      </w:r>
      <w:r>
        <w:rPr>
          <w:rStyle w:val="35"/>
          <w:rFonts w:hint="eastAsia" w:ascii="宋体" w:hAnsi="宋体" w:eastAsia="宋体" w:cs="宋体"/>
          <w:b/>
          <w:color w:val="auto"/>
          <w:szCs w:val="24"/>
          <w:highlight w:val="none"/>
        </w:rPr>
        <w:t>。</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5.1.1投标文件初审；</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5.1.2澄清有关问题；</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5.1.3比较与评价；</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5.1.4推荐中标候选人名单。</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5.2投标文件初审</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采购人根据本章第</w:t>
      </w:r>
      <w:r>
        <w:rPr>
          <w:rStyle w:val="35"/>
          <w:rFonts w:hint="eastAsia" w:ascii="宋体" w:hAnsi="宋体" w:eastAsia="宋体" w:cs="宋体"/>
          <w:bCs/>
          <w:color w:val="auto"/>
          <w:szCs w:val="24"/>
          <w:highlight w:val="none"/>
        </w:rPr>
        <w:t>4.1.1</w:t>
      </w:r>
      <w:r>
        <w:rPr>
          <w:rStyle w:val="35"/>
          <w:rFonts w:hint="eastAsia" w:ascii="宋体" w:hAnsi="宋体" w:eastAsia="宋体" w:cs="宋体"/>
          <w:color w:val="auto"/>
          <w:szCs w:val="24"/>
          <w:highlight w:val="none"/>
        </w:rPr>
        <w:t xml:space="preserve"> 项规定的评审标准对投标文件进行资格性审查。有一项不符合评审标准的，将被认定为无效投标。</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评标委员会根据本章第 </w:t>
      </w:r>
      <w:r>
        <w:rPr>
          <w:rStyle w:val="35"/>
          <w:rFonts w:hint="eastAsia" w:ascii="宋体" w:hAnsi="宋体" w:eastAsia="宋体" w:cs="宋体"/>
          <w:bCs/>
          <w:color w:val="auto"/>
          <w:szCs w:val="24"/>
          <w:highlight w:val="none"/>
        </w:rPr>
        <w:t>4.1.2</w:t>
      </w:r>
      <w:r>
        <w:rPr>
          <w:rStyle w:val="35"/>
          <w:rFonts w:hint="eastAsia" w:ascii="宋体" w:hAnsi="宋体" w:eastAsia="宋体" w:cs="宋体"/>
          <w:color w:val="auto"/>
          <w:szCs w:val="24"/>
          <w:highlight w:val="none"/>
        </w:rPr>
        <w:t>项规定的评审标准对投标文件进行符合性评审。有一项不符合评审标准的，评标委员会应当否决其投标。</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在资格性审查阶段，不符合招标文件要求的，不得进入符合性审查，在符合性审查时未通过的，不得进入后续评审环节。</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5.3投标文件的澄清</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5.3.2有效的书面澄清材料，是投标文件的补充材料，成为投标文件的组成部分。</w:t>
      </w:r>
    </w:p>
    <w:p>
      <w:pPr>
        <w:tabs>
          <w:tab w:val="left" w:pos="851"/>
        </w:tabs>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82" w:firstLineChars="200"/>
        <w:jc w:val="left"/>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5.4投标文件比较与评价</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5.4.1评标委员会</w:t>
      </w:r>
      <w:r>
        <w:rPr>
          <w:rStyle w:val="35"/>
          <w:rFonts w:hint="eastAsia" w:ascii="宋体" w:hAnsi="宋体" w:eastAsia="宋体" w:cs="宋体"/>
          <w:bCs/>
          <w:color w:val="auto"/>
          <w:szCs w:val="24"/>
          <w:highlight w:val="none"/>
        </w:rPr>
        <w:t>应按照招标文件中规定的评标方法</w:t>
      </w:r>
      <w:r>
        <w:rPr>
          <w:rStyle w:val="35"/>
          <w:rFonts w:hint="eastAsia" w:ascii="宋体" w:hAnsi="宋体" w:eastAsia="宋体" w:cs="宋体"/>
          <w:color w:val="auto"/>
          <w:szCs w:val="24"/>
          <w:highlight w:val="none"/>
        </w:rPr>
        <w:t>和标准，</w:t>
      </w:r>
      <w:r>
        <w:rPr>
          <w:rStyle w:val="35"/>
          <w:rFonts w:hint="eastAsia" w:ascii="宋体" w:hAnsi="宋体" w:eastAsia="宋体" w:cs="宋体"/>
          <w:bCs/>
          <w:color w:val="auto"/>
          <w:szCs w:val="24"/>
          <w:highlight w:val="none"/>
        </w:rPr>
        <w:t>对</w:t>
      </w:r>
      <w:r>
        <w:rPr>
          <w:rStyle w:val="35"/>
          <w:rFonts w:hint="eastAsia" w:ascii="宋体" w:hAnsi="宋体" w:eastAsia="宋体" w:cs="宋体"/>
          <w:color w:val="auto"/>
          <w:szCs w:val="24"/>
          <w:highlight w:val="none"/>
        </w:rPr>
        <w:t>资格性检查和符合性检查</w:t>
      </w:r>
      <w:r>
        <w:rPr>
          <w:rStyle w:val="35"/>
          <w:rFonts w:hint="eastAsia" w:ascii="宋体" w:hAnsi="宋体" w:eastAsia="宋体" w:cs="宋体"/>
          <w:bCs/>
          <w:color w:val="auto"/>
          <w:szCs w:val="24"/>
          <w:highlight w:val="none"/>
        </w:rPr>
        <w:t>合格的投标文件进行评估，综合比较与评价。</w:t>
      </w:r>
    </w:p>
    <w:p>
      <w:pPr>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5.4.2如果投标文件没有实质性响应招标文件的要求，评标委员会将予以拒绝。供应商不得通过修正或撤销不合要求的偏离或保留，从而使其投标成为实质性响应的投标。</w:t>
      </w:r>
    </w:p>
    <w:p>
      <w:pPr>
        <w:spacing w:line="360" w:lineRule="auto"/>
        <w:ind w:firstLine="482" w:firstLineChars="200"/>
        <w:jc w:val="left"/>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5.5 评标结果</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5.5.1评标结果按投标报价由低到高顺序排列。若出现综合得分并列时，比较投标价格，价格低的排序在前；若价格得分仍相同，在投标文件满足招标文件全部实质性要求，且按照评审因素的客观分指标评审得分最高的供应商为排名第一的中标候先人。若客观分指标评审仍相同，则由全体评标委员会成员无记名投票，得票高者排序在前。</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5.5.2评标委员会完成评标后，应当向采购人提交书面评审报告。</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5.5.3评审报告应当由评标委员会全体人员签字认可。评标委员会成员对评审报告有异议的，评标委员会按照少数服从多数的原则推荐中标候选供应商，采购程序继续进行。对评审报告有异议的评标委员会成员，应当在报告上签署不同意见并说明理由，由评标委员会书面记录相关情况。评标委员会成员拒绝在报告上签字又不书面说明其不同意见和理由的，视同按评审报告推荐的顺序确定中标供应商。对拒绝说明理由的，须报政府采购监管部门处理。</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5.5.4评审结果汇总完成后，除下列情形外，任何人不得修改评审结果：</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（1）分值汇总计算错误的；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（2）分项评分超出评分标准范围的；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（3）评标委员会成员对客观评审因素评分不一致的；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（4）经评标委员会认定评分畸高、畸低的。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评审报告签署前，经复核发现存在以上情形之一的，评标委员会应当当场修改评审结果，并在评审报告中记载；评审报告签署后，采购人或者采购代理机构发现存在以上情形之一的，应当组织原评标委员会进行重新评审，重新评审改变评审结果的，书面报告本级财政部门。</w:t>
      </w:r>
    </w:p>
    <w:p>
      <w:pPr>
        <w:spacing w:line="360" w:lineRule="auto"/>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六、政策性扣减</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6.1政策性扣减范围</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6.1.1供应商符合小型、微型企业或监狱企业、残疾人福利性单位条件的，其投标报价价格评审时将按相应比例进行扣减。</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6.1.2依据关于印发《政府采购促进中小企业发展管理办法》的通知（财库〔2020〕46号）、《关于进一步加大政府采购支持中小企业力度的通知》（财库〔2022〕19号）和《陕西省财政厅关于进一步加大政府采购支持中小企业力度的通知》（陕财办采〔2022〕5号）的规定，在政府采购活动中，供应商提供的货物、工程或者服务符合下列情形的，享受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（2）在货物采购项目中，供应商提供的货物既有中小企业制造货物，也有大型企业制造货物的，不享受本办法规定的中小企业扶持政策。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（3）以联合体形式参加政府采购活动，联合体各方均为中小企业的，联合体视同中小企业。其中，联合体各方均为小微企业的，联合体视同小微企业。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(4)中小企业参加政府采购活动，应当出具符合财库〔2020〕46号规定的《中小企业声明函》,否则不得享受相关中小企业扶持政策。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6.1.3采购人拟采购产品属于优先采购节能、环境标志产品范围的，应当优先采购节能、环境标志产品；拟采购产品符合政府采购强制采购政策的，实行强制采购。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（1）采购人依据节能产品、环境标志产品品目清单和节能、环境标志产品认证证书实施政府优先采购和强制采购。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6.2政策性扣减方式</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6.2.1对于</w:t>
      </w:r>
      <w:r>
        <w:rPr>
          <w:rStyle w:val="35"/>
          <w:rFonts w:hint="eastAsia" w:ascii="宋体" w:hAnsi="宋体" w:eastAsia="宋体" w:cs="宋体"/>
          <w:color w:val="auto"/>
          <w:spacing w:val="8"/>
          <w:szCs w:val="24"/>
          <w:highlight w:val="none"/>
        </w:rPr>
        <w:t>未预留份额专门</w:t>
      </w:r>
      <w:r>
        <w:rPr>
          <w:rStyle w:val="35"/>
          <w:rFonts w:hint="eastAsia" w:ascii="宋体" w:hAnsi="宋体" w:eastAsia="宋体" w:cs="宋体"/>
          <w:color w:val="auto"/>
          <w:szCs w:val="24"/>
          <w:highlight w:val="none"/>
        </w:rPr>
        <w:t>面向中小企业采购的采购项目，以及预留份额项目的非预</w:t>
      </w:r>
      <w:r>
        <w:rPr>
          <w:rStyle w:val="35"/>
          <w:rFonts w:hint="eastAsia" w:ascii="宋体" w:hAnsi="宋体" w:eastAsia="宋体" w:cs="宋体"/>
          <w:color w:val="auto"/>
          <w:spacing w:val="-2"/>
          <w:szCs w:val="24"/>
          <w:highlight w:val="none"/>
        </w:rPr>
        <w:t>留部分采购包中</w:t>
      </w:r>
      <w:r>
        <w:rPr>
          <w:rStyle w:val="35"/>
          <w:rFonts w:hint="eastAsia" w:ascii="宋体" w:hAnsi="宋体" w:eastAsia="宋体" w:cs="宋体"/>
          <w:color w:val="auto"/>
          <w:szCs w:val="24"/>
          <w:highlight w:val="none"/>
        </w:rPr>
        <w:t>符合条件的小微企业报价给予10%的扣除。</w:t>
      </w:r>
    </w:p>
    <w:p>
      <w:pPr>
        <w:spacing w:line="360" w:lineRule="auto"/>
        <w:ind w:firstLine="480" w:firstLineChars="200"/>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6.2.2接受大中型企业与小微企业组成联合体或者允许大中型企业向一家或者多家小微企业分包的采购项目，对于联合协议或者分包意向协议约定小微企业的合同份额占到合同总金额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w:t>
      </w:r>
      <w:r>
        <w:rPr>
          <w:rStyle w:val="35"/>
          <w:rFonts w:hint="eastAsia" w:ascii="宋体" w:hAnsi="宋体" w:eastAsia="宋体" w:cs="宋体"/>
          <w:b/>
          <w:bCs/>
          <w:color w:val="auto"/>
          <w:szCs w:val="24"/>
          <w:highlight w:val="none"/>
        </w:rPr>
        <w:t>享受扶持政策获得政府采购合同的，小微企业不得将合同分包给大中型企业，中型企业不得将合同分包给大型企业。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6.2.3监狱企业、残疾人福利性单位视同小微企业，享受预留份额、评审中价格扣除等促进中小企业发展的政府采购政策。监狱企业、残疾人福利性单位属于小微企业的，不重复享受政策。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6.2.4供应商享受支持中小型企业发展政策优惠的，可以同时享受节能、环境标志产品优先采购政策。</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七、特殊情况的处理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7.1单一产品采购项目中，提供相同品牌的产品的不同供应商参加同一合同项下投标的，按以下方法处理：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7.1.1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及评标委员会按照投标报价最低的方式确定一个供应商获得中标供应商推荐资格，其他同品牌供应商不作为中标候选人。</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7.2非单一产品采购项目中，提供相同品牌的核心产品的不同供应商参加同一合同项下投标的，按以下方法处理：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7.2.1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7.2.2使用综合评分法的采购项目，提供相同品牌核心产品且通过资格审查、符合性审查的不同供应商参加同一合同项下投标的，按一家供应商计算，评审后得分最高的同品牌供应商获得中标供应商推荐资格；评审得分相同的，由采购人及评标委员会按照投标报价最低的方式确定一个供应商获得中标供应商推荐资格，其他同品牌供应商不作为中标候选人。</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7.2.3核心产品为两个以上时，多家供应商提供的核心产品有部分采用或全部采用相同品牌的，按一家供应商计算。</w:t>
      </w:r>
    </w:p>
    <w:p>
      <w:pPr>
        <w:spacing w:line="360" w:lineRule="auto"/>
        <w:ind w:firstLine="480" w:firstLineChars="200"/>
        <w:outlineLvl w:val="2"/>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7.3投标文件报价出现前后不一致的，按照下列规定修正：</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7.3.1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7.3.2投标文件的大写金额和小写金额不一致的，以大写金额为准；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7.3.3单价金额小数点或者百分比有明显错位的，以单独密封的开标一览表的总价为准，并修改单价；</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7.3.4总价金额与按单价汇总金额不一致的，以单价金额计算结果为准。</w:t>
      </w:r>
    </w:p>
    <w:p>
      <w:pPr>
        <w:spacing w:line="360" w:lineRule="auto"/>
        <w:ind w:firstLine="482" w:firstLineChars="200"/>
        <w:textAlignment w:val="bottom"/>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按上述修正的顺序和方法调整的投标报价应对供应商具有约束力。如果供应商不接受修正后的价格，其投标将按无效投标处理。</w:t>
      </w:r>
    </w:p>
    <w:p>
      <w:pPr>
        <w:rPr>
          <w:rFonts w:hint="eastAsia" w:ascii="宋体" w:hAnsi="宋体" w:eastAsia="宋体" w:cs="宋体"/>
          <w:color w:val="auto"/>
        </w:rPr>
      </w:pPr>
    </w:p>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br w:type="page"/>
      </w:r>
    </w:p>
    <w:p>
      <w:pPr>
        <w:pStyle w:val="2"/>
        <w:rPr>
          <w:rFonts w:hint="eastAsia" w:ascii="宋体" w:hAnsi="宋体" w:eastAsia="宋体" w:cs="宋体"/>
          <w:color w:val="auto"/>
          <w:sz w:val="24"/>
          <w:szCs w:val="24"/>
          <w:highlight w:val="none"/>
        </w:rPr>
      </w:pPr>
    </w:p>
    <w:p>
      <w:pPr>
        <w:jc w:val="center"/>
        <w:outlineLvl w:val="0"/>
        <w:rPr>
          <w:rFonts w:hint="eastAsia" w:ascii="宋体" w:hAnsi="宋体" w:eastAsia="宋体" w:cs="宋体"/>
          <w:color w:val="auto"/>
          <w:sz w:val="36"/>
          <w:szCs w:val="36"/>
          <w:highlight w:val="none"/>
        </w:rPr>
      </w:pPr>
      <w:bookmarkStart w:id="58" w:name="_Toc25422"/>
      <w:r>
        <w:rPr>
          <w:rStyle w:val="35"/>
          <w:rFonts w:hint="eastAsia" w:ascii="宋体" w:hAnsi="宋体" w:eastAsia="宋体" w:cs="宋体"/>
          <w:b/>
          <w:bCs/>
          <w:color w:val="auto"/>
          <w:kern w:val="2"/>
          <w:sz w:val="36"/>
          <w:szCs w:val="36"/>
          <w:highlight w:val="none"/>
        </w:rPr>
        <w:t>第六章 投标文件构成及格式</w:t>
      </w:r>
      <w:bookmarkEnd w:id="58"/>
    </w:p>
    <w:p>
      <w:pPr>
        <w:rPr>
          <w:rStyle w:val="35"/>
          <w:rFonts w:hint="eastAsia" w:ascii="宋体" w:hAnsi="宋体" w:eastAsia="宋体" w:cs="宋体"/>
          <w:b/>
          <w:color w:val="auto"/>
          <w:szCs w:val="24"/>
          <w:highlight w:val="none"/>
        </w:rPr>
      </w:pPr>
    </w:p>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 w:val="32"/>
          <w:szCs w:val="32"/>
          <w:highlight w:val="none"/>
        </w:rPr>
        <w:t>项目编号：TCQC-2023-01</w:t>
      </w:r>
      <w:r>
        <w:rPr>
          <w:rStyle w:val="35"/>
          <w:rFonts w:hint="eastAsia" w:hAnsi="宋体" w:cs="宋体"/>
          <w:b/>
          <w:color w:val="auto"/>
          <w:sz w:val="32"/>
          <w:szCs w:val="32"/>
          <w:highlight w:val="none"/>
          <w:lang w:val="en-US" w:eastAsia="zh-CN"/>
        </w:rPr>
        <w:t>8-1</w:t>
      </w:r>
      <w:r>
        <w:rPr>
          <w:rStyle w:val="35"/>
          <w:rFonts w:hint="eastAsia" w:ascii="宋体" w:hAnsi="宋体" w:eastAsia="宋体" w:cs="宋体"/>
          <w:b/>
          <w:color w:val="auto"/>
          <w:sz w:val="32"/>
          <w:szCs w:val="32"/>
          <w:highlight w:val="none"/>
        </w:rPr>
        <w:t xml:space="preserve">               （电子化投标文件）  </w:t>
      </w:r>
      <w:r>
        <w:rPr>
          <w:rStyle w:val="35"/>
          <w:rFonts w:hint="eastAsia" w:ascii="宋体" w:hAnsi="宋体" w:eastAsia="宋体" w:cs="宋体"/>
          <w:b/>
          <w:color w:val="auto"/>
          <w:szCs w:val="24"/>
          <w:highlight w:val="none"/>
        </w:rPr>
        <w:t xml:space="preserve">    </w:t>
      </w:r>
    </w:p>
    <w:p>
      <w:pPr>
        <w:jc w:val="center"/>
        <w:rPr>
          <w:rStyle w:val="35"/>
          <w:rFonts w:hint="eastAsia" w:ascii="宋体" w:hAnsi="宋体" w:eastAsia="宋体" w:cs="宋体"/>
          <w:b/>
          <w:color w:val="auto"/>
          <w:szCs w:val="24"/>
          <w:highlight w:val="none"/>
        </w:rPr>
      </w:pPr>
    </w:p>
    <w:p>
      <w:pPr>
        <w:rPr>
          <w:rStyle w:val="35"/>
          <w:rFonts w:hint="eastAsia" w:ascii="宋体" w:hAnsi="宋体" w:eastAsia="宋体" w:cs="宋体"/>
          <w:b/>
          <w:color w:val="auto"/>
          <w:szCs w:val="24"/>
          <w:highlight w:val="none"/>
        </w:rPr>
      </w:pPr>
    </w:p>
    <w:p>
      <w:pPr>
        <w:jc w:val="center"/>
        <w:outlineLvl w:val="1"/>
        <w:rPr>
          <w:rStyle w:val="35"/>
          <w:rFonts w:hint="eastAsia" w:ascii="宋体" w:hAnsi="宋体" w:eastAsia="宋体" w:cs="宋体"/>
          <w:b/>
          <w:color w:val="auto"/>
          <w:sz w:val="44"/>
          <w:szCs w:val="44"/>
          <w:highlight w:val="none"/>
          <w:lang w:eastAsia="zh-CN"/>
        </w:rPr>
      </w:pPr>
      <w:r>
        <w:rPr>
          <w:rStyle w:val="35"/>
          <w:rFonts w:hint="eastAsia" w:ascii="宋体" w:hAnsi="宋体" w:eastAsia="宋体" w:cs="宋体"/>
          <w:b/>
          <w:color w:val="auto"/>
          <w:sz w:val="44"/>
          <w:szCs w:val="44"/>
          <w:highlight w:val="none"/>
          <w:lang w:eastAsia="zh-CN"/>
        </w:rPr>
        <w:t>空港新城金地幼儿园设备购置项目（第</w:t>
      </w:r>
      <w:r>
        <w:rPr>
          <w:rStyle w:val="35"/>
          <w:rFonts w:hint="eastAsia" w:hAnsi="宋体" w:cs="宋体"/>
          <w:b/>
          <w:color w:val="auto"/>
          <w:sz w:val="44"/>
          <w:szCs w:val="44"/>
          <w:highlight w:val="none"/>
          <w:lang w:val="en-US" w:eastAsia="zh-CN"/>
        </w:rPr>
        <w:t>二</w:t>
      </w:r>
      <w:r>
        <w:rPr>
          <w:rStyle w:val="35"/>
          <w:rFonts w:hint="eastAsia" w:ascii="宋体" w:hAnsi="宋体" w:eastAsia="宋体" w:cs="宋体"/>
          <w:b/>
          <w:color w:val="auto"/>
          <w:sz w:val="44"/>
          <w:szCs w:val="44"/>
          <w:highlight w:val="none"/>
          <w:lang w:eastAsia="zh-CN"/>
        </w:rPr>
        <w:t>批）</w:t>
      </w:r>
    </w:p>
    <w:p>
      <w:pPr>
        <w:jc w:val="center"/>
        <w:outlineLvl w:val="1"/>
        <w:rPr>
          <w:rStyle w:val="35"/>
          <w:rFonts w:hint="eastAsia" w:ascii="宋体" w:hAnsi="宋体" w:eastAsia="宋体" w:cs="宋体"/>
          <w:b/>
          <w:color w:val="auto"/>
          <w:sz w:val="44"/>
          <w:szCs w:val="44"/>
          <w:highlight w:val="none"/>
        </w:rPr>
      </w:pPr>
      <w:r>
        <w:rPr>
          <w:rStyle w:val="35"/>
          <w:rFonts w:hint="eastAsia" w:hAnsi="宋体" w:cs="宋体"/>
          <w:b/>
          <w:color w:val="auto"/>
          <w:sz w:val="44"/>
          <w:szCs w:val="44"/>
          <w:highlight w:val="none"/>
          <w:lang w:val="en-US" w:eastAsia="zh-CN"/>
        </w:rPr>
        <w:t>合同包1</w:t>
      </w:r>
      <w:r>
        <w:rPr>
          <w:rStyle w:val="35"/>
          <w:rFonts w:hint="eastAsia" w:ascii="宋体" w:hAnsi="宋体" w:eastAsia="宋体" w:cs="宋体"/>
          <w:b/>
          <w:color w:val="auto"/>
          <w:sz w:val="44"/>
          <w:szCs w:val="44"/>
          <w:highlight w:val="none"/>
        </w:rPr>
        <w:t xml:space="preserve"> </w:t>
      </w:r>
    </w:p>
    <w:p>
      <w:pPr>
        <w:jc w:val="center"/>
        <w:outlineLvl w:val="1"/>
        <w:rPr>
          <w:rStyle w:val="35"/>
          <w:rFonts w:hint="eastAsia" w:ascii="宋体" w:hAnsi="宋体" w:eastAsia="宋体" w:cs="宋体"/>
          <w:b/>
          <w:color w:val="auto"/>
          <w:sz w:val="44"/>
          <w:szCs w:val="44"/>
          <w:highlight w:val="none"/>
        </w:rPr>
      </w:pPr>
      <w:r>
        <w:rPr>
          <w:rStyle w:val="35"/>
          <w:rFonts w:hint="eastAsia" w:ascii="宋体" w:hAnsi="宋体" w:eastAsia="宋体" w:cs="宋体"/>
          <w:b/>
          <w:color w:val="auto"/>
          <w:sz w:val="44"/>
          <w:szCs w:val="44"/>
          <w:highlight w:val="none"/>
        </w:rPr>
        <w:t xml:space="preserve">  </w:t>
      </w:r>
    </w:p>
    <w:p>
      <w:pPr>
        <w:rPr>
          <w:rStyle w:val="35"/>
          <w:rFonts w:hint="eastAsia" w:ascii="宋体" w:hAnsi="宋体" w:eastAsia="宋体" w:cs="宋体"/>
          <w:b/>
          <w:color w:val="auto"/>
          <w:szCs w:val="24"/>
          <w:highlight w:val="none"/>
        </w:rPr>
      </w:pPr>
    </w:p>
    <w:p>
      <w:pPr>
        <w:pStyle w:val="2"/>
        <w:rPr>
          <w:rFonts w:hint="eastAsia" w:ascii="宋体" w:hAnsi="宋体" w:eastAsia="宋体" w:cs="宋体"/>
          <w:color w:val="auto"/>
          <w:sz w:val="24"/>
          <w:szCs w:val="24"/>
          <w:highlight w:val="none"/>
        </w:rPr>
      </w:pPr>
    </w:p>
    <w:p>
      <w:pPr>
        <w:jc w:val="center"/>
        <w:rPr>
          <w:rStyle w:val="35"/>
          <w:rFonts w:hint="eastAsia" w:ascii="宋体" w:hAnsi="宋体" w:eastAsia="宋体" w:cs="宋体"/>
          <w:b/>
          <w:color w:val="auto"/>
          <w:kern w:val="2"/>
          <w:sz w:val="72"/>
          <w:szCs w:val="72"/>
          <w:highlight w:val="none"/>
        </w:rPr>
      </w:pPr>
      <w:r>
        <w:rPr>
          <w:rStyle w:val="35"/>
          <w:rFonts w:hint="eastAsia" w:ascii="宋体" w:hAnsi="宋体" w:eastAsia="宋体" w:cs="宋体"/>
          <w:b/>
          <w:color w:val="auto"/>
          <w:sz w:val="72"/>
          <w:szCs w:val="72"/>
          <w:highlight w:val="none"/>
        </w:rPr>
        <w:t>投标文件</w:t>
      </w:r>
      <w:r>
        <w:rPr>
          <w:rStyle w:val="35"/>
          <w:rFonts w:hint="eastAsia" w:ascii="宋体" w:hAnsi="宋体" w:eastAsia="宋体" w:cs="宋体"/>
          <w:b/>
          <w:color w:val="auto"/>
          <w:kern w:val="2"/>
          <w:sz w:val="72"/>
          <w:szCs w:val="72"/>
          <w:highlight w:val="none"/>
        </w:rPr>
        <w:br w:type="textWrapping"/>
      </w:r>
    </w:p>
    <w:p>
      <w:pPr>
        <w:pStyle w:val="2"/>
        <w:rPr>
          <w:rStyle w:val="35"/>
          <w:rFonts w:hint="eastAsia" w:ascii="宋体" w:hAnsi="宋体" w:eastAsia="宋体" w:cs="宋体"/>
          <w:b/>
          <w:color w:val="auto"/>
          <w:sz w:val="72"/>
          <w:szCs w:val="72"/>
          <w:highlight w:val="none"/>
        </w:rPr>
      </w:pPr>
    </w:p>
    <w:p>
      <w:pPr>
        <w:rPr>
          <w:rFonts w:hint="eastAsia" w:ascii="宋体" w:hAnsi="宋体" w:eastAsia="宋体" w:cs="宋体"/>
          <w:color w:val="auto"/>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tabs>
          <w:tab w:val="center" w:pos="5346"/>
        </w:tabs>
        <w:spacing w:line="720" w:lineRule="auto"/>
        <w:jc w:val="center"/>
        <w:rPr>
          <w:rStyle w:val="35"/>
          <w:rFonts w:hint="eastAsia" w:ascii="宋体" w:hAnsi="宋体" w:eastAsia="宋体" w:cs="宋体"/>
          <w:b/>
          <w:color w:val="auto"/>
          <w:sz w:val="36"/>
          <w:szCs w:val="36"/>
          <w:highlight w:val="none"/>
        </w:rPr>
      </w:pPr>
      <w:r>
        <w:rPr>
          <w:rStyle w:val="35"/>
          <w:rFonts w:hint="eastAsia" w:ascii="宋体" w:hAnsi="宋体" w:eastAsia="宋体" w:cs="宋体"/>
          <w:b/>
          <w:color w:val="auto"/>
          <w:sz w:val="36"/>
          <w:szCs w:val="36"/>
          <w:highlight w:val="none"/>
        </w:rPr>
        <w:t xml:space="preserve"> 供应商名称：</w:t>
      </w:r>
      <w:r>
        <w:rPr>
          <w:rStyle w:val="35"/>
          <w:rFonts w:hint="eastAsia" w:ascii="宋体" w:hAnsi="宋体" w:eastAsia="宋体" w:cs="宋体"/>
          <w:b/>
          <w:color w:val="auto"/>
          <w:sz w:val="36"/>
          <w:szCs w:val="36"/>
          <w:highlight w:val="none"/>
          <w:u w:val="single" w:color="000000"/>
        </w:rPr>
        <w:t xml:space="preserve">               </w:t>
      </w:r>
      <w:r>
        <w:rPr>
          <w:rStyle w:val="35"/>
          <w:rFonts w:hint="eastAsia" w:ascii="宋体" w:hAnsi="宋体" w:eastAsia="宋体" w:cs="宋体"/>
          <w:b/>
          <w:color w:val="auto"/>
          <w:sz w:val="36"/>
          <w:szCs w:val="36"/>
          <w:highlight w:val="none"/>
        </w:rPr>
        <w:t>（公章）</w:t>
      </w:r>
    </w:p>
    <w:p>
      <w:pPr>
        <w:tabs>
          <w:tab w:val="right" w:leader="hyphen" w:pos="8504"/>
        </w:tabs>
        <w:spacing w:line="500" w:lineRule="exact"/>
        <w:ind w:right="720"/>
        <w:jc w:val="center"/>
        <w:rPr>
          <w:rStyle w:val="35"/>
          <w:rFonts w:hint="eastAsia" w:ascii="宋体" w:hAnsi="宋体" w:eastAsia="宋体" w:cs="宋体"/>
          <w:b/>
          <w:color w:val="auto"/>
          <w:szCs w:val="24"/>
          <w:highlight w:val="none"/>
        </w:rPr>
      </w:pPr>
      <w:r>
        <w:rPr>
          <w:rStyle w:val="35"/>
          <w:rFonts w:hint="eastAsia" w:ascii="宋体" w:hAnsi="宋体" w:eastAsia="宋体" w:cs="宋体"/>
          <w:b/>
          <w:color w:val="auto"/>
          <w:sz w:val="36"/>
          <w:szCs w:val="36"/>
          <w:highlight w:val="none"/>
        </w:rPr>
        <w:t xml:space="preserve">  年   月  日</w:t>
      </w:r>
      <w:r>
        <w:rPr>
          <w:rStyle w:val="35"/>
          <w:rFonts w:hint="eastAsia" w:ascii="宋体" w:hAnsi="宋体" w:eastAsia="宋体" w:cs="宋体"/>
          <w:b/>
          <w:color w:val="auto"/>
          <w:szCs w:val="24"/>
          <w:highlight w:val="none"/>
        </w:rPr>
        <w:br w:type="page"/>
      </w:r>
    </w:p>
    <w:p>
      <w:pPr>
        <w:tabs>
          <w:tab w:val="right" w:leader="hyphen" w:pos="8504"/>
        </w:tabs>
        <w:spacing w:line="500" w:lineRule="exact"/>
        <w:ind w:right="720"/>
        <w:jc w:val="cente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目 录</w:t>
      </w:r>
    </w:p>
    <w:p>
      <w:pPr>
        <w:tabs>
          <w:tab w:val="right" w:leader="hyphen" w:pos="8504"/>
        </w:tabs>
        <w:spacing w:line="500" w:lineRule="exact"/>
        <w:ind w:left="1680" w:leftChars="200" w:right="720" w:hanging="1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第一部分  资格证明文件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一、营业执照等主体资格证明文件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二</w:t>
      </w:r>
      <w:r>
        <w:rPr>
          <w:rStyle w:val="35"/>
          <w:rFonts w:hint="eastAsia" w:ascii="宋体" w:hAnsi="宋体" w:eastAsia="宋体" w:cs="宋体"/>
          <w:color w:val="auto"/>
          <w:szCs w:val="24"/>
          <w:highlight w:val="none"/>
        </w:rPr>
        <w:t>、履行合同承诺函</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三</w:t>
      </w:r>
      <w:r>
        <w:rPr>
          <w:rStyle w:val="35"/>
          <w:rFonts w:hint="eastAsia" w:ascii="宋体" w:hAnsi="宋体" w:eastAsia="宋体" w:cs="宋体"/>
          <w:color w:val="auto"/>
          <w:szCs w:val="24"/>
          <w:highlight w:val="none"/>
        </w:rPr>
        <w:t>、无重大违法记录书面声明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四</w:t>
      </w:r>
      <w:r>
        <w:rPr>
          <w:rStyle w:val="35"/>
          <w:rFonts w:hint="eastAsia" w:ascii="宋体" w:hAnsi="宋体" w:eastAsia="宋体" w:cs="宋体"/>
          <w:color w:val="auto"/>
          <w:szCs w:val="24"/>
          <w:highlight w:val="none"/>
        </w:rPr>
        <w:t>、法定代表人身份证明/法定代表人授权委托书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五</w:t>
      </w:r>
      <w:r>
        <w:rPr>
          <w:rStyle w:val="35"/>
          <w:rFonts w:hint="eastAsia" w:ascii="宋体" w:hAnsi="宋体" w:eastAsia="宋体" w:cs="宋体"/>
          <w:color w:val="auto"/>
          <w:szCs w:val="24"/>
          <w:highlight w:val="none"/>
        </w:rPr>
        <w:t>、信用记录声明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六</w:t>
      </w:r>
      <w:r>
        <w:rPr>
          <w:rStyle w:val="35"/>
          <w:rFonts w:hint="eastAsia" w:ascii="宋体" w:hAnsi="宋体" w:eastAsia="宋体" w:cs="宋体"/>
          <w:color w:val="auto"/>
          <w:szCs w:val="24"/>
          <w:highlight w:val="none"/>
        </w:rPr>
        <w:t>、控股管理关系承诺书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七</w:t>
      </w:r>
      <w:r>
        <w:rPr>
          <w:rStyle w:val="35"/>
          <w:rFonts w:hint="eastAsia" w:ascii="宋体" w:hAnsi="宋体" w:eastAsia="宋体" w:cs="宋体"/>
          <w:color w:val="auto"/>
          <w:szCs w:val="24"/>
          <w:highlight w:val="none"/>
        </w:rPr>
        <w:t>、供应商书面声明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w:t>
      </w:r>
      <w:r>
        <w:rPr>
          <w:rStyle w:val="35"/>
          <w:rFonts w:hint="eastAsia" w:ascii="宋体" w:hAnsi="宋体" w:eastAsia="宋体" w:cs="宋体"/>
          <w:color w:val="auto"/>
          <w:szCs w:val="24"/>
          <w:highlight w:val="none"/>
          <w:lang w:val="en-US" w:eastAsia="zh-CN"/>
        </w:rPr>
        <w:t>八</w:t>
      </w:r>
      <w:r>
        <w:rPr>
          <w:rStyle w:val="35"/>
          <w:rFonts w:hint="eastAsia" w:ascii="宋体" w:hAnsi="宋体" w:eastAsia="宋体" w:cs="宋体"/>
          <w:color w:val="auto"/>
          <w:szCs w:val="24"/>
          <w:highlight w:val="none"/>
        </w:rPr>
        <w:t>、供应商提供参与投标的承诺函</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九</w:t>
      </w:r>
      <w:r>
        <w:rPr>
          <w:rStyle w:val="35"/>
          <w:rFonts w:hint="eastAsia" w:ascii="宋体" w:hAnsi="宋体" w:eastAsia="宋体" w:cs="宋体"/>
          <w:color w:val="auto"/>
          <w:szCs w:val="24"/>
          <w:highlight w:val="none"/>
        </w:rPr>
        <w:t>、本项目不接受联合体投标，不允许分包</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第二部分  符合性证明文件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一、投标函格式</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二、开标一览表</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三、供应商参加政府采购活动承诺书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四、合同条款偏离表</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480" w:firstLineChars="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第三部分  投标方案</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一、供应商概况</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 xml:space="preserve">X </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二、技术方案</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三、供应商认为有利于中标的其他情况说明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p>
    <w:p>
      <w:pPr>
        <w:jc w:val="center"/>
        <w:outlineLvl w:val="1"/>
        <w:rPr>
          <w:rStyle w:val="35"/>
          <w:rFonts w:hint="eastAsia" w:ascii="宋体" w:hAnsi="宋体" w:eastAsia="宋体" w:cs="宋体"/>
          <w:color w:val="auto"/>
          <w:sz w:val="36"/>
          <w:szCs w:val="36"/>
          <w:highlight w:val="none"/>
        </w:rPr>
      </w:pPr>
      <w:r>
        <w:rPr>
          <w:rStyle w:val="35"/>
          <w:rFonts w:hint="eastAsia" w:ascii="宋体" w:hAnsi="宋体" w:eastAsia="宋体" w:cs="宋体"/>
          <w:b/>
          <w:bCs/>
          <w:color w:val="auto"/>
          <w:sz w:val="36"/>
          <w:szCs w:val="36"/>
          <w:highlight w:val="none"/>
        </w:rPr>
        <w:t>第一部分 资格证明文件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供应商应按照招标文件第五章评标方法“资格评审标准”逐一提供全部资格证明文件。缺少其中任何一项，其投标文件将被视为无效文件。其中，文件中给定格式的，须按下文给定格式填写。</w:t>
      </w:r>
    </w:p>
    <w:p>
      <w:pPr>
        <w:pStyle w:val="57"/>
        <w:ind w:firstLine="480"/>
        <w:rPr>
          <w:rStyle w:val="35"/>
          <w:rFonts w:hint="eastAsia" w:ascii="宋体" w:hAnsi="宋体" w:eastAsia="宋体" w:cs="宋体"/>
          <w:color w:val="auto"/>
          <w:sz w:val="24"/>
          <w:highlight w:val="none"/>
        </w:rPr>
      </w:pP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一、营业执照等主体资格证明文件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说明：提供合格有效的法人或者其他组织的营业执照等证明文件，自然人的身份证明</w:t>
      </w:r>
    </w:p>
    <w:p>
      <w:pPr>
        <w:spacing w:line="360" w:lineRule="auto"/>
        <w:outlineLvl w:val="2"/>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 w:val="32"/>
          <w:szCs w:val="32"/>
          <w:highlight w:val="none"/>
          <w:lang w:val="en-US" w:eastAsia="zh-CN"/>
        </w:rPr>
        <w:t>二</w:t>
      </w:r>
      <w:r>
        <w:rPr>
          <w:rStyle w:val="35"/>
          <w:rFonts w:hint="eastAsia" w:ascii="宋体" w:hAnsi="宋体" w:eastAsia="宋体" w:cs="宋体"/>
          <w:b/>
          <w:bCs/>
          <w:color w:val="auto"/>
          <w:sz w:val="32"/>
          <w:szCs w:val="32"/>
          <w:highlight w:val="none"/>
        </w:rPr>
        <w:t>、履行合同承诺函</w:t>
      </w:r>
    </w:p>
    <w:p>
      <w:pPr>
        <w:jc w:val="center"/>
        <w:rPr>
          <w:rStyle w:val="35"/>
          <w:rFonts w:hint="eastAsia" w:ascii="宋体" w:hAnsi="宋体" w:eastAsia="宋体" w:cs="宋体"/>
          <w:b/>
          <w:color w:val="auto"/>
          <w:szCs w:val="24"/>
          <w:highlight w:val="none"/>
        </w:rPr>
      </w:pPr>
    </w:p>
    <w:p>
      <w:pPr>
        <w:spacing w:line="360" w:lineRule="auto"/>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具备履行合同所必需的设备和专业技术能力承诺函</w:t>
      </w:r>
    </w:p>
    <w:p>
      <w:pPr>
        <w:spacing w:line="360" w:lineRule="auto"/>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u w:val="single" w:color="000000"/>
        </w:rPr>
        <w:t>致：（采购人名称）</w:t>
      </w:r>
    </w:p>
    <w:p>
      <w:pPr>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b/>
          <w:color w:val="auto"/>
          <w:szCs w:val="24"/>
          <w:highlight w:val="none"/>
        </w:rPr>
        <w:t>我方作为</w:t>
      </w:r>
      <w:r>
        <w:rPr>
          <w:rStyle w:val="35"/>
          <w:rFonts w:hint="eastAsia" w:ascii="宋体" w:hAnsi="宋体" w:eastAsia="宋体" w:cs="宋体"/>
          <w:b/>
          <w:color w:val="auto"/>
          <w:szCs w:val="24"/>
          <w:highlight w:val="none"/>
          <w:u w:val="single" w:color="000000"/>
        </w:rPr>
        <w:t xml:space="preserve">项目名称 （ 包） </w:t>
      </w:r>
      <w:r>
        <w:rPr>
          <w:rStyle w:val="35"/>
          <w:rFonts w:hint="eastAsia" w:ascii="宋体" w:hAnsi="宋体" w:eastAsia="宋体" w:cs="宋体"/>
          <w:b/>
          <w:color w:val="auto"/>
          <w:szCs w:val="24"/>
          <w:highlight w:val="none"/>
        </w:rPr>
        <w:t>（项目编号：</w:t>
      </w:r>
      <w:r>
        <w:rPr>
          <w:rStyle w:val="35"/>
          <w:rFonts w:hint="eastAsia" w:ascii="宋体" w:hAnsi="宋体" w:eastAsia="宋体" w:cs="宋体"/>
          <w:b/>
          <w:color w:val="auto"/>
          <w:szCs w:val="24"/>
          <w:highlight w:val="none"/>
          <w:u w:val="single" w:color="000000"/>
        </w:rPr>
        <w:t xml:space="preserve">     </w:t>
      </w:r>
      <w:r>
        <w:rPr>
          <w:rStyle w:val="35"/>
          <w:rFonts w:hint="eastAsia" w:ascii="宋体" w:hAnsi="宋体" w:eastAsia="宋体" w:cs="宋体"/>
          <w:b/>
          <w:color w:val="auto"/>
          <w:szCs w:val="24"/>
          <w:highlight w:val="none"/>
        </w:rPr>
        <w:t>）的投标供应商，在此郑重承诺：</w:t>
      </w:r>
    </w:p>
    <w:p>
      <w:pPr>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我公司具备履行合同所必需的设备和专业技术能力。</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如有不实，我方将无条件地退出本项目的采购活动，并遵照《中华人民共和国政府采购法》有关“提供虚假材料的规定”接受处罚。</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特此承诺。</w:t>
      </w:r>
    </w:p>
    <w:p>
      <w:pPr>
        <w:spacing w:line="360" w:lineRule="auto"/>
        <w:ind w:firstLine="480"/>
        <w:rPr>
          <w:rStyle w:val="35"/>
          <w:rFonts w:hint="eastAsia" w:ascii="宋体" w:hAnsi="宋体" w:eastAsia="宋体" w:cs="宋体"/>
          <w:b/>
          <w:color w:val="auto"/>
          <w:szCs w:val="24"/>
          <w:highlight w:val="none"/>
        </w:rPr>
      </w:pPr>
    </w:p>
    <w:p>
      <w:pPr>
        <w:spacing w:line="360" w:lineRule="auto"/>
        <w:ind w:firstLine="480" w:firstLineChars="200"/>
        <w:jc w:val="center"/>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 xml:space="preserve">              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（公章）</w:t>
      </w:r>
    </w:p>
    <w:p>
      <w:pPr>
        <w:spacing w:line="360" w:lineRule="auto"/>
        <w:ind w:firstLine="480" w:firstLineChars="200"/>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spacing w:line="360" w:lineRule="auto"/>
        <w:rPr>
          <w:rStyle w:val="35"/>
          <w:rFonts w:hint="eastAsia" w:ascii="宋体" w:hAnsi="宋体" w:eastAsia="宋体" w:cs="宋体"/>
          <w:b/>
          <w:bCs/>
          <w:color w:val="auto"/>
          <w:szCs w:val="24"/>
          <w:highlight w:val="none"/>
        </w:rPr>
      </w:pPr>
    </w:p>
    <w:p>
      <w:pPr>
        <w:spacing w:line="360" w:lineRule="auto"/>
        <w:outlineLvl w:val="2"/>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三</w:t>
      </w:r>
      <w:r>
        <w:rPr>
          <w:rStyle w:val="35"/>
          <w:rFonts w:hint="eastAsia" w:ascii="宋体" w:hAnsi="宋体" w:eastAsia="宋体" w:cs="宋体"/>
          <w:b/>
          <w:bCs/>
          <w:color w:val="auto"/>
          <w:sz w:val="32"/>
          <w:szCs w:val="32"/>
          <w:highlight w:val="none"/>
        </w:rPr>
        <w:t>、无重大违法记录书面声明</w:t>
      </w:r>
    </w:p>
    <w:p>
      <w:pPr>
        <w:spacing w:line="360" w:lineRule="auto"/>
        <w:jc w:val="cente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参加政府采购活动前3年内，在经营活动中没有重大违法记录的书面声明</w:t>
      </w:r>
    </w:p>
    <w:p>
      <w:pPr>
        <w:tabs>
          <w:tab w:val="left" w:pos="5580"/>
        </w:tabs>
        <w:spacing w:before="120" w:line="360" w:lineRule="auto"/>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u w:val="single" w:color="000000"/>
        </w:rPr>
        <w:t>致：（采购人名称）</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我公司郑重声明在参加本项目政府采购活动前三年内，在经营活动中无重大违法记录。公司未受到行政处罚或责令停业、吊销许可证（或执照）；未处于财产被接管、冻结、破产状况。</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如有不实，我方将无条件地退出本项目的采购活动，并遵照《中华人民共和国政府采购法》有关“提供虚假材料的规定”接受处罚。</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p>
    <w:p>
      <w:pPr>
        <w:spacing w:before="120" w:after="120" w:line="360" w:lineRule="auto"/>
        <w:ind w:firstLine="3600" w:firstLineChars="1500"/>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 xml:space="preserve">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（公章）</w:t>
      </w:r>
    </w:p>
    <w:p>
      <w:pPr>
        <w:spacing w:line="360" w:lineRule="auto"/>
        <w:ind w:firstLine="3600" w:firstLineChars="1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rPr>
          <w:rStyle w:val="35"/>
          <w:rFonts w:hint="eastAsia" w:ascii="宋体" w:hAnsi="宋体" w:eastAsia="宋体" w:cs="宋体"/>
          <w:color w:val="auto"/>
          <w:sz w:val="24"/>
          <w:szCs w:val="24"/>
          <w:highlight w:val="none"/>
        </w:rPr>
      </w:pPr>
    </w:p>
    <w:p>
      <w:pPr>
        <w:spacing w:line="360" w:lineRule="auto"/>
        <w:rPr>
          <w:rStyle w:val="35"/>
          <w:rFonts w:hint="eastAsia" w:ascii="宋体" w:hAnsi="宋体" w:eastAsia="宋体" w:cs="宋体"/>
          <w:b/>
          <w:bCs/>
          <w:color w:val="auto"/>
          <w:szCs w:val="24"/>
          <w:highlight w:val="none"/>
        </w:rPr>
      </w:pPr>
      <w:r>
        <w:rPr>
          <w:rStyle w:val="35"/>
          <w:rFonts w:hint="eastAsia" w:ascii="宋体" w:hAnsi="宋体" w:eastAsia="宋体" w:cs="宋体"/>
          <w:color w:val="auto"/>
          <w:kern w:val="2"/>
          <w:szCs w:val="24"/>
          <w:highlight w:val="none"/>
        </w:rPr>
        <w:br w:type="page"/>
      </w:r>
    </w:p>
    <w:p>
      <w:pPr>
        <w:pStyle w:val="236"/>
        <w:spacing w:before="0" w:line="360" w:lineRule="auto"/>
        <w:outlineLvl w:val="2"/>
        <w:rPr>
          <w:rStyle w:val="35"/>
          <w:rFonts w:hint="eastAsia" w:ascii="宋体" w:hAnsi="宋体" w:eastAsia="宋体" w:cs="宋体"/>
          <w:color w:val="auto"/>
          <w:sz w:val="32"/>
          <w:szCs w:val="32"/>
          <w:highlight w:val="none"/>
        </w:rPr>
      </w:pPr>
      <w:r>
        <w:rPr>
          <w:rStyle w:val="35"/>
          <w:rFonts w:hint="eastAsia" w:ascii="宋体" w:hAnsi="宋体" w:eastAsia="宋体" w:cs="宋体"/>
          <w:color w:val="auto"/>
          <w:sz w:val="32"/>
          <w:szCs w:val="32"/>
          <w:highlight w:val="none"/>
          <w:lang w:val="en-US" w:eastAsia="zh-CN"/>
        </w:rPr>
        <w:t>四</w:t>
      </w:r>
      <w:r>
        <w:rPr>
          <w:rStyle w:val="35"/>
          <w:rFonts w:hint="eastAsia" w:ascii="宋体" w:hAnsi="宋体" w:eastAsia="宋体" w:cs="宋体"/>
          <w:color w:val="auto"/>
          <w:sz w:val="32"/>
          <w:szCs w:val="32"/>
          <w:highlight w:val="none"/>
        </w:rPr>
        <w:t>、法定代表人身份证明/法定代表人授权委托书</w:t>
      </w:r>
    </w:p>
    <w:p>
      <w:pPr>
        <w:spacing w:line="500" w:lineRule="exact"/>
        <w:jc w:val="center"/>
        <w:outlineLvl w:val="3"/>
        <w:rPr>
          <w:rStyle w:val="35"/>
          <w:rFonts w:hint="eastAsia" w:ascii="宋体" w:hAnsi="宋体" w:eastAsia="宋体" w:cs="宋体"/>
          <w:b/>
          <w:bCs/>
          <w:color w:val="auto"/>
          <w:sz w:val="28"/>
          <w:szCs w:val="28"/>
          <w:highlight w:val="none"/>
        </w:rPr>
      </w:pPr>
      <w:r>
        <w:rPr>
          <w:rStyle w:val="35"/>
          <w:rFonts w:hint="eastAsia" w:ascii="宋体" w:hAnsi="宋体" w:eastAsia="宋体" w:cs="宋体"/>
          <w:b/>
          <w:bCs/>
          <w:color w:val="auto"/>
          <w:sz w:val="28"/>
          <w:szCs w:val="28"/>
          <w:highlight w:val="none"/>
        </w:rPr>
        <w:t>法定代表人身份证明</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统一社会信用代码：</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注册地址：</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成立时间：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年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snapToGrid w:val="0"/>
        <w:spacing w:before="166" w:line="360" w:lineRule="auto"/>
        <w:ind w:firstLine="480" w:firstLineChars="200"/>
        <w:jc w:val="left"/>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经营期限：</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性别：</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年龄：</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系</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（供应商名称）的法定代表人。</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特此证明。</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附：法定代表人身份证复印件（正反面）</w:t>
      </w:r>
    </w:p>
    <w:p>
      <w:pPr>
        <w:snapToGrid w:val="0"/>
        <w:spacing w:line="480" w:lineRule="auto"/>
        <w:rPr>
          <w:rStyle w:val="35"/>
          <w:rFonts w:hint="eastAsia" w:ascii="宋体" w:hAnsi="宋体" w:eastAsia="宋体" w:cs="宋体"/>
          <w:color w:val="auto"/>
          <w:szCs w:val="24"/>
          <w:highlight w:val="none"/>
        </w:rPr>
      </w:pPr>
    </w:p>
    <w:p>
      <w:pPr>
        <w:snapToGrid w:val="0"/>
        <w:rPr>
          <w:rStyle w:val="35"/>
          <w:rFonts w:hint="eastAsia" w:ascii="宋体" w:hAnsi="宋体" w:eastAsia="宋体" w:cs="宋体"/>
          <w:color w:val="auto"/>
          <w:szCs w:val="24"/>
          <w:highlight w:val="none"/>
        </w:rPr>
      </w:pPr>
    </w:p>
    <w:p>
      <w:pPr>
        <w:snapToGrid w:val="0"/>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48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napToGrid w:val="0"/>
        <w:spacing w:line="48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ind w:left="480" w:leftChars="200"/>
        <w:rPr>
          <w:rStyle w:val="35"/>
          <w:rFonts w:hint="eastAsia" w:ascii="宋体" w:hAnsi="宋体" w:eastAsia="宋体" w:cs="宋体"/>
          <w:color w:val="auto"/>
          <w:sz w:val="24"/>
          <w:szCs w:val="24"/>
          <w:highlight w:val="none"/>
        </w:rPr>
      </w:pPr>
    </w:p>
    <w:p>
      <w:pPr>
        <w:pStyle w:val="34"/>
        <w:ind w:left="480" w:leftChars="200"/>
        <w:rPr>
          <w:rStyle w:val="35"/>
          <w:rFonts w:hint="eastAsia" w:ascii="宋体" w:hAnsi="宋体" w:eastAsia="宋体" w:cs="宋体"/>
          <w:color w:val="auto"/>
          <w:sz w:val="24"/>
          <w:szCs w:val="24"/>
          <w:highlight w:val="none"/>
        </w:rPr>
      </w:pPr>
    </w:p>
    <w:p>
      <w:pPr>
        <w:spacing w:before="166" w:line="360" w:lineRule="auto"/>
        <w:jc w:val="center"/>
        <w:rPr>
          <w:rStyle w:val="35"/>
          <w:rFonts w:hint="eastAsia" w:ascii="宋体" w:hAnsi="宋体" w:eastAsia="宋体" w:cs="宋体"/>
          <w:b/>
          <w:bCs/>
          <w:color w:val="auto"/>
          <w:szCs w:val="24"/>
          <w:highlight w:val="none"/>
        </w:rPr>
      </w:pPr>
    </w:p>
    <w:p>
      <w:pPr>
        <w:spacing w:before="166" w:line="360" w:lineRule="auto"/>
        <w:rPr>
          <w:rStyle w:val="35"/>
          <w:rFonts w:hint="eastAsia" w:ascii="宋体" w:hAnsi="宋体" w:eastAsia="宋体" w:cs="宋体"/>
          <w:b/>
          <w:bCs/>
          <w:color w:val="auto"/>
          <w:szCs w:val="24"/>
          <w:highlight w:val="none"/>
        </w:rPr>
      </w:pPr>
    </w:p>
    <w:p>
      <w:pPr>
        <w:spacing w:before="166" w:line="360" w:lineRule="auto"/>
        <w:rPr>
          <w:rStyle w:val="35"/>
          <w:rFonts w:hint="eastAsia" w:ascii="宋体" w:hAnsi="宋体" w:eastAsia="宋体" w:cs="宋体"/>
          <w:b/>
          <w:bCs/>
          <w:color w:val="auto"/>
          <w:szCs w:val="24"/>
          <w:highlight w:val="none"/>
        </w:rPr>
      </w:pPr>
    </w:p>
    <w:p>
      <w:pPr>
        <w:pStyle w:val="2"/>
        <w:rPr>
          <w:rStyle w:val="35"/>
          <w:rFonts w:hint="eastAsia" w:ascii="宋体" w:hAnsi="宋体" w:eastAsia="宋体" w:cs="宋体"/>
          <w:b/>
          <w:bCs/>
          <w:color w:val="auto"/>
          <w:sz w:val="24"/>
          <w:szCs w:val="24"/>
          <w:highlight w:val="none"/>
        </w:rPr>
      </w:pPr>
    </w:p>
    <w:p>
      <w:pPr>
        <w:rPr>
          <w:rFonts w:hint="eastAsia" w:ascii="宋体" w:hAnsi="宋体" w:eastAsia="宋体" w:cs="宋体"/>
          <w:color w:val="auto"/>
          <w:highlight w:val="none"/>
        </w:rPr>
      </w:pPr>
    </w:p>
    <w:p>
      <w:pPr>
        <w:spacing w:before="166" w:line="360" w:lineRule="auto"/>
        <w:jc w:val="center"/>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法定代表人授权委托书</w:t>
      </w:r>
    </w:p>
    <w:p>
      <w:pPr>
        <w:spacing w:line="560" w:lineRule="exact"/>
        <w:jc w:val="left"/>
        <w:rPr>
          <w:rStyle w:val="35"/>
          <w:rFonts w:hint="eastAsia" w:ascii="宋体" w:hAnsi="宋体" w:eastAsia="宋体" w:cs="宋体"/>
          <w:bCs/>
          <w:color w:val="auto"/>
          <w:spacing w:val="4"/>
          <w:szCs w:val="24"/>
          <w:highlight w:val="none"/>
        </w:rPr>
      </w:pPr>
      <w:r>
        <w:rPr>
          <w:rStyle w:val="35"/>
          <w:rFonts w:hint="eastAsia" w:ascii="宋体" w:hAnsi="宋体" w:eastAsia="宋体" w:cs="宋体"/>
          <w:bCs/>
          <w:color w:val="auto"/>
          <w:spacing w:val="4"/>
          <w:szCs w:val="24"/>
          <w:highlight w:val="none"/>
        </w:rPr>
        <w:t>致：</w:t>
      </w:r>
      <w:r>
        <w:rPr>
          <w:rStyle w:val="35"/>
          <w:rFonts w:hint="eastAsia" w:ascii="宋体" w:hAnsi="宋体" w:eastAsia="宋体" w:cs="宋体"/>
          <w:bCs/>
          <w:color w:val="auto"/>
          <w:spacing w:val="4"/>
          <w:szCs w:val="24"/>
          <w:highlight w:val="none"/>
          <w:u w:val="single" w:color="000000"/>
        </w:rPr>
        <w:t>（采购人名称）</w:t>
      </w:r>
    </w:p>
    <w:p>
      <w:pPr>
        <w:spacing w:line="56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u w:val="single" w:color="000000"/>
        </w:rPr>
        <w:t xml:space="preserve">(供应商名称)   </w:t>
      </w:r>
      <w:r>
        <w:rPr>
          <w:rStyle w:val="35"/>
          <w:rFonts w:hint="eastAsia" w:ascii="宋体" w:hAnsi="宋体" w:eastAsia="宋体" w:cs="宋体"/>
          <w:color w:val="auto"/>
          <w:spacing w:val="4"/>
          <w:szCs w:val="24"/>
          <w:highlight w:val="none"/>
        </w:rPr>
        <w:t>按中华人民共和国法律于（</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年</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月</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日 ）成立。</w:t>
      </w:r>
      <w:r>
        <w:rPr>
          <w:rStyle w:val="35"/>
          <w:rFonts w:hint="eastAsia" w:ascii="宋体" w:hAnsi="宋体" w:eastAsia="宋体" w:cs="宋体"/>
          <w:color w:val="auto"/>
          <w:szCs w:val="24"/>
          <w:highlight w:val="none"/>
        </w:rPr>
        <w:t>法定代表人</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pacing w:val="4"/>
          <w:szCs w:val="24"/>
          <w:highlight w:val="none"/>
          <w:u w:val="single" w:color="000000"/>
        </w:rPr>
        <w:t xml:space="preserve">姓名   </w:t>
      </w:r>
      <w:r>
        <w:rPr>
          <w:rStyle w:val="35"/>
          <w:rFonts w:hint="eastAsia" w:ascii="宋体" w:hAnsi="宋体" w:eastAsia="宋体" w:cs="宋体"/>
          <w:color w:val="auto"/>
          <w:spacing w:val="4"/>
          <w:szCs w:val="24"/>
          <w:highlight w:val="none"/>
        </w:rPr>
        <w:t>特授权</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zCs w:val="24"/>
          <w:highlight w:val="none"/>
          <w:u w:val="single" w:color="000000"/>
        </w:rPr>
        <w:t>被授权人</w:t>
      </w:r>
      <w:r>
        <w:rPr>
          <w:rStyle w:val="35"/>
          <w:rFonts w:hint="eastAsia" w:ascii="宋体" w:hAnsi="宋体" w:eastAsia="宋体" w:cs="宋体"/>
          <w:color w:val="auto"/>
          <w:spacing w:val="4"/>
          <w:szCs w:val="24"/>
          <w:highlight w:val="none"/>
          <w:u w:val="single" w:color="000000"/>
        </w:rPr>
        <w:t xml:space="preserve">姓名  </w:t>
      </w:r>
      <w:r>
        <w:rPr>
          <w:rStyle w:val="35"/>
          <w:rFonts w:hint="eastAsia" w:ascii="宋体" w:hAnsi="宋体" w:eastAsia="宋体" w:cs="宋体"/>
          <w:color w:val="auto"/>
          <w:spacing w:val="4"/>
          <w:szCs w:val="24"/>
          <w:highlight w:val="none"/>
        </w:rPr>
        <w:t>代表我公司全权办理针对本次</w:t>
      </w:r>
      <w:r>
        <w:rPr>
          <w:rStyle w:val="35"/>
          <w:rFonts w:hint="eastAsia" w:ascii="宋体" w:hAnsi="宋体" w:eastAsia="宋体" w:cs="宋体"/>
          <w:color w:val="auto"/>
          <w:spacing w:val="4"/>
          <w:szCs w:val="24"/>
          <w:highlight w:val="none"/>
          <w:u w:val="single" w:color="000000"/>
        </w:rPr>
        <w:t xml:space="preserve">  项目名称、项目编号   </w:t>
      </w:r>
      <w:r>
        <w:rPr>
          <w:rStyle w:val="35"/>
          <w:rFonts w:hint="eastAsia" w:ascii="宋体" w:hAnsi="宋体" w:eastAsia="宋体" w:cs="宋体"/>
          <w:color w:val="auto"/>
          <w:spacing w:val="4"/>
          <w:szCs w:val="24"/>
          <w:highlight w:val="none"/>
        </w:rPr>
        <w:t>投标、谈判、签约等具体工作，并签署全部有关的文件、协议及合同。</w:t>
      </w:r>
    </w:p>
    <w:p>
      <w:pPr>
        <w:spacing w:line="56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我公司对</w:t>
      </w:r>
      <w:r>
        <w:rPr>
          <w:rStyle w:val="35"/>
          <w:rFonts w:hint="eastAsia" w:ascii="宋体" w:hAnsi="宋体" w:eastAsia="宋体" w:cs="宋体"/>
          <w:color w:val="auto"/>
          <w:szCs w:val="24"/>
          <w:highlight w:val="none"/>
        </w:rPr>
        <w:t>被授权人</w:t>
      </w:r>
      <w:r>
        <w:rPr>
          <w:rStyle w:val="35"/>
          <w:rFonts w:hint="eastAsia" w:ascii="宋体" w:hAnsi="宋体" w:eastAsia="宋体" w:cs="宋体"/>
          <w:color w:val="auto"/>
          <w:spacing w:val="4"/>
          <w:szCs w:val="24"/>
          <w:highlight w:val="none"/>
        </w:rPr>
        <w:t>的签名负全部责任。</w:t>
      </w:r>
    </w:p>
    <w:p>
      <w:pPr>
        <w:spacing w:line="560" w:lineRule="exact"/>
        <w:ind w:right="232"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本授权有效期与投标有效期一致。</w:t>
      </w:r>
    </w:p>
    <w:tbl>
      <w:tblPr>
        <w:tblStyle w:val="26"/>
        <w:tblW w:w="8190" w:type="dxa"/>
        <w:tblInd w:w="525" w:type="dxa"/>
        <w:tblLayout w:type="fixed"/>
        <w:tblCellMar>
          <w:top w:w="0" w:type="dxa"/>
          <w:left w:w="0" w:type="dxa"/>
          <w:bottom w:w="0" w:type="dxa"/>
          <w:right w:w="0" w:type="dxa"/>
        </w:tblCellMar>
      </w:tblPr>
      <w:tblGrid>
        <w:gridCol w:w="4200"/>
        <w:gridCol w:w="3990"/>
      </w:tblGrid>
      <w:tr>
        <w:tblPrEx>
          <w:tblCellMar>
            <w:top w:w="0" w:type="dxa"/>
            <w:left w:w="0" w:type="dxa"/>
            <w:bottom w:w="0" w:type="dxa"/>
            <w:right w:w="0" w:type="dxa"/>
          </w:tblCellMar>
        </w:tblPrEx>
        <w:trPr>
          <w:trHeight w:val="600" w:hRule="atLeast"/>
        </w:trPr>
        <w:tc>
          <w:tcPr>
            <w:tcW w:w="420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被授权人签字：</w:t>
            </w:r>
          </w:p>
        </w:tc>
        <w:tc>
          <w:tcPr>
            <w:tcW w:w="399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zCs w:val="24"/>
                <w:highlight w:val="none"/>
              </w:rPr>
              <w:t>法定代表人</w:t>
            </w:r>
            <w:r>
              <w:rPr>
                <w:rStyle w:val="35"/>
                <w:rFonts w:hint="eastAsia" w:ascii="宋体" w:hAnsi="宋体" w:eastAsia="宋体" w:cs="宋体"/>
                <w:color w:val="auto"/>
                <w:spacing w:val="4"/>
                <w:szCs w:val="24"/>
                <w:highlight w:val="none"/>
              </w:rPr>
              <w:t>签字或盖章：</w:t>
            </w:r>
          </w:p>
        </w:tc>
      </w:tr>
      <w:tr>
        <w:tblPrEx>
          <w:tblCellMar>
            <w:top w:w="0" w:type="dxa"/>
            <w:left w:w="0" w:type="dxa"/>
            <w:bottom w:w="0" w:type="dxa"/>
            <w:right w:w="0" w:type="dxa"/>
          </w:tblCellMar>
        </w:tblPrEx>
        <w:trPr>
          <w:trHeight w:val="600" w:hRule="atLeast"/>
        </w:trPr>
        <w:tc>
          <w:tcPr>
            <w:tcW w:w="420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职务：</w:t>
            </w:r>
          </w:p>
        </w:tc>
        <w:tc>
          <w:tcPr>
            <w:tcW w:w="399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职务：</w:t>
            </w:r>
          </w:p>
        </w:tc>
      </w:tr>
    </w:tbl>
    <w:p>
      <w:pPr>
        <w:spacing w:before="240" w:line="360" w:lineRule="auto"/>
        <w:ind w:firstLine="960" w:firstLineChars="400"/>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lang w:val="zh-CN"/>
        </w:rPr>
        <w:t>附法定代表人身份证复印件及被授权人身份证复印件（正反面）</w:t>
      </w:r>
    </w:p>
    <w:p>
      <w:pPr>
        <w:spacing w:line="480" w:lineRule="auto"/>
        <w:ind w:left="485" w:leftChars="202" w:right="616"/>
        <w:jc w:val="left"/>
        <w:rPr>
          <w:rStyle w:val="35"/>
          <w:rFonts w:hint="eastAsia" w:ascii="宋体" w:hAnsi="宋体" w:eastAsia="宋体" w:cs="宋体"/>
          <w:color w:val="auto"/>
          <w:szCs w:val="24"/>
          <w:highlight w:val="none"/>
        </w:rPr>
      </w:pPr>
    </w:p>
    <w:p>
      <w:pPr>
        <w:spacing w:line="480" w:lineRule="auto"/>
        <w:ind w:left="485" w:leftChars="202" w:right="616"/>
        <w:jc w:val="left"/>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72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napToGrid w:val="0"/>
        <w:spacing w:line="72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rPr>
          <w:rStyle w:val="35"/>
          <w:rFonts w:hint="eastAsia" w:ascii="宋体" w:hAnsi="宋体" w:eastAsia="宋体" w:cs="宋体"/>
          <w:b/>
          <w:bCs/>
          <w:color w:val="auto"/>
          <w:sz w:val="24"/>
          <w:szCs w:val="24"/>
          <w:highlight w:val="none"/>
          <w:lang w:val="zh-CN"/>
        </w:rPr>
      </w:pPr>
    </w:p>
    <w:p>
      <w:pPr>
        <w:pStyle w:val="97"/>
        <w:ind w:firstLine="720" w:firstLineChars="300"/>
        <w:rPr>
          <w:rStyle w:val="35"/>
          <w:rFonts w:hint="eastAsia" w:ascii="宋体" w:hAnsi="宋体" w:eastAsia="宋体" w:cs="宋体"/>
          <w:color w:val="auto"/>
          <w:sz w:val="24"/>
          <w:szCs w:val="24"/>
          <w:highlight w:val="none"/>
        </w:rPr>
      </w:pPr>
    </w:p>
    <w:p>
      <w:pP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lang w:val="zh-CN"/>
        </w:rPr>
        <w:t>说明：</w:t>
      </w:r>
      <w:r>
        <w:rPr>
          <w:rStyle w:val="35"/>
          <w:rFonts w:hint="eastAsia" w:ascii="宋体" w:hAnsi="宋体" w:eastAsia="宋体" w:cs="宋体"/>
          <w:b/>
          <w:bCs/>
          <w:color w:val="auto"/>
          <w:szCs w:val="24"/>
          <w:highlight w:val="none"/>
        </w:rPr>
        <w:t>法定代表人直接投标时无需提供。</w:t>
      </w:r>
    </w:p>
    <w:p>
      <w:pP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br w:type="page"/>
      </w: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lang w:val="en-US" w:eastAsia="zh-CN"/>
        </w:rPr>
        <w:t>五</w:t>
      </w:r>
      <w:r>
        <w:rPr>
          <w:rStyle w:val="35"/>
          <w:rFonts w:hint="eastAsia" w:ascii="宋体" w:hAnsi="宋体" w:eastAsia="宋体" w:cs="宋体"/>
          <w:b/>
          <w:bCs/>
          <w:color w:val="auto"/>
          <w:sz w:val="32"/>
          <w:szCs w:val="32"/>
          <w:highlight w:val="none"/>
        </w:rPr>
        <w:t>、信用记录声明</w:t>
      </w:r>
    </w:p>
    <w:p>
      <w:pPr>
        <w:spacing w:line="500" w:lineRule="exact"/>
        <w:jc w:val="center"/>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供应商信用记录书面声明函</w:t>
      </w:r>
    </w:p>
    <w:p>
      <w:pPr>
        <w:spacing w:line="500" w:lineRule="exact"/>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right="11"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我方作为《</w:t>
      </w:r>
      <w:r>
        <w:rPr>
          <w:rStyle w:val="35"/>
          <w:rFonts w:hint="eastAsia" w:ascii="宋体" w:hAnsi="宋体" w:eastAsia="宋体" w:cs="宋体"/>
          <w:color w:val="auto"/>
          <w:szCs w:val="24"/>
          <w:highlight w:val="none"/>
          <w:u w:val="single" w:color="000000"/>
        </w:rPr>
        <w:t xml:space="preserve">项目名称           </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）的投标供应商，在此郑重声明：</w:t>
      </w:r>
    </w:p>
    <w:p>
      <w:pPr>
        <w:spacing w:line="500" w:lineRule="exact"/>
        <w:ind w:firstLine="482" w:firstLineChars="200"/>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1、供应商在参加政府采购活动前3年内因违法经营被禁止在一定期限内参加政府采购活动，期限届满的，可以参加政府采购活动，但应提供期限届满的证明材料。</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2、我方_____（填“未被列入”或“被列入”）“信用中国”网站失信被执行人名单。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3、我方_____（填“未被列入”或“被列入”）“信用中国”网站重大税收违法案件当事人名单。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4、我方_____（填“未被列入”或“被列入”）中国政府采购网站政府采购严重违法失信行为记录名单。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如有不实，我方将无条件地退出本项目的采购活动，并遵照《中华人民共和国政府采购法》有关“提供虚假材料的规定”接受处罚。</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spacing w:line="500" w:lineRule="exact"/>
        <w:ind w:firstLine="4080" w:firstLineChars="17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line="360" w:lineRule="auto"/>
        <w:outlineLvl w:val="2"/>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6"/>
          <w:szCs w:val="36"/>
          <w:highlight w:val="none"/>
          <w:lang w:val="en-US" w:eastAsia="zh-CN"/>
        </w:rPr>
        <w:t>六</w:t>
      </w:r>
      <w:r>
        <w:rPr>
          <w:rStyle w:val="35"/>
          <w:rFonts w:hint="eastAsia" w:ascii="宋体" w:hAnsi="宋体" w:eastAsia="宋体" w:cs="宋体"/>
          <w:b/>
          <w:bCs/>
          <w:color w:val="auto"/>
          <w:sz w:val="36"/>
          <w:szCs w:val="36"/>
          <w:highlight w:val="none"/>
        </w:rPr>
        <w:t>、控股管理关系承诺书</w:t>
      </w:r>
    </w:p>
    <w:p>
      <w:pPr>
        <w:spacing w:line="500" w:lineRule="exact"/>
        <w:jc w:val="center"/>
        <w:outlineLvl w:val="3"/>
        <w:rPr>
          <w:rStyle w:val="35"/>
          <w:rFonts w:hint="eastAsia" w:ascii="宋体" w:hAnsi="宋体" w:eastAsia="宋体" w:cs="宋体"/>
          <w:b/>
          <w:bCs/>
          <w:color w:val="auto"/>
          <w:sz w:val="36"/>
          <w:szCs w:val="36"/>
          <w:highlight w:val="none"/>
          <w:lang w:val="zh-CN"/>
        </w:rPr>
      </w:pPr>
      <w:r>
        <w:rPr>
          <w:rStyle w:val="35"/>
          <w:rFonts w:hint="eastAsia" w:ascii="宋体" w:hAnsi="宋体" w:eastAsia="宋体" w:cs="宋体"/>
          <w:b/>
          <w:bCs/>
          <w:color w:val="auto"/>
          <w:sz w:val="36"/>
          <w:szCs w:val="36"/>
          <w:highlight w:val="none"/>
          <w:lang w:val="zh-CN"/>
        </w:rPr>
        <w:t>供应商控股管理关系承诺书</w:t>
      </w:r>
    </w:p>
    <w:p>
      <w:pPr>
        <w:pStyle w:val="34"/>
        <w:rPr>
          <w:rStyle w:val="35"/>
          <w:rFonts w:hint="eastAsia" w:ascii="宋体" w:hAnsi="宋体" w:eastAsia="宋体" w:cs="宋体"/>
          <w:color w:val="auto"/>
          <w:sz w:val="24"/>
          <w:szCs w:val="24"/>
          <w:highlight w:val="none"/>
          <w:lang w:val="zh-CN"/>
        </w:rPr>
      </w:pP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1、供应商在本项目投标中，不存在与其它供应商负责人为同一人，有控股、管理等关联关系承诺：</w:t>
      </w:r>
    </w:p>
    <w:p>
      <w:pPr>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1.1管理关系说明：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我单位管理的具有独立法人的下属单位有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我单位的上级管理单位有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1.2股权关系说明：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我单位控股的单位有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我单位被</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单位控股。</w:t>
      </w:r>
    </w:p>
    <w:p>
      <w:pPr>
        <w:spacing w:line="500" w:lineRule="exact"/>
        <w:ind w:firstLine="480" w:firstLineChars="200"/>
        <w:outlineLvl w:val="3"/>
        <w:rPr>
          <w:rStyle w:val="35"/>
          <w:rFonts w:hint="eastAsia" w:ascii="宋体" w:hAnsi="宋体" w:eastAsia="宋体" w:cs="宋体"/>
          <w:color w:val="auto"/>
          <w:szCs w:val="24"/>
          <w:highlight w:val="none"/>
          <w:u w:val="single"/>
        </w:rPr>
      </w:pPr>
      <w:r>
        <w:rPr>
          <w:rStyle w:val="35"/>
          <w:rFonts w:hint="eastAsia" w:ascii="宋体" w:hAnsi="宋体" w:eastAsia="宋体" w:cs="宋体"/>
          <w:color w:val="auto"/>
          <w:szCs w:val="24"/>
          <w:highlight w:val="none"/>
        </w:rPr>
        <w:t>1.3单位负责人：</w:t>
      </w:r>
      <w:r>
        <w:rPr>
          <w:rStyle w:val="35"/>
          <w:rFonts w:hint="eastAsia" w:ascii="宋体" w:hAnsi="宋体" w:eastAsia="宋体" w:cs="宋体"/>
          <w:color w:val="auto"/>
          <w:szCs w:val="24"/>
          <w:highlight w:val="none"/>
          <w:u w:val="single"/>
        </w:rPr>
        <w:t xml:space="preserve">      </w:t>
      </w:r>
      <w:r>
        <w:rPr>
          <w:rStyle w:val="35"/>
          <w:rFonts w:hint="eastAsia" w:ascii="宋体" w:hAnsi="宋体" w:eastAsia="宋体" w:cs="宋体"/>
          <w:color w:val="auto"/>
          <w:szCs w:val="24"/>
          <w:highlight w:val="none"/>
        </w:rPr>
        <w:t xml:space="preserve">。 </w:t>
      </w:r>
    </w:p>
    <w:p>
      <w:pPr>
        <w:spacing w:line="500" w:lineRule="exact"/>
        <w:ind w:firstLine="480" w:firstLineChars="200"/>
        <w:outlineLvl w:val="3"/>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2、其他与本项目有关的利害关系说明：</w:t>
      </w:r>
      <w:r>
        <w:rPr>
          <w:rStyle w:val="35"/>
          <w:rFonts w:hint="eastAsia" w:ascii="宋体" w:hAnsi="宋体" w:eastAsia="宋体" w:cs="宋体"/>
          <w:color w:val="auto"/>
          <w:szCs w:val="24"/>
          <w:highlight w:val="none"/>
          <w:u w:val="single"/>
        </w:rPr>
        <w:t xml:space="preserve">        </w:t>
      </w:r>
      <w:r>
        <w:rPr>
          <w:rStyle w:val="35"/>
          <w:rFonts w:hint="eastAsia" w:ascii="宋体" w:hAnsi="宋体" w:eastAsia="宋体" w:cs="宋体"/>
          <w:color w:val="auto"/>
          <w:szCs w:val="24"/>
          <w:highlight w:val="none"/>
          <w:u w:val="single" w:color="000000"/>
        </w:rPr>
        <w:t xml:space="preserve">                       </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我单位承诺以上说明真实有效，无虚假内容或隐瞒。</w:t>
      </w:r>
    </w:p>
    <w:p>
      <w:pPr>
        <w:spacing w:line="500" w:lineRule="exact"/>
        <w:ind w:firstLine="240" w:firstLineChars="100"/>
        <w:rPr>
          <w:rStyle w:val="35"/>
          <w:rFonts w:hint="eastAsia" w:ascii="宋体" w:hAnsi="宋体" w:eastAsia="宋体" w:cs="宋体"/>
          <w:color w:val="auto"/>
          <w:szCs w:val="24"/>
          <w:highlight w:val="none"/>
        </w:rPr>
      </w:pPr>
    </w:p>
    <w:p>
      <w:pPr>
        <w:pStyle w:val="34"/>
        <w:rPr>
          <w:rStyle w:val="35"/>
          <w:rFonts w:hint="eastAsia" w:ascii="宋体" w:hAnsi="宋体" w:eastAsia="宋体" w:cs="宋体"/>
          <w:color w:val="auto"/>
          <w:sz w:val="24"/>
          <w:szCs w:val="24"/>
          <w:highlight w:val="none"/>
        </w:rPr>
      </w:pPr>
    </w:p>
    <w:p>
      <w:pPr>
        <w:spacing w:line="500" w:lineRule="exact"/>
        <w:ind w:firstLine="2400" w:firstLineChars="10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pacing w:line="500" w:lineRule="exact"/>
        <w:ind w:firstLine="240" w:firstLineChars="100"/>
        <w:rPr>
          <w:rStyle w:val="35"/>
          <w:rFonts w:hint="eastAsia" w:ascii="宋体" w:hAnsi="宋体" w:eastAsia="宋体" w:cs="宋体"/>
          <w:color w:val="auto"/>
          <w:szCs w:val="24"/>
          <w:highlight w:val="none"/>
        </w:rPr>
      </w:pPr>
    </w:p>
    <w:p>
      <w:pPr>
        <w:spacing w:line="408" w:lineRule="auto"/>
        <w:ind w:left="274" w:leftChars="114"/>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年      月      日</w:t>
      </w: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七</w:t>
      </w:r>
      <w:r>
        <w:rPr>
          <w:rStyle w:val="35"/>
          <w:rFonts w:hint="eastAsia" w:ascii="宋体" w:hAnsi="宋体" w:eastAsia="宋体" w:cs="宋体"/>
          <w:b/>
          <w:bCs/>
          <w:color w:val="auto"/>
          <w:sz w:val="32"/>
          <w:szCs w:val="32"/>
          <w:highlight w:val="none"/>
        </w:rPr>
        <w:t>、供应商书面声明</w:t>
      </w:r>
    </w:p>
    <w:p>
      <w:pPr>
        <w:spacing w:line="500" w:lineRule="exact"/>
        <w:jc w:val="center"/>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供应商未为本项目提供整体设计、规范编制或者项目管理、监理、检测等服务的书面声明</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我方作为</w:t>
      </w:r>
      <w:r>
        <w:rPr>
          <w:rStyle w:val="35"/>
          <w:rFonts w:hint="eastAsia" w:ascii="宋体" w:hAnsi="宋体" w:eastAsia="宋体" w:cs="宋体"/>
          <w:color w:val="auto"/>
          <w:szCs w:val="24"/>
          <w:highlight w:val="none"/>
          <w:u w:val="single" w:color="000000"/>
        </w:rPr>
        <w:t xml:space="preserve"> 项目名称                </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）的投标供应商，在此郑重声明：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w:t>
      </w:r>
      <w:r>
        <w:rPr>
          <w:rStyle w:val="35"/>
          <w:rFonts w:hint="eastAsia" w:ascii="宋体" w:hAnsi="宋体" w:eastAsia="宋体" w:cs="宋体"/>
          <w:color w:val="auto"/>
          <w:szCs w:val="24"/>
          <w:highlight w:val="none"/>
          <w:u w:val="single" w:color="000000"/>
        </w:rPr>
        <w:t xml:space="preserve"> 不属于 </w:t>
      </w:r>
      <w:r>
        <w:rPr>
          <w:rStyle w:val="35"/>
          <w:rFonts w:hint="eastAsia" w:ascii="宋体" w:hAnsi="宋体" w:eastAsia="宋体" w:cs="宋体"/>
          <w:color w:val="auto"/>
          <w:szCs w:val="24"/>
          <w:highlight w:val="none"/>
        </w:rPr>
        <w:t>为本项目提供整体设计、规范编制或者项目管理、监理、检测等服务的供应商。</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如有不实，我方将无条件地退出本项目的采购活动，并遵照《中华人民共和国政府采购法》有关“提供虚假材料的规定”接受处罚。</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spacing w:line="500" w:lineRule="exact"/>
        <w:ind w:firstLine="3840" w:firstLineChars="16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3840" w:firstLineChars="16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57"/>
        <w:ind w:firstLine="480"/>
        <w:rPr>
          <w:rStyle w:val="35"/>
          <w:rFonts w:hint="eastAsia" w:ascii="宋体" w:hAnsi="宋体" w:eastAsia="宋体" w:cs="宋体"/>
          <w:color w:val="auto"/>
          <w:sz w:val="24"/>
          <w:highlight w:val="none"/>
        </w:rPr>
      </w:pPr>
    </w:p>
    <w:p>
      <w:pPr>
        <w:pStyle w:val="57"/>
        <w:ind w:firstLine="480"/>
        <w:rPr>
          <w:rStyle w:val="35"/>
          <w:rFonts w:hint="eastAsia" w:ascii="宋体" w:hAnsi="宋体" w:eastAsia="宋体" w:cs="宋体"/>
          <w:color w:val="auto"/>
          <w:sz w:val="24"/>
          <w:highlight w:val="none"/>
        </w:rPr>
      </w:pPr>
    </w:p>
    <w:p>
      <w:pPr>
        <w:spacing w:line="360" w:lineRule="auto"/>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ab/>
      </w:r>
    </w:p>
    <w:p>
      <w:pPr>
        <w:pStyle w:val="34"/>
        <w:outlineLvl w:val="2"/>
        <w:rPr>
          <w:rStyle w:val="35"/>
          <w:rFonts w:hint="eastAsia" w:ascii="宋体" w:hAnsi="宋体" w:eastAsia="宋体" w:cs="宋体"/>
          <w:b/>
          <w:bCs/>
          <w:color w:val="auto"/>
          <w:sz w:val="24"/>
          <w:szCs w:val="24"/>
          <w:highlight w:val="none"/>
        </w:rPr>
      </w:pPr>
      <w:r>
        <w:rPr>
          <w:rStyle w:val="35"/>
          <w:rFonts w:hint="eastAsia" w:ascii="宋体" w:hAnsi="宋体" w:eastAsia="宋体" w:cs="宋体"/>
          <w:b/>
          <w:bCs/>
          <w:color w:val="auto"/>
          <w:sz w:val="24"/>
          <w:szCs w:val="24"/>
          <w:highlight w:val="none"/>
        </w:rPr>
        <w:br w:type="page"/>
      </w:r>
      <w:r>
        <w:rPr>
          <w:rStyle w:val="35"/>
          <w:rFonts w:hint="eastAsia" w:ascii="宋体" w:hAnsi="宋体" w:eastAsia="宋体" w:cs="宋体"/>
          <w:b/>
          <w:bCs/>
          <w:color w:val="auto"/>
          <w:sz w:val="32"/>
          <w:szCs w:val="32"/>
          <w:highlight w:val="none"/>
          <w:lang w:val="en-US" w:eastAsia="zh-CN"/>
        </w:rPr>
        <w:t>八</w:t>
      </w:r>
      <w:r>
        <w:rPr>
          <w:rStyle w:val="35"/>
          <w:rFonts w:hint="eastAsia" w:ascii="宋体" w:hAnsi="宋体" w:eastAsia="宋体" w:cs="宋体"/>
          <w:b/>
          <w:bCs/>
          <w:color w:val="auto"/>
          <w:sz w:val="32"/>
          <w:szCs w:val="32"/>
          <w:highlight w:val="none"/>
        </w:rPr>
        <w:t>、供应商参与投标的承诺函</w:t>
      </w:r>
    </w:p>
    <w:p>
      <w:pPr>
        <w:spacing w:line="500" w:lineRule="exact"/>
        <w:jc w:val="center"/>
        <w:rPr>
          <w:rStyle w:val="35"/>
          <w:rFonts w:hint="eastAsia" w:ascii="宋体" w:hAnsi="宋体" w:eastAsia="宋体" w:cs="宋体"/>
          <w:b/>
          <w:bCs/>
          <w:color w:val="auto"/>
          <w:szCs w:val="24"/>
          <w:highlight w:val="none"/>
        </w:rPr>
      </w:pPr>
    </w:p>
    <w:p>
      <w:pPr>
        <w:spacing w:line="500" w:lineRule="exact"/>
        <w:jc w:val="center"/>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供应商参与投标的承诺函</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我公司郑重承诺，在投标有效期内不随意撤回、撤销投标，在中标后按照招标文件和投标文件与采购人签订合同。如果违反以上承诺，给采购人造成损失的，我公司自愿按照中华人民共和国政府采购法等法律法规规定承担相应的责任。</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3360" w:firstLineChars="14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（公章）                 </w:t>
      </w:r>
    </w:p>
    <w:p>
      <w:pPr>
        <w:spacing w:line="500" w:lineRule="exact"/>
        <w:ind w:firstLine="3360" w:firstLineChars="14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spacing w:line="360" w:lineRule="auto"/>
        <w:jc w:val="left"/>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九</w:t>
      </w:r>
      <w:r>
        <w:rPr>
          <w:rStyle w:val="35"/>
          <w:rFonts w:hint="eastAsia" w:ascii="宋体" w:hAnsi="宋体" w:eastAsia="宋体" w:cs="宋体"/>
          <w:b/>
          <w:bCs/>
          <w:color w:val="auto"/>
          <w:sz w:val="32"/>
          <w:szCs w:val="32"/>
          <w:highlight w:val="none"/>
        </w:rPr>
        <w:t>、本项目不接受联合体投标，不允许分包</w:t>
      </w:r>
    </w:p>
    <w:p>
      <w:pPr>
        <w:rPr>
          <w:rStyle w:val="35"/>
          <w:rFonts w:hint="eastAsia" w:ascii="宋体" w:hAnsi="宋体" w:eastAsia="宋体" w:cs="宋体"/>
          <w:color w:val="auto"/>
          <w:sz w:val="32"/>
          <w:szCs w:val="32"/>
          <w:highlight w:val="none"/>
        </w:rPr>
      </w:pPr>
    </w:p>
    <w:p>
      <w:pPr>
        <w:pStyle w:val="57"/>
        <w:ind w:firstLine="643"/>
        <w:jc w:val="center"/>
        <w:outlineLvl w:val="1"/>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非联合体不分包投标声明</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本单位郑重声明，参加(采购人）的</w:t>
      </w:r>
      <w:r>
        <w:rPr>
          <w:rStyle w:val="35"/>
          <w:rFonts w:hint="eastAsia" w:ascii="宋体" w:hAnsi="宋体" w:eastAsia="宋体" w:cs="宋体"/>
          <w:color w:val="auto"/>
          <w:szCs w:val="24"/>
          <w:highlight w:val="none"/>
          <w:u w:val="single" w:color="000000"/>
        </w:rPr>
        <w:t>项目名称</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）采购活动，为非联合体投标，本项目实施过程由本单位独立承担。</w:t>
      </w:r>
    </w:p>
    <w:p>
      <w:pPr>
        <w:spacing w:line="500" w:lineRule="exact"/>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本单位对上述声明的真实性负责。如有虚假，将依法承担相应责任。</w:t>
      </w:r>
    </w:p>
    <w:p>
      <w:pPr>
        <w:spacing w:line="500" w:lineRule="exact"/>
        <w:ind w:firstLine="480" w:firstLineChars="200"/>
        <w:jc w:val="left"/>
        <w:rPr>
          <w:rStyle w:val="35"/>
          <w:rFonts w:hint="eastAsia" w:ascii="宋体" w:hAnsi="宋体" w:eastAsia="宋体" w:cs="宋体"/>
          <w:color w:val="auto"/>
          <w:szCs w:val="24"/>
          <w:highlight w:val="none"/>
        </w:rPr>
      </w:pPr>
    </w:p>
    <w:p>
      <w:pPr>
        <w:pStyle w:val="57"/>
        <w:ind w:firstLine="480"/>
        <w:rPr>
          <w:rStyle w:val="35"/>
          <w:rFonts w:hint="eastAsia" w:ascii="宋体" w:hAnsi="宋体" w:eastAsia="宋体" w:cs="宋体"/>
          <w:color w:val="auto"/>
          <w:sz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tabs>
          <w:tab w:val="left" w:pos="5670"/>
        </w:tabs>
        <w:spacing w:line="500" w:lineRule="exact"/>
        <w:ind w:firstLine="4560" w:firstLineChars="19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257"/>
        <w:spacing w:before="0" w:after="0" w:line="360" w:lineRule="auto"/>
        <w:ind w:left="283"/>
        <w:outlineLvl w:val="1"/>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第二部分 符合性证明文件</w:t>
      </w:r>
    </w:p>
    <w:p>
      <w:pPr>
        <w:pStyle w:val="257"/>
        <w:spacing w:before="0" w:after="0" w:line="360" w:lineRule="auto"/>
        <w:ind w:left="0"/>
        <w:jc w:val="both"/>
        <w:outlineLvl w:val="2"/>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一、投标函格式</w:t>
      </w:r>
    </w:p>
    <w:p>
      <w:pPr>
        <w:pStyle w:val="257"/>
        <w:spacing w:before="0" w:after="0" w:line="360" w:lineRule="auto"/>
        <w:ind w:left="283"/>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投标函</w:t>
      </w:r>
    </w:p>
    <w:p>
      <w:pPr>
        <w:pStyle w:val="273"/>
        <w:spacing w:line="500" w:lineRule="exact"/>
        <w:ind w:firstLineChars="0"/>
        <w:rPr>
          <w:rStyle w:val="35"/>
          <w:rFonts w:hint="eastAsia" w:ascii="宋体" w:hAnsi="宋体" w:eastAsia="宋体" w:cs="宋体"/>
          <w:color w:val="auto"/>
          <w:szCs w:val="24"/>
          <w:highlight w:val="none"/>
          <w:lang w:val="zh-CN"/>
        </w:rPr>
      </w:pPr>
      <w:r>
        <w:rPr>
          <w:rStyle w:val="35"/>
          <w:rFonts w:hint="eastAsia" w:ascii="宋体" w:hAnsi="宋体" w:eastAsia="宋体" w:cs="宋体"/>
          <w:color w:val="auto"/>
          <w:szCs w:val="24"/>
          <w:highlight w:val="none"/>
          <w:u w:val="single" w:color="000000"/>
        </w:rPr>
        <w:t>(采购人名称）</w:t>
      </w:r>
      <w:r>
        <w:rPr>
          <w:rStyle w:val="35"/>
          <w:rFonts w:hint="eastAsia" w:ascii="宋体" w:hAnsi="宋体" w:eastAsia="宋体" w:cs="宋体"/>
          <w:color w:val="auto"/>
          <w:szCs w:val="24"/>
          <w:highlight w:val="none"/>
          <w:lang w:val="zh-CN"/>
        </w:rPr>
        <w:t>：</w:t>
      </w:r>
    </w:p>
    <w:p>
      <w:pPr>
        <w:spacing w:line="360" w:lineRule="auto"/>
        <w:ind w:right="11"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我方收到贵单位发布的《</w:t>
      </w:r>
      <w:r>
        <w:rPr>
          <w:rStyle w:val="35"/>
          <w:rFonts w:hint="eastAsia" w:ascii="宋体" w:hAnsi="宋体" w:eastAsia="宋体" w:cs="宋体"/>
          <w:color w:val="auto"/>
          <w:szCs w:val="24"/>
          <w:highlight w:val="none"/>
          <w:u w:val="single" w:color="000000"/>
        </w:rPr>
        <w:t>项目名称</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）招标文件，经详细研究，我方决定参加该项目招标活动。为此，我方郑重声明以下诸点，并负法律责任。</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一、我方已详细阅读了招标文件，完全理解并同意招标文件的所有事项及内容。</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三、我方同意向贵方提供与本投标有关的任何证明材料，保证所提交的证明材料真实、合法、有效。我方理解</w:t>
      </w:r>
      <w:r>
        <w:rPr>
          <w:rStyle w:val="35"/>
          <w:rFonts w:hint="eastAsia" w:ascii="宋体" w:hAnsi="宋体" w:eastAsia="宋体" w:cs="宋体"/>
          <w:b/>
          <w:bCs/>
          <w:color w:val="auto"/>
          <w:szCs w:val="24"/>
          <w:highlight w:val="none"/>
        </w:rPr>
        <w:t>最低价</w:t>
      </w:r>
      <w:r>
        <w:rPr>
          <w:rStyle w:val="35"/>
          <w:rFonts w:hint="eastAsia" w:ascii="宋体" w:hAnsi="宋体" w:eastAsia="宋体" w:cs="宋体"/>
          <w:color w:val="auto"/>
          <w:szCs w:val="24"/>
          <w:highlight w:val="none"/>
        </w:rPr>
        <w:t>不是中标的唯一条件，并尊重评标委员会的评审结果。</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四、我方愿意按照招标文件中的一切要求，完成本项目合同责任和义务。</w:t>
      </w:r>
    </w:p>
    <w:p>
      <w:pPr>
        <w:pStyle w:val="93"/>
        <w:spacing w:before="0" w:after="0" w:line="360" w:lineRule="auto"/>
        <w:ind w:firstLine="480" w:firstLineChars="200"/>
        <w:rPr>
          <w:rStyle w:val="35"/>
          <w:rFonts w:hint="eastAsia" w:ascii="宋体" w:hAnsi="宋体" w:eastAsia="宋体" w:cs="宋体"/>
          <w:color w:val="auto"/>
          <w:kern w:val="2"/>
          <w:highlight w:val="none"/>
        </w:rPr>
      </w:pPr>
      <w:r>
        <w:rPr>
          <w:rStyle w:val="35"/>
          <w:rFonts w:hint="eastAsia" w:ascii="宋体" w:hAnsi="宋体" w:eastAsia="宋体" w:cs="宋体"/>
          <w:color w:val="auto"/>
          <w:kern w:val="2"/>
          <w:highlight w:val="none"/>
        </w:rPr>
        <w:t xml:space="preserve">五、按招标文件的规定，完成本项目采购内容并验收合格的投标报价以开标一览表为准。 </w:t>
      </w:r>
    </w:p>
    <w:p>
      <w:pPr>
        <w:pStyle w:val="93"/>
        <w:spacing w:before="0" w:after="0" w:line="360" w:lineRule="auto"/>
        <w:ind w:firstLine="480" w:firstLineChars="200"/>
        <w:rPr>
          <w:rStyle w:val="35"/>
          <w:rFonts w:hint="eastAsia" w:ascii="宋体" w:hAnsi="宋体" w:eastAsia="宋体" w:cs="宋体"/>
          <w:color w:val="auto"/>
          <w:kern w:val="2"/>
          <w:highlight w:val="none"/>
        </w:rPr>
      </w:pPr>
      <w:r>
        <w:rPr>
          <w:rStyle w:val="35"/>
          <w:rFonts w:hint="eastAsia" w:ascii="宋体" w:hAnsi="宋体" w:eastAsia="宋体" w:cs="宋体"/>
          <w:color w:val="auto"/>
          <w:kern w:val="2"/>
          <w:highlight w:val="none"/>
        </w:rPr>
        <w:t>六、我方提交电子投标文件壹份。</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七、开标后在规定的投标有效期内撤回投标，我们愿接受政府采购的有关处罚决定。</w:t>
      </w:r>
    </w:p>
    <w:p>
      <w:pPr>
        <w:spacing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八、我方的投标文件在开标之日起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b/>
          <w:bCs/>
          <w:color w:val="auto"/>
          <w:szCs w:val="24"/>
          <w:highlight w:val="none"/>
          <w:u w:val="single" w:color="000000"/>
        </w:rPr>
        <w:t>90</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个日历日内有效，如中标，延长至合同执行完毕时止。</w:t>
      </w:r>
    </w:p>
    <w:p>
      <w:pPr>
        <w:pStyle w:val="34"/>
        <w:spacing w:after="0" w:line="360" w:lineRule="auto"/>
        <w:ind w:firstLine="480" w:firstLineChars="200"/>
        <w:rPr>
          <w:rStyle w:val="35"/>
          <w:rFonts w:hint="eastAsia" w:ascii="宋体" w:hAnsi="宋体" w:eastAsia="宋体" w:cs="宋体"/>
          <w:color w:val="auto"/>
          <w:kern w:val="0"/>
          <w:sz w:val="24"/>
          <w:szCs w:val="24"/>
          <w:highlight w:val="none"/>
        </w:rPr>
      </w:pPr>
      <w:r>
        <w:rPr>
          <w:rStyle w:val="35"/>
          <w:rFonts w:hint="eastAsia" w:ascii="宋体" w:hAnsi="宋体" w:eastAsia="宋体" w:cs="宋体"/>
          <w:color w:val="auto"/>
          <w:kern w:val="0"/>
          <w:sz w:val="24"/>
          <w:szCs w:val="24"/>
          <w:highlight w:val="none"/>
        </w:rPr>
        <w:t>九、我们同意，如果中标，向陕西同创启辰项目管理有限公司交纳招标代理服务费。</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十、所有关于此次招标活动的函电，请按下列地址联系：</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地址：</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开户银行：</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账号：</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电话：</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传真：</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邮编：</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电子邮箱：</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273"/>
        <w:ind w:firstLineChars="0"/>
        <w:rPr>
          <w:rStyle w:val="35"/>
          <w:rFonts w:hint="eastAsia" w:ascii="宋体" w:hAnsi="宋体" w:eastAsia="宋体" w:cs="宋体"/>
          <w:color w:val="auto"/>
          <w:szCs w:val="24"/>
          <w:highlight w:val="none"/>
        </w:rPr>
      </w:pPr>
    </w:p>
    <w:p>
      <w:pPr>
        <w:pStyle w:val="273"/>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备注：除可填报项目外，对本投标函的任何实质性内容修改将被视为非实质性响应，在评审时将其视为无效响应。</w:t>
      </w:r>
    </w:p>
    <w:p>
      <w:pPr>
        <w:pStyle w:val="273"/>
        <w:ind w:firstLineChars="0"/>
        <w:rPr>
          <w:rStyle w:val="35"/>
          <w:rFonts w:hint="eastAsia" w:ascii="宋体" w:hAnsi="宋体" w:eastAsia="宋体" w:cs="宋体"/>
          <w:b/>
          <w:bCs/>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jc w:val="center"/>
        <w:rPr>
          <w:rStyle w:val="35"/>
          <w:rFonts w:hint="eastAsia" w:ascii="宋体" w:hAnsi="宋体" w:eastAsia="宋体" w:cs="宋体"/>
          <w:b/>
          <w:color w:val="auto"/>
          <w:szCs w:val="24"/>
          <w:highlight w:val="none"/>
        </w:rPr>
      </w:pPr>
    </w:p>
    <w:p>
      <w:pPr>
        <w:pStyle w:val="257"/>
        <w:spacing w:before="0" w:after="0" w:line="360" w:lineRule="auto"/>
        <w:ind w:left="0"/>
        <w:outlineLvl w:val="2"/>
        <w:rPr>
          <w:rStyle w:val="35"/>
          <w:rFonts w:hint="eastAsia" w:ascii="宋体" w:hAnsi="宋体" w:eastAsia="宋体" w:cs="宋体"/>
          <w:color w:val="auto"/>
          <w:sz w:val="36"/>
          <w:szCs w:val="36"/>
          <w:highlight w:val="none"/>
        </w:rPr>
      </w:pPr>
      <w:r>
        <w:rPr>
          <w:rStyle w:val="35"/>
          <w:rFonts w:hint="eastAsia" w:ascii="宋体" w:hAnsi="宋体" w:eastAsia="宋体" w:cs="宋体"/>
          <w:bCs w:val="0"/>
          <w:color w:val="auto"/>
          <w:sz w:val="36"/>
          <w:szCs w:val="36"/>
          <w:highlight w:val="none"/>
        </w:rPr>
        <w:t>二、开标一览表</w:t>
      </w:r>
    </w:p>
    <w:p>
      <w:pPr>
        <w:jc w:val="center"/>
        <w:outlineLvl w:val="3"/>
        <w:rPr>
          <w:rStyle w:val="35"/>
          <w:rFonts w:hint="eastAsia" w:ascii="宋体" w:hAnsi="宋体" w:eastAsia="宋体" w:cs="宋体"/>
          <w:b/>
          <w:color w:val="auto"/>
          <w:sz w:val="36"/>
          <w:szCs w:val="36"/>
          <w:highlight w:val="none"/>
        </w:rPr>
      </w:pPr>
      <w:r>
        <w:rPr>
          <w:rStyle w:val="35"/>
          <w:rFonts w:hint="eastAsia" w:ascii="宋体" w:hAnsi="宋体" w:eastAsia="宋体" w:cs="宋体"/>
          <w:b/>
          <w:color w:val="auto"/>
          <w:sz w:val="36"/>
          <w:szCs w:val="36"/>
          <w:highlight w:val="none"/>
        </w:rPr>
        <w:t>2.1开标一览表</w:t>
      </w:r>
    </w:p>
    <w:p>
      <w:pPr>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项目名称：</w:t>
      </w:r>
    </w:p>
    <w:p>
      <w:pPr>
        <w:tabs>
          <w:tab w:val="left" w:pos="7200"/>
          <w:tab w:val="left" w:pos="8504"/>
        </w:tabs>
        <w:spacing w:line="360" w:lineRule="auto"/>
        <w:ind w:right="-1"/>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项目编号：</w:t>
      </w:r>
    </w:p>
    <w:tbl>
      <w:tblPr>
        <w:tblStyle w:val="26"/>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03"/>
        <w:gridCol w:w="2352"/>
        <w:gridCol w:w="180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260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投标报价</w:t>
            </w:r>
          </w:p>
          <w:p>
            <w:pPr>
              <w:pStyle w:val="34"/>
              <w:jc w:val="center"/>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（元）</w:t>
            </w:r>
          </w:p>
        </w:tc>
        <w:tc>
          <w:tcPr>
            <w:tcW w:w="235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交货期</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质保期</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2603" w:type="dxa"/>
            <w:tcBorders>
              <w:top w:val="single" w:color="000000" w:sz="4" w:space="0"/>
              <w:left w:val="single" w:color="000000" w:sz="4" w:space="0"/>
              <w:bottom w:val="single" w:color="000000" w:sz="4" w:space="0"/>
              <w:right w:val="single" w:color="000000" w:sz="4" w:space="0"/>
            </w:tcBorders>
            <w:vAlign w:val="center"/>
          </w:tcPr>
          <w:p>
            <w:pPr>
              <w:pStyle w:val="34"/>
              <w:jc w:val="center"/>
              <w:rPr>
                <w:rStyle w:val="35"/>
                <w:rFonts w:hint="eastAsia" w:ascii="宋体" w:hAnsi="宋体" w:eastAsia="宋体" w:cs="宋体"/>
                <w:color w:val="auto"/>
                <w:sz w:val="24"/>
                <w:szCs w:val="24"/>
                <w:highlight w:val="none"/>
              </w:rPr>
            </w:pPr>
          </w:p>
        </w:tc>
        <w:tc>
          <w:tcPr>
            <w:tcW w:w="235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8480"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投标报价：大写</w:t>
            </w:r>
          </w:p>
          <w:p>
            <w:pPr>
              <w:pStyle w:val="34"/>
              <w:jc w:val="left"/>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 xml:space="preserve">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8480"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注：本次投标报价为含税报价，报价保留小数点后两位。</w:t>
            </w:r>
          </w:p>
        </w:tc>
      </w:tr>
    </w:tbl>
    <w:p>
      <w:pPr>
        <w:jc w:val="left"/>
        <w:rPr>
          <w:rStyle w:val="35"/>
          <w:rFonts w:hint="eastAsia" w:ascii="宋体" w:hAnsi="宋体" w:eastAsia="宋体" w:cs="宋体"/>
          <w:bCs/>
          <w:color w:val="auto"/>
          <w:szCs w:val="24"/>
          <w:highlight w:val="none"/>
        </w:rPr>
      </w:pPr>
    </w:p>
    <w:p>
      <w:pPr>
        <w:spacing w:line="120" w:lineRule="exact"/>
        <w:rPr>
          <w:rStyle w:val="35"/>
          <w:rFonts w:hint="eastAsia" w:ascii="宋体" w:hAnsi="宋体" w:eastAsia="宋体" w:cs="宋体"/>
          <w:color w:val="auto"/>
          <w:szCs w:val="24"/>
          <w:highlight w:val="none"/>
        </w:rPr>
      </w:pPr>
    </w:p>
    <w:p>
      <w:pPr>
        <w:spacing w:line="480" w:lineRule="auto"/>
        <w:ind w:right="616"/>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（盖单位公章）</w:t>
      </w:r>
    </w:p>
    <w:p>
      <w:pPr>
        <w:spacing w:line="480" w:lineRule="auto"/>
        <w:ind w:right="616"/>
        <w:jc w:val="left"/>
        <w:rPr>
          <w:rStyle w:val="35"/>
          <w:rFonts w:hint="eastAsia" w:ascii="宋体" w:hAnsi="宋体" w:eastAsia="宋体" w:cs="宋体"/>
          <w:color w:val="auto"/>
          <w:szCs w:val="24"/>
          <w:highlight w:val="none"/>
        </w:rPr>
      </w:pPr>
    </w:p>
    <w:p>
      <w:pPr>
        <w:spacing w:line="50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法定代表人或被授权人：</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（签字或盖章）</w:t>
      </w:r>
    </w:p>
    <w:p>
      <w:pPr>
        <w:spacing w:line="480" w:lineRule="auto"/>
        <w:ind w:right="616"/>
        <w:jc w:val="left"/>
        <w:rPr>
          <w:rStyle w:val="35"/>
          <w:rFonts w:hint="eastAsia" w:ascii="宋体" w:hAnsi="宋体" w:eastAsia="宋体" w:cs="宋体"/>
          <w:color w:val="auto"/>
          <w:szCs w:val="24"/>
          <w:highlight w:val="none"/>
        </w:rPr>
      </w:pPr>
    </w:p>
    <w:p>
      <w:pPr>
        <w:spacing w:line="480" w:lineRule="auto"/>
        <w:ind w:right="61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jc w:val="center"/>
        <w:rPr>
          <w:rFonts w:hint="eastAsia" w:ascii="宋体" w:hAnsi="宋体" w:eastAsia="宋体" w:cs="宋体"/>
          <w:b/>
          <w:color w:val="auto"/>
          <w:highlight w:val="none"/>
        </w:rPr>
      </w:pPr>
      <w:r>
        <w:rPr>
          <w:rStyle w:val="35"/>
          <w:rFonts w:hint="eastAsia" w:ascii="宋体" w:hAnsi="宋体" w:eastAsia="宋体" w:cs="宋体"/>
          <w:color w:val="auto"/>
          <w:szCs w:val="24"/>
          <w:highlight w:val="none"/>
        </w:rPr>
        <w:br w:type="page"/>
      </w:r>
      <w:r>
        <w:rPr>
          <w:rFonts w:hint="eastAsia" w:ascii="宋体" w:hAnsi="宋体" w:eastAsia="宋体" w:cs="宋体"/>
          <w:b/>
          <w:color w:val="auto"/>
          <w:sz w:val="28"/>
          <w:szCs w:val="21"/>
          <w:highlight w:val="none"/>
        </w:rPr>
        <w:t>2.2分项报价表</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tbl>
      <w:tblPr>
        <w:tblStyle w:val="26"/>
        <w:tblpPr w:leftFromText="180" w:rightFromText="180" w:vertAnchor="page" w:horzAnchor="page" w:tblpX="1936" w:tblpY="3212"/>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3"/>
        <w:gridCol w:w="2061"/>
        <w:gridCol w:w="1153"/>
        <w:gridCol w:w="1153"/>
        <w:gridCol w:w="2397"/>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hAnsi="宋体" w:cs="宋体"/>
                <w:b/>
                <w:bCs/>
                <w:i w:val="0"/>
                <w:iCs w:val="0"/>
                <w:color w:val="auto"/>
                <w:kern w:val="0"/>
                <w:sz w:val="22"/>
                <w:szCs w:val="22"/>
                <w:u w:val="none"/>
                <w:lang w:val="en-US" w:eastAsia="zh-CN" w:bidi="ar"/>
              </w:rPr>
              <w:t>单价（元）</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hAnsi="宋体" w:cs="宋体"/>
                <w:b/>
                <w:bCs/>
                <w:i w:val="0"/>
                <w:iCs w:val="0"/>
                <w:color w:val="auto"/>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办公设备</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办公家具</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厨房炊具</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153"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20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窗帘</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791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合计</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p>
      <w:pPr>
        <w:jc w:val="left"/>
        <w:rPr>
          <w:rFonts w:hint="eastAsia" w:ascii="宋体" w:hAnsi="宋体" w:eastAsia="宋体" w:cs="宋体"/>
          <w:bCs/>
          <w:color w:val="auto"/>
          <w:szCs w:val="24"/>
          <w:highlight w:val="none"/>
        </w:rPr>
      </w:pPr>
    </w:p>
    <w:p>
      <w:pPr>
        <w:tabs>
          <w:tab w:val="right" w:pos="9072"/>
        </w:tabs>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备注：1、本表“投标报价”金额应与“开标一览表”中的“投标报价”一致；</w:t>
      </w:r>
    </w:p>
    <w:p>
      <w:pPr>
        <w:tabs>
          <w:tab w:val="right" w:pos="9072"/>
        </w:tabs>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2、1、如果按单价计算的结果与总价不一致，以单价为准修正总价。</w:t>
      </w:r>
    </w:p>
    <w:p>
      <w:pPr>
        <w:tabs>
          <w:tab w:val="right" w:pos="9072"/>
        </w:tabs>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2、如果不提供详细分项报价将视为没有实质性响应招标文件。</w:t>
      </w:r>
    </w:p>
    <w:p>
      <w:pPr>
        <w:tabs>
          <w:tab w:val="right" w:pos="9072"/>
        </w:tabs>
        <w:ind w:firstLine="1470" w:firstLineChars="7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3、供应商可适当调整该表格式，但不得减少信息内容。</w:t>
      </w:r>
    </w:p>
    <w:p>
      <w:pPr>
        <w:pStyle w:val="2"/>
        <w:rPr>
          <w:rFonts w:hint="eastAsia" w:ascii="宋体" w:hAnsi="宋体" w:eastAsia="宋体" w:cs="宋体"/>
          <w:color w:val="auto"/>
          <w:highlight w:val="none"/>
        </w:rPr>
      </w:pPr>
    </w:p>
    <w:p>
      <w:pPr>
        <w:spacing w:line="720" w:lineRule="auto"/>
        <w:ind w:firstLine="48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spacing w:line="72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72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p>
    <w:p>
      <w:pPr>
        <w:jc w:val="center"/>
        <w:rPr>
          <w:rFonts w:hint="default" w:ascii="宋体" w:hAnsi="宋体" w:eastAsia="宋体" w:cs="宋体"/>
          <w:b/>
          <w:bCs w:val="0"/>
          <w:color w:val="auto"/>
          <w:szCs w:val="24"/>
          <w:highlight w:val="none"/>
          <w:lang w:val="en-US" w:eastAsia="zh-CN"/>
        </w:rPr>
      </w:pPr>
      <w:r>
        <w:rPr>
          <w:rFonts w:hint="eastAsia" w:hAnsi="宋体" w:cs="宋体"/>
          <w:b/>
          <w:bCs w:val="0"/>
          <w:color w:val="auto"/>
          <w:szCs w:val="24"/>
          <w:highlight w:val="none"/>
          <w:lang w:val="en-US" w:eastAsia="zh-CN"/>
        </w:rPr>
        <w:t>办公设备分项报价表</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ind w:firstLine="4320" w:firstLineChars="1800"/>
        <w:jc w:val="right"/>
        <w:rPr>
          <w:rFonts w:hint="eastAsia" w:ascii="宋体" w:hAnsi="宋体" w:eastAsia="宋体" w:cs="宋体"/>
          <w:color w:val="auto"/>
          <w:highlight w:val="none"/>
        </w:rPr>
      </w:pPr>
      <w:bookmarkStart w:id="59" w:name="_Toc17971"/>
      <w:bookmarkStart w:id="60" w:name="_Toc21048"/>
      <w:bookmarkStart w:id="61" w:name="_Toc14671"/>
      <w:bookmarkStart w:id="62" w:name="_Toc7134"/>
      <w:bookmarkStart w:id="63" w:name="_Toc8261"/>
      <w:bookmarkStart w:id="64" w:name="_Toc24935"/>
      <w:bookmarkStart w:id="65" w:name="_Toc24858"/>
      <w:bookmarkStart w:id="66" w:name="_Toc20205"/>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color w:val="auto"/>
        </w:rPr>
      </w:pPr>
    </w:p>
    <w:p>
      <w:pPr>
        <w:jc w:val="center"/>
        <w:rPr>
          <w:rFonts w:hint="default" w:ascii="宋体" w:hAnsi="宋体" w:eastAsia="宋体" w:cs="宋体"/>
          <w:b/>
          <w:bCs w:val="0"/>
          <w:color w:val="auto"/>
          <w:szCs w:val="24"/>
          <w:highlight w:val="none"/>
          <w:lang w:val="en-US" w:eastAsia="zh-CN"/>
        </w:rPr>
      </w:pPr>
      <w:r>
        <w:rPr>
          <w:rFonts w:hint="eastAsia" w:hAnsi="宋体" w:cs="宋体"/>
          <w:b/>
          <w:bCs w:val="0"/>
          <w:color w:val="auto"/>
          <w:szCs w:val="24"/>
          <w:highlight w:val="none"/>
          <w:lang w:val="en-US" w:eastAsia="zh-CN"/>
        </w:rPr>
        <w:t>办公家具分项报价表</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color w:val="auto"/>
        </w:rPr>
      </w:pPr>
    </w:p>
    <w:p>
      <w:pPr>
        <w:jc w:val="center"/>
        <w:rPr>
          <w:rFonts w:hint="default" w:ascii="宋体" w:hAnsi="宋体" w:eastAsia="宋体" w:cs="宋体"/>
          <w:b/>
          <w:bCs w:val="0"/>
          <w:color w:val="auto"/>
          <w:szCs w:val="24"/>
          <w:highlight w:val="none"/>
          <w:lang w:val="en-US" w:eastAsia="zh-CN"/>
        </w:rPr>
      </w:pPr>
      <w:r>
        <w:rPr>
          <w:rFonts w:hint="eastAsia" w:hAnsi="宋体" w:cs="宋体"/>
          <w:b/>
          <w:bCs w:val="0"/>
          <w:color w:val="auto"/>
          <w:szCs w:val="24"/>
          <w:highlight w:val="none"/>
          <w:lang w:val="en-US" w:eastAsia="zh-CN"/>
        </w:rPr>
        <w:t>厨房炊具分项报价表</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color w:val="auto"/>
        </w:rPr>
      </w:pPr>
    </w:p>
    <w:p>
      <w:pPr>
        <w:jc w:val="center"/>
        <w:rPr>
          <w:rFonts w:hint="default" w:ascii="宋体" w:hAnsi="宋体" w:eastAsia="宋体" w:cs="宋体"/>
          <w:b/>
          <w:bCs w:val="0"/>
          <w:color w:val="auto"/>
          <w:szCs w:val="24"/>
          <w:highlight w:val="none"/>
          <w:lang w:val="en-US" w:eastAsia="zh-CN"/>
        </w:rPr>
      </w:pPr>
      <w:r>
        <w:rPr>
          <w:rFonts w:hint="eastAsia" w:hAnsi="宋体" w:cs="宋体"/>
          <w:b/>
          <w:bCs w:val="0"/>
          <w:color w:val="auto"/>
          <w:szCs w:val="24"/>
          <w:highlight w:val="none"/>
          <w:lang w:val="en-US" w:eastAsia="zh-CN"/>
        </w:rPr>
        <w:t>窗帘分项报价表</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bCs/>
          <w:color w:val="auto"/>
          <w:szCs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2.3关键零部件及备品备件清单</w:t>
      </w:r>
      <w:r>
        <w:rPr>
          <w:rFonts w:hint="eastAsia" w:ascii="宋体" w:hAnsi="宋体" w:eastAsia="宋体" w:cs="宋体"/>
          <w:bCs/>
          <w:color w:val="auto"/>
          <w:szCs w:val="24"/>
          <w:highlight w:val="none"/>
        </w:rPr>
        <w:t xml:space="preserve"> </w:t>
      </w:r>
      <w:r>
        <w:rPr>
          <w:rFonts w:hint="eastAsia" w:ascii="宋体" w:hAnsi="宋体" w:eastAsia="宋体" w:cs="宋体"/>
          <w:b/>
          <w:color w:val="auto"/>
          <w:sz w:val="30"/>
          <w:szCs w:val="30"/>
          <w:highlight w:val="none"/>
        </w:rPr>
        <w:t>（如有）</w:t>
      </w:r>
      <w:r>
        <w:rPr>
          <w:rFonts w:hint="eastAsia" w:ascii="宋体" w:hAnsi="宋体" w:eastAsia="宋体" w:cs="宋体"/>
          <w:bCs/>
          <w:color w:val="auto"/>
          <w:spacing w:val="4"/>
          <w:szCs w:val="24"/>
          <w:highlight w:val="none"/>
        </w:rPr>
        <w:t xml:space="preserve"> </w:t>
      </w:r>
      <w:r>
        <w:rPr>
          <w:rFonts w:hint="eastAsia" w:ascii="宋体" w:hAnsi="宋体" w:eastAsia="宋体" w:cs="宋体"/>
          <w:bCs/>
          <w:color w:val="auto"/>
          <w:szCs w:val="24"/>
          <w:highlight w:val="none"/>
        </w:rPr>
        <w:t xml:space="preserve">                    </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1820"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型号、规格</w:t>
            </w:r>
          </w:p>
        </w:tc>
        <w:tc>
          <w:tcPr>
            <w:tcW w:w="1542"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国别、生产厂商</w:t>
            </w:r>
          </w:p>
        </w:tc>
        <w:tc>
          <w:tcPr>
            <w:tcW w:w="1517" w:type="dxa"/>
            <w:vAlign w:val="center"/>
          </w:tcPr>
          <w:p>
            <w:pPr>
              <w:spacing w:line="440" w:lineRule="exact"/>
              <w:jc w:val="center"/>
              <w:rPr>
                <w:rStyle w:val="33"/>
                <w:rFonts w:hint="eastAsia" w:ascii="宋体" w:hAnsi="宋体" w:eastAsia="宋体" w:cs="宋体"/>
                <w:color w:val="auto"/>
                <w:highlight w:val="none"/>
              </w:rPr>
            </w:pPr>
            <w:r>
              <w:rPr>
                <w:rFonts w:hint="eastAsia" w:ascii="宋体" w:hAnsi="宋体" w:eastAsia="宋体" w:cs="宋体"/>
                <w:color w:val="auto"/>
                <w:szCs w:val="24"/>
                <w:highlight w:val="none"/>
              </w:rPr>
              <w:t>单价</w:t>
            </w:r>
          </w:p>
          <w:p>
            <w:pPr>
              <w:spacing w:line="440" w:lineRule="exact"/>
              <w:jc w:val="center"/>
              <w:rPr>
                <w:rStyle w:val="33"/>
                <w:rFonts w:hint="eastAsia" w:ascii="宋体" w:hAnsi="宋体" w:eastAsia="宋体" w:cs="宋体"/>
                <w:color w:val="auto"/>
                <w:highlight w:val="none"/>
              </w:rPr>
            </w:pPr>
            <w:r>
              <w:rPr>
                <w:rFonts w:hint="eastAsia" w:ascii="宋体" w:hAnsi="宋体" w:eastAsia="宋体" w:cs="宋体"/>
                <w:color w:val="auto"/>
                <w:szCs w:val="24"/>
                <w:highlight w:val="none"/>
              </w:rPr>
              <w:t>（元）</w:t>
            </w:r>
          </w:p>
        </w:tc>
        <w:tc>
          <w:tcPr>
            <w:tcW w:w="1499"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bl>
    <w:p>
      <w:pPr>
        <w:spacing w:line="520" w:lineRule="exact"/>
        <w:rPr>
          <w:rFonts w:hint="eastAsia" w:ascii="宋体" w:hAnsi="宋体" w:eastAsia="宋体" w:cs="宋体"/>
          <w:color w:val="auto"/>
          <w:szCs w:val="24"/>
          <w:highlight w:val="none"/>
        </w:rPr>
      </w:pPr>
    </w:p>
    <w:p>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pStyle w:val="2"/>
        <w:spacing w:line="360" w:lineRule="auto"/>
        <w:ind w:firstLine="420" w:firstLineChars="200"/>
        <w:rPr>
          <w:rFonts w:hint="eastAsia" w:ascii="宋体" w:hAnsi="宋体" w:eastAsia="宋体" w:cs="宋体"/>
          <w:color w:val="auto"/>
          <w:highlight w:val="none"/>
        </w:rPr>
      </w:pPr>
    </w:p>
    <w:p>
      <w:pPr>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360" w:lineRule="auto"/>
        <w:ind w:firstLine="480" w:firstLineChars="200"/>
        <w:rPr>
          <w:rFonts w:hint="eastAsia" w:ascii="宋体" w:hAnsi="宋体" w:eastAsia="宋体" w:cs="宋体"/>
          <w:color w:val="auto"/>
          <w:szCs w:val="24"/>
          <w:highlight w:val="none"/>
        </w:rPr>
      </w:pP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spacing w:line="440" w:lineRule="exact"/>
        <w:rPr>
          <w:rFonts w:hint="eastAsia" w:ascii="宋体" w:hAnsi="宋体" w:eastAsia="宋体" w:cs="宋体"/>
          <w:color w:val="auto"/>
          <w:highlight w:val="none"/>
        </w:rPr>
      </w:pPr>
    </w:p>
    <w:p>
      <w:pPr>
        <w:spacing w:line="312" w:lineRule="auto"/>
        <w:rPr>
          <w:rFonts w:hint="eastAsia" w:ascii="宋体" w:hAnsi="宋体" w:eastAsia="宋体" w:cs="宋体"/>
          <w:color w:val="auto"/>
          <w:highlight w:val="none"/>
        </w:rPr>
      </w:pPr>
      <w:r>
        <w:rPr>
          <w:rFonts w:hint="eastAsia" w:ascii="宋体" w:hAnsi="宋体" w:eastAsia="宋体" w:cs="宋体"/>
          <w:color w:val="auto"/>
          <w:highlight w:val="none"/>
        </w:rPr>
        <w:t>注：1、如果不提供详细关键零部件及备品备件清单将视为没有实质性响应招标文件。</w:t>
      </w:r>
    </w:p>
    <w:p>
      <w:pPr>
        <w:spacing w:line="312" w:lineRule="auto"/>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供应商可适当调整该表格式，但不得减少信息内容。</w:t>
      </w:r>
    </w:p>
    <w:p>
      <w:pPr>
        <w:spacing w:line="312" w:lineRule="auto"/>
        <w:rPr>
          <w:rFonts w:hint="eastAsia" w:ascii="宋体" w:hAnsi="宋体" w:eastAsia="宋体" w:cs="宋体"/>
          <w:bCs/>
          <w:color w:val="auto"/>
          <w:highlight w:val="none"/>
        </w:rPr>
      </w:pPr>
    </w:p>
    <w:p>
      <w:pPr>
        <w:spacing w:line="312" w:lineRule="auto"/>
        <w:rPr>
          <w:rFonts w:hint="eastAsia" w:ascii="宋体" w:hAnsi="宋体" w:eastAsia="宋体" w:cs="宋体"/>
          <w:bCs/>
          <w:color w:val="auto"/>
          <w:highlight w:val="none"/>
        </w:rPr>
      </w:pPr>
    </w:p>
    <w:p>
      <w:pPr>
        <w:spacing w:before="166" w:beforeLines="50" w:line="360" w:lineRule="auto"/>
        <w:jc w:val="center"/>
        <w:rPr>
          <w:rFonts w:hint="eastAsia" w:ascii="宋体" w:hAnsi="宋体" w:eastAsia="宋体" w:cs="宋体"/>
          <w:color w:val="auto"/>
          <w:spacing w:val="4"/>
          <w:szCs w:val="24"/>
          <w:highlight w:val="none"/>
        </w:rPr>
      </w:pPr>
      <w:r>
        <w:rPr>
          <w:rFonts w:hint="eastAsia" w:ascii="宋体" w:hAnsi="宋体" w:eastAsia="宋体" w:cs="宋体"/>
          <w:b/>
          <w:color w:val="auto"/>
          <w:sz w:val="30"/>
          <w:szCs w:val="30"/>
          <w:highlight w:val="none"/>
        </w:rPr>
        <w:t>2.4耗材清单（如有）</w:t>
      </w:r>
      <w:r>
        <w:rPr>
          <w:rFonts w:hint="eastAsia" w:ascii="宋体" w:hAnsi="宋体" w:eastAsia="宋体" w:cs="宋体"/>
          <w:bCs/>
          <w:color w:val="auto"/>
          <w:spacing w:val="4"/>
          <w:szCs w:val="24"/>
          <w:highlight w:val="none"/>
        </w:rPr>
        <w:t xml:space="preserve">                                       </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529"/>
        <w:gridCol w:w="1594"/>
        <w:gridCol w:w="1588"/>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221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耗材名称</w:t>
            </w:r>
          </w:p>
        </w:tc>
        <w:tc>
          <w:tcPr>
            <w:tcW w:w="1529"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规格</w:t>
            </w:r>
          </w:p>
        </w:tc>
        <w:tc>
          <w:tcPr>
            <w:tcW w:w="159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单价（元）</w:t>
            </w:r>
          </w:p>
        </w:tc>
        <w:tc>
          <w:tcPr>
            <w:tcW w:w="1588"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预计年用量</w:t>
            </w:r>
          </w:p>
        </w:tc>
        <w:tc>
          <w:tcPr>
            <w:tcW w:w="1588"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bl>
    <w:p>
      <w:pPr>
        <w:adjustRightInd w:val="0"/>
        <w:snapToGrid w:val="0"/>
        <w:spacing w:line="440" w:lineRule="exact"/>
        <w:ind w:left="137" w:leftChars="57" w:firstLine="1446" w:firstLineChars="600"/>
        <w:rPr>
          <w:rFonts w:hint="eastAsia" w:ascii="宋体" w:hAnsi="宋体" w:eastAsia="宋体" w:cs="宋体"/>
          <w:b/>
          <w:bCs/>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pPr>
        <w:spacing w:line="500" w:lineRule="exact"/>
        <w:jc w:val="left"/>
        <w:rPr>
          <w:rFonts w:hint="eastAsia" w:ascii="宋体" w:hAnsi="宋体" w:eastAsia="宋体" w:cs="宋体"/>
          <w:color w:val="auto"/>
          <w:spacing w:val="4"/>
          <w:highlight w:val="none"/>
        </w:rPr>
      </w:pPr>
    </w:p>
    <w:p>
      <w:pPr>
        <w:spacing w:line="500" w:lineRule="exact"/>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520" w:lineRule="exact"/>
        <w:rPr>
          <w:rFonts w:hint="eastAsia" w:ascii="宋体" w:hAnsi="宋体" w:eastAsia="宋体" w:cs="宋体"/>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2.</w:t>
      </w:r>
      <w:bookmarkStart w:id="67" w:name="_Toc26265"/>
      <w:r>
        <w:rPr>
          <w:rFonts w:hint="eastAsia" w:ascii="宋体" w:hAnsi="宋体" w:eastAsia="宋体" w:cs="宋体"/>
          <w:b/>
          <w:color w:val="auto"/>
          <w:sz w:val="30"/>
          <w:szCs w:val="30"/>
          <w:highlight w:val="none"/>
        </w:rPr>
        <w:t>5</w:t>
      </w:r>
      <w:r>
        <w:rPr>
          <w:rFonts w:hint="eastAsia" w:ascii="宋体" w:hAnsi="宋体" w:eastAsia="宋体" w:cs="宋体"/>
          <w:b/>
          <w:color w:val="auto"/>
          <w:sz w:val="28"/>
          <w:szCs w:val="28"/>
          <w:highlight w:val="none"/>
        </w:rPr>
        <w:t>投标产品属节能、环境标志产品列表</w:t>
      </w:r>
      <w:bookmarkEnd w:id="67"/>
      <w:r>
        <w:rPr>
          <w:rFonts w:hint="eastAsia" w:ascii="宋体" w:hAnsi="宋体" w:eastAsia="宋体" w:cs="宋体"/>
          <w:b/>
          <w:color w:val="auto"/>
          <w:sz w:val="30"/>
          <w:szCs w:val="30"/>
          <w:highlight w:val="none"/>
        </w:rPr>
        <w:t>（如有）</w:t>
      </w:r>
    </w:p>
    <w:tbl>
      <w:tblPr>
        <w:tblStyle w:val="2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6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6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供应商提供的属于节能、环境标志产品品目清单中优先采购的产品，须按招标文件要求提供相关证明材料，不涉及此项内容可不提供此表。</w:t>
      </w:r>
    </w:p>
    <w:p>
      <w:pPr>
        <w:pStyle w:val="294"/>
        <w:spacing w:line="400" w:lineRule="exact"/>
        <w:ind w:left="480" w:leftChars="200" w:firstLine="240" w:firstLineChars="100"/>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pPr>
        <w:spacing w:line="500" w:lineRule="exact"/>
        <w:jc w:val="left"/>
        <w:rPr>
          <w:rFonts w:hint="eastAsia" w:ascii="宋体" w:hAnsi="宋体" w:eastAsia="宋体" w:cs="宋体"/>
          <w:color w:val="auto"/>
          <w:spacing w:val="4"/>
          <w:highlight w:val="none"/>
        </w:rPr>
      </w:pPr>
    </w:p>
    <w:p>
      <w:pPr>
        <w:spacing w:line="500" w:lineRule="exact"/>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520" w:lineRule="exact"/>
        <w:rPr>
          <w:rFonts w:hint="eastAsia" w:ascii="宋体" w:hAnsi="宋体" w:eastAsia="宋体" w:cs="宋体"/>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pStyle w:val="257"/>
        <w:spacing w:before="0" w:after="0" w:line="360" w:lineRule="auto"/>
        <w:ind w:left="0"/>
        <w:outlineLvl w:val="2"/>
        <w:rPr>
          <w:rStyle w:val="35"/>
          <w:rFonts w:hint="eastAsia" w:ascii="宋体" w:hAnsi="宋体" w:eastAsia="宋体" w:cs="宋体"/>
          <w:bCs w:val="0"/>
          <w:color w:val="auto"/>
          <w:sz w:val="36"/>
          <w:szCs w:val="36"/>
          <w:highlight w:val="none"/>
        </w:rPr>
      </w:pPr>
      <w:r>
        <w:rPr>
          <w:rFonts w:hint="eastAsia" w:ascii="宋体" w:hAnsi="宋体" w:eastAsia="宋体" w:cs="宋体"/>
          <w:color w:val="auto"/>
          <w:highlight w:val="none"/>
        </w:rPr>
        <w:br w:type="page"/>
      </w:r>
      <w:bookmarkEnd w:id="59"/>
      <w:bookmarkEnd w:id="60"/>
      <w:bookmarkEnd w:id="61"/>
      <w:bookmarkEnd w:id="62"/>
      <w:bookmarkEnd w:id="63"/>
      <w:bookmarkEnd w:id="64"/>
      <w:bookmarkEnd w:id="65"/>
      <w:bookmarkEnd w:id="66"/>
      <w:r>
        <w:rPr>
          <w:rStyle w:val="35"/>
          <w:rFonts w:hint="eastAsia" w:ascii="宋体" w:hAnsi="宋体" w:eastAsia="宋体" w:cs="宋体"/>
          <w:bCs w:val="0"/>
          <w:color w:val="auto"/>
          <w:sz w:val="36"/>
          <w:szCs w:val="36"/>
          <w:highlight w:val="none"/>
        </w:rPr>
        <w:t>三、供应商参加政府采购活动承诺书</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未签署下列承诺书的，其责任由供应商自行承担。</w:t>
      </w:r>
    </w:p>
    <w:p>
      <w:pPr>
        <w:spacing w:before="166" w:line="500" w:lineRule="exact"/>
        <w:ind w:firstLine="643" w:firstLineChars="200"/>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（一）质量安全责任承诺书</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为保证本采购项目顺利进行，作为投标供应商，现郑重承诺：</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1、我方投标产品的生产（包括设计、制造、安装、改造、维修等）、投入使用的材料等均完全符合国家现行质量、安全、环保标准和要求。</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3、对于因产品生产质量以及储存、运输、安装调试、服务、施工等过程中产生的任何安全事故，我方承担全部责任。</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4、我方提供的货物、工程、服务等符合现行的国家、行业、地区、企业标准及要求，标准不一致的，以更为严格的为准，我方对提供的货物、工程、服务等的质量、安全、环保等承担全部责任。</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560" w:firstLineChars="19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spacing w:line="500" w:lineRule="exact"/>
        <w:rPr>
          <w:rStyle w:val="35"/>
          <w:rFonts w:hint="eastAsia" w:ascii="宋体" w:hAnsi="宋体" w:eastAsia="宋体" w:cs="宋体"/>
          <w:color w:val="auto"/>
          <w:szCs w:val="24"/>
          <w:highlight w:val="none"/>
        </w:rPr>
      </w:pPr>
    </w:p>
    <w:p>
      <w:pPr>
        <w:pStyle w:val="97"/>
        <w:ind w:firstLine="240"/>
        <w:rPr>
          <w:rStyle w:val="35"/>
          <w:rFonts w:hint="eastAsia" w:ascii="宋体" w:hAnsi="宋体" w:eastAsia="宋体" w:cs="宋体"/>
          <w:color w:val="auto"/>
          <w:sz w:val="24"/>
          <w:szCs w:val="24"/>
          <w:highlight w:val="none"/>
        </w:rPr>
      </w:pPr>
    </w:p>
    <w:p>
      <w:pPr>
        <w:spacing w:before="166" w:line="500" w:lineRule="exact"/>
        <w:ind w:firstLine="482" w:firstLineChars="200"/>
        <w:rPr>
          <w:rStyle w:val="35"/>
          <w:rFonts w:hint="eastAsia" w:ascii="宋体" w:hAnsi="宋体" w:eastAsia="宋体" w:cs="宋体"/>
          <w:b/>
          <w:bCs/>
          <w:color w:val="auto"/>
          <w:szCs w:val="24"/>
          <w:highlight w:val="none"/>
        </w:rPr>
      </w:pPr>
    </w:p>
    <w:p>
      <w:pPr>
        <w:outlineLvl w:val="3"/>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rPr>
        <w:t>（二）拒绝政府采购领域商业贿赂承诺书</w:t>
      </w:r>
    </w:p>
    <w:p>
      <w:pPr>
        <w:spacing w:line="4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（执行陕财办采管[2006]21号文件）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为响应党中央、国务院关于治理政府采购领域商业贿赂行为的号召，我公司在此庄严承诺：</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1、在参与政府采购活动中遵纪守法、诚信经营、公平竞标。</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2、不向政府采购人、采购代理机构和政府采购评审专家进行任何形式的商业贿赂以谋取交易机会。</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4、不采取“围标、陪标”等商业欺诈手段获得政府采购定单。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5、不采取不正当手段诋毁、排挤其他供应商。</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6、不在提供商品和服务时“偷梁换柱、以次充好”损害采购人的合法权益。</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9、不发生其他有悖于政府采购公开、公平、公正和诚信原则的行为。</w:t>
      </w:r>
    </w:p>
    <w:p>
      <w:pPr>
        <w:spacing w:line="500" w:lineRule="exact"/>
        <w:rPr>
          <w:rStyle w:val="35"/>
          <w:rFonts w:hint="eastAsia" w:ascii="宋体" w:hAnsi="宋体" w:eastAsia="宋体" w:cs="宋体"/>
          <w:color w:val="auto"/>
          <w:szCs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560" w:firstLineChars="19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after="166" w:line="360" w:lineRule="auto"/>
        <w:jc w:val="center"/>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color w:val="auto"/>
          <w:szCs w:val="24"/>
          <w:highlight w:val="none"/>
        </w:rPr>
        <w:br w:type="page"/>
      </w:r>
      <w:r>
        <w:rPr>
          <w:rStyle w:val="35"/>
          <w:rFonts w:hint="eastAsia" w:ascii="宋体" w:hAnsi="宋体" w:eastAsia="宋体" w:cs="宋体"/>
          <w:b/>
          <w:bCs/>
          <w:color w:val="auto"/>
          <w:sz w:val="32"/>
          <w:szCs w:val="32"/>
          <w:highlight w:val="none"/>
        </w:rPr>
        <w:t>四、合同条款偏离表</w:t>
      </w:r>
    </w:p>
    <w:tbl>
      <w:tblPr>
        <w:tblStyle w:val="26"/>
        <w:tblW w:w="9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935"/>
        <w:gridCol w:w="1995"/>
        <w:gridCol w:w="2085"/>
        <w:gridCol w:w="1260"/>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序号</w:t>
            </w: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招标文件条目号</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招标文件的商务条款</w:t>
            </w: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投标文件的商务条款</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偏离</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bl>
    <w:p>
      <w:pPr>
        <w:pStyle w:val="93"/>
        <w:spacing w:before="0" w:after="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说明：</w:t>
      </w:r>
    </w:p>
    <w:p>
      <w:pPr>
        <w:pStyle w:val="93"/>
        <w:spacing w:before="0" w:after="0" w:line="500" w:lineRule="exact"/>
        <w:ind w:firstLine="482" w:firstLineChars="200"/>
        <w:jc w:val="both"/>
        <w:rPr>
          <w:rStyle w:val="35"/>
          <w:rFonts w:hint="eastAsia" w:ascii="宋体" w:hAnsi="宋体" w:eastAsia="宋体" w:cs="宋体"/>
          <w:b/>
          <w:bCs/>
          <w:color w:val="auto"/>
          <w:highlight w:val="none"/>
        </w:rPr>
      </w:pPr>
      <w:r>
        <w:rPr>
          <w:rStyle w:val="35"/>
          <w:rFonts w:hint="eastAsia" w:ascii="宋体" w:hAnsi="宋体" w:eastAsia="宋体" w:cs="宋体"/>
          <w:b/>
          <w:bCs/>
          <w:color w:val="auto"/>
          <w:highlight w:val="none"/>
        </w:rPr>
        <w:t>1、本表只填写投标文件中与招标文件有偏离（包括正偏离和负偏离）的内容，投标文件中商务响应与招标文件要求完全一致的，不用在此表中列出，但必须提交空白表。</w:t>
      </w:r>
    </w:p>
    <w:p>
      <w:pPr>
        <w:pStyle w:val="93"/>
        <w:spacing w:before="0" w:after="0" w:line="500" w:lineRule="exact"/>
        <w:ind w:firstLine="480" w:firstLineChars="20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2、供应商必须据实填写，不得虚假响应，否则将取消其投标或中标资格，并按有关规定进处罚。</w:t>
      </w:r>
    </w:p>
    <w:p>
      <w:pPr>
        <w:pStyle w:val="93"/>
        <w:spacing w:before="0" w:after="0"/>
        <w:ind w:firstLine="480" w:firstLineChars="20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供应商名称：</w:t>
      </w:r>
      <w:r>
        <w:rPr>
          <w:rStyle w:val="35"/>
          <w:rFonts w:hint="eastAsia" w:ascii="宋体" w:hAnsi="宋体" w:eastAsia="宋体" w:cs="宋体"/>
          <w:color w:val="auto"/>
          <w:highlight w:val="none"/>
          <w:u w:val="single" w:color="000000"/>
        </w:rPr>
        <w:t xml:space="preserve">                     </w:t>
      </w:r>
      <w:r>
        <w:rPr>
          <w:rStyle w:val="35"/>
          <w:rFonts w:hint="eastAsia" w:ascii="宋体" w:hAnsi="宋体" w:eastAsia="宋体" w:cs="宋体"/>
          <w:color w:val="auto"/>
          <w:highlight w:val="none"/>
        </w:rPr>
        <w:t>（盖单位公章）</w:t>
      </w:r>
    </w:p>
    <w:p>
      <w:pPr>
        <w:spacing w:line="50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法定代表人或被授权人：</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（签字或盖章）</w:t>
      </w:r>
    </w:p>
    <w:p>
      <w:pPr>
        <w:pStyle w:val="93"/>
        <w:spacing w:before="0" w:after="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 xml:space="preserve">      </w:t>
      </w:r>
    </w:p>
    <w:p>
      <w:pPr>
        <w:spacing w:line="52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pStyle w:val="97"/>
        <w:spacing w:line="500" w:lineRule="exact"/>
        <w:ind w:firstLine="4800" w:firstLineChars="2000"/>
        <w:rPr>
          <w:rStyle w:val="35"/>
          <w:rFonts w:hint="eastAsia" w:ascii="宋体" w:hAnsi="宋体" w:eastAsia="宋体" w:cs="宋体"/>
          <w:color w:val="auto"/>
          <w:sz w:val="24"/>
          <w:szCs w:val="24"/>
          <w:highlight w:val="none"/>
        </w:rPr>
      </w:pPr>
    </w:p>
    <w:p>
      <w:pPr>
        <w:pStyle w:val="257"/>
        <w:numPr>
          <w:ilvl w:val="0"/>
          <w:numId w:val="6"/>
        </w:numPr>
        <w:ind w:left="283"/>
        <w:outlineLvl w:val="1"/>
        <w:rPr>
          <w:rStyle w:val="35"/>
          <w:rFonts w:hint="eastAsia" w:ascii="宋体" w:hAnsi="宋体" w:eastAsia="宋体" w:cs="宋体"/>
          <w:bCs w:val="0"/>
          <w:color w:val="auto"/>
          <w:sz w:val="32"/>
          <w:highlight w:val="none"/>
        </w:rPr>
      </w:pPr>
      <w:r>
        <w:rPr>
          <w:rStyle w:val="35"/>
          <w:rFonts w:hint="eastAsia" w:ascii="宋体" w:hAnsi="宋体" w:eastAsia="宋体" w:cs="宋体"/>
          <w:b w:val="0"/>
          <w:color w:val="auto"/>
          <w:sz w:val="24"/>
          <w:szCs w:val="24"/>
          <w:highlight w:val="none"/>
        </w:rPr>
        <w:br w:type="page"/>
      </w:r>
      <w:r>
        <w:rPr>
          <w:rStyle w:val="35"/>
          <w:rFonts w:hint="eastAsia" w:ascii="宋体" w:hAnsi="宋体" w:eastAsia="宋体" w:cs="宋体"/>
          <w:b w:val="0"/>
          <w:color w:val="auto"/>
          <w:sz w:val="32"/>
          <w:highlight w:val="none"/>
        </w:rPr>
        <w:t xml:space="preserve"> </w:t>
      </w:r>
      <w:r>
        <w:rPr>
          <w:rStyle w:val="35"/>
          <w:rFonts w:hint="eastAsia" w:ascii="宋体" w:hAnsi="宋体" w:eastAsia="宋体" w:cs="宋体"/>
          <w:bCs w:val="0"/>
          <w:color w:val="auto"/>
          <w:sz w:val="32"/>
          <w:highlight w:val="none"/>
        </w:rPr>
        <w:t>投标方案</w:t>
      </w:r>
    </w:p>
    <w:p>
      <w:pPr>
        <w:pStyle w:val="292"/>
        <w:spacing w:line="500" w:lineRule="exact"/>
        <w:ind w:left="283"/>
        <w:jc w:val="both"/>
        <w:outlineLvl w:val="2"/>
        <w:rPr>
          <w:rFonts w:hint="eastAsia" w:ascii="宋体" w:hAnsi="宋体" w:eastAsia="宋体" w:cs="宋体"/>
          <w:color w:val="auto"/>
          <w:szCs w:val="28"/>
          <w:highlight w:val="none"/>
        </w:rPr>
      </w:pPr>
      <w:bookmarkStart w:id="68" w:name="_Toc9535"/>
      <w:bookmarkStart w:id="69" w:name="_Toc32512"/>
      <w:bookmarkStart w:id="70" w:name="_Toc5596"/>
      <w:bookmarkStart w:id="71" w:name="_Toc17300"/>
      <w:bookmarkStart w:id="72" w:name="_Toc31882"/>
      <w:bookmarkStart w:id="73" w:name="_Toc9795"/>
      <w:bookmarkStart w:id="74" w:name="_Toc5476"/>
      <w:bookmarkStart w:id="75" w:name="_Toc30676"/>
      <w:bookmarkStart w:id="76" w:name="_Toc21184"/>
      <w:bookmarkStart w:id="77" w:name="_Toc23944"/>
      <w:bookmarkStart w:id="78" w:name="_Toc7923"/>
      <w:bookmarkStart w:id="79" w:name="_Toc26478"/>
      <w:r>
        <w:rPr>
          <w:rFonts w:hint="eastAsia" w:ascii="宋体" w:hAnsi="宋体" w:eastAsia="宋体" w:cs="宋体"/>
          <w:color w:val="auto"/>
          <w:szCs w:val="28"/>
          <w:highlight w:val="none"/>
        </w:rPr>
        <w:t>一、供应商概况</w:t>
      </w:r>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color w:val="auto"/>
          <w:szCs w:val="28"/>
          <w:highlight w:val="none"/>
        </w:rPr>
        <w:t xml:space="preserve"> </w:t>
      </w:r>
    </w:p>
    <w:p>
      <w:pPr>
        <w:spacing w:line="500" w:lineRule="exact"/>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（一）供应商基本情况</w:t>
      </w:r>
    </w:p>
    <w:p>
      <w:pPr>
        <w:spacing w:line="500" w:lineRule="exact"/>
        <w:ind w:firstLine="480" w:firstLineChars="200"/>
        <w:jc w:val="left"/>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包括但不限于成立时间、经营范围、股权变更、总公司分公司分布及经营状况、管理制度、人员配备、用户评价、正在实施的项目以及评优获奖等情况</w:t>
      </w:r>
      <w:r>
        <w:rPr>
          <w:rFonts w:hint="eastAsia" w:ascii="宋体" w:hAnsi="宋体" w:eastAsia="宋体" w:cs="宋体"/>
          <w:b/>
          <w:bCs/>
          <w:color w:val="auto"/>
          <w:szCs w:val="24"/>
          <w:highlight w:val="none"/>
        </w:rPr>
        <w:t>。</w:t>
      </w:r>
    </w:p>
    <w:p>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（二）供应商性质</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根据招标文件第五章《评标方法》落实的政府采购政策，投标供应商在货物采购项目中，货物由小微企业制造，即货物由小微企业生产且使用该小微企业商号或者注册商标； 在工程采购项目中，工程由小微企业承建，即工程施工单位为小微企业； 在服务采购项目中，服务由小微企业承接，即提供服务的人员为小微企业依照《中华人民共和国劳动合同法》订立劳动合同的从业人员，符合政策扣减的单位应提供《中小企业声明函》（按下文给定格式），符合要求则享受招标文件规定的价格扣除。未提供或未按给定格式提供《中小企业声明函》的，将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残疾人福利性单位投标时，应当提供残疾人福利性单位声明函，未提供或未按给定格式提供《残疾人福利性单位声明函》的，将不能享受招标文件规定的价格扣除，但不影响投标文件的有效性。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监狱企业投标时，应当提供由省级以上监狱管理局、戒毒管理局（含新疆生产建设兵团）出具的属于监狱企业的</w:t>
      </w:r>
      <w:r>
        <w:rPr>
          <w:rFonts w:hint="eastAsia" w:ascii="宋体" w:hAnsi="宋体" w:eastAsia="宋体" w:cs="宋体"/>
          <w:b/>
          <w:bCs/>
          <w:color w:val="auto"/>
          <w:szCs w:val="24"/>
          <w:highlight w:val="none"/>
        </w:rPr>
        <w:t>证明文件</w:t>
      </w:r>
      <w:r>
        <w:rPr>
          <w:rFonts w:hint="eastAsia" w:ascii="宋体" w:hAnsi="宋体" w:eastAsia="宋体" w:cs="宋体"/>
          <w:color w:val="auto"/>
          <w:szCs w:val="24"/>
          <w:highlight w:val="none"/>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允许联合体投标的，组成联合体的投标供应商应提供《联合体协议》及《中小企业声明函》；招标文件允许分包的，拟分包的投标供应商提供《分包意向协议》及《中小企业声明函》，满足落实的政府采购政策要求的，将享受招标文件规定的价格扣除。</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非中小企业、残疾人福利性单位、监狱企业，也无联合体及分包情况的，可不提供此项内容。</w:t>
      </w:r>
    </w:p>
    <w:p>
      <w:pPr>
        <w:pStyle w:val="5"/>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供应商可根据企业从业人员、营业收入、资产总额等指标，按照采购文件约定的采购标的对应的中小企业划分标准所属行业和《中小企业划型标准规定》（工信部联企业〔2011〕300号）进行自测，判断属于中型、小型还是微型企业。也可登录工业和信息化部的中小企业规模类型自测小程序（http://202.106.120.146/baosong/appweb/orgScale.html）进行测算。</w:t>
      </w:r>
    </w:p>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特别提醒：中标供应商享受中小企业扶持政策的，中标供应商的《中小企业声明函》或证明文件将随中标结果公告一同公布，接受社会监督。</w:t>
      </w:r>
    </w:p>
    <w:p>
      <w:pPr>
        <w:keepNext/>
        <w:spacing w:before="166" w:beforeLines="50"/>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32"/>
          <w:szCs w:val="32"/>
          <w:highlight w:val="none"/>
        </w:rPr>
        <w:t>中小企业声明函（货物）</w:t>
      </w:r>
    </w:p>
    <w:p>
      <w:pPr>
        <w:pStyle w:val="2"/>
        <w:rPr>
          <w:rFonts w:hint="eastAsia" w:ascii="宋体" w:hAnsi="宋体" w:eastAsia="宋体" w:cs="宋体"/>
          <w:b/>
          <w:color w:val="auto"/>
          <w:sz w:val="24"/>
          <w:szCs w:val="24"/>
          <w:highlight w:val="none"/>
        </w:rPr>
      </w:pPr>
    </w:p>
    <w:p>
      <w:pPr>
        <w:pStyle w:val="2"/>
        <w:tabs>
          <w:tab w:val="left" w:pos="9120"/>
        </w:tabs>
        <w:spacing w:before="55" w:after="0" w:line="360" w:lineRule="auto"/>
        <w:ind w:firstLine="6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的规定，本公司（联合体）</w:t>
      </w:r>
      <w:r>
        <w:rPr>
          <w:rFonts w:hint="eastAsia" w:ascii="宋体" w:hAnsi="宋体" w:eastAsia="宋体" w:cs="宋体"/>
          <w:color w:val="auto"/>
          <w:spacing w:val="-2"/>
          <w:sz w:val="24"/>
          <w:szCs w:val="24"/>
          <w:highlight w:val="none"/>
        </w:rPr>
        <w:t>参加</w:t>
      </w:r>
      <w:r>
        <w:rPr>
          <w:rFonts w:hint="eastAsia" w:ascii="宋体" w:hAnsi="宋体" w:eastAsia="宋体" w:cs="宋体"/>
          <w:color w:val="auto"/>
          <w:spacing w:val="-2"/>
          <w:sz w:val="24"/>
          <w:szCs w:val="24"/>
          <w:highlight w:val="none"/>
          <w:u w:val="single"/>
          <w:lang w:val="zh-CN"/>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lang w:val="zh-CN"/>
        </w:rPr>
        <w:t>（项目名称）</w:t>
      </w:r>
      <w:r>
        <w:rPr>
          <w:rFonts w:hint="eastAsia" w:ascii="宋体" w:hAnsi="宋体" w:eastAsia="宋体" w:cs="宋体"/>
          <w:color w:val="auto"/>
          <w:spacing w:val="-2"/>
          <w:sz w:val="24"/>
          <w:szCs w:val="24"/>
          <w:highlight w:val="none"/>
        </w:rPr>
        <w:t>采购活动，提供的货物全部由符合政策要求的中小企业制造。相关企业（含联合体中的中小企业、签订分包意向协议的中小企业） 的具体情况如下：</w:t>
      </w:r>
    </w:p>
    <w:p>
      <w:pPr>
        <w:pStyle w:val="2"/>
        <w:numPr>
          <w:ilvl w:val="0"/>
          <w:numId w:val="7"/>
        </w:numP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（标的名称）</w:t>
      </w:r>
      <w:r>
        <w:rPr>
          <w:rFonts w:hint="eastAsia" w:ascii="宋体" w:hAnsi="宋体" w:eastAsia="宋体" w:cs="宋体"/>
          <w:color w:val="auto"/>
          <w:sz w:val="24"/>
          <w:szCs w:val="24"/>
          <w:highlight w:val="none"/>
        </w:rPr>
        <w:t>，属 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sz w:val="24"/>
          <w:szCs w:val="24"/>
          <w:highlight w:val="none"/>
        </w:rPr>
        <w:t>行业；生产厂商为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
        <w:numPr>
          <w:ilvl w:val="0"/>
          <w:numId w:val="7"/>
        </w:numP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行业；生产厂商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
        <w:spacing w:before="2" w:line="360" w:lineRule="auto"/>
        <w:ind w:left="480" w:left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
        <w:spacing w:before="2"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pStyle w:val="2"/>
        <w:spacing w:before="2" w:line="360" w:lineRule="auto"/>
        <w:ind w:left="480" w:left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pStyle w:val="291"/>
        <w:spacing w:line="360" w:lineRule="auto"/>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pPr>
        <w:spacing w:line="500" w:lineRule="exact"/>
        <w:ind w:firstLine="480" w:firstLineChars="200"/>
        <w:jc w:val="center"/>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rPr>
        <w:t>日期：</w:t>
      </w:r>
    </w:p>
    <w:p>
      <w:pPr>
        <w:pStyle w:val="291"/>
        <w:spacing w:line="360" w:lineRule="auto"/>
        <w:ind w:firstLine="4560" w:firstLineChars="1900"/>
        <w:jc w:val="left"/>
        <w:rPr>
          <w:rFonts w:hint="eastAsia" w:ascii="宋体" w:hAnsi="宋体" w:eastAsia="宋体" w:cs="宋体"/>
          <w:color w:val="auto"/>
          <w:szCs w:val="24"/>
          <w:highlight w:val="none"/>
        </w:rPr>
      </w:pPr>
    </w:p>
    <w:p>
      <w:pPr>
        <w:tabs>
          <w:tab w:val="left" w:pos="5670"/>
        </w:tabs>
        <w:spacing w:line="400" w:lineRule="exact"/>
        <w:ind w:firstLine="482" w:firstLineChars="200"/>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1、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pStyle w:val="2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w:t>
      </w:r>
    </w:p>
    <w:p>
      <w:pPr>
        <w:pStyle w:val="2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3、供应商不属于小微企业的不填写此表。</w:t>
      </w:r>
    </w:p>
    <w:p>
      <w:pPr>
        <w:tabs>
          <w:tab w:val="left" w:pos="5670"/>
        </w:tabs>
        <w:spacing w:line="50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bCs/>
          <w:color w:val="auto"/>
          <w:szCs w:val="24"/>
          <w:highlight w:val="none"/>
        </w:rPr>
        <w:t>残疾人福利性单位声明函</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4"/>
          <w:highlight w:val="none"/>
          <w:u w:val="single"/>
        </w:rPr>
        <w:t xml:space="preserve">   项目名称  </w:t>
      </w: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本单位对上述声明的真实性负责。如有虚假，将依法承担相应责任。</w:t>
      </w:r>
    </w:p>
    <w:p>
      <w:pPr>
        <w:spacing w:line="500" w:lineRule="exact"/>
        <w:ind w:firstLine="480" w:firstLineChars="200"/>
        <w:jc w:val="left"/>
        <w:rPr>
          <w:rFonts w:hint="eastAsia" w:ascii="宋体" w:hAnsi="宋体" w:eastAsia="宋体" w:cs="宋体"/>
          <w:color w:val="auto"/>
          <w:szCs w:val="24"/>
          <w:highlight w:val="none"/>
        </w:rPr>
      </w:pPr>
    </w:p>
    <w:p>
      <w:pPr>
        <w:tabs>
          <w:tab w:val="left" w:pos="5670"/>
        </w:tabs>
        <w:spacing w:line="500" w:lineRule="exact"/>
        <w:ind w:firstLine="4320" w:firstLineChars="18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（加盖公章）</w:t>
      </w:r>
    </w:p>
    <w:p>
      <w:pPr>
        <w:tabs>
          <w:tab w:val="left" w:pos="5670"/>
        </w:tabs>
        <w:spacing w:line="500" w:lineRule="exact"/>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　　年　月　日</w:t>
      </w:r>
    </w:p>
    <w:p>
      <w:pPr>
        <w:tabs>
          <w:tab w:val="left" w:pos="5670"/>
        </w:tabs>
        <w:spacing w:line="500" w:lineRule="exact"/>
        <w:ind w:firstLine="480" w:firstLineChars="200"/>
        <w:jc w:val="left"/>
        <w:rPr>
          <w:rFonts w:hint="eastAsia" w:ascii="宋体" w:hAnsi="宋体" w:eastAsia="宋体" w:cs="宋体"/>
          <w:color w:val="auto"/>
          <w:szCs w:val="24"/>
          <w:highlight w:val="none"/>
        </w:rPr>
      </w:pP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一、享受政府采购支持政策的残疾人福利性单位应当同时满足以下条件：</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（二）依法与安置的每位残疾人签订了一年以上（含一年）的劳动合同或服务协议；</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（三）为安置的每位残疾人按月足额交纳了基本养老保险、基本医疗保险、失业保险、工伤保险和生育保险等社会保险费；</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ind w:firstLine="480" w:firstLineChars="200"/>
        <w:jc w:val="left"/>
        <w:rPr>
          <w:rFonts w:hint="eastAsia" w:ascii="宋体" w:hAnsi="宋体" w:eastAsia="宋体" w:cs="宋体"/>
          <w:color w:val="auto"/>
          <w:szCs w:val="24"/>
          <w:highlight w:val="none"/>
        </w:rPr>
      </w:pPr>
    </w:p>
    <w:p>
      <w:pPr>
        <w:tabs>
          <w:tab w:val="left" w:pos="5670"/>
        </w:tabs>
        <w:spacing w:line="500" w:lineRule="exact"/>
        <w:ind w:firstLine="2650" w:firstLineChars="1100"/>
        <w:jc w:val="left"/>
        <w:rPr>
          <w:rFonts w:hint="eastAsia" w:ascii="宋体" w:hAnsi="宋体" w:eastAsia="宋体" w:cs="宋体"/>
          <w:b/>
          <w:bCs/>
          <w:color w:val="auto"/>
          <w:szCs w:val="24"/>
          <w:highlight w:val="none"/>
        </w:rPr>
      </w:pPr>
    </w:p>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bCs/>
          <w:color w:val="auto"/>
          <w:szCs w:val="24"/>
          <w:highlight w:val="none"/>
        </w:rPr>
        <w:t>监狱企业证明函</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监狱企业参加政府采购活动时，应当提供由省级以上监狱管理局、戒毒管理局（含新疆生产建设兵团）出具的属于监狱企业的证明文件。</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257"/>
        <w:ind w:left="240"/>
        <w:jc w:val="both"/>
        <w:outlineLvl w:val="2"/>
        <w:rPr>
          <w:rStyle w:val="35"/>
          <w:rFonts w:hint="eastAsia" w:ascii="宋体" w:hAnsi="宋体" w:eastAsia="宋体" w:cs="宋体"/>
          <w:color w:val="auto"/>
          <w:sz w:val="32"/>
          <w:highlight w:val="none"/>
        </w:rPr>
      </w:pPr>
      <w:r>
        <w:rPr>
          <w:rStyle w:val="35"/>
          <w:rFonts w:hint="eastAsia" w:ascii="宋体" w:hAnsi="宋体" w:eastAsia="宋体" w:cs="宋体"/>
          <w:color w:val="auto"/>
          <w:sz w:val="32"/>
          <w:highlight w:val="none"/>
        </w:rPr>
        <w:t>二、技术方案</w:t>
      </w:r>
    </w:p>
    <w:p>
      <w:pPr>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参照招标文件第五章评标办法 技术部分及权重分值表各条款的要求，结合第四章《采购内容及技术要求》编制投标方案。后附</w:t>
      </w:r>
      <w:r>
        <w:rPr>
          <w:rStyle w:val="35"/>
          <w:rFonts w:hint="eastAsia" w:ascii="宋体" w:hAnsi="宋体" w:eastAsia="宋体" w:cs="宋体"/>
          <w:b/>
          <w:bCs/>
          <w:color w:val="auto"/>
          <w:szCs w:val="24"/>
          <w:highlight w:val="none"/>
        </w:rPr>
        <w:t>技术方案中可参考样表，技术方案应该包含但不限于以下内容:</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1.产品选型;</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2.技术参数;</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3.供货渠道;</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4.质量保证;</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5.实施方案;</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6.项目进度;</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7.售后服务方案;</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8.培训;</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9.业绩;</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10.节能环保产品</w:t>
      </w:r>
    </w:p>
    <w:p>
      <w:pPr>
        <w:ind w:firstLine="482" w:firstLineChars="200"/>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（一）业绩合同样表（仅供参考）</w:t>
      </w:r>
    </w:p>
    <w:tbl>
      <w:tblPr>
        <w:tblStyle w:val="26"/>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736"/>
        <w:gridCol w:w="1701"/>
        <w:gridCol w:w="2557"/>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采购单位名称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项目名称</w:t>
            </w:r>
          </w:p>
        </w:tc>
        <w:tc>
          <w:tcPr>
            <w:tcW w:w="2557"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签订合同时间</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合同金额（万元）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255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w:t>
            </w:r>
          </w:p>
        </w:tc>
        <w:tc>
          <w:tcPr>
            <w:tcW w:w="17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255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789" w:type="dxa"/>
            <w:gridSpan w:val="5"/>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数量合计（个）</w:t>
            </w:r>
            <w:r>
              <w:rPr>
                <w:rStyle w:val="35"/>
                <w:rFonts w:hint="eastAsia" w:ascii="宋体" w:hAnsi="宋体" w:eastAsia="宋体" w:cs="宋体"/>
                <w:color w:val="auto"/>
                <w:szCs w:val="24"/>
                <w:highlight w:val="none"/>
              </w:rPr>
              <w:t>：</w:t>
            </w:r>
          </w:p>
        </w:tc>
      </w:tr>
    </w:tbl>
    <w:p>
      <w:pPr>
        <w:tabs>
          <w:tab w:val="right" w:pos="9070"/>
        </w:tabs>
        <w:snapToGrid w:val="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w:t>
      </w:r>
      <w:r>
        <w:rPr>
          <w:rStyle w:val="35"/>
          <w:rFonts w:hint="eastAsia" w:ascii="宋体" w:hAnsi="宋体" w:eastAsia="宋体" w:cs="宋体"/>
          <w:b/>
          <w:bCs/>
          <w:color w:val="auto"/>
          <w:szCs w:val="24"/>
          <w:highlight w:val="none"/>
        </w:rPr>
        <w:t>（二）项目团队样表（仅供参考）</w:t>
      </w:r>
    </w:p>
    <w:p>
      <w:pPr>
        <w:tabs>
          <w:tab w:val="right" w:pos="9070"/>
        </w:tabs>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1、项目团队情况概述</w:t>
      </w:r>
    </w:p>
    <w:p>
      <w:pPr>
        <w:tabs>
          <w:tab w:val="right" w:pos="9070"/>
        </w:tabs>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概述内容包括但不限于为本项目提供货物服务的团队整体情况、团队负责人、联系人基本情况、背景、能力介绍等，具体内容自行编制。</w:t>
      </w:r>
    </w:p>
    <w:p>
      <w:pPr>
        <w:tabs>
          <w:tab w:val="right" w:pos="9070"/>
        </w:tabs>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2、项目团队人员清单</w:t>
      </w:r>
    </w:p>
    <w:tbl>
      <w:tblPr>
        <w:tblStyle w:val="26"/>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1407"/>
        <w:gridCol w:w="1502"/>
        <w:gridCol w:w="17"/>
        <w:gridCol w:w="6"/>
        <w:gridCol w:w="1581"/>
        <w:gridCol w:w="1740"/>
        <w:gridCol w:w="42"/>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85" w:type="dxa"/>
            <w:gridSpan w:val="9"/>
            <w:tcBorders>
              <w:top w:val="single" w:color="000000" w:sz="12" w:space="0"/>
              <w:left w:val="single" w:color="000000" w:sz="12" w:space="0"/>
              <w:bottom w:val="single" w:color="000000" w:sz="6" w:space="0"/>
              <w:right w:val="single" w:color="000000" w:sz="12" w:space="0"/>
            </w:tcBorders>
            <w:vAlign w:val="center"/>
          </w:tcPr>
          <w:p>
            <w:pPr>
              <w:tabs>
                <w:tab w:val="right" w:pos="9070"/>
              </w:tabs>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1、项目负责人/技术负责人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0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资格</w:t>
            </w: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在本行业从业工作年限</w:t>
            </w:r>
          </w:p>
        </w:tc>
        <w:tc>
          <w:tcPr>
            <w:tcW w:w="1740" w:type="dxa"/>
            <w:tcBorders>
              <w:top w:val="single" w:color="000000" w:sz="4" w:space="0"/>
              <w:left w:val="single" w:color="000000" w:sz="4" w:space="0"/>
              <w:bottom w:val="single" w:color="000000" w:sz="4" w:space="0"/>
              <w:right w:val="single" w:color="000000" w:sz="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40" w:type="dxa"/>
            <w:tcBorders>
              <w:top w:val="single" w:color="000000" w:sz="4" w:space="0"/>
              <w:left w:val="single" w:color="000000" w:sz="4" w:space="0"/>
              <w:bottom w:val="single" w:color="000000" w:sz="4" w:space="0"/>
              <w:right w:val="single" w:color="000000" w:sz="2" w:space="0"/>
            </w:tcBorders>
            <w:vAlign w:val="center"/>
          </w:tcPr>
          <w:p>
            <w:pPr>
              <w:rPr>
                <w:rStyle w:val="35"/>
                <w:rFonts w:hint="eastAsia" w:ascii="宋体" w:hAnsi="宋体" w:eastAsia="宋体" w:cs="宋体"/>
                <w:color w:val="auto"/>
                <w:szCs w:val="24"/>
                <w:highlight w:val="none"/>
              </w:rPr>
            </w:pP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40" w:type="dxa"/>
            <w:tcBorders>
              <w:top w:val="single" w:color="000000" w:sz="4" w:space="0"/>
              <w:left w:val="single" w:color="000000" w:sz="4" w:space="0"/>
              <w:bottom w:val="single" w:color="000000" w:sz="4" w:space="0"/>
              <w:right w:val="single" w:color="000000" w:sz="2" w:space="0"/>
            </w:tcBorders>
            <w:vAlign w:val="center"/>
          </w:tcPr>
          <w:p>
            <w:pPr>
              <w:rPr>
                <w:rStyle w:val="35"/>
                <w:rFonts w:hint="eastAsia" w:ascii="宋体" w:hAnsi="宋体" w:eastAsia="宋体" w:cs="宋体"/>
                <w:color w:val="auto"/>
                <w:szCs w:val="24"/>
                <w:highlight w:val="none"/>
              </w:rPr>
            </w:pP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9185" w:type="dxa"/>
            <w:gridSpan w:val="9"/>
            <w:tcBorders>
              <w:top w:val="single" w:color="000000" w:sz="6" w:space="0"/>
              <w:left w:val="single" w:color="000000" w:sz="12" w:space="0"/>
              <w:bottom w:val="single" w:color="000000" w:sz="6"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资格</w:t>
            </w: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在本行业从业工作年限</w:t>
            </w: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49"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185" w:type="dxa"/>
            <w:gridSpan w:val="9"/>
            <w:tcBorders>
              <w:top w:val="single" w:color="000000" w:sz="6" w:space="0"/>
              <w:left w:val="single" w:color="000000" w:sz="12" w:space="0"/>
              <w:bottom w:val="single" w:color="000000" w:sz="6"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3、辅助人员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学历</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从事类似项目工作年限</w:t>
            </w: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49"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12"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w:t>
            </w:r>
          </w:p>
        </w:tc>
        <w:tc>
          <w:tcPr>
            <w:tcW w:w="7344" w:type="dxa"/>
            <w:gridSpan w:val="8"/>
            <w:tcBorders>
              <w:top w:val="single" w:color="000000" w:sz="4" w:space="0"/>
              <w:left w:val="single" w:color="000000" w:sz="6" w:space="0"/>
              <w:bottom w:val="single" w:color="000000" w:sz="12"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表格空间不足时请自行扩展。</w:t>
            </w:r>
          </w:p>
        </w:tc>
      </w:tr>
    </w:tbl>
    <w:p>
      <w:pPr>
        <w:outlineLvl w:val="2"/>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r>
        <w:rPr>
          <w:rStyle w:val="35"/>
          <w:rFonts w:hint="eastAsia" w:ascii="宋体" w:hAnsi="宋体" w:eastAsia="宋体" w:cs="宋体"/>
          <w:b/>
          <w:bCs/>
          <w:color w:val="auto"/>
          <w:sz w:val="32"/>
          <w:szCs w:val="32"/>
          <w:highlight w:val="none"/>
        </w:rPr>
        <w:t>三、</w:t>
      </w:r>
      <w:bookmarkStart w:id="80" w:name="_GoBack"/>
      <w:r>
        <w:rPr>
          <w:rStyle w:val="35"/>
          <w:rFonts w:hint="eastAsia" w:ascii="宋体" w:hAnsi="宋体" w:eastAsia="宋体" w:cs="宋体"/>
          <w:b/>
          <w:bCs/>
          <w:color w:val="auto"/>
          <w:sz w:val="32"/>
          <w:szCs w:val="32"/>
          <w:highlight w:val="none"/>
        </w:rPr>
        <w:t>供应商认为有利于中标的其他情况说明</w:t>
      </w:r>
      <w:bookmarkEnd w:id="80"/>
    </w:p>
    <w:p>
      <w:pPr>
        <w:tabs>
          <w:tab w:val="left" w:pos="1620"/>
          <w:tab w:val="left" w:pos="1800"/>
        </w:tabs>
        <w:spacing w:line="440" w:lineRule="exact"/>
        <w:ind w:right="616"/>
        <w:rPr>
          <w:rStyle w:val="35"/>
          <w:rFonts w:hint="eastAsia" w:ascii="宋体" w:hAnsi="宋体" w:eastAsia="宋体" w:cs="宋体"/>
          <w:color w:val="auto"/>
          <w:szCs w:val="24"/>
          <w:highlight w:val="none"/>
        </w:rPr>
      </w:pPr>
    </w:p>
    <w:p>
      <w:pPr>
        <w:pStyle w:val="34"/>
        <w:rPr>
          <w:rStyle w:val="35"/>
          <w:rFonts w:hint="eastAsia" w:ascii="宋体" w:hAnsi="宋体" w:eastAsia="宋体" w:cs="宋体"/>
          <w:color w:val="auto"/>
          <w:sz w:val="24"/>
          <w:szCs w:val="24"/>
          <w:highlight w:val="none"/>
        </w:rPr>
      </w:pPr>
    </w:p>
    <w:p>
      <w:pPr>
        <w:spacing w:line="360" w:lineRule="auto"/>
        <w:rPr>
          <w:rStyle w:val="35"/>
          <w:rFonts w:hint="eastAsia" w:ascii="宋体" w:hAnsi="宋体" w:eastAsia="宋体" w:cs="宋体"/>
          <w:color w:val="auto"/>
          <w:szCs w:val="24"/>
          <w:highlight w:val="none"/>
        </w:rPr>
      </w:pPr>
    </w:p>
    <w:sectPr>
      <w:footerReference r:id="rId7" w:type="first"/>
      <w:footerReference r:id="rId6" w:type="default"/>
      <w:pgSz w:w="11906" w:h="16838"/>
      <w:pgMar w:top="1417" w:right="1417" w:bottom="1417" w:left="1417" w:header="1134" w:footer="992" w:gutter="0"/>
      <w:pgNumType w:start="1"/>
      <w:cols w:space="425"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sz w:val="18"/>
        <w:szCs w:val="18"/>
      </w:rPr>
    </w:pPr>
    <w:r>
      <w:rPr>
        <w:rStyle w:val="35"/>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Style w:val="35"/>
                            </w:rPr>
                          </w:pPr>
                        </w:p>
                        <w:p>
                          <w:pPr>
                            <w:topLinePunct/>
                            <w:rPr>
                              <w:rStyle w:val="35"/>
                            </w:rPr>
                          </w:pPr>
                        </w:p>
                      </w:txbxContent>
                    </wps:txbx>
                    <wps:bodyPr lIns="0" tIns="0" rIns="0" bIns="0" upright="1"/>
                  </wps:wsp>
                </a:graphicData>
              </a:graphic>
            </wp:anchor>
          </w:drawing>
        </mc:Choice>
        <mc:Fallback>
          <w:pict>
            <v:shape id="文本框 10"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B3&#10;Fu9YtAEAAHUDAAAOAAAAAAAAAAEAIAAAACEBAABkcnMvZTJvRG9jLnhtbFBLBQYAAAAABgAGAFkB&#10;AABHBQAAAAA=&#10;">
              <v:fill on="f" focussize="0,0"/>
              <v:stroke on="f"/>
              <v:imagedata o:title=""/>
              <o:lock v:ext="edit" aspectratio="f"/>
              <v:textbox inset="0mm,0mm,0mm,0mm">
                <w:txbxContent>
                  <w:p>
                    <w:pPr>
                      <w:pStyle w:val="17"/>
                      <w:rPr>
                        <w:rStyle w:val="35"/>
                      </w:rPr>
                    </w:pPr>
                  </w:p>
                  <w:p>
                    <w:pPr>
                      <w:topLinePunct/>
                      <w:rPr>
                        <w:rStyle w:val="3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rPr>
    </w:pPr>
    <w:r>
      <w:rPr>
        <w:rStyle w:val="35"/>
        <w:sz w:val="18"/>
        <w:szCs w:val="18"/>
      </w:rPr>
      <mc:AlternateContent>
        <mc:Choice Requires="wps">
          <w:drawing>
            <wp:anchor distT="0" distB="0" distL="114300" distR="114300" simplePos="0" relativeHeight="251660288" behindDoc="0" locked="0" layoutInCell="1" allowOverlap="1">
              <wp:simplePos x="0" y="0"/>
              <wp:positionH relativeFrom="margin">
                <wp:posOffset>1902460</wp:posOffset>
              </wp:positionH>
              <wp:positionV relativeFrom="paragraph">
                <wp:posOffset>221615</wp:posOffset>
              </wp:positionV>
              <wp:extent cx="1892300" cy="1607185"/>
              <wp:effectExtent l="0" t="0" r="0" b="0"/>
              <wp:wrapNone/>
              <wp:docPr id="27" name="文本框 12"/>
              <wp:cNvGraphicFramePr/>
              <a:graphic xmlns:a="http://schemas.openxmlformats.org/drawingml/2006/main">
                <a:graphicData uri="http://schemas.microsoft.com/office/word/2010/wordprocessingShape">
                  <wps:wsp>
                    <wps:cNvSpPr txBox="1"/>
                    <wps:spPr>
                      <a:xfrm>
                        <a:off x="0" y="0"/>
                        <a:ext cx="1892300" cy="1607185"/>
                      </a:xfrm>
                      <a:prstGeom prst="rect">
                        <a:avLst/>
                      </a:prstGeom>
                      <a:noFill/>
                      <a:ln>
                        <a:noFill/>
                      </a:ln>
                    </wps:spPr>
                    <wps:txbx>
                      <w:txbxContent>
                        <w:p/>
                      </w:txbxContent>
                    </wps:txbx>
                    <wps:bodyPr lIns="0" tIns="0" rIns="0" bIns="0" upright="1"/>
                  </wps:wsp>
                </a:graphicData>
              </a:graphic>
            </wp:anchor>
          </w:drawing>
        </mc:Choice>
        <mc:Fallback>
          <w:pict>
            <v:shape id="文本框 12" o:spid="_x0000_s1026" o:spt="202" type="#_x0000_t202" style="position:absolute;left:0pt;margin-left:149.8pt;margin-top:17.45pt;height:126.55pt;width:149pt;mso-position-horizontal-relative:margin;z-index:251660288;mso-width-relative:page;mso-height-relative:page;" filled="f" stroked="f" coordsize="21600,21600" o:gfxdata="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Uyp9tgAAAAKAQAADwAAAAAAAAABACAAAAAiAAAAZHJzL2Rvd25yZXYueG1sUEsB&#10;AhQAFAAAAAgAh07iQAZNrQy8AQAAdQMAAA4AAAAAAAAAAQAgAAAAJwEAAGRycy9lMm9Eb2MueG1s&#10;UEsFBgAAAAAGAAYAWQEAAFUFA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Style w:val="35"/>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Style w:val="35"/>
                            </w:rPr>
                          </w:pPr>
                        </w:p>
                        <w:p>
                          <w:pPr>
                            <w:topLinePunct/>
                            <w:rPr>
                              <w:rStyle w:val="35"/>
                            </w:rPr>
                          </w:pPr>
                        </w:p>
                      </w:txbxContent>
                    </wps:txbx>
                    <wps:bodyPr lIns="0" tIns="0" rIns="0" bIns="0" upright="1"/>
                  </wps:wsp>
                </a:graphicData>
              </a:graphic>
            </wp:anchor>
          </w:drawing>
        </mc:Choice>
        <mc:Fallback>
          <w:pict>
            <v:shape id="文本框 1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LOHQ5S2AQAAdQMAAA4AAAAAAAAAAQAgAAAAIQEAAGRycy9lMm9Eb2MueG1sUEsFBgAAAAAGAAYA&#10;WQEAAEkFAAAAAA==&#10;">
              <v:fill on="f" focussize="0,0"/>
              <v:stroke on="f"/>
              <v:imagedata o:title=""/>
              <o:lock v:ext="edit" aspectratio="f"/>
              <v:textbox inset="0mm,0mm,0mm,0mm">
                <w:txbxContent>
                  <w:p>
                    <w:pPr>
                      <w:pStyle w:val="17"/>
                      <w:rPr>
                        <w:rStyle w:val="35"/>
                      </w:rPr>
                    </w:pPr>
                  </w:p>
                  <w:p>
                    <w:pPr>
                      <w:topLinePunct/>
                      <w:rPr>
                        <w:rStyle w:val="3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Style w:val="35"/>
        <w:sz w:val="18"/>
        <w:szCs w:val="18"/>
      </w:rPr>
      <mc:AlternateContent>
        <mc:Choice Requires="wps">
          <w:drawing>
            <wp:anchor distT="0" distB="0" distL="114300" distR="114300" simplePos="0" relativeHeight="251662336" behindDoc="0" locked="0" layoutInCell="1" allowOverlap="1">
              <wp:simplePos x="0" y="0"/>
              <wp:positionH relativeFrom="margin">
                <wp:posOffset>1902460</wp:posOffset>
              </wp:positionH>
              <wp:positionV relativeFrom="paragraph">
                <wp:posOffset>221615</wp:posOffset>
              </wp:positionV>
              <wp:extent cx="1892300" cy="1607185"/>
              <wp:effectExtent l="0" t="0" r="0" b="0"/>
              <wp:wrapNone/>
              <wp:docPr id="30" name="文本框 18"/>
              <wp:cNvGraphicFramePr/>
              <a:graphic xmlns:a="http://schemas.openxmlformats.org/drawingml/2006/main">
                <a:graphicData uri="http://schemas.microsoft.com/office/word/2010/wordprocessingShape">
                  <wps:wsp>
                    <wps:cNvSpPr txBox="1"/>
                    <wps:spPr>
                      <a:xfrm>
                        <a:off x="0" y="0"/>
                        <a:ext cx="1892300" cy="1607185"/>
                      </a:xfrm>
                      <a:prstGeom prst="rect">
                        <a:avLst/>
                      </a:prstGeom>
                      <a:noFill/>
                      <a:ln>
                        <a:noFill/>
                      </a:ln>
                    </wps:spPr>
                    <wps:txbx>
                      <w:txbxContent>
                        <w:p/>
                      </w:txbxContent>
                    </wps:txbx>
                    <wps:bodyPr lIns="0" tIns="0" rIns="0" bIns="0" upright="1"/>
                  </wps:wsp>
                </a:graphicData>
              </a:graphic>
            </wp:anchor>
          </w:drawing>
        </mc:Choice>
        <mc:Fallback>
          <w:pict>
            <v:shape id="文本框 18" o:spid="_x0000_s1026" o:spt="202" type="#_x0000_t202" style="position:absolute;left:0pt;margin-left:149.8pt;margin-top:17.45pt;height:126.55pt;width:149pt;mso-position-horizontal-relative:margin;z-index:251662336;mso-width-relative:page;mso-height-relative:page;" filled="f" stroked="f" coordsize="21600,21600" o:gfxdata="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Uyp9tgAAAAKAQAADwAAAAAAAAABACAAAAAiAAAAZHJzL2Rvd25yZXYueG1sUEsB&#10;AhQAFAAAAAgAh07iQO/6CW28AQAAdQMAAA4AAAAAAAAAAQAgAAAAJwEAAGRycy9lMm9Eb2MueG1s&#10;UEsFBgAAAAAGAAYAWQEAAFU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rPr>
        <w:rStyle w:val="3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5C8D9"/>
    <w:multiLevelType w:val="singleLevel"/>
    <w:tmpl w:val="9435C8D9"/>
    <w:lvl w:ilvl="0" w:tentative="0">
      <w:start w:val="4"/>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pStyle w:val="264"/>
      <w:lvlText w:val="%1. "/>
      <w:lvlJc w:val="left"/>
      <w:pPr>
        <w:widowControl/>
        <w:tabs>
          <w:tab w:val="left" w:pos="839"/>
        </w:tabs>
        <w:ind w:left="839" w:hanging="419"/>
        <w:textAlignment w:val="baseline"/>
      </w:pPr>
    </w:lvl>
    <w:lvl w:ilvl="1" w:tentative="0">
      <w:start w:val="1"/>
      <w:numFmt w:val="upperLetter"/>
      <w:pStyle w:val="240"/>
      <w:lvlText w:val="%1. "/>
      <w:lvlJc w:val="left"/>
      <w:pPr>
        <w:widowControl/>
        <w:tabs>
          <w:tab w:val="left" w:pos="1049"/>
        </w:tabs>
        <w:ind w:left="1049" w:hanging="420"/>
        <w:textAlignment w:val="baseline"/>
      </w:pPr>
    </w:lvl>
    <w:lvl w:ilvl="2" w:tentative="0">
      <w:start w:val="1"/>
      <w:numFmt w:val="lowerLetter"/>
      <w:pStyle w:val="252"/>
      <w:lvlText w:val="%1. "/>
      <w:lvlJc w:val="left"/>
      <w:pPr>
        <w:widowControl/>
        <w:tabs>
          <w:tab w:val="left" w:pos="1259"/>
        </w:tabs>
        <w:ind w:left="1259" w:hanging="420"/>
        <w:textAlignment w:val="baseline"/>
      </w:pPr>
    </w:lvl>
    <w:lvl w:ilvl="3" w:tentative="0">
      <w:start w:val="1"/>
      <w:numFmt w:val="lowerLetter"/>
      <w:pStyle w:val="243"/>
      <w:lvlText w:val="%1) "/>
      <w:lvlJc w:val="left"/>
      <w:pPr>
        <w:widowControl/>
        <w:tabs>
          <w:tab w:val="left" w:pos="1469"/>
        </w:tabs>
        <w:ind w:left="1469" w:hanging="420"/>
        <w:textAlignment w:val="baseline"/>
      </w:pPr>
    </w:lvl>
    <w:lvl w:ilvl="4" w:tentative="0">
      <w:start w:val="1"/>
      <w:numFmt w:val="decimal"/>
      <w:suff w:val="nothing"/>
      <w:lvlText w:val=""/>
      <w:lvlJc w:val="left"/>
      <w:pPr>
        <w:widowControl/>
        <w:ind w:left="1259" w:firstLine="0"/>
        <w:textAlignment w:val="baseline"/>
      </w:pPr>
    </w:lvl>
    <w:lvl w:ilvl="5" w:tentative="0">
      <w:start w:val="1"/>
      <w:numFmt w:val="decimal"/>
      <w:suff w:val="nothing"/>
      <w:lvlText w:val=""/>
      <w:lvlJc w:val="left"/>
      <w:pPr>
        <w:widowControl/>
        <w:ind w:left="1259" w:firstLine="0"/>
        <w:textAlignment w:val="baseline"/>
      </w:pPr>
    </w:lvl>
    <w:lvl w:ilvl="6" w:tentative="0">
      <w:start w:val="1"/>
      <w:numFmt w:val="decimal"/>
      <w:suff w:val="nothing"/>
      <w:lvlText w:val=""/>
      <w:lvlJc w:val="left"/>
      <w:pPr>
        <w:widowControl/>
        <w:ind w:left="1259" w:firstLine="0"/>
        <w:textAlignment w:val="baseline"/>
      </w:pPr>
    </w:lvl>
    <w:lvl w:ilvl="7" w:tentative="0">
      <w:start w:val="1"/>
      <w:numFmt w:val="decimal"/>
      <w:suff w:val="nothing"/>
      <w:lvlText w:val=""/>
      <w:lvlJc w:val="left"/>
      <w:pPr>
        <w:widowControl/>
        <w:ind w:left="1259" w:firstLine="0"/>
        <w:textAlignment w:val="baseline"/>
      </w:pPr>
    </w:lvl>
    <w:lvl w:ilvl="8" w:tentative="0">
      <w:start w:val="1"/>
      <w:numFmt w:val="decimal"/>
      <w:suff w:val="nothing"/>
      <w:lvlText w:val=""/>
      <w:lvlJc w:val="left"/>
      <w:pPr>
        <w:widowControl/>
        <w:ind w:left="1259" w:firstLine="0"/>
        <w:textAlignment w:val="baseline"/>
      </w:pPr>
    </w:lvl>
  </w:abstractNum>
  <w:abstractNum w:abstractNumId="2">
    <w:nsid w:val="0000001F"/>
    <w:multiLevelType w:val="singleLevel"/>
    <w:tmpl w:val="0000001F"/>
    <w:lvl w:ilvl="0" w:tentative="0">
      <w:start w:val="1"/>
      <w:numFmt w:val="decimal"/>
      <w:pStyle w:val="254"/>
      <w:lvlText w:val="%1．"/>
      <w:lvlJc w:val="left"/>
      <w:pPr>
        <w:widowControl/>
        <w:tabs>
          <w:tab w:val="left" w:pos="720"/>
        </w:tabs>
        <w:ind w:left="720" w:hanging="720"/>
        <w:textAlignment w:val="baseline"/>
      </w:pPr>
    </w:lvl>
  </w:abstractNum>
  <w:abstractNum w:abstractNumId="3">
    <w:nsid w:val="00000024"/>
    <w:multiLevelType w:val="multilevel"/>
    <w:tmpl w:val="00000024"/>
    <w:lvl w:ilvl="0" w:tentative="0">
      <w:start w:val="1"/>
      <w:numFmt w:val="bullet"/>
      <w:lvlText w:val=""/>
      <w:lvlJc w:val="left"/>
      <w:pPr>
        <w:widowControl/>
        <w:tabs>
          <w:tab w:val="left" w:pos="420"/>
        </w:tabs>
        <w:ind w:left="420" w:hanging="420"/>
        <w:textAlignment w:val="baseline"/>
      </w:pPr>
      <w:rPr>
        <w:rFonts w:ascii="Wingdings" w:hAnsi="Wingdings"/>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pStyle w:val="282"/>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4">
    <w:nsid w:val="00000031"/>
    <w:multiLevelType w:val="multilevel"/>
    <w:tmpl w:val="00000031"/>
    <w:lvl w:ilvl="0" w:tentative="0">
      <w:start w:val="1"/>
      <w:numFmt w:val="decimal"/>
      <w:lvlText w:val="%1."/>
      <w:lvlJc w:val="left"/>
      <w:pPr>
        <w:widowControl/>
        <w:tabs>
          <w:tab w:val="left" w:pos="420"/>
        </w:tabs>
        <w:ind w:left="420" w:hanging="420"/>
        <w:textAlignment w:val="baseline"/>
      </w:pPr>
    </w:lvl>
    <w:lvl w:ilvl="1" w:tentative="0">
      <w:start w:val="1"/>
      <w:numFmt w:val="bullet"/>
      <w:pStyle w:val="21"/>
      <w:lvlText w:val=""/>
      <w:lvlJc w:val="left"/>
      <w:pPr>
        <w:widowControl/>
        <w:tabs>
          <w:tab w:val="left" w:pos="840"/>
        </w:tabs>
        <w:ind w:left="840" w:hanging="420"/>
        <w:textAlignment w:val="baseline"/>
      </w:pPr>
      <w:rPr>
        <w:rFonts w:ascii="Wingdings" w:hAnsi="Wingdings"/>
      </w:r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4"/>
      <w:numFmt w:val="decimal"/>
      <w:lvlText w:val="%1、"/>
      <w:lvlJc w:val="left"/>
      <w:pPr>
        <w:widowControl/>
        <w:tabs>
          <w:tab w:val="left" w:pos="2160"/>
        </w:tabs>
        <w:ind w:left="2160" w:hanging="480"/>
        <w:textAlignment w:val="baseline"/>
      </w:pPr>
    </w:lvl>
    <w:lvl w:ilvl="5" w:tentative="0">
      <w:start w:val="28"/>
      <w:numFmt w:val="decimal"/>
      <w:lvlText w:val="%1．"/>
      <w:lvlJc w:val="lef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5">
    <w:nsid w:val="1478322F"/>
    <w:multiLevelType w:val="singleLevel"/>
    <w:tmpl w:val="1478322F"/>
    <w:lvl w:ilvl="0" w:tentative="0">
      <w:start w:val="3"/>
      <w:numFmt w:val="chineseCounting"/>
      <w:suff w:val="space"/>
      <w:lvlText w:val="第%1部分"/>
      <w:lvlJc w:val="left"/>
      <w:rPr>
        <w:rFonts w:hint="eastAsia"/>
      </w:rPr>
    </w:lvl>
  </w:abstractNum>
  <w:abstractNum w:abstractNumId="6">
    <w:nsid w:val="5B0CE37E"/>
    <w:multiLevelType w:val="singleLevel"/>
    <w:tmpl w:val="5B0CE37E"/>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B23F69"/>
    <w:rsid w:val="002E65A2"/>
    <w:rsid w:val="00625B62"/>
    <w:rsid w:val="007363EA"/>
    <w:rsid w:val="00B23F69"/>
    <w:rsid w:val="01472E5B"/>
    <w:rsid w:val="016A1FC2"/>
    <w:rsid w:val="01E659E4"/>
    <w:rsid w:val="02441F1E"/>
    <w:rsid w:val="03192A63"/>
    <w:rsid w:val="036B1BAF"/>
    <w:rsid w:val="03FB58FC"/>
    <w:rsid w:val="04C163AD"/>
    <w:rsid w:val="05AE33CA"/>
    <w:rsid w:val="06E8221E"/>
    <w:rsid w:val="07EB1159"/>
    <w:rsid w:val="098977BD"/>
    <w:rsid w:val="0A1C479F"/>
    <w:rsid w:val="0B0E6386"/>
    <w:rsid w:val="0C6F1945"/>
    <w:rsid w:val="0D62450D"/>
    <w:rsid w:val="0F9E7E9E"/>
    <w:rsid w:val="117D01CB"/>
    <w:rsid w:val="11810C8B"/>
    <w:rsid w:val="11FC4446"/>
    <w:rsid w:val="13031E3A"/>
    <w:rsid w:val="14211F36"/>
    <w:rsid w:val="14AE7044"/>
    <w:rsid w:val="154F67B8"/>
    <w:rsid w:val="15A563D8"/>
    <w:rsid w:val="189B6B20"/>
    <w:rsid w:val="190432EC"/>
    <w:rsid w:val="1A5C311E"/>
    <w:rsid w:val="1BE91714"/>
    <w:rsid w:val="1C3A0300"/>
    <w:rsid w:val="1C4E374A"/>
    <w:rsid w:val="1F05332C"/>
    <w:rsid w:val="206A038E"/>
    <w:rsid w:val="22160361"/>
    <w:rsid w:val="227E692E"/>
    <w:rsid w:val="22DE7660"/>
    <w:rsid w:val="22F64717"/>
    <w:rsid w:val="2390535F"/>
    <w:rsid w:val="2431147E"/>
    <w:rsid w:val="260E6540"/>
    <w:rsid w:val="28B2037A"/>
    <w:rsid w:val="29DD101E"/>
    <w:rsid w:val="2B665486"/>
    <w:rsid w:val="2BF47E93"/>
    <w:rsid w:val="2C7A21ED"/>
    <w:rsid w:val="2D2A39DF"/>
    <w:rsid w:val="2F047266"/>
    <w:rsid w:val="30673177"/>
    <w:rsid w:val="3196674C"/>
    <w:rsid w:val="3274536B"/>
    <w:rsid w:val="32CF1C7F"/>
    <w:rsid w:val="337B2CE7"/>
    <w:rsid w:val="33DE1305"/>
    <w:rsid w:val="33FF6261"/>
    <w:rsid w:val="34CC5547"/>
    <w:rsid w:val="36B82C17"/>
    <w:rsid w:val="37BA1D5F"/>
    <w:rsid w:val="391C7540"/>
    <w:rsid w:val="3C2D2B00"/>
    <w:rsid w:val="3E027FBC"/>
    <w:rsid w:val="4070745F"/>
    <w:rsid w:val="42DE0AF8"/>
    <w:rsid w:val="430B6B55"/>
    <w:rsid w:val="442B201A"/>
    <w:rsid w:val="4732546E"/>
    <w:rsid w:val="480C16A5"/>
    <w:rsid w:val="489F35CB"/>
    <w:rsid w:val="4975328B"/>
    <w:rsid w:val="49771C5F"/>
    <w:rsid w:val="4979F579"/>
    <w:rsid w:val="49E317A6"/>
    <w:rsid w:val="4A067ECB"/>
    <w:rsid w:val="4A54334B"/>
    <w:rsid w:val="4BD5286C"/>
    <w:rsid w:val="4E9C73F5"/>
    <w:rsid w:val="50ED1D7D"/>
    <w:rsid w:val="5175093A"/>
    <w:rsid w:val="528A2602"/>
    <w:rsid w:val="52AD62F0"/>
    <w:rsid w:val="55044EE2"/>
    <w:rsid w:val="555A1668"/>
    <w:rsid w:val="56662B60"/>
    <w:rsid w:val="58707658"/>
    <w:rsid w:val="587E693B"/>
    <w:rsid w:val="5AC46FE4"/>
    <w:rsid w:val="5B5E7652"/>
    <w:rsid w:val="5BCE7A03"/>
    <w:rsid w:val="5E712A21"/>
    <w:rsid w:val="5F092881"/>
    <w:rsid w:val="5F0D255D"/>
    <w:rsid w:val="5F1D48CF"/>
    <w:rsid w:val="600843C4"/>
    <w:rsid w:val="610836B6"/>
    <w:rsid w:val="62280BFD"/>
    <w:rsid w:val="63C026D9"/>
    <w:rsid w:val="64467011"/>
    <w:rsid w:val="651421FF"/>
    <w:rsid w:val="66FE2EDD"/>
    <w:rsid w:val="67D025D8"/>
    <w:rsid w:val="68B166E3"/>
    <w:rsid w:val="6A9E1E7C"/>
    <w:rsid w:val="6AB764AF"/>
    <w:rsid w:val="6F6F69B0"/>
    <w:rsid w:val="70C67B69"/>
    <w:rsid w:val="716F06E2"/>
    <w:rsid w:val="71C936C8"/>
    <w:rsid w:val="72346968"/>
    <w:rsid w:val="732857F3"/>
    <w:rsid w:val="734C0DB6"/>
    <w:rsid w:val="7EC31FF2"/>
    <w:rsid w:val="7EC330C4"/>
    <w:rsid w:val="7F69341C"/>
    <w:rsid w:val="7FBF9268"/>
    <w:rsid w:val="7FEC7BA9"/>
    <w:rsid w:val="EFFF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Times New Roman" w:eastAsia="宋体" w:cstheme="minorBidi"/>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eastAsia="黑体"/>
      <w:b/>
      <w:kern w:val="44"/>
      <w:sz w:val="32"/>
    </w:rPr>
  </w:style>
  <w:style w:type="paragraph" w:styleId="4">
    <w:name w:val="heading 2"/>
    <w:basedOn w:val="1"/>
    <w:next w:val="5"/>
    <w:qFormat/>
    <w:uiPriority w:val="9"/>
    <w:pPr>
      <w:keepNext/>
      <w:keepLines/>
      <w:spacing w:before="260" w:after="260"/>
      <w:ind w:left="284"/>
      <w:jc w:val="left"/>
      <w:outlineLvl w:val="1"/>
    </w:pPr>
    <w:rPr>
      <w:rFonts w:ascii="Arial" w:hAnsi="Arial"/>
      <w:b/>
      <w:bCs/>
      <w:sz w:val="28"/>
      <w:szCs w:val="32"/>
    </w:rPr>
  </w:style>
  <w:style w:type="paragraph" w:styleId="7">
    <w:name w:val="heading 4"/>
    <w:basedOn w:val="1"/>
    <w:next w:val="1"/>
    <w:semiHidden/>
    <w:unhideWhenUsed/>
    <w:qFormat/>
    <w:uiPriority w:val="0"/>
    <w:pPr>
      <w:spacing w:beforeAutospacing="1" w:afterAutospacing="1"/>
      <w:jc w:val="left"/>
      <w:outlineLvl w:val="3"/>
    </w:pPr>
    <w:rPr>
      <w:rFonts w:hint="eastAsia" w:hAnsi="宋体" w:cs="Times New Roman"/>
      <w:b/>
      <w:bCs/>
      <w:szCs w:val="24"/>
    </w:rPr>
  </w:style>
  <w:style w:type="paragraph" w:styleId="8">
    <w:name w:val="heading 6"/>
    <w:basedOn w:val="1"/>
    <w:next w:val="1"/>
    <w:semiHidden/>
    <w:unhideWhenUsed/>
    <w:qFormat/>
    <w:uiPriority w:val="0"/>
    <w:pPr>
      <w:spacing w:beforeAutospacing="1" w:afterAutospacing="1"/>
      <w:jc w:val="left"/>
      <w:outlineLvl w:val="5"/>
    </w:pPr>
    <w:rPr>
      <w:rFonts w:hint="eastAsia" w:hAnsi="宋体" w:cs="Times New Roman"/>
      <w:b/>
      <w:bCs/>
      <w:sz w:val="15"/>
      <w:szCs w:val="15"/>
    </w:rPr>
  </w:style>
  <w:style w:type="paragraph" w:styleId="9">
    <w:name w:val="heading 7"/>
    <w:basedOn w:val="1"/>
    <w:next w:val="1"/>
    <w:qFormat/>
    <w:uiPriority w:val="1"/>
    <w:pPr>
      <w:ind w:left="486"/>
      <w:outlineLvl w:val="6"/>
    </w:pPr>
    <w:rPr>
      <w:rFonts w:ascii="仿宋" w:hAnsi="仿宋" w:eastAsia="仿宋" w:cs="仿宋"/>
      <w:b/>
      <w:bCs/>
      <w:szCs w:val="24"/>
      <w:lang w:val="zh-CN" w:bidi="zh-CN"/>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5">
    <w:name w:val="Normal Indent"/>
    <w:basedOn w:val="1"/>
    <w:next w:val="6"/>
    <w:qFormat/>
    <w:uiPriority w:val="0"/>
    <w:pPr>
      <w:spacing w:line="300" w:lineRule="auto"/>
      <w:ind w:firstLine="420" w:firstLineChars="200"/>
    </w:pPr>
    <w:rPr>
      <w:rFonts w:ascii="Times New Roman"/>
      <w:kern w:val="2"/>
      <w:sz w:val="21"/>
      <w:szCs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caption"/>
    <w:basedOn w:val="1"/>
    <w:next w:val="1"/>
    <w:link w:val="59"/>
    <w:qFormat/>
    <w:uiPriority w:val="0"/>
    <w:pPr>
      <w:spacing w:before="152" w:after="160"/>
    </w:pPr>
    <w:rPr>
      <w:rFonts w:ascii="Arial" w:hAnsi="Arial" w:eastAsia="黑体"/>
      <w:kern w:val="2"/>
      <w:sz w:val="20"/>
    </w:rPr>
  </w:style>
  <w:style w:type="paragraph" w:styleId="11">
    <w:name w:val="annotation text"/>
    <w:basedOn w:val="1"/>
    <w:qFormat/>
    <w:uiPriority w:val="0"/>
    <w:pPr>
      <w:jc w:val="left"/>
    </w:pPr>
  </w:style>
  <w:style w:type="paragraph" w:styleId="12">
    <w:name w:val="Body Text Indent"/>
    <w:basedOn w:val="1"/>
    <w:next w:val="13"/>
    <w:qFormat/>
    <w:uiPriority w:val="99"/>
    <w:pPr>
      <w:ind w:left="-4" w:leftChars="-2" w:firstLine="560" w:firstLineChars="200"/>
    </w:pPr>
    <w:rPr>
      <w:sz w:val="28"/>
    </w:rPr>
  </w:style>
  <w:style w:type="paragraph" w:styleId="13">
    <w:name w:val="annotation subject"/>
    <w:basedOn w:val="11"/>
    <w:next w:val="1"/>
    <w:unhideWhenUsed/>
    <w:qFormat/>
    <w:uiPriority w:val="0"/>
    <w:rPr>
      <w:b/>
      <w:bCs/>
    </w:rPr>
  </w:style>
  <w:style w:type="paragraph" w:styleId="14">
    <w:name w:val="Plain Text"/>
    <w:basedOn w:val="1"/>
    <w:qFormat/>
    <w:uiPriority w:val="0"/>
    <w:rPr>
      <w:rFonts w:hAnsi="Courier New"/>
      <w:kern w:val="2"/>
      <w:sz w:val="21"/>
    </w:rPr>
  </w:style>
  <w:style w:type="paragraph" w:styleId="15">
    <w:name w:val="Date"/>
    <w:basedOn w:val="1"/>
    <w:next w:val="1"/>
    <w:link w:val="75"/>
    <w:qFormat/>
    <w:uiPriority w:val="0"/>
    <w:rPr>
      <w:rFonts w:ascii="Times New Roman"/>
      <w:kern w:val="2"/>
      <w:sz w:val="28"/>
    </w:rPr>
  </w:style>
  <w:style w:type="paragraph" w:styleId="16">
    <w:name w:val="Body Text Indent 2"/>
    <w:basedOn w:val="1"/>
    <w:qFormat/>
    <w:uiPriority w:val="99"/>
    <w:pPr>
      <w:tabs>
        <w:tab w:val="left" w:pos="5625"/>
      </w:tabs>
      <w:ind w:left="1138" w:leftChars="542"/>
    </w:pPr>
    <w:rPr>
      <w:rFonts w:ascii="Times New Roman"/>
      <w:kern w:val="2"/>
    </w:rPr>
  </w:style>
  <w:style w:type="paragraph" w:styleId="17">
    <w:name w:val="footer"/>
    <w:basedOn w:val="1"/>
    <w:next w:val="2"/>
    <w:link w:val="80"/>
    <w:qFormat/>
    <w:uiPriority w:val="0"/>
    <w:pPr>
      <w:tabs>
        <w:tab w:val="center" w:pos="4153"/>
        <w:tab w:val="right" w:pos="8306"/>
      </w:tabs>
      <w:snapToGrid w:val="0"/>
      <w:jc w:val="left"/>
    </w:pPr>
    <w:rPr>
      <w:rFonts w:ascii="Times New Roman"/>
      <w:kern w:val="2"/>
      <w:sz w:val="18"/>
      <w:szCs w:val="18"/>
    </w:rPr>
  </w:style>
  <w:style w:type="paragraph" w:styleId="18">
    <w:name w:val="header"/>
    <w:basedOn w:val="1"/>
    <w:link w:val="81"/>
    <w:qFormat/>
    <w:uiPriority w:val="0"/>
    <w:pPr>
      <w:pBdr>
        <w:bottom w:val="single" w:color="000000" w:sz="6" w:space="1"/>
      </w:pBdr>
      <w:tabs>
        <w:tab w:val="center" w:pos="4153"/>
        <w:tab w:val="right" w:pos="8306"/>
      </w:tabs>
      <w:snapToGrid w:val="0"/>
      <w:jc w:val="center"/>
    </w:pPr>
    <w:rPr>
      <w:rFonts w:ascii="Times New Roman"/>
      <w:kern w:val="2"/>
      <w:sz w:val="18"/>
      <w:szCs w:val="18"/>
    </w:rPr>
  </w:style>
  <w:style w:type="paragraph" w:styleId="19">
    <w:name w:val="toc 1"/>
    <w:basedOn w:val="1"/>
    <w:next w:val="1"/>
    <w:qFormat/>
    <w:uiPriority w:val="0"/>
  </w:style>
  <w:style w:type="paragraph" w:styleId="20">
    <w:name w:val="Subtitle"/>
    <w:basedOn w:val="1"/>
    <w:next w:val="1"/>
    <w:link w:val="84"/>
    <w:qFormat/>
    <w:uiPriority w:val="0"/>
    <w:pPr>
      <w:spacing w:before="240" w:after="60" w:line="312" w:lineRule="auto"/>
      <w:jc w:val="center"/>
    </w:pPr>
    <w:rPr>
      <w:rFonts w:ascii="Cambria" w:hAnsi="Cambria" w:cs="Times New Roman"/>
      <w:b/>
      <w:bCs/>
      <w:kern w:val="28"/>
      <w:sz w:val="32"/>
      <w:szCs w:val="32"/>
    </w:rPr>
  </w:style>
  <w:style w:type="paragraph" w:styleId="21">
    <w:name w:val="List"/>
    <w:basedOn w:val="1"/>
    <w:qFormat/>
    <w:uiPriority w:val="0"/>
    <w:pPr>
      <w:numPr>
        <w:ilvl w:val="1"/>
        <w:numId w:val="1"/>
      </w:numPr>
      <w:spacing w:line="360" w:lineRule="auto"/>
      <w:jc w:val="left"/>
    </w:pPr>
    <w:rPr>
      <w:szCs w:val="24"/>
    </w:rPr>
  </w:style>
  <w:style w:type="paragraph" w:styleId="22">
    <w:name w:val="Normal (Web)"/>
    <w:basedOn w:val="1"/>
    <w:qFormat/>
    <w:uiPriority w:val="0"/>
    <w:pPr>
      <w:spacing w:beforeAutospacing="1" w:afterAutospacing="1"/>
      <w:jc w:val="left"/>
    </w:pPr>
    <w:rPr>
      <w:rFonts w:cs="Times New Roman"/>
    </w:rPr>
  </w:style>
  <w:style w:type="paragraph" w:styleId="23">
    <w:name w:val="Title"/>
    <w:basedOn w:val="1"/>
    <w:next w:val="1"/>
    <w:link w:val="94"/>
    <w:qFormat/>
    <w:uiPriority w:val="0"/>
    <w:pPr>
      <w:spacing w:before="240" w:after="60"/>
      <w:jc w:val="center"/>
    </w:pPr>
    <w:rPr>
      <w:rFonts w:ascii="Cambria" w:hAnsi="Cambria" w:cs="Times New Roman"/>
      <w:b/>
      <w:bCs/>
      <w:kern w:val="2"/>
      <w:sz w:val="32"/>
      <w:szCs w:val="32"/>
    </w:rPr>
  </w:style>
  <w:style w:type="paragraph" w:styleId="24">
    <w:name w:val="Body Text First Indent"/>
    <w:basedOn w:val="2"/>
    <w:qFormat/>
    <w:uiPriority w:val="99"/>
    <w:pPr>
      <w:widowControl w:val="0"/>
      <w:ind w:firstLine="420" w:firstLineChars="100"/>
    </w:pPr>
    <w:rPr>
      <w:rFonts w:ascii="宋体" w:cs="Times New Roman"/>
    </w:rPr>
  </w:style>
  <w:style w:type="paragraph" w:styleId="25">
    <w:name w:val="Body Text First Indent 2"/>
    <w:basedOn w:val="12"/>
    <w:next w:val="5"/>
    <w:qFormat/>
    <w:uiPriority w:val="99"/>
    <w:pPr>
      <w:spacing w:before="50" w:after="120"/>
      <w:ind w:left="420" w:leftChars="200" w:firstLine="200"/>
    </w:pPr>
    <w:rPr>
      <w:rFonts w:ascii="Calibri" w:hAnsi="Calibri"/>
      <w:sz w:val="21"/>
      <w:szCs w:val="24"/>
    </w:rPr>
  </w:style>
  <w:style w:type="character" w:styleId="28">
    <w:name w:val="Strong"/>
    <w:basedOn w:val="27"/>
    <w:qFormat/>
    <w:uiPriority w:val="0"/>
    <w:rPr>
      <w:rFonts w:cs="Times New Roman"/>
      <w:b/>
      <w:bCs/>
    </w:rPr>
  </w:style>
  <w:style w:type="character" w:styleId="29">
    <w:name w:val="page number"/>
    <w:basedOn w:val="27"/>
    <w:qFormat/>
    <w:uiPriority w:val="0"/>
  </w:style>
  <w:style w:type="character" w:styleId="30">
    <w:name w:val="FollowedHyperlink"/>
    <w:qFormat/>
    <w:uiPriority w:val="0"/>
    <w:rPr>
      <w:rFonts w:ascii="宋体" w:hAnsi="宋体" w:eastAsia="宋体"/>
      <w:color w:val="000000"/>
      <w:sz w:val="18"/>
      <w:szCs w:val="18"/>
    </w:rPr>
  </w:style>
  <w:style w:type="character" w:styleId="31">
    <w:name w:val="Emphasis"/>
    <w:qFormat/>
    <w:uiPriority w:val="0"/>
    <w:rPr>
      <w:i/>
      <w:iCs/>
    </w:rPr>
  </w:style>
  <w:style w:type="character" w:styleId="32">
    <w:name w:val="Hyperlink"/>
    <w:basedOn w:val="27"/>
    <w:qFormat/>
    <w:uiPriority w:val="0"/>
    <w:rPr>
      <w:rFonts w:ascii="宋体" w:hAnsi="宋体" w:eastAsia="宋体"/>
      <w:color w:val="000000"/>
      <w:sz w:val="18"/>
      <w:szCs w:val="18"/>
    </w:rPr>
  </w:style>
  <w:style w:type="character" w:styleId="33">
    <w:name w:val="annotation reference"/>
    <w:qFormat/>
    <w:uiPriority w:val="0"/>
    <w:rPr>
      <w:sz w:val="21"/>
      <w:szCs w:val="21"/>
    </w:rPr>
  </w:style>
  <w:style w:type="paragraph" w:customStyle="1" w:styleId="34">
    <w:name w:val="BodyText"/>
    <w:basedOn w:val="1"/>
    <w:next w:val="1"/>
    <w:link w:val="46"/>
    <w:qFormat/>
    <w:uiPriority w:val="0"/>
    <w:pPr>
      <w:spacing w:after="120"/>
    </w:pPr>
    <w:rPr>
      <w:rFonts w:ascii="Times New Roman"/>
      <w:kern w:val="2"/>
      <w:sz w:val="21"/>
    </w:rPr>
  </w:style>
  <w:style w:type="character" w:customStyle="1" w:styleId="35">
    <w:name w:val="NormalCharacter"/>
    <w:qFormat/>
    <w:uiPriority w:val="0"/>
  </w:style>
  <w:style w:type="paragraph" w:customStyle="1" w:styleId="36">
    <w:name w:val="Heading1"/>
    <w:basedOn w:val="1"/>
    <w:next w:val="1"/>
    <w:link w:val="47"/>
    <w:qFormat/>
    <w:uiPriority w:val="0"/>
    <w:pPr>
      <w:keepNext/>
    </w:pPr>
    <w:rPr>
      <w:rFonts w:ascii="仿宋_GB2312" w:hAnsi="宋体" w:eastAsia="仿宋_GB2312"/>
      <w:b/>
      <w:kern w:val="2"/>
      <w:sz w:val="32"/>
    </w:rPr>
  </w:style>
  <w:style w:type="paragraph" w:customStyle="1" w:styleId="37">
    <w:name w:val="Heading2"/>
    <w:basedOn w:val="1"/>
    <w:next w:val="1"/>
    <w:link w:val="48"/>
    <w:qFormat/>
    <w:uiPriority w:val="0"/>
    <w:pPr>
      <w:keepNext/>
      <w:keepLines/>
      <w:spacing w:before="260" w:after="260"/>
      <w:ind w:left="284"/>
      <w:jc w:val="left"/>
    </w:pPr>
    <w:rPr>
      <w:rFonts w:ascii="Arial" w:hAnsi="Arial" w:cs="Times New Roman"/>
      <w:b/>
      <w:bCs/>
      <w:sz w:val="28"/>
      <w:szCs w:val="32"/>
    </w:rPr>
  </w:style>
  <w:style w:type="paragraph" w:customStyle="1" w:styleId="38">
    <w:name w:val="Heading3"/>
    <w:basedOn w:val="1"/>
    <w:next w:val="1"/>
    <w:link w:val="49"/>
    <w:qFormat/>
    <w:uiPriority w:val="0"/>
    <w:pPr>
      <w:keepNext/>
      <w:spacing w:before="624" w:line="400" w:lineRule="exact"/>
      <w:jc w:val="center"/>
    </w:pPr>
    <w:rPr>
      <w:rFonts w:ascii="Times New Roman" w:cs="Times New Roman"/>
      <w:b/>
      <w:bCs/>
      <w:kern w:val="2"/>
      <w:szCs w:val="24"/>
    </w:rPr>
  </w:style>
  <w:style w:type="paragraph" w:customStyle="1" w:styleId="39">
    <w:name w:val="Heading4"/>
    <w:basedOn w:val="1"/>
    <w:next w:val="1"/>
    <w:link w:val="50"/>
    <w:qFormat/>
    <w:uiPriority w:val="0"/>
    <w:pPr>
      <w:keepNext/>
      <w:keepLines/>
      <w:tabs>
        <w:tab w:val="left" w:pos="864"/>
      </w:tabs>
      <w:spacing w:before="120" w:line="360" w:lineRule="auto"/>
      <w:ind w:left="864" w:hanging="864"/>
    </w:pPr>
    <w:rPr>
      <w:rFonts w:ascii="Arial" w:hAnsi="Arial" w:cs="Times New Roman"/>
      <w:bCs/>
      <w:kern w:val="2"/>
      <w:szCs w:val="28"/>
    </w:rPr>
  </w:style>
  <w:style w:type="paragraph" w:customStyle="1" w:styleId="40">
    <w:name w:val="Heading5"/>
    <w:basedOn w:val="1"/>
    <w:next w:val="1"/>
    <w:link w:val="51"/>
    <w:qFormat/>
    <w:uiPriority w:val="0"/>
    <w:pPr>
      <w:keepNext/>
      <w:keepLines/>
      <w:tabs>
        <w:tab w:val="left" w:pos="1008"/>
        <w:tab w:val="left" w:pos="1218"/>
      </w:tabs>
      <w:spacing w:before="60" w:line="360" w:lineRule="auto"/>
      <w:ind w:left="1008" w:hanging="1008"/>
    </w:pPr>
    <w:rPr>
      <w:rFonts w:ascii="Arial Unicode MS" w:hAnsi="Arial Unicode MS" w:cs="Times New Roman"/>
      <w:bCs/>
      <w:kern w:val="2"/>
      <w:szCs w:val="24"/>
    </w:rPr>
  </w:style>
  <w:style w:type="paragraph" w:customStyle="1" w:styleId="41">
    <w:name w:val="Heading6"/>
    <w:basedOn w:val="1"/>
    <w:next w:val="1"/>
    <w:link w:val="52"/>
    <w:qFormat/>
    <w:uiPriority w:val="0"/>
    <w:pPr>
      <w:keepNext/>
      <w:keepLines/>
      <w:tabs>
        <w:tab w:val="left" w:pos="1152"/>
      </w:tabs>
      <w:spacing w:before="60" w:line="360" w:lineRule="auto"/>
      <w:ind w:left="1152" w:hanging="1152"/>
    </w:pPr>
    <w:rPr>
      <w:rFonts w:ascii="Arial Unicode MS" w:hAnsi="Arial Unicode MS" w:cs="Times New Roman"/>
      <w:bCs/>
      <w:kern w:val="2"/>
      <w:szCs w:val="24"/>
    </w:rPr>
  </w:style>
  <w:style w:type="paragraph" w:customStyle="1" w:styleId="42">
    <w:name w:val="Heading7"/>
    <w:basedOn w:val="1"/>
    <w:next w:val="1"/>
    <w:link w:val="53"/>
    <w:qFormat/>
    <w:uiPriority w:val="0"/>
    <w:pPr>
      <w:keepNext/>
      <w:tabs>
        <w:tab w:val="left" w:pos="1296"/>
      </w:tabs>
      <w:spacing w:line="288" w:lineRule="auto"/>
      <w:ind w:left="1296" w:hanging="1296"/>
    </w:pPr>
    <w:rPr>
      <w:rFonts w:ascii="Arial" w:hAnsi="Arial"/>
      <w:b/>
      <w:color w:val="000000"/>
      <w:kern w:val="2"/>
      <w:sz w:val="15"/>
    </w:rPr>
  </w:style>
  <w:style w:type="paragraph" w:customStyle="1" w:styleId="43">
    <w:name w:val="Heading8"/>
    <w:basedOn w:val="1"/>
    <w:next w:val="1"/>
    <w:link w:val="54"/>
    <w:qFormat/>
    <w:uiPriority w:val="0"/>
    <w:pPr>
      <w:keepNext/>
      <w:tabs>
        <w:tab w:val="left" w:pos="1440"/>
      </w:tabs>
      <w:spacing w:line="360" w:lineRule="auto"/>
      <w:ind w:left="1440" w:hanging="1440"/>
    </w:pPr>
    <w:rPr>
      <w:rFonts w:ascii="仿宋_GB2312" w:eastAsia="仿宋_GB2312"/>
      <w:b/>
      <w:kern w:val="2"/>
    </w:rPr>
  </w:style>
  <w:style w:type="paragraph" w:customStyle="1" w:styleId="44">
    <w:name w:val="Heading9"/>
    <w:basedOn w:val="1"/>
    <w:next w:val="1"/>
    <w:link w:val="55"/>
    <w:qFormat/>
    <w:uiPriority w:val="0"/>
    <w:pPr>
      <w:keepNext/>
      <w:keepLines/>
      <w:tabs>
        <w:tab w:val="left" w:pos="1584"/>
      </w:tabs>
      <w:spacing w:before="240" w:after="64" w:line="320" w:lineRule="auto"/>
      <w:ind w:left="1584" w:hanging="1584"/>
    </w:pPr>
    <w:rPr>
      <w:rFonts w:ascii="Arial" w:hAnsi="Arial" w:eastAsia="黑体"/>
      <w:kern w:val="2"/>
      <w:sz w:val="21"/>
      <w:szCs w:val="21"/>
    </w:rPr>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UserStyle_0"/>
    <w:link w:val="34"/>
    <w:qFormat/>
    <w:uiPriority w:val="0"/>
    <w:rPr>
      <w:kern w:val="2"/>
      <w:sz w:val="21"/>
    </w:rPr>
  </w:style>
  <w:style w:type="character" w:customStyle="1" w:styleId="47">
    <w:name w:val="UserStyle_1"/>
    <w:link w:val="36"/>
    <w:qFormat/>
    <w:uiPriority w:val="0"/>
    <w:rPr>
      <w:rFonts w:ascii="仿宋_GB2312" w:hAnsi="宋体" w:eastAsia="仿宋_GB2312"/>
      <w:b/>
      <w:kern w:val="2"/>
      <w:sz w:val="32"/>
    </w:rPr>
  </w:style>
  <w:style w:type="character" w:customStyle="1" w:styleId="48">
    <w:name w:val="UserStyle_2"/>
    <w:link w:val="37"/>
    <w:qFormat/>
    <w:uiPriority w:val="0"/>
    <w:rPr>
      <w:rFonts w:ascii="Arial" w:hAnsi="Arial" w:cs="Times New Roman"/>
      <w:b/>
      <w:bCs/>
      <w:sz w:val="28"/>
      <w:szCs w:val="32"/>
    </w:rPr>
  </w:style>
  <w:style w:type="character" w:customStyle="1" w:styleId="49">
    <w:name w:val="UserStyle_3"/>
    <w:link w:val="38"/>
    <w:qFormat/>
    <w:uiPriority w:val="0"/>
    <w:rPr>
      <w:rFonts w:cs="Times New Roman"/>
      <w:b/>
      <w:bCs/>
      <w:kern w:val="2"/>
      <w:sz w:val="24"/>
      <w:szCs w:val="24"/>
    </w:rPr>
  </w:style>
  <w:style w:type="character" w:customStyle="1" w:styleId="50">
    <w:name w:val="UserStyle_4"/>
    <w:link w:val="39"/>
    <w:qFormat/>
    <w:uiPriority w:val="0"/>
    <w:rPr>
      <w:rFonts w:ascii="Arial" w:hAnsi="Arial" w:cs="Times New Roman"/>
      <w:bCs/>
      <w:kern w:val="2"/>
      <w:sz w:val="24"/>
      <w:szCs w:val="28"/>
    </w:rPr>
  </w:style>
  <w:style w:type="character" w:customStyle="1" w:styleId="51">
    <w:name w:val="UserStyle_5"/>
    <w:link w:val="40"/>
    <w:qFormat/>
    <w:uiPriority w:val="0"/>
    <w:rPr>
      <w:rFonts w:ascii="Arial Unicode MS" w:hAnsi="Arial Unicode MS" w:cs="Times New Roman"/>
      <w:bCs/>
      <w:kern w:val="2"/>
      <w:sz w:val="24"/>
      <w:szCs w:val="24"/>
    </w:rPr>
  </w:style>
  <w:style w:type="character" w:customStyle="1" w:styleId="52">
    <w:name w:val="UserStyle_6"/>
    <w:link w:val="41"/>
    <w:qFormat/>
    <w:uiPriority w:val="0"/>
    <w:rPr>
      <w:rFonts w:ascii="Arial Unicode MS" w:hAnsi="Arial Unicode MS" w:cs="Times New Roman"/>
      <w:bCs/>
      <w:kern w:val="2"/>
      <w:sz w:val="24"/>
      <w:szCs w:val="24"/>
    </w:rPr>
  </w:style>
  <w:style w:type="character" w:customStyle="1" w:styleId="53">
    <w:name w:val="UserStyle_7"/>
    <w:link w:val="42"/>
    <w:qFormat/>
    <w:uiPriority w:val="0"/>
    <w:rPr>
      <w:rFonts w:ascii="Arial" w:hAnsi="Arial"/>
      <w:b/>
      <w:color w:val="000000"/>
      <w:kern w:val="2"/>
      <w:sz w:val="15"/>
    </w:rPr>
  </w:style>
  <w:style w:type="character" w:customStyle="1" w:styleId="54">
    <w:name w:val="UserStyle_8"/>
    <w:link w:val="43"/>
    <w:qFormat/>
    <w:uiPriority w:val="0"/>
    <w:rPr>
      <w:rFonts w:ascii="仿宋_GB2312" w:eastAsia="仿宋_GB2312"/>
      <w:b/>
      <w:kern w:val="2"/>
      <w:sz w:val="24"/>
    </w:rPr>
  </w:style>
  <w:style w:type="character" w:customStyle="1" w:styleId="55">
    <w:name w:val="UserStyle_9"/>
    <w:link w:val="44"/>
    <w:qFormat/>
    <w:uiPriority w:val="0"/>
    <w:rPr>
      <w:rFonts w:ascii="Arial" w:hAnsi="Arial" w:eastAsia="黑体"/>
      <w:kern w:val="2"/>
      <w:sz w:val="21"/>
      <w:szCs w:val="21"/>
    </w:rPr>
  </w:style>
  <w:style w:type="paragraph" w:customStyle="1" w:styleId="56">
    <w:name w:val="TOC7"/>
    <w:basedOn w:val="1"/>
    <w:next w:val="1"/>
    <w:qFormat/>
    <w:uiPriority w:val="0"/>
    <w:pPr>
      <w:ind w:left="2520" w:leftChars="1200"/>
    </w:pPr>
  </w:style>
  <w:style w:type="paragraph" w:customStyle="1" w:styleId="57">
    <w:name w:val="NormalIndent"/>
    <w:basedOn w:val="1"/>
    <w:link w:val="58"/>
    <w:qFormat/>
    <w:uiPriority w:val="0"/>
    <w:pPr>
      <w:spacing w:line="300" w:lineRule="auto"/>
      <w:ind w:firstLine="420" w:firstLineChars="200"/>
    </w:pPr>
    <w:rPr>
      <w:rFonts w:ascii="Times New Roman"/>
      <w:kern w:val="2"/>
      <w:sz w:val="21"/>
      <w:szCs w:val="24"/>
    </w:rPr>
  </w:style>
  <w:style w:type="character" w:customStyle="1" w:styleId="58">
    <w:name w:val="UserStyle_10"/>
    <w:link w:val="57"/>
    <w:qFormat/>
    <w:uiPriority w:val="0"/>
    <w:rPr>
      <w:kern w:val="2"/>
      <w:sz w:val="21"/>
      <w:szCs w:val="24"/>
    </w:rPr>
  </w:style>
  <w:style w:type="character" w:customStyle="1" w:styleId="59">
    <w:name w:val="题注 Char"/>
    <w:link w:val="10"/>
    <w:qFormat/>
    <w:uiPriority w:val="0"/>
    <w:rPr>
      <w:rFonts w:ascii="Arial" w:hAnsi="Arial" w:eastAsia="黑体"/>
      <w:kern w:val="2"/>
    </w:rPr>
  </w:style>
  <w:style w:type="paragraph" w:customStyle="1" w:styleId="60">
    <w:name w:val="NavPane"/>
    <w:basedOn w:val="1"/>
    <w:link w:val="61"/>
    <w:qFormat/>
    <w:uiPriority w:val="0"/>
    <w:pPr>
      <w:shd w:val="clear" w:color="auto" w:fill="000080"/>
    </w:pPr>
    <w:rPr>
      <w:rFonts w:ascii="Times New Roman"/>
      <w:kern w:val="2"/>
      <w:sz w:val="21"/>
    </w:rPr>
  </w:style>
  <w:style w:type="character" w:customStyle="1" w:styleId="61">
    <w:name w:val="UserStyle_12"/>
    <w:link w:val="60"/>
    <w:qFormat/>
    <w:uiPriority w:val="0"/>
    <w:rPr>
      <w:kern w:val="2"/>
      <w:sz w:val="21"/>
      <w:shd w:val="clear" w:color="auto" w:fill="000080"/>
    </w:rPr>
  </w:style>
  <w:style w:type="paragraph" w:customStyle="1" w:styleId="62">
    <w:name w:val="AnnotationText"/>
    <w:basedOn w:val="1"/>
    <w:link w:val="63"/>
    <w:qFormat/>
    <w:uiPriority w:val="0"/>
    <w:pPr>
      <w:jc w:val="left"/>
    </w:pPr>
    <w:rPr>
      <w:rFonts w:ascii="Times New Roman"/>
      <w:kern w:val="2"/>
      <w:sz w:val="21"/>
      <w:szCs w:val="24"/>
    </w:rPr>
  </w:style>
  <w:style w:type="character" w:customStyle="1" w:styleId="63">
    <w:name w:val="UserStyle_13"/>
    <w:link w:val="62"/>
    <w:qFormat/>
    <w:uiPriority w:val="0"/>
    <w:rPr>
      <w:rFonts w:eastAsia="宋体"/>
      <w:kern w:val="2"/>
      <w:sz w:val="21"/>
      <w:szCs w:val="24"/>
      <w:lang w:val="en-US" w:eastAsia="zh-CN" w:bidi="ar-SA"/>
    </w:rPr>
  </w:style>
  <w:style w:type="paragraph" w:customStyle="1" w:styleId="64">
    <w:name w:val="BodyText3"/>
    <w:basedOn w:val="1"/>
    <w:link w:val="65"/>
    <w:qFormat/>
    <w:uiPriority w:val="0"/>
    <w:pPr>
      <w:jc w:val="center"/>
    </w:pPr>
    <w:rPr>
      <w:rFonts w:ascii="Times New Roman"/>
      <w:b/>
      <w:spacing w:val="-20"/>
      <w:w w:val="110"/>
      <w:kern w:val="2"/>
      <w:sz w:val="52"/>
    </w:rPr>
  </w:style>
  <w:style w:type="character" w:customStyle="1" w:styleId="65">
    <w:name w:val="UserStyle_14"/>
    <w:link w:val="64"/>
    <w:qFormat/>
    <w:uiPriority w:val="0"/>
    <w:rPr>
      <w:b/>
      <w:spacing w:val="-20"/>
      <w:w w:val="110"/>
      <w:kern w:val="2"/>
      <w:sz w:val="52"/>
    </w:rPr>
  </w:style>
  <w:style w:type="paragraph" w:customStyle="1" w:styleId="66">
    <w:name w:val="BodyTextIndent"/>
    <w:basedOn w:val="1"/>
    <w:link w:val="67"/>
    <w:qFormat/>
    <w:uiPriority w:val="0"/>
    <w:pPr>
      <w:ind w:firstLine="652" w:firstLineChars="233"/>
    </w:pPr>
    <w:rPr>
      <w:rFonts w:ascii="Times New Roman"/>
      <w:sz w:val="28"/>
    </w:rPr>
  </w:style>
  <w:style w:type="character" w:customStyle="1" w:styleId="67">
    <w:name w:val="UserStyle_15"/>
    <w:link w:val="66"/>
    <w:qFormat/>
    <w:uiPriority w:val="0"/>
    <w:rPr>
      <w:sz w:val="28"/>
    </w:rPr>
  </w:style>
  <w:style w:type="paragraph" w:customStyle="1" w:styleId="68">
    <w:name w:val="BlockQuote"/>
    <w:basedOn w:val="1"/>
    <w:qFormat/>
    <w:uiPriority w:val="0"/>
    <w:pPr>
      <w:spacing w:after="120"/>
      <w:ind w:left="1440" w:leftChars="700" w:right="700" w:rightChars="700"/>
    </w:pPr>
    <w:rPr>
      <w:rFonts w:ascii="Times New Roman"/>
    </w:rPr>
  </w:style>
  <w:style w:type="paragraph" w:customStyle="1" w:styleId="69">
    <w:name w:val="HtmlAddress"/>
    <w:basedOn w:val="1"/>
    <w:qFormat/>
    <w:uiPriority w:val="0"/>
    <w:pPr>
      <w:jc w:val="left"/>
    </w:pPr>
    <w:rPr>
      <w:rFonts w:hAnsi="宋体"/>
      <w:i/>
      <w:iCs/>
      <w:szCs w:val="24"/>
    </w:rPr>
  </w:style>
  <w:style w:type="paragraph" w:customStyle="1" w:styleId="70">
    <w:name w:val="TOC5"/>
    <w:basedOn w:val="1"/>
    <w:next w:val="1"/>
    <w:qFormat/>
    <w:uiPriority w:val="0"/>
    <w:pPr>
      <w:ind w:left="1680" w:leftChars="800"/>
    </w:pPr>
  </w:style>
  <w:style w:type="paragraph" w:customStyle="1" w:styleId="71">
    <w:name w:val="TOC3"/>
    <w:basedOn w:val="1"/>
    <w:next w:val="1"/>
    <w:qFormat/>
    <w:uiPriority w:val="0"/>
    <w:pPr>
      <w:ind w:left="840" w:leftChars="400"/>
    </w:pPr>
  </w:style>
  <w:style w:type="paragraph" w:customStyle="1" w:styleId="72">
    <w:name w:val="PlainText"/>
    <w:basedOn w:val="1"/>
    <w:link w:val="73"/>
    <w:qFormat/>
    <w:uiPriority w:val="0"/>
    <w:rPr>
      <w:rFonts w:hAnsi="Courier New"/>
      <w:kern w:val="2"/>
      <w:sz w:val="21"/>
    </w:rPr>
  </w:style>
  <w:style w:type="character" w:customStyle="1" w:styleId="73">
    <w:name w:val="UserStyle_16"/>
    <w:link w:val="72"/>
    <w:qFormat/>
    <w:uiPriority w:val="0"/>
    <w:rPr>
      <w:rFonts w:ascii="宋体" w:hAnsi="Courier New" w:eastAsia="宋体"/>
      <w:kern w:val="2"/>
      <w:sz w:val="21"/>
      <w:lang w:val="en-US" w:eastAsia="zh-CN" w:bidi="ar-SA"/>
    </w:rPr>
  </w:style>
  <w:style w:type="paragraph" w:customStyle="1" w:styleId="74">
    <w:name w:val="TOC8"/>
    <w:basedOn w:val="1"/>
    <w:next w:val="1"/>
    <w:qFormat/>
    <w:uiPriority w:val="0"/>
    <w:pPr>
      <w:ind w:left="2940" w:leftChars="1400"/>
    </w:pPr>
  </w:style>
  <w:style w:type="character" w:customStyle="1" w:styleId="75">
    <w:name w:val="日期 Char"/>
    <w:link w:val="15"/>
    <w:qFormat/>
    <w:uiPriority w:val="0"/>
    <w:rPr>
      <w:kern w:val="2"/>
      <w:sz w:val="28"/>
    </w:rPr>
  </w:style>
  <w:style w:type="paragraph" w:customStyle="1" w:styleId="76">
    <w:name w:val="BodyTextIndent2"/>
    <w:basedOn w:val="1"/>
    <w:link w:val="77"/>
    <w:qFormat/>
    <w:uiPriority w:val="0"/>
    <w:pPr>
      <w:tabs>
        <w:tab w:val="left" w:pos="5625"/>
      </w:tabs>
      <w:ind w:left="1138" w:leftChars="542"/>
    </w:pPr>
    <w:rPr>
      <w:rFonts w:ascii="Times New Roman"/>
      <w:kern w:val="2"/>
    </w:rPr>
  </w:style>
  <w:style w:type="character" w:customStyle="1" w:styleId="77">
    <w:name w:val="UserStyle_18"/>
    <w:link w:val="76"/>
    <w:qFormat/>
    <w:uiPriority w:val="0"/>
    <w:rPr>
      <w:kern w:val="2"/>
      <w:sz w:val="24"/>
    </w:rPr>
  </w:style>
  <w:style w:type="paragraph" w:customStyle="1" w:styleId="78">
    <w:name w:val="Acetate"/>
    <w:basedOn w:val="1"/>
    <w:link w:val="79"/>
    <w:qFormat/>
    <w:uiPriority w:val="0"/>
    <w:rPr>
      <w:rFonts w:ascii="Times New Roman"/>
      <w:kern w:val="2"/>
      <w:sz w:val="18"/>
      <w:szCs w:val="18"/>
    </w:rPr>
  </w:style>
  <w:style w:type="character" w:customStyle="1" w:styleId="79">
    <w:name w:val="UserStyle_19"/>
    <w:link w:val="78"/>
    <w:qFormat/>
    <w:uiPriority w:val="0"/>
    <w:rPr>
      <w:kern w:val="2"/>
      <w:sz w:val="18"/>
      <w:szCs w:val="18"/>
    </w:rPr>
  </w:style>
  <w:style w:type="character" w:customStyle="1" w:styleId="80">
    <w:name w:val="页脚 Char"/>
    <w:link w:val="17"/>
    <w:qFormat/>
    <w:uiPriority w:val="0"/>
    <w:rPr>
      <w:rFonts w:eastAsia="宋体"/>
      <w:kern w:val="2"/>
      <w:sz w:val="18"/>
      <w:szCs w:val="18"/>
      <w:lang w:val="en-US" w:eastAsia="zh-CN" w:bidi="ar-SA"/>
    </w:rPr>
  </w:style>
  <w:style w:type="character" w:customStyle="1" w:styleId="81">
    <w:name w:val="页眉 Char"/>
    <w:link w:val="18"/>
    <w:qFormat/>
    <w:uiPriority w:val="0"/>
    <w:rPr>
      <w:rFonts w:eastAsia="宋体"/>
      <w:kern w:val="2"/>
      <w:sz w:val="18"/>
      <w:szCs w:val="18"/>
      <w:lang w:val="en-US" w:eastAsia="zh-CN" w:bidi="ar-SA"/>
    </w:rPr>
  </w:style>
  <w:style w:type="paragraph" w:customStyle="1" w:styleId="82">
    <w:name w:val="TOC1"/>
    <w:basedOn w:val="1"/>
    <w:next w:val="1"/>
    <w:qFormat/>
    <w:uiPriority w:val="0"/>
    <w:pPr>
      <w:tabs>
        <w:tab w:val="left" w:pos="1418"/>
        <w:tab w:val="right" w:leader="dot" w:pos="8302"/>
      </w:tabs>
      <w:spacing w:line="960" w:lineRule="auto"/>
    </w:pPr>
  </w:style>
  <w:style w:type="paragraph" w:customStyle="1" w:styleId="83">
    <w:name w:val="TOC4"/>
    <w:basedOn w:val="1"/>
    <w:next w:val="1"/>
    <w:qFormat/>
    <w:uiPriority w:val="0"/>
    <w:pPr>
      <w:ind w:left="1260" w:leftChars="600"/>
    </w:pPr>
  </w:style>
  <w:style w:type="character" w:customStyle="1" w:styleId="84">
    <w:name w:val="副标题 Char"/>
    <w:link w:val="20"/>
    <w:qFormat/>
    <w:uiPriority w:val="0"/>
    <w:rPr>
      <w:rFonts w:ascii="Cambria" w:hAnsi="Cambria" w:cs="Times New Roman"/>
      <w:b/>
      <w:bCs/>
      <w:kern w:val="28"/>
      <w:sz w:val="32"/>
      <w:szCs w:val="32"/>
    </w:rPr>
  </w:style>
  <w:style w:type="paragraph" w:customStyle="1" w:styleId="85">
    <w:name w:val="TOC6"/>
    <w:basedOn w:val="1"/>
    <w:next w:val="1"/>
    <w:qFormat/>
    <w:uiPriority w:val="0"/>
    <w:pPr>
      <w:ind w:left="2100" w:leftChars="1000"/>
    </w:pPr>
  </w:style>
  <w:style w:type="paragraph" w:customStyle="1" w:styleId="86">
    <w:name w:val="BodyTextIndent3"/>
    <w:basedOn w:val="1"/>
    <w:link w:val="87"/>
    <w:qFormat/>
    <w:uiPriority w:val="0"/>
    <w:pPr>
      <w:spacing w:line="410" w:lineRule="exact"/>
      <w:ind w:left="619" w:leftChars="295" w:firstLine="390" w:firstLineChars="179"/>
    </w:pPr>
    <w:rPr>
      <w:rFonts w:hAnsi="宋体"/>
      <w:spacing w:val="4"/>
      <w:kern w:val="2"/>
      <w:sz w:val="21"/>
    </w:rPr>
  </w:style>
  <w:style w:type="character" w:customStyle="1" w:styleId="87">
    <w:name w:val="UserStyle_23"/>
    <w:link w:val="86"/>
    <w:qFormat/>
    <w:uiPriority w:val="0"/>
    <w:rPr>
      <w:rFonts w:ascii="宋体" w:hAnsi="宋体"/>
      <w:spacing w:val="4"/>
      <w:kern w:val="2"/>
      <w:sz w:val="21"/>
    </w:rPr>
  </w:style>
  <w:style w:type="paragraph" w:customStyle="1" w:styleId="88">
    <w:name w:val="TOC2"/>
    <w:basedOn w:val="1"/>
    <w:next w:val="1"/>
    <w:qFormat/>
    <w:uiPriority w:val="0"/>
    <w:pPr>
      <w:tabs>
        <w:tab w:val="right" w:leader="dot" w:pos="8302"/>
      </w:tabs>
      <w:spacing w:line="960" w:lineRule="auto"/>
      <w:ind w:left="420" w:leftChars="200"/>
    </w:pPr>
  </w:style>
  <w:style w:type="paragraph" w:customStyle="1" w:styleId="89">
    <w:name w:val="TOC9"/>
    <w:basedOn w:val="1"/>
    <w:next w:val="1"/>
    <w:qFormat/>
    <w:uiPriority w:val="0"/>
    <w:pPr>
      <w:ind w:left="3360" w:leftChars="1600"/>
    </w:pPr>
  </w:style>
  <w:style w:type="paragraph" w:customStyle="1" w:styleId="90">
    <w:name w:val="BodyText2"/>
    <w:basedOn w:val="1"/>
    <w:link w:val="91"/>
    <w:qFormat/>
    <w:uiPriority w:val="0"/>
    <w:rPr>
      <w:rFonts w:ascii="楷体_GB2312" w:hAnsi="Copperplate Gothic Bold" w:eastAsia="楷体_GB2312"/>
      <w:kern w:val="2"/>
      <w:sz w:val="28"/>
    </w:rPr>
  </w:style>
  <w:style w:type="character" w:customStyle="1" w:styleId="91">
    <w:name w:val="UserStyle_24"/>
    <w:link w:val="90"/>
    <w:qFormat/>
    <w:uiPriority w:val="0"/>
    <w:rPr>
      <w:rFonts w:ascii="楷体_GB2312" w:hAnsi="Copperplate Gothic Bold" w:eastAsia="楷体_GB2312"/>
      <w:kern w:val="2"/>
      <w:sz w:val="28"/>
    </w:rPr>
  </w:style>
  <w:style w:type="paragraph" w:customStyle="1" w:styleId="92">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paragraph" w:customStyle="1" w:styleId="93">
    <w:name w:val="HtmlNormal"/>
    <w:basedOn w:val="1"/>
    <w:qFormat/>
    <w:uiPriority w:val="0"/>
    <w:pPr>
      <w:spacing w:before="100" w:beforeAutospacing="1" w:after="100" w:afterAutospacing="1"/>
      <w:jc w:val="left"/>
    </w:pPr>
    <w:rPr>
      <w:rFonts w:hAnsi="宋体"/>
      <w:szCs w:val="24"/>
    </w:rPr>
  </w:style>
  <w:style w:type="character" w:customStyle="1" w:styleId="94">
    <w:name w:val="标题 Char"/>
    <w:link w:val="23"/>
    <w:qFormat/>
    <w:uiPriority w:val="0"/>
    <w:rPr>
      <w:rFonts w:ascii="Cambria" w:hAnsi="Cambria" w:cs="Times New Roman"/>
      <w:b/>
      <w:bCs/>
      <w:kern w:val="2"/>
      <w:sz w:val="32"/>
      <w:szCs w:val="32"/>
    </w:rPr>
  </w:style>
  <w:style w:type="paragraph" w:customStyle="1" w:styleId="95">
    <w:name w:val="AnnotationSubject"/>
    <w:basedOn w:val="62"/>
    <w:next w:val="62"/>
    <w:link w:val="96"/>
    <w:qFormat/>
    <w:uiPriority w:val="0"/>
    <w:rPr>
      <w:rFonts w:cs="Times New Roman"/>
      <w:b/>
      <w:bCs/>
    </w:rPr>
  </w:style>
  <w:style w:type="character" w:customStyle="1" w:styleId="96">
    <w:name w:val="UserStyle_26"/>
    <w:link w:val="95"/>
    <w:qFormat/>
    <w:uiPriority w:val="0"/>
    <w:rPr>
      <w:rFonts w:eastAsia="宋体" w:cs="Times New Roman"/>
      <w:b/>
      <w:bCs/>
      <w:kern w:val="2"/>
      <w:sz w:val="21"/>
      <w:szCs w:val="24"/>
      <w:lang w:val="en-US" w:eastAsia="zh-CN" w:bidi="ar-SA"/>
    </w:rPr>
  </w:style>
  <w:style w:type="paragraph" w:customStyle="1" w:styleId="97">
    <w:name w:val="BodyText1I"/>
    <w:basedOn w:val="34"/>
    <w:qFormat/>
    <w:uiPriority w:val="0"/>
    <w:pPr>
      <w:ind w:firstLine="420" w:firstLineChars="100"/>
    </w:pPr>
    <w:rPr>
      <w:rFonts w:ascii="宋体"/>
    </w:rPr>
  </w:style>
  <w:style w:type="table" w:customStyle="1" w:styleId="98">
    <w:name w:val="TableGrid"/>
    <w:basedOn w:val="45"/>
    <w:qFormat/>
    <w:uiPriority w:val="0"/>
    <w:tblPr>
      <w:tblCellMar>
        <w:top w:w="0" w:type="dxa"/>
        <w:left w:w="0" w:type="dxa"/>
        <w:bottom w:w="0" w:type="dxa"/>
        <w:right w:w="0" w:type="dxa"/>
      </w:tblCellMar>
    </w:tblPr>
  </w:style>
  <w:style w:type="character" w:customStyle="1" w:styleId="99">
    <w:name w:val="PageNumber"/>
    <w:basedOn w:val="35"/>
    <w:qFormat/>
    <w:uiPriority w:val="0"/>
  </w:style>
  <w:style w:type="character" w:customStyle="1" w:styleId="100">
    <w:name w:val="HtmlDfn"/>
    <w:basedOn w:val="35"/>
    <w:qFormat/>
    <w:uiPriority w:val="0"/>
  </w:style>
  <w:style w:type="character" w:customStyle="1" w:styleId="101">
    <w:name w:val="HtmlTt"/>
    <w:qFormat/>
    <w:uiPriority w:val="0"/>
    <w:rPr>
      <w:rFonts w:ascii="黑体" w:hAnsi="Courier New" w:eastAsia="黑体"/>
      <w:sz w:val="20"/>
      <w:szCs w:val="20"/>
    </w:rPr>
  </w:style>
  <w:style w:type="character" w:customStyle="1" w:styleId="102">
    <w:name w:val="HtmlAcronym"/>
    <w:basedOn w:val="35"/>
    <w:qFormat/>
    <w:uiPriority w:val="0"/>
  </w:style>
  <w:style w:type="character" w:customStyle="1" w:styleId="103">
    <w:name w:val="HtmlVar"/>
    <w:basedOn w:val="35"/>
    <w:qFormat/>
    <w:uiPriority w:val="0"/>
  </w:style>
  <w:style w:type="character" w:customStyle="1" w:styleId="104">
    <w:name w:val="HtmlCode"/>
    <w:basedOn w:val="35"/>
    <w:qFormat/>
    <w:uiPriority w:val="0"/>
    <w:rPr>
      <w:rFonts w:ascii="Consolas" w:hAnsi="Consolas" w:eastAsia="Consolas"/>
      <w:color w:val="C7254E"/>
      <w:sz w:val="21"/>
      <w:szCs w:val="21"/>
      <w:shd w:val="clear" w:color="auto" w:fill="F9F2F4"/>
    </w:rPr>
  </w:style>
  <w:style w:type="character" w:customStyle="1" w:styleId="105">
    <w:name w:val="AnnotationReference"/>
    <w:qFormat/>
    <w:uiPriority w:val="0"/>
    <w:rPr>
      <w:sz w:val="21"/>
      <w:szCs w:val="21"/>
    </w:rPr>
  </w:style>
  <w:style w:type="character" w:customStyle="1" w:styleId="106">
    <w:name w:val="HtmlCite"/>
    <w:basedOn w:val="35"/>
    <w:qFormat/>
    <w:uiPriority w:val="0"/>
  </w:style>
  <w:style w:type="character" w:customStyle="1" w:styleId="107">
    <w:name w:val="HtmlKbd"/>
    <w:basedOn w:val="35"/>
    <w:qFormat/>
    <w:uiPriority w:val="0"/>
    <w:rPr>
      <w:rFonts w:ascii="Consolas" w:hAnsi="Consolas" w:eastAsia="Consolas"/>
      <w:color w:val="FFFFFF"/>
      <w:sz w:val="21"/>
      <w:szCs w:val="21"/>
      <w:shd w:val="clear" w:color="auto" w:fill="333333"/>
    </w:rPr>
  </w:style>
  <w:style w:type="character" w:customStyle="1" w:styleId="108">
    <w:name w:val="htmlSamp"/>
    <w:basedOn w:val="35"/>
    <w:qFormat/>
    <w:uiPriority w:val="0"/>
    <w:rPr>
      <w:rFonts w:ascii="Consolas" w:hAnsi="Consolas" w:eastAsia="Consolas"/>
      <w:sz w:val="21"/>
      <w:szCs w:val="21"/>
    </w:rPr>
  </w:style>
  <w:style w:type="paragraph" w:customStyle="1" w:styleId="109">
    <w:name w:val="UserStyle_27"/>
    <w:basedOn w:val="1"/>
    <w:qFormat/>
    <w:uiPriority w:val="0"/>
    <w:pPr>
      <w:ind w:firstLine="420" w:firstLineChars="200"/>
    </w:pPr>
  </w:style>
  <w:style w:type="character" w:customStyle="1" w:styleId="110">
    <w:name w:val="UserStyle_28"/>
    <w:basedOn w:val="35"/>
    <w:qFormat/>
    <w:uiPriority w:val="0"/>
    <w:rPr>
      <w:color w:val="FFA800"/>
    </w:rPr>
  </w:style>
  <w:style w:type="character" w:customStyle="1" w:styleId="111">
    <w:name w:val="UserStyle_29"/>
    <w:basedOn w:val="35"/>
    <w:qFormat/>
    <w:uiPriority w:val="0"/>
  </w:style>
  <w:style w:type="character" w:customStyle="1" w:styleId="112">
    <w:name w:val="UserStyle_30"/>
    <w:basedOn w:val="35"/>
    <w:qFormat/>
    <w:uiPriority w:val="0"/>
    <w:rPr>
      <w:color w:val="666666"/>
    </w:rPr>
  </w:style>
  <w:style w:type="character" w:customStyle="1" w:styleId="113">
    <w:name w:val="UserStyle_31"/>
    <w:basedOn w:val="35"/>
    <w:qFormat/>
    <w:uiPriority w:val="0"/>
    <w:rPr>
      <w:rFonts w:cs="Times New Roman"/>
      <w:b/>
      <w:bCs/>
      <w:color w:val="000000"/>
      <w:sz w:val="19"/>
      <w:szCs w:val="19"/>
    </w:rPr>
  </w:style>
  <w:style w:type="character" w:customStyle="1" w:styleId="114">
    <w:name w:val="UserStyle_32"/>
    <w:basedOn w:val="35"/>
    <w:qFormat/>
    <w:uiPriority w:val="0"/>
  </w:style>
  <w:style w:type="character" w:customStyle="1" w:styleId="115">
    <w:name w:val="UserStyle_33"/>
    <w:basedOn w:val="35"/>
    <w:qFormat/>
    <w:uiPriority w:val="0"/>
    <w:rPr>
      <w:color w:val="000000"/>
    </w:rPr>
  </w:style>
  <w:style w:type="character" w:customStyle="1" w:styleId="116">
    <w:name w:val="UserStyle_34"/>
    <w:basedOn w:val="35"/>
    <w:qFormat/>
    <w:uiPriority w:val="0"/>
    <w:rPr>
      <w:shd w:val="clear" w:color="auto" w:fill="EEEEEE"/>
    </w:rPr>
  </w:style>
  <w:style w:type="character" w:customStyle="1" w:styleId="117">
    <w:name w:val="UserStyle_35"/>
    <w:basedOn w:val="35"/>
    <w:qFormat/>
    <w:uiPriority w:val="0"/>
  </w:style>
  <w:style w:type="character" w:customStyle="1" w:styleId="118">
    <w:name w:val="UserStyle_36"/>
    <w:basedOn w:val="35"/>
    <w:qFormat/>
    <w:uiPriority w:val="0"/>
    <w:rPr>
      <w:color w:val="1632EF"/>
      <w:u w:val="single"/>
    </w:rPr>
  </w:style>
  <w:style w:type="character" w:customStyle="1" w:styleId="119">
    <w:name w:val="UserStyle_37"/>
    <w:basedOn w:val="35"/>
    <w:qFormat/>
    <w:uiPriority w:val="0"/>
    <w:rPr>
      <w:color w:val="3C88FF"/>
    </w:rPr>
  </w:style>
  <w:style w:type="character" w:customStyle="1" w:styleId="120">
    <w:name w:val="UserStyle_38"/>
    <w:basedOn w:val="35"/>
    <w:qFormat/>
    <w:uiPriority w:val="0"/>
  </w:style>
  <w:style w:type="character" w:customStyle="1" w:styleId="121">
    <w:name w:val="UserStyle_39"/>
    <w:basedOn w:val="35"/>
    <w:qFormat/>
    <w:uiPriority w:val="0"/>
  </w:style>
  <w:style w:type="character" w:customStyle="1" w:styleId="122">
    <w:name w:val="UserStyle_40"/>
    <w:basedOn w:val="35"/>
    <w:qFormat/>
    <w:uiPriority w:val="0"/>
  </w:style>
  <w:style w:type="character" w:customStyle="1" w:styleId="123">
    <w:name w:val="UserStyle_41"/>
    <w:basedOn w:val="35"/>
    <w:qFormat/>
    <w:uiPriority w:val="0"/>
  </w:style>
  <w:style w:type="character" w:customStyle="1" w:styleId="124">
    <w:name w:val="UserStyle_42"/>
    <w:semiHidden/>
    <w:qFormat/>
    <w:uiPriority w:val="0"/>
    <w:rPr>
      <w:kern w:val="2"/>
      <w:sz w:val="16"/>
      <w:szCs w:val="16"/>
    </w:rPr>
  </w:style>
  <w:style w:type="character" w:customStyle="1" w:styleId="125">
    <w:name w:val="UserStyle_43"/>
    <w:basedOn w:val="35"/>
    <w:qFormat/>
    <w:uiPriority w:val="0"/>
    <w:rPr>
      <w:color w:val="666666"/>
    </w:rPr>
  </w:style>
  <w:style w:type="character" w:customStyle="1" w:styleId="126">
    <w:name w:val="UserStyle_44"/>
    <w:basedOn w:val="35"/>
    <w:qFormat/>
    <w:uiPriority w:val="0"/>
  </w:style>
  <w:style w:type="character" w:customStyle="1" w:styleId="127">
    <w:name w:val="UserStyle_45"/>
    <w:basedOn w:val="35"/>
    <w:qFormat/>
    <w:uiPriority w:val="0"/>
  </w:style>
  <w:style w:type="character" w:customStyle="1" w:styleId="128">
    <w:name w:val="UserStyle_46"/>
    <w:basedOn w:val="35"/>
    <w:qFormat/>
    <w:uiPriority w:val="0"/>
    <w:rPr>
      <w:color w:val="FFFFFF"/>
    </w:rPr>
  </w:style>
  <w:style w:type="character" w:customStyle="1" w:styleId="129">
    <w:name w:val="UserStyle_47"/>
    <w:qFormat/>
    <w:uiPriority w:val="0"/>
    <w:rPr>
      <w:rFonts w:ascii="宋体"/>
      <w:sz w:val="24"/>
      <w:lang w:val="en-US" w:eastAsia="zh-CN" w:bidi="ar-SA"/>
    </w:rPr>
  </w:style>
  <w:style w:type="character" w:customStyle="1" w:styleId="130">
    <w:name w:val="UserStyle_48"/>
    <w:basedOn w:val="35"/>
    <w:qFormat/>
    <w:uiPriority w:val="0"/>
    <w:rPr>
      <w:u w:val="single"/>
    </w:rPr>
  </w:style>
  <w:style w:type="character" w:customStyle="1" w:styleId="131">
    <w:name w:val="UserStyle_49"/>
    <w:qFormat/>
    <w:uiPriority w:val="0"/>
    <w:rPr>
      <w:sz w:val="21"/>
      <w:szCs w:val="21"/>
    </w:rPr>
  </w:style>
  <w:style w:type="character" w:customStyle="1" w:styleId="132">
    <w:name w:val="UserStyle_50"/>
    <w:basedOn w:val="35"/>
    <w:qFormat/>
    <w:uiPriority w:val="0"/>
    <w:rPr>
      <w:u w:val="single"/>
    </w:rPr>
  </w:style>
  <w:style w:type="character" w:customStyle="1" w:styleId="133">
    <w:name w:val="UserStyle_51"/>
    <w:basedOn w:val="35"/>
    <w:qFormat/>
    <w:uiPriority w:val="0"/>
    <w:rPr>
      <w:color w:val="666666"/>
      <w:shd w:val="clear" w:color="auto" w:fill="111111"/>
    </w:rPr>
  </w:style>
  <w:style w:type="character" w:customStyle="1" w:styleId="134">
    <w:name w:val="UserStyle_52"/>
    <w:basedOn w:val="35"/>
    <w:qFormat/>
    <w:uiPriority w:val="0"/>
    <w:rPr>
      <w:u w:val="single"/>
    </w:rPr>
  </w:style>
  <w:style w:type="character" w:customStyle="1" w:styleId="135">
    <w:name w:val="UserStyle_53"/>
    <w:basedOn w:val="35"/>
    <w:qFormat/>
    <w:uiPriority w:val="0"/>
  </w:style>
  <w:style w:type="character" w:customStyle="1" w:styleId="136">
    <w:name w:val="UserStyle_54"/>
    <w:basedOn w:val="35"/>
    <w:qFormat/>
    <w:uiPriority w:val="0"/>
  </w:style>
  <w:style w:type="character" w:customStyle="1" w:styleId="137">
    <w:name w:val="UserStyle_55"/>
    <w:basedOn w:val="35"/>
    <w:qFormat/>
    <w:uiPriority w:val="0"/>
  </w:style>
  <w:style w:type="character" w:customStyle="1" w:styleId="138">
    <w:name w:val="UserStyle_56"/>
    <w:basedOn w:val="35"/>
    <w:qFormat/>
    <w:uiPriority w:val="0"/>
    <w:rPr>
      <w:shd w:val="clear" w:color="auto" w:fill="B00006"/>
    </w:rPr>
  </w:style>
  <w:style w:type="character" w:customStyle="1" w:styleId="139">
    <w:name w:val="UserStyle_57"/>
    <w:basedOn w:val="35"/>
    <w:qFormat/>
    <w:uiPriority w:val="0"/>
    <w:rPr>
      <w:color w:val="3C88FF"/>
    </w:rPr>
  </w:style>
  <w:style w:type="character" w:customStyle="1" w:styleId="140">
    <w:name w:val="UserStyle_58"/>
    <w:basedOn w:val="35"/>
    <w:qFormat/>
    <w:uiPriority w:val="0"/>
    <w:rPr>
      <w:shd w:val="clear" w:color="auto" w:fill="F6F6F6"/>
    </w:rPr>
  </w:style>
  <w:style w:type="character" w:customStyle="1" w:styleId="141">
    <w:name w:val="UserStyle_59"/>
    <w:basedOn w:val="35"/>
    <w:qFormat/>
    <w:uiPriority w:val="0"/>
    <w:rPr>
      <w:rFonts w:ascii="Arial" w:hAnsi="Arial"/>
      <w:sz w:val="15"/>
      <w:szCs w:val="15"/>
    </w:rPr>
  </w:style>
  <w:style w:type="character" w:customStyle="1" w:styleId="142">
    <w:name w:val="UserStyle_60"/>
    <w:link w:val="143"/>
    <w:qFormat/>
    <w:uiPriority w:val="0"/>
    <w:rPr>
      <w:rFonts w:ascii="宋体" w:hAnsi="宋体"/>
      <w:color w:val="000000"/>
      <w:sz w:val="24"/>
      <w:szCs w:val="28"/>
    </w:rPr>
  </w:style>
  <w:style w:type="paragraph" w:customStyle="1" w:styleId="143">
    <w:name w:val="UserStyle_61"/>
    <w:basedOn w:val="1"/>
    <w:link w:val="142"/>
    <w:qFormat/>
    <w:uiPriority w:val="0"/>
    <w:pPr>
      <w:snapToGrid w:val="0"/>
      <w:spacing w:line="560" w:lineRule="exact"/>
      <w:ind w:firstLine="560" w:firstLineChars="200"/>
      <w:jc w:val="left"/>
    </w:pPr>
    <w:rPr>
      <w:rFonts w:hAnsi="宋体"/>
      <w:color w:val="000000"/>
      <w:szCs w:val="28"/>
    </w:rPr>
  </w:style>
  <w:style w:type="character" w:customStyle="1" w:styleId="144">
    <w:name w:val="UserStyle_62"/>
    <w:basedOn w:val="35"/>
    <w:qFormat/>
    <w:uiPriority w:val="0"/>
    <w:rPr>
      <w:color w:val="FFFFFF"/>
    </w:rPr>
  </w:style>
  <w:style w:type="character" w:customStyle="1" w:styleId="145">
    <w:name w:val="UserStyle_63"/>
    <w:basedOn w:val="35"/>
    <w:qFormat/>
    <w:uiPriority w:val="0"/>
    <w:rPr>
      <w:color w:val="A1A1A1"/>
      <w:sz w:val="19"/>
      <w:szCs w:val="19"/>
    </w:rPr>
  </w:style>
  <w:style w:type="character" w:customStyle="1" w:styleId="146">
    <w:name w:val="UserStyle_64"/>
    <w:basedOn w:val="35"/>
    <w:qFormat/>
    <w:uiPriority w:val="0"/>
  </w:style>
  <w:style w:type="character" w:customStyle="1" w:styleId="147">
    <w:name w:val="UserStyle_65"/>
    <w:basedOn w:val="35"/>
    <w:qFormat/>
    <w:uiPriority w:val="0"/>
  </w:style>
  <w:style w:type="character" w:customStyle="1" w:styleId="148">
    <w:name w:val="UserStyle_66"/>
    <w:basedOn w:val="35"/>
    <w:qFormat/>
    <w:uiPriority w:val="0"/>
    <w:rPr>
      <w:color w:val="3C88FF"/>
    </w:rPr>
  </w:style>
  <w:style w:type="character" w:customStyle="1" w:styleId="149">
    <w:name w:val="UserStyle_67"/>
    <w:link w:val="150"/>
    <w:qFormat/>
    <w:uiPriority w:val="0"/>
    <w:rPr>
      <w:rFonts w:ascii="Calibri" w:hAnsi="Calibri"/>
      <w:kern w:val="2"/>
      <w:sz w:val="21"/>
      <w:szCs w:val="22"/>
    </w:rPr>
  </w:style>
  <w:style w:type="paragraph" w:customStyle="1" w:styleId="150">
    <w:name w:val="179"/>
    <w:basedOn w:val="1"/>
    <w:link w:val="149"/>
    <w:qFormat/>
    <w:uiPriority w:val="0"/>
    <w:pPr>
      <w:ind w:firstLine="420" w:firstLineChars="200"/>
    </w:pPr>
    <w:rPr>
      <w:rFonts w:ascii="Calibri" w:hAnsi="Calibri"/>
      <w:kern w:val="2"/>
      <w:sz w:val="21"/>
      <w:szCs w:val="22"/>
    </w:rPr>
  </w:style>
  <w:style w:type="character" w:customStyle="1" w:styleId="151">
    <w:name w:val="UserStyle_68"/>
    <w:basedOn w:val="35"/>
    <w:qFormat/>
    <w:uiPriority w:val="0"/>
    <w:rPr>
      <w:bdr w:val="single" w:color="000000" w:sz="68" w:space="0"/>
    </w:rPr>
  </w:style>
  <w:style w:type="character" w:customStyle="1" w:styleId="152">
    <w:name w:val="UserStyle_69"/>
    <w:basedOn w:val="35"/>
    <w:qFormat/>
    <w:uiPriority w:val="0"/>
    <w:rPr>
      <w:color w:val="EE5959"/>
    </w:rPr>
  </w:style>
  <w:style w:type="character" w:customStyle="1" w:styleId="153">
    <w:name w:val="UserStyle_70"/>
    <w:basedOn w:val="35"/>
    <w:qFormat/>
    <w:uiPriority w:val="0"/>
    <w:rPr>
      <w:shd w:val="clear" w:color="auto" w:fill="EEEEEE"/>
    </w:rPr>
  </w:style>
  <w:style w:type="character" w:customStyle="1" w:styleId="154">
    <w:name w:val="UserStyle_71"/>
    <w:basedOn w:val="35"/>
    <w:qFormat/>
    <w:uiPriority w:val="0"/>
  </w:style>
  <w:style w:type="character" w:customStyle="1" w:styleId="155">
    <w:name w:val="UserStyle_72"/>
    <w:basedOn w:val="35"/>
    <w:qFormat/>
    <w:uiPriority w:val="0"/>
    <w:rPr>
      <w:color w:val="3D91FF"/>
    </w:rPr>
  </w:style>
  <w:style w:type="character" w:customStyle="1" w:styleId="156">
    <w:name w:val="UserStyle_73"/>
    <w:basedOn w:val="35"/>
    <w:qFormat/>
    <w:uiPriority w:val="0"/>
  </w:style>
  <w:style w:type="character" w:customStyle="1" w:styleId="157">
    <w:name w:val="UserStyle_74"/>
    <w:basedOn w:val="35"/>
    <w:qFormat/>
    <w:uiPriority w:val="0"/>
  </w:style>
  <w:style w:type="character" w:customStyle="1" w:styleId="158">
    <w:name w:val="UserStyle_75"/>
    <w:basedOn w:val="35"/>
    <w:qFormat/>
    <w:uiPriority w:val="0"/>
  </w:style>
  <w:style w:type="character" w:customStyle="1" w:styleId="159">
    <w:name w:val="UserStyle_76"/>
    <w:qFormat/>
    <w:uiPriority w:val="0"/>
  </w:style>
  <w:style w:type="character" w:customStyle="1" w:styleId="160">
    <w:name w:val="UserStyle_77"/>
    <w:qFormat/>
    <w:uiPriority w:val="0"/>
    <w:rPr>
      <w:rFonts w:ascii="Arial" w:hAnsi="Arial"/>
      <w:sz w:val="18"/>
      <w:szCs w:val="18"/>
    </w:rPr>
  </w:style>
  <w:style w:type="character" w:customStyle="1" w:styleId="161">
    <w:name w:val="UserStyle_78"/>
    <w:basedOn w:val="35"/>
    <w:qFormat/>
    <w:uiPriority w:val="0"/>
    <w:rPr>
      <w:shd w:val="clear" w:color="auto" w:fill="555555"/>
    </w:rPr>
  </w:style>
  <w:style w:type="character" w:customStyle="1" w:styleId="162">
    <w:name w:val="UserStyle_79"/>
    <w:basedOn w:val="35"/>
    <w:qFormat/>
    <w:uiPriority w:val="0"/>
    <w:rPr>
      <w:color w:val="FFA800"/>
    </w:rPr>
  </w:style>
  <w:style w:type="character" w:customStyle="1" w:styleId="163">
    <w:name w:val="UserStyle_80"/>
    <w:basedOn w:val="35"/>
    <w:qFormat/>
    <w:uiPriority w:val="0"/>
    <w:rPr>
      <w:color w:val="3088FF"/>
    </w:rPr>
  </w:style>
  <w:style w:type="character" w:customStyle="1" w:styleId="164">
    <w:name w:val="UserStyle_81"/>
    <w:qFormat/>
    <w:uiPriority w:val="0"/>
    <w:rPr>
      <w:rFonts w:ascii="Cambria" w:hAnsi="Cambria" w:cs="Times New Roman"/>
      <w:b/>
      <w:bCs/>
      <w:kern w:val="28"/>
      <w:sz w:val="32"/>
      <w:szCs w:val="32"/>
    </w:rPr>
  </w:style>
  <w:style w:type="character" w:customStyle="1" w:styleId="165">
    <w:name w:val="UserStyle_82"/>
    <w:basedOn w:val="35"/>
    <w:qFormat/>
    <w:uiPriority w:val="0"/>
    <w:rPr>
      <w:shd w:val="clear" w:color="auto" w:fill="111111"/>
    </w:rPr>
  </w:style>
  <w:style w:type="character" w:customStyle="1" w:styleId="166">
    <w:name w:val="UserStyle_83"/>
    <w:qFormat/>
    <w:uiPriority w:val="0"/>
    <w:rPr>
      <w:color w:val="333333"/>
    </w:rPr>
  </w:style>
  <w:style w:type="character" w:customStyle="1" w:styleId="167">
    <w:name w:val="UserStyle_84"/>
    <w:basedOn w:val="35"/>
    <w:qFormat/>
    <w:uiPriority w:val="0"/>
    <w:rPr>
      <w:color w:val="3D91FF"/>
    </w:rPr>
  </w:style>
  <w:style w:type="character" w:customStyle="1" w:styleId="168">
    <w:name w:val="UserStyle_85"/>
    <w:basedOn w:val="35"/>
    <w:qFormat/>
    <w:uiPriority w:val="0"/>
    <w:rPr>
      <w:color w:val="FF8833"/>
      <w:sz w:val="18"/>
      <w:szCs w:val="18"/>
    </w:rPr>
  </w:style>
  <w:style w:type="character" w:customStyle="1" w:styleId="169">
    <w:name w:val="UserStyle_86"/>
    <w:basedOn w:val="35"/>
    <w:qFormat/>
    <w:uiPriority w:val="0"/>
    <w:rPr>
      <w:shd w:val="clear" w:color="auto" w:fill="F74A4E"/>
    </w:rPr>
  </w:style>
  <w:style w:type="character" w:customStyle="1" w:styleId="170">
    <w:name w:val="UserStyle_87"/>
    <w:basedOn w:val="35"/>
    <w:qFormat/>
    <w:uiPriority w:val="0"/>
  </w:style>
  <w:style w:type="character" w:customStyle="1" w:styleId="171">
    <w:name w:val="UserStyle_88"/>
    <w:basedOn w:val="35"/>
    <w:qFormat/>
    <w:uiPriority w:val="0"/>
    <w:rPr>
      <w:color w:val="FFFFFF"/>
      <w:shd w:val="clear" w:color="auto" w:fill="FF3F3F"/>
    </w:rPr>
  </w:style>
  <w:style w:type="character" w:customStyle="1" w:styleId="172">
    <w:name w:val="UserStyle_89"/>
    <w:qFormat/>
    <w:uiPriority w:val="0"/>
    <w:rPr>
      <w:rFonts w:ascii="宋体" w:hAnsi="Courier New" w:eastAsia="宋体"/>
      <w:kern w:val="2"/>
      <w:sz w:val="21"/>
      <w:lang w:val="en-US" w:eastAsia="zh-CN" w:bidi="ar-SA"/>
    </w:rPr>
  </w:style>
  <w:style w:type="character" w:customStyle="1" w:styleId="173">
    <w:name w:val="UserStyle_90"/>
    <w:basedOn w:val="35"/>
    <w:qFormat/>
    <w:uiPriority w:val="0"/>
  </w:style>
  <w:style w:type="character" w:customStyle="1" w:styleId="174">
    <w:name w:val="UserStyle_91"/>
    <w:basedOn w:val="35"/>
    <w:qFormat/>
    <w:uiPriority w:val="0"/>
  </w:style>
  <w:style w:type="character" w:customStyle="1" w:styleId="175">
    <w:name w:val="UserStyle_92"/>
    <w:basedOn w:val="35"/>
    <w:qFormat/>
    <w:uiPriority w:val="0"/>
    <w:rPr>
      <w:color w:val="1632EF"/>
      <w:u w:val="single"/>
    </w:rPr>
  </w:style>
  <w:style w:type="character" w:customStyle="1" w:styleId="176">
    <w:name w:val="UserStyle_93"/>
    <w:basedOn w:val="35"/>
    <w:qFormat/>
    <w:uiPriority w:val="0"/>
    <w:rPr>
      <w:color w:val="FFFFFF"/>
      <w:shd w:val="clear" w:color="auto" w:fill="3C88FF"/>
    </w:rPr>
  </w:style>
  <w:style w:type="character" w:customStyle="1" w:styleId="177">
    <w:name w:val="UserStyle_94"/>
    <w:basedOn w:val="35"/>
    <w:qFormat/>
    <w:uiPriority w:val="0"/>
  </w:style>
  <w:style w:type="character" w:customStyle="1" w:styleId="178">
    <w:name w:val="UserStyle_95"/>
    <w:basedOn w:val="35"/>
    <w:qFormat/>
    <w:uiPriority w:val="0"/>
  </w:style>
  <w:style w:type="character" w:customStyle="1" w:styleId="179">
    <w:name w:val="UserStyle_96"/>
    <w:basedOn w:val="35"/>
    <w:qFormat/>
    <w:uiPriority w:val="0"/>
    <w:rPr>
      <w:u w:val="single"/>
    </w:rPr>
  </w:style>
  <w:style w:type="character" w:customStyle="1" w:styleId="180">
    <w:name w:val="UserStyle_97"/>
    <w:basedOn w:val="35"/>
    <w:qFormat/>
    <w:uiPriority w:val="0"/>
  </w:style>
  <w:style w:type="character" w:customStyle="1" w:styleId="181">
    <w:name w:val="UserStyle_98"/>
    <w:basedOn w:val="35"/>
    <w:qFormat/>
    <w:uiPriority w:val="0"/>
    <w:rPr>
      <w:u w:val="single"/>
    </w:rPr>
  </w:style>
  <w:style w:type="character" w:customStyle="1" w:styleId="182">
    <w:name w:val="UserStyle_99"/>
    <w:basedOn w:val="35"/>
    <w:qFormat/>
    <w:uiPriority w:val="0"/>
  </w:style>
  <w:style w:type="character" w:customStyle="1" w:styleId="183">
    <w:name w:val="UserStyle_100"/>
    <w:basedOn w:val="35"/>
    <w:qFormat/>
    <w:uiPriority w:val="0"/>
    <w:rPr>
      <w:color w:val="0C0C0C"/>
      <w:sz w:val="21"/>
      <w:szCs w:val="21"/>
      <w:shd w:val="clear" w:color="auto" w:fill="D5D9EB"/>
    </w:rPr>
  </w:style>
  <w:style w:type="character" w:customStyle="1" w:styleId="184">
    <w:name w:val="UserStyle_101"/>
    <w:link w:val="185"/>
    <w:qFormat/>
    <w:uiPriority w:val="0"/>
    <w:rPr>
      <w:kern w:val="2"/>
      <w:sz w:val="24"/>
    </w:rPr>
  </w:style>
  <w:style w:type="paragraph" w:customStyle="1" w:styleId="185">
    <w:name w:val="UserStyle_102"/>
    <w:basedOn w:val="57"/>
    <w:link w:val="184"/>
    <w:qFormat/>
    <w:uiPriority w:val="0"/>
    <w:pPr>
      <w:spacing w:before="156" w:after="156" w:line="360" w:lineRule="auto"/>
      <w:ind w:firstLine="480"/>
    </w:pPr>
    <w:rPr>
      <w:sz w:val="24"/>
      <w:szCs w:val="20"/>
    </w:rPr>
  </w:style>
  <w:style w:type="character" w:customStyle="1" w:styleId="186">
    <w:name w:val="UserStyle_103"/>
    <w:basedOn w:val="35"/>
    <w:qFormat/>
    <w:uiPriority w:val="0"/>
    <w:rPr>
      <w:u w:val="single"/>
    </w:rPr>
  </w:style>
  <w:style w:type="character" w:customStyle="1" w:styleId="187">
    <w:name w:val="UserStyle_104"/>
    <w:qFormat/>
    <w:uiPriority w:val="0"/>
    <w:rPr>
      <w:rFonts w:ascii="宋体" w:hAnsi="宋体" w:eastAsia="宋体"/>
      <w:sz w:val="28"/>
      <w:szCs w:val="28"/>
    </w:rPr>
  </w:style>
  <w:style w:type="character" w:customStyle="1" w:styleId="188">
    <w:name w:val="UserStyle_105"/>
    <w:basedOn w:val="35"/>
    <w:qFormat/>
    <w:uiPriority w:val="0"/>
  </w:style>
  <w:style w:type="character" w:customStyle="1" w:styleId="189">
    <w:name w:val="UserStyle_106"/>
    <w:basedOn w:val="35"/>
    <w:qFormat/>
    <w:uiPriority w:val="0"/>
  </w:style>
  <w:style w:type="character" w:customStyle="1" w:styleId="190">
    <w:name w:val="UserStyle_107"/>
    <w:basedOn w:val="35"/>
    <w:qFormat/>
    <w:uiPriority w:val="0"/>
    <w:rPr>
      <w:color w:val="222222"/>
    </w:rPr>
  </w:style>
  <w:style w:type="character" w:customStyle="1" w:styleId="191">
    <w:name w:val="UserStyle_108"/>
    <w:basedOn w:val="35"/>
    <w:qFormat/>
    <w:uiPriority w:val="0"/>
  </w:style>
  <w:style w:type="character" w:customStyle="1" w:styleId="192">
    <w:name w:val="UserStyle_109"/>
    <w:basedOn w:val="35"/>
    <w:qFormat/>
    <w:uiPriority w:val="0"/>
  </w:style>
  <w:style w:type="character" w:customStyle="1" w:styleId="193">
    <w:name w:val="UserStyle_110"/>
    <w:basedOn w:val="35"/>
    <w:qFormat/>
    <w:uiPriority w:val="0"/>
  </w:style>
  <w:style w:type="character" w:customStyle="1" w:styleId="194">
    <w:name w:val="UserStyle_111"/>
    <w:basedOn w:val="35"/>
    <w:qFormat/>
    <w:uiPriority w:val="0"/>
    <w:rPr>
      <w:shd w:val="clear" w:color="auto" w:fill="EEEEEE"/>
    </w:rPr>
  </w:style>
  <w:style w:type="character" w:customStyle="1" w:styleId="195">
    <w:name w:val="UserStyle_112"/>
    <w:basedOn w:val="35"/>
    <w:qFormat/>
    <w:uiPriority w:val="0"/>
    <w:rPr>
      <w:u w:val="single"/>
    </w:rPr>
  </w:style>
  <w:style w:type="character" w:customStyle="1" w:styleId="196">
    <w:name w:val="UserStyle_113"/>
    <w:basedOn w:val="35"/>
    <w:qFormat/>
    <w:uiPriority w:val="0"/>
    <w:rPr>
      <w:color w:val="999999"/>
    </w:rPr>
  </w:style>
  <w:style w:type="character" w:customStyle="1" w:styleId="197">
    <w:name w:val="UserStyle_114"/>
    <w:basedOn w:val="35"/>
    <w:qFormat/>
    <w:uiPriority w:val="0"/>
  </w:style>
  <w:style w:type="character" w:customStyle="1" w:styleId="198">
    <w:name w:val="UserStyle_115"/>
    <w:basedOn w:val="35"/>
    <w:qFormat/>
    <w:uiPriority w:val="0"/>
    <w:rPr>
      <w:color w:val="999999"/>
    </w:rPr>
  </w:style>
  <w:style w:type="character" w:customStyle="1" w:styleId="199">
    <w:name w:val="UserStyle_116"/>
    <w:basedOn w:val="35"/>
    <w:qFormat/>
    <w:uiPriority w:val="0"/>
  </w:style>
  <w:style w:type="character" w:customStyle="1" w:styleId="200">
    <w:name w:val="UserStyle_117"/>
    <w:basedOn w:val="35"/>
    <w:qFormat/>
    <w:uiPriority w:val="0"/>
  </w:style>
  <w:style w:type="character" w:customStyle="1" w:styleId="201">
    <w:name w:val="UserStyle_118"/>
    <w:basedOn w:val="35"/>
    <w:qFormat/>
    <w:uiPriority w:val="0"/>
    <w:rPr>
      <w:color w:val="FFFFFF"/>
    </w:rPr>
  </w:style>
  <w:style w:type="character" w:customStyle="1" w:styleId="202">
    <w:name w:val="UserStyle_119"/>
    <w:basedOn w:val="35"/>
    <w:qFormat/>
    <w:uiPriority w:val="0"/>
    <w:rPr>
      <w:vanish/>
    </w:rPr>
  </w:style>
  <w:style w:type="character" w:customStyle="1" w:styleId="203">
    <w:name w:val="UserStyle_120"/>
    <w:basedOn w:val="35"/>
    <w:qFormat/>
    <w:uiPriority w:val="0"/>
    <w:rPr>
      <w:color w:val="222222"/>
    </w:rPr>
  </w:style>
  <w:style w:type="character" w:customStyle="1" w:styleId="204">
    <w:name w:val="UserStyle_121"/>
    <w:basedOn w:val="35"/>
    <w:qFormat/>
    <w:uiPriority w:val="0"/>
    <w:rPr>
      <w:u w:val="single"/>
    </w:rPr>
  </w:style>
  <w:style w:type="character" w:customStyle="1" w:styleId="205">
    <w:name w:val="UserStyle_122"/>
    <w:basedOn w:val="35"/>
    <w:qFormat/>
    <w:uiPriority w:val="0"/>
    <w:rPr>
      <w:color w:val="FFFFFF"/>
    </w:rPr>
  </w:style>
  <w:style w:type="character" w:customStyle="1" w:styleId="206">
    <w:name w:val="UserStyle_123"/>
    <w:basedOn w:val="35"/>
    <w:qFormat/>
    <w:uiPriority w:val="0"/>
  </w:style>
  <w:style w:type="character" w:customStyle="1" w:styleId="207">
    <w:name w:val="UserStyle_124"/>
    <w:basedOn w:val="35"/>
    <w:qFormat/>
    <w:uiPriority w:val="0"/>
  </w:style>
  <w:style w:type="character" w:customStyle="1" w:styleId="208">
    <w:name w:val="UserStyle_125"/>
    <w:basedOn w:val="35"/>
    <w:qFormat/>
    <w:uiPriority w:val="0"/>
    <w:rPr>
      <w:color w:val="FF8833"/>
      <w:sz w:val="18"/>
      <w:szCs w:val="18"/>
    </w:rPr>
  </w:style>
  <w:style w:type="character" w:customStyle="1" w:styleId="209">
    <w:name w:val="UserStyle_126"/>
    <w:basedOn w:val="35"/>
    <w:qFormat/>
    <w:uiPriority w:val="0"/>
  </w:style>
  <w:style w:type="character" w:customStyle="1" w:styleId="210">
    <w:name w:val="UserStyle_127"/>
    <w:basedOn w:val="35"/>
    <w:qFormat/>
    <w:uiPriority w:val="0"/>
    <w:rPr>
      <w:color w:val="222222"/>
    </w:rPr>
  </w:style>
  <w:style w:type="character" w:customStyle="1" w:styleId="211">
    <w:name w:val="UserStyle_128"/>
    <w:basedOn w:val="35"/>
    <w:qFormat/>
    <w:uiPriority w:val="0"/>
  </w:style>
  <w:style w:type="character" w:customStyle="1" w:styleId="212">
    <w:name w:val="UserStyle_129"/>
    <w:basedOn w:val="35"/>
    <w:qFormat/>
    <w:uiPriority w:val="0"/>
  </w:style>
  <w:style w:type="character" w:customStyle="1" w:styleId="213">
    <w:name w:val="UserStyle_130"/>
    <w:semiHidden/>
    <w:qFormat/>
    <w:uiPriority w:val="0"/>
    <w:rPr>
      <w:kern w:val="2"/>
      <w:sz w:val="21"/>
    </w:rPr>
  </w:style>
  <w:style w:type="character" w:customStyle="1" w:styleId="214">
    <w:name w:val="UserStyle_131"/>
    <w:basedOn w:val="35"/>
    <w:qFormat/>
    <w:uiPriority w:val="0"/>
  </w:style>
  <w:style w:type="character" w:customStyle="1" w:styleId="215">
    <w:name w:val="UserStyle_132"/>
    <w:qFormat/>
    <w:uiPriority w:val="0"/>
    <w:rPr>
      <w:sz w:val="28"/>
      <w:szCs w:val="28"/>
    </w:rPr>
  </w:style>
  <w:style w:type="character" w:customStyle="1" w:styleId="216">
    <w:name w:val="UserStyle_133"/>
    <w:basedOn w:val="35"/>
    <w:qFormat/>
    <w:uiPriority w:val="0"/>
    <w:rPr>
      <w:color w:val="999999"/>
    </w:rPr>
  </w:style>
  <w:style w:type="character" w:customStyle="1" w:styleId="217">
    <w:name w:val="UserStyle_134"/>
    <w:basedOn w:val="35"/>
    <w:qFormat/>
    <w:uiPriority w:val="0"/>
    <w:rPr>
      <w:color w:val="FFFFFF"/>
      <w:shd w:val="clear" w:color="auto" w:fill="A00000"/>
    </w:rPr>
  </w:style>
  <w:style w:type="character" w:customStyle="1" w:styleId="218">
    <w:name w:val="UserStyle_135"/>
    <w:basedOn w:val="35"/>
    <w:qFormat/>
    <w:uiPriority w:val="0"/>
    <w:rPr>
      <w:sz w:val="24"/>
      <w:szCs w:val="24"/>
    </w:rPr>
  </w:style>
  <w:style w:type="character" w:customStyle="1" w:styleId="219">
    <w:name w:val="UserStyle_136"/>
    <w:basedOn w:val="35"/>
    <w:qFormat/>
    <w:uiPriority w:val="0"/>
  </w:style>
  <w:style w:type="paragraph" w:customStyle="1" w:styleId="220">
    <w:name w:val="UserStyle_137"/>
    <w:basedOn w:val="1"/>
    <w:qFormat/>
    <w:uiPriority w:val="0"/>
    <w:pPr>
      <w:snapToGrid w:val="0"/>
      <w:spacing w:line="312" w:lineRule="atLeast"/>
    </w:pPr>
    <w:rPr>
      <w:szCs w:val="21"/>
    </w:rPr>
  </w:style>
  <w:style w:type="paragraph" w:customStyle="1" w:styleId="221">
    <w:name w:val="UserStyle_138"/>
    <w:basedOn w:val="1"/>
    <w:qFormat/>
    <w:uiPriority w:val="0"/>
    <w:pPr>
      <w:spacing w:after="160" w:line="240" w:lineRule="exact"/>
      <w:jc w:val="center"/>
    </w:pPr>
    <w:rPr>
      <w:rFonts w:hAnsi="宋体"/>
      <w:b/>
      <w:sz w:val="28"/>
      <w:szCs w:val="28"/>
      <w:lang w:eastAsia="en-US"/>
    </w:rPr>
  </w:style>
  <w:style w:type="paragraph" w:customStyle="1" w:styleId="222">
    <w:name w:val="UserStyle_139"/>
    <w:basedOn w:val="1"/>
    <w:qFormat/>
    <w:uiPriority w:val="0"/>
    <w:pPr>
      <w:spacing w:before="150"/>
      <w:jc w:val="left"/>
    </w:pPr>
    <w:rPr>
      <w:b/>
      <w:sz w:val="22"/>
      <w:szCs w:val="22"/>
    </w:rPr>
  </w:style>
  <w:style w:type="paragraph" w:customStyle="1" w:styleId="223">
    <w:name w:val="UserStyle_140"/>
    <w:basedOn w:val="1"/>
    <w:next w:val="1"/>
    <w:qFormat/>
    <w:uiPriority w:val="0"/>
    <w:rPr>
      <w:rFonts w:ascii="黑体" w:eastAsia="黑体"/>
      <w:sz w:val="28"/>
    </w:rPr>
  </w:style>
  <w:style w:type="paragraph" w:customStyle="1" w:styleId="224">
    <w:name w:val="UserStyle_141"/>
    <w:basedOn w:val="1"/>
    <w:qFormat/>
    <w:uiPriority w:val="0"/>
    <w:pPr>
      <w:snapToGrid w:val="0"/>
      <w:spacing w:line="300" w:lineRule="auto"/>
      <w:ind w:left="350" w:hanging="350" w:hangingChars="350"/>
    </w:pPr>
    <w:rPr>
      <w:rFonts w:eastAsia="仿宋_GB2312" w:cs="Times New Roman"/>
      <w:bCs/>
      <w:color w:val="000000"/>
      <w:szCs w:val="24"/>
    </w:rPr>
  </w:style>
  <w:style w:type="paragraph" w:customStyle="1" w:styleId="225">
    <w:name w:val="UserStyle_142"/>
    <w:basedOn w:val="1"/>
    <w:qFormat/>
    <w:uiPriority w:val="0"/>
    <w:pPr>
      <w:tabs>
        <w:tab w:val="left" w:pos="555"/>
      </w:tabs>
      <w:spacing w:line="360" w:lineRule="auto"/>
      <w:ind w:firstLine="420" w:firstLineChars="200"/>
    </w:pPr>
    <w:rPr>
      <w:rFonts w:hAnsi="宋体" w:cs="Times New Roman"/>
      <w:bCs/>
    </w:rPr>
  </w:style>
  <w:style w:type="paragraph" w:customStyle="1" w:styleId="226">
    <w:name w:val="UserStyle_143"/>
    <w:basedOn w:val="1"/>
    <w:qFormat/>
    <w:uiPriority w:val="0"/>
    <w:pPr>
      <w:snapToGrid w:val="0"/>
      <w:spacing w:before="50" w:after="50"/>
      <w:ind w:left="22" w:leftChars="8"/>
      <w:jc w:val="center"/>
    </w:pPr>
    <w:rPr>
      <w:rFonts w:cs="Times New Roman"/>
      <w:b/>
      <w:bCs/>
      <w:color w:val="000000"/>
      <w:sz w:val="32"/>
      <w:szCs w:val="32"/>
    </w:rPr>
  </w:style>
  <w:style w:type="paragraph" w:customStyle="1" w:styleId="227">
    <w:name w:val="UserStyle_144"/>
    <w:basedOn w:val="1"/>
    <w:qFormat/>
    <w:uiPriority w:val="0"/>
    <w:pPr>
      <w:ind w:firstLine="420" w:firstLineChars="200"/>
    </w:pPr>
  </w:style>
  <w:style w:type="paragraph" w:customStyle="1" w:styleId="228">
    <w:name w:val="UserStyle_145"/>
    <w:basedOn w:val="1"/>
    <w:qFormat/>
    <w:uiPriority w:val="0"/>
    <w:rPr>
      <w:rFonts w:hAnsi="宋体"/>
      <w:szCs w:val="24"/>
    </w:rPr>
  </w:style>
  <w:style w:type="paragraph" w:customStyle="1" w:styleId="229">
    <w:name w:val="UserStyle_146"/>
    <w:basedOn w:val="1"/>
    <w:qFormat/>
    <w:uiPriority w:val="0"/>
    <w:pPr>
      <w:spacing w:line="324" w:lineRule="auto"/>
    </w:pPr>
    <w:rPr>
      <w:rFonts w:hAnsi="Courier New"/>
      <w:szCs w:val="21"/>
    </w:rPr>
  </w:style>
  <w:style w:type="paragraph" w:customStyle="1" w:styleId="230">
    <w:name w:val="UserStyle_147"/>
    <w:basedOn w:val="1"/>
    <w:qFormat/>
    <w:uiPriority w:val="0"/>
  </w:style>
  <w:style w:type="paragraph" w:customStyle="1" w:styleId="231">
    <w:name w:val="UserStyle_148"/>
    <w:basedOn w:val="1"/>
    <w:qFormat/>
    <w:uiPriority w:val="0"/>
    <w:pPr>
      <w:spacing w:after="160" w:line="240" w:lineRule="exact"/>
      <w:jc w:val="left"/>
    </w:pPr>
    <w:rPr>
      <w:rFonts w:ascii="Verdana" w:hAnsi="Verdana" w:eastAsia="楷体_GB2312"/>
      <w:b/>
      <w:i/>
      <w:iCs/>
      <w:color w:val="000000"/>
      <w:sz w:val="20"/>
      <w:lang w:eastAsia="en-US"/>
    </w:rPr>
  </w:style>
  <w:style w:type="paragraph" w:customStyle="1" w:styleId="232">
    <w:name w:val="UserStyle_149"/>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233">
    <w:name w:val="UserStyle_150"/>
    <w:basedOn w:val="1"/>
    <w:qFormat/>
    <w:uiPriority w:val="0"/>
    <w:pPr>
      <w:ind w:firstLine="420" w:firstLineChars="200"/>
    </w:pPr>
  </w:style>
  <w:style w:type="paragraph" w:customStyle="1" w:styleId="234">
    <w:name w:val="UserStyle_151"/>
    <w:basedOn w:val="1"/>
    <w:qFormat/>
    <w:uiPriority w:val="0"/>
    <w:pPr>
      <w:tabs>
        <w:tab w:val="left" w:pos="360"/>
      </w:tabs>
    </w:pPr>
    <w:rPr>
      <w:szCs w:val="24"/>
    </w:rPr>
  </w:style>
  <w:style w:type="paragraph" w:customStyle="1" w:styleId="235">
    <w:name w:val="UserStyle_152"/>
    <w:basedOn w:val="1"/>
    <w:qFormat/>
    <w:uiPriority w:val="0"/>
    <w:pPr>
      <w:tabs>
        <w:tab w:val="left" w:pos="360"/>
      </w:tabs>
      <w:ind w:left="360" w:hanging="360" w:hangingChars="200"/>
    </w:pPr>
    <w:rPr>
      <w:szCs w:val="24"/>
    </w:rPr>
  </w:style>
  <w:style w:type="paragraph" w:customStyle="1" w:styleId="236">
    <w:name w:val="UserStyle_153"/>
    <w:basedOn w:val="38"/>
    <w:qFormat/>
    <w:uiPriority w:val="0"/>
    <w:pPr>
      <w:jc w:val="left"/>
    </w:pPr>
  </w:style>
  <w:style w:type="paragraph" w:customStyle="1" w:styleId="237">
    <w:name w:val="UserStyle_154"/>
    <w:basedOn w:val="1"/>
    <w:qFormat/>
    <w:uiPriority w:val="0"/>
    <w:pPr>
      <w:jc w:val="left"/>
    </w:pPr>
  </w:style>
  <w:style w:type="paragraph" w:customStyle="1" w:styleId="238">
    <w:name w:val="UserStyle_155"/>
    <w:basedOn w:val="1"/>
    <w:qFormat/>
    <w:uiPriority w:val="0"/>
    <w:pPr>
      <w:jc w:val="left"/>
    </w:pPr>
    <w:rPr>
      <w:szCs w:val="24"/>
    </w:rPr>
  </w:style>
  <w:style w:type="paragraph" w:customStyle="1" w:styleId="239">
    <w:name w:val="UserStyle_156"/>
    <w:basedOn w:val="1"/>
    <w:qFormat/>
    <w:uiPriority w:val="0"/>
    <w:pPr>
      <w:spacing w:line="360" w:lineRule="exact"/>
      <w:ind w:firstLine="200" w:firstLineChars="200"/>
    </w:pPr>
    <w:rPr>
      <w:rFonts w:cs="宋体"/>
      <w:b/>
      <w:bCs/>
      <w:color w:val="000000"/>
      <w:kern w:val="20"/>
    </w:rPr>
  </w:style>
  <w:style w:type="paragraph" w:customStyle="1" w:styleId="240">
    <w:name w:val="UserStyle_157"/>
    <w:basedOn w:val="1"/>
    <w:qFormat/>
    <w:uiPriority w:val="0"/>
    <w:pPr>
      <w:numPr>
        <w:ilvl w:val="1"/>
        <w:numId w:val="2"/>
      </w:numPr>
      <w:spacing w:before="60"/>
    </w:pPr>
    <w:rPr>
      <w:szCs w:val="24"/>
    </w:rPr>
  </w:style>
  <w:style w:type="paragraph" w:customStyle="1" w:styleId="241">
    <w:name w:val="UserStyle_158"/>
    <w:basedOn w:val="1"/>
    <w:qFormat/>
    <w:uiPriority w:val="0"/>
    <w:pPr>
      <w:spacing w:before="100" w:beforeAutospacing="1" w:after="100" w:afterAutospacing="1"/>
      <w:jc w:val="left"/>
    </w:pPr>
    <w:rPr>
      <w:rFonts w:hAnsi="宋体"/>
      <w:szCs w:val="24"/>
    </w:rPr>
  </w:style>
  <w:style w:type="paragraph" w:customStyle="1" w:styleId="242">
    <w:name w:val="UserStyle_159"/>
    <w:basedOn w:val="1"/>
    <w:qFormat/>
    <w:uiPriority w:val="0"/>
    <w:pPr>
      <w:jc w:val="left"/>
    </w:pPr>
  </w:style>
  <w:style w:type="paragraph" w:customStyle="1" w:styleId="243">
    <w:name w:val="UserStyle_160"/>
    <w:basedOn w:val="1"/>
    <w:qFormat/>
    <w:uiPriority w:val="0"/>
    <w:pPr>
      <w:numPr>
        <w:ilvl w:val="3"/>
        <w:numId w:val="2"/>
      </w:numPr>
      <w:spacing w:before="60"/>
    </w:pPr>
    <w:rPr>
      <w:szCs w:val="24"/>
    </w:rPr>
  </w:style>
  <w:style w:type="paragraph" w:customStyle="1" w:styleId="244">
    <w:name w:val="UserStyle_161"/>
    <w:basedOn w:val="1"/>
    <w:qFormat/>
    <w:uiPriority w:val="0"/>
    <w:pPr>
      <w:tabs>
        <w:tab w:val="left" w:pos="360"/>
      </w:tabs>
      <w:ind w:left="360" w:hanging="360" w:hangingChars="200"/>
    </w:pPr>
    <w:rPr>
      <w:szCs w:val="24"/>
    </w:rPr>
  </w:style>
  <w:style w:type="paragraph" w:customStyle="1" w:styleId="245">
    <w:name w:val="UserStyle_162"/>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246">
    <w:name w:val="266"/>
    <w:basedOn w:val="36"/>
    <w:next w:val="1"/>
    <w:qFormat/>
    <w:uiPriority w:val="0"/>
    <w:pPr>
      <w:keepLines/>
      <w:spacing w:before="480" w:line="276" w:lineRule="auto"/>
      <w:jc w:val="left"/>
    </w:pPr>
    <w:rPr>
      <w:rFonts w:ascii="Cambria" w:hAnsi="Cambria" w:eastAsia="宋体" w:cs="Times New Roman"/>
      <w:bCs/>
      <w:color w:val="365F91"/>
      <w:kern w:val="0"/>
      <w:sz w:val="28"/>
      <w:szCs w:val="28"/>
    </w:rPr>
  </w:style>
  <w:style w:type="paragraph" w:customStyle="1" w:styleId="247">
    <w:name w:val="UserStyle_163"/>
    <w:basedOn w:val="1"/>
    <w:qFormat/>
    <w:uiPriority w:val="0"/>
    <w:pPr>
      <w:ind w:firstLine="420" w:firstLineChars="200"/>
    </w:pPr>
    <w:rPr>
      <w:rFonts w:ascii="Calibri" w:hAnsi="Calibri"/>
      <w:szCs w:val="22"/>
    </w:rPr>
  </w:style>
  <w:style w:type="paragraph" w:customStyle="1" w:styleId="248">
    <w:name w:val="UserStyle_164"/>
    <w:basedOn w:val="36"/>
    <w:next w:val="1"/>
    <w:qFormat/>
    <w:uiPriority w:val="0"/>
    <w:pPr>
      <w:spacing w:before="480" w:line="276" w:lineRule="auto"/>
      <w:jc w:val="left"/>
    </w:pPr>
    <w:rPr>
      <w:rFonts w:ascii="Cambria" w:hAnsi="Cambria" w:eastAsia="宋体"/>
      <w:color w:val="365F91"/>
      <w:kern w:val="0"/>
      <w:sz w:val="28"/>
      <w:szCs w:val="28"/>
    </w:rPr>
  </w:style>
  <w:style w:type="paragraph" w:customStyle="1" w:styleId="249">
    <w:name w:val="UserStyle_165"/>
    <w:basedOn w:val="1"/>
    <w:qFormat/>
    <w:uiPriority w:val="0"/>
    <w:pPr>
      <w:snapToGrid w:val="0"/>
      <w:spacing w:line="360" w:lineRule="auto"/>
    </w:pPr>
    <w:rPr>
      <w:rFonts w:eastAsia="仿宋_GB2312"/>
      <w:spacing w:val="-8"/>
    </w:rPr>
  </w:style>
  <w:style w:type="paragraph" w:customStyle="1" w:styleId="250">
    <w:name w:val="UserStyle_166"/>
    <w:basedOn w:val="1"/>
    <w:qFormat/>
    <w:uiPriority w:val="0"/>
    <w:pPr>
      <w:tabs>
        <w:tab w:val="left" w:pos="420"/>
      </w:tabs>
      <w:spacing w:line="360" w:lineRule="auto"/>
      <w:ind w:left="358" w:leftChars="128" w:firstLine="2"/>
    </w:pPr>
    <w:rPr>
      <w:spacing w:val="20"/>
      <w:szCs w:val="24"/>
    </w:rPr>
  </w:style>
  <w:style w:type="paragraph" w:customStyle="1" w:styleId="251">
    <w:name w:val="UserStyle_167"/>
    <w:basedOn w:val="1"/>
    <w:next w:val="1"/>
    <w:qFormat/>
    <w:uiPriority w:val="0"/>
    <w:pPr>
      <w:spacing w:before="156" w:after="156" w:line="300" w:lineRule="auto"/>
      <w:jc w:val="center"/>
    </w:pPr>
    <w:rPr>
      <w:rFonts w:ascii="Arial" w:hAnsi="Arial" w:eastAsia="黑体" w:cs="Times New Roman"/>
      <w:bCs/>
      <w:sz w:val="32"/>
      <w:szCs w:val="24"/>
    </w:rPr>
  </w:style>
  <w:style w:type="paragraph" w:customStyle="1" w:styleId="252">
    <w:name w:val="UserStyle_168"/>
    <w:basedOn w:val="1"/>
    <w:qFormat/>
    <w:uiPriority w:val="0"/>
    <w:pPr>
      <w:numPr>
        <w:ilvl w:val="2"/>
        <w:numId w:val="2"/>
      </w:numPr>
      <w:spacing w:before="60"/>
    </w:pPr>
    <w:rPr>
      <w:szCs w:val="24"/>
    </w:rPr>
  </w:style>
  <w:style w:type="paragraph" w:customStyle="1" w:styleId="253">
    <w:name w:val="UserStyle_169"/>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254">
    <w:name w:val="UserStyle_170"/>
    <w:basedOn w:val="1"/>
    <w:qFormat/>
    <w:uiPriority w:val="0"/>
    <w:pPr>
      <w:numPr>
        <w:ilvl w:val="0"/>
        <w:numId w:val="3"/>
      </w:numPr>
      <w:tabs>
        <w:tab w:val="left" w:pos="1200"/>
      </w:tabs>
      <w:ind w:left="1200" w:hanging="360"/>
    </w:pPr>
    <w:rPr>
      <w:szCs w:val="24"/>
    </w:rPr>
  </w:style>
  <w:style w:type="paragraph" w:customStyle="1" w:styleId="255">
    <w:name w:val="UserStyle_171"/>
    <w:basedOn w:val="1"/>
    <w:next w:val="1"/>
    <w:qFormat/>
    <w:uiPriority w:val="0"/>
    <w:rPr>
      <w:rFonts w:ascii="黑体" w:eastAsia="黑体"/>
      <w:sz w:val="28"/>
    </w:rPr>
  </w:style>
  <w:style w:type="paragraph" w:customStyle="1" w:styleId="256">
    <w:name w:val="UserStyle_172"/>
    <w:basedOn w:val="1"/>
    <w:qFormat/>
    <w:uiPriority w:val="0"/>
    <w:rPr>
      <w:rFonts w:hAnsi="宋体"/>
      <w:szCs w:val="24"/>
    </w:rPr>
  </w:style>
  <w:style w:type="paragraph" w:customStyle="1" w:styleId="257">
    <w:name w:val="UserStyle_173"/>
    <w:basedOn w:val="37"/>
    <w:qFormat/>
    <w:uiPriority w:val="0"/>
    <w:pPr>
      <w:jc w:val="center"/>
    </w:pPr>
  </w:style>
  <w:style w:type="paragraph" w:customStyle="1" w:styleId="258">
    <w:name w:val="UserStyle_174"/>
    <w:basedOn w:val="1"/>
    <w:qFormat/>
    <w:uiPriority w:val="0"/>
    <w:pPr>
      <w:spacing w:before="120" w:after="120"/>
    </w:pPr>
    <w:rPr>
      <w:rFonts w:ascii="新宋体" w:hAnsi="宋体" w:eastAsia="新宋体" w:cs="Times New Roman"/>
      <w:bCs/>
      <w:color w:val="000000"/>
      <w:sz w:val="18"/>
      <w:szCs w:val="18"/>
    </w:rPr>
  </w:style>
  <w:style w:type="paragraph" w:customStyle="1" w:styleId="259">
    <w:name w:val="UserStyle_175"/>
    <w:basedOn w:val="1"/>
    <w:next w:val="1"/>
    <w:qFormat/>
    <w:uiPriority w:val="0"/>
    <w:pPr>
      <w:spacing w:before="80" w:after="80"/>
      <w:jc w:val="left"/>
    </w:pPr>
    <w:rPr>
      <w:rFonts w:ascii="Arial" w:hAnsi="Arial"/>
      <w:b/>
      <w:lang w:val="de-DE" w:eastAsia="en-US"/>
    </w:rPr>
  </w:style>
  <w:style w:type="paragraph" w:customStyle="1" w:styleId="260">
    <w:name w:val="UserStyle_176"/>
    <w:basedOn w:val="72"/>
    <w:qFormat/>
    <w:uiPriority w:val="0"/>
    <w:pPr>
      <w:spacing w:line="240" w:lineRule="atLeast"/>
    </w:pPr>
    <w:rPr>
      <w:sz w:val="28"/>
    </w:rPr>
  </w:style>
  <w:style w:type="paragraph" w:customStyle="1" w:styleId="261">
    <w:name w:val="UserStyle_177"/>
    <w:basedOn w:val="1"/>
    <w:qFormat/>
    <w:uiPriority w:val="0"/>
    <w:pPr>
      <w:spacing w:before="150"/>
      <w:jc w:val="left"/>
    </w:pPr>
    <w:rPr>
      <w:rFonts w:cs="Times New Roman"/>
      <w:b/>
      <w:bCs/>
      <w:sz w:val="22"/>
      <w:szCs w:val="22"/>
    </w:rPr>
  </w:style>
  <w:style w:type="paragraph" w:customStyle="1" w:styleId="262">
    <w:name w:val="UserStyle_178"/>
    <w:basedOn w:val="1"/>
    <w:next w:val="57"/>
    <w:qFormat/>
    <w:uiPriority w:val="0"/>
    <w:pPr>
      <w:tabs>
        <w:tab w:val="left" w:pos="1440"/>
      </w:tabs>
      <w:spacing w:line="360" w:lineRule="auto"/>
      <w:ind w:left="1021" w:hanging="1021"/>
    </w:pPr>
    <w:rPr>
      <w:spacing w:val="20"/>
      <w:szCs w:val="24"/>
    </w:rPr>
  </w:style>
  <w:style w:type="paragraph" w:customStyle="1" w:styleId="263">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64">
    <w:name w:val="UserStyle_179"/>
    <w:basedOn w:val="1"/>
    <w:qFormat/>
    <w:uiPriority w:val="0"/>
    <w:pPr>
      <w:numPr>
        <w:ilvl w:val="0"/>
        <w:numId w:val="2"/>
      </w:numPr>
      <w:spacing w:before="60"/>
    </w:pPr>
    <w:rPr>
      <w:szCs w:val="24"/>
    </w:rPr>
  </w:style>
  <w:style w:type="paragraph" w:customStyle="1" w:styleId="265">
    <w:name w:val="UserStyle_180"/>
    <w:basedOn w:val="1"/>
    <w:qFormat/>
    <w:uiPriority w:val="0"/>
    <w:pPr>
      <w:spacing w:before="100" w:beforeAutospacing="1" w:after="100" w:afterAutospacing="1"/>
      <w:jc w:val="left"/>
    </w:pPr>
    <w:rPr>
      <w:rFonts w:hAnsi="宋体"/>
      <w:szCs w:val="24"/>
    </w:rPr>
  </w:style>
  <w:style w:type="paragraph" w:customStyle="1" w:styleId="266">
    <w:name w:val="UserStyle_181"/>
    <w:basedOn w:val="1"/>
    <w:qFormat/>
    <w:uiPriority w:val="0"/>
    <w:pPr>
      <w:snapToGrid w:val="0"/>
      <w:ind w:left="22" w:leftChars="8"/>
      <w:jc w:val="center"/>
    </w:pPr>
    <w:rPr>
      <w:szCs w:val="24"/>
    </w:rPr>
  </w:style>
  <w:style w:type="paragraph" w:customStyle="1" w:styleId="267">
    <w:name w:val="UserStyle_182"/>
    <w:basedOn w:val="1"/>
    <w:qFormat/>
    <w:uiPriority w:val="0"/>
    <w:pPr>
      <w:spacing w:after="160" w:line="240" w:lineRule="exact"/>
      <w:jc w:val="center"/>
    </w:pPr>
    <w:rPr>
      <w:rFonts w:hAnsi="宋体"/>
      <w:b/>
      <w:sz w:val="28"/>
      <w:szCs w:val="28"/>
      <w:lang w:eastAsia="en-US"/>
    </w:rPr>
  </w:style>
  <w:style w:type="paragraph" w:customStyle="1" w:styleId="268">
    <w:name w:val="UserStyle_183"/>
    <w:basedOn w:val="1"/>
    <w:qFormat/>
    <w:uiPriority w:val="0"/>
    <w:rPr>
      <w:rFonts w:ascii="Tahoma" w:hAnsi="Tahoma"/>
    </w:rPr>
  </w:style>
  <w:style w:type="paragraph" w:customStyle="1" w:styleId="269">
    <w:name w:val="UserStyle_184"/>
    <w:basedOn w:val="1"/>
    <w:qFormat/>
    <w:uiPriority w:val="0"/>
    <w:pPr>
      <w:spacing w:line="360" w:lineRule="auto"/>
      <w:ind w:hanging="627"/>
      <w:jc w:val="left"/>
    </w:pPr>
    <w:rPr>
      <w:b/>
    </w:rPr>
  </w:style>
  <w:style w:type="paragraph" w:customStyle="1" w:styleId="270">
    <w:name w:val="UserStyle_185"/>
    <w:basedOn w:val="1"/>
    <w:qFormat/>
    <w:uiPriority w:val="0"/>
    <w:rPr>
      <w:rFonts w:ascii="黑体" w:eastAsia="黑体"/>
      <w:szCs w:val="24"/>
    </w:rPr>
  </w:style>
  <w:style w:type="paragraph" w:customStyle="1" w:styleId="271">
    <w:name w:val="UserStyle_186"/>
    <w:basedOn w:val="1"/>
    <w:qFormat/>
    <w:uiPriority w:val="0"/>
    <w:pPr>
      <w:spacing w:before="150"/>
      <w:jc w:val="left"/>
    </w:pPr>
    <w:rPr>
      <w:b/>
      <w:sz w:val="22"/>
      <w:szCs w:val="22"/>
    </w:rPr>
  </w:style>
  <w:style w:type="paragraph" w:customStyle="1" w:styleId="272">
    <w:name w:val="UserStyle_187"/>
    <w:basedOn w:val="1"/>
    <w:qFormat/>
    <w:uiPriority w:val="0"/>
    <w:pPr>
      <w:tabs>
        <w:tab w:val="left" w:pos="1871"/>
        <w:tab w:val="left" w:pos="2081"/>
      </w:tabs>
      <w:spacing w:line="360" w:lineRule="exact"/>
      <w:ind w:left="1871" w:hanging="510"/>
    </w:pPr>
  </w:style>
  <w:style w:type="paragraph" w:customStyle="1" w:styleId="273">
    <w:name w:val="UserStyle_188"/>
    <w:basedOn w:val="1"/>
    <w:qFormat/>
    <w:uiPriority w:val="0"/>
    <w:pPr>
      <w:ind w:firstLine="200" w:firstLineChars="200"/>
    </w:pPr>
  </w:style>
  <w:style w:type="paragraph" w:customStyle="1" w:styleId="274">
    <w:name w:val="UserStyle_189"/>
    <w:basedOn w:val="1"/>
    <w:qFormat/>
    <w:uiPriority w:val="0"/>
    <w:pPr>
      <w:jc w:val="left"/>
    </w:pPr>
  </w:style>
  <w:style w:type="paragraph" w:customStyle="1" w:styleId="275">
    <w:name w:val="UserStyle_190"/>
    <w:basedOn w:val="1"/>
    <w:next w:val="1"/>
    <w:qFormat/>
    <w:uiPriority w:val="0"/>
    <w:pPr>
      <w:spacing w:after="120"/>
    </w:pPr>
    <w:rPr>
      <w:rFonts w:ascii="Times New Roman"/>
      <w:kern w:val="2"/>
      <w:sz w:val="21"/>
    </w:rPr>
  </w:style>
  <w:style w:type="paragraph" w:customStyle="1" w:styleId="276">
    <w:name w:val="UserStyle_191"/>
    <w:basedOn w:val="1"/>
    <w:qFormat/>
    <w:uiPriority w:val="0"/>
    <w:rPr>
      <w:rFonts w:hAnsi="宋体"/>
      <w:lang w:val="zh-CN" w:bidi="zh-CN"/>
    </w:rPr>
  </w:style>
  <w:style w:type="paragraph" w:customStyle="1" w:styleId="277">
    <w:name w:val="UserStyle_192"/>
    <w:basedOn w:val="1"/>
    <w:qFormat/>
    <w:uiPriority w:val="0"/>
    <w:pPr>
      <w:spacing w:before="100" w:beforeAutospacing="1" w:after="100" w:afterAutospacing="1"/>
      <w:jc w:val="center"/>
    </w:pPr>
    <w:rPr>
      <w:rFonts w:ascii="Arial Unicode MS" w:hAnsi="Arial Unicode MS" w:eastAsia="Arial Unicode MS"/>
      <w:b/>
      <w:sz w:val="32"/>
    </w:rPr>
  </w:style>
  <w:style w:type="paragraph" w:customStyle="1" w:styleId="278">
    <w:name w:val="UserStyle_193"/>
    <w:basedOn w:val="1"/>
    <w:qFormat/>
    <w:uiPriority w:val="0"/>
    <w:pPr>
      <w:tabs>
        <w:tab w:val="left" w:pos="360"/>
      </w:tabs>
    </w:pPr>
    <w:rPr>
      <w:szCs w:val="24"/>
    </w:rPr>
  </w:style>
  <w:style w:type="paragraph" w:customStyle="1" w:styleId="279">
    <w:name w:val="UserStyle_194"/>
    <w:basedOn w:val="1"/>
    <w:qFormat/>
    <w:uiPriority w:val="0"/>
    <w:pPr>
      <w:spacing w:line="318" w:lineRule="atLeast"/>
    </w:pPr>
    <w:rPr>
      <w:rFonts w:ascii="楷体_GB2312" w:hAnsi="宋体" w:eastAsia="楷体_GB2312"/>
    </w:rPr>
  </w:style>
  <w:style w:type="paragraph" w:customStyle="1" w:styleId="280">
    <w:name w:val="UserStyle_195"/>
    <w:basedOn w:val="1"/>
    <w:qFormat/>
    <w:uiPriority w:val="0"/>
    <w:pPr>
      <w:spacing w:before="100" w:beforeAutospacing="1" w:after="100" w:afterAutospacing="1"/>
      <w:jc w:val="left"/>
    </w:pPr>
    <w:rPr>
      <w:rFonts w:hAnsi="宋体"/>
      <w:szCs w:val="24"/>
    </w:rPr>
  </w:style>
  <w:style w:type="paragraph" w:customStyle="1" w:styleId="281">
    <w:name w:val="UserStyle_196"/>
    <w:basedOn w:val="1"/>
    <w:qFormat/>
    <w:uiPriority w:val="0"/>
    <w:pPr>
      <w:spacing w:before="100" w:beforeAutospacing="1" w:after="100" w:afterAutospacing="1"/>
      <w:jc w:val="left"/>
    </w:pPr>
    <w:rPr>
      <w:rFonts w:hAnsi="宋体"/>
      <w:color w:val="000000"/>
      <w:szCs w:val="24"/>
    </w:rPr>
  </w:style>
  <w:style w:type="paragraph" w:customStyle="1" w:styleId="282">
    <w:name w:val="UserStyle_197"/>
    <w:basedOn w:val="1"/>
    <w:next w:val="1"/>
    <w:qFormat/>
    <w:uiPriority w:val="0"/>
    <w:pPr>
      <w:numPr>
        <w:ilvl w:val="3"/>
        <w:numId w:val="4"/>
      </w:numPr>
      <w:jc w:val="left"/>
    </w:pPr>
    <w:rPr>
      <w:rFonts w:eastAsia="黑体"/>
    </w:rPr>
  </w:style>
  <w:style w:type="paragraph" w:customStyle="1" w:styleId="283">
    <w:name w:val="UserStyle_198"/>
    <w:basedOn w:val="1"/>
    <w:qFormat/>
    <w:uiPriority w:val="0"/>
    <w:pPr>
      <w:ind w:firstLine="420" w:firstLineChars="200"/>
    </w:pPr>
  </w:style>
  <w:style w:type="paragraph" w:customStyle="1" w:styleId="284">
    <w:name w:val="UserStyle_199"/>
    <w:qFormat/>
    <w:uiPriority w:val="0"/>
    <w:pPr>
      <w:textAlignment w:val="baseline"/>
    </w:pPr>
    <w:rPr>
      <w:rFonts w:ascii="AGYXIQ+Frutiger-Cn" w:hAnsi="Times New Roman" w:eastAsia="AGYXIQ+Frutiger-Cn" w:cstheme="minorBidi"/>
      <w:color w:val="000000"/>
      <w:sz w:val="24"/>
      <w:szCs w:val="24"/>
      <w:lang w:val="en-US" w:eastAsia="zh-CN" w:bidi="ar-SA"/>
    </w:rPr>
  </w:style>
  <w:style w:type="paragraph" w:customStyle="1" w:styleId="285">
    <w:name w:val="UserStyle_200"/>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top"/>
    </w:pPr>
    <w:rPr>
      <w:rFonts w:hAnsi="宋体" w:cs="Times New Roman"/>
      <w:b/>
      <w:bCs/>
      <w:szCs w:val="24"/>
    </w:rPr>
  </w:style>
  <w:style w:type="paragraph" w:customStyle="1" w:styleId="286">
    <w:name w:val="Table Paragraph"/>
    <w:basedOn w:val="1"/>
    <w:qFormat/>
    <w:uiPriority w:val="1"/>
    <w:rPr>
      <w:rFonts w:hAnsi="宋体" w:cs="宋体"/>
      <w:lang w:val="zh-CN" w:bidi="zh-CN"/>
    </w:rPr>
  </w:style>
  <w:style w:type="paragraph" w:customStyle="1" w:styleId="287">
    <w:name w:val="列出段落1"/>
    <w:basedOn w:val="1"/>
    <w:qFormat/>
    <w:uiPriority w:val="34"/>
    <w:pPr>
      <w:ind w:firstLine="420" w:firstLineChars="200"/>
    </w:pPr>
  </w:style>
  <w:style w:type="paragraph" w:customStyle="1" w:styleId="288">
    <w:name w:val="列出段落11"/>
    <w:basedOn w:val="1"/>
    <w:qFormat/>
    <w:uiPriority w:val="0"/>
    <w:pPr>
      <w:ind w:firstLine="420" w:firstLineChars="200"/>
    </w:pPr>
    <w:rPr>
      <w:rFonts w:ascii="Times New Roman" w:cs="Times New Roman"/>
    </w:rPr>
  </w:style>
  <w:style w:type="character" w:customStyle="1" w:styleId="289">
    <w:name w:val="font11"/>
    <w:basedOn w:val="27"/>
    <w:qFormat/>
    <w:uiPriority w:val="0"/>
    <w:rPr>
      <w:rFonts w:hint="eastAsia" w:ascii="宋体" w:hAnsi="宋体" w:eastAsia="宋体" w:cs="宋体"/>
      <w:color w:val="000000"/>
      <w:sz w:val="22"/>
      <w:szCs w:val="22"/>
      <w:u w:val="none"/>
    </w:rPr>
  </w:style>
  <w:style w:type="character" w:customStyle="1" w:styleId="290">
    <w:name w:val="font51"/>
    <w:basedOn w:val="27"/>
    <w:qFormat/>
    <w:uiPriority w:val="0"/>
    <w:rPr>
      <w:rFonts w:ascii="Arial" w:hAnsi="Arial" w:cs="Arial"/>
      <w:color w:val="000000"/>
      <w:sz w:val="22"/>
      <w:szCs w:val="22"/>
      <w:u w:val="none"/>
    </w:rPr>
  </w:style>
  <w:style w:type="paragraph" w:customStyle="1" w:styleId="291">
    <w:name w:val="正文缩进1"/>
    <w:basedOn w:val="1"/>
    <w:qFormat/>
    <w:uiPriority w:val="0"/>
    <w:pPr>
      <w:ind w:firstLine="420" w:firstLineChars="200"/>
    </w:pPr>
  </w:style>
  <w:style w:type="paragraph" w:customStyle="1" w:styleId="292">
    <w:name w:val="标题 2（投标文件）"/>
    <w:basedOn w:val="4"/>
    <w:qFormat/>
    <w:uiPriority w:val="99"/>
    <w:pPr>
      <w:jc w:val="center"/>
    </w:pPr>
  </w:style>
  <w:style w:type="character" w:customStyle="1" w:styleId="293">
    <w:name w:val="font21"/>
    <w:basedOn w:val="27"/>
    <w:qFormat/>
    <w:uiPriority w:val="0"/>
    <w:rPr>
      <w:rFonts w:hint="eastAsia" w:ascii="宋体" w:hAnsi="宋体" w:eastAsia="宋体" w:cs="宋体"/>
      <w:color w:val="000000"/>
      <w:sz w:val="21"/>
      <w:szCs w:val="21"/>
      <w:u w:val="none"/>
    </w:rPr>
  </w:style>
  <w:style w:type="paragraph" w:customStyle="1" w:styleId="294">
    <w:name w:val="Char1"/>
    <w:basedOn w:val="1"/>
    <w:qFormat/>
    <w:uiPriority w:val="0"/>
    <w:pPr>
      <w:tabs>
        <w:tab w:val="left" w:pos="360"/>
      </w:tabs>
      <w:ind w:left="360" w:hanging="360" w:hangingChars="200"/>
    </w:pPr>
    <w:rPr>
      <w:szCs w:val="24"/>
    </w:rPr>
  </w:style>
  <w:style w:type="character" w:customStyle="1" w:styleId="295">
    <w:name w:val="font31"/>
    <w:basedOn w:val="27"/>
    <w:qFormat/>
    <w:uiPriority w:val="0"/>
    <w:rPr>
      <w:rFonts w:hint="eastAsia" w:ascii="宋体" w:hAnsi="宋体" w:eastAsia="宋体" w:cs="宋体"/>
      <w:color w:val="FF0000"/>
      <w:sz w:val="20"/>
      <w:szCs w:val="20"/>
      <w:u w:val="none"/>
    </w:rPr>
  </w:style>
  <w:style w:type="character" w:customStyle="1" w:styleId="296">
    <w:name w:val="font41"/>
    <w:basedOn w:val="27"/>
    <w:qFormat/>
    <w:uiPriority w:val="0"/>
    <w:rPr>
      <w:rFonts w:hint="eastAsia" w:ascii="宋体" w:hAnsi="宋体" w:eastAsia="宋体" w:cs="宋体"/>
      <w:color w:val="000000"/>
      <w:sz w:val="20"/>
      <w:szCs w:val="20"/>
      <w:u w:val="none"/>
    </w:rPr>
  </w:style>
  <w:style w:type="character" w:customStyle="1" w:styleId="297">
    <w:name w:val="font01"/>
    <w:basedOn w:val="27"/>
    <w:qFormat/>
    <w:uiPriority w:val="0"/>
    <w:rPr>
      <w:rFonts w:hint="eastAsia" w:ascii="宋体" w:hAnsi="宋体" w:eastAsia="宋体" w:cs="宋体"/>
      <w:color w:val="3366FF"/>
      <w:sz w:val="20"/>
      <w:szCs w:val="20"/>
      <w:u w:val="none"/>
    </w:rPr>
  </w:style>
  <w:style w:type="character" w:customStyle="1" w:styleId="298">
    <w:name w:val="font112"/>
    <w:basedOn w:val="27"/>
    <w:qFormat/>
    <w:uiPriority w:val="0"/>
    <w:rPr>
      <w:rFonts w:hint="eastAsia" w:ascii="宋体" w:hAnsi="宋体" w:eastAsia="宋体" w:cs="宋体"/>
      <w:color w:val="000000"/>
      <w:sz w:val="22"/>
      <w:szCs w:val="22"/>
      <w:u w:val="none"/>
    </w:rPr>
  </w:style>
  <w:style w:type="character" w:customStyle="1" w:styleId="299">
    <w:name w:val="font91"/>
    <w:basedOn w:val="2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7838</Words>
  <Characters>44681</Characters>
  <Lines>372</Lines>
  <Paragraphs>104</Paragraphs>
  <TotalTime>114</TotalTime>
  <ScaleCrop>false</ScaleCrop>
  <LinksUpToDate>false</LinksUpToDate>
  <CharactersWithSpaces>52415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2022-09-05T22:26:00Z</dcterms:created>
  <dc:creator>Administrator</dc:creator>
  <cp:lastModifiedBy>听过</cp:lastModifiedBy>
  <dcterms:modified xsi:type="dcterms:W3CDTF">2023-06-07T07:19:17Z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A6DA7EEC63B34337ABF031497B21C6F8_13</vt:lpwstr>
  </property>
</Properties>
</file>