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spacing w:afterAutospacing="0"/>
        <w:jc w:val="center"/>
        <w:textAlignment w:val="bottom"/>
        <w:outlineLvl w:val="9"/>
        <w:rPr>
          <w:rFonts w:hint="eastAsia" w:ascii="宋体" w:hAnsi="宋体" w:eastAsia="宋体" w:cs="宋体"/>
          <w:b/>
          <w:bCs/>
          <w:color w:val="auto"/>
          <w:spacing w:val="0"/>
          <w:kern w:val="0"/>
          <w:sz w:val="52"/>
          <w:szCs w:val="52"/>
          <w:u w:val="none"/>
        </w:rPr>
      </w:pPr>
      <w:bookmarkStart w:id="607" w:name="_GoBack"/>
      <w:bookmarkEnd w:id="607"/>
    </w:p>
    <w:p>
      <w:pPr>
        <w:widowControl/>
        <w:autoSpaceDE w:val="0"/>
        <w:autoSpaceDN w:val="0"/>
        <w:spacing w:before="215" w:beforeLines="68" w:beforeAutospacing="0"/>
        <w:jc w:val="center"/>
        <w:textAlignment w:val="bottom"/>
        <w:outlineLvl w:val="9"/>
        <w:rPr>
          <w:rFonts w:hint="eastAsia" w:ascii="宋体" w:hAnsi="宋体" w:eastAsia="宋体" w:cs="宋体"/>
          <w:b/>
          <w:bCs/>
          <w:color w:val="auto"/>
          <w:spacing w:val="0"/>
          <w:kern w:val="0"/>
          <w:sz w:val="52"/>
          <w:szCs w:val="52"/>
          <w:u w:val="none"/>
          <w:lang w:eastAsia="zh-CN"/>
        </w:rPr>
      </w:pPr>
      <w:r>
        <w:rPr>
          <w:rFonts w:hint="eastAsia" w:ascii="宋体" w:hAnsi="宋体" w:cs="宋体"/>
          <w:b/>
          <w:bCs/>
          <w:color w:val="auto"/>
          <w:spacing w:val="0"/>
          <w:kern w:val="0"/>
          <w:sz w:val="52"/>
          <w:szCs w:val="52"/>
          <w:u w:val="none"/>
          <w:lang w:eastAsia="zh-CN"/>
        </w:rPr>
        <w:t>高新消防大队绳索训练建设项目</w:t>
      </w:r>
    </w:p>
    <w:p>
      <w:pPr>
        <w:widowControl/>
        <w:autoSpaceDE w:val="0"/>
        <w:autoSpaceDN w:val="0"/>
        <w:jc w:val="center"/>
        <w:textAlignment w:val="bottom"/>
        <w:outlineLvl w:val="9"/>
        <w:rPr>
          <w:rFonts w:hint="eastAsia" w:ascii="宋体" w:hAnsi="宋体" w:eastAsia="宋体" w:cs="宋体"/>
          <w:b/>
          <w:bCs/>
          <w:color w:val="auto"/>
          <w:spacing w:val="0"/>
          <w:kern w:val="0"/>
          <w:sz w:val="72"/>
          <w:szCs w:val="72"/>
        </w:rPr>
      </w:pPr>
    </w:p>
    <w:p>
      <w:pPr>
        <w:widowControl/>
        <w:autoSpaceDE w:val="0"/>
        <w:autoSpaceDN w:val="0"/>
        <w:jc w:val="both"/>
        <w:textAlignment w:val="bottom"/>
        <w:outlineLvl w:val="9"/>
        <w:rPr>
          <w:rFonts w:hint="eastAsia" w:ascii="宋体" w:hAnsi="宋体" w:eastAsia="宋体" w:cs="宋体"/>
          <w:b/>
          <w:bCs/>
          <w:color w:val="auto"/>
          <w:spacing w:val="0"/>
          <w:kern w:val="0"/>
          <w:sz w:val="72"/>
          <w:szCs w:val="72"/>
        </w:rPr>
      </w:pPr>
    </w:p>
    <w:p>
      <w:pPr>
        <w:pStyle w:val="8"/>
        <w:outlineLvl w:val="9"/>
        <w:rPr>
          <w:rFonts w:hint="eastAsia" w:ascii="宋体" w:hAnsi="宋体" w:eastAsia="宋体" w:cs="宋体"/>
          <w:b/>
          <w:bCs/>
          <w:color w:val="auto"/>
          <w:spacing w:val="0"/>
          <w:kern w:val="0"/>
          <w:sz w:val="72"/>
          <w:szCs w:val="72"/>
        </w:rPr>
      </w:pPr>
    </w:p>
    <w:p>
      <w:pPr>
        <w:outlineLvl w:val="9"/>
        <w:rPr>
          <w:rFonts w:hint="eastAsia" w:ascii="宋体" w:hAnsi="宋体" w:eastAsia="宋体" w:cs="宋体"/>
          <w:color w:val="auto"/>
          <w:spacing w:val="0"/>
        </w:rPr>
      </w:pPr>
    </w:p>
    <w:p>
      <w:pPr>
        <w:widowControl/>
        <w:autoSpaceDE w:val="0"/>
        <w:autoSpaceDN w:val="0"/>
        <w:jc w:val="center"/>
        <w:textAlignment w:val="bottom"/>
        <w:outlineLvl w:val="9"/>
        <w:rPr>
          <w:rFonts w:hint="eastAsia" w:ascii="宋体" w:hAnsi="宋体" w:eastAsia="宋体" w:cs="宋体"/>
          <w:b/>
          <w:bCs/>
          <w:color w:val="auto"/>
          <w:spacing w:val="0"/>
          <w:kern w:val="0"/>
          <w:sz w:val="72"/>
          <w:szCs w:val="72"/>
        </w:rPr>
      </w:pPr>
      <w:r>
        <w:rPr>
          <w:rFonts w:hint="eastAsia" w:ascii="宋体" w:hAnsi="宋体" w:eastAsia="宋体" w:cs="宋体"/>
          <w:b/>
          <w:bCs/>
          <w:color w:val="auto"/>
          <w:spacing w:val="0"/>
          <w:kern w:val="0"/>
          <w:sz w:val="72"/>
          <w:szCs w:val="72"/>
        </w:rPr>
        <w:t>竞争</w:t>
      </w:r>
      <w:r>
        <w:rPr>
          <w:rFonts w:hint="eastAsia" w:ascii="宋体" w:hAnsi="宋体" w:eastAsia="宋体" w:cs="宋体"/>
          <w:b/>
          <w:bCs/>
          <w:color w:val="auto"/>
          <w:spacing w:val="0"/>
          <w:kern w:val="0"/>
          <w:sz w:val="72"/>
          <w:szCs w:val="72"/>
          <w:lang w:eastAsia="zh-CN"/>
        </w:rPr>
        <w:t>性磋商</w:t>
      </w:r>
      <w:r>
        <w:rPr>
          <w:rFonts w:hint="eastAsia" w:ascii="宋体" w:hAnsi="宋体" w:eastAsia="宋体" w:cs="宋体"/>
          <w:b/>
          <w:bCs/>
          <w:color w:val="auto"/>
          <w:spacing w:val="0"/>
          <w:kern w:val="0"/>
          <w:sz w:val="72"/>
          <w:szCs w:val="72"/>
        </w:rPr>
        <w:t>文件</w:t>
      </w:r>
    </w:p>
    <w:p>
      <w:pPr>
        <w:ind w:left="601" w:right="34" w:hanging="601"/>
        <w:jc w:val="center"/>
        <w:outlineLvl w:val="9"/>
        <w:rPr>
          <w:rFonts w:hint="eastAsia" w:ascii="宋体" w:hAnsi="宋体" w:eastAsia="宋体" w:cs="宋体"/>
          <w:color w:val="auto"/>
          <w:spacing w:val="0"/>
          <w:sz w:val="52"/>
          <w:szCs w:val="52"/>
        </w:rPr>
      </w:pPr>
      <w:r>
        <w:rPr>
          <w:rFonts w:hint="eastAsia" w:ascii="宋体" w:hAnsi="宋体" w:eastAsia="宋体" w:cs="宋体"/>
          <w:color w:val="auto"/>
          <w:spacing w:val="0"/>
          <w:sz w:val="52"/>
          <w:szCs w:val="52"/>
        </w:rPr>
        <w:t xml:space="preserve"> </w:t>
      </w:r>
    </w:p>
    <w:p>
      <w:pPr>
        <w:ind w:left="601" w:right="34" w:hanging="601"/>
        <w:jc w:val="center"/>
        <w:outlineLvl w:val="9"/>
        <w:rPr>
          <w:rFonts w:hint="eastAsia" w:ascii="宋体" w:hAnsi="宋体" w:eastAsia="宋体" w:cs="宋体"/>
          <w:color w:val="auto"/>
          <w:spacing w:val="0"/>
          <w:sz w:val="15"/>
          <w:szCs w:val="15"/>
        </w:rPr>
      </w:pPr>
    </w:p>
    <w:p>
      <w:pPr>
        <w:autoSpaceDE w:val="0"/>
        <w:autoSpaceDN w:val="0"/>
        <w:adjustRightInd w:val="0"/>
        <w:jc w:val="both"/>
        <w:outlineLvl w:val="9"/>
        <w:rPr>
          <w:rFonts w:hint="eastAsia" w:ascii="宋体" w:hAnsi="宋体" w:eastAsia="宋体" w:cs="宋体"/>
          <w:b/>
          <w:bCs/>
          <w:color w:val="auto"/>
          <w:spacing w:val="0"/>
          <w:sz w:val="36"/>
          <w:szCs w:val="36"/>
        </w:rPr>
      </w:pPr>
      <w:r>
        <w:rPr>
          <w:rFonts w:hint="eastAsia" w:ascii="宋体" w:hAnsi="宋体" w:eastAsia="宋体" w:cs="宋体"/>
          <w:color w:val="auto"/>
          <w:spacing w:val="0"/>
          <w:sz w:val="40"/>
          <w:szCs w:val="40"/>
        </w:rPr>
        <w:t xml:space="preserve"> </w:t>
      </w:r>
      <w:r>
        <w:rPr>
          <w:rFonts w:hint="eastAsia" w:ascii="宋体" w:hAnsi="宋体" w:eastAsia="宋体" w:cs="宋体"/>
          <w:b/>
          <w:bCs/>
          <w:color w:val="auto"/>
          <w:spacing w:val="0"/>
          <w:sz w:val="36"/>
          <w:szCs w:val="36"/>
        </w:rPr>
        <w:t xml:space="preserve"> </w:t>
      </w:r>
    </w:p>
    <w:p>
      <w:pPr>
        <w:pStyle w:val="8"/>
        <w:outlineLvl w:val="9"/>
        <w:rPr>
          <w:rFonts w:hint="eastAsia" w:ascii="宋体" w:hAnsi="宋体" w:eastAsia="宋体" w:cs="宋体"/>
          <w:color w:val="auto"/>
          <w:spacing w:val="0"/>
        </w:rPr>
      </w:pPr>
    </w:p>
    <w:p>
      <w:pPr>
        <w:outlineLvl w:val="9"/>
        <w:rPr>
          <w:rFonts w:hint="eastAsia" w:ascii="宋体" w:hAnsi="宋体" w:eastAsia="宋体" w:cs="宋体"/>
          <w:color w:val="auto"/>
          <w:spacing w:val="0"/>
        </w:rPr>
      </w:pPr>
    </w:p>
    <w:p>
      <w:pPr>
        <w:pStyle w:val="8"/>
        <w:outlineLvl w:val="9"/>
        <w:rPr>
          <w:rFonts w:hint="eastAsia" w:ascii="宋体" w:hAnsi="宋体" w:eastAsia="宋体" w:cs="宋体"/>
          <w:color w:val="auto"/>
          <w:spacing w:val="0"/>
        </w:rPr>
      </w:pPr>
    </w:p>
    <w:p>
      <w:pPr>
        <w:outlineLvl w:val="9"/>
        <w:rPr>
          <w:rFonts w:hint="eastAsia" w:ascii="宋体" w:hAnsi="宋体" w:eastAsia="宋体" w:cs="宋体"/>
          <w:color w:val="auto"/>
        </w:rPr>
      </w:pPr>
    </w:p>
    <w:p>
      <w:pPr>
        <w:outlineLvl w:val="9"/>
        <w:rPr>
          <w:rFonts w:hint="eastAsia" w:ascii="宋体" w:hAnsi="宋体" w:eastAsia="宋体" w:cs="宋体"/>
          <w:color w:val="auto"/>
          <w:spacing w:val="0"/>
        </w:rPr>
      </w:pPr>
    </w:p>
    <w:p>
      <w:pPr>
        <w:spacing w:line="600" w:lineRule="auto"/>
        <w:ind w:left="304" w:leftChars="145" w:firstLine="0" w:firstLineChars="0"/>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t>采购项目编号：</w:t>
      </w:r>
      <w:r>
        <w:rPr>
          <w:rFonts w:hint="eastAsia" w:ascii="宋体" w:hAnsi="宋体" w:cs="宋体"/>
          <w:b/>
          <w:bCs/>
          <w:color w:val="auto"/>
          <w:spacing w:val="0"/>
          <w:sz w:val="32"/>
          <w:szCs w:val="32"/>
          <w:lang w:eastAsia="zh-CN"/>
        </w:rPr>
        <w:t>ZJ2021-011</w:t>
      </w:r>
      <w:r>
        <w:rPr>
          <w:rFonts w:hint="eastAsia" w:ascii="宋体" w:hAnsi="宋体" w:eastAsia="宋体" w:cs="宋体"/>
          <w:b/>
          <w:bCs/>
          <w:color w:val="auto"/>
          <w:spacing w:val="0"/>
          <w:sz w:val="32"/>
          <w:szCs w:val="32"/>
        </w:rPr>
        <w:t xml:space="preserve"> </w:t>
      </w:r>
    </w:p>
    <w:p>
      <w:pPr>
        <w:spacing w:line="600" w:lineRule="auto"/>
        <w:ind w:left="304" w:leftChars="145" w:firstLine="0" w:firstLineChars="0"/>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t>采   购   人：</w:t>
      </w:r>
      <w:r>
        <w:rPr>
          <w:rFonts w:hint="eastAsia" w:ascii="宋体" w:hAnsi="宋体" w:cs="宋体"/>
          <w:b/>
          <w:bCs/>
          <w:color w:val="auto"/>
          <w:spacing w:val="0"/>
          <w:sz w:val="32"/>
          <w:szCs w:val="32"/>
          <w:lang w:eastAsia="zh-CN"/>
        </w:rPr>
        <w:t xml:space="preserve">咸阳高新技术产业开发区管理委员会 </w:t>
      </w:r>
      <w:r>
        <w:rPr>
          <w:rFonts w:hint="eastAsia" w:ascii="宋体" w:hAnsi="宋体" w:eastAsia="宋体" w:cs="宋体"/>
          <w:b/>
          <w:bCs/>
          <w:color w:val="auto"/>
          <w:spacing w:val="0"/>
          <w:sz w:val="32"/>
          <w:szCs w:val="32"/>
        </w:rPr>
        <w:t>（盖章）</w:t>
      </w:r>
    </w:p>
    <w:p>
      <w:pPr>
        <w:spacing w:afterAutospacing="0" w:line="600" w:lineRule="auto"/>
        <w:ind w:left="304" w:leftChars="145" w:firstLine="0" w:firstLineChars="0"/>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t>采购代理机构：</w:t>
      </w:r>
      <w:r>
        <w:rPr>
          <w:rFonts w:hint="eastAsia" w:ascii="宋体" w:hAnsi="宋体" w:cs="宋体"/>
          <w:b/>
          <w:bCs/>
          <w:color w:val="auto"/>
          <w:spacing w:val="0"/>
          <w:sz w:val="32"/>
          <w:szCs w:val="32"/>
          <w:lang w:eastAsia="zh-CN"/>
        </w:rPr>
        <w:t>致君项目管理有限公司</w:t>
      </w:r>
      <w:r>
        <w:rPr>
          <w:rFonts w:hint="eastAsia" w:ascii="宋体" w:hAnsi="宋体" w:eastAsia="宋体" w:cs="宋体"/>
          <w:b/>
          <w:bCs/>
          <w:color w:val="auto"/>
          <w:spacing w:val="0"/>
          <w:sz w:val="32"/>
          <w:szCs w:val="32"/>
        </w:rPr>
        <w:t xml:space="preserve"> （盖章） </w:t>
      </w:r>
    </w:p>
    <w:p>
      <w:pPr>
        <w:spacing w:before="209" w:beforeLines="67" w:beforeAutospacing="0" w:line="600" w:lineRule="auto"/>
        <w:ind w:left="0" w:leftChars="0" w:firstLine="0" w:firstLineChars="0"/>
        <w:jc w:val="center"/>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t>二</w:t>
      </w:r>
      <w:r>
        <w:rPr>
          <w:rFonts w:hint="eastAsia" w:ascii="宋体" w:hAnsi="宋体" w:cs="宋体"/>
          <w:b/>
          <w:bCs/>
          <w:color w:val="auto"/>
          <w:spacing w:val="0"/>
          <w:sz w:val="32"/>
          <w:szCs w:val="32"/>
          <w:lang w:eastAsia="zh-CN"/>
        </w:rPr>
        <w:t>〇二一</w:t>
      </w:r>
      <w:r>
        <w:rPr>
          <w:rFonts w:hint="eastAsia" w:ascii="宋体" w:hAnsi="宋体" w:eastAsia="宋体" w:cs="宋体"/>
          <w:b/>
          <w:bCs/>
          <w:color w:val="auto"/>
          <w:spacing w:val="0"/>
          <w:sz w:val="32"/>
          <w:szCs w:val="32"/>
        </w:rPr>
        <w:t>年</w:t>
      </w:r>
      <w:r>
        <w:rPr>
          <w:rFonts w:hint="eastAsia" w:ascii="宋体" w:hAnsi="宋体" w:cs="宋体"/>
          <w:b/>
          <w:bCs/>
          <w:color w:val="auto"/>
          <w:spacing w:val="0"/>
          <w:sz w:val="32"/>
          <w:szCs w:val="32"/>
          <w:lang w:eastAsia="zh-CN"/>
        </w:rPr>
        <w:t>三</w:t>
      </w:r>
      <w:r>
        <w:rPr>
          <w:rFonts w:hint="eastAsia" w:ascii="宋体" w:hAnsi="宋体" w:eastAsia="宋体" w:cs="宋体"/>
          <w:b/>
          <w:bCs/>
          <w:color w:val="auto"/>
          <w:spacing w:val="0"/>
          <w:sz w:val="32"/>
          <w:szCs w:val="32"/>
        </w:rPr>
        <w:t>月</w:t>
      </w:r>
    </w:p>
    <w:p>
      <w:pPr>
        <w:spacing w:before="209" w:beforeLines="67" w:beforeAutospacing="0" w:line="600" w:lineRule="auto"/>
        <w:ind w:left="0" w:leftChars="0" w:firstLine="0" w:firstLineChars="0"/>
        <w:jc w:val="center"/>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br w:type="page"/>
      </w:r>
    </w:p>
    <w:p>
      <w:pPr>
        <w:pStyle w:val="8"/>
        <w:spacing w:after="0" w:afterAutospacing="0"/>
        <w:jc w:val="center"/>
        <w:outlineLvl w:val="9"/>
        <w:rPr>
          <w:rFonts w:hint="eastAsia" w:ascii="宋体" w:hAnsi="宋体" w:eastAsia="宋体" w:cs="宋体"/>
          <w:color w:val="auto"/>
          <w:spacing w:val="0"/>
          <w:sz w:val="36"/>
          <w:szCs w:val="36"/>
          <w:u w:val="double"/>
          <w:lang w:eastAsia="zh-CN"/>
        </w:rPr>
      </w:pPr>
    </w:p>
    <w:p>
      <w:pPr>
        <w:pStyle w:val="8"/>
        <w:spacing w:beforeAutospacing="0" w:after="370" w:afterAutospacing="0"/>
        <w:jc w:val="center"/>
        <w:outlineLvl w:val="9"/>
        <w:rPr>
          <w:rFonts w:hint="eastAsia" w:ascii="宋体" w:hAnsi="宋体" w:eastAsia="宋体" w:cs="宋体"/>
          <w:color w:val="auto"/>
          <w:sz w:val="28"/>
          <w:szCs w:val="28"/>
        </w:rPr>
      </w:pPr>
      <w:r>
        <w:rPr>
          <w:rFonts w:hint="eastAsia" w:ascii="宋体" w:hAnsi="宋体" w:eastAsia="宋体" w:cs="宋体"/>
          <w:color w:val="auto"/>
          <w:spacing w:val="0"/>
          <w:sz w:val="36"/>
          <w:szCs w:val="36"/>
          <w:u w:val="double"/>
          <w:lang w:eastAsia="zh-CN"/>
        </w:rPr>
        <w:t>目</w:t>
      </w:r>
      <w:r>
        <w:rPr>
          <w:rFonts w:hint="eastAsia" w:ascii="宋体" w:hAnsi="宋体" w:eastAsia="宋体" w:cs="宋体"/>
          <w:color w:val="auto"/>
          <w:spacing w:val="0"/>
          <w:sz w:val="36"/>
          <w:szCs w:val="36"/>
          <w:u w:val="double"/>
          <w:lang w:val="en-US" w:eastAsia="zh-CN"/>
        </w:rPr>
        <w:t xml:space="preserve">  </w:t>
      </w:r>
      <w:r>
        <w:rPr>
          <w:rFonts w:hint="eastAsia" w:ascii="宋体" w:hAnsi="宋体" w:eastAsia="宋体" w:cs="宋体"/>
          <w:color w:val="auto"/>
          <w:spacing w:val="0"/>
          <w:sz w:val="36"/>
          <w:szCs w:val="36"/>
          <w:u w:val="double"/>
          <w:lang w:eastAsia="zh-CN"/>
        </w:rPr>
        <w:t>录</w:t>
      </w:r>
      <w:bookmarkStart w:id="0" w:name="_Toc4096"/>
    </w:p>
    <w:p>
      <w:pPr>
        <w:pStyle w:val="14"/>
        <w:tabs>
          <w:tab w:val="right" w:leader="dot" w:pos="8844"/>
        </w:tabs>
        <w:spacing w:beforeAutospacing="0"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TOC \o "1-1" \h \u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_Toc10434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pacing w:val="0"/>
          <w:sz w:val="28"/>
          <w:szCs w:val="28"/>
          <w:lang w:eastAsia="zh-CN"/>
        </w:rPr>
        <w:t>第一章</w:t>
      </w:r>
      <w:r>
        <w:rPr>
          <w:rFonts w:hint="eastAsia" w:ascii="宋体" w:hAnsi="宋体" w:eastAsia="宋体" w:cs="宋体"/>
          <w:bCs/>
          <w:color w:val="auto"/>
          <w:spacing w:val="0"/>
          <w:sz w:val="28"/>
          <w:szCs w:val="28"/>
          <w:lang w:val="en-US" w:eastAsia="zh-CN"/>
        </w:rPr>
        <w:t xml:space="preserve"> </w:t>
      </w:r>
      <w:r>
        <w:rPr>
          <w:rFonts w:hint="eastAsia" w:ascii="宋体" w:hAnsi="宋体" w:eastAsia="宋体" w:cs="宋体"/>
          <w:bCs/>
          <w:color w:val="auto"/>
          <w:spacing w:val="0"/>
          <w:sz w:val="28"/>
          <w:szCs w:val="28"/>
        </w:rPr>
        <w:t>竞争性磋商公告</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_Toc10434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_Toc18119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pacing w:val="0"/>
          <w:sz w:val="28"/>
          <w:szCs w:val="28"/>
          <w:lang w:eastAsia="zh-CN"/>
        </w:rPr>
        <w:t>第二章</w:t>
      </w:r>
      <w:r>
        <w:rPr>
          <w:rFonts w:hint="eastAsia" w:ascii="宋体" w:hAnsi="宋体" w:eastAsia="宋体" w:cs="宋体"/>
          <w:bCs/>
          <w:color w:val="auto"/>
          <w:spacing w:val="0"/>
          <w:sz w:val="28"/>
          <w:szCs w:val="28"/>
          <w:lang w:val="en-US" w:eastAsia="zh-CN"/>
        </w:rPr>
        <w:t xml:space="preserve"> </w:t>
      </w:r>
      <w:r>
        <w:rPr>
          <w:rFonts w:hint="eastAsia" w:ascii="宋体" w:hAnsi="宋体" w:eastAsia="宋体" w:cs="宋体"/>
          <w:bCs/>
          <w:color w:val="auto"/>
          <w:spacing w:val="0"/>
          <w:sz w:val="28"/>
          <w:szCs w:val="28"/>
          <w:lang w:eastAsia="zh-CN"/>
        </w:rPr>
        <w:t>供应商须知</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_Toc18119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_Toc10112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第三</w:t>
      </w:r>
      <w:r>
        <w:rPr>
          <w:rFonts w:hint="eastAsia" w:ascii="宋体" w:hAnsi="宋体" w:eastAsia="宋体" w:cs="宋体"/>
          <w:color w:val="auto"/>
          <w:sz w:val="28"/>
          <w:szCs w:val="28"/>
          <w:lang w:eastAsia="zh-CN"/>
        </w:rPr>
        <w:t>章</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eastAsia="zh-CN"/>
        </w:rPr>
        <w:t>评审办法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_Toc10112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22</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_Toc32621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z w:val="28"/>
          <w:szCs w:val="28"/>
          <w:highlight w:val="none"/>
        </w:rPr>
        <w:t>第</w:t>
      </w:r>
      <w:r>
        <w:rPr>
          <w:rFonts w:hint="eastAsia" w:ascii="宋体" w:hAnsi="宋体" w:eastAsia="宋体" w:cs="宋体"/>
          <w:bCs/>
          <w:color w:val="auto"/>
          <w:sz w:val="28"/>
          <w:szCs w:val="28"/>
          <w:highlight w:val="none"/>
          <w:lang w:eastAsia="zh-CN"/>
        </w:rPr>
        <w:t>四</w:t>
      </w:r>
      <w:r>
        <w:rPr>
          <w:rFonts w:hint="eastAsia" w:ascii="宋体" w:hAnsi="宋体" w:eastAsia="宋体" w:cs="宋体"/>
          <w:bCs/>
          <w:color w:val="auto"/>
          <w:sz w:val="28"/>
          <w:szCs w:val="28"/>
          <w:highlight w:val="none"/>
        </w:rPr>
        <w:t>章</w:t>
      </w:r>
      <w:r>
        <w:rPr>
          <w:rFonts w:hint="eastAsia" w:ascii="宋体" w:hAnsi="宋体" w:eastAsia="宋体" w:cs="宋体"/>
          <w:bCs/>
          <w:color w:val="auto"/>
          <w:sz w:val="28"/>
          <w:szCs w:val="28"/>
          <w:highlight w:val="none"/>
          <w:lang w:val="en-US" w:eastAsia="zh-CN"/>
        </w:rPr>
        <w:t xml:space="preserve"> </w:t>
      </w:r>
      <w:r>
        <w:rPr>
          <w:rFonts w:hint="eastAsia" w:ascii="宋体" w:hAnsi="宋体" w:eastAsia="宋体" w:cs="宋体"/>
          <w:bCs/>
          <w:color w:val="auto"/>
          <w:sz w:val="28"/>
          <w:szCs w:val="28"/>
          <w:highlight w:val="none"/>
        </w:rPr>
        <w:t>合同主要条款及格式</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_Toc32621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31</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_Toc18955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z w:val="28"/>
          <w:szCs w:val="28"/>
          <w:lang w:val="en-US" w:eastAsia="zh-CN"/>
        </w:rPr>
        <w:t>第五章 采购内容及技术要求</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_Toc18955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46</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_Toc28909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z w:val="28"/>
          <w:szCs w:val="28"/>
          <w:lang w:val="en-US" w:eastAsia="zh-CN"/>
        </w:rPr>
        <w:t xml:space="preserve">第六章 </w:t>
      </w:r>
      <w:r>
        <w:rPr>
          <w:rFonts w:hint="eastAsia" w:ascii="宋体" w:hAnsi="宋体" w:eastAsia="宋体" w:cs="宋体"/>
          <w:bCs/>
          <w:color w:val="auto"/>
          <w:sz w:val="28"/>
          <w:szCs w:val="28"/>
          <w:highlight w:val="none"/>
          <w:lang w:eastAsia="zh-CN"/>
        </w:rPr>
        <w:t>响应文件格式</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_Toc28909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48</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pStyle w:val="14"/>
        <w:tabs>
          <w:tab w:val="right" w:leader="dot" w:pos="8844"/>
        </w:tabs>
        <w:spacing w:line="72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_Toc28753 </w:instrText>
      </w:r>
      <w:r>
        <w:rPr>
          <w:rFonts w:hint="eastAsia" w:ascii="宋体" w:hAnsi="宋体" w:eastAsia="宋体" w:cs="宋体"/>
          <w:color w:val="auto"/>
          <w:sz w:val="28"/>
          <w:szCs w:val="28"/>
        </w:rPr>
        <w:fldChar w:fldCharType="separate"/>
      </w:r>
      <w:r>
        <w:rPr>
          <w:rFonts w:hint="eastAsia" w:ascii="宋体" w:hAnsi="宋体" w:eastAsia="宋体" w:cs="宋体"/>
          <w:bCs/>
          <w:color w:val="auto"/>
          <w:sz w:val="28"/>
          <w:szCs w:val="28"/>
          <w:highlight w:val="none"/>
        </w:rPr>
        <w:t>第</w:t>
      </w:r>
      <w:r>
        <w:rPr>
          <w:rFonts w:hint="eastAsia" w:ascii="宋体" w:hAnsi="宋体" w:eastAsia="宋体" w:cs="宋体"/>
          <w:bCs/>
          <w:color w:val="auto"/>
          <w:sz w:val="28"/>
          <w:szCs w:val="28"/>
          <w:highlight w:val="none"/>
          <w:lang w:eastAsia="zh-CN"/>
        </w:rPr>
        <w:t>七</w:t>
      </w:r>
      <w:r>
        <w:rPr>
          <w:rFonts w:hint="eastAsia" w:ascii="宋体" w:hAnsi="宋体" w:eastAsia="宋体" w:cs="宋体"/>
          <w:bCs/>
          <w:color w:val="auto"/>
          <w:sz w:val="28"/>
          <w:szCs w:val="28"/>
          <w:highlight w:val="none"/>
        </w:rPr>
        <w:t>章 工程量清单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_Toc28753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79</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fldChar w:fldCharType="end"/>
      </w:r>
    </w:p>
    <w:p>
      <w:pPr>
        <w:spacing w:line="720" w:lineRule="auto"/>
        <w:rPr>
          <w:color w:val="auto"/>
        </w:rPr>
      </w:pPr>
      <w:r>
        <w:rPr>
          <w:rFonts w:hint="eastAsia" w:ascii="宋体" w:hAnsi="宋体" w:eastAsia="宋体" w:cs="宋体"/>
          <w:color w:val="auto"/>
          <w:sz w:val="28"/>
          <w:szCs w:val="28"/>
        </w:rPr>
        <w:fldChar w:fldCharType="end"/>
      </w:r>
    </w:p>
    <w:p>
      <w:pPr>
        <w:numPr>
          <w:ilvl w:val="0"/>
          <w:numId w:val="3"/>
        </w:numPr>
        <w:spacing w:line="360" w:lineRule="auto"/>
        <w:ind w:left="1"/>
        <w:jc w:val="center"/>
        <w:outlineLvl w:val="9"/>
        <w:rPr>
          <w:rFonts w:hint="eastAsia" w:ascii="宋体" w:hAnsi="宋体" w:eastAsia="宋体" w:cs="宋体"/>
          <w:b/>
          <w:bCs/>
          <w:color w:val="auto"/>
          <w:spacing w:val="0"/>
          <w:sz w:val="32"/>
          <w:szCs w:val="32"/>
        </w:rPr>
      </w:pPr>
      <w:r>
        <w:rPr>
          <w:rFonts w:hint="eastAsia" w:ascii="宋体" w:hAnsi="宋体" w:eastAsia="宋体" w:cs="宋体"/>
          <w:b/>
          <w:bCs/>
          <w:color w:val="auto"/>
          <w:spacing w:val="0"/>
          <w:sz w:val="32"/>
          <w:szCs w:val="32"/>
        </w:rPr>
        <w:br w:type="page"/>
      </w:r>
    </w:p>
    <w:p>
      <w:pPr>
        <w:numPr>
          <w:ilvl w:val="0"/>
          <w:numId w:val="0"/>
        </w:numPr>
        <w:spacing w:afterAutospacing="0" w:line="360" w:lineRule="auto"/>
        <w:jc w:val="center"/>
        <w:outlineLvl w:val="0"/>
        <w:rPr>
          <w:rFonts w:hint="eastAsia" w:ascii="宋体" w:hAnsi="宋体" w:eastAsia="宋体" w:cs="宋体"/>
          <w:b/>
          <w:bCs/>
          <w:color w:val="auto"/>
          <w:spacing w:val="0"/>
          <w:sz w:val="32"/>
          <w:szCs w:val="32"/>
        </w:rPr>
      </w:pPr>
      <w:bookmarkStart w:id="1" w:name="_Toc10434"/>
      <w:r>
        <w:rPr>
          <w:rFonts w:hint="eastAsia" w:ascii="宋体" w:hAnsi="宋体" w:eastAsia="宋体" w:cs="宋体"/>
          <w:b/>
          <w:bCs/>
          <w:color w:val="auto"/>
          <w:spacing w:val="0"/>
          <w:sz w:val="32"/>
          <w:szCs w:val="32"/>
          <w:lang w:eastAsia="zh-CN"/>
        </w:rPr>
        <w:t>第一章</w:t>
      </w:r>
      <w:r>
        <w:rPr>
          <w:rFonts w:hint="eastAsia" w:ascii="宋体" w:hAnsi="宋体" w:eastAsia="宋体" w:cs="宋体"/>
          <w:b/>
          <w:bCs/>
          <w:color w:val="auto"/>
          <w:spacing w:val="0"/>
          <w:sz w:val="32"/>
          <w:szCs w:val="32"/>
          <w:lang w:val="en-US" w:eastAsia="zh-CN"/>
        </w:rPr>
        <w:t xml:space="preserve"> </w:t>
      </w:r>
      <w:r>
        <w:rPr>
          <w:rFonts w:hint="eastAsia" w:ascii="宋体" w:hAnsi="宋体" w:eastAsia="宋体" w:cs="宋体"/>
          <w:b/>
          <w:bCs/>
          <w:color w:val="auto"/>
          <w:spacing w:val="0"/>
          <w:sz w:val="32"/>
          <w:szCs w:val="32"/>
        </w:rPr>
        <w:t>竞争性磋商公告</w:t>
      </w:r>
      <w:bookmarkEnd w:id="0"/>
      <w:bookmarkEnd w:id="1"/>
    </w:p>
    <w:p>
      <w:pPr>
        <w:pStyle w:val="3"/>
        <w:keepNext w:val="0"/>
        <w:keepLines w:val="0"/>
        <w:pageBreakBefore w:val="0"/>
        <w:widowControl/>
        <w:suppressLineNumbers w:val="0"/>
        <w:kinsoku/>
        <w:wordWrap/>
        <w:overflowPunct/>
        <w:topLinePunct w:val="0"/>
        <w:autoSpaceDE/>
        <w:autoSpaceDN/>
        <w:bidi w:val="0"/>
        <w:adjustRightInd/>
        <w:snapToGrid/>
        <w:spacing w:before="300" w:beforeAutospacing="0" w:after="300" w:afterAutospacing="0" w:line="500" w:lineRule="exact"/>
        <w:ind w:left="0" w:right="0"/>
        <w:jc w:val="center"/>
        <w:textAlignment w:val="auto"/>
        <w:rPr>
          <w:b/>
          <w:bCs/>
          <w:color w:val="333333"/>
          <w:sz w:val="30"/>
          <w:szCs w:val="30"/>
        </w:rPr>
      </w:pPr>
      <w:r>
        <w:rPr>
          <w:b/>
          <w:bCs/>
          <w:color w:val="333333"/>
          <w:sz w:val="30"/>
          <w:szCs w:val="30"/>
        </w:rPr>
        <w:t>高新消防大队绳索训练建设项目竞争性磋商公告</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 xml:space="preserve">   高新消防大队绳索训练建设项目采购项目潜在的供应商可在咸阳市秦都区宝泉路3号丽彩天禧大厦A座14-C获取采购文件，并于2021-03-26 09:30:00前递交响应文件。 </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一、项目基本情况：</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1、项目编号：ZJ2021-011</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2、项目名称：高新消防大队绳索训练建设项目</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3、预算金额：780,000.00元</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4、最高限价：</w:t>
      </w:r>
      <w:r>
        <w:rPr>
          <w:rFonts w:hint="eastAsia"/>
          <w:lang w:val="en-US" w:eastAsia="zh-CN"/>
        </w:rPr>
        <w:t>779678.61元</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 xml:space="preserve">5、采购需求： 高新消防大队绳索训练建设项目，1项， 采购预算： 780,000.00元， 项目概况： </w:t>
      </w:r>
      <w:r>
        <w:rPr>
          <w:rFonts w:hint="eastAsia"/>
        </w:rPr>
        <w:t>本工程主体为3层钢结构，基础为独立基础，屋面为彩钢夹芯板，建筑高度为12.8米，建筑面积约336平方米。</w:t>
      </w:r>
      <w:r>
        <w:t xml:space="preserve"> 简要技术要求、用途： 公用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6、合同履行期限：2021-03-03 00:00:00 至 2021-04-09 00:00:00（具体服务起止日期可随合同签订时间相应顺延）</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7、本项目是否接受联合体投标：否</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 xml:space="preserve">二、 响应供应商的资格要求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1、满足《中华人民共和国政府采购法》第二十二条规定</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2、落实政府采购政策需满足的资格要求：1、财政部、国家发展和改革委员会关于印发《节能产品政府采购实施意见》的通知（财库[2004]185号）； 2、财政部、国家环保总局联合印发《关于环境标志产品政府采购实施的意见》(财库[2006]90号)； 3、国务院办公厅关于建立政府强制采购节能产品制度的通知 国办发〔2007〕51号； 4、关于印发《政府采购促进中小企业发展暂行办法》的通知(财库〔2011〕181号)； 5、财政部 司法部关于政府采购支持监狱企业发展有关问题的通知(财库〔2014〕68号)； 6、财政部、民政部、中国残疾人联合会关于促进残疾人就业政府采购政策的通知（财库〔2017〕141号）。</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3、本项目的特定资格要求：1、具有独立承担民事责任能力的法人或其他组织或自然人，企业法人应提供有效的统一社会信用代码的营业执照；事业法人应提供事业单位法人等证明文件；其他组织应提供合法证明文件；自然人出具身份证明；2、供应商须具有合格有效的法定代表人授权书及被授权人身份证（法定代表人直接参与磋商，需提供法定代表人身份证明、法定代表人身份证原件及加盖公章的复印件）。3、供应商须具备建设行政主管部门颁发的钢结构工程专业承包三级及以上资质，同时具有有效的安全生产许可证。4、拟派项目经理须具备建筑工程专业注册建造师贰级及以上资格和有效的安全生产考核合格证B证，在本单位注册且无在建项目。 5、企业基本信息、项目经理基本信息须在“陕西省建筑市场监管与诚信信息一体化平台”可查询。 6、供应商被“信用中国”网站（www.creditchina.gov.cn）列入失信被执行人、重大税收违法案件当事人名单的，供应商被“中国政府采购网”（www.ccgp.gov.cn）列入政府采购严重违法失信行为记录名单的，不得参与本项目投标。7、供应商负责人为同一人或者存在控股、管理关系的不同单位，不得同时参加本项目磋商。8、本项目不接受联合体磋商。</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 xml:space="preserve">三、 采购文件的获取方式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时间：即日起至2021-03-22 17:00:00 止</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地点：咸阳市秦都区宝泉路3号丽彩天禧大厦A座14-C</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方式：现场购买/邮寄</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 xml:space="preserve">售价： 每套500元（人民币），售后不退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rPr>
          <w:rStyle w:val="21"/>
        </w:rPr>
        <w:t>注：购买磋商文件时需携带单位介绍信、本人身份证原件及加盖公章的复印件一份。</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 xml:space="preserve">四、 响应文件递交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 xml:space="preserve">截止时间： 2021-03-26 09:30:00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 xml:space="preserve">地点：陕西省咸阳市秦都区迎宾路彩虹宾馆5楼多功能会议室 </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五、公告期限</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自本公告发布之日起3个工作日。</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六、其他补充事宜</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供应商须按照陕西省财政厅《关于政府采购供应商注册登记有关事项的通知》中的要求，通过陕西省政府采购网（http://www.ccgp-shaanxi.gov.cn/）注册登记加入陕西省政府采购供应商库。</w:t>
      </w:r>
    </w:p>
    <w:p>
      <w:pPr>
        <w:pStyle w:val="7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pPr>
      <w:r>
        <w:t xml:space="preserve">七、对本次采购提出询问，请按以下方式联系。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1、采购人信息：咸阳高新技术产业开发区管理委员会</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联系人：孙先生</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联系地址：咸阳市高科三路创业大厦</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联系电话：18082537724</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2、项目联系方式</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项目联系人：张阁琼</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电 话：029-33330819</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传 真：029-33330819</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3、采购代理机构信息</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名称：致君项目管理有限公司</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联系地址：咸阳市秦都区宝泉路3号丽彩天禧大厦A座14-C</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pPr>
      <w:r>
        <w:t>联系方式：</w:t>
      </w:r>
      <w:r>
        <w:rPr>
          <w:u w:val="none"/>
        </w:rPr>
        <w:fldChar w:fldCharType="begin"/>
      </w:r>
      <w:r>
        <w:rPr>
          <w:u w:val="none"/>
        </w:rPr>
        <w:instrText xml:space="preserve"> HYPERLINK "http://www.ccgp.gov.cn/agency/a_agencylist.html" \t "http://www.ccgp-shaanxi.gov.cn/gpex/buyprojectnotice/_blank" </w:instrText>
      </w:r>
      <w:r>
        <w:rPr>
          <w:u w:val="none"/>
        </w:rPr>
        <w:fldChar w:fldCharType="separate"/>
      </w:r>
      <w:r>
        <w:rPr>
          <w:rStyle w:val="26"/>
          <w:u w:val="none"/>
        </w:rPr>
        <w:t>http://www.ccgp.gov.cn/agency/a_agencylist.html</w:t>
      </w:r>
      <w:r>
        <w:rPr>
          <w:u w:val="none"/>
        </w:rPr>
        <w:fldChar w:fldCharType="end"/>
      </w:r>
    </w:p>
    <w:p>
      <w:pPr>
        <w:keepNext w:val="0"/>
        <w:keepLines w:val="0"/>
        <w:pageBreakBefore w:val="0"/>
        <w:widowControl/>
        <w:kinsoku/>
        <w:wordWrap w:val="0"/>
        <w:overflowPunct/>
        <w:topLinePunct w:val="0"/>
        <w:autoSpaceDE/>
        <w:autoSpaceDN/>
        <w:bidi w:val="0"/>
        <w:adjustRightInd/>
        <w:snapToGrid/>
        <w:spacing w:line="360" w:lineRule="auto"/>
        <w:ind w:right="0" w:rightChars="0"/>
        <w:jc w:val="right"/>
        <w:textAlignment w:val="auto"/>
        <w:outlineLvl w:val="9"/>
        <w:rPr>
          <w:rFonts w:hint="eastAsia" w:ascii="宋体" w:hAnsi="宋体" w:eastAsia="宋体" w:cs="宋体"/>
          <w:color w:val="auto"/>
          <w:spacing w:val="0"/>
          <w:kern w:val="0"/>
          <w:sz w:val="24"/>
          <w:szCs w:val="24"/>
          <w:lang w:val="en-US" w:eastAsia="zh-CN"/>
        </w:rPr>
      </w:pPr>
      <w:r>
        <w:rPr>
          <w:rFonts w:hint="eastAsia" w:ascii="宋体" w:hAnsi="宋体" w:eastAsia="宋体" w:cs="宋体"/>
          <w:color w:val="auto"/>
          <w:spacing w:val="0"/>
          <w:kern w:val="0"/>
          <w:sz w:val="24"/>
          <w:szCs w:val="24"/>
          <w:lang w:val="en-US" w:eastAsia="zh-CN"/>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outlineLvl w:val="9"/>
        <w:rPr>
          <w:rFonts w:hint="eastAsia" w:ascii="宋体" w:hAnsi="宋体" w:eastAsia="宋体" w:cs="宋体"/>
          <w:color w:val="auto"/>
          <w:spacing w:val="0"/>
          <w:kern w:val="0"/>
          <w:sz w:val="24"/>
          <w:szCs w:val="24"/>
          <w:lang w:val="en-US" w:eastAsia="zh-CN"/>
        </w:rPr>
      </w:pPr>
      <w:r>
        <w:rPr>
          <w:rFonts w:hint="eastAsia" w:ascii="宋体" w:hAnsi="宋体" w:eastAsia="宋体" w:cs="宋体"/>
          <w:color w:val="auto"/>
          <w:spacing w:val="0"/>
          <w:kern w:val="0"/>
          <w:sz w:val="24"/>
          <w:szCs w:val="24"/>
          <w:lang w:val="en-US" w:eastAsia="zh-CN"/>
        </w:rPr>
        <w:br w:type="page"/>
      </w:r>
    </w:p>
    <w:p>
      <w:pPr>
        <w:pStyle w:val="8"/>
        <w:numPr>
          <w:ilvl w:val="0"/>
          <w:numId w:val="0"/>
        </w:numPr>
        <w:spacing w:beforeAutospacing="0" w:after="0" w:afterAutospacing="0" w:line="360" w:lineRule="auto"/>
        <w:ind w:left="1" w:leftChars="0"/>
        <w:jc w:val="center"/>
        <w:outlineLvl w:val="0"/>
        <w:rPr>
          <w:rFonts w:hint="eastAsia" w:ascii="宋体" w:hAnsi="宋体" w:eastAsia="宋体" w:cs="宋体"/>
          <w:b/>
          <w:bCs/>
          <w:color w:val="auto"/>
          <w:spacing w:val="0"/>
          <w:sz w:val="32"/>
          <w:szCs w:val="32"/>
          <w:lang w:eastAsia="zh-CN"/>
        </w:rPr>
      </w:pPr>
      <w:bookmarkStart w:id="2" w:name="_Toc18119"/>
      <w:r>
        <w:rPr>
          <w:rFonts w:hint="eastAsia" w:ascii="宋体" w:hAnsi="宋体" w:eastAsia="宋体" w:cs="宋体"/>
          <w:b/>
          <w:bCs/>
          <w:color w:val="auto"/>
          <w:spacing w:val="0"/>
          <w:sz w:val="32"/>
          <w:szCs w:val="32"/>
          <w:lang w:eastAsia="zh-CN"/>
        </w:rPr>
        <w:t>第二章</w:t>
      </w:r>
      <w:r>
        <w:rPr>
          <w:rFonts w:hint="eastAsia" w:ascii="宋体" w:hAnsi="宋体" w:eastAsia="宋体" w:cs="宋体"/>
          <w:b/>
          <w:bCs/>
          <w:color w:val="auto"/>
          <w:spacing w:val="0"/>
          <w:sz w:val="32"/>
          <w:szCs w:val="32"/>
          <w:lang w:val="en-US" w:eastAsia="zh-CN"/>
        </w:rPr>
        <w:t xml:space="preserve"> </w:t>
      </w:r>
      <w:r>
        <w:rPr>
          <w:rFonts w:hint="eastAsia" w:ascii="宋体" w:hAnsi="宋体" w:eastAsia="宋体" w:cs="宋体"/>
          <w:b/>
          <w:bCs/>
          <w:color w:val="auto"/>
          <w:spacing w:val="0"/>
          <w:sz w:val="32"/>
          <w:szCs w:val="32"/>
          <w:lang w:eastAsia="zh-CN"/>
        </w:rPr>
        <w:t>供应商须知</w:t>
      </w:r>
      <w:bookmarkEnd w:id="2"/>
    </w:p>
    <w:p>
      <w:pPr>
        <w:numPr>
          <w:ilvl w:val="0"/>
          <w:numId w:val="0"/>
        </w:numPr>
        <w:spacing w:beforeAutospacing="0" w:line="360" w:lineRule="auto"/>
        <w:ind w:left="1" w:leftChars="0"/>
        <w:jc w:val="center"/>
        <w:outlineLvl w:val="9"/>
        <w:rPr>
          <w:rFonts w:hint="eastAsia" w:ascii="宋体" w:hAnsi="宋体" w:eastAsia="宋体" w:cs="宋体"/>
          <w:b/>
          <w:bCs/>
          <w:color w:val="auto"/>
          <w:spacing w:val="0"/>
          <w:sz w:val="30"/>
          <w:szCs w:val="30"/>
          <w:lang w:val="en-US" w:eastAsia="zh-CN"/>
        </w:rPr>
      </w:pPr>
      <w:r>
        <w:rPr>
          <w:rFonts w:hint="eastAsia" w:ascii="宋体" w:hAnsi="宋体" w:eastAsia="宋体" w:cs="宋体"/>
          <w:b/>
          <w:bCs/>
          <w:color w:val="auto"/>
          <w:spacing w:val="0"/>
          <w:sz w:val="30"/>
          <w:szCs w:val="30"/>
          <w:lang w:val="en-US" w:eastAsia="zh-CN"/>
        </w:rPr>
        <w:t>供应商须知前附表</w:t>
      </w:r>
    </w:p>
    <w:tbl>
      <w:tblPr>
        <w:tblStyle w:val="17"/>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077"/>
        <w:gridCol w:w="1460"/>
        <w:gridCol w:w="5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66" w:type="dxa"/>
            <w:noWrap w:val="0"/>
            <w:vAlign w:val="center"/>
          </w:tcPr>
          <w:p>
            <w:pPr>
              <w:kinsoku w:val="0"/>
              <w:spacing w:line="360" w:lineRule="auto"/>
              <w:jc w:val="center"/>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序号</w:t>
            </w:r>
          </w:p>
        </w:tc>
        <w:tc>
          <w:tcPr>
            <w:tcW w:w="1077" w:type="dxa"/>
            <w:noWrap w:val="0"/>
            <w:vAlign w:val="center"/>
          </w:tcPr>
          <w:p>
            <w:pPr>
              <w:kinsoku w:val="0"/>
              <w:spacing w:line="360" w:lineRule="auto"/>
              <w:jc w:val="center"/>
              <w:outlineLvl w:val="9"/>
              <w:rPr>
                <w:rFonts w:hint="eastAsia" w:ascii="宋体" w:hAnsi="宋体" w:eastAsia="宋体" w:cs="宋体"/>
                <w:b/>
                <w:bCs/>
                <w:color w:val="auto"/>
                <w:spacing w:val="0"/>
                <w:sz w:val="24"/>
                <w:szCs w:val="24"/>
                <w:lang w:eastAsia="zh-CN"/>
              </w:rPr>
            </w:pPr>
            <w:r>
              <w:rPr>
                <w:rFonts w:hint="eastAsia" w:ascii="宋体" w:hAnsi="宋体" w:eastAsia="宋体" w:cs="宋体"/>
                <w:b/>
                <w:bCs/>
                <w:color w:val="auto"/>
                <w:spacing w:val="0"/>
                <w:sz w:val="24"/>
                <w:szCs w:val="24"/>
                <w:lang w:eastAsia="zh-CN"/>
              </w:rPr>
              <w:t>条款号</w:t>
            </w:r>
          </w:p>
        </w:tc>
        <w:tc>
          <w:tcPr>
            <w:tcW w:w="1460" w:type="dxa"/>
            <w:noWrap w:val="0"/>
            <w:vAlign w:val="center"/>
          </w:tcPr>
          <w:p>
            <w:pPr>
              <w:kinsoku w:val="0"/>
              <w:spacing w:line="360" w:lineRule="auto"/>
              <w:jc w:val="center"/>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内容</w:t>
            </w:r>
          </w:p>
        </w:tc>
        <w:tc>
          <w:tcPr>
            <w:tcW w:w="5893" w:type="dxa"/>
            <w:noWrap w:val="0"/>
            <w:vAlign w:val="center"/>
          </w:tcPr>
          <w:p>
            <w:pPr>
              <w:keepNext w:val="0"/>
              <w:keepLines w:val="0"/>
              <w:pageBreakBefore w:val="0"/>
              <w:kinsoku w:val="0"/>
              <w:wordWrap/>
              <w:overflowPunct/>
              <w:topLinePunct w:val="0"/>
              <w:autoSpaceDN/>
              <w:bidi w:val="0"/>
              <w:spacing w:line="360" w:lineRule="auto"/>
              <w:jc w:val="center"/>
              <w:textAlignment w:val="auto"/>
              <w:outlineLvl w:val="9"/>
              <w:rPr>
                <w:rFonts w:hint="eastAsia" w:ascii="宋体" w:hAnsi="宋体" w:eastAsia="宋体" w:cs="宋体"/>
                <w:b/>
                <w:bCs/>
                <w:color w:val="auto"/>
                <w:spacing w:val="0"/>
                <w:sz w:val="24"/>
                <w:szCs w:val="24"/>
                <w:lang w:eastAsia="zh-CN"/>
              </w:rPr>
            </w:pPr>
            <w:r>
              <w:rPr>
                <w:rFonts w:hint="eastAsia" w:ascii="宋体" w:hAnsi="宋体" w:eastAsia="宋体" w:cs="宋体"/>
                <w:b/>
                <w:bCs/>
                <w:color w:val="auto"/>
                <w:spacing w:val="0"/>
                <w:sz w:val="24"/>
                <w:szCs w:val="24"/>
                <w:lang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eastAsia="zh-CN"/>
              </w:rPr>
            </w:pPr>
            <w:r>
              <w:rPr>
                <w:rFonts w:hint="eastAsia" w:ascii="宋体" w:hAnsi="宋体" w:eastAsia="宋体" w:cs="宋体"/>
                <w:i w:val="0"/>
                <w:color w:val="auto"/>
                <w:spacing w:val="0"/>
                <w:kern w:val="0"/>
                <w:sz w:val="24"/>
                <w:szCs w:val="24"/>
                <w:u w:val="none"/>
                <w:lang w:val="en-US" w:eastAsia="zh-CN" w:bidi="ar"/>
              </w:rPr>
              <w:t>1</w:t>
            </w:r>
          </w:p>
        </w:tc>
        <w:tc>
          <w:tcPr>
            <w:tcW w:w="1077" w:type="dxa"/>
            <w:noWrap w:val="0"/>
            <w:vAlign w:val="center"/>
          </w:tcPr>
          <w:p>
            <w:pPr>
              <w:pStyle w:val="10"/>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1.2.</w:t>
            </w:r>
            <w:r>
              <w:rPr>
                <w:rFonts w:hint="eastAsia" w:hAnsi="宋体" w:cs="宋体"/>
                <w:color w:val="auto"/>
                <w:spacing w:val="0"/>
                <w:sz w:val="24"/>
                <w:szCs w:val="24"/>
                <w:lang w:val="en-US" w:eastAsia="zh-CN"/>
              </w:rPr>
              <w:t>1</w:t>
            </w:r>
          </w:p>
        </w:tc>
        <w:tc>
          <w:tcPr>
            <w:tcW w:w="1460" w:type="dxa"/>
            <w:noWrap w:val="0"/>
            <w:vAlign w:val="center"/>
          </w:tcPr>
          <w:p>
            <w:pPr>
              <w:pStyle w:val="10"/>
              <w:spacing w:line="360" w:lineRule="auto"/>
              <w:jc w:val="center"/>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采购人</w:t>
            </w:r>
          </w:p>
        </w:tc>
        <w:tc>
          <w:tcPr>
            <w:tcW w:w="5893" w:type="dxa"/>
            <w:noWrap w:val="0"/>
            <w:vAlign w:val="center"/>
          </w:tcPr>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rPr>
              <w:t>采购人名称：</w:t>
            </w:r>
            <w:r>
              <w:rPr>
                <w:rFonts w:hint="eastAsia" w:ascii="宋体" w:hAnsi="宋体" w:cs="宋体"/>
                <w:color w:val="auto"/>
                <w:spacing w:val="0"/>
                <w:sz w:val="24"/>
                <w:szCs w:val="24"/>
                <w:lang w:eastAsia="zh-CN"/>
              </w:rPr>
              <w:t xml:space="preserve">咸阳高新技术产业开发区管理委员会 </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right="0"/>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rPr>
              <w:t>地址：</w:t>
            </w:r>
            <w:r>
              <w:rPr>
                <w:rFonts w:hint="eastAsia" w:ascii="宋体" w:hAnsi="宋体" w:cs="宋体"/>
                <w:color w:val="auto"/>
                <w:spacing w:val="0"/>
                <w:sz w:val="24"/>
                <w:szCs w:val="24"/>
                <w:lang w:eastAsia="zh-CN"/>
              </w:rPr>
              <w:t>咸阳市高新区</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right="0"/>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rPr>
              <w:t>联系人</w:t>
            </w:r>
            <w:r>
              <w:rPr>
                <w:rFonts w:hint="eastAsia" w:ascii="宋体" w:hAnsi="宋体" w:eastAsia="宋体" w:cs="宋体"/>
                <w:color w:val="auto"/>
                <w:spacing w:val="0"/>
                <w:sz w:val="24"/>
                <w:szCs w:val="24"/>
                <w:lang w:eastAsia="zh-CN"/>
              </w:rPr>
              <w:t>：孙先生</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电话：</w:t>
            </w:r>
            <w:r>
              <w:rPr>
                <w:rFonts w:hint="eastAsia" w:ascii="宋体" w:hAnsi="宋体" w:eastAsia="宋体" w:cs="宋体"/>
                <w:color w:val="auto"/>
                <w:spacing w:val="0"/>
                <w:sz w:val="24"/>
                <w:szCs w:val="24"/>
                <w:lang w:val="en-US" w:eastAsia="zh-CN"/>
              </w:rPr>
              <w:t>18082537724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eastAsia="zh-CN"/>
              </w:rPr>
            </w:pPr>
            <w:r>
              <w:rPr>
                <w:rFonts w:hint="eastAsia" w:ascii="宋体" w:hAnsi="宋体" w:eastAsia="宋体" w:cs="宋体"/>
                <w:i w:val="0"/>
                <w:color w:val="auto"/>
                <w:spacing w:val="0"/>
                <w:kern w:val="0"/>
                <w:sz w:val="24"/>
                <w:szCs w:val="24"/>
                <w:u w:val="none"/>
                <w:lang w:val="en-US" w:eastAsia="zh-CN" w:bidi="ar"/>
              </w:rPr>
              <w:t>2</w:t>
            </w:r>
          </w:p>
        </w:tc>
        <w:tc>
          <w:tcPr>
            <w:tcW w:w="1077" w:type="dxa"/>
            <w:noWrap w:val="0"/>
            <w:vAlign w:val="center"/>
          </w:tcPr>
          <w:p>
            <w:pPr>
              <w:pStyle w:val="10"/>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1.2.</w:t>
            </w:r>
            <w:r>
              <w:rPr>
                <w:rFonts w:hint="eastAsia" w:hAnsi="宋体" w:cs="宋体"/>
                <w:color w:val="auto"/>
                <w:spacing w:val="0"/>
                <w:sz w:val="24"/>
                <w:szCs w:val="24"/>
                <w:lang w:val="en-US" w:eastAsia="zh-CN"/>
              </w:rPr>
              <w:t>2</w:t>
            </w:r>
          </w:p>
        </w:tc>
        <w:tc>
          <w:tcPr>
            <w:tcW w:w="1460" w:type="dxa"/>
            <w:noWrap w:val="0"/>
            <w:vAlign w:val="center"/>
          </w:tcPr>
          <w:p>
            <w:pPr>
              <w:pStyle w:val="10"/>
              <w:spacing w:line="360" w:lineRule="auto"/>
              <w:jc w:val="center"/>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代理机构</w:t>
            </w:r>
          </w:p>
        </w:tc>
        <w:tc>
          <w:tcPr>
            <w:tcW w:w="5893" w:type="dxa"/>
            <w:noWrap w:val="0"/>
            <w:vAlign w:val="center"/>
          </w:tcPr>
          <w:p>
            <w:pPr>
              <w:keepNext w:val="0"/>
              <w:keepLines w:val="0"/>
              <w:pageBreakBefore w:val="0"/>
              <w:wordWrap/>
              <w:overflowPunct/>
              <w:topLinePunct w:val="0"/>
              <w:autoSpaceDE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采购代理机构名称：</w:t>
            </w:r>
            <w:r>
              <w:rPr>
                <w:rFonts w:hint="eastAsia" w:ascii="宋体" w:hAnsi="宋体" w:cs="宋体"/>
                <w:color w:val="auto"/>
                <w:spacing w:val="0"/>
                <w:sz w:val="24"/>
                <w:szCs w:val="24"/>
                <w:lang w:eastAsia="zh-CN"/>
              </w:rPr>
              <w:t>致君项目管理有限公司</w:t>
            </w:r>
          </w:p>
          <w:p>
            <w:pPr>
              <w:keepNext w:val="0"/>
              <w:keepLines w:val="0"/>
              <w:pageBreakBefore w:val="0"/>
              <w:wordWrap/>
              <w:overflowPunct/>
              <w:topLinePunct w:val="0"/>
              <w:autoSpaceDE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地址：</w:t>
            </w:r>
            <w:r>
              <w:rPr>
                <w:rFonts w:hint="eastAsia" w:ascii="宋体" w:hAnsi="宋体" w:eastAsia="宋体" w:cs="宋体"/>
                <w:color w:val="auto"/>
                <w:spacing w:val="0"/>
                <w:kern w:val="0"/>
                <w:sz w:val="24"/>
                <w:szCs w:val="24"/>
                <w:lang w:eastAsia="zh-CN"/>
              </w:rPr>
              <w:t>咸阳市</w:t>
            </w:r>
            <w:r>
              <w:rPr>
                <w:rFonts w:hint="eastAsia" w:ascii="宋体" w:hAnsi="宋体" w:cs="宋体"/>
                <w:color w:val="auto"/>
                <w:spacing w:val="0"/>
                <w:kern w:val="0"/>
                <w:sz w:val="24"/>
                <w:szCs w:val="24"/>
                <w:lang w:eastAsia="zh-CN"/>
              </w:rPr>
              <w:t>秦都区</w:t>
            </w:r>
            <w:r>
              <w:rPr>
                <w:rFonts w:hint="eastAsia" w:ascii="宋体" w:hAnsi="宋体" w:eastAsia="宋体" w:cs="宋体"/>
                <w:color w:val="auto"/>
                <w:spacing w:val="0"/>
                <w:kern w:val="0"/>
                <w:sz w:val="24"/>
                <w:szCs w:val="24"/>
                <w:lang w:eastAsia="zh-CN"/>
              </w:rPr>
              <w:t>宝泉路</w:t>
            </w:r>
            <w:r>
              <w:rPr>
                <w:rFonts w:hint="eastAsia" w:ascii="宋体" w:hAnsi="宋体" w:eastAsia="宋体" w:cs="宋体"/>
                <w:color w:val="auto"/>
                <w:spacing w:val="0"/>
                <w:kern w:val="0"/>
                <w:sz w:val="24"/>
                <w:szCs w:val="24"/>
                <w:lang w:val="en-US" w:eastAsia="zh-CN"/>
              </w:rPr>
              <w:t>3号丽彩天禧大厦A座14-C</w:t>
            </w:r>
          </w:p>
          <w:p>
            <w:pPr>
              <w:keepNext w:val="0"/>
              <w:keepLines w:val="0"/>
              <w:pageBreakBefore w:val="0"/>
              <w:wordWrap/>
              <w:overflowPunct/>
              <w:topLinePunct w:val="0"/>
              <w:autoSpaceDE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联系人：张</w:t>
            </w:r>
            <w:r>
              <w:rPr>
                <w:rFonts w:hint="eastAsia" w:ascii="宋体" w:hAnsi="宋体" w:cs="宋体"/>
                <w:color w:val="auto"/>
                <w:spacing w:val="0"/>
                <w:sz w:val="24"/>
                <w:szCs w:val="24"/>
                <w:lang w:eastAsia="zh-CN"/>
              </w:rPr>
              <w:t>阁琼</w:t>
            </w:r>
          </w:p>
          <w:p>
            <w:pPr>
              <w:keepNext w:val="0"/>
              <w:keepLines w:val="0"/>
              <w:pageBreakBefore w:val="0"/>
              <w:wordWrap/>
              <w:overflowPunct/>
              <w:topLinePunct w:val="0"/>
              <w:autoSpaceDN/>
              <w:bidi w:val="0"/>
              <w:adjustRightInd w:val="0"/>
              <w:snapToGrid w:val="0"/>
              <w:spacing w:line="360" w:lineRule="auto"/>
              <w:jc w:val="both"/>
              <w:textAlignment w:val="auto"/>
              <w:outlineLvl w:val="9"/>
              <w:rPr>
                <w:rFonts w:hint="eastAsia" w:ascii="宋体" w:hAnsi="宋体" w:eastAsia="宋体" w:cs="宋体"/>
                <w:color w:val="auto"/>
                <w:spacing w:val="0"/>
                <w:sz w:val="24"/>
                <w:szCs w:val="24"/>
                <w:lang w:val="en-US"/>
              </w:rPr>
            </w:pPr>
            <w:r>
              <w:rPr>
                <w:rFonts w:hint="eastAsia" w:ascii="宋体" w:hAnsi="宋体" w:eastAsia="宋体" w:cs="宋体"/>
                <w:color w:val="auto"/>
                <w:spacing w:val="0"/>
                <w:sz w:val="24"/>
                <w:szCs w:val="24"/>
              </w:rPr>
              <w:t>联系电话：</w:t>
            </w:r>
            <w:r>
              <w:rPr>
                <w:rFonts w:hint="eastAsia" w:ascii="宋体" w:hAnsi="宋体" w:eastAsia="宋体" w:cs="宋体"/>
                <w:color w:val="auto"/>
                <w:spacing w:val="0"/>
                <w:sz w:val="24"/>
                <w:szCs w:val="24"/>
                <w:lang w:val="en-US" w:eastAsia="zh-CN"/>
              </w:rPr>
              <w:t>029-33330819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rPr>
            </w:pPr>
            <w:r>
              <w:rPr>
                <w:rFonts w:hint="eastAsia" w:ascii="宋体" w:hAnsi="宋体" w:eastAsia="宋体" w:cs="宋体"/>
                <w:i w:val="0"/>
                <w:color w:val="auto"/>
                <w:spacing w:val="0"/>
                <w:kern w:val="0"/>
                <w:sz w:val="24"/>
                <w:szCs w:val="24"/>
                <w:u w:val="none"/>
                <w:lang w:val="en-US" w:eastAsia="zh-CN" w:bidi="ar"/>
              </w:rPr>
              <w:t>3</w:t>
            </w:r>
          </w:p>
        </w:tc>
        <w:tc>
          <w:tcPr>
            <w:tcW w:w="107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color w:val="auto"/>
                <w:spacing w:val="0"/>
                <w:sz w:val="24"/>
                <w:szCs w:val="24"/>
                <w:lang w:val="en-US" w:eastAsia="zh-CN"/>
              </w:rPr>
            </w:pPr>
            <w:r>
              <w:rPr>
                <w:rFonts w:hint="eastAsia" w:ascii="宋体" w:hAnsi="宋体" w:cs="宋体"/>
                <w:color w:val="auto"/>
                <w:spacing w:val="0"/>
                <w:sz w:val="24"/>
                <w:szCs w:val="24"/>
                <w:lang w:val="en-US" w:eastAsia="zh-CN"/>
              </w:rPr>
              <w:t>3.1</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资格</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要求</w:t>
            </w:r>
          </w:p>
        </w:tc>
        <w:tc>
          <w:tcPr>
            <w:tcW w:w="5893" w:type="dxa"/>
            <w:noWrap w:val="0"/>
            <w:vAlign w:val="center"/>
          </w:tcPr>
          <w:p>
            <w:pPr>
              <w:pStyle w:val="16"/>
              <w:keepNext w:val="0"/>
              <w:keepLines w:val="0"/>
              <w:pageBreakBefore w:val="0"/>
              <w:widowControl/>
              <w:numPr>
                <w:ilvl w:val="0"/>
                <w:numId w:val="4"/>
              </w:numPr>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pacing w:val="0"/>
                <w:sz w:val="24"/>
                <w:szCs w:val="24"/>
                <w:lang w:eastAsia="zh-CN"/>
              </w:rPr>
            </w:pPr>
            <w:r>
              <w:rPr>
                <w:rFonts w:hint="eastAsia" w:ascii="宋体" w:hAnsi="宋体" w:eastAsia="宋体" w:cs="宋体"/>
                <w:color w:val="auto"/>
                <w:spacing w:val="0"/>
                <w:sz w:val="24"/>
                <w:szCs w:val="24"/>
              </w:rPr>
              <w:t>基本资格条件：符合《中华人民共和国政府采购法》第二十二条的规定</w:t>
            </w:r>
            <w:r>
              <w:rPr>
                <w:rFonts w:hint="eastAsia" w:ascii="宋体" w:hAnsi="宋体" w:cs="宋体"/>
                <w:color w:val="auto"/>
                <w:spacing w:val="0"/>
                <w:sz w:val="24"/>
                <w:szCs w:val="24"/>
                <w:lang w:eastAsia="zh-CN"/>
              </w:rPr>
              <w:t>：</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1、具有独立承担民事责任的能力；</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2、具有良好的商业信誉和健全的财务会计；</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3、具有履行合同所必须的设备和专业技术能力；</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4、有依法缴纳税收和社会保障资金的良好行为；</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5、参加政府采购活动前三年内，在经营活动中没有重大违法记录；</w:t>
            </w:r>
          </w:p>
          <w:p>
            <w:pPr>
              <w:pStyle w:val="16"/>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Chars="200" w:right="0" w:rightChars="0"/>
              <w:textAlignment w:val="auto"/>
              <w:outlineLvl w:val="9"/>
              <w:rPr>
                <w:rFonts w:hint="eastAsia" w:ascii="宋体" w:hAnsi="宋体" w:cs="宋体"/>
                <w:color w:val="auto"/>
                <w:spacing w:val="0"/>
                <w:sz w:val="24"/>
                <w:szCs w:val="24"/>
                <w:lang w:val="en-US" w:eastAsia="zh-CN"/>
              </w:rPr>
            </w:pPr>
            <w:r>
              <w:rPr>
                <w:rFonts w:hint="eastAsia" w:ascii="宋体" w:hAnsi="宋体" w:cs="宋体"/>
                <w:color w:val="auto"/>
                <w:spacing w:val="0"/>
                <w:sz w:val="24"/>
                <w:szCs w:val="24"/>
                <w:lang w:val="en-US" w:eastAsia="zh-CN"/>
              </w:rPr>
              <w:t>6、法律、行政法规规定的其他条件。</w:t>
            </w:r>
          </w:p>
          <w:p>
            <w:pPr>
              <w:pStyle w:val="16"/>
              <w:keepNext w:val="0"/>
              <w:keepLines w:val="0"/>
              <w:widowControl/>
              <w:suppressLineNumbers w:val="0"/>
              <w:spacing w:before="0" w:beforeAutospacing="0" w:after="0" w:afterAutospacing="0" w:line="360" w:lineRule="auto"/>
              <w:ind w:left="0" w:right="0" w:firstLine="420"/>
              <w:rPr>
                <w:rFonts w:hint="eastAsia" w:ascii="宋体" w:hAnsi="宋体" w:cs="宋体"/>
                <w:color w:val="auto"/>
                <w:spacing w:val="0"/>
                <w:sz w:val="24"/>
                <w:szCs w:val="24"/>
                <w:lang w:val="en-US" w:eastAsia="zh-CN"/>
              </w:rPr>
            </w:pPr>
            <w:r>
              <w:rPr>
                <w:rFonts w:hint="eastAsia" w:ascii="宋体" w:hAnsi="宋体" w:cs="宋体"/>
                <w:lang w:eastAsia="zh-CN"/>
              </w:rPr>
              <w:t>（</w:t>
            </w:r>
            <w:r>
              <w:rPr>
                <w:rFonts w:hint="eastAsia" w:ascii="宋体" w:hAnsi="宋体" w:cs="宋体"/>
                <w:lang w:val="en-US" w:eastAsia="zh-CN"/>
              </w:rPr>
              <w:t>2</w:t>
            </w:r>
            <w:r>
              <w:rPr>
                <w:rFonts w:hint="eastAsia" w:ascii="宋体" w:hAnsi="宋体" w:cs="宋体"/>
                <w:lang w:eastAsia="zh-CN"/>
              </w:rPr>
              <w:t>）</w:t>
            </w:r>
            <w:r>
              <w:rPr>
                <w:rFonts w:hint="eastAsia" w:ascii="宋体" w:hAnsi="宋体" w:eastAsia="宋体" w:cs="宋体"/>
              </w:rPr>
              <w:t>落实政府采购政策需满足的资格要求：1、财政部、国家发展和改革委员会关于印发《节能产品政府采购实施意见》的通知（财库[2004]185号）； 2、财政部、国家环保总局联合印发《关于环境标志产品政府采购实施的意见》(财库[2006]90号)； 3、国务院办公厅关于建立政府强制采购节能产品制度的通知 国办发〔2007〕51号； 4、关于印发《政府采购促进中小企业发展暂行办法》的通知(</w:t>
            </w:r>
            <w:r>
              <w:rPr>
                <w:rFonts w:hint="eastAsia" w:ascii="宋体" w:hAnsi="宋体" w:eastAsia="宋体" w:cs="宋体"/>
                <w:lang w:eastAsia="zh-CN"/>
              </w:rPr>
              <w:t>财库〔2020〕46号</w:t>
            </w:r>
            <w:r>
              <w:rPr>
                <w:rFonts w:hint="eastAsia" w:ascii="宋体" w:hAnsi="宋体" w:eastAsia="宋体" w:cs="宋体"/>
              </w:rPr>
              <w:t>； 5、财政部 司法部关于政府采购支持监狱企业发展有关问题的通知(财库〔2014〕68号)； 6、财政部、民政部、中国残疾人联合会关于促进残疾人就业政府采购政策的通知（财库〔2017〕141号）。</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w:t>
            </w:r>
            <w:r>
              <w:rPr>
                <w:rFonts w:hint="eastAsia" w:ascii="宋体" w:hAnsi="宋体" w:cs="宋体"/>
                <w:color w:val="auto"/>
                <w:spacing w:val="0"/>
                <w:sz w:val="24"/>
                <w:szCs w:val="24"/>
                <w:lang w:val="en-US" w:eastAsia="zh-CN"/>
              </w:rPr>
              <w:t>3</w:t>
            </w:r>
            <w:r>
              <w:rPr>
                <w:rFonts w:hint="eastAsia" w:ascii="宋体" w:hAnsi="宋体" w:eastAsia="宋体" w:cs="宋体"/>
                <w:color w:val="auto"/>
                <w:spacing w:val="0"/>
                <w:sz w:val="24"/>
                <w:szCs w:val="24"/>
              </w:rPr>
              <w:t>）特定资格条件：1、具有独立承担民事责任能力的法人或其他组织或自然人，企业法人应提供有效的统一社会信用代码的营业执照；事业法人应提供事业单位法人等证明文件；其他组织应提供合法证明文件；自然人出具身份证明； 2、供应商</w:t>
            </w:r>
            <w:r>
              <w:rPr>
                <w:rFonts w:hint="eastAsia" w:ascii="宋体" w:hAnsi="宋体" w:cs="宋体"/>
                <w:color w:val="auto"/>
                <w:spacing w:val="0"/>
                <w:sz w:val="24"/>
                <w:szCs w:val="24"/>
                <w:lang w:eastAsia="zh-CN"/>
              </w:rPr>
              <w:t>须具有合格有效的法定代表人授权书及被授权人身份证（法定代表人直接参与磋商，需提供法定代表人身份证明、法定代表人身份证原件及加盖公章的复印件）。</w:t>
            </w:r>
            <w:r>
              <w:rPr>
                <w:rFonts w:hint="eastAsia" w:ascii="宋体" w:hAnsi="宋体" w:eastAsia="宋体" w:cs="宋体"/>
                <w:color w:val="auto"/>
                <w:spacing w:val="0"/>
                <w:sz w:val="24"/>
                <w:szCs w:val="24"/>
                <w:lang w:val="en-US" w:eastAsia="zh-CN"/>
              </w:rPr>
              <w:t>3、</w:t>
            </w:r>
            <w:r>
              <w:rPr>
                <w:rFonts w:hint="eastAsia" w:ascii="宋体" w:hAnsi="宋体" w:eastAsia="宋体" w:cs="宋体"/>
                <w:color w:val="auto"/>
                <w:spacing w:val="0"/>
                <w:sz w:val="24"/>
                <w:szCs w:val="24"/>
              </w:rPr>
              <w:t>供应商</w:t>
            </w:r>
            <w:r>
              <w:rPr>
                <w:rFonts w:hint="eastAsia" w:ascii="宋体" w:hAnsi="宋体" w:cs="宋体"/>
                <w:color w:val="auto"/>
                <w:spacing w:val="0"/>
                <w:sz w:val="24"/>
                <w:szCs w:val="24"/>
                <w:lang w:eastAsia="zh-CN"/>
              </w:rPr>
              <w:t>须</w:t>
            </w:r>
            <w:r>
              <w:rPr>
                <w:rFonts w:hint="eastAsia" w:ascii="宋体" w:hAnsi="宋体" w:eastAsia="宋体" w:cs="宋体"/>
                <w:color w:val="auto"/>
                <w:spacing w:val="0"/>
                <w:sz w:val="24"/>
                <w:szCs w:val="24"/>
              </w:rPr>
              <w:t>具备建设行政主管部门颁发的</w:t>
            </w:r>
            <w:r>
              <w:rPr>
                <w:rFonts w:hint="eastAsia" w:ascii="宋体" w:hAnsi="宋体" w:cs="宋体"/>
                <w:color w:val="auto"/>
                <w:spacing w:val="0"/>
                <w:sz w:val="24"/>
                <w:szCs w:val="24"/>
                <w:lang w:eastAsia="zh-CN"/>
              </w:rPr>
              <w:t>钢结构工程专业承包三级及以上资质</w:t>
            </w:r>
            <w:r>
              <w:rPr>
                <w:rFonts w:hint="eastAsia" w:ascii="宋体" w:hAnsi="宋体" w:eastAsia="宋体" w:cs="宋体"/>
                <w:color w:val="auto"/>
                <w:spacing w:val="0"/>
                <w:sz w:val="24"/>
                <w:szCs w:val="24"/>
              </w:rPr>
              <w:t>，</w:t>
            </w:r>
            <w:r>
              <w:rPr>
                <w:rFonts w:hint="eastAsia" w:ascii="宋体" w:hAnsi="宋体" w:eastAsia="宋体" w:cs="宋体"/>
                <w:color w:val="auto"/>
                <w:spacing w:val="0"/>
                <w:sz w:val="24"/>
                <w:szCs w:val="24"/>
                <w:lang w:eastAsia="zh-CN"/>
              </w:rPr>
              <w:t>同时具有</w:t>
            </w:r>
            <w:r>
              <w:rPr>
                <w:rFonts w:hint="eastAsia" w:ascii="宋体" w:hAnsi="宋体" w:eastAsia="宋体" w:cs="宋体"/>
                <w:color w:val="auto"/>
                <w:spacing w:val="0"/>
                <w:sz w:val="24"/>
                <w:szCs w:val="24"/>
              </w:rPr>
              <w:t>有效的安全生产许可证</w:t>
            </w:r>
            <w:r>
              <w:rPr>
                <w:rFonts w:hint="eastAsia" w:ascii="宋体" w:hAnsi="宋体" w:cs="宋体"/>
                <w:color w:val="auto"/>
                <w:spacing w:val="0"/>
                <w:sz w:val="24"/>
                <w:szCs w:val="24"/>
                <w:lang w:eastAsia="zh-CN"/>
              </w:rPr>
              <w:t>。</w:t>
            </w:r>
            <w:r>
              <w:rPr>
                <w:rFonts w:hint="eastAsia" w:ascii="宋体" w:hAnsi="宋体" w:eastAsia="宋体" w:cs="宋体"/>
                <w:color w:val="auto"/>
                <w:spacing w:val="0"/>
                <w:sz w:val="24"/>
                <w:szCs w:val="24"/>
              </w:rPr>
              <w:t>4、拟派项目经理</w:t>
            </w:r>
            <w:r>
              <w:rPr>
                <w:rFonts w:hint="eastAsia" w:ascii="宋体" w:hAnsi="宋体" w:cs="宋体"/>
                <w:color w:val="auto"/>
                <w:spacing w:val="0"/>
                <w:sz w:val="24"/>
                <w:szCs w:val="24"/>
                <w:lang w:eastAsia="zh-CN"/>
              </w:rPr>
              <w:t>须</w:t>
            </w:r>
            <w:r>
              <w:rPr>
                <w:rFonts w:hint="eastAsia" w:ascii="宋体" w:hAnsi="宋体" w:eastAsia="宋体" w:cs="宋体"/>
                <w:color w:val="auto"/>
                <w:spacing w:val="0"/>
                <w:sz w:val="24"/>
                <w:szCs w:val="24"/>
              </w:rPr>
              <w:t>具备建筑工程专业注册建造师贰级及以上资格和</w:t>
            </w:r>
            <w:r>
              <w:rPr>
                <w:rFonts w:hint="eastAsia" w:ascii="宋体" w:hAnsi="宋体" w:eastAsia="宋体" w:cs="宋体"/>
                <w:color w:val="auto"/>
                <w:spacing w:val="0"/>
                <w:sz w:val="24"/>
                <w:szCs w:val="24"/>
                <w:lang w:eastAsia="zh-CN"/>
              </w:rPr>
              <w:t>有效的</w:t>
            </w:r>
            <w:r>
              <w:rPr>
                <w:rFonts w:hint="eastAsia" w:ascii="宋体" w:hAnsi="宋体" w:eastAsia="宋体" w:cs="宋体"/>
                <w:color w:val="auto"/>
                <w:spacing w:val="0"/>
                <w:sz w:val="24"/>
                <w:szCs w:val="24"/>
              </w:rPr>
              <w:t>安全生产考核合格证B证，</w:t>
            </w:r>
            <w:r>
              <w:rPr>
                <w:rFonts w:hint="eastAsia" w:ascii="宋体" w:hAnsi="宋体" w:cs="宋体"/>
                <w:color w:val="auto"/>
                <w:spacing w:val="0"/>
                <w:sz w:val="24"/>
                <w:szCs w:val="24"/>
                <w:lang w:eastAsia="zh-CN"/>
              </w:rPr>
              <w:t>在</w:t>
            </w:r>
            <w:r>
              <w:rPr>
                <w:rFonts w:hint="eastAsia" w:ascii="宋体" w:hAnsi="宋体" w:eastAsia="宋体" w:cs="宋体"/>
                <w:color w:val="auto"/>
                <w:spacing w:val="0"/>
                <w:sz w:val="24"/>
                <w:szCs w:val="24"/>
              </w:rPr>
              <w:t>本单位注册且无在建项目</w:t>
            </w:r>
            <w:r>
              <w:rPr>
                <w:rFonts w:hint="eastAsia" w:ascii="宋体" w:hAnsi="宋体" w:cs="宋体"/>
                <w:color w:val="auto"/>
                <w:spacing w:val="0"/>
                <w:sz w:val="24"/>
                <w:szCs w:val="24"/>
                <w:lang w:eastAsia="zh-CN"/>
              </w:rPr>
              <w:t>。</w:t>
            </w:r>
            <w:r>
              <w:rPr>
                <w:rFonts w:hint="eastAsia" w:ascii="宋体" w:hAnsi="宋体" w:eastAsia="宋体" w:cs="宋体"/>
                <w:color w:val="auto"/>
                <w:spacing w:val="0"/>
                <w:sz w:val="24"/>
                <w:szCs w:val="24"/>
              </w:rPr>
              <w:t xml:space="preserve"> 5、</w:t>
            </w:r>
            <w:r>
              <w:rPr>
                <w:rFonts w:hint="eastAsia" w:ascii="宋体" w:hAnsi="宋体" w:cs="宋体"/>
                <w:color w:val="auto"/>
                <w:spacing w:val="0"/>
                <w:sz w:val="24"/>
                <w:szCs w:val="24"/>
                <w:lang w:eastAsia="zh-CN"/>
              </w:rPr>
              <w:t>企业基本信息、项目经理基本信息须</w:t>
            </w:r>
            <w:r>
              <w:rPr>
                <w:rFonts w:hint="eastAsia" w:ascii="宋体" w:hAnsi="宋体" w:eastAsia="宋体" w:cs="宋体"/>
                <w:color w:val="auto"/>
                <w:spacing w:val="0"/>
                <w:sz w:val="24"/>
                <w:szCs w:val="24"/>
              </w:rPr>
              <w:t>在“陕西省建筑市场监管与诚信信息一体化平台”可查询</w:t>
            </w:r>
            <w:r>
              <w:rPr>
                <w:rFonts w:hint="eastAsia" w:ascii="宋体" w:hAnsi="宋体" w:cs="宋体"/>
                <w:color w:val="auto"/>
                <w:spacing w:val="0"/>
                <w:sz w:val="24"/>
                <w:szCs w:val="24"/>
                <w:lang w:eastAsia="zh-CN"/>
              </w:rPr>
              <w:t>。</w:t>
            </w:r>
            <w:r>
              <w:rPr>
                <w:rFonts w:hint="eastAsia" w:ascii="宋体" w:hAnsi="宋体" w:eastAsia="宋体" w:cs="宋体"/>
                <w:color w:val="auto"/>
                <w:spacing w:val="0"/>
                <w:sz w:val="24"/>
                <w:szCs w:val="24"/>
              </w:rPr>
              <w:t xml:space="preserve"> 6、供应商</w:t>
            </w:r>
            <w:r>
              <w:rPr>
                <w:rFonts w:hint="eastAsia" w:ascii="宋体" w:hAnsi="宋体" w:cs="宋体"/>
                <w:color w:val="auto"/>
                <w:spacing w:val="0"/>
                <w:sz w:val="24"/>
                <w:szCs w:val="24"/>
                <w:lang w:eastAsia="zh-CN"/>
              </w:rPr>
              <w:t>被</w:t>
            </w:r>
            <w:r>
              <w:rPr>
                <w:rFonts w:hint="eastAsia" w:ascii="宋体" w:hAnsi="宋体" w:eastAsia="宋体" w:cs="宋体"/>
                <w:color w:val="auto"/>
                <w:spacing w:val="0"/>
                <w:sz w:val="24"/>
                <w:szCs w:val="24"/>
              </w:rPr>
              <w:t>“信用中国”网站（www.creditchina.gov.cn）列入失信被执行人</w:t>
            </w:r>
            <w:r>
              <w:rPr>
                <w:rFonts w:hint="eastAsia" w:ascii="宋体" w:hAnsi="宋体" w:cs="宋体"/>
                <w:color w:val="auto"/>
                <w:spacing w:val="0"/>
                <w:sz w:val="24"/>
                <w:szCs w:val="24"/>
                <w:lang w:eastAsia="zh-CN"/>
              </w:rPr>
              <w:t>、</w:t>
            </w:r>
            <w:r>
              <w:rPr>
                <w:rFonts w:hint="eastAsia" w:ascii="宋体" w:hAnsi="宋体" w:eastAsia="宋体" w:cs="宋体"/>
                <w:color w:val="auto"/>
                <w:spacing w:val="0"/>
                <w:sz w:val="24"/>
                <w:szCs w:val="24"/>
              </w:rPr>
              <w:t>重大税收违法案件当事人名单</w:t>
            </w:r>
            <w:r>
              <w:rPr>
                <w:rFonts w:hint="eastAsia" w:ascii="宋体" w:hAnsi="宋体" w:cs="宋体"/>
                <w:color w:val="auto"/>
                <w:spacing w:val="0"/>
                <w:sz w:val="24"/>
                <w:szCs w:val="24"/>
                <w:lang w:eastAsia="zh-CN"/>
              </w:rPr>
              <w:t>的</w:t>
            </w:r>
            <w:r>
              <w:rPr>
                <w:rFonts w:hint="eastAsia" w:ascii="宋体" w:hAnsi="宋体" w:eastAsia="宋体" w:cs="宋体"/>
                <w:color w:val="auto"/>
                <w:spacing w:val="0"/>
                <w:sz w:val="24"/>
                <w:szCs w:val="24"/>
              </w:rPr>
              <w:t>，</w:t>
            </w:r>
            <w:r>
              <w:rPr>
                <w:rFonts w:hint="eastAsia" w:ascii="宋体" w:hAnsi="宋体" w:cs="宋体"/>
                <w:color w:val="auto"/>
                <w:spacing w:val="0"/>
                <w:sz w:val="24"/>
                <w:szCs w:val="24"/>
                <w:lang w:eastAsia="zh-CN"/>
              </w:rPr>
              <w:t>供应商被“</w:t>
            </w:r>
            <w:r>
              <w:rPr>
                <w:rFonts w:hint="eastAsia" w:ascii="宋体" w:hAnsi="宋体" w:eastAsia="宋体" w:cs="宋体"/>
                <w:color w:val="auto"/>
                <w:spacing w:val="0"/>
                <w:sz w:val="24"/>
                <w:szCs w:val="24"/>
              </w:rPr>
              <w:t>中国政府采购网</w:t>
            </w:r>
            <w:r>
              <w:rPr>
                <w:rFonts w:hint="eastAsia" w:ascii="宋体" w:hAnsi="宋体" w:cs="宋体"/>
                <w:color w:val="auto"/>
                <w:spacing w:val="0"/>
                <w:sz w:val="24"/>
                <w:szCs w:val="24"/>
                <w:lang w:eastAsia="zh-CN"/>
              </w:rPr>
              <w:t>”</w:t>
            </w:r>
            <w:r>
              <w:rPr>
                <w:rFonts w:hint="eastAsia" w:ascii="宋体" w:hAnsi="宋体" w:eastAsia="宋体" w:cs="宋体"/>
                <w:color w:val="auto"/>
                <w:spacing w:val="0"/>
                <w:sz w:val="24"/>
                <w:szCs w:val="24"/>
              </w:rPr>
              <w:t>（www.ccgp.gov.cn）</w:t>
            </w:r>
            <w:r>
              <w:rPr>
                <w:rFonts w:hint="eastAsia" w:ascii="宋体" w:hAnsi="宋体" w:cs="宋体"/>
                <w:color w:val="auto"/>
                <w:spacing w:val="0"/>
                <w:sz w:val="24"/>
                <w:szCs w:val="24"/>
                <w:lang w:eastAsia="zh-CN"/>
              </w:rPr>
              <w:t>列入</w:t>
            </w:r>
            <w:r>
              <w:rPr>
                <w:rFonts w:hint="eastAsia" w:ascii="宋体" w:hAnsi="宋体" w:eastAsia="宋体" w:cs="宋体"/>
                <w:color w:val="auto"/>
                <w:spacing w:val="0"/>
                <w:sz w:val="24"/>
                <w:szCs w:val="24"/>
              </w:rPr>
              <w:t>政府采购严重违法失信行为记录名单</w:t>
            </w:r>
            <w:r>
              <w:rPr>
                <w:rFonts w:hint="eastAsia" w:ascii="宋体" w:hAnsi="宋体" w:cs="宋体"/>
                <w:color w:val="auto"/>
                <w:spacing w:val="0"/>
                <w:sz w:val="24"/>
                <w:szCs w:val="24"/>
                <w:lang w:eastAsia="zh-CN"/>
              </w:rPr>
              <w:t>的，不得参与本项目投标。</w:t>
            </w:r>
            <w:r>
              <w:rPr>
                <w:rFonts w:hint="eastAsia" w:ascii="宋体" w:hAnsi="宋体" w:eastAsia="宋体" w:cs="宋体"/>
                <w:color w:val="auto"/>
                <w:spacing w:val="0"/>
                <w:sz w:val="24"/>
                <w:szCs w:val="24"/>
              </w:rPr>
              <w:t>7、</w:t>
            </w:r>
            <w:r>
              <w:rPr>
                <w:rFonts w:hint="eastAsia" w:ascii="宋体" w:hAnsi="宋体" w:cs="宋体"/>
                <w:color w:val="auto"/>
                <w:spacing w:val="0"/>
                <w:sz w:val="24"/>
                <w:szCs w:val="24"/>
                <w:lang w:val="en-US" w:eastAsia="zh-CN"/>
              </w:rPr>
              <w:t>供应商负责人为同一人或者存在控股、管理关系的不同单位，不得同时参加本项目磋商。8、</w:t>
            </w:r>
            <w:r>
              <w:rPr>
                <w:rFonts w:hint="eastAsia" w:ascii="宋体" w:hAnsi="宋体" w:eastAsia="宋体" w:cs="宋体"/>
                <w:color w:val="auto"/>
                <w:spacing w:val="0"/>
                <w:sz w:val="24"/>
                <w:szCs w:val="24"/>
              </w:rPr>
              <w:t>本项目不接受联合体</w:t>
            </w:r>
            <w:r>
              <w:rPr>
                <w:rFonts w:hint="eastAsia" w:ascii="宋体" w:hAnsi="宋体" w:eastAsia="宋体" w:cs="宋体"/>
                <w:color w:val="auto"/>
                <w:spacing w:val="0"/>
                <w:sz w:val="24"/>
                <w:szCs w:val="24"/>
                <w:lang w:eastAsia="zh-CN"/>
              </w:rPr>
              <w:t>磋商</w:t>
            </w:r>
            <w:r>
              <w:rPr>
                <w:rFonts w:hint="eastAsia" w:ascii="宋体" w:hAnsi="宋体" w:eastAsia="宋体" w:cs="宋体"/>
                <w:color w:val="auto"/>
                <w:spacing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4</w:t>
            </w:r>
          </w:p>
        </w:tc>
        <w:tc>
          <w:tcPr>
            <w:tcW w:w="1077" w:type="dxa"/>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3.</w:t>
            </w:r>
            <w:r>
              <w:rPr>
                <w:rFonts w:hint="eastAsia" w:ascii="宋体" w:hAnsi="宋体" w:cs="宋体"/>
                <w:color w:val="auto"/>
                <w:spacing w:val="0"/>
                <w:sz w:val="24"/>
                <w:szCs w:val="24"/>
                <w:lang w:val="en-US" w:eastAsia="zh-CN"/>
              </w:rPr>
              <w:t>7</w:t>
            </w: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eastAsia="zh-CN"/>
              </w:rPr>
              <w:t>磋商保证金</w:t>
            </w:r>
          </w:p>
        </w:tc>
        <w:tc>
          <w:tcPr>
            <w:tcW w:w="5893" w:type="dxa"/>
            <w:noWrap w:val="0"/>
            <w:vAlign w:val="center"/>
          </w:tcPr>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保证金金额：人民币</w:t>
            </w:r>
            <w:r>
              <w:rPr>
                <w:rFonts w:hint="eastAsia" w:ascii="宋体" w:hAnsi="宋体" w:eastAsia="宋体" w:cs="宋体"/>
                <w:color w:val="auto"/>
                <w:spacing w:val="0"/>
                <w:sz w:val="24"/>
                <w:szCs w:val="24"/>
                <w:lang w:eastAsia="zh-CN"/>
              </w:rPr>
              <w:t>壹万元整</w:t>
            </w:r>
            <w:r>
              <w:rPr>
                <w:rFonts w:hint="eastAsia" w:ascii="宋体" w:hAnsi="宋体" w:eastAsia="宋体" w:cs="宋体"/>
                <w:b/>
                <w:color w:val="auto"/>
                <w:spacing w:val="0"/>
                <w:sz w:val="24"/>
                <w:szCs w:val="24"/>
              </w:rPr>
              <w:t>（</w:t>
            </w:r>
            <w:r>
              <w:rPr>
                <w:rFonts w:hint="eastAsia" w:ascii="宋体" w:hAnsi="宋体" w:eastAsia="宋体" w:cs="宋体"/>
                <w:b/>
                <w:color w:val="auto"/>
                <w:spacing w:val="0"/>
                <w:sz w:val="24"/>
                <w:szCs w:val="24"/>
                <w:u w:val="none"/>
                <w:lang w:eastAsia="zh-CN"/>
              </w:rPr>
              <w:t>￥：</w:t>
            </w:r>
            <w:r>
              <w:rPr>
                <w:rFonts w:hint="eastAsia" w:ascii="宋体" w:hAnsi="宋体" w:eastAsia="宋体" w:cs="宋体"/>
                <w:b/>
                <w:color w:val="auto"/>
                <w:spacing w:val="0"/>
                <w:sz w:val="24"/>
                <w:szCs w:val="24"/>
                <w:u w:val="none"/>
                <w:lang w:val="en-US" w:eastAsia="zh-CN"/>
              </w:rPr>
              <w:t>1</w:t>
            </w:r>
            <w:r>
              <w:rPr>
                <w:rFonts w:hint="eastAsia" w:ascii="宋体" w:hAnsi="宋体" w:cs="宋体"/>
                <w:b/>
                <w:color w:val="auto"/>
                <w:spacing w:val="0"/>
                <w:sz w:val="24"/>
                <w:szCs w:val="24"/>
                <w:u w:val="none"/>
                <w:lang w:val="en-US" w:eastAsia="zh-CN"/>
              </w:rPr>
              <w:t>0</w:t>
            </w:r>
            <w:r>
              <w:rPr>
                <w:rFonts w:hint="eastAsia" w:ascii="宋体" w:hAnsi="宋体" w:eastAsia="宋体" w:cs="宋体"/>
                <w:b/>
                <w:color w:val="auto"/>
                <w:spacing w:val="0"/>
                <w:sz w:val="24"/>
                <w:szCs w:val="24"/>
                <w:u w:val="none"/>
                <w:lang w:val="en-US" w:eastAsia="zh-CN"/>
              </w:rPr>
              <w:t>000.00</w:t>
            </w:r>
            <w:r>
              <w:rPr>
                <w:rFonts w:hint="eastAsia" w:ascii="宋体" w:hAnsi="宋体" w:eastAsia="宋体" w:cs="宋体"/>
                <w:b/>
                <w:color w:val="auto"/>
                <w:spacing w:val="0"/>
                <w:sz w:val="24"/>
                <w:szCs w:val="24"/>
                <w:u w:val="none"/>
              </w:rPr>
              <w:t>元</w:t>
            </w:r>
            <w:r>
              <w:rPr>
                <w:rFonts w:hint="eastAsia" w:ascii="宋体" w:hAnsi="宋体" w:eastAsia="宋体" w:cs="宋体"/>
                <w:b/>
                <w:color w:val="auto"/>
                <w:spacing w:val="0"/>
                <w:sz w:val="24"/>
                <w:szCs w:val="24"/>
              </w:rPr>
              <w:t>）</w:t>
            </w:r>
            <w:r>
              <w:rPr>
                <w:rFonts w:hint="eastAsia" w:ascii="宋体" w:hAnsi="宋体" w:eastAsia="宋体" w:cs="宋体"/>
                <w:color w:val="auto"/>
                <w:spacing w:val="0"/>
                <w:sz w:val="24"/>
                <w:szCs w:val="24"/>
              </w:rPr>
              <w:t>。</w:t>
            </w:r>
          </w:p>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b/>
                <w:bCs/>
                <w:color w:val="auto"/>
                <w:spacing w:val="0"/>
                <w:sz w:val="24"/>
                <w:szCs w:val="24"/>
              </w:rPr>
              <w:t>保证金形式1：银行电汇或转账</w:t>
            </w:r>
            <w:r>
              <w:rPr>
                <w:rFonts w:hint="eastAsia" w:ascii="宋体" w:hAnsi="宋体" w:eastAsia="宋体" w:cs="宋体"/>
                <w:color w:val="auto"/>
                <w:spacing w:val="0"/>
                <w:sz w:val="24"/>
                <w:szCs w:val="24"/>
              </w:rPr>
              <w:t>（</w:t>
            </w:r>
            <w:r>
              <w:rPr>
                <w:rFonts w:hint="eastAsia" w:ascii="宋体" w:hAnsi="宋体" w:eastAsia="宋体" w:cs="宋体"/>
                <w:color w:val="auto"/>
                <w:spacing w:val="0"/>
                <w:sz w:val="24"/>
                <w:szCs w:val="24"/>
                <w:lang w:eastAsia="zh-CN"/>
              </w:rPr>
              <w:t>磋商</w:t>
            </w:r>
            <w:r>
              <w:rPr>
                <w:rFonts w:hint="eastAsia" w:ascii="宋体" w:hAnsi="宋体" w:eastAsia="宋体" w:cs="宋体"/>
                <w:color w:val="auto"/>
                <w:spacing w:val="0"/>
                <w:sz w:val="24"/>
                <w:szCs w:val="24"/>
              </w:rPr>
              <w:t>保证金必须由</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的基本账户一次性汇入以下账户）</w:t>
            </w:r>
          </w:p>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开户银行及账号如下：</w:t>
            </w:r>
          </w:p>
          <w:p>
            <w:pPr>
              <w:keepNext w:val="0"/>
              <w:keepLines w:val="0"/>
              <w:pageBreakBefore w:val="0"/>
              <w:widowControl/>
              <w:kinsoku/>
              <w:wordWrap w:val="0"/>
              <w:overflowPunct/>
              <w:topLinePunct w:val="0"/>
              <w:autoSpaceDE/>
              <w:autoSpaceDN/>
              <w:bidi w:val="0"/>
              <w:adjustRightInd/>
              <w:snapToGrid/>
              <w:spacing w:line="360" w:lineRule="auto"/>
              <w:ind w:left="0" w:leftChars="0" w:right="-197" w:rightChars="-94" w:firstLine="0" w:firstLineChars="0"/>
              <w:jc w:val="left"/>
              <w:textAlignment w:val="auto"/>
              <w:outlineLvl w:val="9"/>
              <w:rPr>
                <w:rFonts w:hint="eastAsia" w:ascii="宋体" w:hAnsi="宋体" w:eastAsia="宋体" w:cs="宋体"/>
                <w:color w:val="000000" w:themeColor="text1"/>
                <w:spacing w:val="0"/>
                <w:kern w:val="0"/>
                <w:sz w:val="24"/>
                <w:szCs w:val="24"/>
                <w:lang w:eastAsia="zh-CN"/>
                <w14:textFill>
                  <w14:solidFill>
                    <w14:schemeClr w14:val="tx1"/>
                  </w14:solidFill>
                </w14:textFill>
              </w:rPr>
            </w:pPr>
            <w:r>
              <w:rPr>
                <w:rFonts w:hint="eastAsia" w:ascii="宋体" w:hAnsi="宋体" w:eastAsia="宋体" w:cs="宋体"/>
                <w:color w:val="auto"/>
                <w:spacing w:val="0"/>
                <w:kern w:val="0"/>
                <w:sz w:val="24"/>
                <w:szCs w:val="24"/>
              </w:rPr>
              <w:t>开户名称</w:t>
            </w:r>
            <w:r>
              <w:rPr>
                <w:rFonts w:hint="eastAsia" w:ascii="宋体" w:hAnsi="宋体" w:eastAsia="宋体" w:cs="宋体"/>
                <w:color w:val="000000" w:themeColor="text1"/>
                <w:spacing w:val="0"/>
                <w:kern w:val="0"/>
                <w:sz w:val="24"/>
                <w:szCs w:val="24"/>
                <w14:textFill>
                  <w14:solidFill>
                    <w14:schemeClr w14:val="tx1"/>
                  </w14:solidFill>
                </w14:textFill>
              </w:rPr>
              <w:t>：</w:t>
            </w:r>
            <w:r>
              <w:rPr>
                <w:rFonts w:hint="eastAsia" w:ascii="宋体" w:hAnsi="宋体" w:cs="宋体"/>
                <w:color w:val="000000" w:themeColor="text1"/>
                <w:spacing w:val="0"/>
                <w:kern w:val="0"/>
                <w:sz w:val="24"/>
                <w:szCs w:val="24"/>
                <w:lang w:eastAsia="zh-CN"/>
                <w14:textFill>
                  <w14:solidFill>
                    <w14:schemeClr w14:val="tx1"/>
                  </w14:solidFill>
                </w14:textFill>
              </w:rPr>
              <w:t>致君项目管理有限公司咸阳分公司</w:t>
            </w:r>
          </w:p>
          <w:p>
            <w:pPr>
              <w:keepNext w:val="0"/>
              <w:keepLines w:val="0"/>
              <w:pageBreakBefore w:val="0"/>
              <w:widowControl/>
              <w:kinsoku/>
              <w:wordWrap w:val="0"/>
              <w:overflowPunct/>
              <w:topLinePunct w:val="0"/>
              <w:autoSpaceDE/>
              <w:autoSpaceDN/>
              <w:bidi w:val="0"/>
              <w:adjustRightInd/>
              <w:snapToGrid/>
              <w:spacing w:line="360" w:lineRule="auto"/>
              <w:ind w:left="0" w:leftChars="0" w:right="-197" w:rightChars="-94" w:firstLine="0" w:firstLineChars="0"/>
              <w:jc w:val="left"/>
              <w:textAlignment w:val="auto"/>
              <w:outlineLvl w:val="9"/>
              <w:rPr>
                <w:rFonts w:hint="eastAsia" w:ascii="宋体" w:hAnsi="宋体" w:eastAsia="宋体" w:cs="宋体"/>
                <w:color w:val="000000" w:themeColor="text1"/>
                <w:spacing w:val="0"/>
                <w:kern w:val="0"/>
                <w:sz w:val="24"/>
                <w:szCs w:val="24"/>
                <w:lang w:eastAsia="zh-CN"/>
                <w14:textFill>
                  <w14:solidFill>
                    <w14:schemeClr w14:val="tx1"/>
                  </w14:solidFill>
                </w14:textFill>
              </w:rPr>
            </w:pPr>
            <w:r>
              <w:rPr>
                <w:rFonts w:hint="eastAsia" w:ascii="宋体" w:hAnsi="宋体" w:eastAsia="宋体" w:cs="宋体"/>
                <w:color w:val="000000" w:themeColor="text1"/>
                <w:spacing w:val="0"/>
                <w:kern w:val="0"/>
                <w:sz w:val="24"/>
                <w:szCs w:val="24"/>
                <w14:textFill>
                  <w14:solidFill>
                    <w14:schemeClr w14:val="tx1"/>
                  </w14:solidFill>
                </w14:textFill>
              </w:rPr>
              <w:t>开</w:t>
            </w:r>
            <w:r>
              <w:rPr>
                <w:rFonts w:hint="eastAsia" w:ascii="宋体" w:hAnsi="宋体" w:eastAsia="宋体" w:cs="宋体"/>
                <w:color w:val="000000" w:themeColor="text1"/>
                <w:spacing w:val="0"/>
                <w:kern w:val="0"/>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0"/>
                <w:kern w:val="0"/>
                <w:sz w:val="24"/>
                <w:szCs w:val="24"/>
                <w14:textFill>
                  <w14:solidFill>
                    <w14:schemeClr w14:val="tx1"/>
                  </w14:solidFill>
                </w14:textFill>
              </w:rPr>
              <w:t>户</w:t>
            </w:r>
            <w:r>
              <w:rPr>
                <w:rFonts w:hint="eastAsia" w:ascii="宋体" w:hAnsi="宋体" w:eastAsia="宋体" w:cs="宋体"/>
                <w:color w:val="000000" w:themeColor="text1"/>
                <w:spacing w:val="0"/>
                <w:kern w:val="0"/>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0"/>
                <w:kern w:val="0"/>
                <w:sz w:val="24"/>
                <w:szCs w:val="24"/>
                <w14:textFill>
                  <w14:solidFill>
                    <w14:schemeClr w14:val="tx1"/>
                  </w14:solidFill>
                </w14:textFill>
              </w:rPr>
              <w:t>行：中国工商银行股份有限公司咸阳人民西路支行</w:t>
            </w:r>
          </w:p>
          <w:p>
            <w:pPr>
              <w:keepNext w:val="0"/>
              <w:keepLines w:val="0"/>
              <w:pageBreakBefore w:val="0"/>
              <w:widowControl/>
              <w:kinsoku/>
              <w:wordWrap w:val="0"/>
              <w:overflowPunct/>
              <w:topLinePunct w:val="0"/>
              <w:autoSpaceDE/>
              <w:autoSpaceDN/>
              <w:bidi w:val="0"/>
              <w:adjustRightInd/>
              <w:snapToGrid/>
              <w:spacing w:line="360" w:lineRule="auto"/>
              <w:ind w:left="0" w:leftChars="0" w:right="-197" w:rightChars="-94" w:firstLine="0" w:firstLineChars="0"/>
              <w:jc w:val="left"/>
              <w:textAlignment w:val="auto"/>
              <w:outlineLvl w:val="9"/>
              <w:rPr>
                <w:rFonts w:hint="eastAsia" w:ascii="宋体" w:hAnsi="宋体" w:eastAsia="宋体" w:cs="宋体"/>
                <w:color w:val="000000" w:themeColor="text1"/>
                <w:spacing w:val="0"/>
                <w:kern w:val="0"/>
                <w:sz w:val="24"/>
                <w:szCs w:val="24"/>
                <w:lang w:eastAsia="zh-CN"/>
                <w14:textFill>
                  <w14:solidFill>
                    <w14:schemeClr w14:val="tx1"/>
                  </w14:solidFill>
                </w14:textFill>
              </w:rPr>
            </w:pPr>
            <w:r>
              <w:rPr>
                <w:rFonts w:hint="eastAsia" w:ascii="宋体" w:hAnsi="宋体" w:eastAsia="宋体" w:cs="宋体"/>
                <w:color w:val="000000" w:themeColor="text1"/>
                <w:spacing w:val="0"/>
                <w:kern w:val="0"/>
                <w:sz w:val="24"/>
                <w:szCs w:val="24"/>
                <w14:textFill>
                  <w14:solidFill>
                    <w14:schemeClr w14:val="tx1"/>
                  </w14:solidFill>
                </w14:textFill>
              </w:rPr>
              <w:t xml:space="preserve">账 </w:t>
            </w:r>
            <w:r>
              <w:rPr>
                <w:rFonts w:hint="eastAsia" w:ascii="宋体" w:hAnsi="宋体" w:eastAsia="宋体" w:cs="宋体"/>
                <w:color w:val="000000" w:themeColor="text1"/>
                <w:spacing w:val="0"/>
                <w:kern w:val="0"/>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0"/>
                <w:kern w:val="0"/>
                <w:sz w:val="24"/>
                <w:szCs w:val="24"/>
                <w14:textFill>
                  <w14:solidFill>
                    <w14:schemeClr w14:val="tx1"/>
                  </w14:solidFill>
                </w14:textFill>
              </w:rPr>
              <w:t xml:space="preserve"> 号：2604020609200162932</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b/>
                <w:bCs/>
                <w:color w:val="auto"/>
                <w:spacing w:val="0"/>
                <w:sz w:val="24"/>
                <w:szCs w:val="24"/>
              </w:rPr>
              <w:t>保证金形式2：银行保函</w:t>
            </w:r>
          </w:p>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rPr>
              <w:t xml:space="preserve"> </w:t>
            </w:r>
            <w:r>
              <w:rPr>
                <w:rFonts w:hint="eastAsia" w:ascii="宋体" w:hAnsi="宋体" w:eastAsia="宋体" w:cs="宋体"/>
                <w:color w:val="auto"/>
                <w:spacing w:val="0"/>
                <w:sz w:val="24"/>
                <w:szCs w:val="24"/>
                <w:lang w:eastAsia="zh-CN"/>
              </w:rPr>
              <w:t>开具保函的银行级别：</w:t>
            </w:r>
          </w:p>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 xml:space="preserve"> ①供应商基本账户开户行</w:t>
            </w:r>
          </w:p>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 xml:space="preserve"> ②地市级以上有信誉的国家或股份制商业银行的分行或支行</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保证金形式3：</w:t>
            </w:r>
            <w:r>
              <w:rPr>
                <w:rFonts w:hint="eastAsia" w:ascii="宋体" w:hAnsi="宋体" w:eastAsia="宋体" w:cs="宋体"/>
                <w:b/>
                <w:bCs/>
                <w:color w:val="auto"/>
                <w:spacing w:val="0"/>
                <w:sz w:val="24"/>
                <w:szCs w:val="24"/>
                <w:lang w:eastAsia="zh-CN"/>
              </w:rPr>
              <w:t>担保机构保函</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出具保函的担保机构须具有相应经营许可证。</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说明：</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①保证金的递交截止时间：</w:t>
            </w:r>
            <w:r>
              <w:rPr>
                <w:rFonts w:hint="eastAsia" w:ascii="宋体" w:hAnsi="宋体" w:eastAsia="宋体" w:cs="宋体"/>
                <w:b/>
                <w:bCs/>
                <w:color w:val="auto"/>
                <w:spacing w:val="0"/>
                <w:sz w:val="24"/>
                <w:szCs w:val="24"/>
                <w:u w:val="single"/>
                <w:lang w:val="en-US" w:eastAsia="zh-CN"/>
              </w:rPr>
              <w:t>20</w:t>
            </w:r>
            <w:r>
              <w:rPr>
                <w:rFonts w:hint="eastAsia" w:ascii="宋体" w:hAnsi="宋体" w:cs="宋体"/>
                <w:b/>
                <w:bCs/>
                <w:color w:val="auto"/>
                <w:spacing w:val="0"/>
                <w:sz w:val="24"/>
                <w:szCs w:val="24"/>
                <w:u w:val="single"/>
                <w:lang w:val="en-US" w:eastAsia="zh-CN"/>
              </w:rPr>
              <w:t>21</w:t>
            </w:r>
            <w:r>
              <w:rPr>
                <w:rFonts w:hint="eastAsia" w:ascii="宋体" w:hAnsi="宋体" w:eastAsia="宋体" w:cs="宋体"/>
                <w:b/>
                <w:bCs/>
                <w:color w:val="auto"/>
                <w:spacing w:val="0"/>
                <w:sz w:val="24"/>
                <w:szCs w:val="24"/>
                <w:u w:val="single"/>
                <w:lang w:val="en-US" w:eastAsia="zh-CN"/>
              </w:rPr>
              <w:t>年</w:t>
            </w:r>
            <w:r>
              <w:rPr>
                <w:rFonts w:hint="eastAsia" w:ascii="宋体" w:hAnsi="宋体" w:cs="宋体"/>
                <w:b/>
                <w:bCs/>
                <w:color w:val="auto"/>
                <w:spacing w:val="0"/>
                <w:sz w:val="24"/>
                <w:szCs w:val="24"/>
                <w:u w:val="single"/>
                <w:lang w:val="en-US" w:eastAsia="zh-CN"/>
              </w:rPr>
              <w:t>03</w:t>
            </w:r>
            <w:r>
              <w:rPr>
                <w:rFonts w:hint="eastAsia" w:ascii="宋体" w:hAnsi="宋体" w:eastAsia="宋体" w:cs="宋体"/>
                <w:b/>
                <w:bCs/>
                <w:color w:val="auto"/>
                <w:spacing w:val="0"/>
                <w:sz w:val="24"/>
                <w:szCs w:val="24"/>
                <w:u w:val="single"/>
                <w:lang w:val="en-US" w:eastAsia="zh-CN"/>
              </w:rPr>
              <w:t>月</w:t>
            </w:r>
            <w:r>
              <w:rPr>
                <w:rFonts w:hint="eastAsia" w:ascii="宋体" w:hAnsi="宋体" w:cs="宋体"/>
                <w:b/>
                <w:bCs/>
                <w:color w:val="auto"/>
                <w:spacing w:val="0"/>
                <w:sz w:val="24"/>
                <w:szCs w:val="24"/>
                <w:u w:val="single"/>
                <w:lang w:val="en-US" w:eastAsia="zh-CN"/>
              </w:rPr>
              <w:t>26</w:t>
            </w:r>
            <w:r>
              <w:rPr>
                <w:rFonts w:hint="eastAsia" w:ascii="宋体" w:hAnsi="宋体" w:eastAsia="宋体" w:cs="宋体"/>
                <w:b/>
                <w:bCs/>
                <w:color w:val="auto"/>
                <w:spacing w:val="0"/>
                <w:sz w:val="24"/>
                <w:szCs w:val="24"/>
                <w:u w:val="single"/>
                <w:lang w:val="en-US" w:eastAsia="zh-CN"/>
              </w:rPr>
              <w:t>日</w:t>
            </w:r>
            <w:r>
              <w:rPr>
                <w:rFonts w:hint="eastAsia" w:ascii="宋体" w:hAnsi="宋体" w:cs="宋体"/>
                <w:b/>
                <w:bCs/>
                <w:color w:val="auto"/>
                <w:spacing w:val="0"/>
                <w:sz w:val="24"/>
                <w:szCs w:val="24"/>
                <w:lang w:val="en-US" w:eastAsia="zh-CN"/>
              </w:rPr>
              <w:t>09</w:t>
            </w:r>
            <w:r>
              <w:rPr>
                <w:rFonts w:hint="eastAsia" w:ascii="宋体" w:hAnsi="宋体" w:eastAsia="宋体" w:cs="宋体"/>
                <w:b/>
                <w:bCs/>
                <w:color w:val="auto"/>
                <w:spacing w:val="0"/>
                <w:sz w:val="24"/>
                <w:szCs w:val="24"/>
                <w:lang w:val="en-US" w:eastAsia="zh-CN"/>
              </w:rPr>
              <w:t>:</w:t>
            </w:r>
            <w:r>
              <w:rPr>
                <w:rFonts w:hint="eastAsia" w:ascii="宋体" w:hAnsi="宋体" w:cs="宋体"/>
                <w:b/>
                <w:bCs/>
                <w:color w:val="auto"/>
                <w:spacing w:val="0"/>
                <w:sz w:val="24"/>
                <w:szCs w:val="24"/>
                <w:lang w:val="en-US" w:eastAsia="zh-CN"/>
              </w:rPr>
              <w:t>3</w:t>
            </w:r>
            <w:r>
              <w:rPr>
                <w:rFonts w:hint="eastAsia" w:ascii="宋体" w:hAnsi="宋体" w:eastAsia="宋体" w:cs="宋体"/>
                <w:b/>
                <w:bCs/>
                <w:color w:val="auto"/>
                <w:spacing w:val="0"/>
                <w:sz w:val="24"/>
                <w:szCs w:val="24"/>
                <w:lang w:val="en-US" w:eastAsia="zh-CN"/>
              </w:rPr>
              <w:t>0之前</w:t>
            </w:r>
            <w:r>
              <w:rPr>
                <w:rFonts w:hint="eastAsia" w:ascii="宋体" w:hAnsi="宋体" w:eastAsia="宋体" w:cs="宋体"/>
                <w:b/>
                <w:bCs/>
                <w:color w:val="auto"/>
                <w:spacing w:val="0"/>
                <w:sz w:val="24"/>
                <w:szCs w:val="24"/>
              </w:rPr>
              <w:t>（</w:t>
            </w:r>
            <w:r>
              <w:rPr>
                <w:rFonts w:hint="eastAsia" w:ascii="宋体" w:hAnsi="宋体" w:cs="宋体"/>
                <w:b/>
                <w:bCs/>
                <w:color w:val="auto"/>
                <w:spacing w:val="0"/>
                <w:sz w:val="24"/>
                <w:szCs w:val="24"/>
                <w:lang w:val="en-US" w:eastAsia="zh-CN"/>
              </w:rPr>
              <w:t>09</w:t>
            </w:r>
            <w:r>
              <w:rPr>
                <w:rFonts w:hint="eastAsia" w:ascii="宋体" w:hAnsi="宋体" w:eastAsia="宋体" w:cs="宋体"/>
                <w:b/>
                <w:bCs/>
                <w:color w:val="auto"/>
                <w:spacing w:val="0"/>
                <w:sz w:val="24"/>
                <w:szCs w:val="24"/>
              </w:rPr>
              <w:t>:</w:t>
            </w:r>
            <w:r>
              <w:rPr>
                <w:rFonts w:hint="eastAsia" w:ascii="宋体" w:hAnsi="宋体" w:cs="宋体"/>
                <w:b/>
                <w:bCs/>
                <w:color w:val="auto"/>
                <w:spacing w:val="0"/>
                <w:sz w:val="24"/>
                <w:szCs w:val="24"/>
                <w:lang w:val="en-US" w:eastAsia="zh-CN"/>
              </w:rPr>
              <w:t>3</w:t>
            </w:r>
            <w:r>
              <w:rPr>
                <w:rFonts w:hint="eastAsia" w:ascii="宋体" w:hAnsi="宋体" w:eastAsia="宋体" w:cs="宋体"/>
                <w:b/>
                <w:bCs/>
                <w:color w:val="auto"/>
                <w:spacing w:val="0"/>
                <w:sz w:val="24"/>
                <w:szCs w:val="24"/>
              </w:rPr>
              <w:t>0前未到账视为自动放弃投标），供应商须确保在以上截止时间之前完成</w:t>
            </w:r>
            <w:r>
              <w:rPr>
                <w:rFonts w:hint="eastAsia" w:ascii="宋体" w:hAnsi="宋体" w:eastAsia="宋体" w:cs="宋体"/>
                <w:b/>
                <w:bCs/>
                <w:color w:val="auto"/>
                <w:spacing w:val="0"/>
                <w:sz w:val="24"/>
                <w:szCs w:val="24"/>
                <w:lang w:eastAsia="zh-CN"/>
              </w:rPr>
              <w:t>磋商</w:t>
            </w:r>
            <w:r>
              <w:rPr>
                <w:rFonts w:hint="eastAsia" w:ascii="宋体" w:hAnsi="宋体" w:eastAsia="宋体" w:cs="宋体"/>
                <w:b/>
                <w:bCs/>
                <w:color w:val="auto"/>
                <w:spacing w:val="0"/>
                <w:sz w:val="24"/>
                <w:szCs w:val="24"/>
              </w:rPr>
              <w:t>保证金的缴纳。</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②供应商可自行选择提交保证金的形式，但必须体现项目名称，未按规定交纳的视为自动放弃投标。</w:t>
            </w:r>
          </w:p>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b/>
                <w:bCs/>
                <w:color w:val="auto"/>
                <w:spacing w:val="0"/>
                <w:sz w:val="24"/>
                <w:szCs w:val="24"/>
              </w:rPr>
              <w:t>③采用银行电汇或转账形式的转账时应注明“项目名称、编号及</w:t>
            </w:r>
            <w:r>
              <w:rPr>
                <w:rFonts w:hint="eastAsia" w:ascii="宋体" w:hAnsi="宋体" w:eastAsia="宋体" w:cs="宋体"/>
                <w:b/>
                <w:bCs/>
                <w:color w:val="auto"/>
                <w:spacing w:val="0"/>
                <w:sz w:val="24"/>
                <w:szCs w:val="24"/>
                <w:lang w:eastAsia="zh-CN"/>
              </w:rPr>
              <w:t>磋商</w:t>
            </w:r>
            <w:r>
              <w:rPr>
                <w:rFonts w:hint="eastAsia" w:ascii="宋体" w:hAnsi="宋体" w:eastAsia="宋体" w:cs="宋体"/>
                <w:b/>
                <w:bCs/>
                <w:color w:val="auto"/>
                <w:spacing w:val="0"/>
                <w:sz w:val="24"/>
                <w:szCs w:val="24"/>
              </w:rPr>
              <w:t>保证金字样”的内容</w:t>
            </w:r>
            <w:r>
              <w:rPr>
                <w:rFonts w:hint="eastAsia" w:ascii="宋体" w:hAnsi="宋体" w:cs="宋体"/>
                <w:b/>
                <w:bCs/>
                <w:color w:val="auto"/>
                <w:spacing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7"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eastAsia="zh-CN"/>
              </w:rPr>
            </w:pPr>
            <w:r>
              <w:rPr>
                <w:rFonts w:hint="eastAsia" w:ascii="宋体" w:hAnsi="宋体" w:eastAsia="宋体" w:cs="宋体"/>
                <w:i w:val="0"/>
                <w:color w:val="auto"/>
                <w:spacing w:val="0"/>
                <w:kern w:val="0"/>
                <w:sz w:val="24"/>
                <w:szCs w:val="24"/>
                <w:u w:val="none"/>
                <w:lang w:val="en-US" w:eastAsia="zh-CN" w:bidi="ar"/>
              </w:rPr>
              <w:t>5</w:t>
            </w:r>
          </w:p>
        </w:tc>
        <w:tc>
          <w:tcPr>
            <w:tcW w:w="1077" w:type="dxa"/>
            <w:noWrap w:val="0"/>
            <w:vAlign w:val="center"/>
          </w:tcPr>
          <w:p>
            <w:pPr>
              <w:kinsoku w:val="0"/>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3.</w:t>
            </w:r>
            <w:r>
              <w:rPr>
                <w:rFonts w:hint="eastAsia" w:ascii="宋体" w:hAnsi="宋体" w:cs="宋体"/>
                <w:color w:val="auto"/>
                <w:spacing w:val="0"/>
                <w:sz w:val="24"/>
                <w:szCs w:val="24"/>
                <w:lang w:val="en-US" w:eastAsia="zh-CN"/>
              </w:rPr>
              <w:t>6</w:t>
            </w:r>
            <w:r>
              <w:rPr>
                <w:rFonts w:hint="eastAsia" w:ascii="宋体" w:hAnsi="宋体" w:eastAsia="宋体" w:cs="宋体"/>
                <w:color w:val="auto"/>
                <w:spacing w:val="0"/>
                <w:sz w:val="24"/>
                <w:szCs w:val="24"/>
                <w:lang w:val="en-US" w:eastAsia="zh-CN"/>
              </w:rPr>
              <w:t>.1</w:t>
            </w:r>
          </w:p>
        </w:tc>
        <w:tc>
          <w:tcPr>
            <w:tcW w:w="1460" w:type="dxa"/>
            <w:noWrap w:val="0"/>
            <w:vAlign w:val="center"/>
          </w:tcPr>
          <w:p>
            <w:pPr>
              <w:kinsoku w:val="0"/>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磋商</w:t>
            </w:r>
            <w:r>
              <w:rPr>
                <w:rFonts w:hint="eastAsia" w:ascii="宋体" w:hAnsi="宋体" w:eastAsia="宋体" w:cs="宋体"/>
                <w:color w:val="auto"/>
                <w:spacing w:val="0"/>
                <w:sz w:val="24"/>
                <w:szCs w:val="24"/>
              </w:rPr>
              <w:t>有效期</w:t>
            </w:r>
          </w:p>
        </w:tc>
        <w:tc>
          <w:tcPr>
            <w:tcW w:w="5893" w:type="dxa"/>
            <w:noWrap w:val="0"/>
            <w:vAlign w:val="center"/>
          </w:tcPr>
          <w:p>
            <w:pPr>
              <w:keepNext w:val="0"/>
              <w:keepLines w:val="0"/>
              <w:pageBreakBefore w:val="0"/>
              <w:kinsoku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自提交磋商响应文件的截止之日起</w:t>
            </w:r>
            <w:r>
              <w:rPr>
                <w:rFonts w:hint="eastAsia" w:ascii="宋体" w:hAnsi="宋体" w:eastAsia="宋体" w:cs="宋体"/>
                <w:color w:val="auto"/>
                <w:spacing w:val="0"/>
                <w:sz w:val="24"/>
                <w:szCs w:val="24"/>
                <w:lang w:val="en-US" w:eastAsia="zh-CN"/>
              </w:rPr>
              <w:t>90日历天</w:t>
            </w:r>
            <w:r>
              <w:rPr>
                <w:rFonts w:hint="eastAsia" w:ascii="宋体" w:hAnsi="宋体" w:eastAsia="宋体" w:cs="宋体"/>
                <w:color w:val="auto"/>
                <w:spacing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i w:val="0"/>
                <w:color w:val="auto"/>
                <w:spacing w:val="0"/>
                <w:kern w:val="0"/>
                <w:sz w:val="24"/>
                <w:szCs w:val="24"/>
                <w:u w:val="none"/>
                <w:lang w:val="en-US" w:eastAsia="zh-CN" w:bidi="ar"/>
              </w:rPr>
              <w:t>6</w:t>
            </w:r>
          </w:p>
        </w:tc>
        <w:tc>
          <w:tcPr>
            <w:tcW w:w="1077" w:type="dxa"/>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4.2</w:t>
            </w: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磋商响应</w:t>
            </w:r>
            <w:r>
              <w:rPr>
                <w:rFonts w:hint="eastAsia" w:ascii="宋体" w:hAnsi="宋体" w:eastAsia="宋体" w:cs="宋体"/>
                <w:color w:val="auto"/>
                <w:spacing w:val="0"/>
                <w:sz w:val="24"/>
                <w:szCs w:val="24"/>
              </w:rPr>
              <w:t>文件份数</w:t>
            </w:r>
          </w:p>
        </w:tc>
        <w:tc>
          <w:tcPr>
            <w:tcW w:w="5893" w:type="dxa"/>
            <w:noWrap w:val="0"/>
            <w:vAlign w:val="center"/>
          </w:tcPr>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rPr>
              <w:t>正本一份、副本</w:t>
            </w:r>
            <w:r>
              <w:rPr>
                <w:rFonts w:hint="eastAsia" w:ascii="宋体" w:hAnsi="宋体" w:eastAsia="宋体" w:cs="宋体"/>
                <w:color w:val="auto"/>
                <w:spacing w:val="0"/>
                <w:sz w:val="24"/>
                <w:szCs w:val="24"/>
                <w:lang w:eastAsia="zh-CN"/>
              </w:rPr>
              <w:t>一</w:t>
            </w:r>
            <w:r>
              <w:rPr>
                <w:rFonts w:hint="eastAsia" w:ascii="宋体" w:hAnsi="宋体" w:eastAsia="宋体" w:cs="宋体"/>
                <w:color w:val="auto"/>
                <w:spacing w:val="0"/>
                <w:sz w:val="24"/>
                <w:szCs w:val="24"/>
              </w:rPr>
              <w:t>份、</w:t>
            </w:r>
            <w:r>
              <w:rPr>
                <w:rFonts w:hint="eastAsia" w:ascii="宋体" w:hAnsi="宋体" w:eastAsia="宋体" w:cs="宋体"/>
                <w:color w:val="auto"/>
                <w:spacing w:val="0"/>
                <w:sz w:val="24"/>
                <w:szCs w:val="24"/>
                <w:highlight w:val="none"/>
              </w:rPr>
              <w:t>电子</w:t>
            </w:r>
            <w:r>
              <w:rPr>
                <w:rFonts w:hint="eastAsia" w:ascii="宋体" w:hAnsi="宋体" w:eastAsia="宋体" w:cs="宋体"/>
                <w:color w:val="auto"/>
                <w:spacing w:val="0"/>
                <w:sz w:val="24"/>
                <w:szCs w:val="24"/>
                <w:highlight w:val="none"/>
                <w:lang w:eastAsia="zh-CN"/>
              </w:rPr>
              <w:t>版</w:t>
            </w:r>
            <w:r>
              <w:rPr>
                <w:rFonts w:hint="eastAsia" w:ascii="宋体" w:hAnsi="宋体" w:cs="宋体"/>
                <w:color w:val="auto"/>
                <w:spacing w:val="0"/>
                <w:sz w:val="24"/>
                <w:szCs w:val="24"/>
                <w:highlight w:val="none"/>
                <w:lang w:eastAsia="zh-CN"/>
              </w:rPr>
              <w:t>两</w:t>
            </w:r>
            <w:r>
              <w:rPr>
                <w:rFonts w:hint="eastAsia" w:ascii="宋体" w:hAnsi="宋体" w:eastAsia="宋体" w:cs="宋体"/>
                <w:color w:val="auto"/>
                <w:spacing w:val="0"/>
                <w:sz w:val="24"/>
                <w:szCs w:val="24"/>
                <w:highlight w:val="none"/>
              </w:rPr>
              <w:t>份(</w:t>
            </w:r>
            <w:r>
              <w:rPr>
                <w:rFonts w:hint="eastAsia" w:ascii="宋体" w:hAnsi="宋体" w:cs="宋体"/>
                <w:color w:val="auto"/>
                <w:spacing w:val="0"/>
                <w:sz w:val="24"/>
                <w:szCs w:val="24"/>
                <w:highlight w:val="none"/>
                <w:lang w:val="en-US" w:eastAsia="zh-CN"/>
              </w:rPr>
              <w:t>U</w:t>
            </w:r>
            <w:r>
              <w:rPr>
                <w:rFonts w:hint="eastAsia" w:ascii="宋体" w:hAnsi="宋体" w:eastAsia="宋体" w:cs="宋体"/>
                <w:color w:val="auto"/>
                <w:spacing w:val="0"/>
                <w:sz w:val="24"/>
                <w:szCs w:val="24"/>
                <w:highlight w:val="none"/>
                <w:lang w:val="en-US" w:eastAsia="zh-CN"/>
              </w:rPr>
              <w:t>盘，电子文本</w:t>
            </w:r>
            <w:r>
              <w:rPr>
                <w:rFonts w:hint="eastAsia" w:ascii="宋体" w:hAnsi="宋体" w:eastAsia="宋体" w:cs="宋体"/>
                <w:color w:val="auto"/>
                <w:spacing w:val="0"/>
                <w:sz w:val="24"/>
                <w:szCs w:val="24"/>
                <w:highlight w:val="none"/>
              </w:rPr>
              <w:t>必须和正本内容保持一致</w:t>
            </w:r>
            <w:r>
              <w:rPr>
                <w:rFonts w:hint="eastAsia" w:ascii="宋体" w:hAnsi="宋体" w:cs="宋体"/>
                <w:color w:val="auto"/>
                <w:spacing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i w:val="0"/>
                <w:color w:val="auto"/>
                <w:spacing w:val="0"/>
                <w:kern w:val="0"/>
                <w:sz w:val="24"/>
                <w:szCs w:val="24"/>
                <w:u w:val="none"/>
                <w:lang w:val="en-US" w:eastAsia="zh-CN" w:bidi="ar"/>
              </w:rPr>
              <w:t>7</w:t>
            </w:r>
          </w:p>
        </w:tc>
        <w:tc>
          <w:tcPr>
            <w:tcW w:w="1077" w:type="dxa"/>
            <w:noWrap w:val="0"/>
            <w:vAlign w:val="center"/>
          </w:tcPr>
          <w:p>
            <w:pPr>
              <w:autoSpaceDE w:val="0"/>
              <w:snapToGrid w:val="0"/>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5.1</w:t>
            </w:r>
          </w:p>
        </w:tc>
        <w:tc>
          <w:tcPr>
            <w:tcW w:w="1460" w:type="dxa"/>
            <w:noWrap w:val="0"/>
            <w:vAlign w:val="center"/>
          </w:tcPr>
          <w:p>
            <w:pPr>
              <w:autoSpaceDE w:val="0"/>
              <w:snapToGrid w:val="0"/>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磋商响应文件</w:t>
            </w:r>
            <w:r>
              <w:rPr>
                <w:rFonts w:hint="eastAsia" w:ascii="宋体" w:hAnsi="宋体" w:eastAsia="宋体" w:cs="宋体"/>
                <w:color w:val="auto"/>
                <w:spacing w:val="0"/>
                <w:sz w:val="24"/>
                <w:szCs w:val="24"/>
              </w:rPr>
              <w:t>递交截止时间</w:t>
            </w:r>
            <w:r>
              <w:rPr>
                <w:rFonts w:hint="eastAsia" w:ascii="宋体" w:hAnsi="宋体" w:eastAsia="宋体" w:cs="宋体"/>
                <w:color w:val="auto"/>
                <w:spacing w:val="0"/>
                <w:sz w:val="24"/>
                <w:szCs w:val="24"/>
                <w:lang w:eastAsia="zh-CN"/>
              </w:rPr>
              <w:t>和地点</w:t>
            </w:r>
          </w:p>
        </w:tc>
        <w:tc>
          <w:tcPr>
            <w:tcW w:w="5893" w:type="dxa"/>
            <w:noWrap w:val="0"/>
            <w:vAlign w:val="center"/>
          </w:tcPr>
          <w:p>
            <w:pPr>
              <w:keepNext w:val="0"/>
              <w:keepLines w:val="0"/>
              <w:pageBreakBefore w:val="0"/>
              <w:wordWrap/>
              <w:overflowPunct/>
              <w:topLinePunct w:val="0"/>
              <w:autoSpaceDE w:val="0"/>
              <w:autoSpaceDN/>
              <w:bidi w:val="0"/>
              <w:snapToGrid w:val="0"/>
              <w:spacing w:line="360" w:lineRule="auto"/>
              <w:jc w:val="both"/>
              <w:textAlignment w:val="auto"/>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rPr>
              <w:t>截止时间：</w:t>
            </w:r>
            <w:r>
              <w:rPr>
                <w:rFonts w:hint="eastAsia" w:ascii="宋体" w:hAnsi="宋体" w:eastAsia="宋体" w:cs="宋体"/>
                <w:color w:val="auto"/>
                <w:spacing w:val="0"/>
                <w:sz w:val="24"/>
                <w:szCs w:val="24"/>
                <w:lang w:val="en-US" w:eastAsia="zh-CN"/>
              </w:rPr>
              <w:t>2021年03月</w:t>
            </w:r>
            <w:r>
              <w:rPr>
                <w:rFonts w:hint="eastAsia" w:ascii="宋体" w:hAnsi="宋体" w:cs="宋体"/>
                <w:color w:val="auto"/>
                <w:spacing w:val="0"/>
                <w:sz w:val="24"/>
                <w:szCs w:val="24"/>
                <w:lang w:val="en-US" w:eastAsia="zh-CN"/>
              </w:rPr>
              <w:t>2</w:t>
            </w:r>
            <w:r>
              <w:rPr>
                <w:rFonts w:hint="eastAsia" w:ascii="宋体" w:hAnsi="宋体" w:eastAsia="宋体" w:cs="宋体"/>
                <w:color w:val="auto"/>
                <w:spacing w:val="0"/>
                <w:sz w:val="24"/>
                <w:szCs w:val="24"/>
                <w:lang w:val="en-US" w:eastAsia="zh-CN"/>
              </w:rPr>
              <w:t>6日</w:t>
            </w:r>
            <w:r>
              <w:rPr>
                <w:rFonts w:hint="eastAsia" w:ascii="宋体" w:hAnsi="宋体" w:cs="宋体"/>
                <w:color w:val="auto"/>
                <w:spacing w:val="0"/>
                <w:sz w:val="24"/>
                <w:szCs w:val="24"/>
                <w:lang w:val="en-US" w:eastAsia="zh-CN"/>
              </w:rPr>
              <w:t>09</w:t>
            </w:r>
            <w:r>
              <w:rPr>
                <w:rFonts w:hint="eastAsia" w:ascii="宋体" w:hAnsi="宋体" w:eastAsia="宋体" w:cs="宋体"/>
                <w:color w:val="auto"/>
                <w:spacing w:val="0"/>
                <w:sz w:val="24"/>
                <w:szCs w:val="24"/>
                <w:lang w:val="en-US" w:eastAsia="zh-CN"/>
              </w:rPr>
              <w:t>时30分</w:t>
            </w:r>
          </w:p>
          <w:p>
            <w:pPr>
              <w:keepNext w:val="0"/>
              <w:keepLines w:val="0"/>
              <w:pageBreakBefore w:val="0"/>
              <w:wordWrap/>
              <w:overflowPunct/>
              <w:topLinePunct w:val="0"/>
              <w:autoSpaceDE w:val="0"/>
              <w:autoSpaceDN/>
              <w:bidi w:val="0"/>
              <w:snapToGrid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截止地点：陕西省咸阳市秦都区迎宾路彩虹宾馆5楼多功能会议室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7"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w:t>
            </w:r>
          </w:p>
        </w:tc>
        <w:tc>
          <w:tcPr>
            <w:tcW w:w="1077" w:type="dxa"/>
            <w:noWrap w:val="0"/>
            <w:vAlign w:val="center"/>
          </w:tcPr>
          <w:p>
            <w:pPr>
              <w:autoSpaceDE w:val="0"/>
              <w:snapToGrid w:val="0"/>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6.1</w:t>
            </w:r>
          </w:p>
        </w:tc>
        <w:tc>
          <w:tcPr>
            <w:tcW w:w="1460" w:type="dxa"/>
            <w:noWrap w:val="0"/>
            <w:vAlign w:val="center"/>
          </w:tcPr>
          <w:p>
            <w:pPr>
              <w:autoSpaceDE w:val="0"/>
              <w:snapToGrid w:val="0"/>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磋商时间和地点</w:t>
            </w:r>
          </w:p>
        </w:tc>
        <w:tc>
          <w:tcPr>
            <w:tcW w:w="5893" w:type="dxa"/>
            <w:noWrap w:val="0"/>
            <w:vAlign w:val="center"/>
          </w:tcPr>
          <w:p>
            <w:pPr>
              <w:keepNext w:val="0"/>
              <w:keepLines w:val="0"/>
              <w:pageBreakBefore w:val="0"/>
              <w:wordWrap/>
              <w:overflowPunct/>
              <w:topLinePunct w:val="0"/>
              <w:autoSpaceDE w:val="0"/>
              <w:autoSpaceDN/>
              <w:bidi w:val="0"/>
              <w:snapToGrid w:val="0"/>
              <w:spacing w:line="360" w:lineRule="auto"/>
              <w:jc w:val="both"/>
              <w:textAlignment w:val="auto"/>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rPr>
              <w:t>时间：</w:t>
            </w:r>
            <w:r>
              <w:rPr>
                <w:rFonts w:hint="eastAsia" w:ascii="宋体" w:hAnsi="宋体" w:eastAsia="宋体" w:cs="宋体"/>
                <w:color w:val="auto"/>
                <w:spacing w:val="0"/>
                <w:sz w:val="24"/>
                <w:szCs w:val="24"/>
                <w:lang w:val="en-US" w:eastAsia="zh-CN"/>
              </w:rPr>
              <w:t>2021年03月</w:t>
            </w:r>
            <w:r>
              <w:rPr>
                <w:rFonts w:hint="eastAsia" w:ascii="宋体" w:hAnsi="宋体" w:cs="宋体"/>
                <w:color w:val="auto"/>
                <w:spacing w:val="0"/>
                <w:sz w:val="24"/>
                <w:szCs w:val="24"/>
                <w:lang w:val="en-US" w:eastAsia="zh-CN"/>
              </w:rPr>
              <w:t>2</w:t>
            </w:r>
            <w:r>
              <w:rPr>
                <w:rFonts w:hint="eastAsia" w:ascii="宋体" w:hAnsi="宋体" w:eastAsia="宋体" w:cs="宋体"/>
                <w:color w:val="auto"/>
                <w:spacing w:val="0"/>
                <w:sz w:val="24"/>
                <w:szCs w:val="24"/>
                <w:lang w:val="en-US" w:eastAsia="zh-CN"/>
              </w:rPr>
              <w:t>6日</w:t>
            </w:r>
            <w:r>
              <w:rPr>
                <w:rFonts w:hint="eastAsia" w:ascii="宋体" w:hAnsi="宋体" w:cs="宋体"/>
                <w:color w:val="auto"/>
                <w:spacing w:val="0"/>
                <w:sz w:val="24"/>
                <w:szCs w:val="24"/>
                <w:lang w:val="en-US" w:eastAsia="zh-CN"/>
              </w:rPr>
              <w:t>09</w:t>
            </w:r>
            <w:r>
              <w:rPr>
                <w:rFonts w:hint="eastAsia" w:ascii="宋体" w:hAnsi="宋体" w:eastAsia="宋体" w:cs="宋体"/>
                <w:color w:val="auto"/>
                <w:spacing w:val="0"/>
                <w:sz w:val="24"/>
                <w:szCs w:val="24"/>
                <w:lang w:val="en-US" w:eastAsia="zh-CN"/>
              </w:rPr>
              <w:t>时30分</w:t>
            </w:r>
          </w:p>
          <w:p>
            <w:pPr>
              <w:keepNext w:val="0"/>
              <w:keepLines w:val="0"/>
              <w:pageBreakBefore w:val="0"/>
              <w:wordWrap/>
              <w:overflowPunct/>
              <w:topLinePunct w:val="0"/>
              <w:autoSpaceDE w:val="0"/>
              <w:autoSpaceDN/>
              <w:bidi w:val="0"/>
              <w:snapToGrid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地点：陕西省咸阳市秦都区迎宾路彩虹宾馆5楼多功能会议室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i w:val="0"/>
                <w:color w:val="auto"/>
                <w:spacing w:val="0"/>
                <w:kern w:val="0"/>
                <w:sz w:val="24"/>
                <w:szCs w:val="24"/>
                <w:u w:val="none"/>
                <w:lang w:val="en-US" w:eastAsia="zh-CN" w:bidi="ar"/>
              </w:rPr>
              <w:t>9</w:t>
            </w:r>
          </w:p>
        </w:tc>
        <w:tc>
          <w:tcPr>
            <w:tcW w:w="1077" w:type="dxa"/>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7.3.3</w:t>
            </w: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评</w:t>
            </w:r>
            <w:r>
              <w:rPr>
                <w:rFonts w:hint="eastAsia" w:ascii="宋体" w:hAnsi="宋体" w:eastAsia="宋体" w:cs="宋体"/>
                <w:color w:val="auto"/>
                <w:spacing w:val="0"/>
                <w:sz w:val="24"/>
                <w:szCs w:val="24"/>
                <w:lang w:eastAsia="zh-CN"/>
              </w:rPr>
              <w:t>审方</w:t>
            </w:r>
            <w:r>
              <w:rPr>
                <w:rFonts w:hint="eastAsia" w:ascii="宋体" w:hAnsi="宋体" w:eastAsia="宋体" w:cs="宋体"/>
                <w:color w:val="auto"/>
                <w:spacing w:val="0"/>
                <w:sz w:val="24"/>
                <w:szCs w:val="24"/>
              </w:rPr>
              <w:t>法</w:t>
            </w:r>
          </w:p>
        </w:tc>
        <w:tc>
          <w:tcPr>
            <w:tcW w:w="5893" w:type="dxa"/>
            <w:noWrap w:val="0"/>
            <w:vAlign w:val="center"/>
          </w:tcPr>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766" w:type="dxa"/>
            <w:noWrap w:val="0"/>
            <w:vAlign w:val="center"/>
          </w:tcPr>
          <w:p>
            <w:pPr>
              <w:keepNext w:val="0"/>
              <w:keepLines w:val="0"/>
              <w:widowControl/>
              <w:suppressLineNumbers w:val="0"/>
              <w:spacing w:line="360" w:lineRule="auto"/>
              <w:jc w:val="center"/>
              <w:textAlignment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i w:val="0"/>
                <w:color w:val="auto"/>
                <w:spacing w:val="0"/>
                <w:kern w:val="0"/>
                <w:sz w:val="24"/>
                <w:szCs w:val="24"/>
                <w:u w:val="none"/>
                <w:lang w:val="en-US" w:eastAsia="zh-CN" w:bidi="ar"/>
              </w:rPr>
              <w:t>10</w:t>
            </w:r>
          </w:p>
        </w:tc>
        <w:tc>
          <w:tcPr>
            <w:tcW w:w="1077" w:type="dxa"/>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3.</w:t>
            </w:r>
            <w:r>
              <w:rPr>
                <w:rFonts w:hint="eastAsia" w:ascii="宋体" w:hAnsi="宋体" w:cs="宋体"/>
                <w:color w:val="auto"/>
                <w:spacing w:val="0"/>
                <w:sz w:val="24"/>
                <w:szCs w:val="24"/>
                <w:lang w:val="en-US" w:eastAsia="zh-CN"/>
              </w:rPr>
              <w:t>9</w:t>
            </w: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采购代理服务费</w:t>
            </w:r>
          </w:p>
        </w:tc>
        <w:tc>
          <w:tcPr>
            <w:tcW w:w="5893" w:type="dxa"/>
            <w:noWrap w:val="0"/>
            <w:vAlign w:val="center"/>
          </w:tcPr>
          <w:p>
            <w:pPr>
              <w:keepNext w:val="0"/>
              <w:keepLines w:val="0"/>
              <w:pageBreakBefore w:val="0"/>
              <w:wordWrap/>
              <w:overflowPunct/>
              <w:topLinePunct w:val="0"/>
              <w:autoSpaceDN/>
              <w:bidi w:val="0"/>
              <w:spacing w:line="360" w:lineRule="auto"/>
              <w:jc w:val="both"/>
              <w:textAlignment w:val="auto"/>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采购代理服务费：</w:t>
            </w:r>
          </w:p>
          <w:p>
            <w:pPr>
              <w:pStyle w:val="16"/>
              <w:keepNext w:val="0"/>
              <w:keepLines w:val="0"/>
              <w:widowControl/>
              <w:suppressLineNumbers w:val="0"/>
              <w:spacing w:before="0" w:beforeLines="0" w:beforeAutospacing="0" w:after="0" w:afterLines="0" w:afterAutospacing="0" w:line="360" w:lineRule="auto"/>
              <w:ind w:firstLine="480" w:firstLineChars="200"/>
              <w:jc w:val="left"/>
              <w:outlineLvl w:val="9"/>
              <w:rPr>
                <w:rFonts w:hint="eastAsia" w:ascii="宋体" w:hAnsi="宋体" w:eastAsia="宋体" w:cs="宋体"/>
                <w:color w:val="auto"/>
                <w:spacing w:val="0"/>
                <w:sz w:val="24"/>
                <w:szCs w:val="24"/>
                <w:lang w:eastAsia="zh-CN"/>
              </w:rPr>
            </w:pPr>
            <w:r>
              <w:rPr>
                <w:rFonts w:hint="eastAsia" w:ascii="宋体" w:hAnsi="宋体" w:eastAsia="宋体" w:cs="宋体"/>
                <w:color w:val="auto"/>
                <w:spacing w:val="0"/>
                <w:kern w:val="2"/>
                <w:sz w:val="24"/>
                <w:szCs w:val="24"/>
                <w:lang w:val="en-US" w:eastAsia="zh-CN" w:bidi="ar-SA"/>
              </w:rPr>
              <w:t>参照国家计委关于印发《招标代理服务收费管理暂行办法》的通知（计价格[2002]1980号）文件规定，计取采购代理服务费用，由成交人在领取成交通知书前向采购代理机构一次性付清。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843" w:type="dxa"/>
            <w:gridSpan w:val="2"/>
            <w:vMerge w:val="restart"/>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r>
              <w:rPr>
                <w:rFonts w:hint="eastAsia" w:ascii="宋体" w:hAnsi="宋体" w:cs="宋体"/>
                <w:color w:val="auto"/>
                <w:spacing w:val="0"/>
                <w:sz w:val="24"/>
                <w:szCs w:val="24"/>
                <w:lang w:val="en-US" w:eastAsia="zh-CN"/>
              </w:rPr>
              <w:t>其他</w:t>
            </w: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cs="宋体"/>
                <w:color w:val="auto"/>
                <w:spacing w:val="0"/>
                <w:sz w:val="24"/>
                <w:szCs w:val="24"/>
                <w:lang w:eastAsia="zh-CN"/>
              </w:rPr>
              <w:t>工</w:t>
            </w:r>
            <w:r>
              <w:rPr>
                <w:rFonts w:hint="eastAsia" w:ascii="宋体" w:hAnsi="宋体" w:cs="宋体"/>
                <w:color w:val="auto"/>
                <w:spacing w:val="0"/>
                <w:sz w:val="24"/>
                <w:szCs w:val="24"/>
                <w:lang w:val="en-US" w:eastAsia="zh-CN"/>
              </w:rPr>
              <w:t xml:space="preserve">    </w:t>
            </w:r>
            <w:r>
              <w:rPr>
                <w:rFonts w:hint="eastAsia" w:ascii="宋体" w:hAnsi="宋体" w:cs="宋体"/>
                <w:color w:val="auto"/>
                <w:spacing w:val="0"/>
                <w:sz w:val="24"/>
                <w:szCs w:val="24"/>
                <w:lang w:eastAsia="zh-CN"/>
              </w:rPr>
              <w:t>期</w:t>
            </w:r>
          </w:p>
        </w:tc>
        <w:tc>
          <w:tcPr>
            <w:tcW w:w="5893" w:type="dxa"/>
            <w:noWrap w:val="0"/>
            <w:vAlign w:val="center"/>
          </w:tcPr>
          <w:p>
            <w:pPr>
              <w:pStyle w:val="16"/>
              <w:keepNext w:val="0"/>
              <w:keepLines w:val="0"/>
              <w:widowControl/>
              <w:suppressLineNumbers w:val="0"/>
              <w:spacing w:before="0" w:beforeLines="0" w:beforeAutospacing="0" w:after="0" w:afterLines="0" w:afterAutospacing="0" w:line="360" w:lineRule="auto"/>
              <w:jc w:val="left"/>
              <w:outlineLvl w:val="9"/>
              <w:rPr>
                <w:rFonts w:hint="default" w:ascii="宋体" w:hAnsi="宋体" w:eastAsia="宋体" w:cs="宋体"/>
                <w:color w:val="auto"/>
                <w:spacing w:val="0"/>
                <w:kern w:val="2"/>
                <w:sz w:val="24"/>
                <w:szCs w:val="24"/>
                <w:lang w:val="en-US" w:eastAsia="zh-CN" w:bidi="ar-SA"/>
              </w:rPr>
            </w:pPr>
            <w:r>
              <w:rPr>
                <w:rFonts w:hint="eastAsia" w:ascii="宋体" w:hAnsi="宋体" w:cs="宋体"/>
                <w:color w:val="auto"/>
                <w:spacing w:val="0"/>
                <w:kern w:val="2"/>
                <w:sz w:val="24"/>
                <w:szCs w:val="24"/>
                <w:lang w:val="en-US" w:eastAsia="zh-CN" w:bidi="ar-SA"/>
              </w:rPr>
              <w:t>25日历天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843" w:type="dxa"/>
            <w:gridSpan w:val="2"/>
            <w:vMerge w:val="continue"/>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p>
        </w:tc>
        <w:tc>
          <w:tcPr>
            <w:tcW w:w="1460" w:type="dxa"/>
            <w:noWrap w:val="0"/>
            <w:vAlign w:val="center"/>
          </w:tcPr>
          <w:p>
            <w:pPr>
              <w:spacing w:line="360" w:lineRule="auto"/>
              <w:jc w:val="center"/>
              <w:outlineLvl w:val="9"/>
              <w:rPr>
                <w:rFonts w:hint="eastAsia" w:ascii="宋体" w:hAnsi="宋体" w:eastAsia="宋体" w:cs="宋体"/>
                <w:color w:val="auto"/>
                <w:spacing w:val="0"/>
                <w:sz w:val="24"/>
                <w:szCs w:val="24"/>
                <w:lang w:eastAsia="zh-CN"/>
              </w:rPr>
            </w:pPr>
            <w:r>
              <w:rPr>
                <w:rFonts w:hint="eastAsia" w:ascii="宋体" w:hAnsi="宋体" w:cs="宋体"/>
                <w:color w:val="auto"/>
                <w:spacing w:val="0"/>
                <w:sz w:val="24"/>
                <w:szCs w:val="24"/>
                <w:lang w:eastAsia="zh-CN"/>
              </w:rPr>
              <w:t>工程质量</w:t>
            </w:r>
          </w:p>
        </w:tc>
        <w:tc>
          <w:tcPr>
            <w:tcW w:w="5893" w:type="dxa"/>
            <w:noWrap w:val="0"/>
            <w:vAlign w:val="center"/>
          </w:tcPr>
          <w:p>
            <w:pPr>
              <w:pStyle w:val="16"/>
              <w:keepNext w:val="0"/>
              <w:keepLines w:val="0"/>
              <w:widowControl/>
              <w:suppressLineNumbers w:val="0"/>
              <w:spacing w:before="0" w:beforeLines="0" w:beforeAutospacing="0" w:after="0" w:afterLines="0" w:afterAutospacing="0" w:line="360" w:lineRule="auto"/>
              <w:jc w:val="left"/>
              <w:outlineLvl w:val="9"/>
              <w:rPr>
                <w:rFonts w:hint="eastAsia" w:ascii="宋体" w:hAnsi="宋体" w:eastAsia="宋体" w:cs="宋体"/>
                <w:color w:val="auto"/>
                <w:spacing w:val="0"/>
                <w:kern w:val="2"/>
                <w:sz w:val="24"/>
                <w:szCs w:val="24"/>
                <w:lang w:val="en-US" w:eastAsia="zh-CN" w:bidi="ar-SA"/>
              </w:rPr>
            </w:pPr>
            <w:r>
              <w:rPr>
                <w:rFonts w:hint="eastAsia" w:ascii="宋体" w:hAnsi="宋体" w:cs="宋体"/>
                <w:color w:val="auto"/>
                <w:spacing w:val="0"/>
                <w:kern w:val="2"/>
                <w:sz w:val="24"/>
                <w:szCs w:val="24"/>
                <w:lang w:val="zh-CN" w:eastAsia="zh-CN" w:bidi="ar-SA"/>
              </w:rPr>
              <w:t>执行国家现行行业验收规范，达到</w:t>
            </w:r>
            <w:r>
              <w:rPr>
                <w:rFonts w:hint="eastAsia" w:ascii="宋体" w:hAnsi="宋体" w:cs="宋体"/>
                <w:color w:val="auto"/>
                <w:spacing w:val="0"/>
                <w:kern w:val="2"/>
                <w:sz w:val="24"/>
                <w:szCs w:val="24"/>
                <w:lang w:val="en-US" w:eastAsia="zh-CN" w:bidi="ar-SA"/>
              </w:rPr>
              <w:t>“合格”</w:t>
            </w:r>
            <w:r>
              <w:rPr>
                <w:rFonts w:hint="eastAsia" w:ascii="宋体" w:hAnsi="宋体" w:cs="宋体"/>
                <w:color w:val="auto"/>
                <w:spacing w:val="0"/>
                <w:kern w:val="2"/>
                <w:sz w:val="24"/>
                <w:szCs w:val="24"/>
                <w:lang w:val="zh-CN" w:eastAsia="zh-CN" w:bidi="ar-SA"/>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843" w:type="dxa"/>
            <w:gridSpan w:val="2"/>
            <w:vMerge w:val="continue"/>
            <w:noWrap w:val="0"/>
            <w:vAlign w:val="center"/>
          </w:tcPr>
          <w:p>
            <w:pPr>
              <w:spacing w:line="360" w:lineRule="auto"/>
              <w:jc w:val="center"/>
              <w:outlineLvl w:val="9"/>
              <w:rPr>
                <w:rFonts w:hint="eastAsia" w:ascii="宋体" w:hAnsi="宋体" w:eastAsia="宋体" w:cs="宋体"/>
                <w:color w:val="auto"/>
                <w:spacing w:val="0"/>
                <w:sz w:val="24"/>
                <w:szCs w:val="24"/>
                <w:lang w:val="en-US" w:eastAsia="zh-CN"/>
              </w:rPr>
            </w:pPr>
          </w:p>
        </w:tc>
        <w:tc>
          <w:tcPr>
            <w:tcW w:w="1460" w:type="dxa"/>
            <w:noWrap w:val="0"/>
            <w:vAlign w:val="center"/>
          </w:tcPr>
          <w:p>
            <w:pPr>
              <w:spacing w:line="360" w:lineRule="auto"/>
              <w:jc w:val="center"/>
              <w:outlineLvl w:val="9"/>
              <w:rPr>
                <w:rFonts w:hint="eastAsia" w:ascii="宋体" w:hAnsi="宋体" w:eastAsia="宋体" w:cs="宋体"/>
                <w:color w:val="FF0000"/>
                <w:spacing w:val="0"/>
                <w:sz w:val="24"/>
                <w:szCs w:val="24"/>
                <w:lang w:eastAsia="zh-CN"/>
              </w:rPr>
            </w:pPr>
            <w:r>
              <w:rPr>
                <w:rFonts w:hint="eastAsia" w:ascii="宋体" w:hAnsi="宋体" w:cs="宋体"/>
                <w:color w:val="auto"/>
                <w:spacing w:val="0"/>
                <w:sz w:val="24"/>
                <w:szCs w:val="24"/>
                <w:lang w:eastAsia="zh-CN"/>
              </w:rPr>
              <w:t>最高限价</w:t>
            </w:r>
          </w:p>
        </w:tc>
        <w:tc>
          <w:tcPr>
            <w:tcW w:w="5893" w:type="dxa"/>
            <w:noWrap w:val="0"/>
            <w:vAlign w:val="center"/>
          </w:tcPr>
          <w:p>
            <w:pPr>
              <w:pStyle w:val="16"/>
              <w:keepNext w:val="0"/>
              <w:keepLines w:val="0"/>
              <w:widowControl/>
              <w:suppressLineNumbers w:val="0"/>
              <w:spacing w:before="0" w:beforeLines="0" w:beforeAutospacing="0" w:after="0" w:afterLines="0" w:afterAutospacing="0" w:line="360" w:lineRule="auto"/>
              <w:jc w:val="left"/>
              <w:outlineLvl w:val="9"/>
              <w:rPr>
                <w:rFonts w:hint="default" w:ascii="宋体" w:hAnsi="宋体" w:eastAsia="宋体" w:cs="宋体"/>
                <w:color w:val="FF0000"/>
                <w:spacing w:val="0"/>
                <w:kern w:val="2"/>
                <w:sz w:val="24"/>
                <w:szCs w:val="24"/>
                <w:u w:val="none"/>
                <w:lang w:val="en-US" w:eastAsia="zh-CN" w:bidi="ar-SA"/>
              </w:rPr>
            </w:pPr>
            <w:r>
              <w:rPr>
                <w:rFonts w:hint="eastAsia" w:ascii="宋体" w:hAnsi="宋体" w:cs="宋体"/>
                <w:color w:val="auto"/>
                <w:spacing w:val="0"/>
                <w:kern w:val="2"/>
                <w:sz w:val="24"/>
                <w:szCs w:val="24"/>
                <w:lang w:val="en-US" w:eastAsia="zh-CN" w:bidi="ar-SA"/>
              </w:rPr>
              <w:t>779678.61元</w:t>
            </w:r>
          </w:p>
        </w:tc>
      </w:tr>
    </w:tbl>
    <w:p>
      <w:pPr>
        <w:spacing w:line="360" w:lineRule="auto"/>
        <w:ind w:firstLine="482" w:firstLineChars="200"/>
        <w:outlineLvl w:val="9"/>
        <w:rPr>
          <w:rFonts w:hint="eastAsia" w:ascii="宋体" w:hAnsi="宋体" w:eastAsia="宋体" w:cs="宋体"/>
          <w:b/>
          <w:bCs/>
          <w:color w:val="auto"/>
          <w:spacing w:val="0"/>
          <w:sz w:val="24"/>
          <w:szCs w:val="24"/>
          <w:lang w:val="en-US" w:eastAsia="zh-CN"/>
        </w:rPr>
      </w:pPr>
      <w:r>
        <w:rPr>
          <w:rFonts w:hint="eastAsia" w:ascii="宋体" w:hAnsi="宋体" w:eastAsia="宋体" w:cs="宋体"/>
          <w:b/>
          <w:bCs/>
          <w:color w:val="auto"/>
          <w:spacing w:val="0"/>
          <w:sz w:val="24"/>
          <w:szCs w:val="24"/>
          <w:lang w:val="en-US" w:eastAsia="zh-CN"/>
        </w:rPr>
        <w:t>注：</w:t>
      </w:r>
    </w:p>
    <w:p>
      <w:pPr>
        <w:spacing w:line="360" w:lineRule="auto"/>
        <w:ind w:firstLine="482" w:firstLineChars="200"/>
        <w:outlineLvl w:val="9"/>
        <w:rPr>
          <w:rFonts w:hint="eastAsia" w:ascii="宋体" w:hAnsi="宋体" w:eastAsia="宋体" w:cs="宋体"/>
          <w:b/>
          <w:bCs/>
          <w:color w:val="auto"/>
          <w:spacing w:val="0"/>
          <w:sz w:val="24"/>
          <w:szCs w:val="24"/>
          <w:lang w:eastAsia="zh-CN"/>
        </w:rPr>
      </w:pPr>
      <w:r>
        <w:rPr>
          <w:rFonts w:hint="eastAsia" w:ascii="宋体" w:hAnsi="宋体" w:eastAsia="宋体" w:cs="宋体"/>
          <w:b/>
          <w:bCs/>
          <w:color w:val="auto"/>
          <w:spacing w:val="0"/>
          <w:sz w:val="24"/>
          <w:szCs w:val="24"/>
          <w:lang w:val="en-US" w:eastAsia="zh-CN"/>
        </w:rPr>
        <w:t>1、</w:t>
      </w:r>
      <w:r>
        <w:rPr>
          <w:rFonts w:hint="eastAsia" w:ascii="宋体" w:hAnsi="宋体" w:eastAsia="宋体" w:cs="宋体"/>
          <w:b/>
          <w:bCs/>
          <w:color w:val="auto"/>
          <w:spacing w:val="0"/>
          <w:sz w:val="24"/>
          <w:szCs w:val="24"/>
          <w:lang w:eastAsia="zh-CN"/>
        </w:rPr>
        <w:t>竞争性磋商文件中相关内容可不再列明，不一致的以此表为准。</w:t>
      </w:r>
    </w:p>
    <w:p>
      <w:pPr>
        <w:spacing w:line="360" w:lineRule="auto"/>
        <w:ind w:firstLine="482" w:firstLineChars="200"/>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lang w:val="en-US" w:eastAsia="zh-CN"/>
        </w:rPr>
        <w:t>2、</w:t>
      </w:r>
      <w:r>
        <w:rPr>
          <w:rFonts w:hint="eastAsia" w:ascii="宋体" w:hAnsi="宋体" w:eastAsia="宋体" w:cs="宋体"/>
          <w:b/>
          <w:bCs/>
          <w:color w:val="auto"/>
          <w:spacing w:val="0"/>
          <w:sz w:val="24"/>
          <w:szCs w:val="24"/>
        </w:rPr>
        <w:t>供应商应认真阅读磋商文件，如未按照磋商文件要求提交全部资料或对磋商文件中的要求未做出完全响应，其投标资格将被取消，后果自负。</w:t>
      </w:r>
    </w:p>
    <w:p>
      <w:pPr>
        <w:spacing w:line="360" w:lineRule="auto"/>
        <w:ind w:firstLine="482" w:firstLineChars="200"/>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br w:type="page"/>
      </w:r>
    </w:p>
    <w:p>
      <w:pPr>
        <w:keepNext w:val="0"/>
        <w:keepLines w:val="0"/>
        <w:pageBreakBefore w:val="0"/>
        <w:kinsoku/>
        <w:wordWrap/>
        <w:overflowPunct/>
        <w:topLinePunct w:val="0"/>
        <w:bidi w:val="0"/>
        <w:spacing w:before="0" w:beforeLines="0" w:after="0" w:afterLines="0" w:line="480" w:lineRule="exact"/>
        <w:outlineLvl w:val="9"/>
        <w:rPr>
          <w:rFonts w:hint="eastAsia" w:ascii="宋体" w:hAnsi="宋体" w:eastAsia="宋体" w:cs="宋体"/>
          <w:b/>
          <w:color w:val="auto"/>
          <w:spacing w:val="0"/>
          <w:sz w:val="28"/>
          <w:szCs w:val="32"/>
          <w:lang w:eastAsia="zh-CN"/>
        </w:rPr>
      </w:pPr>
      <w:r>
        <w:rPr>
          <w:rFonts w:hint="eastAsia" w:ascii="宋体" w:hAnsi="宋体" w:eastAsia="宋体" w:cs="宋体"/>
          <w:b/>
          <w:color w:val="auto"/>
          <w:spacing w:val="0"/>
          <w:sz w:val="28"/>
          <w:szCs w:val="32"/>
          <w:lang w:val="en-US" w:eastAsia="zh-CN"/>
        </w:rPr>
        <w:t>1.</w:t>
      </w:r>
      <w:r>
        <w:rPr>
          <w:rFonts w:hint="eastAsia" w:ascii="宋体" w:hAnsi="宋体" w:eastAsia="宋体" w:cs="宋体"/>
          <w:b/>
          <w:color w:val="auto"/>
          <w:spacing w:val="0"/>
          <w:sz w:val="28"/>
          <w:szCs w:val="32"/>
          <w:lang w:eastAsia="zh-CN"/>
        </w:rPr>
        <w:t>总则</w:t>
      </w:r>
    </w:p>
    <w:p>
      <w:pPr>
        <w:keepNext w:val="0"/>
        <w:keepLines w:val="0"/>
        <w:pageBreakBefore w:val="0"/>
        <w:kinsoku/>
        <w:wordWrap/>
        <w:overflowPunct/>
        <w:topLinePunct w:val="0"/>
        <w:bidi w:val="0"/>
        <w:spacing w:before="0" w:beforeLines="0" w:after="0" w:afterLines="0" w:line="360" w:lineRule="auto"/>
        <w:ind w:firstLine="482" w:firstLineChars="200"/>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rPr>
        <w:t>1.</w:t>
      </w:r>
      <w:r>
        <w:rPr>
          <w:rFonts w:hint="eastAsia" w:ascii="宋体" w:hAnsi="宋体" w:eastAsia="宋体" w:cs="宋体"/>
          <w:b/>
          <w:bCs/>
          <w:color w:val="auto"/>
          <w:spacing w:val="0"/>
          <w:sz w:val="24"/>
          <w:szCs w:val="24"/>
          <w:lang w:val="en-US" w:eastAsia="zh-CN"/>
        </w:rPr>
        <w:t>1</w:t>
      </w:r>
      <w:r>
        <w:rPr>
          <w:rFonts w:hint="eastAsia" w:ascii="宋体" w:hAnsi="宋体" w:eastAsia="宋体" w:cs="宋体"/>
          <w:b/>
          <w:bCs/>
          <w:color w:val="auto"/>
          <w:spacing w:val="0"/>
          <w:sz w:val="24"/>
          <w:szCs w:val="24"/>
        </w:rPr>
        <w:t>适用范围</w:t>
      </w:r>
    </w:p>
    <w:p>
      <w:pPr>
        <w:keepNext w:val="0"/>
        <w:keepLines w:val="0"/>
        <w:pageBreakBefore w:val="0"/>
        <w:kinsoku/>
        <w:wordWrap/>
        <w:overflowPunct/>
        <w:topLinePunct w:val="0"/>
        <w:bidi w:val="0"/>
        <w:spacing w:before="0" w:beforeLines="0" w:after="0" w:afterLines="0" w:line="360" w:lineRule="auto"/>
        <w:ind w:firstLine="480" w:firstLineChars="200"/>
        <w:outlineLvl w:val="9"/>
        <w:rPr>
          <w:rFonts w:hint="eastAsia" w:ascii="宋体" w:hAnsi="宋体" w:eastAsia="宋体" w:cs="宋体"/>
          <w:b w:val="0"/>
          <w:bCs w:val="0"/>
          <w:color w:val="auto"/>
          <w:spacing w:val="0"/>
          <w:sz w:val="24"/>
          <w:szCs w:val="24"/>
          <w:lang w:val="en-US" w:eastAsia="zh-CN"/>
        </w:rPr>
      </w:pPr>
      <w:r>
        <w:rPr>
          <w:rFonts w:hint="eastAsia" w:ascii="宋体" w:hAnsi="宋体" w:eastAsia="宋体" w:cs="宋体"/>
          <w:b w:val="0"/>
          <w:bCs w:val="0"/>
          <w:color w:val="auto"/>
          <w:spacing w:val="0"/>
          <w:sz w:val="24"/>
          <w:szCs w:val="24"/>
        </w:rPr>
        <w:t>本磋商文件适用于本次磋商活动的全过程。</w:t>
      </w:r>
    </w:p>
    <w:p>
      <w:pPr>
        <w:keepNext w:val="0"/>
        <w:keepLines w:val="0"/>
        <w:pageBreakBefore w:val="0"/>
        <w:kinsoku/>
        <w:wordWrap/>
        <w:overflowPunct/>
        <w:topLinePunct w:val="0"/>
        <w:bidi w:val="0"/>
        <w:spacing w:before="0" w:beforeLines="0" w:after="0" w:afterLines="0" w:line="360" w:lineRule="auto"/>
        <w:ind w:firstLine="482" w:firstLineChars="200"/>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lang w:val="en-US" w:eastAsia="zh-CN"/>
        </w:rPr>
        <w:t>1.2</w:t>
      </w:r>
      <w:r>
        <w:rPr>
          <w:rFonts w:hint="eastAsia" w:ascii="宋体" w:hAnsi="宋体" w:eastAsia="宋体" w:cs="宋体"/>
          <w:b/>
          <w:bCs/>
          <w:color w:val="auto"/>
          <w:spacing w:val="0"/>
          <w:sz w:val="24"/>
          <w:szCs w:val="24"/>
        </w:rPr>
        <w:t>名词解释</w:t>
      </w:r>
    </w:p>
    <w:p>
      <w:pPr>
        <w:keepNext w:val="0"/>
        <w:keepLines w:val="0"/>
        <w:pageBreakBefore w:val="0"/>
        <w:kinsoku/>
        <w:wordWrap/>
        <w:overflowPunct/>
        <w:topLinePunct w:val="0"/>
        <w:bidi w:val="0"/>
        <w:spacing w:before="0" w:beforeLines="0" w:after="0" w:afterLines="0" w:line="360" w:lineRule="auto"/>
        <w:ind w:firstLine="480" w:firstLineChars="200"/>
        <w:outlineLvl w:val="9"/>
        <w:rPr>
          <w:rFonts w:hint="eastAsia" w:ascii="宋体" w:hAnsi="宋体" w:eastAsia="宋体" w:cs="宋体"/>
          <w:b w:val="0"/>
          <w:bCs w:val="0"/>
          <w:color w:val="auto"/>
          <w:spacing w:val="0"/>
          <w:sz w:val="24"/>
          <w:szCs w:val="24"/>
        </w:rPr>
      </w:pPr>
      <w:r>
        <w:rPr>
          <w:rFonts w:hint="eastAsia" w:ascii="宋体" w:hAnsi="宋体" w:eastAsia="宋体" w:cs="宋体"/>
          <w:b w:val="0"/>
          <w:bCs w:val="0"/>
          <w:color w:val="auto"/>
          <w:spacing w:val="0"/>
          <w:sz w:val="24"/>
          <w:szCs w:val="24"/>
          <w:lang w:val="en-US" w:eastAsia="zh-CN"/>
        </w:rPr>
        <w:t>1.2.1</w:t>
      </w:r>
      <w:r>
        <w:rPr>
          <w:rFonts w:hint="eastAsia" w:ascii="宋体" w:hAnsi="宋体" w:eastAsia="宋体" w:cs="宋体"/>
          <w:b w:val="0"/>
          <w:bCs w:val="0"/>
          <w:color w:val="auto"/>
          <w:spacing w:val="0"/>
          <w:sz w:val="24"/>
          <w:szCs w:val="24"/>
        </w:rPr>
        <w:t>采购人</w:t>
      </w:r>
      <w:r>
        <w:rPr>
          <w:rFonts w:hint="eastAsia" w:ascii="宋体" w:hAnsi="宋体" w:cs="宋体"/>
          <w:b w:val="0"/>
          <w:bCs w:val="0"/>
          <w:color w:val="auto"/>
          <w:spacing w:val="0"/>
          <w:sz w:val="24"/>
          <w:szCs w:val="24"/>
          <w:lang w:eastAsia="zh-CN"/>
        </w:rPr>
        <w:t xml:space="preserve">：咸阳高新技术产业开发区管理委员会 </w:t>
      </w:r>
      <w:r>
        <w:rPr>
          <w:rFonts w:hint="eastAsia" w:ascii="宋体" w:hAnsi="宋体" w:eastAsia="宋体" w:cs="宋体"/>
          <w:b w:val="0"/>
          <w:bCs w:val="0"/>
          <w:color w:val="auto"/>
          <w:spacing w:val="0"/>
          <w:sz w:val="24"/>
          <w:szCs w:val="24"/>
        </w:rPr>
        <w:t>。</w:t>
      </w:r>
    </w:p>
    <w:p>
      <w:pPr>
        <w:keepNext w:val="0"/>
        <w:keepLines w:val="0"/>
        <w:pageBreakBefore w:val="0"/>
        <w:kinsoku/>
        <w:wordWrap/>
        <w:overflowPunct/>
        <w:topLinePunct w:val="0"/>
        <w:bidi w:val="0"/>
        <w:spacing w:before="0" w:beforeLines="0" w:after="0" w:afterLines="0" w:line="360" w:lineRule="auto"/>
        <w:ind w:firstLine="480" w:firstLineChars="200"/>
        <w:outlineLvl w:val="9"/>
        <w:rPr>
          <w:rFonts w:hint="eastAsia" w:ascii="宋体" w:hAnsi="宋体" w:eastAsia="宋体" w:cs="宋体"/>
          <w:b w:val="0"/>
          <w:bCs w:val="0"/>
          <w:color w:val="auto"/>
          <w:spacing w:val="0"/>
          <w:sz w:val="24"/>
          <w:szCs w:val="24"/>
          <w:lang w:val="en-US" w:eastAsia="zh-CN"/>
        </w:rPr>
      </w:pPr>
      <w:r>
        <w:rPr>
          <w:rFonts w:hint="eastAsia" w:ascii="宋体" w:hAnsi="宋体" w:eastAsia="宋体" w:cs="宋体"/>
          <w:b w:val="0"/>
          <w:bCs w:val="0"/>
          <w:color w:val="auto"/>
          <w:spacing w:val="0"/>
          <w:sz w:val="24"/>
          <w:szCs w:val="24"/>
          <w:lang w:val="en-US" w:eastAsia="zh-CN"/>
        </w:rPr>
        <w:t>1.2.2采购代理机构：</w:t>
      </w:r>
      <w:r>
        <w:rPr>
          <w:rFonts w:hint="eastAsia" w:ascii="宋体" w:hAnsi="宋体" w:cs="宋体"/>
          <w:b w:val="0"/>
          <w:bCs w:val="0"/>
          <w:color w:val="auto"/>
          <w:spacing w:val="0"/>
          <w:sz w:val="24"/>
          <w:szCs w:val="24"/>
          <w:lang w:val="en-US" w:eastAsia="zh-CN"/>
        </w:rPr>
        <w:t>致君项目管理有限公司</w:t>
      </w:r>
      <w:r>
        <w:rPr>
          <w:rFonts w:hint="eastAsia" w:ascii="宋体" w:hAnsi="宋体" w:eastAsia="宋体" w:cs="宋体"/>
          <w:b w:val="0"/>
          <w:bCs w:val="0"/>
          <w:color w:val="auto"/>
          <w:spacing w:val="0"/>
          <w:sz w:val="24"/>
          <w:szCs w:val="24"/>
          <w:lang w:val="en-US" w:eastAsia="zh-CN"/>
        </w:rPr>
        <w:t>。</w:t>
      </w:r>
    </w:p>
    <w:p>
      <w:pPr>
        <w:keepNext w:val="0"/>
        <w:keepLines w:val="0"/>
        <w:pageBreakBefore w:val="0"/>
        <w:kinsoku/>
        <w:wordWrap/>
        <w:overflowPunct/>
        <w:topLinePunct w:val="0"/>
        <w:bidi w:val="0"/>
        <w:spacing w:before="0" w:beforeLines="0" w:after="0" w:afterLines="0" w:line="360" w:lineRule="auto"/>
        <w:ind w:firstLine="480" w:firstLineChars="200"/>
        <w:outlineLvl w:val="9"/>
        <w:rPr>
          <w:rFonts w:hint="eastAsia" w:ascii="宋体" w:hAnsi="宋体" w:eastAsia="宋体" w:cs="宋体"/>
          <w:b w:val="0"/>
          <w:bCs w:val="0"/>
          <w:color w:val="auto"/>
          <w:spacing w:val="0"/>
          <w:sz w:val="24"/>
          <w:szCs w:val="24"/>
          <w:lang w:val="en-US" w:eastAsia="zh-CN"/>
        </w:rPr>
      </w:pPr>
      <w:r>
        <w:rPr>
          <w:rFonts w:hint="eastAsia" w:ascii="宋体" w:hAnsi="宋体" w:eastAsia="宋体" w:cs="宋体"/>
          <w:b w:val="0"/>
          <w:bCs w:val="0"/>
          <w:color w:val="auto"/>
          <w:spacing w:val="0"/>
          <w:sz w:val="24"/>
          <w:szCs w:val="24"/>
          <w:lang w:val="en-US" w:eastAsia="zh-CN"/>
        </w:rPr>
        <w:t>1.2.</w:t>
      </w:r>
      <w:r>
        <w:rPr>
          <w:rFonts w:hint="eastAsia" w:ascii="宋体" w:hAnsi="宋体" w:cs="宋体"/>
          <w:b w:val="0"/>
          <w:bCs w:val="0"/>
          <w:color w:val="auto"/>
          <w:spacing w:val="0"/>
          <w:sz w:val="24"/>
          <w:szCs w:val="24"/>
          <w:lang w:val="en-US" w:eastAsia="zh-CN"/>
        </w:rPr>
        <w:t>3</w:t>
      </w:r>
      <w:r>
        <w:rPr>
          <w:rFonts w:hint="eastAsia" w:ascii="宋体" w:hAnsi="宋体" w:eastAsia="宋体" w:cs="宋体"/>
          <w:b w:val="0"/>
          <w:bCs w:val="0"/>
          <w:color w:val="auto"/>
          <w:spacing w:val="0"/>
          <w:sz w:val="24"/>
          <w:szCs w:val="24"/>
          <w:lang w:val="en-US" w:eastAsia="zh-CN"/>
        </w:rPr>
        <w:t>磋商供应商：满足本次磋商要求具有相应资质和完成项目能力的供应商。</w:t>
      </w:r>
    </w:p>
    <w:p>
      <w:pPr>
        <w:keepNext w:val="0"/>
        <w:keepLines w:val="0"/>
        <w:pageBreakBefore w:val="0"/>
        <w:kinsoku/>
        <w:wordWrap/>
        <w:overflowPunct/>
        <w:topLinePunct w:val="0"/>
        <w:bidi w:val="0"/>
        <w:spacing w:before="0" w:beforeLines="0" w:after="0" w:afterLines="0" w:line="360" w:lineRule="auto"/>
        <w:ind w:firstLine="482" w:firstLineChars="200"/>
        <w:outlineLvl w:val="9"/>
        <w:rPr>
          <w:rFonts w:hint="eastAsia" w:ascii="宋体" w:hAnsi="宋体" w:eastAsia="宋体" w:cs="宋体"/>
          <w:b/>
          <w:bCs/>
          <w:color w:val="auto"/>
          <w:spacing w:val="0"/>
          <w:sz w:val="24"/>
          <w:szCs w:val="24"/>
          <w:lang w:val="en-US" w:eastAsia="zh-CN"/>
        </w:rPr>
      </w:pPr>
      <w:r>
        <w:rPr>
          <w:rFonts w:hint="eastAsia" w:ascii="宋体" w:hAnsi="宋体" w:eastAsia="宋体" w:cs="宋体"/>
          <w:b/>
          <w:bCs/>
          <w:color w:val="auto"/>
          <w:spacing w:val="0"/>
          <w:sz w:val="24"/>
          <w:szCs w:val="24"/>
          <w:lang w:val="en-US" w:eastAsia="zh-CN"/>
        </w:rPr>
        <w:t>1.3磋商费用</w:t>
      </w:r>
    </w:p>
    <w:p>
      <w:pPr>
        <w:keepNext w:val="0"/>
        <w:keepLines w:val="0"/>
        <w:pageBreakBefore w:val="0"/>
        <w:kinsoku/>
        <w:wordWrap/>
        <w:overflowPunct/>
        <w:topLinePunct w:val="0"/>
        <w:bidi w:val="0"/>
        <w:spacing w:before="0" w:beforeLines="0" w:after="0" w:afterLines="0" w:line="360" w:lineRule="auto"/>
        <w:ind w:firstLine="480" w:firstLineChars="200"/>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供应商应承担所有与准备和参加磋商有关的费用，采购机构和采购人在任何情况下均无义务和责任承担这些费用。</w:t>
      </w:r>
    </w:p>
    <w:p>
      <w:pPr>
        <w:spacing w:line="360" w:lineRule="auto"/>
        <w:ind w:firstLine="482" w:firstLineChars="200"/>
        <w:outlineLvl w:val="9"/>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t>1.4语言文字</w:t>
      </w:r>
    </w:p>
    <w:p>
      <w:pPr>
        <w:spacing w:line="360" w:lineRule="auto"/>
        <w:ind w:firstLine="480" w:firstLineChars="200"/>
        <w:outlineLvl w:val="9"/>
        <w:rPr>
          <w:rFonts w:hint="eastAsia" w:ascii="宋体" w:hAnsi="宋体" w:eastAsia="宋体" w:cs="宋体"/>
          <w:b/>
          <w:bCs/>
          <w:color w:val="auto"/>
          <w:spacing w:val="0"/>
          <w:sz w:val="24"/>
          <w:szCs w:val="28"/>
          <w:lang w:val="en-US" w:eastAsia="zh-CN"/>
        </w:rPr>
      </w:pPr>
      <w:r>
        <w:rPr>
          <w:rFonts w:hint="eastAsia" w:ascii="宋体" w:hAnsi="宋体" w:eastAsia="宋体" w:cs="宋体"/>
          <w:color w:val="auto"/>
          <w:sz w:val="24"/>
          <w:lang w:val="en-US" w:eastAsia="zh-CN"/>
        </w:rPr>
        <w:t>除专用术语外，与磋商有关的语言均使用中文。必要时专用术语应附有中文注释。</w:t>
      </w:r>
    </w:p>
    <w:p>
      <w:pPr>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firstLine="482" w:firstLineChars="200"/>
        <w:jc w:val="left"/>
        <w:textAlignment w:val="auto"/>
        <w:outlineLvl w:val="9"/>
        <w:rPr>
          <w:rFonts w:hint="eastAsia" w:ascii="宋体" w:hAnsi="宋体" w:eastAsia="宋体" w:cs="宋体"/>
          <w:b/>
          <w:bCs/>
          <w:color w:val="auto"/>
          <w:spacing w:val="0"/>
          <w:sz w:val="24"/>
          <w:szCs w:val="28"/>
        </w:rPr>
      </w:pPr>
      <w:r>
        <w:rPr>
          <w:rFonts w:hint="eastAsia" w:ascii="宋体" w:hAnsi="宋体" w:eastAsia="宋体" w:cs="宋体"/>
          <w:b/>
          <w:bCs/>
          <w:color w:val="auto"/>
          <w:spacing w:val="0"/>
          <w:sz w:val="24"/>
          <w:szCs w:val="28"/>
          <w:lang w:val="en-US" w:eastAsia="zh-CN"/>
        </w:rPr>
        <w:t>1.5</w:t>
      </w:r>
      <w:r>
        <w:rPr>
          <w:rFonts w:hint="eastAsia" w:ascii="宋体" w:hAnsi="宋体" w:eastAsia="宋体" w:cs="宋体"/>
          <w:b/>
          <w:bCs/>
          <w:color w:val="auto"/>
          <w:spacing w:val="0"/>
          <w:sz w:val="24"/>
          <w:szCs w:val="28"/>
        </w:rPr>
        <w:t>计量单位</w:t>
      </w:r>
    </w:p>
    <w:p>
      <w:pPr>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firstLine="480" w:firstLineChars="200"/>
        <w:jc w:val="left"/>
        <w:textAlignment w:val="auto"/>
        <w:outlineLvl w:val="9"/>
        <w:rPr>
          <w:rFonts w:hint="eastAsia" w:ascii="宋体" w:hAnsi="宋体" w:eastAsia="宋体" w:cs="宋体"/>
          <w:color w:val="auto"/>
          <w:lang w:val="en-US" w:eastAsia="zh-CN"/>
        </w:rPr>
      </w:pPr>
      <w:r>
        <w:rPr>
          <w:rFonts w:hint="eastAsia" w:ascii="宋体" w:hAnsi="宋体" w:eastAsia="宋体" w:cs="宋体"/>
          <w:color w:val="auto"/>
          <w:spacing w:val="0"/>
          <w:sz w:val="24"/>
          <w:szCs w:val="28"/>
        </w:rPr>
        <w:t>除有特殊要求外，</w:t>
      </w:r>
      <w:r>
        <w:rPr>
          <w:rFonts w:hint="eastAsia" w:ascii="宋体" w:hAnsi="宋体" w:eastAsia="宋体" w:cs="宋体"/>
          <w:color w:val="auto"/>
          <w:sz w:val="24"/>
          <w:lang w:val="en-US" w:eastAsia="zh-CN"/>
        </w:rPr>
        <w:t>所有计量</w:t>
      </w:r>
      <w:r>
        <w:rPr>
          <w:rFonts w:hint="eastAsia" w:ascii="宋体" w:hAnsi="宋体" w:eastAsia="宋体" w:cs="宋体"/>
          <w:color w:val="auto"/>
          <w:spacing w:val="0"/>
          <w:sz w:val="24"/>
          <w:szCs w:val="28"/>
        </w:rPr>
        <w:t>均采用国家法定计量单位。</w:t>
      </w:r>
    </w:p>
    <w:p>
      <w:pPr>
        <w:keepNext w:val="0"/>
        <w:keepLines w:val="0"/>
        <w:pageBreakBefore w:val="0"/>
        <w:kinsoku/>
        <w:wordWrap/>
        <w:overflowPunct/>
        <w:topLinePunct w:val="0"/>
        <w:bidi w:val="0"/>
        <w:spacing w:before="0" w:beforeLines="0" w:after="0" w:afterLines="0" w:line="360" w:lineRule="auto"/>
        <w:outlineLvl w:val="9"/>
        <w:rPr>
          <w:rFonts w:hint="eastAsia" w:ascii="宋体" w:hAnsi="宋体" w:eastAsia="宋体" w:cs="宋体"/>
          <w:b/>
          <w:color w:val="auto"/>
          <w:spacing w:val="0"/>
          <w:sz w:val="28"/>
          <w:szCs w:val="28"/>
          <w:lang w:val="en-US" w:eastAsia="zh-CN"/>
        </w:rPr>
      </w:pPr>
      <w:r>
        <w:rPr>
          <w:rFonts w:hint="eastAsia" w:ascii="宋体" w:hAnsi="宋体" w:eastAsia="宋体" w:cs="宋体"/>
          <w:b/>
          <w:color w:val="auto"/>
          <w:spacing w:val="0"/>
          <w:sz w:val="28"/>
          <w:szCs w:val="28"/>
          <w:lang w:val="en-US" w:eastAsia="zh-CN"/>
        </w:rPr>
        <w:t>2.竞争性磋商文件</w:t>
      </w:r>
    </w:p>
    <w:p>
      <w:pPr>
        <w:keepNext w:val="0"/>
        <w:keepLines w:val="0"/>
        <w:pageBreakBefore w:val="0"/>
        <w:widowControl w:val="0"/>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pacing w:val="0"/>
          <w:sz w:val="24"/>
          <w:szCs w:val="24"/>
          <w:lang w:val="en-US" w:eastAsia="zh-CN"/>
        </w:rPr>
      </w:pPr>
      <w:r>
        <w:rPr>
          <w:rFonts w:hint="eastAsia" w:ascii="宋体" w:hAnsi="宋体" w:eastAsia="宋体" w:cs="宋体"/>
          <w:b/>
          <w:bCs/>
          <w:color w:val="auto"/>
          <w:spacing w:val="0"/>
          <w:sz w:val="24"/>
          <w:szCs w:val="24"/>
          <w:lang w:val="en-US" w:eastAsia="zh-CN"/>
        </w:rPr>
        <w:t>2.1磋商文件内容</w:t>
      </w:r>
    </w:p>
    <w:p>
      <w:pPr>
        <w:pStyle w:val="14"/>
        <w:tabs>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2.1.1磋商文件具体包括下列内容：</w:t>
      </w:r>
    </w:p>
    <w:p>
      <w:pPr>
        <w:pStyle w:val="14"/>
        <w:tabs>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（1）</w:t>
      </w:r>
      <w:r>
        <w:rPr>
          <w:rFonts w:hint="eastAsia" w:ascii="宋体" w:hAnsi="宋体" w:eastAsia="宋体" w:cs="宋体"/>
          <w:color w:val="auto"/>
          <w:spacing w:val="0"/>
          <w:kern w:val="2"/>
          <w:sz w:val="24"/>
          <w:szCs w:val="24"/>
          <w:lang w:val="en-US" w:eastAsia="zh-CN" w:bidi="ar-SA"/>
        </w:rPr>
        <w:fldChar w:fldCharType="begin"/>
      </w:r>
      <w:r>
        <w:rPr>
          <w:rFonts w:hint="eastAsia" w:ascii="宋体" w:hAnsi="宋体" w:eastAsia="宋体" w:cs="宋体"/>
          <w:color w:val="auto"/>
          <w:spacing w:val="0"/>
          <w:kern w:val="2"/>
          <w:sz w:val="24"/>
          <w:szCs w:val="24"/>
          <w:lang w:val="en-US" w:eastAsia="zh-CN" w:bidi="ar-SA"/>
        </w:rPr>
        <w:instrText xml:space="preserve"> HYPERLINK \l _Toc23942 </w:instrText>
      </w:r>
      <w:r>
        <w:rPr>
          <w:rFonts w:hint="eastAsia" w:ascii="宋体" w:hAnsi="宋体" w:eastAsia="宋体" w:cs="宋体"/>
          <w:color w:val="auto"/>
          <w:spacing w:val="0"/>
          <w:kern w:val="2"/>
          <w:sz w:val="24"/>
          <w:szCs w:val="24"/>
          <w:lang w:val="en-US" w:eastAsia="zh-CN" w:bidi="ar-SA"/>
        </w:rPr>
        <w:fldChar w:fldCharType="separate"/>
      </w:r>
      <w:r>
        <w:rPr>
          <w:rFonts w:hint="eastAsia" w:ascii="宋体" w:hAnsi="宋体" w:eastAsia="宋体" w:cs="宋体"/>
          <w:color w:val="auto"/>
          <w:spacing w:val="0"/>
          <w:kern w:val="2"/>
          <w:sz w:val="24"/>
          <w:szCs w:val="24"/>
          <w:lang w:val="en-US" w:eastAsia="zh-CN" w:bidi="ar-SA"/>
        </w:rPr>
        <w:t>第一章 竞争性磋商公告</w:t>
      </w:r>
      <w:r>
        <w:rPr>
          <w:rFonts w:hint="eastAsia" w:ascii="宋体" w:hAnsi="宋体" w:eastAsia="宋体" w:cs="宋体"/>
          <w:color w:val="auto"/>
          <w:spacing w:val="0"/>
          <w:kern w:val="2"/>
          <w:sz w:val="24"/>
          <w:szCs w:val="24"/>
          <w:lang w:val="en-US" w:eastAsia="zh-CN" w:bidi="ar-SA"/>
        </w:rPr>
        <w:fldChar w:fldCharType="end"/>
      </w:r>
    </w:p>
    <w:p>
      <w:pPr>
        <w:pStyle w:val="14"/>
        <w:tabs>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（2）</w:t>
      </w:r>
      <w:r>
        <w:rPr>
          <w:rFonts w:hint="eastAsia" w:ascii="宋体" w:hAnsi="宋体" w:eastAsia="宋体" w:cs="宋体"/>
          <w:color w:val="auto"/>
          <w:spacing w:val="0"/>
          <w:kern w:val="2"/>
          <w:sz w:val="24"/>
          <w:szCs w:val="24"/>
          <w:lang w:val="en-US" w:eastAsia="zh-CN" w:bidi="ar-SA"/>
        </w:rPr>
        <w:fldChar w:fldCharType="begin"/>
      </w:r>
      <w:r>
        <w:rPr>
          <w:rFonts w:hint="eastAsia" w:ascii="宋体" w:hAnsi="宋体" w:eastAsia="宋体" w:cs="宋体"/>
          <w:color w:val="auto"/>
          <w:spacing w:val="0"/>
          <w:kern w:val="2"/>
          <w:sz w:val="24"/>
          <w:szCs w:val="24"/>
          <w:lang w:val="en-US" w:eastAsia="zh-CN" w:bidi="ar-SA"/>
        </w:rPr>
        <w:instrText xml:space="preserve"> HYPERLINK \l _Toc12926 </w:instrText>
      </w:r>
      <w:r>
        <w:rPr>
          <w:rFonts w:hint="eastAsia" w:ascii="宋体" w:hAnsi="宋体" w:eastAsia="宋体" w:cs="宋体"/>
          <w:color w:val="auto"/>
          <w:spacing w:val="0"/>
          <w:kern w:val="2"/>
          <w:sz w:val="24"/>
          <w:szCs w:val="24"/>
          <w:lang w:val="en-US" w:eastAsia="zh-CN" w:bidi="ar-SA"/>
        </w:rPr>
        <w:fldChar w:fldCharType="separate"/>
      </w:r>
      <w:r>
        <w:rPr>
          <w:rFonts w:hint="eastAsia" w:ascii="宋体" w:hAnsi="宋体" w:eastAsia="宋体" w:cs="宋体"/>
          <w:color w:val="auto"/>
          <w:spacing w:val="0"/>
          <w:kern w:val="2"/>
          <w:sz w:val="24"/>
          <w:szCs w:val="24"/>
          <w:lang w:val="en-US" w:eastAsia="zh-CN" w:bidi="ar-SA"/>
        </w:rPr>
        <w:t>第二章 供应商须知</w:t>
      </w:r>
      <w:r>
        <w:rPr>
          <w:rFonts w:hint="eastAsia" w:ascii="宋体" w:hAnsi="宋体" w:eastAsia="宋体" w:cs="宋体"/>
          <w:color w:val="auto"/>
          <w:spacing w:val="0"/>
          <w:kern w:val="2"/>
          <w:sz w:val="24"/>
          <w:szCs w:val="24"/>
          <w:lang w:val="en-US" w:eastAsia="zh-CN" w:bidi="ar-SA"/>
        </w:rPr>
        <w:fldChar w:fldCharType="end"/>
      </w:r>
    </w:p>
    <w:p>
      <w:pPr>
        <w:pStyle w:val="14"/>
        <w:tabs>
          <w:tab w:val="left" w:pos="5670"/>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（3）</w:t>
      </w:r>
      <w:r>
        <w:rPr>
          <w:rFonts w:hint="eastAsia" w:ascii="宋体" w:hAnsi="宋体" w:eastAsia="宋体" w:cs="宋体"/>
          <w:color w:val="auto"/>
          <w:spacing w:val="0"/>
          <w:kern w:val="2"/>
          <w:sz w:val="24"/>
          <w:szCs w:val="24"/>
          <w:lang w:val="en-US" w:eastAsia="zh-CN" w:bidi="ar-SA"/>
        </w:rPr>
        <w:fldChar w:fldCharType="begin"/>
      </w:r>
      <w:r>
        <w:rPr>
          <w:rFonts w:hint="eastAsia" w:ascii="宋体" w:hAnsi="宋体" w:eastAsia="宋体" w:cs="宋体"/>
          <w:color w:val="auto"/>
          <w:spacing w:val="0"/>
          <w:kern w:val="2"/>
          <w:sz w:val="24"/>
          <w:szCs w:val="24"/>
          <w:lang w:val="en-US" w:eastAsia="zh-CN" w:bidi="ar-SA"/>
        </w:rPr>
        <w:instrText xml:space="preserve"> HYPERLINK \l _Toc27628 </w:instrText>
      </w:r>
      <w:r>
        <w:rPr>
          <w:rFonts w:hint="eastAsia" w:ascii="宋体" w:hAnsi="宋体" w:eastAsia="宋体" w:cs="宋体"/>
          <w:color w:val="auto"/>
          <w:spacing w:val="0"/>
          <w:kern w:val="2"/>
          <w:sz w:val="24"/>
          <w:szCs w:val="24"/>
          <w:lang w:val="en-US" w:eastAsia="zh-CN" w:bidi="ar-SA"/>
        </w:rPr>
        <w:fldChar w:fldCharType="separate"/>
      </w:r>
      <w:r>
        <w:rPr>
          <w:rFonts w:hint="eastAsia" w:ascii="宋体" w:hAnsi="宋体" w:eastAsia="宋体" w:cs="宋体"/>
          <w:color w:val="auto"/>
          <w:spacing w:val="0"/>
          <w:kern w:val="2"/>
          <w:sz w:val="24"/>
          <w:szCs w:val="24"/>
          <w:lang w:val="en-US" w:eastAsia="zh-CN" w:bidi="ar-SA"/>
        </w:rPr>
        <w:t>第三章 评审方法</w:t>
      </w:r>
      <w:r>
        <w:rPr>
          <w:rFonts w:hint="eastAsia" w:ascii="宋体" w:hAnsi="宋体" w:eastAsia="宋体" w:cs="宋体"/>
          <w:color w:val="auto"/>
          <w:spacing w:val="0"/>
          <w:kern w:val="2"/>
          <w:sz w:val="24"/>
          <w:szCs w:val="24"/>
          <w:lang w:val="en-US" w:eastAsia="zh-CN" w:bidi="ar-SA"/>
        </w:rPr>
        <w:fldChar w:fldCharType="end"/>
      </w:r>
    </w:p>
    <w:p>
      <w:pPr>
        <w:pStyle w:val="14"/>
        <w:tabs>
          <w:tab w:val="left" w:pos="5670"/>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（4）</w:t>
      </w:r>
      <w:r>
        <w:rPr>
          <w:rFonts w:hint="eastAsia" w:ascii="宋体" w:hAnsi="宋体" w:eastAsia="宋体" w:cs="宋体"/>
          <w:color w:val="auto"/>
          <w:spacing w:val="0"/>
          <w:kern w:val="2"/>
          <w:sz w:val="24"/>
          <w:szCs w:val="24"/>
          <w:lang w:val="en-US" w:eastAsia="zh-CN" w:bidi="ar-SA"/>
        </w:rPr>
        <w:fldChar w:fldCharType="begin"/>
      </w:r>
      <w:r>
        <w:rPr>
          <w:rFonts w:hint="eastAsia" w:ascii="宋体" w:hAnsi="宋体" w:eastAsia="宋体" w:cs="宋体"/>
          <w:color w:val="auto"/>
          <w:spacing w:val="0"/>
          <w:kern w:val="2"/>
          <w:sz w:val="24"/>
          <w:szCs w:val="24"/>
          <w:lang w:val="en-US" w:eastAsia="zh-CN" w:bidi="ar-SA"/>
        </w:rPr>
        <w:instrText xml:space="preserve"> HYPERLINK \l _Toc10940 </w:instrText>
      </w:r>
      <w:r>
        <w:rPr>
          <w:rFonts w:hint="eastAsia" w:ascii="宋体" w:hAnsi="宋体" w:eastAsia="宋体" w:cs="宋体"/>
          <w:color w:val="auto"/>
          <w:spacing w:val="0"/>
          <w:kern w:val="2"/>
          <w:sz w:val="24"/>
          <w:szCs w:val="24"/>
          <w:lang w:val="en-US" w:eastAsia="zh-CN" w:bidi="ar-SA"/>
        </w:rPr>
        <w:fldChar w:fldCharType="separate"/>
      </w:r>
      <w:r>
        <w:rPr>
          <w:rFonts w:hint="eastAsia" w:ascii="宋体" w:hAnsi="宋体" w:eastAsia="宋体" w:cs="宋体"/>
          <w:color w:val="auto"/>
          <w:spacing w:val="0"/>
          <w:kern w:val="2"/>
          <w:sz w:val="24"/>
          <w:szCs w:val="24"/>
          <w:lang w:val="en-US" w:eastAsia="zh-CN" w:bidi="ar-SA"/>
        </w:rPr>
        <w:t>第四章 合同主要条款</w:t>
      </w:r>
      <w:r>
        <w:rPr>
          <w:rFonts w:hint="eastAsia" w:ascii="宋体" w:hAnsi="宋体" w:eastAsia="宋体" w:cs="宋体"/>
          <w:color w:val="auto"/>
          <w:spacing w:val="0"/>
          <w:kern w:val="2"/>
          <w:sz w:val="24"/>
          <w:szCs w:val="24"/>
          <w:lang w:val="en-US" w:eastAsia="zh-CN" w:bidi="ar-SA"/>
        </w:rPr>
        <w:fldChar w:fldCharType="end"/>
      </w:r>
      <w:r>
        <w:rPr>
          <w:rFonts w:hint="eastAsia" w:ascii="宋体" w:hAnsi="宋体" w:cs="宋体"/>
          <w:color w:val="auto"/>
          <w:spacing w:val="0"/>
          <w:kern w:val="2"/>
          <w:sz w:val="24"/>
          <w:szCs w:val="24"/>
          <w:lang w:val="en-US" w:eastAsia="zh-CN" w:bidi="ar-SA"/>
        </w:rPr>
        <w:t>及格式</w:t>
      </w:r>
    </w:p>
    <w:p>
      <w:pPr>
        <w:pStyle w:val="14"/>
        <w:tabs>
          <w:tab w:val="left" w:pos="5670"/>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（4）第五章 采购内容及技术要求</w:t>
      </w:r>
    </w:p>
    <w:p>
      <w:pPr>
        <w:pStyle w:val="14"/>
        <w:tabs>
          <w:tab w:val="left" w:pos="5670"/>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（5）第六章 磋商响应文件格式</w:t>
      </w:r>
    </w:p>
    <w:p>
      <w:pPr>
        <w:pStyle w:val="14"/>
        <w:tabs>
          <w:tab w:val="right" w:leader="dot" w:pos="9026"/>
        </w:tabs>
        <w:snapToGrid w:val="0"/>
        <w:spacing w:line="360" w:lineRule="auto"/>
        <w:ind w:firstLine="480" w:firstLineChars="200"/>
        <w:outlineLvl w:val="9"/>
        <w:rPr>
          <w:rFonts w:hint="eastAsia" w:ascii="宋体" w:hAnsi="宋体" w:eastAsia="宋体" w:cs="宋体"/>
          <w:color w:val="auto"/>
          <w:spacing w:val="0"/>
          <w:kern w:val="2"/>
          <w:sz w:val="24"/>
          <w:szCs w:val="24"/>
          <w:lang w:val="en-US" w:eastAsia="zh-CN" w:bidi="ar-SA"/>
        </w:rPr>
      </w:pPr>
      <w:r>
        <w:rPr>
          <w:rFonts w:hint="eastAsia" w:ascii="宋体" w:hAnsi="宋体" w:eastAsia="宋体" w:cs="宋体"/>
          <w:color w:val="auto"/>
          <w:spacing w:val="0"/>
          <w:kern w:val="2"/>
          <w:sz w:val="24"/>
          <w:szCs w:val="24"/>
          <w:lang w:val="en-US" w:eastAsia="zh-CN" w:bidi="ar-SA"/>
        </w:rPr>
        <w:t xml:space="preserve">（6）第七章 工程量清单  </w:t>
      </w:r>
    </w:p>
    <w:p>
      <w:pPr>
        <w:keepNext w:val="0"/>
        <w:keepLines w:val="0"/>
        <w:pageBreakBefore w:val="0"/>
        <w:widowControl w:val="0"/>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2.1.2供应商应仔细阅读磋商文件中所有的事项、格式、条款和规范要求，在磋商响应文件中对磋商文件的各方面都作出实质性的响应，按照磋商文件的要求提交全部资料。</w:t>
      </w:r>
    </w:p>
    <w:p>
      <w:pPr>
        <w:keepNext w:val="0"/>
        <w:keepLines w:val="0"/>
        <w:pageBreakBefore w:val="0"/>
        <w:widowControl w:val="0"/>
        <w:tabs>
          <w:tab w:val="left" w:pos="0"/>
        </w:tabs>
        <w:kinsoku w:val="0"/>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lang w:val="en-US" w:eastAsia="zh-CN"/>
        </w:rPr>
        <w:t>2.2</w:t>
      </w:r>
      <w:r>
        <w:rPr>
          <w:rFonts w:hint="eastAsia" w:ascii="宋体" w:hAnsi="宋体" w:eastAsia="宋体" w:cs="宋体"/>
          <w:b/>
          <w:bCs/>
          <w:color w:val="auto"/>
          <w:spacing w:val="0"/>
          <w:sz w:val="24"/>
          <w:szCs w:val="24"/>
        </w:rPr>
        <w:t>磋商文件的修改、澄清或补正</w:t>
      </w:r>
    </w:p>
    <w:p>
      <w:pPr>
        <w:keepNext w:val="0"/>
        <w:keepLines w:val="0"/>
        <w:pageBreakBefore w:val="0"/>
        <w:widowControl w:val="0"/>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2.2.1采购代理机构可对已发出的竞争性磋商文件进行必要的修改、澄清或补正，修改、澄清或补正的内容在磋商截止时间</w:t>
      </w:r>
      <w:r>
        <w:rPr>
          <w:rFonts w:hint="eastAsia" w:ascii="宋体" w:hAnsi="宋体" w:cs="宋体"/>
          <w:color w:val="auto"/>
          <w:spacing w:val="0"/>
          <w:sz w:val="24"/>
          <w:szCs w:val="24"/>
          <w:lang w:val="en-US" w:eastAsia="zh-CN"/>
        </w:rPr>
        <w:t>5日</w:t>
      </w:r>
      <w:r>
        <w:rPr>
          <w:rFonts w:hint="eastAsia" w:ascii="宋体" w:hAnsi="宋体" w:eastAsia="宋体" w:cs="宋体"/>
          <w:color w:val="auto"/>
          <w:spacing w:val="0"/>
          <w:sz w:val="24"/>
          <w:szCs w:val="24"/>
          <w:lang w:val="en-US" w:eastAsia="zh-CN"/>
        </w:rPr>
        <w:t>前，以书面形式通知所有竞争性磋商文件收受人，该澄清或修改的内容为竞争性磋商文件的组成部分，对所有供应商均具有约束力。</w:t>
      </w:r>
    </w:p>
    <w:p>
      <w:pPr>
        <w:keepNext w:val="0"/>
        <w:keepLines w:val="0"/>
        <w:pageBreakBefore w:val="0"/>
        <w:widowControl w:val="0"/>
        <w:tabs>
          <w:tab w:val="left" w:pos="0"/>
        </w:tabs>
        <w:kinsoku w:val="0"/>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2.2</w:t>
      </w: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rPr>
        <w:t>2供应商要求对竞争性磋商文件进行澄清的，必须在磋商截止时间</w:t>
      </w:r>
      <w:r>
        <w:rPr>
          <w:rFonts w:hint="eastAsia" w:ascii="宋体" w:hAnsi="宋体" w:eastAsia="宋体" w:cs="宋体"/>
          <w:color w:val="auto"/>
          <w:spacing w:val="0"/>
          <w:sz w:val="24"/>
          <w:szCs w:val="24"/>
          <w:lang w:val="en-US" w:eastAsia="zh-CN"/>
        </w:rPr>
        <w:t>3</w:t>
      </w:r>
      <w:r>
        <w:rPr>
          <w:rFonts w:hint="eastAsia" w:ascii="宋体" w:hAnsi="宋体" w:eastAsia="宋体" w:cs="宋体"/>
          <w:color w:val="auto"/>
          <w:spacing w:val="0"/>
          <w:sz w:val="24"/>
          <w:szCs w:val="24"/>
        </w:rPr>
        <w:t>日前，以书面形式送达磋商组织机构；磋商组织机构将以书面形式予以答复；必要时将书面答复传送给所有竞争性磋商文件收受人。</w:t>
      </w:r>
    </w:p>
    <w:p>
      <w:pPr>
        <w:keepNext w:val="0"/>
        <w:keepLines w:val="0"/>
        <w:pageBreakBefore w:val="0"/>
        <w:widowControl w:val="0"/>
        <w:tabs>
          <w:tab w:val="left" w:pos="0"/>
        </w:tabs>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2.2</w:t>
      </w: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rPr>
        <w:t>3</w:t>
      </w:r>
      <w:r>
        <w:rPr>
          <w:rFonts w:hint="eastAsia" w:ascii="宋体" w:hAnsi="宋体" w:eastAsia="宋体" w:cs="宋体"/>
          <w:color w:val="auto"/>
          <w:spacing w:val="0"/>
          <w:sz w:val="24"/>
          <w:szCs w:val="24"/>
          <w:lang w:eastAsia="zh-CN"/>
        </w:rPr>
        <w:t>采购代理机构</w:t>
      </w:r>
      <w:r>
        <w:rPr>
          <w:rFonts w:hint="eastAsia" w:ascii="宋体" w:hAnsi="宋体" w:eastAsia="宋体" w:cs="宋体"/>
          <w:color w:val="auto"/>
          <w:spacing w:val="0"/>
          <w:sz w:val="24"/>
          <w:szCs w:val="24"/>
        </w:rPr>
        <w:t>可以视采购具体情况，延长磋商截止时间和磋商时间，但至少在竞争性磋商文件要求的提交</w:t>
      </w:r>
      <w:r>
        <w:rPr>
          <w:rFonts w:hint="eastAsia" w:ascii="宋体" w:hAnsi="宋体" w:eastAsia="宋体" w:cs="宋体"/>
          <w:color w:val="auto"/>
          <w:spacing w:val="0"/>
          <w:sz w:val="24"/>
          <w:szCs w:val="24"/>
          <w:lang w:eastAsia="zh-CN"/>
        </w:rPr>
        <w:t>磋商</w:t>
      </w:r>
      <w:r>
        <w:rPr>
          <w:rFonts w:hint="eastAsia" w:ascii="宋体" w:hAnsi="宋体" w:eastAsia="宋体" w:cs="宋体"/>
          <w:color w:val="auto"/>
          <w:spacing w:val="0"/>
          <w:sz w:val="24"/>
          <w:szCs w:val="24"/>
        </w:rPr>
        <w:t>响应文件的截止时间</w:t>
      </w:r>
      <w:r>
        <w:rPr>
          <w:rFonts w:hint="eastAsia" w:ascii="宋体" w:hAnsi="宋体" w:eastAsia="宋体" w:cs="宋体"/>
          <w:color w:val="auto"/>
          <w:spacing w:val="0"/>
          <w:sz w:val="24"/>
          <w:szCs w:val="24"/>
          <w:lang w:val="en-US" w:eastAsia="zh-CN"/>
        </w:rPr>
        <w:t>2</w:t>
      </w:r>
      <w:r>
        <w:rPr>
          <w:rFonts w:hint="eastAsia" w:ascii="宋体" w:hAnsi="宋体" w:eastAsia="宋体" w:cs="宋体"/>
          <w:color w:val="auto"/>
          <w:spacing w:val="0"/>
          <w:sz w:val="24"/>
          <w:szCs w:val="24"/>
        </w:rPr>
        <w:t xml:space="preserve">日前，将变更时间书面通知所有竞争性磋商文件收受人，并在政府采购信息发布媒体上发布变更公告。 </w:t>
      </w:r>
    </w:p>
    <w:p>
      <w:pPr>
        <w:keepNext w:val="0"/>
        <w:keepLines w:val="0"/>
        <w:pageBreakBefore w:val="0"/>
        <w:widowControl w:val="0"/>
        <w:kinsoku w:val="0"/>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2.2</w:t>
      </w: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rPr>
        <w:t>4供应商在</w:t>
      </w:r>
      <w:r>
        <w:rPr>
          <w:rFonts w:hint="eastAsia" w:ascii="宋体" w:hAnsi="宋体" w:eastAsia="宋体" w:cs="宋体"/>
          <w:color w:val="auto"/>
          <w:spacing w:val="0"/>
          <w:sz w:val="24"/>
          <w:szCs w:val="24"/>
          <w:lang w:eastAsia="zh-CN"/>
        </w:rPr>
        <w:t>提交磋商响应文件</w:t>
      </w:r>
      <w:r>
        <w:rPr>
          <w:rFonts w:hint="eastAsia" w:ascii="宋体" w:hAnsi="宋体" w:eastAsia="宋体" w:cs="宋体"/>
          <w:color w:val="auto"/>
          <w:spacing w:val="0"/>
          <w:sz w:val="24"/>
          <w:szCs w:val="24"/>
        </w:rPr>
        <w:t>前未对磋商文件所列条款提出质疑，视为接受磋商文件所列条款，</w:t>
      </w:r>
      <w:r>
        <w:rPr>
          <w:rFonts w:hint="eastAsia" w:ascii="宋体" w:hAnsi="宋体" w:eastAsia="宋体" w:cs="宋体"/>
          <w:color w:val="auto"/>
          <w:spacing w:val="0"/>
          <w:sz w:val="24"/>
          <w:szCs w:val="24"/>
          <w:lang w:eastAsia="zh-CN"/>
        </w:rPr>
        <w:t>提交磋商响应文件</w:t>
      </w:r>
      <w:r>
        <w:rPr>
          <w:rFonts w:hint="eastAsia" w:ascii="宋体" w:hAnsi="宋体" w:eastAsia="宋体" w:cs="宋体"/>
          <w:color w:val="auto"/>
          <w:spacing w:val="0"/>
          <w:sz w:val="24"/>
          <w:szCs w:val="24"/>
        </w:rPr>
        <w:t>后</w:t>
      </w:r>
      <w:r>
        <w:rPr>
          <w:rFonts w:hint="eastAsia" w:ascii="宋体" w:hAnsi="宋体" w:eastAsia="宋体" w:cs="宋体"/>
          <w:color w:val="auto"/>
          <w:spacing w:val="0"/>
          <w:sz w:val="24"/>
          <w:szCs w:val="24"/>
          <w:lang w:eastAsia="zh-CN"/>
        </w:rPr>
        <w:t>采购人</w:t>
      </w:r>
      <w:r>
        <w:rPr>
          <w:rFonts w:hint="eastAsia" w:ascii="宋体" w:hAnsi="宋体" w:eastAsia="宋体" w:cs="宋体"/>
          <w:color w:val="auto"/>
          <w:spacing w:val="0"/>
          <w:sz w:val="24"/>
          <w:szCs w:val="24"/>
        </w:rPr>
        <w:t>将不再受理对磋商文件所列条款的任何质疑。</w:t>
      </w:r>
    </w:p>
    <w:p>
      <w:pPr>
        <w:keepNext w:val="0"/>
        <w:keepLines w:val="0"/>
        <w:pageBreakBefore w:val="0"/>
        <w:widowControl w:val="0"/>
        <w:tabs>
          <w:tab w:val="left" w:pos="0"/>
        </w:tabs>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b/>
          <w:bCs/>
          <w:color w:val="auto"/>
          <w:spacing w:val="0"/>
          <w:sz w:val="24"/>
          <w:szCs w:val="24"/>
          <w:lang w:val="en-US" w:eastAsia="zh-CN"/>
        </w:rPr>
        <w:t>2.3</w:t>
      </w:r>
      <w:r>
        <w:rPr>
          <w:rFonts w:hint="eastAsia" w:ascii="宋体" w:hAnsi="宋体" w:eastAsia="宋体" w:cs="宋体"/>
          <w:color w:val="auto"/>
          <w:spacing w:val="0"/>
          <w:sz w:val="24"/>
          <w:szCs w:val="24"/>
        </w:rPr>
        <w:t>供应商不得擅自转让、变卖或复制竞争性磋商文件进行磋商响应。</w:t>
      </w:r>
    </w:p>
    <w:p>
      <w:pPr>
        <w:keepNext w:val="0"/>
        <w:keepLines w:val="0"/>
        <w:pageBreakBefore w:val="0"/>
        <w:widowControl w:val="0"/>
        <w:tabs>
          <w:tab w:val="left" w:pos="0"/>
        </w:tabs>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color w:val="auto"/>
          <w:spacing w:val="0"/>
          <w:sz w:val="24"/>
          <w:szCs w:val="24"/>
        </w:rPr>
      </w:pPr>
      <w:r>
        <w:rPr>
          <w:rFonts w:hint="eastAsia" w:ascii="宋体" w:hAnsi="宋体" w:eastAsia="宋体" w:cs="宋体"/>
          <w:b/>
          <w:bCs/>
          <w:color w:val="auto"/>
          <w:spacing w:val="0"/>
          <w:sz w:val="24"/>
          <w:szCs w:val="24"/>
          <w:lang w:val="en-US" w:eastAsia="zh-CN"/>
        </w:rPr>
        <w:t>2.4</w:t>
      </w:r>
      <w:r>
        <w:rPr>
          <w:rFonts w:hint="eastAsia" w:ascii="宋体" w:hAnsi="宋体" w:eastAsia="宋体" w:cs="宋体"/>
          <w:color w:val="auto"/>
          <w:spacing w:val="0"/>
          <w:sz w:val="24"/>
          <w:szCs w:val="24"/>
        </w:rPr>
        <w:t>竞争性磋商文件的解释权归</w:t>
      </w:r>
      <w:r>
        <w:rPr>
          <w:rFonts w:hint="eastAsia" w:ascii="宋体" w:hAnsi="宋体" w:eastAsia="宋体" w:cs="宋体"/>
          <w:color w:val="auto"/>
          <w:spacing w:val="0"/>
          <w:sz w:val="24"/>
          <w:szCs w:val="24"/>
          <w:lang w:eastAsia="zh-CN"/>
        </w:rPr>
        <w:t>采购代理机构</w:t>
      </w:r>
      <w:r>
        <w:rPr>
          <w:rFonts w:hint="eastAsia" w:ascii="宋体" w:hAnsi="宋体" w:eastAsia="宋体" w:cs="宋体"/>
          <w:color w:val="auto"/>
          <w:spacing w:val="0"/>
          <w:sz w:val="24"/>
          <w:szCs w:val="24"/>
        </w:rPr>
        <w:t>。</w:t>
      </w:r>
    </w:p>
    <w:p>
      <w:pPr>
        <w:keepNext w:val="0"/>
        <w:keepLines w:val="0"/>
        <w:pageBreakBefore w:val="0"/>
        <w:kinsoku/>
        <w:wordWrap/>
        <w:overflowPunct/>
        <w:topLinePunct w:val="0"/>
        <w:bidi w:val="0"/>
        <w:spacing w:before="0" w:beforeLines="0" w:after="0" w:afterLines="0" w:line="360" w:lineRule="auto"/>
        <w:outlineLvl w:val="9"/>
        <w:rPr>
          <w:rFonts w:hint="eastAsia" w:ascii="宋体" w:hAnsi="宋体" w:eastAsia="宋体" w:cs="宋体"/>
          <w:b/>
          <w:color w:val="auto"/>
          <w:spacing w:val="0"/>
          <w:sz w:val="28"/>
          <w:szCs w:val="28"/>
          <w:lang w:val="en-US" w:eastAsia="zh-CN"/>
        </w:rPr>
      </w:pPr>
      <w:r>
        <w:rPr>
          <w:rFonts w:hint="eastAsia" w:ascii="宋体" w:hAnsi="宋体" w:eastAsia="宋体" w:cs="宋体"/>
          <w:b/>
          <w:color w:val="auto"/>
          <w:spacing w:val="0"/>
          <w:sz w:val="28"/>
          <w:szCs w:val="28"/>
          <w:lang w:val="en-US" w:eastAsia="zh-CN"/>
        </w:rPr>
        <w:t>3.竞争性磋商响应文件</w:t>
      </w:r>
    </w:p>
    <w:p>
      <w:pPr>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firstLine="482" w:firstLineChars="200"/>
        <w:jc w:val="left"/>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lang w:val="en-US" w:eastAsia="zh-CN"/>
        </w:rPr>
        <w:t>3.1</w:t>
      </w:r>
      <w:r>
        <w:rPr>
          <w:rFonts w:hint="eastAsia" w:ascii="宋体" w:hAnsi="宋体" w:eastAsia="宋体" w:cs="宋体"/>
          <w:b/>
          <w:bCs/>
          <w:color w:val="auto"/>
          <w:spacing w:val="0"/>
          <w:sz w:val="24"/>
          <w:szCs w:val="24"/>
        </w:rPr>
        <w:t>供应商资格要求：</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eastAsia="zh-CN"/>
        </w:rPr>
      </w:pPr>
      <w:r>
        <w:rPr>
          <w:rFonts w:hint="eastAsia" w:ascii="宋体" w:hAnsi="宋体" w:eastAsia="宋体" w:cs="宋体"/>
          <w:color w:val="auto"/>
          <w:sz w:val="24"/>
          <w:szCs w:val="24"/>
          <w:lang w:val="en-US" w:eastAsia="zh-CN"/>
        </w:rPr>
        <w:t>3.1.1</w:t>
      </w:r>
      <w:r>
        <w:rPr>
          <w:rFonts w:hint="eastAsia" w:ascii="宋体" w:hAnsi="宋体" w:eastAsia="宋体" w:cs="宋体"/>
          <w:color w:val="auto"/>
          <w:sz w:val="24"/>
          <w:szCs w:val="24"/>
        </w:rPr>
        <w:t>基本资格条件：符合《中华人民共和国政府采购法》第二十二条的规定</w:t>
      </w:r>
      <w:r>
        <w:rPr>
          <w:rFonts w:hint="eastAsia" w:ascii="宋体" w:hAnsi="宋体" w:cs="宋体"/>
          <w:color w:val="auto"/>
          <w:sz w:val="24"/>
          <w:szCs w:val="24"/>
          <w:lang w:eastAsia="zh-CN"/>
        </w:rPr>
        <w:t>：</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1、具有独立承担民事责任的能力；</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2、具有良好的商业信誉和健全的财务会计；</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3、具有履行合同所必须的设备和专业技术能力；</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4、有依法缴纳税收和社会保障资金的良好行为；</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5、参加政府采购活动前三年内，在经营活动中没有重大违法记录；</w:t>
      </w:r>
    </w:p>
    <w:p>
      <w:pPr>
        <w:pStyle w:val="16"/>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6、法律、行政法规规定的其他条件。</w:t>
      </w:r>
    </w:p>
    <w:p>
      <w:pPr>
        <w:pStyle w:val="16"/>
        <w:keepNext w:val="0"/>
        <w:keepLines w:val="0"/>
        <w:widowControl/>
        <w:suppressLineNumbers w:val="0"/>
        <w:spacing w:before="0" w:beforeAutospacing="0" w:after="0" w:afterAutospacing="0" w:line="360" w:lineRule="auto"/>
        <w:ind w:left="0" w:right="0" w:firstLine="420"/>
        <w:rPr>
          <w:rFonts w:hint="eastAsia" w:ascii="宋体" w:hAnsi="宋体" w:eastAsia="宋体" w:cs="宋体"/>
        </w:rPr>
      </w:pPr>
      <w:r>
        <w:rPr>
          <w:rFonts w:hint="eastAsia" w:ascii="宋体" w:hAnsi="宋体" w:cs="宋体"/>
          <w:lang w:val="en-US" w:eastAsia="zh-CN"/>
        </w:rPr>
        <w:t>3.2.2</w:t>
      </w:r>
      <w:r>
        <w:rPr>
          <w:rFonts w:hint="eastAsia" w:ascii="宋体" w:hAnsi="宋体" w:eastAsia="宋体" w:cs="宋体"/>
        </w:rPr>
        <w:t>落实政府采购政策需满足的资格要求：</w:t>
      </w:r>
    </w:p>
    <w:p>
      <w:pPr>
        <w:pStyle w:val="16"/>
        <w:keepNext w:val="0"/>
        <w:keepLines w:val="0"/>
        <w:widowControl/>
        <w:suppressLineNumbers w:val="0"/>
        <w:spacing w:before="0" w:beforeAutospacing="0" w:after="0" w:afterAutospacing="0" w:line="360" w:lineRule="auto"/>
        <w:ind w:left="0" w:right="0" w:firstLine="420"/>
        <w:rPr>
          <w:rFonts w:hint="eastAsia" w:ascii="宋体" w:hAnsi="宋体" w:cs="宋体"/>
          <w:color w:val="auto"/>
          <w:sz w:val="24"/>
          <w:szCs w:val="24"/>
          <w:lang w:val="en-US" w:eastAsia="zh-CN"/>
        </w:rPr>
      </w:pPr>
      <w:r>
        <w:rPr>
          <w:rFonts w:hint="eastAsia" w:ascii="宋体" w:hAnsi="宋体" w:eastAsia="宋体" w:cs="宋体"/>
        </w:rPr>
        <w:t>1、财政部、国家发展和改革委员会关于印发《节能产品政府采购实施意见》的通知（财库[2004]185号）； 2、财政部、国家环保总局联合印发《关于环境标志产品政府采购实施的意见》(财库[2006]90号)； 3、国务院办公厅关于建立政府强制采购节能产品制度的通知 国办发〔2007〕51号； 4、关于印发《政府采购促进中小企业发展暂行办法》的通知(</w:t>
      </w:r>
      <w:r>
        <w:rPr>
          <w:rFonts w:hint="eastAsia" w:ascii="宋体" w:hAnsi="宋体" w:eastAsia="宋体" w:cs="宋体"/>
          <w:lang w:eastAsia="zh-CN"/>
        </w:rPr>
        <w:t>财库〔2020〕46号</w:t>
      </w:r>
      <w:r>
        <w:rPr>
          <w:rFonts w:hint="eastAsia" w:ascii="宋体" w:hAnsi="宋体" w:eastAsia="宋体" w:cs="宋体"/>
        </w:rPr>
        <w:t>； 5、财政部 司法部关于政府采购支持监狱企业发展有关问题的通知(财库〔2014〕68号)； 6、财政部、民政部、中国残疾人联合会关于促进残疾人就业政府采购政策的通知（财库〔2017〕141号）。</w:t>
      </w:r>
    </w:p>
    <w:p>
      <w:pPr>
        <w:keepNext w:val="0"/>
        <w:keepLines w:val="0"/>
        <w:pageBreakBefore w:val="0"/>
        <w:widowControl/>
        <w:shd w:val="clear" w:color="auto" w:fill="auto"/>
        <w:kinsoku/>
        <w:wordWrap/>
        <w:overflowPunct/>
        <w:topLinePunct w:val="0"/>
        <w:autoSpaceDE/>
        <w:autoSpaceDN/>
        <w:bidi w:val="0"/>
        <w:adjustRightInd/>
        <w:snapToGrid/>
        <w:spacing w:before="0" w:beforeLines="0" w:after="0" w:afterLines="0" w:line="360" w:lineRule="auto"/>
        <w:ind w:right="0" w:rightChars="0" w:firstLine="480" w:firstLineChars="200"/>
        <w:jc w:val="left"/>
        <w:textAlignment w:val="auto"/>
        <w:outlineLvl w:val="9"/>
        <w:rPr>
          <w:rFonts w:hint="eastAsia" w:ascii="宋体" w:hAnsi="宋体" w:eastAsia="宋体" w:cs="宋体"/>
          <w:b/>
          <w:bCs/>
          <w:color w:val="auto"/>
          <w:spacing w:val="0"/>
          <w:sz w:val="24"/>
          <w:szCs w:val="24"/>
          <w:highlight w:val="none"/>
          <w:shd w:val="clear" w:color="auto" w:fill="auto"/>
        </w:rPr>
      </w:pPr>
      <w:r>
        <w:rPr>
          <w:rFonts w:hint="eastAsia" w:ascii="宋体" w:hAnsi="宋体" w:eastAsia="宋体" w:cs="宋体"/>
          <w:color w:val="auto"/>
          <w:sz w:val="24"/>
          <w:szCs w:val="24"/>
          <w:lang w:val="en-US" w:eastAsia="zh-CN"/>
        </w:rPr>
        <w:t>3.</w:t>
      </w:r>
      <w:r>
        <w:rPr>
          <w:rFonts w:hint="eastAsia" w:ascii="宋体" w:hAnsi="宋体" w:cs="宋体"/>
          <w:color w:val="auto"/>
          <w:sz w:val="24"/>
          <w:szCs w:val="24"/>
          <w:lang w:val="en-US" w:eastAsia="zh-CN"/>
        </w:rPr>
        <w:t>2.3</w:t>
      </w:r>
      <w:r>
        <w:rPr>
          <w:rFonts w:hint="eastAsia" w:ascii="宋体" w:hAnsi="宋体" w:eastAsia="宋体" w:cs="宋体"/>
          <w:color w:val="auto"/>
          <w:sz w:val="24"/>
          <w:szCs w:val="24"/>
        </w:rPr>
        <w:t>特定资格条件：</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1</w:t>
      </w:r>
      <w:r>
        <w:rPr>
          <w:rFonts w:hint="eastAsia" w:ascii="宋体" w:hAnsi="宋体" w:cs="宋体"/>
          <w:color w:val="auto"/>
          <w:sz w:val="24"/>
          <w:szCs w:val="24"/>
          <w:lang w:eastAsia="zh-CN"/>
        </w:rPr>
        <w:t>）具有独立承担民事责任能力的法人或其他组织或自然人，企业法人应提供有效的统一社会信用代码的营业执照；事业法人应提供事业单位法人等证明文件；其他组织应提供合法证明文件；自然人出具身份证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供应商须具有合格有效的法定代表人授权书及被授权人身份证（法定代表人参加只需提供身份证原件）。</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3</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供应商须具备建设行政主管部门颁发的钢结构工程专业承包三级及以上资质，同时具有有效的安全生产许可证。</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4</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 xml:space="preserve">拟派项目经理须具备建筑工程专业注册建造师贰级及以上资格和有效的安全生产考核合格证B证，在本单位注册且无在建项目。 </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5</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企业基本信息、项目</w:t>
      </w:r>
      <w:r>
        <w:rPr>
          <w:rFonts w:hint="eastAsia" w:ascii="宋体" w:hAnsi="宋体" w:cs="宋体"/>
          <w:color w:val="auto"/>
          <w:sz w:val="24"/>
          <w:szCs w:val="24"/>
          <w:lang w:eastAsia="zh-CN"/>
        </w:rPr>
        <w:t>经理</w:t>
      </w:r>
      <w:r>
        <w:rPr>
          <w:rFonts w:hint="eastAsia" w:ascii="宋体" w:hAnsi="宋体" w:eastAsia="宋体" w:cs="宋体"/>
          <w:color w:val="auto"/>
          <w:sz w:val="24"/>
          <w:szCs w:val="24"/>
          <w:lang w:eastAsia="zh-CN"/>
        </w:rPr>
        <w:t>基本信息须在“陕西省建筑市场监管与诚信信息一体化平台”可查询。</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6</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供应商被“信用中国”网站（www.creditchina.gov.cn）列入失信被执行人、重大税收违法案件当事人名单的，供应商被“中国政府采购网”（www.ccgp.gov.cn）列入政府采购严重违法失信行为记录名单的，不得参与本项目投标。</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供应商负责人为同一人或者存在控股、管理关系的不同单位，不得</w:t>
      </w:r>
      <w:r>
        <w:rPr>
          <w:rFonts w:hint="eastAsia" w:ascii="宋体" w:hAnsi="宋体" w:cs="宋体"/>
          <w:color w:val="auto"/>
          <w:sz w:val="24"/>
          <w:szCs w:val="24"/>
          <w:lang w:eastAsia="zh-CN"/>
        </w:rPr>
        <w:t>同时</w:t>
      </w:r>
      <w:r>
        <w:rPr>
          <w:rFonts w:hint="eastAsia" w:ascii="宋体" w:hAnsi="宋体" w:eastAsia="宋体" w:cs="宋体"/>
          <w:color w:val="auto"/>
          <w:sz w:val="24"/>
          <w:szCs w:val="24"/>
          <w:lang w:eastAsia="zh-CN"/>
        </w:rPr>
        <w:t>参加本项目磋商。</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8</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本项目不接受联合体磋商。</w:t>
      </w:r>
    </w:p>
    <w:p>
      <w:pPr>
        <w:keepNext w:val="0"/>
        <w:keepLines w:val="0"/>
        <w:pageBreakBefore w:val="0"/>
        <w:widowControl/>
        <w:shd w:val="clear" w:color="auto" w:fill="auto"/>
        <w:kinsoku/>
        <w:wordWrap/>
        <w:overflowPunct/>
        <w:topLinePunct w:val="0"/>
        <w:autoSpaceDE/>
        <w:autoSpaceDN/>
        <w:bidi w:val="0"/>
        <w:adjustRightInd/>
        <w:snapToGrid/>
        <w:spacing w:before="0" w:beforeLines="0" w:after="0" w:afterLines="0" w:line="360" w:lineRule="auto"/>
        <w:ind w:right="0" w:rightChars="0" w:firstLine="482" w:firstLineChars="200"/>
        <w:jc w:val="left"/>
        <w:textAlignment w:val="auto"/>
        <w:outlineLvl w:val="9"/>
        <w:rPr>
          <w:rFonts w:hint="eastAsia" w:ascii="宋体" w:hAnsi="宋体" w:eastAsia="宋体" w:cs="宋体"/>
          <w:b/>
          <w:bCs/>
          <w:color w:val="auto"/>
          <w:spacing w:val="0"/>
          <w:sz w:val="24"/>
          <w:szCs w:val="24"/>
          <w:highlight w:val="none"/>
          <w:shd w:val="clear" w:color="auto" w:fill="auto"/>
        </w:rPr>
      </w:pPr>
      <w:r>
        <w:rPr>
          <w:rFonts w:hint="eastAsia" w:ascii="宋体" w:hAnsi="宋体" w:eastAsia="宋体" w:cs="宋体"/>
          <w:b/>
          <w:bCs/>
          <w:color w:val="auto"/>
          <w:spacing w:val="0"/>
          <w:sz w:val="24"/>
          <w:szCs w:val="24"/>
          <w:highlight w:val="none"/>
          <w:shd w:val="clear" w:color="auto" w:fill="auto"/>
        </w:rPr>
        <w:t>注：上述</w:t>
      </w:r>
      <w:r>
        <w:rPr>
          <w:rFonts w:hint="eastAsia" w:ascii="宋体" w:hAnsi="宋体" w:eastAsia="宋体" w:cs="宋体"/>
          <w:b/>
          <w:bCs/>
          <w:color w:val="auto"/>
          <w:spacing w:val="0"/>
          <w:sz w:val="24"/>
          <w:szCs w:val="24"/>
          <w:highlight w:val="none"/>
          <w:shd w:val="clear" w:color="auto" w:fill="auto"/>
          <w:lang w:val="en-US" w:eastAsia="zh-CN"/>
        </w:rPr>
        <w:t>3.1.2</w:t>
      </w:r>
      <w:r>
        <w:rPr>
          <w:rFonts w:hint="eastAsia" w:ascii="宋体" w:hAnsi="宋体" w:eastAsia="宋体" w:cs="宋体"/>
          <w:b/>
          <w:bCs/>
          <w:color w:val="auto"/>
          <w:spacing w:val="0"/>
          <w:sz w:val="24"/>
          <w:szCs w:val="24"/>
          <w:highlight w:val="none"/>
          <w:shd w:val="clear" w:color="auto" w:fill="auto"/>
        </w:rPr>
        <w:t>特定资格条件</w:t>
      </w:r>
      <w:r>
        <w:rPr>
          <w:rFonts w:hint="eastAsia" w:ascii="宋体" w:hAnsi="宋体" w:eastAsia="宋体" w:cs="宋体"/>
          <w:b/>
          <w:bCs/>
          <w:color w:val="auto"/>
          <w:spacing w:val="0"/>
          <w:sz w:val="24"/>
          <w:szCs w:val="24"/>
          <w:highlight w:val="none"/>
          <w:shd w:val="clear" w:color="auto" w:fill="auto"/>
          <w:lang w:eastAsia="zh-CN"/>
        </w:rPr>
        <w:t>中（</w:t>
      </w:r>
      <w:r>
        <w:rPr>
          <w:rFonts w:hint="eastAsia" w:ascii="宋体" w:hAnsi="宋体" w:eastAsia="宋体" w:cs="宋体"/>
          <w:b/>
          <w:bCs/>
          <w:color w:val="auto"/>
          <w:spacing w:val="0"/>
          <w:sz w:val="24"/>
          <w:szCs w:val="24"/>
          <w:highlight w:val="none"/>
          <w:shd w:val="clear" w:color="auto" w:fill="auto"/>
          <w:lang w:val="en-US" w:eastAsia="zh-CN"/>
        </w:rPr>
        <w:t>1</w:t>
      </w:r>
      <w:r>
        <w:rPr>
          <w:rFonts w:hint="eastAsia" w:ascii="宋体" w:hAnsi="宋体" w:eastAsia="宋体" w:cs="宋体"/>
          <w:b/>
          <w:bCs/>
          <w:color w:val="auto"/>
          <w:spacing w:val="0"/>
          <w:sz w:val="24"/>
          <w:szCs w:val="24"/>
          <w:highlight w:val="none"/>
          <w:shd w:val="clear" w:color="auto" w:fill="auto"/>
          <w:lang w:eastAsia="zh-CN"/>
        </w:rPr>
        <w:t>）—（</w:t>
      </w:r>
      <w:r>
        <w:rPr>
          <w:rFonts w:hint="eastAsia" w:ascii="宋体" w:hAnsi="宋体" w:cs="宋体"/>
          <w:b/>
          <w:bCs/>
          <w:color w:val="auto"/>
          <w:spacing w:val="0"/>
          <w:sz w:val="24"/>
          <w:szCs w:val="24"/>
          <w:highlight w:val="none"/>
          <w:shd w:val="clear" w:color="auto" w:fill="auto"/>
          <w:lang w:val="en-US" w:eastAsia="zh-CN"/>
        </w:rPr>
        <w:t>6</w:t>
      </w:r>
      <w:r>
        <w:rPr>
          <w:rFonts w:hint="eastAsia" w:ascii="宋体" w:hAnsi="宋体" w:cs="宋体"/>
          <w:b/>
          <w:bCs/>
          <w:color w:val="auto"/>
          <w:spacing w:val="0"/>
          <w:sz w:val="24"/>
          <w:szCs w:val="24"/>
          <w:highlight w:val="none"/>
          <w:shd w:val="clear" w:color="auto" w:fill="auto"/>
          <w:lang w:eastAsia="zh-CN"/>
        </w:rPr>
        <w:t>）</w:t>
      </w:r>
      <w:r>
        <w:rPr>
          <w:rFonts w:hint="eastAsia" w:ascii="宋体" w:hAnsi="宋体" w:eastAsia="宋体" w:cs="宋体"/>
          <w:b/>
          <w:bCs/>
          <w:color w:val="auto"/>
          <w:spacing w:val="0"/>
          <w:sz w:val="24"/>
          <w:szCs w:val="24"/>
          <w:highlight w:val="none"/>
          <w:shd w:val="clear" w:color="auto" w:fill="auto"/>
        </w:rPr>
        <w:t>资质为</w:t>
      </w:r>
      <w:r>
        <w:rPr>
          <w:rFonts w:hint="eastAsia" w:ascii="宋体" w:hAnsi="宋体" w:cs="宋体"/>
          <w:b/>
          <w:bCs/>
          <w:color w:val="auto"/>
          <w:spacing w:val="0"/>
          <w:sz w:val="24"/>
          <w:szCs w:val="24"/>
          <w:highlight w:val="none"/>
          <w:shd w:val="clear" w:color="auto" w:fill="auto"/>
          <w:lang w:eastAsia="zh-CN"/>
        </w:rPr>
        <w:t>资格审查文件</w:t>
      </w:r>
      <w:r>
        <w:rPr>
          <w:rFonts w:hint="eastAsia" w:ascii="宋体" w:hAnsi="宋体" w:eastAsia="宋体" w:cs="宋体"/>
          <w:b/>
          <w:bCs/>
          <w:color w:val="auto"/>
          <w:spacing w:val="0"/>
          <w:sz w:val="24"/>
          <w:szCs w:val="24"/>
          <w:highlight w:val="none"/>
          <w:shd w:val="clear" w:color="auto" w:fill="auto"/>
        </w:rPr>
        <w:t>，参加</w:t>
      </w:r>
      <w:r>
        <w:rPr>
          <w:rFonts w:hint="eastAsia" w:ascii="宋体" w:hAnsi="宋体" w:eastAsia="宋体" w:cs="宋体"/>
          <w:b/>
          <w:bCs/>
          <w:color w:val="auto"/>
          <w:spacing w:val="0"/>
          <w:sz w:val="24"/>
          <w:szCs w:val="24"/>
          <w:highlight w:val="none"/>
          <w:shd w:val="clear" w:color="auto" w:fill="auto"/>
          <w:lang w:eastAsia="zh-CN"/>
        </w:rPr>
        <w:t>磋商</w:t>
      </w:r>
      <w:r>
        <w:rPr>
          <w:rFonts w:hint="eastAsia" w:ascii="宋体" w:hAnsi="宋体" w:eastAsia="宋体" w:cs="宋体"/>
          <w:b/>
          <w:bCs/>
          <w:color w:val="auto"/>
          <w:spacing w:val="0"/>
          <w:sz w:val="24"/>
          <w:szCs w:val="24"/>
          <w:highlight w:val="none"/>
          <w:shd w:val="clear" w:color="auto" w:fill="auto"/>
        </w:rPr>
        <w:t>会议时须提供上述</w:t>
      </w:r>
      <w:r>
        <w:rPr>
          <w:rFonts w:hint="eastAsia" w:ascii="宋体" w:hAnsi="宋体" w:cs="宋体"/>
          <w:b/>
          <w:bCs/>
          <w:color w:val="auto"/>
          <w:spacing w:val="0"/>
          <w:sz w:val="24"/>
          <w:szCs w:val="24"/>
          <w:highlight w:val="none"/>
          <w:shd w:val="clear" w:color="auto" w:fill="auto"/>
          <w:lang w:eastAsia="zh-CN"/>
        </w:rPr>
        <w:t>证明材料</w:t>
      </w:r>
      <w:r>
        <w:rPr>
          <w:rFonts w:hint="eastAsia" w:ascii="宋体" w:hAnsi="宋体" w:eastAsia="宋体" w:cs="宋体"/>
          <w:b/>
          <w:bCs/>
          <w:color w:val="auto"/>
          <w:spacing w:val="0"/>
          <w:sz w:val="24"/>
          <w:szCs w:val="24"/>
          <w:highlight w:val="none"/>
          <w:shd w:val="clear" w:color="auto" w:fill="auto"/>
        </w:rPr>
        <w:t>原件，欠缺其中任何一项按无效响应文件处理。</w:t>
      </w:r>
    </w:p>
    <w:p>
      <w:pPr>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firstLine="482" w:firstLineChars="200"/>
        <w:jc w:val="left"/>
        <w:textAlignment w:val="auto"/>
        <w:outlineLvl w:val="9"/>
        <w:rPr>
          <w:rFonts w:hint="eastAsia" w:ascii="宋体" w:hAnsi="宋体" w:eastAsia="宋体" w:cs="宋体"/>
          <w:b/>
          <w:bCs/>
          <w:color w:val="auto"/>
          <w:spacing w:val="0"/>
          <w:sz w:val="24"/>
          <w:szCs w:val="24"/>
        </w:rPr>
      </w:pPr>
      <w:r>
        <w:rPr>
          <w:rFonts w:hint="eastAsia" w:ascii="宋体" w:hAnsi="宋体" w:eastAsia="宋体" w:cs="宋体"/>
          <w:b/>
          <w:bCs/>
          <w:color w:val="auto"/>
          <w:spacing w:val="0"/>
          <w:sz w:val="24"/>
          <w:szCs w:val="24"/>
          <w:lang w:val="en-US" w:eastAsia="zh-CN"/>
        </w:rPr>
        <w:t>3.2</w:t>
      </w:r>
      <w:r>
        <w:rPr>
          <w:rFonts w:hint="eastAsia" w:ascii="宋体" w:hAnsi="宋体" w:eastAsia="宋体" w:cs="宋体"/>
          <w:b/>
          <w:bCs/>
          <w:color w:val="auto"/>
          <w:spacing w:val="0"/>
          <w:sz w:val="24"/>
          <w:szCs w:val="24"/>
        </w:rPr>
        <w:t>竞争性</w:t>
      </w:r>
      <w:r>
        <w:rPr>
          <w:rFonts w:hint="eastAsia" w:ascii="宋体" w:hAnsi="宋体" w:eastAsia="宋体" w:cs="宋体"/>
          <w:b/>
          <w:bCs/>
          <w:color w:val="auto"/>
          <w:spacing w:val="0"/>
          <w:sz w:val="24"/>
          <w:szCs w:val="24"/>
          <w:lang w:eastAsia="zh-CN"/>
        </w:rPr>
        <w:t>磋商</w:t>
      </w:r>
      <w:r>
        <w:rPr>
          <w:rFonts w:hint="eastAsia" w:ascii="宋体" w:hAnsi="宋体" w:eastAsia="宋体" w:cs="宋体"/>
          <w:b/>
          <w:bCs/>
          <w:color w:val="auto"/>
          <w:spacing w:val="0"/>
          <w:sz w:val="24"/>
          <w:szCs w:val="24"/>
        </w:rPr>
        <w:t>响应文件的组成：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必须根据采购招标机构发售的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格式编写，对</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做出实质性响应。具体内容包括：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_Toc19163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磋商响应函</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_Toc29301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磋商报价单</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_Toc25508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zh-CN" w:eastAsia="zh-CN"/>
        </w:rPr>
        <w:t>保证金交纳凭证</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_Toc11793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法定代表人身份证明和法定代表人授权书</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_Toc13067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《拒绝政府采购领域商业贿赂承诺书》</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_Toc31942 </w:instrText>
      </w:r>
      <w:r>
        <w:rPr>
          <w:rFonts w:hint="eastAsia" w:ascii="宋体" w:hAnsi="宋体" w:eastAsia="宋体" w:cs="宋体"/>
          <w:color w:val="auto"/>
          <w:sz w:val="24"/>
          <w:szCs w:val="24"/>
          <w:highlight w:val="none"/>
          <w:lang w:eastAsia="zh-CN"/>
        </w:rPr>
        <w:fldChar w:fldCharType="separate"/>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）供应商资格证明文件</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7）供应商相关或类似项目业绩一览表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_Toc21818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）财务证明文件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）施</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工组织设计</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_Toc13814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9.1</w:t>
      </w:r>
      <w:r>
        <w:rPr>
          <w:rFonts w:hint="eastAsia" w:ascii="宋体" w:hAnsi="宋体" w:eastAsia="宋体" w:cs="宋体"/>
          <w:color w:val="auto"/>
          <w:sz w:val="24"/>
          <w:szCs w:val="24"/>
          <w:highlight w:val="none"/>
          <w:lang w:eastAsia="zh-CN"/>
        </w:rPr>
        <w:t>项目管理机构组成表</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HYPERLINK \l _Toc7844 </w:instrText>
      </w:r>
      <w:r>
        <w:rPr>
          <w:rFonts w:hint="eastAsia" w:ascii="宋体" w:hAnsi="宋体" w:eastAsia="宋体" w:cs="宋体"/>
          <w:color w:val="auto"/>
          <w:sz w:val="24"/>
          <w:szCs w:val="24"/>
          <w:highlight w:val="none"/>
          <w:lang w:eastAsia="zh-CN"/>
        </w:rPr>
        <w:fldChar w:fldCharType="separate"/>
      </w:r>
      <w:r>
        <w:rPr>
          <w:rFonts w:hint="eastAsia" w:ascii="宋体" w:hAnsi="宋体" w:cs="宋体"/>
          <w:color w:val="auto"/>
          <w:sz w:val="24"/>
          <w:szCs w:val="24"/>
          <w:highlight w:val="none"/>
          <w:lang w:val="en-US" w:eastAsia="zh-CN"/>
        </w:rPr>
        <w:t>9.2</w:t>
      </w:r>
      <w:r>
        <w:rPr>
          <w:rFonts w:hint="eastAsia" w:ascii="宋体" w:hAnsi="宋体" w:eastAsia="宋体" w:cs="宋体"/>
          <w:color w:val="auto"/>
          <w:sz w:val="24"/>
          <w:szCs w:val="24"/>
          <w:highlight w:val="none"/>
          <w:lang w:val="en-US" w:eastAsia="zh-CN"/>
        </w:rPr>
        <w:t>供应商相关或类似项目业绩一览表</w:t>
      </w:r>
      <w:r>
        <w:rPr>
          <w:rFonts w:hint="eastAsia" w:ascii="宋体" w:hAnsi="宋体" w:eastAsia="宋体" w:cs="宋体"/>
          <w:color w:val="auto"/>
          <w:sz w:val="24"/>
          <w:szCs w:val="24"/>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_Toc6815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已标价工程量清单</w:t>
      </w:r>
      <w:r>
        <w:rPr>
          <w:rFonts w:hint="eastAsia" w:ascii="宋体" w:hAnsi="宋体" w:eastAsia="宋体" w:cs="宋体"/>
          <w:color w:val="auto"/>
          <w:sz w:val="24"/>
          <w:szCs w:val="24"/>
          <w:highlight w:val="none"/>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3.2</w:t>
      </w:r>
      <w:r>
        <w:rPr>
          <w:rFonts w:hint="eastAsia" w:ascii="宋体" w:hAnsi="宋体" w:eastAsia="宋体" w:cs="宋体"/>
          <w:b/>
          <w:bCs/>
          <w:color w:val="auto"/>
          <w:sz w:val="24"/>
          <w:szCs w:val="24"/>
          <w:highlight w:val="none"/>
          <w:lang w:eastAsia="zh-CN"/>
        </w:rPr>
        <w:t>响应文件</w:t>
      </w:r>
      <w:r>
        <w:rPr>
          <w:rFonts w:hint="eastAsia" w:ascii="宋体" w:hAnsi="宋体" w:eastAsia="宋体" w:cs="宋体"/>
          <w:b/>
          <w:bCs/>
          <w:color w:val="auto"/>
          <w:sz w:val="24"/>
          <w:szCs w:val="24"/>
          <w:highlight w:val="none"/>
        </w:rPr>
        <w:t xml:space="preserve">格式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3.2.1</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包括本须知第</w:t>
      </w:r>
      <w:r>
        <w:rPr>
          <w:rFonts w:hint="eastAsia" w:ascii="宋体" w:hAnsi="宋体" w:eastAsia="宋体" w:cs="宋体"/>
          <w:color w:val="auto"/>
          <w:sz w:val="24"/>
          <w:szCs w:val="24"/>
          <w:highlight w:val="none"/>
          <w:lang w:val="en-US" w:eastAsia="zh-CN"/>
        </w:rPr>
        <w:t>3.1</w:t>
      </w:r>
      <w:r>
        <w:rPr>
          <w:rFonts w:hint="eastAsia" w:ascii="宋体" w:hAnsi="宋体" w:eastAsia="宋体" w:cs="宋体"/>
          <w:color w:val="auto"/>
          <w:sz w:val="24"/>
          <w:szCs w:val="24"/>
          <w:highlight w:val="none"/>
        </w:rPr>
        <w:t>条中规定的内容，</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提交的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应当使用</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六</w:t>
      </w:r>
      <w:r>
        <w:rPr>
          <w:rFonts w:hint="eastAsia" w:ascii="宋体" w:hAnsi="宋体" w:eastAsia="宋体" w:cs="宋体"/>
          <w:color w:val="auto"/>
          <w:sz w:val="24"/>
          <w:szCs w:val="24"/>
          <w:highlight w:val="none"/>
        </w:rPr>
        <w:t>章所提供的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格式（表格可以按同样格式扩展）。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3.2.2</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电子版</w:t>
      </w:r>
      <w:r>
        <w:rPr>
          <w:rFonts w:hint="eastAsia" w:ascii="宋体" w:hAnsi="宋体" w:eastAsia="宋体" w:cs="宋体"/>
          <w:color w:val="auto"/>
          <w:sz w:val="24"/>
          <w:szCs w:val="24"/>
          <w:highlight w:val="none"/>
          <w:lang w:eastAsia="zh-CN"/>
        </w:rPr>
        <w:t>分项报价</w:t>
      </w:r>
      <w:r>
        <w:rPr>
          <w:rFonts w:hint="eastAsia" w:ascii="宋体" w:hAnsi="宋体" w:eastAsia="宋体" w:cs="宋体"/>
          <w:color w:val="auto"/>
          <w:sz w:val="24"/>
          <w:szCs w:val="24"/>
          <w:highlight w:val="none"/>
        </w:rPr>
        <w:t>部分统一使用</w:t>
      </w:r>
      <w:r>
        <w:rPr>
          <w:rFonts w:hint="eastAsia" w:ascii="宋体" w:hAnsi="宋体" w:eastAsia="宋体" w:cs="宋体"/>
          <w:color w:val="auto"/>
          <w:kern w:val="0"/>
          <w:sz w:val="24"/>
          <w:highlight w:val="none"/>
          <w:u w:val="none" w:color="000000"/>
        </w:rPr>
        <w:t>广联达云计价平台版本为GCCP</w:t>
      </w:r>
      <w:r>
        <w:rPr>
          <w:rFonts w:hint="eastAsia" w:ascii="宋体" w:hAnsi="宋体" w:cs="宋体"/>
          <w:color w:val="auto"/>
          <w:kern w:val="0"/>
          <w:sz w:val="24"/>
          <w:highlight w:val="none"/>
          <w:u w:val="none" w:color="000000"/>
          <w:lang w:val="en-US" w:eastAsia="zh-CN"/>
        </w:rPr>
        <w:t>6</w:t>
      </w:r>
      <w:r>
        <w:rPr>
          <w:rFonts w:hint="eastAsia" w:ascii="宋体" w:hAnsi="宋体" w:eastAsia="宋体" w:cs="宋体"/>
          <w:color w:val="auto"/>
          <w:kern w:val="0"/>
          <w:sz w:val="24"/>
          <w:highlight w:val="none"/>
          <w:u w:val="none" w:color="000000"/>
        </w:rPr>
        <w:t>.</w:t>
      </w:r>
      <w:r>
        <w:rPr>
          <w:rFonts w:hint="eastAsia" w:ascii="宋体" w:hAnsi="宋体" w:eastAsia="宋体" w:cs="宋体"/>
          <w:color w:val="auto"/>
          <w:kern w:val="0"/>
          <w:sz w:val="24"/>
          <w:szCs w:val="22"/>
          <w:highlight w:val="none"/>
          <w:u w:val="none" w:color="000000"/>
        </w:rPr>
        <w:t>0（</w:t>
      </w:r>
      <w:r>
        <w:rPr>
          <w:rFonts w:hint="eastAsia" w:ascii="宋体" w:hAnsi="宋体" w:cs="宋体"/>
          <w:color w:val="auto"/>
          <w:kern w:val="0"/>
          <w:sz w:val="24"/>
          <w:szCs w:val="22"/>
          <w:highlight w:val="none"/>
          <w:u w:val="none" w:color="000000"/>
          <w:lang w:val="en-US" w:eastAsia="zh-CN"/>
        </w:rPr>
        <w:t>6.1200.23.104</w:t>
      </w:r>
      <w:r>
        <w:rPr>
          <w:rFonts w:hint="eastAsia" w:ascii="宋体" w:hAnsi="宋体" w:eastAsia="宋体" w:cs="宋体"/>
          <w:color w:val="auto"/>
          <w:kern w:val="0"/>
          <w:sz w:val="24"/>
          <w:szCs w:val="22"/>
          <w:highlight w:val="none"/>
          <w:u w:val="none" w:color="000000"/>
        </w:rPr>
        <w:t>)</w:t>
      </w:r>
      <w:r>
        <w:rPr>
          <w:rFonts w:hint="eastAsia" w:ascii="宋体" w:hAnsi="宋体" w:eastAsia="宋体" w:cs="宋体"/>
          <w:color w:val="auto"/>
          <w:kern w:val="0"/>
          <w:sz w:val="24"/>
          <w:highlight w:val="none"/>
          <w:u w:val="none" w:color="000000"/>
        </w:rPr>
        <w:t>组价</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3.3磋商报价：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3.3.1供应商的投标报价，应是完成本须知规定的工程范围和工程量清单所列全部项目费用总和。投标总价由工程量清单分部分项工程费、措施项目费、其他项目费和规费、税金五部分费用组成。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3.3.2供应商应依据《计价规则》规定和磋商文件有关要求计价。计价时应考虑以下风险费用：施工现场的现状、地质、文物情况、人工费、材料费、机械费、社会价格浮动因素，自然天气和灾害影响及停水、停电、停窝工损失、外部干扰等。由于供应商报价时对上述风险因素考虑不周，造成的损失自行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3.3.3供应商应按招标人提供的工程量清单工程项目和工程量填报单价和合价。每一项目只允许有一个报价。供应商未填单价或合价的工程项目应视为该项目费用已包括在其他有价款的单价和合价内，供应商应无条件予以实施，不得以漏报或计量不足为由追加索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3.3.4供应商要完全按照磋商文件的各项要求如实报价，反对不平衡报价等投机行为，对投机报价造成的损失，供应商自负。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3.3.5投标报价的编制依据：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磋商文件的商务条款，工程量清单及编制说明；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工程规范、技术条件和施工图纸（含标准图集）；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施工现场的地质、水文、气候、地上情况的有关资料；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施工组织设计；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《陕西省建设工程工程量清单计价规则》2009；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企业定额或参照《陕西省建筑、装饰、安装、市政、园林绿化工程消耗量定额》（2004）及其补充定额、《陕西省建筑、装饰、安装、市政、园林绿化工程价目表》（2009）、《陕西省建筑、装饰、安装、市政、园林绿化工程计价费率》（2009）、陕建发 [2017]270 号“关于增加建设工程扬尘治理专项措施费及综合人工单价调整”的通知、陕建发[2018]84号“关于调整陕西省建设工程计价依据”的通知、陕建发[2018]2019号“关于调整房屋建筑和市政基础设施工程工程量清单计价综合人工单价”的通知、（陕建发[2019]1246号）关于发布我省落实建筑工人实名制管理计价依据的通知、关于建筑施工安全生产责任保险费用计价的通知（陕建发【2020】（1097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3.3.6本工程部分材料暂估价：无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3.3.7其他项目费：无</w:t>
      </w:r>
    </w:p>
    <w:p>
      <w:pPr>
        <w:pageBreakBefore w:val="0"/>
        <w:widowControl w:val="0"/>
        <w:kinsoku/>
        <w:wordWrap/>
        <w:overflowPunct/>
        <w:topLinePunct w:val="0"/>
        <w:bidi w:val="0"/>
        <w:snapToGrid/>
        <w:spacing w:after="78" w:afterLines="25" w:afterAutospacing="0" w:line="440" w:lineRule="exact"/>
        <w:ind w:firstLine="482" w:firstLineChars="200"/>
        <w:jc w:val="both"/>
        <w:textAlignment w:val="auto"/>
        <w:outlineLvl w:val="9"/>
        <w:rPr>
          <w:rFonts w:hint="eastAsia" w:ascii="宋体" w:hAnsi="宋体" w:eastAsia="宋体" w:cs="宋体"/>
          <w:b/>
          <w:color w:val="auto"/>
          <w:sz w:val="24"/>
        </w:rPr>
      </w:pPr>
      <w:r>
        <w:rPr>
          <w:rFonts w:hint="eastAsia" w:ascii="宋体" w:hAnsi="宋体" w:eastAsia="宋体" w:cs="宋体"/>
          <w:b/>
          <w:bCs/>
          <w:color w:val="auto"/>
          <w:sz w:val="24"/>
          <w:szCs w:val="24"/>
          <w:highlight w:val="none"/>
          <w:lang w:val="en-US" w:eastAsia="zh-CN"/>
        </w:rPr>
        <w:t>3.4</w:t>
      </w:r>
      <w:r>
        <w:rPr>
          <w:rFonts w:hint="eastAsia" w:ascii="宋体" w:hAnsi="宋体" w:eastAsia="宋体" w:cs="宋体"/>
          <w:b/>
          <w:color w:val="auto"/>
          <w:sz w:val="24"/>
          <w:lang w:eastAsia="zh-CN"/>
        </w:rPr>
        <w:t>磋商</w:t>
      </w:r>
      <w:r>
        <w:rPr>
          <w:rFonts w:hint="eastAsia" w:ascii="宋体" w:hAnsi="宋体" w:eastAsia="宋体" w:cs="宋体"/>
          <w:b/>
          <w:color w:val="auto"/>
          <w:sz w:val="24"/>
        </w:rPr>
        <w:t>货币</w:t>
      </w:r>
    </w:p>
    <w:p>
      <w:pPr>
        <w:pageBreakBefore w:val="0"/>
        <w:widowControl w:val="0"/>
        <w:kinsoku/>
        <w:wordWrap/>
        <w:overflowPunct/>
        <w:topLinePunct w:val="0"/>
        <w:bidi w:val="0"/>
        <w:snapToGrid/>
        <w:spacing w:beforeAutospacing="0" w:line="440" w:lineRule="exact"/>
        <w:ind w:firstLine="480" w:firstLineChars="200"/>
        <w:jc w:val="both"/>
        <w:textAlignment w:val="auto"/>
        <w:outlineLvl w:val="9"/>
        <w:rPr>
          <w:rFonts w:hint="eastAsia" w:ascii="宋体" w:hAnsi="宋体" w:eastAsia="宋体" w:cs="宋体"/>
          <w:color w:val="auto"/>
          <w:sz w:val="24"/>
        </w:rPr>
      </w:pPr>
      <w:r>
        <w:rPr>
          <w:rFonts w:hint="eastAsia" w:ascii="宋体" w:hAnsi="宋体" w:eastAsia="宋体" w:cs="宋体"/>
          <w:color w:val="auto"/>
          <w:sz w:val="24"/>
        </w:rPr>
        <w:t>本工程</w:t>
      </w:r>
      <w:r>
        <w:rPr>
          <w:rFonts w:hint="eastAsia" w:ascii="宋体" w:hAnsi="宋体" w:eastAsia="宋体" w:cs="宋体"/>
          <w:color w:val="auto"/>
          <w:sz w:val="24"/>
          <w:lang w:eastAsia="zh-CN"/>
        </w:rPr>
        <w:t>磋商</w:t>
      </w:r>
      <w:r>
        <w:rPr>
          <w:rFonts w:hint="eastAsia" w:ascii="宋体" w:hAnsi="宋体" w:eastAsia="宋体" w:cs="宋体"/>
          <w:color w:val="auto"/>
          <w:sz w:val="24"/>
        </w:rPr>
        <w:t>报价采用的币种</w:t>
      </w:r>
      <w:r>
        <w:rPr>
          <w:rFonts w:hint="eastAsia" w:ascii="宋体" w:hAnsi="宋体" w:eastAsia="宋体" w:cs="宋体"/>
          <w:color w:val="auto"/>
          <w:sz w:val="24"/>
          <w:lang w:eastAsia="zh-CN"/>
        </w:rPr>
        <w:t>：</w:t>
      </w:r>
      <w:r>
        <w:rPr>
          <w:rFonts w:hint="eastAsia" w:ascii="宋体" w:hAnsi="宋体" w:eastAsia="宋体" w:cs="宋体"/>
          <w:color w:val="auto"/>
          <w:sz w:val="24"/>
        </w:rPr>
        <w:t>人民币</w:t>
      </w:r>
      <w:r>
        <w:rPr>
          <w:rFonts w:hint="eastAsia" w:ascii="宋体" w:hAnsi="宋体" w:eastAsia="宋体" w:cs="宋体"/>
          <w:color w:val="auto"/>
          <w:sz w:val="24"/>
          <w:lang w:eastAsia="zh-CN"/>
        </w:rPr>
        <w:t>，单位：元</w:t>
      </w:r>
      <w:r>
        <w:rPr>
          <w:rFonts w:hint="eastAsia" w:ascii="宋体" w:hAnsi="宋体" w:eastAsia="宋体" w:cs="宋体"/>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en-US" w:eastAsia="zh-CN"/>
        </w:rPr>
        <w:t>3.5</w:t>
      </w:r>
      <w:r>
        <w:rPr>
          <w:rFonts w:hint="eastAsia" w:ascii="宋体" w:hAnsi="宋体" w:eastAsia="宋体" w:cs="宋体"/>
          <w:b/>
          <w:bCs/>
          <w:color w:val="auto"/>
          <w:sz w:val="24"/>
          <w:szCs w:val="24"/>
          <w:highlight w:val="none"/>
          <w:lang w:val="zh-CN" w:eastAsia="zh-CN"/>
        </w:rPr>
        <w:t>磋商报价要求：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en-US" w:eastAsia="zh-CN"/>
        </w:rPr>
        <w:t>3.5.1</w:t>
      </w:r>
      <w:r>
        <w:rPr>
          <w:rFonts w:hint="eastAsia" w:ascii="宋体" w:hAnsi="宋体" w:eastAsia="宋体" w:cs="宋体"/>
          <w:color w:val="auto"/>
          <w:sz w:val="24"/>
          <w:szCs w:val="24"/>
          <w:highlight w:val="none"/>
          <w:lang w:val="zh-CN" w:eastAsia="zh-CN"/>
        </w:rPr>
        <w:t>供应商的磋商报价，应依据采购人提供的采购单结合自身企业情况与市场情况自主报价，但不得低于成本报价。报价应包含完成全部工作内容的全部费用，并包括各项费用的涨价风险等。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en-US" w:eastAsia="zh-CN"/>
        </w:rPr>
        <w:t>3.5.2</w:t>
      </w:r>
      <w:r>
        <w:rPr>
          <w:rFonts w:hint="eastAsia" w:ascii="宋体" w:hAnsi="宋体" w:eastAsia="宋体" w:cs="宋体"/>
          <w:color w:val="auto"/>
          <w:sz w:val="24"/>
          <w:szCs w:val="24"/>
          <w:highlight w:val="none"/>
          <w:lang w:val="zh-CN" w:eastAsia="zh-CN"/>
        </w:rPr>
        <w:t>最低报价不能作为成交的保证。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en-US" w:eastAsia="zh-CN"/>
        </w:rPr>
        <w:t>3.5.3</w:t>
      </w:r>
      <w:r>
        <w:rPr>
          <w:rFonts w:hint="eastAsia" w:ascii="宋体" w:hAnsi="宋体" w:eastAsia="宋体" w:cs="宋体"/>
          <w:color w:val="auto"/>
          <w:sz w:val="24"/>
          <w:szCs w:val="24"/>
          <w:highlight w:val="none"/>
          <w:lang w:val="zh-CN" w:eastAsia="zh-CN"/>
        </w:rPr>
        <w:t>采购人不接受任何选择性报价，只允许提供一个方案和一个报价。多个报价和方案将作为无效磋商。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en-US" w:eastAsia="zh-CN"/>
        </w:rPr>
        <w:t>3.5.4</w:t>
      </w:r>
      <w:r>
        <w:rPr>
          <w:rFonts w:hint="eastAsia" w:ascii="宋体" w:hAnsi="宋体" w:eastAsia="宋体" w:cs="宋体"/>
          <w:color w:val="auto"/>
          <w:sz w:val="24"/>
          <w:szCs w:val="24"/>
          <w:highlight w:val="none"/>
          <w:lang w:val="zh-CN" w:eastAsia="zh-CN"/>
        </w:rPr>
        <w:t>本次磋商采用</w:t>
      </w:r>
      <w:r>
        <w:rPr>
          <w:rFonts w:hint="eastAsia" w:ascii="宋体" w:hAnsi="宋体" w:eastAsia="宋体" w:cs="宋体"/>
          <w:b/>
          <w:bCs/>
          <w:color w:val="auto"/>
          <w:sz w:val="24"/>
          <w:szCs w:val="24"/>
          <w:highlight w:val="none"/>
          <w:lang w:val="zh-CN" w:eastAsia="zh-CN"/>
        </w:rPr>
        <w:t xml:space="preserve"> 二轮 </w:t>
      </w:r>
      <w:r>
        <w:rPr>
          <w:rFonts w:hint="eastAsia" w:ascii="宋体" w:hAnsi="宋体" w:eastAsia="宋体" w:cs="宋体"/>
          <w:color w:val="auto"/>
          <w:sz w:val="24"/>
          <w:szCs w:val="24"/>
          <w:highlight w:val="none"/>
          <w:lang w:val="zh-CN" w:eastAsia="zh-CN"/>
        </w:rPr>
        <w:t>报价法，供应商递交的响应文件中的报价为第一轮报价，第一轮报价与第二轮报价超过采购预算的视为无效磋商。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val="zh-CN" w:eastAsia="zh-CN"/>
        </w:rPr>
        <w:t>供应商不得以低于成本的报价参加磋商。若磋商小组认为某个供应商的报价明显低于其他通过</w:t>
      </w:r>
      <w:r>
        <w:rPr>
          <w:rFonts w:hint="eastAsia" w:ascii="宋体" w:hAnsi="宋体" w:cs="宋体"/>
          <w:color w:val="auto"/>
          <w:sz w:val="24"/>
          <w:szCs w:val="24"/>
          <w:highlight w:val="none"/>
          <w:lang w:val="zh-CN" w:eastAsia="zh-CN"/>
        </w:rPr>
        <w:t>初步</w:t>
      </w:r>
      <w:r>
        <w:rPr>
          <w:rFonts w:hint="eastAsia" w:ascii="宋体" w:hAnsi="宋体" w:eastAsia="宋体" w:cs="宋体"/>
          <w:color w:val="auto"/>
          <w:sz w:val="24"/>
          <w:szCs w:val="24"/>
          <w:highlight w:val="none"/>
          <w:lang w:val="zh-CN" w:eastAsia="zh-CN"/>
        </w:rPr>
        <w:t>审查的供应商的报价，有可能影响产品质量或者不能诚信履约的，应当要求其在磋商现场合理的时间内提供书面说明，必要时提交相关证明材料；供应商不能证明其报价合理性的，磋商小组应将其作为无效投标处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3.6</w:t>
      </w:r>
      <w:r>
        <w:rPr>
          <w:rFonts w:hint="eastAsia" w:ascii="宋体" w:hAnsi="宋体" w:eastAsia="宋体" w:cs="宋体"/>
          <w:b/>
          <w:bCs/>
          <w:color w:val="auto"/>
          <w:sz w:val="24"/>
          <w:szCs w:val="24"/>
        </w:rPr>
        <w:t>磋商响应文件有效期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3.6.1</w:t>
      </w:r>
      <w:r>
        <w:rPr>
          <w:rFonts w:hint="eastAsia" w:ascii="宋体" w:hAnsi="宋体" w:eastAsia="宋体" w:cs="宋体"/>
          <w:b w:val="0"/>
          <w:bCs w:val="0"/>
          <w:color w:val="auto"/>
          <w:kern w:val="2"/>
          <w:sz w:val="24"/>
          <w:szCs w:val="24"/>
          <w:lang w:val="en-US" w:eastAsia="zh-CN" w:bidi="ar-SA"/>
        </w:rPr>
        <w:t>磋商有效期</w:t>
      </w:r>
      <w:r>
        <w:rPr>
          <w:rFonts w:hint="eastAsia" w:ascii="宋体" w:hAnsi="宋体" w:eastAsia="宋体" w:cs="宋体"/>
          <w:b w:val="0"/>
          <w:bCs w:val="0"/>
          <w:color w:val="auto"/>
          <w:sz w:val="24"/>
          <w:szCs w:val="24"/>
          <w:lang w:eastAsia="zh-CN"/>
        </w:rPr>
        <w:t>：见供应商须知前附表</w:t>
      </w:r>
      <w:r>
        <w:rPr>
          <w:rFonts w:hint="eastAsia" w:ascii="宋体" w:hAnsi="宋体" w:eastAsia="宋体" w:cs="宋体"/>
          <w:b w:val="0"/>
          <w:bCs w:val="0"/>
          <w:color w:val="auto"/>
          <w:sz w:val="24"/>
          <w:szCs w:val="24"/>
        </w:rPr>
        <w:t>。</w:t>
      </w:r>
    </w:p>
    <w:p>
      <w:pPr>
        <w:pStyle w:val="40"/>
        <w:numPr>
          <w:ilvl w:val="0"/>
          <w:numId w:val="0"/>
        </w:numPr>
        <w:spacing w:line="360" w:lineRule="auto"/>
        <w:ind w:firstLine="480" w:firstLineChars="200"/>
        <w:outlineLvl w:val="9"/>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3.6.2</w:t>
      </w:r>
      <w:r>
        <w:rPr>
          <w:rFonts w:hint="eastAsia" w:ascii="宋体" w:hAnsi="宋体" w:eastAsia="宋体" w:cs="宋体"/>
          <w:b w:val="0"/>
          <w:bCs w:val="0"/>
          <w:color w:val="auto"/>
          <w:sz w:val="24"/>
          <w:szCs w:val="24"/>
        </w:rPr>
        <w:t>磋商响应</w:t>
      </w:r>
      <w:r>
        <w:rPr>
          <w:rFonts w:hint="eastAsia" w:ascii="宋体" w:hAnsi="宋体" w:eastAsia="宋体" w:cs="宋体"/>
          <w:b w:val="0"/>
          <w:bCs w:val="0"/>
          <w:color w:val="auto"/>
          <w:kern w:val="2"/>
          <w:sz w:val="24"/>
          <w:szCs w:val="24"/>
          <w:lang w:val="en-US" w:eastAsia="zh-CN" w:bidi="ar-SA"/>
        </w:rPr>
        <w:t>文件应在供应商须知前附规定的有效期内有效，有效期短于该规定期限的，将作为无效磋商处理。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lang w:val="en-US" w:eastAsia="zh-CN"/>
        </w:rPr>
      </w:pPr>
      <w:r>
        <w:rPr>
          <w:rFonts w:hint="eastAsia" w:ascii="宋体" w:hAnsi="宋体" w:eastAsia="宋体" w:cs="宋体"/>
          <w:b w:val="0"/>
          <w:bCs w:val="0"/>
          <w:color w:val="auto"/>
          <w:kern w:val="2"/>
          <w:sz w:val="24"/>
          <w:szCs w:val="24"/>
          <w:lang w:val="en-US" w:eastAsia="zh-CN" w:bidi="ar-SA"/>
        </w:rPr>
        <w:t>3.6.3在特殊情况下，在原</w:t>
      </w:r>
      <w:r>
        <w:rPr>
          <w:rFonts w:hint="eastAsia" w:ascii="宋体" w:hAnsi="宋体" w:eastAsia="宋体" w:cs="宋体"/>
          <w:b w:val="0"/>
          <w:bCs w:val="0"/>
          <w:color w:val="auto"/>
          <w:sz w:val="24"/>
          <w:szCs w:val="24"/>
        </w:rPr>
        <w:t>磋商响应</w:t>
      </w:r>
      <w:r>
        <w:rPr>
          <w:rFonts w:hint="eastAsia" w:ascii="宋体" w:hAnsi="宋体" w:eastAsia="宋体" w:cs="宋体"/>
          <w:color w:val="auto"/>
          <w:sz w:val="24"/>
          <w:szCs w:val="24"/>
        </w:rPr>
        <w:t>文件</w:t>
      </w:r>
      <w:r>
        <w:rPr>
          <w:rFonts w:hint="eastAsia" w:ascii="宋体" w:hAnsi="宋体" w:eastAsia="宋体" w:cs="宋体"/>
          <w:color w:val="auto"/>
          <w:kern w:val="2"/>
          <w:sz w:val="24"/>
          <w:szCs w:val="24"/>
          <w:lang w:val="en-US" w:eastAsia="zh-CN" w:bidi="ar-SA"/>
        </w:rPr>
        <w:t>有效期期满之前，采购代理机构可与供应商协商延长</w:t>
      </w:r>
      <w:r>
        <w:rPr>
          <w:rFonts w:hint="eastAsia" w:ascii="宋体" w:hAnsi="宋体" w:eastAsia="宋体" w:cs="宋体"/>
          <w:color w:val="auto"/>
          <w:sz w:val="24"/>
          <w:szCs w:val="24"/>
        </w:rPr>
        <w:t>磋商响应</w:t>
      </w:r>
      <w:r>
        <w:rPr>
          <w:rFonts w:hint="eastAsia" w:ascii="宋体" w:hAnsi="宋体" w:eastAsia="宋体" w:cs="宋体"/>
          <w:color w:val="auto"/>
          <w:kern w:val="2"/>
          <w:sz w:val="24"/>
          <w:szCs w:val="24"/>
          <w:lang w:val="en-US" w:eastAsia="zh-CN" w:bidi="ar-SA"/>
        </w:rPr>
        <w:t>文件的有效期。这种要求和答复都应以书面形式进行。此时，磋商保证金的有效期也相应延长。供应商可以拒绝接受延期要求而不会被没收磋商保证金。同意延长有效期的供应商除按照采购代理机构要求修改</w:t>
      </w:r>
      <w:r>
        <w:rPr>
          <w:rFonts w:hint="eastAsia" w:ascii="宋体" w:hAnsi="宋体" w:eastAsia="宋体" w:cs="宋体"/>
          <w:color w:val="auto"/>
          <w:sz w:val="24"/>
          <w:szCs w:val="24"/>
        </w:rPr>
        <w:t>磋商响应</w:t>
      </w:r>
      <w:r>
        <w:rPr>
          <w:rFonts w:hint="eastAsia" w:ascii="宋体" w:hAnsi="宋体" w:eastAsia="宋体" w:cs="宋体"/>
          <w:color w:val="auto"/>
          <w:kern w:val="2"/>
          <w:sz w:val="24"/>
          <w:szCs w:val="24"/>
          <w:lang w:val="en-US" w:eastAsia="zh-CN" w:bidi="ar-SA"/>
        </w:rPr>
        <w:t>文件有效期外，不得修改投标文件的其他内容。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3.7</w:t>
      </w:r>
      <w:r>
        <w:rPr>
          <w:rFonts w:hint="eastAsia" w:ascii="宋体" w:hAnsi="宋体" w:eastAsia="宋体" w:cs="宋体"/>
          <w:b/>
          <w:bCs/>
          <w:color w:val="auto"/>
          <w:sz w:val="24"/>
          <w:szCs w:val="24"/>
          <w:lang w:eastAsia="zh-CN"/>
        </w:rPr>
        <w:t>磋商</w:t>
      </w:r>
      <w:r>
        <w:rPr>
          <w:rFonts w:hint="eastAsia" w:ascii="宋体" w:hAnsi="宋体" w:eastAsia="宋体" w:cs="宋体"/>
          <w:b/>
          <w:bCs/>
          <w:color w:val="auto"/>
          <w:sz w:val="24"/>
          <w:szCs w:val="24"/>
        </w:rPr>
        <w:t>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3.7.1</w:t>
      </w:r>
      <w:r>
        <w:rPr>
          <w:rFonts w:hint="eastAsia" w:ascii="宋体" w:hAnsi="宋体" w:eastAsia="宋体" w:cs="宋体"/>
          <w:b w:val="0"/>
          <w:bCs w:val="0"/>
          <w:color w:val="auto"/>
          <w:sz w:val="24"/>
          <w:szCs w:val="24"/>
        </w:rPr>
        <w:t>供应商应按照</w:t>
      </w:r>
      <w:r>
        <w:rPr>
          <w:rFonts w:hint="eastAsia" w:ascii="宋体" w:hAnsi="宋体" w:eastAsia="宋体" w:cs="宋体"/>
          <w:b w:val="0"/>
          <w:bCs w:val="0"/>
          <w:color w:val="auto"/>
          <w:sz w:val="24"/>
          <w:szCs w:val="24"/>
          <w:lang w:eastAsia="zh-CN"/>
        </w:rPr>
        <w:t>磋商文件</w:t>
      </w:r>
      <w:r>
        <w:rPr>
          <w:rFonts w:hint="eastAsia" w:ascii="宋体" w:hAnsi="宋体" w:eastAsia="宋体" w:cs="宋体"/>
          <w:b w:val="0"/>
          <w:bCs w:val="0"/>
          <w:color w:val="auto"/>
          <w:sz w:val="24"/>
          <w:szCs w:val="24"/>
        </w:rPr>
        <w:t>第二</w:t>
      </w:r>
      <w:r>
        <w:rPr>
          <w:rFonts w:hint="eastAsia" w:ascii="宋体" w:hAnsi="宋体" w:eastAsia="宋体" w:cs="宋体"/>
          <w:b w:val="0"/>
          <w:bCs w:val="0"/>
          <w:color w:val="auto"/>
          <w:sz w:val="24"/>
          <w:szCs w:val="24"/>
          <w:lang w:eastAsia="zh-CN"/>
        </w:rPr>
        <w:t>章供应商须知</w:t>
      </w:r>
      <w:r>
        <w:rPr>
          <w:rFonts w:hint="eastAsia" w:ascii="宋体" w:hAnsi="宋体" w:eastAsia="宋体" w:cs="宋体"/>
          <w:b w:val="0"/>
          <w:bCs w:val="0"/>
          <w:color w:val="auto"/>
          <w:sz w:val="24"/>
          <w:szCs w:val="24"/>
        </w:rPr>
        <w:t>前附表的</w:t>
      </w:r>
      <w:r>
        <w:rPr>
          <w:rFonts w:hint="eastAsia" w:ascii="宋体" w:hAnsi="宋体" w:eastAsia="宋体" w:cs="宋体"/>
          <w:b w:val="0"/>
          <w:bCs w:val="0"/>
          <w:color w:val="auto"/>
          <w:sz w:val="24"/>
          <w:szCs w:val="24"/>
          <w:lang w:eastAsia="zh-CN"/>
        </w:rPr>
        <w:t>时间和</w:t>
      </w:r>
      <w:r>
        <w:rPr>
          <w:rFonts w:hint="eastAsia" w:ascii="宋体" w:hAnsi="宋体" w:eastAsia="宋体" w:cs="宋体"/>
          <w:b w:val="0"/>
          <w:bCs w:val="0"/>
          <w:color w:val="auto"/>
          <w:sz w:val="24"/>
          <w:szCs w:val="24"/>
        </w:rPr>
        <w:t>要求递交</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保证金，</w:t>
      </w:r>
      <w:r>
        <w:rPr>
          <w:rFonts w:hint="eastAsia" w:ascii="宋体" w:hAnsi="宋体" w:eastAsia="宋体" w:cs="宋体"/>
          <w:b w:val="0"/>
          <w:bCs w:val="0"/>
          <w:color w:val="auto"/>
          <w:sz w:val="24"/>
          <w:szCs w:val="24"/>
          <w:lang w:eastAsia="zh-CN"/>
        </w:rPr>
        <w:t>磋商保证金的有效期与磋商有效期一致。</w:t>
      </w:r>
      <w:r>
        <w:rPr>
          <w:rFonts w:hint="eastAsia" w:ascii="宋体" w:hAnsi="宋体" w:eastAsia="宋体" w:cs="宋体"/>
          <w:b/>
          <w:bCs/>
          <w:color w:val="auto"/>
          <w:spacing w:val="0"/>
          <w:sz w:val="24"/>
          <w:szCs w:val="24"/>
        </w:rPr>
        <w:t>采用银行电汇或转账形式的转账时应注明“项目名称、编号及</w:t>
      </w:r>
      <w:r>
        <w:rPr>
          <w:rFonts w:hint="eastAsia" w:ascii="宋体" w:hAnsi="宋体" w:eastAsia="宋体" w:cs="宋体"/>
          <w:b/>
          <w:bCs/>
          <w:color w:val="auto"/>
          <w:spacing w:val="0"/>
          <w:sz w:val="24"/>
          <w:szCs w:val="24"/>
          <w:lang w:eastAsia="zh-CN"/>
        </w:rPr>
        <w:t>磋商</w:t>
      </w:r>
      <w:r>
        <w:rPr>
          <w:rFonts w:hint="eastAsia" w:ascii="宋体" w:hAnsi="宋体" w:eastAsia="宋体" w:cs="宋体"/>
          <w:b/>
          <w:bCs/>
          <w:color w:val="auto"/>
          <w:spacing w:val="0"/>
          <w:sz w:val="24"/>
          <w:szCs w:val="24"/>
        </w:rPr>
        <w:t>保证金字样”的内容</w:t>
      </w:r>
      <w:r>
        <w:rPr>
          <w:rFonts w:hint="eastAsia" w:ascii="宋体" w:hAnsi="宋体" w:cs="宋体"/>
          <w:b/>
          <w:bCs/>
          <w:color w:val="auto"/>
          <w:spacing w:val="0"/>
          <w:sz w:val="24"/>
          <w:szCs w:val="24"/>
          <w:lang w:eastAsia="zh-CN"/>
        </w:rPr>
        <w:t>。</w:t>
      </w:r>
      <w:r>
        <w:rPr>
          <w:rFonts w:hint="eastAsia" w:ascii="宋体" w:hAnsi="宋体" w:eastAsia="宋体" w:cs="宋体"/>
          <w:b w:val="0"/>
          <w:bCs w:val="0"/>
          <w:color w:val="auto"/>
          <w:sz w:val="24"/>
          <w:szCs w:val="24"/>
        </w:rPr>
        <w:t>并将缴纳凭证（转账凭证及开户许可证）的</w:t>
      </w:r>
      <w:r>
        <w:rPr>
          <w:rFonts w:hint="eastAsia" w:ascii="宋体" w:hAnsi="宋体" w:eastAsia="宋体" w:cs="宋体"/>
          <w:b w:val="0"/>
          <w:bCs w:val="0"/>
          <w:color w:val="auto"/>
          <w:sz w:val="24"/>
          <w:szCs w:val="24"/>
          <w:lang w:val="en-US" w:eastAsia="zh-CN"/>
        </w:rPr>
        <w:t>复印件装入</w:t>
      </w:r>
      <w:r>
        <w:rPr>
          <w:rFonts w:hint="eastAsia" w:ascii="宋体" w:hAnsi="宋体" w:eastAsia="宋体" w:cs="宋体"/>
          <w:b w:val="0"/>
          <w:bCs w:val="0"/>
          <w:color w:val="auto"/>
          <w:sz w:val="24"/>
          <w:szCs w:val="24"/>
          <w:lang w:eastAsia="zh-CN"/>
        </w:rPr>
        <w:t>磋商响应文件</w:t>
      </w:r>
      <w:r>
        <w:rPr>
          <w:rFonts w:hint="eastAsia" w:ascii="宋体" w:hAnsi="宋体" w:eastAsia="宋体" w:cs="宋体"/>
          <w:b w:val="0"/>
          <w:bCs w:val="0"/>
          <w:color w:val="auto"/>
          <w:sz w:val="24"/>
          <w:szCs w:val="24"/>
        </w:rPr>
        <w:t>中；以银行保函或</w:t>
      </w:r>
      <w:r>
        <w:rPr>
          <w:rFonts w:hint="eastAsia" w:ascii="宋体" w:hAnsi="宋体" w:eastAsia="宋体" w:cs="宋体"/>
          <w:b w:val="0"/>
          <w:bCs w:val="0"/>
          <w:color w:val="auto"/>
          <w:sz w:val="24"/>
          <w:szCs w:val="24"/>
          <w:lang w:eastAsia="zh-CN"/>
        </w:rPr>
        <w:t>担保机构保函</w:t>
      </w:r>
      <w:r>
        <w:rPr>
          <w:rFonts w:hint="eastAsia" w:ascii="宋体" w:hAnsi="宋体" w:eastAsia="宋体" w:cs="宋体"/>
          <w:b w:val="0"/>
          <w:bCs w:val="0"/>
          <w:color w:val="auto"/>
          <w:sz w:val="24"/>
          <w:szCs w:val="24"/>
        </w:rPr>
        <w:t>形式提交</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保证金的将证明材料</w:t>
      </w:r>
      <w:r>
        <w:rPr>
          <w:rFonts w:hint="eastAsia" w:ascii="宋体" w:hAnsi="宋体" w:eastAsia="宋体" w:cs="宋体"/>
          <w:b w:val="0"/>
          <w:bCs w:val="0"/>
          <w:color w:val="auto"/>
          <w:sz w:val="24"/>
          <w:szCs w:val="24"/>
          <w:lang w:eastAsia="zh-CN"/>
        </w:rPr>
        <w:t>复印件</w:t>
      </w:r>
      <w:r>
        <w:rPr>
          <w:rFonts w:hint="eastAsia" w:ascii="宋体" w:hAnsi="宋体" w:eastAsia="宋体" w:cs="宋体"/>
          <w:b w:val="0"/>
          <w:bCs w:val="0"/>
          <w:color w:val="auto"/>
          <w:sz w:val="24"/>
          <w:szCs w:val="24"/>
        </w:rPr>
        <w:t>装入</w:t>
      </w:r>
      <w:r>
        <w:rPr>
          <w:rFonts w:hint="eastAsia" w:ascii="宋体" w:hAnsi="宋体" w:eastAsia="宋体" w:cs="宋体"/>
          <w:b w:val="0"/>
          <w:bCs w:val="0"/>
          <w:color w:val="auto"/>
          <w:sz w:val="24"/>
          <w:szCs w:val="24"/>
          <w:lang w:eastAsia="zh-CN"/>
        </w:rPr>
        <w:t>磋商响应文件</w:t>
      </w:r>
      <w:r>
        <w:rPr>
          <w:rFonts w:hint="eastAsia" w:ascii="宋体" w:hAnsi="宋体" w:eastAsia="宋体" w:cs="宋体"/>
          <w:b w:val="0"/>
          <w:bCs w:val="0"/>
          <w:color w:val="auto"/>
          <w:sz w:val="24"/>
          <w:szCs w:val="24"/>
        </w:rPr>
        <w:t>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3.7.2</w:t>
      </w:r>
      <w:r>
        <w:rPr>
          <w:rFonts w:hint="eastAsia" w:ascii="宋体" w:hAnsi="宋体" w:eastAsia="宋体" w:cs="宋体"/>
          <w:b w:val="0"/>
          <w:bCs w:val="0"/>
          <w:color w:val="auto"/>
          <w:sz w:val="24"/>
          <w:szCs w:val="24"/>
        </w:rPr>
        <w:t>凡不符合上述</w:t>
      </w:r>
      <w:r>
        <w:rPr>
          <w:rFonts w:hint="eastAsia" w:ascii="宋体" w:hAnsi="宋体" w:eastAsia="宋体" w:cs="宋体"/>
          <w:b w:val="0"/>
          <w:bCs w:val="0"/>
          <w:color w:val="auto"/>
          <w:sz w:val="24"/>
          <w:szCs w:val="24"/>
          <w:lang w:val="en-US" w:eastAsia="zh-CN"/>
        </w:rPr>
        <w:t>3.</w:t>
      </w:r>
      <w:r>
        <w:rPr>
          <w:rFonts w:hint="eastAsia" w:ascii="宋体" w:hAnsi="宋体" w:cs="宋体"/>
          <w:b w:val="0"/>
          <w:bCs w:val="0"/>
          <w:color w:val="auto"/>
          <w:sz w:val="24"/>
          <w:szCs w:val="24"/>
          <w:lang w:val="en-US" w:eastAsia="zh-CN"/>
        </w:rPr>
        <w:t>7</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rPr>
        <w:t>款要求的</w:t>
      </w:r>
      <w:r>
        <w:rPr>
          <w:rFonts w:hint="eastAsia" w:ascii="宋体" w:hAnsi="宋体" w:eastAsia="宋体" w:cs="宋体"/>
          <w:b w:val="0"/>
          <w:bCs w:val="0"/>
          <w:color w:val="auto"/>
          <w:sz w:val="24"/>
          <w:szCs w:val="24"/>
          <w:lang w:eastAsia="zh-CN"/>
        </w:rPr>
        <w:t>磋商响应</w:t>
      </w:r>
      <w:r>
        <w:rPr>
          <w:rFonts w:hint="eastAsia" w:ascii="宋体" w:hAnsi="宋体" w:eastAsia="宋体" w:cs="宋体"/>
          <w:b w:val="0"/>
          <w:bCs w:val="0"/>
          <w:color w:val="auto"/>
          <w:sz w:val="24"/>
          <w:szCs w:val="24"/>
        </w:rPr>
        <w:t>文件，视为非响应性</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，其</w:t>
      </w:r>
      <w:r>
        <w:rPr>
          <w:rFonts w:hint="eastAsia" w:ascii="宋体" w:hAnsi="宋体" w:eastAsia="宋体" w:cs="宋体"/>
          <w:b w:val="0"/>
          <w:bCs w:val="0"/>
          <w:color w:val="auto"/>
          <w:sz w:val="24"/>
          <w:szCs w:val="24"/>
          <w:lang w:eastAsia="zh-CN"/>
        </w:rPr>
        <w:t>磋商响应文件</w:t>
      </w:r>
      <w:r>
        <w:rPr>
          <w:rFonts w:hint="eastAsia" w:ascii="宋体" w:hAnsi="宋体" w:eastAsia="宋体" w:cs="宋体"/>
          <w:b w:val="0"/>
          <w:bCs w:val="0"/>
          <w:color w:val="auto"/>
          <w:sz w:val="24"/>
          <w:szCs w:val="24"/>
        </w:rPr>
        <w:t>将被拒绝。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3.7.3</w:t>
      </w:r>
      <w:r>
        <w:rPr>
          <w:rFonts w:hint="eastAsia" w:ascii="宋体" w:hAnsi="宋体" w:eastAsia="宋体" w:cs="宋体"/>
          <w:b w:val="0"/>
          <w:bCs w:val="0"/>
          <w:color w:val="auto"/>
          <w:sz w:val="24"/>
          <w:szCs w:val="24"/>
        </w:rPr>
        <w:t>未成交供应商的</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保证金，在成交通知书发出后五个工作日内退还；成交供应商的</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保证金在合同签订后五个工作日内退还，退还的保证金不计利息。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3.7.4</w:t>
      </w:r>
      <w:r>
        <w:rPr>
          <w:rFonts w:hint="eastAsia" w:ascii="宋体" w:hAnsi="宋体" w:eastAsia="宋体" w:cs="宋体"/>
          <w:b w:val="0"/>
          <w:bCs w:val="0"/>
          <w:color w:val="auto"/>
          <w:sz w:val="24"/>
          <w:szCs w:val="24"/>
        </w:rPr>
        <w:t>下列情况发生，</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在</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响应文件有效期内，撤回</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响应文件或者擅自退出磋商活动的；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成交后无正当理由不与采购人或者磋商组织机构签订合同的；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成交项目转让给他人，或者在</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响应文件中未说明，且未经磋商组织机构同意，将成交项目分包给他人的；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供应商交纳磋商保证金后，无故不参加磋商活动的</w:t>
      </w:r>
      <w:r>
        <w:rPr>
          <w:rFonts w:hint="eastAsia" w:ascii="宋体" w:hAnsi="宋体" w:eastAsia="宋体" w:cs="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提供虚假材料谋取成交资格的</w:t>
      </w:r>
      <w:r>
        <w:rPr>
          <w:rFonts w:hint="eastAsia" w:ascii="宋体" w:hAnsi="宋体" w:eastAsia="宋体" w:cs="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采取不正当手段诋毁、排挤其他供应商或者与采购单位、其他供应商恶意串通谋取成交资格的</w:t>
      </w:r>
      <w:r>
        <w:rPr>
          <w:rFonts w:hint="eastAsia" w:ascii="宋体" w:hAnsi="宋体" w:eastAsia="宋体" w:cs="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7</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供应商向采购单位、采购代理机构或者采购评审专家行贿或者提供其他不正当利益以牟取成交资格的</w:t>
      </w:r>
      <w:r>
        <w:rPr>
          <w:rFonts w:hint="eastAsia" w:ascii="宋体" w:hAnsi="宋体" w:eastAsia="宋体" w:cs="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8</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成交后，成交人不按照</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文件和成交人的</w:t>
      </w:r>
      <w:r>
        <w:rPr>
          <w:rFonts w:hint="eastAsia" w:ascii="宋体" w:hAnsi="宋体" w:eastAsia="宋体" w:cs="宋体"/>
          <w:b w:val="0"/>
          <w:bCs w:val="0"/>
          <w:color w:val="auto"/>
          <w:sz w:val="24"/>
          <w:szCs w:val="24"/>
          <w:lang w:eastAsia="zh-CN"/>
        </w:rPr>
        <w:t>磋商</w:t>
      </w:r>
      <w:r>
        <w:rPr>
          <w:rFonts w:hint="eastAsia" w:ascii="宋体" w:hAnsi="宋体" w:eastAsia="宋体" w:cs="宋体"/>
          <w:b w:val="0"/>
          <w:bCs w:val="0"/>
          <w:color w:val="auto"/>
          <w:sz w:val="24"/>
          <w:szCs w:val="24"/>
        </w:rPr>
        <w:t>响应文件订立采购合同，或者与采购单位另行订立背离采购合同实质性内容的协议的</w:t>
      </w:r>
      <w:r>
        <w:rPr>
          <w:rFonts w:hint="eastAsia" w:ascii="宋体" w:hAnsi="宋体" w:eastAsia="宋体" w:cs="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（9）供应商不按法定程序进行质疑和投诉，捏造事实，查无实据，造成恶劣影响，导致采购活动无法正常进行的。</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3.8</w:t>
      </w:r>
      <w:r>
        <w:rPr>
          <w:rFonts w:hint="eastAsia" w:ascii="宋体" w:hAnsi="宋体" w:eastAsia="宋体" w:cs="宋体"/>
          <w:b/>
          <w:bCs/>
          <w:color w:val="auto"/>
          <w:sz w:val="24"/>
          <w:szCs w:val="24"/>
          <w:lang w:eastAsia="zh-CN"/>
        </w:rPr>
        <w:t>联合体磋商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val="0"/>
          <w:bCs w:val="0"/>
          <w:color w:val="auto"/>
          <w:sz w:val="24"/>
          <w:szCs w:val="24"/>
        </w:rPr>
        <w:t>本项目</w:t>
      </w:r>
      <w:r>
        <w:rPr>
          <w:rFonts w:hint="eastAsia" w:ascii="宋体" w:hAnsi="宋体" w:eastAsia="宋体" w:cs="宋体"/>
          <w:b w:val="0"/>
          <w:bCs w:val="0"/>
          <w:color w:val="auto"/>
          <w:sz w:val="24"/>
          <w:szCs w:val="24"/>
          <w:lang w:eastAsia="zh-CN"/>
        </w:rPr>
        <w:t>不</w:t>
      </w:r>
      <w:r>
        <w:rPr>
          <w:rFonts w:hint="eastAsia" w:ascii="宋体" w:hAnsi="宋体" w:eastAsia="宋体" w:cs="宋体"/>
          <w:b w:val="0"/>
          <w:bCs w:val="0"/>
          <w:color w:val="auto"/>
          <w:sz w:val="24"/>
          <w:szCs w:val="24"/>
        </w:rPr>
        <w:t>接受联合体投标。</w:t>
      </w:r>
    </w:p>
    <w:p>
      <w:pPr>
        <w:keepNext w:val="0"/>
        <w:keepLines w:val="0"/>
        <w:pageBreakBefore w:val="0"/>
        <w:widowControl w:val="0"/>
        <w:kinsoku/>
        <w:wordWrap/>
        <w:overflowPunct/>
        <w:topLinePunct w:val="0"/>
        <w:bidi w:val="0"/>
        <w:snapToGrid/>
        <w:spacing w:afterAutospacing="0" w:line="360" w:lineRule="auto"/>
        <w:ind w:firstLine="482"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3.9</w:t>
      </w:r>
      <w:r>
        <w:rPr>
          <w:rFonts w:hint="eastAsia" w:ascii="宋体" w:hAnsi="宋体" w:eastAsia="宋体" w:cs="宋体"/>
          <w:b/>
          <w:bCs/>
          <w:color w:val="auto"/>
          <w:sz w:val="24"/>
          <w:szCs w:val="24"/>
        </w:rPr>
        <w:t>采购代理服务费</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firstLine="480" w:firstLineChars="200"/>
        <w:jc w:val="left"/>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参照国家计委关于印发《招标代理服务收费管理暂行办法》的通知（计价格[2002]1980号）文件规定，计取采购代理服务费用，由成交人在领取成交通知书前向采购代理机构一次性付清。</w:t>
      </w:r>
    </w:p>
    <w:p>
      <w:pPr>
        <w:spacing w:beforeAutospacing="0"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4.</w:t>
      </w:r>
      <w:r>
        <w:rPr>
          <w:rFonts w:hint="eastAsia" w:ascii="宋体" w:hAnsi="宋体" w:eastAsia="宋体" w:cs="宋体"/>
          <w:b/>
          <w:bCs/>
          <w:color w:val="auto"/>
          <w:sz w:val="28"/>
          <w:szCs w:val="28"/>
        </w:rPr>
        <w:t>磋商响应文件的式样、签署</w:t>
      </w:r>
      <w:r>
        <w:rPr>
          <w:rFonts w:hint="eastAsia" w:ascii="宋体" w:hAnsi="宋体" w:eastAsia="宋体" w:cs="宋体"/>
          <w:b/>
          <w:bCs/>
          <w:color w:val="auto"/>
          <w:sz w:val="28"/>
          <w:szCs w:val="28"/>
          <w:lang w:eastAsia="zh-CN"/>
        </w:rPr>
        <w:t>及密封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4.1供应商在磋商响应文件及相关文件的签订、履行、通知等事项的书面文件中的“单位盖章”、“印章”、“公章”等处均仅指与当事人名称全称相一致的标准公章，不得使用其它（如带有“专用章”等字样）的印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4.2供应商磋商时需按照磋商文件样式，提供</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响应文件正本一份、副本一份及电子版</w:t>
      </w:r>
      <w:r>
        <w:rPr>
          <w:rFonts w:hint="eastAsia" w:ascii="宋体" w:hAnsi="宋体" w:cs="宋体"/>
          <w:color w:val="auto"/>
          <w:sz w:val="24"/>
          <w:szCs w:val="24"/>
          <w:lang w:val="en-US" w:eastAsia="zh-CN"/>
        </w:rPr>
        <w:t>两</w:t>
      </w:r>
      <w:r>
        <w:rPr>
          <w:rFonts w:hint="eastAsia" w:ascii="宋体" w:hAnsi="宋体" w:eastAsia="宋体" w:cs="宋体"/>
          <w:color w:val="auto"/>
          <w:sz w:val="24"/>
          <w:szCs w:val="24"/>
          <w:lang w:val="en-US" w:eastAsia="zh-CN"/>
        </w:rPr>
        <w:t>份（</w:t>
      </w:r>
      <w:r>
        <w:rPr>
          <w:rFonts w:hint="eastAsia" w:ascii="宋体" w:hAnsi="宋体" w:cs="宋体"/>
          <w:color w:val="auto"/>
          <w:sz w:val="24"/>
          <w:szCs w:val="24"/>
          <w:lang w:val="en-US" w:eastAsia="zh-CN"/>
        </w:rPr>
        <w:t>U盘</w:t>
      </w:r>
      <w:r>
        <w:rPr>
          <w:rFonts w:hint="eastAsia" w:ascii="宋体" w:hAnsi="宋体" w:eastAsia="宋体" w:cs="宋体"/>
          <w:color w:val="auto"/>
          <w:sz w:val="24"/>
          <w:szCs w:val="24"/>
          <w:lang w:val="en-US" w:eastAsia="zh-CN"/>
        </w:rPr>
        <w:t>，电子文本必须和正本内容保持一致）。正、副本分别胶装成册，散页无效，</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响应文件封面应注明“正本”或“副本”字样。</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响应文件须连续编码（除扉页、目录外）且编制目录，供应商应将</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响应文件的正本</w:t>
      </w:r>
      <w:r>
        <w:rPr>
          <w:rFonts w:hint="eastAsia" w:ascii="宋体" w:hAnsi="宋体" w:cs="宋体"/>
          <w:color w:val="auto"/>
          <w:sz w:val="24"/>
          <w:szCs w:val="24"/>
          <w:lang w:val="en-US" w:eastAsia="zh-CN"/>
        </w:rPr>
        <w:t>、副本、U盘</w:t>
      </w:r>
      <w:r>
        <w:rPr>
          <w:rFonts w:hint="eastAsia" w:ascii="宋体" w:hAnsi="宋体" w:eastAsia="宋体" w:cs="宋体"/>
          <w:color w:val="auto"/>
          <w:sz w:val="24"/>
          <w:szCs w:val="24"/>
          <w:lang w:val="en-US" w:eastAsia="zh-CN"/>
        </w:rPr>
        <w:t>密封在</w:t>
      </w:r>
      <w:r>
        <w:rPr>
          <w:rFonts w:hint="eastAsia" w:ascii="宋体" w:hAnsi="宋体" w:cs="宋体"/>
          <w:color w:val="auto"/>
          <w:sz w:val="24"/>
          <w:szCs w:val="24"/>
          <w:lang w:val="en-US" w:eastAsia="zh-CN"/>
        </w:rPr>
        <w:t>同</w:t>
      </w:r>
      <w:r>
        <w:rPr>
          <w:rFonts w:hint="eastAsia" w:ascii="宋体" w:hAnsi="宋体" w:eastAsia="宋体" w:cs="宋体"/>
          <w:color w:val="auto"/>
          <w:sz w:val="24"/>
          <w:szCs w:val="24"/>
          <w:lang w:val="en-US" w:eastAsia="zh-CN"/>
        </w:rPr>
        <w:t>一个标袋中。一旦正本与副本内容不符，以正本内容为准，电子版与</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 xml:space="preserve">响应文件不符，视为废标。每个标袋在封口处须用打印有“密封”字样的密封条密封，并在密封封口、封面及骑缝处加盖供应商公章及其法定代表人印章作密封章。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4.3</w:t>
      </w:r>
      <w:r>
        <w:rPr>
          <w:rFonts w:hint="eastAsia" w:ascii="宋体" w:hAnsi="宋体" w:eastAsia="宋体" w:cs="宋体"/>
          <w:color w:val="auto"/>
          <w:sz w:val="24"/>
          <w:szCs w:val="24"/>
        </w:rPr>
        <w:t>供应商</w:t>
      </w:r>
      <w:r>
        <w:rPr>
          <w:rFonts w:hint="eastAsia" w:ascii="宋体" w:hAnsi="宋体" w:eastAsia="宋体" w:cs="宋体"/>
          <w:color w:val="auto"/>
          <w:sz w:val="24"/>
          <w:szCs w:val="24"/>
          <w:lang w:eastAsia="zh-CN"/>
        </w:rPr>
        <w:t>资格审查文件</w:t>
      </w:r>
      <w:r>
        <w:rPr>
          <w:rFonts w:hint="eastAsia" w:ascii="宋体" w:hAnsi="宋体" w:eastAsia="宋体" w:cs="宋体"/>
          <w:color w:val="auto"/>
          <w:sz w:val="24"/>
          <w:szCs w:val="24"/>
        </w:rPr>
        <w:t>应按要求提供</w:t>
      </w:r>
      <w:r>
        <w:rPr>
          <w:rFonts w:hint="eastAsia" w:ascii="宋体" w:hAnsi="宋体" w:eastAsia="宋体" w:cs="宋体"/>
          <w:color w:val="auto"/>
          <w:sz w:val="24"/>
          <w:szCs w:val="24"/>
          <w:lang w:eastAsia="zh-CN"/>
        </w:rPr>
        <w:t>并单独</w:t>
      </w:r>
      <w:r>
        <w:rPr>
          <w:rFonts w:hint="eastAsia" w:ascii="宋体" w:hAnsi="宋体" w:cs="宋体"/>
          <w:color w:val="auto"/>
          <w:sz w:val="24"/>
          <w:szCs w:val="24"/>
          <w:lang w:eastAsia="zh-CN"/>
        </w:rPr>
        <w:t>提交</w:t>
      </w:r>
      <w:r>
        <w:rPr>
          <w:rFonts w:hint="eastAsia" w:ascii="宋体" w:hAnsi="宋体" w:eastAsia="宋体" w:cs="宋体"/>
          <w:color w:val="auto"/>
          <w:sz w:val="24"/>
          <w:szCs w:val="24"/>
        </w:rPr>
        <w:t>。以便在评标过程中由</w:t>
      </w:r>
      <w:r>
        <w:rPr>
          <w:rFonts w:hint="eastAsia" w:ascii="宋体" w:hAnsi="宋体" w:cs="宋体"/>
          <w:color w:val="auto"/>
          <w:sz w:val="24"/>
          <w:szCs w:val="24"/>
          <w:lang w:eastAsia="zh-CN"/>
        </w:rPr>
        <w:t>磋商小组</w:t>
      </w:r>
      <w:r>
        <w:rPr>
          <w:rFonts w:hint="eastAsia" w:ascii="宋体" w:hAnsi="宋体" w:eastAsia="宋体" w:cs="宋体"/>
          <w:color w:val="auto"/>
          <w:sz w:val="24"/>
          <w:szCs w:val="24"/>
        </w:rPr>
        <w:t>进行</w:t>
      </w:r>
      <w:r>
        <w:rPr>
          <w:rFonts w:hint="eastAsia" w:ascii="宋体" w:hAnsi="宋体" w:cs="宋体"/>
          <w:color w:val="auto"/>
          <w:sz w:val="24"/>
          <w:szCs w:val="24"/>
          <w:lang w:eastAsia="zh-CN"/>
        </w:rPr>
        <w:t>资格</w:t>
      </w:r>
      <w:r>
        <w:rPr>
          <w:rFonts w:hint="eastAsia" w:ascii="宋体" w:hAnsi="宋体" w:eastAsia="宋体" w:cs="宋体"/>
          <w:color w:val="auto"/>
          <w:sz w:val="24"/>
          <w:szCs w:val="24"/>
        </w:rPr>
        <w:t>审查。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4.4</w:t>
      </w:r>
      <w:r>
        <w:rPr>
          <w:rFonts w:hint="eastAsia" w:ascii="宋体" w:hAnsi="宋体" w:eastAsia="宋体" w:cs="宋体"/>
          <w:color w:val="auto"/>
          <w:sz w:val="24"/>
          <w:szCs w:val="24"/>
        </w:rPr>
        <w:t>磋商响应文件的正本和所有的副本均须打印或用不褪色蓝（黑）墨水（汁）书写，统一装订。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4.5</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w:t>
      </w:r>
      <w:r>
        <w:rPr>
          <w:rFonts w:hint="eastAsia" w:ascii="宋体" w:hAnsi="宋体" w:eastAsia="宋体" w:cs="宋体"/>
          <w:color w:val="auto"/>
          <w:sz w:val="24"/>
          <w:szCs w:val="24"/>
          <w:lang w:eastAsia="zh-CN"/>
        </w:rPr>
        <w:t>应按照磋商文件的要求，</w:t>
      </w:r>
      <w:r>
        <w:rPr>
          <w:rFonts w:hint="eastAsia" w:ascii="宋体" w:hAnsi="宋体" w:eastAsia="宋体" w:cs="宋体"/>
          <w:color w:val="auto"/>
          <w:sz w:val="24"/>
          <w:szCs w:val="24"/>
        </w:rPr>
        <w:t>在每一份</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响应文件的正本和副本封面下方和其他要求的位置填写供应商全称并加盖公章</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同时在指定页面的落款处由法定代表人或被授权人签名</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4.6</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响应文件的任何一页都不应涂改，不应有行间插字或删除。如出现上述情况不论何种原因造成，均应由</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响应文件的签署人在改动处签字并加盖供应商公章，否则视为无效修改。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4.7磋商响应文件不得采用可拆卸装订。（需胶装）</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4.8封袋正面标识式样（参见第六章《磋商响应文件格式》</w:t>
      </w:r>
      <w:r>
        <w:rPr>
          <w:rFonts w:hint="eastAsia" w:ascii="宋体" w:hAnsi="宋体" w:cs="宋体"/>
          <w:color w:val="auto"/>
          <w:sz w:val="24"/>
          <w:szCs w:val="24"/>
          <w:lang w:val="en-US" w:eastAsia="zh-CN"/>
        </w:rPr>
        <w:t>附件4</w:t>
      </w:r>
      <w:r>
        <w:rPr>
          <w:rFonts w:hint="eastAsia" w:ascii="宋体" w:hAnsi="宋体" w:eastAsia="宋体" w:cs="宋体"/>
          <w:color w:val="auto"/>
          <w:sz w:val="24"/>
          <w:szCs w:val="24"/>
          <w:lang w:val="en-US" w:eastAsia="zh-CN"/>
        </w:rPr>
        <w:t>）。</w:t>
      </w:r>
    </w:p>
    <w:p>
      <w:pPr>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5.</w:t>
      </w:r>
      <w:r>
        <w:rPr>
          <w:rFonts w:hint="eastAsia" w:ascii="宋体" w:hAnsi="宋体" w:eastAsia="宋体" w:cs="宋体"/>
          <w:b/>
          <w:bCs/>
          <w:color w:val="auto"/>
          <w:sz w:val="28"/>
          <w:szCs w:val="28"/>
        </w:rPr>
        <w:t>磋商响应文件的递交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5.1供应商须按竞争性磋商文件规定的时间和地点（</w:t>
      </w:r>
      <w:r>
        <w:rPr>
          <w:rFonts w:hint="eastAsia" w:ascii="宋体" w:hAnsi="宋体" w:eastAsia="宋体" w:cs="宋体"/>
          <w:color w:val="auto"/>
          <w:sz w:val="24"/>
          <w:szCs w:val="24"/>
          <w:lang w:eastAsia="zh-CN"/>
        </w:rPr>
        <w:t>磋商响应文件</w:t>
      </w:r>
      <w:r>
        <w:rPr>
          <w:rFonts w:hint="eastAsia" w:ascii="宋体" w:hAnsi="宋体" w:eastAsia="宋体" w:cs="宋体"/>
          <w:color w:val="auto"/>
          <w:sz w:val="24"/>
          <w:szCs w:val="24"/>
        </w:rPr>
        <w:t>递交截止时间</w:t>
      </w:r>
      <w:r>
        <w:rPr>
          <w:rFonts w:hint="eastAsia" w:ascii="宋体" w:hAnsi="宋体" w:eastAsia="宋体" w:cs="宋体"/>
          <w:color w:val="auto"/>
          <w:sz w:val="24"/>
          <w:szCs w:val="24"/>
          <w:lang w:eastAsia="zh-CN"/>
        </w:rPr>
        <w:t>和地点：</w:t>
      </w:r>
      <w:r>
        <w:rPr>
          <w:rFonts w:hint="eastAsia" w:ascii="宋体" w:hAnsi="宋体" w:eastAsia="宋体" w:cs="宋体"/>
          <w:color w:val="auto"/>
          <w:sz w:val="24"/>
          <w:szCs w:val="24"/>
          <w:lang w:val="en-US" w:eastAsia="zh-CN"/>
        </w:rPr>
        <w:t>详见供应商须知前附表）递交全部</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lang w:val="en-US" w:eastAsia="zh-CN"/>
        </w:rPr>
        <w:t>响应文件。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rPr>
        <w:t>如果磋商响应文件未按要求密封和加写标记，采购代理机构对误投或过早启封的磋商响应文件及磋商响应文件的有效性概不负责。出现此类情况的磋商响应文件采购代理机构将拒绝，并退回供应商。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5.3</w:t>
      </w:r>
      <w:r>
        <w:rPr>
          <w:rFonts w:hint="eastAsia" w:ascii="宋体" w:hAnsi="宋体" w:eastAsia="宋体" w:cs="宋体"/>
          <w:color w:val="auto"/>
          <w:sz w:val="24"/>
          <w:szCs w:val="24"/>
        </w:rPr>
        <w:t>采购代理机构收到磋商响应文件的时间不得迟于磋商文件规定的截止时间；采购代理机构在磋商文件规定的磋商响应文件递交截止时间前，只负责磋商响应文件的接收、登记和组织工作，对其磋商响应文件的有效性不负任何责任。采购代理机构将拒绝在截止期后</w:t>
      </w:r>
      <w:r>
        <w:rPr>
          <w:rFonts w:hint="eastAsia" w:ascii="宋体" w:hAnsi="宋体" w:cs="宋体"/>
          <w:color w:val="auto"/>
          <w:sz w:val="24"/>
          <w:szCs w:val="24"/>
          <w:lang w:eastAsia="zh-CN"/>
        </w:rPr>
        <w:t>递交</w:t>
      </w:r>
      <w:r>
        <w:rPr>
          <w:rFonts w:hint="eastAsia" w:ascii="宋体" w:hAnsi="宋体" w:eastAsia="宋体" w:cs="宋体"/>
          <w:color w:val="auto"/>
          <w:sz w:val="24"/>
          <w:szCs w:val="24"/>
        </w:rPr>
        <w:t>的磋商响应文件。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5.4</w:t>
      </w:r>
      <w:r>
        <w:rPr>
          <w:rFonts w:hint="eastAsia" w:ascii="宋体" w:hAnsi="宋体" w:eastAsia="宋体" w:cs="宋体"/>
          <w:color w:val="auto"/>
          <w:sz w:val="24"/>
          <w:szCs w:val="24"/>
        </w:rPr>
        <w:t>在</w:t>
      </w:r>
      <w:r>
        <w:rPr>
          <w:rFonts w:hint="eastAsia" w:ascii="宋体" w:hAnsi="宋体" w:eastAsia="宋体" w:cs="宋体"/>
          <w:color w:val="auto"/>
          <w:sz w:val="24"/>
          <w:szCs w:val="24"/>
          <w:lang w:eastAsia="zh-CN"/>
        </w:rPr>
        <w:t>磋商响应文件提交</w:t>
      </w:r>
      <w:r>
        <w:rPr>
          <w:rFonts w:hint="eastAsia" w:ascii="宋体" w:hAnsi="宋体" w:eastAsia="宋体" w:cs="宋体"/>
          <w:color w:val="auto"/>
          <w:sz w:val="24"/>
          <w:szCs w:val="24"/>
        </w:rPr>
        <w:t>截止</w:t>
      </w:r>
      <w:r>
        <w:rPr>
          <w:rFonts w:hint="eastAsia" w:ascii="宋体" w:hAnsi="宋体" w:eastAsia="宋体" w:cs="宋体"/>
          <w:color w:val="auto"/>
          <w:sz w:val="24"/>
          <w:szCs w:val="24"/>
          <w:lang w:eastAsia="zh-CN"/>
        </w:rPr>
        <w:t>时间</w:t>
      </w:r>
      <w:r>
        <w:rPr>
          <w:rFonts w:hint="eastAsia" w:ascii="宋体" w:hAnsi="宋体" w:eastAsia="宋体" w:cs="宋体"/>
          <w:color w:val="auto"/>
          <w:sz w:val="24"/>
          <w:szCs w:val="24"/>
        </w:rPr>
        <w:t>前，经采购代理机构同意后供应商可以修改或撤回其磋商响应文件。修改或撤回的内容应按</w:t>
      </w:r>
      <w:r>
        <w:rPr>
          <w:rFonts w:hint="eastAsia" w:ascii="宋体" w:hAnsi="宋体" w:eastAsia="宋体" w:cs="宋体"/>
          <w:color w:val="auto"/>
          <w:sz w:val="24"/>
          <w:szCs w:val="24"/>
          <w:lang w:eastAsia="zh-CN"/>
        </w:rPr>
        <w:t>磋商文件</w:t>
      </w:r>
      <w:r>
        <w:rPr>
          <w:rFonts w:hint="eastAsia" w:ascii="宋体" w:hAnsi="宋体" w:eastAsia="宋体" w:cs="宋体"/>
          <w:color w:val="auto"/>
          <w:sz w:val="24"/>
          <w:szCs w:val="24"/>
        </w:rPr>
        <w:t>的规定编制、密封、标记和</w:t>
      </w:r>
      <w:r>
        <w:rPr>
          <w:rFonts w:hint="eastAsia" w:ascii="宋体" w:hAnsi="宋体" w:eastAsia="宋体" w:cs="宋体"/>
          <w:color w:val="auto"/>
          <w:sz w:val="24"/>
          <w:szCs w:val="24"/>
          <w:lang w:eastAsia="zh-CN"/>
        </w:rPr>
        <w:t>递交</w:t>
      </w:r>
      <w:r>
        <w:rPr>
          <w:rFonts w:hint="eastAsia" w:ascii="宋体" w:hAnsi="宋体" w:eastAsia="宋体" w:cs="宋体"/>
          <w:color w:val="auto"/>
          <w:sz w:val="24"/>
          <w:szCs w:val="24"/>
        </w:rPr>
        <w:t>。并在封套上</w:t>
      </w:r>
      <w:r>
        <w:rPr>
          <w:rFonts w:hint="eastAsia" w:ascii="宋体" w:hAnsi="宋体" w:eastAsia="宋体" w:cs="宋体"/>
          <w:color w:val="auto"/>
          <w:sz w:val="24"/>
          <w:szCs w:val="24"/>
          <w:lang w:eastAsia="zh-CN"/>
        </w:rPr>
        <w:t>注明</w:t>
      </w:r>
      <w:r>
        <w:rPr>
          <w:rFonts w:hint="eastAsia" w:ascii="宋体" w:hAnsi="宋体" w:eastAsia="宋体" w:cs="宋体"/>
          <w:color w:val="auto"/>
          <w:sz w:val="24"/>
          <w:szCs w:val="24"/>
        </w:rPr>
        <w:t>“修改”或“撤回”字样。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5.5在</w:t>
      </w:r>
      <w:r>
        <w:rPr>
          <w:rFonts w:hint="eastAsia" w:ascii="宋体" w:hAnsi="宋体" w:eastAsia="宋体" w:cs="宋体"/>
          <w:color w:val="auto"/>
          <w:sz w:val="24"/>
          <w:szCs w:val="24"/>
          <w:lang w:eastAsia="zh-CN"/>
        </w:rPr>
        <w:t>磋商响应文件提交</w:t>
      </w:r>
      <w:r>
        <w:rPr>
          <w:rFonts w:hint="eastAsia" w:ascii="宋体" w:hAnsi="宋体" w:eastAsia="宋体" w:cs="宋体"/>
          <w:color w:val="auto"/>
          <w:sz w:val="24"/>
          <w:szCs w:val="24"/>
        </w:rPr>
        <w:t>截止</w:t>
      </w:r>
      <w:r>
        <w:rPr>
          <w:rFonts w:hint="eastAsia" w:ascii="宋体" w:hAnsi="宋体" w:eastAsia="宋体" w:cs="宋体"/>
          <w:color w:val="auto"/>
          <w:sz w:val="24"/>
          <w:szCs w:val="24"/>
          <w:lang w:eastAsia="zh-CN"/>
        </w:rPr>
        <w:t>时间后</w:t>
      </w:r>
      <w:r>
        <w:rPr>
          <w:rFonts w:hint="eastAsia" w:ascii="宋体" w:hAnsi="宋体" w:eastAsia="宋体" w:cs="宋体"/>
          <w:color w:val="auto"/>
          <w:sz w:val="24"/>
          <w:szCs w:val="24"/>
        </w:rPr>
        <w:t>，供应商不得</w:t>
      </w:r>
      <w:r>
        <w:rPr>
          <w:rFonts w:hint="eastAsia" w:ascii="宋体" w:hAnsi="宋体" w:eastAsia="宋体" w:cs="宋体"/>
          <w:color w:val="auto"/>
          <w:sz w:val="24"/>
          <w:szCs w:val="24"/>
          <w:lang w:eastAsia="zh-CN"/>
        </w:rPr>
        <w:t>修改或撤回其磋商响应文件</w:t>
      </w:r>
      <w:r>
        <w:rPr>
          <w:rFonts w:hint="eastAsia" w:ascii="宋体" w:hAnsi="宋体" w:eastAsia="宋体" w:cs="宋体"/>
          <w:color w:val="auto"/>
          <w:sz w:val="24"/>
          <w:szCs w:val="24"/>
        </w:rPr>
        <w:t>。</w:t>
      </w:r>
    </w:p>
    <w:p>
      <w:pPr>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6.</w:t>
      </w:r>
      <w:r>
        <w:rPr>
          <w:rFonts w:hint="eastAsia" w:ascii="宋体" w:hAnsi="宋体" w:eastAsia="宋体" w:cs="宋体"/>
          <w:b/>
          <w:bCs/>
          <w:color w:val="auto"/>
          <w:sz w:val="28"/>
          <w:szCs w:val="28"/>
        </w:rPr>
        <w:t>磋商</w:t>
      </w:r>
      <w:r>
        <w:rPr>
          <w:rFonts w:hint="eastAsia" w:ascii="宋体" w:hAnsi="宋体" w:eastAsia="宋体" w:cs="宋体"/>
          <w:b/>
          <w:bCs/>
          <w:color w:val="auto"/>
          <w:sz w:val="28"/>
          <w:szCs w:val="28"/>
          <w:lang w:eastAsia="zh-CN"/>
        </w:rPr>
        <w:t>会议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6.1</w:t>
      </w:r>
      <w:r>
        <w:rPr>
          <w:rFonts w:hint="eastAsia" w:ascii="宋体" w:hAnsi="宋体" w:eastAsia="宋体" w:cs="宋体"/>
          <w:color w:val="auto"/>
          <w:sz w:val="24"/>
          <w:szCs w:val="24"/>
        </w:rPr>
        <w:t>磋商时间及地点：</w:t>
      </w:r>
      <w:r>
        <w:rPr>
          <w:rFonts w:hint="eastAsia" w:ascii="宋体" w:hAnsi="宋体" w:eastAsia="宋体" w:cs="宋体"/>
          <w:color w:val="auto"/>
          <w:sz w:val="24"/>
          <w:szCs w:val="24"/>
          <w:lang w:eastAsia="zh-CN"/>
        </w:rPr>
        <w:t>见供应商须知前附表。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6.2</w:t>
      </w:r>
      <w:r>
        <w:rPr>
          <w:rFonts w:hint="eastAsia" w:ascii="宋体" w:hAnsi="宋体" w:eastAsia="宋体" w:cs="宋体"/>
          <w:color w:val="auto"/>
          <w:sz w:val="24"/>
          <w:szCs w:val="24"/>
        </w:rPr>
        <w:t>磋商</w:t>
      </w:r>
      <w:r>
        <w:rPr>
          <w:rFonts w:hint="eastAsia" w:ascii="宋体" w:hAnsi="宋体" w:eastAsia="宋体" w:cs="宋体"/>
          <w:color w:val="auto"/>
          <w:sz w:val="24"/>
          <w:szCs w:val="24"/>
          <w:lang w:eastAsia="zh-CN"/>
        </w:rPr>
        <w:t>会议</w:t>
      </w:r>
      <w:r>
        <w:rPr>
          <w:rFonts w:hint="eastAsia" w:ascii="宋体" w:hAnsi="宋体" w:eastAsia="宋体" w:cs="宋体"/>
          <w:color w:val="auto"/>
          <w:sz w:val="24"/>
          <w:szCs w:val="24"/>
        </w:rPr>
        <w:t>在递交</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响应文件截止时间的同一时间举行，出席和参加</w:t>
      </w:r>
      <w:r>
        <w:rPr>
          <w:rFonts w:hint="eastAsia" w:ascii="宋体" w:hAnsi="宋体" w:eastAsia="宋体" w:cs="宋体"/>
          <w:color w:val="auto"/>
          <w:sz w:val="24"/>
          <w:szCs w:val="24"/>
          <w:lang w:eastAsia="zh-CN"/>
        </w:rPr>
        <w:t>会议</w:t>
      </w:r>
      <w:r>
        <w:rPr>
          <w:rFonts w:hint="eastAsia" w:ascii="宋体" w:hAnsi="宋体" w:eastAsia="宋体" w:cs="宋体"/>
          <w:color w:val="auto"/>
          <w:sz w:val="24"/>
          <w:szCs w:val="24"/>
        </w:rPr>
        <w:t>的人员和代表，应在会议开始之前进行会议签到。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6.3</w:t>
      </w:r>
      <w:r>
        <w:rPr>
          <w:rFonts w:hint="eastAsia" w:ascii="宋体" w:hAnsi="宋体" w:eastAsia="宋体" w:cs="宋体"/>
          <w:color w:val="auto"/>
          <w:sz w:val="24"/>
          <w:szCs w:val="24"/>
          <w:lang w:eastAsia="zh-CN"/>
        </w:rPr>
        <w:t>会议</w:t>
      </w:r>
      <w:r>
        <w:rPr>
          <w:rFonts w:hint="eastAsia" w:ascii="宋体" w:hAnsi="宋体" w:eastAsia="宋体" w:cs="宋体"/>
          <w:color w:val="auto"/>
          <w:sz w:val="24"/>
          <w:szCs w:val="24"/>
        </w:rPr>
        <w:t xml:space="preserve">主要议程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6.3.1</w:t>
      </w:r>
      <w:r>
        <w:rPr>
          <w:rFonts w:hint="eastAsia" w:ascii="宋体" w:hAnsi="宋体" w:eastAsia="宋体" w:cs="宋体"/>
          <w:color w:val="auto"/>
          <w:sz w:val="24"/>
          <w:szCs w:val="24"/>
        </w:rPr>
        <w:t>宣布递交</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响应文件时间截止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磋商</w:t>
      </w:r>
      <w:r>
        <w:rPr>
          <w:rFonts w:hint="eastAsia" w:ascii="宋体" w:hAnsi="宋体" w:eastAsia="宋体" w:cs="宋体"/>
          <w:color w:val="auto"/>
          <w:sz w:val="24"/>
          <w:szCs w:val="24"/>
          <w:lang w:eastAsia="zh-CN"/>
        </w:rPr>
        <w:t>会议</w:t>
      </w:r>
      <w:r>
        <w:rPr>
          <w:rFonts w:hint="eastAsia" w:ascii="宋体" w:hAnsi="宋体" w:eastAsia="宋体" w:cs="宋体"/>
          <w:color w:val="auto"/>
          <w:sz w:val="24"/>
          <w:szCs w:val="24"/>
        </w:rPr>
        <w:t>开始</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6.3.2</w:t>
      </w:r>
      <w:r>
        <w:rPr>
          <w:rFonts w:hint="eastAsia" w:ascii="宋体" w:hAnsi="宋体" w:eastAsia="宋体" w:cs="宋体"/>
          <w:color w:val="auto"/>
          <w:sz w:val="24"/>
          <w:szCs w:val="24"/>
        </w:rPr>
        <w:t>对</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响应文件的密封情况进行检查，并公布检查结果。对检查出的不符合密封规定要求的</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响应文件作为无效文件处理，不得启封。</w:t>
      </w:r>
      <w:r>
        <w:rPr>
          <w:rFonts w:hint="eastAsia" w:ascii="宋体" w:hAnsi="宋体" w:eastAsia="宋体" w:cs="宋体"/>
          <w:color w:val="auto"/>
          <w:sz w:val="24"/>
          <w:szCs w:val="24"/>
          <w:lang w:eastAsia="zh-CN"/>
        </w:rPr>
        <w:t>采购代理机构</w:t>
      </w:r>
      <w:r>
        <w:rPr>
          <w:rFonts w:hint="eastAsia" w:ascii="宋体" w:hAnsi="宋体" w:eastAsia="宋体" w:cs="宋体"/>
          <w:color w:val="auto"/>
          <w:sz w:val="24"/>
          <w:szCs w:val="24"/>
        </w:rPr>
        <w:t>接收人在磋商</w:t>
      </w:r>
      <w:r>
        <w:rPr>
          <w:rFonts w:hint="eastAsia" w:ascii="宋体" w:hAnsi="宋体" w:eastAsia="宋体" w:cs="宋体"/>
          <w:color w:val="auto"/>
          <w:sz w:val="24"/>
          <w:szCs w:val="24"/>
          <w:lang w:eastAsia="zh-CN"/>
        </w:rPr>
        <w:t>会议</w:t>
      </w:r>
      <w:r>
        <w:rPr>
          <w:rFonts w:hint="eastAsia" w:ascii="宋体" w:hAnsi="宋体" w:eastAsia="宋体" w:cs="宋体"/>
          <w:color w:val="auto"/>
          <w:sz w:val="24"/>
          <w:szCs w:val="24"/>
        </w:rPr>
        <w:t>结束后，经该供应商签字确认将其</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响应文件退回。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6.3.3</w:t>
      </w:r>
      <w:r>
        <w:rPr>
          <w:rFonts w:hint="eastAsia" w:ascii="宋体" w:hAnsi="宋体" w:eastAsia="宋体" w:cs="宋体"/>
          <w:color w:val="auto"/>
          <w:sz w:val="24"/>
          <w:szCs w:val="24"/>
          <w:lang w:eastAsia="zh-CN"/>
        </w:rPr>
        <w:t>开启封袋</w:t>
      </w:r>
      <w:r>
        <w:rPr>
          <w:rFonts w:hint="eastAsia" w:ascii="宋体" w:hAnsi="宋体" w:eastAsia="宋体" w:cs="宋体"/>
          <w:color w:val="auto"/>
          <w:sz w:val="24"/>
          <w:szCs w:val="24"/>
          <w:lang w:val="en-US" w:eastAsia="zh-CN"/>
        </w:rPr>
        <w:t>，采购代理机构工作人员当众打开磋商响应文件，并宣布各供应商递交文件份数</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6.3.</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磋商小组进行评审：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（1）本项目采用两次报价。磋商响应文件中的报价为第一次报价。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（2）磋商小组对磋商响应文件进行</w:t>
      </w:r>
      <w:r>
        <w:rPr>
          <w:rFonts w:hint="eastAsia" w:ascii="宋体" w:hAnsi="宋体" w:cs="宋体"/>
          <w:color w:val="auto"/>
          <w:sz w:val="24"/>
          <w:szCs w:val="24"/>
          <w:lang w:val="en-US" w:eastAsia="zh-CN"/>
        </w:rPr>
        <w:t>初步</w:t>
      </w:r>
      <w:r>
        <w:rPr>
          <w:rFonts w:hint="eastAsia" w:ascii="宋体" w:hAnsi="宋体" w:eastAsia="宋体" w:cs="宋体"/>
          <w:color w:val="auto"/>
          <w:sz w:val="24"/>
          <w:szCs w:val="24"/>
          <w:lang w:val="en-US" w:eastAsia="zh-CN"/>
        </w:rPr>
        <w:t>审查，在与</w:t>
      </w:r>
      <w:r>
        <w:rPr>
          <w:rFonts w:hint="eastAsia" w:ascii="宋体" w:hAnsi="宋体" w:cs="宋体"/>
          <w:color w:val="auto"/>
          <w:sz w:val="24"/>
          <w:szCs w:val="24"/>
          <w:lang w:val="en-US" w:eastAsia="zh-CN"/>
        </w:rPr>
        <w:t>通过初步</w:t>
      </w:r>
      <w:r>
        <w:rPr>
          <w:rFonts w:hint="eastAsia" w:ascii="宋体" w:hAnsi="宋体" w:eastAsia="宋体" w:cs="宋体"/>
          <w:color w:val="auto"/>
          <w:sz w:val="24"/>
          <w:szCs w:val="24"/>
          <w:lang w:val="en-US" w:eastAsia="zh-CN"/>
        </w:rPr>
        <w:t>评审的供应商一对一磋商后，给各供应商第二次报价机会，即最终报价，评审以最终报价为依据。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（3）如各供应商报价高于本项目的采购人预算价，则按废标处理，不参与评标。</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left="480" w:leftChars="0" w:hanging="480" w:firstLineChars="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b/>
          <w:bCs/>
          <w:color w:val="auto"/>
          <w:sz w:val="28"/>
          <w:szCs w:val="28"/>
          <w:lang w:val="en-US" w:eastAsia="zh-CN"/>
        </w:rPr>
        <w:t>7.磋商和评审</w:t>
      </w:r>
      <w:r>
        <w:rPr>
          <w:rFonts w:hint="eastAsia" w:ascii="宋体" w:hAnsi="宋体" w:eastAsia="宋体" w:cs="宋体"/>
          <w:color w:val="auto"/>
          <w:sz w:val="28"/>
          <w:szCs w:val="28"/>
          <w:lang w:val="en-US" w:eastAsia="zh-CN"/>
        </w:rPr>
        <w:br w:type="textWrapping"/>
      </w:r>
      <w:r>
        <w:rPr>
          <w:rFonts w:hint="eastAsia" w:ascii="宋体" w:hAnsi="宋体" w:eastAsia="宋体" w:cs="宋体"/>
          <w:color w:val="auto"/>
          <w:sz w:val="24"/>
          <w:szCs w:val="24"/>
          <w:lang w:val="en-US" w:eastAsia="zh-CN"/>
        </w:rPr>
        <w:t>7.1评审工作由采购代理机构负责组建，具体评审事务由磋商小组负责。</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7.2为确保评审工作公平、公正，依据政府采购法的有关规定成立磋商小组。磋商小组由采购人代表及有关技术、经济等方面的磋商小组组成，人数应为3人，其中技术、经济等方面的专家2人，采购人代表1人。</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7.3磋商小组成员应当遵守并履行下列义务：</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7.3.1遵纪守法、客观、公正、廉洁地履行职责，审查竞争性磋商响应文件是否符合竞争性磋商文件的要求，并做出评价。</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7.3.2要求供应商对竞争性磋商响应文件有关事项做出解释或者澄清。</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7.3.3按照竞争性磋商文件的要求和评审标准进行评审，推荐成交候选人名单，对评审意见承担个人责任。</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本项目确定采用的具体评审方法为综合评分法，评审工作程序详见第三</w:t>
      </w:r>
      <w:r>
        <w:rPr>
          <w:rFonts w:hint="eastAsia" w:ascii="宋体" w:hAnsi="宋体" w:cs="宋体"/>
          <w:color w:val="auto"/>
          <w:sz w:val="24"/>
          <w:szCs w:val="24"/>
          <w:lang w:val="en-US" w:eastAsia="zh-CN"/>
        </w:rPr>
        <w:t>章</w:t>
      </w:r>
      <w:r>
        <w:rPr>
          <w:rFonts w:hint="eastAsia" w:ascii="宋体" w:hAnsi="宋体" w:eastAsia="宋体" w:cs="宋体"/>
          <w:color w:val="auto"/>
          <w:sz w:val="24"/>
          <w:szCs w:val="24"/>
          <w:lang w:val="en-US" w:eastAsia="zh-CN"/>
        </w:rPr>
        <w:t>《评审方法》章节的规定。</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7.3.4对评审过程和结果以及供应商的商业秘密保密。</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7.3.5参与评审报告的起草。</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7.3.6配合采购代理机构答复供应商提出的质疑。</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7.3.7配合采购人的投诉处理工作。</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7.4磋商小组有权对整个磋商过程中出现的一切问题，根据《中华人民共和国政府采购法》的精神，本着公开、公平、公正的原则，进行处理。</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7.5</w:t>
      </w:r>
      <w:r>
        <w:rPr>
          <w:rFonts w:hint="eastAsia" w:ascii="宋体" w:hAnsi="宋体" w:eastAsia="宋体" w:cs="宋体"/>
          <w:color w:val="auto"/>
          <w:sz w:val="24"/>
          <w:szCs w:val="24"/>
        </w:rPr>
        <w:t>评审保密工作</w:t>
      </w:r>
    </w:p>
    <w:p>
      <w:pPr>
        <w:keepNext w:val="0"/>
        <w:keepLines w:val="0"/>
        <w:pageBreakBefore w:val="0"/>
        <w:widowControl w:val="0"/>
        <w:tabs>
          <w:tab w:val="left" w:pos="735"/>
          <w:tab w:val="left" w:pos="157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7.5.1</w:t>
      </w:r>
      <w:r>
        <w:rPr>
          <w:rFonts w:hint="eastAsia" w:ascii="宋体" w:hAnsi="宋体" w:eastAsia="宋体" w:cs="宋体"/>
          <w:color w:val="auto"/>
          <w:sz w:val="24"/>
          <w:szCs w:val="24"/>
        </w:rPr>
        <w:t>磋商组织机构必须采取必要措施，保证评审工作在严格保密的情况下进行。任何单位和个人不得非法干预、影响评审方法的确定，以及评审过程和结果。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7.5.2</w:t>
      </w:r>
      <w:r>
        <w:rPr>
          <w:rFonts w:hint="eastAsia" w:ascii="宋体" w:hAnsi="宋体" w:eastAsia="宋体" w:cs="宋体"/>
          <w:color w:val="auto"/>
          <w:sz w:val="24"/>
          <w:szCs w:val="24"/>
        </w:rPr>
        <w:t>磋商小组成员及全体与会工作人员不得将有关</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响应文件的评审和比较、成交候选人的推荐以及与评审有关的其他情况，泄露给供应商或与评审无关的其他人员，违者依法追究其责任。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7.5.3</w:t>
      </w:r>
      <w:r>
        <w:rPr>
          <w:rFonts w:hint="eastAsia" w:ascii="宋体" w:hAnsi="宋体" w:eastAsia="宋体" w:cs="宋体"/>
          <w:color w:val="auto"/>
          <w:sz w:val="24"/>
          <w:szCs w:val="24"/>
        </w:rPr>
        <w:t>评审过程中若出现特殊情况，磋商小组可以根据政府采购法和国家的有关规定，提出处理意见，经采购人、磋商组织机构同意后做出处理决定。</w:t>
      </w:r>
    </w:p>
    <w:p>
      <w:pPr>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8.</w:t>
      </w:r>
      <w:r>
        <w:rPr>
          <w:rFonts w:hint="eastAsia" w:ascii="宋体" w:hAnsi="宋体" w:eastAsia="宋体" w:cs="宋体"/>
          <w:b/>
          <w:bCs/>
          <w:color w:val="auto"/>
          <w:sz w:val="28"/>
          <w:szCs w:val="28"/>
        </w:rPr>
        <w:t>确定成交供应商</w:t>
      </w:r>
    </w:p>
    <w:p>
      <w:pPr>
        <w:keepNext w:val="0"/>
        <w:keepLines w:val="0"/>
        <w:pageBreakBefore w:val="0"/>
        <w:widowControl w:val="0"/>
        <w:tabs>
          <w:tab w:val="left" w:pos="0"/>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w:t>
      </w:r>
      <w:r>
        <w:rPr>
          <w:rFonts w:hint="eastAsia" w:ascii="宋体" w:hAnsi="宋体" w:eastAsia="宋体" w:cs="宋体"/>
          <w:color w:val="auto"/>
          <w:sz w:val="24"/>
          <w:szCs w:val="24"/>
        </w:rPr>
        <w:t>确定成交供应商程序</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8.1.1</w:t>
      </w:r>
      <w:r>
        <w:rPr>
          <w:rFonts w:hint="eastAsia" w:ascii="宋体" w:hAnsi="宋体" w:eastAsia="宋体" w:cs="宋体"/>
          <w:color w:val="auto"/>
          <w:sz w:val="24"/>
          <w:szCs w:val="24"/>
        </w:rPr>
        <w:t>磋商组织机构在评审工作结束后</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个工作日内，将评审报告送采购人。</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8.1.2</w:t>
      </w:r>
      <w:r>
        <w:rPr>
          <w:rFonts w:hint="eastAsia" w:ascii="宋体" w:hAnsi="宋体" w:eastAsia="宋体" w:cs="宋体"/>
          <w:color w:val="auto"/>
          <w:sz w:val="24"/>
          <w:szCs w:val="24"/>
        </w:rPr>
        <w:t>采购人在收到评审报告后</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个工作日内，按照评审报告中推荐的三名</w:t>
      </w:r>
      <w:r>
        <w:rPr>
          <w:rFonts w:hint="eastAsia" w:ascii="宋体" w:hAnsi="宋体" w:eastAsia="宋体" w:cs="宋体"/>
          <w:color w:val="auto"/>
          <w:sz w:val="24"/>
          <w:szCs w:val="24"/>
          <w:lang w:eastAsia="zh-CN"/>
        </w:rPr>
        <w:t>或两名（符合要求的供应商只有两名时）</w:t>
      </w:r>
      <w:r>
        <w:rPr>
          <w:rFonts w:hint="eastAsia" w:ascii="宋体" w:hAnsi="宋体" w:eastAsia="宋体" w:cs="宋体"/>
          <w:color w:val="auto"/>
          <w:sz w:val="24"/>
          <w:szCs w:val="24"/>
        </w:rPr>
        <w:t>成交候选人顺序确定</w:t>
      </w:r>
      <w:r>
        <w:rPr>
          <w:rFonts w:hint="eastAsia" w:ascii="宋体" w:hAnsi="宋体" w:eastAsia="宋体" w:cs="宋体"/>
          <w:color w:val="auto"/>
          <w:sz w:val="24"/>
          <w:szCs w:val="24"/>
          <w:lang w:eastAsia="zh-CN"/>
        </w:rPr>
        <w:t>排名第一的供应商为</w:t>
      </w:r>
      <w:r>
        <w:rPr>
          <w:rFonts w:hint="eastAsia" w:ascii="宋体" w:hAnsi="宋体" w:eastAsia="宋体" w:cs="宋体"/>
          <w:color w:val="auto"/>
          <w:sz w:val="24"/>
          <w:szCs w:val="24"/>
        </w:rPr>
        <w:t>成交供应商，并函复</w:t>
      </w:r>
      <w:r>
        <w:rPr>
          <w:rFonts w:hint="eastAsia" w:ascii="宋体" w:hAnsi="宋体" w:eastAsia="宋体" w:cs="宋体"/>
          <w:color w:val="auto"/>
          <w:sz w:val="24"/>
          <w:szCs w:val="24"/>
          <w:lang w:eastAsia="zh-CN"/>
        </w:rPr>
        <w:t>采购代理机构</w:t>
      </w:r>
      <w:r>
        <w:rPr>
          <w:rFonts w:hint="eastAsia" w:ascii="宋体" w:hAnsi="宋体" w:eastAsia="宋体" w:cs="宋体"/>
          <w:color w:val="auto"/>
          <w:sz w:val="24"/>
          <w:szCs w:val="24"/>
        </w:rPr>
        <w:t>。</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8.1.3</w:t>
      </w:r>
      <w:r>
        <w:rPr>
          <w:rFonts w:hint="eastAsia" w:ascii="宋体" w:hAnsi="宋体" w:eastAsia="宋体" w:cs="宋体"/>
          <w:color w:val="auto"/>
          <w:sz w:val="24"/>
          <w:szCs w:val="24"/>
        </w:rPr>
        <w:t>成交供应商确定后，成交结果在政府采购信息发布媒体上进行公示。供应商对成交公告有异议的，按照《中华人民共和国政府采购法》及财政部有关规定办理。</w:t>
      </w:r>
    </w:p>
    <w:p>
      <w:pPr>
        <w:keepNext w:val="0"/>
        <w:keepLines w:val="0"/>
        <w:pageBreakBefore w:val="0"/>
        <w:widowControl w:val="0"/>
        <w:tabs>
          <w:tab w:val="left" w:pos="0"/>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8.2</w:t>
      </w:r>
      <w:r>
        <w:rPr>
          <w:rFonts w:hint="eastAsia" w:ascii="宋体" w:hAnsi="宋体" w:eastAsia="宋体" w:cs="宋体"/>
          <w:color w:val="auto"/>
          <w:sz w:val="24"/>
          <w:szCs w:val="24"/>
        </w:rPr>
        <w:t>公示期满后，</w:t>
      </w:r>
      <w:r>
        <w:rPr>
          <w:rFonts w:hint="eastAsia" w:ascii="宋体" w:hAnsi="宋体" w:eastAsia="宋体" w:cs="宋体"/>
          <w:color w:val="auto"/>
          <w:sz w:val="24"/>
          <w:szCs w:val="24"/>
          <w:lang w:eastAsia="zh-CN"/>
        </w:rPr>
        <w:t>采购代理机构</w:t>
      </w:r>
      <w:r>
        <w:rPr>
          <w:rFonts w:hint="eastAsia" w:ascii="宋体" w:hAnsi="宋体" w:eastAsia="宋体" w:cs="宋体"/>
          <w:color w:val="auto"/>
          <w:sz w:val="24"/>
          <w:szCs w:val="24"/>
        </w:rPr>
        <w:t>向成交供应商发出《</w:t>
      </w:r>
      <w:r>
        <w:rPr>
          <w:rFonts w:hint="eastAsia" w:ascii="宋体" w:hAnsi="宋体" w:eastAsia="宋体" w:cs="宋体"/>
          <w:color w:val="auto"/>
          <w:sz w:val="24"/>
          <w:szCs w:val="24"/>
          <w:lang w:eastAsia="zh-CN"/>
        </w:rPr>
        <w:t>成交</w:t>
      </w:r>
      <w:r>
        <w:rPr>
          <w:rFonts w:hint="eastAsia" w:ascii="宋体" w:hAnsi="宋体" w:eastAsia="宋体" w:cs="宋体"/>
          <w:color w:val="auto"/>
          <w:sz w:val="24"/>
          <w:szCs w:val="24"/>
        </w:rPr>
        <w:t>通知书》。</w:t>
      </w:r>
    </w:p>
    <w:p>
      <w:pPr>
        <w:keepNext w:val="0"/>
        <w:keepLines w:val="0"/>
        <w:pageBreakBefore w:val="0"/>
        <w:widowControl w:val="0"/>
        <w:tabs>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8.3</w:t>
      </w:r>
      <w:r>
        <w:rPr>
          <w:rFonts w:hint="eastAsia" w:ascii="宋体" w:hAnsi="宋体" w:eastAsia="宋体" w:cs="宋体"/>
          <w:color w:val="auto"/>
          <w:sz w:val="24"/>
          <w:szCs w:val="24"/>
        </w:rPr>
        <w:t>排名第一的成交候选人放弃成交、在规定期限内未能签订合同、因不可抗力不能履行合同、不按照竞争性磋商文件要求提交履约保证金，或者被查实存在影响成交结果的违法行为等情形，不符合成交条件的，采购人可以按照磋商小组提出的成交候选人名单排序依次确定其他成交候选人为成交供应商，也可以重新组织竞争性磋商</w:t>
      </w:r>
      <w:r>
        <w:rPr>
          <w:rFonts w:hint="eastAsia" w:ascii="宋体" w:hAnsi="宋体" w:eastAsia="宋体" w:cs="宋体"/>
          <w:color w:val="auto"/>
          <w:sz w:val="24"/>
          <w:szCs w:val="24"/>
          <w:lang w:eastAsia="zh-CN"/>
        </w:rPr>
        <w:t>。拒绝签订政府采购合同的成交供应商不得参加对该项目重新开展的采购活动。</w:t>
      </w:r>
    </w:p>
    <w:p>
      <w:pPr>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9.</w:t>
      </w:r>
      <w:r>
        <w:rPr>
          <w:rFonts w:hint="eastAsia" w:ascii="宋体" w:hAnsi="宋体" w:eastAsia="宋体" w:cs="宋体"/>
          <w:b/>
          <w:bCs/>
          <w:color w:val="auto"/>
          <w:sz w:val="28"/>
          <w:szCs w:val="28"/>
        </w:rPr>
        <w:t>签订合同</w:t>
      </w:r>
    </w:p>
    <w:p>
      <w:pPr>
        <w:keepNext w:val="0"/>
        <w:keepLines w:val="0"/>
        <w:pageBreakBefore w:val="0"/>
        <w:widowControl w:val="0"/>
        <w:tabs>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9.1</w:t>
      </w:r>
      <w:r>
        <w:rPr>
          <w:rFonts w:hint="eastAsia" w:ascii="宋体" w:hAnsi="宋体" w:eastAsia="宋体" w:cs="宋体"/>
          <w:color w:val="auto"/>
          <w:sz w:val="24"/>
          <w:szCs w:val="24"/>
        </w:rPr>
        <w:t>采购人、成交供应商须在磋商组织机构发出</w:t>
      </w:r>
      <w:r>
        <w:rPr>
          <w:rFonts w:hint="eastAsia" w:ascii="宋体" w:hAnsi="宋体" w:eastAsia="宋体" w:cs="宋体"/>
          <w:color w:val="auto"/>
          <w:sz w:val="24"/>
          <w:szCs w:val="24"/>
          <w:lang w:eastAsia="zh-CN"/>
        </w:rPr>
        <w:t>成交</w:t>
      </w:r>
      <w:r>
        <w:rPr>
          <w:rFonts w:hint="eastAsia" w:ascii="宋体" w:hAnsi="宋体" w:eastAsia="宋体" w:cs="宋体"/>
          <w:color w:val="auto"/>
          <w:sz w:val="24"/>
          <w:szCs w:val="24"/>
        </w:rPr>
        <w:t>通知书之后，洽谈合同条款内容，拟订合同文本草案。并在成交通知书发出之日起三十日内签订书面合同。</w:t>
      </w:r>
    </w:p>
    <w:p>
      <w:pPr>
        <w:keepNext w:val="0"/>
        <w:keepLines w:val="0"/>
        <w:pageBreakBefore w:val="0"/>
        <w:widowControl w:val="0"/>
        <w:tabs>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采购人应当自合同签订之日起七个工作日内，按照有关规定将合同副本报政府采购监管机关备案。</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合同在执行过程中，确需修改、变更时，应当按照相应的审核批准程序办理。</w:t>
      </w:r>
    </w:p>
    <w:p>
      <w:pPr>
        <w:keepNext w:val="0"/>
        <w:keepLines w:val="0"/>
        <w:pageBreakBefore w:val="0"/>
        <w:widowControl w:val="0"/>
        <w:tabs>
          <w:tab w:val="left" w:pos="1155"/>
        </w:tabs>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竞争性磋商文件、响应文件、补充协议等为合同的组成部分，具有同等法律效力。</w:t>
      </w:r>
    </w:p>
    <w:p>
      <w:pPr>
        <w:adjustRightInd w:val="0"/>
        <w:snapToGrid w:val="0"/>
        <w:spacing w:line="360" w:lineRule="auto"/>
        <w:outlineLvl w:val="9"/>
        <w:rPr>
          <w:rFonts w:hint="eastAsia" w:ascii="宋体" w:hAnsi="宋体" w:eastAsia="宋体" w:cs="宋体"/>
          <w:b/>
          <w:bCs/>
          <w:color w:val="auto"/>
          <w:sz w:val="28"/>
          <w:szCs w:val="28"/>
        </w:rPr>
      </w:pPr>
      <w:bookmarkStart w:id="3" w:name="_Toc26321"/>
      <w:bookmarkStart w:id="4" w:name="_Toc21242"/>
      <w:r>
        <w:rPr>
          <w:rFonts w:hint="eastAsia" w:ascii="宋体" w:hAnsi="宋体" w:eastAsia="宋体" w:cs="宋体"/>
          <w:b/>
          <w:bCs/>
          <w:color w:val="auto"/>
          <w:sz w:val="28"/>
          <w:szCs w:val="28"/>
          <w:lang w:val="en-US" w:eastAsia="zh-CN"/>
        </w:rPr>
        <w:t>10.</w:t>
      </w:r>
      <w:r>
        <w:rPr>
          <w:rFonts w:hint="eastAsia" w:ascii="宋体" w:hAnsi="宋体" w:eastAsia="宋体" w:cs="宋体"/>
          <w:b/>
          <w:bCs/>
          <w:color w:val="auto"/>
          <w:sz w:val="28"/>
          <w:szCs w:val="28"/>
        </w:rPr>
        <w:t>其它事项</w:t>
      </w:r>
      <w:bookmarkEnd w:id="3"/>
      <w:bookmarkEnd w:id="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bookmarkStart w:id="5" w:name="_Toc31079"/>
      <w:bookmarkStart w:id="6" w:name="_Toc18539"/>
      <w:r>
        <w:rPr>
          <w:rFonts w:hint="eastAsia" w:ascii="宋体" w:hAnsi="宋体" w:eastAsia="宋体" w:cs="宋体"/>
          <w:color w:val="auto"/>
          <w:sz w:val="24"/>
          <w:szCs w:val="24"/>
          <w:lang w:val="en-US" w:eastAsia="zh-CN"/>
        </w:rPr>
        <w:t>10.1</w:t>
      </w:r>
      <w:r>
        <w:rPr>
          <w:rFonts w:hint="eastAsia" w:ascii="宋体" w:hAnsi="宋体" w:eastAsia="宋体" w:cs="宋体"/>
          <w:color w:val="auto"/>
          <w:sz w:val="24"/>
          <w:szCs w:val="24"/>
        </w:rPr>
        <w:t>投标截止时间结束后，参加</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的供应商不足三家或在</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期间，出现符合专业条件的供应商不足三家或对磋商文件实质响应的供应商不足三家，经请示监督机构同意后，按《陕财办</w:t>
      </w:r>
      <w:r>
        <w:rPr>
          <w:rFonts w:hint="eastAsia" w:ascii="宋体" w:hAnsi="宋体" w:eastAsia="宋体" w:cs="宋体"/>
          <w:color w:val="auto"/>
          <w:sz w:val="24"/>
          <w:szCs w:val="24"/>
          <w:lang w:eastAsia="zh-CN"/>
        </w:rPr>
        <w:t>采</w:t>
      </w:r>
      <w:r>
        <w:rPr>
          <w:rFonts w:hint="eastAsia" w:ascii="宋体" w:hAnsi="宋体" w:eastAsia="宋体" w:cs="宋体"/>
          <w:color w:val="auto"/>
          <w:sz w:val="24"/>
          <w:szCs w:val="24"/>
        </w:rPr>
        <w:t>资【2016】53号文》第十八条规定，采用竞争性磋商采购方式的，在采购过程中符合要求的供应商（社会资本）只有2家的，竞争性磋商采购活动可以继续进行。在采购过程中符合要求的供应商（社会资本）只有1家的，采购人或者采购代理机构应当终止竞争性磋商采购活动，发布项目终止公告并说明原因，重新开展采购活动。</w:t>
      </w:r>
      <w:bookmarkEnd w:id="5"/>
      <w:bookmarkEnd w:id="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10.2关于供应商瑕疵滞后发现的处理规则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无论基于何种原因，各项本应作拒绝报价处理的情形，即便未被及时发现而使该供应商进入初审、详细评审或其它后续程序，包括已经签约的情形。一旦被发现存在上述情形，采购人均有权决定取消该供应商的此</w:t>
      </w:r>
      <w:r>
        <w:rPr>
          <w:rFonts w:hint="eastAsia" w:ascii="宋体" w:hAnsi="宋体" w:eastAsia="宋体" w:cs="宋体"/>
          <w:color w:val="auto"/>
          <w:kern w:val="2"/>
          <w:sz w:val="24"/>
          <w:szCs w:val="24"/>
          <w:lang w:val="en-US" w:eastAsia="zh-CN" w:bidi="ar-SA"/>
        </w:rPr>
        <w:t>前评议结果，或决定对该报价予以拒绝，并有权采取相应的补救及纠正措施。</w:t>
      </w:r>
    </w:p>
    <w:p>
      <w:pPr>
        <w:adjustRightInd w:val="0"/>
        <w:snapToGrid w:val="0"/>
        <w:spacing w:line="360" w:lineRule="auto"/>
        <w:outlineLvl w:val="9"/>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11.纪律和监督</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11.1对采购人的纪律要求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采购人不得泄露磋商活动中应当保密的情况和资料，不得与供应商串通损害国家利益、社会公共利益或者他人合法权益。</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11.2对供应商的纪律要求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供应商不得相互串通磋商或者与采购人串通磋商，不得向采购人或者磋商小组成员行贿谋取中标，不得以他人名义磋商或者以其他方式弄虚作假骗取成交；供应商不得以任何方式干扰、影响评标工作。</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11.3对磋商小组成员的纪律要求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磋商小组成员不得收受他人的财物或者其他好处，不得向他人透露对响应文件的评审和比较、成交候选人的推荐情况以及评标有关的其他情况。在磋商活动中，磋商小组成员应当客观、公正地履行职责，遵守职业道德，不得擅离职守，影响磋商程序正常进行，不得使用“评审方法”没有规定的评审因素和标准进行评标。</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11.4对于评标活动有关的工作人员的纪律要求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与磋商活动有关的工作人员不得收受他人的财物或者其他好处，不得向他人透露对响应文件的评审和比较、成交候选人的推荐情况以及评标有关的其他情况。在磋商活动中，与磋商活动有关的工作人员不得擅离职守，影响磋商程序正常进行。</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11.5质疑与投诉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认为采购文件、采购过程和中标、成交结果使自己的权益受到损害的，可以在知道或者应知其权益受到损害之日起7个工作日内，以书面形式向采购人提出质疑。质疑函应符合《政府采购质疑和投诉办法》（中华人民共和国财政部令第94号）的相关规定（详见《陕西省政府采购网（陕西省政府购买服务信息平台）》政府采购供应商质疑函范本）；</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11.6投诉程序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11.6.1书面（加盖公章和法定代表人印鉴）向采购人或采购代理机构提出质疑，采购人或采购代理机构应当收到供应商的书面质疑后7个工作日内书面回复；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11.6.2供应商和其他利害关系人对采购代理机构回复不予认可时，可在答复期满后十五个工作日内向同级政府采购监督管理部门投诉。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11.6.3为了公开、公平、公正，采购人、采购代理机构及相关监督管理部门不接受匿名或非书面质疑或投诉。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11.6.4投诉证据由投诉方提供。</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投诉人投诉时，应当提交投诉书，并按照被投诉采购人、采购代理机构（以下简称被投诉人）和与投诉事项有关的供应商数量提供投诉书的副本。</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投诉书应符合《政府采购质疑和投诉办法》（中华人民共和国财政部令第94号）的相关规定（详见《陕西省政府采购网（陕西省政府购买服务信息平台）》政府采购供应商投诉书范本）。</w:t>
      </w:r>
    </w:p>
    <w:p>
      <w:pPr>
        <w:adjustRightInd w:val="0"/>
        <w:snapToGrid w:val="0"/>
        <w:spacing w:line="360" w:lineRule="auto"/>
        <w:ind w:firstLine="463" w:firstLineChars="192"/>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11.7投诉人提起投诉应当符合下列条件；</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（一）投诉人是参与所投诉政府采购活动的供应商；</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（二）提起投诉前已进行依法质疑；</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（三）投诉书内容符合本办法规定；</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（四）在投诉有效期限内提起投诉；</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（五）属于本财政部门管辖；</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（六）同一投诉事项未经财政部门投诉处理；</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（七）国务院财政部门规定的其他条件</w:t>
      </w:r>
      <w:r>
        <w:rPr>
          <w:rFonts w:hint="eastAsia" w:ascii="宋体" w:hAnsi="宋体" w:cs="宋体"/>
          <w:color w:val="auto"/>
          <w:sz w:val="24"/>
          <w:szCs w:val="24"/>
          <w:lang w:val="en-US" w:eastAsia="zh-CN"/>
        </w:rPr>
        <w:t>；</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（八）时限：对招标程序中每一个环节的质疑，应在法律规定的时限内提出，逾期不予受理。</w:t>
      </w:r>
    </w:p>
    <w:p>
      <w:pPr>
        <w:adjustRightInd w:val="0"/>
        <w:snapToGrid w:val="0"/>
        <w:spacing w:line="360" w:lineRule="auto"/>
        <w:ind w:firstLine="463" w:firstLineChars="192"/>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11.8法律责任</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投诉人有下列情形之一的，属于虚假、恶意投诉、财政部门应当驳回投诉，将其列入不良行为记录名单，并依法予以处罚；</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（一）一年内三次以上投诉均查无实据的；</w:t>
      </w:r>
    </w:p>
    <w:p>
      <w:pPr>
        <w:pStyle w:val="8"/>
        <w:ind w:firstLine="480" w:firstLineChars="200"/>
        <w:outlineLvl w:val="9"/>
        <w:rPr>
          <w:rFonts w:hint="eastAsia" w:ascii="宋体" w:hAnsi="宋体" w:eastAsia="宋体" w:cs="宋体"/>
          <w:color w:val="auto"/>
          <w:lang w:val="en-US" w:eastAsia="zh-CN"/>
        </w:rPr>
      </w:pPr>
      <w:r>
        <w:rPr>
          <w:rFonts w:hint="eastAsia" w:ascii="宋体" w:hAnsi="宋体" w:eastAsia="宋体" w:cs="宋体"/>
          <w:color w:val="auto"/>
          <w:sz w:val="24"/>
          <w:szCs w:val="24"/>
          <w:lang w:val="en-US" w:eastAsia="zh-CN"/>
        </w:rPr>
        <w:t>（二）捏造事实或者提供虚假投诉材料的。</w:t>
      </w:r>
    </w:p>
    <w:p>
      <w:pPr>
        <w:pStyle w:val="8"/>
        <w:outlineLvl w:val="9"/>
        <w:rPr>
          <w:rFonts w:hint="eastAsia" w:ascii="宋体" w:hAnsi="宋体" w:eastAsia="宋体" w:cs="宋体"/>
          <w:b w:val="0"/>
          <w:bCs/>
          <w:color w:val="auto"/>
          <w:spacing w:val="0"/>
          <w:sz w:val="24"/>
          <w:szCs w:val="28"/>
          <w:shd w:val="clear" w:color="auto" w:fill="auto"/>
          <w:lang w:eastAsia="zh-CN"/>
        </w:rPr>
      </w:pPr>
    </w:p>
    <w:p>
      <w:pPr>
        <w:outlineLvl w:val="9"/>
        <w:rPr>
          <w:rFonts w:hint="eastAsia" w:ascii="宋体" w:hAnsi="宋体" w:eastAsia="宋体" w:cs="宋体"/>
          <w:color w:val="auto"/>
          <w:lang w:val="en-US" w:eastAsia="zh-CN"/>
        </w:rPr>
      </w:pPr>
      <w:r>
        <w:rPr>
          <w:rFonts w:hint="eastAsia" w:ascii="宋体" w:hAnsi="宋体" w:eastAsia="宋体" w:cs="宋体"/>
          <w:color w:val="auto"/>
          <w:lang w:val="en-US" w:eastAsia="zh-CN"/>
        </w:rPr>
        <w:br w:type="page"/>
      </w:r>
    </w:p>
    <w:p>
      <w:pPr>
        <w:adjustRightInd w:val="0"/>
        <w:snapToGrid w:val="0"/>
        <w:spacing w:line="360" w:lineRule="auto"/>
        <w:ind w:firstLine="643" w:firstLineChars="200"/>
        <w:jc w:val="center"/>
        <w:textAlignment w:val="baseline"/>
        <w:outlineLvl w:val="0"/>
        <w:rPr>
          <w:rFonts w:hint="eastAsia" w:ascii="宋体" w:hAnsi="宋体" w:eastAsia="宋体" w:cs="宋体"/>
          <w:color w:val="auto"/>
          <w:sz w:val="32"/>
          <w:szCs w:val="32"/>
          <w:lang w:eastAsia="zh-CN"/>
        </w:rPr>
      </w:pPr>
      <w:bookmarkStart w:id="7" w:name="_Toc10112"/>
      <w:r>
        <w:rPr>
          <w:rFonts w:hint="eastAsia" w:ascii="宋体" w:hAnsi="宋体" w:eastAsia="宋体" w:cs="宋体"/>
          <w:b/>
          <w:color w:val="auto"/>
          <w:sz w:val="32"/>
          <w:szCs w:val="32"/>
        </w:rPr>
        <w:t>第三</w:t>
      </w:r>
      <w:r>
        <w:rPr>
          <w:rFonts w:hint="eastAsia" w:ascii="宋体" w:hAnsi="宋体" w:eastAsia="宋体" w:cs="宋体"/>
          <w:b/>
          <w:color w:val="auto"/>
          <w:sz w:val="32"/>
          <w:szCs w:val="32"/>
          <w:lang w:eastAsia="zh-CN"/>
        </w:rPr>
        <w:t>章</w:t>
      </w:r>
      <w:r>
        <w:rPr>
          <w:rFonts w:hint="eastAsia" w:ascii="宋体" w:hAnsi="宋体" w:eastAsia="宋体" w:cs="宋体"/>
          <w:b/>
          <w:color w:val="auto"/>
          <w:sz w:val="32"/>
          <w:szCs w:val="32"/>
        </w:rPr>
        <w:t xml:space="preserve"> </w:t>
      </w:r>
      <w:r>
        <w:rPr>
          <w:rFonts w:hint="eastAsia" w:ascii="宋体" w:hAnsi="宋体" w:eastAsia="宋体" w:cs="宋体"/>
          <w:b/>
          <w:color w:val="auto"/>
          <w:sz w:val="32"/>
          <w:szCs w:val="32"/>
          <w:lang w:eastAsia="zh-CN"/>
        </w:rPr>
        <w:t>评审办法</w:t>
      </w:r>
      <w:bookmarkEnd w:id="7"/>
    </w:p>
    <w:p>
      <w:pPr>
        <w:adjustRightInd w:val="0"/>
        <w:snapToGri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本次</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采用综合评分法，将依据</w:t>
      </w:r>
      <w:r>
        <w:rPr>
          <w:rFonts w:hint="eastAsia" w:ascii="宋体" w:hAnsi="宋体" w:cs="宋体"/>
          <w:color w:val="auto"/>
          <w:sz w:val="24"/>
          <w:szCs w:val="24"/>
          <w:lang w:eastAsia="zh-CN"/>
        </w:rPr>
        <w:t>供应商的</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响应文件对其技术方案、</w:t>
      </w:r>
      <w:r>
        <w:rPr>
          <w:rFonts w:hint="eastAsia" w:ascii="宋体" w:hAnsi="宋体" w:eastAsia="宋体" w:cs="宋体"/>
          <w:color w:val="auto"/>
          <w:sz w:val="24"/>
          <w:szCs w:val="24"/>
          <w:lang w:eastAsia="zh-CN"/>
        </w:rPr>
        <w:t>财务、</w:t>
      </w:r>
      <w:r>
        <w:rPr>
          <w:rFonts w:hint="eastAsia" w:ascii="宋体" w:hAnsi="宋体" w:eastAsia="宋体" w:cs="宋体"/>
          <w:color w:val="auto"/>
          <w:sz w:val="24"/>
          <w:szCs w:val="24"/>
        </w:rPr>
        <w:t>价格等各项因素进行综合评价，综合评选出最佳响应方案。</w:t>
      </w:r>
    </w:p>
    <w:p>
      <w:pPr>
        <w:tabs>
          <w:tab w:val="left" w:pos="1575"/>
        </w:tabs>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1.磋商小组</w:t>
      </w:r>
    </w:p>
    <w:p>
      <w:pPr>
        <w:pStyle w:val="40"/>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outlineLvl w:val="9"/>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eastAsia="zh-CN"/>
        </w:rPr>
        <w:t>（</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lang w:eastAsia="zh-CN"/>
        </w:rPr>
        <w:t>）</w:t>
      </w:r>
      <w:r>
        <w:rPr>
          <w:rFonts w:hint="eastAsia" w:ascii="宋体" w:hAnsi="宋体" w:eastAsia="宋体" w:cs="宋体"/>
          <w:color w:val="auto"/>
          <w:kern w:val="2"/>
          <w:sz w:val="24"/>
          <w:szCs w:val="24"/>
        </w:rPr>
        <w:t>采购人根据有关法律法规和本磋商文件的规定，结合本磋商项目的特点组建磋商小组，对具备实质性响应的</w:t>
      </w:r>
      <w:r>
        <w:rPr>
          <w:rFonts w:hint="eastAsia" w:ascii="宋体" w:hAnsi="宋体" w:eastAsia="宋体" w:cs="宋体"/>
          <w:color w:val="auto"/>
          <w:sz w:val="24"/>
          <w:szCs w:val="24"/>
          <w:lang w:eastAsia="zh-CN"/>
        </w:rPr>
        <w:t>磋商</w:t>
      </w:r>
      <w:r>
        <w:rPr>
          <w:rFonts w:hint="eastAsia" w:ascii="宋体" w:hAnsi="宋体" w:eastAsia="宋体" w:cs="宋体"/>
          <w:color w:val="auto"/>
          <w:kern w:val="2"/>
          <w:sz w:val="24"/>
          <w:szCs w:val="24"/>
        </w:rPr>
        <w:t>响应文件进行评估和比较。磋商小组由三人组成，其中经济、技术等方面的专家</w:t>
      </w:r>
      <w:r>
        <w:rPr>
          <w:rFonts w:hint="eastAsia" w:cs="宋体"/>
          <w:color w:val="auto"/>
          <w:kern w:val="2"/>
          <w:sz w:val="24"/>
          <w:szCs w:val="24"/>
          <w:lang w:val="en-US" w:eastAsia="zh-CN"/>
        </w:rPr>
        <w:t>2人，采购人代表1人</w:t>
      </w:r>
      <w:r>
        <w:rPr>
          <w:rFonts w:hint="eastAsia" w:ascii="宋体" w:hAnsi="宋体" w:eastAsia="宋体" w:cs="宋体"/>
          <w:color w:val="auto"/>
          <w:kern w:val="2"/>
          <w:sz w:val="24"/>
          <w:szCs w:val="24"/>
        </w:rPr>
        <w:t>。</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采购人或采购人就磋商文件征询过意见的专家,不作为评审专家参加评标，采购人代表不能以专家身份参与评标，采购人工作人员不得参加评标。</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评审专家应当从政府采购评审专家库内相关专业的专家名单中随机抽取。符合《政府采购竞争性磋商采购方式管理暂行办法》的通知(财库〔2014〕214号)第三条第四项规定情形的项目，以及情况特殊、通过随机方式难以确定合适的评审专家的项目，经主管预算单位同意，可以自行选定评审专家。</w:t>
      </w:r>
    </w:p>
    <w:p>
      <w:pPr>
        <w:tabs>
          <w:tab w:val="left" w:pos="709"/>
        </w:tabs>
        <w:adjustRightInd w:val="0"/>
        <w:spacing w:line="360" w:lineRule="auto"/>
        <w:jc w:val="left"/>
        <w:textAlignment w:val="baseline"/>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2.磋商准备与初步评审</w:t>
      </w:r>
    </w:p>
    <w:p>
      <w:pPr>
        <w:keepNext w:val="0"/>
        <w:keepLines w:val="0"/>
        <w:pageBreakBefore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（1）磋商小组所有成员应当集中与单一供应商分别进行磋商，并给予所有参加磋商的供应商平等的磋商机会。</w:t>
      </w:r>
    </w:p>
    <w:p>
      <w:pPr>
        <w:pStyle w:val="16"/>
        <w:keepNext w:val="0"/>
        <w:keepLines w:val="0"/>
        <w:pageBreakBefore w:val="0"/>
        <w:kinsoku/>
        <w:wordWrap/>
        <w:overflowPunct/>
        <w:topLinePunct w:val="0"/>
        <w:autoSpaceDE/>
        <w:autoSpaceDN/>
        <w:bidi w:val="0"/>
        <w:snapToGrid/>
        <w:spacing w:before="0" w:beforeAutospacing="0" w:after="0" w:afterAutospacing="0" w:line="360" w:lineRule="auto"/>
        <w:ind w:firstLine="480" w:firstLineChars="200"/>
        <w:outlineLvl w:val="9"/>
        <w:rPr>
          <w:rFonts w:hint="eastAsia" w:ascii="宋体" w:hAnsi="宋体" w:eastAsia="宋体" w:cs="宋体"/>
          <w:color w:val="auto"/>
          <w:szCs w:val="24"/>
        </w:rPr>
      </w:pPr>
      <w:r>
        <w:rPr>
          <w:rFonts w:hint="eastAsia" w:ascii="宋体" w:hAnsi="宋体" w:eastAsia="宋体" w:cs="宋体"/>
          <w:color w:val="auto"/>
          <w:szCs w:val="24"/>
        </w:rPr>
        <w:t>（2）响应截止时间后，评审工作程序按下列步骤进行，前一步骤评审不合格的，不得进入下一步评审。</w:t>
      </w:r>
    </w:p>
    <w:p>
      <w:pPr>
        <w:pStyle w:val="16"/>
        <w:keepNext w:val="0"/>
        <w:keepLines w:val="0"/>
        <w:pageBreakBefore w:val="0"/>
        <w:kinsoku/>
        <w:wordWrap/>
        <w:overflowPunct/>
        <w:topLinePunct w:val="0"/>
        <w:autoSpaceDE/>
        <w:autoSpaceDN/>
        <w:bidi w:val="0"/>
        <w:snapToGrid/>
        <w:spacing w:before="0" w:beforeAutospacing="0" w:after="0" w:afterAutospacing="0" w:line="360" w:lineRule="auto"/>
        <w:ind w:firstLine="480" w:firstLineChars="200"/>
        <w:outlineLvl w:val="9"/>
        <w:rPr>
          <w:rFonts w:hint="eastAsia" w:ascii="宋体" w:hAnsi="宋体" w:eastAsia="宋体" w:cs="宋体"/>
          <w:color w:val="auto"/>
          <w:szCs w:val="24"/>
          <w:lang w:eastAsia="zh-CN"/>
        </w:rPr>
      </w:pPr>
      <w:r>
        <w:rPr>
          <w:rFonts w:hint="eastAsia" w:ascii="宋体" w:hAnsi="宋体" w:eastAsia="宋体" w:cs="宋体"/>
          <w:color w:val="auto"/>
          <w:szCs w:val="24"/>
        </w:rPr>
        <w:t>磋商响应文件初</w:t>
      </w:r>
      <w:r>
        <w:rPr>
          <w:rFonts w:hint="eastAsia" w:ascii="宋体" w:hAnsi="宋体" w:eastAsia="宋体" w:cs="宋体"/>
          <w:color w:val="auto"/>
          <w:szCs w:val="24"/>
          <w:lang w:eastAsia="zh-CN"/>
        </w:rPr>
        <w:t>步评审：</w:t>
      </w:r>
    </w:p>
    <w:p>
      <w:pPr>
        <w:pStyle w:val="16"/>
        <w:keepNext w:val="0"/>
        <w:keepLines w:val="0"/>
        <w:pageBreakBefore w:val="0"/>
        <w:kinsoku/>
        <w:wordWrap/>
        <w:overflowPunct/>
        <w:topLinePunct w:val="0"/>
        <w:autoSpaceDE/>
        <w:autoSpaceDN/>
        <w:bidi w:val="0"/>
        <w:snapToGrid/>
        <w:spacing w:before="0" w:beforeAutospacing="0" w:after="0" w:afterAutospacing="0" w:line="360" w:lineRule="auto"/>
        <w:ind w:firstLine="480" w:firstLineChars="200"/>
        <w:outlineLvl w:val="9"/>
        <w:rPr>
          <w:rFonts w:hint="eastAsia" w:ascii="宋体" w:hAnsi="宋体" w:eastAsia="宋体" w:cs="宋体"/>
          <w:color w:val="auto"/>
          <w:szCs w:val="24"/>
          <w:lang w:eastAsia="zh-CN"/>
        </w:rPr>
      </w:pPr>
      <w:r>
        <w:rPr>
          <w:rFonts w:hint="eastAsia" w:ascii="宋体" w:hAnsi="宋体" w:eastAsia="宋体" w:cs="宋体"/>
          <w:color w:val="auto"/>
          <w:szCs w:val="24"/>
          <w:lang w:val="en-US" w:eastAsia="zh-CN"/>
        </w:rPr>
        <w:t>1）</w:t>
      </w:r>
      <w:r>
        <w:rPr>
          <w:rFonts w:hint="eastAsia" w:ascii="宋体" w:hAnsi="宋体" w:cs="宋体"/>
          <w:color w:val="auto"/>
          <w:szCs w:val="24"/>
          <w:lang w:eastAsia="zh-CN"/>
        </w:rPr>
        <w:t>资格性评审标</w:t>
      </w:r>
      <w:r>
        <w:rPr>
          <w:rFonts w:hint="eastAsia" w:ascii="宋体" w:hAnsi="宋体" w:eastAsia="宋体" w:cs="宋体"/>
          <w:color w:val="auto"/>
          <w:szCs w:val="24"/>
          <w:lang w:eastAsia="zh-CN"/>
        </w:rPr>
        <w:t>：详见</w:t>
      </w:r>
      <w:r>
        <w:rPr>
          <w:rFonts w:hint="eastAsia" w:ascii="宋体" w:hAnsi="宋体" w:cs="宋体"/>
          <w:color w:val="auto"/>
          <w:szCs w:val="24"/>
          <w:lang w:eastAsia="zh-CN"/>
        </w:rPr>
        <w:t>初步评审</w:t>
      </w:r>
      <w:r>
        <w:rPr>
          <w:rFonts w:hint="eastAsia" w:ascii="宋体" w:hAnsi="宋体" w:eastAsia="宋体" w:cs="宋体"/>
          <w:color w:val="auto"/>
          <w:szCs w:val="24"/>
        </w:rPr>
        <w:t>表</w:t>
      </w:r>
      <w:r>
        <w:rPr>
          <w:rFonts w:hint="eastAsia" w:ascii="宋体" w:hAnsi="宋体" w:eastAsia="宋体" w:cs="宋体"/>
          <w:color w:val="auto"/>
          <w:szCs w:val="24"/>
          <w:lang w:eastAsia="zh-CN"/>
        </w:rPr>
        <w:t>；</w:t>
      </w:r>
    </w:p>
    <w:p>
      <w:pPr>
        <w:pStyle w:val="16"/>
        <w:keepNext w:val="0"/>
        <w:keepLines w:val="0"/>
        <w:pageBreakBefore w:val="0"/>
        <w:kinsoku/>
        <w:wordWrap/>
        <w:overflowPunct/>
        <w:topLinePunct w:val="0"/>
        <w:autoSpaceDE/>
        <w:autoSpaceDN/>
        <w:bidi w:val="0"/>
        <w:snapToGrid/>
        <w:spacing w:before="0" w:beforeAutospacing="0" w:after="0" w:afterAutospacing="0" w:line="360" w:lineRule="auto"/>
        <w:ind w:firstLine="480" w:firstLineChars="200"/>
        <w:outlineLvl w:val="9"/>
        <w:rPr>
          <w:rFonts w:hint="eastAsia" w:ascii="宋体" w:hAnsi="宋体" w:eastAsia="宋体" w:cs="宋体"/>
          <w:color w:val="auto"/>
          <w:szCs w:val="24"/>
          <w:lang w:eastAsia="zh-CN"/>
        </w:rPr>
      </w:pPr>
      <w:r>
        <w:rPr>
          <w:rFonts w:hint="eastAsia" w:ascii="宋体" w:hAnsi="宋体" w:eastAsia="宋体" w:cs="宋体"/>
          <w:color w:val="auto"/>
          <w:szCs w:val="24"/>
          <w:lang w:val="en-US" w:eastAsia="zh-CN"/>
        </w:rPr>
        <w:t>2）</w:t>
      </w:r>
      <w:r>
        <w:rPr>
          <w:rFonts w:hint="eastAsia" w:ascii="宋体" w:hAnsi="宋体" w:cs="宋体"/>
          <w:color w:val="auto"/>
          <w:szCs w:val="24"/>
          <w:lang w:eastAsia="zh-CN"/>
        </w:rPr>
        <w:t>符合性评审表</w:t>
      </w:r>
      <w:r>
        <w:rPr>
          <w:rFonts w:hint="eastAsia" w:ascii="宋体" w:hAnsi="宋体" w:eastAsia="宋体" w:cs="宋体"/>
          <w:color w:val="auto"/>
          <w:szCs w:val="24"/>
          <w:lang w:eastAsia="zh-CN"/>
        </w:rPr>
        <w:t>：详见</w:t>
      </w:r>
      <w:r>
        <w:rPr>
          <w:rFonts w:hint="eastAsia" w:ascii="宋体" w:hAnsi="宋体" w:cs="宋体"/>
          <w:color w:val="auto"/>
          <w:szCs w:val="24"/>
          <w:lang w:eastAsia="zh-CN"/>
        </w:rPr>
        <w:t>初步评审</w:t>
      </w:r>
      <w:r>
        <w:rPr>
          <w:rFonts w:hint="eastAsia" w:ascii="宋体" w:hAnsi="宋体" w:eastAsia="宋体" w:cs="宋体"/>
          <w:color w:val="auto"/>
          <w:szCs w:val="24"/>
        </w:rPr>
        <w:t>表</w:t>
      </w:r>
      <w:r>
        <w:rPr>
          <w:rFonts w:hint="eastAsia" w:ascii="宋体" w:hAnsi="宋体" w:cs="宋体"/>
          <w:color w:val="auto"/>
          <w:szCs w:val="24"/>
          <w:lang w:eastAsia="zh-CN"/>
        </w:rPr>
        <w:t>。</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响应</w:t>
      </w:r>
      <w:r>
        <w:rPr>
          <w:rFonts w:hint="eastAsia" w:ascii="宋体" w:hAnsi="宋体" w:eastAsia="宋体" w:cs="宋体"/>
          <w:color w:val="auto"/>
          <w:sz w:val="24"/>
          <w:szCs w:val="24"/>
          <w:lang w:eastAsia="zh-CN"/>
        </w:rPr>
        <w:t>文件</w:t>
      </w:r>
      <w:r>
        <w:rPr>
          <w:rFonts w:hint="eastAsia" w:ascii="宋体" w:hAnsi="宋体" w:eastAsia="宋体" w:cs="宋体"/>
          <w:color w:val="auto"/>
          <w:sz w:val="24"/>
          <w:szCs w:val="24"/>
        </w:rPr>
        <w:t>的澄清</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1）磋商小组在对响应文件</w:t>
      </w:r>
      <w:r>
        <w:rPr>
          <w:rFonts w:hint="eastAsia" w:ascii="宋体" w:hAnsi="宋体" w:eastAsia="宋体" w:cs="宋体"/>
          <w:color w:val="auto"/>
          <w:sz w:val="24"/>
          <w:szCs w:val="24"/>
          <w:lang w:eastAsia="zh-CN"/>
        </w:rPr>
        <w:t>初步评审</w:t>
      </w:r>
      <w:r>
        <w:rPr>
          <w:rFonts w:hint="eastAsia" w:ascii="宋体" w:hAnsi="宋体" w:eastAsia="宋体" w:cs="宋体"/>
          <w:color w:val="auto"/>
          <w:sz w:val="24"/>
          <w:szCs w:val="24"/>
        </w:rPr>
        <w:t>时，可以要求供应商对响应文件中含义不明确、同类问题表述不一致或者有明显文字和计算错误的内容等作出必要的澄清、说明或者更正。供应商的澄清、说明或者更正不得超出</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响应文件的范围或者改变</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响应文件的实质性内容。磋商小组要求供应商澄清、说明或者更正</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响应文件应当以书面形式作出，并由磋商小组专家签字。供应商的澄清、说明或者</w:t>
      </w:r>
      <w:r>
        <w:rPr>
          <w:rFonts w:hint="eastAsia" w:ascii="宋体" w:hAnsi="宋体" w:eastAsia="宋体" w:cs="宋体"/>
          <w:color w:val="auto"/>
          <w:sz w:val="24"/>
          <w:szCs w:val="24"/>
          <w:lang w:eastAsia="zh-CN"/>
        </w:rPr>
        <w:t>补</w:t>
      </w:r>
      <w:r>
        <w:rPr>
          <w:rFonts w:hint="eastAsia" w:ascii="宋体" w:hAnsi="宋体" w:eastAsia="宋体" w:cs="宋体"/>
          <w:color w:val="auto"/>
          <w:sz w:val="24"/>
          <w:szCs w:val="24"/>
        </w:rPr>
        <w:t>正应当由法定代表人或其授权代表签字或者加盖公章。由授权代表签字的，应当附法定代表人授权书。供应商为自然人的，应当由本人签字并附身份证明。</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2）响应人必须按照磋商小组通知的内容</w:t>
      </w:r>
      <w:r>
        <w:rPr>
          <w:rFonts w:hint="eastAsia" w:ascii="宋体" w:hAnsi="宋体" w:eastAsia="宋体" w:cs="宋体"/>
          <w:color w:val="auto"/>
          <w:sz w:val="24"/>
          <w:szCs w:val="24"/>
          <w:lang w:eastAsia="zh-CN"/>
        </w:rPr>
        <w:t>在规定内</w:t>
      </w:r>
      <w:r>
        <w:rPr>
          <w:rFonts w:hint="eastAsia" w:ascii="宋体" w:hAnsi="宋体" w:eastAsia="宋体" w:cs="宋体"/>
          <w:color w:val="auto"/>
          <w:sz w:val="24"/>
          <w:szCs w:val="24"/>
        </w:rPr>
        <w:t>时间做出书面答复，该答复经法定代表人或响应人代表的签字认可，将作为</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响应文件内容的一部分。澄清、说明或者补正不得超出</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响应文件的范围或者改变</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响应文件的实质性内容。响应人拒不按照要求对</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响应文件进行澄清、说明或者补正的，磋商小组可拒绝该响应。</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3）如磋商小组一致认为某个响应人的报价与各响应人报价的平均报价价差较大，存在明显不合理，有低于成本价或降低质量、不能诚信履行的可能，影响公平竞争时，磋商小组有权决定是否通知响应人限期进行书面解释或提供相关证明材料。若已要求，而该响应人在规定期限内未做出解释、作出的解释不合理或不能提供证明材料的，磋商小组可拒绝该响应。</w:t>
      </w:r>
    </w:p>
    <w:p>
      <w:pPr>
        <w:tabs>
          <w:tab w:val="left" w:pos="709"/>
        </w:tabs>
        <w:adjustRightInd w:val="0"/>
        <w:spacing w:line="360" w:lineRule="auto"/>
        <w:jc w:val="left"/>
        <w:textAlignment w:val="baseline"/>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3.</w:t>
      </w:r>
      <w:r>
        <w:rPr>
          <w:rFonts w:hint="eastAsia" w:ascii="宋体" w:hAnsi="宋体" w:cs="宋体"/>
          <w:b/>
          <w:bCs/>
          <w:color w:val="auto"/>
          <w:sz w:val="28"/>
          <w:szCs w:val="28"/>
          <w:lang w:val="en-US" w:eastAsia="zh-CN"/>
        </w:rPr>
        <w:t>对磋商响应文件的</w:t>
      </w:r>
      <w:r>
        <w:rPr>
          <w:rFonts w:hint="eastAsia" w:ascii="宋体" w:hAnsi="宋体" w:eastAsia="宋体" w:cs="宋体"/>
          <w:b/>
          <w:bCs/>
          <w:color w:val="auto"/>
          <w:sz w:val="28"/>
          <w:szCs w:val="28"/>
        </w:rPr>
        <w:t>详细评审</w:t>
      </w:r>
    </w:p>
    <w:p>
      <w:pPr>
        <w:tabs>
          <w:tab w:val="left" w:pos="709"/>
        </w:tabs>
        <w:adjustRightIn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1）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响应文件，并由其法定代表人或授权代表签字或者加盖公章。由授权代表签字的，应当附法定代表人授权书。供应商为自然人的，应当由本人签字并附身份证明。</w:t>
      </w:r>
    </w:p>
    <w:p>
      <w:pPr>
        <w:adjustRightInd w:val="0"/>
        <w:snapToGrid w:val="0"/>
        <w:spacing w:line="360" w:lineRule="auto"/>
        <w:ind w:firstLine="460" w:firstLineChars="192"/>
        <w:outlineLvl w:val="9"/>
        <w:rPr>
          <w:rFonts w:hint="eastAsia" w:ascii="宋体" w:hAnsi="宋体" w:eastAsia="宋体" w:cs="宋体"/>
          <w:color w:val="auto"/>
          <w:sz w:val="24"/>
          <w:szCs w:val="24"/>
        </w:rPr>
      </w:pPr>
      <w:bookmarkStart w:id="8" w:name="_Toc28156"/>
      <w:bookmarkStart w:id="9" w:name="_Toc15022"/>
      <w:r>
        <w:rPr>
          <w:rFonts w:hint="eastAsia" w:ascii="宋体" w:hAnsi="宋体" w:eastAsia="宋体" w:cs="宋体"/>
          <w:color w:val="auto"/>
          <w:sz w:val="24"/>
          <w:szCs w:val="24"/>
        </w:rPr>
        <w:t>（2）磋商文件能够详细列明采购标的的技术、服务要求的，磋商结束后，磋商小组应当要求所有实质性响应的供应商在规定时间内提交最后报价，提交最后报价的供应商不得少于</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家。磋商文件不能详细列明采购标的的技术、服务要求，需经磋商由供应商提供最终设计方案或解决方案的，磋商结束后，磋商小组应当按照少数服从多数的原则投票推荐</w:t>
      </w: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家</w:t>
      </w:r>
      <w:r>
        <w:rPr>
          <w:rFonts w:hint="eastAsia" w:ascii="宋体" w:hAnsi="宋体" w:eastAsia="宋体" w:cs="宋体"/>
          <w:color w:val="auto"/>
          <w:sz w:val="24"/>
          <w:szCs w:val="24"/>
          <w:lang w:eastAsia="zh-CN"/>
        </w:rPr>
        <w:t>或两家（符合要求的供应商只有两家时）</w:t>
      </w:r>
      <w:r>
        <w:rPr>
          <w:rFonts w:hint="eastAsia" w:ascii="宋体" w:hAnsi="宋体" w:eastAsia="宋体" w:cs="宋体"/>
          <w:color w:val="auto"/>
          <w:sz w:val="24"/>
          <w:szCs w:val="24"/>
        </w:rPr>
        <w:t>以上供应商的设计方案或者解决方案，并要求其在规定时间内提交最后报价。最后报价是供应商</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响应文件的有效组成部分。按《</w:t>
      </w:r>
      <w:r>
        <w:rPr>
          <w:rFonts w:hint="eastAsia" w:ascii="宋体" w:hAnsi="宋体" w:eastAsia="宋体" w:cs="宋体"/>
          <w:color w:val="auto"/>
          <w:sz w:val="24"/>
          <w:szCs w:val="24"/>
          <w:lang w:eastAsia="zh-CN"/>
        </w:rPr>
        <w:t>陕财办采资</w:t>
      </w:r>
      <w:r>
        <w:rPr>
          <w:rFonts w:hint="eastAsia" w:ascii="宋体" w:hAnsi="宋体" w:eastAsia="宋体" w:cs="宋体"/>
          <w:color w:val="auto"/>
          <w:sz w:val="24"/>
          <w:szCs w:val="24"/>
        </w:rPr>
        <w:t>【201</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53</w:t>
      </w:r>
      <w:r>
        <w:rPr>
          <w:rFonts w:hint="eastAsia" w:ascii="宋体" w:hAnsi="宋体" w:eastAsia="宋体" w:cs="宋体"/>
          <w:color w:val="auto"/>
          <w:sz w:val="24"/>
          <w:szCs w:val="24"/>
        </w:rPr>
        <w:t>号文》第十八条规定，采用竞争性磋商采购方式的，在采购过程中符合要求的供应商（社会资本）只有2家的，竞争性磋商采购活动可以继续进行。在采购过程中符合要求的供应商（社会资本）只有1家的，采购人或者采购代理机构应当终止竞争性磋商采购活动，发布项目终止公告并说明原因，重新开展采购活动。</w:t>
      </w:r>
      <w:bookmarkEnd w:id="8"/>
      <w:bookmarkEnd w:id="9"/>
    </w:p>
    <w:p>
      <w:pPr>
        <w:tabs>
          <w:tab w:val="left" w:pos="709"/>
        </w:tabs>
        <w:adjustRightIn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（3）已提交</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响应文件的供应商，在提交最后报价之前，可以根据磋商情况退出磋商。采购人、采购代理机构应当退还退出磋商的供应商的响应保证金。</w:t>
      </w:r>
    </w:p>
    <w:p>
      <w:pPr>
        <w:tabs>
          <w:tab w:val="left" w:pos="709"/>
        </w:tabs>
        <w:adjustRightIn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（4）经磋商确定最终采购需求和提交最后报价的供应商后，由磋商小组采用综合评分法对提交最后报价的供应商的</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响应文件和最后报价进行综合评分。</w:t>
      </w:r>
    </w:p>
    <w:p>
      <w:pPr>
        <w:tabs>
          <w:tab w:val="left" w:pos="709"/>
        </w:tabs>
        <w:adjustRightIn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（5）评审时，磋商小组各成员应当独立对每个有效响应的文件进行评价、打分，然后汇总每个供应商每项评分因素的得分。</w:t>
      </w:r>
    </w:p>
    <w:p>
      <w:pPr>
        <w:tabs>
          <w:tab w:val="left" w:pos="709"/>
        </w:tabs>
        <w:adjustRightInd w:val="0"/>
        <w:spacing w:afterAutospacing="0" w:line="360" w:lineRule="auto"/>
        <w:jc w:val="left"/>
        <w:textAlignment w:val="baseline"/>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4</w:t>
      </w:r>
      <w:r>
        <w:rPr>
          <w:rFonts w:hint="eastAsia" w:ascii="宋体" w:hAnsi="宋体" w:eastAsia="宋体" w:cs="宋体"/>
          <w:b/>
          <w:bCs/>
          <w:color w:val="auto"/>
          <w:sz w:val="28"/>
          <w:szCs w:val="28"/>
        </w:rPr>
        <w:t>、评</w:t>
      </w:r>
      <w:r>
        <w:rPr>
          <w:rFonts w:hint="eastAsia" w:ascii="宋体" w:hAnsi="宋体" w:eastAsia="宋体" w:cs="宋体"/>
          <w:b/>
          <w:bCs/>
          <w:color w:val="auto"/>
          <w:sz w:val="28"/>
          <w:szCs w:val="28"/>
          <w:lang w:eastAsia="zh-CN"/>
        </w:rPr>
        <w:t>审</w:t>
      </w:r>
      <w:r>
        <w:rPr>
          <w:rFonts w:hint="eastAsia" w:ascii="宋体" w:hAnsi="宋体" w:eastAsia="宋体" w:cs="宋体"/>
          <w:b/>
          <w:bCs/>
          <w:color w:val="auto"/>
          <w:sz w:val="28"/>
          <w:szCs w:val="28"/>
        </w:rPr>
        <w:t>标准及方法</w:t>
      </w:r>
    </w:p>
    <w:p>
      <w:pPr>
        <w:keepNext w:val="0"/>
        <w:keepLines w:val="0"/>
        <w:pageBreakBefore w:val="0"/>
        <w:widowControl w:val="0"/>
        <w:tabs>
          <w:tab w:val="left" w:pos="3802"/>
          <w:tab w:val="center" w:pos="4484"/>
        </w:tabs>
        <w:kinsoku/>
        <w:wordWrap/>
        <w:overflowPunct/>
        <w:topLinePunct w:val="0"/>
        <w:autoSpaceDE/>
        <w:autoSpaceDN/>
        <w:bidi w:val="0"/>
        <w:adjustRightInd w:val="0"/>
        <w:snapToGrid w:val="0"/>
        <w:spacing w:beforeAutospacing="0" w:after="160" w:afterLines="50" w:line="240" w:lineRule="atLeast"/>
        <w:jc w:val="left"/>
        <w:textAlignment w:val="auto"/>
        <w:outlineLvl w:val="9"/>
        <w:rPr>
          <w:rFonts w:hint="eastAsia" w:ascii="宋体" w:hAnsi="宋体" w:eastAsia="宋体" w:cs="宋体"/>
          <w:b/>
          <w:bCs/>
          <w:color w:val="auto"/>
          <w:sz w:val="24"/>
          <w:szCs w:val="24"/>
          <w:highlight w:val="none"/>
        </w:rPr>
      </w:pPr>
      <w:bookmarkStart w:id="10" w:name="_Toc144974566"/>
      <w:bookmarkStart w:id="11" w:name="_Toc168475714"/>
      <w:bookmarkStart w:id="12" w:name="_Toc221950444"/>
      <w:bookmarkStart w:id="13" w:name="_Toc168476117"/>
      <w:bookmarkStart w:id="14" w:name="_Toc222033847"/>
      <w:bookmarkStart w:id="15" w:name="_Toc222032665"/>
      <w:bookmarkStart w:id="16" w:name="_Toc229305356"/>
      <w:bookmarkStart w:id="17" w:name="_Toc222030998"/>
      <w:bookmarkStart w:id="18" w:name="_Toc222029496"/>
      <w:bookmarkStart w:id="19" w:name="_Toc346801096"/>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1</w:t>
      </w:r>
      <w:r>
        <w:rPr>
          <w:rFonts w:hint="eastAsia" w:ascii="宋体" w:hAnsi="宋体" w:cs="宋体"/>
          <w:b/>
          <w:bCs/>
          <w:color w:val="auto"/>
          <w:sz w:val="24"/>
          <w:szCs w:val="24"/>
          <w:highlight w:val="none"/>
          <w:lang w:eastAsia="zh-CN"/>
        </w:rPr>
        <w:t>）初步评审</w:t>
      </w:r>
      <w:r>
        <w:rPr>
          <w:rFonts w:hint="eastAsia" w:ascii="宋体" w:hAnsi="宋体" w:cs="宋体"/>
          <w:b/>
          <w:bCs/>
          <w:color w:val="auto"/>
          <w:sz w:val="24"/>
          <w:szCs w:val="24"/>
          <w:highlight w:val="none"/>
          <w:lang w:eastAsia="zh-CN"/>
        </w:rPr>
        <w:tab/>
      </w:r>
      <w:bookmarkEnd w:id="10"/>
      <w:bookmarkEnd w:id="11"/>
      <w:bookmarkEnd w:id="12"/>
      <w:bookmarkEnd w:id="13"/>
      <w:bookmarkEnd w:id="14"/>
      <w:bookmarkEnd w:id="15"/>
      <w:bookmarkEnd w:id="16"/>
      <w:bookmarkEnd w:id="17"/>
      <w:bookmarkEnd w:id="18"/>
      <w:bookmarkEnd w:id="19"/>
    </w:p>
    <w:tbl>
      <w:tblPr>
        <w:tblStyle w:val="17"/>
        <w:tblW w:w="92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9"/>
        <w:gridCol w:w="2529"/>
        <w:gridCol w:w="56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4" w:hRule="atLeast"/>
          <w:jc w:val="center"/>
        </w:trPr>
        <w:tc>
          <w:tcPr>
            <w:tcW w:w="1069"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评审项目</w:t>
            </w: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评审因素</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069" w:type="dxa"/>
            <w:vMerge w:val="restart"/>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资格评审标准</w:t>
            </w: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rPr>
            </w:pPr>
            <w:r>
              <w:rPr>
                <w:rFonts w:hint="eastAsia"/>
                <w:lang w:val="en-US" w:eastAsia="zh-CN"/>
              </w:rPr>
              <w:t>营业执照</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具有独立承担民事责任能力的法人或其他组织或自然人，企业法人应提供有效的统一社会信用代码的营业执照；事业法人应提供事业单位法人等证明文件；其他组织应提供合法证明文件；自然人出具身份证明；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zh-CN" w:eastAsia="zh-CN"/>
              </w:rPr>
              <w:t>授权委托书</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法定代表人授权书（附法定代表人身份证复印件）及被授权人身份证原件及复印件（法定代表人直接参与磋商，需提供法定代表人身份证明、法定代表人身份证原件及加盖公章的复印件）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zh-CN" w:eastAsia="zh-CN"/>
              </w:rPr>
              <w:t>财务要求</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en-US" w:eastAsia="zh-CN"/>
              </w:rPr>
              <w:t>提供2019年经审计的财务会计报告（至少包括审计报告、资产负债表和利润表，成立时间至提交投标文件截止时间不足一年的可提供成立后任意时段的资产负债表），或其开标前三个月内基本存款账户开户银行出具的资信证明及基本存款账户开户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社会保障资金缴纳证明</w:t>
            </w:r>
          </w:p>
        </w:tc>
        <w:tc>
          <w:tcPr>
            <w:tcW w:w="5674"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en-US" w:eastAsia="zh-CN"/>
              </w:rPr>
              <w:t>供应商提供自2020年</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月1日以来已缴存的至少一个月的社会保障资金缴存单据或社保机构开具的社会保险参保缴费情况证明，依法不需要缴纳社会保障资金的供应商应提供相关文件证明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税收缴纳证明</w:t>
            </w:r>
          </w:p>
        </w:tc>
        <w:tc>
          <w:tcPr>
            <w:tcW w:w="5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供应商提供自2020年</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月1日以来已缴纳的至少一个月的纳税证明或完税证明，纳税证明或完税证明上应有代收机构或税务机关的公章，依法免税的供应商应提供相关文件证明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书面声明</w:t>
            </w:r>
          </w:p>
        </w:tc>
        <w:tc>
          <w:tcPr>
            <w:tcW w:w="5674"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参加政府采购活动前3年内，在经营活动中没有重大违法记录的书面声明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restar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信用截图</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cs="宋体"/>
                <w:color w:val="auto"/>
                <w:spacing w:val="0"/>
                <w:sz w:val="21"/>
                <w:szCs w:val="21"/>
                <w:lang w:eastAsia="zh-CN"/>
              </w:rPr>
            </w:pPr>
            <w:r>
              <w:rPr>
                <w:rFonts w:hint="eastAsia" w:ascii="宋体" w:hAnsi="宋体" w:eastAsia="宋体" w:cs="宋体"/>
                <w:color w:val="auto"/>
                <w:sz w:val="21"/>
                <w:szCs w:val="21"/>
                <w:highlight w:val="none"/>
                <w:lang w:val="en-US" w:eastAsia="zh-CN"/>
              </w:rPr>
              <w:t>供应商不得为“信用中国”网站（www.creditchina.gov.cn）中列入失信被执行人、重大税收违法案件当事人、政府采购不良行为记录名单的供应商，不得为中国政府采购网（www.ccgp.gov.cn）政府采购严重违法失信行为记录名单中被财政部门禁止参加政府采购活动的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pacing w:val="0"/>
                <w:sz w:val="21"/>
                <w:szCs w:val="21"/>
                <w:lang w:eastAsia="zh-CN"/>
              </w:rPr>
              <w:t>项目经理</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pacing w:val="0"/>
                <w:sz w:val="21"/>
                <w:szCs w:val="21"/>
                <w:lang w:eastAsia="zh-CN"/>
              </w:rPr>
              <w:t>（</w:t>
            </w:r>
            <w:r>
              <w:rPr>
                <w:rFonts w:hint="eastAsia" w:ascii="宋体" w:hAnsi="宋体" w:eastAsia="宋体" w:cs="宋体"/>
                <w:color w:val="auto"/>
                <w:sz w:val="21"/>
                <w:szCs w:val="21"/>
                <w:highlight w:val="none"/>
                <w:lang w:val="en-US" w:eastAsia="zh-CN"/>
              </w:rPr>
              <w:t>1）具备建筑工程专业注册建造师贰级及以上资格</w:t>
            </w:r>
          </w:p>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highlight w:val="none"/>
                <w:lang w:val="en-US" w:eastAsia="zh-CN"/>
              </w:rPr>
              <w:t>（2）有效的安全生产考核合格证B证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cs="宋体"/>
                <w:color w:val="auto"/>
                <w:spacing w:val="0"/>
                <w:sz w:val="21"/>
                <w:szCs w:val="21"/>
                <w:lang w:eastAsia="zh-CN"/>
              </w:rPr>
            </w:pPr>
            <w:r>
              <w:rPr>
                <w:rFonts w:hint="eastAsia" w:ascii="宋体" w:hAnsi="宋体" w:cs="宋体"/>
                <w:color w:val="auto"/>
                <w:spacing w:val="0"/>
                <w:sz w:val="21"/>
                <w:szCs w:val="21"/>
                <w:lang w:eastAsia="zh-CN"/>
              </w:rPr>
              <w:t>资质证书</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cs="宋体"/>
                <w:color w:val="auto"/>
                <w:spacing w:val="0"/>
                <w:sz w:val="21"/>
                <w:szCs w:val="21"/>
                <w:lang w:eastAsia="zh-CN"/>
              </w:rPr>
            </w:pPr>
            <w:r>
              <w:rPr>
                <w:rFonts w:hint="eastAsia" w:ascii="宋体" w:hAnsi="宋体" w:cs="宋体"/>
                <w:color w:val="auto"/>
                <w:spacing w:val="0"/>
                <w:sz w:val="21"/>
                <w:szCs w:val="21"/>
                <w:lang w:eastAsia="zh-CN"/>
              </w:rPr>
              <w:t>具备建设行政主管部门颁发的钢结构工程专业承包三级及以上资质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cs="宋体"/>
                <w:color w:val="auto"/>
                <w:spacing w:val="0"/>
                <w:sz w:val="21"/>
                <w:szCs w:val="21"/>
                <w:lang w:eastAsia="zh-CN"/>
              </w:rPr>
            </w:pPr>
            <w:r>
              <w:rPr>
                <w:rFonts w:hint="eastAsia" w:ascii="宋体" w:hAnsi="宋体" w:cs="宋体"/>
                <w:color w:val="auto"/>
                <w:spacing w:val="0"/>
                <w:sz w:val="21"/>
                <w:szCs w:val="21"/>
                <w:lang w:eastAsia="zh-CN"/>
              </w:rPr>
              <w:t>安全生产许可证</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cs="宋体"/>
                <w:color w:val="auto"/>
                <w:spacing w:val="0"/>
                <w:sz w:val="21"/>
                <w:szCs w:val="21"/>
                <w:lang w:eastAsia="zh-CN"/>
              </w:rPr>
            </w:pPr>
            <w:r>
              <w:rPr>
                <w:rFonts w:hint="eastAsia" w:ascii="宋体" w:hAnsi="宋体" w:cs="宋体"/>
                <w:color w:val="auto"/>
                <w:spacing w:val="0"/>
                <w:sz w:val="21"/>
                <w:szCs w:val="21"/>
                <w:lang w:eastAsia="zh-CN"/>
              </w:rPr>
              <w:t>具有有效的安全生产许可证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企业基本信息、项目经理信息查询截图</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lang w:eastAsia="zh-CN"/>
              </w:rPr>
            </w:pPr>
            <w:r>
              <w:rPr>
                <w:rFonts w:hint="eastAsia" w:ascii="宋体" w:hAnsi="宋体" w:eastAsia="宋体" w:cs="宋体"/>
                <w:color w:val="auto"/>
                <w:spacing w:val="0"/>
                <w:sz w:val="21"/>
                <w:szCs w:val="21"/>
              </w:rPr>
              <w:t>“陕西省建筑市场监管与诚信信息一体化平台”可查询</w:t>
            </w:r>
            <w:r>
              <w:rPr>
                <w:rFonts w:hint="eastAsia" w:ascii="宋体" w:hAnsi="宋体" w:cs="宋体"/>
                <w:color w:val="auto"/>
                <w:spacing w:val="0"/>
                <w:sz w:val="21"/>
                <w:szCs w:val="21"/>
                <w:lang w:eastAsia="zh-CN"/>
              </w:rPr>
              <w:t>截图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1069" w:type="dxa"/>
            <w:vMerge w:val="restart"/>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符合性评审标准</w:t>
            </w: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响应文件签字盖章</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规定处签字或盖章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格式</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份数</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正本一份，副本</w:t>
            </w:r>
            <w:r>
              <w:rPr>
                <w:rFonts w:hint="eastAsia" w:ascii="宋体" w:hAnsi="宋体" w:cs="宋体"/>
                <w:color w:val="auto"/>
                <w:sz w:val="21"/>
                <w:szCs w:val="21"/>
                <w:highlight w:val="none"/>
                <w:lang w:eastAsia="zh-CN"/>
              </w:rPr>
              <w:t>两</w:t>
            </w:r>
            <w:r>
              <w:rPr>
                <w:rFonts w:hint="eastAsia" w:ascii="宋体" w:hAnsi="宋体" w:eastAsia="宋体" w:cs="宋体"/>
                <w:color w:val="auto"/>
                <w:sz w:val="21"/>
                <w:szCs w:val="21"/>
                <w:highlight w:val="none"/>
              </w:rPr>
              <w:t>份，</w:t>
            </w:r>
            <w:r>
              <w:rPr>
                <w:rFonts w:hint="eastAsia" w:ascii="宋体" w:hAnsi="宋体" w:cs="宋体"/>
                <w:color w:val="auto"/>
                <w:sz w:val="21"/>
                <w:szCs w:val="21"/>
                <w:highlight w:val="none"/>
                <w:lang w:val="en-US" w:eastAsia="zh-CN"/>
              </w:rPr>
              <w:t>U</w:t>
            </w:r>
            <w:r>
              <w:rPr>
                <w:rFonts w:hint="eastAsia" w:ascii="宋体" w:hAnsi="宋体" w:eastAsia="宋体" w:cs="宋体"/>
                <w:color w:val="auto"/>
                <w:sz w:val="21"/>
                <w:szCs w:val="21"/>
                <w:highlight w:val="none"/>
              </w:rPr>
              <w:t>盘</w:t>
            </w:r>
            <w:r>
              <w:rPr>
                <w:rFonts w:hint="eastAsia" w:ascii="宋体" w:hAnsi="宋体" w:cs="宋体"/>
                <w:color w:val="auto"/>
                <w:sz w:val="21"/>
                <w:szCs w:val="21"/>
                <w:highlight w:val="none"/>
                <w:lang w:eastAsia="zh-CN"/>
              </w:rPr>
              <w:t>两个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的印刷和装订</w:t>
            </w:r>
            <w:r>
              <w:rPr>
                <w:rFonts w:hint="eastAsia" w:ascii="宋体" w:hAnsi="宋体" w:eastAsia="宋体" w:cs="宋体"/>
                <w:color w:val="auto"/>
                <w:sz w:val="21"/>
                <w:szCs w:val="21"/>
                <w:highlight w:val="none"/>
                <w:lang w:eastAsia="zh-CN"/>
              </w:rPr>
              <w:t>等</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A4纸打印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正副本分别装订成册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报价唯一</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投标内容</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范围内全部内容</w:t>
            </w:r>
            <w:r>
              <w:rPr>
                <w:rFonts w:hint="eastAsia" w:ascii="宋体" w:hAnsi="宋体" w:eastAsia="宋体" w:cs="宋体"/>
                <w:color w:val="auto"/>
                <w:sz w:val="21"/>
                <w:szCs w:val="21"/>
                <w:highlight w:val="none"/>
                <w:lang w:eastAsia="zh-CN"/>
              </w:rPr>
              <w:t>（详见第</w:t>
            </w:r>
            <w:r>
              <w:rPr>
                <w:rFonts w:hint="eastAsia" w:ascii="宋体" w:hAnsi="宋体" w:cs="宋体"/>
                <w:color w:val="auto"/>
                <w:sz w:val="21"/>
                <w:szCs w:val="21"/>
                <w:highlight w:val="none"/>
                <w:lang w:eastAsia="zh-CN"/>
              </w:rPr>
              <w:t>五</w:t>
            </w:r>
            <w:r>
              <w:rPr>
                <w:rFonts w:hint="eastAsia" w:ascii="宋体" w:hAnsi="宋体" w:eastAsia="宋体" w:cs="宋体"/>
                <w:color w:val="auto"/>
                <w:sz w:val="21"/>
                <w:szCs w:val="21"/>
                <w:highlight w:val="none"/>
                <w:lang w:eastAsia="zh-CN"/>
              </w:rPr>
              <w:t>章 采购内容及技术要求）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4"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left"/>
              <w:textAlignment w:val="auto"/>
              <w:outlineLvl w:val="9"/>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工期</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val="en-US" w:eastAsia="zh-CN"/>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工程质量</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zh-CN" w:eastAsia="zh-CN"/>
              </w:rPr>
              <w:t>执行国家现行行业验收规范，达到</w:t>
            </w:r>
            <w:r>
              <w:rPr>
                <w:rFonts w:hint="eastAsia" w:ascii="宋体" w:hAnsi="宋体" w:eastAsia="宋体" w:cs="宋体"/>
                <w:b w:val="0"/>
                <w:bCs w:val="0"/>
                <w:color w:val="auto"/>
                <w:sz w:val="21"/>
                <w:szCs w:val="21"/>
                <w:highlight w:val="none"/>
                <w:lang w:val="en-US" w:eastAsia="zh-CN"/>
              </w:rPr>
              <w:t>“合格”</w:t>
            </w:r>
            <w:r>
              <w:rPr>
                <w:rFonts w:hint="eastAsia" w:ascii="宋体" w:hAnsi="宋体" w:eastAsia="宋体" w:cs="宋体"/>
                <w:b w:val="0"/>
                <w:bCs w:val="0"/>
                <w:color w:val="auto"/>
                <w:sz w:val="21"/>
                <w:szCs w:val="21"/>
                <w:highlight w:val="none"/>
                <w:lang w:val="zh-CN"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6"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磋商有效期</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val="en-US" w:eastAsia="zh-CN"/>
              </w:rPr>
              <w:t>90</w:t>
            </w:r>
            <w:r>
              <w:rPr>
                <w:rFonts w:hint="eastAsia" w:ascii="宋体" w:hAnsi="宋体" w:eastAsia="宋体" w:cs="宋体"/>
                <w:color w:val="auto"/>
                <w:sz w:val="21"/>
                <w:szCs w:val="21"/>
                <w:highlight w:val="none"/>
              </w:rPr>
              <w:t>日历天（从投标截止之日算起）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磋商保证金</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壹万元整（￥：</w:t>
            </w: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CN"/>
              </w:rPr>
              <w:t>000.00元</w:t>
            </w:r>
            <w:r>
              <w:rPr>
                <w:rFonts w:hint="eastAsia" w:ascii="宋体" w:hAnsi="宋体" w:eastAsia="宋体" w:cs="宋体"/>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69"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宋体" w:hAnsi="宋体" w:eastAsia="宋体" w:cs="宋体"/>
                <w:color w:val="auto"/>
                <w:sz w:val="21"/>
                <w:szCs w:val="21"/>
                <w:highlight w:val="none"/>
              </w:rPr>
            </w:pPr>
          </w:p>
        </w:tc>
        <w:tc>
          <w:tcPr>
            <w:tcW w:w="2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技术标准和要求</w:t>
            </w:r>
          </w:p>
        </w:tc>
        <w:tc>
          <w:tcPr>
            <w:tcW w:w="5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272" w:type="dxa"/>
            <w:gridSpan w:val="3"/>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outlineLvl w:val="9"/>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注：</w:t>
            </w:r>
            <w:r>
              <w:rPr>
                <w:rFonts w:hint="eastAsia" w:ascii="宋体" w:hAnsi="宋体" w:eastAsia="宋体" w:cs="宋体"/>
                <w:color w:val="auto"/>
                <w:sz w:val="21"/>
                <w:szCs w:val="21"/>
              </w:rPr>
              <w:t>1. 每一项符合的打“</w:t>
            </w:r>
            <w:r>
              <w:rPr>
                <w:rFonts w:hint="eastAsia" w:ascii="宋体" w:hAnsi="宋体" w:eastAsia="宋体" w:cs="宋体"/>
                <w:color w:val="auto"/>
                <w:sz w:val="21"/>
                <w:szCs w:val="21"/>
                <w:lang w:eastAsia="zh-CN"/>
              </w:rPr>
              <w:t>〇</w:t>
            </w:r>
            <w:r>
              <w:rPr>
                <w:rFonts w:hint="eastAsia" w:ascii="宋体" w:hAnsi="宋体" w:eastAsia="宋体" w:cs="宋体"/>
                <w:color w:val="auto"/>
                <w:sz w:val="21"/>
                <w:szCs w:val="21"/>
              </w:rPr>
              <w:t>”，不符合的打“</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rPr>
              <w:t>2.“结论”一栏填写“</w:t>
            </w:r>
            <w:r>
              <w:rPr>
                <w:rFonts w:hint="eastAsia" w:ascii="宋体" w:hAnsi="宋体" w:eastAsia="宋体" w:cs="宋体"/>
                <w:color w:val="auto"/>
                <w:sz w:val="21"/>
                <w:szCs w:val="21"/>
                <w:lang w:eastAsia="zh-CN"/>
              </w:rPr>
              <w:t>合格</w:t>
            </w:r>
            <w:r>
              <w:rPr>
                <w:rFonts w:hint="eastAsia" w:ascii="宋体" w:hAnsi="宋体" w:eastAsia="宋体" w:cs="宋体"/>
                <w:color w:val="auto"/>
                <w:sz w:val="21"/>
                <w:szCs w:val="21"/>
              </w:rPr>
              <w:t>”或“</w:t>
            </w:r>
            <w:r>
              <w:rPr>
                <w:rFonts w:hint="eastAsia" w:ascii="宋体" w:hAnsi="宋体" w:eastAsia="宋体" w:cs="宋体"/>
                <w:color w:val="auto"/>
                <w:sz w:val="21"/>
                <w:szCs w:val="21"/>
                <w:lang w:eastAsia="zh-CN"/>
              </w:rPr>
              <w:t>不合格</w:t>
            </w:r>
            <w:r>
              <w:rPr>
                <w:rFonts w:hint="eastAsia" w:ascii="宋体" w:hAnsi="宋体" w:eastAsia="宋体" w:cs="宋体"/>
                <w:color w:val="auto"/>
                <w:sz w:val="21"/>
                <w:szCs w:val="21"/>
              </w:rPr>
              <w:t>”；</w:t>
            </w:r>
            <w:r>
              <w:rPr>
                <w:rFonts w:hint="eastAsia" w:ascii="宋体" w:hAnsi="宋体" w:cs="宋体"/>
                <w:color w:val="auto"/>
                <w:sz w:val="21"/>
                <w:szCs w:val="21"/>
                <w:lang w:eastAsia="zh-CN"/>
              </w:rPr>
              <w:t>初步审查</w:t>
            </w:r>
            <w:r>
              <w:rPr>
                <w:rFonts w:hint="eastAsia" w:ascii="宋体" w:hAnsi="宋体" w:eastAsia="宋体" w:cs="宋体"/>
                <w:color w:val="auto"/>
                <w:sz w:val="21"/>
                <w:szCs w:val="21"/>
                <w:lang w:eastAsia="zh-CN"/>
              </w:rPr>
              <w:t>有一项不合格</w:t>
            </w:r>
            <w:r>
              <w:rPr>
                <w:rFonts w:hint="eastAsia" w:ascii="宋体" w:hAnsi="宋体" w:eastAsia="宋体" w:cs="宋体"/>
                <w:color w:val="auto"/>
                <w:sz w:val="21"/>
                <w:szCs w:val="21"/>
              </w:rPr>
              <w:t>的</w:t>
            </w:r>
            <w:r>
              <w:rPr>
                <w:rFonts w:hint="eastAsia" w:ascii="宋体" w:hAnsi="宋体" w:eastAsia="宋体" w:cs="宋体"/>
                <w:color w:val="auto"/>
                <w:sz w:val="21"/>
                <w:szCs w:val="21"/>
                <w:lang w:eastAsia="zh-CN"/>
              </w:rPr>
              <w:t>供应商不得继续参与本项目</w:t>
            </w:r>
            <w:r>
              <w:rPr>
                <w:rFonts w:hint="eastAsia" w:ascii="宋体" w:hAnsi="宋体" w:cs="宋体"/>
                <w:color w:val="auto"/>
                <w:sz w:val="21"/>
                <w:szCs w:val="21"/>
                <w:lang w:eastAsia="zh-CN"/>
              </w:rPr>
              <w:t>评审</w:t>
            </w:r>
            <w:r>
              <w:rPr>
                <w:rFonts w:hint="eastAsia" w:ascii="宋体" w:hAnsi="宋体" w:eastAsia="宋体" w:cs="宋体"/>
                <w:color w:val="auto"/>
                <w:sz w:val="21"/>
                <w:szCs w:val="21"/>
              </w:rPr>
              <w:t>。</w:t>
            </w:r>
          </w:p>
        </w:tc>
      </w:tr>
    </w:tbl>
    <w:p>
      <w:pPr>
        <w:keepNext w:val="0"/>
        <w:keepLines w:val="0"/>
        <w:pageBreakBefore w:val="0"/>
        <w:widowControl w:val="0"/>
        <w:kinsoku/>
        <w:wordWrap/>
        <w:overflowPunct/>
        <w:topLinePunct w:val="0"/>
        <w:autoSpaceDE/>
        <w:autoSpaceDN/>
        <w:bidi w:val="0"/>
        <w:adjustRightInd/>
        <w:snapToGrid/>
        <w:spacing w:after="157" w:afterLines="50" w:line="520" w:lineRule="exact"/>
        <w:jc w:val="both"/>
        <w:textAlignment w:val="auto"/>
        <w:outlineLvl w:val="9"/>
        <w:rPr>
          <w:rFonts w:hint="eastAsia" w:ascii="宋体" w:hAnsi="宋体" w:cs="宋体"/>
          <w:b/>
          <w:bCs/>
          <w:color w:val="auto"/>
          <w:sz w:val="24"/>
          <w:szCs w:val="24"/>
          <w:highlight w:val="none"/>
          <w:lang w:val="zh-CN" w:eastAsia="zh-CN"/>
        </w:rPr>
      </w:pPr>
    </w:p>
    <w:p>
      <w:pPr>
        <w:pStyle w:val="8"/>
        <w:rPr>
          <w:rFonts w:hint="eastAsia" w:ascii="宋体" w:hAnsi="宋体" w:cs="宋体"/>
          <w:b/>
          <w:bCs/>
          <w:color w:val="auto"/>
          <w:sz w:val="24"/>
          <w:szCs w:val="24"/>
          <w:highlight w:val="none"/>
          <w:lang w:val="zh-CN" w:eastAsia="zh-CN"/>
        </w:rPr>
      </w:pPr>
    </w:p>
    <w:p>
      <w:pPr>
        <w:rPr>
          <w:rFonts w:hint="eastAsia" w:ascii="宋体" w:hAnsi="宋体" w:cs="宋体"/>
          <w:b/>
          <w:bCs/>
          <w:color w:val="auto"/>
          <w:sz w:val="24"/>
          <w:szCs w:val="24"/>
          <w:highlight w:val="none"/>
          <w:lang w:val="zh-CN" w:eastAsia="zh-CN"/>
        </w:rPr>
      </w:pPr>
    </w:p>
    <w:p>
      <w:pPr>
        <w:keepNext w:val="0"/>
        <w:keepLines w:val="0"/>
        <w:pageBreakBefore w:val="0"/>
        <w:widowControl w:val="0"/>
        <w:kinsoku/>
        <w:wordWrap/>
        <w:overflowPunct/>
        <w:topLinePunct w:val="0"/>
        <w:autoSpaceDE/>
        <w:autoSpaceDN/>
        <w:bidi w:val="0"/>
        <w:adjustRightInd/>
        <w:snapToGrid/>
        <w:spacing w:after="157" w:afterLines="50" w:line="520" w:lineRule="exact"/>
        <w:jc w:val="both"/>
        <w:textAlignment w:val="auto"/>
        <w:outlineLvl w:val="9"/>
        <w:rPr>
          <w:rFonts w:hint="eastAsia" w:ascii="宋体" w:hAnsi="宋体" w:cs="宋体"/>
          <w:b/>
          <w:bCs/>
          <w:color w:val="auto"/>
          <w:sz w:val="24"/>
          <w:szCs w:val="24"/>
          <w:highlight w:val="none"/>
          <w:lang w:val="zh-CN" w:eastAsia="zh-CN"/>
        </w:rPr>
      </w:pPr>
    </w:p>
    <w:p>
      <w:pPr>
        <w:keepNext w:val="0"/>
        <w:keepLines w:val="0"/>
        <w:pageBreakBefore w:val="0"/>
        <w:widowControl w:val="0"/>
        <w:kinsoku/>
        <w:wordWrap/>
        <w:overflowPunct/>
        <w:topLinePunct w:val="0"/>
        <w:autoSpaceDE/>
        <w:autoSpaceDN/>
        <w:bidi w:val="0"/>
        <w:adjustRightInd/>
        <w:snapToGrid/>
        <w:spacing w:after="157" w:afterLines="50" w:line="520" w:lineRule="exact"/>
        <w:jc w:val="both"/>
        <w:textAlignment w:val="auto"/>
        <w:outlineLvl w:val="9"/>
        <w:rPr>
          <w:rFonts w:hint="eastAsia" w:ascii="宋体" w:hAnsi="宋体" w:cs="宋体"/>
          <w:b/>
          <w:bCs/>
          <w:color w:val="auto"/>
          <w:sz w:val="24"/>
          <w:szCs w:val="24"/>
          <w:highlight w:val="none"/>
          <w:lang w:val="zh-CN" w:eastAsia="zh-CN"/>
        </w:rPr>
      </w:pPr>
      <w:r>
        <w:rPr>
          <w:rFonts w:hint="eastAsia" w:ascii="宋体" w:hAnsi="宋体" w:cs="宋体"/>
          <w:b/>
          <w:bCs/>
          <w:color w:val="auto"/>
          <w:sz w:val="24"/>
          <w:szCs w:val="24"/>
          <w:highlight w:val="none"/>
          <w:lang w:val="zh-CN" w:eastAsia="zh-CN"/>
        </w:rPr>
        <w:t>（</w:t>
      </w:r>
      <w:r>
        <w:rPr>
          <w:rFonts w:hint="eastAsia" w:ascii="宋体" w:hAnsi="宋体" w:cs="宋体"/>
          <w:b/>
          <w:bCs/>
          <w:color w:val="auto"/>
          <w:sz w:val="24"/>
          <w:szCs w:val="24"/>
          <w:highlight w:val="none"/>
          <w:lang w:val="en-US" w:eastAsia="zh-CN"/>
        </w:rPr>
        <w:t>2</w:t>
      </w:r>
      <w:r>
        <w:rPr>
          <w:rFonts w:hint="eastAsia" w:ascii="宋体" w:hAnsi="宋体" w:cs="宋体"/>
          <w:b/>
          <w:bCs/>
          <w:color w:val="auto"/>
          <w:sz w:val="24"/>
          <w:szCs w:val="24"/>
          <w:highlight w:val="none"/>
          <w:lang w:val="zh-CN" w:eastAsia="zh-CN"/>
        </w:rPr>
        <w:t>）详细评审</w:t>
      </w:r>
    </w:p>
    <w:tbl>
      <w:tblPr>
        <w:tblStyle w:val="17"/>
        <w:tblW w:w="9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462"/>
        <w:gridCol w:w="1749"/>
        <w:gridCol w:w="666"/>
        <w:gridCol w:w="6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21" w:type="dxa"/>
            <w:noWrap w:val="0"/>
            <w:vAlign w:val="center"/>
          </w:tcPr>
          <w:p>
            <w:pPr>
              <w:widowControl/>
              <w:spacing w:before="100" w:beforeAutospacing="1" w:after="100" w:afterAutospacing="1" w:line="240" w:lineRule="auto"/>
              <w:jc w:val="center"/>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211" w:type="dxa"/>
            <w:gridSpan w:val="2"/>
            <w:noWrap w:val="0"/>
            <w:vAlign w:val="center"/>
          </w:tcPr>
          <w:p>
            <w:pPr>
              <w:spacing w:line="240" w:lineRule="auto"/>
              <w:jc w:val="center"/>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666" w:type="dxa"/>
            <w:noWrap w:val="0"/>
            <w:vAlign w:val="center"/>
          </w:tcPr>
          <w:p>
            <w:pPr>
              <w:widowControl/>
              <w:spacing w:before="100" w:beforeAutospacing="1" w:after="100" w:afterAutospacing="1" w:line="240" w:lineRule="auto"/>
              <w:jc w:val="center"/>
              <w:outlineLvl w:val="9"/>
              <w:rPr>
                <w:rFonts w:hint="eastAsia" w:ascii="宋体" w:hAnsi="宋体" w:eastAsia="宋体" w:cs="宋体"/>
                <w:color w:val="auto"/>
                <w:sz w:val="21"/>
                <w:szCs w:val="21"/>
              </w:rPr>
            </w:pPr>
            <w:r>
              <w:rPr>
                <w:rFonts w:hint="eastAsia" w:ascii="宋体" w:hAnsi="宋体" w:cs="宋体"/>
                <w:b/>
                <w:bCs/>
                <w:color w:val="auto"/>
                <w:kern w:val="0"/>
                <w:sz w:val="21"/>
                <w:szCs w:val="21"/>
                <w:highlight w:val="none"/>
                <w:lang w:eastAsia="zh-CN"/>
              </w:rPr>
              <w:t>分值</w:t>
            </w:r>
          </w:p>
        </w:tc>
        <w:tc>
          <w:tcPr>
            <w:tcW w:w="6124" w:type="dxa"/>
            <w:noWrap w:val="0"/>
            <w:vAlign w:val="center"/>
          </w:tcPr>
          <w:p>
            <w:pPr>
              <w:widowControl/>
              <w:spacing w:before="100" w:beforeAutospacing="1" w:after="100" w:afterAutospacing="1" w:line="240" w:lineRule="auto"/>
              <w:jc w:val="center"/>
              <w:outlineLvl w:val="9"/>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421" w:type="dxa"/>
            <w:noWrap w:val="0"/>
            <w:vAlign w:val="center"/>
          </w:tcPr>
          <w:p>
            <w:pPr>
              <w:widowControl/>
              <w:spacing w:before="100" w:beforeAutospacing="1" w:after="100" w:afterAutospacing="1" w:line="375" w:lineRule="atLeast"/>
              <w:jc w:val="center"/>
              <w:outlineLvl w:val="9"/>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一</w:t>
            </w:r>
          </w:p>
        </w:tc>
        <w:tc>
          <w:tcPr>
            <w:tcW w:w="2211" w:type="dxa"/>
            <w:gridSpan w:val="2"/>
            <w:noWrap w:val="0"/>
            <w:vAlign w:val="center"/>
          </w:tcPr>
          <w:p>
            <w:pPr>
              <w:jc w:val="center"/>
              <w:outlineLvl w:val="9"/>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sz w:val="21"/>
                <w:szCs w:val="21"/>
                <w:highlight w:val="none"/>
                <w:lang w:eastAsia="zh-CN"/>
              </w:rPr>
              <w:t>磋商</w:t>
            </w:r>
            <w:r>
              <w:rPr>
                <w:rFonts w:hint="eastAsia" w:ascii="宋体" w:hAnsi="宋体" w:eastAsia="宋体" w:cs="宋体"/>
                <w:b w:val="0"/>
                <w:bCs w:val="0"/>
                <w:color w:val="auto"/>
                <w:sz w:val="21"/>
                <w:szCs w:val="21"/>
                <w:highlight w:val="none"/>
              </w:rPr>
              <w:t>报价</w:t>
            </w:r>
          </w:p>
        </w:tc>
        <w:tc>
          <w:tcPr>
            <w:tcW w:w="666" w:type="dxa"/>
            <w:noWrap w:val="0"/>
            <w:vAlign w:val="center"/>
          </w:tcPr>
          <w:p>
            <w:pPr>
              <w:tabs>
                <w:tab w:val="left" w:pos="2040"/>
              </w:tabs>
              <w:spacing w:line="240" w:lineRule="auto"/>
              <w:jc w:val="center"/>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1.经初审合格的磋商响应文件，其磋商报价为有效磋商报价，对符合政策性扣减的供应商的有效磋商价格进行政策性扣减，并依据扣减后的价格（评审价格）进行价格评审。</w:t>
            </w:r>
          </w:p>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2.采用低价优先法计算，即满足磋商文件</w:t>
            </w:r>
            <w:r>
              <w:rPr>
                <w:rFonts w:hint="eastAsia" w:ascii="宋体" w:hAnsi="宋体" w:cs="宋体"/>
                <w:color w:val="auto"/>
                <w:sz w:val="21"/>
                <w:szCs w:val="21"/>
                <w:highlight w:val="none"/>
                <w:shd w:val="clear" w:color="auto" w:fill="auto"/>
                <w:lang w:val="en-US" w:eastAsia="zh-CN"/>
              </w:rPr>
              <w:t>的实质性</w:t>
            </w:r>
            <w:r>
              <w:rPr>
                <w:rFonts w:hint="eastAsia" w:ascii="宋体" w:hAnsi="宋体" w:eastAsia="宋体" w:cs="宋体"/>
                <w:color w:val="auto"/>
                <w:sz w:val="21"/>
                <w:szCs w:val="21"/>
                <w:highlight w:val="none"/>
                <w:shd w:val="clear" w:color="auto" w:fill="auto"/>
                <w:lang w:val="en-US" w:eastAsia="zh-CN"/>
              </w:rPr>
              <w:t>要求且最后报价最低的供应商的价格为磋商基准价，其价格分为满分</w:t>
            </w:r>
            <w:r>
              <w:rPr>
                <w:rFonts w:hint="eastAsia" w:ascii="宋体" w:hAnsi="宋体" w:cs="宋体"/>
                <w:color w:val="auto"/>
                <w:sz w:val="21"/>
                <w:szCs w:val="21"/>
                <w:highlight w:val="none"/>
                <w:shd w:val="clear" w:color="auto" w:fill="auto"/>
                <w:lang w:val="en-US" w:eastAsia="zh-CN"/>
              </w:rPr>
              <w:t>30分</w:t>
            </w:r>
            <w:r>
              <w:rPr>
                <w:rFonts w:hint="eastAsia" w:ascii="宋体" w:hAnsi="宋体" w:eastAsia="宋体" w:cs="宋体"/>
                <w:color w:val="auto"/>
                <w:sz w:val="21"/>
                <w:szCs w:val="21"/>
                <w:highlight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3.磋商报价得分＝（磋商基准价/最后磋商报价）×30</w:t>
            </w:r>
          </w:p>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4.磋商报价不完整的，不进入评标标准价的计算，本项得0分。</w:t>
            </w:r>
          </w:p>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default" w:eastAsia="宋体"/>
                <w:lang w:val="en-US" w:eastAsia="zh-CN"/>
              </w:rPr>
            </w:pPr>
            <w:r>
              <w:rPr>
                <w:rFonts w:hint="eastAsia" w:ascii="宋体" w:hAnsi="宋体" w:eastAsia="宋体" w:cs="宋体"/>
                <w:color w:val="auto"/>
                <w:sz w:val="21"/>
                <w:szCs w:val="21"/>
                <w:highlight w:val="none"/>
                <w:shd w:val="clear" w:color="auto" w:fill="auto"/>
                <w:lang w:val="en-US" w:eastAsia="zh-CN"/>
              </w:rPr>
              <w:t>5.经磋商小组一致认定，供应商的磋商最终总报价低于公认市场成本，或超过采购预算，其响应文件将被拒绝。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21" w:type="dxa"/>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二</w:t>
            </w:r>
          </w:p>
        </w:tc>
        <w:tc>
          <w:tcPr>
            <w:tcW w:w="221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业绩</w:t>
            </w:r>
          </w:p>
        </w:tc>
        <w:tc>
          <w:tcPr>
            <w:tcW w:w="666" w:type="dxa"/>
            <w:noWrap w:val="0"/>
            <w:vAlign w:val="center"/>
          </w:tcPr>
          <w:p>
            <w:pPr>
              <w:widowControl/>
              <w:spacing w:before="100" w:beforeAutospacing="1" w:after="100" w:afterAutospacing="1" w:line="375" w:lineRule="atLeast"/>
              <w:jc w:val="center"/>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6</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z w:val="21"/>
                <w:szCs w:val="21"/>
                <w:highlight w:val="none"/>
                <w:shd w:val="clear" w:color="auto" w:fill="auto"/>
              </w:rPr>
              <w:t>提供</w:t>
            </w:r>
            <w:r>
              <w:rPr>
                <w:rFonts w:hint="eastAsia" w:ascii="宋体" w:hAnsi="宋体" w:cs="宋体"/>
                <w:color w:val="auto"/>
                <w:sz w:val="21"/>
                <w:szCs w:val="21"/>
                <w:highlight w:val="none"/>
                <w:shd w:val="clear" w:color="auto" w:fill="auto"/>
                <w:lang w:val="en-US" w:eastAsia="zh-CN"/>
              </w:rPr>
              <w:t>2018年3月至今的</w:t>
            </w:r>
            <w:r>
              <w:rPr>
                <w:rFonts w:hint="eastAsia" w:ascii="宋体" w:hAnsi="宋体" w:cs="宋体"/>
                <w:color w:val="auto"/>
                <w:sz w:val="21"/>
                <w:szCs w:val="21"/>
                <w:highlight w:val="none"/>
                <w:shd w:val="clear" w:color="auto" w:fill="auto"/>
                <w:lang w:eastAsia="zh-CN"/>
              </w:rPr>
              <w:t>类似</w:t>
            </w:r>
            <w:r>
              <w:rPr>
                <w:rFonts w:hint="eastAsia" w:ascii="宋体" w:hAnsi="宋体" w:eastAsia="宋体" w:cs="宋体"/>
                <w:color w:val="auto"/>
                <w:sz w:val="21"/>
                <w:szCs w:val="21"/>
                <w:highlight w:val="none"/>
                <w:shd w:val="clear" w:color="auto" w:fill="auto"/>
              </w:rPr>
              <w:t>项目业绩证明资料，每提供一份得</w:t>
            </w:r>
            <w:r>
              <w:rPr>
                <w:rFonts w:hint="eastAsia" w:ascii="宋体" w:hAnsi="宋体" w:cs="宋体"/>
                <w:color w:val="auto"/>
                <w:sz w:val="21"/>
                <w:szCs w:val="21"/>
                <w:highlight w:val="none"/>
                <w:shd w:val="clear" w:color="auto" w:fill="auto"/>
                <w:lang w:val="en-US" w:eastAsia="zh-CN"/>
              </w:rPr>
              <w:t>2</w:t>
            </w:r>
            <w:r>
              <w:rPr>
                <w:rFonts w:hint="eastAsia" w:ascii="宋体" w:hAnsi="宋体" w:eastAsia="宋体" w:cs="宋体"/>
                <w:color w:val="auto"/>
                <w:sz w:val="21"/>
                <w:szCs w:val="21"/>
                <w:highlight w:val="none"/>
                <w:shd w:val="clear" w:color="auto" w:fill="auto"/>
              </w:rPr>
              <w:t xml:space="preserve">分，该项最多得 </w:t>
            </w:r>
            <w:r>
              <w:rPr>
                <w:rFonts w:hint="eastAsia" w:ascii="宋体" w:hAnsi="宋体" w:cs="宋体"/>
                <w:color w:val="auto"/>
                <w:sz w:val="21"/>
                <w:szCs w:val="21"/>
                <w:highlight w:val="none"/>
                <w:shd w:val="clear" w:color="auto" w:fill="auto"/>
                <w:lang w:val="en-US" w:eastAsia="zh-CN"/>
              </w:rPr>
              <w:t>6</w:t>
            </w:r>
            <w:r>
              <w:rPr>
                <w:rFonts w:hint="eastAsia" w:ascii="宋体" w:hAnsi="宋体" w:eastAsia="宋体" w:cs="宋体"/>
                <w:color w:val="auto"/>
                <w:sz w:val="21"/>
                <w:szCs w:val="21"/>
                <w:highlight w:val="none"/>
                <w:shd w:val="clear" w:color="auto" w:fill="auto"/>
              </w:rPr>
              <w:t xml:space="preserve"> 分。（</w:t>
            </w:r>
            <w:r>
              <w:rPr>
                <w:rFonts w:hint="eastAsia" w:ascii="宋体" w:hAnsi="宋体" w:cs="宋体"/>
                <w:color w:val="auto"/>
                <w:sz w:val="21"/>
                <w:szCs w:val="21"/>
                <w:highlight w:val="none"/>
                <w:shd w:val="clear" w:color="auto" w:fill="auto"/>
                <w:lang w:eastAsia="zh-CN"/>
              </w:rPr>
              <w:t>以</w:t>
            </w:r>
            <w:r>
              <w:rPr>
                <w:rFonts w:hint="eastAsia" w:ascii="宋体" w:hAnsi="宋体" w:eastAsia="宋体" w:cs="宋体"/>
                <w:color w:val="auto"/>
                <w:sz w:val="21"/>
                <w:szCs w:val="21"/>
                <w:highlight w:val="none"/>
                <w:shd w:val="clear" w:color="auto" w:fill="auto"/>
              </w:rPr>
              <w:t>合同</w:t>
            </w:r>
            <w:r>
              <w:rPr>
                <w:rFonts w:hint="eastAsia" w:ascii="宋体" w:hAnsi="宋体" w:cs="宋体"/>
                <w:color w:val="auto"/>
                <w:sz w:val="21"/>
                <w:szCs w:val="21"/>
                <w:highlight w:val="none"/>
                <w:shd w:val="clear" w:color="auto" w:fill="auto"/>
                <w:lang w:eastAsia="zh-CN"/>
              </w:rPr>
              <w:t>签订时间</w:t>
            </w:r>
            <w:r>
              <w:rPr>
                <w:rFonts w:hint="eastAsia" w:ascii="宋体" w:hAnsi="宋体" w:eastAsia="宋体" w:cs="宋体"/>
                <w:color w:val="auto"/>
                <w:sz w:val="21"/>
                <w:szCs w:val="21"/>
                <w:highlight w:val="none"/>
                <w:shd w:val="clear" w:color="auto" w:fill="auto"/>
              </w:rPr>
              <w:t>为准，否则不得分）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421" w:type="dxa"/>
            <w:vMerge w:val="restart"/>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四</w:t>
            </w:r>
          </w:p>
        </w:tc>
        <w:tc>
          <w:tcPr>
            <w:tcW w:w="462" w:type="dxa"/>
            <w:vMerge w:val="restart"/>
            <w:noWrap w:val="0"/>
            <w:vAlign w:val="center"/>
          </w:tcPr>
          <w:p>
            <w:pPr>
              <w:jc w:val="center"/>
              <w:outlineLvl w:val="9"/>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施工组织设计（</w:t>
            </w:r>
            <w:r>
              <w:rPr>
                <w:rFonts w:hint="eastAsia" w:ascii="宋体" w:hAnsi="宋体" w:cs="宋体"/>
                <w:color w:val="auto"/>
                <w:kern w:val="0"/>
                <w:sz w:val="21"/>
                <w:szCs w:val="21"/>
                <w:highlight w:val="none"/>
                <w:lang w:val="en-US" w:eastAsia="zh-CN"/>
              </w:rPr>
              <w:t>64分</w:t>
            </w:r>
            <w:r>
              <w:rPr>
                <w:rFonts w:hint="eastAsia" w:ascii="宋体" w:hAnsi="宋体" w:cs="宋体"/>
                <w:color w:val="auto"/>
                <w:kern w:val="0"/>
                <w:sz w:val="21"/>
                <w:szCs w:val="21"/>
                <w:highlight w:val="none"/>
                <w:lang w:eastAsia="zh-CN"/>
              </w:rPr>
              <w:t>）</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z w:val="21"/>
                <w:szCs w:val="21"/>
                <w:highlight w:val="none"/>
                <w:shd w:val="clear" w:color="auto" w:fill="auto"/>
                <w:lang w:val="en-US" w:eastAsia="zh-CN"/>
              </w:rPr>
              <w:t>施工</w:t>
            </w:r>
            <w:r>
              <w:rPr>
                <w:rFonts w:hint="eastAsia" w:ascii="宋体" w:hAnsi="宋体" w:eastAsia="宋体" w:cs="宋体"/>
                <w:color w:val="auto"/>
                <w:sz w:val="21"/>
                <w:szCs w:val="21"/>
                <w:highlight w:val="none"/>
                <w:shd w:val="clear" w:color="auto" w:fill="auto"/>
              </w:rPr>
              <w:t>方案</w:t>
            </w:r>
          </w:p>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eastAsia="zh-CN"/>
              </w:rPr>
            </w:pP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15</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针对本项目各项要求制定施工方案。方案全面、具体、可行、科学合理，得</w:t>
            </w:r>
            <w:r>
              <w:rPr>
                <w:rFonts w:hint="eastAsia" w:ascii="宋体" w:hAnsi="宋体" w:cs="宋体"/>
                <w:color w:val="auto"/>
                <w:sz w:val="21"/>
                <w:szCs w:val="21"/>
                <w:highlight w:val="none"/>
                <w:shd w:val="clear" w:color="auto" w:fill="auto"/>
                <w:lang w:val="en-US" w:eastAsia="zh-CN"/>
              </w:rPr>
              <w:t>11-15</w:t>
            </w:r>
            <w:r>
              <w:rPr>
                <w:rFonts w:hint="eastAsia" w:ascii="宋体" w:hAnsi="宋体" w:eastAsia="宋体" w:cs="宋体"/>
                <w:color w:val="auto"/>
                <w:sz w:val="21"/>
                <w:szCs w:val="21"/>
                <w:highlight w:val="none"/>
                <w:shd w:val="clear" w:color="auto" w:fill="auto"/>
                <w:lang w:val="en-US" w:eastAsia="zh-CN"/>
              </w:rPr>
              <w:t>分；</w:t>
            </w:r>
            <w:r>
              <w:rPr>
                <w:rFonts w:hint="eastAsia" w:ascii="宋体" w:hAnsi="宋体" w:eastAsia="宋体" w:cs="宋体"/>
                <w:color w:val="auto"/>
                <w:sz w:val="21"/>
                <w:szCs w:val="21"/>
                <w:highlight w:val="none"/>
                <w:shd w:val="clear" w:color="auto" w:fill="auto"/>
                <w:lang w:eastAsia="zh-CN"/>
              </w:rPr>
              <w:t>方案</w:t>
            </w:r>
            <w:r>
              <w:rPr>
                <w:rFonts w:hint="eastAsia" w:ascii="宋体" w:hAnsi="宋体" w:eastAsia="宋体" w:cs="宋体"/>
                <w:color w:val="auto"/>
                <w:sz w:val="21"/>
                <w:szCs w:val="21"/>
                <w:highlight w:val="none"/>
                <w:shd w:val="clear" w:color="auto" w:fill="auto"/>
                <w:lang w:val="en-US" w:eastAsia="zh-CN"/>
              </w:rPr>
              <w:t>较为合理、规范</w:t>
            </w:r>
            <w:r>
              <w:rPr>
                <w:rFonts w:hint="eastAsia" w:ascii="宋体" w:hAnsi="宋体" w:eastAsia="宋体" w:cs="宋体"/>
                <w:color w:val="auto"/>
                <w:sz w:val="21"/>
                <w:szCs w:val="21"/>
                <w:highlight w:val="none"/>
                <w:shd w:val="clear" w:color="auto" w:fill="auto"/>
                <w:lang w:eastAsia="zh-CN"/>
              </w:rPr>
              <w:t>，得</w:t>
            </w:r>
            <w:r>
              <w:rPr>
                <w:rFonts w:hint="eastAsia" w:ascii="宋体" w:hAnsi="宋体" w:cs="宋体"/>
                <w:color w:val="auto"/>
                <w:sz w:val="21"/>
                <w:szCs w:val="21"/>
                <w:highlight w:val="none"/>
                <w:shd w:val="clear" w:color="auto" w:fill="auto"/>
                <w:lang w:val="en-US" w:eastAsia="zh-CN"/>
              </w:rPr>
              <w:t>6-10</w:t>
            </w:r>
            <w:r>
              <w:rPr>
                <w:rFonts w:hint="eastAsia" w:ascii="宋体" w:hAnsi="宋体" w:eastAsia="宋体" w:cs="宋体"/>
                <w:color w:val="auto"/>
                <w:sz w:val="21"/>
                <w:szCs w:val="21"/>
                <w:highlight w:val="none"/>
                <w:shd w:val="clear" w:color="auto" w:fill="auto"/>
                <w:lang w:eastAsia="zh-CN"/>
              </w:rPr>
              <w:t>分；方案简单，得</w:t>
            </w:r>
            <w:r>
              <w:rPr>
                <w:rFonts w:hint="eastAsia" w:ascii="宋体" w:hAnsi="宋体" w:cs="宋体"/>
                <w:color w:val="auto"/>
                <w:sz w:val="21"/>
                <w:szCs w:val="21"/>
                <w:highlight w:val="none"/>
                <w:shd w:val="clear" w:color="auto" w:fill="auto"/>
                <w:lang w:val="en-US" w:eastAsia="zh-CN"/>
              </w:rPr>
              <w:t>1-5</w:t>
            </w:r>
            <w:r>
              <w:rPr>
                <w:rFonts w:hint="eastAsia" w:ascii="宋体" w:hAnsi="宋体" w:eastAsia="宋体" w:cs="宋体"/>
                <w:color w:val="auto"/>
                <w:sz w:val="21"/>
                <w:szCs w:val="21"/>
                <w:highlight w:val="none"/>
                <w:shd w:val="clear" w:color="auto" w:fill="auto"/>
                <w:lang w:eastAsia="zh-CN"/>
              </w:rPr>
              <w:t>分；</w:t>
            </w:r>
            <w:r>
              <w:rPr>
                <w:rFonts w:hint="eastAsia" w:ascii="宋体" w:hAnsi="宋体" w:eastAsia="宋体" w:cs="宋体"/>
                <w:color w:val="auto"/>
                <w:sz w:val="21"/>
                <w:szCs w:val="21"/>
                <w:highlight w:val="none"/>
                <w:shd w:val="clear" w:color="auto" w:fill="auto"/>
                <w:lang w:val="en-US" w:eastAsia="zh-CN"/>
              </w:rPr>
              <w:t>无</w:t>
            </w:r>
            <w:r>
              <w:rPr>
                <w:rFonts w:hint="eastAsia" w:ascii="宋体" w:hAnsi="宋体" w:cs="宋体"/>
                <w:color w:val="auto"/>
                <w:sz w:val="21"/>
                <w:szCs w:val="21"/>
                <w:highlight w:val="none"/>
                <w:shd w:val="clear" w:color="auto" w:fill="auto"/>
                <w:lang w:val="en-US" w:eastAsia="zh-CN"/>
              </w:rPr>
              <w:t>内容</w:t>
            </w:r>
            <w:r>
              <w:rPr>
                <w:rFonts w:hint="eastAsia" w:ascii="宋体" w:hAnsi="宋体" w:eastAsia="宋体" w:cs="宋体"/>
                <w:color w:val="auto"/>
                <w:sz w:val="21"/>
                <w:szCs w:val="21"/>
                <w:highlight w:val="none"/>
                <w:shd w:val="clear" w:color="auto" w:fill="auto"/>
                <w:lang w:val="en-US" w:eastAsia="zh-CN"/>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项目经理部组成人员</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13</w:t>
            </w:r>
          </w:p>
        </w:tc>
        <w:tc>
          <w:tcPr>
            <w:tcW w:w="6124" w:type="dxa"/>
            <w:noWrap w:val="0"/>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left="60"/>
              <w:jc w:val="left"/>
              <w:textAlignment w:val="auto"/>
              <w:outlineLvl w:val="9"/>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项目经理是中级及以上级职称得3分，否则不得分；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2.</w:t>
            </w:r>
            <w:r>
              <w:rPr>
                <w:rFonts w:hint="eastAsia" w:ascii="宋体" w:hAnsi="宋体" w:eastAsia="宋体" w:cs="宋体"/>
                <w:color w:val="auto"/>
                <w:sz w:val="21"/>
                <w:szCs w:val="21"/>
                <w:highlight w:val="none"/>
                <w:shd w:val="clear" w:color="auto" w:fill="auto"/>
                <w:lang w:val="en-US" w:eastAsia="zh-CN"/>
              </w:rPr>
              <w:t>针对本项目拟投入项目经理部组成人员赋分。结构合理，人员配备齐全，得</w:t>
            </w:r>
            <w:r>
              <w:rPr>
                <w:rFonts w:hint="eastAsia" w:ascii="宋体" w:hAnsi="宋体" w:cs="宋体"/>
                <w:color w:val="auto"/>
                <w:sz w:val="21"/>
                <w:szCs w:val="21"/>
                <w:highlight w:val="none"/>
                <w:shd w:val="clear" w:color="auto" w:fill="auto"/>
                <w:lang w:val="en-US" w:eastAsia="zh-CN"/>
              </w:rPr>
              <w:t>6</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10</w:t>
            </w:r>
            <w:r>
              <w:rPr>
                <w:rFonts w:hint="eastAsia" w:ascii="宋体" w:hAnsi="宋体" w:eastAsia="宋体" w:cs="宋体"/>
                <w:color w:val="auto"/>
                <w:sz w:val="21"/>
                <w:szCs w:val="21"/>
                <w:highlight w:val="none"/>
                <w:shd w:val="clear" w:color="auto" w:fill="auto"/>
                <w:lang w:val="en-US" w:eastAsia="zh-CN"/>
              </w:rPr>
              <w:t>分；结构不够合理，人员配备不够齐全，得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5</w:t>
            </w:r>
            <w:r>
              <w:rPr>
                <w:rFonts w:hint="eastAsia" w:ascii="宋体" w:hAnsi="宋体" w:eastAsia="宋体" w:cs="宋体"/>
                <w:color w:val="auto"/>
                <w:sz w:val="21"/>
                <w:szCs w:val="21"/>
                <w:highlight w:val="none"/>
                <w:shd w:val="clear" w:color="auto" w:fill="auto"/>
                <w:lang w:val="en-US" w:eastAsia="zh-CN"/>
              </w:rPr>
              <w:t>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安全措施</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7</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针对本项目的特点、不同的施工工艺、施工场地及施工环境等，编制具体、可行的安全生产措施。措施内容全面、具体，得</w:t>
            </w:r>
            <w:r>
              <w:rPr>
                <w:rFonts w:hint="eastAsia" w:ascii="宋体" w:hAnsi="宋体" w:cs="宋体"/>
                <w:color w:val="auto"/>
                <w:sz w:val="21"/>
                <w:szCs w:val="21"/>
                <w:highlight w:val="none"/>
                <w:shd w:val="clear" w:color="auto" w:fill="auto"/>
                <w:lang w:val="en-US" w:eastAsia="zh-CN"/>
              </w:rPr>
              <w:t>4-7</w:t>
            </w:r>
            <w:r>
              <w:rPr>
                <w:rFonts w:hint="eastAsia" w:ascii="宋体" w:hAnsi="宋体" w:eastAsia="宋体" w:cs="宋体"/>
                <w:color w:val="auto"/>
                <w:sz w:val="21"/>
                <w:szCs w:val="21"/>
                <w:highlight w:val="none"/>
                <w:shd w:val="clear" w:color="auto" w:fill="auto"/>
                <w:lang w:val="en-US" w:eastAsia="zh-CN"/>
              </w:rPr>
              <w:t>分；措施内容不够全面，得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3</w:t>
            </w:r>
            <w:r>
              <w:rPr>
                <w:rFonts w:hint="eastAsia" w:ascii="宋体" w:hAnsi="宋体" w:eastAsia="宋体" w:cs="宋体"/>
                <w:color w:val="auto"/>
                <w:sz w:val="21"/>
                <w:szCs w:val="21"/>
                <w:highlight w:val="none"/>
                <w:shd w:val="clear" w:color="auto" w:fill="auto"/>
                <w:lang w:val="en-US" w:eastAsia="zh-CN"/>
              </w:rPr>
              <w:t>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spacing w:line="360" w:lineRule="auto"/>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文明施工及环境保护（噪音、扬尘）措施</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7</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针对本项目，有具体、可行的文明施工措施及环境保护措施。措施内容科学具体，有针对性，得</w:t>
            </w:r>
            <w:r>
              <w:rPr>
                <w:rFonts w:hint="eastAsia" w:ascii="宋体" w:hAnsi="宋体" w:cs="宋体"/>
                <w:color w:val="auto"/>
                <w:sz w:val="21"/>
                <w:szCs w:val="21"/>
                <w:highlight w:val="none"/>
                <w:shd w:val="clear" w:color="auto" w:fill="auto"/>
                <w:lang w:val="en-US" w:eastAsia="zh-CN"/>
              </w:rPr>
              <w:t>4-7</w:t>
            </w:r>
            <w:r>
              <w:rPr>
                <w:rFonts w:hint="eastAsia" w:ascii="宋体" w:hAnsi="宋体" w:eastAsia="宋体" w:cs="宋体"/>
                <w:color w:val="auto"/>
                <w:sz w:val="21"/>
                <w:szCs w:val="21"/>
                <w:highlight w:val="none"/>
                <w:shd w:val="clear" w:color="auto" w:fill="auto"/>
                <w:lang w:val="en-US" w:eastAsia="zh-CN"/>
              </w:rPr>
              <w:t>分；措施内容不够具体，得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-3分。无内容不得分。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spacing w:line="360" w:lineRule="auto"/>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确保工期的技术组织措施</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7</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针对本项目，有具体、可行的确保工期的技术组织措施。措施内容科学具体，有针对性，得</w:t>
            </w:r>
            <w:r>
              <w:rPr>
                <w:rFonts w:hint="eastAsia" w:ascii="宋体" w:hAnsi="宋体" w:cs="宋体"/>
                <w:color w:val="auto"/>
                <w:sz w:val="21"/>
                <w:szCs w:val="21"/>
                <w:highlight w:val="none"/>
                <w:shd w:val="clear" w:color="auto" w:fill="auto"/>
                <w:lang w:val="en-US" w:eastAsia="zh-CN"/>
              </w:rPr>
              <w:t>4</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7</w:t>
            </w:r>
            <w:r>
              <w:rPr>
                <w:rFonts w:hint="eastAsia" w:ascii="宋体" w:hAnsi="宋体" w:eastAsia="宋体" w:cs="宋体"/>
                <w:color w:val="auto"/>
                <w:sz w:val="21"/>
                <w:szCs w:val="21"/>
                <w:highlight w:val="none"/>
                <w:shd w:val="clear" w:color="auto" w:fill="auto"/>
                <w:lang w:val="en-US" w:eastAsia="zh-CN"/>
              </w:rPr>
              <w:t>分；措施内容不够具体，得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-3分。无内容不得分。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spacing w:line="360" w:lineRule="auto"/>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拟投入主要施工机具、设备及劳动力配备情况</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7</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提供针对本项目拟投入的主要施工机具、设备及劳动力情况。设备及人员配置先进、合理可行得</w:t>
            </w:r>
            <w:r>
              <w:rPr>
                <w:rFonts w:hint="eastAsia" w:ascii="宋体" w:hAnsi="宋体" w:cs="宋体"/>
                <w:color w:val="auto"/>
                <w:sz w:val="21"/>
                <w:szCs w:val="21"/>
                <w:highlight w:val="none"/>
                <w:shd w:val="clear" w:color="auto" w:fill="auto"/>
                <w:lang w:val="en-US" w:eastAsia="zh-CN"/>
              </w:rPr>
              <w:t>4</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7</w:t>
            </w:r>
            <w:r>
              <w:rPr>
                <w:rFonts w:hint="eastAsia" w:ascii="宋体" w:hAnsi="宋体" w:eastAsia="宋体" w:cs="宋体"/>
                <w:color w:val="auto"/>
                <w:sz w:val="21"/>
                <w:szCs w:val="21"/>
                <w:highlight w:val="none"/>
                <w:shd w:val="clear" w:color="auto" w:fill="auto"/>
                <w:lang w:val="en-US" w:eastAsia="zh-CN"/>
              </w:rPr>
              <w:t>分；设备及人员配置不合理得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-3分；无内容不得分。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421" w:type="dxa"/>
            <w:vMerge w:val="continue"/>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kern w:val="0"/>
                <w:sz w:val="21"/>
                <w:szCs w:val="21"/>
                <w:highlight w:val="none"/>
                <w:lang w:eastAsia="zh-CN"/>
              </w:rPr>
            </w:pPr>
          </w:p>
        </w:tc>
        <w:tc>
          <w:tcPr>
            <w:tcW w:w="462" w:type="dxa"/>
            <w:vMerge w:val="continue"/>
            <w:noWrap w:val="0"/>
            <w:vAlign w:val="center"/>
          </w:tcPr>
          <w:p>
            <w:pPr>
              <w:spacing w:line="360" w:lineRule="auto"/>
              <w:jc w:val="center"/>
              <w:outlineLvl w:val="9"/>
              <w:rPr>
                <w:rFonts w:hint="eastAsia" w:ascii="宋体" w:hAnsi="宋体" w:eastAsia="宋体" w:cs="宋体"/>
                <w:color w:val="auto"/>
                <w:kern w:val="0"/>
                <w:sz w:val="21"/>
                <w:szCs w:val="21"/>
                <w:highlight w:val="none"/>
                <w:lang w:eastAsia="zh-CN"/>
              </w:rPr>
            </w:pP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质量保证</w:t>
            </w:r>
          </w:p>
        </w:tc>
        <w:tc>
          <w:tcPr>
            <w:tcW w:w="66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center"/>
              <w:textAlignment w:val="auto"/>
              <w:outlineLvl w:val="9"/>
              <w:rPr>
                <w:rFonts w:hint="default" w:ascii="宋体" w:hAnsi="宋体" w:eastAsia="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8</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jc w:val="left"/>
              <w:textAlignment w:val="auto"/>
              <w:outlineLvl w:val="9"/>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lang w:val="en-US" w:eastAsia="zh-CN"/>
              </w:rPr>
              <w:t>针对本项目有确保工程质量的技术组织措施。措施内容科学可行，有针对性且内容丰富，得</w:t>
            </w:r>
            <w:r>
              <w:rPr>
                <w:rFonts w:hint="eastAsia" w:ascii="宋体" w:hAnsi="宋体" w:cs="宋体"/>
                <w:color w:val="auto"/>
                <w:sz w:val="21"/>
                <w:szCs w:val="21"/>
                <w:highlight w:val="none"/>
                <w:shd w:val="clear" w:color="auto" w:fill="auto"/>
                <w:lang w:val="en-US" w:eastAsia="zh-CN"/>
              </w:rPr>
              <w:t>5</w:t>
            </w:r>
            <w:r>
              <w:rPr>
                <w:rFonts w:hint="eastAsia" w:ascii="宋体" w:hAnsi="宋体" w:eastAsia="宋体" w:cs="宋体"/>
                <w:color w:val="auto"/>
                <w:sz w:val="21"/>
                <w:szCs w:val="21"/>
                <w:highlight w:val="none"/>
                <w:shd w:val="clear" w:color="auto" w:fill="auto"/>
                <w:lang w:val="en-US" w:eastAsia="zh-CN"/>
              </w:rPr>
              <w:t>-</w:t>
            </w:r>
            <w:r>
              <w:rPr>
                <w:rFonts w:hint="eastAsia" w:ascii="宋体" w:hAnsi="宋体" w:cs="宋体"/>
                <w:color w:val="auto"/>
                <w:sz w:val="21"/>
                <w:szCs w:val="21"/>
                <w:highlight w:val="none"/>
                <w:shd w:val="clear" w:color="auto" w:fill="auto"/>
                <w:lang w:val="en-US" w:eastAsia="zh-CN"/>
              </w:rPr>
              <w:t>8</w:t>
            </w:r>
            <w:r>
              <w:rPr>
                <w:rFonts w:hint="eastAsia" w:ascii="宋体" w:hAnsi="宋体" w:eastAsia="宋体" w:cs="宋体"/>
                <w:color w:val="auto"/>
                <w:sz w:val="21"/>
                <w:szCs w:val="21"/>
                <w:highlight w:val="none"/>
                <w:shd w:val="clear" w:color="auto" w:fill="auto"/>
                <w:lang w:val="en-US" w:eastAsia="zh-CN"/>
              </w:rPr>
              <w:t>分；措施内容较为科学可行，有针对性，得2-4分；措施内容简单，得</w:t>
            </w:r>
            <w:r>
              <w:rPr>
                <w:rFonts w:hint="eastAsia" w:ascii="宋体" w:hAnsi="宋体" w:cs="宋体"/>
                <w:color w:val="auto"/>
                <w:sz w:val="21"/>
                <w:szCs w:val="21"/>
                <w:highlight w:val="none"/>
                <w:shd w:val="clear" w:color="auto" w:fill="auto"/>
                <w:lang w:val="en-US" w:eastAsia="zh-CN"/>
              </w:rPr>
              <w:t>1</w:t>
            </w:r>
            <w:r>
              <w:rPr>
                <w:rFonts w:hint="eastAsia" w:ascii="宋体" w:hAnsi="宋体" w:eastAsia="宋体" w:cs="宋体"/>
                <w:color w:val="auto"/>
                <w:sz w:val="21"/>
                <w:szCs w:val="21"/>
                <w:highlight w:val="none"/>
                <w:shd w:val="clear" w:color="auto" w:fill="auto"/>
                <w:lang w:val="en-US" w:eastAsia="zh-CN"/>
              </w:rPr>
              <w:t>-2分；无内容不得分。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63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0" w:leftChars="0"/>
              <w:jc w:val="center"/>
              <w:textAlignment w:val="auto"/>
              <w:outlineLvl w:val="9"/>
              <w:rPr>
                <w:rFonts w:hint="eastAsia" w:ascii="宋体" w:hAnsi="宋体" w:eastAsia="宋体" w:cs="宋体"/>
                <w:color w:val="auto"/>
                <w:sz w:val="21"/>
                <w:szCs w:val="21"/>
                <w:highlight w:val="none"/>
                <w:shd w:val="clear" w:color="auto" w:fill="auto"/>
                <w:lang w:eastAsia="zh-CN"/>
              </w:rPr>
            </w:pPr>
            <w:r>
              <w:rPr>
                <w:rFonts w:hint="eastAsia" w:ascii="宋体" w:hAnsi="宋体" w:cs="宋体"/>
                <w:color w:val="auto"/>
                <w:sz w:val="21"/>
                <w:szCs w:val="21"/>
                <w:highlight w:val="none"/>
                <w:shd w:val="clear" w:color="auto" w:fill="auto"/>
                <w:lang w:eastAsia="zh-CN"/>
              </w:rPr>
              <w:t>总分</w:t>
            </w:r>
          </w:p>
        </w:tc>
        <w:tc>
          <w:tcPr>
            <w:tcW w:w="666" w:type="dxa"/>
            <w:noWrap w:val="0"/>
            <w:vAlign w:val="center"/>
          </w:tcPr>
          <w:p>
            <w:pPr>
              <w:widowControl/>
              <w:spacing w:before="100" w:beforeAutospacing="1" w:after="100" w:afterAutospacing="1" w:line="375" w:lineRule="atLeast"/>
              <w:jc w:val="center"/>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100</w:t>
            </w:r>
          </w:p>
        </w:tc>
        <w:tc>
          <w:tcPr>
            <w:tcW w:w="612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60" w:leftChars="0"/>
              <w:textAlignment w:val="auto"/>
              <w:outlineLvl w:val="9"/>
              <w:rPr>
                <w:rFonts w:hint="eastAsia" w:ascii="宋体" w:hAnsi="宋体" w:eastAsia="宋体" w:cs="宋体"/>
                <w:color w:val="auto"/>
                <w:sz w:val="21"/>
                <w:szCs w:val="21"/>
                <w:highlight w:val="none"/>
                <w:shd w:val="clear" w:color="auto" w:fill="auto"/>
              </w:rPr>
            </w:pPr>
          </w:p>
        </w:tc>
      </w:tr>
    </w:tbl>
    <w:p>
      <w:pPr>
        <w:adjustRightInd w:val="0"/>
        <w:snapToGrid w:val="0"/>
        <w:spacing w:line="360" w:lineRule="auto"/>
        <w:outlineLvl w:val="9"/>
        <w:rPr>
          <w:rFonts w:hint="eastAsia" w:ascii="宋体" w:hAnsi="宋体" w:eastAsia="宋体" w:cs="宋体"/>
          <w:color w:val="auto"/>
          <w:sz w:val="24"/>
          <w:szCs w:val="24"/>
        </w:rPr>
      </w:pPr>
    </w:p>
    <w:p>
      <w:pPr>
        <w:adjustRightInd w:val="0"/>
        <w:snapToGrid w:val="0"/>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备注：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a.</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小组在充分审阅供应商</w:t>
      </w:r>
      <w:r>
        <w:rPr>
          <w:rFonts w:hint="eastAsia" w:ascii="宋体" w:hAnsi="宋体" w:eastAsia="宋体" w:cs="宋体"/>
          <w:color w:val="auto"/>
          <w:sz w:val="24"/>
          <w:szCs w:val="24"/>
          <w:lang w:eastAsia="zh-CN"/>
        </w:rPr>
        <w:t>磋商响应</w:t>
      </w:r>
      <w:r>
        <w:rPr>
          <w:rFonts w:hint="eastAsia" w:ascii="宋体" w:hAnsi="宋体" w:eastAsia="宋体" w:cs="宋体"/>
          <w:color w:val="auto"/>
          <w:sz w:val="24"/>
          <w:szCs w:val="24"/>
        </w:rPr>
        <w:t>文件的基础上，按照评审标准对每个供应商</w:t>
      </w:r>
      <w:r>
        <w:rPr>
          <w:rFonts w:hint="eastAsia" w:ascii="宋体" w:hAnsi="宋体" w:eastAsia="宋体" w:cs="宋体"/>
          <w:color w:val="auto"/>
          <w:sz w:val="24"/>
          <w:szCs w:val="24"/>
          <w:lang w:eastAsia="zh-CN"/>
        </w:rPr>
        <w:t>独立</w:t>
      </w:r>
      <w:r>
        <w:rPr>
          <w:rFonts w:hint="eastAsia" w:ascii="宋体" w:hAnsi="宋体" w:eastAsia="宋体" w:cs="宋体"/>
          <w:color w:val="auto"/>
          <w:sz w:val="24"/>
          <w:szCs w:val="24"/>
        </w:rPr>
        <w:t>进行打分，评委打分的算术平均值为该供应商的评</w:t>
      </w:r>
      <w:r>
        <w:rPr>
          <w:rFonts w:hint="eastAsia" w:ascii="宋体" w:hAnsi="宋体" w:eastAsia="宋体" w:cs="宋体"/>
          <w:color w:val="auto"/>
          <w:sz w:val="24"/>
          <w:szCs w:val="24"/>
          <w:lang w:eastAsia="zh-CN"/>
        </w:rPr>
        <w:t>审</w:t>
      </w:r>
      <w:r>
        <w:rPr>
          <w:rFonts w:hint="eastAsia" w:ascii="宋体" w:hAnsi="宋体" w:eastAsia="宋体" w:cs="宋体"/>
          <w:color w:val="auto"/>
          <w:sz w:val="24"/>
          <w:szCs w:val="24"/>
        </w:rPr>
        <w:t>得分，评</w:t>
      </w:r>
      <w:r>
        <w:rPr>
          <w:rFonts w:hint="eastAsia" w:ascii="宋体" w:hAnsi="宋体" w:eastAsia="宋体" w:cs="宋体"/>
          <w:color w:val="auto"/>
          <w:sz w:val="24"/>
          <w:szCs w:val="24"/>
          <w:lang w:eastAsia="zh-CN"/>
        </w:rPr>
        <w:t>审磋商响应文件</w:t>
      </w:r>
      <w:r>
        <w:rPr>
          <w:rFonts w:hint="eastAsia" w:ascii="宋体" w:hAnsi="宋体" w:eastAsia="宋体" w:cs="宋体"/>
          <w:color w:val="auto"/>
          <w:sz w:val="24"/>
          <w:szCs w:val="24"/>
        </w:rPr>
        <w:t>得分相加合计为各供应商的评审得分（小数点后保留2位有效数字），按评审得分由高到低顺序，取前三名为成交候选供应商</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lang w:eastAsia="zh-CN"/>
        </w:rPr>
        <w:t>若出现综合得分并列时，比较价格得分，此分项得分高者排序在前；若价格得分仍相同，比较</w:t>
      </w:r>
      <w:r>
        <w:rPr>
          <w:rFonts w:hint="eastAsia" w:ascii="宋体" w:hAnsi="宋体" w:cs="宋体"/>
          <w:color w:val="auto"/>
          <w:sz w:val="24"/>
          <w:szCs w:val="24"/>
          <w:lang w:eastAsia="zh-CN"/>
        </w:rPr>
        <w:t>施工组织设计</w:t>
      </w:r>
      <w:r>
        <w:rPr>
          <w:rFonts w:hint="eastAsia" w:ascii="宋体" w:hAnsi="宋体" w:eastAsia="宋体" w:cs="宋体"/>
          <w:color w:val="auto"/>
          <w:sz w:val="24"/>
          <w:szCs w:val="24"/>
          <w:lang w:eastAsia="zh-CN"/>
        </w:rPr>
        <w:t>得分，此分项得分高者排序在前；若</w:t>
      </w:r>
      <w:r>
        <w:rPr>
          <w:rFonts w:hint="eastAsia" w:ascii="宋体" w:hAnsi="宋体" w:cs="宋体"/>
          <w:color w:val="auto"/>
          <w:sz w:val="24"/>
          <w:szCs w:val="24"/>
          <w:lang w:eastAsia="zh-CN"/>
        </w:rPr>
        <w:t>施工组织设计</w:t>
      </w:r>
      <w:r>
        <w:rPr>
          <w:rFonts w:hint="eastAsia" w:ascii="宋体" w:hAnsi="宋体" w:eastAsia="宋体" w:cs="宋体"/>
          <w:color w:val="auto"/>
          <w:sz w:val="24"/>
          <w:szCs w:val="24"/>
          <w:lang w:eastAsia="zh-CN"/>
        </w:rPr>
        <w:t>得分仍相同，则由全体磋商小组成员无记名投票，得票高者排序在前。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c</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lang w:eastAsia="zh-CN"/>
        </w:rPr>
        <w:t>评委打分超过得分界限或未按本表规定赋分时，该评委的打分作废，不计入汇总分。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cs="宋体"/>
          <w:color w:val="auto"/>
          <w:sz w:val="24"/>
          <w:szCs w:val="24"/>
          <w:lang w:val="en-US" w:eastAsia="zh-CN"/>
        </w:rPr>
        <w:t>d</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采购人不得在中标候选人之外确定供应商。采购人不保证最低价中标。</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eastAsia" w:ascii="宋体" w:hAnsi="宋体" w:eastAsia="宋体" w:cs="宋体"/>
          <w:b/>
          <w:bCs/>
          <w:color w:val="auto"/>
          <w:sz w:val="24"/>
          <w:szCs w:val="24"/>
        </w:rPr>
      </w:pPr>
      <w:r>
        <w:rPr>
          <w:rFonts w:hint="eastAsia" w:ascii="宋体" w:hAnsi="宋体" w:cs="宋体"/>
          <w:b/>
          <w:bCs/>
          <w:color w:val="auto"/>
          <w:sz w:val="24"/>
          <w:szCs w:val="24"/>
          <w:lang w:val="en-US" w:eastAsia="zh-CN"/>
        </w:rPr>
        <w:t>e</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政策性扣减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政策性扣减范围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1.1供应商符合小型、微型企业或监狱企业、残疾人福利性单位条件的，其磋商报价价格评审时将按相应比例进行扣减。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1.2依照&lt;关于印发《政府采购促进中小企业发展暂行办法》的通知&gt;（财库(2011〕181号）的规定，小型、微型企业应当同时符合以下条件：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1.2.1符合中小企业划分标准（中小企业划分标准是指国务院有关部门根据企业从业人员、营业收入、资产总额等指标制定的中小企业划型标准（工信部联企业〔2011〕300号））。</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1.2.2提供本企业制造的货物、承担的工程或者服务，或者提供其他中小企业制造的货物，不包括提供或使用大型企业注册商标的货物。</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1.2.3小型、微型企业提供中型企业制造的货物的，视同为中型企业；小型、微型、中型企业提供大型企业制造的货物的，视同为大型企业。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1.3采购人拟采购产品属于优先采购节能环境标志产品范围的，应当优先采购节能环境标志产品，节能产品以财政部国家发展改革委关于调整公布第十七期节能产品政府采购清单所列产品为准。环保产品以财政部环境保护部关于调整公布第十五期环境标志产品政府采购清单所列产品为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1.3.1“节能产品政府采购清单”：符合政府采购优先采购政策的，所投产品属于“节能产品政府采购清单”中品目的产品，需提供最新一期“节能产品政府采购清单”中磋商产品所在清单页并加盖供应商公章。该清单可在中国政府采购网（http://www.ccgp.gov.cn/）上查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1.3.2 “环境标志产品政府采购清单”：所投产品属于“环境标志产品政府采购清单”中品目的产品，需提供最新一期“环境标志产品政府采购清单”中磋商产品所在清单页并加盖供应商公章。该清单可在中国政府采购网（http://www.ccgp.gov.cn/）上查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1.4监狱企业参加政府采购活动时，应当提供由省级以上监狱管理局、戒毒管理局(含新疆生产建设兵团)出具的属于监狱企业的证明文件。监狱企业参加政府采购活动时，视同小型、微型企业。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pStyle w:val="8"/>
        <w:ind w:firstLine="480" w:firstLineChars="200"/>
        <w:rPr>
          <w:rFonts w:hint="default" w:eastAsia="宋体"/>
          <w:lang w:val="en-US" w:eastAsia="zh-CN"/>
        </w:rPr>
      </w:pPr>
      <w:r>
        <w:rPr>
          <w:rFonts w:hint="eastAsia" w:ascii="宋体" w:hAnsi="宋体" w:cs="宋体"/>
          <w:color w:val="auto"/>
          <w:sz w:val="24"/>
          <w:szCs w:val="24"/>
          <w:lang w:val="en-US" w:eastAsia="zh-CN"/>
        </w:rPr>
        <w:t>1.6</w:t>
      </w:r>
      <w:r>
        <w:rPr>
          <w:rFonts w:hint="eastAsia" w:ascii="宋体" w:hAnsi="宋体" w:eastAsia="宋体" w:cs="宋体"/>
          <w:color w:val="auto"/>
          <w:sz w:val="24"/>
          <w:szCs w:val="24"/>
        </w:rPr>
        <w:t>小型企业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微型企业、监狱企业、残疾人福利性单位不重复享受优惠政策；</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w:t>
      </w:r>
      <w:r>
        <w:rPr>
          <w:rFonts w:hint="eastAsia" w:ascii="宋体" w:hAnsi="宋体" w:eastAsia="宋体" w:cs="宋体"/>
          <w:color w:val="auto"/>
          <w:sz w:val="24"/>
          <w:szCs w:val="24"/>
        </w:rPr>
        <w:t>政策性扣减方式：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2.1供应商为非联合体参与磋商的情况：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2.1.1在磋商最终报价的基础上，小型企业或达到小型企业划分标准的监狱企业（或残疾人福利性单位），按“磋商最终报价×</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%”进行扣减；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2.1.2在磋商最终报价的基础上，注册资金在十五万元以上的微型企业或注册资金在十五万元以上达到微型企业划分标准的监狱企业（或残疾人福利性单位），按“磋商最终报价×</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%”进行扣减；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2.1.3在磋商最终报价的基础上，注册资金在十五万元以下的微型企业或注册资金在十五万元以下达到微型企业划分标准的监狱企业（或残疾人福利性单位），按“磋商最终报价×</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%”进行扣减。</w:t>
      </w:r>
    </w:p>
    <w:p>
      <w:pPr>
        <w:pStyle w:val="8"/>
        <w:ind w:firstLine="420"/>
        <w:rPr>
          <w:rFonts w:hint="eastAsia" w:ascii="宋体" w:hAnsi="宋体" w:cs="宋体"/>
          <w:color w:val="auto"/>
          <w:sz w:val="24"/>
          <w:szCs w:val="24"/>
          <w:lang w:eastAsia="zh-CN"/>
        </w:rPr>
      </w:pPr>
      <w:r>
        <w:rPr>
          <w:rFonts w:hint="eastAsia" w:ascii="宋体" w:hAnsi="宋体" w:eastAsia="宋体" w:cs="宋体"/>
          <w:color w:val="auto"/>
          <w:sz w:val="24"/>
          <w:szCs w:val="24"/>
        </w:rPr>
        <w:t>2.3</w:t>
      </w:r>
      <w:r>
        <w:rPr>
          <w:rFonts w:hint="eastAsia" w:ascii="宋体" w:hAnsi="宋体" w:cs="宋体"/>
          <w:color w:val="auto"/>
          <w:sz w:val="24"/>
          <w:szCs w:val="24"/>
          <w:lang w:eastAsia="zh-CN"/>
        </w:rPr>
        <w:t>投标产品政府采购</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cs="宋体"/>
          <w:color w:val="auto"/>
          <w:sz w:val="24"/>
          <w:szCs w:val="24"/>
          <w:lang w:val="en-US" w:eastAsia="zh-CN"/>
        </w:rPr>
      </w:pPr>
      <w:r>
        <w:rPr>
          <w:rFonts w:hint="eastAsia" w:ascii="宋体" w:hAnsi="宋体" w:eastAsia="宋体" w:cs="宋体"/>
          <w:color w:val="auto"/>
          <w:sz w:val="24"/>
          <w:szCs w:val="24"/>
        </w:rPr>
        <w:t>2.3</w:t>
      </w:r>
      <w:r>
        <w:rPr>
          <w:rFonts w:hint="eastAsia" w:ascii="宋体" w:hAnsi="宋体" w:cs="宋体"/>
          <w:color w:val="auto"/>
          <w:sz w:val="24"/>
          <w:szCs w:val="24"/>
          <w:lang w:val="en-US" w:eastAsia="zh-CN"/>
        </w:rPr>
        <w:t>.1供应商所投产品属于《关于印发环境标志产品政府采购品目清单的通知》（财库【2020】18号文）、《关于印发节能产品政府采购品目清单的通知》（财库【2020】19号文）中品目清单内的产品，供应商应在投标时提供经国家确定的认证机构出具的、处于有效期之内的节能产品、环境标志产品认证证书。采购人拟采购产品属于优先采购节能、环境标志产品范围的，应当优先采购节能、环境标志产品；拟采购产品符合政府采购强制采购政策的，实行强制采购。</w:t>
      </w:r>
    </w:p>
    <w:p>
      <w:pPr>
        <w:pStyle w:val="2"/>
        <w:rPr>
          <w:rFonts w:hint="default"/>
          <w:lang w:val="en-US" w:eastAsia="zh-CN"/>
        </w:rPr>
      </w:pPr>
      <w:r>
        <w:rPr>
          <w:rFonts w:hint="eastAsia" w:ascii="宋体" w:hAnsi="宋体" w:cs="宋体"/>
          <w:color w:val="auto"/>
          <w:sz w:val="24"/>
          <w:szCs w:val="24"/>
          <w:lang w:val="en-US" w:eastAsia="zh-CN"/>
        </w:rPr>
        <w:t>2.4</w:t>
      </w:r>
      <w:r>
        <w:rPr>
          <w:rFonts w:hint="eastAsia" w:ascii="宋体" w:hAnsi="宋体" w:eastAsia="宋体" w:cs="宋体"/>
          <w:color w:val="auto"/>
          <w:sz w:val="24"/>
          <w:szCs w:val="24"/>
        </w:rPr>
        <w:t>小型企业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微型企业、监狱企业、残疾人福利性单位不重复享受扣减。</w:t>
      </w:r>
    </w:p>
    <w:p>
      <w:pPr>
        <w:adjustRightInd w:val="0"/>
        <w:snapToGrid w:val="0"/>
        <w:spacing w:line="360" w:lineRule="auto"/>
        <w:jc w:val="left"/>
        <w:textAlignment w:val="baseline"/>
        <w:outlineLvl w:val="9"/>
        <w:rPr>
          <w:rFonts w:hint="default"/>
          <w:lang w:val="en-US" w:eastAsia="zh-CN"/>
        </w:rPr>
      </w:pPr>
      <w:r>
        <w:rPr>
          <w:rFonts w:hint="eastAsia" w:ascii="宋体" w:hAnsi="宋体" w:eastAsia="宋体" w:cs="宋体"/>
          <w:b/>
          <w:bCs/>
          <w:color w:val="auto"/>
          <w:sz w:val="28"/>
          <w:szCs w:val="28"/>
          <w:lang w:val="en-US" w:eastAsia="zh-CN"/>
        </w:rPr>
        <w:t>5</w:t>
      </w:r>
      <w:r>
        <w:rPr>
          <w:rFonts w:hint="eastAsia" w:ascii="宋体" w:hAnsi="宋体" w:eastAsia="宋体" w:cs="宋体"/>
          <w:b/>
          <w:bCs/>
          <w:color w:val="auto"/>
          <w:sz w:val="28"/>
          <w:szCs w:val="28"/>
        </w:rPr>
        <w:t>、确定成交</w:t>
      </w:r>
      <w:r>
        <w:rPr>
          <w:rFonts w:hint="eastAsia" w:ascii="宋体" w:hAnsi="宋体" w:eastAsia="宋体" w:cs="宋体"/>
          <w:b/>
          <w:bCs/>
          <w:color w:val="auto"/>
          <w:sz w:val="28"/>
          <w:szCs w:val="28"/>
          <w:lang w:eastAsia="zh-CN"/>
        </w:rPr>
        <w:t>候选人</w:t>
      </w:r>
    </w:p>
    <w:p>
      <w:pPr>
        <w:adjustRightInd w:val="0"/>
        <w:snapToGrid w:val="0"/>
        <w:spacing w:line="360" w:lineRule="auto"/>
        <w:ind w:firstLine="460" w:firstLineChars="192"/>
        <w:outlineLvl w:val="9"/>
        <w:rPr>
          <w:rFonts w:hint="eastAsia" w:ascii="宋体" w:hAnsi="宋体" w:eastAsia="宋体" w:cs="宋体"/>
          <w:color w:val="auto"/>
          <w:sz w:val="24"/>
          <w:szCs w:val="24"/>
        </w:rPr>
      </w:pPr>
      <w:bookmarkStart w:id="20" w:name="_Toc30537"/>
      <w:bookmarkStart w:id="21" w:name="_Toc30507"/>
      <w:r>
        <w:rPr>
          <w:rFonts w:hint="eastAsia" w:ascii="宋体" w:hAnsi="宋体" w:cs="宋体"/>
          <w:color w:val="auto"/>
          <w:sz w:val="24"/>
          <w:szCs w:val="24"/>
          <w:lang w:val="en-US" w:eastAsia="zh-CN"/>
        </w:rPr>
        <w:t>5.1.1</w:t>
      </w:r>
      <w:r>
        <w:rPr>
          <w:rFonts w:hint="eastAsia" w:ascii="宋体" w:hAnsi="宋体" w:eastAsia="宋体" w:cs="宋体"/>
          <w:color w:val="auto"/>
          <w:sz w:val="24"/>
          <w:szCs w:val="24"/>
        </w:rPr>
        <w:t>磋商小组应当根据综合评分情况，按照评审得分由高到低顺序推荐3名</w:t>
      </w:r>
      <w:r>
        <w:rPr>
          <w:rFonts w:hint="eastAsia" w:ascii="宋体" w:hAnsi="宋体" w:eastAsia="宋体" w:cs="宋体"/>
          <w:color w:val="auto"/>
          <w:sz w:val="24"/>
          <w:szCs w:val="24"/>
          <w:lang w:eastAsia="zh-CN"/>
        </w:rPr>
        <w:t>或两名</w:t>
      </w:r>
      <w:r>
        <w:rPr>
          <w:rFonts w:hint="eastAsia" w:ascii="宋体" w:hAnsi="宋体" w:eastAsia="宋体" w:cs="宋体"/>
          <w:color w:val="auto"/>
          <w:sz w:val="24"/>
          <w:szCs w:val="24"/>
        </w:rPr>
        <w:t>成交候选供应商，并编写评审报告。</w:t>
      </w:r>
      <w:bookmarkEnd w:id="20"/>
      <w:bookmarkEnd w:id="21"/>
    </w:p>
    <w:p>
      <w:pPr>
        <w:pStyle w:val="8"/>
        <w:ind w:firstLine="480" w:firstLineChars="200"/>
        <w:rPr>
          <w:rFonts w:hint="eastAsia" w:ascii="宋体" w:hAnsi="宋体" w:cs="宋体"/>
          <w:color w:val="auto"/>
          <w:sz w:val="24"/>
          <w:szCs w:val="24"/>
          <w:lang w:eastAsia="zh-CN"/>
        </w:rPr>
      </w:pPr>
      <w:r>
        <w:rPr>
          <w:rFonts w:hint="eastAsia" w:ascii="宋体" w:hAnsi="宋体" w:cs="宋体"/>
          <w:color w:val="auto"/>
          <w:sz w:val="24"/>
          <w:szCs w:val="24"/>
          <w:lang w:val="en-US" w:eastAsia="zh-CN"/>
        </w:rPr>
        <w:t>5.1.2</w:t>
      </w:r>
      <w:r>
        <w:rPr>
          <w:rFonts w:hint="eastAsia" w:ascii="宋体" w:hAnsi="宋体" w:cs="宋体"/>
          <w:color w:val="auto"/>
          <w:sz w:val="24"/>
          <w:szCs w:val="24"/>
          <w:lang w:eastAsia="zh-CN"/>
        </w:rPr>
        <w:t>评审结果汇总完成后，除下列情形外，任何人不得修改评审结果</w:t>
      </w:r>
    </w:p>
    <w:p>
      <w:pPr>
        <w:adjustRightInd w:val="0"/>
        <w:snapToGrid w:val="0"/>
        <w:spacing w:line="360" w:lineRule="auto"/>
        <w:ind w:firstLine="460" w:firstLineChars="192"/>
        <w:outlineLvl w:val="9"/>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1</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分值汇总计算错误的</w:t>
      </w:r>
    </w:p>
    <w:p>
      <w:pPr>
        <w:adjustRightInd w:val="0"/>
        <w:snapToGrid w:val="0"/>
        <w:spacing w:line="360" w:lineRule="auto"/>
        <w:ind w:firstLine="460" w:firstLineChars="192"/>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（2）分项评分超出评分标准范围的</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（3）磋商小组成员对客观评审因素评分不一致的</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（4）经磋商小组认定评分畸高，畸低的。</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720" w:firstLineChars="300"/>
        <w:jc w:val="left"/>
        <w:textAlignment w:val="baseline"/>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评审报告签署前，经复核发现存在以上情形之一的，磋商小组应当当场修改评审结果，并在评审报告中记载</w:t>
      </w:r>
      <w:r>
        <w:rPr>
          <w:rFonts w:hint="eastAsia" w:ascii="宋体" w:hAnsi="宋体" w:cs="宋体"/>
          <w:color w:val="auto"/>
          <w:sz w:val="24"/>
          <w:szCs w:val="24"/>
          <w:lang w:val="en-US" w:eastAsia="zh-CN"/>
        </w:rPr>
        <w:t>。评审报告签署后，采购人或者采购代理机构发现存在以上情形之一的，应当组织原磋商小组进行重新评审，重新评审改变评审结果的，书面报告监督部门。</w:t>
      </w:r>
    </w:p>
    <w:p>
      <w:pPr>
        <w:keepNext w:val="0"/>
        <w:keepLines w:val="0"/>
        <w:pageBreakBefore w:val="0"/>
        <w:widowControl w:val="0"/>
        <w:tabs>
          <w:tab w:val="left" w:pos="709"/>
        </w:tabs>
        <w:kinsoku/>
        <w:wordWrap/>
        <w:overflowPunct/>
        <w:topLinePunct w:val="0"/>
        <w:autoSpaceDE/>
        <w:autoSpaceDN/>
        <w:bidi w:val="0"/>
        <w:adjustRightInd w:val="0"/>
        <w:snapToGrid/>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5.1.4评审报告应当由磋商小</w:t>
      </w:r>
      <w:r>
        <w:rPr>
          <w:rFonts w:hint="eastAsia" w:ascii="宋体" w:hAnsi="宋体" w:eastAsia="宋体" w:cs="宋体"/>
          <w:color w:val="auto"/>
          <w:sz w:val="24"/>
          <w:szCs w:val="24"/>
        </w:rPr>
        <w:t>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adjustRightInd w:val="0"/>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6.</w:t>
      </w:r>
      <w:r>
        <w:rPr>
          <w:rFonts w:hint="eastAsia" w:ascii="宋体" w:hAnsi="宋体" w:eastAsia="宋体" w:cs="宋体"/>
          <w:b/>
          <w:bCs/>
          <w:color w:val="auto"/>
          <w:sz w:val="28"/>
          <w:szCs w:val="28"/>
        </w:rPr>
        <w:t>评标过程保密</w:t>
      </w:r>
    </w:p>
    <w:p>
      <w:pPr>
        <w:tabs>
          <w:tab w:val="left" w:pos="709"/>
        </w:tabs>
        <w:adjustRightInd w:val="0"/>
        <w:spacing w:line="360" w:lineRule="auto"/>
        <w:ind w:firstLine="480" w:firstLineChars="200"/>
        <w:jc w:val="left"/>
        <w:textAlignment w:val="baseline"/>
        <w:outlineLvl w:val="9"/>
        <w:rPr>
          <w:rFonts w:hint="eastAsia" w:ascii="宋体" w:hAnsi="宋体" w:eastAsia="宋体" w:cs="宋体"/>
          <w:color w:val="auto"/>
          <w:sz w:val="24"/>
          <w:szCs w:val="24"/>
        </w:rPr>
      </w:pPr>
      <w:r>
        <w:rPr>
          <w:rFonts w:hint="eastAsia" w:ascii="宋体" w:hAnsi="宋体" w:eastAsia="宋体" w:cs="宋体"/>
          <w:color w:val="auto"/>
          <w:sz w:val="24"/>
          <w:szCs w:val="24"/>
        </w:rPr>
        <w:t>（1）响应截止时间之后，直到授予响应人合同止，凡是属于审查、澄清、评价和比较响应的有关资料以及授标意向等，均不向响应人或其他与评标无关的人员透露。</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（2）在评标期间，响应人企图影响采购人或磋商小组的任何活动，将导致响应被拒绝，并由其承担相应的法律责任。</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3）评审专家应当遵守评审工作纪律，不得泄露评审情况和评审中获悉的商业秘密。磋商小组在评审过程中发现供应商有行贿、提供虚假材料或者串通等违法行为的，应当及时向财政部门报告。评审专家在评审过程中受到非法干涉的，应当及时向财政、监察等部门举报。</w:t>
      </w:r>
    </w:p>
    <w:p>
      <w:pPr>
        <w:tabs>
          <w:tab w:val="left" w:pos="1575"/>
        </w:tabs>
        <w:spacing w:line="360" w:lineRule="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7</w:t>
      </w: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磋商</w:t>
      </w:r>
      <w:r>
        <w:rPr>
          <w:rFonts w:hint="eastAsia" w:ascii="宋体" w:hAnsi="宋体" w:eastAsia="宋体" w:cs="宋体"/>
          <w:b/>
          <w:bCs/>
          <w:color w:val="auto"/>
          <w:sz w:val="28"/>
          <w:szCs w:val="28"/>
        </w:rPr>
        <w:t>响应文件属下列情形之一的，按无效磋商处理：</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未按照磋商文件的规定提交磋商保证金的</w:t>
      </w:r>
      <w:r>
        <w:rPr>
          <w:rFonts w:hint="eastAsia" w:ascii="宋体" w:hAnsi="宋体" w:cs="宋体"/>
          <w:color w:val="auto"/>
          <w:sz w:val="24"/>
          <w:szCs w:val="24"/>
          <w:lang w:val="en-US" w:eastAsia="zh-CN"/>
        </w:rPr>
        <w:t>，或</w:t>
      </w:r>
      <w:r>
        <w:rPr>
          <w:rFonts w:hint="eastAsia" w:ascii="宋体" w:hAnsi="宋体" w:eastAsia="宋体" w:cs="宋体"/>
          <w:color w:val="auto"/>
          <w:sz w:val="24"/>
          <w:szCs w:val="24"/>
          <w:lang w:val="en-US" w:eastAsia="zh-CN"/>
        </w:rPr>
        <w:t>不同供应商的磋商保证金从同一单位或者个人的账户转出</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（2）未按竞争性磋商文件规定要求</w:t>
      </w:r>
      <w:r>
        <w:rPr>
          <w:rFonts w:hint="eastAsia" w:ascii="宋体" w:hAnsi="宋体" w:eastAsia="宋体" w:cs="宋体"/>
          <w:color w:val="auto"/>
          <w:sz w:val="24"/>
          <w:szCs w:val="24"/>
          <w:lang w:val="en-US" w:eastAsia="zh-CN"/>
        </w:rPr>
        <w:t>签署、盖章</w:t>
      </w:r>
      <w:r>
        <w:rPr>
          <w:rFonts w:hint="eastAsia" w:ascii="宋体" w:hAnsi="宋体" w:cs="宋体"/>
          <w:color w:val="auto"/>
          <w:sz w:val="24"/>
          <w:szCs w:val="24"/>
          <w:lang w:val="en-US" w:eastAsia="zh-CN"/>
        </w:rPr>
        <w:t>、</w:t>
      </w:r>
      <w:r>
        <w:rPr>
          <w:rFonts w:hint="eastAsia" w:ascii="宋体" w:hAnsi="宋体" w:eastAsia="宋体" w:cs="宋体"/>
          <w:color w:val="auto"/>
          <w:sz w:val="24"/>
          <w:szCs w:val="24"/>
        </w:rPr>
        <w:t>密封的</w:t>
      </w:r>
      <w:r>
        <w:rPr>
          <w:rFonts w:hint="eastAsia" w:ascii="宋体" w:hAnsi="宋体" w:cs="宋体"/>
          <w:color w:val="auto"/>
          <w:sz w:val="24"/>
          <w:szCs w:val="24"/>
          <w:lang w:eastAsia="zh-CN"/>
        </w:rPr>
        <w:t>；</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）以他人名义磋商的</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不具备磋商文件中规定的资格要求的；</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）报价超过磋商文件中规定的预算金额或者最高限价的</w:t>
      </w:r>
      <w:r>
        <w:rPr>
          <w:rFonts w:hint="eastAsia" w:ascii="宋体" w:hAnsi="宋体" w:eastAsia="宋体" w:cs="宋体"/>
          <w:color w:val="auto"/>
          <w:sz w:val="24"/>
          <w:szCs w:val="24"/>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）附有采购人、磋商组织机构不能接受的条款和商务要求的</w:t>
      </w:r>
      <w:r>
        <w:rPr>
          <w:rFonts w:hint="eastAsia" w:ascii="宋体" w:hAnsi="宋体" w:eastAsia="宋体" w:cs="宋体"/>
          <w:color w:val="auto"/>
          <w:sz w:val="24"/>
          <w:szCs w:val="24"/>
          <w:lang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6</w:t>
      </w:r>
      <w:r>
        <w:rPr>
          <w:rFonts w:hint="eastAsia" w:ascii="宋体" w:hAnsi="宋体" w:eastAsia="宋体" w:cs="宋体"/>
          <w:color w:val="auto"/>
          <w:sz w:val="24"/>
          <w:szCs w:val="24"/>
          <w:lang w:val="en-US" w:eastAsia="zh-CN"/>
        </w:rPr>
        <w:t>）不同供应商的响应文件由同一单位或者个人编制</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不同供应商的响应文件由同一台电脑编制</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7</w:t>
      </w:r>
      <w:r>
        <w:rPr>
          <w:rFonts w:hint="eastAsia" w:ascii="宋体" w:hAnsi="宋体" w:eastAsia="宋体" w:cs="宋体"/>
          <w:color w:val="auto"/>
          <w:sz w:val="24"/>
          <w:szCs w:val="24"/>
          <w:lang w:val="en-US" w:eastAsia="zh-CN"/>
        </w:rPr>
        <w:t>）不同供应商委托同一单位或者个人办理投标事宜</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8</w:t>
      </w:r>
      <w:r>
        <w:rPr>
          <w:rFonts w:hint="eastAsia" w:ascii="宋体" w:hAnsi="宋体" w:eastAsia="宋体" w:cs="宋体"/>
          <w:color w:val="auto"/>
          <w:sz w:val="24"/>
          <w:szCs w:val="24"/>
          <w:lang w:val="en-US" w:eastAsia="zh-CN"/>
        </w:rPr>
        <w:t>）不同供应商的响应文件载明的项目管理成员或者联系人员为同一人</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9</w:t>
      </w:r>
      <w:r>
        <w:rPr>
          <w:rFonts w:hint="eastAsia" w:ascii="宋体" w:hAnsi="宋体" w:eastAsia="宋体" w:cs="宋体"/>
          <w:color w:val="auto"/>
          <w:sz w:val="24"/>
          <w:szCs w:val="24"/>
          <w:lang w:val="en-US" w:eastAsia="zh-CN"/>
        </w:rPr>
        <w:t>）不同供应商的响应文件异常一致或者磋商报价呈规律性差异</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en-US" w:eastAsia="zh-CN"/>
        </w:rPr>
        <w:t>）不同供应商的响应文件项目混装</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11</w:t>
      </w:r>
      <w:r>
        <w:rPr>
          <w:rFonts w:hint="eastAsia" w:ascii="宋体" w:hAnsi="宋体" w:eastAsia="宋体" w:cs="宋体"/>
          <w:color w:val="auto"/>
          <w:sz w:val="24"/>
          <w:szCs w:val="24"/>
          <w:lang w:val="en-US" w:eastAsia="zh-CN"/>
        </w:rPr>
        <w:t>）法律、法规和磋商文件规定的其他无效情形</w:t>
      </w:r>
      <w:r>
        <w:rPr>
          <w:rFonts w:hint="eastAsia" w:ascii="宋体" w:hAnsi="宋体" w:cs="宋体"/>
          <w:color w:val="auto"/>
          <w:sz w:val="24"/>
          <w:szCs w:val="24"/>
          <w:lang w:val="en-US" w:eastAsia="zh-CN"/>
        </w:rPr>
        <w:t>。</w:t>
      </w:r>
    </w:p>
    <w:p>
      <w:pPr>
        <w:spacing w:line="360" w:lineRule="auto"/>
        <w:ind w:firstLine="480" w:firstLineChars="200"/>
        <w:outlineLvl w:val="9"/>
        <w:rPr>
          <w:rFonts w:hint="eastAsia" w:ascii="宋体" w:hAnsi="宋体" w:eastAsia="宋体" w:cs="宋体"/>
          <w:color w:val="auto"/>
          <w:highlight w:val="none"/>
        </w:rPr>
      </w:pPr>
      <w:r>
        <w:rPr>
          <w:rFonts w:hint="eastAsia" w:ascii="宋体" w:hAnsi="宋体" w:eastAsia="宋体" w:cs="宋体"/>
          <w:color w:val="auto"/>
          <w:sz w:val="24"/>
          <w:szCs w:val="24"/>
          <w:lang w:val="en-US" w:eastAsia="zh-CN"/>
        </w:rPr>
        <w:br w:type="page"/>
      </w:r>
      <w:bookmarkStart w:id="22" w:name="_Toc510449969"/>
      <w:bookmarkStart w:id="23" w:name="_Toc32621"/>
      <w:bookmarkStart w:id="24" w:name="_Toc18751"/>
      <w:bookmarkStart w:id="25" w:name="_Toc30029"/>
      <w:bookmarkStart w:id="26" w:name="_Toc22132"/>
      <w:r>
        <w:rPr>
          <w:rFonts w:hint="eastAsia" w:ascii="宋体" w:hAnsi="宋体" w:eastAsia="宋体" w:cs="宋体"/>
          <w:b/>
          <w:bCs/>
          <w:color w:val="auto"/>
          <w:sz w:val="32"/>
          <w:szCs w:val="32"/>
          <w:highlight w:val="none"/>
        </w:rPr>
        <w:t>第</w:t>
      </w:r>
      <w:r>
        <w:rPr>
          <w:rFonts w:hint="eastAsia" w:ascii="宋体" w:hAnsi="宋体" w:eastAsia="宋体" w:cs="宋体"/>
          <w:b/>
          <w:bCs/>
          <w:color w:val="auto"/>
          <w:sz w:val="32"/>
          <w:szCs w:val="32"/>
          <w:highlight w:val="none"/>
          <w:lang w:eastAsia="zh-CN"/>
        </w:rPr>
        <w:t>四</w:t>
      </w:r>
      <w:r>
        <w:rPr>
          <w:rFonts w:hint="eastAsia" w:ascii="宋体" w:hAnsi="宋体" w:eastAsia="宋体" w:cs="宋体"/>
          <w:b/>
          <w:bCs/>
          <w:color w:val="auto"/>
          <w:sz w:val="32"/>
          <w:szCs w:val="32"/>
          <w:highlight w:val="none"/>
        </w:rPr>
        <w:t>章</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合同主要条款及格式</w:t>
      </w:r>
      <w:bookmarkEnd w:id="22"/>
      <w:bookmarkEnd w:id="23"/>
      <w:bookmarkEnd w:id="24"/>
      <w:bookmarkEnd w:id="25"/>
      <w:bookmarkEnd w:id="26"/>
    </w:p>
    <w:p>
      <w:pPr>
        <w:numPr>
          <w:ilvl w:val="0"/>
          <w:numId w:val="0"/>
        </w:numPr>
        <w:spacing w:before="0" w:beforeAutospacing="0" w:after="0" w:afterAutospacing="0"/>
        <w:jc w:val="center"/>
        <w:outlineLvl w:val="9"/>
        <w:rPr>
          <w:rFonts w:hint="eastAsia" w:ascii="宋体" w:hAnsi="宋体" w:eastAsia="宋体" w:cs="宋体"/>
          <w:color w:val="auto"/>
          <w:sz w:val="30"/>
          <w:szCs w:val="30"/>
          <w:highlight w:val="none"/>
        </w:rPr>
      </w:pPr>
      <w:bookmarkStart w:id="27" w:name="_Toc13348"/>
      <w:r>
        <w:rPr>
          <w:rFonts w:hint="eastAsia" w:ascii="宋体" w:hAnsi="宋体" w:eastAsia="宋体" w:cs="宋体"/>
          <w:color w:val="auto"/>
          <w:sz w:val="30"/>
          <w:szCs w:val="30"/>
          <w:highlight w:val="none"/>
        </w:rPr>
        <w:t>第一部分 合同协议书</w:t>
      </w:r>
      <w:bookmarkEnd w:id="27"/>
    </w:p>
    <w:p>
      <w:pPr>
        <w:spacing w:beforeAutospacing="0" w:line="360" w:lineRule="auto"/>
        <w:ind w:firstLine="482" w:firstLineChars="200"/>
        <w:outlineLvl w:val="9"/>
        <w:rPr>
          <w:rFonts w:hint="eastAsia" w:ascii="宋体" w:hAnsi="宋体" w:eastAsia="宋体" w:cs="宋体"/>
          <w:b/>
          <w:color w:val="auto"/>
          <w:sz w:val="24"/>
          <w:szCs w:val="24"/>
          <w:u w:val="single"/>
        </w:rPr>
      </w:pPr>
      <w:r>
        <w:rPr>
          <w:rFonts w:hint="eastAsia" w:ascii="宋体" w:hAnsi="宋体" w:eastAsia="宋体" w:cs="宋体"/>
          <w:b/>
          <w:color w:val="auto"/>
          <w:sz w:val="24"/>
          <w:szCs w:val="24"/>
        </w:rPr>
        <w:t>发包人（全称）：</w:t>
      </w:r>
      <w:r>
        <w:rPr>
          <w:rFonts w:hint="eastAsia" w:ascii="宋体" w:hAnsi="宋体" w:eastAsia="宋体" w:cs="宋体"/>
          <w:b/>
          <w:bCs w:val="0"/>
          <w:color w:val="auto"/>
          <w:sz w:val="24"/>
          <w:szCs w:val="24"/>
          <w:u w:val="single"/>
          <w:lang w:val="en-US" w:eastAsia="zh-CN"/>
        </w:rPr>
        <w:t xml:space="preserve">                                        </w:t>
      </w:r>
    </w:p>
    <w:p>
      <w:pPr>
        <w:spacing w:line="360" w:lineRule="auto"/>
        <w:ind w:firstLine="482" w:firstLineChars="200"/>
        <w:outlineLvl w:val="9"/>
        <w:rPr>
          <w:rFonts w:hint="eastAsia" w:ascii="宋体" w:hAnsi="宋体" w:eastAsia="宋体" w:cs="宋体"/>
          <w:b/>
          <w:color w:val="auto"/>
          <w:sz w:val="24"/>
          <w:szCs w:val="24"/>
          <w:u w:val="single"/>
        </w:rPr>
      </w:pPr>
      <w:r>
        <w:rPr>
          <w:rFonts w:hint="eastAsia" w:ascii="宋体" w:hAnsi="宋体" w:eastAsia="宋体" w:cs="宋体"/>
          <w:b/>
          <w:color w:val="auto"/>
          <w:sz w:val="24"/>
          <w:szCs w:val="24"/>
        </w:rPr>
        <w:t>承包人（全称）：</w:t>
      </w:r>
      <w:r>
        <w:rPr>
          <w:rFonts w:hint="eastAsia" w:ascii="宋体" w:hAnsi="宋体" w:eastAsia="宋体" w:cs="宋体"/>
          <w:b/>
          <w:color w:val="auto"/>
          <w:sz w:val="24"/>
          <w:szCs w:val="24"/>
          <w:u w:val="single"/>
          <w:lang w:val="en-US" w:eastAsia="zh-CN"/>
        </w:rPr>
        <w:t xml:space="preserve">                                        </w:t>
      </w:r>
    </w:p>
    <w:p>
      <w:pPr>
        <w:autoSpaceDE w:val="0"/>
        <w:autoSpaceDN w:val="0"/>
        <w:adjustRightInd w:val="0"/>
        <w:spacing w:beforeLines="0" w:afterLines="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根据《中华人民共和国合同法》、《中华人民共和国建筑法》及有关法律规定，遵循平等、自愿、公平和诚实信用的原则，双方就</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color w:val="auto"/>
          <w:sz w:val="24"/>
          <w:szCs w:val="24"/>
        </w:rPr>
        <w:t>施工及有关事项协商一致，共同达成如下协议：</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r>
        <w:rPr>
          <w:rFonts w:hint="eastAsia" w:ascii="宋体" w:hAnsi="宋体" w:eastAsia="宋体" w:cs="宋体"/>
          <w:b w:val="0"/>
          <w:color w:val="auto"/>
          <w:sz w:val="24"/>
          <w:szCs w:val="24"/>
        </w:rPr>
        <w:t xml:space="preserve"> </w:t>
      </w:r>
      <w:bookmarkStart w:id="28" w:name="_Toc351203481"/>
      <w:r>
        <w:rPr>
          <w:rFonts w:hint="eastAsia" w:ascii="宋体" w:hAnsi="宋体" w:eastAsia="宋体" w:cs="宋体"/>
          <w:b/>
          <w:bCs w:val="0"/>
          <w:color w:val="auto"/>
          <w:sz w:val="24"/>
          <w:szCs w:val="24"/>
        </w:rPr>
        <w:t>一、工程概况</w:t>
      </w:r>
      <w:bookmarkEnd w:id="28"/>
    </w:p>
    <w:p>
      <w:pPr>
        <w:spacing w:beforeAutospacing="0" w:line="360" w:lineRule="auto"/>
        <w:ind w:firstLine="470" w:firstLineChars="196"/>
        <w:outlineLvl w:val="9"/>
        <w:rPr>
          <w:rFonts w:hint="eastAsia" w:ascii="宋体" w:hAnsi="宋体" w:eastAsia="宋体" w:cs="宋体"/>
          <w:color w:val="auto"/>
          <w:sz w:val="24"/>
          <w:szCs w:val="24"/>
          <w:u w:val="single"/>
        </w:rPr>
      </w:pPr>
      <w:r>
        <w:rPr>
          <w:rFonts w:hint="eastAsia" w:ascii="宋体" w:hAnsi="宋体" w:eastAsia="宋体" w:cs="宋体"/>
          <w:bCs/>
          <w:color w:val="auto"/>
          <w:sz w:val="24"/>
          <w:szCs w:val="24"/>
        </w:rPr>
        <w:t>1.工程名称</w:t>
      </w:r>
      <w:r>
        <w:rPr>
          <w:rFonts w:hint="eastAsia" w:ascii="宋体" w:hAnsi="宋体" w:eastAsia="宋体" w:cs="宋体"/>
          <w:color w:val="auto"/>
          <w:sz w:val="24"/>
          <w:szCs w:val="24"/>
        </w:rPr>
        <w:t>：</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2.工程地点：</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3.工程立项批准文号：</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Cs/>
          <w:color w:val="auto"/>
          <w:sz w:val="24"/>
          <w:szCs w:val="24"/>
        </w:rPr>
        <w:t>。</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4.资金来源：</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Cs/>
          <w:color w:val="auto"/>
          <w:sz w:val="24"/>
          <w:szCs w:val="24"/>
        </w:rPr>
        <w:t>。</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5.工程内容：</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Cs/>
          <w:color w:val="auto"/>
          <w:sz w:val="24"/>
          <w:szCs w:val="24"/>
        </w:rPr>
        <w:t>。</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color w:val="auto"/>
          <w:sz w:val="24"/>
          <w:szCs w:val="24"/>
        </w:rPr>
        <w:t>群体工程应附《承包人承揽工程项目一览表》（附件1）。</w:t>
      </w:r>
    </w:p>
    <w:p>
      <w:pPr>
        <w:spacing w:line="360" w:lineRule="auto"/>
        <w:ind w:firstLine="470" w:firstLineChars="196"/>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6.工程承包范围：</w:t>
      </w:r>
    </w:p>
    <w:p>
      <w:pPr>
        <w:spacing w:line="360" w:lineRule="auto"/>
        <w:ind w:firstLine="465" w:firstLineChars="193"/>
        <w:outlineLvl w:val="9"/>
        <w:rPr>
          <w:rFonts w:hint="eastAsia" w:ascii="宋体" w:hAnsi="宋体" w:eastAsia="宋体" w:cs="宋体"/>
          <w:color w:val="auto"/>
          <w:sz w:val="24"/>
          <w:szCs w:val="24"/>
        </w:rPr>
      </w:pPr>
      <w:r>
        <w:rPr>
          <w:rFonts w:hint="eastAsia" w:ascii="宋体" w:hAnsi="宋体" w:eastAsia="宋体" w:cs="宋体"/>
          <w:b/>
          <w:color w:val="auto"/>
          <w:sz w:val="24"/>
          <w:szCs w:val="24"/>
          <w:u w:val="single"/>
          <w:lang w:val="en-US" w:eastAsia="zh-CN"/>
        </w:rPr>
        <w:t xml:space="preserve">                                                </w:t>
      </w:r>
    </w:p>
    <w:p>
      <w:pPr>
        <w:spacing w:afterAutospacing="0" w:line="360" w:lineRule="auto"/>
        <w:ind w:firstLine="482" w:firstLineChars="200"/>
        <w:outlineLvl w:val="9"/>
        <w:rPr>
          <w:rFonts w:hint="eastAsia" w:ascii="宋体" w:hAnsi="宋体" w:eastAsia="宋体" w:cs="宋体"/>
          <w:color w:val="auto"/>
          <w:sz w:val="24"/>
          <w:szCs w:val="24"/>
        </w:rPr>
      </w:pP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w:t>
      </w:r>
    </w:p>
    <w:p>
      <w:pPr>
        <w:tabs>
          <w:tab w:val="left" w:pos="864"/>
        </w:tabs>
        <w:spacing w:before="0" w:beforeAutospacing="0" w:after="0" w:afterAutospacing="0" w:line="360" w:lineRule="auto"/>
        <w:outlineLvl w:val="9"/>
        <w:rPr>
          <w:rFonts w:hint="eastAsia" w:ascii="宋体" w:hAnsi="宋体" w:eastAsia="宋体" w:cs="宋体"/>
          <w:b w:val="0"/>
          <w:color w:val="auto"/>
          <w:sz w:val="24"/>
          <w:szCs w:val="24"/>
        </w:rPr>
      </w:pPr>
      <w:r>
        <w:rPr>
          <w:rFonts w:hint="eastAsia" w:ascii="宋体" w:hAnsi="宋体" w:eastAsia="宋体" w:cs="宋体"/>
          <w:b w:val="0"/>
          <w:color w:val="auto"/>
          <w:sz w:val="24"/>
          <w:szCs w:val="24"/>
        </w:rPr>
        <w:t xml:space="preserve">   </w:t>
      </w:r>
      <w:bookmarkStart w:id="29" w:name="_Toc351203482"/>
      <w:r>
        <w:rPr>
          <w:rFonts w:hint="eastAsia" w:ascii="宋体" w:hAnsi="宋体" w:eastAsia="宋体" w:cs="宋体"/>
          <w:b/>
          <w:bCs w:val="0"/>
          <w:color w:val="auto"/>
          <w:sz w:val="24"/>
          <w:szCs w:val="24"/>
        </w:rPr>
        <w:t>二、合同工期</w:t>
      </w:r>
      <w:bookmarkEnd w:id="29"/>
    </w:p>
    <w:p>
      <w:pPr>
        <w:spacing w:beforeAutospacing="0" w:line="360" w:lineRule="auto"/>
        <w:ind w:firstLine="459"/>
        <w:outlineLvl w:val="9"/>
        <w:rPr>
          <w:rFonts w:hint="eastAsia" w:ascii="宋体" w:hAnsi="宋体" w:eastAsia="宋体" w:cs="宋体"/>
          <w:color w:val="auto"/>
          <w:sz w:val="24"/>
          <w:szCs w:val="24"/>
        </w:rPr>
      </w:pPr>
      <w:r>
        <w:rPr>
          <w:rFonts w:hint="eastAsia" w:ascii="宋体" w:hAnsi="宋体" w:eastAsia="宋体" w:cs="宋体"/>
          <w:color w:val="auto"/>
          <w:sz w:val="24"/>
          <w:szCs w:val="24"/>
        </w:rPr>
        <w:t>计划开工日期：</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日。</w:t>
      </w:r>
    </w:p>
    <w:p>
      <w:pPr>
        <w:spacing w:line="360" w:lineRule="auto"/>
        <w:ind w:firstLine="459"/>
        <w:outlineLvl w:val="9"/>
        <w:rPr>
          <w:rFonts w:hint="eastAsia" w:ascii="宋体" w:hAnsi="宋体" w:eastAsia="宋体" w:cs="宋体"/>
          <w:color w:val="auto"/>
          <w:sz w:val="24"/>
          <w:szCs w:val="24"/>
        </w:rPr>
      </w:pPr>
      <w:r>
        <w:rPr>
          <w:rFonts w:hint="eastAsia" w:ascii="宋体" w:hAnsi="宋体" w:eastAsia="宋体" w:cs="宋体"/>
          <w:color w:val="auto"/>
          <w:sz w:val="24"/>
          <w:szCs w:val="24"/>
        </w:rPr>
        <w:t>计划竣工日期：</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日。</w:t>
      </w:r>
    </w:p>
    <w:p>
      <w:pPr>
        <w:spacing w:afterAutospacing="0" w:line="360" w:lineRule="auto"/>
        <w:ind w:firstLine="459"/>
        <w:outlineLvl w:val="9"/>
        <w:rPr>
          <w:rFonts w:hint="eastAsia" w:ascii="宋体" w:hAnsi="宋体" w:eastAsia="宋体" w:cs="宋体"/>
          <w:color w:val="auto"/>
          <w:sz w:val="24"/>
          <w:szCs w:val="24"/>
        </w:rPr>
      </w:pPr>
      <w:r>
        <w:rPr>
          <w:rFonts w:hint="eastAsia" w:ascii="宋体" w:hAnsi="宋体" w:eastAsia="宋体" w:cs="宋体"/>
          <w:color w:val="auto"/>
          <w:sz w:val="24"/>
          <w:szCs w:val="24"/>
        </w:rPr>
        <w:t>工期总日历天数：</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color w:val="auto"/>
          <w:sz w:val="24"/>
          <w:szCs w:val="24"/>
        </w:rPr>
        <w:t>天。工期总日历天数与根据前述计划开竣工日期计算的工期天数不一致的，以工期总日历天数为准。</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bookmarkStart w:id="30" w:name="_Toc351203483"/>
      <w:r>
        <w:rPr>
          <w:rFonts w:hint="eastAsia" w:ascii="宋体" w:hAnsi="宋体" w:eastAsia="宋体" w:cs="宋体"/>
          <w:b/>
          <w:bCs w:val="0"/>
          <w:color w:val="auto"/>
          <w:sz w:val="24"/>
          <w:szCs w:val="24"/>
        </w:rPr>
        <w:t>三、质量标准</w:t>
      </w:r>
      <w:bookmarkEnd w:id="30"/>
    </w:p>
    <w:p>
      <w:pPr>
        <w:spacing w:beforeAutospacing="0" w:afterAutospacing="0" w:line="360" w:lineRule="auto"/>
        <w:ind w:firstLine="459"/>
        <w:outlineLvl w:val="9"/>
        <w:rPr>
          <w:rFonts w:hint="eastAsia" w:ascii="宋体" w:hAnsi="宋体" w:eastAsia="宋体" w:cs="宋体"/>
          <w:color w:val="auto"/>
          <w:sz w:val="24"/>
          <w:szCs w:val="24"/>
        </w:rPr>
      </w:pPr>
      <w:r>
        <w:rPr>
          <w:rFonts w:hint="eastAsia" w:ascii="宋体" w:hAnsi="宋体" w:eastAsia="宋体" w:cs="宋体"/>
          <w:color w:val="auto"/>
          <w:sz w:val="24"/>
          <w:szCs w:val="24"/>
        </w:rPr>
        <w:t>工程质量符合</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国家施工验收规范的</w:t>
      </w:r>
      <w:r>
        <w:rPr>
          <w:rFonts w:hint="eastAsia" w:ascii="宋体" w:hAnsi="宋体" w:eastAsia="宋体" w:cs="宋体"/>
          <w:color w:val="auto"/>
          <w:sz w:val="24"/>
          <w:szCs w:val="24"/>
          <w:u w:val="single"/>
          <w:lang w:eastAsia="zh-CN"/>
        </w:rPr>
        <w:t>“</w:t>
      </w:r>
      <w:r>
        <w:rPr>
          <w:rFonts w:hint="eastAsia" w:ascii="宋体" w:hAnsi="宋体" w:eastAsia="宋体" w:cs="宋体"/>
          <w:color w:val="auto"/>
          <w:sz w:val="24"/>
          <w:szCs w:val="24"/>
          <w:u w:val="single"/>
        </w:rPr>
        <w:t>合格</w:t>
      </w:r>
      <w:r>
        <w:rPr>
          <w:rFonts w:hint="eastAsia" w:ascii="宋体" w:hAnsi="宋体" w:eastAsia="宋体" w:cs="宋体"/>
          <w:color w:val="auto"/>
          <w:sz w:val="24"/>
          <w:szCs w:val="24"/>
          <w:u w:val="single"/>
          <w:lang w:eastAsia="zh-CN"/>
        </w:rPr>
        <w:t>”</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标准。</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r>
        <w:rPr>
          <w:rFonts w:hint="eastAsia" w:ascii="宋体" w:hAnsi="宋体" w:eastAsia="宋体" w:cs="宋体"/>
          <w:b w:val="0"/>
          <w:color w:val="auto"/>
          <w:sz w:val="24"/>
          <w:szCs w:val="24"/>
        </w:rPr>
        <w:t xml:space="preserve"> </w:t>
      </w:r>
      <w:bookmarkStart w:id="31" w:name="_Toc351203484"/>
      <w:r>
        <w:rPr>
          <w:rFonts w:hint="eastAsia" w:ascii="宋体" w:hAnsi="宋体" w:eastAsia="宋体" w:cs="宋体"/>
          <w:b/>
          <w:bCs w:val="0"/>
          <w:color w:val="auto"/>
          <w:sz w:val="24"/>
          <w:szCs w:val="24"/>
        </w:rPr>
        <w:t>四、签约合同价与合同价格形式</w:t>
      </w:r>
      <w:bookmarkEnd w:id="31"/>
      <w:r>
        <w:rPr>
          <w:rFonts w:hint="eastAsia" w:ascii="宋体" w:hAnsi="宋体" w:eastAsia="宋体" w:cs="宋体"/>
          <w:b w:val="0"/>
          <w:color w:val="auto"/>
          <w:sz w:val="24"/>
          <w:szCs w:val="24"/>
        </w:rPr>
        <w:tab/>
      </w:r>
    </w:p>
    <w:p>
      <w:pPr>
        <w:spacing w:before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1.签约合同价为：</w:t>
      </w:r>
    </w:p>
    <w:p>
      <w:pPr>
        <w:spacing w:line="360" w:lineRule="auto"/>
        <w:ind w:firstLine="600" w:firstLineChars="250"/>
        <w:outlineLvl w:val="9"/>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2.合同价格形式：</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pPr>
        <w:tabs>
          <w:tab w:val="left" w:pos="864"/>
        </w:tabs>
        <w:spacing w:before="0" w:beforeAutospacing="0" w:after="0" w:afterAutospacing="0" w:line="360" w:lineRule="auto"/>
        <w:outlineLvl w:val="9"/>
        <w:rPr>
          <w:rFonts w:hint="eastAsia" w:ascii="宋体" w:hAnsi="宋体" w:eastAsia="宋体" w:cs="宋体"/>
          <w:b w:val="0"/>
          <w:color w:val="auto"/>
          <w:sz w:val="24"/>
          <w:szCs w:val="24"/>
        </w:rPr>
      </w:pPr>
      <w:r>
        <w:rPr>
          <w:rFonts w:hint="eastAsia" w:ascii="宋体" w:hAnsi="宋体" w:eastAsia="宋体" w:cs="宋体"/>
          <w:bCs w:val="0"/>
          <w:color w:val="auto"/>
          <w:sz w:val="24"/>
          <w:szCs w:val="24"/>
        </w:rPr>
        <w:t xml:space="preserve">   </w:t>
      </w:r>
      <w:r>
        <w:rPr>
          <w:rFonts w:hint="eastAsia" w:ascii="宋体" w:hAnsi="宋体" w:eastAsia="宋体" w:cs="宋体"/>
          <w:b w:val="0"/>
          <w:color w:val="auto"/>
          <w:sz w:val="24"/>
          <w:szCs w:val="24"/>
        </w:rPr>
        <w:t xml:space="preserve"> </w:t>
      </w:r>
      <w:bookmarkStart w:id="32" w:name="_Toc351203485"/>
      <w:r>
        <w:rPr>
          <w:rFonts w:hint="eastAsia" w:ascii="宋体" w:hAnsi="宋体" w:eastAsia="宋体" w:cs="宋体"/>
          <w:b/>
          <w:bCs w:val="0"/>
          <w:color w:val="auto"/>
          <w:sz w:val="24"/>
          <w:szCs w:val="24"/>
        </w:rPr>
        <w:t>五、</w:t>
      </w:r>
      <w:bookmarkEnd w:id="32"/>
      <w:r>
        <w:rPr>
          <w:rFonts w:hint="eastAsia" w:ascii="宋体" w:hAnsi="宋体" w:eastAsia="宋体" w:cs="宋体"/>
          <w:b/>
          <w:bCs w:val="0"/>
          <w:color w:val="auto"/>
          <w:sz w:val="24"/>
          <w:szCs w:val="24"/>
        </w:rPr>
        <w:t>项目经理</w:t>
      </w:r>
    </w:p>
    <w:p>
      <w:pPr>
        <w:spacing w:beforeAutospacing="0"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承包人项目经理：</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注册证书号：</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r>
        <w:rPr>
          <w:rFonts w:hint="eastAsia" w:ascii="宋体" w:hAnsi="宋体" w:eastAsia="宋体" w:cs="宋体"/>
          <w:b w:val="0"/>
          <w:color w:val="auto"/>
          <w:sz w:val="24"/>
          <w:szCs w:val="24"/>
        </w:rPr>
        <w:t xml:space="preserve"> </w:t>
      </w:r>
      <w:bookmarkStart w:id="33" w:name="_Toc351203486"/>
      <w:r>
        <w:rPr>
          <w:rFonts w:hint="eastAsia" w:ascii="宋体" w:hAnsi="宋体" w:eastAsia="宋体" w:cs="宋体"/>
          <w:b/>
          <w:bCs w:val="0"/>
          <w:color w:val="auto"/>
          <w:sz w:val="24"/>
          <w:szCs w:val="24"/>
        </w:rPr>
        <w:t>六、合同文件构成</w:t>
      </w:r>
      <w:bookmarkEnd w:id="33"/>
    </w:p>
    <w:p>
      <w:pPr>
        <w:spacing w:before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本协议书与下列文件一起构成合同文件：</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（1）中标通知书（如果有）；</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（2）投标函及其附录（如果有）； </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（3）专用合同条款及其附件；</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（4）通用合同条款；</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（5）技术标准和要求；</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（6）图纸；</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（7）已标价工程量清单或预算书；</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（8）其他合同文件。</w:t>
      </w:r>
    </w:p>
    <w:p>
      <w:pPr>
        <w:autoSpaceDE w:val="0"/>
        <w:autoSpaceDN w:val="0"/>
        <w:adjustRightInd w:val="0"/>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在合同订立及履行过程中形成的与合同有关的文件均构成合同文件组成部分。</w:t>
      </w:r>
    </w:p>
    <w:p>
      <w:pPr>
        <w:autoSpaceDE w:val="0"/>
        <w:autoSpaceDN w:val="0"/>
        <w:adjustRightInd w:val="0"/>
        <w:spacing w:afterAutospacing="0"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上述各项合同文件包括合同当事人就该项合同文件所作出的补充和修改，属于同一类内容的文件，应以最新签署的为准。专用合同条款及其附件须经合同当事人签字或盖章。</w:t>
      </w:r>
    </w:p>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r>
        <w:rPr>
          <w:rFonts w:hint="eastAsia" w:ascii="宋体" w:hAnsi="宋体" w:eastAsia="宋体" w:cs="宋体"/>
          <w:b/>
          <w:bCs/>
          <w:color w:val="auto"/>
          <w:sz w:val="24"/>
          <w:szCs w:val="24"/>
        </w:rPr>
        <w:t xml:space="preserve">   </w:t>
      </w:r>
      <w:bookmarkStart w:id="34" w:name="_Toc351203487"/>
      <w:r>
        <w:rPr>
          <w:rFonts w:hint="eastAsia" w:ascii="宋体" w:hAnsi="宋体" w:eastAsia="宋体" w:cs="宋体"/>
          <w:b/>
          <w:bCs/>
          <w:color w:val="auto"/>
          <w:sz w:val="24"/>
          <w:szCs w:val="24"/>
        </w:rPr>
        <w:t>七、承诺</w:t>
      </w:r>
      <w:bookmarkEnd w:id="34"/>
    </w:p>
    <w:p>
      <w:pPr>
        <w:spacing w:before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1.发包人承诺按照法律规定履行项目审批手续、筹集工程建设资金并按照合同约定的期限和方式支付合同价款。</w:t>
      </w:r>
    </w:p>
    <w:p>
      <w:pPr>
        <w:spacing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2.承包人承诺按照法律规定及合同约定组织完成工程施工，确保工程质量和安全，不进行转包及违法分包，并在缺陷责任期及保修期内承担相应的工程维修责任。</w:t>
      </w:r>
    </w:p>
    <w:p>
      <w:pPr>
        <w:spacing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3.发包人和承包人通过招投标形式签订合同的，双方理解并承诺不再就同一工程另行签订与合同实质性内容相背离的协议。</w:t>
      </w:r>
    </w:p>
    <w:p>
      <w:pPr>
        <w:spacing w:line="360" w:lineRule="auto"/>
        <w:outlineLvl w:val="9"/>
        <w:rPr>
          <w:rFonts w:hint="eastAsia" w:ascii="宋体" w:hAnsi="宋体" w:eastAsia="宋体" w:cs="宋体"/>
          <w:bCs/>
          <w:color w:val="auto"/>
          <w:sz w:val="24"/>
          <w:szCs w:val="24"/>
        </w:rPr>
      </w:pPr>
      <w:bookmarkStart w:id="35" w:name="_Toc351203488"/>
      <w:r>
        <w:rPr>
          <w:rFonts w:hint="eastAsia" w:ascii="宋体" w:hAnsi="宋体" w:eastAsia="宋体" w:cs="宋体"/>
          <w:b/>
          <w:color w:val="auto"/>
          <w:sz w:val="24"/>
          <w:szCs w:val="24"/>
        </w:rPr>
        <w:t xml:space="preserve">    八、词语含义</w:t>
      </w:r>
      <w:bookmarkEnd w:id="35"/>
    </w:p>
    <w:p>
      <w:pPr>
        <w:spacing w:after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本协议书中词语含义与第二部分通用合同条款中赋予的含义相同。</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r>
        <w:rPr>
          <w:rFonts w:hint="eastAsia" w:ascii="宋体" w:hAnsi="宋体" w:eastAsia="宋体" w:cs="宋体"/>
          <w:b w:val="0"/>
          <w:color w:val="auto"/>
          <w:sz w:val="24"/>
          <w:szCs w:val="24"/>
        </w:rPr>
        <w:t xml:space="preserve">  </w:t>
      </w:r>
      <w:bookmarkStart w:id="36" w:name="_Toc351203489"/>
      <w:r>
        <w:rPr>
          <w:rFonts w:hint="eastAsia" w:ascii="宋体" w:hAnsi="宋体" w:eastAsia="宋体" w:cs="宋体"/>
          <w:b/>
          <w:bCs w:val="0"/>
          <w:color w:val="auto"/>
          <w:sz w:val="24"/>
          <w:szCs w:val="24"/>
        </w:rPr>
        <w:t>九、签订时间</w:t>
      </w:r>
      <w:bookmarkEnd w:id="36"/>
    </w:p>
    <w:p>
      <w:pPr>
        <w:spacing w:before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本合同于</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年</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月</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日签订。</w:t>
      </w:r>
    </w:p>
    <w:p>
      <w:pPr>
        <w:tabs>
          <w:tab w:val="left" w:pos="864"/>
        </w:tabs>
        <w:spacing w:before="12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bookmarkStart w:id="37" w:name="_Toc351203490"/>
      <w:r>
        <w:rPr>
          <w:rFonts w:hint="eastAsia" w:ascii="宋体" w:hAnsi="宋体" w:eastAsia="宋体" w:cs="宋体"/>
          <w:b/>
          <w:bCs w:val="0"/>
          <w:color w:val="auto"/>
          <w:sz w:val="24"/>
          <w:szCs w:val="24"/>
        </w:rPr>
        <w:t>十、签订地点</w:t>
      </w:r>
      <w:bookmarkEnd w:id="37"/>
    </w:p>
    <w:p>
      <w:pPr>
        <w:spacing w:beforeAutospacing="0" w:after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本合同在</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签订。</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bookmarkStart w:id="38" w:name="_Toc351203491"/>
      <w:r>
        <w:rPr>
          <w:rFonts w:hint="eastAsia" w:ascii="宋体" w:hAnsi="宋体" w:eastAsia="宋体" w:cs="宋体"/>
          <w:b/>
          <w:bCs w:val="0"/>
          <w:color w:val="auto"/>
          <w:sz w:val="24"/>
          <w:szCs w:val="24"/>
        </w:rPr>
        <w:t>十一、补充协议</w:t>
      </w:r>
      <w:bookmarkEnd w:id="38"/>
    </w:p>
    <w:p>
      <w:pPr>
        <w:spacing w:beforeAutospacing="0" w:afterAutospacing="0" w:line="360" w:lineRule="auto"/>
        <w:ind w:firstLine="480" w:firstLineChars="200"/>
        <w:outlineLvl w:val="9"/>
        <w:rPr>
          <w:rFonts w:hint="eastAsia" w:ascii="宋体" w:hAnsi="宋体" w:eastAsia="宋体" w:cs="宋体"/>
          <w:b/>
          <w:bCs/>
          <w:color w:val="auto"/>
          <w:sz w:val="24"/>
          <w:szCs w:val="24"/>
        </w:rPr>
      </w:pPr>
      <w:r>
        <w:rPr>
          <w:rFonts w:hint="eastAsia" w:ascii="宋体" w:hAnsi="宋体" w:eastAsia="宋体" w:cs="宋体"/>
          <w:bCs/>
          <w:color w:val="auto"/>
          <w:sz w:val="24"/>
          <w:szCs w:val="24"/>
        </w:rPr>
        <w:t>合同未尽事宜，合同当事人另行签订补充协议，补充协议是合同的组成部分。</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bookmarkStart w:id="39" w:name="_Toc351203492"/>
      <w:r>
        <w:rPr>
          <w:rFonts w:hint="eastAsia" w:ascii="宋体" w:hAnsi="宋体" w:eastAsia="宋体" w:cs="宋体"/>
          <w:b/>
          <w:bCs w:val="0"/>
          <w:color w:val="auto"/>
          <w:sz w:val="24"/>
          <w:szCs w:val="24"/>
        </w:rPr>
        <w:t>十二、合同生效</w:t>
      </w:r>
      <w:bookmarkEnd w:id="39"/>
    </w:p>
    <w:p>
      <w:pPr>
        <w:spacing w:beforeAutospacing="0" w:after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本合同自</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生效。</w:t>
      </w:r>
    </w:p>
    <w:p>
      <w:pPr>
        <w:tabs>
          <w:tab w:val="left" w:pos="864"/>
        </w:tabs>
        <w:spacing w:before="0" w:beforeAutospacing="0" w:after="0" w:afterAutospacing="0" w:line="360" w:lineRule="auto"/>
        <w:outlineLvl w:val="9"/>
        <w:rPr>
          <w:rFonts w:hint="eastAsia" w:ascii="宋体" w:hAnsi="宋体" w:eastAsia="宋体" w:cs="宋体"/>
          <w:bCs w:val="0"/>
          <w:color w:val="auto"/>
          <w:sz w:val="24"/>
          <w:szCs w:val="24"/>
        </w:rPr>
      </w:pPr>
      <w:r>
        <w:rPr>
          <w:rFonts w:hint="eastAsia" w:ascii="宋体" w:hAnsi="宋体" w:eastAsia="宋体" w:cs="宋体"/>
          <w:bCs w:val="0"/>
          <w:color w:val="auto"/>
          <w:sz w:val="24"/>
          <w:szCs w:val="24"/>
        </w:rPr>
        <w:t xml:space="preserve">    </w:t>
      </w:r>
      <w:bookmarkStart w:id="40" w:name="_Toc351203493"/>
      <w:r>
        <w:rPr>
          <w:rFonts w:hint="eastAsia" w:ascii="宋体" w:hAnsi="宋体" w:eastAsia="宋体" w:cs="宋体"/>
          <w:b/>
          <w:bCs w:val="0"/>
          <w:color w:val="auto"/>
          <w:sz w:val="24"/>
          <w:szCs w:val="24"/>
        </w:rPr>
        <w:t>十三、合同份数</w:t>
      </w:r>
      <w:bookmarkEnd w:id="40"/>
    </w:p>
    <w:p>
      <w:pPr>
        <w:spacing w:beforeAutospacing="0" w:line="360" w:lineRule="auto"/>
        <w:ind w:firstLine="480" w:firstLineChars="200"/>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本合同一式</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份，均具有同等法律效力，发包人执</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份，承包人执</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份。</w:t>
      </w:r>
    </w:p>
    <w:p>
      <w:pPr>
        <w:spacing w:beforeAutospacing="0" w:line="360" w:lineRule="auto"/>
        <w:outlineLvl w:val="9"/>
        <w:rPr>
          <w:rFonts w:hint="eastAsia" w:ascii="宋体" w:hAnsi="宋体" w:eastAsia="宋体" w:cs="宋体"/>
          <w:bCs/>
          <w:color w:val="auto"/>
          <w:sz w:val="24"/>
          <w:szCs w:val="24"/>
        </w:rPr>
      </w:pPr>
    </w:p>
    <w:p>
      <w:pPr>
        <w:spacing w:beforeAutospacing="0" w:line="360" w:lineRule="auto"/>
        <w:ind w:firstLine="480" w:firstLineChars="200"/>
        <w:outlineLvl w:val="9"/>
        <w:rPr>
          <w:rFonts w:hint="eastAsia" w:ascii="宋体" w:hAnsi="宋体" w:eastAsia="宋体" w:cs="宋体"/>
          <w:bCs/>
          <w:color w:val="auto"/>
          <w:sz w:val="24"/>
          <w:szCs w:val="24"/>
        </w:rPr>
      </w:pP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发包人：  (公章)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承包人：  (公章)</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法定代表人或其委托代理人：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法定代表人或其委托代理人：</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（签字）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（签字）</w:t>
      </w:r>
    </w:p>
    <w:p>
      <w:pPr>
        <w:tabs>
          <w:tab w:val="left" w:pos="4410"/>
        </w:tabs>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组织机构代码：</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组织机构代码：</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地  址：</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地  址：</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邮政编码：</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邮政编码：</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法定代表人：</w:t>
      </w:r>
      <w:r>
        <w:rPr>
          <w:rFonts w:hint="eastAsia" w:ascii="宋体" w:hAnsi="宋体" w:eastAsia="宋体" w:cs="宋体"/>
          <w:color w:val="auto"/>
          <w:sz w:val="24"/>
          <w:szCs w:val="24"/>
          <w:u w:val="single"/>
        </w:rPr>
        <w:t xml:space="preserve">      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委托代理人：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传  真：</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真：</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开户银行：</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开户银行：</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账  号：</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账  号：</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outlineLvl w:val="9"/>
        <w:rPr>
          <w:rFonts w:hint="eastAsia" w:ascii="宋体" w:hAnsi="宋体" w:eastAsia="宋体" w:cs="宋体"/>
          <w:color w:val="auto"/>
          <w:sz w:val="24"/>
          <w:szCs w:val="24"/>
          <w:u w:val="single"/>
        </w:rPr>
      </w:pPr>
    </w:p>
    <w:p>
      <w:pPr>
        <w:spacing w:afterAutospacing="0"/>
        <w:outlineLvl w:val="9"/>
        <w:rPr>
          <w:rFonts w:hint="eastAsia" w:ascii="宋体" w:hAnsi="宋体" w:eastAsia="宋体" w:cs="宋体"/>
          <w:color w:val="auto"/>
          <w:highlight w:val="none"/>
        </w:rPr>
      </w:pPr>
    </w:p>
    <w:p>
      <w:pPr>
        <w:numPr>
          <w:ilvl w:val="0"/>
          <w:numId w:val="0"/>
        </w:numPr>
        <w:spacing w:before="0" w:beforeAutospacing="0" w:after="0" w:afterAutospacing="0"/>
        <w:jc w:val="center"/>
        <w:outlineLvl w:val="9"/>
        <w:rPr>
          <w:rFonts w:hint="eastAsia" w:ascii="宋体" w:hAnsi="宋体" w:eastAsia="宋体" w:cs="宋体"/>
          <w:color w:val="auto"/>
          <w:sz w:val="30"/>
          <w:szCs w:val="30"/>
          <w:highlight w:val="none"/>
        </w:rPr>
      </w:pPr>
      <w:bookmarkStart w:id="41" w:name="_Toc18169"/>
      <w:r>
        <w:rPr>
          <w:rFonts w:hint="eastAsia" w:ascii="宋体" w:hAnsi="宋体" w:eastAsia="宋体" w:cs="宋体"/>
          <w:color w:val="auto"/>
          <w:sz w:val="30"/>
          <w:szCs w:val="30"/>
          <w:highlight w:val="none"/>
        </w:rPr>
        <w:br w:type="page"/>
      </w:r>
    </w:p>
    <w:p>
      <w:pPr>
        <w:numPr>
          <w:ilvl w:val="0"/>
          <w:numId w:val="0"/>
        </w:numPr>
        <w:spacing w:before="0" w:beforeAutospacing="0" w:after="0" w:afterAutospacing="0"/>
        <w:jc w:val="center"/>
        <w:outlineLvl w:val="9"/>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第二部分 通用合同条款</w:t>
      </w:r>
      <w:bookmarkEnd w:id="41"/>
    </w:p>
    <w:p>
      <w:pPr>
        <w:spacing w:line="360" w:lineRule="auto"/>
        <w:ind w:firstLine="480"/>
        <w:outlineLvl w:val="9"/>
        <w:rPr>
          <w:rFonts w:hint="eastAsia" w:ascii="宋体" w:hAnsi="宋体" w:eastAsia="宋体" w:cs="宋体"/>
          <w:bCs/>
          <w:color w:val="auto"/>
          <w:sz w:val="24"/>
          <w:szCs w:val="24"/>
          <w:lang w:eastAsia="zh-CN"/>
        </w:rPr>
      </w:pPr>
      <w:bookmarkStart w:id="42" w:name="_Toc9174"/>
      <w:r>
        <w:rPr>
          <w:rFonts w:hint="eastAsia" w:ascii="宋体" w:hAnsi="宋体" w:eastAsia="宋体" w:cs="宋体"/>
          <w:bCs/>
          <w:color w:val="auto"/>
          <w:sz w:val="24"/>
          <w:szCs w:val="24"/>
          <w:lang w:eastAsia="zh-CN"/>
        </w:rPr>
        <w:t>采用《建设工程施工合同》（</w:t>
      </w:r>
      <w:r>
        <w:rPr>
          <w:rFonts w:hint="eastAsia" w:ascii="宋体" w:hAnsi="宋体" w:eastAsia="宋体" w:cs="宋体"/>
          <w:bCs/>
          <w:color w:val="auto"/>
          <w:sz w:val="24"/>
          <w:szCs w:val="24"/>
          <w:lang w:val="en-US" w:eastAsia="zh-CN"/>
        </w:rPr>
        <w:t>GF-2017-0201</w:t>
      </w:r>
      <w:r>
        <w:rPr>
          <w:rFonts w:hint="eastAsia" w:ascii="宋体" w:hAnsi="宋体" w:eastAsia="宋体" w:cs="宋体"/>
          <w:bCs/>
          <w:color w:val="auto"/>
          <w:sz w:val="24"/>
          <w:szCs w:val="24"/>
          <w:lang w:eastAsia="zh-CN"/>
        </w:rPr>
        <w:t>）文本详见《建设工程施工合同》“第二部分</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lang w:eastAsia="zh-CN"/>
        </w:rPr>
        <w:t>通用条款”。此处略。</w:t>
      </w:r>
    </w:p>
    <w:p>
      <w:pPr>
        <w:numPr>
          <w:ilvl w:val="0"/>
          <w:numId w:val="0"/>
        </w:numPr>
        <w:spacing w:before="0" w:beforeAutospacing="0" w:after="0" w:afterAutospacing="0"/>
        <w:jc w:val="center"/>
        <w:outlineLvl w:val="9"/>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第三部分 专用合同条款</w:t>
      </w:r>
      <w:bookmarkEnd w:id="42"/>
    </w:p>
    <w:p>
      <w:pPr>
        <w:numPr>
          <w:ilvl w:val="0"/>
          <w:numId w:val="0"/>
        </w:numPr>
        <w:spacing w:before="0" w:beforeAutospacing="0" w:after="0" w:afterAutospacing="0"/>
        <w:jc w:val="center"/>
        <w:outlineLvl w:val="9"/>
        <w:rPr>
          <w:rFonts w:hint="eastAsia" w:ascii="宋体" w:hAnsi="宋体" w:eastAsia="宋体" w:cs="宋体"/>
          <w:color w:val="auto"/>
          <w:sz w:val="24"/>
          <w:szCs w:val="24"/>
          <w:highlight w:val="none"/>
        </w:rPr>
      </w:pPr>
      <w:bookmarkStart w:id="43" w:name="_Toc6388"/>
      <w:bookmarkStart w:id="44" w:name="_Toc13407"/>
      <w:bookmarkStart w:id="45" w:name="_Toc24788"/>
      <w:bookmarkStart w:id="46" w:name="_Toc14828"/>
      <w:r>
        <w:rPr>
          <w:rFonts w:hint="eastAsia" w:ascii="宋体" w:hAnsi="宋体" w:eastAsia="宋体" w:cs="宋体"/>
          <w:b w:val="0"/>
          <w:color w:val="auto"/>
          <w:sz w:val="24"/>
          <w:szCs w:val="24"/>
          <w:highlight w:val="none"/>
        </w:rPr>
        <w:t>（只列出了主要合同专用条款，其余条款见GF-2017-0201）</w:t>
      </w:r>
      <w:bookmarkEnd w:id="43"/>
      <w:bookmarkEnd w:id="44"/>
      <w:bookmarkEnd w:id="45"/>
      <w:bookmarkEnd w:id="46"/>
    </w:p>
    <w:p>
      <w:pPr>
        <w:tabs>
          <w:tab w:val="left" w:pos="864"/>
        </w:tabs>
        <w:spacing w:before="0" w:beforeAutospacing="0" w:after="0" w:afterAutospacing="0" w:line="360" w:lineRule="auto"/>
        <w:outlineLvl w:val="9"/>
        <w:rPr>
          <w:rFonts w:hint="eastAsia" w:ascii="宋体" w:hAnsi="宋体" w:eastAsia="宋体" w:cs="宋体"/>
          <w:b w:val="0"/>
          <w:color w:val="auto"/>
          <w:sz w:val="24"/>
          <w:szCs w:val="24"/>
        </w:rPr>
      </w:pPr>
      <w:bookmarkStart w:id="47" w:name="_Toc351203633"/>
      <w:r>
        <w:rPr>
          <w:rFonts w:hint="eastAsia" w:ascii="宋体" w:hAnsi="宋体" w:eastAsia="宋体" w:cs="宋体"/>
          <w:b w:val="0"/>
          <w:color w:val="auto"/>
          <w:sz w:val="24"/>
          <w:szCs w:val="24"/>
        </w:rPr>
        <w:t>1</w:t>
      </w:r>
      <w:bookmarkStart w:id="48" w:name="_Toc296503156"/>
      <w:bookmarkStart w:id="49" w:name="_Toc296890984"/>
      <w:bookmarkStart w:id="50" w:name="_Toc296347155"/>
      <w:bookmarkStart w:id="51" w:name="_Toc292559361"/>
      <w:bookmarkStart w:id="52" w:name="_Toc292559866"/>
      <w:bookmarkStart w:id="53" w:name="_Toc296346657"/>
      <w:bookmarkStart w:id="54" w:name="_Toc297120456"/>
      <w:bookmarkStart w:id="55" w:name="_Toc296891196"/>
      <w:bookmarkStart w:id="56" w:name="_Toc296944495"/>
      <w:bookmarkStart w:id="57" w:name="_Toc297048342"/>
      <w:r>
        <w:rPr>
          <w:rFonts w:hint="eastAsia" w:ascii="宋体" w:hAnsi="宋体" w:eastAsia="宋体" w:cs="宋体"/>
          <w:b w:val="0"/>
          <w:color w:val="auto"/>
          <w:sz w:val="24"/>
          <w:szCs w:val="24"/>
        </w:rPr>
        <w:t>. 一般约定</w:t>
      </w:r>
      <w:bookmarkEnd w:id="47"/>
    </w:p>
    <w:bookmarkEnd w:id="48"/>
    <w:bookmarkEnd w:id="49"/>
    <w:bookmarkEnd w:id="50"/>
    <w:bookmarkEnd w:id="51"/>
    <w:bookmarkEnd w:id="52"/>
    <w:bookmarkEnd w:id="53"/>
    <w:bookmarkEnd w:id="54"/>
    <w:bookmarkEnd w:id="55"/>
    <w:bookmarkEnd w:id="56"/>
    <w:bookmarkEnd w:id="57"/>
    <w:p>
      <w:pPr>
        <w:spacing w:beforeAutospacing="0"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1.1 词语定义</w:t>
      </w:r>
    </w:p>
    <w:p>
      <w:pPr>
        <w:spacing w:beforeAutospacing="0" w:line="360" w:lineRule="auto"/>
        <w:ind w:firstLine="480" w:firstLineChars="200"/>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1.1.1合同</w:t>
      </w:r>
    </w:p>
    <w:p>
      <w:pPr>
        <w:spacing w:line="36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1.1.1.10其他合同文件包括：</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施工组织设计、招标文件、合同当事人在合同履行过程中的发生的会议纪要、签证、设计变更等资料</w:t>
      </w:r>
      <w:r>
        <w:rPr>
          <w:rFonts w:hint="eastAsia" w:ascii="宋体" w:hAnsi="宋体" w:eastAsia="宋体" w:cs="宋体"/>
          <w:b w:val="0"/>
          <w:bCs w:val="0"/>
          <w:color w:val="auto"/>
          <w:sz w:val="24"/>
          <w:szCs w:val="24"/>
          <w:u w:val="single"/>
        </w:rPr>
        <w:t xml:space="preserve"> </w:t>
      </w:r>
      <w:r>
        <w:rPr>
          <w:rFonts w:hint="eastAsia" w:ascii="宋体" w:hAnsi="宋体" w:eastAsia="宋体" w:cs="宋体"/>
          <w:b/>
          <w:bCs/>
          <w:color w:val="auto"/>
          <w:sz w:val="24"/>
          <w:szCs w:val="24"/>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1.3法律 </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适用于合同的其他规范性文件：</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 标准和规范</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1.4.1适用于工程的标准规范包括：</w:t>
      </w:r>
      <w:r>
        <w:rPr>
          <w:rFonts w:hint="eastAsia" w:ascii="宋体" w:hAnsi="宋体" w:eastAsia="宋体" w:cs="宋体"/>
          <w:color w:val="auto"/>
          <w:sz w:val="24"/>
          <w:szCs w:val="24"/>
          <w:highlight w:val="none"/>
          <w:u w:val="single"/>
        </w:rPr>
        <w:t xml:space="preserve"> 国家、行业以及地方的法律、法规和规定</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1.4.3发包人对工程的技术标准和功能要求的特殊要求：</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58" w:name="_Toc508702735"/>
      <w:bookmarkStart w:id="59" w:name="_Toc508703893"/>
      <w:bookmarkStart w:id="60" w:name="_Toc510449971"/>
      <w:bookmarkStart w:id="61" w:name="_Toc24641"/>
      <w:bookmarkStart w:id="62" w:name="_Toc12012"/>
      <w:bookmarkStart w:id="63" w:name="_Toc13208"/>
      <w:bookmarkStart w:id="64" w:name="_Toc27845"/>
      <w:r>
        <w:rPr>
          <w:rFonts w:hint="eastAsia" w:ascii="宋体" w:hAnsi="宋体" w:eastAsia="宋体" w:cs="宋体"/>
          <w:color w:val="auto"/>
          <w:sz w:val="24"/>
          <w:szCs w:val="24"/>
          <w:highlight w:val="none"/>
        </w:rPr>
        <w:t>1.5 合同文件的优先顺序</w:t>
      </w:r>
      <w:bookmarkEnd w:id="58"/>
      <w:bookmarkEnd w:id="59"/>
      <w:bookmarkEnd w:id="60"/>
      <w:bookmarkEnd w:id="61"/>
      <w:bookmarkEnd w:id="62"/>
      <w:bookmarkEnd w:id="63"/>
      <w:bookmarkEnd w:id="64"/>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合同文件组成及优先顺序为：</w:t>
      </w:r>
      <w:r>
        <w:rPr>
          <w:rFonts w:hint="eastAsia" w:ascii="宋体" w:hAnsi="宋体" w:cs="宋体"/>
          <w:color w:val="auto"/>
          <w:sz w:val="24"/>
          <w:szCs w:val="24"/>
          <w:highlight w:val="none"/>
          <w:u w:val="single"/>
          <w:lang w:eastAsia="zh-CN"/>
        </w:rPr>
        <w:t>执行通用条款</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65" w:name="_Toc510449972"/>
      <w:bookmarkStart w:id="66" w:name="_Toc508703894"/>
      <w:bookmarkStart w:id="67" w:name="_Toc508702736"/>
      <w:bookmarkStart w:id="68" w:name="_Toc3894"/>
      <w:bookmarkStart w:id="69" w:name="_Toc23801"/>
      <w:bookmarkStart w:id="70" w:name="_Toc32131"/>
      <w:bookmarkStart w:id="71" w:name="_Toc337"/>
      <w:r>
        <w:rPr>
          <w:rFonts w:hint="eastAsia" w:ascii="宋体" w:hAnsi="宋体" w:eastAsia="宋体" w:cs="宋体"/>
          <w:color w:val="auto"/>
          <w:sz w:val="24"/>
          <w:szCs w:val="24"/>
          <w:highlight w:val="none"/>
        </w:rPr>
        <w:t>1.10 交通运输</w:t>
      </w:r>
      <w:bookmarkEnd w:id="65"/>
      <w:bookmarkEnd w:id="66"/>
      <w:bookmarkEnd w:id="67"/>
      <w:bookmarkEnd w:id="68"/>
      <w:bookmarkEnd w:id="69"/>
      <w:bookmarkEnd w:id="70"/>
      <w:bookmarkEnd w:id="71"/>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72" w:name="_Toc508703895"/>
      <w:bookmarkStart w:id="73" w:name="_Toc19224"/>
      <w:bookmarkStart w:id="74" w:name="_Toc508702737"/>
      <w:bookmarkStart w:id="75" w:name="_Toc510449973"/>
      <w:bookmarkStart w:id="76" w:name="_Toc18919"/>
      <w:bookmarkStart w:id="77" w:name="_Toc32714"/>
      <w:bookmarkStart w:id="78" w:name="_Toc13658"/>
      <w:r>
        <w:rPr>
          <w:rFonts w:hint="eastAsia" w:ascii="宋体" w:hAnsi="宋体" w:eastAsia="宋体" w:cs="宋体"/>
          <w:color w:val="auto"/>
          <w:sz w:val="24"/>
          <w:szCs w:val="24"/>
          <w:highlight w:val="none"/>
        </w:rPr>
        <w:t>1</w:t>
      </w:r>
      <w:bookmarkStart w:id="79" w:name="_Toc312677987"/>
      <w:bookmarkStart w:id="80" w:name="_Toc303539101"/>
      <w:bookmarkStart w:id="81" w:name="_Toc304295522"/>
      <w:bookmarkStart w:id="82" w:name="_Toc318581156"/>
      <w:bookmarkStart w:id="83" w:name="_Toc300934944"/>
      <w:r>
        <w:rPr>
          <w:rFonts w:hint="eastAsia" w:ascii="宋体" w:hAnsi="宋体" w:eastAsia="宋体" w:cs="宋体"/>
          <w:color w:val="auto"/>
          <w:sz w:val="24"/>
          <w:szCs w:val="24"/>
          <w:highlight w:val="none"/>
        </w:rPr>
        <w:t>.10.3 场内交通</w:t>
      </w:r>
      <w:bookmarkEnd w:id="72"/>
      <w:bookmarkEnd w:id="73"/>
      <w:bookmarkEnd w:id="74"/>
      <w:bookmarkEnd w:id="75"/>
      <w:bookmarkEnd w:id="76"/>
      <w:bookmarkEnd w:id="77"/>
      <w:bookmarkEnd w:id="78"/>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关于场外交通和场内交通的边界的约定：</w:t>
      </w:r>
      <w:bookmarkEnd w:id="79"/>
      <w:bookmarkEnd w:id="80"/>
      <w:bookmarkEnd w:id="81"/>
      <w:bookmarkEnd w:id="82"/>
      <w:bookmarkEnd w:id="83"/>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bookmarkStart w:id="84" w:name="_Toc318581157"/>
    </w:p>
    <w:bookmarkEnd w:id="84"/>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1.13工程量清单错误的修正</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出现工程量清单错误时，是否调整合同价格：</w:t>
      </w:r>
      <w:r>
        <w:rPr>
          <w:rFonts w:hint="eastAsia" w:ascii="宋体" w:hAnsi="宋体" w:eastAsia="宋体" w:cs="宋体"/>
          <w:color w:val="auto"/>
          <w:sz w:val="24"/>
          <w:szCs w:val="24"/>
          <w:highlight w:val="none"/>
          <w:u w:val="single"/>
        </w:rPr>
        <w:t>按实际签证办理，不调整清单。</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允许调整合同价格的工程量偏差范围：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85" w:name="_Toc351203634"/>
      <w:r>
        <w:rPr>
          <w:rFonts w:hint="eastAsia" w:ascii="宋体" w:hAnsi="宋体" w:eastAsia="宋体" w:cs="宋体"/>
          <w:b w:val="0"/>
          <w:color w:val="auto"/>
          <w:sz w:val="24"/>
          <w:szCs w:val="24"/>
          <w:highlight w:val="none"/>
        </w:rPr>
        <w:t>2</w:t>
      </w:r>
      <w:bookmarkStart w:id="86" w:name="_Toc296347156"/>
      <w:bookmarkStart w:id="87" w:name="_Toc296944496"/>
      <w:bookmarkStart w:id="88" w:name="_Toc297048343"/>
      <w:bookmarkStart w:id="89" w:name="_Toc292559362"/>
      <w:bookmarkStart w:id="90" w:name="_Toc296891197"/>
      <w:bookmarkStart w:id="91" w:name="_Toc292559867"/>
      <w:bookmarkStart w:id="92" w:name="_Toc296890985"/>
      <w:bookmarkStart w:id="93" w:name="_Toc296503157"/>
      <w:bookmarkStart w:id="94" w:name="_Toc297120457"/>
      <w:bookmarkStart w:id="95" w:name="_Toc296346658"/>
      <w:r>
        <w:rPr>
          <w:rFonts w:hint="eastAsia" w:ascii="宋体" w:hAnsi="宋体" w:eastAsia="宋体" w:cs="宋体"/>
          <w:b w:val="0"/>
          <w:color w:val="auto"/>
          <w:sz w:val="24"/>
          <w:szCs w:val="24"/>
          <w:highlight w:val="none"/>
        </w:rPr>
        <w:t>. 发包人</w:t>
      </w:r>
      <w:bookmarkEnd w:id="85"/>
    </w:p>
    <w:bookmarkEnd w:id="86"/>
    <w:bookmarkEnd w:id="87"/>
    <w:bookmarkEnd w:id="88"/>
    <w:bookmarkEnd w:id="89"/>
    <w:bookmarkEnd w:id="90"/>
    <w:bookmarkEnd w:id="91"/>
    <w:bookmarkEnd w:id="92"/>
    <w:bookmarkEnd w:id="93"/>
    <w:bookmarkEnd w:id="94"/>
    <w:bookmarkEnd w:id="95"/>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96" w:name="_Toc510449974"/>
      <w:bookmarkStart w:id="97" w:name="_Toc20746"/>
      <w:bookmarkStart w:id="98" w:name="_Toc6819"/>
      <w:bookmarkStart w:id="99" w:name="_Toc508702738"/>
      <w:bookmarkStart w:id="100" w:name="_Toc6038"/>
      <w:bookmarkStart w:id="101" w:name="_Toc28126"/>
      <w:bookmarkStart w:id="102" w:name="_Toc508703896"/>
      <w:r>
        <w:rPr>
          <w:rFonts w:hint="eastAsia" w:ascii="宋体" w:hAnsi="宋体" w:eastAsia="宋体" w:cs="宋体"/>
          <w:color w:val="auto"/>
          <w:sz w:val="24"/>
          <w:szCs w:val="24"/>
          <w:highlight w:val="none"/>
        </w:rPr>
        <w:t>2.5 资金来源证明及支付担保</w:t>
      </w:r>
      <w:bookmarkEnd w:id="96"/>
      <w:bookmarkEnd w:id="97"/>
      <w:bookmarkEnd w:id="98"/>
      <w:bookmarkEnd w:id="99"/>
      <w:bookmarkEnd w:id="100"/>
      <w:bookmarkEnd w:id="101"/>
      <w:bookmarkEnd w:id="102"/>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发包人是否提供支付担保：</w:t>
      </w:r>
      <w:r>
        <w:rPr>
          <w:rFonts w:hint="eastAsia" w:ascii="宋体" w:hAnsi="宋体" w:eastAsia="宋体" w:cs="宋体"/>
          <w:color w:val="auto"/>
          <w:sz w:val="24"/>
          <w:szCs w:val="24"/>
          <w:highlight w:val="none"/>
          <w:u w:val="single"/>
        </w:rPr>
        <w:t xml:space="preserve">   不提供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发包人提供支付担保的形式：</w:t>
      </w:r>
      <w:r>
        <w:rPr>
          <w:rFonts w:hint="eastAsia" w:ascii="宋体" w:hAnsi="宋体" w:eastAsia="宋体" w:cs="宋体"/>
          <w:color w:val="auto"/>
          <w:sz w:val="24"/>
          <w:szCs w:val="24"/>
          <w:highlight w:val="none"/>
          <w:u w:val="single"/>
        </w:rPr>
        <w:t xml:space="preserve">   不提供    </w:t>
      </w:r>
      <w:r>
        <w:rPr>
          <w:rFonts w:hint="eastAsia" w:ascii="宋体" w:hAnsi="宋体" w:eastAsia="宋体" w:cs="宋体"/>
          <w:color w:val="auto"/>
          <w:sz w:val="24"/>
          <w:szCs w:val="24"/>
          <w:highlight w:val="none"/>
        </w:rPr>
        <w:t>。</w:t>
      </w:r>
    </w:p>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103" w:name="_Toc351203635"/>
      <w:r>
        <w:rPr>
          <w:rFonts w:hint="eastAsia" w:ascii="宋体" w:hAnsi="宋体" w:eastAsia="宋体" w:cs="宋体"/>
          <w:b w:val="0"/>
          <w:color w:val="auto"/>
          <w:sz w:val="24"/>
          <w:szCs w:val="24"/>
          <w:highlight w:val="none"/>
        </w:rPr>
        <w:t>3</w:t>
      </w:r>
      <w:bookmarkStart w:id="104" w:name="_Toc297120458"/>
      <w:bookmarkStart w:id="105" w:name="_Toc296346659"/>
      <w:bookmarkStart w:id="106" w:name="_Toc296347157"/>
      <w:bookmarkStart w:id="107" w:name="_Toc296944497"/>
      <w:bookmarkStart w:id="108" w:name="_Toc292559868"/>
      <w:bookmarkStart w:id="109" w:name="_Toc296891198"/>
      <w:bookmarkStart w:id="110" w:name="_Toc292559363"/>
      <w:bookmarkStart w:id="111" w:name="_Toc296503158"/>
      <w:bookmarkStart w:id="112" w:name="_Toc296890986"/>
      <w:bookmarkStart w:id="113" w:name="_Toc297048344"/>
      <w:r>
        <w:rPr>
          <w:rFonts w:hint="eastAsia" w:ascii="宋体" w:hAnsi="宋体" w:eastAsia="宋体" w:cs="宋体"/>
          <w:b w:val="0"/>
          <w:color w:val="auto"/>
          <w:sz w:val="24"/>
          <w:szCs w:val="24"/>
          <w:highlight w:val="none"/>
        </w:rPr>
        <w:t>. 承包人</w:t>
      </w:r>
      <w:bookmarkEnd w:id="103"/>
    </w:p>
    <w:bookmarkEnd w:id="104"/>
    <w:bookmarkEnd w:id="105"/>
    <w:bookmarkEnd w:id="106"/>
    <w:bookmarkEnd w:id="107"/>
    <w:bookmarkEnd w:id="108"/>
    <w:bookmarkEnd w:id="109"/>
    <w:bookmarkEnd w:id="110"/>
    <w:bookmarkEnd w:id="111"/>
    <w:bookmarkEnd w:id="112"/>
    <w:bookmarkEnd w:id="113"/>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 承包人的一般义务</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（10）承包人应履行的其他义务：</w:t>
      </w:r>
      <w:r>
        <w:rPr>
          <w:rFonts w:hint="eastAsia" w:ascii="宋体" w:hAnsi="宋体" w:eastAsia="宋体" w:cs="宋体"/>
          <w:color w:val="auto"/>
          <w:sz w:val="24"/>
          <w:szCs w:val="24"/>
          <w:highlight w:val="none"/>
          <w:u w:val="single"/>
        </w:rPr>
        <w:t xml:space="preserve"> 承包人应按《建设项目总承包管理规范》的要求，建立覆盖采购、施工、试运行全过程的项目管理体系，并进行控制，确保项目和服务质量  </w:t>
      </w:r>
      <w:r>
        <w:rPr>
          <w:rFonts w:hint="eastAsia" w:ascii="宋体" w:hAnsi="宋体" w:eastAsia="宋体" w:cs="宋体"/>
          <w:color w:val="auto"/>
          <w:kern w:val="0"/>
          <w:sz w:val="24"/>
          <w:szCs w:val="24"/>
          <w:highlight w:val="none"/>
        </w:rPr>
        <w:t>。</w:t>
      </w:r>
    </w:p>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3.2 项目经理</w:t>
      </w:r>
    </w:p>
    <w:p>
      <w:pPr>
        <w:spacing w:before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rPr>
        <w:t xml:space="preserve">3.2.1 </w:t>
      </w:r>
      <w:r>
        <w:rPr>
          <w:rFonts w:hint="eastAsia" w:ascii="宋体" w:hAnsi="宋体" w:eastAsia="宋体" w:cs="宋体"/>
          <w:color w:val="auto"/>
          <w:sz w:val="24"/>
          <w:szCs w:val="24"/>
        </w:rPr>
        <w:t>项目经理：</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color w:val="auto"/>
          <w:kern w:val="0"/>
          <w:sz w:val="24"/>
          <w:szCs w:val="24"/>
        </w:rPr>
        <w:t>关于项目经理每月在施工现场的时间要</w:t>
      </w:r>
      <w:r>
        <w:rPr>
          <w:rFonts w:hint="eastAsia" w:ascii="宋体" w:hAnsi="宋体" w:eastAsia="宋体" w:cs="宋体"/>
          <w:b w:val="0"/>
          <w:bCs w:val="0"/>
          <w:color w:val="auto"/>
          <w:kern w:val="0"/>
          <w:sz w:val="24"/>
          <w:szCs w:val="24"/>
        </w:rPr>
        <w:t>求：</w:t>
      </w:r>
      <w:r>
        <w:rPr>
          <w:rFonts w:hint="eastAsia" w:ascii="宋体" w:hAnsi="宋体" w:eastAsia="宋体" w:cs="宋体"/>
          <w:b w:val="0"/>
          <w:bCs w:val="0"/>
          <w:color w:val="auto"/>
          <w:sz w:val="24"/>
          <w:szCs w:val="24"/>
          <w:u w:val="single"/>
          <w:lang w:eastAsia="zh-CN"/>
        </w:rPr>
        <w:t>项目经理在施工现场的时间不得少于</w:t>
      </w:r>
      <w:r>
        <w:rPr>
          <w:rFonts w:hint="eastAsia" w:ascii="宋体" w:hAnsi="宋体" w:eastAsia="宋体" w:cs="宋体"/>
          <w:b w:val="0"/>
          <w:bCs w:val="0"/>
          <w:color w:val="auto"/>
          <w:sz w:val="24"/>
          <w:szCs w:val="24"/>
          <w:u w:val="single"/>
          <w:lang w:val="en-US" w:eastAsia="zh-CN"/>
        </w:rPr>
        <w:t>2</w:t>
      </w:r>
      <w:r>
        <w:rPr>
          <w:rFonts w:hint="eastAsia" w:ascii="宋体" w:hAnsi="宋体" w:cs="宋体"/>
          <w:b w:val="0"/>
          <w:bCs w:val="0"/>
          <w:color w:val="auto"/>
          <w:sz w:val="24"/>
          <w:szCs w:val="24"/>
          <w:u w:val="single"/>
          <w:lang w:val="en-US" w:eastAsia="zh-CN"/>
        </w:rPr>
        <w:t>0</w:t>
      </w:r>
      <w:r>
        <w:rPr>
          <w:rFonts w:hint="eastAsia" w:ascii="宋体" w:hAnsi="宋体" w:eastAsia="宋体" w:cs="宋体"/>
          <w:b w:val="0"/>
          <w:bCs w:val="0"/>
          <w:color w:val="auto"/>
          <w:sz w:val="24"/>
          <w:szCs w:val="24"/>
          <w:u w:val="single"/>
          <w:lang w:val="en-US" w:eastAsia="zh-CN"/>
        </w:rPr>
        <w:t xml:space="preserve">天，且不得担任其他在建项目的项目经理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承包人未提交劳动合同，以及没有为项目经理缴纳社会保险证明的违约责任：</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eastAsia="宋体" w:cs="宋体"/>
          <w:b w:val="0"/>
          <w:bCs w:val="0"/>
          <w:color w:val="auto"/>
          <w:sz w:val="24"/>
          <w:szCs w:val="24"/>
          <w:u w:val="single"/>
          <w:lang w:val="en-US" w:eastAsia="zh-CN"/>
        </w:rPr>
        <w:t xml:space="preserve">10000元 </w:t>
      </w:r>
      <w:r>
        <w:rPr>
          <w:rFonts w:hint="eastAsia" w:ascii="宋体" w:hAnsi="宋体" w:eastAsia="宋体" w:cs="宋体"/>
          <w:b w:val="0"/>
          <w:bCs w:val="0"/>
          <w:color w:val="auto"/>
          <w:sz w:val="24"/>
          <w:szCs w:val="24"/>
        </w:rPr>
        <w:t>。</w:t>
      </w:r>
    </w:p>
    <w:p>
      <w:pPr>
        <w:spacing w:line="360" w:lineRule="auto"/>
        <w:ind w:firstLine="480" w:firstLineChars="200"/>
        <w:outlineLvl w:val="9"/>
        <w:rPr>
          <w:rFonts w:hint="eastAsia" w:ascii="宋体" w:hAnsi="宋体" w:eastAsia="宋体" w:cs="宋体"/>
          <w:b w:val="0"/>
          <w:bCs w:val="0"/>
          <w:color w:val="auto"/>
          <w:sz w:val="24"/>
          <w:szCs w:val="24"/>
          <w:u w:val="single"/>
        </w:rPr>
      </w:pPr>
      <w:r>
        <w:rPr>
          <w:rFonts w:hint="eastAsia" w:ascii="宋体" w:hAnsi="宋体" w:eastAsia="宋体" w:cs="宋体"/>
          <w:b w:val="0"/>
          <w:bCs w:val="0"/>
          <w:color w:val="auto"/>
          <w:kern w:val="0"/>
          <w:sz w:val="24"/>
          <w:szCs w:val="24"/>
        </w:rPr>
        <w:t>项目经理未经批准，擅自离开施工现场的违约责任：</w:t>
      </w:r>
      <w:r>
        <w:rPr>
          <w:rFonts w:hint="eastAsia" w:ascii="宋体" w:hAnsi="宋体" w:eastAsia="宋体" w:cs="宋体"/>
          <w:b w:val="0"/>
          <w:bCs w:val="0"/>
          <w:color w:val="auto"/>
          <w:sz w:val="24"/>
          <w:szCs w:val="24"/>
          <w:u w:val="single"/>
          <w:lang w:val="en-US" w:eastAsia="zh-CN"/>
        </w:rPr>
        <w:t>每天处以1000元罚款</w:t>
      </w:r>
      <w:r>
        <w:rPr>
          <w:rFonts w:hint="eastAsia" w:ascii="宋体" w:hAnsi="宋体" w:eastAsia="宋体" w:cs="宋体"/>
          <w:b w:val="0"/>
          <w:bCs w:val="0"/>
          <w:color w:val="auto"/>
          <w:sz w:val="24"/>
          <w:szCs w:val="24"/>
          <w:u w:val="single"/>
        </w:rPr>
        <w:t></w:t>
      </w:r>
      <w:r>
        <w:rPr>
          <w:rFonts w:hint="eastAsia" w:ascii="宋体" w:hAnsi="宋体" w:eastAsia="宋体" w:cs="宋体"/>
          <w:b w:val="0"/>
          <w:bCs w:val="0"/>
          <w:color w:val="auto"/>
          <w:sz w:val="24"/>
          <w:szCs w:val="24"/>
        </w:rPr>
        <w:t>。</w:t>
      </w:r>
    </w:p>
    <w:p>
      <w:pPr>
        <w:spacing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3.2.3 承包人擅自更换项目经理的违约责任：</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cs="宋体"/>
          <w:b w:val="0"/>
          <w:bCs w:val="0"/>
          <w:color w:val="auto"/>
          <w:sz w:val="24"/>
          <w:szCs w:val="24"/>
          <w:u w:val="single"/>
          <w:lang w:val="en-US" w:eastAsia="zh-CN"/>
        </w:rPr>
        <w:t>1</w:t>
      </w:r>
      <w:r>
        <w:rPr>
          <w:rFonts w:hint="eastAsia" w:ascii="宋体" w:hAnsi="宋体" w:eastAsia="宋体" w:cs="宋体"/>
          <w:b w:val="0"/>
          <w:bCs w:val="0"/>
          <w:color w:val="auto"/>
          <w:sz w:val="24"/>
          <w:szCs w:val="24"/>
          <w:u w:val="single"/>
          <w:lang w:val="en-US" w:eastAsia="zh-CN"/>
        </w:rPr>
        <w:t xml:space="preserve">万元，并不得参与发包人其它建设工程招标活动 </w:t>
      </w:r>
      <w:r>
        <w:rPr>
          <w:rFonts w:hint="eastAsia" w:ascii="宋体" w:hAnsi="宋体" w:eastAsia="宋体" w:cs="宋体"/>
          <w:b w:val="0"/>
          <w:bCs w:val="0"/>
          <w:color w:val="auto"/>
          <w:sz w:val="24"/>
          <w:szCs w:val="24"/>
        </w:rPr>
        <w:t>。</w:t>
      </w:r>
    </w:p>
    <w:p>
      <w:pPr>
        <w:spacing w:line="360" w:lineRule="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3.2.4 承包人无正当理由拒绝更换项目经理的违约责任：</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eastAsia="宋体" w:cs="宋体"/>
          <w:b w:val="0"/>
          <w:bCs w:val="0"/>
          <w:color w:val="auto"/>
          <w:sz w:val="24"/>
          <w:szCs w:val="24"/>
          <w:u w:val="single"/>
          <w:lang w:val="en-US" w:eastAsia="zh-CN"/>
        </w:rPr>
        <w:t>1万元，并不得参与发包人其它建设工程招标活动</w:t>
      </w:r>
      <w:r>
        <w:rPr>
          <w:rFonts w:hint="eastAsia" w:ascii="宋体" w:hAnsi="宋体" w:eastAsia="宋体" w:cs="宋体"/>
          <w:b w:val="0"/>
          <w:bCs w:val="0"/>
          <w:color w:val="auto"/>
          <w:sz w:val="24"/>
          <w:szCs w:val="24"/>
        </w:rPr>
        <w:t>。</w:t>
      </w:r>
    </w:p>
    <w:p>
      <w:pPr>
        <w:spacing w:after="12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3.3 承包人人员</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3.3.1 承包人提交项目管理机构及施工现场管理人员安排报告的期限：</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3.3.3 承包人无正当理由拒绝撤换主要施工管理人员的违约责任：</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cs="宋体"/>
          <w:b w:val="0"/>
          <w:bCs w:val="0"/>
          <w:color w:val="auto"/>
          <w:sz w:val="24"/>
          <w:szCs w:val="24"/>
          <w:u w:val="single"/>
          <w:lang w:val="en-US" w:eastAsia="zh-CN"/>
        </w:rPr>
        <w:t>5000</w:t>
      </w:r>
      <w:r>
        <w:rPr>
          <w:rFonts w:hint="eastAsia" w:ascii="宋体" w:hAnsi="宋体" w:eastAsia="宋体" w:cs="宋体"/>
          <w:b w:val="0"/>
          <w:bCs w:val="0"/>
          <w:color w:val="auto"/>
          <w:sz w:val="24"/>
          <w:szCs w:val="24"/>
          <w:u w:val="single"/>
          <w:lang w:val="en-US" w:eastAsia="zh-CN"/>
        </w:rPr>
        <w:t>元/人，并不得参与发包人其它建设工程招标活动</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u w:val="single"/>
        </w:rPr>
      </w:pPr>
      <w:r>
        <w:rPr>
          <w:rFonts w:hint="eastAsia" w:ascii="宋体" w:hAnsi="宋体" w:eastAsia="宋体" w:cs="宋体"/>
          <w:b w:val="0"/>
          <w:bCs w:val="0"/>
          <w:color w:val="auto"/>
          <w:sz w:val="24"/>
          <w:szCs w:val="24"/>
        </w:rPr>
        <w:t>3.3.4 承包人主要施工管理人员离开施工现场的批准要求：</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3.3.5承包人擅自更换主要施工管理人员的违约责任：</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cs="宋体"/>
          <w:b w:val="0"/>
          <w:bCs w:val="0"/>
          <w:color w:val="auto"/>
          <w:sz w:val="24"/>
          <w:szCs w:val="24"/>
          <w:u w:val="single"/>
          <w:lang w:val="en-US" w:eastAsia="zh-CN"/>
        </w:rPr>
        <w:t>5000</w:t>
      </w:r>
      <w:r>
        <w:rPr>
          <w:rFonts w:hint="eastAsia" w:ascii="宋体" w:hAnsi="宋体" w:eastAsia="宋体" w:cs="宋体"/>
          <w:b w:val="0"/>
          <w:bCs w:val="0"/>
          <w:color w:val="auto"/>
          <w:sz w:val="24"/>
          <w:szCs w:val="24"/>
          <w:u w:val="single"/>
          <w:lang w:val="en-US" w:eastAsia="zh-CN"/>
        </w:rPr>
        <w:t>元/人，并不得参与发包人其它建设工程招标活动</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承包人主要施工管理人员擅自离开施工现场的违约责任：</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向发包人缴纳违约金</w:t>
      </w:r>
      <w:r>
        <w:rPr>
          <w:rFonts w:hint="eastAsia" w:ascii="宋体" w:hAnsi="宋体" w:eastAsia="宋体" w:cs="宋体"/>
          <w:b w:val="0"/>
          <w:bCs w:val="0"/>
          <w:color w:val="auto"/>
          <w:sz w:val="24"/>
          <w:szCs w:val="24"/>
          <w:u w:val="single"/>
          <w:lang w:val="en-US" w:eastAsia="zh-CN"/>
        </w:rPr>
        <w:t>1000元。</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3.7 履约担保</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承包人是否提供履约担保：</w:t>
      </w:r>
      <w:r>
        <w:rPr>
          <w:rFonts w:hint="eastAsia" w:ascii="宋体" w:hAnsi="宋体" w:eastAsia="宋体" w:cs="宋体"/>
          <w:color w:val="auto"/>
          <w:sz w:val="24"/>
          <w:szCs w:val="24"/>
          <w:highlight w:val="none"/>
          <w:u w:val="single"/>
        </w:rPr>
        <w:t xml:space="preserve">   不提供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承包人提供履约担保的形式、金额及期限的：</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114" w:name="_Toc267251418"/>
      <w:bookmarkStart w:id="115" w:name="_Toc351203637"/>
      <w:r>
        <w:rPr>
          <w:rFonts w:hint="eastAsia" w:ascii="宋体" w:hAnsi="宋体" w:eastAsia="宋体" w:cs="宋体"/>
          <w:b w:val="0"/>
          <w:color w:val="auto"/>
          <w:sz w:val="24"/>
          <w:szCs w:val="24"/>
          <w:highlight w:val="none"/>
        </w:rPr>
        <w:t>5</w:t>
      </w:r>
      <w:bookmarkEnd w:id="114"/>
      <w:bookmarkStart w:id="116" w:name="_Toc292559367"/>
      <w:bookmarkStart w:id="117" w:name="_Toc296347162"/>
      <w:bookmarkStart w:id="118" w:name="_Toc296944502"/>
      <w:bookmarkStart w:id="119" w:name="_Toc296503163"/>
      <w:bookmarkStart w:id="120" w:name="_Toc297120463"/>
      <w:bookmarkStart w:id="121" w:name="_Toc292559872"/>
      <w:bookmarkStart w:id="122" w:name="_Toc297048349"/>
      <w:bookmarkStart w:id="123" w:name="_Toc296346664"/>
      <w:bookmarkStart w:id="124" w:name="_Toc296891203"/>
      <w:bookmarkStart w:id="125" w:name="_Toc296890991"/>
      <w:r>
        <w:rPr>
          <w:rFonts w:hint="eastAsia" w:ascii="宋体" w:hAnsi="宋体" w:eastAsia="宋体" w:cs="宋体"/>
          <w:b w:val="0"/>
          <w:color w:val="auto"/>
          <w:sz w:val="24"/>
          <w:szCs w:val="24"/>
          <w:highlight w:val="none"/>
        </w:rPr>
        <w:t>. 工程质量</w:t>
      </w:r>
      <w:bookmarkEnd w:id="115"/>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126" w:name="_Toc510449975"/>
      <w:bookmarkStart w:id="127" w:name="_Toc508702739"/>
      <w:bookmarkStart w:id="128" w:name="_Toc7727"/>
      <w:bookmarkStart w:id="129" w:name="_Toc508703897"/>
      <w:bookmarkStart w:id="130" w:name="_Toc31339"/>
      <w:bookmarkStart w:id="131" w:name="_Toc18915"/>
      <w:bookmarkStart w:id="132" w:name="_Toc24968"/>
      <w:r>
        <w:rPr>
          <w:rFonts w:hint="eastAsia" w:ascii="宋体" w:hAnsi="宋体" w:eastAsia="宋体" w:cs="宋体"/>
          <w:color w:val="auto"/>
          <w:sz w:val="24"/>
          <w:szCs w:val="24"/>
          <w:highlight w:val="none"/>
        </w:rPr>
        <w:t>5.1 质量要求</w:t>
      </w:r>
      <w:bookmarkEnd w:id="126"/>
      <w:bookmarkEnd w:id="127"/>
      <w:bookmarkEnd w:id="128"/>
      <w:bookmarkEnd w:id="129"/>
      <w:bookmarkEnd w:id="130"/>
      <w:bookmarkEnd w:id="131"/>
      <w:bookmarkEnd w:id="132"/>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bookmarkStart w:id="133" w:name="_Toc318581164"/>
      <w:bookmarkStart w:id="134" w:name="_Toc304295527"/>
      <w:bookmarkStart w:id="135" w:name="_Toc312677997"/>
      <w:bookmarkStart w:id="136" w:name="_Toc297123496"/>
      <w:bookmarkStart w:id="137" w:name="_Toc300934949"/>
      <w:bookmarkStart w:id="138" w:name="_Toc303539106"/>
      <w:bookmarkStart w:id="139" w:name="_Toc297216155"/>
      <w:r>
        <w:rPr>
          <w:rFonts w:hint="eastAsia" w:ascii="宋体" w:hAnsi="宋体" w:eastAsia="宋体" w:cs="宋体"/>
          <w:color w:val="auto"/>
          <w:sz w:val="24"/>
          <w:szCs w:val="24"/>
          <w:highlight w:val="none"/>
        </w:rPr>
        <w:t>.1.1 特殊质量标准和要求：</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关于工程奖项的约定：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bookmarkEnd w:id="133"/>
    <w:bookmarkEnd w:id="134"/>
    <w:bookmarkEnd w:id="135"/>
    <w:bookmarkEnd w:id="136"/>
    <w:bookmarkEnd w:id="137"/>
    <w:bookmarkEnd w:id="138"/>
    <w:bookmarkEnd w:id="139"/>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140" w:name="_Toc351203638"/>
      <w:bookmarkStart w:id="141" w:name="_Toc351203639"/>
      <w:r>
        <w:rPr>
          <w:rFonts w:hint="eastAsia" w:ascii="宋体" w:hAnsi="宋体" w:eastAsia="宋体" w:cs="宋体"/>
          <w:b w:val="0"/>
          <w:color w:val="auto"/>
          <w:sz w:val="24"/>
          <w:szCs w:val="24"/>
          <w:highlight w:val="none"/>
        </w:rPr>
        <w:t>6. 安全文明施工与环境保护</w:t>
      </w:r>
      <w:bookmarkEnd w:id="140"/>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6.1安全文明施工</w:t>
      </w:r>
    </w:p>
    <w:p>
      <w:pPr>
        <w:spacing w:line="360" w:lineRule="auto"/>
        <w:ind w:firstLine="480" w:firstLineChars="200"/>
        <w:rPr>
          <w:rFonts w:hint="eastAsia" w:ascii="宋体" w:hAnsi="宋体" w:eastAsia="宋体" w:cs="宋体"/>
          <w:color w:val="auto"/>
          <w:sz w:val="24"/>
          <w:szCs w:val="24"/>
          <w:u w:val="single"/>
        </w:rPr>
      </w:pPr>
      <w:r>
        <w:rPr>
          <w:rFonts w:hint="eastAsia" w:ascii="宋体" w:hAnsi="宋体" w:eastAsia="宋体" w:cs="宋体"/>
          <w:color w:val="auto"/>
          <w:sz w:val="24"/>
          <w:szCs w:val="24"/>
        </w:rPr>
        <w:t xml:space="preserve">6.1.1 项目安全生产的达标目标及相应事项的约定：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1)承包人必须在施工组织设计中详尽地编写相关的安全、文明管理方案</w:t>
      </w:r>
      <w:r>
        <w:rPr>
          <w:rFonts w:hint="eastAsia" w:ascii="宋体" w:hAnsi="宋体" w:eastAsia="宋体" w:cs="宋体"/>
          <w:color w:val="auto"/>
          <w:sz w:val="24"/>
          <w:szCs w:val="24"/>
        </w:rPr>
        <w:t>。</w:t>
      </w:r>
    </w:p>
    <w:p>
      <w:pPr>
        <w:spacing w:line="360" w:lineRule="auto"/>
        <w:rPr>
          <w:rFonts w:hint="eastAsia" w:ascii="宋体" w:hAnsi="宋体" w:eastAsia="宋体" w:cs="宋体"/>
          <w:color w:val="auto"/>
          <w:sz w:val="24"/>
          <w:szCs w:val="24"/>
          <w:u w:val="single"/>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2)现场必须配备专职安全检查员，随时检查安全隐患 </w:t>
      </w:r>
      <w:r>
        <w:rPr>
          <w:rFonts w:hint="eastAsia" w:ascii="宋体" w:hAnsi="宋体" w:eastAsia="宋体" w:cs="宋体"/>
          <w:color w:val="auto"/>
          <w:sz w:val="24"/>
          <w:szCs w:val="24"/>
        </w:rPr>
        <w:t>。</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3)定期组织内部安全自检，并参加由发包人组织的安全检查，对于检查中发现的问题及时进行改正 </w:t>
      </w:r>
      <w:r>
        <w:rPr>
          <w:rFonts w:hint="eastAsia" w:ascii="宋体" w:hAnsi="宋体" w:eastAsia="宋体" w:cs="宋体"/>
          <w:color w:val="auto"/>
          <w:sz w:val="24"/>
          <w:szCs w:val="24"/>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6.1.5 文明施工</w:t>
      </w:r>
    </w:p>
    <w:p>
      <w:pPr>
        <w:autoSpaceDE w:val="0"/>
        <w:autoSpaceDN w:val="0"/>
        <w:spacing w:line="360" w:lineRule="auto"/>
        <w:ind w:right="25" w:rightChars="1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文明施工的要求：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u w:val="single"/>
        </w:rPr>
        <w:t xml:space="preserve">现场内外公共设施的保护，承包人必须保护所有公共财产、道路及公共设施，如果由于承包人的疏忽造成任何损坏，需负责修复并承担一切费用，同时应使发包人和承包人免受此等索赔、诉讼或费用开支。承包人应严格遵守现场文明施工的管理规定，施工期间保持施工作业区及所有货棚、工棚、仓库和办公室等临时设施的清洁卫生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u w:val="single"/>
        </w:rPr>
      </w:pPr>
      <w:r>
        <w:rPr>
          <w:rFonts w:hint="eastAsia" w:ascii="宋体" w:hAnsi="宋体" w:eastAsia="宋体" w:cs="宋体"/>
          <w:color w:val="auto"/>
          <w:sz w:val="24"/>
          <w:szCs w:val="24"/>
          <w:highlight w:val="none"/>
        </w:rPr>
        <w:t>6.1.6 关于安全文明施工费支付比例和支付期限的约定：</w:t>
      </w:r>
      <w:r>
        <w:rPr>
          <w:rFonts w:hint="eastAsia" w:ascii="宋体" w:hAnsi="宋体" w:eastAsia="宋体" w:cs="宋体"/>
          <w:color w:val="auto"/>
          <w:sz w:val="24"/>
          <w:szCs w:val="24"/>
          <w:u w:val="single"/>
        </w:rPr>
        <w:t xml:space="preserve">安全文明施工费与进度款同期同比例支付 </w:t>
      </w:r>
      <w:r>
        <w:rPr>
          <w:rFonts w:hint="eastAsia" w:ascii="宋体" w:hAnsi="宋体" w:eastAsia="宋体" w:cs="宋体"/>
          <w:color w:val="auto"/>
          <w:sz w:val="24"/>
          <w:szCs w:val="24"/>
        </w:rPr>
        <w:t>。</w:t>
      </w:r>
    </w:p>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7. 工期和进度</w:t>
      </w:r>
      <w:bookmarkEnd w:id="141"/>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 施工组织设计</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7.1.1 合</w:t>
      </w:r>
      <w:r>
        <w:rPr>
          <w:rFonts w:hint="eastAsia" w:ascii="宋体" w:hAnsi="宋体" w:eastAsia="宋体" w:cs="宋体"/>
          <w:color w:val="auto"/>
          <w:kern w:val="0"/>
          <w:sz w:val="24"/>
          <w:szCs w:val="24"/>
          <w:highlight w:val="none"/>
        </w:rPr>
        <w:t>同当事人约定的施工组织设计应包括的其他内容：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bookmarkStart w:id="142" w:name="_Toc303539125"/>
      <w:bookmarkStart w:id="143" w:name="_Toc297216175"/>
      <w:bookmarkStart w:id="144" w:name="_Toc312678010"/>
      <w:bookmarkStart w:id="145" w:name="_Toc312677484"/>
      <w:bookmarkStart w:id="146" w:name="_Toc304295546"/>
      <w:bookmarkStart w:id="147" w:name="_Toc297123516"/>
      <w:bookmarkStart w:id="148" w:name="_Toc300934968"/>
      <w:r>
        <w:rPr>
          <w:rFonts w:hint="eastAsia" w:ascii="宋体" w:hAnsi="宋体" w:eastAsia="宋体" w:cs="宋体"/>
          <w:color w:val="auto"/>
          <w:sz w:val="24"/>
          <w:szCs w:val="24"/>
          <w:highlight w:val="none"/>
        </w:rPr>
        <w:t>.5 工期延误</w:t>
      </w:r>
    </w:p>
    <w:bookmarkEnd w:id="142"/>
    <w:bookmarkEnd w:id="143"/>
    <w:bookmarkEnd w:id="144"/>
    <w:bookmarkEnd w:id="145"/>
    <w:bookmarkEnd w:id="146"/>
    <w:bookmarkEnd w:id="147"/>
    <w:bookmarkEnd w:id="148"/>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color w:val="auto"/>
          <w:sz w:val="24"/>
          <w:szCs w:val="24"/>
        </w:rPr>
        <w:t>7.5.1 因发包人原因导致工期延误</w:t>
      </w:r>
      <w:r>
        <w:rPr>
          <w:rFonts w:hint="eastAsia" w:ascii="宋体" w:hAnsi="宋体" w:eastAsia="宋体" w:cs="宋体"/>
          <w:color w:val="auto"/>
          <w:sz w:val="24"/>
          <w:szCs w:val="24"/>
          <w:lang w:eastAsia="zh-CN"/>
        </w:rPr>
        <w:t>：</w:t>
      </w:r>
      <w:r>
        <w:rPr>
          <w:rFonts w:hint="eastAsia" w:ascii="宋体" w:hAnsi="宋体" w:eastAsia="宋体" w:cs="宋体"/>
          <w:b w:val="0"/>
          <w:bCs w:val="0"/>
          <w:color w:val="auto"/>
          <w:sz w:val="24"/>
          <w:szCs w:val="24"/>
          <w:u w:val="single"/>
          <w:lang w:val="en-US" w:eastAsia="zh-CN"/>
        </w:rPr>
        <w:t xml:space="preserve"> 发包人未能按合同约定完成检验、审批、发出指示、批准等影响承包人施工关键线路的 </w:t>
      </w:r>
      <w:r>
        <w:rPr>
          <w:rFonts w:hint="eastAsia" w:ascii="宋体" w:hAnsi="宋体" w:eastAsia="宋体" w:cs="宋体"/>
          <w:b w:val="0"/>
          <w:bCs w:val="0"/>
          <w:color w:val="auto"/>
          <w:sz w:val="24"/>
          <w:szCs w:val="24"/>
          <w:u w:val="none"/>
          <w:lang w:val="en-US" w:eastAsia="zh-CN"/>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（7）因发包人原因导致工期延误的其他情形：</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7</w:t>
      </w:r>
      <w:bookmarkStart w:id="149" w:name="_Toc312677486"/>
      <w:bookmarkStart w:id="150" w:name="_Toc318581169"/>
      <w:bookmarkStart w:id="151" w:name="_Toc312678012"/>
      <w:bookmarkStart w:id="152" w:name="_Toc300934970"/>
      <w:bookmarkStart w:id="153" w:name="_Toc303539127"/>
      <w:bookmarkStart w:id="154" w:name="_Toc297216177"/>
      <w:bookmarkStart w:id="155" w:name="_Toc297123518"/>
      <w:bookmarkStart w:id="156" w:name="_Toc304295548"/>
      <w:r>
        <w:rPr>
          <w:rFonts w:hint="eastAsia" w:ascii="宋体" w:hAnsi="宋体" w:eastAsia="宋体" w:cs="宋体"/>
          <w:b w:val="0"/>
          <w:bCs w:val="0"/>
          <w:color w:val="auto"/>
          <w:sz w:val="24"/>
          <w:szCs w:val="24"/>
        </w:rPr>
        <w:t>.5.2 因承包人原因导致工期延误</w:t>
      </w:r>
    </w:p>
    <w:bookmarkEnd w:id="149"/>
    <w:bookmarkEnd w:id="150"/>
    <w:bookmarkEnd w:id="151"/>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因</w:t>
      </w:r>
      <w:bookmarkStart w:id="157" w:name="_Toc312678013"/>
      <w:bookmarkStart w:id="158" w:name="_Toc312677487"/>
      <w:bookmarkStart w:id="159" w:name="_Toc318581170"/>
      <w:r>
        <w:rPr>
          <w:rFonts w:hint="eastAsia" w:ascii="宋体" w:hAnsi="宋体" w:eastAsia="宋体" w:cs="宋体"/>
          <w:b w:val="0"/>
          <w:bCs w:val="0"/>
          <w:color w:val="auto"/>
          <w:sz w:val="24"/>
          <w:szCs w:val="24"/>
        </w:rPr>
        <w:t>承包人原因造成工期延误，逾期竣工违约金的计算方法为：</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承包人每日支付违约金为签约合同价的</w:t>
      </w:r>
      <w:r>
        <w:rPr>
          <w:rFonts w:hint="eastAsia" w:ascii="宋体" w:hAnsi="宋体" w:eastAsia="宋体" w:cs="宋体"/>
          <w:b w:val="0"/>
          <w:bCs w:val="0"/>
          <w:color w:val="auto"/>
          <w:sz w:val="24"/>
          <w:szCs w:val="24"/>
          <w:u w:val="single"/>
          <w:lang w:val="en-US" w:eastAsia="zh-CN"/>
        </w:rPr>
        <w:t>0.2%/天</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bookmarkEnd w:id="152"/>
      <w:bookmarkEnd w:id="153"/>
      <w:bookmarkEnd w:id="154"/>
      <w:bookmarkEnd w:id="155"/>
      <w:bookmarkEnd w:id="156"/>
      <w:bookmarkEnd w:id="157"/>
      <w:bookmarkEnd w:id="158"/>
    </w:p>
    <w:bookmarkEnd w:id="159"/>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因承包人原因造成工期延误，逾期竣工违约金的上限：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最高不超过签约合同价的</w:t>
      </w:r>
      <w:r>
        <w:rPr>
          <w:rFonts w:hint="eastAsia" w:ascii="宋体" w:hAnsi="宋体" w:eastAsia="宋体" w:cs="宋体"/>
          <w:b w:val="0"/>
          <w:bCs w:val="0"/>
          <w:color w:val="auto"/>
          <w:sz w:val="24"/>
          <w:szCs w:val="24"/>
          <w:u w:val="single"/>
          <w:lang w:val="en-US" w:eastAsia="zh-CN"/>
        </w:rPr>
        <w:t>5%</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7</w:t>
      </w:r>
      <w:bookmarkStart w:id="160" w:name="_Toc297216178"/>
      <w:bookmarkStart w:id="161" w:name="_Toc304295549"/>
      <w:bookmarkStart w:id="162" w:name="_Toc300934971"/>
      <w:bookmarkStart w:id="163" w:name="_Toc312678015"/>
      <w:bookmarkStart w:id="164" w:name="_Toc303539128"/>
      <w:bookmarkStart w:id="165" w:name="_Toc297123519"/>
      <w:r>
        <w:rPr>
          <w:rFonts w:hint="eastAsia" w:ascii="宋体" w:hAnsi="宋体" w:eastAsia="宋体" w:cs="宋体"/>
          <w:b w:val="0"/>
          <w:bCs w:val="0"/>
          <w:color w:val="auto"/>
          <w:sz w:val="24"/>
          <w:szCs w:val="24"/>
          <w:highlight w:val="none"/>
        </w:rPr>
        <w:t>.6 不</w:t>
      </w:r>
      <w:bookmarkEnd w:id="160"/>
      <w:bookmarkEnd w:id="161"/>
      <w:bookmarkEnd w:id="162"/>
      <w:bookmarkEnd w:id="163"/>
      <w:bookmarkEnd w:id="164"/>
      <w:bookmarkEnd w:id="165"/>
      <w:r>
        <w:rPr>
          <w:rFonts w:hint="eastAsia" w:ascii="宋体" w:hAnsi="宋体" w:eastAsia="宋体" w:cs="宋体"/>
          <w:b w:val="0"/>
          <w:bCs w:val="0"/>
          <w:color w:val="auto"/>
          <w:sz w:val="24"/>
          <w:szCs w:val="24"/>
          <w:highlight w:val="none"/>
        </w:rPr>
        <w:t>利物质条件</w:t>
      </w:r>
      <w:bookmarkStart w:id="166" w:name="_Toc312678016"/>
      <w:bookmarkStart w:id="167" w:name="_Toc303539129"/>
      <w:bookmarkStart w:id="168" w:name="_Toc297216179"/>
      <w:bookmarkStart w:id="169" w:name="_Toc297123520"/>
      <w:bookmarkStart w:id="170" w:name="_Toc300934972"/>
      <w:bookmarkStart w:id="171" w:name="_Toc318581172"/>
      <w:bookmarkStart w:id="172" w:name="_Toc304295550"/>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不利物质条件的其他情形和有关约定：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bookmarkEnd w:id="166"/>
    <w:bookmarkEnd w:id="167"/>
    <w:bookmarkEnd w:id="168"/>
    <w:bookmarkEnd w:id="169"/>
    <w:bookmarkEnd w:id="170"/>
    <w:bookmarkEnd w:id="171"/>
    <w:bookmarkEnd w:id="172"/>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7</w:t>
      </w:r>
      <w:bookmarkStart w:id="173" w:name="_Toc300934973"/>
      <w:bookmarkStart w:id="174" w:name="_Toc297123521"/>
      <w:bookmarkStart w:id="175" w:name="_Toc297216180"/>
      <w:bookmarkStart w:id="176" w:name="_Toc304295551"/>
      <w:bookmarkStart w:id="177" w:name="_Toc303539130"/>
      <w:bookmarkStart w:id="178" w:name="_Toc312678017"/>
      <w:r>
        <w:rPr>
          <w:rFonts w:hint="eastAsia" w:ascii="宋体" w:hAnsi="宋体" w:eastAsia="宋体" w:cs="宋体"/>
          <w:color w:val="auto"/>
          <w:sz w:val="24"/>
          <w:szCs w:val="24"/>
        </w:rPr>
        <w:t>.7异常恶劣的气候条件</w:t>
      </w:r>
    </w:p>
    <w:bookmarkEnd w:id="173"/>
    <w:bookmarkEnd w:id="174"/>
    <w:bookmarkEnd w:id="175"/>
    <w:bookmarkEnd w:id="176"/>
    <w:bookmarkEnd w:id="177"/>
    <w:bookmarkEnd w:id="178"/>
    <w:p>
      <w:pPr>
        <w:spacing w:beforeAutospacing="0"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发包人和承包人同意以下情形视为异常恶劣的气候条件：</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24小时内降雨量大于50mm的暴雨</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风速达到</w:t>
      </w:r>
      <w:r>
        <w:rPr>
          <w:rFonts w:hint="eastAsia" w:ascii="宋体" w:hAnsi="宋体" w:eastAsia="宋体" w:cs="宋体"/>
          <w:b w:val="0"/>
          <w:bCs w:val="0"/>
          <w:color w:val="auto"/>
          <w:sz w:val="24"/>
          <w:szCs w:val="24"/>
          <w:u w:val="single"/>
          <w:lang w:val="en-US" w:eastAsia="zh-CN"/>
        </w:rPr>
        <w:t>8级的台风灾害</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日气温超过</w:t>
      </w:r>
      <w:r>
        <w:rPr>
          <w:rFonts w:hint="eastAsia" w:ascii="宋体" w:hAnsi="宋体" w:eastAsia="宋体" w:cs="宋体"/>
          <w:b w:val="0"/>
          <w:bCs w:val="0"/>
          <w:color w:val="auto"/>
          <w:sz w:val="24"/>
          <w:szCs w:val="24"/>
          <w:u w:val="single"/>
          <w:lang w:val="en-US" w:eastAsia="zh-CN"/>
        </w:rPr>
        <w:t>38℃的高温大于3天</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日气温低于</w:t>
      </w:r>
      <w:r>
        <w:rPr>
          <w:rFonts w:hint="eastAsia" w:ascii="宋体" w:hAnsi="宋体" w:eastAsia="宋体" w:cs="宋体"/>
          <w:b w:val="0"/>
          <w:bCs w:val="0"/>
          <w:color w:val="auto"/>
          <w:sz w:val="24"/>
          <w:szCs w:val="24"/>
          <w:u w:val="single"/>
          <w:lang w:val="en-US" w:eastAsia="zh-CN"/>
        </w:rPr>
        <w:t>-20℃的严寒大于3天</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w:t>
      </w:r>
    </w:p>
    <w:p>
      <w:pPr>
        <w:spacing w:line="360" w:lineRule="auto"/>
        <w:ind w:firstLine="480" w:firstLineChars="200"/>
        <w:jc w:val="left"/>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u w:val="single"/>
          <w:lang w:eastAsia="zh-CN"/>
        </w:rPr>
        <w:t>造成工程损坏的冰雹和大雪灾害；日降雪量</w:t>
      </w:r>
      <w:r>
        <w:rPr>
          <w:rFonts w:hint="eastAsia" w:ascii="宋体" w:hAnsi="宋体" w:eastAsia="宋体" w:cs="宋体"/>
          <w:b w:val="0"/>
          <w:bCs w:val="0"/>
          <w:color w:val="auto"/>
          <w:sz w:val="24"/>
          <w:szCs w:val="24"/>
          <w:u w:val="single"/>
          <w:lang w:val="en-US" w:eastAsia="zh-CN"/>
        </w:rPr>
        <w:t>10mm及以上 ；</w:t>
      </w:r>
    </w:p>
    <w:p>
      <w:pPr>
        <w:spacing w:line="360" w:lineRule="auto"/>
        <w:ind w:firstLine="480" w:firstLineChars="200"/>
        <w:jc w:val="left"/>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u w:val="single"/>
          <w:lang w:val="en-US" w:eastAsia="zh-CN"/>
        </w:rPr>
        <w:t xml:space="preserve"> 其他异常恶劣气候灾害 </w:t>
      </w:r>
      <w:r>
        <w:rPr>
          <w:rFonts w:hint="eastAsia" w:ascii="宋体" w:hAnsi="宋体" w:eastAsia="宋体" w:cs="宋体"/>
          <w:b w:val="0"/>
          <w:bCs w:val="0"/>
          <w:color w:val="auto"/>
          <w:sz w:val="24"/>
          <w:szCs w:val="24"/>
          <w:u w:val="none"/>
          <w:lang w:val="en-US" w:eastAsia="zh-CN"/>
        </w:rPr>
        <w:t>。</w:t>
      </w:r>
    </w:p>
    <w:bookmarkEnd w:id="116"/>
    <w:bookmarkEnd w:id="117"/>
    <w:bookmarkEnd w:id="118"/>
    <w:bookmarkEnd w:id="119"/>
    <w:bookmarkEnd w:id="120"/>
    <w:bookmarkEnd w:id="121"/>
    <w:bookmarkEnd w:id="122"/>
    <w:bookmarkEnd w:id="123"/>
    <w:bookmarkEnd w:id="124"/>
    <w:bookmarkEnd w:id="125"/>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bookmarkStart w:id="179" w:name="_Toc351203640"/>
      <w:bookmarkStart w:id="180" w:name="_Toc300934980"/>
      <w:bookmarkStart w:id="181" w:name="_Toc296503168"/>
      <w:bookmarkStart w:id="182" w:name="_Toc296891208"/>
      <w:bookmarkStart w:id="183" w:name="_Toc296346669"/>
      <w:bookmarkStart w:id="184" w:name="_Toc297120468"/>
      <w:bookmarkStart w:id="185" w:name="_Toc280868655"/>
      <w:bookmarkStart w:id="186" w:name="_Toc296890996"/>
      <w:bookmarkStart w:id="187" w:name="_Toc280868656"/>
      <w:bookmarkStart w:id="188" w:name="_Toc312677494"/>
      <w:bookmarkStart w:id="189" w:name="_Toc296347167"/>
      <w:bookmarkStart w:id="190" w:name="_Toc318581173"/>
      <w:bookmarkStart w:id="191" w:name="_Toc312678020"/>
      <w:bookmarkStart w:id="192" w:name="_Toc297216187"/>
      <w:bookmarkStart w:id="193" w:name="_Toc296944507"/>
      <w:bookmarkStart w:id="194" w:name="_Toc297048354"/>
      <w:bookmarkStart w:id="195" w:name="_Toc267251424"/>
      <w:bookmarkStart w:id="196" w:name="_Toc304295557"/>
      <w:bookmarkStart w:id="197" w:name="_Toc303539137"/>
      <w:bookmarkStart w:id="198" w:name="_Toc297123528"/>
      <w:r>
        <w:rPr>
          <w:rFonts w:hint="eastAsia" w:ascii="宋体" w:hAnsi="宋体" w:eastAsia="宋体" w:cs="宋体"/>
          <w:b w:val="0"/>
          <w:bCs w:val="0"/>
          <w:color w:val="auto"/>
          <w:sz w:val="24"/>
          <w:szCs w:val="24"/>
        </w:rPr>
        <w:t>8. 材料与设备</w:t>
      </w:r>
      <w:bookmarkEnd w:id="179"/>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w:t>
      </w:r>
      <w:bookmarkStart w:id="199" w:name="_Toc304295556"/>
      <w:bookmarkStart w:id="200" w:name="_Toc280868654"/>
      <w:bookmarkStart w:id="201" w:name="_Toc312678019"/>
      <w:bookmarkStart w:id="202" w:name="_Toc296346668"/>
      <w:bookmarkStart w:id="203" w:name="_Toc312677493"/>
      <w:bookmarkStart w:id="204" w:name="_Toc297048353"/>
      <w:bookmarkStart w:id="205" w:name="_Toc292559877"/>
      <w:bookmarkStart w:id="206" w:name="_Toc297216186"/>
      <w:bookmarkStart w:id="207" w:name="_Toc296890995"/>
      <w:bookmarkStart w:id="208" w:name="_Toc296503167"/>
      <w:bookmarkStart w:id="209" w:name="_Toc297120467"/>
      <w:bookmarkStart w:id="210" w:name="_Toc303539136"/>
      <w:bookmarkStart w:id="211" w:name="_Toc296944506"/>
      <w:bookmarkStart w:id="212" w:name="_Toc296347166"/>
      <w:bookmarkStart w:id="213" w:name="_Toc296891207"/>
      <w:bookmarkStart w:id="214" w:name="_Toc297123527"/>
      <w:bookmarkStart w:id="215" w:name="_Toc292559372"/>
      <w:bookmarkStart w:id="216" w:name="_Toc300934979"/>
      <w:r>
        <w:rPr>
          <w:rFonts w:hint="eastAsia" w:ascii="宋体" w:hAnsi="宋体" w:eastAsia="宋体" w:cs="宋体"/>
          <w:b w:val="0"/>
          <w:bCs w:val="0"/>
          <w:color w:val="auto"/>
          <w:sz w:val="24"/>
          <w:szCs w:val="24"/>
        </w:rPr>
        <w:t>.4材料与工程设备的保管与使用</w:t>
      </w:r>
    </w:p>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Pr>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w:t>
      </w:r>
      <w:bookmarkStart w:id="217" w:name="_Toc292559373"/>
      <w:bookmarkStart w:id="218" w:name="_Toc292559878"/>
      <w:r>
        <w:rPr>
          <w:rFonts w:hint="eastAsia" w:ascii="宋体" w:hAnsi="宋体" w:eastAsia="宋体" w:cs="宋体"/>
          <w:b w:val="0"/>
          <w:bCs w:val="0"/>
          <w:color w:val="auto"/>
          <w:sz w:val="24"/>
          <w:szCs w:val="24"/>
        </w:rPr>
        <w:t>.4.1发包人供应的材料设备的保管费用的承担：</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由承包人承担</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bookmarkEnd w:id="217"/>
      <w:bookmarkEnd w:id="218"/>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8.6 样品</w:t>
      </w:r>
    </w:p>
    <w:p>
      <w:pPr>
        <w:autoSpaceDE w:val="0"/>
        <w:autoSpaceDN w:val="0"/>
        <w:adjustRightInd w:val="0"/>
        <w:spacing w:beforeAutospacing="0"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8.6.1</w:t>
      </w:r>
      <w:r>
        <w:rPr>
          <w:rFonts w:hint="eastAsia" w:ascii="宋体" w:hAnsi="宋体" w:eastAsia="宋体" w:cs="宋体"/>
          <w:b w:val="0"/>
          <w:bCs w:val="0"/>
          <w:color w:val="auto"/>
          <w:kern w:val="0"/>
          <w:sz w:val="24"/>
          <w:szCs w:val="24"/>
        </w:rPr>
        <w:tab/>
      </w:r>
      <w:r>
        <w:rPr>
          <w:rFonts w:hint="eastAsia" w:ascii="宋体" w:hAnsi="宋体" w:eastAsia="宋体" w:cs="宋体"/>
          <w:b w:val="0"/>
          <w:bCs w:val="0"/>
          <w:color w:val="auto"/>
          <w:kern w:val="0"/>
          <w:sz w:val="24"/>
          <w:szCs w:val="24"/>
        </w:rPr>
        <w:t>样品的报送与封存</w:t>
      </w:r>
    </w:p>
    <w:p>
      <w:pPr>
        <w:autoSpaceDE w:val="0"/>
        <w:autoSpaceDN w:val="0"/>
        <w:adjustRightInd w:val="0"/>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rPr>
        <w:t>需要承包人报送样品的材料或工程设备，样品的种类、名称、规格、数量要求：</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按现行国家、省、市或行业的工程建设标准、规范的要求执行</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8.8 施工设备和临时设施</w:t>
      </w:r>
    </w:p>
    <w:p>
      <w:pPr>
        <w:autoSpaceDE w:val="0"/>
        <w:autoSpaceDN w:val="0"/>
        <w:adjustRightInd w:val="0"/>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8.8.1 承包人提供的施工设备和临时设施</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rPr>
        <w:t>关于修建临时设施费用承担的约定：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由承包人承担</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highlight w:val="none"/>
        </w:rPr>
        <w:t>。</w:t>
      </w:r>
    </w:p>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Pr>
        <w:tabs>
          <w:tab w:val="left" w:pos="864"/>
        </w:tabs>
        <w:spacing w:before="0" w:beforeAutospacing="0" w:after="0" w:afterAutospacing="0" w:line="360" w:lineRule="auto"/>
        <w:outlineLvl w:val="9"/>
        <w:rPr>
          <w:rFonts w:hint="eastAsia" w:ascii="宋体" w:hAnsi="宋体" w:eastAsia="宋体" w:cs="宋体"/>
          <w:b w:val="0"/>
          <w:color w:val="auto"/>
          <w:sz w:val="24"/>
          <w:szCs w:val="24"/>
        </w:rPr>
      </w:pPr>
      <w:bookmarkStart w:id="219" w:name="_Toc351203642"/>
      <w:bookmarkStart w:id="220" w:name="_Toc351203643"/>
      <w:bookmarkStart w:id="221" w:name="_Toc267251433"/>
      <w:bookmarkStart w:id="222" w:name="_Toc267251435"/>
      <w:bookmarkStart w:id="223" w:name="_Toc267251437"/>
      <w:bookmarkStart w:id="224" w:name="_Toc267251441"/>
      <w:bookmarkStart w:id="225" w:name="_Toc267251440"/>
      <w:bookmarkStart w:id="226" w:name="_Toc267251439"/>
      <w:bookmarkStart w:id="227" w:name="_Toc267251442"/>
      <w:r>
        <w:rPr>
          <w:rFonts w:hint="eastAsia" w:ascii="宋体" w:hAnsi="宋体" w:eastAsia="宋体" w:cs="宋体"/>
          <w:b w:val="0"/>
          <w:color w:val="auto"/>
          <w:sz w:val="24"/>
          <w:szCs w:val="24"/>
        </w:rPr>
        <w:t>1</w:t>
      </w:r>
      <w:bookmarkStart w:id="228" w:name="_Toc297123540"/>
      <w:bookmarkStart w:id="229" w:name="_Toc296347192"/>
      <w:bookmarkStart w:id="230" w:name="_Toc296503193"/>
      <w:bookmarkStart w:id="231" w:name="_Toc297120493"/>
      <w:bookmarkStart w:id="232" w:name="_Toc296891233"/>
      <w:bookmarkStart w:id="233" w:name="_Toc297216199"/>
      <w:bookmarkStart w:id="234" w:name="_Toc304295566"/>
      <w:bookmarkStart w:id="235" w:name="_Toc292559398"/>
      <w:bookmarkStart w:id="236" w:name="_Toc300934989"/>
      <w:bookmarkStart w:id="237" w:name="_Toc296891021"/>
      <w:bookmarkStart w:id="238" w:name="_Toc296944532"/>
      <w:bookmarkStart w:id="239" w:name="_Toc303539146"/>
      <w:bookmarkStart w:id="240" w:name="_Toc297048379"/>
      <w:bookmarkStart w:id="241" w:name="_Toc292559903"/>
      <w:bookmarkStart w:id="242" w:name="_Toc296346694"/>
      <w:bookmarkStart w:id="243" w:name="_Toc312677499"/>
      <w:bookmarkStart w:id="244" w:name="_Toc312678025"/>
      <w:r>
        <w:rPr>
          <w:rFonts w:hint="eastAsia" w:ascii="宋体" w:hAnsi="宋体" w:eastAsia="宋体" w:cs="宋体"/>
          <w:b w:val="0"/>
          <w:color w:val="auto"/>
          <w:sz w:val="24"/>
          <w:szCs w:val="24"/>
        </w:rPr>
        <w:t>0. 变更</w:t>
      </w:r>
      <w:bookmarkEnd w:id="219"/>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bookmarkEnd w:id="243"/>
    <w:bookmarkEnd w:id="244"/>
    <w:p>
      <w:pPr>
        <w:spacing w:beforeAutospacing="0"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bookmarkStart w:id="245" w:name="_Toc296944533"/>
      <w:bookmarkStart w:id="246" w:name="_Toc292559399"/>
      <w:bookmarkStart w:id="247" w:name="_Toc296346695"/>
      <w:bookmarkStart w:id="248" w:name="_Toc303539147"/>
      <w:bookmarkStart w:id="249" w:name="_Toc304295567"/>
      <w:bookmarkStart w:id="250" w:name="_Toc296891234"/>
      <w:bookmarkStart w:id="251" w:name="_Toc292559904"/>
      <w:bookmarkStart w:id="252" w:name="_Toc297120494"/>
      <w:bookmarkStart w:id="253" w:name="_Toc296503194"/>
      <w:bookmarkStart w:id="254" w:name="_Toc312678026"/>
      <w:bookmarkStart w:id="255" w:name="_Toc296891022"/>
      <w:bookmarkStart w:id="256" w:name="_Toc312677500"/>
      <w:bookmarkStart w:id="257" w:name="_Toc300934990"/>
      <w:bookmarkStart w:id="258" w:name="_Toc296347193"/>
      <w:bookmarkStart w:id="259" w:name="_Toc297048380"/>
      <w:bookmarkStart w:id="260" w:name="_Toc297123541"/>
      <w:bookmarkStart w:id="261" w:name="_Toc297216200"/>
      <w:r>
        <w:rPr>
          <w:rFonts w:hint="eastAsia" w:ascii="宋体" w:hAnsi="宋体" w:eastAsia="宋体" w:cs="宋体"/>
          <w:color w:val="auto"/>
          <w:sz w:val="24"/>
          <w:szCs w:val="24"/>
        </w:rPr>
        <w:t>0.1变更的范围</w:t>
      </w:r>
    </w:p>
    <w:p>
      <w:pPr>
        <w:spacing w:beforeAutospacing="0"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关于变更的范围的约定：</w:t>
      </w:r>
      <w:r>
        <w:rPr>
          <w:rFonts w:hint="eastAsia" w:ascii="宋体" w:hAnsi="宋体" w:eastAsia="宋体" w:cs="宋体"/>
          <w:b/>
          <w:bCs/>
          <w:color w:val="auto"/>
          <w:sz w:val="24"/>
          <w:szCs w:val="24"/>
          <w:u w:val="single"/>
        </w:rPr>
        <w:t xml:space="preserve"> </w:t>
      </w:r>
      <w:r>
        <w:rPr>
          <w:rFonts w:hint="eastAsia" w:ascii="宋体" w:hAnsi="宋体" w:eastAsia="宋体" w:cs="宋体"/>
          <w:b/>
          <w:bCs/>
          <w:color w:val="auto"/>
          <w:sz w:val="24"/>
          <w:szCs w:val="24"/>
          <w:u w:val="single"/>
          <w:lang w:eastAsia="zh-CN"/>
        </w:rPr>
        <w:t>执行通用条款</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10.4 变更估价</w:t>
      </w:r>
    </w:p>
    <w:p>
      <w:pPr>
        <w:spacing w:beforeAutospacing="0"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10.4.1 变更估价原则</w:t>
      </w:r>
    </w:p>
    <w:p>
      <w:pPr>
        <w:spacing w:line="360" w:lineRule="auto"/>
        <w:ind w:firstLine="480" w:firstLineChars="200"/>
        <w:jc w:val="left"/>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 xml:space="preserve">关于变更估价的约定: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w:t>
      </w:r>
    </w:p>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Start w:id="262" w:name="_Toc297048383"/>
      <w:bookmarkStart w:id="263" w:name="_Toc296944536"/>
      <w:bookmarkStart w:id="264" w:name="_Toc300934993"/>
      <w:bookmarkStart w:id="265" w:name="_Toc297120497"/>
      <w:bookmarkStart w:id="266" w:name="_Toc297216203"/>
      <w:bookmarkStart w:id="267" w:name="_Toc292559907"/>
      <w:bookmarkStart w:id="268" w:name="_Toc296891237"/>
      <w:bookmarkStart w:id="269" w:name="_Toc297123544"/>
      <w:bookmarkStart w:id="270" w:name="_Toc296891025"/>
      <w:bookmarkStart w:id="271" w:name="_Toc292559402"/>
      <w:bookmarkStart w:id="272" w:name="_Toc303539150"/>
      <w:bookmarkStart w:id="273" w:name="_Toc296347196"/>
      <w:bookmarkStart w:id="274" w:name="_Toc296503197"/>
      <w:bookmarkStart w:id="275" w:name="_Toc296346698"/>
      <w:bookmarkStart w:id="276" w:name="_Toc312678029"/>
      <w:bookmarkStart w:id="277" w:name="_Toc312677503"/>
      <w:bookmarkStart w:id="278" w:name="_Toc304295570"/>
      <w:r>
        <w:rPr>
          <w:rFonts w:hint="eastAsia" w:ascii="宋体" w:hAnsi="宋体" w:eastAsia="宋体" w:cs="宋体"/>
          <w:color w:val="auto"/>
          <w:sz w:val="24"/>
          <w:szCs w:val="24"/>
        </w:rPr>
        <w:t>0.5承</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Start w:id="279" w:name="_Toc300934994"/>
      <w:bookmarkStart w:id="280" w:name="_Toc296347202"/>
      <w:bookmarkStart w:id="281" w:name="_Toc297048389"/>
      <w:bookmarkStart w:id="282" w:name="_Toc296503203"/>
      <w:bookmarkStart w:id="283" w:name="_Toc296891243"/>
      <w:bookmarkStart w:id="284" w:name="_Toc303539151"/>
      <w:bookmarkStart w:id="285" w:name="_Toc296346704"/>
      <w:bookmarkStart w:id="286" w:name="_Toc292559408"/>
      <w:bookmarkStart w:id="287" w:name="_Toc297216204"/>
      <w:bookmarkStart w:id="288" w:name="_Toc297120503"/>
      <w:bookmarkStart w:id="289" w:name="_Toc292559913"/>
      <w:bookmarkStart w:id="290" w:name="_Toc297123545"/>
      <w:bookmarkStart w:id="291" w:name="_Toc296891031"/>
      <w:bookmarkStart w:id="292" w:name="_Toc296944542"/>
      <w:r>
        <w:rPr>
          <w:rFonts w:hint="eastAsia" w:ascii="宋体" w:hAnsi="宋体" w:eastAsia="宋体" w:cs="宋体"/>
          <w:color w:val="auto"/>
          <w:sz w:val="24"/>
          <w:szCs w:val="24"/>
        </w:rPr>
        <w:t>包人的合理化建议</w:t>
      </w:r>
    </w:p>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Pr>
        <w:spacing w:beforeAutospacing="0" w:line="360" w:lineRule="auto"/>
        <w:ind w:firstLine="480" w:firstLineChars="200"/>
        <w:jc w:val="left"/>
        <w:outlineLvl w:val="9"/>
        <w:rPr>
          <w:rFonts w:hint="eastAsia" w:ascii="宋体" w:hAnsi="宋体" w:eastAsia="宋体" w:cs="宋体"/>
          <w:color w:val="auto"/>
          <w:sz w:val="24"/>
          <w:szCs w:val="24"/>
        </w:rPr>
      </w:pP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审查承包人合理化建议的期限：</w:t>
      </w:r>
      <w:r>
        <w:rPr>
          <w:rFonts w:hint="eastAsia" w:ascii="宋体" w:hAnsi="宋体" w:eastAsia="宋体" w:cs="宋体"/>
          <w:color w:val="auto"/>
          <w:sz w:val="24"/>
          <w:szCs w:val="24"/>
          <w:u w:val="single"/>
        </w:rPr>
        <w:t xml:space="preserve"> </w:t>
      </w:r>
      <w:r>
        <w:rPr>
          <w:rFonts w:hint="eastAsia" w:ascii="宋体" w:hAnsi="宋体" w:eastAsia="宋体" w:cs="宋体"/>
          <w:b/>
          <w:bCs/>
          <w:color w:val="auto"/>
          <w:sz w:val="24"/>
          <w:szCs w:val="24"/>
          <w:u w:val="single"/>
          <w:lang w:val="en-US" w:eastAsia="zh-CN"/>
        </w:rPr>
        <w:t>7天内</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发包人审批承包人合理化建议的期限：</w:t>
      </w:r>
      <w:r>
        <w:rPr>
          <w:rFonts w:hint="eastAsia" w:ascii="宋体" w:hAnsi="宋体" w:eastAsia="宋体" w:cs="宋体"/>
          <w:color w:val="auto"/>
          <w:sz w:val="24"/>
          <w:szCs w:val="24"/>
          <w:u w:val="single"/>
        </w:rPr>
        <w:t xml:space="preserve"> </w:t>
      </w:r>
      <w:r>
        <w:rPr>
          <w:rFonts w:hint="eastAsia" w:ascii="宋体" w:hAnsi="宋体" w:eastAsia="宋体" w:cs="宋体"/>
          <w:b/>
          <w:bCs/>
          <w:color w:val="auto"/>
          <w:sz w:val="24"/>
          <w:szCs w:val="24"/>
          <w:u w:val="single"/>
          <w:lang w:val="en-US" w:eastAsia="zh-CN"/>
        </w:rPr>
        <w:t>7天内</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spacing w:line="360" w:lineRule="auto"/>
        <w:jc w:val="left"/>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承</w:t>
      </w:r>
      <w:bookmarkStart w:id="293" w:name="_Toc297120504"/>
      <w:bookmarkStart w:id="294" w:name="_Toc318581175"/>
      <w:bookmarkStart w:id="295" w:name="_Toc297216205"/>
      <w:bookmarkStart w:id="296" w:name="_Toc297048390"/>
      <w:bookmarkStart w:id="297" w:name="_Toc303539152"/>
      <w:bookmarkStart w:id="298" w:name="_Toc296503204"/>
      <w:bookmarkStart w:id="299" w:name="_Toc296891244"/>
      <w:bookmarkStart w:id="300" w:name="_Toc292559409"/>
      <w:bookmarkStart w:id="301" w:name="_Toc296346705"/>
      <w:bookmarkStart w:id="302" w:name="_Toc304295571"/>
      <w:bookmarkStart w:id="303" w:name="_Toc296347203"/>
      <w:bookmarkStart w:id="304" w:name="_Toc292559914"/>
      <w:bookmarkStart w:id="305" w:name="_Toc296944543"/>
      <w:bookmarkStart w:id="306" w:name="_Toc296891032"/>
      <w:bookmarkStart w:id="307" w:name="_Toc312677504"/>
      <w:bookmarkStart w:id="308" w:name="_Toc312678030"/>
      <w:bookmarkStart w:id="309" w:name="_Toc300934995"/>
      <w:bookmarkStart w:id="310" w:name="_Toc297123546"/>
      <w:r>
        <w:rPr>
          <w:rFonts w:hint="eastAsia" w:ascii="宋体" w:hAnsi="宋体" w:eastAsia="宋体" w:cs="宋体"/>
          <w:color w:val="auto"/>
          <w:sz w:val="24"/>
          <w:szCs w:val="24"/>
        </w:rPr>
        <w:t>包人提出的合理化建议降低了合同价格或者提高了工程经济效益的奖励的方法和金额为：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bookmarkStart w:id="311" w:name="_Toc300934997"/>
      <w:bookmarkStart w:id="312" w:name="_Toc296891239"/>
      <w:bookmarkStart w:id="313" w:name="_Toc312677507"/>
      <w:bookmarkStart w:id="314" w:name="_Toc303539154"/>
      <w:bookmarkStart w:id="315" w:name="_Toc297120499"/>
      <w:bookmarkStart w:id="316" w:name="_Toc297048385"/>
      <w:bookmarkStart w:id="317" w:name="_Toc292559404"/>
      <w:bookmarkStart w:id="318" w:name="_Toc304295574"/>
      <w:bookmarkStart w:id="319" w:name="_Toc312678033"/>
      <w:bookmarkStart w:id="320" w:name="_Toc297123548"/>
      <w:bookmarkStart w:id="321" w:name="_Toc296503199"/>
      <w:bookmarkStart w:id="322" w:name="_Toc296347198"/>
      <w:bookmarkStart w:id="323" w:name="_Toc296944538"/>
      <w:bookmarkStart w:id="324" w:name="_Toc296891027"/>
      <w:bookmarkStart w:id="325" w:name="_Toc292559909"/>
      <w:bookmarkStart w:id="326" w:name="_Toc296346700"/>
      <w:bookmarkStart w:id="327" w:name="_Toc297216207"/>
      <w:r>
        <w:rPr>
          <w:rFonts w:hint="eastAsia" w:ascii="宋体" w:hAnsi="宋体" w:eastAsia="宋体" w:cs="宋体"/>
          <w:color w:val="auto"/>
          <w:sz w:val="24"/>
          <w:szCs w:val="24"/>
        </w:rPr>
        <w:t>0.7 暂估价</w:t>
      </w:r>
    </w:p>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bookmarkStart w:id="328" w:name="_Toc312678035"/>
      <w:bookmarkStart w:id="329" w:name="_Toc312677509"/>
      <w:bookmarkStart w:id="330" w:name="_Toc318581177"/>
      <w:r>
        <w:rPr>
          <w:rFonts w:hint="eastAsia" w:ascii="宋体" w:hAnsi="宋体" w:eastAsia="宋体" w:cs="宋体"/>
          <w:color w:val="auto"/>
          <w:sz w:val="24"/>
          <w:szCs w:val="24"/>
        </w:rPr>
        <w:t>0.7.1 依法必须招标的暂估价项目</w:t>
      </w:r>
    </w:p>
    <w:bookmarkEnd w:id="328"/>
    <w:bookmarkEnd w:id="329"/>
    <w:bookmarkEnd w:id="330"/>
    <w:p>
      <w:pPr>
        <w:spacing w:line="360" w:lineRule="auto"/>
        <w:ind w:firstLine="480" w:firstLineChars="20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对于依法必须招标的暂估价项目的确认和批准采取</w:t>
      </w:r>
      <w:r>
        <w:rPr>
          <w:rFonts w:hint="eastAsia" w:ascii="宋体" w:hAnsi="宋体" w:eastAsia="宋体" w:cs="宋体"/>
          <w:color w:val="auto"/>
          <w:sz w:val="24"/>
          <w:szCs w:val="24"/>
          <w:highlight w:val="none"/>
          <w:lang w:eastAsia="zh-CN"/>
        </w:rPr>
        <w:t>第</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种方式确定。</w:t>
      </w:r>
    </w:p>
    <w:p>
      <w:pPr>
        <w:spacing w:line="360" w:lineRule="auto"/>
        <w:ind w:firstLine="480" w:firstLineChars="20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10.7.2 不属于依法必须招标的暂估价项目</w:t>
      </w:r>
    </w:p>
    <w:p>
      <w:pPr>
        <w:spacing w:line="360" w:lineRule="auto"/>
        <w:ind w:firstLine="480" w:firstLineChars="20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对于不属于依法必须招标的暂估价项目的确认和批准采取</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spacing w:line="360" w:lineRule="auto"/>
        <w:ind w:firstLine="480" w:firstLineChars="200"/>
        <w:jc w:val="left"/>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第3种方式：</w:t>
      </w:r>
      <w:r>
        <w:rPr>
          <w:rFonts w:hint="eastAsia" w:ascii="宋体" w:hAnsi="宋体" w:eastAsia="宋体" w:cs="宋体"/>
          <w:color w:val="auto"/>
          <w:kern w:val="0"/>
          <w:sz w:val="24"/>
          <w:szCs w:val="24"/>
        </w:rPr>
        <w:t>承包人直接实施的暂估价项目</w:t>
      </w:r>
    </w:p>
    <w:p>
      <w:pPr>
        <w:spacing w:line="360" w:lineRule="auto"/>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承包人直接实施的暂估价项目的约定：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spacing w:afterAutospacing="0"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10.8 暂列金额</w:t>
      </w:r>
    </w:p>
    <w:p>
      <w:pPr>
        <w:autoSpaceDE w:val="0"/>
        <w:autoSpaceDN w:val="0"/>
        <w:adjustRightInd w:val="0"/>
        <w:spacing w:beforeAutospacing="0" w:afterAutospacing="0" w:line="360" w:lineRule="auto"/>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合同当事人关于暂列金额使用的约定：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11. 价格调整</w:t>
      </w:r>
      <w:bookmarkEnd w:id="220"/>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331" w:name="_Toc297216209"/>
      <w:bookmarkStart w:id="332" w:name="_Toc297123550"/>
      <w:bookmarkStart w:id="333" w:name="_Toc292559406"/>
      <w:bookmarkStart w:id="334" w:name="_Toc297120501"/>
      <w:bookmarkStart w:id="335" w:name="_Toc296346702"/>
      <w:bookmarkStart w:id="336" w:name="_Toc304295577"/>
      <w:bookmarkStart w:id="337" w:name="_Toc296891241"/>
      <w:bookmarkStart w:id="338" w:name="_Toc296347200"/>
      <w:bookmarkStart w:id="339" w:name="_Toc300935000"/>
      <w:bookmarkStart w:id="340" w:name="_Toc296891029"/>
      <w:bookmarkStart w:id="341" w:name="_Toc303539157"/>
      <w:bookmarkStart w:id="342" w:name="_Toc296944540"/>
      <w:bookmarkStart w:id="343" w:name="_Toc296503201"/>
      <w:bookmarkStart w:id="344" w:name="_Toc312678039"/>
      <w:bookmarkStart w:id="345" w:name="_Toc297048387"/>
      <w:bookmarkStart w:id="346" w:name="_Toc292559911"/>
      <w:r>
        <w:rPr>
          <w:rFonts w:hint="eastAsia" w:ascii="宋体" w:hAnsi="宋体" w:eastAsia="宋体" w:cs="宋体"/>
          <w:color w:val="auto"/>
          <w:sz w:val="24"/>
          <w:szCs w:val="24"/>
          <w:highlight w:val="none"/>
        </w:rPr>
        <w:t>11.1 市场价格波动引起的调整</w:t>
      </w:r>
    </w:p>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市场价格波动是否调整合同价格的约定：</w:t>
      </w:r>
      <w:r>
        <w:rPr>
          <w:rFonts w:hint="eastAsia" w:ascii="宋体" w:hAnsi="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因市场价格波动调整合同价格，采用以下第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种方式对合同价格进行调整：</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第1种方式：采用价格指数进行价格调整。</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关于各可调因子、定值和变值权重，以及基本价格指数及其来源的约定：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第2种方式：采用造价信息进行价格调整。</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（2）关于基准价格的约定：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专用合同条款①承包人在已标价工程量清单或预算书中载明的材料单价低于基准价格的：专用合同条款合同履行期间材料单价涨幅以基准价格为基础超过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%时，或材料单价跌幅以已标价工程量清单或预算书中载明材料单价为基础超过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%时，其超过部分据实调整。</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②承包人在已标价工程量清单或预算书中载明的材料单价高于基准价格的：专用合同条款合同履行期间材料单价跌幅以基准价格为基础超过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%时，材料单价涨幅以已标价工程量清单或预算书中载明材料单价为基础超过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%时，其超过部分据实调整。</w:t>
      </w:r>
    </w:p>
    <w:bookmarkEnd w:id="221"/>
    <w:bookmarkEnd w:id="222"/>
    <w:bookmarkEnd w:id="223"/>
    <w:bookmarkEnd w:id="224"/>
    <w:bookmarkEnd w:id="225"/>
    <w:bookmarkEnd w:id="226"/>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347" w:name="_Toc296891033"/>
      <w:bookmarkStart w:id="348" w:name="_Toc292559410"/>
      <w:bookmarkStart w:id="349" w:name="_Toc296346706"/>
      <w:bookmarkStart w:id="350" w:name="_Toc296347204"/>
      <w:bookmarkStart w:id="351" w:name="_Toc292559915"/>
      <w:bookmarkStart w:id="352" w:name="_Toc296944544"/>
      <w:bookmarkStart w:id="353" w:name="_Toc297120505"/>
      <w:bookmarkStart w:id="354" w:name="_Toc296891245"/>
      <w:bookmarkStart w:id="355" w:name="_Toc296503205"/>
      <w:bookmarkStart w:id="356" w:name="_Toc297048391"/>
      <w:bookmarkStart w:id="357" w:name="_Toc351203644"/>
      <w:bookmarkStart w:id="358" w:name="_Toc300935002"/>
      <w:bookmarkStart w:id="359" w:name="_Toc297123552"/>
      <w:bookmarkStart w:id="360" w:name="_Toc297216211"/>
      <w:bookmarkStart w:id="361" w:name="_Toc303539159"/>
      <w:bookmarkStart w:id="362" w:name="_Toc312678040"/>
      <w:bookmarkStart w:id="363" w:name="_Toc304295579"/>
      <w:r>
        <w:rPr>
          <w:rFonts w:hint="eastAsia" w:ascii="宋体" w:hAnsi="宋体" w:eastAsia="宋体" w:cs="宋体"/>
          <w:b w:val="0"/>
          <w:color w:val="auto"/>
          <w:sz w:val="24"/>
          <w:szCs w:val="24"/>
          <w:highlight w:val="none"/>
        </w:rPr>
        <w:t xml:space="preserve">12. </w:t>
      </w:r>
      <w:bookmarkEnd w:id="347"/>
      <w:bookmarkEnd w:id="348"/>
      <w:bookmarkEnd w:id="349"/>
      <w:bookmarkEnd w:id="350"/>
      <w:bookmarkEnd w:id="351"/>
      <w:bookmarkEnd w:id="352"/>
      <w:bookmarkEnd w:id="353"/>
      <w:bookmarkEnd w:id="354"/>
      <w:bookmarkEnd w:id="355"/>
      <w:bookmarkEnd w:id="356"/>
      <w:r>
        <w:rPr>
          <w:rFonts w:hint="eastAsia" w:ascii="宋体" w:hAnsi="宋体" w:eastAsia="宋体" w:cs="宋体"/>
          <w:b w:val="0"/>
          <w:color w:val="auto"/>
          <w:sz w:val="24"/>
          <w:szCs w:val="24"/>
          <w:highlight w:val="none"/>
        </w:rPr>
        <w:t>合同价格、计量与支付</w:t>
      </w:r>
      <w:bookmarkEnd w:id="357"/>
    </w:p>
    <w:bookmarkEnd w:id="358"/>
    <w:bookmarkEnd w:id="359"/>
    <w:bookmarkEnd w:id="360"/>
    <w:bookmarkEnd w:id="361"/>
    <w:bookmarkEnd w:id="362"/>
    <w:bookmarkEnd w:id="363"/>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364" w:name="_Toc292559411"/>
      <w:bookmarkStart w:id="365" w:name="_Toc267251461"/>
      <w:bookmarkStart w:id="366" w:name="_Toc292559916"/>
      <w:bookmarkStart w:id="367" w:name="_Toc297048392"/>
      <w:bookmarkStart w:id="368" w:name="_Toc296944545"/>
      <w:bookmarkStart w:id="369" w:name="_Toc296891034"/>
      <w:bookmarkStart w:id="370" w:name="_Toc296346707"/>
      <w:bookmarkStart w:id="371" w:name="_Toc296503206"/>
      <w:bookmarkStart w:id="372" w:name="_Toc296347205"/>
      <w:bookmarkStart w:id="373" w:name="_Toc296891246"/>
      <w:bookmarkStart w:id="374" w:name="_Toc297120506"/>
      <w:bookmarkStart w:id="375" w:name="_Toc297216212"/>
      <w:bookmarkStart w:id="376" w:name="_Toc300935003"/>
      <w:bookmarkStart w:id="377" w:name="_Toc312678041"/>
      <w:bookmarkStart w:id="378" w:name="_Toc303539160"/>
      <w:bookmarkStart w:id="379" w:name="_Toc304295580"/>
      <w:bookmarkStart w:id="380" w:name="_Toc297123553"/>
      <w:r>
        <w:rPr>
          <w:rFonts w:hint="eastAsia" w:ascii="宋体" w:hAnsi="宋体" w:eastAsia="宋体" w:cs="宋体"/>
          <w:color w:val="auto"/>
          <w:sz w:val="24"/>
          <w:szCs w:val="24"/>
          <w:highlight w:val="none"/>
        </w:rPr>
        <w:t>12.1 合</w:t>
      </w:r>
      <w:bookmarkEnd w:id="364"/>
      <w:bookmarkEnd w:id="365"/>
      <w:bookmarkEnd w:id="366"/>
      <w:r>
        <w:rPr>
          <w:rFonts w:hint="eastAsia" w:ascii="宋体" w:hAnsi="宋体" w:eastAsia="宋体" w:cs="宋体"/>
          <w:color w:val="auto"/>
          <w:sz w:val="24"/>
          <w:szCs w:val="24"/>
          <w:highlight w:val="none"/>
        </w:rPr>
        <w:t>同价</w:t>
      </w:r>
      <w:bookmarkEnd w:id="367"/>
      <w:bookmarkEnd w:id="368"/>
      <w:bookmarkEnd w:id="369"/>
      <w:bookmarkEnd w:id="370"/>
      <w:bookmarkEnd w:id="371"/>
      <w:bookmarkEnd w:id="372"/>
      <w:bookmarkEnd w:id="373"/>
      <w:bookmarkEnd w:id="374"/>
      <w:r>
        <w:rPr>
          <w:rFonts w:hint="eastAsia" w:ascii="宋体" w:hAnsi="宋体" w:eastAsia="宋体" w:cs="宋体"/>
          <w:color w:val="auto"/>
          <w:sz w:val="24"/>
          <w:szCs w:val="24"/>
          <w:highlight w:val="none"/>
        </w:rPr>
        <w:t>格形式</w:t>
      </w:r>
    </w:p>
    <w:bookmarkEnd w:id="375"/>
    <w:bookmarkEnd w:id="376"/>
    <w:bookmarkEnd w:id="377"/>
    <w:bookmarkEnd w:id="378"/>
    <w:bookmarkEnd w:id="379"/>
    <w:bookmarkEnd w:id="380"/>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1、单价合同。</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综合单价包含的风险范围：</w:t>
      </w:r>
      <w:r>
        <w:rPr>
          <w:rFonts w:hint="eastAsia" w:ascii="宋体" w:hAnsi="宋体" w:eastAsia="宋体" w:cs="宋体"/>
          <w:b w:val="0"/>
          <w:bCs w:val="0"/>
          <w:color w:val="auto"/>
          <w:sz w:val="24"/>
          <w:szCs w:val="24"/>
          <w:u w:val="single"/>
          <w:lang w:eastAsia="zh-CN"/>
        </w:rPr>
        <w:t>均包括完成该工程项目的成本、利润、税金、技术措施费、大型机械进出场费、风险费、政策性文件规定费用等所有费用</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u w:val="single"/>
        </w:rPr>
        <w:t>因甲方设计变更、现场签证、洽商文件、发包人认质认价单等建设单位签认文件应依照招标文件、答疑纪要要求进行调整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2、总价合同。</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3、其他价格方式：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381" w:name="_Toc303539161"/>
      <w:bookmarkStart w:id="382" w:name="_Toc300935004"/>
      <w:bookmarkStart w:id="383" w:name="_Toc297123554"/>
      <w:bookmarkStart w:id="384" w:name="_Toc304295581"/>
      <w:bookmarkStart w:id="385" w:name="_Toc312678042"/>
      <w:bookmarkStart w:id="386" w:name="_Toc297216213"/>
      <w:bookmarkStart w:id="387" w:name="_Toc296503207"/>
      <w:bookmarkStart w:id="388" w:name="_Toc297048393"/>
      <w:bookmarkStart w:id="389" w:name="_Toc296347206"/>
      <w:bookmarkStart w:id="390" w:name="_Toc297120507"/>
      <w:bookmarkStart w:id="391" w:name="_Toc296944546"/>
      <w:bookmarkStart w:id="392" w:name="_Toc296346708"/>
      <w:bookmarkStart w:id="393" w:name="_Toc296891247"/>
      <w:bookmarkStart w:id="394" w:name="_Toc296891035"/>
      <w:bookmarkStart w:id="395" w:name="_Toc292559412"/>
      <w:bookmarkStart w:id="396" w:name="_Toc292559917"/>
      <w:r>
        <w:rPr>
          <w:rFonts w:hint="eastAsia" w:ascii="宋体" w:hAnsi="宋体" w:eastAsia="宋体" w:cs="宋体"/>
          <w:color w:val="auto"/>
          <w:sz w:val="24"/>
          <w:szCs w:val="24"/>
          <w:highlight w:val="none"/>
        </w:rPr>
        <w:t>12.2 预付款</w:t>
      </w:r>
    </w:p>
    <w:bookmarkEnd w:id="381"/>
    <w:bookmarkEnd w:id="382"/>
    <w:bookmarkEnd w:id="383"/>
    <w:bookmarkEnd w:id="384"/>
    <w:bookmarkEnd w:id="385"/>
    <w:bookmarkEnd w:id="386"/>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12.2.1 预付款的支付</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bookmarkEnd w:id="387"/>
    <w:bookmarkEnd w:id="388"/>
    <w:bookmarkEnd w:id="389"/>
    <w:bookmarkEnd w:id="390"/>
    <w:bookmarkEnd w:id="391"/>
    <w:bookmarkEnd w:id="392"/>
    <w:bookmarkEnd w:id="393"/>
    <w:bookmarkEnd w:id="394"/>
    <w:bookmarkEnd w:id="395"/>
    <w:bookmarkEnd w:id="396"/>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 计量</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12.3.1 计量原则</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工程量计算规则：</w:t>
      </w:r>
      <w:r>
        <w:rPr>
          <w:rFonts w:hint="eastAsia" w:ascii="宋体" w:hAnsi="宋体" w:eastAsia="宋体" w:cs="宋体"/>
          <w:color w:val="auto"/>
          <w:sz w:val="24"/>
          <w:szCs w:val="24"/>
          <w:highlight w:val="none"/>
          <w:u w:val="single"/>
        </w:rPr>
        <w:t xml:space="preserve">（2009）《陕西省建设工程工程量清单计价规则》 </w:t>
      </w:r>
      <w:r>
        <w:rPr>
          <w:rFonts w:hint="eastAsia" w:ascii="宋体" w:hAnsi="宋体" w:eastAsia="宋体" w:cs="宋体"/>
          <w:color w:val="auto"/>
          <w:sz w:val="24"/>
          <w:szCs w:val="24"/>
          <w:highlight w:val="none"/>
        </w:rPr>
        <w:t>。</w:t>
      </w:r>
    </w:p>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12.3.2 计量周期</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color w:val="auto"/>
          <w:sz w:val="24"/>
          <w:szCs w:val="24"/>
        </w:rPr>
        <w:t>关于计量周期的约定：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按实际施工及验收进度支付</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12.3.3 单价合同的计量</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b w:val="0"/>
          <w:bCs w:val="0"/>
          <w:color w:val="auto"/>
          <w:sz w:val="24"/>
          <w:szCs w:val="24"/>
        </w:rPr>
        <w:t>关于单价合同计量的约定：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color w:val="auto"/>
          <w:sz w:val="24"/>
          <w:szCs w:val="24"/>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12.3.4 总价合同的计量</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关于总价合同计量的约定：</w:t>
      </w:r>
      <w:r>
        <w:rPr>
          <w:rFonts w:hint="eastAsia" w:ascii="宋体" w:hAnsi="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12.3.5总价合同采用支付分解表计量支付的，是否适用第</w:t>
      </w:r>
      <w:r>
        <w:rPr>
          <w:rFonts w:hint="eastAsia" w:ascii="宋体" w:hAnsi="宋体" w:eastAsia="宋体" w:cs="宋体"/>
          <w:color w:val="auto"/>
          <w:kern w:val="0"/>
          <w:sz w:val="24"/>
          <w:szCs w:val="24"/>
          <w:highlight w:val="none"/>
        </w:rPr>
        <w:t xml:space="preserve">12.3.4 </w:t>
      </w:r>
      <w:r>
        <w:rPr>
          <w:rFonts w:hint="eastAsia" w:ascii="宋体" w:hAnsi="宋体" w:eastAsia="宋体" w:cs="宋体"/>
          <w:color w:val="auto"/>
          <w:sz w:val="24"/>
          <w:szCs w:val="24"/>
          <w:highlight w:val="none"/>
        </w:rPr>
        <w:t>项</w:t>
      </w:r>
      <w:r>
        <w:rPr>
          <w:rFonts w:hint="eastAsia" w:ascii="宋体" w:hAnsi="宋体" w:eastAsia="宋体" w:cs="宋体"/>
          <w:color w:val="auto"/>
          <w:kern w:val="0"/>
          <w:sz w:val="24"/>
          <w:szCs w:val="24"/>
          <w:highlight w:val="none"/>
        </w:rPr>
        <w:t>〔总价合同的计量〕</w:t>
      </w:r>
      <w:r>
        <w:rPr>
          <w:rFonts w:hint="eastAsia" w:ascii="宋体" w:hAnsi="宋体" w:eastAsia="宋体" w:cs="宋体"/>
          <w:color w:val="auto"/>
          <w:sz w:val="24"/>
          <w:szCs w:val="24"/>
          <w:highlight w:val="none"/>
        </w:rPr>
        <w:t>约定进行计量：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12.3.6 其他价格形式合同的计量</w:t>
      </w:r>
    </w:p>
    <w:p>
      <w:pPr>
        <w:pageBreakBefore w:val="0"/>
        <w:kinsoku/>
        <w:wordWrap/>
        <w:overflowPunct/>
        <w:topLinePunct w:val="0"/>
        <w:bidi w:val="0"/>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其他价格形式的计量方式和程序：</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12.4 工程进度款支付</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397" w:name="_Toc303539163"/>
      <w:bookmarkStart w:id="398" w:name="_Toc297123556"/>
      <w:bookmarkStart w:id="399" w:name="_Toc296891039"/>
      <w:bookmarkStart w:id="400" w:name="_Toc297216215"/>
      <w:bookmarkStart w:id="401" w:name="_Toc292559416"/>
      <w:bookmarkStart w:id="402" w:name="_Toc296891251"/>
      <w:bookmarkStart w:id="403" w:name="_Toc296347210"/>
      <w:bookmarkStart w:id="404" w:name="_Toc296346712"/>
      <w:bookmarkStart w:id="405" w:name="_Toc296503211"/>
      <w:bookmarkStart w:id="406" w:name="_Toc296944550"/>
      <w:bookmarkStart w:id="407" w:name="_Toc297048397"/>
      <w:bookmarkStart w:id="408" w:name="_Toc297120511"/>
      <w:bookmarkStart w:id="409" w:name="_Toc292559921"/>
      <w:bookmarkStart w:id="410" w:name="_Toc300935006"/>
      <w:r>
        <w:rPr>
          <w:rFonts w:hint="eastAsia" w:ascii="宋体" w:hAnsi="宋体" w:eastAsia="宋体" w:cs="宋体"/>
          <w:color w:val="auto"/>
          <w:sz w:val="24"/>
          <w:szCs w:val="24"/>
          <w:highlight w:val="none"/>
        </w:rPr>
        <w:t>12.4.1 付款周期</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关于付款周期的约定：</w:t>
      </w:r>
      <w:r>
        <w:rPr>
          <w:rFonts w:hint="eastAsia" w:ascii="宋体" w:hAnsi="宋体" w:eastAsia="宋体" w:cs="宋体"/>
          <w:b/>
          <w:bCs/>
          <w:color w:val="auto"/>
          <w:sz w:val="24"/>
          <w:szCs w:val="24"/>
          <w:highlight w:val="none"/>
          <w:u w:val="single"/>
          <w:lang w:eastAsia="zh-CN"/>
        </w:rPr>
        <w:t>合同签订后付本工程总价款的50%，本工程完工并竣工验收合格后，付工程总价款的47%，暂停支付。将剩余工程总价款的3%作为工程质量保证金，工程质量保证金在缺陷责任期（缺陷责任期：两年）期满后，无质量保修缺陷一次性不计息返还。</w:t>
      </w:r>
    </w:p>
    <w:bookmarkEnd w:id="227"/>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411" w:name="_Toc297048409"/>
      <w:bookmarkStart w:id="412" w:name="_Toc296503223"/>
      <w:bookmarkStart w:id="413" w:name="_Toc304295596"/>
      <w:bookmarkStart w:id="414" w:name="_Toc296891263"/>
      <w:bookmarkStart w:id="415" w:name="_Toc296346724"/>
      <w:bookmarkStart w:id="416" w:name="_Toc303539173"/>
      <w:bookmarkStart w:id="417" w:name="_Toc292559933"/>
      <w:bookmarkStart w:id="418" w:name="_Toc297120523"/>
      <w:bookmarkStart w:id="419" w:name="_Toc300935016"/>
      <w:bookmarkStart w:id="420" w:name="_Toc296891051"/>
      <w:bookmarkStart w:id="421" w:name="_Toc297216224"/>
      <w:bookmarkStart w:id="422" w:name="_Toc296944562"/>
      <w:bookmarkStart w:id="423" w:name="_Toc292559428"/>
      <w:bookmarkStart w:id="424" w:name="_Toc296347222"/>
      <w:bookmarkStart w:id="425" w:name="_Toc312678056"/>
      <w:bookmarkStart w:id="426" w:name="_Toc297123565"/>
      <w:bookmarkStart w:id="427" w:name="_Toc267251471"/>
      <w:bookmarkStart w:id="428" w:name="_Toc267251475"/>
      <w:bookmarkStart w:id="429" w:name="_Toc267251470"/>
      <w:bookmarkStart w:id="430" w:name="_Toc267251473"/>
      <w:bookmarkStart w:id="431" w:name="_Toc267251472"/>
      <w:bookmarkStart w:id="432" w:name="_Toc267251476"/>
      <w:bookmarkStart w:id="433" w:name="_Toc267251474"/>
      <w:r>
        <w:rPr>
          <w:rFonts w:hint="eastAsia" w:ascii="宋体" w:hAnsi="宋体" w:eastAsia="宋体" w:cs="宋体"/>
          <w:color w:val="auto"/>
          <w:sz w:val="24"/>
          <w:szCs w:val="24"/>
          <w:highlight w:val="none"/>
        </w:rPr>
        <w:t>13.2 竣工验收</w:t>
      </w:r>
    </w:p>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434" w:name="_Toc280868704"/>
      <w:bookmarkStart w:id="435" w:name="_Toc280868705"/>
      <w:bookmarkStart w:id="436" w:name="_Toc280868706"/>
      <w:bookmarkStart w:id="437" w:name="_Toc280868707"/>
      <w:bookmarkStart w:id="438" w:name="_Toc280868708"/>
      <w:bookmarkStart w:id="439" w:name="_Toc280868709"/>
      <w:r>
        <w:rPr>
          <w:rFonts w:hint="eastAsia" w:ascii="宋体" w:hAnsi="宋体" w:eastAsia="宋体" w:cs="宋体"/>
          <w:color w:val="auto"/>
          <w:sz w:val="24"/>
          <w:szCs w:val="24"/>
          <w:highlight w:val="none"/>
        </w:rPr>
        <w:t>13.2.2竣工验收程序</w:t>
      </w:r>
    </w:p>
    <w:bookmarkEnd w:id="434"/>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发包人不按照本项约定组织竣工验收、颁发工程接收证书的违约金的计算方法：</w:t>
      </w:r>
      <w:r>
        <w:rPr>
          <w:rFonts w:hint="eastAsia" w:ascii="宋体" w:hAnsi="宋体" w:cs="宋体"/>
          <w:color w:val="auto"/>
          <w:sz w:val="24"/>
          <w:szCs w:val="24"/>
          <w:highlight w:val="none"/>
          <w:u w:val="single"/>
          <w:lang w:eastAsia="zh-CN"/>
        </w:rPr>
        <w:t>执行通用条款</w:t>
      </w:r>
      <w:r>
        <w:rPr>
          <w:rFonts w:hint="eastAsia" w:ascii="宋体" w:hAnsi="宋体" w:eastAsia="宋体" w:cs="宋体"/>
          <w:color w:val="auto"/>
          <w:sz w:val="24"/>
          <w:szCs w:val="24"/>
          <w:highlight w:val="none"/>
        </w:rPr>
        <w:t>。</w:t>
      </w:r>
    </w:p>
    <w:bookmarkEnd w:id="435"/>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13.2.5移交、接收全部与部分工程</w:t>
      </w:r>
    </w:p>
    <w:bookmarkEnd w:id="436"/>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承包人向发包人移交工程的期限：</w:t>
      </w:r>
      <w:r>
        <w:rPr>
          <w:rFonts w:hint="eastAsia" w:ascii="宋体" w:hAnsi="宋体" w:cs="宋体"/>
          <w:color w:val="auto"/>
          <w:sz w:val="24"/>
          <w:szCs w:val="24"/>
          <w:highlight w:val="none"/>
          <w:u w:val="single"/>
          <w:lang w:eastAsia="zh-CN"/>
        </w:rPr>
        <w:t>执行通用条款</w:t>
      </w:r>
      <w:r>
        <w:rPr>
          <w:rFonts w:hint="eastAsia" w:ascii="宋体" w:hAnsi="宋体" w:eastAsia="宋体" w:cs="宋体"/>
          <w:color w:val="auto"/>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发包人未按本合同约定接收全部或部分工程的，违约金的计算方法为：</w:t>
      </w:r>
      <w:r>
        <w:rPr>
          <w:rFonts w:hint="eastAsia" w:ascii="宋体" w:hAnsi="宋体" w:cs="宋体"/>
          <w:color w:val="auto"/>
          <w:sz w:val="24"/>
          <w:szCs w:val="24"/>
          <w:highlight w:val="none"/>
          <w:u w:val="single"/>
          <w:lang w:eastAsia="zh-CN"/>
        </w:rPr>
        <w:t>执行通用条款</w:t>
      </w:r>
      <w:r>
        <w:rPr>
          <w:rFonts w:hint="eastAsia" w:ascii="宋体" w:hAnsi="宋体" w:eastAsia="宋体" w:cs="宋体"/>
          <w:color w:val="auto"/>
          <w:sz w:val="24"/>
          <w:szCs w:val="24"/>
          <w:highlight w:val="none"/>
        </w:rPr>
        <w:t>。</w:t>
      </w:r>
      <w:bookmarkEnd w:id="437"/>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承包人未按时移交工程的，违约金的计算方法为：</w:t>
      </w:r>
      <w:r>
        <w:rPr>
          <w:rFonts w:hint="eastAsia" w:ascii="宋体" w:hAnsi="宋体" w:cs="宋体"/>
          <w:color w:val="auto"/>
          <w:sz w:val="24"/>
          <w:szCs w:val="24"/>
          <w:highlight w:val="none"/>
          <w:u w:val="single"/>
          <w:lang w:eastAsia="zh-CN"/>
        </w:rPr>
        <w:t>执行通用条款</w:t>
      </w:r>
      <w:r>
        <w:rPr>
          <w:rFonts w:hint="eastAsia" w:ascii="宋体" w:hAnsi="宋体" w:eastAsia="宋体" w:cs="宋体"/>
          <w:color w:val="auto"/>
          <w:sz w:val="24"/>
          <w:szCs w:val="24"/>
          <w:highlight w:val="none"/>
        </w:rPr>
        <w:t>。</w:t>
      </w:r>
    </w:p>
    <w:bookmarkEnd w:id="438"/>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bookmarkStart w:id="440" w:name="_Toc351203646"/>
      <w:r>
        <w:rPr>
          <w:rFonts w:hint="eastAsia" w:ascii="宋体" w:hAnsi="宋体" w:eastAsia="宋体" w:cs="宋体"/>
          <w:b w:val="0"/>
          <w:bCs w:val="0"/>
          <w:color w:val="auto"/>
          <w:sz w:val="24"/>
          <w:szCs w:val="24"/>
        </w:rPr>
        <w:t>14. 竣工结算</w:t>
      </w:r>
      <w:bookmarkEnd w:id="440"/>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14.1 竣工付款申请</w:t>
      </w:r>
    </w:p>
    <w:p>
      <w:pPr>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承包人提交竣工付款申请单的期限：</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竣工</w:t>
      </w:r>
      <w:r>
        <w:rPr>
          <w:rFonts w:hint="eastAsia" w:ascii="宋体" w:hAnsi="宋体" w:eastAsia="宋体" w:cs="宋体"/>
          <w:b w:val="0"/>
          <w:bCs w:val="0"/>
          <w:color w:val="auto"/>
          <w:sz w:val="24"/>
          <w:szCs w:val="24"/>
          <w:lang w:eastAsia="zh-CN"/>
        </w:rPr>
        <w:t>结算</w:t>
      </w:r>
      <w:r>
        <w:rPr>
          <w:rFonts w:hint="eastAsia" w:ascii="宋体" w:hAnsi="宋体" w:eastAsia="宋体" w:cs="宋体"/>
          <w:b w:val="0"/>
          <w:bCs w:val="0"/>
          <w:color w:val="auto"/>
          <w:sz w:val="24"/>
          <w:szCs w:val="24"/>
        </w:rPr>
        <w:t>申请单应包括的内容：</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14.2 竣工结算审核</w:t>
      </w:r>
    </w:p>
    <w:p>
      <w:pPr>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发包人审批竣工付款申请单的期限：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发包人完成竣工付款的期限：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关于竣工付款证书异议部分复核的方式和程序：</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14.4 最终结清</w:t>
      </w:r>
    </w:p>
    <w:p>
      <w:pPr>
        <w:spacing w:beforeAutospacing="0"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14.4.1 最终结清申请单</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承包人提交最终结清申请单的份数：</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贰份</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rPr>
        <w:t>承包人提交最终结算申请单的期限：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缺陷责任期终止证书颁发后</w:t>
      </w:r>
      <w:r>
        <w:rPr>
          <w:rFonts w:hint="eastAsia" w:ascii="宋体" w:hAnsi="宋体" w:eastAsia="宋体" w:cs="宋体"/>
          <w:b w:val="0"/>
          <w:bCs w:val="0"/>
          <w:color w:val="auto"/>
          <w:sz w:val="24"/>
          <w:szCs w:val="24"/>
          <w:u w:val="single"/>
          <w:lang w:val="en-US" w:eastAsia="zh-CN"/>
        </w:rPr>
        <w:t>7天</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 xml:space="preserve">。 </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14.4.2 最终结清证书和支付</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（1）发包人完成最终结清申请单的审批并颁发最终结清证书的期限：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jc w:val="left"/>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rPr>
        <w:t>（2）发包人完成支付的期限：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bookmarkEnd w:id="427"/>
    <w:bookmarkEnd w:id="428"/>
    <w:bookmarkEnd w:id="429"/>
    <w:bookmarkEnd w:id="430"/>
    <w:bookmarkEnd w:id="431"/>
    <w:bookmarkEnd w:id="432"/>
    <w:bookmarkEnd w:id="433"/>
    <w:bookmarkEnd w:id="439"/>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441" w:name="_Toc351203647"/>
      <w:bookmarkStart w:id="442" w:name="_Toc267251483"/>
      <w:bookmarkStart w:id="443" w:name="_Toc267251482"/>
      <w:bookmarkStart w:id="444" w:name="_Toc267251484"/>
      <w:bookmarkStart w:id="445" w:name="_Toc267251485"/>
      <w:bookmarkStart w:id="446" w:name="_Toc267251489"/>
      <w:bookmarkStart w:id="447" w:name="_Toc267251488"/>
      <w:bookmarkStart w:id="448" w:name="_Toc267251486"/>
      <w:bookmarkStart w:id="449" w:name="_Toc267251490"/>
      <w:bookmarkStart w:id="450" w:name="_Toc267251491"/>
      <w:bookmarkStart w:id="451" w:name="_Toc267251511"/>
      <w:bookmarkStart w:id="452" w:name="_Toc267251507"/>
      <w:bookmarkStart w:id="453" w:name="_Toc267251493"/>
      <w:bookmarkStart w:id="454" w:name="_Toc267251502"/>
      <w:bookmarkStart w:id="455" w:name="_Toc267251496"/>
      <w:bookmarkStart w:id="456" w:name="_Toc267251499"/>
      <w:bookmarkStart w:id="457" w:name="_Toc267251514"/>
      <w:bookmarkStart w:id="458" w:name="_Toc267251509"/>
      <w:bookmarkStart w:id="459" w:name="_Toc267251501"/>
      <w:bookmarkStart w:id="460" w:name="_Toc267251504"/>
      <w:bookmarkStart w:id="461" w:name="_Toc267251510"/>
      <w:bookmarkStart w:id="462" w:name="_Toc267251508"/>
      <w:bookmarkStart w:id="463" w:name="_Toc267251506"/>
      <w:bookmarkStart w:id="464" w:name="_Toc267251503"/>
      <w:bookmarkStart w:id="465" w:name="_Toc267251497"/>
      <w:bookmarkStart w:id="466" w:name="_Toc267251513"/>
      <w:bookmarkStart w:id="467" w:name="_Toc267251498"/>
      <w:bookmarkStart w:id="468" w:name="_Toc267251492"/>
      <w:bookmarkStart w:id="469" w:name="_Toc267251515"/>
      <w:bookmarkStart w:id="470" w:name="_Toc267251495"/>
      <w:bookmarkStart w:id="471" w:name="_Toc267251494"/>
      <w:r>
        <w:rPr>
          <w:rFonts w:hint="eastAsia" w:ascii="宋体" w:hAnsi="宋体" w:eastAsia="宋体" w:cs="宋体"/>
          <w:b w:val="0"/>
          <w:color w:val="auto"/>
          <w:sz w:val="24"/>
          <w:szCs w:val="24"/>
          <w:highlight w:val="none"/>
        </w:rPr>
        <w:t>15. 缺陷责任期与保修</w:t>
      </w:r>
      <w:bookmarkEnd w:id="441"/>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15.2缺陷责任期</w:t>
      </w:r>
      <w:bookmarkEnd w:id="442"/>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缺陷责任期的具体期限：</w:t>
      </w:r>
      <w:r>
        <w:rPr>
          <w:rFonts w:hint="eastAsia" w:ascii="宋体" w:hAnsi="宋体" w:eastAsia="宋体" w:cs="宋体"/>
          <w:color w:val="auto"/>
          <w:sz w:val="24"/>
          <w:szCs w:val="24"/>
          <w:highlight w:val="none"/>
          <w:u w:val="single"/>
        </w:rPr>
        <w:t>见工程质量保修书</w:t>
      </w:r>
      <w:r>
        <w:rPr>
          <w:rFonts w:hint="eastAsia" w:ascii="宋体" w:hAnsi="宋体" w:eastAsia="宋体" w:cs="宋体"/>
          <w:color w:val="auto"/>
          <w:sz w:val="24"/>
          <w:szCs w:val="24"/>
          <w:highlight w:val="none"/>
        </w:rPr>
        <w:t>。</w:t>
      </w:r>
    </w:p>
    <w:p>
      <w:pPr>
        <w:keepNext/>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472" w:name="_Toc29522"/>
      <w:bookmarkStart w:id="473" w:name="_Toc510449981"/>
      <w:bookmarkStart w:id="474" w:name="_Toc23311"/>
      <w:bookmarkStart w:id="475" w:name="_Toc16864"/>
      <w:bookmarkStart w:id="476" w:name="_Toc508702745"/>
      <w:bookmarkStart w:id="477" w:name="_Toc5755"/>
      <w:bookmarkStart w:id="478" w:name="_Toc508703903"/>
      <w:r>
        <w:rPr>
          <w:rFonts w:hint="eastAsia" w:ascii="宋体" w:hAnsi="宋体" w:eastAsia="宋体" w:cs="宋体"/>
          <w:color w:val="auto"/>
          <w:sz w:val="24"/>
          <w:szCs w:val="24"/>
          <w:highlight w:val="none"/>
        </w:rPr>
        <w:t>15.3 质量保证金</w:t>
      </w:r>
      <w:bookmarkEnd w:id="472"/>
      <w:bookmarkEnd w:id="473"/>
      <w:bookmarkEnd w:id="474"/>
      <w:bookmarkEnd w:id="475"/>
      <w:bookmarkEnd w:id="476"/>
      <w:bookmarkEnd w:id="477"/>
      <w:bookmarkEnd w:id="478"/>
    </w:p>
    <w:p>
      <w:pPr>
        <w:keepNext/>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关于是否扣留质量保证金的约定：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扣留</w:t>
      </w:r>
      <w:r>
        <w:rPr>
          <w:rFonts w:hint="eastAsia" w:ascii="宋体" w:hAnsi="宋体" w:eastAsia="宋体" w:cs="宋体"/>
          <w:color w:val="auto"/>
          <w:sz w:val="24"/>
          <w:szCs w:val="24"/>
          <w:highlight w:val="none"/>
        </w:rPr>
        <w:t>。在工程项目竣工前，承包人按专用合同条款第3.7条提供履约担保的，发包人不得同时预留工程质量保证金。</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479" w:name="_Toc3502"/>
      <w:bookmarkStart w:id="480" w:name="_Toc508703904"/>
      <w:bookmarkStart w:id="481" w:name="_Toc12727"/>
      <w:bookmarkStart w:id="482" w:name="_Toc510449982"/>
      <w:bookmarkStart w:id="483" w:name="_Toc5401"/>
      <w:bookmarkStart w:id="484" w:name="_Toc508702746"/>
      <w:bookmarkStart w:id="485" w:name="_Toc10208"/>
      <w:r>
        <w:rPr>
          <w:rFonts w:hint="eastAsia" w:ascii="宋体" w:hAnsi="宋体" w:eastAsia="宋体" w:cs="宋体"/>
          <w:color w:val="auto"/>
          <w:sz w:val="24"/>
          <w:szCs w:val="24"/>
          <w:highlight w:val="none"/>
        </w:rPr>
        <w:t>15.3.1 承包人提供质量保证金的方式</w:t>
      </w:r>
      <w:bookmarkEnd w:id="479"/>
      <w:bookmarkEnd w:id="480"/>
      <w:bookmarkEnd w:id="481"/>
      <w:bookmarkEnd w:id="482"/>
      <w:bookmarkEnd w:id="483"/>
      <w:bookmarkEnd w:id="484"/>
      <w:bookmarkEnd w:id="485"/>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质量保证金采用以下第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（1）质量保证金保函，保证金额为：</w:t>
      </w:r>
      <w:r>
        <w:rPr>
          <w:rFonts w:hint="eastAsia" w:ascii="宋体" w:hAnsi="宋体" w:eastAsia="宋体" w:cs="宋体"/>
          <w:b w:val="0"/>
          <w:bCs w:val="0"/>
          <w:color w:val="auto"/>
          <w:kern w:val="0"/>
          <w:sz w:val="24"/>
          <w:szCs w:val="24"/>
          <w:highlight w:val="none"/>
          <w:u w:val="single"/>
        </w:rPr>
        <w:t xml:space="preserve">  </w:t>
      </w:r>
      <w:r>
        <w:rPr>
          <w:rFonts w:hint="eastAsia" w:ascii="宋体" w:hAnsi="宋体" w:cs="宋体"/>
          <w:b w:val="0"/>
          <w:bCs w:val="0"/>
          <w:color w:val="auto"/>
          <w:kern w:val="0"/>
          <w:sz w:val="24"/>
          <w:szCs w:val="24"/>
          <w:highlight w:val="none"/>
          <w:u w:val="single"/>
          <w:lang w:val="en-US" w:eastAsia="zh-CN"/>
        </w:rPr>
        <w:t xml:space="preserve"> </w:t>
      </w:r>
      <w:r>
        <w:rPr>
          <w:rFonts w:hint="eastAsia" w:ascii="宋体" w:hAnsi="宋体" w:eastAsia="宋体" w:cs="宋体"/>
          <w:b w:val="0"/>
          <w:bCs w:val="0"/>
          <w:color w:val="auto"/>
          <w:kern w:val="0"/>
          <w:sz w:val="24"/>
          <w:szCs w:val="24"/>
          <w:highlight w:val="none"/>
          <w:u w:val="single"/>
          <w:lang w:val="en-US" w:eastAsia="zh-CN"/>
        </w:rPr>
        <w:t>/</w:t>
      </w:r>
      <w:r>
        <w:rPr>
          <w:rFonts w:hint="eastAsia" w:ascii="宋体" w:hAnsi="宋体" w:eastAsia="宋体" w:cs="宋体"/>
          <w:b w:val="0"/>
          <w:bCs w:val="0"/>
          <w:color w:val="auto"/>
          <w:kern w:val="0"/>
          <w:sz w:val="24"/>
          <w:szCs w:val="24"/>
          <w:highlight w:val="none"/>
          <w:u w:val="single"/>
        </w:rPr>
        <w:t xml:space="preserve">   </w:t>
      </w:r>
      <w:r>
        <w:rPr>
          <w:rFonts w:hint="eastAsia" w:ascii="宋体" w:hAnsi="宋体" w:eastAsia="宋体" w:cs="宋体"/>
          <w:b w:val="0"/>
          <w:bCs w:val="0"/>
          <w:color w:val="auto"/>
          <w:kern w:val="0"/>
          <w:sz w:val="24"/>
          <w:szCs w:val="24"/>
          <w:highlight w:val="none"/>
        </w:rPr>
        <w:t xml:space="preserve">； </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3</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%的工程款；</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（3）其他方式:</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486" w:name="_Toc10852"/>
      <w:bookmarkStart w:id="487" w:name="_Toc508703905"/>
      <w:bookmarkStart w:id="488" w:name="_Toc23460"/>
      <w:bookmarkStart w:id="489" w:name="_Toc25822"/>
      <w:bookmarkStart w:id="490" w:name="_Toc27735"/>
      <w:bookmarkStart w:id="491" w:name="_Toc510449983"/>
      <w:bookmarkStart w:id="492" w:name="_Toc508702747"/>
      <w:r>
        <w:rPr>
          <w:rFonts w:hint="eastAsia" w:ascii="宋体" w:hAnsi="宋体" w:eastAsia="宋体" w:cs="宋体"/>
          <w:color w:val="auto"/>
          <w:sz w:val="24"/>
          <w:szCs w:val="24"/>
          <w:highlight w:val="none"/>
        </w:rPr>
        <w:t>15.3.2 质量保证金的扣留</w:t>
      </w:r>
      <w:bookmarkEnd w:id="486"/>
      <w:bookmarkEnd w:id="487"/>
      <w:bookmarkEnd w:id="488"/>
      <w:bookmarkEnd w:id="489"/>
      <w:bookmarkEnd w:id="490"/>
      <w:bookmarkEnd w:id="491"/>
      <w:bookmarkEnd w:id="492"/>
      <w:r>
        <w:rPr>
          <w:rFonts w:hint="eastAsia" w:ascii="宋体" w:hAnsi="宋体" w:eastAsia="宋体" w:cs="宋体"/>
          <w:color w:val="auto"/>
          <w:sz w:val="24"/>
          <w:szCs w:val="24"/>
          <w:highlight w:val="none"/>
        </w:rPr>
        <w:t xml:space="preserve"> </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质量保证金的扣留采取以下第</w:t>
      </w:r>
      <w:r>
        <w:rPr>
          <w:rFonts w:hint="eastAsia" w:ascii="宋体" w:hAnsi="宋体" w:eastAsia="宋体" w:cs="宋体"/>
          <w:color w:val="auto"/>
          <w:sz w:val="24"/>
          <w:szCs w:val="24"/>
          <w:highlight w:val="none"/>
          <w:u w:val="single"/>
        </w:rPr>
        <w:t xml:space="preserve">  2 </w:t>
      </w:r>
      <w:r>
        <w:rPr>
          <w:rFonts w:hint="eastAsia" w:ascii="宋体" w:hAnsi="宋体" w:eastAsia="宋体" w:cs="宋体"/>
          <w:color w:val="auto"/>
          <w:sz w:val="24"/>
          <w:szCs w:val="24"/>
          <w:highlight w:val="none"/>
        </w:rPr>
        <w:t>种方式：</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（1）在支付工程进度款时逐次扣留，在此情形下，质量保证金的计算基数不包括预付款的支付、扣回以及价格调整的金额；</w:t>
      </w:r>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bookmarkStart w:id="493" w:name="_Toc5423"/>
      <w:bookmarkStart w:id="494" w:name="_Toc508703906"/>
      <w:bookmarkStart w:id="495" w:name="_Toc29332"/>
      <w:bookmarkStart w:id="496" w:name="_Toc508702748"/>
      <w:bookmarkStart w:id="497" w:name="_Toc510449984"/>
      <w:bookmarkStart w:id="498" w:name="_Toc19263"/>
      <w:bookmarkStart w:id="499" w:name="_Toc16720"/>
      <w:r>
        <w:rPr>
          <w:rFonts w:hint="eastAsia" w:ascii="宋体" w:hAnsi="宋体" w:eastAsia="宋体" w:cs="宋体"/>
          <w:color w:val="auto"/>
          <w:kern w:val="0"/>
          <w:sz w:val="24"/>
          <w:szCs w:val="24"/>
          <w:highlight w:val="none"/>
        </w:rPr>
        <w:t>（2）工程竣工结算时一次性扣留质量保证金；</w:t>
      </w:r>
      <w:bookmarkEnd w:id="493"/>
      <w:bookmarkEnd w:id="494"/>
      <w:bookmarkEnd w:id="495"/>
      <w:bookmarkEnd w:id="496"/>
      <w:bookmarkEnd w:id="497"/>
      <w:bookmarkEnd w:id="498"/>
      <w:bookmarkEnd w:id="499"/>
    </w:p>
    <w:p>
      <w:pPr>
        <w:pageBreakBefore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（3）其他扣留方式:</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关于质量保证金的补充约定：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bookmarkEnd w:id="443"/>
    <w:bookmarkEnd w:id="444"/>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15.4保修</w:t>
      </w:r>
    </w:p>
    <w:bookmarkEnd w:id="445"/>
    <w:p>
      <w:pPr>
        <w:pageBreakBefore w:val="0"/>
        <w:kinsoku/>
        <w:wordWrap/>
        <w:overflowPunct/>
        <w:topLinePunct w:val="0"/>
        <w:bidi w:val="0"/>
        <w:snapToGrid/>
        <w:spacing w:line="360" w:lineRule="auto"/>
        <w:ind w:firstLine="468" w:firstLineChars="195"/>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15.4.1 保修责任</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工程保修期为：</w:t>
      </w:r>
      <w:r>
        <w:rPr>
          <w:rFonts w:hint="eastAsia" w:ascii="宋体" w:hAnsi="宋体" w:eastAsia="宋体" w:cs="宋体"/>
          <w:color w:val="auto"/>
          <w:sz w:val="24"/>
          <w:szCs w:val="24"/>
          <w:highlight w:val="none"/>
          <w:u w:val="single"/>
        </w:rPr>
        <w:t>见工程质量保修书</w:t>
      </w:r>
      <w:r>
        <w:rPr>
          <w:rFonts w:hint="eastAsia" w:ascii="宋体" w:hAnsi="宋体" w:eastAsia="宋体" w:cs="宋体"/>
          <w:color w:val="auto"/>
          <w:kern w:val="0"/>
          <w:sz w:val="24"/>
          <w:szCs w:val="24"/>
          <w:highlight w:val="none"/>
        </w:rPr>
        <w:t>。</w:t>
      </w:r>
    </w:p>
    <w:bookmarkEnd w:id="446"/>
    <w:bookmarkEnd w:id="447"/>
    <w:bookmarkEnd w:id="448"/>
    <w:bookmarkEnd w:id="449"/>
    <w:p>
      <w:pPr>
        <w:pageBreakBefore w:val="0"/>
        <w:numPr>
          <w:ilvl w:val="3"/>
          <w:numId w:val="6"/>
        </w:numPr>
        <w:kinsoku/>
        <w:wordWrap/>
        <w:overflowPunct/>
        <w:topLinePunct w:val="0"/>
        <w:bidi w:val="0"/>
        <w:snapToGrid/>
        <w:spacing w:before="0" w:after="0" w:line="360" w:lineRule="auto"/>
        <w:textAlignment w:val="auto"/>
        <w:outlineLvl w:val="9"/>
        <w:rPr>
          <w:rFonts w:hint="eastAsia" w:ascii="宋体" w:hAnsi="宋体" w:eastAsia="宋体" w:cs="宋体"/>
          <w:b w:val="0"/>
          <w:color w:val="auto"/>
          <w:sz w:val="24"/>
          <w:szCs w:val="24"/>
          <w:highlight w:val="none"/>
        </w:rPr>
      </w:pPr>
      <w:bookmarkStart w:id="500" w:name="_Toc351203648"/>
      <w:bookmarkStart w:id="501" w:name="_Toc280868717"/>
      <w:bookmarkStart w:id="502" w:name="_Toc280868718"/>
      <w:r>
        <w:rPr>
          <w:rFonts w:hint="eastAsia" w:ascii="宋体" w:hAnsi="宋体" w:eastAsia="宋体" w:cs="宋体"/>
          <w:b w:val="0"/>
          <w:color w:val="auto"/>
          <w:sz w:val="24"/>
          <w:szCs w:val="24"/>
          <w:highlight w:val="none"/>
        </w:rPr>
        <w:t>16. 违约</w:t>
      </w:r>
      <w:bookmarkEnd w:id="500"/>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503" w:name="_Toc510449985"/>
      <w:bookmarkStart w:id="504" w:name="_Toc15712"/>
      <w:bookmarkStart w:id="505" w:name="_Toc31351"/>
      <w:bookmarkStart w:id="506" w:name="_Toc508702749"/>
      <w:bookmarkStart w:id="507" w:name="_Toc13968"/>
      <w:bookmarkStart w:id="508" w:name="_Toc508703907"/>
      <w:bookmarkStart w:id="509" w:name="_Toc25235"/>
      <w:r>
        <w:rPr>
          <w:rFonts w:hint="eastAsia" w:ascii="宋体" w:hAnsi="宋体" w:eastAsia="宋体" w:cs="宋体"/>
          <w:color w:val="auto"/>
          <w:sz w:val="24"/>
          <w:szCs w:val="24"/>
          <w:highlight w:val="none"/>
        </w:rPr>
        <w:t>16.1 发包人违约</w:t>
      </w:r>
      <w:bookmarkEnd w:id="503"/>
      <w:bookmarkEnd w:id="504"/>
      <w:bookmarkEnd w:id="505"/>
      <w:bookmarkEnd w:id="506"/>
      <w:bookmarkEnd w:id="507"/>
      <w:bookmarkEnd w:id="508"/>
      <w:bookmarkEnd w:id="509"/>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16.1.1发包人违约的情形</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发包人违约的其他情形：</w:t>
      </w:r>
      <w:r>
        <w:rPr>
          <w:rFonts w:hint="eastAsia" w:ascii="宋体" w:hAnsi="宋体" w:eastAsia="宋体" w:cs="宋体"/>
          <w:color w:val="auto"/>
          <w:kern w:val="0"/>
          <w:sz w:val="24"/>
          <w:szCs w:val="24"/>
          <w:highlight w:val="none"/>
          <w:u w:val="single"/>
        </w:rPr>
        <w:t xml:space="preserve">   /  </w:t>
      </w:r>
      <w:r>
        <w:rPr>
          <w:rFonts w:hint="eastAsia" w:ascii="宋体" w:hAnsi="宋体" w:eastAsia="宋体" w:cs="宋体"/>
          <w:color w:val="auto"/>
          <w:kern w:val="0"/>
          <w:sz w:val="24"/>
          <w:szCs w:val="24"/>
          <w:highlight w:val="none"/>
        </w:rPr>
        <w:t>。</w:t>
      </w:r>
    </w:p>
    <w:p>
      <w:pPr>
        <w:spacing w:line="360" w:lineRule="auto"/>
        <w:ind w:left="1500" w:hanging="1200" w:hangingChars="500"/>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16.1.2 发包人违约的责任</w:t>
      </w:r>
    </w:p>
    <w:p>
      <w:pPr>
        <w:spacing w:line="360" w:lineRule="auto"/>
        <w:ind w:firstLine="480" w:firstLineChars="200"/>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发包人违约责任的承担方式和计算方法：</w:t>
      </w:r>
    </w:p>
    <w:p>
      <w:pPr>
        <w:spacing w:line="360" w:lineRule="auto"/>
        <w:ind w:firstLine="480" w:firstLineChars="200"/>
        <w:jc w:val="left"/>
        <w:outlineLvl w:val="9"/>
        <w:rPr>
          <w:rFonts w:hint="eastAsia" w:ascii="宋体" w:hAnsi="宋体" w:eastAsia="宋体" w:cs="宋体"/>
          <w:b w:val="0"/>
          <w:bCs w:val="0"/>
          <w:color w:val="auto"/>
          <w:kern w:val="0"/>
          <w:sz w:val="24"/>
          <w:szCs w:val="24"/>
          <w:u w:val="single"/>
        </w:rPr>
      </w:pPr>
      <w:r>
        <w:rPr>
          <w:rFonts w:hint="eastAsia" w:ascii="宋体" w:hAnsi="宋体" w:eastAsia="宋体" w:cs="宋体"/>
          <w:color w:val="auto"/>
          <w:kern w:val="0"/>
          <w:sz w:val="24"/>
          <w:szCs w:val="24"/>
        </w:rPr>
        <w:t>（1）因发包人原因未能在计划开工日期前7天内下</w:t>
      </w:r>
      <w:r>
        <w:rPr>
          <w:rFonts w:hint="eastAsia" w:ascii="宋体" w:hAnsi="宋体" w:eastAsia="宋体" w:cs="宋体"/>
          <w:b w:val="0"/>
          <w:bCs w:val="0"/>
          <w:color w:val="auto"/>
          <w:kern w:val="0"/>
          <w:sz w:val="24"/>
          <w:szCs w:val="24"/>
        </w:rPr>
        <w:t>达开工通知的违约责任：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工期顺延</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（2）因发包人原因未能按合同约定支付合同价款的违约责任：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 xml:space="preserve">/ </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（3）发包人违反第10.1款〔变更的范围〕第（2）项约定，自行实施被取消的工作或转由他人实施的违约责任：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（4）发包人提供的材料、工程设备的规格、数量或质量不符合合同约定，或因发包人原因导致交货日期延误或交货地点变更等情况的违约责任：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工期顺延</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（5）因发包人违反合同约定造成暂停施工的违约责任：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工期顺延</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（6）发包人无正当理由没有在约定期限内发出复工指示，导致承包人无法复工的违约责任：</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工期顺延</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ind w:firstLine="480" w:firstLineChars="200"/>
        <w:jc w:val="left"/>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（7）其他：</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16.1.3 因发包人违约解除合同</w:t>
      </w:r>
    </w:p>
    <w:p>
      <w:pPr>
        <w:pageBreakBefore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rPr>
        <w:t>承包人按16.1.1项〔发包人违约的情形〕约定暂停施工</w:t>
      </w:r>
      <w:r>
        <w:rPr>
          <w:rFonts w:hint="eastAsia" w:ascii="宋体" w:hAnsi="宋体" w:eastAsia="宋体" w:cs="宋体"/>
          <w:b w:val="0"/>
          <w:bCs w:val="0"/>
          <w:color w:val="auto"/>
          <w:kern w:val="0"/>
          <w:sz w:val="24"/>
          <w:szCs w:val="24"/>
        </w:rPr>
        <w:t>满</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 xml:space="preserve">28 </w:t>
      </w:r>
      <w:r>
        <w:rPr>
          <w:rFonts w:hint="eastAsia" w:ascii="宋体" w:hAnsi="宋体" w:eastAsia="宋体" w:cs="宋体"/>
          <w:b w:val="0"/>
          <w:bCs w:val="0"/>
          <w:color w:val="auto"/>
          <w:kern w:val="0"/>
          <w:sz w:val="24"/>
          <w:szCs w:val="24"/>
        </w:rPr>
        <w:t>天</w:t>
      </w:r>
      <w:r>
        <w:rPr>
          <w:rFonts w:hint="eastAsia" w:ascii="宋体" w:hAnsi="宋体" w:eastAsia="宋体" w:cs="宋体"/>
          <w:color w:val="auto"/>
          <w:kern w:val="0"/>
          <w:sz w:val="24"/>
          <w:szCs w:val="24"/>
        </w:rPr>
        <w:t>后发包人仍不纠正其违约行为并致使合同目的不能实现的，承包人有权解除合同</w:t>
      </w:r>
      <w:r>
        <w:rPr>
          <w:rFonts w:hint="eastAsia" w:ascii="宋体" w:hAnsi="宋体" w:eastAsia="宋体" w:cs="宋体"/>
          <w:color w:val="auto"/>
          <w:kern w:val="0"/>
          <w:sz w:val="24"/>
          <w:szCs w:val="24"/>
          <w:highlight w:val="none"/>
        </w:rPr>
        <w:t>。</w:t>
      </w:r>
    </w:p>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501"/>
    <w:bookmarkEnd w:id="502"/>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color w:val="auto"/>
          <w:sz w:val="24"/>
          <w:szCs w:val="24"/>
        </w:rPr>
        <w:t xml:space="preserve">16.2 </w:t>
      </w:r>
      <w:r>
        <w:rPr>
          <w:rFonts w:hint="eastAsia" w:ascii="宋体" w:hAnsi="宋体" w:eastAsia="宋体" w:cs="宋体"/>
          <w:b w:val="0"/>
          <w:bCs w:val="0"/>
          <w:color w:val="auto"/>
          <w:sz w:val="24"/>
          <w:szCs w:val="24"/>
        </w:rPr>
        <w:t>承包人违约</w:t>
      </w:r>
    </w:p>
    <w:p>
      <w:pPr>
        <w:spacing w:beforeAutospacing="0"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16.2.1 承包人违约的情形</w:t>
      </w:r>
    </w:p>
    <w:p>
      <w:pPr>
        <w:spacing w:line="360" w:lineRule="auto"/>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承包人违约的其他情形：</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16.2.2承包人违约的责任</w:t>
      </w:r>
    </w:p>
    <w:p>
      <w:pPr>
        <w:spacing w:line="360" w:lineRule="auto"/>
        <w:ind w:left="0" w:leftChars="0" w:firstLine="0" w:firstLineChars="0"/>
        <w:jc w:val="left"/>
        <w:outlineLvl w:val="9"/>
        <w:rPr>
          <w:rFonts w:hint="eastAsia" w:ascii="宋体" w:hAnsi="宋体" w:eastAsia="宋体" w:cs="宋体"/>
          <w:b w:val="0"/>
          <w:bCs w:val="0"/>
          <w:color w:val="auto"/>
          <w:kern w:val="0"/>
          <w:sz w:val="24"/>
          <w:szCs w:val="24"/>
          <w:u w:val="single"/>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承包人违约责任的承担方式和计算方法：</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承担因违约行为导致的费用增加和（或）工期延误损失。工期延误的每天按签约合同价的</w:t>
      </w:r>
      <w:r>
        <w:rPr>
          <w:rFonts w:hint="eastAsia" w:ascii="宋体" w:hAnsi="宋体" w:eastAsia="宋体" w:cs="宋体"/>
          <w:b w:val="0"/>
          <w:bCs w:val="0"/>
          <w:color w:val="auto"/>
          <w:kern w:val="0"/>
          <w:sz w:val="24"/>
          <w:szCs w:val="24"/>
          <w:u w:val="single"/>
          <w:lang w:val="en-US" w:eastAsia="zh-CN"/>
        </w:rPr>
        <w:t>0.2%处罚；质量不符合合同约定的，应按《</w:t>
      </w:r>
      <w:r>
        <w:rPr>
          <w:rFonts w:hint="default" w:ascii="宋体" w:hAnsi="宋体" w:eastAsia="宋体" w:cs="宋体"/>
          <w:b w:val="0"/>
          <w:bCs w:val="0"/>
          <w:color w:val="auto"/>
          <w:kern w:val="0"/>
          <w:sz w:val="24"/>
          <w:szCs w:val="24"/>
          <w:u w:val="single"/>
          <w:lang w:eastAsia="zh-CN"/>
        </w:rPr>
        <w:t>建筑工程施工质量验收统一标准</w:t>
      </w:r>
      <w:r>
        <w:rPr>
          <w:rFonts w:hint="eastAsia" w:ascii="宋体" w:hAnsi="宋体" w:eastAsia="宋体" w:cs="宋体"/>
          <w:b w:val="0"/>
          <w:bCs w:val="0"/>
          <w:color w:val="auto"/>
          <w:kern w:val="0"/>
          <w:sz w:val="24"/>
          <w:szCs w:val="24"/>
          <w:u w:val="single"/>
          <w:lang w:val="en-US" w:eastAsia="zh-CN"/>
        </w:rPr>
        <w:t>》（</w:t>
      </w:r>
      <w:r>
        <w:rPr>
          <w:rFonts w:hint="default" w:ascii="宋体" w:hAnsi="宋体" w:eastAsia="宋体" w:cs="宋体"/>
          <w:b w:val="0"/>
          <w:bCs w:val="0"/>
          <w:color w:val="auto"/>
          <w:kern w:val="0"/>
          <w:sz w:val="24"/>
          <w:szCs w:val="24"/>
          <w:u w:val="single"/>
          <w:lang w:eastAsia="zh-CN"/>
        </w:rPr>
        <w:t>GB50300-2013</w:t>
      </w:r>
      <w:r>
        <w:rPr>
          <w:rFonts w:hint="eastAsia" w:ascii="宋体" w:hAnsi="宋体" w:eastAsia="宋体" w:cs="宋体"/>
          <w:b w:val="0"/>
          <w:bCs w:val="0"/>
          <w:color w:val="auto"/>
          <w:kern w:val="0"/>
          <w:sz w:val="24"/>
          <w:szCs w:val="24"/>
          <w:u w:val="single"/>
          <w:lang w:val="en-US" w:eastAsia="zh-CN"/>
        </w:rPr>
        <w:t>）</w:t>
      </w:r>
      <w:r>
        <w:rPr>
          <w:rFonts w:hint="eastAsia" w:ascii="宋体" w:hAnsi="宋体" w:cs="宋体"/>
          <w:b w:val="0"/>
          <w:bCs w:val="0"/>
          <w:color w:val="auto"/>
          <w:kern w:val="0"/>
          <w:sz w:val="24"/>
          <w:szCs w:val="24"/>
          <w:u w:val="single"/>
          <w:lang w:val="en-US" w:eastAsia="zh-CN"/>
        </w:rPr>
        <w:t>相关规定</w:t>
      </w:r>
      <w:r>
        <w:rPr>
          <w:rFonts w:hint="eastAsia" w:ascii="宋体" w:hAnsi="宋体" w:eastAsia="宋体" w:cs="宋体"/>
          <w:b w:val="0"/>
          <w:bCs w:val="0"/>
          <w:color w:val="auto"/>
          <w:kern w:val="0"/>
          <w:sz w:val="24"/>
          <w:szCs w:val="24"/>
          <w:u w:val="single"/>
          <w:lang w:val="en-US" w:eastAsia="zh-CN"/>
        </w:rPr>
        <w:t>执行，并按签约合同价的2%处罚执行</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r>
        <w:rPr>
          <w:rFonts w:hint="eastAsia" w:ascii="宋体" w:hAnsi="宋体" w:eastAsia="宋体" w:cs="宋体"/>
          <w:b w:val="0"/>
          <w:bCs w:val="0"/>
          <w:color w:val="auto"/>
          <w:sz w:val="24"/>
          <w:szCs w:val="24"/>
        </w:rPr>
        <w:t xml:space="preserve">    </w:t>
      </w:r>
    </w:p>
    <w:p>
      <w:pPr>
        <w:spacing w:after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16.2.3 因承包人违约解除合同</w:t>
      </w:r>
    </w:p>
    <w:p>
      <w:pPr>
        <w:spacing w:beforeAutospacing="0" w:afterAutospacing="0" w:line="360" w:lineRule="auto"/>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关于承包人违约解除合同的特别约定：</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承包人承担由此增加的费用和延误的工期损失</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beforeAutospacing="0" w:afterAutospacing="0"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发包人继续使用承包人在施工现场的材料、设备、临时工程、承包人文件和由承包人或以其名义编制的其他文件的费用承担方式：</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eastAsia="zh-CN"/>
        </w:rPr>
        <w:t>根据相关规定双方协商处理</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bookmarkStart w:id="510" w:name="_Toc351203649"/>
      <w:r>
        <w:rPr>
          <w:rFonts w:hint="eastAsia" w:ascii="宋体" w:hAnsi="宋体" w:eastAsia="宋体" w:cs="宋体"/>
          <w:b w:val="0"/>
          <w:bCs w:val="0"/>
          <w:color w:val="auto"/>
          <w:sz w:val="24"/>
          <w:szCs w:val="24"/>
        </w:rPr>
        <w:t>17. 不可抗力</w:t>
      </w:r>
      <w:bookmarkEnd w:id="510"/>
      <w:r>
        <w:rPr>
          <w:rFonts w:hint="eastAsia" w:ascii="宋体" w:hAnsi="宋体" w:eastAsia="宋体" w:cs="宋体"/>
          <w:b w:val="0"/>
          <w:bCs w:val="0"/>
          <w:color w:val="auto"/>
          <w:sz w:val="24"/>
          <w:szCs w:val="24"/>
        </w:rPr>
        <w:t xml:space="preserve"> </w:t>
      </w:r>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17.1 不可抗力的确认</w:t>
      </w:r>
    </w:p>
    <w:p>
      <w:pPr>
        <w:spacing w:beforeAutospacing="0" w:line="360" w:lineRule="auto"/>
        <w:ind w:firstLine="480" w:firstLineChars="200"/>
        <w:jc w:val="left"/>
        <w:outlineLvl w:val="9"/>
        <w:rPr>
          <w:rFonts w:hint="eastAsia" w:ascii="宋体" w:hAnsi="宋体" w:eastAsia="宋体" w:cs="宋体"/>
          <w:b w:val="0"/>
          <w:bCs w:val="0"/>
          <w:color w:val="auto"/>
          <w:kern w:val="0"/>
          <w:sz w:val="24"/>
          <w:szCs w:val="24"/>
          <w:u w:val="single"/>
        </w:rPr>
      </w:pPr>
      <w:r>
        <w:rPr>
          <w:rFonts w:hint="eastAsia" w:ascii="宋体" w:hAnsi="宋体" w:eastAsia="宋体" w:cs="宋体"/>
          <w:b w:val="0"/>
          <w:bCs w:val="0"/>
          <w:color w:val="auto"/>
          <w:sz w:val="24"/>
          <w:szCs w:val="24"/>
        </w:rPr>
        <w:t xml:space="preserve">除通用合同条款约定的不可抗力事件之外，视为不可抗力的其他情形： </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17.4 因不可抗力解除合同</w:t>
      </w:r>
    </w:p>
    <w:p>
      <w:pPr>
        <w:spacing w:beforeAutospacing="0" w:after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合同解除后，发包人应在商定或确定发包人应支付款项后</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28</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天内完成款项的支付。</w:t>
      </w:r>
    </w:p>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bookmarkStart w:id="511" w:name="_Toc351203650"/>
      <w:r>
        <w:rPr>
          <w:rFonts w:hint="eastAsia" w:ascii="宋体" w:hAnsi="宋体" w:eastAsia="宋体" w:cs="宋体"/>
          <w:b w:val="0"/>
          <w:bCs w:val="0"/>
          <w:color w:val="auto"/>
          <w:sz w:val="24"/>
          <w:szCs w:val="24"/>
        </w:rPr>
        <w:t>18. 保险</w:t>
      </w:r>
      <w:bookmarkEnd w:id="511"/>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18.1 工程保险</w:t>
      </w:r>
    </w:p>
    <w:p>
      <w:pPr>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关于工程保险的特别约定：</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18.3 其他保险</w:t>
      </w:r>
    </w:p>
    <w:p>
      <w:pPr>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sz w:val="24"/>
          <w:szCs w:val="24"/>
        </w:rPr>
        <w:t>关于其他保险的约定：</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u w:val="single"/>
          <w:lang w:val="en-US" w:eastAsia="zh-CN"/>
        </w:rPr>
        <w:t>/</w:t>
      </w:r>
      <w:r>
        <w:rPr>
          <w:rFonts w:hint="eastAsia" w:ascii="宋体" w:hAnsi="宋体" w:eastAsia="宋体" w:cs="宋体"/>
          <w:b w:val="0"/>
          <w:bCs w:val="0"/>
          <w:color w:val="auto"/>
          <w:kern w:val="0"/>
          <w:sz w:val="24"/>
          <w:szCs w:val="24"/>
          <w:u w:val="single"/>
        </w:rPr>
        <w:t xml:space="preserve">   </w:t>
      </w:r>
      <w:r>
        <w:rPr>
          <w:rFonts w:hint="eastAsia" w:ascii="宋体" w:hAnsi="宋体" w:eastAsia="宋体" w:cs="宋体"/>
          <w:b w:val="0"/>
          <w:bCs w:val="0"/>
          <w:color w:val="auto"/>
          <w:kern w:val="0"/>
          <w:sz w:val="24"/>
          <w:szCs w:val="24"/>
        </w:rPr>
        <w:t>。</w:t>
      </w:r>
    </w:p>
    <w:p>
      <w:pPr>
        <w:spacing w:line="360" w:lineRule="auto"/>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承包人是否应为其施工设备等办理财产保险：</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是</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18.7 通知义务</w:t>
      </w:r>
    </w:p>
    <w:p>
      <w:pPr>
        <w:spacing w:beforeAutospacing="0" w:afterAutospacing="0" w:line="360" w:lineRule="auto"/>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关于变更保险合同时的通知义务的约定：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3天内以书面形式通知</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tabs>
          <w:tab w:val="left" w:pos="864"/>
        </w:tabs>
        <w:spacing w:before="0" w:beforeAutospacing="0" w:after="0" w:afterAutospacing="0" w:line="360" w:lineRule="auto"/>
        <w:outlineLvl w:val="9"/>
        <w:rPr>
          <w:rFonts w:hint="eastAsia" w:ascii="宋体" w:hAnsi="宋体" w:eastAsia="宋体" w:cs="宋体"/>
          <w:b w:val="0"/>
          <w:bCs w:val="0"/>
          <w:color w:val="auto"/>
          <w:sz w:val="24"/>
          <w:szCs w:val="24"/>
        </w:rPr>
      </w:pPr>
      <w:bookmarkStart w:id="512" w:name="_Toc351203651"/>
      <w:r>
        <w:rPr>
          <w:rFonts w:hint="eastAsia" w:ascii="宋体" w:hAnsi="宋体" w:eastAsia="宋体" w:cs="宋体"/>
          <w:b w:val="0"/>
          <w:bCs w:val="0"/>
          <w:color w:val="auto"/>
          <w:sz w:val="24"/>
          <w:szCs w:val="24"/>
        </w:rPr>
        <w:t>20. 争议解决</w:t>
      </w:r>
      <w:bookmarkEnd w:id="512"/>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20.3 争议评审</w:t>
      </w:r>
    </w:p>
    <w:p>
      <w:pPr>
        <w:spacing w:beforeAutospacing="0" w:line="360" w:lineRule="auto"/>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合同当事人是否同意将工程争议提交争议评审小组决定：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是</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 xml:space="preserve">。  </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20.3.1 争议评审小组的确定</w:t>
      </w:r>
    </w:p>
    <w:p>
      <w:pPr>
        <w:spacing w:line="360" w:lineRule="auto"/>
        <w:ind w:firstLine="480" w:firstLineChars="200"/>
        <w:jc w:val="left"/>
        <w:outlineLvl w:val="9"/>
        <w:rPr>
          <w:rFonts w:hint="eastAsia" w:ascii="宋体" w:hAnsi="宋体" w:eastAsia="宋体" w:cs="宋体"/>
          <w:b w:val="0"/>
          <w:bCs w:val="0"/>
          <w:color w:val="auto"/>
          <w:sz w:val="24"/>
          <w:szCs w:val="24"/>
          <w:u w:val="single"/>
        </w:rPr>
      </w:pPr>
      <w:r>
        <w:rPr>
          <w:rFonts w:hint="eastAsia" w:ascii="宋体" w:hAnsi="宋体" w:eastAsia="宋体" w:cs="宋体"/>
          <w:b w:val="0"/>
          <w:bCs w:val="0"/>
          <w:color w:val="auto"/>
          <w:sz w:val="24"/>
          <w:szCs w:val="24"/>
        </w:rPr>
        <w:t>争议评审小组成员的确定：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选定争议评审员的期限：</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争议发生后</w:t>
      </w:r>
      <w:r>
        <w:rPr>
          <w:rFonts w:hint="eastAsia" w:ascii="宋体" w:hAnsi="宋体" w:eastAsia="宋体" w:cs="宋体"/>
          <w:b w:val="0"/>
          <w:bCs w:val="0"/>
          <w:color w:val="auto"/>
          <w:sz w:val="24"/>
          <w:szCs w:val="24"/>
          <w:u w:val="single"/>
          <w:lang w:val="en-US" w:eastAsia="zh-CN"/>
        </w:rPr>
        <w:t>14天内</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争议评审小组成员的报酬承担方式：</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发承包方各承担一半</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其他事项的约定：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autoSpaceDE w:val="0"/>
        <w:autoSpaceDN w:val="0"/>
        <w:adjustRightInd w:val="0"/>
        <w:spacing w:line="360" w:lineRule="auto"/>
        <w:ind w:firstLine="480" w:firstLineChars="200"/>
        <w:jc w:val="left"/>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20.3.2 争议评审小组的决定</w:t>
      </w:r>
    </w:p>
    <w:p>
      <w:pPr>
        <w:spacing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合同当事人关于本项的约定：</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eastAsia="zh-CN"/>
        </w:rPr>
        <w:t>执行通用条款</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w:t>
      </w:r>
    </w:p>
    <w:p>
      <w:pPr>
        <w:spacing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20.4仲裁或诉讼</w:t>
      </w:r>
    </w:p>
    <w:p>
      <w:pPr>
        <w:spacing w:beforeAutospacing="0" w:afterAutospacing="0" w:line="360" w:lineRule="auto"/>
        <w:ind w:firstLine="480" w:firstLineChars="20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因合同及合同有关事项发生的争议，按下列第</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（2）</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种方式解决：</w:t>
      </w:r>
    </w:p>
    <w:p>
      <w:pPr>
        <w:spacing w:beforeAutospacing="0" w:line="360" w:lineRule="auto"/>
        <w:ind w:firstLine="480" w:firstLineChars="2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（1）向</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u w:val="single"/>
          <w:lang w:val="en-US" w:eastAsia="zh-CN"/>
        </w:rPr>
        <w:t>/</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sz w:val="24"/>
          <w:szCs w:val="24"/>
        </w:rPr>
        <w:t>仲裁委员会申请仲裁；</w:t>
      </w:r>
    </w:p>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b w:val="0"/>
          <w:bCs w:val="0"/>
          <w:color w:val="auto"/>
          <w:sz w:val="24"/>
          <w:szCs w:val="24"/>
        </w:rPr>
        <w:t>（2）向</w:t>
      </w:r>
      <w:r>
        <w:rPr>
          <w:rFonts w:hint="eastAsia" w:ascii="宋体" w:hAnsi="宋体" w:eastAsia="宋体" w:cs="宋体"/>
          <w:b w:val="0"/>
          <w:bCs w:val="0"/>
          <w:color w:val="auto"/>
          <w:sz w:val="24"/>
          <w:szCs w:val="24"/>
          <w:u w:val="single"/>
        </w:rPr>
        <w:t xml:space="preserve"> </w:t>
      </w:r>
      <w:r>
        <w:rPr>
          <w:rFonts w:hint="eastAsia" w:ascii="宋体" w:hAnsi="宋体"/>
          <w:b w:val="0"/>
          <w:bCs w:val="0"/>
          <w:color w:val="auto"/>
          <w:sz w:val="24"/>
          <w:szCs w:val="24"/>
          <w:u w:val="single"/>
        </w:rPr>
        <w:t>工程所在地有管辖权</w:t>
      </w:r>
      <w:r>
        <w:rPr>
          <w:rFonts w:hint="eastAsia" w:ascii="宋体" w:hAnsi="宋体"/>
          <w:b w:val="0"/>
          <w:bCs w:val="0"/>
          <w:color w:val="auto"/>
          <w:sz w:val="24"/>
          <w:szCs w:val="24"/>
          <w:u w:val="single"/>
          <w:lang w:eastAsia="zh-CN"/>
        </w:rPr>
        <w:t>的</w:t>
      </w:r>
      <w:r>
        <w:rPr>
          <w:rFonts w:hint="eastAsia" w:ascii="宋体" w:hAnsi="宋体" w:eastAsia="宋体" w:cs="宋体"/>
          <w:b w:val="0"/>
          <w:bCs w:val="0"/>
          <w:color w:val="auto"/>
          <w:sz w:val="24"/>
          <w:szCs w:val="24"/>
        </w:rPr>
        <w:t>人民法院起诉</w:t>
      </w:r>
      <w:r>
        <w:rPr>
          <w:rFonts w:hint="eastAsia" w:ascii="宋体" w:hAnsi="宋体" w:eastAsia="宋体" w:cs="宋体"/>
          <w:color w:val="auto"/>
          <w:sz w:val="24"/>
          <w:szCs w:val="24"/>
        </w:rPr>
        <w:t>。</w:t>
      </w:r>
    </w:p>
    <w:p>
      <w:pPr>
        <w:outlineLvl w:val="9"/>
        <w:rPr>
          <w:rFonts w:hint="eastAsia" w:ascii="宋体" w:hAnsi="宋体" w:eastAsia="宋体" w:cs="宋体"/>
          <w:color w:val="auto"/>
          <w:lang w:val="en-US" w:eastAsia="zh-CN"/>
        </w:rPr>
      </w:pPr>
      <w:r>
        <w:rPr>
          <w:rFonts w:hint="eastAsia" w:ascii="宋体" w:hAnsi="宋体" w:eastAsia="宋体" w:cs="宋体"/>
          <w:color w:val="auto"/>
          <w:kern w:val="0"/>
          <w:sz w:val="24"/>
          <w:szCs w:val="24"/>
          <w:u w:val="none"/>
          <w:lang w:eastAsia="zh-CN"/>
        </w:rPr>
        <w:t>附件</w:t>
      </w:r>
      <w:r>
        <w:rPr>
          <w:rFonts w:hint="eastAsia" w:ascii="宋体" w:hAnsi="宋体" w:eastAsia="宋体" w:cs="宋体"/>
          <w:color w:val="auto"/>
          <w:kern w:val="0"/>
          <w:sz w:val="24"/>
          <w:szCs w:val="24"/>
          <w:u w:val="none"/>
          <w:lang w:val="en-US" w:eastAsia="zh-CN"/>
        </w:rPr>
        <w:t>1</w:t>
      </w:r>
      <w:r>
        <w:rPr>
          <w:rFonts w:hint="eastAsia" w:ascii="宋体" w:hAnsi="宋体" w:eastAsia="宋体" w:cs="宋体"/>
          <w:color w:val="auto"/>
          <w:kern w:val="0"/>
          <w:sz w:val="24"/>
          <w:szCs w:val="24"/>
          <w:u w:val="none"/>
          <w:lang w:eastAsia="zh-CN"/>
        </w:rPr>
        <w:t>：《工程质量保修书》</w:t>
      </w:r>
    </w:p>
    <w:p>
      <w:pPr>
        <w:pStyle w:val="8"/>
        <w:spacing w:line="360" w:lineRule="auto"/>
        <w:ind w:firstLine="480" w:firstLineChars="200"/>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br w:type="page"/>
      </w:r>
    </w:p>
    <w:p>
      <w:pPr>
        <w:outlineLvl w:val="9"/>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附</w:t>
      </w:r>
      <w:bookmarkStart w:id="513" w:name="_Toc296503226"/>
      <w:bookmarkStart w:id="514" w:name="_Toc296944565"/>
      <w:bookmarkStart w:id="515" w:name="_Toc296347225"/>
      <w:bookmarkStart w:id="516" w:name="_Toc296346727"/>
      <w:bookmarkStart w:id="517" w:name="_Toc267261693"/>
      <w:bookmarkStart w:id="518" w:name="_Toc296891054"/>
      <w:bookmarkStart w:id="519" w:name="_Toc296891266"/>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w:t>
      </w:r>
      <w:bookmarkEnd w:id="513"/>
      <w:bookmarkEnd w:id="514"/>
      <w:bookmarkEnd w:id="515"/>
      <w:bookmarkEnd w:id="516"/>
      <w:bookmarkEnd w:id="517"/>
      <w:bookmarkEnd w:id="518"/>
      <w:bookmarkEnd w:id="519"/>
      <w:r>
        <w:rPr>
          <w:rFonts w:hint="eastAsia" w:ascii="宋体" w:hAnsi="宋体" w:eastAsia="宋体" w:cs="宋体"/>
          <w:b w:val="0"/>
          <w:bCs w:val="0"/>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工程质量保修书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发包人（全称）：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发包人和承包人根据《中华人民共和国建筑法》和《建设工程质量管理条例》，经协商一致就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（工程全称）签订工程质量保修书。</w:t>
      </w:r>
      <w:bookmarkStart w:id="520" w:name="_Toc6121"/>
      <w:bookmarkStart w:id="521" w:name="_Toc32171"/>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工程质量保修范围和内容</w:t>
      </w:r>
      <w:bookmarkEnd w:id="520"/>
      <w:bookmarkEnd w:id="521"/>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承包人在质量保修期内，按照有关法律规定和合同约定，承担工程质量保修责任。</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承包人应承担所承包的全部工程内容的保修 </w:t>
      </w:r>
      <w:r>
        <w:rPr>
          <w:rFonts w:hint="eastAsia" w:ascii="宋体" w:hAnsi="宋体" w:eastAsia="宋体" w:cs="宋体"/>
          <w:color w:val="auto"/>
          <w:sz w:val="24"/>
          <w:szCs w:val="24"/>
          <w:highlight w:val="none"/>
        </w:rPr>
        <w:t>。</w:t>
      </w:r>
      <w:bookmarkStart w:id="522" w:name="_Toc27017"/>
      <w:bookmarkStart w:id="523" w:name="_Toc112"/>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质量保修期</w:t>
      </w:r>
      <w:bookmarkEnd w:id="522"/>
      <w:bookmarkEnd w:id="52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根据《建设工程质量管理条例》及有关规定，工程的质量保修期如下：</w:t>
      </w:r>
    </w:p>
    <w:p>
      <w:pPr>
        <w:spacing w:line="360" w:lineRule="auto"/>
        <w:ind w:firstLine="480" w:firstLineChars="200"/>
        <w:outlineLvl w:val="9"/>
        <w:rPr>
          <w:rFonts w:hint="eastAsia" w:ascii="宋体" w:hAnsi="宋体" w:eastAsia="宋体" w:cs="宋体"/>
          <w:color w:val="auto"/>
          <w:sz w:val="24"/>
          <w:szCs w:val="24"/>
        </w:rPr>
      </w:pPr>
      <w:bookmarkStart w:id="524" w:name="_Toc31500"/>
      <w:bookmarkStart w:id="525" w:name="_Toc16780"/>
      <w:bookmarkStart w:id="526" w:name="_Toc26250"/>
      <w:bookmarkStart w:id="527" w:name="_Toc29169"/>
      <w:bookmarkStart w:id="528" w:name="_Toc28565"/>
      <w:bookmarkStart w:id="529" w:name="_Toc3870"/>
      <w:r>
        <w:rPr>
          <w:rFonts w:hint="eastAsia" w:ascii="宋体" w:hAnsi="宋体" w:eastAsia="宋体" w:cs="宋体"/>
          <w:color w:val="auto"/>
          <w:sz w:val="24"/>
          <w:szCs w:val="24"/>
        </w:rPr>
        <w:t>1．屋面防水工程、有防水要求的卫生间、房间和外墙面的防渗为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五</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p>
    <w:p>
      <w:pPr>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2．装修工程为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3．电气管线、给排水管道、设备安装工程为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rPr>
        <w:t>4．供热与供冷系统为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个采暖期、供冷期；</w:t>
      </w:r>
    </w:p>
    <w:p>
      <w:pPr>
        <w:spacing w:line="360" w:lineRule="auto"/>
        <w:ind w:firstLine="480" w:firstLineChars="200"/>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．其他项目保修期限约定如下：</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spacing w:line="360" w:lineRule="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质量保修期自工程竣工验收合格之日起计算。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eastAsia="宋体" w:cs="宋体"/>
          <w:color w:val="auto"/>
          <w:sz w:val="24"/>
          <w:szCs w:val="24"/>
          <w:highlight w:val="none"/>
        </w:rPr>
        <w:t>、缺陷责任期</w:t>
      </w:r>
      <w:bookmarkEnd w:id="524"/>
      <w:bookmarkEnd w:id="525"/>
      <w:bookmarkEnd w:id="526"/>
      <w:bookmarkEnd w:id="527"/>
      <w:bookmarkEnd w:id="528"/>
      <w:bookmarkEnd w:id="52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530" w:name="_Toc11210"/>
      <w:bookmarkStart w:id="531" w:name="_Toc32432"/>
      <w:r>
        <w:rPr>
          <w:rFonts w:hint="eastAsia" w:ascii="宋体" w:hAnsi="宋体" w:eastAsia="宋体" w:cs="宋体"/>
          <w:color w:val="auto"/>
          <w:sz w:val="24"/>
          <w:szCs w:val="24"/>
        </w:rPr>
        <w:t>工程缺陷责任期为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24</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个月，缺陷责任期自工程</w:t>
      </w:r>
      <w:r>
        <w:rPr>
          <w:rFonts w:hint="eastAsia" w:ascii="宋体" w:hAnsi="宋体" w:eastAsia="宋体" w:cs="宋体"/>
          <w:color w:val="auto"/>
          <w:sz w:val="24"/>
          <w:szCs w:val="24"/>
          <w:lang w:eastAsia="zh-CN"/>
        </w:rPr>
        <w:t>通过竣工验收</w:t>
      </w:r>
      <w:r>
        <w:rPr>
          <w:rFonts w:hint="eastAsia" w:ascii="宋体" w:hAnsi="宋体" w:eastAsia="宋体" w:cs="宋体"/>
          <w:color w:val="auto"/>
          <w:sz w:val="24"/>
          <w:szCs w:val="24"/>
        </w:rPr>
        <w:t>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七</w:t>
      </w:r>
      <w:r>
        <w:rPr>
          <w:rFonts w:hint="eastAsia" w:ascii="宋体" w:hAnsi="宋体" w:eastAsia="宋体" w:cs="宋体"/>
          <w:color w:val="auto"/>
          <w:sz w:val="24"/>
          <w:szCs w:val="24"/>
          <w:highlight w:val="none"/>
        </w:rPr>
        <w:t>、质量保修责任</w:t>
      </w:r>
      <w:bookmarkEnd w:id="530"/>
      <w:bookmarkEnd w:id="531"/>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1．属于保修范围、内容的项目，承包人应当在接到保修通知之日起7天内派人保修。承包人不在约定期限内派人保修的，发包人可以委托他人修理。</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2．发生紧急事故需抢修的，承包人在接到事故通知后，应当立即到达事故现场抢修。</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autoSpaceDN/>
        <w:bidi w:val="0"/>
        <w:adjustRightInd/>
        <w:snapToGrid/>
        <w:spacing w:line="360" w:lineRule="auto"/>
        <w:ind w:left="420" w:leftChars="200" w:firstLine="120" w:firstLineChars="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4．质量保修完成后，由发包人组织验收。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bookmarkStart w:id="532" w:name="_Toc20801"/>
      <w:bookmarkStart w:id="533" w:name="_Toc16496"/>
      <w:bookmarkStart w:id="534" w:name="_Toc5871"/>
      <w:bookmarkStart w:id="535" w:name="_Toc21973"/>
      <w:bookmarkStart w:id="536" w:name="_Toc28679"/>
      <w:bookmarkStart w:id="537" w:name="_Toc21572"/>
      <w:r>
        <w:rPr>
          <w:rFonts w:hint="eastAsia" w:ascii="宋体" w:hAnsi="宋体" w:cs="宋体"/>
          <w:color w:val="auto"/>
          <w:sz w:val="24"/>
          <w:szCs w:val="24"/>
          <w:highlight w:val="none"/>
          <w:lang w:eastAsia="zh-CN"/>
        </w:rPr>
        <w:t>八</w:t>
      </w:r>
      <w:r>
        <w:rPr>
          <w:rFonts w:hint="eastAsia" w:ascii="宋体" w:hAnsi="宋体" w:eastAsia="宋体" w:cs="宋体"/>
          <w:color w:val="auto"/>
          <w:sz w:val="24"/>
          <w:szCs w:val="24"/>
          <w:highlight w:val="none"/>
        </w:rPr>
        <w:t>、保修费用</w:t>
      </w:r>
      <w:bookmarkEnd w:id="532"/>
      <w:bookmarkEnd w:id="533"/>
      <w:bookmarkEnd w:id="534"/>
      <w:bookmarkEnd w:id="535"/>
      <w:bookmarkEnd w:id="536"/>
      <w:bookmarkEnd w:id="53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保修费用由造成质量缺陷的责任方承担。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auto"/>
          <w:sz w:val="24"/>
          <w:szCs w:val="24"/>
          <w:highlight w:val="none"/>
          <w:u w:val="single"/>
        </w:rPr>
      </w:pPr>
      <w:bookmarkStart w:id="538" w:name="_Toc11264"/>
      <w:bookmarkStart w:id="539" w:name="_Toc18898"/>
      <w:bookmarkStart w:id="540" w:name="_Toc1807"/>
      <w:bookmarkStart w:id="541" w:name="_Toc7141"/>
      <w:bookmarkStart w:id="542" w:name="_Toc13520"/>
      <w:bookmarkStart w:id="543" w:name="_Toc8064"/>
      <w:r>
        <w:rPr>
          <w:rFonts w:hint="eastAsia" w:ascii="宋体" w:hAnsi="宋体" w:eastAsia="宋体" w:cs="宋体"/>
          <w:color w:val="auto"/>
          <w:sz w:val="24"/>
          <w:szCs w:val="24"/>
          <w:highlight w:val="none"/>
          <w:lang w:eastAsia="zh-CN"/>
        </w:rPr>
        <w:t>九</w:t>
      </w:r>
      <w:r>
        <w:rPr>
          <w:rFonts w:hint="eastAsia" w:ascii="宋体" w:hAnsi="宋体" w:eastAsia="宋体" w:cs="宋体"/>
          <w:color w:val="auto"/>
          <w:sz w:val="24"/>
          <w:szCs w:val="24"/>
          <w:highlight w:val="none"/>
        </w:rPr>
        <w:t>、双方约定的其他工程质量保修事项：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bookmarkEnd w:id="538"/>
      <w:bookmarkEnd w:id="539"/>
      <w:bookmarkEnd w:id="540"/>
      <w:bookmarkEnd w:id="541"/>
      <w:bookmarkEnd w:id="542"/>
      <w:bookmarkEnd w:id="543"/>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56" w:firstLineChars="19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工程质量保修书由发包人、承包人在工程竣工验收前共同签署，作为施工合同附件，其有效期限至保修期满。</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发包人(公章)：                    承包人(公章)：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地  址：                          地  址：</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法定代表人(签字)：                法定代表人(签字)：</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委托代理人(签字)：                委托代理人(签字)：</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                          电  话：</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传  真：                          传  真：</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开户银行：                        开户银行：</w:t>
      </w:r>
      <w:r>
        <w:rPr>
          <w:rFonts w:hint="eastAsia" w:ascii="宋体" w:hAnsi="宋体" w:eastAsia="宋体" w:cs="宋体"/>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  号：                          账  号：</w:t>
      </w:r>
      <w:r>
        <w:rPr>
          <w:rFonts w:hint="eastAsia" w:ascii="宋体" w:hAnsi="宋体" w:eastAsia="宋体" w:cs="宋体"/>
          <w:color w:val="auto"/>
          <w:sz w:val="24"/>
          <w:szCs w:val="24"/>
          <w:highlight w:val="none"/>
          <w:u w:val="none"/>
        </w:rPr>
        <w:t xml:space="preserve">   </w:t>
      </w:r>
    </w:p>
    <w:p>
      <w:pPr>
        <w:spacing w:line="360" w:lineRule="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                        邮政编码：</w:t>
      </w:r>
    </w:p>
    <w:p>
      <w:pPr>
        <w:spacing w:line="360" w:lineRule="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pPr>
        <w:jc w:val="center"/>
        <w:outlineLvl w:val="0"/>
        <w:rPr>
          <w:rFonts w:hint="eastAsia" w:ascii="宋体" w:hAnsi="宋体" w:eastAsia="宋体" w:cs="宋体"/>
          <w:b/>
          <w:bCs/>
          <w:color w:val="auto"/>
          <w:sz w:val="32"/>
          <w:szCs w:val="32"/>
          <w:highlight w:val="none"/>
        </w:rPr>
      </w:pPr>
      <w:bookmarkStart w:id="544" w:name="_Toc18955"/>
      <w:r>
        <w:rPr>
          <w:rFonts w:hint="eastAsia" w:ascii="宋体" w:hAnsi="宋体" w:eastAsia="宋体" w:cs="宋体"/>
          <w:b/>
          <w:bCs/>
          <w:color w:val="auto"/>
          <w:sz w:val="32"/>
          <w:szCs w:val="32"/>
          <w:lang w:val="en-US" w:eastAsia="zh-CN"/>
        </w:rPr>
        <w:t>第五章 采购内容及技术要求</w:t>
      </w:r>
      <w:bookmarkEnd w:id="544"/>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lang w:val="zh-CN" w:eastAsia="zh-CN"/>
        </w:rPr>
        <w:t>采购内容和要求：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val="0"/>
          <w:bCs w:val="0"/>
          <w:color w:val="auto"/>
          <w:sz w:val="24"/>
          <w:szCs w:val="24"/>
          <w:highlight w:val="none"/>
          <w:lang w:val="zh-CN" w:eastAsia="zh-CN"/>
        </w:rPr>
        <w:t>本项目主要是：</w:t>
      </w:r>
      <w:r>
        <w:rPr>
          <w:rFonts w:hint="eastAsia" w:ascii="宋体" w:hAnsi="宋体" w:cs="宋体"/>
          <w:color w:val="auto"/>
          <w:spacing w:val="0"/>
          <w:sz w:val="24"/>
          <w:szCs w:val="24"/>
          <w:lang w:eastAsia="zh-CN"/>
        </w:rPr>
        <w:t>高新消防大队绳索训练建设项目</w:t>
      </w:r>
      <w:r>
        <w:rPr>
          <w:rFonts w:hint="eastAsia" w:ascii="宋体" w:hAnsi="宋体" w:eastAsia="宋体" w:cs="宋体"/>
          <w:color w:val="auto"/>
          <w:spacing w:val="0"/>
          <w:sz w:val="24"/>
          <w:szCs w:val="24"/>
          <w:lang w:eastAsia="zh-CN"/>
        </w:rPr>
        <w:t>：本工程主体为3层钢结构，基础为独立基础，屋面为彩钢夹芯板，建筑高度为12.8米，建筑面积约336平方米。</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二、采购预算：</w:t>
      </w:r>
      <w:r>
        <w:rPr>
          <w:rFonts w:hint="eastAsia" w:ascii="宋体" w:hAnsi="宋体" w:cs="宋体"/>
          <w:b/>
          <w:bCs/>
          <w:color w:val="auto"/>
          <w:sz w:val="24"/>
          <w:szCs w:val="24"/>
          <w:highlight w:val="none"/>
          <w:lang w:val="en-US" w:eastAsia="zh-CN"/>
        </w:rPr>
        <w:t>78</w:t>
      </w:r>
      <w:r>
        <w:rPr>
          <w:rFonts w:hint="eastAsia" w:ascii="宋体" w:hAnsi="宋体" w:eastAsia="宋体" w:cs="宋体"/>
          <w:b/>
          <w:bCs/>
          <w:color w:val="auto"/>
          <w:sz w:val="24"/>
          <w:szCs w:val="24"/>
          <w:highlight w:val="none"/>
          <w:lang w:val="en-US" w:eastAsia="zh-CN"/>
        </w:rPr>
        <w:t>万元</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zh-CN" w:eastAsia="zh-CN"/>
        </w:rPr>
        <w:t>三、工期：</w:t>
      </w:r>
      <w:r>
        <w:rPr>
          <w:rFonts w:hint="eastAsia" w:ascii="宋体" w:hAnsi="宋体" w:eastAsia="宋体" w:cs="宋体"/>
          <w:b/>
          <w:bCs/>
          <w:color w:val="FF0000"/>
          <w:sz w:val="24"/>
          <w:szCs w:val="24"/>
          <w:highlight w:val="none"/>
          <w:u w:val="single"/>
          <w:lang w:val="en-US" w:eastAsia="zh-CN"/>
        </w:rPr>
        <w:t xml:space="preserve"> </w:t>
      </w:r>
      <w:r>
        <w:rPr>
          <w:rFonts w:hint="eastAsia" w:ascii="宋体" w:hAnsi="宋体" w:cs="宋体"/>
          <w:b/>
          <w:bCs/>
          <w:color w:val="FF0000"/>
          <w:sz w:val="24"/>
          <w:szCs w:val="24"/>
          <w:highlight w:val="none"/>
          <w:u w:val="single"/>
          <w:lang w:val="en-US" w:eastAsia="zh-CN"/>
        </w:rPr>
        <w:t xml:space="preserve">25 </w:t>
      </w:r>
      <w:r>
        <w:rPr>
          <w:rFonts w:hint="eastAsia" w:ascii="宋体" w:hAnsi="宋体" w:eastAsia="宋体" w:cs="宋体"/>
          <w:b/>
          <w:bCs/>
          <w:color w:val="auto"/>
          <w:sz w:val="24"/>
          <w:szCs w:val="24"/>
          <w:highlight w:val="none"/>
          <w:lang w:val="en-US" w:eastAsia="zh-CN"/>
        </w:rPr>
        <w:t>日历天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zh-CN" w:eastAsia="zh-CN"/>
        </w:rPr>
        <w:t>四、质量：执行国家现行行业验收规范，达到</w:t>
      </w:r>
      <w:r>
        <w:rPr>
          <w:rFonts w:hint="eastAsia" w:ascii="宋体" w:hAnsi="宋体" w:eastAsia="宋体" w:cs="宋体"/>
          <w:b/>
          <w:bCs/>
          <w:color w:val="auto"/>
          <w:sz w:val="24"/>
          <w:szCs w:val="24"/>
          <w:highlight w:val="none"/>
          <w:lang w:val="en-US" w:eastAsia="zh-CN"/>
        </w:rPr>
        <w:t>“合格”</w:t>
      </w:r>
      <w:r>
        <w:rPr>
          <w:rFonts w:hint="eastAsia" w:ascii="宋体" w:hAnsi="宋体" w:eastAsia="宋体" w:cs="宋体"/>
          <w:b/>
          <w:bCs/>
          <w:color w:val="auto"/>
          <w:sz w:val="24"/>
          <w:szCs w:val="24"/>
          <w:highlight w:val="none"/>
          <w:lang w:val="zh-CN" w:eastAsia="zh-CN"/>
        </w:rPr>
        <w:t>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zh-CN" w:eastAsia="zh-CN"/>
        </w:rPr>
        <w:t>五、工程材料：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val="0"/>
          <w:bCs w:val="0"/>
          <w:color w:val="auto"/>
          <w:sz w:val="24"/>
          <w:szCs w:val="24"/>
          <w:highlight w:val="none"/>
          <w:lang w:val="zh-CN" w:eastAsia="zh-CN"/>
        </w:rPr>
      </w:pPr>
      <w:r>
        <w:rPr>
          <w:rFonts w:hint="eastAsia" w:ascii="宋体" w:hAnsi="宋体" w:eastAsia="宋体" w:cs="宋体"/>
          <w:b w:val="0"/>
          <w:bCs w:val="0"/>
          <w:color w:val="auto"/>
          <w:sz w:val="24"/>
          <w:szCs w:val="24"/>
          <w:highlight w:val="none"/>
          <w:lang w:val="zh-CN" w:eastAsia="zh-CN"/>
        </w:rPr>
        <w:t>工程材料在工程实施过程中，由发包人认质。凡在工程实施过程因设计变更引起的施工费用，由发包方和承包方共同签字确认变更后协商解决。</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zh-CN" w:eastAsia="zh-CN"/>
        </w:rPr>
        <w:t>六、工程量清单编制及计价依据：</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2"/>
          <w:highlight w:val="none"/>
          <w:lang w:val="zh-CN" w:eastAsia="zh-CN"/>
        </w:rPr>
      </w:pPr>
      <w:r>
        <w:rPr>
          <w:rFonts w:hint="eastAsia" w:ascii="宋体" w:hAnsi="宋体" w:eastAsia="宋体" w:cs="宋体"/>
          <w:color w:val="auto"/>
          <w:sz w:val="24"/>
          <w:szCs w:val="22"/>
          <w:highlight w:val="none"/>
          <w:lang w:val="zh-CN" w:eastAsia="zh-CN"/>
        </w:rPr>
        <w:t>1</w:t>
      </w:r>
      <w:r>
        <w:rPr>
          <w:rFonts w:hint="eastAsia" w:ascii="宋体" w:hAnsi="宋体" w:eastAsia="宋体" w:cs="宋体"/>
          <w:color w:val="auto"/>
          <w:sz w:val="24"/>
          <w:szCs w:val="22"/>
          <w:highlight w:val="none"/>
          <w:lang w:val="en-US" w:eastAsia="zh-CN"/>
        </w:rPr>
        <w:t>.</w:t>
      </w:r>
      <w:r>
        <w:rPr>
          <w:rFonts w:hint="eastAsia" w:ascii="宋体" w:hAnsi="宋体" w:eastAsia="宋体" w:cs="宋体"/>
          <w:color w:val="auto"/>
          <w:sz w:val="24"/>
          <w:szCs w:val="22"/>
          <w:highlight w:val="none"/>
          <w:lang w:val="zh-CN" w:eastAsia="zh-CN"/>
        </w:rPr>
        <w:t>《陕西省建设工程工程量清单计价规则》2009；</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2"/>
          <w:highlight w:val="none"/>
          <w:lang w:val="zh-CN" w:eastAsia="zh-CN"/>
        </w:rPr>
      </w:pPr>
      <w:r>
        <w:rPr>
          <w:rFonts w:hint="eastAsia" w:ascii="宋体" w:hAnsi="宋体" w:eastAsia="宋体" w:cs="宋体"/>
          <w:color w:val="auto"/>
          <w:sz w:val="24"/>
          <w:szCs w:val="22"/>
          <w:highlight w:val="none"/>
          <w:lang w:val="zh-CN" w:eastAsia="zh-CN"/>
        </w:rPr>
        <w:t>2</w:t>
      </w:r>
      <w:r>
        <w:rPr>
          <w:rFonts w:hint="eastAsia" w:ascii="宋体" w:hAnsi="宋体" w:eastAsia="宋体" w:cs="宋体"/>
          <w:color w:val="auto"/>
          <w:sz w:val="24"/>
          <w:szCs w:val="22"/>
          <w:highlight w:val="none"/>
          <w:lang w:val="en-US" w:eastAsia="zh-CN"/>
        </w:rPr>
        <w:t>.</w:t>
      </w:r>
      <w:r>
        <w:rPr>
          <w:rFonts w:hint="eastAsia" w:ascii="宋体" w:hAnsi="宋体" w:eastAsia="宋体" w:cs="宋体"/>
          <w:color w:val="auto"/>
          <w:sz w:val="24"/>
          <w:szCs w:val="22"/>
          <w:highlight w:val="none"/>
          <w:lang w:val="zh-CN" w:eastAsia="zh-CN"/>
        </w:rPr>
        <w:t>施工图纸及答疑纪要；</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2"/>
          <w:highlight w:val="none"/>
          <w:lang w:val="zh-CN" w:eastAsia="zh-CN"/>
        </w:rPr>
      </w:pPr>
      <w:r>
        <w:rPr>
          <w:rFonts w:hint="eastAsia" w:ascii="宋体" w:hAnsi="宋体" w:eastAsia="宋体" w:cs="宋体"/>
          <w:color w:val="auto"/>
          <w:sz w:val="24"/>
          <w:szCs w:val="22"/>
          <w:highlight w:val="none"/>
          <w:lang w:val="zh-CN" w:eastAsia="zh-CN"/>
        </w:rPr>
        <w:t>3</w:t>
      </w:r>
      <w:r>
        <w:rPr>
          <w:rFonts w:hint="eastAsia" w:ascii="宋体" w:hAnsi="宋体" w:eastAsia="宋体" w:cs="宋体"/>
          <w:color w:val="auto"/>
          <w:sz w:val="24"/>
          <w:szCs w:val="22"/>
          <w:highlight w:val="none"/>
          <w:lang w:val="en-US" w:eastAsia="zh-CN"/>
        </w:rPr>
        <w:t>.</w:t>
      </w:r>
      <w:r>
        <w:rPr>
          <w:rFonts w:hint="eastAsia" w:ascii="宋体" w:hAnsi="宋体" w:eastAsia="宋体" w:cs="宋体"/>
          <w:color w:val="auto"/>
          <w:sz w:val="24"/>
          <w:szCs w:val="22"/>
          <w:highlight w:val="none"/>
          <w:lang w:val="zh-CN" w:eastAsia="zh-CN"/>
        </w:rPr>
        <w:t>磋商文件的有关要求；</w:t>
      </w:r>
      <w:r>
        <w:rPr>
          <w:rFonts w:hint="eastAsia" w:ascii="宋体" w:hAnsi="宋体" w:eastAsia="宋体" w:cs="宋体"/>
          <w:color w:val="auto"/>
          <w:sz w:val="24"/>
          <w:szCs w:val="22"/>
          <w:highlight w:val="none"/>
          <w:lang w:val="zh-CN" w:eastAsia="zh-CN"/>
        </w:rPr>
        <w:tab/>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2"/>
          <w:highlight w:val="none"/>
          <w:lang w:val="zh-CN" w:eastAsia="zh-CN"/>
        </w:rPr>
      </w:pPr>
      <w:r>
        <w:rPr>
          <w:rFonts w:hint="eastAsia" w:ascii="宋体" w:hAnsi="宋体" w:eastAsia="宋体" w:cs="宋体"/>
          <w:color w:val="auto"/>
          <w:sz w:val="24"/>
          <w:szCs w:val="22"/>
          <w:highlight w:val="none"/>
          <w:lang w:val="zh-CN" w:eastAsia="zh-CN"/>
        </w:rPr>
        <w:t>4</w:t>
      </w:r>
      <w:r>
        <w:rPr>
          <w:rFonts w:hint="eastAsia" w:ascii="宋体" w:hAnsi="宋体" w:eastAsia="宋体" w:cs="宋体"/>
          <w:color w:val="auto"/>
          <w:sz w:val="24"/>
          <w:szCs w:val="22"/>
          <w:highlight w:val="none"/>
          <w:lang w:val="en-US" w:eastAsia="zh-CN"/>
        </w:rPr>
        <w:t>.</w:t>
      </w:r>
      <w:r>
        <w:rPr>
          <w:rFonts w:hint="eastAsia" w:ascii="宋体" w:hAnsi="宋体" w:eastAsia="宋体" w:cs="宋体"/>
          <w:color w:val="auto"/>
          <w:sz w:val="24"/>
          <w:szCs w:val="22"/>
          <w:highlight w:val="none"/>
          <w:lang w:val="zh-CN" w:eastAsia="zh-CN"/>
        </w:rPr>
        <w:t>正常的施工组织及方法；</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2"/>
          <w:highlight w:val="none"/>
          <w:lang w:val="zh-CN" w:eastAsia="zh-CN"/>
        </w:rPr>
      </w:pPr>
      <w:r>
        <w:rPr>
          <w:rFonts w:hint="eastAsia" w:ascii="宋体" w:hAnsi="宋体" w:eastAsia="宋体" w:cs="宋体"/>
          <w:color w:val="auto"/>
          <w:sz w:val="24"/>
          <w:szCs w:val="22"/>
          <w:highlight w:val="none"/>
          <w:lang w:val="zh-CN" w:eastAsia="zh-CN"/>
        </w:rPr>
        <w:t>5</w:t>
      </w:r>
      <w:r>
        <w:rPr>
          <w:rFonts w:hint="eastAsia" w:ascii="宋体" w:hAnsi="宋体" w:eastAsia="宋体" w:cs="宋体"/>
          <w:color w:val="auto"/>
          <w:sz w:val="24"/>
          <w:szCs w:val="22"/>
          <w:highlight w:val="none"/>
          <w:lang w:val="en-US" w:eastAsia="zh-CN"/>
        </w:rPr>
        <w:t>.</w:t>
      </w:r>
      <w:r>
        <w:rPr>
          <w:rFonts w:hint="eastAsia" w:ascii="宋体" w:hAnsi="宋体" w:eastAsia="宋体" w:cs="宋体"/>
          <w:color w:val="auto"/>
          <w:sz w:val="24"/>
          <w:szCs w:val="22"/>
          <w:highlight w:val="none"/>
          <w:lang w:val="zh-CN" w:eastAsia="zh-CN"/>
        </w:rPr>
        <w:t>施工规范和验收规范。</w:t>
      </w:r>
    </w:p>
    <w:p>
      <w:pPr>
        <w:pStyle w:val="8"/>
        <w:keepNext w:val="0"/>
        <w:keepLines w:val="0"/>
        <w:pageBreakBefore w:val="0"/>
        <w:kinsoku/>
        <w:wordWrap/>
        <w:overflowPunct/>
        <w:topLinePunct w:val="0"/>
        <w:bidi w:val="0"/>
        <w:snapToGrid/>
        <w:ind w:firstLine="480" w:firstLineChars="200"/>
        <w:textAlignment w:val="auto"/>
        <w:rPr>
          <w:rFonts w:hint="eastAsia" w:ascii="宋体" w:hAnsi="宋体" w:eastAsia="宋体" w:cs="宋体"/>
          <w:color w:val="auto"/>
          <w:kern w:val="0"/>
          <w:sz w:val="24"/>
          <w:highlight w:val="none"/>
          <w:u w:val="none" w:color="000000"/>
          <w:lang w:eastAsia="zh-CN"/>
        </w:rPr>
      </w:pPr>
      <w:r>
        <w:rPr>
          <w:rFonts w:hint="eastAsia" w:ascii="宋体" w:hAnsi="宋体" w:cs="宋体"/>
          <w:color w:val="auto"/>
          <w:kern w:val="0"/>
          <w:sz w:val="24"/>
          <w:highlight w:val="none"/>
          <w:u w:val="none" w:color="000000"/>
          <w:lang w:val="en-US" w:eastAsia="zh-CN"/>
        </w:rPr>
        <w:t>6.</w:t>
      </w:r>
      <w:r>
        <w:rPr>
          <w:rFonts w:hint="eastAsia" w:ascii="宋体" w:hAnsi="宋体" w:eastAsia="宋体" w:cs="宋体"/>
          <w:color w:val="auto"/>
          <w:kern w:val="0"/>
          <w:sz w:val="24"/>
          <w:highlight w:val="none"/>
          <w:u w:val="none" w:color="000000"/>
        </w:rPr>
        <w:t>本投标文件必须使用广联达云计价平台版本为GCCP</w:t>
      </w:r>
      <w:r>
        <w:rPr>
          <w:rFonts w:hint="eastAsia" w:ascii="宋体" w:hAnsi="宋体" w:cs="宋体"/>
          <w:color w:val="auto"/>
          <w:kern w:val="0"/>
          <w:sz w:val="24"/>
          <w:highlight w:val="none"/>
          <w:u w:val="none" w:color="000000"/>
          <w:lang w:val="en-US" w:eastAsia="zh-CN"/>
        </w:rPr>
        <w:t>6</w:t>
      </w:r>
      <w:r>
        <w:rPr>
          <w:rFonts w:hint="eastAsia" w:ascii="宋体" w:hAnsi="宋体" w:eastAsia="宋体" w:cs="宋体"/>
          <w:color w:val="auto"/>
          <w:kern w:val="0"/>
          <w:sz w:val="24"/>
          <w:highlight w:val="none"/>
          <w:u w:val="none" w:color="000000"/>
        </w:rPr>
        <w:t>.</w:t>
      </w:r>
      <w:r>
        <w:rPr>
          <w:rFonts w:hint="eastAsia" w:ascii="宋体" w:hAnsi="宋体" w:eastAsia="宋体" w:cs="宋体"/>
          <w:color w:val="auto"/>
          <w:kern w:val="0"/>
          <w:sz w:val="24"/>
          <w:szCs w:val="22"/>
          <w:highlight w:val="none"/>
          <w:u w:val="none" w:color="000000"/>
        </w:rPr>
        <w:t>0（</w:t>
      </w:r>
      <w:r>
        <w:rPr>
          <w:rFonts w:hint="eastAsia" w:ascii="宋体" w:hAnsi="宋体" w:cs="宋体"/>
          <w:color w:val="auto"/>
          <w:kern w:val="0"/>
          <w:sz w:val="24"/>
          <w:szCs w:val="22"/>
          <w:highlight w:val="none"/>
          <w:u w:val="none" w:color="000000"/>
          <w:lang w:val="en-US" w:eastAsia="zh-CN"/>
        </w:rPr>
        <w:t>6.1200.23.104</w:t>
      </w:r>
      <w:r>
        <w:rPr>
          <w:rFonts w:hint="eastAsia" w:ascii="宋体" w:hAnsi="宋体" w:eastAsia="宋体" w:cs="宋体"/>
          <w:color w:val="auto"/>
          <w:kern w:val="0"/>
          <w:sz w:val="24"/>
          <w:szCs w:val="22"/>
          <w:highlight w:val="none"/>
          <w:u w:val="none" w:color="000000"/>
        </w:rPr>
        <w:t>)</w:t>
      </w:r>
      <w:r>
        <w:rPr>
          <w:rFonts w:hint="eastAsia" w:ascii="宋体" w:hAnsi="宋体" w:eastAsia="宋体" w:cs="宋体"/>
          <w:color w:val="auto"/>
          <w:kern w:val="0"/>
          <w:sz w:val="24"/>
          <w:highlight w:val="none"/>
          <w:u w:val="none" w:color="000000"/>
        </w:rPr>
        <w:t>组价</w:t>
      </w:r>
      <w:r>
        <w:rPr>
          <w:rFonts w:hint="eastAsia" w:ascii="宋体" w:hAnsi="宋体" w:cs="宋体"/>
          <w:color w:val="auto"/>
          <w:kern w:val="0"/>
          <w:sz w:val="24"/>
          <w:highlight w:val="none"/>
          <w:u w:val="none" w:color="000000"/>
          <w:lang w:eastAsia="zh-CN"/>
        </w:rPr>
        <w:t>。</w:t>
      </w:r>
    </w:p>
    <w:p>
      <w:pPr>
        <w:pStyle w:val="8"/>
        <w:keepNext w:val="0"/>
        <w:keepLines w:val="0"/>
        <w:pageBreakBefore w:val="0"/>
        <w:kinsoku/>
        <w:wordWrap/>
        <w:overflowPunct/>
        <w:topLinePunct w:val="0"/>
        <w:bidi w:val="0"/>
        <w:snapToGrid/>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val="zh-CN"/>
        </w:rPr>
        <w:t>技术标准</w:t>
      </w:r>
    </w:p>
    <w:p>
      <w:pPr>
        <w:keepNext w:val="0"/>
        <w:keepLines w:val="0"/>
        <w:pageBreakBefore w:val="0"/>
        <w:kinsoku/>
        <w:wordWrap/>
        <w:overflowPunct/>
        <w:topLinePunct w:val="0"/>
        <w:bidi w:val="0"/>
        <w:snapToGrid/>
        <w:spacing w:line="360" w:lineRule="auto"/>
        <w:ind w:left="-359" w:leftChars="-171" w:firstLine="480" w:firstLineChars="200"/>
        <w:textAlignment w:val="auto"/>
        <w:outlineLvl w:val="9"/>
        <w:rPr>
          <w:rFonts w:hint="eastAsia" w:ascii="宋体" w:hAnsi="宋体" w:eastAsia="宋体" w:cs="宋体"/>
          <w:color w:val="auto"/>
          <w:sz w:val="24"/>
        </w:rPr>
      </w:pPr>
      <w:r>
        <w:rPr>
          <w:rFonts w:hint="eastAsia" w:ascii="宋体" w:hAnsi="宋体" w:eastAsia="宋体" w:cs="宋体"/>
          <w:color w:val="auto"/>
          <w:sz w:val="24"/>
        </w:rPr>
        <w:t>依据设计文件的要求，本招标工程项目的材料、施工须达到下列现行中华人民共和国以及省、自治区、直辖市或行业的工程建设标准、规范和要求。</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.1工程测量规范（GB50026-93）</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.2《建筑地基基础工程施工质量验收规范》（GB50202-2002）</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.3《建筑工程施工质量验收统一标准》 GB50300-</w:t>
      </w:r>
      <w:r>
        <w:rPr>
          <w:rFonts w:hint="eastAsia" w:ascii="宋体" w:hAnsi="宋体" w:eastAsia="宋体" w:cs="宋体"/>
          <w:color w:val="auto"/>
          <w:sz w:val="24"/>
          <w:highlight w:val="none"/>
          <w:lang w:val="en-US" w:eastAsia="zh-CN"/>
        </w:rPr>
        <w:t>2013</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.4《砌体工程施工质量验收规范》 GB50203-2002</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.5《混凝土结构工程施工质量验收规范》 GB50204-</w:t>
      </w:r>
      <w:r>
        <w:rPr>
          <w:rFonts w:hint="eastAsia" w:ascii="宋体" w:hAnsi="宋体" w:eastAsia="宋体" w:cs="宋体"/>
          <w:color w:val="auto"/>
          <w:sz w:val="24"/>
          <w:highlight w:val="none"/>
          <w:lang w:val="en-US" w:eastAsia="zh-CN"/>
        </w:rPr>
        <w:t>2015</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《屋面工程质量验收规范》 GB50207-</w:t>
      </w:r>
      <w:r>
        <w:rPr>
          <w:rFonts w:hint="eastAsia" w:ascii="宋体" w:hAnsi="宋体" w:eastAsia="宋体" w:cs="宋体"/>
          <w:color w:val="auto"/>
          <w:sz w:val="24"/>
          <w:highlight w:val="none"/>
          <w:lang w:val="en-US" w:eastAsia="zh-CN"/>
        </w:rPr>
        <w:t>2012</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《建筑地面工程施工质量验收规范》 GB50209-</w:t>
      </w:r>
      <w:r>
        <w:rPr>
          <w:rFonts w:hint="eastAsia" w:ascii="宋体" w:hAnsi="宋体" w:eastAsia="宋体" w:cs="宋体"/>
          <w:color w:val="auto"/>
          <w:sz w:val="24"/>
          <w:highlight w:val="none"/>
          <w:lang w:val="en-US" w:eastAsia="zh-CN"/>
        </w:rPr>
        <w:t>2010</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《建筑装饰装修工程施工质量验收规范》 GB50210-2001</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《建筑给水排水及采暖工程施工质量验收规范》 GB50242-2002</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《通风与空调工程施工质量验收规范》 GB50243-2002</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《建筑电气工程施工质量验收规范》 GB50303-</w:t>
      </w:r>
      <w:r>
        <w:rPr>
          <w:rFonts w:hint="eastAsia" w:ascii="宋体" w:hAnsi="宋体" w:eastAsia="宋体" w:cs="宋体"/>
          <w:color w:val="auto"/>
          <w:sz w:val="24"/>
          <w:highlight w:val="none"/>
          <w:lang w:val="en-US" w:eastAsia="zh-CN"/>
        </w:rPr>
        <w:t>2015</w:t>
      </w:r>
      <w:r>
        <w:rPr>
          <w:rFonts w:hint="eastAsia" w:ascii="宋体" w:hAnsi="宋体" w:eastAsia="宋体" w:cs="宋体"/>
          <w:color w:val="auto"/>
          <w:sz w:val="24"/>
          <w:highlight w:val="none"/>
          <w:lang w:eastAsia="zh-CN"/>
        </w:rPr>
        <w:t>（如有）</w:t>
      </w:r>
    </w:p>
    <w:p>
      <w:pPr>
        <w:keepNext w:val="0"/>
        <w:keepLines w:val="0"/>
        <w:pageBreakBefore w:val="0"/>
        <w:widowControl/>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其他与本工程有关的现行相关规范、规程、标准。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cs="宋体"/>
          <w:b/>
          <w:bCs/>
          <w:color w:val="auto"/>
          <w:sz w:val="24"/>
          <w:szCs w:val="24"/>
          <w:highlight w:val="none"/>
          <w:lang w:val="zh-CN" w:eastAsia="zh-CN"/>
        </w:rPr>
      </w:pPr>
      <w:r>
        <w:rPr>
          <w:rFonts w:hint="eastAsia" w:ascii="宋体" w:hAnsi="宋体" w:cs="宋体"/>
          <w:b/>
          <w:bCs/>
          <w:color w:val="auto"/>
          <w:sz w:val="24"/>
          <w:szCs w:val="24"/>
          <w:highlight w:val="none"/>
          <w:lang w:val="zh-CN" w:eastAsia="zh-CN"/>
        </w:rPr>
        <w:t>七、施工安装要求：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1、本项目含以上货物、设备的供货、安装、检测、调试、试运行、交付使用、保修等全部工作。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2、本项目安装施工严格按照采购方设计需求及相关规范、标准执行。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3、本项目安装施工中，必须做好安全防护工作，若发生人身、财产伤害、损失，概由供应商承担。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4、供应设备、工程质量必须达到相关设计规范、标准及国家相关质量验收标准。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cs="宋体"/>
          <w:b/>
          <w:bCs/>
          <w:color w:val="auto"/>
          <w:sz w:val="24"/>
          <w:szCs w:val="24"/>
          <w:highlight w:val="none"/>
          <w:lang w:val="zh-CN" w:eastAsia="zh-CN"/>
        </w:rPr>
        <w:t>八</w:t>
      </w:r>
      <w:r>
        <w:rPr>
          <w:rFonts w:hint="eastAsia" w:ascii="宋体" w:hAnsi="宋体" w:eastAsia="宋体" w:cs="宋体"/>
          <w:b/>
          <w:bCs/>
          <w:color w:val="auto"/>
          <w:sz w:val="24"/>
          <w:szCs w:val="24"/>
          <w:highlight w:val="none"/>
          <w:lang w:val="zh-CN" w:eastAsia="zh-CN"/>
        </w:rPr>
        <w:t>、工程量清单（后附：见第七章</w:t>
      </w:r>
      <w:r>
        <w:rPr>
          <w:rFonts w:hint="eastAsia" w:ascii="宋体" w:hAnsi="宋体" w:eastAsia="宋体" w:cs="宋体"/>
          <w:b/>
          <w:bCs/>
          <w:color w:val="auto"/>
          <w:sz w:val="24"/>
          <w:szCs w:val="24"/>
          <w:highlight w:val="none"/>
          <w:lang w:val="en-US" w:eastAsia="zh-CN"/>
        </w:rPr>
        <w:t xml:space="preserve"> 工程量清单</w:t>
      </w:r>
      <w:r>
        <w:rPr>
          <w:rFonts w:hint="eastAsia" w:ascii="宋体" w:hAnsi="宋体" w:eastAsia="宋体" w:cs="宋体"/>
          <w:b/>
          <w:bCs/>
          <w:color w:val="auto"/>
          <w:sz w:val="24"/>
          <w:szCs w:val="24"/>
          <w:highlight w:val="none"/>
          <w:lang w:val="zh-CN"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zh-CN" w:eastAsia="zh-CN"/>
        </w:rPr>
        <w:br w:type="page"/>
      </w:r>
    </w:p>
    <w:p>
      <w:pPr>
        <w:jc w:val="center"/>
        <w:outlineLvl w:val="0"/>
        <w:rPr>
          <w:rFonts w:hint="eastAsia" w:ascii="宋体" w:hAnsi="宋体" w:eastAsia="宋体" w:cs="宋体"/>
          <w:b/>
          <w:bCs/>
          <w:color w:val="auto"/>
          <w:sz w:val="32"/>
          <w:szCs w:val="28"/>
          <w:highlight w:val="none"/>
        </w:rPr>
      </w:pPr>
      <w:bookmarkStart w:id="545" w:name="_Toc28909"/>
      <w:r>
        <w:rPr>
          <w:rFonts w:hint="eastAsia" w:ascii="宋体" w:hAnsi="宋体" w:eastAsia="宋体" w:cs="宋体"/>
          <w:b/>
          <w:bCs/>
          <w:color w:val="auto"/>
          <w:sz w:val="32"/>
          <w:szCs w:val="28"/>
          <w:lang w:val="en-US" w:eastAsia="zh-CN"/>
        </w:rPr>
        <w:t>第六章</w:t>
      </w:r>
      <w:r>
        <w:rPr>
          <w:rFonts w:hint="eastAsia" w:ascii="宋体" w:hAnsi="宋体" w:cs="宋体"/>
          <w:b/>
          <w:bCs/>
          <w:color w:val="auto"/>
          <w:sz w:val="32"/>
          <w:szCs w:val="28"/>
          <w:lang w:val="en-US" w:eastAsia="zh-CN"/>
        </w:rPr>
        <w:t xml:space="preserve"> </w:t>
      </w:r>
      <w:r>
        <w:rPr>
          <w:rFonts w:hint="eastAsia" w:ascii="宋体" w:hAnsi="宋体" w:eastAsia="宋体" w:cs="宋体"/>
          <w:b/>
          <w:bCs/>
          <w:color w:val="auto"/>
          <w:sz w:val="32"/>
          <w:szCs w:val="28"/>
          <w:highlight w:val="none"/>
          <w:lang w:eastAsia="zh-CN"/>
        </w:rPr>
        <w:t>响应文件格式</w:t>
      </w:r>
      <w:bookmarkEnd w:id="545"/>
    </w:p>
    <w:p>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outlineLvl w:val="9"/>
        <w:rPr>
          <w:rFonts w:hint="eastAsia" w:ascii="宋体" w:hAnsi="宋体" w:eastAsia="宋体" w:cs="宋体"/>
          <w:b/>
          <w:bCs/>
          <w:color w:val="auto"/>
          <w:sz w:val="23"/>
          <w:szCs w:val="23"/>
          <w:highlight w:val="none"/>
          <w:lang w:val="en-US" w:eastAsia="zh-CN"/>
        </w:rPr>
      </w:pPr>
      <w:r>
        <w:rPr>
          <w:rFonts w:hint="eastAsia" w:ascii="宋体" w:hAnsi="宋体" w:eastAsia="宋体" w:cs="宋体"/>
          <w:b/>
          <w:bCs/>
          <w:color w:val="auto"/>
          <w:sz w:val="23"/>
          <w:szCs w:val="23"/>
          <w:highlight w:val="none"/>
          <w:lang w:val="en-US" w:eastAsia="zh-CN"/>
        </w:rPr>
        <w:t>响应文件编制说明</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460" w:firstLineChars="200"/>
        <w:textAlignment w:val="auto"/>
        <w:outlineLvl w:val="9"/>
        <w:rPr>
          <w:rFonts w:hint="eastAsia" w:ascii="宋体" w:hAnsi="宋体" w:eastAsia="宋体" w:cs="宋体"/>
          <w:color w:val="auto"/>
          <w:sz w:val="23"/>
          <w:szCs w:val="23"/>
          <w:highlight w:val="none"/>
          <w:lang w:val="en-US" w:eastAsia="zh-CN"/>
        </w:rPr>
      </w:pPr>
      <w:r>
        <w:rPr>
          <w:rFonts w:hint="eastAsia" w:ascii="宋体" w:hAnsi="宋体" w:eastAsia="宋体" w:cs="宋体"/>
          <w:color w:val="auto"/>
          <w:sz w:val="23"/>
          <w:szCs w:val="23"/>
          <w:highlight w:val="none"/>
          <w:lang w:val="en-US" w:eastAsia="zh-CN"/>
        </w:rPr>
        <w:t>1、</w:t>
      </w:r>
      <w:r>
        <w:rPr>
          <w:rFonts w:hint="eastAsia" w:ascii="宋体" w:hAnsi="宋体" w:eastAsia="宋体" w:cs="宋体"/>
          <w:color w:val="auto"/>
          <w:sz w:val="23"/>
          <w:szCs w:val="23"/>
          <w:highlight w:val="none"/>
          <w:lang w:val="zh-CN" w:eastAsia="zh-CN"/>
        </w:rPr>
        <w:t>代理机构</w:t>
      </w:r>
      <w:r>
        <w:rPr>
          <w:rFonts w:hint="eastAsia" w:ascii="宋体" w:hAnsi="宋体" w:eastAsia="宋体" w:cs="宋体"/>
          <w:color w:val="auto"/>
          <w:sz w:val="23"/>
          <w:szCs w:val="23"/>
          <w:highlight w:val="none"/>
          <w:lang w:val="en-US" w:eastAsia="zh-CN"/>
        </w:rPr>
        <w:t>提供的响应文件格式，起到样式作用，编制响应文件前，请详细阅读磋商文件，理解文件中的每一项要求。</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460" w:firstLineChars="200"/>
        <w:textAlignment w:val="auto"/>
        <w:outlineLvl w:val="9"/>
        <w:rPr>
          <w:rFonts w:hint="eastAsia" w:ascii="宋体" w:hAnsi="宋体" w:eastAsia="宋体" w:cs="宋体"/>
          <w:color w:val="auto"/>
          <w:sz w:val="23"/>
          <w:szCs w:val="23"/>
          <w:highlight w:val="none"/>
          <w:lang w:val="en-US" w:eastAsia="zh-CN"/>
        </w:rPr>
      </w:pPr>
      <w:r>
        <w:rPr>
          <w:rFonts w:hint="eastAsia" w:ascii="宋体" w:hAnsi="宋体" w:eastAsia="宋体" w:cs="宋体"/>
          <w:color w:val="auto"/>
          <w:sz w:val="23"/>
          <w:szCs w:val="23"/>
          <w:highlight w:val="none"/>
          <w:lang w:val="en-US" w:eastAsia="zh-CN"/>
        </w:rPr>
        <w:t>2、响应文件的编制应按照样本格式提供的内容，做出逐一明确的答复；供应商认为有必要，还可以做其它补充说明。</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460" w:firstLineChars="200"/>
        <w:textAlignment w:val="auto"/>
        <w:outlineLvl w:val="9"/>
        <w:rPr>
          <w:rFonts w:hint="eastAsia" w:ascii="宋体" w:hAnsi="宋体" w:eastAsia="宋体" w:cs="宋体"/>
          <w:color w:val="auto"/>
          <w:sz w:val="23"/>
          <w:szCs w:val="23"/>
          <w:highlight w:val="none"/>
          <w:lang w:val="en-US" w:eastAsia="zh-CN"/>
        </w:rPr>
      </w:pPr>
    </w:p>
    <w:p>
      <w:pPr>
        <w:jc w:val="center"/>
        <w:outlineLvl w:val="9"/>
        <w:rPr>
          <w:rFonts w:hint="eastAsia" w:ascii="宋体" w:hAnsi="宋体" w:eastAsia="宋体" w:cs="宋体"/>
          <w:color w:val="auto"/>
          <w:lang w:val="en-US" w:eastAsia="zh-CN"/>
        </w:rPr>
      </w:pPr>
      <w:r>
        <w:rPr>
          <w:rFonts w:hint="eastAsia" w:ascii="宋体" w:hAnsi="宋体" w:eastAsia="宋体" w:cs="宋体"/>
          <w:color w:val="auto"/>
          <w:lang w:val="en-US" w:eastAsia="zh-CN"/>
        </w:rPr>
        <w:br w:type="page"/>
      </w:r>
    </w:p>
    <w:p>
      <w:pPr>
        <w:pStyle w:val="8"/>
        <w:jc w:val="right"/>
        <w:outlineLvl w:val="9"/>
        <w:rPr>
          <w:rFonts w:hint="eastAsia" w:ascii="宋体" w:hAnsi="宋体" w:eastAsia="宋体" w:cs="宋体"/>
          <w:b/>
          <w:bCs/>
          <w:color w:val="auto"/>
          <w:sz w:val="32"/>
          <w:szCs w:val="32"/>
          <w:highlight w:val="none"/>
          <w:lang w:eastAsia="zh-CN"/>
        </w:rPr>
      </w:pPr>
    </w:p>
    <w:p>
      <w:pPr>
        <w:pStyle w:val="8"/>
        <w:jc w:val="right"/>
        <w:outlineLvl w:val="9"/>
        <w:rPr>
          <w:rFonts w:hint="eastAsia" w:ascii="宋体" w:hAnsi="宋体" w:eastAsia="宋体" w:cs="宋体"/>
          <w:color w:val="auto"/>
          <w:highlight w:val="none"/>
        </w:rPr>
      </w:pPr>
      <w:r>
        <w:rPr>
          <w:rFonts w:hint="eastAsia" w:ascii="宋体" w:hAnsi="宋体" w:eastAsia="宋体" w:cs="宋体"/>
          <w:b/>
          <w:bCs/>
          <w:color w:val="auto"/>
          <w:sz w:val="32"/>
          <w:szCs w:val="32"/>
          <w:highlight w:val="none"/>
          <w:lang w:eastAsia="zh-CN"/>
        </w:rPr>
        <w:t>正本</w:t>
      </w:r>
      <w:r>
        <w:rPr>
          <w:rFonts w:hint="eastAsia" w:ascii="宋体" w:hAnsi="宋体" w:eastAsia="宋体" w:cs="宋体"/>
          <w:b/>
          <w:bCs/>
          <w:color w:val="auto"/>
          <w:sz w:val="32"/>
          <w:szCs w:val="32"/>
          <w:highlight w:val="none"/>
          <w:lang w:val="en-US" w:eastAsia="zh-CN"/>
        </w:rPr>
        <w:t>/副本</w:t>
      </w:r>
    </w:p>
    <w:p>
      <w:pPr>
        <w:autoSpaceDE w:val="0"/>
        <w:autoSpaceDN w:val="0"/>
        <w:adjustRightInd w:val="0"/>
        <w:snapToGrid w:val="0"/>
        <w:spacing w:line="240" w:lineRule="auto"/>
        <w:jc w:val="center"/>
        <w:outlineLvl w:val="9"/>
        <w:rPr>
          <w:rFonts w:hint="eastAsia" w:ascii="宋体" w:hAnsi="宋体" w:eastAsia="宋体" w:cs="宋体"/>
          <w:b/>
          <w:bCs/>
          <w:color w:val="auto"/>
          <w:kern w:val="0"/>
          <w:sz w:val="48"/>
          <w:szCs w:val="48"/>
          <w:highlight w:val="none"/>
          <w:lang w:eastAsia="zh-CN"/>
        </w:rPr>
      </w:pPr>
    </w:p>
    <w:p>
      <w:pPr>
        <w:autoSpaceDE w:val="0"/>
        <w:autoSpaceDN w:val="0"/>
        <w:adjustRightInd w:val="0"/>
        <w:snapToGrid w:val="0"/>
        <w:spacing w:line="240" w:lineRule="auto"/>
        <w:jc w:val="center"/>
        <w:outlineLvl w:val="9"/>
        <w:rPr>
          <w:rFonts w:hint="eastAsia" w:ascii="宋体" w:hAnsi="宋体" w:eastAsia="宋体" w:cs="宋体"/>
          <w:b/>
          <w:bCs/>
          <w:color w:val="auto"/>
          <w:kern w:val="0"/>
          <w:sz w:val="48"/>
          <w:szCs w:val="48"/>
          <w:highlight w:val="none"/>
          <w:lang w:eastAsia="zh-CN"/>
        </w:rPr>
      </w:pPr>
      <w:r>
        <w:rPr>
          <w:rFonts w:hint="eastAsia" w:ascii="宋体" w:hAnsi="宋体" w:cs="宋体"/>
          <w:b/>
          <w:bCs/>
          <w:color w:val="auto"/>
          <w:kern w:val="0"/>
          <w:sz w:val="48"/>
          <w:szCs w:val="48"/>
          <w:highlight w:val="none"/>
          <w:lang w:eastAsia="zh-CN"/>
        </w:rPr>
        <w:t>高新消防大队绳索训练建设项目</w:t>
      </w:r>
    </w:p>
    <w:p>
      <w:pPr>
        <w:jc w:val="center"/>
        <w:outlineLvl w:val="9"/>
        <w:rPr>
          <w:rFonts w:hint="eastAsia" w:ascii="宋体" w:hAnsi="宋体" w:eastAsia="宋体" w:cs="宋体"/>
          <w:b/>
          <w:color w:val="auto"/>
          <w:spacing w:val="-20"/>
          <w:w w:val="130"/>
          <w:sz w:val="24"/>
          <w:szCs w:val="24"/>
          <w:highlight w:val="none"/>
        </w:rPr>
      </w:pPr>
    </w:p>
    <w:p>
      <w:pPr>
        <w:adjustRightInd w:val="0"/>
        <w:snapToGrid w:val="0"/>
        <w:spacing w:line="360" w:lineRule="auto"/>
        <w:jc w:val="center"/>
        <w:outlineLvl w:val="9"/>
        <w:rPr>
          <w:rFonts w:hint="eastAsia" w:ascii="宋体" w:hAnsi="宋体" w:eastAsia="宋体" w:cs="宋体"/>
          <w:b/>
          <w:bCs/>
          <w:color w:val="auto"/>
          <w:sz w:val="32"/>
          <w:szCs w:val="32"/>
          <w:highlight w:val="none"/>
        </w:rPr>
      </w:pPr>
    </w:p>
    <w:p>
      <w:pPr>
        <w:pStyle w:val="8"/>
        <w:tabs>
          <w:tab w:val="left" w:pos="3502"/>
        </w:tabs>
        <w:outlineLvl w:val="9"/>
        <w:rPr>
          <w:rFonts w:hint="eastAsia" w:ascii="宋体" w:hAnsi="宋体" w:eastAsia="宋体" w:cs="宋体"/>
          <w:color w:val="auto"/>
          <w:lang w:eastAsia="zh-CN"/>
        </w:rPr>
      </w:pPr>
      <w:r>
        <w:rPr>
          <w:rFonts w:hint="eastAsia" w:ascii="宋体" w:hAnsi="宋体" w:cs="宋体"/>
          <w:color w:val="auto"/>
          <w:lang w:eastAsia="zh-CN"/>
        </w:rPr>
        <w:tab/>
      </w:r>
    </w:p>
    <w:p>
      <w:pPr>
        <w:adjustRightInd w:val="0"/>
        <w:snapToGrid w:val="0"/>
        <w:spacing w:line="360" w:lineRule="auto"/>
        <w:jc w:val="center"/>
        <w:outlineLvl w:val="9"/>
        <w:rPr>
          <w:rFonts w:hint="eastAsia" w:ascii="宋体" w:hAnsi="宋体" w:eastAsia="宋体" w:cs="宋体"/>
          <w:b/>
          <w:bCs/>
          <w:color w:val="auto"/>
          <w:sz w:val="32"/>
          <w:szCs w:val="32"/>
          <w:highlight w:val="none"/>
        </w:rPr>
      </w:pPr>
    </w:p>
    <w:p>
      <w:pPr>
        <w:adjustRightInd w:val="0"/>
        <w:snapToGrid w:val="0"/>
        <w:spacing w:line="360" w:lineRule="auto"/>
        <w:jc w:val="center"/>
        <w:outlineLvl w:val="9"/>
        <w:rPr>
          <w:rFonts w:hint="eastAsia" w:ascii="宋体" w:hAnsi="宋体" w:eastAsia="宋体" w:cs="宋体"/>
          <w:b/>
          <w:bCs/>
          <w:color w:val="auto"/>
          <w:sz w:val="32"/>
          <w:szCs w:val="32"/>
          <w:highlight w:val="none"/>
        </w:rPr>
      </w:pPr>
    </w:p>
    <w:p>
      <w:pPr>
        <w:adjustRightInd w:val="0"/>
        <w:snapToGrid w:val="0"/>
        <w:spacing w:line="360" w:lineRule="auto"/>
        <w:jc w:val="center"/>
        <w:outlineLvl w:val="9"/>
        <w:rPr>
          <w:rFonts w:hint="eastAsia" w:ascii="宋体" w:hAnsi="宋体" w:eastAsia="宋体" w:cs="宋体"/>
          <w:b/>
          <w:bCs/>
          <w:color w:val="auto"/>
          <w:sz w:val="72"/>
          <w:szCs w:val="72"/>
          <w:highlight w:val="none"/>
          <w:lang w:eastAsia="zh-CN"/>
        </w:rPr>
      </w:pPr>
      <w:r>
        <w:rPr>
          <w:rFonts w:hint="eastAsia" w:ascii="宋体" w:hAnsi="宋体" w:eastAsia="宋体" w:cs="宋体"/>
          <w:b/>
          <w:bCs/>
          <w:color w:val="auto"/>
          <w:sz w:val="72"/>
          <w:szCs w:val="72"/>
          <w:highlight w:val="none"/>
          <w:lang w:eastAsia="zh-CN"/>
        </w:rPr>
        <w:t>竞争性磋商响应文件</w:t>
      </w:r>
    </w:p>
    <w:p>
      <w:pPr>
        <w:adjustRightInd w:val="0"/>
        <w:snapToGrid w:val="0"/>
        <w:spacing w:line="360" w:lineRule="auto"/>
        <w:jc w:val="center"/>
        <w:outlineLvl w:val="9"/>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（格式）</w:t>
      </w:r>
    </w:p>
    <w:p>
      <w:pPr>
        <w:adjustRightInd w:val="0"/>
        <w:snapToGrid w:val="0"/>
        <w:spacing w:line="360" w:lineRule="auto"/>
        <w:jc w:val="center"/>
        <w:outlineLvl w:val="9"/>
        <w:rPr>
          <w:rFonts w:hint="eastAsia" w:ascii="宋体" w:hAnsi="宋体" w:eastAsia="宋体" w:cs="宋体"/>
          <w:color w:val="auto"/>
          <w:sz w:val="24"/>
          <w:szCs w:val="24"/>
          <w:highlight w:val="none"/>
        </w:rPr>
      </w:pPr>
    </w:p>
    <w:p>
      <w:pPr>
        <w:adjustRightInd w:val="0"/>
        <w:snapToGrid w:val="0"/>
        <w:spacing w:line="360" w:lineRule="auto"/>
        <w:jc w:val="center"/>
        <w:outlineLvl w:val="9"/>
        <w:rPr>
          <w:rFonts w:hint="eastAsia" w:ascii="宋体" w:hAnsi="宋体" w:eastAsia="宋体" w:cs="宋体"/>
          <w:color w:val="auto"/>
          <w:sz w:val="24"/>
          <w:szCs w:val="24"/>
          <w:highlight w:val="none"/>
        </w:rPr>
      </w:pPr>
    </w:p>
    <w:p>
      <w:pPr>
        <w:adjustRightInd w:val="0"/>
        <w:snapToGrid w:val="0"/>
        <w:spacing w:line="360" w:lineRule="auto"/>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adjustRightInd w:val="0"/>
        <w:snapToGrid w:val="0"/>
        <w:spacing w:line="360" w:lineRule="auto"/>
        <w:jc w:val="center"/>
        <w:outlineLvl w:val="9"/>
        <w:rPr>
          <w:rFonts w:hint="eastAsia" w:ascii="宋体" w:hAnsi="宋体" w:eastAsia="宋体" w:cs="宋体"/>
          <w:color w:val="auto"/>
          <w:sz w:val="24"/>
          <w:szCs w:val="24"/>
          <w:highlight w:val="none"/>
        </w:rPr>
      </w:pPr>
    </w:p>
    <w:p>
      <w:pPr>
        <w:adjustRightInd w:val="0"/>
        <w:snapToGrid w:val="0"/>
        <w:spacing w:line="360" w:lineRule="auto"/>
        <w:outlineLvl w:val="9"/>
        <w:rPr>
          <w:rFonts w:hint="eastAsia" w:ascii="宋体" w:hAnsi="宋体" w:eastAsia="宋体" w:cs="宋体"/>
          <w:b/>
          <w:bCs/>
          <w:color w:val="auto"/>
          <w:sz w:val="24"/>
          <w:szCs w:val="24"/>
          <w:highlight w:val="none"/>
        </w:rPr>
      </w:pPr>
    </w:p>
    <w:p>
      <w:pPr>
        <w:pStyle w:val="8"/>
        <w:outlineLvl w:val="9"/>
        <w:rPr>
          <w:rFonts w:hint="eastAsia" w:ascii="宋体" w:hAnsi="宋体" w:eastAsia="宋体" w:cs="宋体"/>
          <w:color w:val="auto"/>
          <w:highlight w:val="none"/>
        </w:rPr>
      </w:pPr>
    </w:p>
    <w:p>
      <w:pPr>
        <w:autoSpaceDE w:val="0"/>
        <w:autoSpaceDN w:val="0"/>
        <w:adjustRightInd w:val="0"/>
        <w:snapToGrid w:val="0"/>
        <w:spacing w:line="600" w:lineRule="auto"/>
        <w:ind w:left="0" w:leftChars="0" w:firstLine="1265" w:firstLineChars="450"/>
        <w:outlineLvl w:val="9"/>
        <w:rPr>
          <w:rFonts w:hint="eastAsia" w:ascii="宋体" w:hAnsi="宋体" w:eastAsia="宋体" w:cs="宋体"/>
          <w:b/>
          <w:bCs/>
          <w:color w:val="auto"/>
          <w:sz w:val="28"/>
          <w:szCs w:val="28"/>
          <w:highlight w:val="none"/>
          <w:lang w:val="zh-CN"/>
        </w:rPr>
      </w:pPr>
    </w:p>
    <w:p>
      <w:pPr>
        <w:autoSpaceDE w:val="0"/>
        <w:autoSpaceDN w:val="0"/>
        <w:adjustRightInd w:val="0"/>
        <w:snapToGrid w:val="0"/>
        <w:spacing w:line="600" w:lineRule="auto"/>
        <w:ind w:left="0" w:leftChars="0" w:firstLine="1063" w:firstLineChars="378"/>
        <w:outlineLvl w:val="9"/>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zh-CN"/>
        </w:rPr>
        <w:t xml:space="preserve">供应商名称： </w:t>
      </w:r>
      <w:r>
        <w:rPr>
          <w:rFonts w:hint="eastAsia" w:ascii="宋体" w:hAnsi="宋体" w:eastAsia="宋体" w:cs="宋体"/>
          <w:b/>
          <w:bCs/>
          <w:color w:val="auto"/>
          <w:sz w:val="28"/>
          <w:szCs w:val="28"/>
          <w:highlight w:val="none"/>
          <w:u w:val="single"/>
          <w:lang w:val="zh-CN"/>
        </w:rPr>
        <w:t xml:space="preserve">     </w:t>
      </w:r>
      <w:r>
        <w:rPr>
          <w:rFonts w:hint="eastAsia" w:ascii="宋体" w:hAnsi="宋体" w:eastAsia="宋体" w:cs="宋体"/>
          <w:b/>
          <w:bCs/>
          <w:color w:val="auto"/>
          <w:sz w:val="28"/>
          <w:szCs w:val="28"/>
          <w:highlight w:val="none"/>
          <w:u w:val="single"/>
          <w:lang w:val="en-US" w:eastAsia="zh-CN"/>
        </w:rPr>
        <w:t xml:space="preserve">         </w:t>
      </w:r>
      <w:r>
        <w:rPr>
          <w:rFonts w:hint="eastAsia" w:ascii="宋体" w:hAnsi="宋体" w:eastAsia="宋体" w:cs="宋体"/>
          <w:b/>
          <w:bCs/>
          <w:color w:val="auto"/>
          <w:sz w:val="28"/>
          <w:szCs w:val="28"/>
          <w:highlight w:val="none"/>
          <w:u w:val="single"/>
          <w:lang w:val="zh-CN"/>
        </w:rPr>
        <w:t xml:space="preserve">   </w:t>
      </w:r>
      <w:r>
        <w:rPr>
          <w:rFonts w:hint="eastAsia" w:ascii="宋体" w:hAnsi="宋体" w:eastAsia="宋体" w:cs="宋体"/>
          <w:b/>
          <w:bCs/>
          <w:color w:val="auto"/>
          <w:sz w:val="28"/>
          <w:szCs w:val="28"/>
          <w:highlight w:val="none"/>
          <w:u w:val="single"/>
          <w:lang w:val="en-US" w:eastAsia="zh-CN"/>
        </w:rPr>
        <w:t xml:space="preserve">    </w:t>
      </w:r>
      <w:r>
        <w:rPr>
          <w:rFonts w:hint="eastAsia" w:ascii="宋体" w:hAnsi="宋体" w:eastAsia="宋体" w:cs="宋体"/>
          <w:b/>
          <w:bCs/>
          <w:color w:val="auto"/>
          <w:sz w:val="28"/>
          <w:szCs w:val="28"/>
          <w:highlight w:val="none"/>
          <w:u w:val="single"/>
          <w:lang w:val="zh-CN"/>
        </w:rPr>
        <w:t xml:space="preserve"> </w:t>
      </w:r>
      <w:r>
        <w:rPr>
          <w:rFonts w:hint="eastAsia" w:ascii="宋体" w:hAnsi="宋体" w:eastAsia="宋体" w:cs="宋体"/>
          <w:b/>
          <w:bCs/>
          <w:color w:val="auto"/>
          <w:sz w:val="28"/>
          <w:szCs w:val="28"/>
          <w:highlight w:val="none"/>
          <w:u w:val="single"/>
          <w:lang w:val="en-US" w:eastAsia="zh-CN"/>
        </w:rPr>
        <w:t xml:space="preserve">  </w:t>
      </w:r>
      <w:r>
        <w:rPr>
          <w:rFonts w:hint="eastAsia" w:ascii="宋体" w:hAnsi="宋体" w:eastAsia="宋体" w:cs="宋体"/>
          <w:b/>
          <w:bCs/>
          <w:color w:val="auto"/>
          <w:sz w:val="28"/>
          <w:szCs w:val="28"/>
          <w:highlight w:val="none"/>
          <w:u w:val="single"/>
          <w:lang w:val="zh-CN"/>
        </w:rPr>
        <w:t xml:space="preserve"> （盖章）</w:t>
      </w:r>
    </w:p>
    <w:p>
      <w:pPr>
        <w:autoSpaceDE w:val="0"/>
        <w:autoSpaceDN w:val="0"/>
        <w:adjustRightInd w:val="0"/>
        <w:snapToGrid w:val="0"/>
        <w:spacing w:line="600" w:lineRule="auto"/>
        <w:ind w:left="0" w:leftChars="0" w:firstLine="1063" w:firstLineChars="378"/>
        <w:outlineLvl w:val="9"/>
        <w:rPr>
          <w:rFonts w:hint="eastAsia" w:ascii="宋体" w:hAnsi="宋体" w:eastAsia="宋体" w:cs="宋体"/>
          <w:b/>
          <w:bCs/>
          <w:color w:val="auto"/>
          <w:sz w:val="28"/>
          <w:szCs w:val="28"/>
          <w:highlight w:val="none"/>
          <w:u w:val="single"/>
          <w:lang w:val="zh-CN" w:eastAsia="zh-CN"/>
        </w:rPr>
      </w:pPr>
      <w:r>
        <w:rPr>
          <w:rFonts w:hint="eastAsia" w:ascii="宋体" w:hAnsi="宋体" w:eastAsia="宋体" w:cs="宋体"/>
          <w:b/>
          <w:bCs/>
          <w:color w:val="auto"/>
          <w:sz w:val="28"/>
          <w:szCs w:val="28"/>
          <w:highlight w:val="none"/>
          <w:lang w:val="zh-CN" w:eastAsia="zh-CN"/>
        </w:rPr>
        <w:t>法定代表人：</w:t>
      </w:r>
      <w:r>
        <w:rPr>
          <w:rFonts w:hint="eastAsia" w:ascii="宋体" w:hAnsi="宋体" w:eastAsia="宋体" w:cs="宋体"/>
          <w:b/>
          <w:bCs/>
          <w:color w:val="auto"/>
          <w:sz w:val="28"/>
          <w:szCs w:val="28"/>
          <w:highlight w:val="none"/>
          <w:u w:val="single"/>
          <w:lang w:val="zh-CN" w:eastAsia="zh-CN"/>
        </w:rPr>
        <w:t xml:space="preserve">           </w:t>
      </w:r>
      <w:r>
        <w:rPr>
          <w:rFonts w:hint="eastAsia" w:ascii="宋体" w:hAnsi="宋体" w:eastAsia="宋体" w:cs="宋体"/>
          <w:b/>
          <w:bCs/>
          <w:color w:val="auto"/>
          <w:sz w:val="28"/>
          <w:szCs w:val="28"/>
          <w:highlight w:val="none"/>
          <w:u w:val="single"/>
          <w:lang w:val="en-US" w:eastAsia="zh-CN"/>
        </w:rPr>
        <w:t xml:space="preserve">    </w:t>
      </w:r>
      <w:r>
        <w:rPr>
          <w:rFonts w:hint="eastAsia" w:ascii="宋体" w:hAnsi="宋体" w:eastAsia="宋体" w:cs="宋体"/>
          <w:b/>
          <w:bCs/>
          <w:color w:val="auto"/>
          <w:sz w:val="28"/>
          <w:szCs w:val="28"/>
          <w:highlight w:val="none"/>
          <w:u w:val="single"/>
          <w:lang w:val="zh-CN" w:eastAsia="zh-CN"/>
        </w:rPr>
        <w:t xml:space="preserve"> </w:t>
      </w:r>
      <w:r>
        <w:rPr>
          <w:rFonts w:hint="eastAsia" w:ascii="宋体" w:hAnsi="宋体" w:eastAsia="宋体" w:cs="宋体"/>
          <w:b/>
          <w:bCs/>
          <w:color w:val="auto"/>
          <w:sz w:val="28"/>
          <w:szCs w:val="28"/>
          <w:highlight w:val="none"/>
          <w:u w:val="single"/>
          <w:lang w:val="en-US" w:eastAsia="zh-CN"/>
        </w:rPr>
        <w:t xml:space="preserve">   </w:t>
      </w:r>
      <w:r>
        <w:rPr>
          <w:rFonts w:hint="eastAsia" w:ascii="宋体" w:hAnsi="宋体" w:eastAsia="宋体" w:cs="宋体"/>
          <w:b/>
          <w:bCs/>
          <w:color w:val="auto"/>
          <w:sz w:val="28"/>
          <w:szCs w:val="28"/>
          <w:highlight w:val="none"/>
          <w:u w:val="single"/>
          <w:lang w:val="zh-CN" w:eastAsia="zh-CN"/>
        </w:rPr>
        <w:t xml:space="preserve"> （签字或盖章）</w:t>
      </w:r>
    </w:p>
    <w:p>
      <w:pPr>
        <w:autoSpaceDE w:val="0"/>
        <w:autoSpaceDN w:val="0"/>
        <w:adjustRightInd w:val="0"/>
        <w:snapToGrid w:val="0"/>
        <w:spacing w:line="600" w:lineRule="auto"/>
        <w:ind w:left="0" w:leftChars="0" w:firstLine="0" w:firstLineChars="0"/>
        <w:jc w:val="center"/>
        <w:outlineLvl w:val="9"/>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lang w:val="zh-CN" w:eastAsia="zh-CN"/>
        </w:rPr>
        <w:t>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zh-CN" w:eastAsia="zh-CN"/>
        </w:rPr>
        <w:t>期</w:t>
      </w:r>
      <w:r>
        <w:rPr>
          <w:rFonts w:hint="eastAsia" w:ascii="宋体" w:hAnsi="宋体" w:eastAsia="宋体" w:cs="宋体"/>
          <w:b/>
          <w:bCs/>
          <w:color w:val="auto"/>
          <w:sz w:val="28"/>
          <w:szCs w:val="28"/>
          <w:highlight w:val="none"/>
          <w:lang w:val="zh-CN"/>
        </w:rPr>
        <w:t xml:space="preserve">：二○   年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zh-CN"/>
        </w:rPr>
        <w:t xml:space="preserve">月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zh-CN"/>
        </w:rPr>
        <w:t>日</w:t>
      </w:r>
    </w:p>
    <w:p>
      <w:pPr>
        <w:adjustRightInd w:val="0"/>
        <w:snapToGrid w:val="0"/>
        <w:spacing w:line="360" w:lineRule="auto"/>
        <w:jc w:val="center"/>
        <w:outlineLvl w:val="9"/>
        <w:rPr>
          <w:rFonts w:hint="eastAsia" w:ascii="宋体" w:hAnsi="宋体" w:eastAsia="宋体" w:cs="宋体"/>
          <w:b/>
          <w:bCs/>
          <w:color w:val="auto"/>
          <w:sz w:val="24"/>
          <w:szCs w:val="24"/>
          <w:highlight w:val="none"/>
        </w:rPr>
      </w:pPr>
    </w:p>
    <w:p>
      <w:pPr>
        <w:widowControl/>
        <w:wordWrap w:val="0"/>
        <w:spacing w:line="400" w:lineRule="exact"/>
        <w:ind w:right="-197" w:rightChars="-94"/>
        <w:jc w:val="center"/>
        <w:outlineLvl w:val="9"/>
        <w:rPr>
          <w:rStyle w:val="41"/>
          <w:rFonts w:hint="eastAsia" w:ascii="宋体" w:hAnsi="宋体" w:eastAsia="宋体" w:cs="宋体"/>
          <w:color w:val="auto"/>
          <w:szCs w:val="22"/>
          <w:highlight w:val="none"/>
          <w:lang w:val="en-US" w:eastAsia="zh-CN" w:bidi="ar-SA"/>
        </w:rPr>
      </w:pPr>
      <w:bookmarkStart w:id="546" w:name="_Toc25708"/>
      <w:bookmarkStart w:id="547" w:name="_Toc22737"/>
      <w:bookmarkStart w:id="548" w:name="_Toc5297"/>
      <w:bookmarkStart w:id="549" w:name="_Toc27032"/>
      <w:bookmarkStart w:id="550" w:name="_Toc7898"/>
      <w:bookmarkStart w:id="551" w:name="_Toc11844"/>
      <w:r>
        <w:rPr>
          <w:rStyle w:val="41"/>
          <w:rFonts w:hint="eastAsia" w:ascii="宋体" w:hAnsi="宋体" w:eastAsia="宋体" w:cs="宋体"/>
          <w:color w:val="auto"/>
          <w:sz w:val="28"/>
          <w:szCs w:val="21"/>
          <w:highlight w:val="none"/>
          <w:lang w:val="en-US" w:eastAsia="zh-CN" w:bidi="ar-SA"/>
        </w:rPr>
        <w:t>目  录</w:t>
      </w:r>
    </w:p>
    <w:bookmarkEnd w:id="546"/>
    <w:bookmarkEnd w:id="547"/>
    <w:bookmarkEnd w:id="548"/>
    <w:bookmarkEnd w:id="549"/>
    <w:bookmarkEnd w:id="550"/>
    <w:bookmarkEnd w:id="551"/>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32"/>
          <w:highlight w:val="none"/>
        </w:rPr>
      </w:pP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_Toc19163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en-US" w:eastAsia="zh-CN" w:bidi="ar-SA"/>
        </w:rPr>
        <w:t>一、</w:t>
      </w:r>
      <w:r>
        <w:rPr>
          <w:rFonts w:hint="eastAsia" w:ascii="宋体" w:hAnsi="宋体" w:cs="宋体"/>
          <w:color w:val="auto"/>
          <w:sz w:val="24"/>
          <w:szCs w:val="24"/>
          <w:highlight w:val="none"/>
          <w:lang w:val="en-US" w:eastAsia="zh-CN" w:bidi="ar-SA"/>
        </w:rPr>
        <w:t>磋商响应</w:t>
      </w:r>
      <w:r>
        <w:rPr>
          <w:rFonts w:hint="eastAsia" w:ascii="宋体" w:hAnsi="宋体" w:eastAsia="宋体" w:cs="宋体"/>
          <w:color w:val="auto"/>
          <w:sz w:val="24"/>
          <w:szCs w:val="24"/>
          <w:highlight w:val="none"/>
          <w:lang w:val="en-US" w:eastAsia="zh-CN" w:bidi="ar-SA"/>
        </w:rPr>
        <w:t>函</w:t>
      </w:r>
      <w:r>
        <w:rPr>
          <w:rFonts w:hint="eastAsia" w:ascii="宋体" w:hAnsi="宋体" w:eastAsia="宋体" w:cs="宋体"/>
          <w:color w:val="auto"/>
          <w:sz w:val="24"/>
          <w:szCs w:val="24"/>
          <w:highlight w:val="none"/>
        </w:rPr>
        <w:fldChar w:fldCharType="end"/>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_Toc29301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en-US" w:eastAsia="zh-CN" w:bidi="ar-SA"/>
        </w:rPr>
        <w:t>二、</w:t>
      </w:r>
      <w:r>
        <w:rPr>
          <w:rFonts w:hint="eastAsia" w:ascii="宋体" w:hAnsi="宋体" w:cs="宋体"/>
          <w:color w:val="auto"/>
          <w:sz w:val="24"/>
          <w:szCs w:val="24"/>
          <w:highlight w:val="none"/>
          <w:lang w:val="en-US" w:eastAsia="zh-CN" w:bidi="ar-SA"/>
        </w:rPr>
        <w:t>磋商</w:t>
      </w:r>
      <w:r>
        <w:rPr>
          <w:rFonts w:hint="eastAsia" w:ascii="宋体" w:hAnsi="宋体" w:eastAsia="宋体" w:cs="宋体"/>
          <w:color w:val="auto"/>
          <w:sz w:val="24"/>
          <w:szCs w:val="24"/>
          <w:highlight w:val="none"/>
          <w:lang w:val="en-US" w:eastAsia="zh-CN" w:bidi="ar-SA"/>
        </w:rPr>
        <w:t>报价单</w:t>
      </w:r>
      <w:r>
        <w:rPr>
          <w:rFonts w:hint="eastAsia" w:ascii="宋体" w:hAnsi="宋体" w:eastAsia="宋体" w:cs="宋体"/>
          <w:color w:val="auto"/>
          <w:sz w:val="24"/>
          <w:szCs w:val="24"/>
          <w:highlight w:val="none"/>
        </w:rPr>
        <w:fldChar w:fldCharType="end"/>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_Toc25508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lang w:val="zh-CN" w:eastAsia="zh-CN"/>
        </w:rPr>
        <w:t>保证金交纳凭证</w:t>
      </w:r>
      <w:r>
        <w:rPr>
          <w:rFonts w:hint="eastAsia" w:ascii="宋体" w:hAnsi="宋体" w:eastAsia="宋体" w:cs="宋体"/>
          <w:color w:val="auto"/>
          <w:sz w:val="24"/>
          <w:szCs w:val="24"/>
          <w:highlight w:val="none"/>
        </w:rPr>
        <w:fldChar w:fldCharType="end"/>
      </w:r>
    </w:p>
    <w:p>
      <w:pPr>
        <w:pStyle w:val="14"/>
        <w:shd w:val="clear" w:color="auto" w:fill="auto"/>
        <w:tabs>
          <w:tab w:val="right" w:leader="dot" w:pos="8820"/>
        </w:tabs>
        <w:spacing w:line="480" w:lineRule="auto"/>
        <w:ind w:leftChars="50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_Toc11793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四、法定代表人身份证明</w:t>
      </w:r>
      <w:r>
        <w:rPr>
          <w:rFonts w:hint="eastAsia" w:ascii="宋体" w:hAnsi="宋体" w:cs="宋体"/>
          <w:color w:val="auto"/>
          <w:sz w:val="24"/>
          <w:szCs w:val="24"/>
          <w:highlight w:val="none"/>
          <w:lang w:eastAsia="zh-CN"/>
        </w:rPr>
        <w:t>和</w:t>
      </w:r>
      <w:r>
        <w:rPr>
          <w:rFonts w:hint="eastAsia" w:ascii="宋体" w:hAnsi="宋体" w:eastAsia="宋体" w:cs="宋体"/>
          <w:color w:val="auto"/>
          <w:sz w:val="24"/>
          <w:szCs w:val="24"/>
          <w:highlight w:val="none"/>
          <w:lang w:eastAsia="zh-CN"/>
        </w:rPr>
        <w:t>法定代表人授权书</w:t>
      </w:r>
      <w:r>
        <w:rPr>
          <w:rFonts w:hint="eastAsia" w:ascii="宋体" w:hAnsi="宋体" w:eastAsia="宋体" w:cs="宋体"/>
          <w:color w:val="auto"/>
          <w:sz w:val="24"/>
          <w:szCs w:val="24"/>
          <w:highlight w:val="none"/>
        </w:rPr>
        <w:fldChar w:fldCharType="end"/>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_Toc13067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en-US" w:eastAsia="zh-CN" w:bidi="ar-SA"/>
        </w:rPr>
        <w:t>五、《拒绝政府采购领域商业贿赂承诺书》</w:t>
      </w:r>
      <w:r>
        <w:rPr>
          <w:rFonts w:hint="eastAsia" w:ascii="宋体" w:hAnsi="宋体" w:eastAsia="宋体" w:cs="宋体"/>
          <w:color w:val="auto"/>
          <w:sz w:val="24"/>
          <w:szCs w:val="24"/>
          <w:highlight w:val="none"/>
        </w:rPr>
        <w:fldChar w:fldCharType="end"/>
      </w:r>
    </w:p>
    <w:p>
      <w:pPr>
        <w:pStyle w:val="14"/>
        <w:shd w:val="clear" w:color="auto" w:fill="auto"/>
        <w:tabs>
          <w:tab w:val="right" w:leader="dot" w:pos="8820"/>
        </w:tabs>
        <w:spacing w:line="480" w:lineRule="auto"/>
        <w:ind w:leftChars="50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_Toc31942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六、供应商资格证明文件</w:t>
      </w:r>
      <w:r>
        <w:rPr>
          <w:rFonts w:hint="eastAsia" w:ascii="宋体" w:hAnsi="宋体" w:eastAsia="宋体" w:cs="宋体"/>
          <w:color w:val="auto"/>
          <w:sz w:val="24"/>
          <w:szCs w:val="24"/>
          <w:highlight w:val="none"/>
        </w:rPr>
        <w:fldChar w:fldCharType="end"/>
      </w:r>
    </w:p>
    <w:p>
      <w:pPr>
        <w:pStyle w:val="9"/>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_Toc13814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lang w:eastAsia="zh-CN"/>
        </w:rPr>
        <w:t>七、</w:t>
      </w:r>
      <w:r>
        <w:rPr>
          <w:rFonts w:hint="eastAsia" w:ascii="宋体" w:hAnsi="宋体" w:eastAsia="宋体" w:cs="宋体"/>
          <w:bCs/>
          <w:color w:val="auto"/>
          <w:sz w:val="24"/>
          <w:szCs w:val="24"/>
          <w:highlight w:val="none"/>
        </w:rPr>
        <w:t>项目管理机构组成表</w:t>
      </w:r>
      <w:r>
        <w:rPr>
          <w:rFonts w:hint="eastAsia" w:ascii="宋体" w:hAnsi="宋体" w:eastAsia="宋体" w:cs="宋体"/>
          <w:color w:val="auto"/>
          <w:sz w:val="24"/>
          <w:szCs w:val="24"/>
          <w:highlight w:val="none"/>
        </w:rPr>
        <w:fldChar w:fldCharType="end"/>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_Toc7844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kern w:val="2"/>
          <w:sz w:val="24"/>
          <w:szCs w:val="24"/>
          <w:highlight w:val="none"/>
          <w:lang w:val="en-US" w:eastAsia="zh-CN" w:bidi="ar-SA"/>
        </w:rPr>
        <w:t>八、供应商相关或类似项目业绩一览表</w:t>
      </w:r>
      <w:r>
        <w:rPr>
          <w:rFonts w:hint="eastAsia" w:ascii="宋体" w:hAnsi="宋体" w:eastAsia="宋体" w:cs="宋体"/>
          <w:color w:val="auto"/>
          <w:sz w:val="24"/>
          <w:szCs w:val="24"/>
          <w:highlight w:val="none"/>
        </w:rPr>
        <w:fldChar w:fldCharType="end"/>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_Toc21818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en-US" w:eastAsia="zh-CN"/>
        </w:rPr>
        <w:t>九、</w:t>
      </w:r>
      <w:r>
        <w:rPr>
          <w:rFonts w:hint="eastAsia" w:ascii="宋体" w:hAnsi="宋体" w:cs="宋体"/>
          <w:color w:val="auto"/>
          <w:sz w:val="24"/>
          <w:szCs w:val="24"/>
          <w:highlight w:val="none"/>
          <w:lang w:val="en-US" w:eastAsia="zh-CN"/>
        </w:rPr>
        <w:t>财务证明文件</w:t>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lang w:eastAsia="zh-CN"/>
        </w:rPr>
        <w:t>十</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施</w:t>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eastAsia="zh-CN"/>
        </w:rPr>
        <w:t>工组织设计</w:t>
      </w:r>
    </w:p>
    <w:p>
      <w:pPr>
        <w:pStyle w:val="15"/>
        <w:shd w:val="clear" w:color="auto" w:fill="auto"/>
        <w:tabs>
          <w:tab w:val="right" w:leader="dot" w:pos="8820"/>
        </w:tabs>
        <w:spacing w:line="480" w:lineRule="auto"/>
        <w:ind w:left="1050" w:leftChars="500" w:firstLine="0" w:firstLineChars="0"/>
        <w:outlineLvl w:val="9"/>
        <w:rPr>
          <w:rFonts w:hint="eastAsia" w:ascii="宋体" w:hAnsi="宋体" w:eastAsia="宋体" w:cs="宋体"/>
          <w:color w:val="auto"/>
          <w:sz w:val="24"/>
          <w:szCs w:val="24"/>
          <w:lang w:eastAsia="zh-CN"/>
        </w:rPr>
      </w:pPr>
      <w:r>
        <w:rPr>
          <w:rFonts w:hint="eastAsia" w:ascii="宋体" w:hAnsi="宋体" w:cs="宋体"/>
          <w:color w:val="auto"/>
          <w:sz w:val="24"/>
          <w:szCs w:val="24"/>
          <w:highlight w:val="none"/>
          <w:lang w:eastAsia="zh-CN"/>
        </w:rPr>
        <w:t>十一、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_Toc6815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已标价工程量清单</w:t>
      </w:r>
      <w:r>
        <w:rPr>
          <w:rFonts w:hint="eastAsia" w:ascii="宋体" w:hAnsi="宋体" w:eastAsia="宋体" w:cs="宋体"/>
          <w:color w:val="auto"/>
          <w:sz w:val="24"/>
          <w:szCs w:val="24"/>
          <w:highlight w:val="none"/>
        </w:rPr>
        <w:fldChar w:fldCharType="end"/>
      </w:r>
    </w:p>
    <w:p>
      <w:pPr>
        <w:spacing w:before="0" w:beforeAutospacing="0" w:line="360" w:lineRule="auto"/>
        <w:jc w:val="center"/>
        <w:outlineLvl w:val="9"/>
        <w:rPr>
          <w:rFonts w:hint="eastAsia" w:ascii="宋体" w:hAnsi="宋体" w:eastAsia="宋体" w:cs="宋体"/>
          <w:color w:val="auto"/>
          <w:sz w:val="28"/>
          <w:szCs w:val="28"/>
          <w:highlight w:val="none"/>
        </w:rPr>
      </w:pPr>
      <w:r>
        <w:rPr>
          <w:rStyle w:val="41"/>
          <w:rFonts w:hint="eastAsia" w:ascii="宋体" w:hAnsi="宋体" w:eastAsia="宋体" w:cs="宋体"/>
          <w:b/>
          <w:color w:val="auto"/>
          <w:sz w:val="24"/>
          <w:szCs w:val="24"/>
          <w:highlight w:val="none"/>
          <w:lang w:val="en-US" w:eastAsia="zh-CN" w:bidi="ar-SA"/>
        </w:rPr>
        <w:br w:type="page"/>
      </w:r>
      <w:bookmarkStart w:id="552" w:name="_Toc19163"/>
      <w:bookmarkStart w:id="553" w:name="_Toc19896"/>
      <w:r>
        <w:rPr>
          <w:rStyle w:val="41"/>
          <w:rFonts w:hint="eastAsia" w:ascii="宋体" w:hAnsi="宋体" w:eastAsia="宋体" w:cs="宋体"/>
          <w:b/>
          <w:color w:val="auto"/>
          <w:sz w:val="28"/>
          <w:szCs w:val="28"/>
          <w:highlight w:val="none"/>
          <w:lang w:val="en-US" w:eastAsia="zh-CN" w:bidi="ar-SA"/>
        </w:rPr>
        <w:t>一、</w:t>
      </w:r>
      <w:bookmarkEnd w:id="552"/>
      <w:r>
        <w:rPr>
          <w:rStyle w:val="41"/>
          <w:rFonts w:hint="eastAsia" w:ascii="宋体" w:hAnsi="宋体" w:eastAsia="宋体" w:cs="宋体"/>
          <w:b/>
          <w:color w:val="auto"/>
          <w:sz w:val="28"/>
          <w:szCs w:val="28"/>
          <w:highlight w:val="none"/>
          <w:lang w:val="en-US" w:eastAsia="zh-CN" w:bidi="ar-SA"/>
        </w:rPr>
        <w:t>磋商响应函</w:t>
      </w:r>
      <w:bookmarkEnd w:id="553"/>
    </w:p>
    <w:p>
      <w:pPr>
        <w:spacing w:line="360" w:lineRule="auto"/>
        <w:ind w:left="0" w:leftChars="0" w:firstLine="0" w:firstLineChars="0"/>
        <w:jc w:val="left"/>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（采购人）：</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1、根据贵方招标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项目施工</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，经踏勘项目现场和研究上述</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的投标须知、合同条款、图纸、工程建设标准、工程量清单和答疑纪要及其它有关文件后，我方愿以(大写)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人民币 (RMB¥</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元)的投标报价承包上述工</w:t>
      </w:r>
      <w:r>
        <w:rPr>
          <w:rFonts w:hint="eastAsia" w:ascii="宋体" w:hAnsi="宋体" w:eastAsia="宋体" w:cs="宋体"/>
          <w:b w:val="0"/>
          <w:bCs w:val="0"/>
          <w:color w:val="auto"/>
          <w:sz w:val="24"/>
          <w:szCs w:val="24"/>
          <w:highlight w:val="none"/>
        </w:rPr>
        <w:t>程。</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2、我方的投标报价内含</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中明示的有关各种风险费用；</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3、若我方中标，我方保证在投标工期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日历天内完成中标工程，按期向招标人移交，若不按期竣工，自愿接受</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所规定的处罚；</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4、若我方中标，我方保证按中标文件要求精心组织施工，保证工程质量达到</w:t>
      </w:r>
      <w:r>
        <w:rPr>
          <w:rFonts w:hint="eastAsia" w:ascii="宋体" w:hAnsi="宋体" w:eastAsia="宋体" w:cs="宋体"/>
          <w:color w:val="auto"/>
          <w:sz w:val="24"/>
          <w:szCs w:val="24"/>
          <w:highlight w:val="none"/>
          <w:lang w:val="en-US" w:eastAsia="zh-CN"/>
        </w:rPr>
        <w:t>GB50300-2013</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建筑工程施工质量验收统一标准</w:t>
      </w:r>
      <w:r>
        <w:rPr>
          <w:rFonts w:hint="eastAsia" w:ascii="宋体" w:hAnsi="宋体" w:eastAsia="宋体" w:cs="宋体"/>
          <w:color w:val="auto"/>
          <w:sz w:val="24"/>
          <w:szCs w:val="24"/>
          <w:highlight w:val="none"/>
        </w:rPr>
        <w:t>》的各项</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eastAsia="zh-CN"/>
        </w:rPr>
        <w:t>标准</w:t>
      </w:r>
      <w:r>
        <w:rPr>
          <w:rFonts w:hint="eastAsia" w:ascii="宋体" w:hAnsi="宋体" w:eastAsia="宋体" w:cs="宋体"/>
          <w:color w:val="auto"/>
          <w:sz w:val="24"/>
          <w:szCs w:val="24"/>
          <w:highlight w:val="none"/>
        </w:rPr>
        <w:t>，并出具合格等级的各项资料；</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5、工程竣工验收移交后，我方保证按质量保修书的要求履行保修义务；</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、若我方中标，</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的有关要约条件，我方全部予以承诺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、我方已详细阅读审查全部</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，完全理解并同意放弃对这方面有不明及误解质疑的权力</w:t>
      </w:r>
      <w:r>
        <w:rPr>
          <w:rFonts w:hint="eastAsia" w:ascii="宋体" w:hAnsi="宋体" w:cs="宋体"/>
          <w:color w:val="auto"/>
          <w:sz w:val="24"/>
          <w:szCs w:val="24"/>
          <w:highlight w:val="none"/>
          <w:lang w:eastAsia="zh-CN"/>
        </w:rPr>
        <w:t>；</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、我方完全理解并同意</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中有关没收</w:t>
      </w:r>
      <w:r>
        <w:rPr>
          <w:rFonts w:hint="eastAsia" w:ascii="宋体" w:hAnsi="宋体" w:eastAsia="宋体" w:cs="宋体"/>
          <w:color w:val="auto"/>
          <w:sz w:val="24"/>
          <w:szCs w:val="24"/>
          <w:highlight w:val="none"/>
          <w:lang w:eastAsia="zh-CN"/>
        </w:rPr>
        <w:t>磋商保证金</w:t>
      </w:r>
      <w:r>
        <w:rPr>
          <w:rFonts w:hint="eastAsia" w:ascii="宋体" w:hAnsi="宋体" w:eastAsia="宋体" w:cs="宋体"/>
          <w:color w:val="auto"/>
          <w:sz w:val="24"/>
          <w:szCs w:val="24"/>
          <w:highlight w:val="none"/>
        </w:rPr>
        <w:t>和拒绝投标的条款</w:t>
      </w:r>
      <w:r>
        <w:rPr>
          <w:rFonts w:hint="eastAsia" w:ascii="宋体" w:hAnsi="宋体" w:cs="宋体"/>
          <w:color w:val="auto"/>
          <w:sz w:val="24"/>
          <w:szCs w:val="24"/>
          <w:highlight w:val="none"/>
          <w:lang w:eastAsia="zh-CN"/>
        </w:rPr>
        <w:t>；</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、我方同意按照要求提供投标有关的一切数据或资料</w:t>
      </w:r>
      <w:r>
        <w:rPr>
          <w:rFonts w:hint="eastAsia" w:ascii="宋体" w:hAnsi="宋体" w:cs="宋体"/>
          <w:color w:val="auto"/>
          <w:sz w:val="24"/>
          <w:szCs w:val="24"/>
          <w:highlight w:val="none"/>
          <w:lang w:eastAsia="zh-CN"/>
        </w:rPr>
        <w:t>；</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、我方将按</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的规定履行合同责任和义务</w:t>
      </w:r>
      <w:r>
        <w:rPr>
          <w:rFonts w:hint="eastAsia" w:ascii="宋体" w:hAnsi="宋体" w:cs="宋体"/>
          <w:color w:val="auto"/>
          <w:sz w:val="24"/>
          <w:szCs w:val="24"/>
          <w:highlight w:val="none"/>
          <w:lang w:eastAsia="zh-CN"/>
        </w:rPr>
        <w:t>；</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11、我方完全响应磋商文件规定的技术标准和要求；</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12、我方同意按磋商文件规定，遵守贵方有关招标的各项规定；</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、若我方中标，我方保证按有关规定向贵方支付招标服务费</w:t>
      </w:r>
      <w:r>
        <w:rPr>
          <w:rFonts w:hint="eastAsia" w:ascii="宋体" w:hAnsi="宋体" w:cs="宋体"/>
          <w:color w:val="auto"/>
          <w:sz w:val="24"/>
          <w:szCs w:val="24"/>
          <w:highlight w:val="none"/>
          <w:lang w:eastAsia="zh-CN"/>
        </w:rPr>
        <w:t>；</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磋商有效期</w:t>
      </w:r>
      <w:r>
        <w:rPr>
          <w:rFonts w:hint="eastAsia" w:ascii="宋体" w:hAnsi="宋体" w:eastAsia="宋体" w:cs="宋体"/>
          <w:color w:val="auto"/>
          <w:sz w:val="24"/>
          <w:szCs w:val="24"/>
          <w:highlight w:val="none"/>
        </w:rPr>
        <w:t>为自</w:t>
      </w:r>
      <w:r>
        <w:rPr>
          <w:rFonts w:hint="eastAsia" w:ascii="宋体" w:hAnsi="宋体" w:cs="宋体"/>
          <w:color w:val="auto"/>
          <w:sz w:val="24"/>
          <w:szCs w:val="24"/>
          <w:highlight w:val="none"/>
          <w:lang w:eastAsia="zh-CN"/>
        </w:rPr>
        <w:t>磋商会议之</w:t>
      </w:r>
      <w:r>
        <w:rPr>
          <w:rFonts w:hint="eastAsia" w:ascii="宋体" w:hAnsi="宋体" w:eastAsia="宋体" w:cs="宋体"/>
          <w:color w:val="auto"/>
          <w:sz w:val="24"/>
          <w:szCs w:val="24"/>
          <w:highlight w:val="none"/>
        </w:rPr>
        <w:t>日起90个日历日。</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、所有关于本项目的函电，请按下列地址联系：</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lang w:eastAsia="zh-CN"/>
        </w:rPr>
      </w:pP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名称（公章）：</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 细 地 址：</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 政 编 码：</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子 邮 件：</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 户 银 行：</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帐       号：</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授权代表签名：</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right="-197" w:rightChars="-94" w:firstLine="360" w:firstLineChars="15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联系电话/手机：</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left="0" w:leftChars="0" w:right="-197" w:rightChars="-94" w:firstLine="5736" w:firstLineChars="239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spacing w:before="0" w:beforeAutospacing="0"/>
        <w:jc w:val="center"/>
        <w:outlineLvl w:val="9"/>
        <w:rPr>
          <w:rFonts w:hint="eastAsia" w:ascii="宋体" w:hAnsi="宋体" w:eastAsia="宋体" w:cs="宋体"/>
          <w:color w:val="auto"/>
          <w:sz w:val="28"/>
          <w:szCs w:val="28"/>
          <w:highlight w:val="none"/>
          <w:lang w:val="en-US" w:eastAsia="zh-CN"/>
        </w:rPr>
      </w:pPr>
      <w:r>
        <w:rPr>
          <w:rStyle w:val="41"/>
          <w:rFonts w:hint="eastAsia" w:ascii="宋体" w:hAnsi="宋体" w:eastAsia="宋体" w:cs="宋体"/>
          <w:b/>
          <w:color w:val="auto"/>
          <w:szCs w:val="22"/>
          <w:highlight w:val="none"/>
          <w:lang w:val="en-US" w:eastAsia="zh-CN" w:bidi="ar-SA"/>
        </w:rPr>
        <w:br w:type="page"/>
      </w:r>
      <w:bookmarkStart w:id="554" w:name="_Toc29301"/>
      <w:bookmarkStart w:id="555" w:name="_Toc24734"/>
      <w:r>
        <w:rPr>
          <w:rStyle w:val="41"/>
          <w:rFonts w:hint="eastAsia" w:ascii="宋体" w:hAnsi="宋体" w:eastAsia="宋体" w:cs="宋体"/>
          <w:b/>
          <w:color w:val="auto"/>
          <w:sz w:val="28"/>
          <w:szCs w:val="28"/>
          <w:highlight w:val="none"/>
          <w:lang w:val="en-US" w:eastAsia="zh-CN" w:bidi="ar-SA"/>
        </w:rPr>
        <w:t>二、</w:t>
      </w:r>
      <w:bookmarkEnd w:id="554"/>
      <w:r>
        <w:rPr>
          <w:rStyle w:val="41"/>
          <w:rFonts w:hint="eastAsia" w:ascii="宋体" w:hAnsi="宋体" w:eastAsia="宋体" w:cs="宋体"/>
          <w:b/>
          <w:color w:val="auto"/>
          <w:sz w:val="28"/>
          <w:szCs w:val="28"/>
          <w:highlight w:val="none"/>
          <w:lang w:val="en-US" w:eastAsia="zh-CN" w:bidi="ar-SA"/>
        </w:rPr>
        <w:t>磋商报价单</w:t>
      </w:r>
      <w:bookmarkEnd w:id="555"/>
    </w:p>
    <w:tbl>
      <w:tblPr>
        <w:tblStyle w:val="18"/>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6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lang w:eastAsia="zh-CN"/>
              </w:rPr>
              <w:t>项目</w:t>
            </w:r>
            <w:r>
              <w:rPr>
                <w:rFonts w:hint="eastAsia" w:ascii="宋体" w:hAnsi="宋体" w:eastAsia="宋体" w:cs="宋体"/>
                <w:color w:val="auto"/>
                <w:sz w:val="24"/>
                <w:szCs w:val="24"/>
                <w:highlight w:val="none"/>
              </w:rPr>
              <w:t>编号</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rPr>
              <w:t>项目名称</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vMerge w:val="restart"/>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lang w:eastAsia="zh-CN"/>
              </w:rPr>
              <w:t>投标总报价</w:t>
            </w:r>
            <w:r>
              <w:rPr>
                <w:rFonts w:hint="eastAsia" w:ascii="宋体" w:hAnsi="宋体" w:eastAsia="宋体" w:cs="宋体"/>
                <w:color w:val="auto"/>
                <w:sz w:val="24"/>
                <w:szCs w:val="24"/>
                <w:highlight w:val="none"/>
              </w:rPr>
              <w:t>（元）</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r>
              <w:rPr>
                <w:rFonts w:hint="eastAsia" w:ascii="宋体" w:hAnsi="宋体" w:eastAsia="宋体" w:cs="宋体"/>
                <w:color w:val="auto"/>
                <w:sz w:val="24"/>
                <w:szCs w:val="24"/>
                <w:highlight w:val="none"/>
                <w:vertAlign w:val="baseline"/>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vMerge w:val="continue"/>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rPr>
            </w:pP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工期</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质量</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2055" w:type="dxa"/>
            <w:vMerge w:val="restart"/>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项目经理</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055" w:type="dxa"/>
            <w:vMerge w:val="continue"/>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lang w:eastAsia="zh-CN"/>
              </w:rPr>
            </w:pP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执业证书编号：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2055" w:type="dxa"/>
            <w:noWrap w:val="0"/>
            <w:vAlign w:val="center"/>
          </w:tcPr>
          <w:p>
            <w:pPr>
              <w:widowControl/>
              <w:wordWrap w:val="0"/>
              <w:spacing w:line="360" w:lineRule="auto"/>
              <w:ind w:right="-197" w:rightChars="-94"/>
              <w:jc w:val="center"/>
              <w:outlineLvl w:val="9"/>
              <w:rPr>
                <w:rFonts w:hint="eastAsia" w:ascii="宋体" w:hAnsi="宋体" w:eastAsia="宋体" w:cs="宋体"/>
                <w:color w:val="auto"/>
                <w:sz w:val="24"/>
                <w:szCs w:val="24"/>
                <w:highlight w:val="none"/>
                <w:vertAlign w:val="baseline"/>
                <w:lang w:eastAsia="zh-CN"/>
              </w:rPr>
            </w:pPr>
            <w:r>
              <w:rPr>
                <w:rFonts w:hint="eastAsia" w:ascii="宋体" w:hAnsi="宋体" w:eastAsia="宋体" w:cs="宋体"/>
                <w:color w:val="auto"/>
                <w:sz w:val="24"/>
                <w:szCs w:val="24"/>
                <w:highlight w:val="none"/>
                <w:vertAlign w:val="baseline"/>
                <w:lang w:eastAsia="zh-CN"/>
              </w:rPr>
              <w:t>备注</w:t>
            </w:r>
          </w:p>
        </w:tc>
        <w:tc>
          <w:tcPr>
            <w:tcW w:w="6545" w:type="dxa"/>
            <w:noWrap w:val="0"/>
            <w:vAlign w:val="center"/>
          </w:tcPr>
          <w:p>
            <w:pPr>
              <w:widowControl/>
              <w:wordWrap w:val="0"/>
              <w:spacing w:line="360" w:lineRule="auto"/>
              <w:ind w:right="-197" w:rightChars="-94"/>
              <w:jc w:val="both"/>
              <w:outlineLvl w:val="9"/>
              <w:rPr>
                <w:rFonts w:hint="eastAsia" w:ascii="宋体" w:hAnsi="宋体" w:eastAsia="宋体" w:cs="宋体"/>
                <w:color w:val="auto"/>
                <w:sz w:val="24"/>
                <w:szCs w:val="24"/>
                <w:highlight w:val="none"/>
                <w:vertAlign w:val="baseline"/>
              </w:rPr>
            </w:pPr>
          </w:p>
        </w:tc>
      </w:tr>
    </w:tbl>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lang w:eastAsia="zh-CN"/>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lang w:eastAsia="zh-CN"/>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（公章）</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法定代表人或授权代表签字：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keepNext w:val="0"/>
        <w:keepLines w:val="0"/>
        <w:pageBreakBefore w:val="0"/>
        <w:widowControl/>
        <w:kinsoku/>
        <w:wordWrap/>
        <w:overflowPunct/>
        <w:topLinePunct w:val="0"/>
        <w:autoSpaceDE/>
        <w:autoSpaceDN/>
        <w:bidi w:val="0"/>
        <w:adjustRightInd/>
        <w:snapToGrid/>
        <w:spacing w:line="360" w:lineRule="auto"/>
        <w:ind w:right="0" w:rightChars="0" w:firstLine="6240" w:firstLineChars="26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widowControl/>
        <w:wordWrap w:val="0"/>
        <w:spacing w:line="360" w:lineRule="auto"/>
        <w:ind w:right="-197" w:rightChars="-94"/>
        <w:jc w:val="left"/>
        <w:outlineLvl w:val="9"/>
        <w:rPr>
          <w:rFonts w:hint="eastAsia" w:ascii="宋体" w:hAnsi="宋体" w:eastAsia="宋体" w:cs="宋体"/>
          <w:color w:val="auto"/>
          <w:sz w:val="24"/>
          <w:szCs w:val="24"/>
          <w:highlight w:val="none"/>
        </w:rPr>
      </w:pPr>
    </w:p>
    <w:p>
      <w:pPr>
        <w:spacing w:before="0" w:beforeAutospacing="0" w:line="360" w:lineRule="auto"/>
        <w:jc w:val="center"/>
        <w:outlineLvl w:val="9"/>
        <w:rPr>
          <w:rFonts w:hint="eastAsia" w:ascii="宋体" w:hAnsi="宋体" w:eastAsia="宋体" w:cs="宋体"/>
          <w:b/>
          <w:color w:val="auto"/>
          <w:sz w:val="28"/>
          <w:szCs w:val="28"/>
          <w:highlight w:val="none"/>
          <w:lang w:val="en-US" w:eastAsia="zh-CN"/>
        </w:rPr>
      </w:pPr>
      <w:r>
        <w:rPr>
          <w:rStyle w:val="41"/>
          <w:rFonts w:hint="eastAsia" w:ascii="宋体" w:hAnsi="宋体" w:eastAsia="宋体" w:cs="宋体"/>
          <w:b/>
          <w:color w:val="auto"/>
          <w:sz w:val="24"/>
          <w:szCs w:val="24"/>
          <w:highlight w:val="none"/>
          <w:lang w:val="en-US" w:eastAsia="zh-CN" w:bidi="ar-SA"/>
        </w:rPr>
        <w:br w:type="page"/>
      </w:r>
      <w:bookmarkStart w:id="556" w:name="_Toc6470"/>
      <w:bookmarkStart w:id="557" w:name="_Toc25508"/>
      <w:r>
        <w:rPr>
          <w:rFonts w:hint="eastAsia" w:ascii="宋体" w:hAnsi="宋体" w:eastAsia="宋体" w:cs="宋体"/>
          <w:b/>
          <w:color w:val="auto"/>
          <w:sz w:val="28"/>
          <w:szCs w:val="28"/>
          <w:highlight w:val="none"/>
          <w:lang w:val="en-US" w:eastAsia="zh-CN"/>
        </w:rPr>
        <w:t>三、</w:t>
      </w:r>
      <w:r>
        <w:rPr>
          <w:rFonts w:hint="eastAsia" w:ascii="宋体" w:hAnsi="宋体" w:eastAsia="宋体" w:cs="宋体"/>
          <w:b/>
          <w:color w:val="auto"/>
          <w:sz w:val="28"/>
          <w:szCs w:val="28"/>
          <w:highlight w:val="none"/>
          <w:lang w:val="zh-CN" w:eastAsia="zh-CN"/>
        </w:rPr>
        <w:t>保证金交纳凭证</w:t>
      </w:r>
      <w:bookmarkEnd w:id="556"/>
      <w:bookmarkEnd w:id="557"/>
    </w:p>
    <w:p>
      <w:pPr>
        <w:pStyle w:val="8"/>
        <w:spacing w:line="360" w:lineRule="auto"/>
        <w:outlineLvl w:val="9"/>
        <w:rPr>
          <w:rFonts w:hint="eastAsia" w:ascii="宋体" w:hAnsi="宋体" w:eastAsia="宋体" w:cs="宋体"/>
          <w:b/>
          <w:color w:val="auto"/>
          <w:sz w:val="24"/>
          <w:szCs w:val="24"/>
          <w:highlight w:val="none"/>
          <w:lang w:val="en-US" w:eastAsia="zh-CN" w:bidi="ar-SA"/>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spacing w:line="360" w:lineRule="auto"/>
        <w:ind w:firstLine="482" w:firstLineChars="200"/>
        <w:outlineLvl w:val="9"/>
        <w:rPr>
          <w:rFonts w:hint="eastAsia" w:ascii="宋体" w:hAnsi="宋体" w:eastAsia="宋体" w:cs="宋体"/>
          <w:b/>
          <w:bCs/>
          <w:color w:val="auto"/>
          <w:sz w:val="24"/>
          <w:szCs w:val="24"/>
          <w:highlight w:val="none"/>
        </w:rPr>
      </w:pPr>
    </w:p>
    <w:p>
      <w:pPr>
        <w:spacing w:line="360" w:lineRule="auto"/>
        <w:ind w:firstLine="482" w:firstLineChars="200"/>
        <w:outlineLvl w:val="9"/>
        <w:rPr>
          <w:rFonts w:hint="eastAsia" w:ascii="宋体" w:hAnsi="宋体" w:eastAsia="宋体" w:cs="宋体"/>
          <w:b/>
          <w:bCs/>
          <w:color w:val="auto"/>
          <w:sz w:val="24"/>
          <w:szCs w:val="24"/>
          <w:highlight w:val="none"/>
        </w:rPr>
      </w:pPr>
    </w:p>
    <w:p>
      <w:pPr>
        <w:pStyle w:val="8"/>
        <w:outlineLvl w:val="9"/>
        <w:rPr>
          <w:rFonts w:hint="eastAsia" w:ascii="宋体" w:hAnsi="宋体" w:eastAsia="宋体" w:cs="宋体"/>
          <w:b/>
          <w:bCs/>
          <w:color w:val="auto"/>
          <w:sz w:val="24"/>
          <w:szCs w:val="24"/>
          <w:highlight w:val="none"/>
        </w:rPr>
      </w:pPr>
    </w:p>
    <w:p>
      <w:pPr>
        <w:outlineLvl w:val="9"/>
        <w:rPr>
          <w:rFonts w:hint="eastAsia" w:ascii="宋体" w:hAnsi="宋体" w:eastAsia="宋体" w:cs="宋体"/>
          <w:b/>
          <w:bCs/>
          <w:color w:val="auto"/>
          <w:sz w:val="24"/>
          <w:szCs w:val="24"/>
          <w:highlight w:val="none"/>
        </w:rPr>
      </w:pPr>
    </w:p>
    <w:p>
      <w:pPr>
        <w:pStyle w:val="8"/>
        <w:outlineLvl w:val="9"/>
        <w:rPr>
          <w:rFonts w:hint="eastAsia" w:ascii="宋体" w:hAnsi="宋体" w:eastAsia="宋体" w:cs="宋体"/>
          <w:b/>
          <w:bCs/>
          <w:color w:val="auto"/>
          <w:sz w:val="24"/>
          <w:szCs w:val="24"/>
          <w:highlight w:val="none"/>
        </w:rPr>
      </w:pPr>
    </w:p>
    <w:p>
      <w:pPr>
        <w:outlineLvl w:val="9"/>
        <w:rPr>
          <w:rFonts w:hint="eastAsia" w:ascii="宋体" w:hAnsi="宋体" w:eastAsia="宋体" w:cs="宋体"/>
          <w:color w:val="auto"/>
        </w:rPr>
      </w:pPr>
    </w:p>
    <w:p>
      <w:pPr>
        <w:spacing w:line="360" w:lineRule="auto"/>
        <w:ind w:firstLine="482" w:firstLineChars="200"/>
        <w:outlineLvl w:val="9"/>
        <w:rPr>
          <w:rFonts w:hint="eastAsia" w:ascii="宋体" w:hAnsi="宋体" w:eastAsia="宋体" w:cs="宋体"/>
          <w:b/>
          <w:bCs/>
          <w:color w:val="auto"/>
          <w:sz w:val="24"/>
          <w:szCs w:val="24"/>
          <w:highlight w:val="none"/>
        </w:rPr>
      </w:pPr>
    </w:p>
    <w:p>
      <w:pPr>
        <w:pStyle w:val="8"/>
        <w:spacing w:line="360" w:lineRule="auto"/>
        <w:outlineLvl w:val="9"/>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259" w:afterLines="83" w:afterAutospacing="0" w:line="360" w:lineRule="auto"/>
        <w:ind w:left="0" w:leftChars="0" w:firstLine="0" w:firstLineChars="0"/>
        <w:jc w:val="center"/>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br w:type="page"/>
      </w:r>
      <w:bookmarkStart w:id="558" w:name="_Toc48995852"/>
      <w:bookmarkStart w:id="559" w:name="_Toc49019498"/>
      <w:bookmarkStart w:id="560" w:name="_Toc11793"/>
      <w:bookmarkStart w:id="561" w:name="_Toc11545"/>
      <w:bookmarkStart w:id="562" w:name="_Toc47418256"/>
      <w:bookmarkStart w:id="563" w:name="_Toc47418939"/>
      <w:bookmarkStart w:id="564" w:name="_Toc47261886"/>
      <w:bookmarkStart w:id="565" w:name="_Toc47261691"/>
      <w:bookmarkStart w:id="566" w:name="_Toc47418732"/>
      <w:bookmarkStart w:id="567" w:name="_Toc48791236"/>
      <w:bookmarkStart w:id="568" w:name="_Toc49019237"/>
      <w:bookmarkStart w:id="569" w:name="_Toc47262070"/>
      <w:r>
        <w:rPr>
          <w:rStyle w:val="41"/>
          <w:rFonts w:hint="eastAsia" w:ascii="宋体" w:hAnsi="宋体" w:eastAsia="宋体" w:cs="宋体"/>
          <w:color w:val="auto"/>
          <w:sz w:val="28"/>
          <w:szCs w:val="28"/>
          <w:highlight w:val="none"/>
          <w:lang w:eastAsia="zh-CN"/>
        </w:rPr>
        <w:t>四、法定代表人身份证明</w:t>
      </w:r>
      <w:r>
        <w:rPr>
          <w:rStyle w:val="41"/>
          <w:rFonts w:hint="eastAsia" w:ascii="宋体" w:hAnsi="宋体" w:cs="宋体"/>
          <w:color w:val="auto"/>
          <w:sz w:val="28"/>
          <w:szCs w:val="28"/>
          <w:highlight w:val="none"/>
          <w:lang w:eastAsia="zh-CN"/>
        </w:rPr>
        <w:t>和</w:t>
      </w:r>
      <w:r>
        <w:rPr>
          <w:rStyle w:val="41"/>
          <w:rFonts w:hint="eastAsia" w:ascii="宋体" w:hAnsi="宋体" w:eastAsia="宋体" w:cs="宋体"/>
          <w:color w:val="auto"/>
          <w:sz w:val="28"/>
          <w:szCs w:val="28"/>
          <w:highlight w:val="none"/>
          <w:lang w:eastAsia="zh-CN"/>
        </w:rPr>
        <w:t>法定代表人授权书</w:t>
      </w:r>
      <w:bookmarkEnd w:id="558"/>
      <w:bookmarkEnd w:id="559"/>
      <w:bookmarkEnd w:id="560"/>
      <w:bookmarkEnd w:id="561"/>
      <w:bookmarkEnd w:id="562"/>
      <w:bookmarkEnd w:id="563"/>
      <w:bookmarkEnd w:id="564"/>
      <w:bookmarkEnd w:id="565"/>
      <w:bookmarkEnd w:id="566"/>
      <w:bookmarkEnd w:id="567"/>
      <w:bookmarkEnd w:id="568"/>
      <w:bookmarkEnd w:id="569"/>
    </w:p>
    <w:p>
      <w:pPr>
        <w:adjustRightInd w:val="0"/>
        <w:snapToGrid w:val="0"/>
        <w:spacing w:beforeAutospacing="0" w:line="360" w:lineRule="auto"/>
        <w:jc w:val="center"/>
        <w:outlineLvl w:val="9"/>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rPr>
        <w:t>法定代表人身份证明</w:t>
      </w:r>
    </w:p>
    <w:p>
      <w:pPr>
        <w:snapToGrid w:val="0"/>
        <w:spacing w:line="360" w:lineRule="auto"/>
        <w:outlineLvl w:val="9"/>
        <w:rPr>
          <w:rFonts w:hint="eastAsia" w:ascii="宋体" w:hAnsi="宋体" w:eastAsia="宋体" w:cs="宋体"/>
          <w:color w:val="auto"/>
          <w:sz w:val="24"/>
          <w:szCs w:val="24"/>
          <w:highlight w:val="none"/>
        </w:rPr>
      </w:pP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kern w:val="0"/>
          <w:sz w:val="24"/>
          <w:szCs w:val="24"/>
          <w:highlight w:val="none"/>
        </w:rPr>
        <w:t>名称：</w:t>
      </w:r>
      <w:r>
        <w:rPr>
          <w:rFonts w:hint="eastAsia" w:ascii="宋体" w:hAnsi="宋体" w:eastAsia="宋体" w:cs="宋体"/>
          <w:color w:val="auto"/>
          <w:kern w:val="0"/>
          <w:sz w:val="24"/>
          <w:szCs w:val="24"/>
          <w:highlight w:val="none"/>
          <w:u w:val="single"/>
        </w:rPr>
        <w:t xml:space="preserve">                                    </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统一社会信用代码：</w:t>
      </w:r>
      <w:r>
        <w:rPr>
          <w:rFonts w:hint="eastAsia" w:ascii="宋体" w:hAnsi="宋体" w:eastAsia="宋体" w:cs="宋体"/>
          <w:color w:val="auto"/>
          <w:kern w:val="0"/>
          <w:sz w:val="24"/>
          <w:szCs w:val="24"/>
          <w:highlight w:val="none"/>
          <w:u w:val="single"/>
        </w:rPr>
        <w:t xml:space="preserve">                                  </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注册地址：</w:t>
      </w:r>
      <w:r>
        <w:rPr>
          <w:rFonts w:hint="eastAsia" w:ascii="宋体" w:hAnsi="宋体" w:eastAsia="宋体" w:cs="宋体"/>
          <w:color w:val="auto"/>
          <w:kern w:val="0"/>
          <w:sz w:val="24"/>
          <w:szCs w:val="24"/>
          <w:highlight w:val="none"/>
          <w:u w:val="single"/>
        </w:rPr>
        <w:t xml:space="preserve">                                          </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成立时间：</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日；经营期限：</w:t>
      </w:r>
      <w:r>
        <w:rPr>
          <w:rFonts w:hint="eastAsia" w:ascii="宋体" w:hAnsi="宋体" w:eastAsia="宋体" w:cs="宋体"/>
          <w:color w:val="auto"/>
          <w:kern w:val="0"/>
          <w:sz w:val="24"/>
          <w:szCs w:val="24"/>
          <w:highlight w:val="none"/>
          <w:u w:val="single"/>
        </w:rPr>
        <w:t xml:space="preserve">             </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经营范围：</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姓名：</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性别：</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年龄：</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 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kern w:val="0"/>
          <w:sz w:val="24"/>
          <w:szCs w:val="24"/>
          <w:highlight w:val="none"/>
        </w:rPr>
        <w:t>名称）的法定代表人。</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特此证明。</w:t>
      </w:r>
    </w:p>
    <w:p>
      <w:pPr>
        <w:autoSpaceDE w:val="0"/>
        <w:autoSpaceDN w:val="0"/>
        <w:adjustRightInd w:val="0"/>
        <w:snapToGrid w:val="0"/>
        <w:spacing w:before="120" w:beforeLines="50" w:line="360" w:lineRule="auto"/>
        <w:ind w:firstLine="480" w:firstLineChars="20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附：法定代表人身份证复印件</w:t>
      </w:r>
    </w:p>
    <w:tbl>
      <w:tblPr>
        <w:tblStyle w:val="17"/>
        <w:tblW w:w="7996" w:type="dxa"/>
        <w:tblInd w:w="540" w:type="dxa"/>
        <w:tblLayout w:type="fixed"/>
        <w:tblCellMar>
          <w:top w:w="0" w:type="dxa"/>
          <w:left w:w="108" w:type="dxa"/>
          <w:bottom w:w="0" w:type="dxa"/>
          <w:right w:w="108" w:type="dxa"/>
        </w:tblCellMar>
      </w:tblPr>
      <w:tblGrid>
        <w:gridCol w:w="4081"/>
        <w:gridCol w:w="3915"/>
      </w:tblGrid>
      <w:tr>
        <w:tblPrEx>
          <w:tblCellMar>
            <w:top w:w="0" w:type="dxa"/>
            <w:left w:w="108" w:type="dxa"/>
            <w:bottom w:w="0" w:type="dxa"/>
            <w:right w:w="108" w:type="dxa"/>
          </w:tblCellMar>
        </w:tblPrEx>
        <w:trPr>
          <w:trHeight w:val="2818" w:hRule="atLeast"/>
        </w:trPr>
        <w:tc>
          <w:tcPr>
            <w:tcW w:w="4081"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zh-CN"/>
              </w:rPr>
              <w:t>法定代表人身份证正面复印件</w:t>
            </w:r>
          </w:p>
        </w:tc>
        <w:tc>
          <w:tcPr>
            <w:tcW w:w="3915"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zh-CN"/>
              </w:rPr>
              <w:t>法定代表人身份证反面复印件</w:t>
            </w:r>
          </w:p>
        </w:tc>
      </w:tr>
    </w:tbl>
    <w:p>
      <w:pPr>
        <w:spacing w:line="360" w:lineRule="auto"/>
        <w:ind w:right="-197" w:rightChars="-94" w:firstLine="480" w:firstLineChars="200"/>
        <w:jc w:val="left"/>
        <w:outlineLvl w:val="9"/>
        <w:rPr>
          <w:rFonts w:hint="eastAsia" w:ascii="宋体" w:hAnsi="宋体" w:eastAsia="宋体" w:cs="宋体"/>
          <w:color w:val="auto"/>
          <w:kern w:val="0"/>
          <w:sz w:val="24"/>
          <w:szCs w:val="24"/>
          <w:highlight w:val="none"/>
        </w:rPr>
      </w:pPr>
    </w:p>
    <w:p>
      <w:pPr>
        <w:pStyle w:val="8"/>
        <w:spacing w:line="360" w:lineRule="auto"/>
        <w:outlineLvl w:val="9"/>
        <w:rPr>
          <w:rFonts w:hint="eastAsia" w:ascii="宋体" w:hAnsi="宋体" w:eastAsia="宋体" w:cs="宋体"/>
          <w:color w:val="auto"/>
          <w:kern w:val="0"/>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（公章）</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法定代表人或授权代表签字：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keepNext w:val="0"/>
        <w:keepLines w:val="0"/>
        <w:pageBreakBefore w:val="0"/>
        <w:widowControl/>
        <w:kinsoku/>
        <w:wordWrap/>
        <w:overflowPunct/>
        <w:topLinePunct w:val="0"/>
        <w:autoSpaceDE/>
        <w:autoSpaceDN/>
        <w:bidi w:val="0"/>
        <w:adjustRightInd/>
        <w:snapToGrid/>
        <w:spacing w:line="360" w:lineRule="auto"/>
        <w:ind w:right="0" w:rightChars="0" w:firstLine="6240" w:firstLineChars="26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adjustRightInd w:val="0"/>
        <w:snapToGrid w:val="0"/>
        <w:spacing w:after="215" w:afterLines="68" w:afterAutospacing="0" w:line="360" w:lineRule="auto"/>
        <w:jc w:val="center"/>
        <w:outlineLvl w:val="9"/>
        <w:rPr>
          <w:rFonts w:hint="eastAsia" w:ascii="宋体" w:hAnsi="宋体" w:eastAsia="宋体" w:cs="宋体"/>
          <w:b/>
          <w:color w:val="auto"/>
          <w:sz w:val="28"/>
          <w:szCs w:val="28"/>
          <w:highlight w:val="none"/>
        </w:rPr>
      </w:pPr>
      <w:r>
        <w:rPr>
          <w:rFonts w:hint="eastAsia" w:ascii="宋体" w:hAnsi="宋体" w:eastAsia="宋体" w:cs="宋体"/>
          <w:b/>
          <w:color w:val="auto"/>
          <w:sz w:val="24"/>
          <w:szCs w:val="24"/>
          <w:highlight w:val="none"/>
        </w:rPr>
        <w:br w:type="page"/>
      </w:r>
      <w:r>
        <w:rPr>
          <w:rFonts w:hint="eastAsia" w:ascii="宋体" w:hAnsi="宋体" w:eastAsia="宋体" w:cs="宋体"/>
          <w:b/>
          <w:color w:val="auto"/>
          <w:sz w:val="28"/>
          <w:szCs w:val="28"/>
          <w:highlight w:val="none"/>
        </w:rPr>
        <w:t>法定代表人授权书</w:t>
      </w:r>
    </w:p>
    <w:p>
      <w:pPr>
        <w:keepNext w:val="0"/>
        <w:keepLines w:val="0"/>
        <w:pageBreakBefore w:val="0"/>
        <w:widowControl w:val="0"/>
        <w:kinsoku/>
        <w:wordWrap/>
        <w:overflowPunct/>
        <w:topLinePunct w:val="0"/>
        <w:autoSpaceDE w:val="0"/>
        <w:autoSpaceDN w:val="0"/>
        <w:bidi w:val="0"/>
        <w:adjustRightInd w:val="0"/>
        <w:snapToGrid/>
        <w:spacing w:beforeAutospacing="0" w:line="360" w:lineRule="auto"/>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zh-CN"/>
        </w:rPr>
        <w:t>致：</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u w:val="single"/>
          <w:lang w:val="zh-CN"/>
        </w:rPr>
        <w:t>（采购人）</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供应商</w:t>
      </w:r>
      <w:r>
        <w:rPr>
          <w:rFonts w:hint="eastAsia" w:ascii="宋体" w:hAnsi="宋体" w:eastAsia="宋体" w:cs="宋体"/>
          <w:color w:val="auto"/>
          <w:sz w:val="24"/>
          <w:szCs w:val="24"/>
          <w:highlight w:val="none"/>
          <w:u w:val="single"/>
        </w:rPr>
        <w:t xml:space="preserve">名称）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为我方代理人。代理人根据授权，以我方名义签署、澄清、说明、递交、撤回、修改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响应文件</w:t>
      </w:r>
      <w:r>
        <w:rPr>
          <w:rFonts w:hint="eastAsia" w:ascii="宋体" w:hAnsi="宋体" w:eastAsia="宋体" w:cs="宋体"/>
          <w:color w:val="auto"/>
          <w:sz w:val="24"/>
          <w:szCs w:val="24"/>
          <w:highlight w:val="none"/>
        </w:rPr>
        <w:t>、签订合同和处理有关事宜，其法律后果由我方承担。</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0" w:firstLineChars="200"/>
        <w:textAlignment w:val="auto"/>
        <w:outlineLvl w:val="9"/>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rPr>
        <w:t>本授权有效期：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法定代表人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zh-CN"/>
        </w:rPr>
        <w:t>授权代表身份证复印件</w:t>
      </w:r>
    </w:p>
    <w:tbl>
      <w:tblPr>
        <w:tblStyle w:val="17"/>
        <w:tblW w:w="8740" w:type="dxa"/>
        <w:jc w:val="center"/>
        <w:tblLayout w:type="fixed"/>
        <w:tblCellMar>
          <w:top w:w="0" w:type="dxa"/>
          <w:left w:w="108" w:type="dxa"/>
          <w:bottom w:w="0" w:type="dxa"/>
          <w:right w:w="108" w:type="dxa"/>
        </w:tblCellMar>
      </w:tblPr>
      <w:tblGrid>
        <w:gridCol w:w="4461"/>
        <w:gridCol w:w="4279"/>
      </w:tblGrid>
      <w:tr>
        <w:tblPrEx>
          <w:tblCellMar>
            <w:top w:w="0" w:type="dxa"/>
            <w:left w:w="108" w:type="dxa"/>
            <w:bottom w:w="0" w:type="dxa"/>
            <w:right w:w="108" w:type="dxa"/>
          </w:tblCellMar>
        </w:tblPrEx>
        <w:trPr>
          <w:trHeight w:val="3272" w:hRule="atLeast"/>
          <w:jc w:val="center"/>
        </w:trPr>
        <w:tc>
          <w:tcPr>
            <w:tcW w:w="4461"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法定代表人身份证复印件</w:t>
            </w:r>
          </w:p>
          <w:p>
            <w:pPr>
              <w:adjustRightInd w:val="0"/>
              <w:snapToGrid w:val="0"/>
              <w:spacing w:line="360" w:lineRule="auto"/>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（正反两面）</w:t>
            </w:r>
          </w:p>
        </w:tc>
        <w:tc>
          <w:tcPr>
            <w:tcW w:w="427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授权代表身份证复印件</w:t>
            </w:r>
          </w:p>
          <w:p>
            <w:pPr>
              <w:adjustRightInd w:val="0"/>
              <w:snapToGrid w:val="0"/>
              <w:spacing w:line="360" w:lineRule="auto"/>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（正反两面）</w:t>
            </w:r>
          </w:p>
        </w:tc>
      </w:tr>
    </w:tbl>
    <w:p>
      <w:pPr>
        <w:pStyle w:val="8"/>
        <w:spacing w:line="360" w:lineRule="auto"/>
        <w:outlineLvl w:val="9"/>
        <w:rPr>
          <w:rFonts w:hint="eastAsia" w:ascii="宋体" w:hAnsi="宋体" w:eastAsia="宋体" w:cs="宋体"/>
          <w:color w:val="auto"/>
          <w:sz w:val="24"/>
          <w:szCs w:val="24"/>
          <w:highlight w:val="none"/>
        </w:rPr>
      </w:pPr>
    </w:p>
    <w:p>
      <w:pPr>
        <w:spacing w:line="360" w:lineRule="auto"/>
        <w:ind w:leftChars="1100"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（盖单位公章）</w:t>
      </w:r>
    </w:p>
    <w:p>
      <w:pPr>
        <w:spacing w:line="360" w:lineRule="auto"/>
        <w:ind w:leftChars="1100"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lang w:eastAsia="zh-CN"/>
        </w:rPr>
        <w:t>或盖章</w:t>
      </w:r>
      <w:r>
        <w:rPr>
          <w:rFonts w:hint="eastAsia" w:ascii="宋体" w:hAnsi="宋体" w:eastAsia="宋体" w:cs="宋体"/>
          <w:color w:val="auto"/>
          <w:sz w:val="24"/>
          <w:szCs w:val="24"/>
          <w:highlight w:val="none"/>
        </w:rPr>
        <w:t>）</w:t>
      </w:r>
    </w:p>
    <w:p>
      <w:pPr>
        <w:spacing w:line="360" w:lineRule="auto"/>
        <w:ind w:leftChars="1100"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spacing w:line="360" w:lineRule="auto"/>
        <w:ind w:leftChars="1100"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spacing w:line="360" w:lineRule="auto"/>
        <w:ind w:leftChars="1100"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spacing w:line="360" w:lineRule="auto"/>
        <w:ind w:firstLine="2248" w:firstLineChars="937"/>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p>
    <w:p>
      <w:pPr>
        <w:pStyle w:val="8"/>
        <w:spacing w:line="360" w:lineRule="auto"/>
        <w:jc w:val="right"/>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360" w:lineRule="auto"/>
        <w:jc w:val="center"/>
        <w:outlineLvl w:val="9"/>
        <w:rPr>
          <w:rStyle w:val="41"/>
          <w:rFonts w:hint="eastAsia" w:ascii="宋体" w:hAnsi="宋体" w:eastAsia="宋体" w:cs="宋体"/>
          <w:b/>
          <w:color w:val="auto"/>
          <w:sz w:val="24"/>
          <w:szCs w:val="24"/>
          <w:highlight w:val="none"/>
          <w:lang w:val="en-US" w:eastAsia="zh-CN" w:bidi="ar-SA"/>
        </w:rPr>
      </w:pPr>
      <w:bookmarkStart w:id="570" w:name="_Toc13067"/>
      <w:r>
        <w:rPr>
          <w:rStyle w:val="41"/>
          <w:rFonts w:hint="eastAsia" w:ascii="宋体" w:hAnsi="宋体" w:eastAsia="宋体" w:cs="宋体"/>
          <w:b/>
          <w:color w:val="auto"/>
          <w:sz w:val="24"/>
          <w:szCs w:val="24"/>
          <w:highlight w:val="none"/>
          <w:lang w:val="en-US" w:eastAsia="zh-CN" w:bidi="ar-SA"/>
        </w:rPr>
        <w:br w:type="page"/>
      </w:r>
    </w:p>
    <w:p>
      <w:pPr>
        <w:spacing w:line="360" w:lineRule="auto"/>
        <w:jc w:val="center"/>
        <w:outlineLvl w:val="9"/>
        <w:rPr>
          <w:rFonts w:hint="eastAsia" w:ascii="宋体" w:hAnsi="宋体" w:eastAsia="宋体" w:cs="宋体"/>
          <w:color w:val="auto"/>
          <w:sz w:val="28"/>
          <w:szCs w:val="28"/>
          <w:highlight w:val="none"/>
        </w:rPr>
      </w:pPr>
      <w:bookmarkStart w:id="571" w:name="_Toc27988"/>
      <w:r>
        <w:rPr>
          <w:rStyle w:val="41"/>
          <w:rFonts w:hint="eastAsia" w:ascii="宋体" w:hAnsi="宋体" w:eastAsia="宋体" w:cs="宋体"/>
          <w:b/>
          <w:color w:val="auto"/>
          <w:sz w:val="28"/>
          <w:szCs w:val="28"/>
          <w:highlight w:val="none"/>
          <w:lang w:val="en-US" w:eastAsia="zh-CN" w:bidi="ar-SA"/>
        </w:rPr>
        <w:t>五、《拒绝政府采购领域商业贿赂承诺书》</w:t>
      </w:r>
      <w:bookmarkEnd w:id="570"/>
      <w:bookmarkEnd w:id="571"/>
    </w:p>
    <w:p>
      <w:pPr>
        <w:keepNext w:val="0"/>
        <w:keepLines w:val="0"/>
        <w:pageBreakBefore w:val="0"/>
        <w:widowControl/>
        <w:tabs>
          <w:tab w:val="left" w:pos="8520"/>
        </w:tabs>
        <w:kinsoku/>
        <w:wordWrap/>
        <w:overflowPunct/>
        <w:topLinePunct w:val="0"/>
        <w:autoSpaceDE/>
        <w:autoSpaceDN/>
        <w:bidi w:val="0"/>
        <w:adjustRightInd/>
        <w:snapToGrid/>
        <w:spacing w:before="157" w:beforeLines="50" w:line="360" w:lineRule="auto"/>
        <w:ind w:right="346" w:rightChars="0"/>
        <w:jc w:val="center"/>
        <w:textAlignment w:val="auto"/>
        <w:outlineLvl w:val="9"/>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陕西省政府采购供应商拒绝政府采购领域商业贿赂承诺书</w:t>
      </w:r>
    </w:p>
    <w:p>
      <w:pPr>
        <w:widowControl/>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为响应党中央、国务院关于治理政府采购领域商业贿赂行为的号召，我单位在此庄严承诺：</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在参与政府采购活动中遵纪守法、诚信经营、公平竞标。</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不向采购人、采购代理机构和政府采购评审专家进行任何形式的商业贿赂以谋取交易机会。</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不向政府采购采购代理机构和采购人提供虚假资质文件或采用虚假应标方式参与政府采购市场竞争并谋取中标、成交。</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不采取“围标、陪标”等商业欺诈手段获得政府采购定单。</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不采取不正当手段低毁、排挤其他供应商。</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不在提供商品和服务时“偷梁换柱、以次充好”损害采购人的合法权益。</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不与采购人、采购代理机构政府采购评审专家或其它供应商恶意串通，进行质疑和投诉，维护政府采购市场秩序。</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尊重和接受政府采购监督管理部门的监督和政府采购代理机构招标要求，承担因违约行为给采购人造成的损失。</w:t>
      </w:r>
    </w:p>
    <w:p>
      <w:pPr>
        <w:widowControl/>
        <w:numPr>
          <w:ilvl w:val="0"/>
          <w:numId w:val="8"/>
        </w:numPr>
        <w:tabs>
          <w:tab w:val="left" w:pos="8520"/>
        </w:tabs>
        <w:spacing w:line="360" w:lineRule="auto"/>
        <w:ind w:right="345" w:firstLine="480" w:firstLineChars="20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不发生其他有悖于政府采购公开、公平、公正和诚信原则的行为。</w:t>
      </w:r>
      <w:r>
        <w:rPr>
          <w:rFonts w:hint="eastAsia" w:ascii="宋体" w:hAnsi="宋体" w:eastAsia="宋体" w:cs="宋体"/>
          <w:color w:val="auto"/>
          <w:kern w:val="0"/>
          <w:sz w:val="24"/>
          <w:szCs w:val="24"/>
          <w:highlight w:val="none"/>
        </w:rPr>
        <w:br w:type="textWrapping"/>
      </w:r>
    </w:p>
    <w:p>
      <w:pPr>
        <w:pStyle w:val="8"/>
        <w:spacing w:line="360" w:lineRule="auto"/>
        <w:outlineLvl w:val="9"/>
        <w:rPr>
          <w:rFonts w:hint="eastAsia" w:ascii="宋体" w:hAnsi="宋体" w:eastAsia="宋体" w:cs="宋体"/>
          <w:color w:val="auto"/>
          <w:sz w:val="24"/>
          <w:szCs w:val="24"/>
          <w:highlight w:val="none"/>
        </w:rPr>
      </w:pPr>
    </w:p>
    <w:p>
      <w:pPr>
        <w:widowControl/>
        <w:numPr>
          <w:ilvl w:val="0"/>
          <w:numId w:val="0"/>
        </w:numPr>
        <w:tabs>
          <w:tab w:val="left" w:pos="8520"/>
        </w:tabs>
        <w:spacing w:line="360" w:lineRule="auto"/>
        <w:ind w:leftChars="1700" w:right="345" w:rightChars="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eastAsia="zh-CN"/>
        </w:rPr>
        <w:t>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标</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人</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（盖章）</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全权代表：</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（签字）</w:t>
      </w:r>
    </w:p>
    <w:p>
      <w:pPr>
        <w:widowControl/>
        <w:tabs>
          <w:tab w:val="left" w:pos="8520"/>
        </w:tabs>
        <w:spacing w:line="360" w:lineRule="auto"/>
        <w:ind w:leftChars="1700" w:right="345"/>
        <w:outlineLvl w:val="9"/>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地</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址：</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p>
    <w:p>
      <w:pPr>
        <w:widowControl/>
        <w:tabs>
          <w:tab w:val="left" w:pos="8520"/>
        </w:tabs>
        <w:spacing w:line="360" w:lineRule="auto"/>
        <w:ind w:leftChars="1700" w:right="345"/>
        <w:outlineLvl w:val="9"/>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邮    编：</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p>
    <w:p>
      <w:pPr>
        <w:widowControl/>
        <w:tabs>
          <w:tab w:val="left" w:pos="8520"/>
        </w:tabs>
        <w:spacing w:line="360" w:lineRule="auto"/>
        <w:ind w:leftChars="1700" w:right="345"/>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话：</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p>
    <w:p>
      <w:pPr>
        <w:tabs>
          <w:tab w:val="left" w:pos="8520"/>
        </w:tabs>
        <w:spacing w:line="360" w:lineRule="auto"/>
        <w:ind w:right="345" w:firstLine="5880" w:firstLineChars="2450"/>
        <w:outlineLvl w:val="9"/>
        <w:rPr>
          <w:rFonts w:hint="eastAsia" w:ascii="宋体" w:hAnsi="宋体" w:eastAsia="宋体" w:cs="宋体"/>
          <w:color w:val="auto"/>
          <w:kern w:val="0"/>
          <w:sz w:val="24"/>
          <w:szCs w:val="24"/>
          <w:highlight w:val="none"/>
        </w:rPr>
      </w:pPr>
    </w:p>
    <w:p>
      <w:pPr>
        <w:tabs>
          <w:tab w:val="left" w:pos="8520"/>
        </w:tabs>
        <w:spacing w:line="360" w:lineRule="auto"/>
        <w:ind w:right="345" w:firstLine="5880" w:firstLineChars="2450"/>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日</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2" w:firstLineChars="200"/>
        <w:jc w:val="center"/>
        <w:textAlignment w:val="auto"/>
        <w:outlineLvl w:val="9"/>
        <w:rPr>
          <w:rStyle w:val="41"/>
          <w:rFonts w:hint="eastAsia" w:ascii="宋体" w:hAnsi="宋体" w:eastAsia="宋体" w:cs="宋体"/>
          <w:color w:val="auto"/>
          <w:sz w:val="24"/>
          <w:szCs w:val="24"/>
          <w:highlight w:val="none"/>
          <w:lang w:eastAsia="zh-CN"/>
        </w:rPr>
      </w:pPr>
      <w:bookmarkStart w:id="572" w:name="_Toc31942"/>
      <w:r>
        <w:rPr>
          <w:rStyle w:val="41"/>
          <w:rFonts w:hint="eastAsia" w:ascii="宋体" w:hAnsi="宋体" w:eastAsia="宋体" w:cs="宋体"/>
          <w:color w:val="auto"/>
          <w:sz w:val="24"/>
          <w:szCs w:val="24"/>
          <w:highlight w:val="none"/>
          <w:lang w:eastAsia="zh-CN"/>
        </w:rPr>
        <w:br w:type="page"/>
      </w:r>
    </w:p>
    <w:p>
      <w:pPr>
        <w:keepNext w:val="0"/>
        <w:keepLines w:val="0"/>
        <w:pageBreakBefore w:val="0"/>
        <w:widowControl/>
        <w:numPr>
          <w:ilvl w:val="0"/>
          <w:numId w:val="0"/>
        </w:numPr>
        <w:kinsoku/>
        <w:wordWrap/>
        <w:overflowPunct/>
        <w:topLinePunct w:val="0"/>
        <w:autoSpaceDE/>
        <w:autoSpaceDN/>
        <w:bidi w:val="0"/>
        <w:adjustRightInd/>
        <w:snapToGrid/>
        <w:spacing w:after="159" w:afterLines="50" w:afterAutospacing="0" w:line="360" w:lineRule="auto"/>
        <w:ind w:right="0" w:rightChars="0"/>
        <w:jc w:val="center"/>
        <w:textAlignment w:val="auto"/>
        <w:outlineLvl w:val="9"/>
        <w:rPr>
          <w:rStyle w:val="41"/>
          <w:rFonts w:hint="eastAsia" w:ascii="宋体" w:hAnsi="宋体" w:eastAsia="宋体" w:cs="宋体"/>
          <w:color w:val="auto"/>
          <w:sz w:val="28"/>
          <w:szCs w:val="28"/>
          <w:highlight w:val="none"/>
          <w:lang w:eastAsia="zh-CN"/>
        </w:rPr>
      </w:pPr>
      <w:bookmarkStart w:id="573" w:name="_Toc23563"/>
      <w:r>
        <w:rPr>
          <w:rStyle w:val="41"/>
          <w:rFonts w:hint="eastAsia" w:ascii="宋体" w:hAnsi="宋体" w:eastAsia="宋体" w:cs="宋体"/>
          <w:color w:val="auto"/>
          <w:sz w:val="28"/>
          <w:szCs w:val="28"/>
          <w:highlight w:val="none"/>
          <w:lang w:eastAsia="zh-CN"/>
        </w:rPr>
        <w:t>六、供应商资格证明文件</w:t>
      </w:r>
    </w:p>
    <w:bookmarkEnd w:id="572"/>
    <w:bookmarkEnd w:id="573"/>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Style w:val="41"/>
          <w:rFonts w:hint="eastAsia" w:ascii="宋体" w:hAnsi="宋体" w:eastAsia="宋体" w:cs="宋体"/>
          <w:color w:val="auto"/>
          <w:sz w:val="28"/>
          <w:szCs w:val="28"/>
          <w:highlight w:val="none"/>
        </w:rPr>
      </w:pPr>
      <w:bookmarkStart w:id="574" w:name="_Toc31780"/>
      <w:bookmarkStart w:id="575" w:name="_Toc17741"/>
      <w:bookmarkStart w:id="576" w:name="_Toc3910"/>
      <w:bookmarkStart w:id="577" w:name="_Toc108"/>
      <w:bookmarkStart w:id="578" w:name="_Toc26198"/>
      <w:bookmarkStart w:id="579" w:name="_Toc24671"/>
      <w:r>
        <w:rPr>
          <w:rStyle w:val="41"/>
          <w:rFonts w:hint="eastAsia" w:ascii="宋体" w:hAnsi="宋体" w:eastAsia="宋体" w:cs="宋体"/>
          <w:color w:val="auto"/>
          <w:sz w:val="28"/>
          <w:szCs w:val="28"/>
          <w:highlight w:val="none"/>
          <w:lang w:eastAsia="zh-CN"/>
        </w:rPr>
        <w:t>（一）</w:t>
      </w:r>
      <w:r>
        <w:rPr>
          <w:rStyle w:val="41"/>
          <w:rFonts w:hint="eastAsia" w:ascii="宋体" w:hAnsi="宋体" w:eastAsia="宋体" w:cs="宋体"/>
          <w:color w:val="auto"/>
          <w:sz w:val="28"/>
          <w:szCs w:val="28"/>
          <w:highlight w:val="none"/>
        </w:rPr>
        <w:t>供应商符合《政府采购法》第二十二条规定条件的</w:t>
      </w:r>
      <w:bookmarkEnd w:id="574"/>
      <w:bookmarkEnd w:id="575"/>
      <w:bookmarkEnd w:id="576"/>
      <w:bookmarkEnd w:id="577"/>
      <w:bookmarkEnd w:id="578"/>
      <w:bookmarkStart w:id="580" w:name="_Toc26072"/>
      <w:bookmarkStart w:id="581" w:name="_Toc8085"/>
      <w:bookmarkStart w:id="582" w:name="_Toc6167"/>
    </w:p>
    <w:bookmarkEnd w:id="579"/>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承诺函</w:t>
      </w:r>
      <w:bookmarkEnd w:id="580"/>
      <w:bookmarkEnd w:id="581"/>
      <w:bookmarkEnd w:id="582"/>
    </w:p>
    <w:p>
      <w:pPr>
        <w:keepNext w:val="0"/>
        <w:keepLines w:val="0"/>
        <w:pageBreakBefore w:val="0"/>
        <w:widowControl/>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致：</w:t>
      </w:r>
      <w:r>
        <w:rPr>
          <w:rFonts w:hint="eastAsia" w:ascii="宋体" w:hAnsi="宋体" w:cs="宋体"/>
          <w:b/>
          <w:bCs/>
          <w:color w:val="auto"/>
          <w:sz w:val="24"/>
          <w:szCs w:val="24"/>
          <w:highlight w:val="none"/>
          <w:lang w:eastAsia="zh-CN"/>
        </w:rPr>
        <w:t>致君项目管理有限公司</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全称)参加</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lang w:eastAsia="zh-CN"/>
        </w:rPr>
        <w:t>、采购项目编号）</w:t>
      </w:r>
      <w:r>
        <w:rPr>
          <w:rFonts w:hint="eastAsia" w:ascii="宋体" w:hAnsi="宋体" w:eastAsia="宋体" w:cs="宋体"/>
          <w:color w:val="auto"/>
          <w:sz w:val="24"/>
          <w:szCs w:val="24"/>
          <w:highlight w:val="none"/>
        </w:rPr>
        <w:t>的采购活动，现承诺：</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我公司满足政府采购法第二十二条关于供应商的资格要求：</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（一）具有独立承担民事责任的能力； </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（二）具有良好的商业信誉和健全的财务会计制度； </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（三）具有履行合同所必需的设备和专业技术能力； </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（四）有依法交纳税收和社会保障资金的良好记录； </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（五）参加政府采购活动前三年内，在经营活动中没有重大违法记录。 </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同时也满足本项目法律法规规章规定关于供应商的其他资格性条件，未参与本采购项目前期咨询论证，不属于禁止参加投标的供应商。</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如违反以上承诺，本公司愿承担一切法律责任。</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（公章）</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2400" w:firstLineChars="1000"/>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法定代表人或授权代表签字：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keepNext w:val="0"/>
        <w:keepLines w:val="0"/>
        <w:pageBreakBefore w:val="0"/>
        <w:widowControl/>
        <w:kinsoku/>
        <w:wordWrap/>
        <w:overflowPunct/>
        <w:topLinePunct w:val="0"/>
        <w:autoSpaceDE/>
        <w:autoSpaceDN/>
        <w:bidi w:val="0"/>
        <w:adjustRightInd/>
        <w:snapToGrid/>
        <w:spacing w:line="360" w:lineRule="auto"/>
        <w:ind w:right="0" w:rightChars="0" w:firstLine="6240" w:firstLineChars="26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widowControl/>
        <w:wordWrap w:val="0"/>
        <w:spacing w:line="360" w:lineRule="auto"/>
        <w:ind w:right="-197" w:rightChars="-94"/>
        <w:jc w:val="left"/>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br w:type="page"/>
      </w: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bookmarkStart w:id="583" w:name="_Toc1515"/>
      <w:bookmarkStart w:id="584" w:name="_Toc1788"/>
      <w:bookmarkStart w:id="585" w:name="_Toc10042"/>
      <w:bookmarkStart w:id="586" w:name="_Toc26117"/>
      <w:bookmarkStart w:id="587" w:name="_Toc9220"/>
      <w:bookmarkStart w:id="588" w:name="_Toc15163"/>
      <w:r>
        <w:rPr>
          <w:rStyle w:val="41"/>
          <w:rFonts w:hint="eastAsia" w:ascii="宋体" w:hAnsi="宋体" w:eastAsia="宋体" w:cs="宋体"/>
          <w:color w:val="auto"/>
          <w:sz w:val="28"/>
          <w:szCs w:val="28"/>
          <w:highlight w:val="none"/>
          <w:lang w:val="zh-CN" w:eastAsia="zh-CN"/>
        </w:rPr>
        <w:t>（二）其他资格证明文件</w:t>
      </w:r>
    </w:p>
    <w:bookmarkEnd w:id="583"/>
    <w:p>
      <w:pPr>
        <w:widowControl/>
        <w:wordWrap w:val="0"/>
        <w:spacing w:line="360" w:lineRule="auto"/>
        <w:ind w:right="-197" w:rightChars="-94" w:firstLine="480" w:firstLineChars="200"/>
        <w:jc w:val="left"/>
        <w:outlineLvl w:val="9"/>
        <w:rPr>
          <w:rStyle w:val="41"/>
          <w:rFonts w:hint="eastAsia" w:ascii="宋体" w:hAnsi="宋体" w:eastAsia="宋体" w:cs="宋体"/>
          <w:b w:val="0"/>
          <w:bCs/>
          <w:color w:val="auto"/>
          <w:sz w:val="24"/>
          <w:szCs w:val="24"/>
          <w:highlight w:val="none"/>
          <w:lang w:val="zh-CN" w:eastAsia="zh-CN"/>
        </w:rPr>
      </w:pPr>
      <w:bookmarkStart w:id="589" w:name="_Toc20959"/>
      <w:r>
        <w:rPr>
          <w:rStyle w:val="41"/>
          <w:rFonts w:hint="eastAsia" w:ascii="宋体" w:hAnsi="宋体" w:eastAsia="宋体" w:cs="宋体"/>
          <w:b w:val="0"/>
          <w:bCs/>
          <w:color w:val="auto"/>
          <w:sz w:val="24"/>
          <w:szCs w:val="24"/>
          <w:highlight w:val="none"/>
          <w:lang w:val="zh-CN" w:eastAsia="zh-CN"/>
        </w:rPr>
        <w:t>附相关证件。</w:t>
      </w:r>
    </w:p>
    <w:bookmarkEnd w:id="589"/>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p>
      <w:pPr>
        <w:widowControl/>
        <w:wordWrap w:val="0"/>
        <w:spacing w:line="360" w:lineRule="auto"/>
        <w:ind w:right="-197" w:rightChars="-94"/>
        <w:jc w:val="center"/>
        <w:outlineLvl w:val="9"/>
        <w:rPr>
          <w:rStyle w:val="41"/>
          <w:rFonts w:hint="eastAsia" w:ascii="宋体" w:hAnsi="宋体" w:eastAsia="宋体" w:cs="宋体"/>
          <w:color w:val="auto"/>
          <w:sz w:val="28"/>
          <w:szCs w:val="28"/>
          <w:highlight w:val="none"/>
          <w:lang w:val="zh-CN" w:eastAsia="zh-CN"/>
        </w:rPr>
      </w:pPr>
    </w:p>
    <w:bookmarkEnd w:id="584"/>
    <w:bookmarkEnd w:id="585"/>
    <w:bookmarkEnd w:id="586"/>
    <w:bookmarkEnd w:id="587"/>
    <w:bookmarkEnd w:id="588"/>
    <w:p>
      <w:pPr>
        <w:widowControl/>
        <w:wordWrap w:val="0"/>
        <w:spacing w:line="360" w:lineRule="auto"/>
        <w:ind w:right="-197" w:rightChars="-94"/>
        <w:jc w:val="both"/>
        <w:outlineLvl w:val="9"/>
        <w:rPr>
          <w:rFonts w:hint="eastAsia" w:ascii="宋体" w:hAnsi="宋体" w:eastAsia="宋体" w:cs="宋体"/>
          <w:b/>
          <w:color w:val="auto"/>
          <w:sz w:val="28"/>
          <w:szCs w:val="28"/>
          <w:highlight w:val="none"/>
          <w:lang w:val="en-US" w:eastAsia="zh-CN"/>
        </w:rPr>
      </w:pPr>
      <w:r>
        <w:rPr>
          <w:rFonts w:hint="eastAsia" w:ascii="宋体" w:hAnsi="宋体" w:eastAsia="宋体" w:cs="宋体"/>
          <w:b/>
          <w:bCs/>
          <w:color w:val="auto"/>
          <w:kern w:val="0"/>
          <w:sz w:val="30"/>
          <w:szCs w:val="30"/>
          <w:highlight w:val="none"/>
          <w:lang w:eastAsia="zh-CN"/>
        </w:rPr>
        <w:br w:type="page"/>
      </w:r>
      <w:bookmarkStart w:id="590" w:name="_Toc7844"/>
      <w:r>
        <w:rPr>
          <w:rFonts w:hint="eastAsia" w:ascii="宋体" w:hAnsi="宋体" w:cs="宋体"/>
          <w:b/>
          <w:bCs/>
          <w:color w:val="auto"/>
          <w:kern w:val="2"/>
          <w:sz w:val="28"/>
          <w:szCs w:val="28"/>
          <w:highlight w:val="none"/>
          <w:lang w:val="en-US" w:eastAsia="zh-CN" w:bidi="ar-SA"/>
        </w:rPr>
        <w:t>七</w:t>
      </w:r>
      <w:r>
        <w:rPr>
          <w:rFonts w:hint="eastAsia" w:ascii="宋体" w:hAnsi="宋体" w:eastAsia="宋体" w:cs="宋体"/>
          <w:b/>
          <w:bCs/>
          <w:color w:val="auto"/>
          <w:kern w:val="2"/>
          <w:sz w:val="28"/>
          <w:szCs w:val="28"/>
          <w:highlight w:val="none"/>
          <w:lang w:val="en-US" w:eastAsia="zh-CN" w:bidi="ar-SA"/>
        </w:rPr>
        <w:t>、供应商相关或类似项目业绩一览表</w:t>
      </w:r>
      <w:bookmarkEnd w:id="590"/>
    </w:p>
    <w:p>
      <w:pPr>
        <w:pStyle w:val="8"/>
        <w:numPr>
          <w:ilvl w:val="0"/>
          <w:numId w:val="0"/>
        </w:numPr>
        <w:spacing w:beforeAutospacing="0"/>
        <w:outlineLvl w:val="9"/>
        <w:rPr>
          <w:rFonts w:hint="eastAsia" w:ascii="宋体" w:hAnsi="宋体" w:eastAsia="宋体" w:cs="宋体"/>
          <w:color w:val="auto"/>
          <w:highlight w:val="none"/>
          <w:lang w:eastAsia="zh-CN"/>
        </w:rPr>
      </w:pPr>
    </w:p>
    <w:tbl>
      <w:tblPr>
        <w:tblStyle w:val="18"/>
        <w:tblW w:w="9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2545"/>
        <w:gridCol w:w="1320"/>
        <w:gridCol w:w="1410"/>
        <w:gridCol w:w="1155"/>
        <w:gridCol w:w="1520"/>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718" w:type="dxa"/>
            <w:noWrap w:val="0"/>
            <w:vAlign w:val="center"/>
          </w:tcPr>
          <w:p>
            <w:pPr>
              <w:jc w:val="center"/>
              <w:outlineLvl w:val="9"/>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序号</w:t>
            </w:r>
          </w:p>
        </w:tc>
        <w:tc>
          <w:tcPr>
            <w:tcW w:w="2545" w:type="dxa"/>
            <w:noWrap w:val="0"/>
            <w:vAlign w:val="center"/>
          </w:tcPr>
          <w:p>
            <w:pPr>
              <w:jc w:val="center"/>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项目</w:t>
            </w:r>
            <w:r>
              <w:rPr>
                <w:rFonts w:hint="eastAsia" w:ascii="宋体" w:hAnsi="宋体" w:eastAsia="宋体" w:cs="宋体"/>
                <w:b/>
                <w:bCs/>
                <w:color w:val="auto"/>
                <w:sz w:val="24"/>
                <w:szCs w:val="24"/>
                <w:highlight w:val="none"/>
              </w:rPr>
              <w:t>名称</w:t>
            </w:r>
          </w:p>
        </w:tc>
        <w:tc>
          <w:tcPr>
            <w:tcW w:w="1320" w:type="dxa"/>
            <w:noWrap w:val="0"/>
            <w:vAlign w:val="center"/>
          </w:tcPr>
          <w:p>
            <w:pPr>
              <w:jc w:val="center"/>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合同金额</w:t>
            </w:r>
          </w:p>
        </w:tc>
        <w:tc>
          <w:tcPr>
            <w:tcW w:w="1410" w:type="dxa"/>
            <w:noWrap w:val="0"/>
            <w:vAlign w:val="center"/>
          </w:tcPr>
          <w:p>
            <w:pPr>
              <w:jc w:val="center"/>
              <w:outlineLvl w:val="9"/>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开工时间</w:t>
            </w:r>
          </w:p>
        </w:tc>
        <w:tc>
          <w:tcPr>
            <w:tcW w:w="1155" w:type="dxa"/>
            <w:noWrap w:val="0"/>
            <w:vAlign w:val="center"/>
          </w:tcPr>
          <w:p>
            <w:pPr>
              <w:jc w:val="center"/>
              <w:outlineLvl w:val="9"/>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完工时间</w:t>
            </w:r>
          </w:p>
        </w:tc>
        <w:tc>
          <w:tcPr>
            <w:tcW w:w="1520" w:type="dxa"/>
            <w:noWrap w:val="0"/>
            <w:vAlign w:val="center"/>
          </w:tcPr>
          <w:p>
            <w:pPr>
              <w:jc w:val="center"/>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完成项目质量</w:t>
            </w:r>
          </w:p>
        </w:tc>
        <w:tc>
          <w:tcPr>
            <w:tcW w:w="812" w:type="dxa"/>
            <w:noWrap w:val="0"/>
            <w:vAlign w:val="center"/>
          </w:tcPr>
          <w:p>
            <w:pPr>
              <w:jc w:val="center"/>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exact"/>
          <w:jc w:val="center"/>
        </w:trPr>
        <w:tc>
          <w:tcPr>
            <w:tcW w:w="718" w:type="dxa"/>
            <w:noWrap w:val="0"/>
            <w:vAlign w:val="center"/>
          </w:tcPr>
          <w:p>
            <w:pPr>
              <w:jc w:val="center"/>
              <w:outlineLvl w:val="9"/>
              <w:rPr>
                <w:rFonts w:hint="eastAsia" w:ascii="宋体" w:hAnsi="宋体" w:eastAsia="宋体" w:cs="宋体"/>
                <w:color w:val="auto"/>
                <w:sz w:val="24"/>
                <w:szCs w:val="24"/>
                <w:highlight w:val="none"/>
              </w:rPr>
            </w:pPr>
          </w:p>
        </w:tc>
        <w:tc>
          <w:tcPr>
            <w:tcW w:w="2545" w:type="dxa"/>
            <w:noWrap w:val="0"/>
            <w:vAlign w:val="center"/>
          </w:tcPr>
          <w:p>
            <w:pPr>
              <w:jc w:val="center"/>
              <w:outlineLvl w:val="9"/>
              <w:rPr>
                <w:rFonts w:hint="eastAsia" w:ascii="宋体" w:hAnsi="宋体" w:eastAsia="宋体" w:cs="宋体"/>
                <w:color w:val="auto"/>
                <w:sz w:val="24"/>
                <w:szCs w:val="24"/>
                <w:highlight w:val="none"/>
              </w:rPr>
            </w:pPr>
          </w:p>
        </w:tc>
        <w:tc>
          <w:tcPr>
            <w:tcW w:w="1320" w:type="dxa"/>
            <w:noWrap w:val="0"/>
            <w:vAlign w:val="center"/>
          </w:tcPr>
          <w:p>
            <w:pPr>
              <w:jc w:val="center"/>
              <w:outlineLvl w:val="9"/>
              <w:rPr>
                <w:rFonts w:hint="eastAsia" w:ascii="宋体" w:hAnsi="宋体" w:eastAsia="宋体" w:cs="宋体"/>
                <w:color w:val="auto"/>
                <w:sz w:val="24"/>
                <w:szCs w:val="24"/>
                <w:highlight w:val="none"/>
              </w:rPr>
            </w:pPr>
          </w:p>
        </w:tc>
        <w:tc>
          <w:tcPr>
            <w:tcW w:w="1410" w:type="dxa"/>
            <w:noWrap w:val="0"/>
            <w:vAlign w:val="center"/>
          </w:tcPr>
          <w:p>
            <w:pPr>
              <w:jc w:val="center"/>
              <w:outlineLvl w:val="9"/>
              <w:rPr>
                <w:rFonts w:hint="eastAsia" w:ascii="宋体" w:hAnsi="宋体" w:eastAsia="宋体" w:cs="宋体"/>
                <w:color w:val="auto"/>
                <w:sz w:val="24"/>
                <w:szCs w:val="24"/>
                <w:highlight w:val="none"/>
              </w:rPr>
            </w:pPr>
          </w:p>
        </w:tc>
        <w:tc>
          <w:tcPr>
            <w:tcW w:w="1155" w:type="dxa"/>
            <w:noWrap w:val="0"/>
            <w:vAlign w:val="center"/>
          </w:tcPr>
          <w:p>
            <w:pPr>
              <w:jc w:val="center"/>
              <w:outlineLvl w:val="9"/>
              <w:rPr>
                <w:rFonts w:hint="eastAsia" w:ascii="宋体" w:hAnsi="宋体" w:eastAsia="宋体" w:cs="宋体"/>
                <w:color w:val="auto"/>
                <w:sz w:val="24"/>
                <w:szCs w:val="24"/>
                <w:highlight w:val="none"/>
              </w:rPr>
            </w:pPr>
          </w:p>
        </w:tc>
        <w:tc>
          <w:tcPr>
            <w:tcW w:w="1520" w:type="dxa"/>
            <w:noWrap w:val="0"/>
            <w:vAlign w:val="center"/>
          </w:tcPr>
          <w:p>
            <w:pPr>
              <w:jc w:val="center"/>
              <w:outlineLvl w:val="9"/>
              <w:rPr>
                <w:rFonts w:hint="eastAsia" w:ascii="宋体" w:hAnsi="宋体" w:eastAsia="宋体" w:cs="宋体"/>
                <w:color w:val="auto"/>
                <w:sz w:val="24"/>
                <w:szCs w:val="24"/>
                <w:highlight w:val="none"/>
              </w:rPr>
            </w:pPr>
          </w:p>
        </w:tc>
        <w:tc>
          <w:tcPr>
            <w:tcW w:w="812" w:type="dxa"/>
            <w:noWrap w:val="0"/>
            <w:vAlign w:val="center"/>
          </w:tcPr>
          <w:p>
            <w:pPr>
              <w:jc w:val="center"/>
              <w:outlineLvl w:val="9"/>
              <w:rPr>
                <w:rFonts w:hint="eastAsia" w:ascii="宋体" w:hAnsi="宋体" w:eastAsia="宋体" w:cs="宋体"/>
                <w:color w:val="auto"/>
                <w:sz w:val="24"/>
                <w:szCs w:val="24"/>
                <w:highlight w:val="none"/>
              </w:rPr>
            </w:pPr>
          </w:p>
        </w:tc>
      </w:tr>
    </w:tbl>
    <w:p>
      <w:pPr>
        <w:spacing w:line="360" w:lineRule="auto"/>
        <w:jc w:val="left"/>
        <w:outlineLvl w:val="9"/>
        <w:rPr>
          <w:rFonts w:hint="eastAsia" w:ascii="宋体" w:hAnsi="宋体" w:eastAsia="宋体" w:cs="宋体"/>
          <w:color w:val="auto"/>
          <w:sz w:val="24"/>
          <w:szCs w:val="24"/>
          <w:highlight w:val="none"/>
          <w:lang w:eastAsia="zh-CN"/>
        </w:rPr>
      </w:pPr>
    </w:p>
    <w:p>
      <w:pPr>
        <w:spacing w:line="360" w:lineRule="auto"/>
        <w:jc w:val="left"/>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注：供应商提供</w:t>
      </w:r>
      <w:r>
        <w:rPr>
          <w:rFonts w:hint="eastAsia" w:ascii="宋体" w:hAnsi="宋体" w:cs="宋体"/>
          <w:b/>
          <w:bCs/>
          <w:color w:val="auto"/>
          <w:sz w:val="24"/>
          <w:szCs w:val="24"/>
          <w:highlight w:val="none"/>
          <w:lang w:val="en-US" w:eastAsia="zh-CN"/>
        </w:rPr>
        <w:t>2018年3月至今的</w:t>
      </w:r>
      <w:r>
        <w:rPr>
          <w:rFonts w:hint="eastAsia" w:ascii="宋体" w:hAnsi="宋体" w:eastAsia="宋体" w:cs="宋体"/>
          <w:b/>
          <w:bCs/>
          <w:color w:val="auto"/>
          <w:sz w:val="24"/>
          <w:szCs w:val="24"/>
          <w:highlight w:val="none"/>
          <w:lang w:eastAsia="zh-CN"/>
        </w:rPr>
        <w:t>合同</w:t>
      </w:r>
      <w:r>
        <w:rPr>
          <w:rFonts w:hint="eastAsia" w:ascii="宋体" w:hAnsi="宋体" w:cs="宋体"/>
          <w:b/>
          <w:bCs/>
          <w:color w:val="auto"/>
          <w:sz w:val="24"/>
          <w:szCs w:val="24"/>
          <w:highlight w:val="none"/>
          <w:lang w:eastAsia="zh-CN"/>
        </w:rPr>
        <w:t>或中标通知书</w:t>
      </w:r>
      <w:r>
        <w:rPr>
          <w:rFonts w:hint="eastAsia" w:ascii="宋体" w:hAnsi="宋体" w:eastAsia="宋体" w:cs="宋体"/>
          <w:b/>
          <w:bCs/>
          <w:color w:val="auto"/>
          <w:sz w:val="24"/>
          <w:szCs w:val="24"/>
          <w:highlight w:val="none"/>
          <w:lang w:eastAsia="zh-CN"/>
        </w:rPr>
        <w:t>复印件。</w:t>
      </w:r>
    </w:p>
    <w:p>
      <w:pPr>
        <w:numPr>
          <w:ilvl w:val="0"/>
          <w:numId w:val="0"/>
        </w:numPr>
        <w:jc w:val="center"/>
        <w:outlineLvl w:val="9"/>
        <w:rPr>
          <w:rStyle w:val="41"/>
          <w:rFonts w:hint="eastAsia" w:ascii="宋体" w:hAnsi="宋体" w:cs="宋体"/>
          <w:b/>
          <w:color w:val="auto"/>
          <w:sz w:val="28"/>
          <w:szCs w:val="28"/>
          <w:highlight w:val="none"/>
          <w:lang w:val="en-US" w:eastAsia="zh-CN"/>
        </w:rPr>
      </w:pPr>
      <w:r>
        <w:rPr>
          <w:rFonts w:hint="eastAsia" w:ascii="宋体" w:hAnsi="宋体" w:eastAsia="宋体" w:cs="宋体"/>
          <w:b/>
          <w:color w:val="auto"/>
          <w:sz w:val="28"/>
          <w:szCs w:val="28"/>
          <w:highlight w:val="none"/>
        </w:rPr>
        <w:br w:type="page"/>
      </w:r>
      <w:bookmarkStart w:id="591" w:name="_Toc19229"/>
      <w:r>
        <w:rPr>
          <w:rFonts w:hint="eastAsia" w:ascii="宋体" w:hAnsi="宋体" w:cs="宋体"/>
          <w:b/>
          <w:color w:val="auto"/>
          <w:sz w:val="28"/>
          <w:szCs w:val="28"/>
          <w:highlight w:val="none"/>
          <w:lang w:eastAsia="zh-CN"/>
        </w:rPr>
        <w:t>八、</w:t>
      </w:r>
      <w:r>
        <w:rPr>
          <w:rStyle w:val="41"/>
          <w:rFonts w:hint="eastAsia" w:ascii="宋体" w:hAnsi="宋体" w:cs="宋体"/>
          <w:b/>
          <w:color w:val="auto"/>
          <w:sz w:val="28"/>
          <w:szCs w:val="28"/>
          <w:highlight w:val="none"/>
          <w:lang w:val="en-US" w:eastAsia="zh-CN"/>
        </w:rPr>
        <w:t>财务证明文件</w:t>
      </w:r>
    </w:p>
    <w:p>
      <w:pPr>
        <w:numPr>
          <w:ilvl w:val="0"/>
          <w:numId w:val="0"/>
        </w:numPr>
        <w:jc w:val="both"/>
        <w:outlineLvl w:val="9"/>
        <w:rPr>
          <w:rStyle w:val="41"/>
          <w:rFonts w:hint="eastAsia" w:ascii="宋体" w:hAnsi="宋体" w:eastAsia="宋体" w:cs="宋体"/>
          <w:b/>
          <w:color w:val="auto"/>
          <w:sz w:val="28"/>
          <w:szCs w:val="28"/>
          <w:highlight w:val="none"/>
          <w:lang w:val="en-US" w:eastAsia="zh-CN"/>
        </w:rPr>
      </w:pPr>
      <w:r>
        <w:rPr>
          <w:rStyle w:val="41"/>
          <w:rFonts w:hint="eastAsia" w:ascii="宋体" w:hAnsi="宋体" w:eastAsia="宋体" w:cs="宋体"/>
          <w:b/>
          <w:color w:val="auto"/>
          <w:sz w:val="28"/>
          <w:szCs w:val="28"/>
          <w:highlight w:val="none"/>
          <w:lang w:val="en-US" w:eastAsia="zh-CN"/>
        </w:rPr>
        <w:br w:type="textWrapping"/>
      </w:r>
    </w:p>
    <w:p>
      <w:pPr>
        <w:jc w:val="center"/>
        <w:outlineLvl w:val="9"/>
        <w:rPr>
          <w:rStyle w:val="41"/>
          <w:rFonts w:hint="eastAsia" w:ascii="宋体" w:hAnsi="宋体" w:eastAsia="宋体" w:cs="宋体"/>
          <w:b/>
          <w:color w:val="auto"/>
          <w:sz w:val="28"/>
          <w:szCs w:val="28"/>
          <w:highlight w:val="none"/>
          <w:lang w:val="en-US" w:eastAsia="zh-CN"/>
        </w:rPr>
      </w:pPr>
      <w:r>
        <w:rPr>
          <w:rStyle w:val="41"/>
          <w:rFonts w:hint="eastAsia" w:ascii="宋体" w:hAnsi="宋体" w:eastAsia="宋体" w:cs="宋体"/>
          <w:b/>
          <w:color w:val="auto"/>
          <w:sz w:val="28"/>
          <w:szCs w:val="28"/>
          <w:highlight w:val="none"/>
          <w:lang w:val="en-US" w:eastAsia="zh-CN"/>
        </w:rPr>
        <w:br w:type="page"/>
      </w:r>
    </w:p>
    <w:p>
      <w:pPr>
        <w:numPr>
          <w:ilvl w:val="0"/>
          <w:numId w:val="9"/>
        </w:numPr>
        <w:jc w:val="center"/>
        <w:outlineLvl w:val="9"/>
        <w:rPr>
          <w:rStyle w:val="41"/>
          <w:rFonts w:hint="eastAsia" w:ascii="宋体" w:hAnsi="宋体" w:cs="宋体"/>
          <w:b/>
          <w:color w:val="auto"/>
          <w:sz w:val="28"/>
          <w:szCs w:val="28"/>
          <w:highlight w:val="none"/>
          <w:lang w:val="en-US" w:eastAsia="zh-CN"/>
        </w:rPr>
      </w:pPr>
      <w:r>
        <w:rPr>
          <w:rStyle w:val="41"/>
          <w:rFonts w:hint="eastAsia" w:ascii="宋体" w:hAnsi="宋体" w:cs="宋体"/>
          <w:b/>
          <w:color w:val="auto"/>
          <w:sz w:val="28"/>
          <w:szCs w:val="28"/>
          <w:highlight w:val="none"/>
          <w:lang w:val="en-US" w:eastAsia="zh-CN"/>
        </w:rPr>
        <w:t>施工组织设计</w:t>
      </w:r>
    </w:p>
    <w:p>
      <w:pPr>
        <w:keepNext/>
        <w:keepLines/>
        <w:numPr>
          <w:ilvl w:val="0"/>
          <w:numId w:val="0"/>
        </w:numPr>
        <w:spacing w:beforeAutospacing="0" w:after="156" w:afterLines="50"/>
        <w:jc w:val="center"/>
        <w:outlineLvl w:val="9"/>
        <w:rPr>
          <w:rFonts w:hint="eastAsia" w:ascii="宋体" w:hAnsi="宋体" w:eastAsia="宋体" w:cs="宋体"/>
          <w:b/>
          <w:bCs/>
          <w:color w:val="auto"/>
          <w:sz w:val="28"/>
          <w:szCs w:val="28"/>
          <w:highlight w:val="none"/>
        </w:rPr>
      </w:pPr>
      <w:bookmarkStart w:id="592" w:name="_Toc13814"/>
      <w:r>
        <w:rPr>
          <w:rFonts w:hint="eastAsia" w:ascii="宋体" w:hAnsi="宋体" w:eastAsia="宋体" w:cs="宋体"/>
          <w:b/>
          <w:bCs/>
          <w:color w:val="auto"/>
          <w:sz w:val="28"/>
          <w:szCs w:val="28"/>
          <w:highlight w:val="none"/>
        </w:rPr>
        <w:t>项目管理机构组成表</w:t>
      </w:r>
      <w:bookmarkEnd w:id="592"/>
    </w:p>
    <w:p>
      <w:pPr>
        <w:pStyle w:val="8"/>
        <w:keepNext w:val="0"/>
        <w:keepLines w:val="0"/>
        <w:pageBreakBefore w:val="0"/>
        <w:widowControl w:val="0"/>
        <w:kinsoku/>
        <w:wordWrap/>
        <w:overflowPunct/>
        <w:topLinePunct w:val="0"/>
        <w:autoSpaceDE/>
        <w:autoSpaceDN/>
        <w:bidi w:val="0"/>
        <w:adjustRightInd/>
        <w:snapToGrid/>
        <w:spacing w:after="0" w:afterAutospacing="0" w:line="360" w:lineRule="auto"/>
        <w:jc w:val="center"/>
        <w:textAlignment w:val="auto"/>
        <w:outlineLvl w:val="9"/>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highlight w:val="none"/>
          <w:lang w:eastAsia="zh-CN"/>
        </w:rPr>
        <w:t>（一）项目管理机构组成表</w:t>
      </w:r>
    </w:p>
    <w:tbl>
      <w:tblPr>
        <w:tblStyle w:val="18"/>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099"/>
        <w:gridCol w:w="1101"/>
        <w:gridCol w:w="1218"/>
        <w:gridCol w:w="982"/>
        <w:gridCol w:w="1101"/>
        <w:gridCol w:w="997"/>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vMerge w:val="restart"/>
            <w:noWrap w:val="0"/>
            <w:vAlign w:val="center"/>
          </w:tcPr>
          <w:p>
            <w:pPr>
              <w:pStyle w:val="8"/>
              <w:widowControl w:val="0"/>
              <w:numPr>
                <w:ilvl w:val="0"/>
                <w:numId w:val="0"/>
              </w:numPr>
              <w:spacing w:beforeAutospacing="0"/>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序号</w:t>
            </w:r>
          </w:p>
        </w:tc>
        <w:tc>
          <w:tcPr>
            <w:tcW w:w="1099" w:type="dxa"/>
            <w:vMerge w:val="restart"/>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姓名</w:t>
            </w:r>
          </w:p>
        </w:tc>
        <w:tc>
          <w:tcPr>
            <w:tcW w:w="1101" w:type="dxa"/>
            <w:vMerge w:val="restart"/>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职称</w:t>
            </w:r>
          </w:p>
        </w:tc>
        <w:tc>
          <w:tcPr>
            <w:tcW w:w="4298" w:type="dxa"/>
            <w:gridSpan w:val="4"/>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执业或职业资格证明</w:t>
            </w:r>
          </w:p>
        </w:tc>
        <w:tc>
          <w:tcPr>
            <w:tcW w:w="1201" w:type="dxa"/>
            <w:vMerge w:val="restart"/>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本项目担任职务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01" w:type="dxa"/>
            <w:vMerge w:val="continue"/>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vMerge w:val="continue"/>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vMerge w:val="continue"/>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证书名称</w:t>
            </w: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级别</w:t>
            </w: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证号</w:t>
            </w: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专业</w:t>
            </w:r>
          </w:p>
        </w:tc>
        <w:tc>
          <w:tcPr>
            <w:tcW w:w="1201" w:type="dxa"/>
            <w:vMerge w:val="continue"/>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099"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18"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82"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1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997"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c>
          <w:tcPr>
            <w:tcW w:w="1201" w:type="dxa"/>
            <w:noWrap w:val="0"/>
            <w:vAlign w:val="center"/>
          </w:tcPr>
          <w:p>
            <w:pPr>
              <w:pStyle w:val="8"/>
              <w:widowControl w:val="0"/>
              <w:numPr>
                <w:ilvl w:val="0"/>
                <w:numId w:val="0"/>
              </w:numPr>
              <w:jc w:val="center"/>
              <w:outlineLvl w:val="9"/>
              <w:rPr>
                <w:rFonts w:hint="eastAsia" w:ascii="宋体" w:hAnsi="宋体" w:eastAsia="宋体" w:cs="宋体"/>
                <w:color w:val="auto"/>
                <w:sz w:val="24"/>
                <w:szCs w:val="24"/>
                <w:vertAlign w:val="baseline"/>
              </w:rPr>
            </w:pPr>
          </w:p>
        </w:tc>
      </w:tr>
    </w:tbl>
    <w:p>
      <w:pPr>
        <w:pStyle w:val="8"/>
        <w:widowControl w:val="0"/>
        <w:numPr>
          <w:ilvl w:val="0"/>
          <w:numId w:val="0"/>
        </w:numPr>
        <w:jc w:val="left"/>
        <w:outlineLvl w:val="9"/>
        <w:rPr>
          <w:rFonts w:hint="eastAsia" w:ascii="宋体" w:hAnsi="宋体" w:eastAsia="宋体" w:cs="宋体"/>
          <w:color w:val="auto"/>
        </w:rPr>
      </w:pPr>
    </w:p>
    <w:p>
      <w:pPr>
        <w:pStyle w:val="8"/>
        <w:widowControl w:val="0"/>
        <w:numPr>
          <w:ilvl w:val="0"/>
          <w:numId w:val="0"/>
        </w:numPr>
        <w:jc w:val="left"/>
        <w:outlineLvl w:val="9"/>
        <w:rPr>
          <w:rFonts w:hint="eastAsia" w:ascii="宋体" w:hAnsi="宋体" w:eastAsia="宋体" w:cs="宋体"/>
          <w:color w:val="auto"/>
        </w:rPr>
      </w:pPr>
    </w:p>
    <w:p>
      <w:pPr>
        <w:keepNext w:val="0"/>
        <w:keepLines w:val="0"/>
        <w:pageBreakBefore w:val="0"/>
        <w:widowControl/>
        <w:kinsoku/>
        <w:wordWrap/>
        <w:overflowPunct/>
        <w:topLinePunct w:val="0"/>
        <w:autoSpaceDE/>
        <w:autoSpaceDN/>
        <w:bidi w:val="0"/>
        <w:adjustRightInd/>
        <w:snapToGrid/>
        <w:spacing w:line="360" w:lineRule="auto"/>
        <w:ind w:left="630" w:leftChars="300" w:right="0" w:rightChars="0" w:firstLine="2400" w:firstLineChars="1000"/>
        <w:jc w:val="left"/>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（公章）</w:t>
      </w:r>
    </w:p>
    <w:p>
      <w:pPr>
        <w:keepNext w:val="0"/>
        <w:keepLines w:val="0"/>
        <w:pageBreakBefore w:val="0"/>
        <w:widowControl/>
        <w:kinsoku/>
        <w:wordWrap/>
        <w:overflowPunct/>
        <w:topLinePunct w:val="0"/>
        <w:autoSpaceDE/>
        <w:autoSpaceDN/>
        <w:bidi w:val="0"/>
        <w:adjustRightInd/>
        <w:snapToGrid/>
        <w:spacing w:line="360" w:lineRule="auto"/>
        <w:ind w:left="630" w:leftChars="300" w:right="0" w:rightChars="0" w:firstLine="2400" w:firstLineChars="1000"/>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法定代表人或授权代表签字：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keepNext w:val="0"/>
        <w:keepLines w:val="0"/>
        <w:pageBreakBefore w:val="0"/>
        <w:widowControl/>
        <w:kinsoku/>
        <w:wordWrap/>
        <w:overflowPunct/>
        <w:topLinePunct w:val="0"/>
        <w:autoSpaceDE/>
        <w:autoSpaceDN/>
        <w:bidi w:val="0"/>
        <w:adjustRightInd/>
        <w:snapToGrid/>
        <w:spacing w:line="360" w:lineRule="auto"/>
        <w:ind w:leftChars="300" w:right="0" w:rightChars="0" w:firstLine="6240" w:firstLineChars="26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8"/>
        <w:widowControl w:val="0"/>
        <w:numPr>
          <w:ilvl w:val="0"/>
          <w:numId w:val="0"/>
        </w:numPr>
        <w:spacing w:line="360" w:lineRule="auto"/>
        <w:jc w:val="left"/>
        <w:outlineLvl w:val="9"/>
        <w:rPr>
          <w:rFonts w:hint="eastAsia" w:ascii="宋体" w:hAnsi="宋体" w:eastAsia="宋体" w:cs="宋体"/>
          <w:color w:val="auto"/>
          <w:sz w:val="24"/>
          <w:szCs w:val="24"/>
        </w:rPr>
      </w:pPr>
    </w:p>
    <w:p>
      <w:pPr>
        <w:pStyle w:val="8"/>
        <w:widowControl w:val="0"/>
        <w:numPr>
          <w:ilvl w:val="0"/>
          <w:numId w:val="0"/>
        </w:numPr>
        <w:jc w:val="left"/>
        <w:outlineLvl w:val="9"/>
        <w:rPr>
          <w:rFonts w:hint="eastAsia" w:ascii="宋体" w:hAnsi="宋体" w:eastAsia="宋体" w:cs="宋体"/>
          <w:color w:val="auto"/>
        </w:rPr>
      </w:pPr>
    </w:p>
    <w:p>
      <w:pPr>
        <w:spacing w:afterAutospacing="0" w:line="360" w:lineRule="auto"/>
        <w:jc w:val="center"/>
        <w:outlineLvl w:val="9"/>
        <w:rPr>
          <w:rFonts w:hint="eastAsia" w:ascii="宋体" w:hAnsi="宋体" w:eastAsia="宋体" w:cs="宋体"/>
          <w:color w:val="auto"/>
          <w:kern w:val="0"/>
          <w:sz w:val="24"/>
          <w:szCs w:val="24"/>
          <w:highlight w:val="none"/>
        </w:rPr>
      </w:pPr>
      <w:r>
        <w:rPr>
          <w:rFonts w:hint="eastAsia" w:ascii="宋体" w:hAnsi="宋体" w:eastAsia="宋体" w:cs="宋体"/>
          <w:color w:val="auto"/>
        </w:rPr>
        <w:br w:type="page"/>
      </w:r>
    </w:p>
    <w:p>
      <w:pPr>
        <w:spacing w:afterAutospacing="0" w:line="360" w:lineRule="auto"/>
        <w:jc w:val="center"/>
        <w:outlineLvl w:val="9"/>
        <w:rPr>
          <w:rFonts w:hint="eastAsia" w:ascii="宋体" w:hAnsi="宋体" w:eastAsia="宋体" w:cs="宋体"/>
          <w:color w:val="auto"/>
          <w:kern w:val="0"/>
          <w:sz w:val="24"/>
          <w:szCs w:val="24"/>
          <w:highlight w:val="none"/>
        </w:rPr>
      </w:pPr>
    </w:p>
    <w:p>
      <w:pPr>
        <w:spacing w:afterAutospacing="0" w:line="360" w:lineRule="auto"/>
        <w:jc w:val="center"/>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承 诺 书</w:t>
      </w:r>
    </w:p>
    <w:p>
      <w:pPr>
        <w:spacing w:beforeAutospacing="0" w:line="360" w:lineRule="auto"/>
        <w:ind w:left="0" w:leftChars="0" w:firstLine="0" w:firstLineChars="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w:t>
      </w:r>
    </w:p>
    <w:p>
      <w:pPr>
        <w:spacing w:line="360" w:lineRule="auto"/>
        <w:ind w:firstLine="42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我方在此声明，我方拟派往</w:t>
      </w:r>
      <w:r>
        <w:rPr>
          <w:rFonts w:hint="eastAsia" w:ascii="宋体" w:hAnsi="宋体" w:eastAsia="宋体" w:cs="宋体"/>
          <w:b/>
          <w:color w:val="auto"/>
          <w:sz w:val="24"/>
          <w:szCs w:val="24"/>
          <w:highlight w:val="none"/>
          <w:u w:val="single"/>
        </w:rPr>
        <w:t xml:space="preserve">                     </w:t>
      </w:r>
      <w:r>
        <w:rPr>
          <w:rFonts w:hint="eastAsia" w:ascii="宋体" w:hAnsi="宋体" w:eastAsia="宋体" w:cs="宋体"/>
          <w:color w:val="auto"/>
          <w:sz w:val="24"/>
          <w:szCs w:val="24"/>
          <w:highlight w:val="none"/>
        </w:rPr>
        <w:t>（以下简称“本工程”）的项目经理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（项目经理姓名）现阶段没有担任任何在施建设工程项目的项目经理。</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我方保证上述信息的真实和准确，并愿意承担因我方就此弄虚作假所引起的一切法律后果。</w:t>
      </w:r>
    </w:p>
    <w:p>
      <w:pPr>
        <w:spacing w:line="360" w:lineRule="auto"/>
        <w:ind w:firstLine="420"/>
        <w:outlineLvl w:val="9"/>
        <w:rPr>
          <w:rFonts w:hint="eastAsia" w:ascii="宋体" w:hAnsi="宋体" w:eastAsia="宋体" w:cs="宋体"/>
          <w:color w:val="auto"/>
          <w:sz w:val="24"/>
          <w:szCs w:val="24"/>
          <w:highlight w:val="none"/>
        </w:rPr>
      </w:pPr>
    </w:p>
    <w:p>
      <w:pPr>
        <w:spacing w:line="360" w:lineRule="auto"/>
        <w:ind w:firstLine="42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pPr>
        <w:spacing w:line="700" w:lineRule="exact"/>
        <w:outlineLvl w:val="9"/>
        <w:rPr>
          <w:rFonts w:hint="eastAsia" w:ascii="宋体" w:hAnsi="宋体" w:eastAsia="宋体" w:cs="宋体"/>
          <w:color w:val="auto"/>
          <w:sz w:val="24"/>
          <w:highlight w:val="none"/>
        </w:rPr>
      </w:pPr>
    </w:p>
    <w:p>
      <w:pPr>
        <w:spacing w:line="700" w:lineRule="exact"/>
        <w:outlineLvl w:val="9"/>
        <w:rPr>
          <w:rFonts w:hint="eastAsia" w:ascii="宋体" w:hAnsi="宋体" w:eastAsia="宋体" w:cs="宋体"/>
          <w:color w:val="auto"/>
          <w:sz w:val="24"/>
          <w:highlight w:val="none"/>
        </w:rPr>
      </w:pPr>
    </w:p>
    <w:p>
      <w:pPr>
        <w:spacing w:line="700" w:lineRule="exact"/>
        <w:outlineLvl w:val="9"/>
        <w:rPr>
          <w:rFonts w:hint="eastAsia" w:ascii="宋体" w:hAnsi="宋体" w:eastAsia="宋体" w:cs="宋体"/>
          <w:color w:val="auto"/>
          <w:sz w:val="24"/>
          <w:highlight w:val="none"/>
        </w:rPr>
      </w:pPr>
    </w:p>
    <w:p>
      <w:pPr>
        <w:spacing w:line="700" w:lineRule="exact"/>
        <w:outlineLvl w:val="9"/>
        <w:rPr>
          <w:rFonts w:hint="eastAsia" w:ascii="宋体" w:hAnsi="宋体" w:eastAsia="宋体" w:cs="宋体"/>
          <w:color w:val="auto"/>
          <w:sz w:val="24"/>
          <w:highlight w:val="none"/>
        </w:rPr>
      </w:pPr>
    </w:p>
    <w:p>
      <w:pPr>
        <w:keepNext w:val="0"/>
        <w:keepLines w:val="0"/>
        <w:pageBreakBefore w:val="0"/>
        <w:widowControl/>
        <w:kinsoku/>
        <w:wordWrap/>
        <w:overflowPunct/>
        <w:topLinePunct w:val="0"/>
        <w:autoSpaceDE/>
        <w:autoSpaceDN/>
        <w:bidi w:val="0"/>
        <w:adjustRightInd/>
        <w:snapToGrid/>
        <w:spacing w:line="480" w:lineRule="auto"/>
        <w:ind w:left="0" w:leftChars="0" w:right="0" w:rightChars="0" w:firstLine="3799" w:firstLineChars="1583"/>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名称（公章）：</w:t>
      </w:r>
    </w:p>
    <w:p>
      <w:pPr>
        <w:keepNext w:val="0"/>
        <w:keepLines w:val="0"/>
        <w:pageBreakBefore w:val="0"/>
        <w:widowControl/>
        <w:kinsoku/>
        <w:wordWrap/>
        <w:overflowPunct/>
        <w:topLinePunct w:val="0"/>
        <w:autoSpaceDE/>
        <w:autoSpaceDN/>
        <w:bidi w:val="0"/>
        <w:adjustRightInd/>
        <w:snapToGrid/>
        <w:spacing w:line="480" w:lineRule="auto"/>
        <w:ind w:left="0" w:leftChars="0" w:right="0" w:rightChars="0" w:firstLine="3799" w:firstLineChars="1583"/>
        <w:jc w:val="left"/>
        <w:textAlignment w:val="auto"/>
        <w:outlineLvl w:val="9"/>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法定代表人或授权代表签字：</w:t>
      </w:r>
    </w:p>
    <w:p>
      <w:pPr>
        <w:keepNext w:val="0"/>
        <w:keepLines w:val="0"/>
        <w:pageBreakBefore w:val="0"/>
        <w:widowControl/>
        <w:kinsoku/>
        <w:wordWrap/>
        <w:overflowPunct/>
        <w:topLinePunct w:val="0"/>
        <w:autoSpaceDE/>
        <w:autoSpaceDN/>
        <w:bidi w:val="0"/>
        <w:adjustRightInd/>
        <w:snapToGrid/>
        <w:spacing w:line="480" w:lineRule="auto"/>
        <w:ind w:right="0" w:rightChars="0" w:firstLine="6240" w:firstLineChars="26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p>
      <w:pPr>
        <w:pStyle w:val="8"/>
        <w:numPr>
          <w:ilvl w:val="0"/>
          <w:numId w:val="0"/>
        </w:numPr>
        <w:rPr>
          <w:rFonts w:hint="eastAsia"/>
          <w:lang w:val="en-US" w:eastAsia="zh-CN"/>
        </w:rPr>
      </w:pPr>
    </w:p>
    <w:bookmarkEnd w:id="591"/>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80" w:firstLineChars="200"/>
        <w:jc w:val="left"/>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供应商根据评标办法自行响应，格式自拟。</w:t>
      </w:r>
    </w:p>
    <w:p>
      <w:pPr>
        <w:pStyle w:val="8"/>
        <w:keepNext w:val="0"/>
        <w:keepLines w:val="0"/>
        <w:pageBreakBefore w:val="0"/>
        <w:widowControl w:val="0"/>
        <w:kinsoku/>
        <w:wordWrap/>
        <w:overflowPunct/>
        <w:topLinePunct w:val="0"/>
        <w:autoSpaceDE/>
        <w:autoSpaceDN/>
        <w:bidi w:val="0"/>
        <w:adjustRightInd/>
        <w:snapToGrid/>
        <w:spacing w:line="540" w:lineRule="exact"/>
        <w:ind w:firstLine="460" w:firstLineChars="200"/>
        <w:jc w:val="left"/>
        <w:textAlignment w:val="auto"/>
        <w:outlineLvl w:val="9"/>
        <w:rPr>
          <w:rFonts w:hint="eastAsia" w:ascii="宋体" w:hAnsi="宋体" w:eastAsia="宋体" w:cs="宋体"/>
          <w:b w:val="0"/>
          <w:bCs w:val="0"/>
          <w:color w:val="auto"/>
          <w:kern w:val="0"/>
          <w:sz w:val="23"/>
          <w:szCs w:val="23"/>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460" w:firstLineChars="200"/>
        <w:jc w:val="left"/>
        <w:textAlignment w:val="auto"/>
        <w:outlineLvl w:val="9"/>
        <w:rPr>
          <w:rFonts w:hint="eastAsia" w:ascii="宋体" w:hAnsi="宋体" w:eastAsia="宋体" w:cs="宋体"/>
          <w:b w:val="0"/>
          <w:bCs w:val="0"/>
          <w:color w:val="auto"/>
          <w:kern w:val="0"/>
          <w:sz w:val="23"/>
          <w:szCs w:val="23"/>
          <w:highlight w:val="none"/>
          <w:lang w:val="en-US" w:eastAsia="zh-CN" w:bidi="ar-SA"/>
        </w:rPr>
      </w:pPr>
    </w:p>
    <w:p>
      <w:pPr>
        <w:jc w:val="center"/>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lang w:eastAsia="zh-CN"/>
        </w:rPr>
        <w:br w:type="page"/>
      </w:r>
      <w:bookmarkStart w:id="593" w:name="_Toc6815"/>
      <w:bookmarkStart w:id="594" w:name="_Toc21829"/>
      <w:r>
        <w:rPr>
          <w:rStyle w:val="41"/>
          <w:rFonts w:hint="eastAsia" w:ascii="宋体" w:hAnsi="宋体" w:eastAsia="宋体" w:cs="宋体"/>
          <w:b/>
          <w:color w:val="auto"/>
          <w:sz w:val="28"/>
          <w:szCs w:val="28"/>
          <w:highlight w:val="none"/>
          <w:lang w:val="en-US" w:eastAsia="zh-CN"/>
        </w:rPr>
        <w:t>十、已标价工程量清单</w:t>
      </w:r>
      <w:bookmarkEnd w:id="593"/>
      <w:bookmarkEnd w:id="594"/>
    </w:p>
    <w:p>
      <w:pPr>
        <w:spacing w:line="1122" w:lineRule="atLeast"/>
        <w:jc w:val="center"/>
        <w:outlineLvl w:val="9"/>
        <w:rPr>
          <w:rFonts w:hint="eastAsia" w:ascii="宋体" w:hAnsi="宋体" w:eastAsia="宋体" w:cs="宋体"/>
          <w:color w:val="auto"/>
          <w:spacing w:val="80"/>
          <w:sz w:val="48"/>
          <w:szCs w:val="48"/>
          <w:highlight w:val="none"/>
        </w:rPr>
      </w:pPr>
      <w:r>
        <w:rPr>
          <w:rFonts w:hint="eastAsia" w:ascii="宋体" w:hAnsi="宋体" w:cs="宋体"/>
          <w:b/>
          <w:bCs/>
          <w:color w:val="auto"/>
          <w:spacing w:val="0"/>
          <w:sz w:val="44"/>
          <w:szCs w:val="44"/>
          <w:highlight w:val="none"/>
          <w:lang w:val="zh-CN" w:eastAsia="zh-CN"/>
        </w:rPr>
        <w:t>高新消防大队绳索训练建设项目</w:t>
      </w:r>
    </w:p>
    <w:p>
      <w:pPr>
        <w:spacing w:line="1122" w:lineRule="atLeast"/>
        <w:jc w:val="center"/>
        <w:outlineLvl w:val="9"/>
        <w:rPr>
          <w:rFonts w:hint="eastAsia" w:ascii="宋体" w:hAnsi="宋体" w:eastAsia="宋体" w:cs="宋体"/>
          <w:color w:val="auto"/>
          <w:spacing w:val="80"/>
          <w:sz w:val="72"/>
          <w:szCs w:val="72"/>
          <w:highlight w:val="none"/>
        </w:rPr>
      </w:pPr>
      <w:bookmarkStart w:id="595" w:name="_Toc377994713"/>
      <w:bookmarkStart w:id="596" w:name="_Toc15817"/>
      <w:bookmarkStart w:id="597" w:name="_Toc373399984"/>
      <w:bookmarkStart w:id="598" w:name="_Toc377982879"/>
    </w:p>
    <w:p>
      <w:pPr>
        <w:pStyle w:val="8"/>
        <w:outlineLvl w:val="9"/>
        <w:rPr>
          <w:rFonts w:hint="eastAsia" w:ascii="宋体" w:hAnsi="宋体" w:eastAsia="宋体" w:cs="宋体"/>
          <w:color w:val="auto"/>
          <w:spacing w:val="80"/>
          <w:sz w:val="72"/>
          <w:szCs w:val="72"/>
          <w:highlight w:val="none"/>
        </w:rPr>
      </w:pPr>
    </w:p>
    <w:p>
      <w:pPr>
        <w:outlineLvl w:val="9"/>
        <w:rPr>
          <w:rFonts w:hint="eastAsia"/>
          <w:color w:val="auto"/>
        </w:rPr>
      </w:pPr>
    </w:p>
    <w:p>
      <w:pPr>
        <w:spacing w:line="1122" w:lineRule="atLeast"/>
        <w:jc w:val="center"/>
        <w:outlineLvl w:val="9"/>
        <w:rPr>
          <w:rFonts w:hint="eastAsia" w:ascii="宋体" w:hAnsi="宋体" w:eastAsia="宋体" w:cs="宋体"/>
          <w:b/>
          <w:bCs/>
          <w:color w:val="auto"/>
          <w:spacing w:val="80"/>
          <w:sz w:val="56"/>
          <w:szCs w:val="56"/>
          <w:highlight w:val="none"/>
        </w:rPr>
      </w:pPr>
      <w:r>
        <w:rPr>
          <w:rFonts w:hint="eastAsia" w:ascii="宋体" w:hAnsi="宋体" w:eastAsia="宋体" w:cs="宋体"/>
          <w:b/>
          <w:bCs/>
          <w:color w:val="auto"/>
          <w:spacing w:val="80"/>
          <w:sz w:val="56"/>
          <w:szCs w:val="56"/>
          <w:highlight w:val="none"/>
        </w:rPr>
        <w:t>工程量清单计价表</w:t>
      </w:r>
      <w:bookmarkEnd w:id="595"/>
      <w:bookmarkEnd w:id="596"/>
      <w:bookmarkEnd w:id="597"/>
      <w:bookmarkEnd w:id="598"/>
    </w:p>
    <w:p>
      <w:pPr>
        <w:spacing w:line="480" w:lineRule="auto"/>
        <w:ind w:firstLine="640" w:firstLineChars="200"/>
        <w:outlineLvl w:val="9"/>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w:t>
      </w:r>
    </w:p>
    <w:p>
      <w:pPr>
        <w:spacing w:line="480" w:lineRule="auto"/>
        <w:ind w:firstLine="640" w:firstLineChars="200"/>
        <w:outlineLvl w:val="9"/>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w:t>
      </w:r>
    </w:p>
    <w:p>
      <w:pPr>
        <w:pStyle w:val="8"/>
        <w:outlineLvl w:val="9"/>
        <w:rPr>
          <w:rFonts w:hint="eastAsia" w:ascii="宋体" w:hAnsi="宋体" w:eastAsia="宋体" w:cs="宋体"/>
          <w:color w:val="auto"/>
          <w:highlight w:val="none"/>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lang w:val="en-US" w:eastAsia="zh-CN"/>
        </w:rPr>
        <w:t>供应商名称</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（盖章） </w:t>
      </w: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2" w:firstLineChars="200"/>
        <w:textAlignment w:val="auto"/>
        <w:outlineLvl w:val="9"/>
        <w:rPr>
          <w:rFonts w:hint="eastAsia" w:ascii="宋体" w:hAnsi="宋体" w:eastAsia="宋体" w:cs="宋体"/>
          <w:b/>
          <w:color w:val="auto"/>
          <w:sz w:val="28"/>
          <w:szCs w:val="28"/>
          <w:highlight w:val="none"/>
          <w:u w:val="single"/>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w:t>
      </w: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委托代理人：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（签字或盖章） </w:t>
      </w: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u w:val="single"/>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注册造价师或</w:t>
      </w: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造价员：</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（盖执业专用章）  </w:t>
      </w: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color w:val="auto"/>
          <w:sz w:val="28"/>
          <w:szCs w:val="28"/>
          <w:highlight w:val="none"/>
          <w:u w:val="single"/>
        </w:rPr>
      </w:pPr>
    </w:p>
    <w:p>
      <w:pPr>
        <w:keepNext w:val="0"/>
        <w:keepLines w:val="0"/>
        <w:pageBreakBefore w:val="0"/>
        <w:widowControl w:val="0"/>
        <w:kinsoku/>
        <w:wordWrap/>
        <w:overflowPunct/>
        <w:topLinePunct w:val="0"/>
        <w:autoSpaceDE/>
        <w:autoSpaceDN/>
        <w:bidi w:val="0"/>
        <w:adjustRightInd/>
        <w:snapToGrid/>
        <w:spacing w:line="440" w:lineRule="exact"/>
        <w:ind w:right="689" w:rightChars="328" w:firstLine="560" w:firstLineChars="200"/>
        <w:textAlignment w:val="auto"/>
        <w:outlineLvl w:val="9"/>
        <w:rPr>
          <w:rFonts w:hint="eastAsia" w:ascii="宋体" w:hAnsi="宋体" w:eastAsia="宋体" w:cs="宋体"/>
          <w:b w:val="0"/>
          <w:bCs w:val="0"/>
          <w:i w:val="0"/>
          <w:iCs w:val="0"/>
          <w:color w:val="auto"/>
          <w:sz w:val="28"/>
          <w:szCs w:val="28"/>
          <w:highlight w:val="none"/>
          <w:u w:val="none"/>
        </w:rPr>
      </w:pPr>
      <w:r>
        <w:rPr>
          <w:rFonts w:hint="eastAsia" w:ascii="宋体" w:hAnsi="宋体" w:eastAsia="宋体" w:cs="宋体"/>
          <w:color w:val="auto"/>
          <w:sz w:val="28"/>
          <w:szCs w:val="28"/>
          <w:highlight w:val="none"/>
        </w:rPr>
        <w:t>编  制  时  间：</w:t>
      </w:r>
      <w:r>
        <w:rPr>
          <w:rFonts w:hint="eastAsia" w:ascii="宋体" w:hAnsi="宋体" w:eastAsia="宋体" w:cs="宋体"/>
          <w:b w:val="0"/>
          <w:bCs w:val="0"/>
          <w:i w:val="0"/>
          <w:iCs w:val="0"/>
          <w:color w:val="auto"/>
          <w:sz w:val="28"/>
          <w:szCs w:val="28"/>
          <w:highlight w:val="none"/>
          <w:u w:val="single"/>
        </w:rPr>
        <w:t>20</w:t>
      </w:r>
      <w:r>
        <w:rPr>
          <w:rFonts w:hint="eastAsia" w:ascii="宋体" w:hAnsi="宋体" w:cs="宋体"/>
          <w:b w:val="0"/>
          <w:bCs w:val="0"/>
          <w:i w:val="0"/>
          <w:iCs w:val="0"/>
          <w:color w:val="auto"/>
          <w:sz w:val="28"/>
          <w:szCs w:val="28"/>
          <w:highlight w:val="none"/>
          <w:u w:val="single"/>
          <w:lang w:val="en-US" w:eastAsia="zh-CN"/>
        </w:rPr>
        <w:t>21</w:t>
      </w:r>
      <w:r>
        <w:rPr>
          <w:rFonts w:hint="eastAsia" w:ascii="宋体" w:hAnsi="宋体" w:eastAsia="宋体" w:cs="宋体"/>
          <w:b w:val="0"/>
          <w:bCs w:val="0"/>
          <w:i w:val="0"/>
          <w:iCs w:val="0"/>
          <w:color w:val="auto"/>
          <w:sz w:val="28"/>
          <w:szCs w:val="28"/>
          <w:highlight w:val="none"/>
          <w:u w:val="none"/>
        </w:rPr>
        <w:t>年</w:t>
      </w:r>
      <w:r>
        <w:rPr>
          <w:rFonts w:hint="eastAsia" w:ascii="宋体" w:hAnsi="宋体" w:eastAsia="宋体" w:cs="宋体"/>
          <w:b w:val="0"/>
          <w:bCs w:val="0"/>
          <w:i w:val="0"/>
          <w:iCs w:val="0"/>
          <w:color w:val="auto"/>
          <w:sz w:val="28"/>
          <w:szCs w:val="28"/>
          <w:highlight w:val="none"/>
          <w:u w:val="single"/>
        </w:rPr>
        <w:t xml:space="preserve">    </w:t>
      </w:r>
      <w:r>
        <w:rPr>
          <w:rFonts w:hint="eastAsia" w:ascii="宋体" w:hAnsi="宋体" w:eastAsia="宋体" w:cs="宋体"/>
          <w:b w:val="0"/>
          <w:bCs w:val="0"/>
          <w:i w:val="0"/>
          <w:iCs w:val="0"/>
          <w:color w:val="auto"/>
          <w:sz w:val="28"/>
          <w:szCs w:val="28"/>
          <w:highlight w:val="none"/>
          <w:u w:val="none"/>
        </w:rPr>
        <w:t>月</w:t>
      </w:r>
      <w:r>
        <w:rPr>
          <w:rFonts w:hint="eastAsia" w:ascii="宋体" w:hAnsi="宋体" w:eastAsia="宋体" w:cs="宋体"/>
          <w:b w:val="0"/>
          <w:bCs w:val="0"/>
          <w:i w:val="0"/>
          <w:iCs w:val="0"/>
          <w:color w:val="auto"/>
          <w:sz w:val="28"/>
          <w:szCs w:val="28"/>
          <w:highlight w:val="none"/>
          <w:u w:val="single"/>
        </w:rPr>
        <w:t xml:space="preserve">      </w:t>
      </w:r>
      <w:r>
        <w:rPr>
          <w:rFonts w:hint="eastAsia" w:ascii="宋体" w:hAnsi="宋体" w:eastAsia="宋体" w:cs="宋体"/>
          <w:b w:val="0"/>
          <w:bCs w:val="0"/>
          <w:i w:val="0"/>
          <w:iCs w:val="0"/>
          <w:color w:val="auto"/>
          <w:sz w:val="28"/>
          <w:szCs w:val="28"/>
          <w:highlight w:val="none"/>
          <w:u w:val="none"/>
        </w:rPr>
        <w:t xml:space="preserve">日               </w:t>
      </w:r>
    </w:p>
    <w:p>
      <w:pPr>
        <w:spacing w:line="360" w:lineRule="auto"/>
        <w:outlineLvl w:val="9"/>
        <w:rPr>
          <w:rFonts w:hint="eastAsia" w:ascii="宋体" w:hAnsi="宋体" w:eastAsia="宋体" w:cs="宋体"/>
          <w:color w:val="auto"/>
          <w:sz w:val="28"/>
          <w:szCs w:val="28"/>
          <w:highlight w:val="none"/>
        </w:rPr>
      </w:pPr>
    </w:p>
    <w:p>
      <w:pPr>
        <w:spacing w:line="360" w:lineRule="auto"/>
        <w:ind w:right="218" w:rightChars="104"/>
        <w:jc w:val="center"/>
        <w:outlineLvl w:val="9"/>
        <w:rPr>
          <w:rFonts w:hint="eastAsia" w:ascii="宋体" w:hAnsi="宋体" w:eastAsia="宋体" w:cs="宋体"/>
          <w:color w:val="auto"/>
          <w:sz w:val="48"/>
          <w:highlight w:val="none"/>
        </w:rPr>
      </w:pPr>
      <w:r>
        <w:rPr>
          <w:rFonts w:hint="eastAsia" w:ascii="宋体" w:hAnsi="宋体" w:eastAsia="宋体" w:cs="宋体"/>
          <w:color w:val="auto"/>
          <w:sz w:val="28"/>
          <w:highlight w:val="none"/>
        </w:rPr>
        <w:br w:type="page"/>
      </w:r>
    </w:p>
    <w:p>
      <w:pPr>
        <w:spacing w:line="360" w:lineRule="auto"/>
        <w:jc w:val="center"/>
        <w:outlineLvl w:val="9"/>
        <w:rPr>
          <w:rFonts w:hint="eastAsia" w:ascii="宋体" w:hAnsi="宋体" w:eastAsia="宋体" w:cs="宋体"/>
          <w:b/>
          <w:color w:val="auto"/>
          <w:sz w:val="28"/>
          <w:szCs w:val="28"/>
          <w:highlight w:val="none"/>
          <w:lang w:eastAsia="zh-CN"/>
        </w:rPr>
      </w:pPr>
      <w:bookmarkStart w:id="599" w:name="_Toc16261"/>
      <w:bookmarkStart w:id="600" w:name="_Toc377982880"/>
      <w:bookmarkStart w:id="601" w:name="_Toc377994714"/>
      <w:bookmarkStart w:id="602" w:name="_Toc373399985"/>
    </w:p>
    <w:p>
      <w:pPr>
        <w:spacing w:line="360" w:lineRule="auto"/>
        <w:jc w:val="center"/>
        <w:outlineLvl w:val="9"/>
        <w:rPr>
          <w:rFonts w:hint="eastAsia" w:ascii="宋体" w:hAnsi="宋体" w:eastAsia="宋体" w:cs="宋体"/>
          <w:b/>
          <w:color w:val="auto"/>
          <w:sz w:val="32"/>
          <w:highlight w:val="none"/>
        </w:rPr>
      </w:pPr>
      <w:r>
        <w:rPr>
          <w:rFonts w:hint="eastAsia" w:ascii="宋体" w:hAnsi="宋体" w:eastAsia="宋体" w:cs="宋体"/>
          <w:b/>
          <w:color w:val="auto"/>
          <w:sz w:val="28"/>
          <w:szCs w:val="28"/>
          <w:highlight w:val="none"/>
          <w:lang w:eastAsia="zh-CN"/>
        </w:rPr>
        <w:t>投标</w:t>
      </w:r>
      <w:r>
        <w:rPr>
          <w:rFonts w:hint="eastAsia" w:ascii="宋体" w:hAnsi="宋体" w:eastAsia="宋体" w:cs="宋体"/>
          <w:b/>
          <w:color w:val="auto"/>
          <w:sz w:val="28"/>
          <w:szCs w:val="28"/>
          <w:highlight w:val="none"/>
        </w:rPr>
        <w:t>报价表统一格式</w:t>
      </w:r>
      <w:bookmarkEnd w:id="599"/>
      <w:bookmarkEnd w:id="600"/>
      <w:bookmarkEnd w:id="601"/>
      <w:bookmarkEnd w:id="602"/>
    </w:p>
    <w:p>
      <w:pPr>
        <w:pStyle w:val="6"/>
        <w:spacing w:line="480" w:lineRule="auto"/>
        <w:ind w:firstLine="1820" w:firstLineChars="650"/>
        <w:outlineLvl w:val="9"/>
        <w:rPr>
          <w:rFonts w:hint="eastAsia" w:ascii="宋体" w:hAnsi="宋体" w:eastAsia="宋体" w:cs="宋体"/>
          <w:color w:val="auto"/>
          <w:sz w:val="28"/>
          <w:szCs w:val="28"/>
          <w:highlight w:val="none"/>
        </w:rPr>
      </w:pPr>
    </w:p>
    <w:p>
      <w:pPr>
        <w:pStyle w:val="6"/>
        <w:spacing w:line="480" w:lineRule="auto"/>
        <w:ind w:left="0" w:leftChars="0" w:firstLine="0" w:firstLineChars="0"/>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1、工程项目总造价表</w:t>
      </w:r>
      <w:r>
        <w:rPr>
          <w:rFonts w:hint="eastAsia" w:ascii="宋体" w:hAnsi="宋体" w:cs="宋体"/>
          <w:color w:val="auto"/>
          <w:sz w:val="24"/>
          <w:szCs w:val="24"/>
          <w:highlight w:val="none"/>
          <w:lang w:eastAsia="zh-CN"/>
        </w:rPr>
        <w:t>（竖表）；</w:t>
      </w:r>
    </w:p>
    <w:p>
      <w:pPr>
        <w:pStyle w:val="6"/>
        <w:spacing w:line="480" w:lineRule="auto"/>
        <w:ind w:left="0" w:leftChars="0" w:firstLine="0" w:firstLineChars="0"/>
        <w:outlineLvl w:val="9"/>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工程项目总造价表</w:t>
      </w:r>
      <w:r>
        <w:rPr>
          <w:rFonts w:hint="eastAsia" w:ascii="宋体" w:hAnsi="宋体" w:cs="宋体"/>
          <w:color w:val="auto"/>
          <w:sz w:val="24"/>
          <w:szCs w:val="24"/>
          <w:highlight w:val="none"/>
          <w:lang w:eastAsia="zh-CN"/>
        </w:rPr>
        <w:t>（横表）；</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、单位工程造价汇总表；</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、分部分项工程量清单计价表；   </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、措施项目清单计价表；</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、其他项目清单计价表；</w:t>
      </w:r>
    </w:p>
    <w:p>
      <w:pPr>
        <w:pStyle w:val="6"/>
        <w:spacing w:line="480" w:lineRule="auto"/>
        <w:ind w:left="0" w:leftChars="0" w:firstLine="0" w:firstLineChars="0"/>
        <w:outlineLvl w:val="9"/>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、规费、税金项目清单计价表</w:t>
      </w:r>
      <w:r>
        <w:rPr>
          <w:rFonts w:hint="eastAsia" w:ascii="宋体" w:hAnsi="宋体" w:cs="宋体"/>
          <w:color w:val="auto"/>
          <w:sz w:val="24"/>
          <w:szCs w:val="24"/>
          <w:highlight w:val="none"/>
          <w:lang w:eastAsia="zh-CN"/>
        </w:rPr>
        <w:t>；</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、主要材料价格表；</w:t>
      </w:r>
    </w:p>
    <w:p>
      <w:pPr>
        <w:pStyle w:val="6"/>
        <w:spacing w:line="480" w:lineRule="auto"/>
        <w:ind w:left="0" w:leftChars="0" w:firstLine="0" w:firstLineChars="0"/>
        <w:outlineLvl w:val="9"/>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、预算软件扩展的其它表格。</w:t>
      </w:r>
    </w:p>
    <w:p>
      <w:pPr>
        <w:tabs>
          <w:tab w:val="left" w:pos="1260"/>
        </w:tabs>
        <w:spacing w:before="0" w:beforeAutospacing="0"/>
        <w:jc w:val="center"/>
        <w:outlineLvl w:val="9"/>
        <w:rPr>
          <w:rFonts w:hint="eastAsia" w:ascii="宋体" w:hAnsi="宋体" w:eastAsia="宋体" w:cs="宋体"/>
          <w:b/>
          <w:bCs/>
          <w:color w:val="auto"/>
          <w:sz w:val="30"/>
          <w:szCs w:val="30"/>
        </w:rPr>
      </w:pPr>
      <w:r>
        <w:rPr>
          <w:rFonts w:hint="eastAsia" w:ascii="宋体" w:hAnsi="宋体" w:eastAsia="宋体" w:cs="宋体"/>
          <w:color w:val="auto"/>
          <w:sz w:val="48"/>
          <w:highlight w:val="none"/>
        </w:rPr>
        <w:br w:type="page"/>
      </w:r>
      <w:bookmarkStart w:id="603" w:name="_Toc377994715"/>
      <w:bookmarkStart w:id="604" w:name="_Toc17569"/>
      <w:bookmarkStart w:id="605" w:name="_Toc32711"/>
      <w:r>
        <w:rPr>
          <w:rFonts w:hint="eastAsia" w:ascii="宋体" w:hAnsi="宋体" w:eastAsia="宋体" w:cs="宋体"/>
          <w:b/>
          <w:bCs/>
          <w:color w:val="auto"/>
          <w:sz w:val="30"/>
          <w:szCs w:val="30"/>
        </w:rPr>
        <w:t>工程项目总造价表</w:t>
      </w:r>
    </w:p>
    <w:p>
      <w:pPr>
        <w:tabs>
          <w:tab w:val="left" w:pos="180"/>
          <w:tab w:val="left" w:pos="360"/>
          <w:tab w:val="left" w:pos="540"/>
          <w:tab w:val="left" w:pos="2160"/>
          <w:tab w:val="left" w:pos="2340"/>
        </w:tabs>
        <w:outlineLvl w:val="9"/>
        <w:rPr>
          <w:rFonts w:hint="eastAsia" w:ascii="宋体" w:hAnsi="宋体" w:eastAsia="宋体" w:cs="宋体"/>
          <w:color w:val="auto"/>
          <w:sz w:val="24"/>
        </w:rPr>
      </w:pPr>
      <w:r>
        <w:rPr>
          <w:rFonts w:hint="eastAsia" w:ascii="宋体" w:hAnsi="宋体" w:eastAsia="宋体" w:cs="宋体"/>
          <w:color w:val="auto"/>
          <w:sz w:val="24"/>
        </w:rPr>
        <w:t>工程名称：                                           第  页 共  页</w:t>
      </w:r>
    </w:p>
    <w:tbl>
      <w:tblPr>
        <w:tblStyle w:val="17"/>
        <w:tblW w:w="88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5001"/>
        <w:gridCol w:w="2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序号</w:t>
            </w: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单位工程名称</w:t>
            </w: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造价（元）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1</w:t>
            </w: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总报价</w:t>
            </w: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5951" w:type="dxa"/>
            <w:gridSpan w:val="2"/>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r>
              <w:rPr>
                <w:rFonts w:hint="eastAsia" w:ascii="宋体" w:hAnsi="宋体" w:eastAsia="宋体" w:cs="宋体"/>
                <w:color w:val="auto"/>
                <w:sz w:val="24"/>
              </w:rPr>
              <w:t>合     计</w:t>
            </w: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5951" w:type="dxa"/>
            <w:gridSpan w:val="2"/>
            <w:noWrap w:val="0"/>
            <w:vAlign w:val="center"/>
          </w:tcPr>
          <w:p>
            <w:pPr>
              <w:tabs>
                <w:tab w:val="left" w:pos="180"/>
                <w:tab w:val="left" w:pos="360"/>
                <w:tab w:val="left" w:pos="540"/>
                <w:tab w:val="left" w:pos="2160"/>
                <w:tab w:val="left" w:pos="2340"/>
              </w:tabs>
              <w:outlineLvl w:val="9"/>
              <w:rPr>
                <w:rFonts w:hint="eastAsia" w:ascii="宋体" w:hAnsi="宋体" w:eastAsia="宋体" w:cs="宋体"/>
                <w:color w:val="auto"/>
                <w:sz w:val="24"/>
              </w:rPr>
            </w:pPr>
            <w:r>
              <w:rPr>
                <w:rFonts w:hint="eastAsia" w:ascii="宋体" w:hAnsi="宋体" w:eastAsia="宋体" w:cs="宋体"/>
                <w:color w:val="auto"/>
                <w:sz w:val="24"/>
              </w:rPr>
              <w:t>大写：</w:t>
            </w: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50"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5001"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c>
          <w:tcPr>
            <w:tcW w:w="2884" w:type="dxa"/>
            <w:noWrap w:val="0"/>
            <w:vAlign w:val="center"/>
          </w:tcPr>
          <w:p>
            <w:pPr>
              <w:tabs>
                <w:tab w:val="left" w:pos="180"/>
                <w:tab w:val="left" w:pos="360"/>
                <w:tab w:val="left" w:pos="540"/>
                <w:tab w:val="left" w:pos="2160"/>
                <w:tab w:val="left" w:pos="2340"/>
              </w:tabs>
              <w:jc w:val="center"/>
              <w:outlineLvl w:val="9"/>
              <w:rPr>
                <w:rFonts w:hint="eastAsia" w:ascii="宋体" w:hAnsi="宋体" w:eastAsia="宋体" w:cs="宋体"/>
                <w:color w:val="auto"/>
                <w:sz w:val="24"/>
              </w:rPr>
            </w:pPr>
          </w:p>
        </w:tc>
      </w:tr>
    </w:tbl>
    <w:p>
      <w:pPr>
        <w:widowControl/>
        <w:spacing w:after="240" w:line="360" w:lineRule="auto"/>
        <w:outlineLvl w:val="9"/>
        <w:rPr>
          <w:rFonts w:hint="eastAsia" w:ascii="宋体" w:hAnsi="宋体" w:eastAsia="宋体" w:cs="宋体"/>
          <w:b/>
          <w:color w:val="auto"/>
          <w:kern w:val="0"/>
          <w:sz w:val="24"/>
        </w:rPr>
      </w:pPr>
    </w:p>
    <w:p>
      <w:pPr>
        <w:widowControl/>
        <w:spacing w:after="240" w:line="360" w:lineRule="auto"/>
        <w:outlineLvl w:val="9"/>
        <w:rPr>
          <w:rFonts w:hint="eastAsia" w:ascii="宋体" w:hAnsi="宋体" w:eastAsia="宋体" w:cs="宋体"/>
          <w:b/>
          <w:color w:val="auto"/>
          <w:kern w:val="0"/>
          <w:sz w:val="24"/>
        </w:rPr>
        <w:sectPr>
          <w:headerReference r:id="rId3" w:type="default"/>
          <w:footerReference r:id="rId4" w:type="default"/>
          <w:pgSz w:w="11906" w:h="16838"/>
          <w:pgMar w:top="1304" w:right="1531" w:bottom="1304"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8"/>
        <w:jc w:val="center"/>
        <w:rPr>
          <w:rFonts w:hint="eastAsia" w:ascii="宋体" w:hAnsi="宋体" w:eastAsia="宋体" w:cs="宋体"/>
          <w:b/>
          <w:bCs/>
          <w:color w:val="auto"/>
          <w:kern w:val="2"/>
          <w:sz w:val="30"/>
          <w:szCs w:val="30"/>
          <w:lang w:val="en-US" w:eastAsia="zh-CN" w:bidi="ar-SA"/>
        </w:rPr>
      </w:pPr>
      <w:r>
        <w:rPr>
          <w:rFonts w:hint="eastAsia" w:ascii="宋体" w:hAnsi="宋体" w:eastAsia="宋体" w:cs="宋体"/>
          <w:b/>
          <w:bCs/>
          <w:color w:val="auto"/>
          <w:kern w:val="2"/>
          <w:sz w:val="30"/>
          <w:szCs w:val="30"/>
          <w:lang w:val="en-US" w:eastAsia="zh-CN" w:bidi="ar-SA"/>
        </w:rPr>
        <w:t>工程项目总造价表</w:t>
      </w:r>
    </w:p>
    <w:p>
      <w:pPr>
        <w:tabs>
          <w:tab w:val="left" w:pos="180"/>
          <w:tab w:val="left" w:pos="360"/>
          <w:tab w:val="left" w:pos="540"/>
          <w:tab w:val="left" w:pos="2160"/>
          <w:tab w:val="left" w:pos="2340"/>
        </w:tabs>
        <w:outlineLvl w:val="9"/>
        <w:rPr>
          <w:rFonts w:hint="eastAsia" w:ascii="宋体" w:hAnsi="宋体" w:eastAsia="宋体" w:cs="宋体"/>
          <w:b/>
          <w:bCs/>
          <w:color w:val="auto"/>
          <w:kern w:val="2"/>
          <w:sz w:val="30"/>
          <w:szCs w:val="30"/>
          <w:lang w:val="en-US" w:eastAsia="zh-CN" w:bidi="ar-SA"/>
        </w:rPr>
      </w:pPr>
      <w:r>
        <w:rPr>
          <w:rFonts w:hint="eastAsia" w:ascii="宋体" w:hAnsi="宋体" w:eastAsia="宋体" w:cs="宋体"/>
          <w:color w:val="auto"/>
          <w:sz w:val="24"/>
        </w:rPr>
        <w:t xml:space="preserve">工程名称：                        </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第  页 共  页</w:t>
      </w:r>
    </w:p>
    <w:tbl>
      <w:tblPr>
        <w:tblStyle w:val="18"/>
        <w:tblW w:w="14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331"/>
        <w:gridCol w:w="991"/>
        <w:gridCol w:w="1356"/>
        <w:gridCol w:w="1255"/>
        <w:gridCol w:w="1257"/>
        <w:gridCol w:w="1073"/>
        <w:gridCol w:w="1522"/>
        <w:gridCol w:w="1075"/>
        <w:gridCol w:w="1299"/>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2" w:type="dxa"/>
            <w:vMerge w:val="restart"/>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序号</w:t>
            </w:r>
          </w:p>
        </w:tc>
        <w:tc>
          <w:tcPr>
            <w:tcW w:w="2331" w:type="dxa"/>
            <w:vMerge w:val="restart"/>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工程名称</w:t>
            </w:r>
          </w:p>
        </w:tc>
        <w:tc>
          <w:tcPr>
            <w:tcW w:w="991" w:type="dxa"/>
            <w:vMerge w:val="restart"/>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金额</w:t>
            </w:r>
          </w:p>
        </w:tc>
        <w:tc>
          <w:tcPr>
            <w:tcW w:w="10136" w:type="dxa"/>
            <w:gridSpan w:val="8"/>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其中：（元）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22" w:type="dxa"/>
            <w:vMerge w:val="continue"/>
            <w:vAlign w:val="center"/>
          </w:tcPr>
          <w:p>
            <w:pPr>
              <w:jc w:val="center"/>
              <w:rPr>
                <w:rFonts w:hint="eastAsia" w:ascii="宋体" w:hAnsi="宋体" w:cs="宋体"/>
                <w:b w:val="0"/>
                <w:bCs w:val="0"/>
                <w:color w:val="auto"/>
                <w:sz w:val="24"/>
                <w:szCs w:val="24"/>
                <w:vertAlign w:val="baseline"/>
                <w:lang w:val="en-US" w:eastAsia="zh-CN"/>
              </w:rPr>
            </w:pPr>
          </w:p>
        </w:tc>
        <w:tc>
          <w:tcPr>
            <w:tcW w:w="2331" w:type="dxa"/>
            <w:vMerge w:val="continue"/>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Merge w:val="continue"/>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分部分项合计</w:t>
            </w: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措施项目合计</w:t>
            </w: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其他项目合计</w:t>
            </w: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规费</w:t>
            </w: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增值是销项税额</w:t>
            </w: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附加税</w:t>
            </w: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劳保费用</w:t>
            </w: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安全文明施工费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8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233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991"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356"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57"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3"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522"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075"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c>
          <w:tcPr>
            <w:tcW w:w="1299" w:type="dxa"/>
            <w:vAlign w:val="center"/>
          </w:tcPr>
          <w:p>
            <w:pPr>
              <w:jc w:val="center"/>
              <w:rPr>
                <w:rFonts w:hint="eastAsia" w:ascii="宋体" w:hAnsi="宋体" w:eastAsia="宋体" w:cs="宋体"/>
                <w:b w:val="0"/>
                <w:bCs w:val="0"/>
                <w:color w:val="auto"/>
                <w:sz w:val="24"/>
                <w:szCs w:val="24"/>
                <w:vertAlign w:val="baseline"/>
                <w:lang w:val="en-US" w:eastAsia="zh-CN"/>
              </w:rPr>
            </w:pPr>
          </w:p>
        </w:tc>
      </w:tr>
    </w:tbl>
    <w:p>
      <w:pPr>
        <w:rPr>
          <w:rFonts w:hint="eastAsia"/>
          <w:color w:val="auto"/>
          <w:lang w:val="en-US" w:eastAsia="zh-CN"/>
        </w:rPr>
        <w:sectPr>
          <w:pgSz w:w="16838" w:h="11906" w:orient="landscape"/>
          <w:pgMar w:top="1531" w:right="1304" w:bottom="1531" w:left="130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rPr>
          <w:rFonts w:hint="eastAsia"/>
          <w:color w:val="auto"/>
        </w:rPr>
      </w:pP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t>单位工程造价汇总表</w:t>
      </w:r>
    </w:p>
    <w:p>
      <w:pPr>
        <w:widowControl/>
        <w:spacing w:after="240" w:line="360" w:lineRule="auto"/>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w:t>
      </w:r>
      <w:r>
        <w:rPr>
          <w:rFonts w:hint="eastAsia" w:ascii="宋体" w:hAnsi="宋体" w:eastAsia="宋体" w:cs="宋体"/>
          <w:color w:val="auto"/>
          <w:kern w:val="0"/>
          <w:sz w:val="24"/>
        </w:rPr>
        <w:t xml:space="preserve">     第  页共  页</w:t>
      </w:r>
    </w:p>
    <w:tbl>
      <w:tblPr>
        <w:tblStyle w:val="17"/>
        <w:tblW w:w="9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5721"/>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5721"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项 目 名 称</w:t>
            </w:r>
          </w:p>
        </w:tc>
        <w:tc>
          <w:tcPr>
            <w:tcW w:w="2712"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造价（元）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1</w:t>
            </w:r>
          </w:p>
        </w:tc>
        <w:tc>
          <w:tcPr>
            <w:tcW w:w="5721" w:type="dxa"/>
            <w:noWrap w:val="0"/>
            <w:vAlign w:val="center"/>
          </w:tcPr>
          <w:p>
            <w:pPr>
              <w:widowControl/>
              <w:spacing w:line="360" w:lineRule="auto"/>
              <w:outlineLvl w:val="9"/>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分部分项工程费</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5721" w:type="dxa"/>
            <w:noWrap w:val="0"/>
            <w:vAlign w:val="center"/>
          </w:tcPr>
          <w:p>
            <w:pPr>
              <w:widowControl/>
              <w:spacing w:line="360" w:lineRule="auto"/>
              <w:outlineLvl w:val="9"/>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措施项目费</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3</w:t>
            </w:r>
          </w:p>
        </w:tc>
        <w:tc>
          <w:tcPr>
            <w:tcW w:w="5721" w:type="dxa"/>
            <w:noWrap w:val="0"/>
            <w:vAlign w:val="center"/>
          </w:tcPr>
          <w:p>
            <w:pPr>
              <w:widowControl/>
              <w:spacing w:line="360" w:lineRule="auto"/>
              <w:outlineLvl w:val="9"/>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其他项目费</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4</w:t>
            </w:r>
          </w:p>
        </w:tc>
        <w:tc>
          <w:tcPr>
            <w:tcW w:w="5721" w:type="dxa"/>
            <w:noWrap w:val="0"/>
            <w:vAlign w:val="center"/>
          </w:tcPr>
          <w:p>
            <w:pPr>
              <w:widowControl/>
              <w:spacing w:line="360" w:lineRule="auto"/>
              <w:outlineLvl w:val="9"/>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规费</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907" w:type="dxa"/>
            <w:noWrap w:val="0"/>
            <w:vAlign w:val="center"/>
          </w:tcPr>
          <w:p>
            <w:pPr>
              <w:widowControl/>
              <w:spacing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5</w:t>
            </w:r>
          </w:p>
        </w:tc>
        <w:tc>
          <w:tcPr>
            <w:tcW w:w="5721" w:type="dxa"/>
            <w:noWrap w:val="0"/>
            <w:vAlign w:val="center"/>
          </w:tcPr>
          <w:p>
            <w:pPr>
              <w:widowControl/>
              <w:spacing w:line="360" w:lineRule="auto"/>
              <w:outlineLvl w:val="9"/>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税前工程造价</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907" w:type="dxa"/>
            <w:noWrap w:val="0"/>
            <w:vAlign w:val="center"/>
          </w:tcPr>
          <w:p>
            <w:pPr>
              <w:widowControl/>
              <w:spacing w:afterAutospacing="0"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6</w:t>
            </w:r>
          </w:p>
        </w:tc>
        <w:tc>
          <w:tcPr>
            <w:tcW w:w="5721" w:type="dxa"/>
            <w:noWrap w:val="0"/>
            <w:vAlign w:val="center"/>
          </w:tcPr>
          <w:p>
            <w:pPr>
              <w:widowControl/>
              <w:spacing w:line="360" w:lineRule="auto"/>
              <w:outlineLvl w:val="9"/>
              <w:rPr>
                <w:rFonts w:hint="eastAsia" w:ascii="宋体" w:hAnsi="宋体" w:cs="宋体"/>
                <w:color w:val="auto"/>
                <w:kern w:val="0"/>
                <w:sz w:val="24"/>
                <w:szCs w:val="22"/>
                <w:lang w:eastAsia="zh-CN"/>
              </w:rPr>
            </w:pPr>
            <w:r>
              <w:rPr>
                <w:rFonts w:hint="eastAsia" w:ascii="宋体" w:hAnsi="宋体" w:cs="宋体"/>
                <w:color w:val="auto"/>
                <w:kern w:val="0"/>
                <w:sz w:val="24"/>
                <w:szCs w:val="22"/>
                <w:lang w:eastAsia="zh-CN"/>
              </w:rPr>
              <w:t>增值税销项税额</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907" w:type="dxa"/>
            <w:noWrap w:val="0"/>
            <w:vAlign w:val="center"/>
          </w:tcPr>
          <w:p>
            <w:pPr>
              <w:widowControl/>
              <w:spacing w:afterAutospacing="0"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7</w:t>
            </w:r>
          </w:p>
        </w:tc>
        <w:tc>
          <w:tcPr>
            <w:tcW w:w="5721" w:type="dxa"/>
            <w:noWrap w:val="0"/>
            <w:vAlign w:val="center"/>
          </w:tcPr>
          <w:p>
            <w:pPr>
              <w:widowControl/>
              <w:spacing w:line="360" w:lineRule="auto"/>
              <w:outlineLvl w:val="9"/>
              <w:rPr>
                <w:rFonts w:hint="eastAsia" w:ascii="宋体" w:hAnsi="宋体" w:cs="宋体"/>
                <w:color w:val="auto"/>
                <w:kern w:val="0"/>
                <w:sz w:val="24"/>
                <w:szCs w:val="22"/>
                <w:lang w:eastAsia="zh-CN"/>
              </w:rPr>
            </w:pPr>
            <w:r>
              <w:rPr>
                <w:rFonts w:hint="eastAsia" w:ascii="宋体" w:hAnsi="宋体" w:cs="宋体"/>
                <w:color w:val="auto"/>
                <w:kern w:val="0"/>
                <w:sz w:val="24"/>
                <w:szCs w:val="22"/>
                <w:lang w:eastAsia="zh-CN"/>
              </w:rPr>
              <w:t>附加税</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Autospacing="0"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8</w:t>
            </w:r>
          </w:p>
        </w:tc>
        <w:tc>
          <w:tcPr>
            <w:tcW w:w="5721" w:type="dxa"/>
            <w:noWrap w:val="0"/>
            <w:vAlign w:val="center"/>
          </w:tcPr>
          <w:p>
            <w:pPr>
              <w:widowControl/>
              <w:spacing w:line="360" w:lineRule="auto"/>
              <w:outlineLvl w:val="9"/>
              <w:rPr>
                <w:rFonts w:hint="eastAsia" w:ascii="宋体" w:hAnsi="宋体" w:cs="宋体"/>
                <w:color w:val="auto"/>
                <w:kern w:val="0"/>
                <w:sz w:val="24"/>
                <w:szCs w:val="22"/>
                <w:lang w:eastAsia="zh-CN"/>
              </w:rPr>
            </w:pPr>
            <w:r>
              <w:rPr>
                <w:rFonts w:hint="eastAsia" w:ascii="宋体" w:hAnsi="宋体" w:cs="宋体"/>
                <w:color w:val="auto"/>
                <w:kern w:val="0"/>
                <w:sz w:val="24"/>
                <w:szCs w:val="22"/>
                <w:lang w:eastAsia="zh-CN"/>
              </w:rPr>
              <w:t>工程造价</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Autospacing="0" w:line="360" w:lineRule="auto"/>
              <w:jc w:val="center"/>
              <w:outlineLvl w:val="9"/>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9</w:t>
            </w:r>
          </w:p>
        </w:tc>
        <w:tc>
          <w:tcPr>
            <w:tcW w:w="5721" w:type="dxa"/>
            <w:noWrap w:val="0"/>
            <w:vAlign w:val="center"/>
          </w:tcPr>
          <w:p>
            <w:pPr>
              <w:widowControl/>
              <w:spacing w:line="360" w:lineRule="auto"/>
              <w:outlineLvl w:val="9"/>
              <w:rPr>
                <w:rFonts w:hint="eastAsia" w:ascii="宋体" w:hAnsi="宋体" w:cs="宋体"/>
                <w:color w:val="auto"/>
                <w:kern w:val="0"/>
                <w:sz w:val="24"/>
                <w:szCs w:val="22"/>
                <w:lang w:eastAsia="zh-CN"/>
              </w:rPr>
            </w:pPr>
            <w:r>
              <w:rPr>
                <w:rFonts w:hint="eastAsia" w:ascii="宋体" w:hAnsi="宋体" w:cs="宋体"/>
                <w:color w:val="auto"/>
                <w:kern w:val="0"/>
                <w:sz w:val="24"/>
                <w:szCs w:val="22"/>
                <w:lang w:eastAsia="zh-CN"/>
              </w:rPr>
              <w:t>扣除养老保险后工程造价</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5721"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5721"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5721"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7"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5721"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628" w:type="dxa"/>
            <w:gridSpan w:val="2"/>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计</w:t>
            </w:r>
          </w:p>
        </w:tc>
        <w:tc>
          <w:tcPr>
            <w:tcW w:w="2712" w:type="dxa"/>
            <w:noWrap w:val="0"/>
            <w:vAlign w:val="center"/>
          </w:tcPr>
          <w:p>
            <w:pPr>
              <w:widowControl/>
              <w:spacing w:after="240" w:line="360" w:lineRule="auto"/>
              <w:jc w:val="center"/>
              <w:outlineLvl w:val="9"/>
              <w:rPr>
                <w:rFonts w:hint="eastAsia" w:ascii="宋体" w:hAnsi="宋体" w:eastAsia="宋体" w:cs="宋体"/>
                <w:color w:val="auto"/>
                <w:kern w:val="0"/>
                <w:sz w:val="24"/>
              </w:rPr>
            </w:pPr>
          </w:p>
        </w:tc>
      </w:tr>
    </w:tbl>
    <w:p>
      <w:pPr>
        <w:widowControl/>
        <w:spacing w:after="240" w:line="360" w:lineRule="auto"/>
        <w:ind w:firstLine="2597" w:firstLineChars="1078"/>
        <w:outlineLvl w:val="9"/>
        <w:rPr>
          <w:rFonts w:hint="eastAsia" w:ascii="宋体" w:hAnsi="宋体" w:eastAsia="宋体" w:cs="宋体"/>
          <w:b/>
          <w:color w:val="auto"/>
          <w:kern w:val="0"/>
          <w:sz w:val="24"/>
        </w:rPr>
      </w:pPr>
    </w:p>
    <w:p>
      <w:pPr>
        <w:widowControl/>
        <w:spacing w:after="240" w:line="360" w:lineRule="auto"/>
        <w:outlineLvl w:val="9"/>
        <w:rPr>
          <w:rFonts w:hint="eastAsia" w:ascii="宋体" w:hAnsi="宋体" w:eastAsia="宋体" w:cs="宋体"/>
          <w:b/>
          <w:color w:val="auto"/>
          <w:kern w:val="0"/>
          <w:sz w:val="24"/>
        </w:rPr>
      </w:pPr>
    </w:p>
    <w:p>
      <w:pPr>
        <w:widowControl/>
        <w:spacing w:after="240" w:line="360" w:lineRule="auto"/>
        <w:outlineLvl w:val="9"/>
        <w:rPr>
          <w:rFonts w:hint="eastAsia" w:ascii="宋体" w:hAnsi="宋体" w:eastAsia="宋体" w:cs="宋体"/>
          <w:b/>
          <w:color w:val="auto"/>
          <w:kern w:val="0"/>
          <w:sz w:val="24"/>
        </w:rPr>
      </w:pP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t>分部分项工程量清单计价表</w:t>
      </w:r>
    </w:p>
    <w:p>
      <w:pPr>
        <w:widowControl/>
        <w:spacing w:after="240" w:line="360" w:lineRule="auto"/>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专业：                     </w:t>
      </w:r>
      <w:r>
        <w:rPr>
          <w:rFonts w:hint="eastAsia" w:ascii="宋体" w:hAnsi="宋体" w:eastAsia="宋体" w:cs="宋体"/>
          <w:color w:val="auto"/>
          <w:kern w:val="0"/>
          <w:sz w:val="24"/>
        </w:rPr>
        <w:t>第 页共 页</w:t>
      </w:r>
    </w:p>
    <w:tbl>
      <w:tblPr>
        <w:tblStyle w:val="17"/>
        <w:tblW w:w="93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1358"/>
        <w:gridCol w:w="1811"/>
        <w:gridCol w:w="1230"/>
        <w:gridCol w:w="1195"/>
        <w:gridCol w:w="1520"/>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atLeast"/>
        </w:trPr>
        <w:tc>
          <w:tcPr>
            <w:tcW w:w="982"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1358"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项目编码</w:t>
            </w:r>
          </w:p>
        </w:tc>
        <w:tc>
          <w:tcPr>
            <w:tcW w:w="1811"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项目名称</w:t>
            </w:r>
          </w:p>
        </w:tc>
        <w:tc>
          <w:tcPr>
            <w:tcW w:w="1230" w:type="dxa"/>
            <w:vMerge w:val="restart"/>
            <w:noWrap w:val="0"/>
            <w:vAlign w:val="center"/>
          </w:tcPr>
          <w:p>
            <w:pPr>
              <w:widowControl/>
              <w:spacing w:after="240" w:line="360" w:lineRule="auto"/>
              <w:jc w:val="center"/>
              <w:outlineLvl w:val="9"/>
              <w:rPr>
                <w:rFonts w:hint="eastAsia" w:ascii="宋体" w:hAnsi="宋体" w:eastAsia="宋体" w:cs="宋体"/>
                <w:color w:val="auto"/>
                <w:spacing w:val="-20"/>
                <w:w w:val="80"/>
                <w:kern w:val="0"/>
                <w:sz w:val="24"/>
              </w:rPr>
            </w:pPr>
            <w:r>
              <w:rPr>
                <w:rFonts w:hint="eastAsia" w:ascii="宋体" w:hAnsi="宋体" w:eastAsia="宋体" w:cs="宋体"/>
                <w:color w:val="auto"/>
                <w:kern w:val="0"/>
                <w:sz w:val="24"/>
              </w:rPr>
              <w:t>计量单位</w:t>
            </w:r>
          </w:p>
        </w:tc>
        <w:tc>
          <w:tcPr>
            <w:tcW w:w="1195"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工程数量</w:t>
            </w:r>
          </w:p>
        </w:tc>
        <w:tc>
          <w:tcPr>
            <w:tcW w:w="2733" w:type="dxa"/>
            <w:gridSpan w:val="2"/>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金 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atLeast"/>
        </w:trPr>
        <w:tc>
          <w:tcPr>
            <w:tcW w:w="982"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358"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811"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230"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195"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综合单价</w:t>
            </w:r>
          </w:p>
        </w:tc>
        <w:tc>
          <w:tcPr>
            <w:tcW w:w="1213" w:type="dxa"/>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8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82" w:type="dxa"/>
            <w:noWrap w:val="0"/>
            <w:vAlign w:val="top"/>
          </w:tcPr>
          <w:p>
            <w:pPr>
              <w:widowControl/>
              <w:spacing w:after="240" w:line="360" w:lineRule="auto"/>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82" w:type="dxa"/>
            <w:noWrap w:val="0"/>
            <w:vAlign w:val="top"/>
          </w:tcPr>
          <w:p>
            <w:pPr>
              <w:widowControl/>
              <w:spacing w:after="240" w:line="360" w:lineRule="auto"/>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82" w:type="dxa"/>
            <w:noWrap w:val="0"/>
            <w:vAlign w:val="top"/>
          </w:tcPr>
          <w:p>
            <w:pPr>
              <w:widowControl/>
              <w:spacing w:after="240" w:line="360" w:lineRule="auto"/>
              <w:outlineLvl w:val="9"/>
              <w:rPr>
                <w:rFonts w:hint="eastAsia" w:ascii="宋体" w:hAnsi="宋体" w:eastAsia="宋体" w:cs="宋体"/>
                <w:color w:val="auto"/>
                <w:kern w:val="0"/>
                <w:sz w:val="24"/>
              </w:rPr>
            </w:pPr>
          </w:p>
        </w:tc>
        <w:tc>
          <w:tcPr>
            <w:tcW w:w="1358"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81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151" w:type="dxa"/>
            <w:gridSpan w:val="3"/>
            <w:noWrap w:val="0"/>
            <w:vAlign w:val="center"/>
          </w:tcPr>
          <w:p>
            <w:pPr>
              <w:widowControl/>
              <w:spacing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本页合计</w:t>
            </w:r>
          </w:p>
        </w:tc>
        <w:tc>
          <w:tcPr>
            <w:tcW w:w="123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95"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2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13"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bl>
    <w:p>
      <w:pPr>
        <w:widowControl/>
        <w:spacing w:after="240" w:line="360" w:lineRule="auto"/>
        <w:outlineLvl w:val="9"/>
        <w:rPr>
          <w:rFonts w:hint="eastAsia" w:ascii="宋体" w:hAnsi="宋体" w:eastAsia="宋体" w:cs="宋体"/>
          <w:b/>
          <w:color w:val="auto"/>
          <w:kern w:val="0"/>
          <w:sz w:val="24"/>
        </w:rPr>
      </w:pPr>
    </w:p>
    <w:p>
      <w:pPr>
        <w:widowControl/>
        <w:spacing w:after="240" w:line="360" w:lineRule="auto"/>
        <w:outlineLvl w:val="9"/>
        <w:rPr>
          <w:rFonts w:hint="eastAsia" w:ascii="宋体" w:hAnsi="宋体" w:eastAsia="宋体" w:cs="宋体"/>
          <w:b/>
          <w:color w:val="auto"/>
          <w:kern w:val="0"/>
          <w:sz w:val="24"/>
        </w:rPr>
      </w:pP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t>措施项目清单计价表</w:t>
      </w:r>
    </w:p>
    <w:p>
      <w:pPr>
        <w:widowControl/>
        <w:spacing w:after="240" w:line="360" w:lineRule="auto"/>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专业：                   </w:t>
      </w:r>
      <w:r>
        <w:rPr>
          <w:rFonts w:hint="eastAsia" w:ascii="宋体" w:hAnsi="宋体" w:eastAsia="宋体" w:cs="宋体"/>
          <w:color w:val="auto"/>
          <w:kern w:val="0"/>
          <w:sz w:val="24"/>
        </w:rPr>
        <w:t xml:space="preserve">  第  页共  页</w:t>
      </w:r>
    </w:p>
    <w:tbl>
      <w:tblPr>
        <w:tblStyle w:val="17"/>
        <w:tblW w:w="8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455"/>
        <w:gridCol w:w="944"/>
        <w:gridCol w:w="1022"/>
        <w:gridCol w:w="216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869" w:type="dxa"/>
            <w:vMerge w:val="restart"/>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2455" w:type="dxa"/>
            <w:vMerge w:val="restart"/>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项目名称</w:t>
            </w:r>
          </w:p>
        </w:tc>
        <w:tc>
          <w:tcPr>
            <w:tcW w:w="944" w:type="dxa"/>
            <w:vMerge w:val="restart"/>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计  量</w:t>
            </w:r>
          </w:p>
          <w:p>
            <w:pPr>
              <w:widowControl/>
              <w:spacing w:beforeAutospacing="0"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单  位</w:t>
            </w:r>
          </w:p>
        </w:tc>
        <w:tc>
          <w:tcPr>
            <w:tcW w:w="1022" w:type="dxa"/>
            <w:vMerge w:val="restart"/>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工  程</w:t>
            </w:r>
          </w:p>
          <w:p>
            <w:pPr>
              <w:widowControl/>
              <w:spacing w:beforeAutospacing="0"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数  量</w:t>
            </w:r>
          </w:p>
        </w:tc>
        <w:tc>
          <w:tcPr>
            <w:tcW w:w="3651" w:type="dxa"/>
            <w:gridSpan w:val="2"/>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金 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869" w:type="dxa"/>
            <w:vMerge w:val="continue"/>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vMerge w:val="continue"/>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vMerge w:val="continue"/>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vMerge w:val="continue"/>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综 合 单 价</w:t>
            </w:r>
          </w:p>
        </w:tc>
        <w:tc>
          <w:tcPr>
            <w:tcW w:w="1491" w:type="dxa"/>
            <w:noWrap w:val="0"/>
            <w:vAlign w:val="center"/>
          </w:tcPr>
          <w:p>
            <w:pPr>
              <w:widowControl/>
              <w:spacing w:afterAutospacing="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869"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455" w:type="dxa"/>
            <w:noWrap w:val="0"/>
            <w:vAlign w:val="center"/>
          </w:tcPr>
          <w:p>
            <w:pPr>
              <w:widowControl/>
              <w:spacing w:after="240" w:line="24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计</w:t>
            </w:r>
          </w:p>
        </w:tc>
        <w:tc>
          <w:tcPr>
            <w:tcW w:w="944"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022"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2160"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c>
          <w:tcPr>
            <w:tcW w:w="1491" w:type="dxa"/>
            <w:noWrap w:val="0"/>
            <w:vAlign w:val="center"/>
          </w:tcPr>
          <w:p>
            <w:pPr>
              <w:widowControl/>
              <w:spacing w:after="240" w:line="240" w:lineRule="auto"/>
              <w:jc w:val="center"/>
              <w:outlineLvl w:val="9"/>
              <w:rPr>
                <w:rFonts w:hint="eastAsia" w:ascii="宋体" w:hAnsi="宋体" w:eastAsia="宋体" w:cs="宋体"/>
                <w:color w:val="auto"/>
                <w:kern w:val="0"/>
                <w:sz w:val="24"/>
              </w:rPr>
            </w:pPr>
          </w:p>
        </w:tc>
      </w:tr>
    </w:tbl>
    <w:p>
      <w:pPr>
        <w:widowControl/>
        <w:spacing w:after="240" w:line="360" w:lineRule="auto"/>
        <w:outlineLvl w:val="9"/>
        <w:rPr>
          <w:rFonts w:hint="eastAsia" w:ascii="宋体" w:hAnsi="宋体" w:eastAsia="宋体" w:cs="宋体"/>
          <w:b/>
          <w:color w:val="auto"/>
          <w:kern w:val="0"/>
          <w:sz w:val="24"/>
        </w:rPr>
      </w:pPr>
    </w:p>
    <w:p>
      <w:pPr>
        <w:widowControl/>
        <w:spacing w:after="240" w:line="360" w:lineRule="auto"/>
        <w:outlineLvl w:val="9"/>
        <w:rPr>
          <w:rFonts w:hint="eastAsia" w:ascii="宋体" w:hAnsi="宋体" w:eastAsia="宋体" w:cs="宋体"/>
          <w:b/>
          <w:color w:val="auto"/>
          <w:kern w:val="0"/>
          <w:sz w:val="24"/>
        </w:rPr>
      </w:pP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br w:type="page"/>
      </w: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t>其他项目清单计价表</w:t>
      </w:r>
    </w:p>
    <w:p>
      <w:pPr>
        <w:widowControl/>
        <w:spacing w:after="240" w:line="360" w:lineRule="auto"/>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专业：                       </w:t>
      </w:r>
      <w:r>
        <w:rPr>
          <w:rFonts w:hint="eastAsia" w:ascii="宋体" w:hAnsi="宋体" w:eastAsia="宋体" w:cs="宋体"/>
          <w:color w:val="auto"/>
          <w:kern w:val="0"/>
          <w:sz w:val="24"/>
        </w:rPr>
        <w:t xml:space="preserve">      第  页共  页</w:t>
      </w:r>
    </w:p>
    <w:tbl>
      <w:tblPr>
        <w:tblStyle w:val="17"/>
        <w:tblW w:w="91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971"/>
        <w:gridCol w:w="986"/>
        <w:gridCol w:w="986"/>
        <w:gridCol w:w="1929"/>
        <w:gridCol w:w="1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697"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序</w:t>
            </w:r>
          </w:p>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号</w:t>
            </w:r>
          </w:p>
        </w:tc>
        <w:tc>
          <w:tcPr>
            <w:tcW w:w="2971"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项目名称</w:t>
            </w:r>
          </w:p>
        </w:tc>
        <w:tc>
          <w:tcPr>
            <w:tcW w:w="986"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计量</w:t>
            </w:r>
          </w:p>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单位</w:t>
            </w:r>
          </w:p>
        </w:tc>
        <w:tc>
          <w:tcPr>
            <w:tcW w:w="986" w:type="dxa"/>
            <w:vMerge w:val="restart"/>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w:t>
            </w:r>
          </w:p>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数量</w:t>
            </w:r>
          </w:p>
        </w:tc>
        <w:tc>
          <w:tcPr>
            <w:tcW w:w="3486" w:type="dxa"/>
            <w:gridSpan w:val="2"/>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金 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trPr>
        <w:tc>
          <w:tcPr>
            <w:tcW w:w="697"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2971"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986"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986" w:type="dxa"/>
            <w:vMerge w:val="continue"/>
            <w:noWrap w:val="0"/>
            <w:vAlign w:val="center"/>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综 合 单 价</w:t>
            </w:r>
          </w:p>
        </w:tc>
        <w:tc>
          <w:tcPr>
            <w:tcW w:w="1557" w:type="dxa"/>
            <w:noWrap w:val="0"/>
            <w:vAlign w:val="center"/>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1</w:t>
            </w:r>
          </w:p>
        </w:tc>
        <w:tc>
          <w:tcPr>
            <w:tcW w:w="2971" w:type="dxa"/>
            <w:noWrap w:val="0"/>
            <w:vAlign w:val="center"/>
          </w:tcPr>
          <w:p>
            <w:pPr>
              <w:widowControl/>
              <w:spacing w:afterAutospacing="0" w:line="360" w:lineRule="auto"/>
              <w:jc w:val="both"/>
              <w:outlineLvl w:val="9"/>
              <w:rPr>
                <w:rFonts w:hint="eastAsia" w:ascii="宋体" w:hAnsi="宋体" w:eastAsia="宋体" w:cs="宋体"/>
                <w:color w:val="auto"/>
                <w:kern w:val="0"/>
                <w:sz w:val="24"/>
              </w:rPr>
            </w:pPr>
            <w:r>
              <w:rPr>
                <w:rFonts w:hint="eastAsia" w:ascii="宋体" w:hAnsi="宋体" w:eastAsia="宋体" w:cs="宋体"/>
                <w:color w:val="auto"/>
                <w:kern w:val="0"/>
                <w:sz w:val="24"/>
              </w:rPr>
              <w:t>暂列金额</w:t>
            </w: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2971" w:type="dxa"/>
            <w:noWrap w:val="0"/>
            <w:vAlign w:val="center"/>
          </w:tcPr>
          <w:p>
            <w:pPr>
              <w:widowControl/>
              <w:spacing w:afterAutospacing="0" w:line="360" w:lineRule="auto"/>
              <w:jc w:val="both"/>
              <w:outlineLvl w:val="9"/>
              <w:rPr>
                <w:rFonts w:hint="eastAsia" w:ascii="宋体" w:hAnsi="宋体" w:eastAsia="宋体" w:cs="宋体"/>
                <w:color w:val="auto"/>
                <w:kern w:val="0"/>
                <w:sz w:val="24"/>
              </w:rPr>
            </w:pPr>
            <w:r>
              <w:rPr>
                <w:rFonts w:hint="eastAsia" w:ascii="宋体" w:hAnsi="宋体" w:eastAsia="宋体" w:cs="宋体"/>
                <w:color w:val="auto"/>
                <w:kern w:val="0"/>
                <w:sz w:val="24"/>
              </w:rPr>
              <w:t>专业工程暂估价</w:t>
            </w: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3</w:t>
            </w:r>
          </w:p>
        </w:tc>
        <w:tc>
          <w:tcPr>
            <w:tcW w:w="2971" w:type="dxa"/>
            <w:noWrap w:val="0"/>
            <w:vAlign w:val="center"/>
          </w:tcPr>
          <w:p>
            <w:pPr>
              <w:widowControl/>
              <w:spacing w:afterAutospacing="0" w:line="360" w:lineRule="auto"/>
              <w:jc w:val="both"/>
              <w:outlineLvl w:val="9"/>
              <w:rPr>
                <w:rFonts w:hint="eastAsia" w:ascii="宋体" w:hAnsi="宋体" w:eastAsia="宋体" w:cs="宋体"/>
                <w:color w:val="auto"/>
                <w:kern w:val="0"/>
                <w:sz w:val="24"/>
              </w:rPr>
            </w:pPr>
            <w:r>
              <w:rPr>
                <w:rFonts w:hint="eastAsia" w:ascii="宋体" w:hAnsi="宋体" w:eastAsia="宋体" w:cs="宋体"/>
                <w:color w:val="auto"/>
                <w:kern w:val="0"/>
                <w:sz w:val="24"/>
              </w:rPr>
              <w:t>计日工</w:t>
            </w: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4</w:t>
            </w:r>
          </w:p>
        </w:tc>
        <w:tc>
          <w:tcPr>
            <w:tcW w:w="2971" w:type="dxa"/>
            <w:noWrap w:val="0"/>
            <w:vAlign w:val="center"/>
          </w:tcPr>
          <w:p>
            <w:pPr>
              <w:widowControl/>
              <w:spacing w:afterAutospacing="0" w:line="360" w:lineRule="auto"/>
              <w:jc w:val="both"/>
              <w:outlineLvl w:val="9"/>
              <w:rPr>
                <w:rFonts w:hint="eastAsia" w:ascii="宋体" w:hAnsi="宋体" w:eastAsia="宋体" w:cs="宋体"/>
                <w:color w:val="auto"/>
                <w:kern w:val="0"/>
                <w:sz w:val="24"/>
              </w:rPr>
            </w:pPr>
            <w:r>
              <w:rPr>
                <w:rFonts w:hint="eastAsia" w:ascii="宋体" w:hAnsi="宋体" w:eastAsia="宋体" w:cs="宋体"/>
                <w:color w:val="auto"/>
                <w:kern w:val="0"/>
                <w:sz w:val="24"/>
              </w:rPr>
              <w:t xml:space="preserve">总承包服务费 </w:t>
            </w: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9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697" w:type="dxa"/>
            <w:tcBorders>
              <w:tr2bl w:val="single" w:color="auto" w:sz="4" w:space="0"/>
            </w:tcBorders>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971" w:type="dxa"/>
            <w:noWrap w:val="0"/>
            <w:vAlign w:val="top"/>
          </w:tcPr>
          <w:p>
            <w:pPr>
              <w:widowControl/>
              <w:spacing w:after="240" w:line="360" w:lineRule="auto"/>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合 计</w:t>
            </w: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986"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929"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557"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bl>
    <w:p>
      <w:pPr>
        <w:jc w:val="center"/>
        <w:outlineLvl w:val="9"/>
        <w:rPr>
          <w:rFonts w:hint="eastAsia" w:ascii="宋体" w:hAnsi="宋体" w:eastAsia="宋体" w:cs="宋体"/>
          <w:color w:val="auto"/>
          <w:kern w:val="0"/>
          <w:sz w:val="24"/>
        </w:rPr>
      </w:pPr>
    </w:p>
    <w:p>
      <w:pPr>
        <w:jc w:val="both"/>
        <w:outlineLvl w:val="9"/>
        <w:rPr>
          <w:rFonts w:hint="eastAsia" w:ascii="宋体" w:hAnsi="宋体" w:eastAsia="宋体" w:cs="宋体"/>
          <w:color w:val="auto"/>
          <w:kern w:val="0"/>
          <w:sz w:val="24"/>
        </w:rPr>
      </w:pPr>
    </w:p>
    <w:p>
      <w:pPr>
        <w:spacing w:afterAutospacing="0" w:line="240" w:lineRule="auto"/>
        <w:jc w:val="both"/>
        <w:outlineLvl w:val="9"/>
        <w:rPr>
          <w:rFonts w:hint="eastAsia" w:ascii="宋体" w:hAnsi="宋体" w:eastAsia="宋体" w:cs="宋体"/>
          <w:color w:val="auto"/>
          <w:kern w:val="0"/>
          <w:sz w:val="24"/>
          <w:szCs w:val="24"/>
        </w:rPr>
      </w:pPr>
    </w:p>
    <w:tbl>
      <w:tblPr>
        <w:tblStyle w:val="17"/>
        <w:tblpPr w:leftFromText="180" w:rightFromText="180" w:vertAnchor="text" w:horzAnchor="page" w:tblpX="1456" w:tblpY="1748"/>
        <w:tblOverlap w:val="never"/>
        <w:tblW w:w="89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265"/>
        <w:gridCol w:w="2590"/>
        <w:gridCol w:w="1126"/>
        <w:gridCol w:w="1161"/>
        <w:gridCol w:w="1544"/>
        <w:gridCol w:w="12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rPr>
        <w:tc>
          <w:tcPr>
            <w:tcW w:w="1265" w:type="dxa"/>
            <w:vMerge w:val="restart"/>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序号</w:t>
            </w:r>
          </w:p>
        </w:tc>
        <w:tc>
          <w:tcPr>
            <w:tcW w:w="2590" w:type="dxa"/>
            <w:vMerge w:val="restart"/>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项目名称</w:t>
            </w:r>
          </w:p>
        </w:tc>
        <w:tc>
          <w:tcPr>
            <w:tcW w:w="1126" w:type="dxa"/>
            <w:vMerge w:val="restart"/>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计量单位</w:t>
            </w:r>
          </w:p>
        </w:tc>
        <w:tc>
          <w:tcPr>
            <w:tcW w:w="1161" w:type="dxa"/>
            <w:vMerge w:val="restart"/>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工程数量</w:t>
            </w:r>
          </w:p>
        </w:tc>
        <w:tc>
          <w:tcPr>
            <w:tcW w:w="2773" w:type="dxa"/>
            <w:gridSpan w:val="2"/>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金  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rPr>
        <w:tc>
          <w:tcPr>
            <w:tcW w:w="1265" w:type="dxa"/>
            <w:vMerge w:val="continue"/>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vMerge w:val="continue"/>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vMerge w:val="continue"/>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vMerge w:val="continue"/>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综合单价</w:t>
            </w: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合  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一</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规费</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社会保障费</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1.1</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养老保险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1.2</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失业保险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1.3</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医疗保险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1.4</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工伤保险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1.5</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残疾人就业保险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1.6</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女工生育保险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2</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住房公积金</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3</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危险作业意外伤害保险</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7686" w:type="dxa"/>
            <w:gridSpan w:val="5"/>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规费合计</w:t>
            </w: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二</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安全文明施工措施费</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7686" w:type="dxa"/>
            <w:gridSpan w:val="5"/>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安全文明施工措施费合计</w:t>
            </w: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三</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增值税销项税额</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四</w:t>
            </w: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附加税</w:t>
            </w: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w:t>
            </w: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1</w:t>
            </w: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126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2590"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26"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161"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544"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c>
          <w:tcPr>
            <w:tcW w:w="122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pPr>
              <w:widowControl/>
              <w:jc w:val="center"/>
              <w:outlineLvl w:val="9"/>
              <w:rPr>
                <w:rFonts w:hint="eastAsia" w:ascii="宋体" w:hAnsi="宋体" w:eastAsia="宋体" w:cs="宋体"/>
                <w:color w:val="auto"/>
                <w:kern w:val="0"/>
                <w:sz w:val="24"/>
              </w:rPr>
            </w:pPr>
          </w:p>
        </w:tc>
      </w:tr>
    </w:tbl>
    <w:p>
      <w:pPr>
        <w:widowControl/>
        <w:spacing w:afterAutospacing="0" w:line="360" w:lineRule="auto"/>
        <w:jc w:val="center"/>
        <w:outlineLvl w:val="9"/>
        <w:rPr>
          <w:rFonts w:hint="eastAsia" w:ascii="宋体" w:hAnsi="宋体" w:eastAsia="宋体" w:cs="宋体"/>
          <w:b/>
          <w:color w:val="auto"/>
          <w:kern w:val="2"/>
          <w:sz w:val="30"/>
          <w:szCs w:val="30"/>
          <w:lang w:val="en-US" w:eastAsia="zh-CN" w:bidi="ar-SA"/>
        </w:rPr>
      </w:pPr>
      <w:r>
        <w:rPr>
          <w:rFonts w:hint="eastAsia" w:ascii="宋体" w:hAnsi="宋体" w:eastAsia="宋体" w:cs="宋体"/>
          <w:b/>
          <w:color w:val="auto"/>
          <w:kern w:val="2"/>
          <w:sz w:val="30"/>
          <w:szCs w:val="30"/>
          <w:lang w:val="en-US" w:eastAsia="zh-CN" w:bidi="ar-SA"/>
        </w:rPr>
        <w:t>规费、税金项目清单计价表</w:t>
      </w:r>
    </w:p>
    <w:p>
      <w:pPr>
        <w:widowControl/>
        <w:spacing w:beforeAutospacing="0" w:afterAutospacing="0" w:line="360" w:lineRule="auto"/>
        <w:ind w:right="-922" w:rightChars="-439"/>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专业：                 </w:t>
      </w:r>
      <w:r>
        <w:rPr>
          <w:rFonts w:hint="eastAsia" w:ascii="宋体" w:hAnsi="宋体" w:eastAsia="宋体" w:cs="宋体"/>
          <w:color w:val="auto"/>
          <w:kern w:val="0"/>
          <w:sz w:val="24"/>
        </w:rPr>
        <w:t xml:space="preserve">  第  页共  页</w:t>
      </w:r>
    </w:p>
    <w:p>
      <w:pPr>
        <w:widowControl/>
        <w:spacing w:beforeAutospacing="0" w:after="240" w:line="360" w:lineRule="auto"/>
        <w:outlineLvl w:val="9"/>
        <w:rPr>
          <w:rFonts w:hint="eastAsia" w:ascii="宋体" w:hAnsi="宋体" w:eastAsia="宋体" w:cs="宋体"/>
          <w:b/>
          <w:color w:val="auto"/>
          <w:kern w:val="2"/>
          <w:sz w:val="30"/>
          <w:szCs w:val="30"/>
          <w:lang w:val="en-US" w:eastAsia="zh-CN" w:bidi="ar-SA"/>
        </w:rPr>
      </w:pPr>
    </w:p>
    <w:p>
      <w:pPr>
        <w:tabs>
          <w:tab w:val="left" w:pos="1260"/>
        </w:tabs>
        <w:jc w:val="center"/>
        <w:outlineLvl w:val="9"/>
        <w:rPr>
          <w:rFonts w:hint="eastAsia" w:ascii="宋体" w:hAnsi="宋体" w:eastAsia="宋体" w:cs="宋体"/>
          <w:b/>
          <w:bCs/>
          <w:color w:val="auto"/>
          <w:sz w:val="30"/>
          <w:szCs w:val="30"/>
        </w:rPr>
      </w:pPr>
      <w:r>
        <w:rPr>
          <w:rFonts w:hint="eastAsia" w:ascii="宋体" w:hAnsi="宋体" w:eastAsia="宋体" w:cs="宋体"/>
          <w:b/>
          <w:bCs/>
          <w:color w:val="auto"/>
          <w:sz w:val="30"/>
          <w:szCs w:val="30"/>
        </w:rPr>
        <w:t>主要材料价格表</w:t>
      </w:r>
    </w:p>
    <w:p>
      <w:pPr>
        <w:widowControl/>
        <w:spacing w:after="240" w:line="360" w:lineRule="auto"/>
        <w:ind w:right="-922" w:rightChars="-439"/>
        <w:outlineLvl w:val="9"/>
        <w:rPr>
          <w:rFonts w:hint="eastAsia" w:ascii="宋体" w:hAnsi="宋体" w:eastAsia="宋体" w:cs="宋体"/>
          <w:color w:val="auto"/>
          <w:kern w:val="0"/>
          <w:sz w:val="24"/>
        </w:rPr>
      </w:pPr>
      <w:r>
        <w:rPr>
          <w:rFonts w:hint="eastAsia" w:ascii="宋体" w:hAnsi="宋体" w:eastAsia="宋体" w:cs="宋体"/>
          <w:color w:val="auto"/>
          <w:kern w:val="0"/>
          <w:sz w:val="24"/>
        </w:rPr>
        <w:t>工程名称：</w:t>
      </w:r>
      <w:r>
        <w:rPr>
          <w:rFonts w:hint="eastAsia" w:ascii="宋体" w:hAnsi="宋体" w:eastAsia="宋体" w:cs="宋体"/>
          <w:color w:val="auto"/>
          <w:sz w:val="24"/>
        </w:rPr>
        <w:t xml:space="preserve">                       专业：                 </w:t>
      </w:r>
      <w:r>
        <w:rPr>
          <w:rFonts w:hint="eastAsia" w:ascii="宋体" w:hAnsi="宋体" w:eastAsia="宋体" w:cs="宋体"/>
          <w:color w:val="auto"/>
          <w:kern w:val="0"/>
          <w:sz w:val="24"/>
        </w:rPr>
        <w:t xml:space="preserve">  第  页共  页</w:t>
      </w:r>
    </w:p>
    <w:tbl>
      <w:tblPr>
        <w:tblStyle w:val="17"/>
        <w:tblW w:w="94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402"/>
        <w:gridCol w:w="2604"/>
        <w:gridCol w:w="1202"/>
        <w:gridCol w:w="1162"/>
        <w:gridCol w:w="1041"/>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1402" w:type="dxa"/>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材料编码</w:t>
            </w:r>
          </w:p>
        </w:tc>
        <w:tc>
          <w:tcPr>
            <w:tcW w:w="2604" w:type="dxa"/>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材料名称、规格、</w:t>
            </w:r>
          </w:p>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型号</w:t>
            </w:r>
          </w:p>
        </w:tc>
        <w:tc>
          <w:tcPr>
            <w:tcW w:w="1202" w:type="dxa"/>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单 位</w:t>
            </w:r>
          </w:p>
        </w:tc>
        <w:tc>
          <w:tcPr>
            <w:tcW w:w="1162" w:type="dxa"/>
            <w:noWrap w:val="0"/>
            <w:vAlign w:val="center"/>
          </w:tcPr>
          <w:p>
            <w:pPr>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数量</w:t>
            </w:r>
          </w:p>
        </w:tc>
        <w:tc>
          <w:tcPr>
            <w:tcW w:w="1041" w:type="dxa"/>
            <w:noWrap w:val="0"/>
            <w:vAlign w:val="center"/>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单价</w:t>
            </w:r>
          </w:p>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（元）</w:t>
            </w:r>
          </w:p>
        </w:tc>
        <w:tc>
          <w:tcPr>
            <w:tcW w:w="1150" w:type="dxa"/>
            <w:noWrap w:val="0"/>
            <w:vAlign w:val="top"/>
          </w:tcPr>
          <w:p>
            <w:pPr>
              <w:widowControl/>
              <w:jc w:val="center"/>
              <w:outlineLvl w:val="9"/>
              <w:rPr>
                <w:rFonts w:hint="eastAsia" w:ascii="宋体" w:hAnsi="宋体" w:eastAsia="宋体" w:cs="宋体"/>
                <w:color w:val="auto"/>
                <w:kern w:val="0"/>
                <w:sz w:val="24"/>
              </w:rPr>
            </w:pPr>
            <w:r>
              <w:rPr>
                <w:rFonts w:hint="eastAsia" w:ascii="宋体" w:hAnsi="宋体" w:eastAsia="宋体" w:cs="宋体"/>
                <w:color w:val="auto"/>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92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4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2604"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20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62"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041"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c>
          <w:tcPr>
            <w:tcW w:w="1150" w:type="dxa"/>
            <w:noWrap w:val="0"/>
            <w:vAlign w:val="top"/>
          </w:tcPr>
          <w:p>
            <w:pPr>
              <w:widowControl/>
              <w:spacing w:after="240" w:line="360" w:lineRule="auto"/>
              <w:jc w:val="center"/>
              <w:outlineLvl w:val="9"/>
              <w:rPr>
                <w:rFonts w:hint="eastAsia" w:ascii="宋体" w:hAnsi="宋体" w:eastAsia="宋体" w:cs="宋体"/>
                <w:color w:val="auto"/>
                <w:kern w:val="0"/>
                <w:sz w:val="24"/>
              </w:rPr>
            </w:pPr>
          </w:p>
        </w:tc>
      </w:tr>
    </w:tbl>
    <w:p>
      <w:pPr>
        <w:spacing w:line="500" w:lineRule="exact"/>
        <w:outlineLvl w:val="9"/>
        <w:rPr>
          <w:rFonts w:hint="eastAsia" w:ascii="宋体" w:hAnsi="宋体" w:eastAsia="宋体" w:cs="宋体"/>
          <w:b/>
          <w:color w:val="auto"/>
          <w:sz w:val="32"/>
        </w:rPr>
      </w:pPr>
    </w:p>
    <w:p>
      <w:pPr>
        <w:spacing w:line="360" w:lineRule="auto"/>
        <w:ind w:right="456"/>
        <w:jc w:val="both"/>
        <w:outlineLvl w:val="9"/>
        <w:rPr>
          <w:rFonts w:hint="eastAsia" w:ascii="宋体" w:hAnsi="宋体"/>
          <w:b/>
          <w:bCs/>
          <w:color w:val="auto"/>
          <w:sz w:val="24"/>
          <w:szCs w:val="24"/>
        </w:rPr>
      </w:pPr>
      <w:r>
        <w:rPr>
          <w:rFonts w:hint="eastAsia" w:ascii="宋体" w:hAnsi="宋体"/>
          <w:b/>
          <w:bCs/>
          <w:color w:val="auto"/>
          <w:sz w:val="24"/>
          <w:szCs w:val="24"/>
        </w:rPr>
        <w:br w:type="page"/>
      </w:r>
    </w:p>
    <w:p>
      <w:pPr>
        <w:spacing w:line="360" w:lineRule="auto"/>
        <w:ind w:right="456"/>
        <w:jc w:val="both"/>
        <w:outlineLvl w:val="9"/>
        <w:rPr>
          <w:rFonts w:hint="eastAsia" w:ascii="宋体" w:hAnsi="宋体"/>
          <w:b/>
          <w:bCs/>
          <w:color w:val="auto"/>
          <w:sz w:val="24"/>
          <w:szCs w:val="24"/>
        </w:rPr>
      </w:pPr>
      <w:r>
        <w:rPr>
          <w:rFonts w:hint="eastAsia" w:ascii="宋体" w:hAnsi="宋体"/>
          <w:b/>
          <w:bCs/>
          <w:color w:val="auto"/>
          <w:sz w:val="24"/>
          <w:szCs w:val="24"/>
        </w:rPr>
        <w:t>附件</w:t>
      </w:r>
      <w:r>
        <w:rPr>
          <w:rFonts w:hint="eastAsia" w:ascii="宋体" w:hAnsi="宋体"/>
          <w:b/>
          <w:bCs/>
          <w:color w:val="auto"/>
          <w:sz w:val="24"/>
          <w:szCs w:val="24"/>
          <w:lang w:val="en-US" w:eastAsia="zh-CN"/>
        </w:rPr>
        <w:t>1</w:t>
      </w:r>
      <w:r>
        <w:rPr>
          <w:rFonts w:hint="eastAsia" w:ascii="宋体" w:hAnsi="宋体"/>
          <w:b/>
          <w:bCs/>
          <w:color w:val="auto"/>
          <w:sz w:val="24"/>
          <w:szCs w:val="24"/>
        </w:rPr>
        <w:t>：</w:t>
      </w:r>
    </w:p>
    <w:p>
      <w:pPr>
        <w:keepNext w:val="0"/>
        <w:keepLines w:val="0"/>
        <w:widowControl/>
        <w:suppressLineNumbers w:val="0"/>
        <w:jc w:val="center"/>
      </w:pPr>
      <w:r>
        <w:rPr>
          <w:rFonts w:hint="eastAsia" w:ascii="宋体" w:hAnsi="宋体" w:eastAsia="宋体" w:cs="宋体"/>
          <w:b/>
          <w:color w:val="000000"/>
          <w:kern w:val="0"/>
          <w:sz w:val="36"/>
          <w:szCs w:val="36"/>
          <w:lang w:val="en-US" w:eastAsia="zh-CN" w:bidi="ar"/>
        </w:rPr>
        <w:t>中小企业声明函</w:t>
      </w:r>
    </w:p>
    <w:p>
      <w:pPr>
        <w:spacing w:line="360" w:lineRule="auto"/>
        <w:ind w:right="456" w:firstLine="720" w:firstLineChars="300"/>
        <w:jc w:val="left"/>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本公司郑重声明，根据《政府采购促进中小企业发展管理办法》（财库﹝2020﹞46 号）的规定，本公司参加</w:t>
      </w:r>
      <w:r>
        <w:rPr>
          <w:rFonts w:hint="eastAsia" w:ascii="宋体" w:hAnsi="宋体"/>
          <w:b w:val="0"/>
          <w:bCs w:val="0"/>
          <w:color w:val="auto"/>
          <w:sz w:val="24"/>
          <w:szCs w:val="24"/>
          <w:u w:val="single"/>
          <w:lang w:val="en-US" w:eastAsia="zh-CN"/>
        </w:rPr>
        <w:t>（单位名称）</w:t>
      </w:r>
      <w:r>
        <w:rPr>
          <w:rFonts w:hint="eastAsia" w:ascii="宋体" w:hAnsi="宋体"/>
          <w:b w:val="0"/>
          <w:bCs w:val="0"/>
          <w:color w:val="auto"/>
          <w:sz w:val="24"/>
          <w:szCs w:val="24"/>
          <w:lang w:val="en-US" w:eastAsia="zh-CN"/>
        </w:rPr>
        <w:t>的</w:t>
      </w:r>
      <w:r>
        <w:rPr>
          <w:rFonts w:hint="eastAsia" w:ascii="宋体" w:hAnsi="宋体"/>
          <w:b w:val="0"/>
          <w:bCs w:val="0"/>
          <w:color w:val="auto"/>
          <w:sz w:val="24"/>
          <w:szCs w:val="24"/>
          <w:u w:val="single"/>
          <w:lang w:val="en-US" w:eastAsia="zh-CN"/>
        </w:rPr>
        <w:t>（项目名称）</w:t>
      </w:r>
      <w:r>
        <w:rPr>
          <w:rFonts w:hint="eastAsia" w:ascii="宋体" w:hAnsi="宋体"/>
          <w:b w:val="0"/>
          <w:bCs w:val="0"/>
          <w:color w:val="auto"/>
          <w:sz w:val="24"/>
          <w:szCs w:val="24"/>
          <w:lang w:val="en-US" w:eastAsia="zh-CN"/>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right="456" w:firstLine="480" w:firstLineChars="200"/>
        <w:jc w:val="left"/>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 xml:space="preserve">1. </w:t>
      </w:r>
      <w:r>
        <w:rPr>
          <w:rFonts w:hint="eastAsia" w:ascii="宋体" w:hAnsi="宋体"/>
          <w:b w:val="0"/>
          <w:bCs w:val="0"/>
          <w:color w:val="auto"/>
          <w:sz w:val="24"/>
          <w:szCs w:val="24"/>
          <w:u w:val="single"/>
          <w:lang w:val="en-US" w:eastAsia="zh-CN"/>
        </w:rPr>
        <w:t>（标的名称）</w:t>
      </w:r>
      <w:r>
        <w:rPr>
          <w:rFonts w:hint="eastAsia" w:ascii="宋体" w:hAnsi="宋体"/>
          <w:b w:val="0"/>
          <w:bCs w:val="0"/>
          <w:color w:val="auto"/>
          <w:sz w:val="24"/>
          <w:szCs w:val="24"/>
          <w:lang w:val="en-US" w:eastAsia="zh-CN"/>
        </w:rPr>
        <w:t xml:space="preserve"> ，属于</w:t>
      </w:r>
      <w:r>
        <w:rPr>
          <w:rFonts w:hint="eastAsia" w:ascii="宋体" w:hAnsi="宋体"/>
          <w:b w:val="0"/>
          <w:bCs w:val="0"/>
          <w:color w:val="auto"/>
          <w:sz w:val="24"/>
          <w:szCs w:val="24"/>
          <w:u w:val="single"/>
          <w:lang w:val="en-US" w:eastAsia="zh-CN"/>
        </w:rPr>
        <w:t>（采购文件中明确的所属行业）</w:t>
      </w:r>
      <w:r>
        <w:rPr>
          <w:rFonts w:hint="eastAsia" w:ascii="宋体" w:hAnsi="宋体"/>
          <w:b w:val="0"/>
          <w:bCs w:val="0"/>
          <w:color w:val="auto"/>
          <w:sz w:val="24"/>
          <w:szCs w:val="24"/>
          <w:lang w:val="en-US" w:eastAsia="zh-CN"/>
        </w:rPr>
        <w:t>；承建（承接）企业为</w:t>
      </w:r>
      <w:r>
        <w:rPr>
          <w:rFonts w:hint="eastAsia" w:ascii="宋体" w:hAnsi="宋体"/>
          <w:b w:val="0"/>
          <w:bCs w:val="0"/>
          <w:color w:val="auto"/>
          <w:sz w:val="24"/>
          <w:szCs w:val="24"/>
          <w:u w:val="single"/>
          <w:lang w:val="en-US" w:eastAsia="zh-CN"/>
        </w:rPr>
        <w:t>（企业名称）</w:t>
      </w:r>
      <w:r>
        <w:rPr>
          <w:rFonts w:hint="eastAsia" w:ascii="宋体" w:hAnsi="宋体"/>
          <w:b w:val="0"/>
          <w:bCs w:val="0"/>
          <w:color w:val="auto"/>
          <w:sz w:val="24"/>
          <w:szCs w:val="24"/>
          <w:lang w:val="en-US" w:eastAsia="zh-CN"/>
        </w:rPr>
        <w:t>，从业人员</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人，营业收入为</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万元，资产总额</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万元，属于</w:t>
      </w:r>
      <w:r>
        <w:rPr>
          <w:rFonts w:hint="eastAsia" w:ascii="宋体" w:hAnsi="宋体"/>
          <w:b w:val="0"/>
          <w:bCs w:val="0"/>
          <w:color w:val="auto"/>
          <w:sz w:val="24"/>
          <w:szCs w:val="24"/>
          <w:u w:val="single"/>
          <w:lang w:val="en-US" w:eastAsia="zh-CN"/>
        </w:rPr>
        <w:t>（中型企业、小型企业、微型企业）</w:t>
      </w:r>
      <w:r>
        <w:rPr>
          <w:rFonts w:hint="eastAsia" w:ascii="宋体" w:hAnsi="宋体"/>
          <w:b w:val="0"/>
          <w:bCs w:val="0"/>
          <w:color w:val="auto"/>
          <w:sz w:val="24"/>
          <w:szCs w:val="24"/>
          <w:lang w:val="en-US" w:eastAsia="zh-CN"/>
        </w:rPr>
        <w:t xml:space="preserve">； </w:t>
      </w:r>
    </w:p>
    <w:p>
      <w:pPr>
        <w:spacing w:line="360" w:lineRule="auto"/>
        <w:ind w:right="456" w:firstLine="480" w:firstLineChars="200"/>
        <w:jc w:val="left"/>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 xml:space="preserve">2. </w:t>
      </w:r>
      <w:r>
        <w:rPr>
          <w:rFonts w:hint="eastAsia" w:ascii="宋体" w:hAnsi="宋体"/>
          <w:b w:val="0"/>
          <w:bCs w:val="0"/>
          <w:color w:val="auto"/>
          <w:sz w:val="24"/>
          <w:szCs w:val="24"/>
          <w:u w:val="single"/>
          <w:lang w:val="en-US" w:eastAsia="zh-CN"/>
        </w:rPr>
        <w:t xml:space="preserve">（标的名称） </w:t>
      </w:r>
      <w:r>
        <w:rPr>
          <w:rFonts w:hint="eastAsia" w:ascii="宋体" w:hAnsi="宋体"/>
          <w:b w:val="0"/>
          <w:bCs w:val="0"/>
          <w:color w:val="auto"/>
          <w:sz w:val="24"/>
          <w:szCs w:val="24"/>
          <w:lang w:val="en-US" w:eastAsia="zh-CN"/>
        </w:rPr>
        <w:t>，属于</w:t>
      </w:r>
      <w:r>
        <w:rPr>
          <w:rFonts w:hint="eastAsia" w:ascii="宋体" w:hAnsi="宋体"/>
          <w:b w:val="0"/>
          <w:bCs w:val="0"/>
          <w:color w:val="auto"/>
          <w:sz w:val="24"/>
          <w:szCs w:val="24"/>
          <w:u w:val="single"/>
          <w:lang w:val="en-US" w:eastAsia="zh-CN"/>
        </w:rPr>
        <w:t>（采购文件中明确的所属行业）</w:t>
      </w:r>
      <w:r>
        <w:rPr>
          <w:rFonts w:hint="eastAsia" w:ascii="宋体" w:hAnsi="宋体"/>
          <w:b w:val="0"/>
          <w:bCs w:val="0"/>
          <w:color w:val="auto"/>
          <w:sz w:val="24"/>
          <w:szCs w:val="24"/>
          <w:lang w:val="en-US" w:eastAsia="zh-CN"/>
        </w:rPr>
        <w:t>； 承建（承接）企业为</w:t>
      </w:r>
      <w:r>
        <w:rPr>
          <w:rFonts w:hint="eastAsia" w:ascii="宋体" w:hAnsi="宋体"/>
          <w:b w:val="0"/>
          <w:bCs w:val="0"/>
          <w:color w:val="auto"/>
          <w:sz w:val="24"/>
          <w:szCs w:val="24"/>
          <w:u w:val="single"/>
          <w:lang w:val="en-US" w:eastAsia="zh-CN"/>
        </w:rPr>
        <w:t>（企业名称）</w:t>
      </w:r>
      <w:r>
        <w:rPr>
          <w:rFonts w:hint="eastAsia" w:ascii="宋体" w:hAnsi="宋体"/>
          <w:b w:val="0"/>
          <w:bCs w:val="0"/>
          <w:color w:val="auto"/>
          <w:sz w:val="24"/>
          <w:szCs w:val="24"/>
          <w:lang w:val="en-US" w:eastAsia="zh-CN"/>
        </w:rPr>
        <w:t>，从业人员</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人，营业收入为</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万元，资产总额为</w:t>
      </w:r>
      <w:r>
        <w:rPr>
          <w:rFonts w:hint="eastAsia" w:ascii="宋体" w:hAnsi="宋体"/>
          <w:b w:val="0"/>
          <w:bCs w:val="0"/>
          <w:color w:val="auto"/>
          <w:sz w:val="24"/>
          <w:szCs w:val="24"/>
          <w:u w:val="single"/>
          <w:lang w:val="en-US" w:eastAsia="zh-CN"/>
        </w:rPr>
        <w:t xml:space="preserve">  </w:t>
      </w:r>
      <w:r>
        <w:rPr>
          <w:rFonts w:hint="eastAsia" w:ascii="宋体" w:hAnsi="宋体"/>
          <w:b w:val="0"/>
          <w:bCs w:val="0"/>
          <w:color w:val="auto"/>
          <w:sz w:val="24"/>
          <w:szCs w:val="24"/>
          <w:lang w:val="en-US" w:eastAsia="zh-CN"/>
        </w:rPr>
        <w:t xml:space="preserve">万元，属于（中型企业、小型企业、微型企业）；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w:t>
      </w:r>
    </w:p>
    <w:p>
      <w:pPr>
        <w:spacing w:line="360" w:lineRule="auto"/>
        <w:ind w:right="456" w:firstLine="480" w:firstLineChars="200"/>
        <w:jc w:val="left"/>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360" w:lineRule="auto"/>
        <w:ind w:right="456"/>
        <w:jc w:val="left"/>
        <w:outlineLvl w:val="9"/>
        <w:rPr>
          <w:rFonts w:hint="eastAsia" w:ascii="宋体" w:hAnsi="宋体"/>
          <w:b w:val="0"/>
          <w:bCs w:val="0"/>
          <w:color w:val="auto"/>
          <w:sz w:val="24"/>
          <w:szCs w:val="24"/>
          <w:lang w:val="en-US" w:eastAsia="zh-CN"/>
        </w:rPr>
      </w:pPr>
    </w:p>
    <w:p>
      <w:pPr>
        <w:spacing w:line="360" w:lineRule="auto"/>
        <w:ind w:right="456"/>
        <w:jc w:val="center"/>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 xml:space="preserve">                     企业名称（盖章）： </w:t>
      </w:r>
    </w:p>
    <w:p>
      <w:pPr>
        <w:spacing w:line="360" w:lineRule="auto"/>
        <w:ind w:right="456"/>
        <w:jc w:val="center"/>
        <w:outlineLvl w:val="9"/>
        <w:rPr>
          <w:rFonts w:hint="eastAsia" w:ascii="宋体" w:hAnsi="宋体"/>
          <w:b w:val="0"/>
          <w:bCs w:val="0"/>
          <w:color w:val="auto"/>
          <w:sz w:val="24"/>
          <w:szCs w:val="24"/>
        </w:rPr>
      </w:pPr>
      <w:r>
        <w:rPr>
          <w:rFonts w:hint="eastAsia" w:ascii="宋体" w:hAnsi="宋体"/>
          <w:b w:val="0"/>
          <w:bCs w:val="0"/>
          <w:color w:val="auto"/>
          <w:sz w:val="24"/>
          <w:szCs w:val="24"/>
          <w:lang w:val="en-US" w:eastAsia="zh-CN"/>
        </w:rPr>
        <w:t xml:space="preserve">                                日 期：</w:t>
      </w:r>
    </w:p>
    <w:p>
      <w:pPr>
        <w:spacing w:line="360" w:lineRule="auto"/>
        <w:ind w:right="456"/>
        <w:jc w:val="both"/>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both"/>
        <w:outlineLvl w:val="9"/>
        <w:rPr>
          <w:rFonts w:hint="eastAsia" w:ascii="宋体" w:hAnsi="宋体"/>
          <w:b w:val="0"/>
          <w:bCs w:val="0"/>
          <w:color w:val="auto"/>
          <w:sz w:val="24"/>
          <w:szCs w:val="24"/>
        </w:rPr>
      </w:pPr>
      <w:r>
        <w:rPr>
          <w:rFonts w:hint="eastAsia" w:ascii="宋体" w:hAnsi="宋体"/>
          <w:b w:val="0"/>
          <w:bCs w:val="0"/>
          <w:color w:val="auto"/>
          <w:sz w:val="24"/>
          <w:szCs w:val="24"/>
        </w:rPr>
        <w:t>备注：</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1、填写前请认真阅读工业和信息化部、国家统计局、国家发展和改革委员会、财政部关于印发中小企业划分标准规定的通知》（工信部联企业【2011】300号）和《财政部工业和信息化部关于印发政府采购促进中小企业发展暂行办法的通知》（财库【20</w:t>
      </w:r>
      <w:r>
        <w:rPr>
          <w:rFonts w:hint="eastAsia" w:ascii="宋体" w:hAnsi="宋体"/>
          <w:b w:val="0"/>
          <w:bCs w:val="0"/>
          <w:color w:val="auto"/>
          <w:sz w:val="24"/>
          <w:szCs w:val="24"/>
          <w:lang w:val="en-US" w:eastAsia="zh-CN"/>
        </w:rPr>
        <w:t>20</w:t>
      </w:r>
      <w:r>
        <w:rPr>
          <w:rFonts w:hint="eastAsia" w:ascii="宋体" w:hAnsi="宋体"/>
          <w:b w:val="0"/>
          <w:bCs w:val="0"/>
          <w:color w:val="auto"/>
          <w:sz w:val="24"/>
          <w:szCs w:val="24"/>
        </w:rPr>
        <w:t>】</w:t>
      </w:r>
      <w:r>
        <w:rPr>
          <w:rFonts w:hint="eastAsia" w:ascii="宋体" w:hAnsi="宋体"/>
          <w:b w:val="0"/>
          <w:bCs w:val="0"/>
          <w:color w:val="auto"/>
          <w:sz w:val="24"/>
          <w:szCs w:val="24"/>
          <w:lang w:val="en-US" w:eastAsia="zh-CN"/>
        </w:rPr>
        <w:t>46</w:t>
      </w:r>
      <w:r>
        <w:rPr>
          <w:rFonts w:hint="eastAsia" w:ascii="宋体" w:hAnsi="宋体"/>
          <w:b w:val="0"/>
          <w:bCs w:val="0"/>
          <w:color w:val="auto"/>
          <w:sz w:val="24"/>
          <w:szCs w:val="24"/>
        </w:rPr>
        <w:t>号）相关规定。同时须提供国家相关部门出具的小型、微型企业证明文件。</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2、供应商认为其为小型或微型企业的应提交本函，明确企业类型并提供最近年度经审计的财务报表，不提供或提供有瑕疵的，在评审时不享受政府采购优惠政策。</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br w:type="page"/>
      </w:r>
      <w:r>
        <w:rPr>
          <w:rFonts w:hint="eastAsia" w:ascii="宋体" w:hAnsi="宋体"/>
          <w:b/>
          <w:bCs/>
          <w:color w:val="auto"/>
          <w:sz w:val="24"/>
          <w:szCs w:val="24"/>
        </w:rPr>
        <w:t>附件</w:t>
      </w:r>
      <w:r>
        <w:rPr>
          <w:rFonts w:hint="eastAsia" w:ascii="宋体" w:hAnsi="宋体"/>
          <w:b/>
          <w:bCs/>
          <w:color w:val="auto"/>
          <w:sz w:val="24"/>
          <w:szCs w:val="24"/>
          <w:lang w:val="en-US" w:eastAsia="zh-CN"/>
        </w:rPr>
        <w:t>2</w:t>
      </w:r>
      <w:r>
        <w:rPr>
          <w:rFonts w:hint="eastAsia" w:ascii="宋体" w:hAnsi="宋体"/>
          <w:b/>
          <w:bCs/>
          <w:color w:val="auto"/>
          <w:sz w:val="24"/>
          <w:szCs w:val="24"/>
        </w:rPr>
        <w:t>：</w:t>
      </w:r>
    </w:p>
    <w:p>
      <w:pPr>
        <w:spacing w:line="360" w:lineRule="auto"/>
        <w:ind w:right="456" w:firstLine="1968" w:firstLineChars="700"/>
        <w:jc w:val="left"/>
        <w:outlineLvl w:val="9"/>
        <w:rPr>
          <w:rFonts w:hint="eastAsia" w:ascii="宋体" w:hAnsi="宋体"/>
          <w:b w:val="0"/>
          <w:bCs w:val="0"/>
          <w:color w:val="auto"/>
          <w:sz w:val="24"/>
          <w:szCs w:val="24"/>
        </w:rPr>
      </w:pPr>
      <w:r>
        <w:rPr>
          <w:rFonts w:hint="eastAsia" w:ascii="宋体" w:hAnsi="宋体"/>
          <w:b/>
          <w:bCs/>
          <w:color w:val="auto"/>
          <w:sz w:val="28"/>
          <w:szCs w:val="18"/>
        </w:rPr>
        <w:t>磋商产品属节能、环境标志产品列表</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项目名称：</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项目编号：</w:t>
      </w:r>
    </w:p>
    <w:tbl>
      <w:tblPr>
        <w:tblStyle w:val="18"/>
        <w:tblW w:w="9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1540"/>
        <w:gridCol w:w="2127"/>
        <w:gridCol w:w="1460"/>
        <w:gridCol w:w="1541"/>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266" w:type="dxa"/>
            <w:noWrap w:val="0"/>
            <w:vAlign w:val="center"/>
          </w:tcPr>
          <w:p>
            <w:pPr>
              <w:spacing w:line="240" w:lineRule="auto"/>
              <w:ind w:right="0" w:rightChars="0"/>
              <w:jc w:val="center"/>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序号</w:t>
            </w:r>
          </w:p>
        </w:tc>
        <w:tc>
          <w:tcPr>
            <w:tcW w:w="1540" w:type="dxa"/>
            <w:noWrap w:val="0"/>
            <w:vAlign w:val="center"/>
          </w:tcPr>
          <w:p>
            <w:pPr>
              <w:spacing w:line="240" w:lineRule="auto"/>
              <w:ind w:right="0" w:rightChars="0"/>
              <w:jc w:val="center"/>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名称</w:t>
            </w:r>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型号和规格</w:t>
            </w:r>
          </w:p>
        </w:tc>
        <w:tc>
          <w:tcPr>
            <w:tcW w:w="1460" w:type="dxa"/>
            <w:noWrap w:val="0"/>
            <w:vAlign w:val="center"/>
          </w:tcPr>
          <w:p>
            <w:pPr>
              <w:spacing w:line="240" w:lineRule="auto"/>
              <w:ind w:right="0" w:rightChars="0"/>
              <w:jc w:val="center"/>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数量</w:t>
            </w:r>
          </w:p>
        </w:tc>
        <w:tc>
          <w:tcPr>
            <w:tcW w:w="15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b w:val="0"/>
                <w:bCs w:val="0"/>
                <w:color w:val="auto"/>
                <w:sz w:val="24"/>
                <w:szCs w:val="24"/>
                <w:vertAlign w:val="baseline"/>
                <w:lang w:eastAsia="zh-CN"/>
              </w:rPr>
            </w:pPr>
            <w:r>
              <w:rPr>
                <w:rFonts w:hint="eastAsia" w:ascii="宋体" w:hAnsi="宋体"/>
                <w:b w:val="0"/>
                <w:bCs w:val="0"/>
                <w:color w:val="auto"/>
                <w:sz w:val="24"/>
                <w:szCs w:val="24"/>
                <w:vertAlign w:val="baseline"/>
                <w:lang w:eastAsia="zh-CN"/>
              </w:rPr>
              <w:t>单价（元）</w:t>
            </w:r>
          </w:p>
        </w:tc>
        <w:tc>
          <w:tcPr>
            <w:tcW w:w="137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noWrap w:val="0"/>
            <w:vAlign w:val="center"/>
          </w:tcPr>
          <w:p>
            <w:pPr>
              <w:spacing w:line="360" w:lineRule="auto"/>
              <w:ind w:right="0" w:rightChars="0"/>
              <w:jc w:val="center"/>
              <w:outlineLvl w:val="9"/>
              <w:rPr>
                <w:rFonts w:hint="eastAsia"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1</w:t>
            </w:r>
          </w:p>
        </w:tc>
        <w:tc>
          <w:tcPr>
            <w:tcW w:w="154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2127"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46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541"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378"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noWrap w:val="0"/>
            <w:vAlign w:val="center"/>
          </w:tcPr>
          <w:p>
            <w:pPr>
              <w:spacing w:line="360" w:lineRule="auto"/>
              <w:ind w:right="0" w:rightChars="0"/>
              <w:jc w:val="center"/>
              <w:outlineLvl w:val="9"/>
              <w:rPr>
                <w:rFonts w:hint="eastAsia"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2</w:t>
            </w:r>
          </w:p>
        </w:tc>
        <w:tc>
          <w:tcPr>
            <w:tcW w:w="154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2127"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46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541"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378"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noWrap w:val="0"/>
            <w:vAlign w:val="center"/>
          </w:tcPr>
          <w:p>
            <w:pPr>
              <w:spacing w:line="360" w:lineRule="auto"/>
              <w:ind w:right="0" w:rightChars="0"/>
              <w:jc w:val="center"/>
              <w:outlineLvl w:val="9"/>
              <w:rPr>
                <w:rFonts w:hint="eastAsia"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3</w:t>
            </w:r>
          </w:p>
        </w:tc>
        <w:tc>
          <w:tcPr>
            <w:tcW w:w="154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2127"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46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541"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378"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noWrap w:val="0"/>
            <w:vAlign w:val="center"/>
          </w:tcPr>
          <w:p>
            <w:pPr>
              <w:spacing w:line="360" w:lineRule="auto"/>
              <w:ind w:right="0" w:rightChars="0"/>
              <w:jc w:val="center"/>
              <w:outlineLvl w:val="9"/>
              <w:rPr>
                <w:rFonts w:hint="eastAsia" w:ascii="宋体" w:hAnsi="宋体"/>
                <w:b w:val="0"/>
                <w:bCs w:val="0"/>
                <w:color w:val="auto"/>
                <w:sz w:val="24"/>
                <w:szCs w:val="24"/>
                <w:vertAlign w:val="baseline"/>
                <w:lang w:val="en-US" w:eastAsia="zh-CN"/>
              </w:rPr>
            </w:pPr>
            <w:r>
              <w:rPr>
                <w:rFonts w:hint="eastAsia" w:ascii="宋体" w:hAnsi="宋体"/>
                <w:b w:val="0"/>
                <w:bCs w:val="0"/>
                <w:color w:val="auto"/>
                <w:sz w:val="24"/>
                <w:szCs w:val="24"/>
              </w:rPr>
              <w:t>……</w:t>
            </w:r>
          </w:p>
        </w:tc>
        <w:tc>
          <w:tcPr>
            <w:tcW w:w="154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2127"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460"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541"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c>
          <w:tcPr>
            <w:tcW w:w="1378" w:type="dxa"/>
            <w:noWrap w:val="0"/>
            <w:vAlign w:val="center"/>
          </w:tcPr>
          <w:p>
            <w:pPr>
              <w:spacing w:line="360" w:lineRule="auto"/>
              <w:ind w:right="456"/>
              <w:jc w:val="center"/>
              <w:outlineLvl w:val="9"/>
              <w:rPr>
                <w:rFonts w:hint="eastAsia" w:ascii="宋体" w:hAnsi="宋体"/>
                <w:b w:val="0"/>
                <w:bCs w:val="0"/>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2" w:type="dxa"/>
            <w:gridSpan w:val="6"/>
            <w:noWrap w:val="0"/>
            <w:vAlign w:val="center"/>
          </w:tcPr>
          <w:p>
            <w:pPr>
              <w:spacing w:line="360" w:lineRule="auto"/>
              <w:ind w:right="456"/>
              <w:jc w:val="left"/>
              <w:outlineLvl w:val="9"/>
              <w:rPr>
                <w:rFonts w:hint="eastAsia" w:ascii="宋体" w:hAnsi="宋体"/>
                <w:b w:val="0"/>
                <w:bCs w:val="0"/>
                <w:color w:val="auto"/>
                <w:sz w:val="24"/>
                <w:szCs w:val="24"/>
                <w:vertAlign w:val="baseline"/>
              </w:rPr>
            </w:pPr>
            <w:r>
              <w:rPr>
                <w:rFonts w:hint="eastAsia" w:ascii="宋体" w:hAnsi="宋体"/>
                <w:b w:val="0"/>
                <w:bCs w:val="0"/>
                <w:color w:val="auto"/>
                <w:sz w:val="24"/>
                <w:szCs w:val="24"/>
              </w:rPr>
              <w:t>合计： 大写：               </w:t>
            </w:r>
            <w:r>
              <w:rPr>
                <w:rFonts w:hint="eastAsia" w:ascii="宋体" w:hAnsi="宋体"/>
                <w:b w:val="0"/>
                <w:bCs w:val="0"/>
                <w:color w:val="auto"/>
                <w:sz w:val="24"/>
                <w:szCs w:val="24"/>
                <w:lang w:val="en-US" w:eastAsia="zh-CN"/>
              </w:rPr>
              <w:t xml:space="preserve">     </w:t>
            </w:r>
            <w:r>
              <w:rPr>
                <w:rFonts w:hint="eastAsia" w:ascii="宋体" w:hAnsi="宋体"/>
                <w:b w:val="0"/>
                <w:bCs w:val="0"/>
                <w:color w:val="auto"/>
                <w:sz w:val="24"/>
                <w:szCs w:val="24"/>
              </w:rPr>
              <w:t xml:space="preserve">小写： </w:t>
            </w:r>
          </w:p>
        </w:tc>
      </w:tr>
    </w:tbl>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xml:space="preserve">备注 保留小数点后两位。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说明：1、供应商提供的产品属于(《节能产品政府采购清单》中节能产品，《环境标志产品政府采购清单》中环境标志产品，应按磋商文件要求提供相关证明材料。</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2、未按上述要求提供、填写的，评审时不予以考虑。</w:t>
      </w:r>
    </w:p>
    <w:p>
      <w:pPr>
        <w:spacing w:line="360" w:lineRule="auto"/>
        <w:ind w:right="456"/>
        <w:jc w:val="left"/>
        <w:outlineLvl w:val="9"/>
        <w:rPr>
          <w:rFonts w:hint="eastAsia" w:ascii="宋体" w:hAnsi="宋体"/>
          <w:b w:val="0"/>
          <w:bCs w:val="0"/>
          <w:color w:val="auto"/>
          <w:sz w:val="24"/>
          <w:szCs w:val="24"/>
        </w:rPr>
      </w:pP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br w:type="page"/>
      </w:r>
      <w:r>
        <w:rPr>
          <w:rFonts w:hint="eastAsia" w:ascii="宋体" w:hAnsi="宋体"/>
          <w:b/>
          <w:bCs/>
          <w:color w:val="auto"/>
          <w:sz w:val="24"/>
          <w:szCs w:val="24"/>
        </w:rPr>
        <w:t>附件</w:t>
      </w:r>
      <w:r>
        <w:rPr>
          <w:rFonts w:hint="eastAsia" w:ascii="宋体" w:hAnsi="宋体"/>
          <w:b/>
          <w:bCs/>
          <w:color w:val="auto"/>
          <w:sz w:val="24"/>
          <w:szCs w:val="24"/>
          <w:lang w:val="en-US" w:eastAsia="zh-CN"/>
        </w:rPr>
        <w:t>3</w:t>
      </w:r>
      <w:r>
        <w:rPr>
          <w:rFonts w:hint="eastAsia" w:ascii="宋体" w:hAnsi="宋体"/>
          <w:b/>
          <w:bCs/>
          <w:color w:val="auto"/>
          <w:sz w:val="24"/>
          <w:szCs w:val="24"/>
        </w:rPr>
        <w:t>：</w:t>
      </w:r>
    </w:p>
    <w:p>
      <w:pPr>
        <w:spacing w:line="360" w:lineRule="auto"/>
        <w:ind w:right="456"/>
        <w:jc w:val="center"/>
        <w:outlineLvl w:val="9"/>
        <w:rPr>
          <w:rFonts w:hint="eastAsia" w:ascii="宋体" w:hAnsi="宋体"/>
          <w:b w:val="0"/>
          <w:bCs w:val="0"/>
          <w:color w:val="auto"/>
          <w:sz w:val="24"/>
          <w:szCs w:val="24"/>
        </w:rPr>
      </w:pPr>
      <w:r>
        <w:rPr>
          <w:rFonts w:hint="eastAsia" w:ascii="宋体" w:hAnsi="宋体"/>
          <w:b/>
          <w:bCs/>
          <w:color w:val="auto"/>
          <w:sz w:val="28"/>
          <w:szCs w:val="18"/>
        </w:rPr>
        <w:t>残疾人福利性单位声明函</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firstLine="480" w:firstLineChars="200"/>
        <w:jc w:val="left"/>
        <w:outlineLvl w:val="9"/>
        <w:rPr>
          <w:rFonts w:hint="eastAsia" w:ascii="宋体" w:hAnsi="宋体"/>
          <w:b w:val="0"/>
          <w:bCs w:val="0"/>
          <w:color w:val="auto"/>
          <w:sz w:val="24"/>
          <w:szCs w:val="24"/>
        </w:rPr>
      </w:pPr>
      <w:r>
        <w:rPr>
          <w:rFonts w:hint="eastAsia" w:ascii="宋体" w:hAnsi="宋体"/>
          <w:b w:val="0"/>
          <w:bCs w:val="0"/>
          <w:color w:val="auto"/>
          <w:sz w:val="24"/>
          <w:szCs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本单位对上述声明的真实性负责。如有虚假，将依法承担相应责任。</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 </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单位名称（盖章）：</w:t>
      </w:r>
    </w:p>
    <w:p>
      <w:pPr>
        <w:spacing w:line="360" w:lineRule="auto"/>
        <w:ind w:right="456"/>
        <w:jc w:val="left"/>
        <w:outlineLvl w:val="9"/>
        <w:rPr>
          <w:rFonts w:hint="eastAsia" w:ascii="宋体" w:hAnsi="宋体"/>
          <w:b w:val="0"/>
          <w:bCs w:val="0"/>
          <w:color w:val="auto"/>
          <w:sz w:val="24"/>
          <w:szCs w:val="24"/>
        </w:rPr>
      </w:pPr>
      <w:r>
        <w:rPr>
          <w:rFonts w:hint="eastAsia" w:ascii="宋体" w:hAnsi="宋体"/>
          <w:b w:val="0"/>
          <w:bCs w:val="0"/>
          <w:color w:val="auto"/>
          <w:sz w:val="24"/>
          <w:szCs w:val="24"/>
        </w:rPr>
        <w:t>日    期：</w:t>
      </w:r>
    </w:p>
    <w:p>
      <w:pPr>
        <w:spacing w:line="360" w:lineRule="auto"/>
        <w:ind w:right="456"/>
        <w:jc w:val="center"/>
        <w:outlineLvl w:val="9"/>
        <w:rPr>
          <w:rFonts w:hint="eastAsia" w:ascii="宋体" w:hAnsi="宋体"/>
          <w:b/>
          <w:bCs/>
          <w:color w:val="auto"/>
          <w:sz w:val="32"/>
          <w:lang w:eastAsia="zh-CN"/>
        </w:rPr>
      </w:pPr>
      <w:r>
        <w:rPr>
          <w:rFonts w:hint="eastAsia" w:ascii="宋体" w:hAnsi="宋体"/>
          <w:b/>
          <w:bCs/>
          <w:color w:val="auto"/>
          <w:sz w:val="32"/>
        </w:rPr>
        <w:t> </w:t>
      </w:r>
      <w:r>
        <w:rPr>
          <w:rFonts w:hint="eastAsia" w:ascii="宋体" w:hAnsi="宋体"/>
          <w:b/>
          <w:bCs/>
          <w:color w:val="auto"/>
          <w:sz w:val="32"/>
        </w:rPr>
        <w:br w:type="page"/>
      </w:r>
    </w:p>
    <w:p>
      <w:pPr>
        <w:spacing w:line="360" w:lineRule="auto"/>
        <w:ind w:right="456"/>
        <w:jc w:val="left"/>
        <w:outlineLvl w:val="9"/>
        <w:rPr>
          <w:rFonts w:hint="eastAsia" w:ascii="宋体" w:hAnsi="宋体" w:eastAsia="宋体"/>
          <w:b/>
          <w:bCs/>
          <w:color w:val="auto"/>
          <w:sz w:val="24"/>
          <w:szCs w:val="16"/>
          <w:lang w:val="en-US" w:eastAsia="zh-CN"/>
        </w:rPr>
      </w:pPr>
      <w:r>
        <w:rPr>
          <w:rFonts w:hint="eastAsia" w:ascii="宋体" w:hAnsi="宋体"/>
          <w:b/>
          <w:bCs/>
          <w:color w:val="auto"/>
          <w:sz w:val="24"/>
          <w:szCs w:val="16"/>
          <w:lang w:eastAsia="zh-CN"/>
        </w:rPr>
        <w:t>附件</w:t>
      </w:r>
      <w:r>
        <w:rPr>
          <w:rFonts w:hint="eastAsia" w:ascii="宋体" w:hAnsi="宋体"/>
          <w:b/>
          <w:bCs/>
          <w:color w:val="auto"/>
          <w:sz w:val="24"/>
          <w:szCs w:val="16"/>
          <w:lang w:val="en-US" w:eastAsia="zh-CN"/>
        </w:rPr>
        <w:t>4：</w:t>
      </w:r>
    </w:p>
    <w:p>
      <w:pPr>
        <w:spacing w:line="360" w:lineRule="auto"/>
        <w:ind w:right="456"/>
        <w:jc w:val="center"/>
        <w:outlineLvl w:val="9"/>
        <w:rPr>
          <w:rFonts w:hint="eastAsia" w:ascii="宋体" w:hAnsi="宋体"/>
          <w:color w:val="auto"/>
        </w:rPr>
      </w:pPr>
      <w:r>
        <w:rPr>
          <w:rFonts w:hint="eastAsia" w:ascii="宋体" w:hAnsi="宋体"/>
          <w:b/>
          <w:bCs/>
          <w:color w:val="auto"/>
          <w:sz w:val="32"/>
        </w:rPr>
        <w:t>封袋正面标识式样</w:t>
      </w:r>
    </w:p>
    <w:p>
      <w:pPr>
        <w:spacing w:line="460" w:lineRule="exact"/>
        <w:ind w:firstLine="482" w:firstLineChars="200"/>
        <w:outlineLvl w:val="9"/>
        <w:rPr>
          <w:rFonts w:hint="eastAsia" w:ascii="宋体" w:hAnsi="宋体"/>
          <w:b/>
          <w:color w:val="auto"/>
          <w:sz w:val="24"/>
        </w:rPr>
      </w:pPr>
    </w:p>
    <w:p>
      <w:pPr>
        <w:spacing w:line="460" w:lineRule="exact"/>
        <w:ind w:firstLine="482" w:firstLineChars="200"/>
        <w:outlineLvl w:val="9"/>
        <w:rPr>
          <w:rFonts w:hint="eastAsia" w:ascii="宋体" w:hAnsi="宋体"/>
          <w:b/>
          <w:color w:val="auto"/>
          <w:sz w:val="24"/>
        </w:rPr>
      </w:pPr>
    </w:p>
    <w:p>
      <w:pPr>
        <w:spacing w:line="460" w:lineRule="exact"/>
        <w:ind w:firstLine="482" w:firstLineChars="200"/>
        <w:outlineLvl w:val="9"/>
        <w:rPr>
          <w:rFonts w:hint="eastAsia" w:ascii="宋体" w:hAnsi="宋体"/>
          <w:b/>
          <w:color w:val="auto"/>
          <w:sz w:val="24"/>
        </w:rPr>
      </w:pPr>
      <w:r>
        <w:rPr>
          <w:rFonts w:hint="eastAsia" w:ascii="宋体" w:hAnsi="宋体"/>
          <w:b/>
          <w:color w:val="auto"/>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153035</wp:posOffset>
                </wp:positionV>
                <wp:extent cx="5657850" cy="3244215"/>
                <wp:effectExtent l="4445" t="4445" r="14605" b="8890"/>
                <wp:wrapNone/>
                <wp:docPr id="4" name="文本框 4"/>
                <wp:cNvGraphicFramePr/>
                <a:graphic xmlns:a="http://schemas.openxmlformats.org/drawingml/2006/main">
                  <a:graphicData uri="http://schemas.microsoft.com/office/word/2010/wordprocessingShape">
                    <wps:wsp>
                      <wps:cNvSpPr txBox="1"/>
                      <wps:spPr>
                        <a:xfrm>
                          <a:off x="0" y="0"/>
                          <a:ext cx="5657850" cy="32442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hint="eastAsia"/>
                                <w:color w:val="000000"/>
                                <w:sz w:val="28"/>
                                <w:szCs w:val="28"/>
                              </w:rPr>
                            </w:pPr>
                            <w:r>
                              <w:rPr>
                                <w:rFonts w:hint="eastAsia"/>
                                <w:sz w:val="28"/>
                                <w:szCs w:val="28"/>
                              </w:rPr>
                              <w:t xml:space="preserve">项目编号：                                  </w:t>
                            </w:r>
                            <w:r>
                              <w:rPr>
                                <w:rFonts w:hint="eastAsia"/>
                                <w:color w:val="000000"/>
                                <w:sz w:val="28"/>
                                <w:szCs w:val="28"/>
                              </w:rPr>
                              <w:t xml:space="preserve">   </w:t>
                            </w:r>
                          </w:p>
                          <w:p>
                            <w:pPr>
                              <w:spacing w:line="360" w:lineRule="auto"/>
                              <w:rPr>
                                <w:rFonts w:hint="eastAsia"/>
                                <w:color w:val="FF0000"/>
                                <w:sz w:val="28"/>
                                <w:szCs w:val="28"/>
                              </w:rPr>
                            </w:pPr>
                            <w:r>
                              <w:rPr>
                                <w:rFonts w:hint="eastAsia"/>
                                <w:sz w:val="28"/>
                                <w:szCs w:val="28"/>
                              </w:rPr>
                              <w:t xml:space="preserve">项目名称：                             </w:t>
                            </w:r>
                          </w:p>
                          <w:p>
                            <w:pPr>
                              <w:spacing w:line="360" w:lineRule="auto"/>
                              <w:jc w:val="center"/>
                              <w:rPr>
                                <w:rFonts w:hint="eastAsia"/>
                                <w:b/>
                                <w:color w:val="FF0000"/>
                                <w:sz w:val="44"/>
                                <w:szCs w:val="44"/>
                              </w:rPr>
                            </w:pPr>
                            <w:r>
                              <w:rPr>
                                <w:rFonts w:hint="eastAsia"/>
                                <w:b/>
                                <w:sz w:val="44"/>
                                <w:szCs w:val="44"/>
                              </w:rPr>
                              <w:t>磋商响应文件</w:t>
                            </w:r>
                          </w:p>
                          <w:p>
                            <w:pPr>
                              <w:spacing w:line="360" w:lineRule="auto"/>
                              <w:jc w:val="center"/>
                              <w:rPr>
                                <w:rFonts w:hint="eastAsia"/>
                                <w:sz w:val="28"/>
                                <w:szCs w:val="28"/>
                              </w:rPr>
                            </w:pPr>
                            <w:r>
                              <w:rPr>
                                <w:rFonts w:hint="eastAsia"/>
                                <w:sz w:val="28"/>
                                <w:szCs w:val="28"/>
                              </w:rPr>
                              <w:t>（</w:t>
                            </w:r>
                            <w:r>
                              <w:rPr>
                                <w:rFonts w:hint="eastAsia"/>
                                <w:sz w:val="28"/>
                                <w:szCs w:val="28"/>
                                <w:lang w:val="en-US" w:eastAsia="zh-CN"/>
                              </w:rPr>
                              <w:t xml:space="preserve">  </w:t>
                            </w:r>
                            <w:r>
                              <w:rPr>
                                <w:rFonts w:hint="eastAsia"/>
                                <w:sz w:val="28"/>
                                <w:szCs w:val="28"/>
                                <w:lang w:eastAsia="zh-CN"/>
                              </w:rPr>
                              <w:t>年</w:t>
                            </w:r>
                            <w:r>
                              <w:rPr>
                                <w:rFonts w:hint="eastAsia"/>
                                <w:sz w:val="28"/>
                                <w:szCs w:val="28"/>
                                <w:lang w:val="en-US" w:eastAsia="zh-CN"/>
                              </w:rPr>
                              <w:t xml:space="preserve">  月  日  时  分之前不得开启</w:t>
                            </w:r>
                            <w:r>
                              <w:rPr>
                                <w:rFonts w:hint="eastAsia"/>
                                <w:sz w:val="28"/>
                                <w:szCs w:val="28"/>
                              </w:rPr>
                              <w:t>）</w:t>
                            </w:r>
                          </w:p>
                          <w:p>
                            <w:pPr>
                              <w:spacing w:line="360" w:lineRule="auto"/>
                              <w:rPr>
                                <w:rFonts w:hint="eastAsia"/>
                                <w:sz w:val="28"/>
                                <w:szCs w:val="28"/>
                              </w:rPr>
                            </w:pPr>
                          </w:p>
                          <w:p>
                            <w:pPr>
                              <w:spacing w:line="360" w:lineRule="auto"/>
                              <w:rPr>
                                <w:rFonts w:hint="eastAsia"/>
                                <w:sz w:val="28"/>
                                <w:szCs w:val="28"/>
                              </w:rPr>
                            </w:pPr>
                            <w:r>
                              <w:rPr>
                                <w:rFonts w:hint="eastAsia"/>
                                <w:sz w:val="28"/>
                                <w:szCs w:val="28"/>
                              </w:rPr>
                              <w:t>磋商供应商名称：            （公章）</w:t>
                            </w:r>
                          </w:p>
                          <w:p>
                            <w:pPr>
                              <w:spacing w:line="360" w:lineRule="auto"/>
                              <w:rPr>
                                <w:rFonts w:hint="eastAsia" w:eastAsia="宋体"/>
                                <w:sz w:val="28"/>
                                <w:szCs w:val="28"/>
                                <w:lang w:eastAsia="zh-CN"/>
                              </w:rPr>
                            </w:pPr>
                            <w:r>
                              <w:rPr>
                                <w:rFonts w:hint="eastAsia"/>
                                <w:sz w:val="28"/>
                                <w:szCs w:val="28"/>
                                <w:lang w:eastAsia="zh-CN"/>
                              </w:rPr>
                              <w:t>法定代表人或其授权代表签字或盖章：</w:t>
                            </w:r>
                          </w:p>
                          <w:p>
                            <w:pPr>
                              <w:rPr>
                                <w:rFonts w:hint="eastAsia"/>
                                <w:sz w:val="28"/>
                                <w:szCs w:val="28"/>
                              </w:rPr>
                            </w:pPr>
                            <w:r>
                              <w:rPr>
                                <w:rFonts w:hint="eastAsia"/>
                                <w:sz w:val="28"/>
                                <w:szCs w:val="28"/>
                              </w:rPr>
                              <w:t xml:space="preserve">                                </w:t>
                            </w:r>
                          </w:p>
                        </w:txbxContent>
                      </wps:txbx>
                      <wps:bodyPr upright="1"/>
                    </wps:wsp>
                  </a:graphicData>
                </a:graphic>
              </wp:anchor>
            </w:drawing>
          </mc:Choice>
          <mc:Fallback>
            <w:pict>
              <v:shape id="_x0000_s1026" o:spid="_x0000_s1026" o:spt="202" type="#_x0000_t202" style="position:absolute;left:0pt;margin-left:0pt;margin-top:12.05pt;height:255.45pt;width:445.5pt;z-index:251659264;mso-width-relative:page;mso-height-relative:page;" fillcolor="#FFFFFF" filled="t" stroked="t" coordsize="21600,21600" o:gfxdata="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VjFNbXAAAABwEAAA8AAAAAAAAAAQAgAAAA&#10;IgAAAGRycy9kb3ducmV2LnhtbFBLAQIUABQAAAAIAIdO4kB5ANSwDAIAADcEAAAOAAAAAAAAAAEA&#10;IAAAACYBAABkcnMvZTJvRG9jLnhtbFBLBQYAAAAABgAGAFkBAACkBQAAAAA=&#10;">
                <v:fill on="t" focussize="0,0"/>
                <v:stroke color="#000000" joinstyle="miter"/>
                <v:imagedata o:title=""/>
                <o:lock v:ext="edit" aspectratio="f"/>
                <v:textbox>
                  <w:txbxContent>
                    <w:p>
                      <w:pPr>
                        <w:spacing w:line="360" w:lineRule="auto"/>
                        <w:rPr>
                          <w:rFonts w:hint="eastAsia"/>
                          <w:color w:val="000000"/>
                          <w:sz w:val="28"/>
                          <w:szCs w:val="28"/>
                        </w:rPr>
                      </w:pPr>
                      <w:r>
                        <w:rPr>
                          <w:rFonts w:hint="eastAsia"/>
                          <w:sz w:val="28"/>
                          <w:szCs w:val="28"/>
                        </w:rPr>
                        <w:t xml:space="preserve">项目编号：                                  </w:t>
                      </w:r>
                      <w:r>
                        <w:rPr>
                          <w:rFonts w:hint="eastAsia"/>
                          <w:color w:val="000000"/>
                          <w:sz w:val="28"/>
                          <w:szCs w:val="28"/>
                        </w:rPr>
                        <w:t xml:space="preserve">   </w:t>
                      </w:r>
                    </w:p>
                    <w:p>
                      <w:pPr>
                        <w:spacing w:line="360" w:lineRule="auto"/>
                        <w:rPr>
                          <w:rFonts w:hint="eastAsia"/>
                          <w:color w:val="FF0000"/>
                          <w:sz w:val="28"/>
                          <w:szCs w:val="28"/>
                        </w:rPr>
                      </w:pPr>
                      <w:r>
                        <w:rPr>
                          <w:rFonts w:hint="eastAsia"/>
                          <w:sz w:val="28"/>
                          <w:szCs w:val="28"/>
                        </w:rPr>
                        <w:t xml:space="preserve">项目名称：                             </w:t>
                      </w:r>
                    </w:p>
                    <w:p>
                      <w:pPr>
                        <w:spacing w:line="360" w:lineRule="auto"/>
                        <w:jc w:val="center"/>
                        <w:rPr>
                          <w:rFonts w:hint="eastAsia"/>
                          <w:b/>
                          <w:color w:val="FF0000"/>
                          <w:sz w:val="44"/>
                          <w:szCs w:val="44"/>
                        </w:rPr>
                      </w:pPr>
                      <w:r>
                        <w:rPr>
                          <w:rFonts w:hint="eastAsia"/>
                          <w:b/>
                          <w:sz w:val="44"/>
                          <w:szCs w:val="44"/>
                        </w:rPr>
                        <w:t>磋商响应文件</w:t>
                      </w:r>
                    </w:p>
                    <w:p>
                      <w:pPr>
                        <w:spacing w:line="360" w:lineRule="auto"/>
                        <w:jc w:val="center"/>
                        <w:rPr>
                          <w:rFonts w:hint="eastAsia"/>
                          <w:sz w:val="28"/>
                          <w:szCs w:val="28"/>
                        </w:rPr>
                      </w:pPr>
                      <w:r>
                        <w:rPr>
                          <w:rFonts w:hint="eastAsia"/>
                          <w:sz w:val="28"/>
                          <w:szCs w:val="28"/>
                        </w:rPr>
                        <w:t>（</w:t>
                      </w:r>
                      <w:r>
                        <w:rPr>
                          <w:rFonts w:hint="eastAsia"/>
                          <w:sz w:val="28"/>
                          <w:szCs w:val="28"/>
                          <w:lang w:val="en-US" w:eastAsia="zh-CN"/>
                        </w:rPr>
                        <w:t xml:space="preserve">  </w:t>
                      </w:r>
                      <w:r>
                        <w:rPr>
                          <w:rFonts w:hint="eastAsia"/>
                          <w:sz w:val="28"/>
                          <w:szCs w:val="28"/>
                          <w:lang w:eastAsia="zh-CN"/>
                        </w:rPr>
                        <w:t>年</w:t>
                      </w:r>
                      <w:r>
                        <w:rPr>
                          <w:rFonts w:hint="eastAsia"/>
                          <w:sz w:val="28"/>
                          <w:szCs w:val="28"/>
                          <w:lang w:val="en-US" w:eastAsia="zh-CN"/>
                        </w:rPr>
                        <w:t xml:space="preserve">  月  日  时  分之前不得开启</w:t>
                      </w:r>
                      <w:r>
                        <w:rPr>
                          <w:rFonts w:hint="eastAsia"/>
                          <w:sz w:val="28"/>
                          <w:szCs w:val="28"/>
                        </w:rPr>
                        <w:t>）</w:t>
                      </w:r>
                    </w:p>
                    <w:p>
                      <w:pPr>
                        <w:spacing w:line="360" w:lineRule="auto"/>
                        <w:rPr>
                          <w:rFonts w:hint="eastAsia"/>
                          <w:sz w:val="28"/>
                          <w:szCs w:val="28"/>
                        </w:rPr>
                      </w:pPr>
                    </w:p>
                    <w:p>
                      <w:pPr>
                        <w:spacing w:line="360" w:lineRule="auto"/>
                        <w:rPr>
                          <w:rFonts w:hint="eastAsia"/>
                          <w:sz w:val="28"/>
                          <w:szCs w:val="28"/>
                        </w:rPr>
                      </w:pPr>
                      <w:r>
                        <w:rPr>
                          <w:rFonts w:hint="eastAsia"/>
                          <w:sz w:val="28"/>
                          <w:szCs w:val="28"/>
                        </w:rPr>
                        <w:t>磋商供应商名称：            （公章）</w:t>
                      </w:r>
                    </w:p>
                    <w:p>
                      <w:pPr>
                        <w:spacing w:line="360" w:lineRule="auto"/>
                        <w:rPr>
                          <w:rFonts w:hint="eastAsia" w:eastAsia="宋体"/>
                          <w:sz w:val="28"/>
                          <w:szCs w:val="28"/>
                          <w:lang w:eastAsia="zh-CN"/>
                        </w:rPr>
                      </w:pPr>
                      <w:r>
                        <w:rPr>
                          <w:rFonts w:hint="eastAsia"/>
                          <w:sz w:val="28"/>
                          <w:szCs w:val="28"/>
                          <w:lang w:eastAsia="zh-CN"/>
                        </w:rPr>
                        <w:t>法定代表人或其授权代表签字或盖章：</w:t>
                      </w:r>
                    </w:p>
                    <w:p>
                      <w:pPr>
                        <w:rPr>
                          <w:rFonts w:hint="eastAsia"/>
                          <w:sz w:val="28"/>
                          <w:szCs w:val="28"/>
                        </w:rPr>
                      </w:pPr>
                      <w:r>
                        <w:rPr>
                          <w:rFonts w:hint="eastAsia"/>
                          <w:sz w:val="28"/>
                          <w:szCs w:val="28"/>
                        </w:rPr>
                        <w:t xml:space="preserve">                                </w:t>
                      </w:r>
                    </w:p>
                  </w:txbxContent>
                </v:textbox>
              </v:shape>
            </w:pict>
          </mc:Fallback>
        </mc:AlternateContent>
      </w:r>
    </w:p>
    <w:p>
      <w:pPr>
        <w:spacing w:line="460" w:lineRule="exact"/>
        <w:ind w:firstLine="482" w:firstLineChars="200"/>
        <w:outlineLvl w:val="9"/>
        <w:rPr>
          <w:rFonts w:hint="eastAsia" w:ascii="宋体" w:hAnsi="宋体"/>
          <w:b/>
          <w:color w:val="auto"/>
          <w:sz w:val="24"/>
        </w:rPr>
      </w:pPr>
    </w:p>
    <w:p>
      <w:pPr>
        <w:spacing w:line="460" w:lineRule="exact"/>
        <w:ind w:firstLine="482" w:firstLineChars="200"/>
        <w:outlineLvl w:val="9"/>
        <w:rPr>
          <w:rFonts w:hint="eastAsia" w:ascii="宋体" w:hAnsi="宋体"/>
          <w:b/>
          <w:color w:val="auto"/>
          <w:sz w:val="24"/>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ind w:firstLine="2108" w:firstLineChars="500"/>
        <w:outlineLvl w:val="9"/>
        <w:rPr>
          <w:rFonts w:hint="eastAsia" w:ascii="宋体" w:hAnsi="宋体"/>
          <w:b/>
          <w:color w:val="auto"/>
          <w:sz w:val="42"/>
          <w:szCs w:val="42"/>
        </w:rPr>
      </w:pPr>
    </w:p>
    <w:p>
      <w:pPr>
        <w:spacing w:line="360" w:lineRule="atLeast"/>
        <w:outlineLvl w:val="9"/>
        <w:rPr>
          <w:rFonts w:hint="eastAsia" w:ascii="宋体" w:hAnsi="宋体"/>
          <w:b/>
          <w:color w:val="auto"/>
          <w:sz w:val="24"/>
        </w:rPr>
      </w:pPr>
    </w:p>
    <w:p>
      <w:pPr>
        <w:spacing w:line="500" w:lineRule="exact"/>
        <w:jc w:val="center"/>
        <w:outlineLvl w:val="9"/>
        <w:rPr>
          <w:rFonts w:hint="eastAsia" w:ascii="宋体" w:hAnsi="宋体"/>
          <w:b/>
          <w:bCs/>
          <w:color w:val="auto"/>
          <w:sz w:val="32"/>
        </w:rPr>
      </w:pPr>
    </w:p>
    <w:p>
      <w:pPr>
        <w:spacing w:line="360" w:lineRule="atLeast"/>
        <w:ind w:firstLine="2108" w:firstLineChars="500"/>
        <w:outlineLvl w:val="9"/>
        <w:rPr>
          <w:rFonts w:hint="eastAsia" w:ascii="宋体" w:hAnsi="宋体"/>
          <w:b/>
          <w:color w:val="auto"/>
          <w:sz w:val="42"/>
          <w:szCs w:val="42"/>
        </w:rPr>
      </w:pPr>
    </w:p>
    <w:p>
      <w:pPr>
        <w:spacing w:line="500" w:lineRule="exact"/>
        <w:jc w:val="center"/>
        <w:outlineLvl w:val="9"/>
        <w:rPr>
          <w:rFonts w:hint="eastAsia" w:ascii="宋体" w:hAnsi="宋体"/>
          <w:b/>
          <w:bCs/>
          <w:color w:val="auto"/>
          <w:sz w:val="32"/>
        </w:rPr>
      </w:pPr>
    </w:p>
    <w:p>
      <w:pPr>
        <w:spacing w:line="360" w:lineRule="auto"/>
        <w:outlineLvl w:val="9"/>
        <w:rPr>
          <w:rFonts w:hint="eastAsia" w:ascii="宋体" w:hAnsi="宋体" w:eastAsia="宋体" w:cs="宋体"/>
          <w:color w:val="auto"/>
          <w:sz w:val="24"/>
          <w:szCs w:val="24"/>
        </w:rPr>
      </w:pPr>
    </w:p>
    <w:p>
      <w:pPr>
        <w:jc w:val="center"/>
        <w:outlineLvl w:val="9"/>
        <w:rPr>
          <w:rFonts w:hint="eastAsia" w:ascii="宋体" w:hAnsi="宋体" w:eastAsia="宋体" w:cs="宋体"/>
          <w:color w:val="auto"/>
          <w:highlight w:val="none"/>
        </w:rPr>
      </w:pPr>
      <w:r>
        <w:rPr>
          <w:rFonts w:hint="eastAsia" w:ascii="宋体" w:hAnsi="宋体" w:eastAsia="宋体" w:cs="宋体"/>
          <w:color w:val="auto"/>
          <w:highlight w:val="none"/>
        </w:rPr>
        <w:br w:type="page"/>
      </w:r>
    </w:p>
    <w:p>
      <w:pPr>
        <w:jc w:val="center"/>
        <w:outlineLvl w:val="0"/>
        <w:rPr>
          <w:rFonts w:hint="eastAsia" w:ascii="宋体" w:hAnsi="宋体" w:eastAsia="宋体" w:cs="宋体"/>
          <w:b/>
          <w:bCs/>
          <w:color w:val="auto"/>
          <w:sz w:val="32"/>
          <w:szCs w:val="28"/>
          <w:highlight w:val="none"/>
        </w:rPr>
      </w:pPr>
      <w:bookmarkStart w:id="606" w:name="_Toc28753"/>
      <w:r>
        <w:rPr>
          <w:rFonts w:hint="eastAsia" w:ascii="宋体" w:hAnsi="宋体" w:eastAsia="宋体" w:cs="宋体"/>
          <w:b/>
          <w:bCs/>
          <w:color w:val="auto"/>
          <w:sz w:val="32"/>
          <w:szCs w:val="28"/>
          <w:highlight w:val="none"/>
        </w:rPr>
        <w:t>第</w:t>
      </w:r>
      <w:r>
        <w:rPr>
          <w:rFonts w:hint="eastAsia" w:ascii="宋体" w:hAnsi="宋体" w:cs="宋体"/>
          <w:b/>
          <w:bCs/>
          <w:color w:val="auto"/>
          <w:sz w:val="32"/>
          <w:szCs w:val="28"/>
          <w:highlight w:val="none"/>
          <w:lang w:eastAsia="zh-CN"/>
        </w:rPr>
        <w:t>七</w:t>
      </w:r>
      <w:r>
        <w:rPr>
          <w:rFonts w:hint="eastAsia" w:ascii="宋体" w:hAnsi="宋体" w:eastAsia="宋体" w:cs="宋体"/>
          <w:b/>
          <w:bCs/>
          <w:color w:val="auto"/>
          <w:sz w:val="32"/>
          <w:szCs w:val="28"/>
          <w:highlight w:val="none"/>
        </w:rPr>
        <w:t>章 工程量清单</w:t>
      </w:r>
      <w:bookmarkEnd w:id="603"/>
      <w:bookmarkEnd w:id="604"/>
      <w:bookmarkEnd w:id="605"/>
      <w:bookmarkEnd w:id="606"/>
    </w:p>
    <w:p>
      <w:pPr>
        <w:outlineLvl w:val="9"/>
        <w:rPr>
          <w:rFonts w:hint="eastAsia" w:ascii="宋体" w:hAnsi="宋体" w:eastAsia="宋体" w:cs="宋体"/>
          <w:color w:val="auto"/>
          <w:lang w:val="en-US" w:eastAsia="zh-CN"/>
        </w:rPr>
      </w:pPr>
    </w:p>
    <w:p>
      <w:pPr>
        <w:pStyle w:val="8"/>
        <w:outlineLvl w:val="9"/>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tabs>
          <w:tab w:val="left" w:pos="6979"/>
        </w:tabs>
        <w:jc w:val="left"/>
        <w:rPr>
          <w:rFonts w:hint="eastAsia"/>
          <w:lang w:val="en-US" w:eastAsia="zh-CN"/>
        </w:rPr>
      </w:pPr>
      <w:r>
        <w:rPr>
          <w:rFonts w:hint="eastAsia" w:ascii="宋体" w:hAnsi="宋体" w:cs="宋体"/>
          <w:color w:val="auto"/>
          <w:lang w:val="en-US" w:eastAsia="zh-CN"/>
        </w:rPr>
        <w:tab/>
      </w:r>
    </w:p>
    <w:sectPr>
      <w:pgSz w:w="11906" w:h="16838"/>
      <w:pgMar w:top="1304" w:right="1531" w:bottom="1304" w:left="153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Light">
    <w:altName w:val="宋体"/>
    <w:panose1 w:val="00000000000000000000"/>
    <w:charset w:val="86"/>
    <w:family w:val="auto"/>
    <w:pitch w:val="default"/>
    <w:sig w:usb0="00000000" w:usb1="00000000" w:usb2="00000016" w:usb3="00000000" w:csb0="0004000F" w:csb1="00000000"/>
  </w:font>
  <w:font w:name="Copperplate Gothic Bold">
    <w:altName w:val="Segoe Print"/>
    <w:panose1 w:val="020E0705020206020404"/>
    <w:charset w:val="00"/>
    <w:family w:val="swiss"/>
    <w:pitch w:val="default"/>
    <w:sig w:usb0="00000000" w:usb1="00000000" w:usb2="00000000" w:usb3="00000000" w:csb0="20000001" w:csb1="00000000"/>
  </w:font>
  <w:font w:name="Consolas">
    <w:panose1 w:val="020B0609020204030204"/>
    <w:charset w:val="00"/>
    <w:family w:val="auto"/>
    <w:pitch w:val="default"/>
    <w:sig w:usb0="E00006FF" w:usb1="0000FCFF" w:usb2="00000001" w:usb3="00000000" w:csb0="600001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idowControl w:val="0"/>
      <w:pBdr>
        <w:top w:val="thickThinSmallGap" w:color="auto" w:sz="12" w:space="1"/>
        <w:left w:val="none" w:color="auto" w:sz="0" w:space="4"/>
        <w:bottom w:val="none" w:color="auto" w:sz="0" w:space="1"/>
        <w:right w:val="none" w:color="auto" w:sz="0" w:space="4"/>
        <w:between w:val="none" w:color="auto" w:sz="0" w:space="0"/>
      </w:pBdr>
      <w:snapToGrid w:val="0"/>
      <w:jc w:val="left"/>
      <w:rPr>
        <w:rFonts w:hint="eastAsia" w:eastAsiaTheme="minorEastAsia"/>
        <w:sz w:val="18"/>
        <w:szCs w:val="18"/>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posOffset>2799715</wp:posOffset>
              </wp:positionH>
              <wp:positionV relativeFrom="paragraph">
                <wp:posOffset>-20320</wp:posOffset>
              </wp:positionV>
              <wp:extent cx="195580" cy="1581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95580" cy="158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0.45pt;margin-top:-1.6pt;height:12.45pt;width:15.4pt;mso-position-horizontal-relative:margin;z-index:251659264;mso-width-relative:page;mso-height-relative:page;" filled="f" stroked="f" coordsize="21600,21600" o:gfxdata="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MT3EGNkAAAAJAQAADwAAAAAAAAABACAAAAAiAAAAZHJzL2Rvd25y&#10;ZXYueG1sUEsBAhQAFAAAAAgAh07iQJOEacw2AgAAYQQAAA4AAAAAAAAAAQAgAAAAKAEAAGRycy9l&#10;Mm9Eb2MueG1sUEsFBgAAAAAGAAYAWQEAANAFAAAAAA==&#10;">
              <v:fill on="f" focussize="0,0"/>
              <v:stroke on="f" weight="0.5pt"/>
              <v:imagedata o:title=""/>
              <o:lock v:ext="edit" aspectratio="f"/>
              <v:textbox inset="0mm,0mm,0mm,0mm">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sz w:val="18"/>
        <w:szCs w:val="18"/>
        <w:lang w:eastAsia="zh-CN"/>
      </w:rPr>
      <w:t>采购代理单位：致君项目管理有限公司</w:t>
    </w:r>
    <w:r>
      <w:rPr>
        <w:rFonts w:hint="eastAsia"/>
        <w:sz w:val="18"/>
        <w:szCs w:val="18"/>
        <w:lang w:val="en-US" w:eastAsia="zh-CN"/>
      </w:rPr>
      <w:t xml:space="preserve">                                      联系方式：029-33330819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thinThickSmallGap" w:color="auto" w:sz="12" w:space="1"/>
      </w:pBdr>
      <w:jc w:val="right"/>
      <w:rPr>
        <w:rFonts w:hint="eastAsia" w:eastAsiaTheme="minorEastAsia"/>
        <w:i/>
        <w:iCs/>
        <w:lang w:eastAsia="zh-CN"/>
      </w:rPr>
    </w:pPr>
    <w:r>
      <w:rPr>
        <w:rFonts w:hint="eastAsia"/>
        <w:i/>
        <w:iCs/>
        <w:lang w:eastAsia="zh-CN"/>
      </w:rPr>
      <w:t>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E383B"/>
    <w:multiLevelType w:val="singleLevel"/>
    <w:tmpl w:val="9C0E383B"/>
    <w:lvl w:ilvl="0" w:tentative="0">
      <w:start w:val="1"/>
      <w:numFmt w:val="chineseCounting"/>
      <w:suff w:val="space"/>
      <w:lvlText w:val="第%1章"/>
      <w:lvlJc w:val="left"/>
      <w:rPr>
        <w:rFonts w:hint="eastAsia"/>
      </w:rPr>
    </w:lvl>
  </w:abstractNum>
  <w:abstractNum w:abstractNumId="1">
    <w:nsid w:val="A4CAE436"/>
    <w:multiLevelType w:val="singleLevel"/>
    <w:tmpl w:val="A4CAE436"/>
    <w:lvl w:ilvl="0" w:tentative="0">
      <w:start w:val="1"/>
      <w:numFmt w:val="chineseCounting"/>
      <w:suff w:val="nothing"/>
      <w:lvlText w:val="%1、"/>
      <w:lvlJc w:val="left"/>
      <w:rPr>
        <w:rFonts w:hint="eastAsia"/>
      </w:rPr>
    </w:lvl>
  </w:abstractNum>
  <w:abstractNum w:abstractNumId="2">
    <w:nsid w:val="CE1F4F19"/>
    <w:multiLevelType w:val="singleLevel"/>
    <w:tmpl w:val="CE1F4F19"/>
    <w:lvl w:ilvl="0" w:tentative="0">
      <w:start w:val="9"/>
      <w:numFmt w:val="chineseCounting"/>
      <w:suff w:val="nothing"/>
      <w:lvlText w:val="%1、"/>
      <w:lvlJc w:val="left"/>
      <w:rPr>
        <w:rFonts w:hint="eastAsia"/>
      </w:rPr>
    </w:lvl>
  </w:abstractNum>
  <w:abstractNum w:abstractNumId="3">
    <w:nsid w:val="F3B35A6F"/>
    <w:multiLevelType w:val="singleLevel"/>
    <w:tmpl w:val="F3B35A6F"/>
    <w:lvl w:ilvl="0" w:tentative="0">
      <w:start w:val="1"/>
      <w:numFmt w:val="decimal"/>
      <w:lvlText w:val="%1."/>
      <w:lvlJc w:val="left"/>
      <w:pPr>
        <w:tabs>
          <w:tab w:val="left" w:pos="312"/>
        </w:tabs>
      </w:pPr>
    </w:lvl>
  </w:abstractNum>
  <w:abstractNum w:abstractNumId="4">
    <w:nsid w:val="00000013"/>
    <w:multiLevelType w:val="multilevel"/>
    <w:tmpl w:val="00000013"/>
    <w:lvl w:ilvl="0" w:tentative="0">
      <w:start w:val="1"/>
      <w:numFmt w:val="chineseCountingThousand"/>
      <w:pStyle w:val="40"/>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0" w:firstLine="0"/>
      </w:pPr>
      <w:rPr>
        <w:rFonts w:hint="eastAsia" w:ascii="宋体" w:hAnsi="宋体" w:eastAsia="宋体"/>
        <w:sz w:val="24"/>
        <w:szCs w:val="24"/>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5">
    <w:nsid w:val="0B184CC3"/>
    <w:multiLevelType w:val="multilevel"/>
    <w:tmpl w:val="0B184CC3"/>
    <w:lvl w:ilvl="0" w:tentative="0">
      <w:start w:val="1"/>
      <w:numFmt w:val="chineseCountingThousand"/>
      <w:suff w:val="nothing"/>
      <w:lvlText w:val="第%1章 "/>
      <w:lvlJc w:val="left"/>
      <w:rPr>
        <w:rFonts w:hint="eastAsia" w:cs="Times New Roman"/>
      </w:rPr>
    </w:lvl>
    <w:lvl w:ilvl="1" w:tentative="0">
      <w:start w:val="1"/>
      <w:numFmt w:val="none"/>
      <w:suff w:val="nothing"/>
      <w:lvlText w:val=""/>
      <w:lvlJc w:val="left"/>
      <w:rPr>
        <w:rFonts w:hint="eastAsia" w:cs="Times New Roman"/>
      </w:rPr>
    </w:lvl>
    <w:lvl w:ilvl="2" w:tentative="0">
      <w:start w:val="1"/>
      <w:numFmt w:val="none"/>
      <w:suff w:val="nothing"/>
      <w:lvlText w:val=""/>
      <w:lvlJc w:val="left"/>
      <w:rPr>
        <w:rFonts w:hint="eastAsia" w:cs="Times New Roman"/>
      </w:rPr>
    </w:lvl>
    <w:lvl w:ilvl="3" w:tentative="0">
      <w:start w:val="1"/>
      <w:numFmt w:val="none"/>
      <w:suff w:val="nothing"/>
      <w:lvlText w:val=""/>
      <w:lvlJc w:val="left"/>
      <w:rPr>
        <w:rFonts w:hint="eastAsia" w:cs="Times New Roman"/>
      </w:rPr>
    </w:lvl>
    <w:lvl w:ilvl="4" w:tentative="0">
      <w:start w:val="1"/>
      <w:numFmt w:val="none"/>
      <w:suff w:val="nothing"/>
      <w:lvlText w:val=""/>
      <w:lvlJc w:val="left"/>
      <w:rPr>
        <w:rFonts w:hint="eastAsia" w:cs="Times New Roman"/>
      </w:rPr>
    </w:lvl>
    <w:lvl w:ilvl="5" w:tentative="0">
      <w:start w:val="1"/>
      <w:numFmt w:val="none"/>
      <w:suff w:val="nothing"/>
      <w:lvlText w:val=""/>
      <w:lvlJc w:val="left"/>
      <w:rPr>
        <w:rFonts w:hint="eastAsia" w:cs="Times New Roman"/>
      </w:rPr>
    </w:lvl>
    <w:lvl w:ilvl="6" w:tentative="0">
      <w:start w:val="1"/>
      <w:numFmt w:val="none"/>
      <w:suff w:val="nothing"/>
      <w:lvlText w:val=""/>
      <w:lvlJc w:val="left"/>
      <w:rPr>
        <w:rFonts w:hint="eastAsia" w:cs="Times New Roman"/>
      </w:rPr>
    </w:lvl>
    <w:lvl w:ilvl="7" w:tentative="0">
      <w:start w:val="1"/>
      <w:numFmt w:val="none"/>
      <w:suff w:val="nothing"/>
      <w:lvlText w:val=""/>
      <w:lvlJc w:val="left"/>
      <w:rPr>
        <w:rFonts w:hint="eastAsia" w:cs="Times New Roman"/>
      </w:rPr>
    </w:lvl>
    <w:lvl w:ilvl="8" w:tentative="0">
      <w:start w:val="1"/>
      <w:numFmt w:val="none"/>
      <w:suff w:val="nothing"/>
      <w:lvlText w:val=""/>
      <w:lvlJc w:val="left"/>
      <w:rPr>
        <w:rFonts w:hint="eastAsia" w:cs="Times New Roman"/>
      </w:rPr>
    </w:lvl>
  </w:abstractNum>
  <w:abstractNum w:abstractNumId="6">
    <w:nsid w:val="592E4438"/>
    <w:multiLevelType w:val="singleLevel"/>
    <w:tmpl w:val="592E4438"/>
    <w:lvl w:ilvl="0" w:tentative="0">
      <w:start w:val="1"/>
      <w:numFmt w:val="decimal"/>
      <w:suff w:val="nothing"/>
      <w:lvlText w:val="%1、"/>
      <w:lvlJc w:val="left"/>
    </w:lvl>
  </w:abstractNum>
  <w:abstractNum w:abstractNumId="7">
    <w:nsid w:val="6F834E1C"/>
    <w:multiLevelType w:val="singleLevel"/>
    <w:tmpl w:val="6F834E1C"/>
    <w:lvl w:ilvl="0" w:tentative="0">
      <w:start w:val="1"/>
      <w:numFmt w:val="decimal"/>
      <w:suff w:val="nothing"/>
      <w:lvlText w:val="（%1）"/>
      <w:lvlJc w:val="left"/>
    </w:lvl>
  </w:abstractNum>
  <w:abstractNum w:abstractNumId="8">
    <w:nsid w:val="76D94134"/>
    <w:multiLevelType w:val="multilevel"/>
    <w:tmpl w:val="76D94134"/>
    <w:lvl w:ilvl="0" w:tentative="0">
      <w:start w:val="1"/>
      <w:numFmt w:val="chineseCountingThousand"/>
      <w:suff w:val="nothing"/>
      <w:lvlText w:val="第%1章"/>
      <w:lvlJc w:val="left"/>
      <w:rPr>
        <w:rFonts w:cs="Times New Roman"/>
      </w:rPr>
    </w:lvl>
    <w:lvl w:ilvl="1" w:tentative="0">
      <w:start w:val="1"/>
      <w:numFmt w:val="none"/>
      <w:suff w:val="nothing"/>
      <w:lvlText w:val=""/>
      <w:lvlJc w:val="left"/>
      <w:rPr>
        <w:rFonts w:cs="Times New Roman"/>
      </w:rPr>
    </w:lvl>
    <w:lvl w:ilvl="2" w:tentative="0">
      <w:start w:val="1"/>
      <w:numFmt w:val="none"/>
      <w:suff w:val="nothing"/>
      <w:lvlText w:val=""/>
      <w:lvlJc w:val="left"/>
      <w:rPr>
        <w:rFonts w:cs="Times New Roman"/>
      </w:rPr>
    </w:lvl>
    <w:lvl w:ilvl="3" w:tentative="0">
      <w:start w:val="1"/>
      <w:numFmt w:val="none"/>
      <w:pStyle w:val="5"/>
      <w:suff w:val="nothing"/>
      <w:lvlText w:val=""/>
      <w:lvlJc w:val="left"/>
      <w:rPr>
        <w:rFonts w:cs="Times New Roman"/>
      </w:rPr>
    </w:lvl>
    <w:lvl w:ilvl="4" w:tentative="0">
      <w:start w:val="1"/>
      <w:numFmt w:val="none"/>
      <w:suff w:val="nothing"/>
      <w:lvlText w:val=""/>
      <w:lvlJc w:val="left"/>
      <w:rPr>
        <w:rFonts w:cs="Times New Roman"/>
      </w:rPr>
    </w:lvl>
    <w:lvl w:ilvl="5" w:tentative="0">
      <w:start w:val="1"/>
      <w:numFmt w:val="none"/>
      <w:suff w:val="nothing"/>
      <w:lvlText w:val=""/>
      <w:lvlJc w:val="left"/>
      <w:rPr>
        <w:rFonts w:cs="Times New Roman"/>
      </w:rPr>
    </w:lvl>
    <w:lvl w:ilvl="6" w:tentative="0">
      <w:start w:val="1"/>
      <w:numFmt w:val="none"/>
      <w:suff w:val="nothing"/>
      <w:lvlText w:val=""/>
      <w:lvlJc w:val="left"/>
      <w:rPr>
        <w:rFonts w:cs="Times New Roman"/>
      </w:rPr>
    </w:lvl>
    <w:lvl w:ilvl="7" w:tentative="0">
      <w:start w:val="1"/>
      <w:numFmt w:val="none"/>
      <w:suff w:val="nothing"/>
      <w:lvlText w:val=""/>
      <w:lvlJc w:val="left"/>
      <w:rPr>
        <w:rFonts w:cs="Times New Roman"/>
      </w:rPr>
    </w:lvl>
    <w:lvl w:ilvl="8" w:tentative="0">
      <w:start w:val="1"/>
      <w:numFmt w:val="none"/>
      <w:suff w:val="nothing"/>
      <w:lvlText w:val=""/>
      <w:lvlJc w:val="left"/>
      <w:rPr>
        <w:rFonts w:cs="Times New Roman"/>
      </w:rPr>
    </w:lvl>
  </w:abstractNum>
  <w:num w:numId="1">
    <w:abstractNumId w:val="8"/>
  </w:num>
  <w:num w:numId="2">
    <w:abstractNumId w:val="4"/>
  </w:num>
  <w:num w:numId="3">
    <w:abstractNumId w:val="0"/>
  </w:num>
  <w:num w:numId="4">
    <w:abstractNumId w:val="7"/>
  </w:num>
  <w:num w:numId="5">
    <w:abstractNumId w:val="3"/>
  </w:num>
  <w:num w:numId="6">
    <w:abstractNumId w:val="5"/>
  </w:num>
  <w:num w:numId="7">
    <w:abstractNumId w:val="1"/>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C27F1F"/>
    <w:rsid w:val="00015814"/>
    <w:rsid w:val="0047357F"/>
    <w:rsid w:val="011D65D1"/>
    <w:rsid w:val="04AC4D76"/>
    <w:rsid w:val="05832254"/>
    <w:rsid w:val="071B2984"/>
    <w:rsid w:val="07B753B5"/>
    <w:rsid w:val="0B967C8D"/>
    <w:rsid w:val="0C85611A"/>
    <w:rsid w:val="0DB354DB"/>
    <w:rsid w:val="0E8F6B2C"/>
    <w:rsid w:val="0EE40EB6"/>
    <w:rsid w:val="0FF93E59"/>
    <w:rsid w:val="10E42FD0"/>
    <w:rsid w:val="12C96A7C"/>
    <w:rsid w:val="12F4158A"/>
    <w:rsid w:val="14201FBD"/>
    <w:rsid w:val="15860278"/>
    <w:rsid w:val="15BE790F"/>
    <w:rsid w:val="17B714EA"/>
    <w:rsid w:val="182A078A"/>
    <w:rsid w:val="19446BAC"/>
    <w:rsid w:val="19673BAA"/>
    <w:rsid w:val="19C05A8A"/>
    <w:rsid w:val="19F826D4"/>
    <w:rsid w:val="1AB34462"/>
    <w:rsid w:val="1BC251C1"/>
    <w:rsid w:val="1D25014D"/>
    <w:rsid w:val="1E9C3FED"/>
    <w:rsid w:val="1F447B54"/>
    <w:rsid w:val="1F643962"/>
    <w:rsid w:val="1FB31B8A"/>
    <w:rsid w:val="1FB8448B"/>
    <w:rsid w:val="204C0ADF"/>
    <w:rsid w:val="221C6B5B"/>
    <w:rsid w:val="228427CD"/>
    <w:rsid w:val="24871950"/>
    <w:rsid w:val="24A5046B"/>
    <w:rsid w:val="256D5537"/>
    <w:rsid w:val="25B1689C"/>
    <w:rsid w:val="25F01849"/>
    <w:rsid w:val="26E6038B"/>
    <w:rsid w:val="27B71D1C"/>
    <w:rsid w:val="27CF7C55"/>
    <w:rsid w:val="284165A6"/>
    <w:rsid w:val="293017C3"/>
    <w:rsid w:val="2A0C46DE"/>
    <w:rsid w:val="2B3A468D"/>
    <w:rsid w:val="2BA26E00"/>
    <w:rsid w:val="2D772A4D"/>
    <w:rsid w:val="2DC22150"/>
    <w:rsid w:val="2E895F01"/>
    <w:rsid w:val="30512ABC"/>
    <w:rsid w:val="323B3C26"/>
    <w:rsid w:val="33ED5075"/>
    <w:rsid w:val="34EE1D5D"/>
    <w:rsid w:val="353A1D67"/>
    <w:rsid w:val="36412E99"/>
    <w:rsid w:val="376C0892"/>
    <w:rsid w:val="37B73008"/>
    <w:rsid w:val="383F5912"/>
    <w:rsid w:val="387F36C7"/>
    <w:rsid w:val="3AE35A89"/>
    <w:rsid w:val="3B1E4358"/>
    <w:rsid w:val="3B8524BD"/>
    <w:rsid w:val="3C2759C9"/>
    <w:rsid w:val="3C574604"/>
    <w:rsid w:val="3DC872FD"/>
    <w:rsid w:val="3EFD11AD"/>
    <w:rsid w:val="3F430BC0"/>
    <w:rsid w:val="41820C79"/>
    <w:rsid w:val="41CD729B"/>
    <w:rsid w:val="43D243DB"/>
    <w:rsid w:val="440E2953"/>
    <w:rsid w:val="44602142"/>
    <w:rsid w:val="47655DBE"/>
    <w:rsid w:val="48471D91"/>
    <w:rsid w:val="490A0C73"/>
    <w:rsid w:val="493F58D9"/>
    <w:rsid w:val="49A87A57"/>
    <w:rsid w:val="4B0E35A3"/>
    <w:rsid w:val="4B1602E6"/>
    <w:rsid w:val="4B1F5637"/>
    <w:rsid w:val="4BCF2979"/>
    <w:rsid w:val="4EFD7BB5"/>
    <w:rsid w:val="4FC27F1F"/>
    <w:rsid w:val="50330B55"/>
    <w:rsid w:val="51672F77"/>
    <w:rsid w:val="517E20E5"/>
    <w:rsid w:val="52106762"/>
    <w:rsid w:val="52CA7298"/>
    <w:rsid w:val="54B147BA"/>
    <w:rsid w:val="56B1612D"/>
    <w:rsid w:val="56CA6D58"/>
    <w:rsid w:val="57305119"/>
    <w:rsid w:val="57491BA8"/>
    <w:rsid w:val="58055A34"/>
    <w:rsid w:val="58EF159E"/>
    <w:rsid w:val="596E2DCB"/>
    <w:rsid w:val="59716289"/>
    <w:rsid w:val="5A92156C"/>
    <w:rsid w:val="5D5F42C9"/>
    <w:rsid w:val="5DDE137C"/>
    <w:rsid w:val="5E631777"/>
    <w:rsid w:val="5E9F0CE9"/>
    <w:rsid w:val="5F807E2D"/>
    <w:rsid w:val="5F8C53A0"/>
    <w:rsid w:val="62237676"/>
    <w:rsid w:val="627971D7"/>
    <w:rsid w:val="64007BD4"/>
    <w:rsid w:val="66484AFF"/>
    <w:rsid w:val="68617AB0"/>
    <w:rsid w:val="68E07693"/>
    <w:rsid w:val="691B604B"/>
    <w:rsid w:val="69526618"/>
    <w:rsid w:val="6A49319B"/>
    <w:rsid w:val="6D224524"/>
    <w:rsid w:val="6E8E4E36"/>
    <w:rsid w:val="6F815E05"/>
    <w:rsid w:val="704F23D6"/>
    <w:rsid w:val="71272285"/>
    <w:rsid w:val="71A41E22"/>
    <w:rsid w:val="71B06BDC"/>
    <w:rsid w:val="71BB133D"/>
    <w:rsid w:val="71E72F53"/>
    <w:rsid w:val="722F0F70"/>
    <w:rsid w:val="72C04B83"/>
    <w:rsid w:val="731447DD"/>
    <w:rsid w:val="733E2E9E"/>
    <w:rsid w:val="75DB293B"/>
    <w:rsid w:val="77774C34"/>
    <w:rsid w:val="77C573F3"/>
    <w:rsid w:val="77D416AE"/>
    <w:rsid w:val="78423299"/>
    <w:rsid w:val="79E34398"/>
    <w:rsid w:val="7A5C4C31"/>
    <w:rsid w:val="7AA228B9"/>
    <w:rsid w:val="7E365F8B"/>
    <w:rsid w:val="7E6E251C"/>
    <w:rsid w:val="7EEE7D5D"/>
    <w:rsid w:val="7F473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1"/>
    <w:qFormat/>
    <w:uiPriority w:val="0"/>
    <w:pPr>
      <w:keepNext/>
      <w:tabs>
        <w:tab w:val="left" w:pos="432"/>
      </w:tabs>
      <w:ind w:left="432" w:hanging="432"/>
      <w:jc w:val="center"/>
      <w:outlineLvl w:val="0"/>
    </w:pPr>
    <w:rPr>
      <w:rFonts w:ascii="黑体" w:hAnsi="黑体" w:eastAsia="宋体"/>
      <w:b/>
      <w:sz w:val="32"/>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宋体"/>
      <w:b/>
      <w:bCs/>
      <w:sz w:val="32"/>
      <w:szCs w:val="32"/>
    </w:rPr>
  </w:style>
  <w:style w:type="paragraph" w:styleId="5">
    <w:name w:val="heading 4"/>
    <w:basedOn w:val="1"/>
    <w:next w:val="1"/>
    <w:qFormat/>
    <w:uiPriority w:val="0"/>
    <w:pPr>
      <w:keepNext/>
      <w:keepLines/>
      <w:numPr>
        <w:ilvl w:val="3"/>
        <w:numId w:val="1"/>
      </w:numPr>
      <w:spacing w:before="280" w:after="290" w:line="376" w:lineRule="auto"/>
      <w:outlineLvl w:val="3"/>
    </w:pPr>
    <w:rPr>
      <w:rFonts w:ascii="等线 Light" w:hAnsi="等线 Light" w:eastAsia="等线 Light"/>
      <w:b/>
      <w:bCs/>
      <w:sz w:val="28"/>
      <w:szCs w:val="28"/>
    </w:rPr>
  </w:style>
  <w:style w:type="character" w:default="1" w:styleId="19">
    <w:name w:val="Default Paragraph Font"/>
    <w:link w:val="20"/>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34"/>
    <w:pPr>
      <w:ind w:firstLine="420" w:firstLineChars="200"/>
    </w:pPr>
    <w:rPr>
      <w:rFonts w:ascii="Calibri" w:hAnsi="Calibri"/>
      <w:kern w:val="2"/>
      <w:sz w:val="21"/>
      <w:szCs w:val="22"/>
    </w:rPr>
  </w:style>
  <w:style w:type="paragraph" w:styleId="6">
    <w:name w:val="Normal Indent"/>
    <w:basedOn w:val="1"/>
    <w:qFormat/>
    <w:uiPriority w:val="0"/>
    <w:pPr>
      <w:ind w:firstLine="420"/>
    </w:pPr>
  </w:style>
  <w:style w:type="paragraph" w:styleId="7">
    <w:name w:val="Body Text 3"/>
    <w:basedOn w:val="1"/>
    <w:qFormat/>
    <w:uiPriority w:val="0"/>
    <w:pPr>
      <w:adjustRightInd/>
      <w:spacing w:after="120" w:line="240" w:lineRule="auto"/>
      <w:jc w:val="both"/>
      <w:textAlignment w:val="auto"/>
    </w:pPr>
    <w:rPr>
      <w:rFonts w:ascii="Calibri" w:hAnsi="Calibri"/>
      <w:kern w:val="2"/>
      <w:sz w:val="16"/>
      <w:szCs w:val="16"/>
    </w:rPr>
  </w:style>
  <w:style w:type="paragraph" w:styleId="8">
    <w:name w:val="Body Text"/>
    <w:basedOn w:val="1"/>
    <w:next w:val="1"/>
    <w:qFormat/>
    <w:uiPriority w:val="0"/>
    <w:pPr>
      <w:spacing w:after="120"/>
    </w:p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rPr>
  </w:style>
  <w:style w:type="paragraph" w:styleId="11">
    <w:name w:val="Date"/>
    <w:basedOn w:val="1"/>
    <w:next w:val="1"/>
    <w:qFormat/>
    <w:uiPriority w:val="0"/>
    <w:rPr>
      <w:rFonts w:ascii="Copperplate Gothic Bold" w:hAnsi="Copperplate Gothic Bold"/>
      <w:sz w:val="32"/>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 Char1 Char Char Char Char Char Char Char Char Char Char Char"/>
    <w:basedOn w:val="1"/>
    <w:link w:val="19"/>
    <w:qFormat/>
    <w:uiPriority w:val="0"/>
    <w:pPr>
      <w:pageBreakBefore/>
      <w:tabs>
        <w:tab w:val="left" w:pos="432"/>
      </w:tabs>
      <w:ind w:left="432" w:hanging="432"/>
    </w:pPr>
  </w:style>
  <w:style w:type="character" w:styleId="21">
    <w:name w:val="Strong"/>
    <w:basedOn w:val="19"/>
    <w:qFormat/>
    <w:uiPriority w:val="0"/>
    <w:rPr>
      <w:b/>
    </w:rPr>
  </w:style>
  <w:style w:type="character" w:styleId="22">
    <w:name w:val="page number"/>
    <w:basedOn w:val="19"/>
    <w:qFormat/>
    <w:uiPriority w:val="0"/>
  </w:style>
  <w:style w:type="character" w:styleId="23">
    <w:name w:val="FollowedHyperlink"/>
    <w:basedOn w:val="19"/>
    <w:qFormat/>
    <w:uiPriority w:val="0"/>
    <w:rPr>
      <w:color w:val="333333"/>
      <w:u w:val="none"/>
    </w:rPr>
  </w:style>
  <w:style w:type="character" w:styleId="24">
    <w:name w:val="Emphasis"/>
    <w:basedOn w:val="19"/>
    <w:qFormat/>
    <w:uiPriority w:val="0"/>
  </w:style>
  <w:style w:type="character" w:styleId="25">
    <w:name w:val="HTML Definition"/>
    <w:basedOn w:val="19"/>
    <w:qFormat/>
    <w:uiPriority w:val="0"/>
    <w:rPr>
      <w:i/>
    </w:rPr>
  </w:style>
  <w:style w:type="character" w:styleId="26">
    <w:name w:val="Hyperlink"/>
    <w:basedOn w:val="19"/>
    <w:qFormat/>
    <w:uiPriority w:val="0"/>
    <w:rPr>
      <w:color w:val="333333"/>
      <w:u w:val="none"/>
    </w:rPr>
  </w:style>
  <w:style w:type="character" w:styleId="27">
    <w:name w:val="HTML Code"/>
    <w:basedOn w:val="19"/>
    <w:qFormat/>
    <w:uiPriority w:val="0"/>
    <w:rPr>
      <w:rFonts w:hint="default" w:ascii="Consolas" w:hAnsi="Consolas" w:eastAsia="Consolas" w:cs="Consolas"/>
      <w:color w:val="C7254E"/>
      <w:sz w:val="21"/>
      <w:szCs w:val="21"/>
      <w:shd w:val="clear" w:fill="F9F2F4"/>
    </w:rPr>
  </w:style>
  <w:style w:type="character" w:styleId="28">
    <w:name w:val="HTML Keyboard"/>
    <w:basedOn w:val="19"/>
    <w:qFormat/>
    <w:uiPriority w:val="0"/>
    <w:rPr>
      <w:rFonts w:ascii="Consolas" w:hAnsi="Consolas" w:eastAsia="Consolas" w:cs="Consolas"/>
      <w:color w:val="FFFFFF"/>
      <w:sz w:val="21"/>
      <w:szCs w:val="21"/>
      <w:shd w:val="clear" w:fill="333333"/>
    </w:rPr>
  </w:style>
  <w:style w:type="character" w:styleId="29">
    <w:name w:val="HTML Sample"/>
    <w:basedOn w:val="19"/>
    <w:qFormat/>
    <w:uiPriority w:val="0"/>
    <w:rPr>
      <w:rFonts w:hint="default" w:ascii="Consolas" w:hAnsi="Consolas" w:eastAsia="Consolas" w:cs="Consolas"/>
      <w:sz w:val="21"/>
      <w:szCs w:val="21"/>
    </w:rPr>
  </w:style>
  <w:style w:type="paragraph" w:customStyle="1" w:styleId="30">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character" w:customStyle="1" w:styleId="31">
    <w:name w:val="hour_pm"/>
    <w:basedOn w:val="19"/>
    <w:qFormat/>
    <w:uiPriority w:val="0"/>
  </w:style>
  <w:style w:type="character" w:customStyle="1" w:styleId="32">
    <w:name w:val="hover3"/>
    <w:basedOn w:val="19"/>
    <w:qFormat/>
    <w:uiPriority w:val="0"/>
    <w:rPr>
      <w:shd w:val="clear" w:fill="EEEEEE"/>
    </w:rPr>
  </w:style>
  <w:style w:type="character" w:customStyle="1" w:styleId="33">
    <w:name w:val="old"/>
    <w:basedOn w:val="19"/>
    <w:qFormat/>
    <w:uiPriority w:val="0"/>
    <w:rPr>
      <w:color w:val="999999"/>
    </w:rPr>
  </w:style>
  <w:style w:type="character" w:customStyle="1" w:styleId="34">
    <w:name w:val="glyphicon4"/>
    <w:basedOn w:val="19"/>
    <w:qFormat/>
    <w:uiPriority w:val="0"/>
  </w:style>
  <w:style w:type="character" w:customStyle="1" w:styleId="35">
    <w:name w:val="hour_am"/>
    <w:basedOn w:val="19"/>
    <w:qFormat/>
    <w:uiPriority w:val="0"/>
  </w:style>
  <w:style w:type="character" w:customStyle="1" w:styleId="36">
    <w:name w:val="indent"/>
    <w:basedOn w:val="19"/>
    <w:qFormat/>
    <w:uiPriority w:val="0"/>
  </w:style>
  <w:style w:type="character" w:customStyle="1" w:styleId="37">
    <w:name w:val="button"/>
    <w:basedOn w:val="19"/>
    <w:qFormat/>
    <w:uiPriority w:val="0"/>
  </w:style>
  <w:style w:type="character" w:customStyle="1" w:styleId="38">
    <w:name w:val="tmpztreemove_arrow"/>
    <w:basedOn w:val="19"/>
    <w:qFormat/>
    <w:uiPriority w:val="0"/>
    <w:rPr>
      <w:shd w:val="clear" w:fill="FFFFFF"/>
    </w:rPr>
  </w:style>
  <w:style w:type="paragraph" w:customStyle="1" w:styleId="39">
    <w:name w:val="无间隔"/>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
    <w:name w:val="样式1"/>
    <w:basedOn w:val="1"/>
    <w:qFormat/>
    <w:uiPriority w:val="0"/>
    <w:pPr>
      <w:numPr>
        <w:ilvl w:val="0"/>
        <w:numId w:val="2"/>
      </w:numPr>
      <w:tabs>
        <w:tab w:val="left" w:pos="709"/>
      </w:tabs>
      <w:adjustRightInd w:val="0"/>
      <w:textAlignment w:val="baseline"/>
    </w:pPr>
    <w:rPr>
      <w:rFonts w:ascii="宋体" w:hAnsi="宋体"/>
      <w:kern w:val="0"/>
      <w:szCs w:val="21"/>
    </w:rPr>
  </w:style>
  <w:style w:type="character" w:customStyle="1" w:styleId="41">
    <w:name w:val="标题 1 Char"/>
    <w:link w:val="3"/>
    <w:qFormat/>
    <w:uiPriority w:val="0"/>
    <w:rPr>
      <w:rFonts w:ascii="黑体" w:hAnsi="黑体" w:eastAsia="宋体"/>
      <w:b/>
      <w:sz w:val="32"/>
    </w:rPr>
  </w:style>
  <w:style w:type="paragraph" w:customStyle="1" w:styleId="42">
    <w:name w:val="p0"/>
    <w:qFormat/>
    <w:uiPriority w:val="0"/>
    <w:rPr>
      <w:rFonts w:ascii="Times New Roman" w:hAnsi="Times New Roman" w:eastAsia="宋体" w:cs="Times New Roman"/>
      <w:szCs w:val="21"/>
      <w:lang w:val="en-US" w:eastAsia="zh-CN" w:bidi="ar-SA"/>
    </w:rPr>
  </w:style>
  <w:style w:type="character" w:customStyle="1" w:styleId="43">
    <w:name w:val="red"/>
    <w:basedOn w:val="19"/>
    <w:qFormat/>
    <w:uiPriority w:val="0"/>
    <w:rPr>
      <w:color w:val="E3060B"/>
    </w:rPr>
  </w:style>
  <w:style w:type="character" w:customStyle="1" w:styleId="44">
    <w:name w:val="num4"/>
    <w:basedOn w:val="19"/>
    <w:qFormat/>
    <w:uiPriority w:val="0"/>
  </w:style>
  <w:style w:type="character" w:customStyle="1" w:styleId="45">
    <w:name w:val="num2"/>
    <w:basedOn w:val="19"/>
    <w:qFormat/>
    <w:uiPriority w:val="0"/>
    <w:rPr>
      <w:shd w:val="clear" w:fill="FDC003"/>
    </w:rPr>
  </w:style>
  <w:style w:type="character" w:customStyle="1" w:styleId="46">
    <w:name w:val="num5"/>
    <w:basedOn w:val="19"/>
    <w:qFormat/>
    <w:uiPriority w:val="0"/>
  </w:style>
  <w:style w:type="character" w:customStyle="1" w:styleId="47">
    <w:name w:val="num3"/>
    <w:basedOn w:val="19"/>
    <w:qFormat/>
    <w:uiPriority w:val="0"/>
    <w:rPr>
      <w:shd w:val="clear" w:fill="C5FE01"/>
    </w:rPr>
  </w:style>
  <w:style w:type="character" w:customStyle="1" w:styleId="48">
    <w:name w:val="num31"/>
    <w:basedOn w:val="19"/>
    <w:qFormat/>
    <w:uiPriority w:val="0"/>
  </w:style>
  <w:style w:type="character" w:customStyle="1" w:styleId="49">
    <w:name w:val="num1"/>
    <w:basedOn w:val="19"/>
    <w:qFormat/>
    <w:uiPriority w:val="0"/>
    <w:rPr>
      <w:shd w:val="clear" w:fill="FD0400"/>
    </w:rPr>
  </w:style>
  <w:style w:type="character" w:customStyle="1" w:styleId="50">
    <w:name w:val="num11"/>
    <w:basedOn w:val="19"/>
    <w:qFormat/>
    <w:uiPriority w:val="0"/>
  </w:style>
  <w:style w:type="character" w:customStyle="1" w:styleId="51">
    <w:name w:val="num15"/>
    <w:basedOn w:val="19"/>
    <w:qFormat/>
    <w:uiPriority w:val="0"/>
  </w:style>
  <w:style w:type="character" w:customStyle="1" w:styleId="52">
    <w:name w:val="num10"/>
    <w:basedOn w:val="19"/>
    <w:qFormat/>
    <w:uiPriority w:val="0"/>
  </w:style>
  <w:style w:type="character" w:customStyle="1" w:styleId="53">
    <w:name w:val="num8"/>
    <w:basedOn w:val="19"/>
    <w:qFormat/>
    <w:uiPriority w:val="0"/>
  </w:style>
  <w:style w:type="character" w:customStyle="1" w:styleId="54">
    <w:name w:val="num6"/>
    <w:basedOn w:val="19"/>
    <w:qFormat/>
    <w:uiPriority w:val="0"/>
  </w:style>
  <w:style w:type="character" w:customStyle="1" w:styleId="55">
    <w:name w:val="num9"/>
    <w:basedOn w:val="19"/>
    <w:qFormat/>
    <w:uiPriority w:val="0"/>
  </w:style>
  <w:style w:type="character" w:customStyle="1" w:styleId="56">
    <w:name w:val="num7"/>
    <w:basedOn w:val="19"/>
    <w:qFormat/>
    <w:uiPriority w:val="0"/>
  </w:style>
  <w:style w:type="character" w:customStyle="1" w:styleId="57">
    <w:name w:val="num111"/>
    <w:basedOn w:val="19"/>
    <w:qFormat/>
    <w:uiPriority w:val="0"/>
  </w:style>
  <w:style w:type="character" w:customStyle="1" w:styleId="58">
    <w:name w:val="num12"/>
    <w:basedOn w:val="19"/>
    <w:qFormat/>
    <w:uiPriority w:val="0"/>
  </w:style>
  <w:style w:type="character" w:customStyle="1" w:styleId="59">
    <w:name w:val="num13"/>
    <w:basedOn w:val="19"/>
    <w:qFormat/>
    <w:uiPriority w:val="0"/>
  </w:style>
  <w:style w:type="character" w:customStyle="1" w:styleId="60">
    <w:name w:val="num14"/>
    <w:basedOn w:val="19"/>
    <w:qFormat/>
    <w:uiPriority w:val="0"/>
  </w:style>
  <w:style w:type="character" w:customStyle="1" w:styleId="61">
    <w:name w:val="dx"/>
    <w:basedOn w:val="19"/>
    <w:qFormat/>
    <w:uiPriority w:val="0"/>
  </w:style>
  <w:style w:type="character" w:customStyle="1" w:styleId="62">
    <w:name w:val="sj2"/>
    <w:basedOn w:val="19"/>
    <w:qFormat/>
    <w:uiPriority w:val="0"/>
  </w:style>
  <w:style w:type="character" w:customStyle="1" w:styleId="63">
    <w:name w:val="dc"/>
    <w:basedOn w:val="19"/>
    <w:qFormat/>
    <w:uiPriority w:val="0"/>
    <w:rPr>
      <w:b/>
      <w:color w:val="663300"/>
      <w:sz w:val="21"/>
      <w:szCs w:val="21"/>
    </w:rPr>
  </w:style>
  <w:style w:type="character" w:customStyle="1" w:styleId="64">
    <w:name w:val="gray"/>
    <w:basedOn w:val="19"/>
    <w:qFormat/>
    <w:uiPriority w:val="0"/>
    <w:rPr>
      <w:color w:val="B5B5B5"/>
    </w:rPr>
  </w:style>
  <w:style w:type="character" w:customStyle="1" w:styleId="65">
    <w:name w:val="speed"/>
    <w:basedOn w:val="19"/>
    <w:qFormat/>
    <w:uiPriority w:val="0"/>
  </w:style>
  <w:style w:type="character" w:customStyle="1" w:styleId="66">
    <w:name w:val="beforeinfotext"/>
    <w:basedOn w:val="19"/>
    <w:qFormat/>
    <w:uiPriority w:val="0"/>
    <w:rPr>
      <w:color w:val="666666"/>
    </w:rPr>
  </w:style>
  <w:style w:type="character" w:customStyle="1" w:styleId="67">
    <w:name w:val="stclosebtn"/>
    <w:basedOn w:val="19"/>
    <w:qFormat/>
    <w:uiPriority w:val="0"/>
  </w:style>
  <w:style w:type="character" w:customStyle="1" w:styleId="68">
    <w:name w:val="number"/>
    <w:basedOn w:val="19"/>
    <w:qFormat/>
    <w:uiPriority w:val="0"/>
    <w:rPr>
      <w:color w:val="FF8833"/>
      <w:sz w:val="18"/>
      <w:szCs w:val="18"/>
    </w:rPr>
  </w:style>
  <w:style w:type="character" w:customStyle="1" w:styleId="69">
    <w:name w:val="phone"/>
    <w:basedOn w:val="19"/>
    <w:qFormat/>
    <w:uiPriority w:val="0"/>
    <w:rPr>
      <w:color w:val="FF8833"/>
      <w:sz w:val="18"/>
      <w:szCs w:val="18"/>
    </w:rPr>
  </w:style>
  <w:style w:type="character" w:customStyle="1" w:styleId="70">
    <w:name w:val="proollist"/>
    <w:basedOn w:val="19"/>
    <w:qFormat/>
    <w:uiPriority w:val="0"/>
  </w:style>
  <w:style w:type="paragraph" w:customStyle="1" w:styleId="71">
    <w:name w:val="title13"/>
    <w:basedOn w:val="1"/>
    <w:qFormat/>
    <w:uiPriority w:val="0"/>
    <w:pPr>
      <w:spacing w:before="150" w:beforeAutospacing="0" w:after="0" w:afterAutospacing="0"/>
      <w:ind w:left="0" w:right="0" w:firstLine="0"/>
      <w:jc w:val="left"/>
    </w:pPr>
    <w:rPr>
      <w:b/>
      <w:kern w:val="0"/>
      <w:sz w:val="22"/>
      <w:szCs w:val="22"/>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2019-02-15T03:44:00Z</dcterms:created>
  <dc:creator>Administrator</dc:creator>
  <cp:lastModifiedBy>张鑫</cp:lastModifiedBy>
  <cp:lastPrinted>2021-03-15T03:48:00Z</cp:lastPrinted>
  <dcterms:modified xsi:type="dcterms:W3CDTF">2021-03-29T03:21:04Z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58E957F5D41A427BA6B9D27D475A3060</vt:lpwstr>
  </property>
</Properties>
</file>