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Ansi="宋体" w:cs="宋体"/>
          <w:b/>
          <w:bCs/>
          <w:sz w:val="32"/>
          <w:szCs w:val="32"/>
        </w:rPr>
      </w:pPr>
      <w:r>
        <w:rPr>
          <w:b/>
          <w:color w:val="000000"/>
          <w:sz w:val="28"/>
          <w:szCs w:val="28"/>
        </w:rPr>
        <w:drawing>
          <wp:inline distT="0" distB="0" distL="114300" distR="114300">
            <wp:extent cx="1131570" cy="440055"/>
            <wp:effectExtent l="0" t="0" r="11430" b="17145"/>
            <wp:docPr id="3" name="图片 1" descr="uug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uugai"/>
                    <pic:cNvPicPr>
                      <a:picLocks noChangeAspect="1"/>
                    </pic:cNvPicPr>
                  </pic:nvPicPr>
                  <pic:blipFill>
                    <a:blip r:embed="rId8" cstate="print"/>
                    <a:stretch>
                      <a:fillRect/>
                    </a:stretch>
                  </pic:blipFill>
                  <pic:spPr>
                    <a:xfrm>
                      <a:off x="0" y="0"/>
                      <a:ext cx="1131570" cy="440055"/>
                    </a:xfrm>
                    <a:prstGeom prst="rect">
                      <a:avLst/>
                    </a:prstGeom>
                    <a:noFill/>
                    <a:ln>
                      <a:noFill/>
                    </a:ln>
                  </pic:spPr>
                </pic:pic>
              </a:graphicData>
            </a:graphic>
          </wp:inline>
        </w:drawing>
      </w:r>
    </w:p>
    <w:p>
      <w:pPr>
        <w:pStyle w:val="2"/>
      </w:pPr>
    </w:p>
    <w:p>
      <w:pPr>
        <w:pStyle w:val="2"/>
      </w:pPr>
    </w:p>
    <w:p>
      <w:pPr>
        <w:pStyle w:val="2"/>
      </w:pPr>
    </w:p>
    <w:p>
      <w:pPr>
        <w:pStyle w:val="2"/>
      </w:pPr>
    </w:p>
    <w:p>
      <w:pPr>
        <w:jc w:val="center"/>
        <w:rPr>
          <w:rFonts w:hint="eastAsia" w:ascii="仿宋" w:hAnsi="仿宋" w:eastAsia="仿宋" w:cs="仿宋"/>
          <w:b/>
          <w:sz w:val="36"/>
          <w:szCs w:val="36"/>
        </w:rPr>
      </w:pPr>
      <w:r>
        <w:rPr>
          <w:rFonts w:hint="eastAsia" w:ascii="仿宋" w:hAnsi="仿宋" w:eastAsia="仿宋" w:cs="仿宋"/>
          <w:b/>
          <w:sz w:val="56"/>
          <w:szCs w:val="56"/>
        </w:rPr>
        <w:t>灞桥法院集中印务系统采购项目</w:t>
      </w:r>
    </w:p>
    <w:p>
      <w:pPr>
        <w:spacing w:line="780" w:lineRule="auto"/>
        <w:jc w:val="center"/>
        <w:rPr>
          <w:rFonts w:hint="eastAsia" w:ascii="仿宋" w:hAnsi="仿宋" w:eastAsia="仿宋" w:cs="仿宋"/>
          <w:b/>
          <w:sz w:val="72"/>
          <w:szCs w:val="72"/>
        </w:rPr>
      </w:pPr>
    </w:p>
    <w:p>
      <w:pPr>
        <w:jc w:val="center"/>
        <w:rPr>
          <w:rFonts w:hint="eastAsia" w:ascii="仿宋" w:hAnsi="仿宋" w:eastAsia="仿宋" w:cs="仿宋"/>
          <w:b/>
          <w:sz w:val="72"/>
          <w:szCs w:val="72"/>
        </w:rPr>
      </w:pPr>
      <w:r>
        <w:rPr>
          <w:rFonts w:hint="eastAsia" w:ascii="仿宋" w:hAnsi="仿宋" w:eastAsia="仿宋" w:cs="仿宋"/>
          <w:b/>
          <w:sz w:val="72"/>
          <w:szCs w:val="56"/>
        </w:rPr>
        <w:t>竞争性磋商文件</w:t>
      </w:r>
    </w:p>
    <w:p>
      <w:pPr>
        <w:rPr>
          <w:rFonts w:hint="eastAsia" w:ascii="仿宋" w:hAnsi="仿宋" w:eastAsia="仿宋" w:cs="仿宋"/>
        </w:rPr>
      </w:pPr>
      <w:bookmarkStart w:id="0" w:name="_Toc363463325"/>
    </w:p>
    <w:p>
      <w:pPr>
        <w:jc w:val="center"/>
        <w:rPr>
          <w:rFonts w:hint="eastAsia" w:ascii="仿宋" w:hAnsi="仿宋" w:eastAsia="仿宋" w:cs="仿宋"/>
          <w:b/>
          <w:sz w:val="36"/>
        </w:rPr>
      </w:pPr>
      <w:r>
        <w:rPr>
          <w:rFonts w:hint="eastAsia" w:ascii="仿宋" w:hAnsi="仿宋" w:eastAsia="仿宋" w:cs="仿宋"/>
          <w:b/>
          <w:bCs/>
          <w:sz w:val="32"/>
          <w:szCs w:val="32"/>
        </w:rPr>
        <w:t>项目编号：</w:t>
      </w:r>
      <w:r>
        <w:rPr>
          <w:rFonts w:hint="eastAsia" w:ascii="仿宋" w:hAnsi="仿宋" w:eastAsia="仿宋" w:cs="仿宋"/>
          <w:b/>
          <w:bCs/>
          <w:sz w:val="32"/>
          <w:szCs w:val="32"/>
          <w:u w:val="single"/>
        </w:rPr>
        <w:t>BRC2021-J-12</w:t>
      </w:r>
    </w:p>
    <w:p>
      <w:pPr>
        <w:rPr>
          <w:rFonts w:hint="eastAsia" w:ascii="仿宋" w:hAnsi="仿宋" w:eastAsia="仿宋" w:cs="仿宋"/>
        </w:rPr>
      </w:pPr>
    </w:p>
    <w:bookmarkEnd w:id="0"/>
    <w:p>
      <w:pPr>
        <w:rPr>
          <w:rFonts w:hint="eastAsia" w:ascii="仿宋" w:hAnsi="仿宋" w:eastAsia="仿宋" w:cs="仿宋"/>
          <w:sz w:val="18"/>
          <w:szCs w:val="18"/>
        </w:rPr>
      </w:pPr>
    </w:p>
    <w:p>
      <w:pPr>
        <w:pStyle w:val="2"/>
        <w:rPr>
          <w:rFonts w:hint="eastAsia" w:ascii="仿宋" w:hAnsi="仿宋" w:eastAsia="仿宋" w:cs="仿宋"/>
          <w:sz w:val="18"/>
          <w:szCs w:val="18"/>
        </w:rPr>
      </w:pPr>
    </w:p>
    <w:p>
      <w:pPr>
        <w:pStyle w:val="2"/>
        <w:rPr>
          <w:rFonts w:hint="eastAsia" w:ascii="仿宋" w:hAnsi="仿宋" w:eastAsia="仿宋" w:cs="仿宋"/>
          <w:sz w:val="18"/>
          <w:szCs w:val="18"/>
        </w:rPr>
      </w:pPr>
    </w:p>
    <w:p>
      <w:pPr>
        <w:pStyle w:val="2"/>
        <w:rPr>
          <w:rFonts w:hint="eastAsia" w:ascii="仿宋" w:hAnsi="仿宋" w:eastAsia="仿宋" w:cs="仿宋"/>
          <w:sz w:val="18"/>
          <w:szCs w:val="18"/>
        </w:rPr>
      </w:pPr>
    </w:p>
    <w:p>
      <w:pPr>
        <w:jc w:val="center"/>
        <w:rPr>
          <w:rFonts w:hint="eastAsia" w:ascii="仿宋" w:hAnsi="仿宋" w:eastAsia="仿宋" w:cs="仿宋"/>
          <w:b/>
          <w:bCs/>
          <w:sz w:val="32"/>
          <w:szCs w:val="32"/>
        </w:rPr>
      </w:pPr>
    </w:p>
    <w:p>
      <w:pPr>
        <w:pStyle w:val="2"/>
        <w:rPr>
          <w:rFonts w:hint="eastAsia" w:ascii="仿宋" w:hAnsi="仿宋" w:eastAsia="仿宋" w:cs="仿宋"/>
        </w:rPr>
      </w:pPr>
    </w:p>
    <w:p>
      <w:pPr>
        <w:pStyle w:val="23"/>
        <w:rPr>
          <w:rFonts w:hint="eastAsia" w:ascii="仿宋" w:hAnsi="仿宋" w:eastAsia="仿宋" w:cs="仿宋"/>
        </w:rPr>
      </w:pPr>
    </w:p>
    <w:p>
      <w:pPr>
        <w:jc w:val="center"/>
        <w:rPr>
          <w:rFonts w:hint="eastAsia" w:ascii="仿宋" w:hAnsi="仿宋" w:eastAsia="仿宋" w:cs="仿宋"/>
        </w:rPr>
      </w:pPr>
      <w:r>
        <w:rPr>
          <w:rFonts w:hint="eastAsia" w:ascii="仿宋" w:hAnsi="仿宋" w:eastAsia="仿宋" w:cs="仿宋"/>
          <w:b/>
          <w:sz w:val="56"/>
          <w:szCs w:val="56"/>
        </w:rPr>
        <w:t>陕西佰瑞诚项目管理有限公司</w:t>
      </w:r>
      <w:r>
        <w:rPr>
          <w:rFonts w:hint="eastAsia" w:ascii="仿宋" w:hAnsi="仿宋" w:eastAsia="仿宋" w:cs="仿宋"/>
          <w:b/>
          <w:sz w:val="44"/>
          <w:szCs w:val="44"/>
        </w:rPr>
        <w:br w:type="textWrapping"/>
      </w:r>
    </w:p>
    <w:p>
      <w:pPr>
        <w:jc w:val="center"/>
        <w:rPr>
          <w:rFonts w:hint="eastAsia" w:ascii="仿宋" w:hAnsi="仿宋" w:eastAsia="仿宋" w:cs="仿宋"/>
        </w:rPr>
      </w:pPr>
    </w:p>
    <w:p>
      <w:pPr>
        <w:jc w:val="center"/>
        <w:rPr>
          <w:rFonts w:hAnsi="宋体" w:cs="宋体"/>
          <w:b/>
          <w:sz w:val="44"/>
          <w:szCs w:val="44"/>
        </w:rPr>
      </w:pPr>
      <w:r>
        <w:rPr>
          <w:rFonts w:hint="eastAsia" w:ascii="仿宋" w:hAnsi="仿宋" w:eastAsia="仿宋" w:cs="仿宋"/>
          <w:b/>
          <w:bCs/>
          <w:sz w:val="44"/>
          <w:szCs w:val="44"/>
        </w:rPr>
        <w:t>二〇二一年十</w:t>
      </w:r>
      <w:r>
        <w:rPr>
          <w:rFonts w:hint="eastAsia" w:ascii="仿宋" w:hAnsi="仿宋" w:eastAsia="仿宋" w:cs="仿宋"/>
          <w:b/>
          <w:bCs/>
          <w:sz w:val="44"/>
          <w:szCs w:val="44"/>
          <w:lang w:eastAsia="zh-CN"/>
        </w:rPr>
        <w:t>二</w:t>
      </w:r>
      <w:r>
        <w:rPr>
          <w:rFonts w:hint="eastAsia" w:ascii="仿宋" w:hAnsi="仿宋" w:eastAsia="仿宋" w:cs="仿宋"/>
          <w:b/>
          <w:bCs/>
          <w:sz w:val="44"/>
          <w:szCs w:val="44"/>
        </w:rPr>
        <w:t>月</w:t>
      </w:r>
      <w:r>
        <w:rPr>
          <w:rFonts w:hint="eastAsia" w:hAnsi="宋体" w:cs="宋体"/>
          <w:b/>
          <w:sz w:val="44"/>
          <w:szCs w:val="44"/>
        </w:rPr>
        <w:br w:type="page"/>
      </w:r>
    </w:p>
    <w:p>
      <w:pPr>
        <w:jc w:val="center"/>
        <w:rPr>
          <w:rFonts w:hAnsi="宋体" w:cs="宋体"/>
          <w:b/>
          <w:sz w:val="48"/>
          <w:szCs w:val="48"/>
        </w:rPr>
      </w:pPr>
    </w:p>
    <w:p>
      <w:pPr>
        <w:jc w:val="center"/>
        <w:rPr>
          <w:rFonts w:hAnsi="宋体" w:cs="宋体"/>
          <w:b/>
          <w:sz w:val="48"/>
          <w:szCs w:val="48"/>
        </w:rPr>
      </w:pPr>
      <w:r>
        <w:rPr>
          <w:rFonts w:hint="eastAsia" w:hAnsi="宋体" w:cs="宋体"/>
          <w:b/>
          <w:sz w:val="48"/>
          <w:szCs w:val="48"/>
        </w:rPr>
        <w:t>目  录</w:t>
      </w:r>
    </w:p>
    <w:p>
      <w:pPr>
        <w:pStyle w:val="30"/>
        <w:tabs>
          <w:tab w:val="right" w:leader="dot" w:pos="9071"/>
        </w:tabs>
        <w:spacing w:line="700" w:lineRule="exact"/>
        <w:rPr>
          <w:rFonts w:hAnsi="宋体" w:cs="宋体"/>
          <w:sz w:val="28"/>
          <w:szCs w:val="28"/>
        </w:rPr>
      </w:pPr>
      <w:bookmarkStart w:id="1" w:name="_Toc20652"/>
      <w:bookmarkStart w:id="2" w:name="_Toc5293"/>
      <w:bookmarkStart w:id="3" w:name="_Toc21518"/>
      <w:bookmarkStart w:id="4" w:name="_Toc16218"/>
      <w:bookmarkStart w:id="5" w:name="_Toc20858"/>
      <w:bookmarkStart w:id="6" w:name="_Toc389582033"/>
      <w:bookmarkStart w:id="7" w:name="_Toc19886"/>
      <w:bookmarkStart w:id="8" w:name="_Toc27420"/>
      <w:bookmarkStart w:id="9" w:name="_Toc363473971"/>
      <w:bookmarkStart w:id="10" w:name="_Toc403077638"/>
      <w:bookmarkStart w:id="11" w:name="_Toc363474016"/>
      <w:r>
        <w:rPr>
          <w:rFonts w:hint="eastAsia" w:hAnsi="宋体" w:cs="宋体"/>
          <w:bCs/>
          <w:sz w:val="28"/>
          <w:szCs w:val="28"/>
        </w:rPr>
        <w:fldChar w:fldCharType="begin"/>
      </w:r>
      <w:r>
        <w:rPr>
          <w:rFonts w:hint="eastAsia" w:hAnsi="宋体" w:cs="宋体"/>
          <w:bCs/>
          <w:sz w:val="28"/>
          <w:szCs w:val="28"/>
        </w:rPr>
        <w:instrText xml:space="preserve">TOC \o "1-1" \h \u </w:instrText>
      </w:r>
      <w:r>
        <w:rPr>
          <w:rFonts w:hint="eastAsia" w:hAnsi="宋体" w:cs="宋体"/>
          <w:bCs/>
          <w:sz w:val="28"/>
          <w:szCs w:val="28"/>
        </w:rPr>
        <w:fldChar w:fldCharType="separate"/>
      </w:r>
      <w:r>
        <w:fldChar w:fldCharType="begin"/>
      </w:r>
      <w:r>
        <w:instrText xml:space="preserve"> HYPERLINK \l "_Toc3888" </w:instrText>
      </w:r>
      <w:r>
        <w:fldChar w:fldCharType="separate"/>
      </w:r>
      <w:r>
        <w:rPr>
          <w:rFonts w:hint="eastAsia" w:hAnsi="宋体" w:cs="宋体"/>
          <w:bCs/>
          <w:sz w:val="28"/>
          <w:szCs w:val="28"/>
        </w:rPr>
        <w:t>第一章 竞争性磋商公告</w:t>
      </w:r>
      <w:r>
        <w:rPr>
          <w:rFonts w:hint="eastAsia" w:hAnsi="宋体" w:cs="宋体"/>
          <w:bCs/>
          <w:sz w:val="28"/>
          <w:szCs w:val="28"/>
        </w:rPr>
        <w:fldChar w:fldCharType="end"/>
      </w:r>
    </w:p>
    <w:p>
      <w:pPr>
        <w:pStyle w:val="30"/>
        <w:tabs>
          <w:tab w:val="right" w:leader="dot" w:pos="9071"/>
        </w:tabs>
        <w:spacing w:line="700" w:lineRule="exact"/>
        <w:rPr>
          <w:rFonts w:hAnsi="宋体" w:cs="宋体"/>
          <w:sz w:val="28"/>
          <w:szCs w:val="28"/>
        </w:rPr>
      </w:pPr>
      <w:r>
        <w:fldChar w:fldCharType="begin"/>
      </w:r>
      <w:r>
        <w:instrText xml:space="preserve"> HYPERLINK \l "_Toc8377" </w:instrText>
      </w:r>
      <w:r>
        <w:fldChar w:fldCharType="separate"/>
      </w:r>
      <w:r>
        <w:rPr>
          <w:rFonts w:hint="eastAsia" w:hAnsi="宋体" w:cs="宋体"/>
          <w:bCs/>
          <w:kern w:val="2"/>
          <w:sz w:val="28"/>
          <w:szCs w:val="28"/>
        </w:rPr>
        <w:t>第二章 供应商须知</w:t>
      </w:r>
      <w:r>
        <w:rPr>
          <w:rFonts w:hint="eastAsia" w:hAnsi="宋体" w:cs="宋体"/>
          <w:bCs/>
          <w:kern w:val="2"/>
          <w:sz w:val="28"/>
          <w:szCs w:val="28"/>
        </w:rPr>
        <w:fldChar w:fldCharType="end"/>
      </w:r>
    </w:p>
    <w:p>
      <w:pPr>
        <w:pStyle w:val="30"/>
        <w:tabs>
          <w:tab w:val="right" w:leader="dot" w:pos="9071"/>
        </w:tabs>
        <w:spacing w:line="700" w:lineRule="exact"/>
        <w:rPr>
          <w:rFonts w:hAnsi="宋体" w:cs="宋体"/>
          <w:sz w:val="28"/>
          <w:szCs w:val="28"/>
        </w:rPr>
      </w:pPr>
      <w:r>
        <w:fldChar w:fldCharType="begin"/>
      </w:r>
      <w:r>
        <w:instrText xml:space="preserve"> HYPERLINK \l "_Toc30463" </w:instrText>
      </w:r>
      <w:r>
        <w:fldChar w:fldCharType="separate"/>
      </w:r>
      <w:r>
        <w:rPr>
          <w:rFonts w:hint="eastAsia" w:hAnsi="宋体" w:cs="宋体"/>
          <w:bCs/>
          <w:sz w:val="28"/>
          <w:szCs w:val="28"/>
        </w:rPr>
        <w:t>第三章 合同主要条款</w:t>
      </w:r>
      <w:r>
        <w:rPr>
          <w:rFonts w:hint="eastAsia" w:hAnsi="宋体" w:cs="宋体"/>
          <w:bCs/>
          <w:sz w:val="28"/>
          <w:szCs w:val="28"/>
        </w:rPr>
        <w:fldChar w:fldCharType="end"/>
      </w:r>
    </w:p>
    <w:p>
      <w:pPr>
        <w:pStyle w:val="30"/>
        <w:tabs>
          <w:tab w:val="right" w:leader="dot" w:pos="9071"/>
        </w:tabs>
        <w:spacing w:line="700" w:lineRule="exact"/>
        <w:rPr>
          <w:rFonts w:hAnsi="宋体" w:cs="宋体"/>
          <w:sz w:val="28"/>
          <w:szCs w:val="28"/>
        </w:rPr>
      </w:pPr>
      <w:r>
        <w:fldChar w:fldCharType="begin"/>
      </w:r>
      <w:r>
        <w:instrText xml:space="preserve"> HYPERLINK \l "_Toc10686" </w:instrText>
      </w:r>
      <w:r>
        <w:fldChar w:fldCharType="separate"/>
      </w:r>
      <w:r>
        <w:rPr>
          <w:rFonts w:hint="eastAsia" w:hAnsi="宋体" w:cs="宋体"/>
          <w:bCs/>
          <w:sz w:val="28"/>
          <w:szCs w:val="28"/>
        </w:rPr>
        <w:t>第四章 竞争性磋商内容及技术要求</w:t>
      </w:r>
      <w:r>
        <w:rPr>
          <w:rFonts w:hint="eastAsia" w:hAnsi="宋体" w:cs="宋体"/>
          <w:bCs/>
          <w:sz w:val="28"/>
          <w:szCs w:val="28"/>
        </w:rPr>
        <w:fldChar w:fldCharType="end"/>
      </w:r>
    </w:p>
    <w:p>
      <w:pPr>
        <w:pStyle w:val="30"/>
        <w:tabs>
          <w:tab w:val="right" w:leader="dot" w:pos="9071"/>
        </w:tabs>
        <w:spacing w:line="700" w:lineRule="exact"/>
        <w:rPr>
          <w:rFonts w:hAnsi="宋体" w:cs="宋体"/>
          <w:sz w:val="28"/>
          <w:szCs w:val="28"/>
        </w:rPr>
      </w:pPr>
      <w:r>
        <w:fldChar w:fldCharType="begin"/>
      </w:r>
      <w:r>
        <w:instrText xml:space="preserve"> HYPERLINK \l "_Toc11837" </w:instrText>
      </w:r>
      <w:r>
        <w:fldChar w:fldCharType="separate"/>
      </w:r>
      <w:r>
        <w:rPr>
          <w:rFonts w:hint="eastAsia" w:hAnsi="宋体" w:cs="宋体"/>
          <w:bCs/>
          <w:sz w:val="28"/>
          <w:szCs w:val="28"/>
        </w:rPr>
        <w:t>第五章 评审方法</w:t>
      </w:r>
      <w:r>
        <w:rPr>
          <w:rFonts w:hint="eastAsia" w:hAnsi="宋体" w:cs="宋体"/>
          <w:bCs/>
          <w:sz w:val="28"/>
          <w:szCs w:val="28"/>
        </w:rPr>
        <w:fldChar w:fldCharType="end"/>
      </w:r>
    </w:p>
    <w:p>
      <w:pPr>
        <w:pStyle w:val="30"/>
        <w:tabs>
          <w:tab w:val="right" w:leader="dot" w:pos="9071"/>
        </w:tabs>
        <w:spacing w:line="700" w:lineRule="exact"/>
        <w:rPr>
          <w:rFonts w:hAnsi="宋体" w:cs="宋体"/>
          <w:sz w:val="28"/>
          <w:szCs w:val="28"/>
        </w:rPr>
      </w:pPr>
      <w:r>
        <w:fldChar w:fldCharType="begin"/>
      </w:r>
      <w:r>
        <w:instrText xml:space="preserve"> HYPERLINK \l "_Toc21047" </w:instrText>
      </w:r>
      <w:r>
        <w:fldChar w:fldCharType="separate"/>
      </w:r>
      <w:r>
        <w:rPr>
          <w:rFonts w:hint="eastAsia" w:hAnsi="宋体" w:cs="宋体"/>
          <w:sz w:val="28"/>
          <w:szCs w:val="28"/>
        </w:rPr>
        <w:t>第六章 竞争性磋商响应文件格式</w:t>
      </w:r>
      <w:r>
        <w:rPr>
          <w:rFonts w:hint="eastAsia" w:hAnsi="宋体" w:cs="宋体"/>
          <w:sz w:val="28"/>
          <w:szCs w:val="28"/>
        </w:rPr>
        <w:fldChar w:fldCharType="end"/>
      </w:r>
    </w:p>
    <w:p>
      <w:pPr>
        <w:pStyle w:val="36"/>
        <w:tabs>
          <w:tab w:val="right" w:leader="dot" w:pos="8787"/>
        </w:tabs>
        <w:spacing w:line="700" w:lineRule="exact"/>
        <w:ind w:left="0" w:leftChars="0"/>
        <w:rPr>
          <w:rFonts w:cs="宋体"/>
          <w:bCs/>
          <w:sz w:val="28"/>
          <w:szCs w:val="28"/>
        </w:rPr>
        <w:sectPr>
          <w:footerReference r:id="rId5" w:type="first"/>
          <w:headerReference r:id="rId3" w:type="default"/>
          <w:footerReference r:id="rId4" w:type="default"/>
          <w:pgSz w:w="11906" w:h="16838"/>
          <w:pgMar w:top="1417" w:right="1418" w:bottom="1417" w:left="1417" w:header="851" w:footer="850" w:gutter="0"/>
          <w:pgNumType w:start="1"/>
          <w:cols w:space="720" w:num="1"/>
          <w:docGrid w:type="lines" w:linePitch="312" w:charSpace="0"/>
        </w:sectPr>
      </w:pPr>
      <w:r>
        <w:rPr>
          <w:rFonts w:hint="eastAsia" w:hAnsi="宋体" w:cs="宋体"/>
          <w:bCs/>
          <w:sz w:val="28"/>
          <w:szCs w:val="28"/>
        </w:rPr>
        <w:fldChar w:fldCharType="end"/>
      </w:r>
      <w:bookmarkStart w:id="12" w:name="_Toc423973071"/>
      <w:bookmarkStart w:id="13" w:name="_Toc4757"/>
    </w:p>
    <w:p>
      <w:pPr>
        <w:pStyle w:val="3"/>
        <w:keepNext w:val="0"/>
        <w:keepLines/>
        <w:pageBreakBefore/>
        <w:spacing w:beforeLines="50" w:afterLines="50" w:line="360" w:lineRule="auto"/>
        <w:jc w:val="center"/>
        <w:rPr>
          <w:rFonts w:ascii="宋体" w:eastAsia="宋体" w:cs="宋体"/>
          <w:bCs/>
          <w:sz w:val="36"/>
          <w:szCs w:val="36"/>
        </w:rPr>
      </w:pPr>
      <w:bookmarkStart w:id="14" w:name="_Toc26690"/>
      <w:bookmarkStart w:id="15" w:name="_Toc3888"/>
      <w:r>
        <w:rPr>
          <w:rFonts w:hint="eastAsia" w:ascii="宋体" w:eastAsia="宋体" w:cs="宋体"/>
          <w:bCs/>
          <w:sz w:val="36"/>
          <w:szCs w:val="36"/>
        </w:rPr>
        <w:t xml:space="preserve">第一章  </w:t>
      </w:r>
      <w:bookmarkEnd w:id="1"/>
      <w:bookmarkEnd w:id="2"/>
      <w:bookmarkEnd w:id="3"/>
      <w:bookmarkEnd w:id="4"/>
      <w:bookmarkEnd w:id="5"/>
      <w:bookmarkEnd w:id="6"/>
      <w:bookmarkEnd w:id="7"/>
      <w:r>
        <w:rPr>
          <w:rFonts w:hint="eastAsia" w:ascii="宋体" w:eastAsia="宋体" w:cs="宋体"/>
          <w:bCs/>
          <w:sz w:val="36"/>
          <w:szCs w:val="36"/>
        </w:rPr>
        <w:t>竞争性磋商公告</w:t>
      </w:r>
      <w:bookmarkEnd w:id="8"/>
      <w:bookmarkEnd w:id="12"/>
      <w:bookmarkEnd w:id="13"/>
      <w:bookmarkEnd w:id="14"/>
      <w:bookmarkEnd w:id="15"/>
    </w:p>
    <w:p>
      <w:pPr>
        <w:pStyle w:val="40"/>
        <w:spacing w:before="0" w:beforeAutospacing="0" w:after="0" w:afterAutospacing="0" w:line="450" w:lineRule="atLeast"/>
        <w:ind w:firstLine="480" w:firstLineChars="200"/>
        <w:rPr>
          <w:rFonts w:cs="宋体"/>
          <w:b/>
          <w:color w:val="333333"/>
        </w:rPr>
      </w:pPr>
      <w:bookmarkStart w:id="16" w:name="_Toc389582035"/>
      <w:bookmarkStart w:id="17" w:name="_Toc2929"/>
      <w:bookmarkStart w:id="18" w:name="_Toc29249"/>
      <w:bookmarkStart w:id="19" w:name="_Toc3564"/>
      <w:bookmarkStart w:id="20" w:name="_Toc31169"/>
      <w:bookmarkStart w:id="21" w:name="_Toc423973072"/>
      <w:r>
        <w:rPr>
          <w:rFonts w:hint="eastAsia"/>
        </w:rPr>
        <w:t>集中印务系统采购项目</w:t>
      </w:r>
      <w:r>
        <w:rPr>
          <w:rFonts w:hint="eastAsia" w:cs="宋体"/>
          <w:b/>
          <w:color w:val="333333"/>
        </w:rPr>
        <w:t>潜在的供应商可在陕西省西安市灞桥区长乐东路2999号京都国际3号楼30楼3006室获取采购文件，并</w:t>
      </w:r>
      <w:r>
        <w:rPr>
          <w:rFonts w:hint="eastAsia" w:cs="宋体"/>
          <w:b/>
          <w:color w:val="333333"/>
          <w:highlight w:val="none"/>
        </w:rPr>
        <w:t>于2021-</w:t>
      </w:r>
      <w:r>
        <w:rPr>
          <w:rFonts w:hint="eastAsia" w:cs="宋体"/>
          <w:b/>
          <w:color w:val="333333"/>
          <w:highlight w:val="none"/>
          <w:lang w:val="en-US" w:eastAsia="zh-CN"/>
        </w:rPr>
        <w:t>12</w:t>
      </w:r>
      <w:r>
        <w:rPr>
          <w:rFonts w:hint="eastAsia" w:cs="宋体"/>
          <w:b/>
          <w:color w:val="333333"/>
          <w:highlight w:val="none"/>
        </w:rPr>
        <w:t>-</w:t>
      </w:r>
      <w:r>
        <w:rPr>
          <w:rFonts w:hint="eastAsia" w:cs="宋体"/>
          <w:b/>
          <w:color w:val="333333"/>
          <w:highlight w:val="none"/>
          <w:lang w:val="en-US" w:eastAsia="zh-CN"/>
        </w:rPr>
        <w:t>14</w:t>
      </w:r>
      <w:r>
        <w:rPr>
          <w:rFonts w:hint="eastAsia" w:cs="宋体"/>
          <w:b/>
          <w:color w:val="333333"/>
          <w:highlight w:val="none"/>
        </w:rPr>
        <w:t xml:space="preserve"> </w:t>
      </w:r>
      <w:r>
        <w:rPr>
          <w:rFonts w:hint="eastAsia" w:cs="宋体"/>
          <w:b/>
          <w:color w:val="333333"/>
          <w:highlight w:val="none"/>
          <w:lang w:val="en-US" w:eastAsia="zh-CN"/>
        </w:rPr>
        <w:t xml:space="preserve"> </w:t>
      </w:r>
      <w:r>
        <w:rPr>
          <w:rFonts w:hint="eastAsia" w:cs="宋体"/>
          <w:b/>
          <w:color w:val="333333"/>
          <w:highlight w:val="none"/>
        </w:rPr>
        <w:t>14:30:00</w:t>
      </w:r>
      <w:r>
        <w:rPr>
          <w:rFonts w:hint="eastAsia" w:cs="宋体"/>
          <w:b/>
          <w:color w:val="333333"/>
        </w:rPr>
        <w:t>分前递交响应文件。</w:t>
      </w:r>
    </w:p>
    <w:p>
      <w:pPr>
        <w:pStyle w:val="40"/>
        <w:spacing w:before="0" w:beforeAutospacing="0" w:after="0" w:afterAutospacing="0" w:line="450" w:lineRule="atLeast"/>
        <w:ind w:firstLine="482" w:firstLineChars="200"/>
        <w:rPr>
          <w:rFonts w:cs="宋体"/>
          <w:b/>
        </w:rPr>
      </w:pPr>
      <w:r>
        <w:rPr>
          <w:rFonts w:hint="eastAsia" w:cs="宋体"/>
          <w:b/>
          <w:color w:val="333333"/>
          <w:shd w:val="clear" w:color="auto" w:fill="FFFFFF"/>
        </w:rPr>
        <w:t>一、项目基本情况</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1、项目编号：BRC2021-J-12</w:t>
      </w:r>
    </w:p>
    <w:p>
      <w:pPr>
        <w:pStyle w:val="40"/>
        <w:spacing w:before="0" w:beforeAutospacing="0" w:after="0" w:afterAutospacing="0" w:line="450" w:lineRule="atLeast"/>
        <w:ind w:firstLine="420"/>
        <w:rPr>
          <w:rFonts w:hint="eastAsia" w:ascii="宋体" w:hAnsi="宋体" w:eastAsia="宋体" w:cs="宋体"/>
          <w:b w:val="0"/>
          <w:bCs/>
          <w:sz w:val="24"/>
          <w:szCs w:val="24"/>
          <w:shd w:val="clear" w:color="auto" w:fill="FFFFFF"/>
        </w:rPr>
      </w:pPr>
      <w:r>
        <w:rPr>
          <w:rFonts w:hint="eastAsia" w:cs="宋体"/>
          <w:shd w:val="clear" w:color="auto" w:fill="FFFFFF"/>
        </w:rPr>
        <w:t>2、项目名称：</w:t>
      </w:r>
      <w:r>
        <w:rPr>
          <w:rFonts w:hint="eastAsia" w:ascii="宋体" w:hAnsi="宋体" w:eastAsia="宋体" w:cs="宋体"/>
          <w:b w:val="0"/>
          <w:bCs/>
          <w:sz w:val="24"/>
          <w:szCs w:val="24"/>
        </w:rPr>
        <w:t>灞桥法院集中印务系统采购项目</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3、预算金额：300000.00元</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4、最高限价：300000.00元</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5、采购需求： 西安市灞桥区人民法院集中印务系统采购项目</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采购预算：300000.00元，项目概况：西安市灞桥区人民法院集中印务系统，用途：印务使用 </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6、合同履行期限：</w:t>
      </w:r>
      <w:r>
        <w:rPr>
          <w:rFonts w:hint="eastAsia" w:cs="宋体"/>
          <w:b/>
          <w:color w:val="333333"/>
          <w:highlight w:val="none"/>
        </w:rPr>
        <w:t>2021-</w:t>
      </w:r>
      <w:r>
        <w:rPr>
          <w:rFonts w:hint="eastAsia" w:cs="宋体"/>
          <w:b/>
          <w:color w:val="333333"/>
          <w:highlight w:val="none"/>
          <w:lang w:val="en-US" w:eastAsia="zh-CN"/>
        </w:rPr>
        <w:t>12</w:t>
      </w:r>
      <w:r>
        <w:rPr>
          <w:rFonts w:hint="eastAsia" w:cs="宋体"/>
          <w:b/>
          <w:color w:val="333333"/>
          <w:highlight w:val="none"/>
        </w:rPr>
        <w:t>-</w:t>
      </w:r>
      <w:r>
        <w:rPr>
          <w:rFonts w:hint="eastAsia" w:cs="宋体"/>
          <w:b/>
          <w:color w:val="333333"/>
          <w:highlight w:val="none"/>
          <w:lang w:val="en-US" w:eastAsia="zh-CN"/>
        </w:rPr>
        <w:t>17</w:t>
      </w:r>
      <w:r>
        <w:rPr>
          <w:rFonts w:hint="eastAsia" w:cs="宋体"/>
          <w:b/>
          <w:color w:val="333333"/>
          <w:highlight w:val="none"/>
        </w:rPr>
        <w:t xml:space="preserve"> 09:00:00 至 202</w:t>
      </w:r>
      <w:r>
        <w:rPr>
          <w:rFonts w:hint="eastAsia" w:cs="宋体"/>
          <w:b/>
          <w:color w:val="333333"/>
          <w:highlight w:val="none"/>
          <w:lang w:val="en-US" w:eastAsia="zh-CN"/>
        </w:rPr>
        <w:t>2</w:t>
      </w:r>
      <w:r>
        <w:rPr>
          <w:rFonts w:hint="eastAsia" w:cs="宋体"/>
          <w:b/>
          <w:color w:val="333333"/>
          <w:highlight w:val="none"/>
        </w:rPr>
        <w:t>-0</w:t>
      </w:r>
      <w:r>
        <w:rPr>
          <w:rFonts w:hint="eastAsia" w:cs="宋体"/>
          <w:b/>
          <w:color w:val="333333"/>
          <w:highlight w:val="none"/>
          <w:lang w:val="en-US" w:eastAsia="zh-CN"/>
        </w:rPr>
        <w:t>1</w:t>
      </w:r>
      <w:r>
        <w:rPr>
          <w:rFonts w:hint="eastAsia" w:cs="宋体"/>
          <w:b/>
          <w:color w:val="333333"/>
          <w:highlight w:val="none"/>
        </w:rPr>
        <w:t>-</w:t>
      </w:r>
      <w:r>
        <w:rPr>
          <w:rFonts w:hint="eastAsia" w:cs="宋体"/>
          <w:b/>
          <w:color w:val="333333"/>
          <w:highlight w:val="none"/>
          <w:lang w:val="en-US" w:eastAsia="zh-CN"/>
        </w:rPr>
        <w:t>17</w:t>
      </w:r>
      <w:r>
        <w:rPr>
          <w:rFonts w:hint="eastAsia" w:cs="宋体"/>
          <w:b/>
          <w:color w:val="333333"/>
          <w:highlight w:val="none"/>
        </w:rPr>
        <w:t xml:space="preserve"> 17:00:00</w:t>
      </w:r>
      <w:r>
        <w:rPr>
          <w:rFonts w:hint="eastAsia" w:cs="宋体"/>
          <w:shd w:val="clear" w:color="auto" w:fill="FFFFFF"/>
        </w:rPr>
        <w:t>（具体服务起止日期可随合同签订时间相应顺延）</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7、本项目是否接受联合体投标：否</w:t>
      </w:r>
    </w:p>
    <w:p>
      <w:pPr>
        <w:pStyle w:val="40"/>
        <w:spacing w:before="0" w:beforeAutospacing="0" w:after="0" w:afterAutospacing="0" w:line="450" w:lineRule="atLeast"/>
        <w:rPr>
          <w:rFonts w:cs="宋体"/>
          <w:b/>
        </w:rPr>
      </w:pPr>
      <w:r>
        <w:rPr>
          <w:rFonts w:hint="eastAsia" w:cs="宋体"/>
          <w:b/>
          <w:shd w:val="clear" w:color="auto" w:fill="FFFFFF"/>
        </w:rPr>
        <w:t>二、 响应供应商的资格要求</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1、满足《中华人民共和国政府采购法》第二十二条规定</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2、落实政府采购政策需满足的资格要求：</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（1）《财政部 国家发展改革委关于印发〈节能产品政府采购实施意见〉的通知》（财库〔2004〕185号）； </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（2）《国务院办公厅关于建立政府强制采购节能产品制度的通知》（国办发〔2007〕51号）；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（3）《财政部环保总局关于环境标志产品政府采购实施的意见》（财库〔2006〕90号）； </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（4）《财政部 司法部关于政府采购支持监狱企业发展有关问题的通知》（财库〔2014〕68号）；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（5）《三部门联合发布关于促进残疾人就业政府采购政策的通知》（财库〔2017〕141号）；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（6）《财政部 发展改革委 生态环境部 市场监管总局关于调整优化节能产品、环境标志产品政府采购执行机制的通知》（财库〔2019〕9号）；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 （7）《财政部 国务院扶贫办关于运用政府采购政策支持脱贫攻坚的通知》（财库〔2019〕27号）； </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（8）《政府采购促进中小企业发展管理办法》（财库〔2020〕46号）；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（9）陕西省财政厅关于印发《陕西省中小企业政府采购信用融资办法》（陕财办采〔2018〕23号）”；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 （10）《陕西省财政厅关于加快推进我省中小企业政府采购信用融资工作的通知》（陕财办采〔2020〕15 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3、本项目的特定资格要求：</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（1）法定代表人授权书及被授权人身份证（法定代表人直接参加磋商，须提供法定代表人身份证明及身份证原件）；</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40"/>
        <w:spacing w:before="0" w:beforeAutospacing="0" w:after="0" w:afterAutospacing="0" w:line="450" w:lineRule="atLeast"/>
        <w:rPr>
          <w:rFonts w:cs="宋体"/>
          <w:b/>
        </w:rPr>
      </w:pPr>
      <w:r>
        <w:rPr>
          <w:rFonts w:hint="eastAsia" w:cs="宋体"/>
          <w:b/>
          <w:shd w:val="clear" w:color="auto" w:fill="FFFFFF"/>
        </w:rPr>
        <w:t>三、 采购文件的获取方式</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时间：</w:t>
      </w:r>
      <w:r>
        <w:rPr>
          <w:rFonts w:hint="eastAsia" w:cs="宋体"/>
          <w:b/>
          <w:color w:val="333333"/>
          <w:highlight w:val="none"/>
        </w:rPr>
        <w:t>即日起至2021-</w:t>
      </w:r>
      <w:r>
        <w:rPr>
          <w:rFonts w:hint="eastAsia" w:cs="宋体"/>
          <w:b/>
          <w:color w:val="333333"/>
          <w:highlight w:val="none"/>
          <w:lang w:val="en-US" w:eastAsia="zh-CN"/>
        </w:rPr>
        <w:t>12</w:t>
      </w:r>
      <w:r>
        <w:rPr>
          <w:rFonts w:hint="eastAsia" w:cs="宋体"/>
          <w:b/>
          <w:color w:val="333333"/>
          <w:highlight w:val="none"/>
        </w:rPr>
        <w:t>-</w:t>
      </w:r>
      <w:r>
        <w:rPr>
          <w:rFonts w:hint="eastAsia" w:cs="宋体"/>
          <w:b/>
          <w:color w:val="333333"/>
          <w:highlight w:val="none"/>
          <w:lang w:val="en-US" w:eastAsia="zh-CN"/>
        </w:rPr>
        <w:t>9</w:t>
      </w:r>
      <w:r>
        <w:rPr>
          <w:rFonts w:hint="eastAsia" w:cs="宋体"/>
          <w:b/>
          <w:color w:val="333333"/>
          <w:highlight w:val="none"/>
        </w:rPr>
        <w:t xml:space="preserve"> 17:00:00 止</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地点：陕西省西安市灞桥区长乐东路2999号京都国际3号楼30楼3006室</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方式：现场购买/邮寄</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 xml:space="preserve">售价：免费赠送 </w:t>
      </w:r>
    </w:p>
    <w:p>
      <w:pPr>
        <w:pStyle w:val="40"/>
        <w:spacing w:before="0" w:beforeAutospacing="0" w:after="0" w:afterAutospacing="0" w:line="450" w:lineRule="atLeast"/>
        <w:ind w:firstLine="420"/>
        <w:rPr>
          <w:rFonts w:cs="宋体"/>
          <w:b/>
          <w:bCs/>
          <w:shd w:val="clear" w:color="auto" w:fill="FFFFFF"/>
        </w:rPr>
      </w:pPr>
      <w:r>
        <w:rPr>
          <w:rFonts w:hint="eastAsia" w:cs="宋体"/>
          <w:b/>
          <w:bCs/>
          <w:shd w:val="clear" w:color="auto" w:fill="FFFFFF"/>
        </w:rPr>
        <w:t>注：购买磋商文件时需携带下列资料：介绍信、经办人身份证原件及加盖公章的复印件一套。</w:t>
      </w:r>
    </w:p>
    <w:p>
      <w:pPr>
        <w:pStyle w:val="40"/>
        <w:spacing w:before="150" w:beforeAutospacing="0" w:after="0" w:afterAutospacing="0" w:line="360" w:lineRule="auto"/>
        <w:rPr>
          <w:rFonts w:cs="宋体"/>
          <w:b/>
        </w:rPr>
      </w:pPr>
      <w:r>
        <w:rPr>
          <w:rFonts w:hint="eastAsia" w:cs="宋体"/>
          <w:b/>
          <w:color w:val="333333"/>
        </w:rPr>
        <w:t xml:space="preserve">四、 响应文件递交 </w:t>
      </w:r>
    </w:p>
    <w:p>
      <w:pPr>
        <w:pStyle w:val="40"/>
        <w:spacing w:before="0" w:beforeAutospacing="0" w:after="0" w:afterAutospacing="0" w:line="360" w:lineRule="auto"/>
        <w:ind w:firstLine="420"/>
        <w:rPr>
          <w:rFonts w:cs="宋体"/>
          <w:color w:val="FF0000"/>
          <w:highlight w:val="none"/>
        </w:rPr>
      </w:pPr>
      <w:r>
        <w:rPr>
          <w:rFonts w:hint="eastAsia" w:cs="宋体"/>
          <w:color w:val="333333"/>
        </w:rPr>
        <w:t xml:space="preserve">截止时间： </w:t>
      </w:r>
      <w:r>
        <w:rPr>
          <w:rFonts w:hint="eastAsia" w:cs="宋体"/>
          <w:b/>
          <w:color w:val="333333"/>
          <w:highlight w:val="none"/>
        </w:rPr>
        <w:t>2021-</w:t>
      </w:r>
      <w:r>
        <w:rPr>
          <w:rFonts w:hint="eastAsia" w:cs="宋体"/>
          <w:b/>
          <w:color w:val="333333"/>
          <w:highlight w:val="none"/>
          <w:lang w:val="en-US" w:eastAsia="zh-CN"/>
        </w:rPr>
        <w:t>12-</w:t>
      </w:r>
      <w:r>
        <w:rPr>
          <w:rFonts w:hint="eastAsia" w:cs="宋体"/>
          <w:b/>
          <w:color w:val="333333"/>
          <w:highlight w:val="none"/>
        </w:rPr>
        <w:t>1</w:t>
      </w:r>
      <w:r>
        <w:rPr>
          <w:rFonts w:hint="eastAsia" w:cs="宋体"/>
          <w:b/>
          <w:color w:val="333333"/>
          <w:highlight w:val="none"/>
          <w:lang w:val="en-US" w:eastAsia="zh-CN"/>
        </w:rPr>
        <w:t>4</w:t>
      </w:r>
      <w:r>
        <w:rPr>
          <w:rFonts w:hint="eastAsia" w:cs="宋体"/>
          <w:b/>
          <w:color w:val="333333"/>
          <w:highlight w:val="none"/>
        </w:rPr>
        <w:t xml:space="preserve"> 14:30:00 </w:t>
      </w:r>
    </w:p>
    <w:p>
      <w:pPr>
        <w:pStyle w:val="40"/>
        <w:spacing w:before="0" w:beforeAutospacing="0" w:after="0" w:afterAutospacing="0" w:line="360" w:lineRule="auto"/>
        <w:ind w:firstLine="420"/>
        <w:rPr>
          <w:rFonts w:cs="宋体"/>
        </w:rPr>
      </w:pPr>
      <w:r>
        <w:rPr>
          <w:rFonts w:hint="eastAsia" w:cs="宋体"/>
          <w:color w:val="333333"/>
        </w:rPr>
        <w:t>地点：</w:t>
      </w:r>
      <w:r>
        <w:rPr>
          <w:rFonts w:hint="eastAsia" w:cs="宋体"/>
          <w:b/>
          <w:color w:val="333333"/>
        </w:rPr>
        <w:t>陕西省西安市灞桥区长乐东路2999号京都国际3号楼30楼3006室</w:t>
      </w:r>
      <w:bookmarkStart w:id="122" w:name="_GoBack"/>
      <w:bookmarkEnd w:id="122"/>
    </w:p>
    <w:p>
      <w:pPr>
        <w:pStyle w:val="40"/>
        <w:spacing w:before="150" w:beforeAutospacing="0" w:after="0" w:afterAutospacing="0" w:line="360" w:lineRule="auto"/>
        <w:rPr>
          <w:rFonts w:cs="宋体"/>
          <w:b/>
        </w:rPr>
      </w:pPr>
      <w:r>
        <w:rPr>
          <w:rFonts w:hint="eastAsia" w:cs="宋体"/>
          <w:b/>
          <w:color w:val="333333"/>
        </w:rPr>
        <w:t>五、公告期限</w:t>
      </w:r>
    </w:p>
    <w:p>
      <w:pPr>
        <w:pStyle w:val="40"/>
        <w:spacing w:before="0" w:beforeAutospacing="0" w:after="0" w:afterAutospacing="0" w:line="360" w:lineRule="auto"/>
        <w:ind w:firstLine="420"/>
        <w:rPr>
          <w:rFonts w:cs="宋体"/>
        </w:rPr>
      </w:pPr>
      <w:r>
        <w:rPr>
          <w:rFonts w:hint="eastAsia" w:cs="宋体"/>
          <w:color w:val="333333"/>
        </w:rPr>
        <w:t>自本公告发布之日起</w:t>
      </w:r>
      <w:r>
        <w:rPr>
          <w:rFonts w:hint="eastAsia" w:cs="宋体"/>
          <w:color w:val="333333"/>
          <w:lang w:val="en-US" w:eastAsia="zh-CN"/>
        </w:rPr>
        <w:t>5</w:t>
      </w:r>
      <w:r>
        <w:rPr>
          <w:rFonts w:hint="eastAsia" w:cs="宋体"/>
          <w:color w:val="333333"/>
        </w:rPr>
        <w:t>个工作日。</w:t>
      </w:r>
    </w:p>
    <w:p>
      <w:pPr>
        <w:pStyle w:val="40"/>
        <w:spacing w:before="150" w:beforeAutospacing="0" w:after="0" w:afterAutospacing="0" w:line="360" w:lineRule="auto"/>
        <w:rPr>
          <w:rFonts w:cs="宋体"/>
          <w:b/>
        </w:rPr>
      </w:pPr>
      <w:r>
        <w:rPr>
          <w:rFonts w:hint="eastAsia" w:cs="宋体"/>
          <w:b/>
          <w:color w:val="333333"/>
        </w:rPr>
        <w:t>六、其他补充事宜</w:t>
      </w:r>
    </w:p>
    <w:p>
      <w:pPr>
        <w:pStyle w:val="40"/>
        <w:spacing w:before="150" w:beforeAutospacing="0" w:after="0" w:afterAutospacing="0" w:line="360" w:lineRule="auto"/>
        <w:rPr>
          <w:rFonts w:cs="宋体"/>
          <w:b/>
        </w:rPr>
      </w:pPr>
      <w:r>
        <w:rPr>
          <w:rFonts w:hint="eastAsia" w:cs="宋体"/>
          <w:b/>
          <w:color w:val="333333"/>
        </w:rPr>
        <w:t xml:space="preserve">七、对本次采购提出询问，请按以下方式联系。 </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1、采购人信息：西安市灞桥区人民法院</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地址：西安市灞桥区纺一路668号</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联系人：王法官</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电话：029-83533359</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2、项目联系方式</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项目联系人：夏工</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电话：029-86610606</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传真：029-86610606</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3、采购代理机构信息</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名称：陕西佰瑞诚项目管理有限公司</w:t>
      </w:r>
    </w:p>
    <w:p>
      <w:pPr>
        <w:pStyle w:val="40"/>
        <w:spacing w:before="0" w:beforeAutospacing="0" w:after="0" w:afterAutospacing="0" w:line="450" w:lineRule="atLeast"/>
        <w:ind w:firstLine="420"/>
        <w:rPr>
          <w:rFonts w:cs="宋体"/>
          <w:shd w:val="clear" w:color="auto" w:fill="FFFFFF"/>
        </w:rPr>
      </w:pPr>
      <w:r>
        <w:rPr>
          <w:rFonts w:hint="eastAsia" w:cs="宋体"/>
          <w:shd w:val="clear" w:color="auto" w:fill="FFFFFF"/>
        </w:rPr>
        <w:t>联系地</w:t>
      </w:r>
      <w:r>
        <w:rPr>
          <w:rFonts w:hint="eastAsia" w:ascii="仿宋" w:hAnsi="仿宋" w:eastAsia="仿宋" w:cs="仿宋"/>
        </w:rPr>
        <w:t>址：</w:t>
      </w:r>
      <w:r>
        <w:rPr>
          <w:rFonts w:hint="eastAsia" w:cs="宋体"/>
          <w:shd w:val="clear" w:color="auto" w:fill="FFFFFF"/>
        </w:rPr>
        <w:t>陕西省西安市灞桥区长乐东路2999号京都国际3号楼30楼3006室</w:t>
      </w:r>
    </w:p>
    <w:p>
      <w:pPr>
        <w:pStyle w:val="40"/>
        <w:spacing w:before="0" w:beforeAutospacing="0" w:after="0" w:afterAutospacing="0" w:line="450" w:lineRule="atLeast"/>
        <w:ind w:firstLine="420"/>
        <w:rPr>
          <w:rFonts w:cs="宋体"/>
          <w:shd w:val="clear" w:color="auto" w:fill="FFFFFF"/>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pStyle w:val="40"/>
        <w:spacing w:before="0" w:beforeAutospacing="0" w:after="0" w:afterAutospacing="0" w:line="360" w:lineRule="auto"/>
        <w:ind w:firstLine="420"/>
        <w:rPr>
          <w:rFonts w:cs="宋体"/>
          <w:color w:val="FF0000"/>
        </w:rPr>
      </w:pPr>
    </w:p>
    <w:p>
      <w:pPr>
        <w:rPr>
          <w:rFonts w:hAnsi="宋体" w:cs="宋体"/>
          <w:b/>
          <w:bCs/>
          <w:kern w:val="2"/>
          <w:sz w:val="36"/>
          <w:szCs w:val="36"/>
        </w:rPr>
      </w:pPr>
      <w:bookmarkStart w:id="22" w:name="_Toc8377"/>
      <w:r>
        <w:rPr>
          <w:rFonts w:hint="eastAsia" w:hAnsi="宋体" w:cs="宋体"/>
          <w:b/>
          <w:bCs/>
          <w:kern w:val="2"/>
          <w:sz w:val="36"/>
          <w:szCs w:val="36"/>
        </w:rPr>
        <w:br w:type="page"/>
      </w:r>
    </w:p>
    <w:p>
      <w:pPr>
        <w:spacing w:line="348" w:lineRule="auto"/>
        <w:ind w:right="119"/>
        <w:jc w:val="center"/>
        <w:outlineLvl w:val="0"/>
        <w:rPr>
          <w:rFonts w:hAnsi="宋体" w:cs="宋体"/>
          <w:bCs/>
          <w:sz w:val="36"/>
          <w:szCs w:val="36"/>
        </w:rPr>
      </w:pPr>
      <w:r>
        <w:rPr>
          <w:rFonts w:hint="eastAsia" w:hAnsi="宋体" w:cs="宋体"/>
          <w:b/>
          <w:bCs/>
          <w:kern w:val="2"/>
          <w:sz w:val="36"/>
          <w:szCs w:val="36"/>
        </w:rPr>
        <w:t xml:space="preserve">第二章  </w:t>
      </w:r>
      <w:bookmarkEnd w:id="16"/>
      <w:bookmarkEnd w:id="17"/>
      <w:bookmarkStart w:id="23" w:name="OLE_LINK3"/>
      <w:r>
        <w:rPr>
          <w:rFonts w:hint="eastAsia" w:hAnsi="宋体" w:cs="宋体"/>
          <w:b/>
          <w:bCs/>
          <w:kern w:val="2"/>
          <w:sz w:val="36"/>
          <w:szCs w:val="36"/>
        </w:rPr>
        <w:t>供应商须知</w:t>
      </w:r>
      <w:bookmarkEnd w:id="18"/>
      <w:bookmarkEnd w:id="19"/>
      <w:bookmarkEnd w:id="20"/>
      <w:bookmarkEnd w:id="21"/>
      <w:bookmarkEnd w:id="22"/>
      <w:bookmarkEnd w:id="23"/>
    </w:p>
    <w:p>
      <w:pPr>
        <w:pStyle w:val="4"/>
        <w:widowControl w:val="0"/>
        <w:spacing w:before="120" w:after="120" w:line="360" w:lineRule="auto"/>
        <w:ind w:left="0"/>
        <w:jc w:val="center"/>
        <w:rPr>
          <w:rFonts w:ascii="宋体" w:hAnsi="宋体" w:cs="宋体"/>
          <w:sz w:val="32"/>
        </w:rPr>
      </w:pPr>
      <w:bookmarkStart w:id="24" w:name="_Toc1420"/>
      <w:bookmarkStart w:id="25" w:name="_Toc19364"/>
      <w:bookmarkStart w:id="26" w:name="OLE_LINK2"/>
      <w:bookmarkStart w:id="27" w:name="_Toc31462"/>
      <w:bookmarkStart w:id="28" w:name="_Toc423973073"/>
      <w:r>
        <w:rPr>
          <w:rFonts w:hint="eastAsia" w:ascii="宋体" w:hAnsi="宋体" w:cs="宋体"/>
          <w:sz w:val="32"/>
        </w:rPr>
        <w:t>供应商须知前附表</w:t>
      </w:r>
      <w:bookmarkEnd w:id="24"/>
      <w:bookmarkEnd w:id="25"/>
      <w:bookmarkEnd w:id="26"/>
      <w:bookmarkEnd w:id="27"/>
      <w:bookmarkEnd w:id="28"/>
    </w:p>
    <w:p>
      <w:pPr>
        <w:spacing w:line="440" w:lineRule="exact"/>
        <w:ind w:firstLine="480" w:firstLineChars="200"/>
        <w:rPr>
          <w:rFonts w:hAnsi="宋体" w:cs="宋体"/>
          <w:szCs w:val="24"/>
        </w:rPr>
      </w:pPr>
      <w:r>
        <w:rPr>
          <w:rFonts w:hint="eastAsia" w:hAnsi="宋体" w:cs="宋体"/>
          <w:szCs w:val="24"/>
        </w:rPr>
        <w:t>本表是对供应商须知的具体补充和修改，如有矛盾，应以本资料表为准。</w:t>
      </w:r>
    </w:p>
    <w:tbl>
      <w:tblPr>
        <w:tblStyle w:val="44"/>
        <w:tblW w:w="922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19"/>
        <w:gridCol w:w="1781"/>
        <w:gridCol w:w="652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blHeader/>
          <w:jc w:val="center"/>
        </w:trPr>
        <w:tc>
          <w:tcPr>
            <w:tcW w:w="919" w:type="dxa"/>
          </w:tcPr>
          <w:p>
            <w:pPr>
              <w:spacing w:line="360" w:lineRule="auto"/>
              <w:ind w:left="48" w:leftChars="20"/>
              <w:jc w:val="center"/>
              <w:rPr>
                <w:rFonts w:asciiTheme="minorEastAsia" w:hAnsiTheme="minorEastAsia" w:eastAsiaTheme="minorEastAsia" w:cstheme="minorEastAsia"/>
                <w:b/>
                <w:szCs w:val="24"/>
              </w:rPr>
            </w:pPr>
            <w:r>
              <w:rPr>
                <w:rFonts w:hint="eastAsia" w:asciiTheme="minorEastAsia" w:hAnsiTheme="minorEastAsia" w:eastAsiaTheme="minorEastAsia" w:cstheme="minorEastAsia"/>
                <w:b/>
                <w:szCs w:val="24"/>
              </w:rPr>
              <w:t>条款号</w:t>
            </w:r>
          </w:p>
        </w:tc>
        <w:tc>
          <w:tcPr>
            <w:tcW w:w="1781" w:type="dxa"/>
          </w:tcPr>
          <w:p>
            <w:pPr>
              <w:spacing w:line="360" w:lineRule="auto"/>
              <w:ind w:left="48" w:leftChars="20"/>
              <w:jc w:val="center"/>
              <w:rPr>
                <w:rFonts w:asciiTheme="minorEastAsia" w:hAnsiTheme="minorEastAsia" w:eastAsiaTheme="minorEastAsia" w:cstheme="minorEastAsia"/>
                <w:b/>
                <w:szCs w:val="24"/>
              </w:rPr>
            </w:pPr>
            <w:r>
              <w:rPr>
                <w:rFonts w:hint="eastAsia" w:asciiTheme="minorEastAsia" w:hAnsiTheme="minorEastAsia" w:eastAsiaTheme="minorEastAsia" w:cstheme="minorEastAsia"/>
                <w:b/>
                <w:szCs w:val="24"/>
              </w:rPr>
              <w:t>条款内容提示</w:t>
            </w:r>
          </w:p>
        </w:tc>
        <w:tc>
          <w:tcPr>
            <w:tcW w:w="6524" w:type="dxa"/>
          </w:tcPr>
          <w:p>
            <w:pPr>
              <w:spacing w:line="360" w:lineRule="auto"/>
              <w:ind w:left="48" w:leftChars="20"/>
              <w:jc w:val="center"/>
              <w:rPr>
                <w:rFonts w:asciiTheme="minorEastAsia" w:hAnsiTheme="minorEastAsia" w:eastAsiaTheme="minorEastAsia" w:cstheme="minorEastAsia"/>
                <w:b/>
                <w:szCs w:val="24"/>
              </w:rPr>
            </w:pPr>
            <w:r>
              <w:rPr>
                <w:rFonts w:hint="eastAsia" w:asciiTheme="minorEastAsia" w:hAnsiTheme="minorEastAsia" w:eastAsiaTheme="minorEastAsia" w:cstheme="minorEastAsia"/>
                <w:b/>
                <w:szCs w:val="24"/>
              </w:rPr>
              <w:t xml:space="preserve">编 列 内 容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17"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采购人</w:t>
            </w:r>
          </w:p>
        </w:tc>
        <w:tc>
          <w:tcPr>
            <w:tcW w:w="6524" w:type="dxa"/>
          </w:tcPr>
          <w:p>
            <w:pPr>
              <w:widowControl/>
              <w:spacing w:line="276" w:lineRule="auto"/>
              <w:ind w:left="48" w:leftChars="20"/>
              <w:jc w:val="left"/>
              <w:rPr>
                <w:rFonts w:asciiTheme="minorEastAsia" w:hAnsiTheme="minorEastAsia" w:eastAsiaTheme="minorEastAsia" w:cstheme="minorEastAsia"/>
                <w:color w:val="000000"/>
                <w:szCs w:val="24"/>
                <w:lang w:bidi="en-US"/>
              </w:rPr>
            </w:pPr>
            <w:r>
              <w:rPr>
                <w:rFonts w:hint="eastAsia" w:asciiTheme="minorEastAsia" w:hAnsiTheme="minorEastAsia" w:eastAsiaTheme="minorEastAsia" w:cstheme="minorEastAsia"/>
                <w:szCs w:val="24"/>
              </w:rPr>
              <w:t>名  称：</w:t>
            </w:r>
            <w:r>
              <w:rPr>
                <w:rFonts w:hint="eastAsia" w:cs="宋体"/>
                <w:shd w:val="clear" w:color="auto" w:fill="FFFFFF"/>
              </w:rPr>
              <w:t>西安市灞桥区人民法院</w:t>
            </w:r>
          </w:p>
          <w:p>
            <w:pPr>
              <w:widowControl/>
              <w:spacing w:line="276" w:lineRule="auto"/>
              <w:ind w:left="48" w:leftChars="20"/>
              <w:jc w:val="left"/>
              <w:rPr>
                <w:rFonts w:asciiTheme="minorEastAsia" w:hAnsiTheme="minorEastAsia" w:eastAsiaTheme="minorEastAsia" w:cstheme="minorEastAsia"/>
                <w:color w:val="000000"/>
                <w:szCs w:val="24"/>
                <w:lang w:bidi="en-US"/>
              </w:rPr>
            </w:pPr>
            <w:r>
              <w:rPr>
                <w:rFonts w:hint="eastAsia" w:asciiTheme="minorEastAsia" w:hAnsiTheme="minorEastAsia" w:eastAsiaTheme="minorEastAsia" w:cstheme="minorEastAsia"/>
                <w:szCs w:val="24"/>
              </w:rPr>
              <w:t>地  址：</w:t>
            </w:r>
            <w:r>
              <w:rPr>
                <w:rFonts w:hint="eastAsia" w:cs="宋体"/>
                <w:shd w:val="clear" w:color="auto" w:fill="FFFFFF"/>
              </w:rPr>
              <w:t>西安市灞桥区纺一路668号</w:t>
            </w:r>
          </w:p>
          <w:p>
            <w:pPr>
              <w:widowControl/>
              <w:spacing w:line="276" w:lineRule="auto"/>
              <w:ind w:left="48" w:leftChars="20"/>
              <w:jc w:val="left"/>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联系人：</w:t>
            </w:r>
            <w:r>
              <w:rPr>
                <w:rFonts w:hint="eastAsia" w:cs="宋体"/>
                <w:shd w:val="clear" w:color="auto" w:fill="FFFFFF"/>
              </w:rPr>
              <w:t>王法官</w:t>
            </w:r>
          </w:p>
          <w:p>
            <w:pPr>
              <w:spacing w:line="276"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电  话：</w:t>
            </w:r>
            <w:r>
              <w:rPr>
                <w:rFonts w:hint="eastAsia" w:cs="宋体"/>
                <w:shd w:val="clear" w:color="auto" w:fill="FFFFFF"/>
              </w:rPr>
              <w:t>029-83533359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17"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2.2</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采购代理机构</w:t>
            </w:r>
          </w:p>
        </w:tc>
        <w:tc>
          <w:tcPr>
            <w:tcW w:w="6524" w:type="dxa"/>
          </w:tcPr>
          <w:p>
            <w:pPr>
              <w:spacing w:line="276"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名  称：</w:t>
            </w:r>
            <w:r>
              <w:rPr>
                <w:rFonts w:hint="eastAsia" w:cs="宋体"/>
                <w:shd w:val="clear" w:color="auto" w:fill="FFFFFF"/>
              </w:rPr>
              <w:t>陕西佰瑞诚项目管理有限公司</w:t>
            </w:r>
          </w:p>
          <w:p>
            <w:pPr>
              <w:spacing w:line="276" w:lineRule="auto"/>
              <w:ind w:left="48" w:leftChars="20"/>
              <w:rPr>
                <w:rFonts w:asciiTheme="minorEastAsia" w:hAnsiTheme="minorEastAsia" w:eastAsiaTheme="minorEastAsia" w:cstheme="minorEastAsia"/>
                <w:color w:val="000000"/>
                <w:szCs w:val="24"/>
                <w:lang w:bidi="en-US"/>
              </w:rPr>
            </w:pPr>
            <w:r>
              <w:rPr>
                <w:rFonts w:hint="eastAsia" w:asciiTheme="minorEastAsia" w:hAnsiTheme="minorEastAsia" w:eastAsiaTheme="minorEastAsia" w:cstheme="minorEastAsia"/>
                <w:szCs w:val="24"/>
              </w:rPr>
              <w:t>地  址：</w:t>
            </w:r>
            <w:r>
              <w:rPr>
                <w:rFonts w:hint="eastAsia" w:cs="宋体"/>
                <w:shd w:val="clear" w:color="auto" w:fill="FFFFFF"/>
              </w:rPr>
              <w:t>陕西省西安市灞桥区长乐东路2999号京都国际3号楼30楼3006</w:t>
            </w:r>
            <w:r>
              <w:rPr>
                <w:rFonts w:hint="eastAsia" w:asciiTheme="minorEastAsia" w:hAnsiTheme="minorEastAsia" w:eastAsiaTheme="minorEastAsia" w:cstheme="minorEastAsia"/>
                <w:color w:val="000000"/>
                <w:szCs w:val="24"/>
                <w:lang w:bidi="en-US"/>
              </w:rPr>
              <w:t>室</w:t>
            </w:r>
          </w:p>
          <w:p>
            <w:pPr>
              <w:spacing w:line="276"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联系人：</w:t>
            </w:r>
            <w:r>
              <w:rPr>
                <w:rFonts w:hint="eastAsia" w:cs="宋体"/>
                <w:shd w:val="clear" w:color="auto" w:fill="FFFFFF"/>
              </w:rPr>
              <w:t>夏工</w:t>
            </w:r>
          </w:p>
          <w:p>
            <w:pPr>
              <w:spacing w:line="276"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电  话：</w:t>
            </w:r>
            <w:r>
              <w:rPr>
                <w:rFonts w:hint="eastAsia" w:cs="宋体"/>
                <w:shd w:val="clear" w:color="auto" w:fill="FFFFFF"/>
              </w:rPr>
              <w:t>029-86610606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1"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10.2</w:t>
            </w:r>
          </w:p>
        </w:tc>
        <w:tc>
          <w:tcPr>
            <w:tcW w:w="1781" w:type="dxa"/>
            <w:vAlign w:val="center"/>
          </w:tcPr>
          <w:p>
            <w:pPr>
              <w:spacing w:line="276"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是否允许递交备选磋商方案</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sym w:font="Wingdings" w:char="00A8"/>
            </w:r>
            <w:r>
              <w:rPr>
                <w:rFonts w:hint="eastAsia" w:asciiTheme="minorEastAsia" w:hAnsiTheme="minorEastAsia" w:eastAsiaTheme="minorEastAsia" w:cstheme="minorEastAsia"/>
                <w:szCs w:val="24"/>
              </w:rPr>
              <w:t xml:space="preserve">允许    </w:t>
            </w:r>
            <w:r>
              <w:rPr>
                <w:rFonts w:hint="eastAsia" w:asciiTheme="minorEastAsia" w:hAnsiTheme="minorEastAsia" w:eastAsiaTheme="minorEastAsia" w:cstheme="minorEastAsia"/>
                <w:szCs w:val="24"/>
              </w:rPr>
              <w:sym w:font="Wingdings" w:char="00FE"/>
            </w:r>
            <w:r>
              <w:rPr>
                <w:rFonts w:hint="eastAsia" w:asciiTheme="minorEastAsia" w:hAnsiTheme="minorEastAsia" w:eastAsiaTheme="minorEastAsia" w:cstheme="minorEastAsia"/>
                <w:szCs w:val="24"/>
              </w:rPr>
              <w:t>不允许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1"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10.3</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本次磋商的最小单元</w:t>
            </w:r>
          </w:p>
        </w:tc>
        <w:tc>
          <w:tcPr>
            <w:tcW w:w="6524" w:type="dxa"/>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sym w:font="Wingdings" w:char="00FE"/>
            </w:r>
            <w:r>
              <w:rPr>
                <w:rFonts w:hint="eastAsia" w:asciiTheme="minorEastAsia" w:hAnsiTheme="minorEastAsia" w:eastAsiaTheme="minorEastAsia" w:cstheme="minorEastAsia"/>
                <w:szCs w:val="24"/>
              </w:rPr>
              <w:t>本次磋商的最小单元为“项目全部内容”。任何不完全的磋商将按照无效磋商处理。</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sym w:font="Wingdings" w:char="00A8"/>
            </w:r>
            <w:r>
              <w:rPr>
                <w:rFonts w:hint="eastAsia" w:asciiTheme="minorEastAsia" w:hAnsiTheme="minorEastAsia" w:eastAsiaTheme="minorEastAsia" w:cstheme="minorEastAsia"/>
                <w:szCs w:val="24"/>
              </w:rPr>
              <w:t>本次磋商的最小单元为“包”，供应商可对任一包进行磋商，但不能对各包中的内容或者分项内容进行不完全磋商。任何不完全的磋商将按照无效磋商处理。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17"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12.1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w:t>
            </w:r>
          </w:p>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报价</w:t>
            </w:r>
          </w:p>
        </w:tc>
        <w:tc>
          <w:tcPr>
            <w:tcW w:w="6524" w:type="dxa"/>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报价是供应商为完成本次磋商所要求的货物、服务且验收合格的所有费用，包括但不限于产品(设备)费、材料、安装调试费、运杂费（含保险）、仓储保管费、技术培训费、检测费、劳务、风险、利润、规费、税金、验收、招标代理服务费、政策性文件规定的各项应有费用等其他一切相关费用。供应商所报的价格应考虑到可能发生的所有与完成本次磋商相关货物、服务及履行合同义务有关的一切费用，任何有选择的报价将不予接受，按无效磋商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9"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13.1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资格证明文件</w:t>
            </w:r>
          </w:p>
        </w:tc>
        <w:tc>
          <w:tcPr>
            <w:tcW w:w="6524" w:type="dxa"/>
          </w:tcPr>
          <w:p>
            <w:pPr>
              <w:spacing w:line="360" w:lineRule="auto"/>
              <w:ind w:left="48" w:leftChars="2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（1）基本资格条件：符合《中华人民共和国政府采购法》第二十二条的规定，并提供以下资料：</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1、提供合格有效的法人或者其他组织的营业执照等证明文件，自然人的身份证明；</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供应商是法人或其他组织的应提供营业执照等证明文件，供应商是自然人的应提供有效的自然人身份证明。</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提供上一年度经审计的财务报告（成立时间至提交磋商响应文件截止时间不足一年的可提供成立后任意时段的资产负债表），或其基本存款账户开户银行出具的资信证明及基本存款账户开户许可证（基本账户信息表）；</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3、提供具有履行合同所必需的设备和专业技术能力的承诺；（格式自拟）</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4、提供磋商截止日前一年内已缴纳的至少一个月的纳税证明或完税证明，依法免税的单位应提供相关证明材料；</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5、提供磋商截止日前一年内已缴存的至少一个月的社会保障资金缴存单据或社保机构开具的社会保险参保缴费情况证明，依法不需要缴纳社会保障资金的单位应提供相关证明材料；</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6、参加政府采购活动前3年内，在经营活动中没有重大违法记录的书面声明。（格式自拟）</w:t>
            </w:r>
          </w:p>
          <w:p>
            <w:pPr>
              <w:spacing w:line="360" w:lineRule="auto"/>
              <w:ind w:left="48" w:leftChars="20"/>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（2）特定资格条件：</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1、法定代表人授权书及被授权人身份证（法定代表人直接参加磋商，须提供法定代表人身份证明及身份证原件）；</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3、本项目不接受联合体磋商。</w:t>
            </w:r>
          </w:p>
          <w:p>
            <w:pPr>
              <w:spacing w:line="360" w:lineRule="auto"/>
              <w:ind w:left="48" w:leftChars="20"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以上为必备资格要求（信用中国、中国政府采购网查询结果可不提供，由代理机构进行查询并留存），缺一项或某项达不到要求，按无效磋商处理。除法定代表人身份证明或法定代表人授权书及相关声明或承诺需将原件装订在响应文件正本中外，其他所有证明文件的复印件必须加盖单位公章附在磋商响应文件中，原件随身携带以备审查。</w:t>
            </w:r>
          </w:p>
          <w:p>
            <w:pPr>
              <w:spacing w:line="360" w:lineRule="auto"/>
              <w:ind w:left="48" w:leftChars="20"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未注明要求原件的资格证明文件，在磋商后的任何时间，磋商小组都有权随时要求审查原件，如果不能按规定时间提供，由此造成的不利后果由供应商承担。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39"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15.1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 xml:space="preserve"> 磋商保证金</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本项目不要求提交磋商保证金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3"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16.1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磋商有效期</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磋商响应文件的递交截止之日起90天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92"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17.1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磋商响应文件的份数及要求</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正本的份数：壹份；</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副本的份数：贰份；</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报价一览表：壹份；</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电子版（U盘）：壹份（需在盘面上标注供应商全称、项目名称、编号）。</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电子版包括：</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（1）word版磋商响应文件；</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（2）磋商响应文件正本签字盖章后的PDF格式扫描件，与正本具有同等法律效力。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92"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18.2</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磋商响应文件的密封和标记</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1、密封包装方式：</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竞争性磋商响应文件正本、所有的副本、电子版本、报价一览表分开密封装在单独的封袋中（封袋不得有破损）。封袋应加贴封条，并在封线处加盖供应商公章。</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2、外层包装请按以下要求标记：</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 磋商响应供应商的全称；</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（2）磋商项目名称、项目编号；</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（3）“正本”、“副本”、“电子版本”、“报价一览表”及“请勿在 年月日分(磋商时间)之前启封”。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1"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19.1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磋商响应文件的递交</w:t>
            </w:r>
          </w:p>
        </w:tc>
        <w:tc>
          <w:tcPr>
            <w:tcW w:w="6524" w:type="dxa"/>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磋商响应文件递交截止时间：详见竞争性磋商公告</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磋商响应文件递交地址：详见竞争性磋商公告</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磋商响应文件接收人：陕西佰瑞诚项目管理有限公司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65"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22.1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磋商时间及地点</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磋商时间：详见竞争性磋商公告</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磋商地点：详见竞争性磋商公告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25.1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评审方法</w:t>
            </w:r>
          </w:p>
        </w:tc>
        <w:tc>
          <w:tcPr>
            <w:tcW w:w="6524" w:type="dxa"/>
            <w:vAlign w:val="center"/>
          </w:tcPr>
          <w:p>
            <w:pPr>
              <w:spacing w:line="360" w:lineRule="auto"/>
              <w:ind w:left="48" w:leftChars="20"/>
              <w:jc w:val="left"/>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综合评分法（详见第五章）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30</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招标代理服务费</w:t>
            </w:r>
          </w:p>
        </w:tc>
        <w:tc>
          <w:tcPr>
            <w:tcW w:w="6524" w:type="dxa"/>
            <w:vAlign w:val="center"/>
          </w:tcPr>
          <w:p>
            <w:pPr>
              <w:spacing w:line="360" w:lineRule="auto"/>
              <w:ind w:left="48" w:leftChars="20"/>
              <w:jc w:val="left"/>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按</w:t>
            </w:r>
            <w:bookmarkStart w:id="29" w:name="OLE_LINK10"/>
            <w:bookmarkStart w:id="30" w:name="OLE_LINK9"/>
            <w:r>
              <w:rPr>
                <w:rFonts w:hint="eastAsia" w:asciiTheme="minorEastAsia" w:hAnsiTheme="minorEastAsia" w:eastAsiaTheme="minorEastAsia" w:cstheme="minorEastAsia"/>
                <w:szCs w:val="24"/>
              </w:rPr>
              <w:t>国家计委颁发的《招标代理服务收费管理暂行办法》（计价格[2002]1980号）和国家发展改革委员会办公厅颁发的《关于招标代理服务收费有关问题的通知》（发改办价格[2003]857号）的有关规定收取招标代理服务费不足6000.00元，则按6000.00元收取。成交单位在领取成交通知书前，须向采购代理机构一次性支付代理服务费。</w:t>
            </w:r>
            <w:bookmarkEnd w:id="29"/>
            <w:bookmarkEnd w:id="30"/>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32.1</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履约验收</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是否委托采购代理机构组织履约验收：</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□是，验收费用由采购人/成交供应商支付，费用标准按成交金额的5‰计算，不足5000元的，按5000元收取。</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代理服务费账户</w:t>
            </w:r>
          </w:p>
        </w:tc>
        <w:tc>
          <w:tcPr>
            <w:tcW w:w="6524" w:type="dxa"/>
            <w:vAlign w:val="center"/>
          </w:tcPr>
          <w:p>
            <w:pPr>
              <w:spacing w:line="360" w:lineRule="auto"/>
              <w:ind w:left="48" w:leftChars="20"/>
              <w:rPr>
                <w:rFonts w:asciiTheme="minorEastAsia" w:hAnsiTheme="minorEastAsia" w:eastAsiaTheme="minorEastAsia" w:cstheme="minorEastAsia"/>
                <w:szCs w:val="24"/>
                <w:highlight w:val="none"/>
              </w:rPr>
            </w:pPr>
            <w:r>
              <w:rPr>
                <w:rFonts w:hint="eastAsia" w:asciiTheme="minorEastAsia" w:hAnsiTheme="minorEastAsia" w:eastAsiaTheme="minorEastAsia" w:cstheme="minorEastAsia"/>
                <w:szCs w:val="24"/>
                <w:highlight w:val="none"/>
              </w:rPr>
              <w:t>户名：</w:t>
            </w:r>
            <w:r>
              <w:rPr>
                <w:rFonts w:hint="eastAsia" w:asciiTheme="minorEastAsia" w:hAnsiTheme="minorEastAsia" w:eastAsiaTheme="minorEastAsia" w:cstheme="minorEastAsia"/>
                <w:color w:val="000000"/>
                <w:szCs w:val="24"/>
                <w:highlight w:val="none"/>
                <w:lang w:bidi="en-US"/>
              </w:rPr>
              <w:t>陕西佰瑞诚项目管理有限公司</w:t>
            </w:r>
          </w:p>
          <w:p>
            <w:pPr>
              <w:spacing w:line="360" w:lineRule="auto"/>
              <w:ind w:left="48" w:leftChars="20"/>
              <w:rPr>
                <w:rFonts w:hint="eastAsia" w:asciiTheme="minorEastAsia" w:hAnsiTheme="minorEastAsia" w:eastAsiaTheme="minorEastAsia" w:cstheme="minorEastAsia"/>
                <w:szCs w:val="24"/>
                <w:highlight w:val="none"/>
                <w:lang w:eastAsia="zh-CN"/>
              </w:rPr>
            </w:pPr>
            <w:r>
              <w:rPr>
                <w:rFonts w:hint="eastAsia" w:asciiTheme="minorEastAsia" w:hAnsiTheme="minorEastAsia" w:eastAsiaTheme="minorEastAsia" w:cstheme="minorEastAsia"/>
                <w:szCs w:val="24"/>
                <w:highlight w:val="none"/>
              </w:rPr>
              <w:t>开户行：</w:t>
            </w:r>
            <w:r>
              <w:rPr>
                <w:rFonts w:hint="eastAsia" w:asciiTheme="minorEastAsia" w:hAnsiTheme="minorEastAsia" w:eastAsiaTheme="minorEastAsia" w:cstheme="minorEastAsia"/>
                <w:szCs w:val="24"/>
                <w:highlight w:val="none"/>
                <w:lang w:eastAsia="zh-CN"/>
              </w:rPr>
              <w:t>民生银行西安长安路支行</w:t>
            </w:r>
          </w:p>
          <w:p>
            <w:pPr>
              <w:spacing w:line="360" w:lineRule="auto"/>
              <w:ind w:left="48" w:leftChars="20"/>
              <w:rPr>
                <w:rFonts w:hint="default" w:asciiTheme="minorEastAsia" w:hAnsiTheme="minorEastAsia" w:eastAsiaTheme="minorEastAsia" w:cstheme="minorEastAsia"/>
                <w:szCs w:val="24"/>
                <w:highlight w:val="none"/>
                <w:lang w:val="en-US" w:eastAsia="zh-CN"/>
              </w:rPr>
            </w:pPr>
            <w:r>
              <w:rPr>
                <w:rFonts w:hint="eastAsia" w:asciiTheme="minorEastAsia" w:hAnsiTheme="minorEastAsia" w:eastAsiaTheme="minorEastAsia" w:cstheme="minorEastAsia"/>
                <w:szCs w:val="24"/>
                <w:highlight w:val="none"/>
              </w:rPr>
              <w:t>账号：</w:t>
            </w:r>
            <w:r>
              <w:rPr>
                <w:rFonts w:hint="eastAsia" w:asciiTheme="minorEastAsia" w:hAnsiTheme="minorEastAsia" w:eastAsiaTheme="minorEastAsia" w:cstheme="minorEastAsia"/>
                <w:szCs w:val="24"/>
                <w:highlight w:val="none"/>
                <w:lang w:val="en-US" w:eastAsia="zh-CN"/>
              </w:rPr>
              <w:t>170124382</w:t>
            </w:r>
          </w:p>
          <w:p>
            <w:pPr>
              <w:spacing w:line="360" w:lineRule="auto"/>
              <w:ind w:left="48" w:leftChars="20"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highlight w:val="none"/>
              </w:rPr>
              <w:t>请成交供应商按照要求将服务费汇入以上指定账户，如因自身原因发生错误，产生的不利后果均由供应商自行承担。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履约</w:t>
            </w:r>
          </w:p>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担保</w:t>
            </w:r>
          </w:p>
        </w:tc>
        <w:tc>
          <w:tcPr>
            <w:tcW w:w="6524" w:type="dxa"/>
            <w:vAlign w:val="center"/>
          </w:tcPr>
          <w:p>
            <w:pPr>
              <w:pStyle w:val="23"/>
              <w:spacing w:line="360" w:lineRule="auto"/>
              <w:ind w:left="48" w:leftChars="20"/>
              <w:jc w:val="lef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☑不要求提供</w:t>
            </w:r>
          </w:p>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□要求提供，金额为本采购项目履约保证金为合同金额的10%，提交方式为：转账、电汇、担保机构保函。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踏勘</w:t>
            </w:r>
          </w:p>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现场</w:t>
            </w:r>
          </w:p>
        </w:tc>
        <w:tc>
          <w:tcPr>
            <w:tcW w:w="6524" w:type="dxa"/>
            <w:vAlign w:val="center"/>
          </w:tcPr>
          <w:p>
            <w:pPr>
              <w:pStyle w:val="18"/>
              <w:spacing w:after="0" w:line="360" w:lineRule="auto"/>
              <w:ind w:left="48" w:leftChars="2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sym w:font="Wingdings" w:char="00FE"/>
            </w:r>
            <w:r>
              <w:rPr>
                <w:rFonts w:hint="eastAsia" w:asciiTheme="minorEastAsia" w:hAnsiTheme="minorEastAsia" w:eastAsiaTheme="minorEastAsia" w:cstheme="minorEastAsia"/>
                <w:kern w:val="0"/>
                <w:sz w:val="24"/>
                <w:szCs w:val="24"/>
              </w:rPr>
              <w:t xml:space="preserve">不踏勘   </w:t>
            </w:r>
            <w:r>
              <w:rPr>
                <w:rFonts w:hint="eastAsia" w:asciiTheme="minorEastAsia" w:hAnsiTheme="minorEastAsia" w:eastAsiaTheme="minorEastAsia" w:cstheme="minorEastAsia"/>
                <w:kern w:val="0"/>
                <w:sz w:val="24"/>
                <w:szCs w:val="24"/>
              </w:rPr>
              <w:sym w:font="Wingdings" w:char="00A8"/>
            </w:r>
            <w:r>
              <w:rPr>
                <w:rFonts w:hint="eastAsia" w:asciiTheme="minorEastAsia" w:hAnsiTheme="minorEastAsia" w:eastAsiaTheme="minorEastAsia" w:cstheme="minorEastAsia"/>
                <w:kern w:val="0"/>
                <w:sz w:val="24"/>
                <w:szCs w:val="24"/>
              </w:rPr>
              <w:t>自行踏勘</w:t>
            </w:r>
          </w:p>
          <w:p>
            <w:pPr>
              <w:pStyle w:val="18"/>
              <w:spacing w:after="0" w:line="360" w:lineRule="auto"/>
              <w:ind w:left="48" w:leftChars="2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联系人：    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6" w:hRule="atLeast"/>
          <w:jc w:val="center"/>
        </w:trPr>
        <w:tc>
          <w:tcPr>
            <w:tcW w:w="919"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1781" w:type="dxa"/>
            <w:vAlign w:val="center"/>
          </w:tcPr>
          <w:p>
            <w:pPr>
              <w:spacing w:line="360" w:lineRule="auto"/>
              <w:ind w:left="48" w:leftChars="20"/>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一致性</w:t>
            </w:r>
          </w:p>
        </w:tc>
        <w:tc>
          <w:tcPr>
            <w:tcW w:w="6524" w:type="dxa"/>
            <w:vAlign w:val="center"/>
          </w:tcPr>
          <w:p>
            <w:pPr>
              <w:spacing w:line="360" w:lineRule="auto"/>
              <w:ind w:left="48" w:leftChars="2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供应商须知前附表和供应商须知不一致的地方，以供应商须知前附表为准。</w:t>
            </w:r>
          </w:p>
        </w:tc>
      </w:tr>
      <w:bookmarkEnd w:id="9"/>
      <w:bookmarkEnd w:id="10"/>
      <w:bookmarkEnd w:id="11"/>
    </w:tbl>
    <w:p>
      <w:pPr>
        <w:spacing w:beforeLines="50" w:afterLines="50"/>
        <w:jc w:val="center"/>
        <w:outlineLvl w:val="1"/>
        <w:rPr>
          <w:rFonts w:hAnsi="宋体" w:cs="宋体"/>
          <w:sz w:val="32"/>
          <w:szCs w:val="32"/>
        </w:rPr>
      </w:pPr>
      <w:bookmarkStart w:id="31" w:name="_Toc403077639"/>
      <w:bookmarkStart w:id="32" w:name="_Toc363473972"/>
      <w:bookmarkStart w:id="33" w:name="_Toc363474017"/>
      <w:r>
        <w:rPr>
          <w:rFonts w:hint="eastAsia" w:hAnsi="宋体" w:cs="宋体"/>
          <w:b/>
          <w:sz w:val="32"/>
          <w:szCs w:val="32"/>
        </w:rPr>
        <w:br w:type="page"/>
      </w:r>
      <w:r>
        <w:rPr>
          <w:rFonts w:hint="eastAsia" w:hAnsi="宋体" w:cs="宋体"/>
          <w:b/>
          <w:sz w:val="32"/>
          <w:szCs w:val="32"/>
        </w:rPr>
        <w:t>一.总  则</w:t>
      </w:r>
      <w:bookmarkEnd w:id="31"/>
      <w:bookmarkEnd w:id="32"/>
      <w:bookmarkEnd w:id="33"/>
    </w:p>
    <w:p>
      <w:pPr>
        <w:spacing w:line="360" w:lineRule="auto"/>
        <w:outlineLvl w:val="2"/>
        <w:rPr>
          <w:rFonts w:hAnsi="宋体" w:cs="宋体"/>
          <w:b/>
          <w:szCs w:val="24"/>
        </w:rPr>
      </w:pPr>
      <w:r>
        <w:rPr>
          <w:rFonts w:hint="eastAsia" w:hAnsi="宋体" w:cs="宋体"/>
          <w:b/>
          <w:szCs w:val="24"/>
        </w:rPr>
        <w:t>1.资金来源</w:t>
      </w:r>
    </w:p>
    <w:p>
      <w:pPr>
        <w:spacing w:line="360" w:lineRule="auto"/>
        <w:ind w:firstLine="480" w:firstLineChars="200"/>
        <w:rPr>
          <w:rFonts w:hAnsi="宋体" w:cs="宋体"/>
          <w:szCs w:val="24"/>
        </w:rPr>
      </w:pPr>
      <w:r>
        <w:rPr>
          <w:rFonts w:hint="eastAsia" w:hAnsi="宋体" w:cs="宋体"/>
          <w:szCs w:val="24"/>
        </w:rPr>
        <w:t>1.1本次竞争性磋商所签合同使用财政资金支付，资金已落实到位。</w:t>
      </w:r>
    </w:p>
    <w:p>
      <w:pPr>
        <w:spacing w:line="500" w:lineRule="exact"/>
        <w:outlineLvl w:val="2"/>
        <w:rPr>
          <w:rFonts w:hAnsi="宋体" w:cs="宋体"/>
          <w:b/>
          <w:szCs w:val="24"/>
        </w:rPr>
      </w:pPr>
      <w:bookmarkStart w:id="34" w:name="_Toc403077640"/>
      <w:bookmarkStart w:id="35" w:name="_Toc363473973"/>
      <w:bookmarkStart w:id="36" w:name="_Toc363474018"/>
      <w:r>
        <w:rPr>
          <w:rFonts w:hint="eastAsia" w:hAnsi="宋体" w:cs="宋体"/>
          <w:b/>
          <w:szCs w:val="24"/>
        </w:rPr>
        <w:t>2.名词解释</w:t>
      </w:r>
    </w:p>
    <w:p>
      <w:pPr>
        <w:tabs>
          <w:tab w:val="left" w:pos="7665"/>
        </w:tabs>
        <w:spacing w:line="500" w:lineRule="exact"/>
        <w:ind w:firstLine="480" w:firstLineChars="200"/>
        <w:rPr>
          <w:rFonts w:hAnsi="宋体" w:cs="宋体"/>
          <w:color w:val="000000"/>
        </w:rPr>
      </w:pPr>
      <w:r>
        <w:rPr>
          <w:rFonts w:hint="eastAsia" w:hAnsi="宋体" w:cs="宋体"/>
          <w:color w:val="000000"/>
        </w:rPr>
        <w:t>2.1采购人：见供应商须知前附表</w:t>
      </w:r>
    </w:p>
    <w:p>
      <w:pPr>
        <w:tabs>
          <w:tab w:val="left" w:pos="7665"/>
        </w:tabs>
        <w:spacing w:line="500" w:lineRule="exact"/>
        <w:ind w:firstLine="480" w:firstLineChars="200"/>
        <w:rPr>
          <w:rFonts w:hAnsi="宋体" w:cs="宋体"/>
          <w:color w:val="000000"/>
        </w:rPr>
      </w:pPr>
      <w:r>
        <w:rPr>
          <w:rFonts w:hint="eastAsia" w:hAnsi="宋体" w:cs="宋体"/>
          <w:color w:val="000000"/>
        </w:rPr>
        <w:t>2.2采购代理机构：</w:t>
      </w:r>
      <w:r>
        <w:rPr>
          <w:rFonts w:hint="eastAsia" w:hAnsi="宋体" w:cs="宋体"/>
          <w:color w:val="000000"/>
          <w:szCs w:val="24"/>
          <w:lang w:bidi="en-US"/>
        </w:rPr>
        <w:t>陕西佰瑞诚项目管理有限公司</w:t>
      </w:r>
    </w:p>
    <w:p>
      <w:pPr>
        <w:tabs>
          <w:tab w:val="left" w:pos="7665"/>
        </w:tabs>
        <w:spacing w:line="500" w:lineRule="exact"/>
        <w:ind w:firstLine="480" w:firstLineChars="200"/>
        <w:rPr>
          <w:rFonts w:hAnsi="宋体" w:cs="宋体"/>
        </w:rPr>
      </w:pPr>
      <w:r>
        <w:rPr>
          <w:rFonts w:hint="eastAsia" w:hAnsi="宋体" w:cs="宋体"/>
          <w:color w:val="000000"/>
        </w:rPr>
        <w:t>2.3监督机构：人民政府财政部门及有关部门</w:t>
      </w:r>
    </w:p>
    <w:p>
      <w:pPr>
        <w:tabs>
          <w:tab w:val="left" w:pos="7665"/>
        </w:tabs>
        <w:spacing w:line="360" w:lineRule="auto"/>
        <w:ind w:firstLine="480" w:firstLineChars="200"/>
        <w:rPr>
          <w:rFonts w:hAnsi="宋体" w:cs="宋体"/>
          <w:color w:val="000000"/>
        </w:rPr>
      </w:pPr>
      <w:r>
        <w:rPr>
          <w:rFonts w:hint="eastAsia" w:hAnsi="宋体" w:cs="宋体"/>
          <w:color w:val="000000"/>
        </w:rPr>
        <w:t>2.4供应商：是指响应和符合竞争性磋商文件规定资格条件且参与竞争性磋商的法人、</w:t>
      </w:r>
      <w:r>
        <w:rPr>
          <w:rFonts w:hint="eastAsia" w:hAnsi="宋体" w:cs="宋体"/>
        </w:rPr>
        <w:t>其他组织或者自然人。</w:t>
      </w:r>
    </w:p>
    <w:p>
      <w:pPr>
        <w:adjustRightInd w:val="0"/>
        <w:snapToGrid w:val="0"/>
        <w:spacing w:line="360" w:lineRule="auto"/>
        <w:ind w:firstLine="480" w:firstLineChars="200"/>
        <w:rPr>
          <w:rFonts w:hAnsi="宋体" w:cs="宋体"/>
          <w:color w:val="000000"/>
        </w:rPr>
      </w:pPr>
      <w:r>
        <w:rPr>
          <w:rFonts w:hint="eastAsia" w:hAnsi="宋体" w:cs="宋体"/>
          <w:color w:val="000000"/>
        </w:rPr>
        <w:t>2.5产品是指本竞争性磋商文件中第四章所述所有产品。</w:t>
      </w:r>
    </w:p>
    <w:p>
      <w:pPr>
        <w:adjustRightInd w:val="0"/>
        <w:snapToGrid w:val="0"/>
        <w:spacing w:line="360" w:lineRule="auto"/>
        <w:ind w:firstLine="480" w:firstLineChars="200"/>
        <w:rPr>
          <w:rFonts w:hAnsi="宋体" w:cs="宋体"/>
        </w:rPr>
      </w:pPr>
      <w:r>
        <w:rPr>
          <w:rFonts w:hint="eastAsia" w:hAnsi="宋体" w:cs="宋体"/>
        </w:rPr>
        <w:t>2.6服务是指供应商为满足竞争性磋商文件要求而提供的服务。</w:t>
      </w:r>
    </w:p>
    <w:p>
      <w:pPr>
        <w:adjustRightInd w:val="0"/>
        <w:snapToGrid w:val="0"/>
        <w:spacing w:line="360" w:lineRule="auto"/>
        <w:ind w:firstLine="480" w:firstLineChars="200"/>
        <w:rPr>
          <w:rFonts w:hAnsi="宋体" w:cs="宋体"/>
        </w:rPr>
      </w:pPr>
      <w:r>
        <w:rPr>
          <w:rFonts w:hint="eastAsia" w:hAnsi="宋体" w:cs="宋体"/>
        </w:rPr>
        <w:t>2.7节能产品或者环保产品是指依据国家确定的认证机构出具的、处于有效期之内的具有节能产品、环境标志产品认证证书的产品。</w:t>
      </w:r>
    </w:p>
    <w:p>
      <w:pPr>
        <w:adjustRightInd w:val="0"/>
        <w:snapToGrid w:val="0"/>
        <w:spacing w:line="360" w:lineRule="auto"/>
        <w:ind w:firstLine="480" w:firstLineChars="200"/>
        <w:rPr>
          <w:rFonts w:hAnsi="宋体" w:cs="宋体"/>
        </w:rPr>
      </w:pPr>
      <w:r>
        <w:rPr>
          <w:rFonts w:hint="eastAsia" w:hAnsi="宋体" w:cs="宋体"/>
          <w:color w:val="000000"/>
        </w:rPr>
        <w:t>2.8进口产品是指通过中国海关报关验放进入中国境内且产自关境外的产品，详见《关于政府采购进口产品管理有关问题的通知》(财库[2007]119号)。</w:t>
      </w:r>
    </w:p>
    <w:p>
      <w:pPr>
        <w:adjustRightInd w:val="0"/>
        <w:snapToGrid w:val="0"/>
        <w:spacing w:line="360" w:lineRule="auto"/>
        <w:ind w:firstLine="480" w:firstLineChars="200"/>
        <w:rPr>
          <w:rFonts w:hAnsi="宋体" w:cs="宋体"/>
          <w:color w:val="000000"/>
        </w:rPr>
      </w:pPr>
      <w:r>
        <w:rPr>
          <w:rFonts w:hint="eastAsia" w:hAnsi="宋体" w:cs="宋体"/>
          <w:color w:val="000000"/>
        </w:rPr>
        <w:t>2.9中小企业是指符合《工业和信息化部、国家统计局、国家发展和改革委员会、财政部关于印发中小企业划型标准规定的通知》（工信部联企业[2011]300号）规定的对中小企业的划分标准的企业。</w:t>
      </w:r>
    </w:p>
    <w:p>
      <w:pPr>
        <w:adjustRightInd w:val="0"/>
        <w:snapToGrid w:val="0"/>
        <w:spacing w:line="360" w:lineRule="auto"/>
        <w:ind w:firstLine="480" w:firstLineChars="200"/>
        <w:rPr>
          <w:rFonts w:hAnsi="宋体" w:cs="宋体"/>
          <w:color w:val="000000"/>
        </w:rPr>
      </w:pPr>
      <w:r>
        <w:rPr>
          <w:rFonts w:hint="eastAsia" w:hAnsi="宋体" w:cs="宋体"/>
          <w:color w:val="000000"/>
        </w:rPr>
        <w:t>2.10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360" w:lineRule="auto"/>
        <w:ind w:firstLine="480" w:firstLineChars="200"/>
        <w:rPr>
          <w:rFonts w:hAnsi="宋体" w:cs="宋体"/>
          <w:color w:val="000000"/>
        </w:rPr>
      </w:pPr>
      <w:r>
        <w:rPr>
          <w:rFonts w:hint="eastAsia" w:hAnsi="宋体" w:cs="宋体"/>
          <w:color w:val="000000"/>
        </w:rPr>
        <w:t>2.11残疾人福利性单位是指符合《三部门联合发布关于促进残疾人就业政府采购政策的通知》财库〔2017〕141号规定的对残疾人福利性单位划分标准的单位。</w:t>
      </w:r>
    </w:p>
    <w:p>
      <w:pPr>
        <w:spacing w:line="500" w:lineRule="exact"/>
        <w:outlineLvl w:val="2"/>
        <w:rPr>
          <w:rFonts w:hAnsi="宋体" w:cs="宋体"/>
          <w:b/>
          <w:szCs w:val="24"/>
        </w:rPr>
      </w:pPr>
      <w:r>
        <w:rPr>
          <w:rFonts w:hint="eastAsia" w:hAnsi="宋体" w:cs="宋体"/>
          <w:b/>
          <w:szCs w:val="24"/>
        </w:rPr>
        <w:t>3.合格的供应商</w:t>
      </w:r>
    </w:p>
    <w:p>
      <w:pPr>
        <w:tabs>
          <w:tab w:val="left" w:pos="851"/>
        </w:tabs>
        <w:spacing w:line="500" w:lineRule="exact"/>
        <w:ind w:firstLine="480" w:firstLineChars="200"/>
        <w:rPr>
          <w:rFonts w:hAnsi="宋体" w:cs="宋体"/>
          <w:szCs w:val="24"/>
        </w:rPr>
      </w:pPr>
      <w:r>
        <w:rPr>
          <w:rFonts w:hint="eastAsia" w:hAnsi="宋体" w:cs="宋体"/>
          <w:szCs w:val="24"/>
        </w:rPr>
        <w:t>3.1《中华人民共和国政府采购法》第二十二条第一款规定的供应商基本资格条件:</w:t>
      </w:r>
    </w:p>
    <w:p>
      <w:pPr>
        <w:spacing w:line="500" w:lineRule="exact"/>
        <w:ind w:firstLine="480" w:firstLineChars="200"/>
        <w:rPr>
          <w:rFonts w:hAnsi="宋体" w:cs="宋体"/>
          <w:szCs w:val="24"/>
        </w:rPr>
      </w:pPr>
      <w:r>
        <w:rPr>
          <w:rFonts w:hint="eastAsia" w:hAnsi="宋体" w:cs="宋体"/>
          <w:szCs w:val="24"/>
        </w:rPr>
        <w:t xml:space="preserve">    1）具有独立承担民事责任的能力；</w:t>
      </w:r>
    </w:p>
    <w:p>
      <w:pPr>
        <w:spacing w:line="500" w:lineRule="exact"/>
        <w:ind w:firstLine="480" w:firstLineChars="200"/>
        <w:rPr>
          <w:rFonts w:hAnsi="宋体" w:cs="宋体"/>
          <w:szCs w:val="24"/>
        </w:rPr>
      </w:pPr>
      <w:r>
        <w:rPr>
          <w:rFonts w:hint="eastAsia" w:hAnsi="宋体" w:cs="宋体"/>
          <w:szCs w:val="24"/>
        </w:rPr>
        <w:t xml:space="preserve">    2）具有良好的商业信誉和健全的财务会计制度；</w:t>
      </w:r>
    </w:p>
    <w:p>
      <w:pPr>
        <w:spacing w:line="500" w:lineRule="exact"/>
        <w:ind w:firstLine="480" w:firstLineChars="200"/>
        <w:rPr>
          <w:rFonts w:hAnsi="宋体" w:cs="宋体"/>
          <w:szCs w:val="24"/>
        </w:rPr>
      </w:pPr>
      <w:r>
        <w:rPr>
          <w:rFonts w:hint="eastAsia" w:hAnsi="宋体" w:cs="宋体"/>
          <w:szCs w:val="24"/>
        </w:rPr>
        <w:t xml:space="preserve">    3）具有履行合同所必需的设备和专业技术能力；</w:t>
      </w:r>
    </w:p>
    <w:p>
      <w:pPr>
        <w:spacing w:line="500" w:lineRule="exact"/>
        <w:ind w:firstLine="480" w:firstLineChars="200"/>
        <w:rPr>
          <w:rFonts w:hAnsi="宋体" w:cs="宋体"/>
          <w:szCs w:val="24"/>
        </w:rPr>
      </w:pPr>
      <w:r>
        <w:rPr>
          <w:rFonts w:hint="eastAsia" w:hAnsi="宋体" w:cs="宋体"/>
          <w:szCs w:val="24"/>
        </w:rPr>
        <w:t xml:space="preserve">    4）有依法缴纳税收和社会保障资金的良好记录；</w:t>
      </w:r>
    </w:p>
    <w:p>
      <w:pPr>
        <w:spacing w:line="500" w:lineRule="exact"/>
        <w:ind w:firstLine="480" w:firstLineChars="200"/>
        <w:rPr>
          <w:rFonts w:hAnsi="宋体" w:cs="宋体"/>
          <w:szCs w:val="24"/>
        </w:rPr>
      </w:pPr>
      <w:r>
        <w:rPr>
          <w:rFonts w:hint="eastAsia" w:hAnsi="宋体" w:cs="宋体"/>
          <w:szCs w:val="24"/>
        </w:rPr>
        <w:t xml:space="preserve">    5）参加政府采购活动前三年内，在经营活动中没有重大违法记录；</w:t>
      </w:r>
    </w:p>
    <w:p>
      <w:pPr>
        <w:spacing w:line="500" w:lineRule="exact"/>
        <w:ind w:firstLine="480" w:firstLineChars="200"/>
        <w:rPr>
          <w:rFonts w:hAnsi="宋体" w:cs="宋体"/>
          <w:szCs w:val="24"/>
        </w:rPr>
      </w:pPr>
      <w:r>
        <w:rPr>
          <w:rFonts w:hint="eastAsia" w:hAnsi="宋体" w:cs="宋体"/>
          <w:szCs w:val="24"/>
        </w:rPr>
        <w:t xml:space="preserve">    6）法律、行政法规规定的其他条件。</w:t>
      </w:r>
    </w:p>
    <w:p>
      <w:pPr>
        <w:spacing w:line="500" w:lineRule="exact"/>
        <w:ind w:firstLine="480" w:firstLineChars="200"/>
        <w:rPr>
          <w:rFonts w:hAnsi="宋体" w:cs="宋体"/>
          <w:szCs w:val="24"/>
        </w:rPr>
      </w:pPr>
      <w:r>
        <w:rPr>
          <w:rFonts w:hint="eastAsia" w:hAnsi="宋体" w:cs="宋体"/>
          <w:szCs w:val="24"/>
        </w:rPr>
        <w:t>3.2根据本次采购项目的特殊要求，规定的供应商特殊条件（见供应商须知前附表）。</w:t>
      </w:r>
    </w:p>
    <w:p>
      <w:pPr>
        <w:spacing w:line="500" w:lineRule="exact"/>
        <w:ind w:firstLine="480" w:firstLineChars="200"/>
        <w:rPr>
          <w:rFonts w:hAnsi="宋体" w:cs="宋体"/>
          <w:szCs w:val="24"/>
        </w:rPr>
      </w:pPr>
      <w:r>
        <w:rPr>
          <w:rFonts w:hint="eastAsia" w:hAnsi="宋体" w:cs="宋体"/>
          <w:szCs w:val="24"/>
        </w:rPr>
        <w:t>3.3单位负责人为同一人或者存在直接控股、管理关系的不同供应商，不得参加同一合同项下的政府采购活动。供应商须按照格式要求填写企业关系关联承诺书（并提供国家企业信用信息公示系统http://www.gsxt.gov.cn/index.html网页截图并加盖供应商公章）</w:t>
      </w:r>
    </w:p>
    <w:p>
      <w:pPr>
        <w:spacing w:line="500" w:lineRule="exact"/>
        <w:ind w:firstLine="480" w:firstLineChars="200"/>
        <w:rPr>
          <w:rFonts w:hAnsi="宋体" w:cs="宋体"/>
        </w:rPr>
      </w:pPr>
      <w:r>
        <w:rPr>
          <w:rFonts w:hint="eastAsia" w:hAnsi="宋体" w:cs="宋体"/>
          <w:szCs w:val="24"/>
        </w:rPr>
        <w:t>除单一来源采购项目外，为采购项目提供整体设计、规范编制或者项目管理、监理、检测等服务的供应商，不得再参加该采购项目的其他采购活动，否则均为无效磋商。</w:t>
      </w:r>
    </w:p>
    <w:p>
      <w:pPr>
        <w:spacing w:line="500" w:lineRule="exact"/>
        <w:ind w:firstLine="480" w:firstLineChars="200"/>
        <w:rPr>
          <w:rFonts w:hAnsi="宋体" w:cs="宋体"/>
          <w:szCs w:val="24"/>
        </w:rPr>
      </w:pPr>
      <w:r>
        <w:rPr>
          <w:rFonts w:hint="eastAsia" w:hAnsi="宋体" w:cs="宋体"/>
          <w:szCs w:val="24"/>
        </w:rPr>
        <w:t>3.4供应商必须在</w:t>
      </w:r>
      <w:r>
        <w:rPr>
          <w:rFonts w:hint="eastAsia" w:hAnsi="宋体" w:cs="宋体"/>
          <w:color w:val="333333"/>
          <w:szCs w:val="24"/>
        </w:rPr>
        <w:t>陕西佰瑞诚项目管理有限公司</w:t>
      </w:r>
      <w:r>
        <w:rPr>
          <w:rFonts w:hint="eastAsia" w:hAnsi="宋体" w:cs="宋体"/>
          <w:szCs w:val="24"/>
        </w:rPr>
        <w:t>购买</w:t>
      </w:r>
      <w:r>
        <w:rPr>
          <w:rFonts w:hint="eastAsia" w:hAnsi="宋体" w:cs="宋体"/>
          <w:color w:val="000000"/>
        </w:rPr>
        <w:t>竞争性磋商文件</w:t>
      </w:r>
      <w:r>
        <w:rPr>
          <w:rFonts w:hint="eastAsia" w:hAnsi="宋体" w:cs="宋体"/>
          <w:szCs w:val="24"/>
        </w:rPr>
        <w:t>，方可参加磋商。</w:t>
      </w:r>
      <w:r>
        <w:rPr>
          <w:rFonts w:hint="eastAsia" w:hAnsi="宋体" w:cs="宋体"/>
          <w:color w:val="000000"/>
        </w:rPr>
        <w:t>竞争性</w:t>
      </w:r>
      <w:r>
        <w:rPr>
          <w:rFonts w:hint="eastAsia" w:hAnsi="宋体" w:cs="宋体"/>
          <w:szCs w:val="24"/>
        </w:rPr>
        <w:t>磋商文件售后不退。</w:t>
      </w:r>
    </w:p>
    <w:p>
      <w:pPr>
        <w:spacing w:line="500" w:lineRule="exact"/>
        <w:ind w:firstLine="480" w:firstLineChars="200"/>
        <w:rPr>
          <w:rFonts w:hAnsi="宋体" w:cs="宋体"/>
          <w:szCs w:val="24"/>
        </w:rPr>
      </w:pPr>
      <w:bookmarkStart w:id="37" w:name="OLE_LINK33"/>
      <w:r>
        <w:rPr>
          <w:rFonts w:hint="eastAsia" w:hAnsi="宋体" w:cs="宋体"/>
          <w:szCs w:val="24"/>
        </w:rPr>
        <w:t>3.</w:t>
      </w:r>
      <w:bookmarkEnd w:id="37"/>
      <w:r>
        <w:rPr>
          <w:rFonts w:hint="eastAsia" w:hAnsi="宋体" w:cs="宋体"/>
          <w:szCs w:val="24"/>
        </w:rPr>
        <w:t>5联合体磋商</w:t>
      </w:r>
    </w:p>
    <w:p>
      <w:pPr>
        <w:pStyle w:val="2"/>
      </w:pPr>
      <w:r>
        <w:rPr>
          <w:rFonts w:hint="eastAsia" w:ascii="宋体" w:hAnsi="宋体" w:cs="宋体"/>
          <w:kern w:val="0"/>
          <w:sz w:val="24"/>
          <w:szCs w:val="24"/>
        </w:rPr>
        <w:t xml:space="preserve">     本项目不接受联合体磋商。</w:t>
      </w:r>
    </w:p>
    <w:p>
      <w:pPr>
        <w:spacing w:line="500" w:lineRule="exact"/>
        <w:ind w:firstLine="480" w:firstLineChars="200"/>
        <w:rPr>
          <w:rFonts w:hAnsi="宋体" w:cs="宋体"/>
          <w:szCs w:val="24"/>
        </w:rPr>
      </w:pPr>
      <w:r>
        <w:rPr>
          <w:rFonts w:hint="eastAsia" w:hAnsi="宋体" w:cs="宋体"/>
          <w:szCs w:val="24"/>
        </w:rPr>
        <w:t>3.6磋商费用自理。不论磋商的结果如何，供应商均应自行承担所有与参加磋商有关的费用。</w:t>
      </w:r>
    </w:p>
    <w:p>
      <w:pPr>
        <w:tabs>
          <w:tab w:val="left" w:pos="747"/>
        </w:tabs>
        <w:snapToGrid w:val="0"/>
        <w:spacing w:line="500" w:lineRule="exact"/>
        <w:outlineLvl w:val="2"/>
        <w:rPr>
          <w:rFonts w:hAnsi="宋体" w:cs="宋体"/>
          <w:b/>
          <w:bCs/>
          <w:color w:val="000000"/>
        </w:rPr>
      </w:pPr>
      <w:r>
        <w:rPr>
          <w:rFonts w:hint="eastAsia" w:hAnsi="宋体" w:cs="宋体"/>
          <w:b/>
          <w:bCs/>
          <w:color w:val="000000"/>
        </w:rPr>
        <w:t>4.合格的货物（产品）和服务</w:t>
      </w:r>
    </w:p>
    <w:p>
      <w:pPr>
        <w:tabs>
          <w:tab w:val="left" w:pos="747"/>
        </w:tabs>
        <w:snapToGrid w:val="0"/>
        <w:spacing w:line="500" w:lineRule="exact"/>
        <w:ind w:firstLine="480" w:firstLineChars="200"/>
        <w:rPr>
          <w:rFonts w:hAnsi="宋体" w:cs="宋体"/>
          <w:color w:val="000000"/>
        </w:rPr>
      </w:pPr>
      <w:r>
        <w:rPr>
          <w:rFonts w:hint="eastAsia" w:hAnsi="宋体" w:cs="宋体"/>
          <w:color w:val="000000"/>
        </w:rPr>
        <w:t>4.1供应商提供的所有货物和服务，必须是合法生产、合法来源，符合国家有关标准要求，并满足竞争性磋商文件规定的规格、参数、质量、价格、有效期、售后服务及供应商须承担的运输、安装、技术支持、培训和竞争性磋商文件规定的其它伴随服务等要求。</w:t>
      </w:r>
    </w:p>
    <w:p>
      <w:pPr>
        <w:tabs>
          <w:tab w:val="left" w:pos="747"/>
        </w:tabs>
        <w:snapToGrid w:val="0"/>
        <w:spacing w:line="500" w:lineRule="exact"/>
        <w:ind w:firstLine="480" w:firstLineChars="200"/>
        <w:rPr>
          <w:rFonts w:hAnsi="宋体" w:cs="宋体"/>
          <w:szCs w:val="24"/>
        </w:rPr>
      </w:pPr>
      <w:r>
        <w:rPr>
          <w:rFonts w:hint="eastAsia" w:hAnsi="宋体" w:cs="宋体"/>
          <w:color w:val="000000"/>
        </w:rPr>
        <w:t>4.2采购人有权拒绝接受任何不合格的产品和服务，由此产生的费用及相关后果均由供应商自行承担。</w:t>
      </w:r>
    </w:p>
    <w:p>
      <w:pPr>
        <w:pStyle w:val="18"/>
        <w:spacing w:line="360" w:lineRule="auto"/>
        <w:outlineLvl w:val="2"/>
        <w:rPr>
          <w:rFonts w:ascii="宋体" w:hAnsi="宋体" w:cs="宋体"/>
          <w:b/>
          <w:bCs/>
          <w:color w:val="000000"/>
          <w:sz w:val="24"/>
          <w:szCs w:val="22"/>
        </w:rPr>
      </w:pPr>
      <w:r>
        <w:rPr>
          <w:rFonts w:hint="eastAsia" w:ascii="宋体" w:hAnsi="宋体" w:cs="宋体"/>
          <w:b/>
          <w:bCs/>
          <w:color w:val="000000"/>
          <w:sz w:val="24"/>
          <w:szCs w:val="22"/>
        </w:rPr>
        <w:t>5.供应商信用记录查询及使用</w:t>
      </w:r>
    </w:p>
    <w:p>
      <w:pPr>
        <w:spacing w:line="360" w:lineRule="auto"/>
        <w:ind w:firstLine="480" w:firstLineChars="200"/>
        <w:rPr>
          <w:rFonts w:hAnsi="宋体" w:cs="宋体"/>
          <w:color w:val="000000"/>
          <w:kern w:val="2"/>
          <w:szCs w:val="22"/>
        </w:rPr>
      </w:pPr>
      <w:r>
        <w:rPr>
          <w:rFonts w:hint="eastAsia" w:hAnsi="宋体" w:cs="宋体"/>
          <w:color w:val="000000"/>
          <w:kern w:val="2"/>
          <w:szCs w:val="22"/>
        </w:rPr>
        <w:t>“信用中国”网站（www.creditchina.gov.cn）和“中国政府采购网”（ccgp.gov.cn）为供应商信用信息查询渠道，如果供应商被查实在磋商响应文件递交截止时间前已列入失信被执行人、重大税收违法案件当事人名单、政府采购严重违法失信行为记录名单，其响应文件为无效。采购代理机构将打印查询记录作为证据留存。</w:t>
      </w:r>
    </w:p>
    <w:p>
      <w:pPr>
        <w:spacing w:line="360" w:lineRule="auto"/>
        <w:outlineLvl w:val="2"/>
        <w:rPr>
          <w:rFonts w:hAnsi="宋体" w:cs="宋体"/>
          <w:b/>
          <w:szCs w:val="24"/>
        </w:rPr>
      </w:pPr>
      <w:r>
        <w:rPr>
          <w:rFonts w:hint="eastAsia" w:hAnsi="宋体" w:cs="宋体"/>
          <w:b/>
          <w:szCs w:val="24"/>
        </w:rPr>
        <w:t>6.竞争性磋商响应文件内容的真实性和磋商内容的实质性要求</w:t>
      </w:r>
    </w:p>
    <w:p>
      <w:pPr>
        <w:spacing w:line="440" w:lineRule="exact"/>
        <w:ind w:firstLine="480" w:firstLineChars="200"/>
        <w:rPr>
          <w:rFonts w:hAnsi="宋体" w:cs="宋体"/>
          <w:szCs w:val="24"/>
        </w:rPr>
      </w:pPr>
      <w:r>
        <w:rPr>
          <w:rFonts w:hint="eastAsia" w:hAnsi="宋体" w:cs="宋体"/>
          <w:szCs w:val="24"/>
        </w:rPr>
        <w:t>6.1供应商应保证其磋商响应文件中所提供的所有有关磋商的资料、信息是真实的、并且来源于合法的渠道。因磋商响应文件中所提供的有关磋商的资料、信息不真实、或者其来源不合法而导致的所有法律责任，由供应商自行承担。</w:t>
      </w:r>
    </w:p>
    <w:p>
      <w:pPr>
        <w:keepNext/>
        <w:keepLines/>
        <w:spacing w:beforeLines="100" w:afterLines="50" w:line="360" w:lineRule="auto"/>
        <w:jc w:val="center"/>
        <w:outlineLvl w:val="1"/>
        <w:rPr>
          <w:rFonts w:hAnsi="宋体" w:cs="宋体"/>
          <w:b/>
          <w:sz w:val="32"/>
          <w:szCs w:val="32"/>
        </w:rPr>
      </w:pPr>
      <w:r>
        <w:rPr>
          <w:rFonts w:hint="eastAsia" w:hAnsi="宋体" w:cs="宋体"/>
          <w:b/>
          <w:sz w:val="32"/>
          <w:szCs w:val="32"/>
        </w:rPr>
        <w:t>二.竞争性磋商文件</w:t>
      </w:r>
      <w:bookmarkEnd w:id="34"/>
      <w:bookmarkEnd w:id="35"/>
      <w:bookmarkEnd w:id="36"/>
    </w:p>
    <w:p>
      <w:pPr>
        <w:spacing w:line="360" w:lineRule="auto"/>
        <w:outlineLvl w:val="2"/>
        <w:rPr>
          <w:rFonts w:hAnsi="宋体" w:cs="宋体"/>
          <w:b/>
          <w:szCs w:val="24"/>
        </w:rPr>
      </w:pPr>
      <w:r>
        <w:rPr>
          <w:rFonts w:hint="eastAsia" w:hAnsi="宋体" w:cs="宋体"/>
          <w:b/>
          <w:szCs w:val="24"/>
        </w:rPr>
        <w:t>7.竞争性磋商文件构成　　</w:t>
      </w:r>
    </w:p>
    <w:p>
      <w:pPr>
        <w:spacing w:line="360" w:lineRule="auto"/>
        <w:ind w:firstLine="480" w:firstLineChars="200"/>
        <w:rPr>
          <w:rFonts w:hAnsi="宋体" w:cs="宋体"/>
          <w:szCs w:val="24"/>
        </w:rPr>
      </w:pPr>
      <w:r>
        <w:rPr>
          <w:rFonts w:hint="eastAsia" w:hAnsi="宋体" w:cs="宋体"/>
          <w:szCs w:val="24"/>
        </w:rPr>
        <w:t>7.1 竞争性磋商文件规定了要求提供的产品和服务，磋商程序和合同条件在竞争性磋商文件中均有说明。竞争性磋商文件共六章，内容如下：</w:t>
      </w:r>
    </w:p>
    <w:p>
      <w:pPr>
        <w:spacing w:line="360" w:lineRule="auto"/>
        <w:ind w:firstLine="480" w:firstLineChars="200"/>
        <w:rPr>
          <w:rFonts w:hAnsi="宋体" w:cs="宋体"/>
          <w:szCs w:val="24"/>
        </w:rPr>
      </w:pPr>
      <w:r>
        <w:rPr>
          <w:rFonts w:hint="eastAsia" w:hAnsi="宋体" w:cs="宋体"/>
          <w:szCs w:val="24"/>
        </w:rPr>
        <w:t>第一章 竞争性磋商公告</w:t>
      </w:r>
    </w:p>
    <w:p>
      <w:pPr>
        <w:spacing w:line="360" w:lineRule="auto"/>
        <w:ind w:firstLine="480" w:firstLineChars="200"/>
        <w:rPr>
          <w:rFonts w:hAnsi="宋体" w:cs="宋体"/>
          <w:szCs w:val="24"/>
        </w:rPr>
      </w:pPr>
      <w:r>
        <w:rPr>
          <w:rFonts w:hint="eastAsia" w:hAnsi="宋体" w:cs="宋体"/>
          <w:szCs w:val="24"/>
        </w:rPr>
        <w:t>第二章 供应商须知</w:t>
      </w:r>
    </w:p>
    <w:p>
      <w:pPr>
        <w:spacing w:line="360" w:lineRule="auto"/>
        <w:ind w:firstLine="480" w:firstLineChars="200"/>
        <w:rPr>
          <w:rFonts w:hAnsi="宋体" w:cs="宋体"/>
          <w:szCs w:val="24"/>
        </w:rPr>
      </w:pPr>
      <w:r>
        <w:rPr>
          <w:rFonts w:hint="eastAsia" w:hAnsi="宋体" w:cs="宋体"/>
          <w:szCs w:val="24"/>
        </w:rPr>
        <w:t xml:space="preserve">第三章 合同主要条款    </w:t>
      </w:r>
    </w:p>
    <w:p>
      <w:pPr>
        <w:spacing w:line="360" w:lineRule="auto"/>
        <w:ind w:firstLine="480" w:firstLineChars="200"/>
        <w:rPr>
          <w:rFonts w:hAnsi="宋体" w:cs="宋体"/>
          <w:szCs w:val="24"/>
        </w:rPr>
      </w:pPr>
      <w:r>
        <w:rPr>
          <w:rFonts w:hint="eastAsia" w:hAnsi="宋体" w:cs="宋体"/>
          <w:szCs w:val="24"/>
        </w:rPr>
        <w:t>第四章 竞争性磋商内容及技术要求</w:t>
      </w:r>
    </w:p>
    <w:p>
      <w:pPr>
        <w:spacing w:line="360" w:lineRule="auto"/>
        <w:ind w:firstLine="480" w:firstLineChars="200"/>
        <w:rPr>
          <w:rFonts w:hAnsi="宋体" w:cs="宋体"/>
          <w:szCs w:val="24"/>
        </w:rPr>
      </w:pPr>
      <w:r>
        <w:rPr>
          <w:rFonts w:hint="eastAsia" w:hAnsi="宋体" w:cs="宋体"/>
          <w:szCs w:val="24"/>
        </w:rPr>
        <w:t>第五章 评审方法</w:t>
      </w:r>
    </w:p>
    <w:p>
      <w:pPr>
        <w:spacing w:line="360" w:lineRule="auto"/>
        <w:ind w:firstLine="480" w:firstLineChars="200"/>
        <w:rPr>
          <w:rFonts w:hAnsi="宋体" w:cs="宋体"/>
          <w:szCs w:val="24"/>
        </w:rPr>
      </w:pPr>
      <w:r>
        <w:rPr>
          <w:rFonts w:hint="eastAsia" w:hAnsi="宋体" w:cs="宋体"/>
          <w:szCs w:val="24"/>
        </w:rPr>
        <w:t xml:space="preserve">第六章 竞争性磋商响应文件格式  </w:t>
      </w:r>
    </w:p>
    <w:p>
      <w:pPr>
        <w:spacing w:line="360" w:lineRule="auto"/>
        <w:ind w:firstLine="480" w:firstLineChars="200"/>
        <w:rPr>
          <w:rFonts w:hAnsi="宋体" w:cs="宋体"/>
          <w:szCs w:val="24"/>
        </w:rPr>
      </w:pPr>
      <w:r>
        <w:rPr>
          <w:rFonts w:hint="eastAsia" w:hAnsi="宋体" w:cs="宋体"/>
          <w:szCs w:val="24"/>
        </w:rPr>
        <w:t>7.2 供应商应认真阅读竞争性磋商文件中所有的事项、格式、条款和规范等要求。如果供应商没有按照竞争性磋商文件要求提交全部资料，或者竞争性磋商响应文件没有对竞争性磋商文件在各方面都做出实质性响应，由此带来不利于供应商的磋商结果，其风险由供应商承担。</w:t>
      </w:r>
    </w:p>
    <w:p>
      <w:pPr>
        <w:spacing w:line="500" w:lineRule="exact"/>
        <w:ind w:firstLine="480" w:firstLineChars="200"/>
        <w:rPr>
          <w:rFonts w:hAnsi="宋体" w:cs="宋体"/>
          <w:szCs w:val="24"/>
        </w:rPr>
      </w:pPr>
      <w:r>
        <w:rPr>
          <w:rFonts w:hint="eastAsia" w:hAnsi="宋体" w:cs="宋体"/>
          <w:szCs w:val="24"/>
        </w:rPr>
        <w:t>7.3本竞争性磋商文件的解释权归陕西佰瑞诚项目管理有限公司，如发现竞争性磋商响应文件内容与现行法律法规不相符的情况，以现行法律法规为准。</w:t>
      </w:r>
    </w:p>
    <w:p>
      <w:pPr>
        <w:spacing w:line="360" w:lineRule="auto"/>
        <w:outlineLvl w:val="2"/>
        <w:rPr>
          <w:rFonts w:hAnsi="宋体" w:cs="宋体"/>
          <w:b/>
          <w:szCs w:val="24"/>
        </w:rPr>
      </w:pPr>
      <w:r>
        <w:rPr>
          <w:rFonts w:hint="eastAsia" w:hAnsi="宋体" w:cs="宋体"/>
          <w:b/>
          <w:szCs w:val="24"/>
        </w:rPr>
        <w:t>8.竞争性磋商文件的修改和澄清</w:t>
      </w:r>
    </w:p>
    <w:p>
      <w:pPr>
        <w:spacing w:line="360" w:lineRule="auto"/>
        <w:ind w:firstLine="480" w:firstLineChars="200"/>
        <w:rPr>
          <w:rFonts w:hAnsi="宋体" w:cs="宋体"/>
          <w:szCs w:val="24"/>
        </w:rPr>
      </w:pPr>
      <w:r>
        <w:rPr>
          <w:rFonts w:hint="eastAsia" w:hAnsi="宋体" w:cs="宋体"/>
          <w:szCs w:val="24"/>
        </w:rPr>
        <w:t>8.1提交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响应文件截止时间至少5日前，以书面形式通知所有获取磋商文件的供应商；不足5日的，采购人、采购代理机构应当顺延提交首次响应文件截止时间。</w:t>
      </w:r>
    </w:p>
    <w:p>
      <w:pPr>
        <w:spacing w:line="360" w:lineRule="auto"/>
        <w:ind w:firstLine="480" w:firstLineChars="200"/>
        <w:rPr>
          <w:rFonts w:hAnsi="宋体" w:cs="宋体"/>
          <w:szCs w:val="24"/>
        </w:rPr>
      </w:pPr>
      <w:r>
        <w:rPr>
          <w:rFonts w:hint="eastAsia" w:hAnsi="宋体" w:cs="宋体"/>
          <w:szCs w:val="24"/>
        </w:rPr>
        <w:t>8.2已经购买竞争性磋商文件的供应商对竞争性磋商文件有疑问的，均应在磋商截止日期3日前以书面形式向采购代理机构提出。采购代理机构视情况必要时将书面答复传送给所有获取竞争性磋商文件的供应商。</w:t>
      </w:r>
    </w:p>
    <w:p>
      <w:pPr>
        <w:spacing w:line="360" w:lineRule="auto"/>
        <w:ind w:firstLine="480" w:firstLineChars="200"/>
        <w:rPr>
          <w:rFonts w:hAnsi="宋体" w:cs="宋体"/>
          <w:szCs w:val="24"/>
        </w:rPr>
      </w:pPr>
      <w:r>
        <w:rPr>
          <w:rFonts w:hint="eastAsia" w:hAnsi="宋体" w:cs="宋体"/>
          <w:szCs w:val="24"/>
        </w:rPr>
        <w:t>8.3供应商在收到上述通知后，应立即向采购代理机构回函确认。</w:t>
      </w:r>
    </w:p>
    <w:p>
      <w:pPr>
        <w:keepNext/>
        <w:keepLines/>
        <w:spacing w:beforeLines="100" w:afterLines="50" w:line="360" w:lineRule="auto"/>
        <w:jc w:val="center"/>
        <w:outlineLvl w:val="1"/>
        <w:rPr>
          <w:rFonts w:hAnsi="宋体" w:cs="宋体"/>
          <w:b/>
          <w:sz w:val="32"/>
          <w:szCs w:val="32"/>
        </w:rPr>
      </w:pPr>
      <w:bookmarkStart w:id="38" w:name="_Toc403077641"/>
      <w:bookmarkStart w:id="39" w:name="_Toc363474019"/>
      <w:bookmarkStart w:id="40" w:name="_Toc363473974"/>
      <w:r>
        <w:rPr>
          <w:rFonts w:hint="eastAsia" w:hAnsi="宋体" w:cs="宋体"/>
          <w:b/>
          <w:sz w:val="32"/>
          <w:szCs w:val="32"/>
        </w:rPr>
        <w:t>三.磋商响应文件的编制</w:t>
      </w:r>
      <w:bookmarkEnd w:id="38"/>
      <w:bookmarkEnd w:id="39"/>
      <w:bookmarkEnd w:id="40"/>
    </w:p>
    <w:p>
      <w:pPr>
        <w:spacing w:line="360" w:lineRule="auto"/>
        <w:outlineLvl w:val="2"/>
        <w:rPr>
          <w:rFonts w:hAnsi="宋体" w:cs="宋体"/>
          <w:b/>
          <w:szCs w:val="24"/>
        </w:rPr>
      </w:pPr>
      <w:r>
        <w:rPr>
          <w:rFonts w:hint="eastAsia" w:hAnsi="宋体" w:cs="宋体"/>
          <w:b/>
          <w:szCs w:val="24"/>
        </w:rPr>
        <w:t>9. 磋商语言和磋商货币</w:t>
      </w:r>
    </w:p>
    <w:p>
      <w:pPr>
        <w:spacing w:line="360" w:lineRule="auto"/>
        <w:ind w:firstLine="480" w:firstLineChars="200"/>
        <w:rPr>
          <w:rFonts w:hAnsi="宋体" w:cs="宋体"/>
          <w:b/>
          <w:szCs w:val="24"/>
        </w:rPr>
      </w:pPr>
      <w:r>
        <w:rPr>
          <w:rFonts w:hint="eastAsia" w:hAnsi="宋体" w:cs="宋体"/>
          <w:szCs w:val="24"/>
        </w:rPr>
        <w:t>9.1供应商提交的竞争性磋商响应文件以及供应商与采购代理机构就有关磋商的所有来往函电均应使用中文。</w:t>
      </w:r>
    </w:p>
    <w:p>
      <w:pPr>
        <w:spacing w:line="360" w:lineRule="auto"/>
        <w:ind w:firstLine="480" w:firstLineChars="200"/>
        <w:rPr>
          <w:rFonts w:hAnsi="宋体" w:cs="宋体"/>
          <w:szCs w:val="24"/>
        </w:rPr>
      </w:pPr>
      <w:r>
        <w:rPr>
          <w:rFonts w:hint="eastAsia" w:hAnsi="宋体" w:cs="宋体"/>
          <w:szCs w:val="24"/>
        </w:rPr>
        <w:t>9.2磋商应以人民币报价。任何包含非人民币报价的磋商将按无效磋商处理。</w:t>
      </w:r>
    </w:p>
    <w:p>
      <w:pPr>
        <w:spacing w:line="360" w:lineRule="auto"/>
        <w:outlineLvl w:val="2"/>
        <w:rPr>
          <w:rFonts w:hAnsi="宋体" w:cs="宋体"/>
          <w:b/>
          <w:szCs w:val="24"/>
        </w:rPr>
      </w:pPr>
      <w:r>
        <w:rPr>
          <w:rFonts w:hint="eastAsia" w:hAnsi="宋体" w:cs="宋体"/>
          <w:b/>
          <w:szCs w:val="24"/>
        </w:rPr>
        <w:t>10.竞争性磋商响应文件的构成</w:t>
      </w:r>
    </w:p>
    <w:p>
      <w:pPr>
        <w:spacing w:line="360" w:lineRule="auto"/>
        <w:ind w:firstLine="480" w:firstLineChars="200"/>
        <w:rPr>
          <w:rFonts w:hAnsi="宋体" w:cs="宋体"/>
          <w:szCs w:val="24"/>
        </w:rPr>
      </w:pPr>
      <w:r>
        <w:rPr>
          <w:rFonts w:hint="eastAsia" w:hAnsi="宋体" w:cs="宋体"/>
          <w:szCs w:val="24"/>
        </w:rPr>
        <w:t>10.1 供应商提交的竞争性磋商响应文件应包含下列部分的内容：</w:t>
      </w:r>
    </w:p>
    <w:p>
      <w:pPr>
        <w:spacing w:line="500" w:lineRule="exact"/>
        <w:ind w:firstLine="480" w:firstLineChars="200"/>
        <w:rPr>
          <w:rFonts w:hAnsi="宋体" w:cs="宋体"/>
          <w:szCs w:val="24"/>
        </w:rPr>
      </w:pPr>
      <w:r>
        <w:rPr>
          <w:rFonts w:hint="eastAsia" w:hAnsi="宋体" w:cs="宋体"/>
          <w:szCs w:val="24"/>
        </w:rPr>
        <w:t>（1） 按照供应商须知的要求和竞争性磋商文件规定格式填写的磋商响应函、磋商报价表、法定代表人授权书。</w:t>
      </w:r>
    </w:p>
    <w:p>
      <w:pPr>
        <w:spacing w:line="500" w:lineRule="exact"/>
        <w:ind w:firstLine="480" w:firstLineChars="200"/>
        <w:rPr>
          <w:rFonts w:hAnsi="宋体" w:cs="宋体"/>
          <w:szCs w:val="24"/>
        </w:rPr>
      </w:pPr>
      <w:r>
        <w:rPr>
          <w:rFonts w:hint="eastAsia" w:hAnsi="宋体" w:cs="宋体"/>
          <w:szCs w:val="24"/>
        </w:rPr>
        <w:t>（2）按照竞争性磋商文件的要求编制的磋商方案说明书，内容应包括设备和服务的详细说明、技术规格响应表、设备配置说明、彩页（如有）、生产厂家出具的、相应的产品功能证明材料（包括但不限于测试报告、官网和功能截图等），质量保证和售后服务承诺等。</w:t>
      </w:r>
    </w:p>
    <w:p>
      <w:pPr>
        <w:spacing w:line="500" w:lineRule="exact"/>
        <w:ind w:firstLine="480" w:firstLineChars="200"/>
        <w:rPr>
          <w:rFonts w:hAnsi="宋体" w:cs="宋体"/>
          <w:szCs w:val="24"/>
        </w:rPr>
      </w:pPr>
      <w:r>
        <w:rPr>
          <w:rFonts w:hint="eastAsia" w:hAnsi="宋体" w:cs="宋体"/>
          <w:szCs w:val="24"/>
        </w:rPr>
        <w:t>（3）按照竞争性磋商文件供应商须知前附表的要求提交的资格证明文件；</w:t>
      </w:r>
    </w:p>
    <w:p>
      <w:pPr>
        <w:spacing w:line="500" w:lineRule="exact"/>
        <w:ind w:firstLine="480" w:firstLineChars="200"/>
        <w:rPr>
          <w:rFonts w:hAnsi="宋体" w:cs="宋体"/>
          <w:szCs w:val="24"/>
        </w:rPr>
      </w:pPr>
      <w:r>
        <w:rPr>
          <w:rFonts w:hint="eastAsia" w:hAnsi="宋体" w:cs="宋体"/>
          <w:szCs w:val="24"/>
        </w:rPr>
        <w:t>（4）竞争性磋商文件中要求的其他证明文件。</w:t>
      </w:r>
    </w:p>
    <w:p>
      <w:pPr>
        <w:spacing w:line="500" w:lineRule="exact"/>
        <w:ind w:firstLine="480" w:firstLineChars="200"/>
        <w:rPr>
          <w:rFonts w:hAnsi="宋体" w:cs="宋体"/>
          <w:szCs w:val="24"/>
        </w:rPr>
      </w:pPr>
      <w:r>
        <w:rPr>
          <w:rFonts w:hint="eastAsia" w:hAnsi="宋体" w:cs="宋体"/>
          <w:szCs w:val="24"/>
        </w:rPr>
        <w:t xml:space="preserve">10.2 如果在竞争性磋商文件中没有允许提供备选方案，则每个供应商只允许提交一个磋商方案，否则，其磋商将按照无效磋商处理。                                                                                                                                                                                                                                                                                                                                                                                                                                                                                                                                                                                                                                                                                                                                                                                                                                                                                                                                                                                                                                                                                                      </w:t>
      </w:r>
    </w:p>
    <w:p>
      <w:pPr>
        <w:spacing w:line="500" w:lineRule="exact"/>
        <w:ind w:firstLine="480" w:firstLineChars="200"/>
        <w:rPr>
          <w:rFonts w:hAnsi="宋体" w:cs="宋体"/>
          <w:szCs w:val="24"/>
        </w:rPr>
      </w:pPr>
      <w:r>
        <w:rPr>
          <w:rFonts w:hint="eastAsia" w:hAnsi="宋体" w:cs="宋体"/>
          <w:szCs w:val="24"/>
        </w:rPr>
        <w:t>10.3本次磋商的最小单元：见供应商须知前附表，供应商可根据自身的资质情况和经营范围对本次项目进行磋商，不得将其子目再行分解或只对本次项目中的品目进行不完全磋商，任何不完全的响应将会被拒绝。</w:t>
      </w:r>
    </w:p>
    <w:p>
      <w:pPr>
        <w:spacing w:line="360" w:lineRule="auto"/>
        <w:outlineLvl w:val="2"/>
        <w:rPr>
          <w:rFonts w:hAnsi="宋体" w:cs="宋体"/>
          <w:b/>
          <w:szCs w:val="24"/>
        </w:rPr>
      </w:pPr>
      <w:r>
        <w:rPr>
          <w:rFonts w:hint="eastAsia" w:hAnsi="宋体" w:cs="宋体"/>
          <w:b/>
          <w:szCs w:val="24"/>
        </w:rPr>
        <w:t xml:space="preserve">11.竞争性磋商响应文件格式 </w:t>
      </w:r>
    </w:p>
    <w:p>
      <w:pPr>
        <w:spacing w:line="360" w:lineRule="auto"/>
        <w:ind w:firstLine="480" w:firstLineChars="200"/>
        <w:rPr>
          <w:rFonts w:hAnsi="宋体" w:cs="宋体"/>
          <w:szCs w:val="24"/>
        </w:rPr>
      </w:pPr>
      <w:r>
        <w:rPr>
          <w:rFonts w:hint="eastAsia" w:hAnsi="宋体" w:cs="宋体"/>
          <w:szCs w:val="24"/>
        </w:rPr>
        <w:t>11.1 供应商应按照竞争性磋商文件中第六章“竞争性磋商响应文件格式”所提供的格式和要求制作竞争性磋商响应文件，明确表达磋商意愿，详细说明磋商方案、承诺及价格。</w:t>
      </w:r>
    </w:p>
    <w:p>
      <w:pPr>
        <w:spacing w:line="500" w:lineRule="exact"/>
        <w:ind w:firstLine="480" w:firstLineChars="200"/>
        <w:rPr>
          <w:rFonts w:hAnsi="宋体" w:cs="宋体"/>
        </w:rPr>
      </w:pPr>
      <w:r>
        <w:rPr>
          <w:rFonts w:hint="eastAsia" w:hAnsi="宋体" w:cs="宋体"/>
        </w:rPr>
        <w:t>11.2供应商应完整地提供磋商文件要求的所有数据和资料。</w:t>
      </w:r>
    </w:p>
    <w:p>
      <w:pPr>
        <w:spacing w:line="360" w:lineRule="auto"/>
        <w:outlineLvl w:val="2"/>
        <w:rPr>
          <w:rFonts w:hAnsi="宋体" w:cs="宋体"/>
          <w:b/>
          <w:szCs w:val="24"/>
        </w:rPr>
      </w:pPr>
      <w:r>
        <w:rPr>
          <w:rFonts w:hint="eastAsia" w:hAnsi="宋体" w:cs="宋体"/>
          <w:b/>
          <w:szCs w:val="24"/>
        </w:rPr>
        <w:t>12.磋商报价</w:t>
      </w:r>
    </w:p>
    <w:p>
      <w:pPr>
        <w:spacing w:line="360" w:lineRule="auto"/>
        <w:ind w:firstLine="480" w:firstLineChars="200"/>
        <w:rPr>
          <w:rFonts w:hAnsi="宋体" w:cs="宋体"/>
          <w:szCs w:val="24"/>
        </w:rPr>
      </w:pPr>
      <w:r>
        <w:rPr>
          <w:rFonts w:hint="eastAsia" w:hAnsi="宋体" w:cs="宋体"/>
          <w:szCs w:val="24"/>
        </w:rPr>
        <w:t>12.1磋商报价：见供应商须知前附表。</w:t>
      </w:r>
    </w:p>
    <w:p>
      <w:pPr>
        <w:spacing w:line="360" w:lineRule="auto"/>
        <w:outlineLvl w:val="2"/>
        <w:rPr>
          <w:rFonts w:hAnsi="宋体" w:cs="宋体"/>
          <w:b/>
          <w:szCs w:val="24"/>
        </w:rPr>
      </w:pPr>
      <w:r>
        <w:rPr>
          <w:rFonts w:hint="eastAsia" w:hAnsi="宋体" w:cs="宋体"/>
          <w:b/>
          <w:szCs w:val="24"/>
        </w:rPr>
        <w:t>13.证明供应商合格的资格证明文件</w:t>
      </w:r>
    </w:p>
    <w:p>
      <w:pPr>
        <w:spacing w:line="360" w:lineRule="auto"/>
        <w:ind w:firstLine="480" w:firstLineChars="200"/>
        <w:rPr>
          <w:rFonts w:hAnsi="宋体" w:cs="宋体"/>
          <w:szCs w:val="24"/>
        </w:rPr>
      </w:pPr>
      <w:r>
        <w:rPr>
          <w:rFonts w:hint="eastAsia" w:hAnsi="宋体" w:cs="宋体"/>
          <w:szCs w:val="24"/>
        </w:rPr>
        <w:t>13.1供应商应按照竞争性磋商文件供应商须知前附表的要求，在竞争性磋商响应文件中提交合格的资格证明文件。如果资格证明文件不全或不合格的，其磋商响应文件将被作无效文件处理。</w:t>
      </w:r>
    </w:p>
    <w:p>
      <w:pPr>
        <w:spacing w:line="360" w:lineRule="auto"/>
        <w:outlineLvl w:val="2"/>
        <w:rPr>
          <w:rFonts w:hAnsi="宋体" w:cs="宋体"/>
          <w:b/>
          <w:szCs w:val="24"/>
        </w:rPr>
      </w:pPr>
      <w:r>
        <w:rPr>
          <w:rFonts w:hint="eastAsia" w:hAnsi="宋体" w:cs="宋体"/>
          <w:b/>
          <w:szCs w:val="24"/>
        </w:rPr>
        <w:t>14.证明货物（产品）符合竞争性磋商文件规定的文件</w:t>
      </w:r>
    </w:p>
    <w:p>
      <w:pPr>
        <w:spacing w:line="360" w:lineRule="auto"/>
        <w:ind w:firstLine="480" w:firstLineChars="200"/>
        <w:rPr>
          <w:rFonts w:hAnsi="宋体" w:cs="宋体"/>
          <w:szCs w:val="24"/>
        </w:rPr>
      </w:pPr>
      <w:r>
        <w:rPr>
          <w:rFonts w:hint="eastAsia" w:hAnsi="宋体" w:cs="宋体"/>
          <w:szCs w:val="24"/>
        </w:rPr>
        <w:t>14.1供应商应在竞争性磋商响应文件中提交产品和服务满足竞争性磋商文件要求并符合国家法律法规、行业管理部门要求的其他强制性标准的证明文件。缺少证明文件或证明文件不合格的磋商响应文件，与竞争性磋商文件要求有重大偏离的磋商响应文件，不符合国家法律法规、行业管理部门要求的其他强制性标准的磋商响应文件将按无效磋商处理。</w:t>
      </w:r>
    </w:p>
    <w:p>
      <w:pPr>
        <w:spacing w:line="500" w:lineRule="exact"/>
        <w:ind w:firstLine="480" w:firstLineChars="200"/>
        <w:rPr>
          <w:rFonts w:hAnsi="宋体" w:cs="宋体"/>
          <w:szCs w:val="24"/>
        </w:rPr>
      </w:pPr>
      <w:r>
        <w:rPr>
          <w:rFonts w:hint="eastAsia" w:hAnsi="宋体" w:cs="宋体"/>
          <w:szCs w:val="24"/>
        </w:rPr>
        <w:t>14.2上述证明文件可以是文字资料、图纸、图片和数据等，所有证明文件表达意思必须统一。（如需供应商提供样品，样品必须与竞争性磋商响应文件的表述完全符合。）包括：</w:t>
      </w:r>
    </w:p>
    <w:p>
      <w:pPr>
        <w:spacing w:line="360" w:lineRule="auto"/>
        <w:ind w:firstLine="480" w:firstLineChars="200"/>
        <w:rPr>
          <w:rFonts w:hAnsi="宋体" w:cs="宋体"/>
          <w:szCs w:val="24"/>
        </w:rPr>
      </w:pPr>
      <w:r>
        <w:rPr>
          <w:rFonts w:hint="eastAsia" w:hAnsi="宋体" w:cs="宋体"/>
          <w:szCs w:val="24"/>
        </w:rPr>
        <w:t>1）产品主要技术指标和性能的详细说明；</w:t>
      </w:r>
    </w:p>
    <w:p>
      <w:pPr>
        <w:spacing w:line="360" w:lineRule="auto"/>
        <w:ind w:firstLine="480" w:firstLineChars="200"/>
        <w:rPr>
          <w:rFonts w:hAnsi="宋体" w:cs="宋体"/>
          <w:szCs w:val="24"/>
        </w:rPr>
      </w:pPr>
      <w:r>
        <w:rPr>
          <w:rFonts w:hint="eastAsia" w:hAnsi="宋体" w:cs="宋体"/>
          <w:szCs w:val="24"/>
        </w:rPr>
        <w:t>2）国家法定检验机构出具的磋商产品的检验报告；</w:t>
      </w:r>
    </w:p>
    <w:p>
      <w:pPr>
        <w:spacing w:line="360" w:lineRule="auto"/>
        <w:ind w:firstLine="480" w:firstLineChars="200"/>
        <w:rPr>
          <w:rFonts w:hAnsi="宋体" w:cs="宋体"/>
          <w:szCs w:val="24"/>
        </w:rPr>
      </w:pPr>
      <w:r>
        <w:rPr>
          <w:rFonts w:hint="eastAsia" w:hAnsi="宋体" w:cs="宋体"/>
          <w:szCs w:val="24"/>
        </w:rPr>
        <w:t>3）逐条对磋商文件提出的技术要求和商务要求进行应答，说明所提供的产品和服务对磋商的技术和商务要求是否做出了实质性响应并提供支持文件；</w:t>
      </w:r>
    </w:p>
    <w:p>
      <w:pPr>
        <w:spacing w:line="360" w:lineRule="auto"/>
        <w:ind w:firstLine="480" w:firstLineChars="200"/>
        <w:rPr>
          <w:rFonts w:hAnsi="宋体" w:cs="宋体"/>
          <w:szCs w:val="24"/>
        </w:rPr>
      </w:pPr>
      <w:r>
        <w:rPr>
          <w:rFonts w:hint="eastAsia" w:hAnsi="宋体" w:cs="宋体"/>
          <w:szCs w:val="24"/>
        </w:rPr>
        <w:t>4）产品来源渠道合法的证明文件（包括但不限于销售协议、代理协议、原厂授权等）；</w:t>
      </w:r>
    </w:p>
    <w:p>
      <w:pPr>
        <w:spacing w:line="360" w:lineRule="auto"/>
        <w:ind w:firstLine="480" w:firstLineChars="200"/>
        <w:rPr>
          <w:rFonts w:hAnsi="宋体" w:cs="宋体"/>
          <w:szCs w:val="24"/>
        </w:rPr>
      </w:pPr>
      <w:r>
        <w:rPr>
          <w:rFonts w:hint="eastAsia" w:hAnsi="宋体" w:cs="宋体"/>
          <w:szCs w:val="24"/>
        </w:rPr>
        <w:t>5）供货范围和服务内容的详细说明。</w:t>
      </w:r>
    </w:p>
    <w:p>
      <w:pPr>
        <w:spacing w:line="360" w:lineRule="auto"/>
        <w:outlineLvl w:val="2"/>
        <w:rPr>
          <w:rFonts w:hAnsi="宋体" w:cs="宋体"/>
          <w:b/>
          <w:szCs w:val="24"/>
        </w:rPr>
      </w:pPr>
      <w:r>
        <w:rPr>
          <w:rFonts w:hint="eastAsia" w:hAnsi="宋体" w:cs="宋体"/>
          <w:b/>
          <w:szCs w:val="24"/>
        </w:rPr>
        <w:t>15.磋商保证金</w:t>
      </w:r>
    </w:p>
    <w:p>
      <w:pPr>
        <w:spacing w:line="360" w:lineRule="auto"/>
        <w:ind w:firstLine="480" w:firstLineChars="200"/>
        <w:rPr>
          <w:rFonts w:hAnsi="宋体" w:cs="宋体"/>
          <w:szCs w:val="24"/>
        </w:rPr>
      </w:pPr>
      <w:r>
        <w:rPr>
          <w:rFonts w:hint="eastAsia" w:hAnsi="宋体" w:cs="宋体"/>
          <w:szCs w:val="24"/>
        </w:rPr>
        <w:t>15.1本项目不要求提交磋商保证金。</w:t>
      </w:r>
    </w:p>
    <w:p>
      <w:pPr>
        <w:spacing w:line="360" w:lineRule="auto"/>
        <w:outlineLvl w:val="2"/>
        <w:rPr>
          <w:rFonts w:hAnsi="宋体" w:cs="宋体"/>
          <w:b/>
          <w:szCs w:val="24"/>
        </w:rPr>
      </w:pPr>
      <w:r>
        <w:rPr>
          <w:rFonts w:hint="eastAsia" w:hAnsi="宋体" w:cs="宋体"/>
          <w:b/>
          <w:szCs w:val="24"/>
        </w:rPr>
        <w:t>16.磋商有效期</w:t>
      </w:r>
    </w:p>
    <w:p>
      <w:pPr>
        <w:spacing w:line="360" w:lineRule="auto"/>
        <w:ind w:firstLine="480" w:firstLineChars="200"/>
        <w:rPr>
          <w:rFonts w:hAnsi="宋体" w:cs="宋体"/>
          <w:szCs w:val="24"/>
        </w:rPr>
      </w:pPr>
      <w:bookmarkStart w:id="41" w:name="OLE_LINK4"/>
      <w:r>
        <w:rPr>
          <w:rFonts w:hint="eastAsia" w:hAnsi="宋体" w:cs="宋体"/>
          <w:szCs w:val="24"/>
        </w:rPr>
        <w:t>16.1磋商响应文件应在“供应商须知前附表”中规定的期限内保持有效。磋商有效期不满足规定有效期的磋商响应文件将被视为非响应性磋商而予以拒绝。</w:t>
      </w:r>
      <w:bookmarkEnd w:id="41"/>
    </w:p>
    <w:p>
      <w:pPr>
        <w:spacing w:line="360" w:lineRule="auto"/>
        <w:ind w:firstLine="480" w:firstLineChars="200"/>
        <w:rPr>
          <w:rFonts w:hAnsi="宋体" w:cs="宋体"/>
          <w:szCs w:val="24"/>
        </w:rPr>
      </w:pPr>
      <w:r>
        <w:rPr>
          <w:rFonts w:hint="eastAsia" w:hAnsi="宋体" w:cs="宋体"/>
          <w:szCs w:val="24"/>
        </w:rPr>
        <w:t>16.2在特殊情况下，在原磋商有效期期满之前，采购代理机构可向供应商提出延长磋商有效期的要求，要求与答复均应以书面形式。供应商可以拒绝采购代理机构的这种要求，同意延长的供应商既不能要求也不允许修改其磋商响应文件。</w:t>
      </w:r>
    </w:p>
    <w:p>
      <w:pPr>
        <w:spacing w:line="360" w:lineRule="auto"/>
        <w:outlineLvl w:val="2"/>
        <w:rPr>
          <w:rFonts w:hAnsi="宋体" w:cs="宋体"/>
          <w:b/>
          <w:szCs w:val="24"/>
        </w:rPr>
      </w:pPr>
      <w:r>
        <w:rPr>
          <w:rFonts w:hint="eastAsia" w:hAnsi="宋体" w:cs="宋体"/>
          <w:b/>
          <w:szCs w:val="24"/>
        </w:rPr>
        <w:t>17.竞争性磋商响应文件的式样和签署</w:t>
      </w:r>
    </w:p>
    <w:p>
      <w:pPr>
        <w:spacing w:line="360" w:lineRule="auto"/>
        <w:ind w:firstLine="480" w:firstLineChars="200"/>
        <w:rPr>
          <w:rFonts w:hAnsi="宋体" w:cs="宋体"/>
          <w:szCs w:val="24"/>
        </w:rPr>
      </w:pPr>
      <w:r>
        <w:rPr>
          <w:rFonts w:hint="eastAsia" w:hAnsi="宋体" w:cs="宋体"/>
          <w:szCs w:val="24"/>
        </w:rPr>
        <w:t>17.1竞争性磋商响应文件正本、副本、报价一览表及电子版份数及要求详见“供应商须知前附表”。</w:t>
      </w:r>
    </w:p>
    <w:p>
      <w:pPr>
        <w:spacing w:line="500" w:lineRule="exact"/>
        <w:ind w:firstLine="480" w:firstLineChars="200"/>
        <w:rPr>
          <w:rFonts w:hAnsi="宋体" w:cs="宋体"/>
        </w:rPr>
      </w:pPr>
      <w:r>
        <w:rPr>
          <w:rFonts w:hint="eastAsia" w:hAnsi="宋体" w:cs="宋体"/>
          <w:szCs w:val="24"/>
        </w:rPr>
        <w:t>17.2竞争性磋商响应文件的正本需打印或用不褪色、不变质的墨水书写，由供应商的法定代表人或被授权人按磋商文件的规定签署</w:t>
      </w:r>
      <w:r>
        <w:rPr>
          <w:rFonts w:hint="eastAsia" w:hAnsi="宋体" w:cs="宋体"/>
          <w:b/>
          <w:bCs/>
          <w:szCs w:val="24"/>
        </w:rPr>
        <w:t>。竞争性磋商响应文件副本可采用正本的复印件。</w:t>
      </w:r>
    </w:p>
    <w:p>
      <w:pPr>
        <w:spacing w:line="360" w:lineRule="auto"/>
        <w:ind w:firstLine="480" w:firstLineChars="200"/>
        <w:rPr>
          <w:rFonts w:hAnsi="宋体" w:cs="宋体"/>
          <w:szCs w:val="24"/>
        </w:rPr>
      </w:pPr>
      <w:r>
        <w:rPr>
          <w:rFonts w:hint="eastAsia" w:hAnsi="宋体" w:cs="宋体"/>
          <w:szCs w:val="24"/>
        </w:rPr>
        <w:t>17.3任何行间插字、涂改和增删，必须由供应商的法定代表人或其授权代表在旁边签字方有效。</w:t>
      </w:r>
    </w:p>
    <w:p>
      <w:pPr>
        <w:spacing w:line="500" w:lineRule="exact"/>
        <w:ind w:firstLine="482" w:firstLineChars="200"/>
        <w:rPr>
          <w:rFonts w:hAnsi="宋体" w:cs="宋体"/>
          <w:b/>
          <w:bCs/>
          <w:szCs w:val="24"/>
        </w:rPr>
      </w:pPr>
      <w:r>
        <w:rPr>
          <w:rFonts w:hint="eastAsia" w:hAnsi="宋体" w:cs="宋体"/>
          <w:b/>
          <w:bCs/>
          <w:szCs w:val="24"/>
        </w:rPr>
        <w:t>17.4 竞争性磋商响应文件正本和副本按照竞争性磋商文件第六章规定的顺序编排、并应</w:t>
      </w:r>
      <w:r>
        <w:rPr>
          <w:rFonts w:hint="eastAsia" w:hAnsi="宋体" w:cs="宋体"/>
          <w:b/>
          <w:bCs/>
          <w:szCs w:val="24"/>
          <w:lang w:val="zh-CN"/>
        </w:rPr>
        <w:t>编制目录，</w:t>
      </w:r>
      <w:r>
        <w:rPr>
          <w:rFonts w:hint="eastAsia" w:hAnsi="宋体" w:cs="宋体"/>
          <w:b/>
          <w:bCs/>
          <w:szCs w:val="24"/>
        </w:rPr>
        <w:t>逐页标注连续页码，并分别</w:t>
      </w:r>
      <w:r>
        <w:rPr>
          <w:rFonts w:hint="eastAsia" w:hAnsi="宋体" w:cs="宋体"/>
          <w:b/>
          <w:bCs/>
          <w:szCs w:val="24"/>
          <w:lang w:val="zh-CN"/>
        </w:rPr>
        <w:t>胶装成册</w:t>
      </w:r>
      <w:r>
        <w:rPr>
          <w:rFonts w:hint="eastAsia" w:hAnsi="宋体" w:cs="宋体"/>
          <w:b/>
          <w:bCs/>
          <w:szCs w:val="24"/>
        </w:rPr>
        <w:t>。</w:t>
      </w:r>
    </w:p>
    <w:p>
      <w:pPr>
        <w:spacing w:line="360" w:lineRule="auto"/>
        <w:ind w:firstLine="480" w:firstLineChars="200"/>
        <w:rPr>
          <w:rFonts w:hAnsi="宋体" w:cs="宋体"/>
          <w:szCs w:val="24"/>
        </w:rPr>
      </w:pPr>
      <w:r>
        <w:rPr>
          <w:rFonts w:hint="eastAsia" w:hAnsi="宋体" w:cs="宋体"/>
          <w:szCs w:val="24"/>
        </w:rPr>
        <w:t>17.5因字迹潦草、表述不清或不按竞争性磋商文件格式编制的竞争性磋商响应文件，所引起的对供应商不利的后果，由供应商自行负责。</w:t>
      </w:r>
    </w:p>
    <w:p>
      <w:pPr>
        <w:spacing w:line="360" w:lineRule="auto"/>
        <w:ind w:firstLine="480" w:firstLineChars="200"/>
        <w:rPr>
          <w:rFonts w:hAnsi="宋体" w:cs="宋体"/>
          <w:color w:val="000000"/>
        </w:rPr>
      </w:pPr>
      <w:r>
        <w:rPr>
          <w:rFonts w:hint="eastAsia" w:hAnsi="宋体" w:cs="宋体"/>
          <w:szCs w:val="24"/>
        </w:rPr>
        <w:t>17.6竞争性磋商文件的副本、电子版须和正本保持一致。</w:t>
      </w:r>
      <w:r>
        <w:rPr>
          <w:rFonts w:hint="eastAsia" w:hAnsi="宋体" w:cs="宋体"/>
          <w:color w:val="000000"/>
        </w:rPr>
        <w:t>若正本、副本和电子版有不一致的内容，以正本为准。</w:t>
      </w:r>
    </w:p>
    <w:p>
      <w:pPr>
        <w:pStyle w:val="28"/>
        <w:rPr>
          <w:rFonts w:hAnsi="宋体" w:cs="宋体"/>
          <w:color w:val="000000"/>
        </w:rPr>
      </w:pPr>
    </w:p>
    <w:p>
      <w:pPr>
        <w:pStyle w:val="28"/>
        <w:rPr>
          <w:rFonts w:hAnsi="宋体" w:cs="宋体"/>
          <w:color w:val="000000"/>
        </w:rPr>
      </w:pPr>
    </w:p>
    <w:p>
      <w:pPr>
        <w:spacing w:beforeLines="100" w:afterLines="50" w:line="360" w:lineRule="auto"/>
        <w:jc w:val="center"/>
        <w:outlineLvl w:val="1"/>
        <w:rPr>
          <w:rFonts w:hAnsi="宋体" w:cs="宋体"/>
          <w:b/>
          <w:sz w:val="32"/>
          <w:szCs w:val="32"/>
        </w:rPr>
      </w:pPr>
      <w:r>
        <w:rPr>
          <w:rFonts w:hint="eastAsia" w:hAnsi="宋体" w:cs="宋体"/>
          <w:b/>
          <w:sz w:val="32"/>
          <w:szCs w:val="32"/>
        </w:rPr>
        <w:t>四.竞争性磋商响应文件的递交</w:t>
      </w:r>
    </w:p>
    <w:p>
      <w:pPr>
        <w:spacing w:line="360" w:lineRule="auto"/>
        <w:outlineLvl w:val="2"/>
        <w:rPr>
          <w:rFonts w:hAnsi="宋体" w:cs="宋体"/>
          <w:b/>
          <w:szCs w:val="24"/>
        </w:rPr>
      </w:pPr>
      <w:r>
        <w:rPr>
          <w:rFonts w:hint="eastAsia" w:hAnsi="宋体" w:cs="宋体"/>
          <w:b/>
          <w:szCs w:val="24"/>
        </w:rPr>
        <w:t>18.竞争性磋商响应文件的密封和标记</w:t>
      </w:r>
    </w:p>
    <w:p>
      <w:pPr>
        <w:spacing w:line="360" w:lineRule="auto"/>
        <w:ind w:firstLine="480" w:firstLineChars="200"/>
        <w:rPr>
          <w:rFonts w:hAnsi="宋体" w:cs="宋体"/>
          <w:szCs w:val="24"/>
        </w:rPr>
      </w:pPr>
      <w:r>
        <w:rPr>
          <w:rFonts w:hint="eastAsia" w:hAnsi="宋体" w:cs="宋体"/>
          <w:szCs w:val="24"/>
        </w:rPr>
        <w:t>18.1报价一览表除在竞争性磋商响应文件内装订外，再制作一份单独放在一个信封中。封线处加贴封条并加盖供应商公章，封袋正面要粘贴标识，单独递交（该单独密封报价一览表的报价必须与竞争性磋商响应文件正本中的报价一览表（报价表）报价一致，若不一致，则按单独密封的报价一览表为准。</w:t>
      </w:r>
    </w:p>
    <w:p>
      <w:pPr>
        <w:spacing w:line="360" w:lineRule="auto"/>
        <w:ind w:firstLine="480" w:firstLineChars="200"/>
        <w:rPr>
          <w:rFonts w:hAnsi="宋体" w:cs="宋体"/>
          <w:szCs w:val="24"/>
        </w:rPr>
      </w:pPr>
      <w:r>
        <w:rPr>
          <w:rFonts w:hint="eastAsia" w:hAnsi="宋体" w:cs="宋体"/>
          <w:szCs w:val="24"/>
        </w:rPr>
        <w:t>18.2磋商响应文件的密封和标记：详见“供应商须知前附表”。</w:t>
      </w:r>
    </w:p>
    <w:p>
      <w:pPr>
        <w:spacing w:line="360" w:lineRule="auto"/>
        <w:ind w:firstLine="480" w:firstLineChars="200"/>
        <w:rPr>
          <w:rFonts w:hAnsi="宋体" w:cs="宋体"/>
          <w:szCs w:val="24"/>
        </w:rPr>
      </w:pPr>
      <w:r>
        <w:rPr>
          <w:rFonts w:hint="eastAsia" w:hAnsi="宋体" w:cs="宋体"/>
          <w:szCs w:val="24"/>
        </w:rPr>
        <w:t>18.3如果供应商未对竞争性磋商响应文件按上述要求进行完好密封，由此产生的不利后果由供应商自行承担。</w:t>
      </w:r>
    </w:p>
    <w:p>
      <w:pPr>
        <w:spacing w:line="360" w:lineRule="auto"/>
        <w:outlineLvl w:val="2"/>
        <w:rPr>
          <w:rFonts w:hAnsi="宋体" w:cs="宋体"/>
          <w:b/>
          <w:szCs w:val="24"/>
        </w:rPr>
      </w:pPr>
      <w:r>
        <w:rPr>
          <w:rFonts w:hint="eastAsia" w:hAnsi="宋体" w:cs="宋体"/>
          <w:b/>
          <w:szCs w:val="24"/>
        </w:rPr>
        <w:t>19.竞争性磋商响应文件的递交</w:t>
      </w:r>
    </w:p>
    <w:p>
      <w:pPr>
        <w:spacing w:line="360" w:lineRule="auto"/>
        <w:ind w:firstLine="480" w:firstLineChars="200"/>
        <w:rPr>
          <w:rFonts w:hAnsi="宋体" w:cs="宋体"/>
          <w:szCs w:val="24"/>
        </w:rPr>
      </w:pPr>
      <w:r>
        <w:rPr>
          <w:rFonts w:hint="eastAsia" w:hAnsi="宋体" w:cs="宋体"/>
          <w:szCs w:val="24"/>
        </w:rPr>
        <w:t>19.1供应商应按照竞争性磋商公告中规定的时间、地点，在规定的竞争性磋商响应文件递交截止时间前将全部竞争性磋商响应文件和磋商资料递交至采购代理机构接收人处。</w:t>
      </w:r>
    </w:p>
    <w:p>
      <w:pPr>
        <w:spacing w:line="360" w:lineRule="auto"/>
        <w:ind w:firstLine="480" w:firstLineChars="200"/>
        <w:rPr>
          <w:rFonts w:hAnsi="宋体" w:cs="宋体"/>
          <w:szCs w:val="24"/>
        </w:rPr>
      </w:pPr>
      <w:r>
        <w:rPr>
          <w:rFonts w:hint="eastAsia" w:hAnsi="宋体" w:cs="宋体"/>
          <w:szCs w:val="24"/>
        </w:rPr>
        <w:t>19.2采购代理机构在竞争性磋商文件规定的竞争性磋商响应文件递交截止时间前，只负责竞争性磋商响应文件的接收、清点、造册登记工作，并请递交人签字确认，对其有效性不负任何责任；</w:t>
      </w:r>
    </w:p>
    <w:p>
      <w:pPr>
        <w:spacing w:line="360" w:lineRule="auto"/>
        <w:ind w:firstLine="480" w:firstLineChars="200"/>
        <w:rPr>
          <w:rFonts w:hAnsi="宋体" w:cs="宋体"/>
          <w:szCs w:val="24"/>
        </w:rPr>
      </w:pPr>
      <w:r>
        <w:rPr>
          <w:rFonts w:hint="eastAsia" w:hAnsi="宋体" w:cs="宋体"/>
          <w:szCs w:val="24"/>
        </w:rPr>
        <w:t>19.3无论供应商成交与否，其竞争性磋商响应文件概不退还。</w:t>
      </w:r>
    </w:p>
    <w:p>
      <w:pPr>
        <w:spacing w:line="360" w:lineRule="auto"/>
        <w:outlineLvl w:val="2"/>
        <w:rPr>
          <w:rFonts w:hAnsi="宋体" w:cs="宋体"/>
          <w:b/>
          <w:szCs w:val="24"/>
        </w:rPr>
      </w:pPr>
      <w:r>
        <w:rPr>
          <w:rFonts w:hint="eastAsia" w:hAnsi="宋体" w:cs="宋体"/>
          <w:b/>
          <w:szCs w:val="24"/>
        </w:rPr>
        <w:t>20.递交的竞争性磋商响应文件</w:t>
      </w:r>
    </w:p>
    <w:p>
      <w:pPr>
        <w:spacing w:line="360" w:lineRule="auto"/>
        <w:ind w:firstLine="480" w:firstLineChars="200"/>
        <w:rPr>
          <w:rFonts w:hAnsi="宋体" w:cs="宋体"/>
          <w:szCs w:val="24"/>
        </w:rPr>
      </w:pPr>
      <w:r>
        <w:rPr>
          <w:rFonts w:hint="eastAsia" w:hAnsi="宋体" w:cs="宋体"/>
          <w:szCs w:val="24"/>
        </w:rPr>
        <w:t>20.1按照供应商须知的规定，采购代理机构将拒绝接受在规定的磋商截止时间后递交的任何竞争性磋商响应文件。</w:t>
      </w:r>
    </w:p>
    <w:p>
      <w:pPr>
        <w:spacing w:line="360" w:lineRule="auto"/>
        <w:outlineLvl w:val="2"/>
        <w:rPr>
          <w:rFonts w:hAnsi="宋体" w:cs="宋体"/>
          <w:b/>
          <w:szCs w:val="24"/>
        </w:rPr>
      </w:pPr>
      <w:r>
        <w:rPr>
          <w:rFonts w:hint="eastAsia" w:hAnsi="宋体" w:cs="宋体"/>
          <w:b/>
          <w:szCs w:val="24"/>
        </w:rPr>
        <w:t>21.磋商的修改与撤回</w:t>
      </w:r>
    </w:p>
    <w:p>
      <w:pPr>
        <w:spacing w:line="360" w:lineRule="auto"/>
        <w:ind w:firstLine="480" w:firstLineChars="200"/>
        <w:rPr>
          <w:rFonts w:hAnsi="宋体" w:cs="宋体"/>
          <w:szCs w:val="24"/>
        </w:rPr>
      </w:pPr>
      <w:r>
        <w:rPr>
          <w:rFonts w:hint="eastAsia" w:hAnsi="宋体" w:cs="宋体"/>
          <w:szCs w:val="24"/>
        </w:rPr>
        <w:t>21.1 在磋商响应文件递交截止时间前，供应商可以修改或撤回其已递交的磋商响应文件，也可以提出价格变动声明，但供应商必须在规定的磋商截止时间之前将修改或撤回或变动价格的书面通知文件递交到采购代理机构。</w:t>
      </w:r>
    </w:p>
    <w:p>
      <w:pPr>
        <w:spacing w:line="360" w:lineRule="auto"/>
        <w:ind w:firstLine="480" w:firstLineChars="200"/>
        <w:rPr>
          <w:rFonts w:hAnsi="宋体" w:cs="宋体"/>
          <w:szCs w:val="24"/>
        </w:rPr>
      </w:pPr>
      <w:r>
        <w:rPr>
          <w:rFonts w:hint="eastAsia" w:hAnsi="宋体" w:cs="宋体"/>
          <w:szCs w:val="24"/>
        </w:rPr>
        <w:t>21.2 供应商的修改或撤回或变动价格的通知应按本须知第18条的规定编制、密封、标记和递交。</w:t>
      </w:r>
    </w:p>
    <w:p>
      <w:pPr>
        <w:spacing w:line="360" w:lineRule="auto"/>
        <w:ind w:firstLine="480" w:firstLineChars="200"/>
        <w:rPr>
          <w:rFonts w:hAnsi="宋体" w:cs="宋体"/>
          <w:szCs w:val="24"/>
        </w:rPr>
      </w:pPr>
      <w:r>
        <w:rPr>
          <w:rFonts w:hint="eastAsia" w:hAnsi="宋体" w:cs="宋体"/>
          <w:szCs w:val="24"/>
        </w:rPr>
        <w:t>21.3 在磋商响应文件递交截止时间之后，供应商不得对其磋商响应文件做任何修改或撤回。</w:t>
      </w:r>
    </w:p>
    <w:p>
      <w:pPr>
        <w:keepNext/>
        <w:keepLines/>
        <w:spacing w:beforeLines="100" w:afterLines="50" w:line="360" w:lineRule="auto"/>
        <w:jc w:val="center"/>
        <w:outlineLvl w:val="2"/>
        <w:rPr>
          <w:rFonts w:hAnsi="宋体" w:cs="宋体"/>
          <w:b/>
          <w:sz w:val="32"/>
          <w:szCs w:val="32"/>
        </w:rPr>
      </w:pPr>
      <w:bookmarkStart w:id="42" w:name="_Toc363473976"/>
      <w:bookmarkStart w:id="43" w:name="_Toc363474021"/>
      <w:bookmarkStart w:id="44" w:name="_Toc403077643"/>
      <w:r>
        <w:rPr>
          <w:rFonts w:hint="eastAsia" w:hAnsi="宋体" w:cs="宋体"/>
          <w:b/>
          <w:sz w:val="32"/>
          <w:szCs w:val="32"/>
        </w:rPr>
        <w:t>五.磋商与评标</w:t>
      </w:r>
      <w:bookmarkEnd w:id="42"/>
      <w:bookmarkEnd w:id="43"/>
      <w:bookmarkEnd w:id="44"/>
    </w:p>
    <w:p>
      <w:pPr>
        <w:spacing w:line="360" w:lineRule="auto"/>
        <w:outlineLvl w:val="2"/>
        <w:rPr>
          <w:rFonts w:hAnsi="宋体" w:cs="宋体"/>
          <w:b/>
          <w:szCs w:val="24"/>
        </w:rPr>
      </w:pPr>
      <w:r>
        <w:rPr>
          <w:rFonts w:hint="eastAsia" w:hAnsi="宋体" w:cs="宋体"/>
          <w:b/>
          <w:szCs w:val="24"/>
        </w:rPr>
        <w:t>22.磋商会议</w:t>
      </w:r>
    </w:p>
    <w:p>
      <w:pPr>
        <w:spacing w:line="360" w:lineRule="auto"/>
        <w:ind w:firstLine="480" w:firstLineChars="200"/>
        <w:rPr>
          <w:rFonts w:hAnsi="宋体" w:cs="宋体"/>
          <w:szCs w:val="24"/>
        </w:rPr>
      </w:pPr>
      <w:r>
        <w:rPr>
          <w:rFonts w:hint="eastAsia" w:hAnsi="宋体" w:cs="宋体"/>
          <w:szCs w:val="24"/>
        </w:rPr>
        <w:t>22.1 采购代理机构在规定的时间和地点组织竞争性磋商会议，并邀请所有供应商代表参加，参加磋商的代表应签名报到以证明其出席。</w:t>
      </w:r>
    </w:p>
    <w:p>
      <w:pPr>
        <w:spacing w:line="360" w:lineRule="auto"/>
        <w:ind w:firstLine="480" w:firstLineChars="200"/>
        <w:rPr>
          <w:rFonts w:hAnsi="宋体" w:cs="宋体"/>
          <w:b/>
          <w:szCs w:val="24"/>
        </w:rPr>
      </w:pPr>
      <w:r>
        <w:rPr>
          <w:rFonts w:hint="eastAsia" w:hAnsi="宋体" w:cs="宋体"/>
          <w:szCs w:val="24"/>
        </w:rPr>
        <w:t>22.2采购代理机构将做磋商记录，存档备查。</w:t>
      </w:r>
    </w:p>
    <w:p>
      <w:pPr>
        <w:spacing w:line="360" w:lineRule="auto"/>
        <w:outlineLvl w:val="2"/>
        <w:rPr>
          <w:rFonts w:hAnsi="宋体" w:cs="宋体"/>
          <w:b/>
          <w:szCs w:val="24"/>
        </w:rPr>
      </w:pPr>
      <w:r>
        <w:rPr>
          <w:rFonts w:hint="eastAsia" w:hAnsi="宋体" w:cs="宋体"/>
          <w:b/>
          <w:szCs w:val="24"/>
        </w:rPr>
        <w:t>23.评审组织及评审原则</w:t>
      </w:r>
    </w:p>
    <w:p>
      <w:pPr>
        <w:spacing w:line="500" w:lineRule="exact"/>
        <w:ind w:firstLine="480" w:firstLineChars="200"/>
        <w:rPr>
          <w:rFonts w:hAnsi="宋体" w:cs="宋体"/>
          <w:szCs w:val="24"/>
        </w:rPr>
      </w:pPr>
      <w:r>
        <w:rPr>
          <w:rFonts w:hint="eastAsia" w:hAnsi="宋体" w:cs="宋体"/>
          <w:szCs w:val="24"/>
        </w:rPr>
        <w:t>23.1按照《中华人民共和国政府采购法》及实施条例和关于印发《政府采购竞争性磋商采购方式管理暂行办法》的通知（财库【2014】214号），依法组建磋商小组。磋商小组由采购人代表和评审专家组成。磋商小组按照竞争性磋商文件规定的评审方法独立进行评审工作。</w:t>
      </w:r>
    </w:p>
    <w:p>
      <w:pPr>
        <w:spacing w:line="360" w:lineRule="auto"/>
        <w:ind w:firstLine="480" w:firstLineChars="200"/>
        <w:rPr>
          <w:rFonts w:hAnsi="宋体" w:cs="宋体"/>
          <w:szCs w:val="24"/>
        </w:rPr>
      </w:pPr>
      <w:r>
        <w:rPr>
          <w:rFonts w:hint="eastAsia" w:hAnsi="宋体" w:cs="宋体"/>
          <w:szCs w:val="24"/>
        </w:rPr>
        <w:t>23.2竞争性磋商文件和竞争性磋商响应文件是评审的依据。在评审中，不得改变竞争性磋商文件中规定的评审标准、方法和成交条件。</w:t>
      </w:r>
    </w:p>
    <w:p>
      <w:pPr>
        <w:spacing w:line="360" w:lineRule="auto"/>
        <w:ind w:firstLine="480" w:firstLineChars="200"/>
        <w:rPr>
          <w:rFonts w:hAnsi="宋体" w:cs="宋体"/>
          <w:szCs w:val="24"/>
        </w:rPr>
      </w:pPr>
      <w:r>
        <w:rPr>
          <w:rFonts w:hint="eastAsia" w:hAnsi="宋体" w:cs="宋体"/>
          <w:szCs w:val="24"/>
        </w:rPr>
        <w:t>23.3在评审期间，对竞争性磋商响应文件中含义不明确、同类问题表述不一致或者有明显文字和计算错误的内容，磋商小组可以书面形式（由磋商小组专家签字）要求供应商作出必要的澄清、说明或者纠正。供应商的澄清、说明或者补正应当采用书面形式，由其授权的代表签字，并不得超出竞争性磋商响应文件的范围或者改变竞争性磋商响应文件的实质性内容。</w:t>
      </w:r>
    </w:p>
    <w:p>
      <w:pPr>
        <w:spacing w:line="360" w:lineRule="auto"/>
        <w:ind w:firstLine="480" w:firstLineChars="200"/>
        <w:rPr>
          <w:rFonts w:hAnsi="宋体" w:cs="宋体"/>
          <w:szCs w:val="24"/>
        </w:rPr>
      </w:pPr>
      <w:r>
        <w:rPr>
          <w:rFonts w:hint="eastAsia" w:hAnsi="宋体" w:cs="宋体"/>
          <w:szCs w:val="24"/>
        </w:rPr>
        <w:t>23.4如果供应商在澄清规定期限内，未能答复或拒绝答复磋商小组提出的澄清要求，将由磋商小组根据其竞争性磋商响应文件按最大风险进行评审。</w:t>
      </w:r>
    </w:p>
    <w:p>
      <w:pPr>
        <w:spacing w:line="360" w:lineRule="auto"/>
        <w:outlineLvl w:val="2"/>
        <w:rPr>
          <w:rFonts w:hAnsi="宋体" w:cs="宋体"/>
          <w:b/>
          <w:szCs w:val="24"/>
        </w:rPr>
      </w:pPr>
      <w:r>
        <w:rPr>
          <w:rFonts w:hint="eastAsia" w:hAnsi="宋体" w:cs="宋体"/>
          <w:b/>
          <w:szCs w:val="24"/>
        </w:rPr>
        <w:t>24.评审过程的保密</w:t>
      </w:r>
    </w:p>
    <w:p>
      <w:pPr>
        <w:spacing w:line="360" w:lineRule="auto"/>
        <w:ind w:firstLine="480" w:firstLineChars="200"/>
        <w:rPr>
          <w:rFonts w:hAnsi="宋体" w:cs="宋体"/>
          <w:szCs w:val="24"/>
        </w:rPr>
      </w:pPr>
      <w:r>
        <w:rPr>
          <w:rFonts w:hint="eastAsia" w:hAnsi="宋体" w:cs="宋体"/>
          <w:szCs w:val="24"/>
        </w:rPr>
        <w:t>磋商小组成员和与评审活动有关的工作人员不得泄露有关竞争性磋商响应文件的评审和比较、成交候选人的推荐以及与评审有关的其他情况。</w:t>
      </w:r>
    </w:p>
    <w:p>
      <w:pPr>
        <w:jc w:val="left"/>
        <w:outlineLvl w:val="2"/>
        <w:rPr>
          <w:rFonts w:hAnsi="宋体" w:cs="宋体"/>
          <w:b/>
          <w:szCs w:val="24"/>
        </w:rPr>
      </w:pPr>
      <w:r>
        <w:rPr>
          <w:rFonts w:hint="eastAsia" w:hAnsi="宋体" w:cs="宋体"/>
          <w:b/>
          <w:szCs w:val="24"/>
        </w:rPr>
        <w:t>25.评审方法</w:t>
      </w:r>
    </w:p>
    <w:p>
      <w:pPr>
        <w:spacing w:line="360" w:lineRule="auto"/>
        <w:ind w:firstLine="480" w:firstLineChars="200"/>
        <w:rPr>
          <w:rFonts w:hAnsi="宋体" w:cs="宋体"/>
          <w:szCs w:val="24"/>
        </w:rPr>
      </w:pPr>
      <w:r>
        <w:rPr>
          <w:rFonts w:hint="eastAsia" w:hAnsi="宋体" w:cs="宋体"/>
          <w:szCs w:val="24"/>
        </w:rPr>
        <w:t>按照《中华人民共和国政府采购法》及实施条例和关于印发《政府采购竞争性磋商采购方式管理暂行办法》的通知（财库【2014】214号），本次评审采用综合评分法，即在全部满足竞争性磋商文件实质性要求前提下，磋商小组应当根据综合评分情况，按照评审得分高低顺序推存1-3名成交候选人。</w:t>
      </w:r>
    </w:p>
    <w:p>
      <w:pPr>
        <w:spacing w:line="360" w:lineRule="auto"/>
        <w:outlineLvl w:val="2"/>
        <w:rPr>
          <w:rFonts w:hAnsi="宋体" w:cs="宋体"/>
          <w:b/>
          <w:szCs w:val="24"/>
        </w:rPr>
      </w:pPr>
      <w:r>
        <w:rPr>
          <w:rFonts w:hint="eastAsia" w:hAnsi="宋体" w:cs="宋体"/>
          <w:b/>
          <w:szCs w:val="24"/>
        </w:rPr>
        <w:t>26.评审程序</w:t>
      </w:r>
    </w:p>
    <w:p>
      <w:pPr>
        <w:spacing w:line="360" w:lineRule="auto"/>
        <w:ind w:firstLine="480" w:firstLineChars="200"/>
        <w:rPr>
          <w:rFonts w:hAnsi="宋体" w:cs="宋体"/>
          <w:szCs w:val="24"/>
        </w:rPr>
      </w:pPr>
      <w:r>
        <w:rPr>
          <w:rFonts w:hint="eastAsia" w:hAnsi="宋体" w:cs="宋体"/>
          <w:szCs w:val="24"/>
        </w:rPr>
        <w:t>按照竞争性磋商响应文件初审、澄清有关问题、分别磋商、二次报价、比较与评审、推荐成交候选人名单的工作程序进行评审。在上一步评审中被认定为无效磋商者，不进入下一步的评审。</w:t>
      </w:r>
    </w:p>
    <w:p>
      <w:pPr>
        <w:keepNext/>
        <w:keepLines/>
        <w:spacing w:beforeLines="100" w:afterLines="50" w:line="360" w:lineRule="auto"/>
        <w:jc w:val="center"/>
        <w:rPr>
          <w:rFonts w:hAnsi="宋体" w:cs="宋体"/>
          <w:b/>
          <w:sz w:val="32"/>
          <w:szCs w:val="32"/>
        </w:rPr>
      </w:pPr>
      <w:r>
        <w:rPr>
          <w:rFonts w:hint="eastAsia" w:hAnsi="宋体" w:cs="宋体"/>
          <w:b/>
          <w:sz w:val="32"/>
          <w:szCs w:val="32"/>
        </w:rPr>
        <w:t>六.成交、通知与签约</w:t>
      </w:r>
    </w:p>
    <w:p>
      <w:pPr>
        <w:spacing w:line="360" w:lineRule="auto"/>
        <w:outlineLvl w:val="2"/>
        <w:rPr>
          <w:rFonts w:hAnsi="宋体" w:cs="宋体"/>
          <w:b/>
          <w:szCs w:val="24"/>
        </w:rPr>
      </w:pPr>
      <w:r>
        <w:rPr>
          <w:rFonts w:hint="eastAsia" w:hAnsi="宋体" w:cs="宋体"/>
          <w:b/>
          <w:szCs w:val="24"/>
        </w:rPr>
        <w:t>27.成交程序</w:t>
      </w:r>
    </w:p>
    <w:p>
      <w:pPr>
        <w:spacing w:line="360" w:lineRule="auto"/>
        <w:ind w:firstLine="480" w:firstLineChars="200"/>
        <w:rPr>
          <w:rFonts w:hAnsi="宋体" w:cs="宋体"/>
          <w:szCs w:val="24"/>
        </w:rPr>
      </w:pPr>
      <w:r>
        <w:rPr>
          <w:rFonts w:hint="eastAsia" w:hAnsi="宋体" w:cs="宋体"/>
          <w:szCs w:val="24"/>
        </w:rPr>
        <w:t>27.1磋商小组根据评审方法的规定对供应商进行评审排序，推荐1-3名成交候选人，作为评审结果。评审结果由全体磋商小组成员签字确认。</w:t>
      </w:r>
    </w:p>
    <w:p>
      <w:pPr>
        <w:spacing w:line="360" w:lineRule="auto"/>
        <w:ind w:firstLine="480" w:firstLineChars="200"/>
        <w:rPr>
          <w:rFonts w:hAnsi="宋体" w:cs="宋体"/>
          <w:szCs w:val="24"/>
        </w:rPr>
      </w:pPr>
      <w:r>
        <w:rPr>
          <w:rFonts w:hint="eastAsia" w:hAnsi="宋体" w:cs="宋体"/>
          <w:szCs w:val="24"/>
        </w:rPr>
        <w:t>27.2采购人根据磋商报告中推荐的成交候选人排列顺序，确定排名第一的为成交供应商。</w:t>
      </w:r>
    </w:p>
    <w:p>
      <w:pPr>
        <w:spacing w:line="360" w:lineRule="auto"/>
        <w:ind w:firstLine="480" w:firstLineChars="200"/>
        <w:rPr>
          <w:rFonts w:hAnsi="宋体" w:cs="宋体"/>
          <w:szCs w:val="24"/>
        </w:rPr>
      </w:pPr>
      <w:r>
        <w:rPr>
          <w:rFonts w:hint="eastAsia" w:hAnsi="宋体" w:cs="宋体"/>
          <w:szCs w:val="24"/>
        </w:rPr>
        <w:t>27.3排名第一的成交候选人放弃成交、在规定期限内未能签订合同、因不可抗力不能履行合同、不按照竞争性磋商文件要求提交履约保证金，或者被查实存在影响成交结果的违法行为等情形，不符合成交条件的，采购人可以按照磋商小组提出的成交候选人名单排序依次确定其他成交候选人为成交供应商，也可以重新组织竞争性磋商。</w:t>
      </w:r>
    </w:p>
    <w:p>
      <w:pPr>
        <w:spacing w:line="360" w:lineRule="auto"/>
        <w:ind w:firstLine="480" w:firstLineChars="200"/>
        <w:rPr>
          <w:rFonts w:hAnsi="宋体" w:cs="宋体"/>
          <w:szCs w:val="24"/>
        </w:rPr>
      </w:pPr>
      <w:r>
        <w:rPr>
          <w:rFonts w:hint="eastAsia" w:hAnsi="宋体" w:cs="宋体"/>
          <w:szCs w:val="24"/>
        </w:rPr>
        <w:t>27.4采购人也可以授权磋商小组评审后直接确定成交供应商。</w:t>
      </w:r>
    </w:p>
    <w:p>
      <w:pPr>
        <w:spacing w:line="360" w:lineRule="auto"/>
        <w:ind w:firstLine="480" w:firstLineChars="200"/>
        <w:rPr>
          <w:rFonts w:hAnsi="宋体" w:cs="宋体"/>
          <w:szCs w:val="24"/>
        </w:rPr>
      </w:pPr>
      <w:r>
        <w:rPr>
          <w:rFonts w:hint="eastAsia" w:hAnsi="宋体" w:cs="宋体"/>
          <w:szCs w:val="24"/>
        </w:rPr>
        <w:t>27.5成交供应商确定之后，成交结果将在财政部门指定的政府采购信息发布媒体上公告。</w:t>
      </w:r>
    </w:p>
    <w:p>
      <w:pPr>
        <w:spacing w:line="500" w:lineRule="exact"/>
        <w:ind w:firstLine="480" w:firstLineChars="200"/>
        <w:rPr>
          <w:rFonts w:hAnsi="宋体" w:cs="宋体"/>
          <w:szCs w:val="24"/>
        </w:rPr>
      </w:pPr>
      <w:r>
        <w:rPr>
          <w:rFonts w:hint="eastAsia" w:hAnsi="宋体" w:cs="宋体"/>
          <w:szCs w:val="24"/>
        </w:rPr>
        <w:t>27.6供应商或者其他利害关系人对评审结果有异议的，应当在法律规定的时间内提出。</w:t>
      </w:r>
    </w:p>
    <w:p>
      <w:pPr>
        <w:spacing w:line="360" w:lineRule="auto"/>
        <w:outlineLvl w:val="2"/>
        <w:rPr>
          <w:rFonts w:hAnsi="宋体" w:cs="宋体"/>
          <w:b/>
          <w:szCs w:val="24"/>
        </w:rPr>
      </w:pPr>
      <w:r>
        <w:rPr>
          <w:rFonts w:hint="eastAsia" w:hAnsi="宋体" w:cs="宋体"/>
          <w:b/>
          <w:szCs w:val="24"/>
        </w:rPr>
        <w:t>28.成交通知</w:t>
      </w:r>
    </w:p>
    <w:p>
      <w:pPr>
        <w:spacing w:line="360" w:lineRule="auto"/>
        <w:ind w:firstLine="480" w:firstLineChars="200"/>
        <w:rPr>
          <w:rFonts w:hAnsi="宋体" w:cs="宋体"/>
          <w:szCs w:val="24"/>
        </w:rPr>
      </w:pPr>
      <w:r>
        <w:rPr>
          <w:rFonts w:hint="eastAsia" w:hAnsi="宋体" w:cs="宋体"/>
          <w:szCs w:val="24"/>
        </w:rPr>
        <w:t>28.1采购代理机构向成交供应商发出《成交通知书》。</w:t>
      </w:r>
      <w:r>
        <w:rPr>
          <w:rFonts w:hint="eastAsia" w:hAnsi="宋体" w:cs="宋体"/>
          <w:b/>
          <w:bCs/>
          <w:szCs w:val="24"/>
        </w:rPr>
        <w:t>成交供应商领取成交通知书时须携带法定代表人授权书及加盖单位公章的被授权人身份证复印件。</w:t>
      </w:r>
    </w:p>
    <w:p>
      <w:pPr>
        <w:spacing w:line="360" w:lineRule="auto"/>
        <w:ind w:firstLine="480" w:firstLineChars="200"/>
        <w:rPr>
          <w:rFonts w:hAnsi="宋体" w:cs="宋体"/>
          <w:szCs w:val="24"/>
        </w:rPr>
      </w:pPr>
      <w:r>
        <w:rPr>
          <w:rFonts w:hint="eastAsia" w:hAnsi="宋体" w:cs="宋体"/>
          <w:szCs w:val="24"/>
        </w:rPr>
        <w:t>28.2成交通知书对采购人和成交供应商具有同等法律效力。成交通知书发出之后，采购人改变成交结果，或者成交供应商放弃成交，应当承担相应的法律责任。</w:t>
      </w:r>
    </w:p>
    <w:p>
      <w:pPr>
        <w:spacing w:line="360" w:lineRule="auto"/>
        <w:outlineLvl w:val="2"/>
        <w:rPr>
          <w:rFonts w:hAnsi="宋体" w:cs="宋体"/>
          <w:b/>
          <w:szCs w:val="24"/>
        </w:rPr>
      </w:pPr>
      <w:r>
        <w:rPr>
          <w:rFonts w:hint="eastAsia" w:hAnsi="宋体" w:cs="宋体"/>
          <w:b/>
          <w:szCs w:val="24"/>
        </w:rPr>
        <w:t>29.采购合同的签订</w:t>
      </w:r>
    </w:p>
    <w:p>
      <w:pPr>
        <w:spacing w:line="360" w:lineRule="auto"/>
        <w:ind w:firstLine="480" w:firstLineChars="200"/>
        <w:rPr>
          <w:rFonts w:hAnsi="宋体" w:cs="宋体"/>
          <w:szCs w:val="24"/>
        </w:rPr>
      </w:pPr>
      <w:r>
        <w:rPr>
          <w:rFonts w:hint="eastAsia" w:hAnsi="宋体" w:cs="宋体"/>
          <w:szCs w:val="24"/>
        </w:rPr>
        <w:t>29.1采购人应当自成交通知书发出之日起三十日内，按照竞争性磋商文件和成交供应商竞争性磋商响应文件（包括评审中形成的澄清文件）的约定，与成交供应商签订书面合同。所签订的合同不得对竞争性磋商文件和成交供应商的竞争性磋商响应文件（包括评审中形成的澄清文件）作实质性修改。</w:t>
      </w:r>
    </w:p>
    <w:p>
      <w:pPr>
        <w:spacing w:line="360" w:lineRule="auto"/>
        <w:ind w:firstLine="480" w:firstLineChars="200"/>
        <w:rPr>
          <w:rFonts w:hAnsi="宋体" w:cs="宋体"/>
          <w:bCs/>
          <w:szCs w:val="24"/>
        </w:rPr>
      </w:pPr>
      <w:r>
        <w:rPr>
          <w:rFonts w:hint="eastAsia" w:hAnsi="宋体" w:cs="宋体"/>
          <w:bCs/>
          <w:szCs w:val="24"/>
        </w:rPr>
        <w:t>29.2采购人自政府采购合同签订之日起2个工作日内，将政府采购合同在省级以上人民政府财政部门指定的媒体上公告，但政府采购合同中涉及国家秘密、商业秘密的内容除外。</w:t>
      </w:r>
    </w:p>
    <w:p>
      <w:pPr>
        <w:spacing w:line="360" w:lineRule="auto"/>
        <w:outlineLvl w:val="2"/>
        <w:rPr>
          <w:rFonts w:hAnsi="宋体" w:cs="宋体"/>
          <w:szCs w:val="24"/>
        </w:rPr>
      </w:pPr>
      <w:r>
        <w:rPr>
          <w:rFonts w:hint="eastAsia" w:hAnsi="宋体" w:cs="宋体"/>
          <w:b/>
          <w:szCs w:val="24"/>
        </w:rPr>
        <w:t>30.招标代理服务费</w:t>
      </w:r>
      <w:r>
        <w:rPr>
          <w:rFonts w:hint="eastAsia" w:hAnsi="宋体" w:cs="宋体"/>
          <w:szCs w:val="24"/>
        </w:rPr>
        <w:t>：详见“供应商须知前附表”。</w:t>
      </w:r>
    </w:p>
    <w:p>
      <w:pPr>
        <w:spacing w:line="600" w:lineRule="exact"/>
        <w:outlineLvl w:val="2"/>
        <w:rPr>
          <w:rFonts w:hAnsi="宋体" w:cs="宋体"/>
          <w:b/>
          <w:bCs/>
          <w:szCs w:val="24"/>
        </w:rPr>
      </w:pPr>
      <w:r>
        <w:rPr>
          <w:rFonts w:hint="eastAsia" w:hAnsi="宋体" w:cs="宋体"/>
          <w:b/>
          <w:bCs/>
          <w:szCs w:val="24"/>
        </w:rPr>
        <w:t>31.履约验收</w:t>
      </w:r>
    </w:p>
    <w:p>
      <w:pPr>
        <w:spacing w:line="360" w:lineRule="auto"/>
        <w:ind w:firstLine="480" w:firstLineChars="200"/>
        <w:rPr>
          <w:rFonts w:hAnsi="宋体" w:cs="宋体"/>
          <w:szCs w:val="24"/>
        </w:rPr>
      </w:pPr>
      <w:r>
        <w:rPr>
          <w:rFonts w:hint="eastAsia" w:hAnsi="宋体" w:cs="宋体"/>
          <w:szCs w:val="24"/>
        </w:rPr>
        <w:t>31.1政府采购合同的履行、违约责任和解决争议的方法等适用《中华人民共和国合同法》。采购人按照政府采购合同规定的技术、服务、安全标准组织对供应商履约情况进行验收，并出具验收书。</w:t>
      </w:r>
    </w:p>
    <w:p>
      <w:pPr>
        <w:spacing w:line="360" w:lineRule="auto"/>
        <w:ind w:firstLine="480" w:firstLineChars="200"/>
        <w:rPr>
          <w:rFonts w:hAnsi="宋体" w:cs="宋体"/>
        </w:rPr>
      </w:pPr>
      <w:r>
        <w:rPr>
          <w:rFonts w:hint="eastAsia" w:hAnsi="宋体" w:cs="宋体"/>
          <w:szCs w:val="24"/>
        </w:rPr>
        <w:t>31.2履约验收的费用及要求详见“供应商须知前附表”。</w:t>
      </w:r>
    </w:p>
    <w:p>
      <w:pPr>
        <w:spacing w:line="600" w:lineRule="exact"/>
        <w:outlineLvl w:val="2"/>
        <w:rPr>
          <w:rFonts w:hAnsi="宋体" w:cs="宋体"/>
          <w:b/>
          <w:bCs/>
          <w:szCs w:val="24"/>
        </w:rPr>
      </w:pPr>
      <w:r>
        <w:rPr>
          <w:rFonts w:hint="eastAsia" w:hAnsi="宋体" w:cs="宋体"/>
          <w:b/>
          <w:bCs/>
          <w:szCs w:val="24"/>
        </w:rPr>
        <w:t>32.质疑</w:t>
      </w:r>
    </w:p>
    <w:p>
      <w:pPr>
        <w:spacing w:line="500" w:lineRule="exact"/>
        <w:ind w:right="12" w:firstLine="480"/>
        <w:rPr>
          <w:rFonts w:hAnsi="宋体" w:cs="宋体"/>
          <w:szCs w:val="24"/>
        </w:rPr>
      </w:pPr>
      <w:r>
        <w:rPr>
          <w:rFonts w:hint="eastAsia" w:hAnsi="宋体" w:cs="宋体"/>
          <w:szCs w:val="24"/>
        </w:rPr>
        <w:t>32.1供应商认为磋商文件、采购过程、成交结果使自己的权益受到损害的，可以在知道或者应知其权益受到损害之日起7个工作日内，以书面形式向采购人、采购代理机构提出质疑。</w:t>
      </w:r>
    </w:p>
    <w:p>
      <w:pPr>
        <w:spacing w:line="500" w:lineRule="exact"/>
        <w:ind w:right="12" w:firstLine="480"/>
        <w:rPr>
          <w:rFonts w:hAnsi="宋体" w:cs="宋体"/>
          <w:szCs w:val="24"/>
        </w:rPr>
      </w:pPr>
      <w:r>
        <w:rPr>
          <w:rFonts w:hint="eastAsia" w:hAnsi="宋体" w:cs="宋体"/>
          <w:szCs w:val="24"/>
        </w:rPr>
        <w:t>32.2供应商必须在法定质疑期内一次性提出针对同一采购程序环节的质疑。</w:t>
      </w:r>
    </w:p>
    <w:p>
      <w:pPr>
        <w:spacing w:line="500" w:lineRule="exact"/>
        <w:ind w:right="12" w:firstLine="480"/>
        <w:rPr>
          <w:rStyle w:val="47"/>
          <w:rFonts w:hAnsi="宋体" w:cs="宋体"/>
          <w:b w:val="0"/>
          <w:szCs w:val="24"/>
          <w:shd w:val="clear" w:color="auto" w:fill="FFFFFF"/>
        </w:rPr>
      </w:pPr>
      <w:r>
        <w:rPr>
          <w:rStyle w:val="47"/>
          <w:rFonts w:hint="eastAsia" w:hAnsi="宋体" w:cs="宋体"/>
          <w:b w:val="0"/>
          <w:szCs w:val="24"/>
          <w:shd w:val="clear" w:color="auto" w:fill="FFFFFF"/>
        </w:rPr>
        <w:t>32.3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500" w:lineRule="exact"/>
        <w:ind w:left="3" w:firstLine="518" w:firstLineChars="216"/>
        <w:rPr>
          <w:rStyle w:val="47"/>
          <w:rFonts w:hAnsi="宋体" w:cs="宋体"/>
          <w:b w:val="0"/>
          <w:szCs w:val="24"/>
          <w:shd w:val="clear" w:color="auto" w:fill="FFFFFF"/>
        </w:rPr>
      </w:pPr>
      <w:r>
        <w:rPr>
          <w:rStyle w:val="47"/>
          <w:rFonts w:hint="eastAsia" w:hAnsi="宋体" w:cs="宋体"/>
          <w:b w:val="0"/>
          <w:szCs w:val="24"/>
          <w:shd w:val="clear" w:color="auto" w:fill="FFFFFF"/>
        </w:rPr>
        <w:t>32.4以联合体形式参加政府采购活动的，其质疑应当由组成联合体的所有供应商共同提出。</w:t>
      </w:r>
    </w:p>
    <w:p>
      <w:pPr>
        <w:spacing w:line="500" w:lineRule="exact"/>
        <w:ind w:right="12" w:firstLine="283" w:firstLineChars="118"/>
        <w:rPr>
          <w:rFonts w:hAnsi="宋体" w:cs="宋体"/>
          <w:szCs w:val="24"/>
        </w:rPr>
      </w:pPr>
      <w:r>
        <w:rPr>
          <w:rFonts w:hint="eastAsia" w:hAnsi="宋体" w:cs="宋体"/>
          <w:szCs w:val="24"/>
        </w:rPr>
        <w:t>32.5供应商提出质疑应当提交质疑函和必要的证明材料。质疑函应当包括下列内容：</w:t>
      </w:r>
    </w:p>
    <w:p>
      <w:pPr>
        <w:spacing w:line="500" w:lineRule="exact"/>
        <w:ind w:right="12" w:firstLine="480" w:firstLineChars="200"/>
        <w:rPr>
          <w:rFonts w:hAnsi="宋体" w:cs="宋体"/>
          <w:szCs w:val="24"/>
        </w:rPr>
      </w:pPr>
      <w:r>
        <w:rPr>
          <w:rFonts w:hint="eastAsia" w:hAnsi="宋体" w:cs="宋体"/>
          <w:szCs w:val="24"/>
        </w:rPr>
        <w:t>32.5.1供应商的姓名或者名称、地址、邮编、联系人及联系电话；</w:t>
      </w:r>
    </w:p>
    <w:p>
      <w:pPr>
        <w:spacing w:line="500" w:lineRule="exact"/>
        <w:ind w:right="12" w:firstLine="480" w:firstLineChars="200"/>
        <w:rPr>
          <w:rFonts w:hAnsi="宋体" w:cs="宋体"/>
          <w:szCs w:val="24"/>
        </w:rPr>
      </w:pPr>
      <w:r>
        <w:rPr>
          <w:rFonts w:hint="eastAsia" w:hAnsi="宋体" w:cs="宋体"/>
          <w:szCs w:val="24"/>
        </w:rPr>
        <w:t>32.5.2质疑项目的名称、编号；</w:t>
      </w:r>
    </w:p>
    <w:p>
      <w:pPr>
        <w:spacing w:line="500" w:lineRule="exact"/>
        <w:ind w:right="12" w:firstLine="480" w:firstLineChars="200"/>
        <w:rPr>
          <w:rFonts w:hAnsi="宋体" w:cs="宋体"/>
          <w:szCs w:val="24"/>
        </w:rPr>
      </w:pPr>
      <w:r>
        <w:rPr>
          <w:rFonts w:hint="eastAsia" w:hAnsi="宋体" w:cs="宋体"/>
          <w:szCs w:val="24"/>
        </w:rPr>
        <w:t>32.5.3具体、明确的质疑事项和与质疑事项相关的请求；</w:t>
      </w:r>
    </w:p>
    <w:p>
      <w:pPr>
        <w:spacing w:line="500" w:lineRule="exact"/>
        <w:ind w:right="12" w:firstLine="480" w:firstLineChars="200"/>
        <w:rPr>
          <w:rFonts w:hAnsi="宋体" w:cs="宋体"/>
          <w:szCs w:val="24"/>
        </w:rPr>
      </w:pPr>
      <w:r>
        <w:rPr>
          <w:rFonts w:hint="eastAsia" w:hAnsi="宋体" w:cs="宋体"/>
          <w:szCs w:val="24"/>
        </w:rPr>
        <w:t>32.5.4事实依据；</w:t>
      </w:r>
    </w:p>
    <w:p>
      <w:pPr>
        <w:spacing w:line="500" w:lineRule="exact"/>
        <w:ind w:right="12" w:firstLine="480" w:firstLineChars="200"/>
        <w:rPr>
          <w:rFonts w:hAnsi="宋体" w:cs="宋体"/>
          <w:szCs w:val="24"/>
        </w:rPr>
      </w:pPr>
      <w:r>
        <w:rPr>
          <w:rFonts w:hint="eastAsia" w:hAnsi="宋体" w:cs="宋体"/>
          <w:szCs w:val="24"/>
        </w:rPr>
        <w:t>32.5.5必要的法律依据；</w:t>
      </w:r>
    </w:p>
    <w:p>
      <w:pPr>
        <w:spacing w:line="500" w:lineRule="exact"/>
        <w:ind w:right="12" w:firstLine="480" w:firstLineChars="200"/>
        <w:rPr>
          <w:rStyle w:val="47"/>
          <w:rFonts w:hAnsi="宋体" w:cs="宋体"/>
          <w:b w:val="0"/>
          <w:szCs w:val="24"/>
          <w:shd w:val="clear" w:color="auto" w:fill="FFFFFF"/>
        </w:rPr>
      </w:pPr>
      <w:r>
        <w:rPr>
          <w:rFonts w:hint="eastAsia" w:hAnsi="宋体" w:cs="宋体"/>
          <w:szCs w:val="24"/>
        </w:rPr>
        <w:t>32.5.6提出质疑的日期。</w:t>
      </w:r>
    </w:p>
    <w:p>
      <w:pPr>
        <w:widowControl/>
        <w:spacing w:line="360" w:lineRule="auto"/>
        <w:ind w:firstLine="480" w:firstLineChars="200"/>
        <w:rPr>
          <w:rFonts w:hAnsi="宋体" w:cs="宋体"/>
        </w:rPr>
      </w:pPr>
      <w:r>
        <w:rPr>
          <w:rFonts w:hint="eastAsia" w:hAnsi="宋体" w:cs="宋体"/>
        </w:rPr>
        <w:t>32.6有下列情形之一的，属于无效质疑，采购代理机构和采购人不予受理：</w:t>
      </w:r>
    </w:p>
    <w:p>
      <w:pPr>
        <w:widowControl/>
        <w:spacing w:line="360" w:lineRule="auto"/>
        <w:ind w:firstLine="480" w:firstLineChars="200"/>
        <w:rPr>
          <w:rFonts w:hAnsi="宋体" w:cs="宋体"/>
        </w:rPr>
      </w:pPr>
      <w:r>
        <w:rPr>
          <w:rFonts w:hint="eastAsia" w:hAnsi="宋体" w:cs="宋体"/>
        </w:rPr>
        <w:t>32.6.1质疑供应商不是参与本次政府采购项目的供应商；</w:t>
      </w:r>
    </w:p>
    <w:p>
      <w:pPr>
        <w:widowControl/>
        <w:spacing w:line="360" w:lineRule="auto"/>
        <w:ind w:firstLine="480" w:firstLineChars="200"/>
        <w:rPr>
          <w:rFonts w:hAnsi="宋体" w:cs="宋体"/>
        </w:rPr>
      </w:pPr>
      <w:r>
        <w:rPr>
          <w:rFonts w:hint="eastAsia" w:hAnsi="宋体" w:cs="宋体"/>
        </w:rPr>
        <w:t>32.6.2质疑供应商与质疑事项不存在利害关系的；</w:t>
      </w:r>
    </w:p>
    <w:p>
      <w:pPr>
        <w:widowControl/>
        <w:spacing w:line="360" w:lineRule="auto"/>
        <w:ind w:firstLine="480" w:firstLineChars="200"/>
        <w:rPr>
          <w:rFonts w:hAnsi="宋体" w:cs="宋体"/>
        </w:rPr>
      </w:pPr>
      <w:r>
        <w:rPr>
          <w:rFonts w:hint="eastAsia" w:hAnsi="宋体" w:cs="宋体"/>
        </w:rPr>
        <w:t>32.6.3未在法定期限内提出质疑的；</w:t>
      </w:r>
    </w:p>
    <w:p>
      <w:pPr>
        <w:widowControl/>
        <w:spacing w:line="360" w:lineRule="auto"/>
        <w:ind w:firstLine="480" w:firstLineChars="200"/>
        <w:rPr>
          <w:rFonts w:hAnsi="宋体" w:cs="宋体"/>
        </w:rPr>
      </w:pPr>
      <w:r>
        <w:rPr>
          <w:rFonts w:hint="eastAsia" w:hAnsi="宋体" w:cs="宋体"/>
        </w:rPr>
        <w:t>32.6.4质疑未以书面形式提出，或质疑函主要内容构成不完整的；</w:t>
      </w:r>
    </w:p>
    <w:p>
      <w:pPr>
        <w:widowControl/>
        <w:spacing w:line="360" w:lineRule="auto"/>
        <w:ind w:firstLine="480" w:firstLineChars="200"/>
        <w:rPr>
          <w:rFonts w:hAnsi="宋体" w:cs="宋体"/>
        </w:rPr>
      </w:pPr>
      <w:r>
        <w:rPr>
          <w:rFonts w:hint="eastAsia" w:hAnsi="宋体" w:cs="宋体"/>
        </w:rPr>
        <w:t>32.6.5应当提交授权书而未提交的；</w:t>
      </w:r>
    </w:p>
    <w:p>
      <w:pPr>
        <w:widowControl/>
        <w:spacing w:line="360" w:lineRule="auto"/>
        <w:ind w:firstLine="480" w:firstLineChars="200"/>
        <w:rPr>
          <w:rFonts w:hAnsi="宋体" w:cs="宋体"/>
        </w:rPr>
      </w:pPr>
      <w:r>
        <w:rPr>
          <w:rFonts w:hint="eastAsia" w:hAnsi="宋体" w:cs="宋体"/>
        </w:rPr>
        <w:t>32.6.6以非法手段取得证据、材料的；</w:t>
      </w:r>
    </w:p>
    <w:p>
      <w:pPr>
        <w:widowControl/>
        <w:spacing w:line="360" w:lineRule="auto"/>
        <w:ind w:firstLine="480" w:firstLineChars="200"/>
        <w:rPr>
          <w:rFonts w:hAnsi="宋体" w:cs="宋体"/>
        </w:rPr>
      </w:pPr>
      <w:r>
        <w:rPr>
          <w:rFonts w:hint="eastAsia" w:hAnsi="宋体" w:cs="宋体"/>
        </w:rPr>
        <w:t>32.6.7质疑答复后，同一质疑人就同一事项或同一采购程序环节再次提出质疑的；</w:t>
      </w:r>
    </w:p>
    <w:p>
      <w:pPr>
        <w:widowControl/>
        <w:spacing w:line="360" w:lineRule="auto"/>
        <w:ind w:firstLine="480" w:firstLineChars="200"/>
        <w:rPr>
          <w:rStyle w:val="47"/>
          <w:rFonts w:hAnsi="宋体" w:cs="宋体"/>
          <w:b w:val="0"/>
          <w:szCs w:val="24"/>
          <w:shd w:val="clear" w:color="auto" w:fill="FFFFFF"/>
        </w:rPr>
      </w:pPr>
      <w:r>
        <w:rPr>
          <w:rFonts w:hint="eastAsia" w:hAnsi="宋体" w:cs="宋体"/>
        </w:rPr>
        <w:t>32.6.8不符合法律、法规、规章和政府采购监管机构规定的其他条件的。</w:t>
      </w:r>
    </w:p>
    <w:p>
      <w:pPr>
        <w:spacing w:line="500" w:lineRule="exact"/>
        <w:ind w:right="12"/>
        <w:rPr>
          <w:rFonts w:hAnsi="宋体" w:cs="宋体"/>
          <w:szCs w:val="24"/>
        </w:rPr>
      </w:pPr>
      <w:r>
        <w:rPr>
          <w:rFonts w:hint="eastAsia" w:hAnsi="宋体" w:cs="宋体"/>
          <w:szCs w:val="24"/>
        </w:rPr>
        <w:t xml:space="preserve">    32.7质疑答复</w:t>
      </w:r>
    </w:p>
    <w:p>
      <w:pPr>
        <w:pStyle w:val="132"/>
        <w:spacing w:line="500" w:lineRule="exact"/>
        <w:ind w:firstLine="480"/>
        <w:jc w:val="left"/>
        <w:rPr>
          <w:rFonts w:hAnsi="宋体" w:cs="宋体"/>
          <w:szCs w:val="24"/>
        </w:rPr>
      </w:pPr>
      <w:r>
        <w:rPr>
          <w:rFonts w:hint="eastAsia" w:hAnsi="宋体" w:cs="宋体"/>
          <w:szCs w:val="24"/>
        </w:rPr>
        <w:t>32.7.1采购人或采购代理机构在收到质疑函后7个工作日内作出答复，并以书面形式通知质疑供应商和其他有关供应商。</w:t>
      </w:r>
    </w:p>
    <w:p>
      <w:pPr>
        <w:pStyle w:val="132"/>
        <w:spacing w:line="500" w:lineRule="exact"/>
        <w:ind w:firstLine="480" w:firstLineChars="0"/>
        <w:jc w:val="left"/>
        <w:rPr>
          <w:rFonts w:hAnsi="宋体" w:cs="宋体"/>
          <w:szCs w:val="24"/>
        </w:rPr>
      </w:pPr>
      <w:r>
        <w:rPr>
          <w:rFonts w:hint="eastAsia" w:hAnsi="宋体" w:cs="宋体"/>
          <w:szCs w:val="24"/>
        </w:rPr>
        <w:t>32.7.2质疑供应商对采购人、采购代理机构的答复不满意，或者采购人、采购代理机构未在规定时间内作出答复的，可以在答复期满后15个工作日内向</w:t>
      </w:r>
      <w:r>
        <w:rPr>
          <w:rFonts w:hint="eastAsia" w:hAnsi="宋体" w:cs="宋体"/>
          <w:b/>
          <w:bCs/>
          <w:szCs w:val="24"/>
        </w:rPr>
        <w:t>同级人民政府财政部门</w:t>
      </w:r>
      <w:r>
        <w:rPr>
          <w:rFonts w:hint="eastAsia" w:hAnsi="宋体" w:cs="宋体"/>
          <w:szCs w:val="24"/>
        </w:rPr>
        <w:t>提起投诉。</w:t>
      </w:r>
    </w:p>
    <w:p>
      <w:pPr>
        <w:pStyle w:val="132"/>
        <w:spacing w:line="500" w:lineRule="exact"/>
        <w:ind w:firstLine="480" w:firstLineChars="0"/>
        <w:jc w:val="left"/>
        <w:rPr>
          <w:rFonts w:hAnsi="宋体" w:cs="宋体"/>
          <w:szCs w:val="24"/>
        </w:rPr>
      </w:pPr>
      <w:r>
        <w:rPr>
          <w:rFonts w:hint="eastAsia" w:hAnsi="宋体" w:cs="宋体"/>
          <w:szCs w:val="24"/>
        </w:rPr>
        <w:t>32.8其他需要说明的事项</w:t>
      </w:r>
    </w:p>
    <w:p>
      <w:pPr>
        <w:pStyle w:val="132"/>
        <w:spacing w:line="500" w:lineRule="exact"/>
        <w:ind w:firstLine="480" w:firstLineChars="0"/>
        <w:jc w:val="left"/>
        <w:rPr>
          <w:rFonts w:hAnsi="宋体" w:cs="宋体"/>
          <w:szCs w:val="24"/>
        </w:rPr>
      </w:pPr>
      <w:r>
        <w:rPr>
          <w:rFonts w:hint="eastAsia" w:hAnsi="宋体" w:cs="宋体"/>
          <w:szCs w:val="24"/>
        </w:rPr>
        <w:t>32.8.1质疑函须按财政部《质疑函范本》给定的格式进行填写，范本下载详见【财政部国库司（gks.mof.gov.cn）】网站〖首页·政府采购管理〗栏目中的《政府采购供应商质疑函范本》。</w:t>
      </w:r>
    </w:p>
    <w:p>
      <w:pPr>
        <w:pStyle w:val="132"/>
        <w:spacing w:line="500" w:lineRule="exact"/>
        <w:ind w:firstLine="480" w:firstLineChars="0"/>
        <w:jc w:val="left"/>
        <w:rPr>
          <w:rFonts w:hAnsi="宋体" w:cs="宋体"/>
          <w:szCs w:val="24"/>
        </w:rPr>
      </w:pPr>
      <w:r>
        <w:rPr>
          <w:rFonts w:hint="eastAsia" w:hAnsi="宋体" w:cs="宋体"/>
          <w:szCs w:val="24"/>
        </w:rPr>
        <w:t>32.8.2接收质疑函的方式：书面形式</w:t>
      </w:r>
    </w:p>
    <w:p>
      <w:pPr>
        <w:pStyle w:val="132"/>
        <w:spacing w:line="500" w:lineRule="exact"/>
        <w:ind w:firstLine="480" w:firstLineChars="0"/>
        <w:jc w:val="left"/>
        <w:rPr>
          <w:rFonts w:hAnsi="宋体" w:cs="宋体"/>
          <w:szCs w:val="24"/>
        </w:rPr>
      </w:pPr>
      <w:r>
        <w:rPr>
          <w:rFonts w:hint="eastAsia" w:hAnsi="宋体" w:cs="宋体"/>
          <w:szCs w:val="24"/>
        </w:rPr>
        <w:t>32.8.3联系部门：陕西佰瑞诚项目管理有限公司招标部</w:t>
      </w:r>
    </w:p>
    <w:p>
      <w:pPr>
        <w:pStyle w:val="132"/>
        <w:spacing w:line="500" w:lineRule="exact"/>
        <w:ind w:firstLine="480" w:firstLineChars="0"/>
        <w:jc w:val="left"/>
        <w:rPr>
          <w:rFonts w:hAnsi="宋体" w:cs="宋体"/>
          <w:szCs w:val="24"/>
        </w:rPr>
      </w:pPr>
      <w:r>
        <w:rPr>
          <w:rFonts w:hint="eastAsia" w:hAnsi="宋体" w:cs="宋体"/>
          <w:szCs w:val="24"/>
        </w:rPr>
        <w:t>32.8.4联系电话：见供应商须知前附表</w:t>
      </w:r>
    </w:p>
    <w:p>
      <w:pPr>
        <w:pStyle w:val="132"/>
        <w:spacing w:line="500" w:lineRule="exact"/>
        <w:ind w:firstLine="480" w:firstLineChars="0"/>
        <w:jc w:val="left"/>
        <w:rPr>
          <w:rFonts w:hAnsi="宋体" w:cs="宋体"/>
          <w:szCs w:val="24"/>
        </w:rPr>
      </w:pPr>
      <w:r>
        <w:rPr>
          <w:rFonts w:hint="eastAsia" w:hAnsi="宋体" w:cs="宋体"/>
          <w:szCs w:val="24"/>
        </w:rPr>
        <w:t>32.8.5地址：陕西省西安市灞桥区长乐东路2999号京都国际3号楼30楼3006室</w:t>
      </w:r>
    </w:p>
    <w:p>
      <w:pPr>
        <w:spacing w:line="360" w:lineRule="auto"/>
        <w:outlineLvl w:val="2"/>
        <w:rPr>
          <w:rFonts w:hAnsi="宋体" w:cs="宋体"/>
          <w:b/>
          <w:szCs w:val="24"/>
        </w:rPr>
      </w:pPr>
      <w:r>
        <w:rPr>
          <w:rFonts w:hint="eastAsia" w:hAnsi="宋体" w:cs="宋体"/>
          <w:b/>
          <w:szCs w:val="24"/>
        </w:rPr>
        <w:t>33.其他</w:t>
      </w:r>
    </w:p>
    <w:p>
      <w:pPr>
        <w:spacing w:line="360" w:lineRule="auto"/>
        <w:ind w:firstLine="480" w:firstLineChars="200"/>
        <w:rPr>
          <w:rFonts w:hAnsi="宋体" w:cs="宋体"/>
          <w:szCs w:val="24"/>
        </w:rPr>
      </w:pPr>
      <w:r>
        <w:rPr>
          <w:rFonts w:hint="eastAsia" w:hAnsi="宋体" w:cs="宋体"/>
          <w:szCs w:val="24"/>
        </w:rPr>
        <w:t>33.1磋商步骤为：第一次报价---初步评审---分别磋商---第二次报价---综合评审推荐成交候选人。（以供应商递交的磋商响应文件中的总报价为第一次报价。分别磋商后，供应商现场填报的磋商响应总报价为第二次报价）</w:t>
      </w:r>
    </w:p>
    <w:p>
      <w:pPr>
        <w:spacing w:line="360" w:lineRule="auto"/>
        <w:ind w:firstLine="480" w:firstLineChars="200"/>
        <w:rPr>
          <w:rFonts w:hAnsi="宋体" w:cs="宋体"/>
          <w:szCs w:val="24"/>
        </w:rPr>
      </w:pPr>
      <w:r>
        <w:rPr>
          <w:rFonts w:hint="eastAsia" w:hAnsi="宋体" w:cs="宋体"/>
          <w:szCs w:val="24"/>
        </w:rPr>
        <w:t>33.2当第二次报价全部超过磋商文件规定的采购预算（或最高限价）或均低于公认的制作成本时，磋商小组有权决定是否磋商失败或进行第三次报价。当第三次报价若超出财政预算，且采购人又无力支付，磋商小组有权决定磋商失败。</w:t>
      </w:r>
    </w:p>
    <w:p>
      <w:pPr>
        <w:spacing w:line="360" w:lineRule="auto"/>
        <w:ind w:firstLine="480" w:firstLineChars="200"/>
        <w:rPr>
          <w:rFonts w:hAnsi="宋体" w:cs="宋体"/>
          <w:szCs w:val="24"/>
        </w:rPr>
      </w:pPr>
      <w:r>
        <w:rPr>
          <w:rFonts w:hint="eastAsia" w:hAnsi="宋体" w:cs="宋体"/>
          <w:szCs w:val="24"/>
        </w:rPr>
        <w:t>33.3成交供应商确定后，成交供应商无正当理由拖延或拒签合同的，或未能按照规定的时间提供履约担保，采购人有权取消其成交资格，并按评审顺序重新确定成交供应商。给采购人造成损失的，应当承担赔偿责任，并依法承担相应法律责任。</w:t>
      </w:r>
    </w:p>
    <w:p>
      <w:pPr>
        <w:pStyle w:val="18"/>
        <w:spacing w:after="0" w:line="360" w:lineRule="auto"/>
        <w:jc w:val="left"/>
        <w:outlineLvl w:val="2"/>
        <w:rPr>
          <w:rFonts w:ascii="宋体" w:hAnsi="宋体" w:cs="宋体"/>
          <w:b/>
          <w:bCs/>
          <w:sz w:val="24"/>
          <w:szCs w:val="24"/>
        </w:rPr>
      </w:pPr>
      <w:bookmarkStart w:id="45" w:name="_Toc363474023"/>
      <w:r>
        <w:rPr>
          <w:rFonts w:hint="eastAsia" w:ascii="宋体" w:hAnsi="宋体" w:cs="宋体"/>
          <w:b/>
          <w:bCs/>
          <w:sz w:val="24"/>
          <w:szCs w:val="24"/>
        </w:rPr>
        <w:t>34.信用担保</w:t>
      </w:r>
    </w:p>
    <w:p>
      <w:pPr>
        <w:pStyle w:val="18"/>
        <w:spacing w:after="0" w:line="360" w:lineRule="auto"/>
        <w:ind w:firstLine="482" w:firstLineChars="200"/>
        <w:jc w:val="left"/>
        <w:rPr>
          <w:rFonts w:ascii="宋体" w:hAnsi="宋体" w:cs="宋体"/>
          <w:b/>
          <w:bCs/>
          <w:sz w:val="24"/>
          <w:szCs w:val="24"/>
        </w:rPr>
      </w:pPr>
      <w:r>
        <w:rPr>
          <w:rFonts w:hint="eastAsia" w:ascii="宋体" w:hAnsi="宋体" w:cs="宋体"/>
          <w:b/>
          <w:bCs/>
          <w:sz w:val="24"/>
          <w:szCs w:val="24"/>
        </w:rPr>
        <w:t>34.1西安市政府采购信用担保及信用融资政策</w:t>
      </w:r>
    </w:p>
    <w:p>
      <w:pPr>
        <w:pStyle w:val="18"/>
        <w:spacing w:after="0" w:line="360" w:lineRule="auto"/>
        <w:ind w:firstLine="480" w:firstLineChars="200"/>
        <w:jc w:val="left"/>
        <w:rPr>
          <w:rFonts w:ascii="宋体" w:hAnsi="宋体" w:cs="宋体"/>
          <w:sz w:val="24"/>
          <w:szCs w:val="24"/>
        </w:rPr>
      </w:pPr>
      <w:r>
        <w:rPr>
          <w:rFonts w:hint="eastAsia" w:ascii="宋体" w:hAnsi="宋体" w:cs="宋体"/>
          <w:sz w:val="24"/>
          <w:szCs w:val="24"/>
        </w:rPr>
        <w:t>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成交供应商缴纳履约保证金时可自愿选择通过担保机构保函的形式缴纳；成交供应商如果需要融资贷款服务的，可凭成交通知书、政府采购合同等相关资料，按照实施方案规定的程序申请办理，具体规定可登陆西安市财政局网站(www.xaczj.gov.cn)政府采购专栏中查询了解。</w:t>
      </w:r>
    </w:p>
    <w:p>
      <w:pPr>
        <w:pStyle w:val="18"/>
        <w:spacing w:after="0" w:line="360" w:lineRule="auto"/>
        <w:ind w:firstLine="480" w:firstLineChars="200"/>
        <w:jc w:val="left"/>
        <w:rPr>
          <w:rFonts w:ascii="宋体" w:hAnsi="宋体" w:cs="宋体"/>
          <w:sz w:val="24"/>
          <w:szCs w:val="24"/>
        </w:rPr>
      </w:pPr>
      <w:r>
        <w:rPr>
          <w:rFonts w:hint="eastAsia" w:ascii="宋体" w:hAnsi="宋体" w:cs="宋体"/>
          <w:sz w:val="24"/>
          <w:szCs w:val="24"/>
        </w:rPr>
        <w:t>34.2西安市政府采购信用担保及信用融资合作机构联系名单</w:t>
      </w:r>
    </w:p>
    <w:p>
      <w:pPr>
        <w:spacing w:line="360" w:lineRule="auto"/>
        <w:rPr>
          <w:rFonts w:hAnsi="宋体" w:cs="宋体"/>
        </w:rPr>
      </w:pPr>
    </w:p>
    <w:tbl>
      <w:tblPr>
        <w:tblStyle w:val="44"/>
        <w:tblpPr w:leftFromText="180" w:rightFromText="180" w:vertAnchor="page" w:horzAnchor="page" w:tblpX="1332" w:tblpY="2015"/>
        <w:tblOverlap w:val="never"/>
        <w:tblW w:w="4997" w:type="pct"/>
        <w:tblInd w:w="0" w:type="dxa"/>
        <w:tblLayout w:type="autofit"/>
        <w:tblCellMar>
          <w:top w:w="15" w:type="dxa"/>
          <w:left w:w="15" w:type="dxa"/>
          <w:bottom w:w="15" w:type="dxa"/>
          <w:right w:w="15" w:type="dxa"/>
        </w:tblCellMar>
      </w:tblPr>
      <w:tblGrid>
        <w:gridCol w:w="651"/>
        <w:gridCol w:w="1716"/>
        <w:gridCol w:w="1625"/>
        <w:gridCol w:w="981"/>
        <w:gridCol w:w="822"/>
        <w:gridCol w:w="2380"/>
        <w:gridCol w:w="921"/>
      </w:tblGrid>
      <w:tr>
        <w:tblPrEx>
          <w:tblCellMar>
            <w:top w:w="15" w:type="dxa"/>
            <w:left w:w="15" w:type="dxa"/>
            <w:bottom w:w="15" w:type="dxa"/>
            <w:right w:w="15" w:type="dxa"/>
          </w:tblCellMar>
        </w:tblPrEx>
        <w:trPr>
          <w:trHeight w:val="495"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bookmarkStart w:id="46" w:name="_Toc423973074"/>
            <w:bookmarkStart w:id="47" w:name="_Toc9896"/>
            <w:bookmarkStart w:id="48" w:name="_Toc25783"/>
            <w:bookmarkStart w:id="49" w:name="_Toc403077645"/>
            <w:r>
              <w:rPr>
                <w:rFonts w:hint="eastAsia" w:hAnsi="宋体" w:cs="宋体"/>
                <w:b/>
                <w:color w:val="000000"/>
                <w:sz w:val="21"/>
                <w:szCs w:val="21"/>
              </w:rPr>
              <w:t>序号</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合作单位名称</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主办单位名称</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联系部门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联系人员</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联系电话</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b/>
                <w:color w:val="000000"/>
                <w:sz w:val="21"/>
                <w:szCs w:val="21"/>
              </w:rPr>
            </w:pPr>
            <w:r>
              <w:rPr>
                <w:rFonts w:hint="eastAsia" w:hAnsi="宋体" w:cs="宋体"/>
                <w:b/>
                <w:color w:val="000000"/>
                <w:sz w:val="21"/>
                <w:szCs w:val="21"/>
              </w:rPr>
              <w:t>备注</w:t>
            </w:r>
          </w:p>
        </w:tc>
      </w:tr>
      <w:tr>
        <w:tblPrEx>
          <w:tblCellMar>
            <w:top w:w="15" w:type="dxa"/>
            <w:left w:w="15" w:type="dxa"/>
            <w:bottom w:w="15" w:type="dxa"/>
            <w:right w:w="15" w:type="dxa"/>
          </w:tblCellMar>
        </w:tblPrEx>
        <w:trPr>
          <w:trHeight w:val="825"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西安投融资担保有限公司</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西安投融资担保有限公司</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业务五部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李晓</w:t>
            </w:r>
            <w:r>
              <w:rPr>
                <w:rFonts w:hint="eastAsia" w:hAnsi="宋体" w:cs="宋体"/>
                <w:color w:val="000000"/>
                <w:sz w:val="21"/>
                <w:szCs w:val="21"/>
              </w:rPr>
              <w:br w:type="textWrapping"/>
            </w:r>
            <w:r>
              <w:rPr>
                <w:rFonts w:hint="eastAsia" w:hAnsi="宋体" w:cs="宋体"/>
                <w:color w:val="000000"/>
                <w:sz w:val="21"/>
                <w:szCs w:val="21"/>
              </w:rPr>
              <w:t>何彦君</w:t>
            </w:r>
            <w:r>
              <w:rPr>
                <w:rFonts w:hint="eastAsia" w:hAnsi="宋体" w:cs="宋体"/>
                <w:color w:val="000000"/>
                <w:sz w:val="21"/>
                <w:szCs w:val="21"/>
              </w:rPr>
              <w:br w:type="textWrapping"/>
            </w:r>
            <w:r>
              <w:rPr>
                <w:rFonts w:hint="eastAsia" w:hAnsi="宋体" w:cs="宋体"/>
                <w:color w:val="000000"/>
                <w:sz w:val="21"/>
                <w:szCs w:val="21"/>
              </w:rPr>
              <w:t>张华</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88499422 13572821281</w:t>
            </w:r>
            <w:r>
              <w:rPr>
                <w:rFonts w:hint="eastAsia" w:hAnsi="宋体" w:cs="宋体"/>
                <w:color w:val="000000"/>
                <w:sz w:val="21"/>
                <w:szCs w:val="21"/>
              </w:rPr>
              <w:br w:type="textWrapping"/>
            </w:r>
            <w:r>
              <w:rPr>
                <w:rFonts w:hint="eastAsia" w:hAnsi="宋体" w:cs="宋体"/>
                <w:color w:val="000000"/>
                <w:sz w:val="21"/>
                <w:szCs w:val="21"/>
              </w:rPr>
              <w:t>88499422 13679255205</w:t>
            </w:r>
            <w:r>
              <w:rPr>
                <w:rFonts w:hint="eastAsia" w:hAnsi="宋体" w:cs="宋体"/>
                <w:color w:val="000000"/>
                <w:sz w:val="21"/>
                <w:szCs w:val="21"/>
              </w:rPr>
              <w:br w:type="textWrapping"/>
            </w:r>
            <w:r>
              <w:rPr>
                <w:rFonts w:hint="eastAsia" w:hAnsi="宋体" w:cs="宋体"/>
                <w:color w:val="000000"/>
                <w:sz w:val="21"/>
                <w:szCs w:val="21"/>
              </w:rPr>
              <w:t>88499422 18220823060</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信用担保</w:t>
            </w:r>
          </w:p>
        </w:tc>
      </w:tr>
      <w:tr>
        <w:tblPrEx>
          <w:tblCellMar>
            <w:top w:w="15" w:type="dxa"/>
            <w:left w:w="15" w:type="dxa"/>
            <w:bottom w:w="15" w:type="dxa"/>
            <w:right w:w="15" w:type="dxa"/>
          </w:tblCellMar>
        </w:tblPrEx>
        <w:trPr>
          <w:trHeight w:val="8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2</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陕西省信用再担保</w:t>
            </w:r>
            <w:r>
              <w:rPr>
                <w:rFonts w:hint="eastAsia" w:hAnsi="宋体" w:cs="宋体"/>
                <w:color w:val="000000"/>
                <w:sz w:val="21"/>
                <w:szCs w:val="21"/>
              </w:rPr>
              <w:br w:type="textWrapping"/>
            </w:r>
            <w:r>
              <w:rPr>
                <w:rFonts w:hint="eastAsia" w:hAnsi="宋体" w:cs="宋体"/>
                <w:color w:val="000000"/>
                <w:sz w:val="21"/>
                <w:szCs w:val="21"/>
              </w:rPr>
              <w:t>有限责任公司</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陕西省信用再担保</w:t>
            </w:r>
            <w:r>
              <w:rPr>
                <w:rFonts w:hint="eastAsia" w:hAnsi="宋体" w:cs="宋体"/>
                <w:color w:val="000000"/>
                <w:sz w:val="21"/>
                <w:szCs w:val="21"/>
              </w:rPr>
              <w:br w:type="textWrapping"/>
            </w:r>
            <w:r>
              <w:rPr>
                <w:rFonts w:hint="eastAsia" w:hAnsi="宋体" w:cs="宋体"/>
                <w:color w:val="000000"/>
                <w:sz w:val="21"/>
                <w:szCs w:val="21"/>
              </w:rPr>
              <w:t>有限责任公司</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业务三部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夏靖颜</w:t>
            </w:r>
            <w:r>
              <w:rPr>
                <w:rFonts w:hint="eastAsia" w:hAnsi="宋体" w:cs="宋体"/>
                <w:color w:val="000000"/>
                <w:sz w:val="21"/>
                <w:szCs w:val="21"/>
              </w:rPr>
              <w:br w:type="textWrapping"/>
            </w:r>
            <w:r>
              <w:rPr>
                <w:rFonts w:hint="eastAsia" w:hAnsi="宋体" w:cs="宋体"/>
                <w:color w:val="000000"/>
                <w:sz w:val="21"/>
                <w:szCs w:val="21"/>
              </w:rPr>
              <w:t>朱筠祥</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88606038-6027</w:t>
            </w:r>
            <w:r>
              <w:rPr>
                <w:rFonts w:hint="eastAsia" w:hAnsi="宋体" w:cs="宋体"/>
                <w:color w:val="000000"/>
                <w:sz w:val="21"/>
                <w:szCs w:val="21"/>
              </w:rPr>
              <w:br w:type="textWrapping"/>
            </w:r>
            <w:r>
              <w:rPr>
                <w:rFonts w:hint="eastAsia" w:hAnsi="宋体" w:cs="宋体"/>
                <w:color w:val="000000"/>
                <w:sz w:val="21"/>
                <w:szCs w:val="21"/>
              </w:rPr>
              <w:t>18591406320</w:t>
            </w:r>
            <w:r>
              <w:rPr>
                <w:rFonts w:hint="eastAsia" w:hAnsi="宋体" w:cs="宋体"/>
                <w:color w:val="000000"/>
                <w:sz w:val="21"/>
                <w:szCs w:val="21"/>
              </w:rPr>
              <w:br w:type="textWrapping"/>
            </w:r>
            <w:r>
              <w:rPr>
                <w:rFonts w:hint="eastAsia" w:hAnsi="宋体" w:cs="宋体"/>
                <w:color w:val="000000"/>
                <w:sz w:val="21"/>
                <w:szCs w:val="21"/>
              </w:rPr>
              <w:t>18629282228</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信用担保</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3</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中国银行股份有限公司陕西省分行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中国银行西安二环世纪星支行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公司业务部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 xml:space="preserve">胡涛 </w:t>
            </w:r>
            <w:r>
              <w:rPr>
                <w:rFonts w:hint="eastAsia" w:hAnsi="宋体" w:cs="宋体"/>
                <w:color w:val="000000"/>
                <w:sz w:val="21"/>
                <w:szCs w:val="21"/>
              </w:rPr>
              <w:br w:type="textWrapping"/>
            </w:r>
            <w:r>
              <w:rPr>
                <w:rFonts w:hint="eastAsia" w:hAnsi="宋体" w:cs="宋体"/>
                <w:color w:val="000000"/>
                <w:sz w:val="21"/>
                <w:szCs w:val="21"/>
              </w:rPr>
              <w:t>叶楚沙</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88360743 18629048822</w:t>
            </w:r>
            <w:r>
              <w:rPr>
                <w:rFonts w:hint="eastAsia" w:hAnsi="宋体" w:cs="宋体"/>
                <w:color w:val="000000"/>
                <w:sz w:val="21"/>
                <w:szCs w:val="21"/>
              </w:rPr>
              <w:br w:type="textWrapping"/>
            </w:r>
            <w:r>
              <w:rPr>
                <w:rFonts w:hint="eastAsia" w:hAnsi="宋体" w:cs="宋体"/>
                <w:color w:val="000000"/>
                <w:sz w:val="21"/>
                <w:szCs w:val="21"/>
              </w:rPr>
              <w:t>88360749 13772153612</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4</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中国建设银行股份有限公司陕西省分行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建设银行西安市南大街支行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公司部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杨向晖</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87281468</w:t>
            </w:r>
            <w:r>
              <w:rPr>
                <w:rFonts w:hint="eastAsia" w:hAnsi="宋体" w:cs="宋体"/>
                <w:color w:val="000000"/>
                <w:sz w:val="21"/>
                <w:szCs w:val="21"/>
              </w:rPr>
              <w:br w:type="textWrapping"/>
            </w:r>
            <w:r>
              <w:rPr>
                <w:rFonts w:hint="eastAsia" w:hAnsi="宋体" w:cs="宋体"/>
                <w:color w:val="000000"/>
                <w:sz w:val="21"/>
                <w:szCs w:val="21"/>
              </w:rPr>
              <w:t>13379229383</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5</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中国工商银行股份有限公司陕西省分行营业部</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工商银行陕西分行营业部</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小企业金融业务部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牛国群</w:t>
            </w:r>
            <w:r>
              <w:rPr>
                <w:rFonts w:hint="eastAsia" w:hAnsi="宋体" w:cs="宋体"/>
                <w:color w:val="000000"/>
                <w:sz w:val="21"/>
                <w:szCs w:val="21"/>
              </w:rPr>
              <w:br w:type="textWrapping"/>
            </w:r>
            <w:r>
              <w:rPr>
                <w:rFonts w:hint="eastAsia" w:hAnsi="宋体" w:cs="宋体"/>
                <w:color w:val="000000"/>
                <w:sz w:val="21"/>
                <w:szCs w:val="21"/>
              </w:rPr>
              <w:t>张航</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87609569 18992851811</w:t>
            </w:r>
            <w:r>
              <w:rPr>
                <w:rFonts w:hint="eastAsia" w:hAnsi="宋体" w:cs="宋体"/>
                <w:color w:val="000000"/>
                <w:sz w:val="21"/>
                <w:szCs w:val="21"/>
              </w:rPr>
              <w:br w:type="textWrapping"/>
            </w:r>
            <w:r>
              <w:rPr>
                <w:rFonts w:hint="eastAsia" w:hAnsi="宋体" w:cs="宋体"/>
                <w:color w:val="000000"/>
                <w:sz w:val="21"/>
                <w:szCs w:val="21"/>
              </w:rPr>
              <w:t>87609761 13891883334</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6</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中国农业银行股份有限公司陕西省分行营业部</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农业银行西安西大街支行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公司业务部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贾珊</w:t>
            </w:r>
            <w:r>
              <w:rPr>
                <w:rFonts w:hint="eastAsia" w:hAnsi="宋体" w:cs="宋体"/>
                <w:color w:val="000000"/>
                <w:sz w:val="21"/>
                <w:szCs w:val="21"/>
              </w:rPr>
              <w:br w:type="textWrapping"/>
            </w:r>
            <w:r>
              <w:rPr>
                <w:rFonts w:hint="eastAsia" w:hAnsi="宋体" w:cs="宋体"/>
                <w:color w:val="000000"/>
                <w:sz w:val="21"/>
                <w:szCs w:val="21"/>
              </w:rPr>
              <w:t>高雅</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87617245 13891957123</w:t>
            </w:r>
            <w:r>
              <w:rPr>
                <w:rFonts w:hint="eastAsia" w:hAnsi="宋体" w:cs="宋体"/>
                <w:color w:val="000000"/>
                <w:sz w:val="21"/>
                <w:szCs w:val="21"/>
              </w:rPr>
              <w:br w:type="textWrapping"/>
            </w:r>
            <w:r>
              <w:rPr>
                <w:rFonts w:hint="eastAsia" w:hAnsi="宋体" w:cs="宋体"/>
                <w:color w:val="000000"/>
                <w:sz w:val="21"/>
                <w:szCs w:val="21"/>
              </w:rPr>
              <w:t>87613444 13659192425</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7</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交通银行股份有限公司陕西省分行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交通银行西安西五路支行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个人贷款中心</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李卫公</w:t>
            </w:r>
            <w:r>
              <w:rPr>
                <w:rFonts w:hint="eastAsia" w:hAnsi="宋体" w:cs="宋体"/>
                <w:color w:val="000000"/>
                <w:sz w:val="21"/>
                <w:szCs w:val="21"/>
              </w:rPr>
              <w:br w:type="textWrapping"/>
            </w:r>
            <w:r>
              <w:rPr>
                <w:rFonts w:hint="eastAsia" w:hAnsi="宋体" w:cs="宋体"/>
                <w:color w:val="000000"/>
                <w:sz w:val="21"/>
                <w:szCs w:val="21"/>
              </w:rPr>
              <w:t>雷强</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87297632 13991290525</w:t>
            </w:r>
            <w:r>
              <w:rPr>
                <w:rFonts w:hint="eastAsia" w:hAnsi="宋体" w:cs="宋体"/>
                <w:color w:val="000000"/>
                <w:sz w:val="21"/>
                <w:szCs w:val="21"/>
              </w:rPr>
              <w:br w:type="textWrapping"/>
            </w:r>
            <w:r>
              <w:rPr>
                <w:rFonts w:hint="eastAsia" w:hAnsi="宋体" w:cs="宋体"/>
                <w:color w:val="000000"/>
                <w:sz w:val="21"/>
                <w:szCs w:val="21"/>
              </w:rPr>
              <w:t>87272444 18629362690</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招商银行股份有限公司西安分行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招商银行西安未央路支行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公司银行部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杨皓</w:t>
            </w:r>
            <w:r>
              <w:rPr>
                <w:rFonts w:hint="eastAsia" w:hAnsi="宋体" w:cs="宋体"/>
                <w:color w:val="000000"/>
                <w:sz w:val="21"/>
                <w:szCs w:val="21"/>
              </w:rPr>
              <w:br w:type="textWrapping"/>
            </w:r>
            <w:r>
              <w:rPr>
                <w:rFonts w:hint="eastAsia" w:hAnsi="宋体" w:cs="宋体"/>
                <w:color w:val="000000"/>
                <w:sz w:val="21"/>
                <w:szCs w:val="21"/>
              </w:rPr>
              <w:t>马秦香</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62811553 15002905553</w:t>
            </w:r>
            <w:r>
              <w:rPr>
                <w:rFonts w:hint="eastAsia" w:hAnsi="宋体" w:cs="宋体"/>
                <w:color w:val="000000"/>
                <w:sz w:val="21"/>
                <w:szCs w:val="21"/>
              </w:rPr>
              <w:br w:type="textWrapping"/>
            </w:r>
            <w:r>
              <w:rPr>
                <w:rFonts w:hint="eastAsia" w:hAnsi="宋体" w:cs="宋体"/>
                <w:color w:val="000000"/>
                <w:sz w:val="21"/>
                <w:szCs w:val="21"/>
              </w:rPr>
              <w:t>62811553 13609183259</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9</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中国民生银行股份有限公司西安分行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民生银行西安分行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城建金融部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李楠</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88266088-8450</w:t>
            </w:r>
            <w:r>
              <w:rPr>
                <w:rFonts w:hint="eastAsia" w:hAnsi="宋体" w:cs="宋体"/>
                <w:color w:val="000000"/>
                <w:sz w:val="21"/>
                <w:szCs w:val="21"/>
              </w:rPr>
              <w:br w:type="textWrapping"/>
            </w:r>
            <w:r>
              <w:rPr>
                <w:rFonts w:hint="eastAsia" w:hAnsi="宋体" w:cs="宋体"/>
                <w:color w:val="000000"/>
                <w:sz w:val="21"/>
                <w:szCs w:val="21"/>
              </w:rPr>
              <w:t>13572058213</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10</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中国光大银行股份有限公司西安分行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光大银行经济技术开发区支行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对公客户经理部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高艺瑄</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15619006186</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11</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昆仑银行股份有限公司西安分行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昆仑银行西安分行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机构投行部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韩天清</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86978975</w:t>
            </w:r>
            <w:r>
              <w:rPr>
                <w:rFonts w:hint="eastAsia" w:hAnsi="宋体" w:cs="宋体"/>
                <w:color w:val="000000"/>
                <w:sz w:val="21"/>
                <w:szCs w:val="21"/>
              </w:rPr>
              <w:br w:type="textWrapping"/>
            </w:r>
            <w:r>
              <w:rPr>
                <w:rFonts w:hint="eastAsia" w:hAnsi="宋体" w:cs="宋体"/>
                <w:color w:val="000000"/>
                <w:sz w:val="21"/>
                <w:szCs w:val="21"/>
              </w:rPr>
              <w:t>15609108028</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12</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平安银行股份有限公司西安分行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平安银行西安分行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业务发展七部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祝捷</w:t>
            </w:r>
            <w:r>
              <w:rPr>
                <w:rFonts w:hint="eastAsia" w:hAnsi="宋体" w:cs="宋体"/>
                <w:color w:val="000000"/>
                <w:sz w:val="21"/>
                <w:szCs w:val="21"/>
              </w:rPr>
              <w:br w:type="textWrapping"/>
            </w:r>
            <w:r>
              <w:rPr>
                <w:rFonts w:hint="eastAsia" w:hAnsi="宋体" w:cs="宋体"/>
                <w:color w:val="000000"/>
                <w:sz w:val="21"/>
                <w:szCs w:val="21"/>
              </w:rPr>
              <w:t>王尧</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18629505188</w:t>
            </w:r>
            <w:r>
              <w:rPr>
                <w:rFonts w:hint="eastAsia" w:hAnsi="宋体" w:cs="宋体"/>
                <w:color w:val="000000"/>
                <w:sz w:val="21"/>
                <w:szCs w:val="21"/>
              </w:rPr>
              <w:br w:type="textWrapping"/>
            </w:r>
            <w:r>
              <w:rPr>
                <w:rFonts w:hint="eastAsia" w:hAnsi="宋体" w:cs="宋体"/>
                <w:color w:val="000000"/>
                <w:sz w:val="21"/>
                <w:szCs w:val="21"/>
              </w:rPr>
              <w:t>18591767577</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13</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北京银行股份有限公司西安分行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北京银行西安分行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营业部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范诗阳</w:t>
            </w:r>
            <w:r>
              <w:rPr>
                <w:rFonts w:hint="eastAsia" w:hAnsi="宋体" w:cs="宋体"/>
                <w:color w:val="000000"/>
                <w:sz w:val="21"/>
                <w:szCs w:val="21"/>
              </w:rPr>
              <w:br w:type="textWrapping"/>
            </w:r>
            <w:r>
              <w:rPr>
                <w:rFonts w:hint="eastAsia" w:hAnsi="宋体" w:cs="宋体"/>
                <w:color w:val="000000"/>
                <w:sz w:val="21"/>
                <w:szCs w:val="21"/>
              </w:rPr>
              <w:t>曹英</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13991945764</w:t>
            </w:r>
            <w:r>
              <w:rPr>
                <w:rFonts w:hint="eastAsia" w:hAnsi="宋体" w:cs="宋体"/>
                <w:color w:val="000000"/>
                <w:sz w:val="21"/>
                <w:szCs w:val="21"/>
              </w:rPr>
              <w:br w:type="textWrapping"/>
            </w:r>
            <w:r>
              <w:rPr>
                <w:rFonts w:hint="eastAsia" w:hAnsi="宋体" w:cs="宋体"/>
                <w:color w:val="000000"/>
                <w:sz w:val="21"/>
                <w:szCs w:val="21"/>
              </w:rPr>
              <w:t>18691892195</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r>
        <w:tblPrEx>
          <w:tblCellMar>
            <w:top w:w="15" w:type="dxa"/>
            <w:left w:w="15" w:type="dxa"/>
            <w:bottom w:w="15" w:type="dxa"/>
            <w:right w:w="15" w:type="dxa"/>
          </w:tblCellMar>
        </w:tblPrEx>
        <w:trPr>
          <w:trHeight w:val="510" w:hRule="atLeast"/>
        </w:trPr>
        <w:tc>
          <w:tcPr>
            <w:tcW w:w="35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14</w:t>
            </w:r>
          </w:p>
        </w:tc>
        <w:tc>
          <w:tcPr>
            <w:tcW w:w="94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兴业银行股份有限公司西安分行</w:t>
            </w:r>
          </w:p>
        </w:tc>
        <w:tc>
          <w:tcPr>
            <w:tcW w:w="893"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兴业银行西安分行</w:t>
            </w:r>
          </w:p>
        </w:tc>
        <w:tc>
          <w:tcPr>
            <w:tcW w:w="5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新城业务总部</w:t>
            </w:r>
          </w:p>
        </w:tc>
        <w:tc>
          <w:tcPr>
            <w:tcW w:w="45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徐常磊</w:t>
            </w:r>
            <w:r>
              <w:rPr>
                <w:rFonts w:hint="eastAsia" w:hAnsi="宋体" w:cs="宋体"/>
                <w:color w:val="000000"/>
                <w:sz w:val="21"/>
                <w:szCs w:val="21"/>
              </w:rPr>
              <w:br w:type="textWrapping"/>
            </w:r>
            <w:r>
              <w:rPr>
                <w:rFonts w:hint="eastAsia" w:hAnsi="宋体" w:cs="宋体"/>
                <w:color w:val="000000"/>
                <w:sz w:val="21"/>
                <w:szCs w:val="21"/>
              </w:rPr>
              <w:t>鲁旸</w:t>
            </w:r>
          </w:p>
        </w:tc>
        <w:tc>
          <w:tcPr>
            <w:tcW w:w="130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15991623666</w:t>
            </w:r>
            <w:r>
              <w:rPr>
                <w:rFonts w:hint="eastAsia" w:hAnsi="宋体" w:cs="宋体"/>
                <w:color w:val="000000"/>
                <w:sz w:val="21"/>
                <w:szCs w:val="21"/>
              </w:rPr>
              <w:br w:type="textWrapping"/>
            </w:r>
            <w:r>
              <w:rPr>
                <w:rFonts w:hint="eastAsia" w:hAnsi="宋体" w:cs="宋体"/>
                <w:color w:val="000000"/>
                <w:sz w:val="21"/>
                <w:szCs w:val="21"/>
              </w:rPr>
              <w:t>15389081886</w:t>
            </w:r>
          </w:p>
        </w:tc>
        <w:tc>
          <w:tcPr>
            <w:tcW w:w="506"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Ansi="宋体" w:cs="宋体"/>
                <w:color w:val="000000"/>
                <w:sz w:val="21"/>
                <w:szCs w:val="21"/>
              </w:rPr>
            </w:pPr>
            <w:r>
              <w:rPr>
                <w:rFonts w:hint="eastAsia" w:hAnsi="宋体" w:cs="宋体"/>
                <w:color w:val="000000"/>
                <w:sz w:val="21"/>
                <w:szCs w:val="21"/>
              </w:rPr>
              <w:t>信用融资</w:t>
            </w:r>
          </w:p>
        </w:tc>
      </w:tr>
    </w:tbl>
    <w:p>
      <w:pPr>
        <w:pStyle w:val="3"/>
        <w:numPr>
          <w:ilvl w:val="0"/>
          <w:numId w:val="5"/>
        </w:numPr>
        <w:jc w:val="center"/>
        <w:rPr>
          <w:rFonts w:ascii="宋体" w:eastAsia="宋体" w:cs="宋体"/>
          <w:bCs/>
          <w:sz w:val="36"/>
          <w:szCs w:val="36"/>
        </w:rPr>
      </w:pPr>
      <w:r>
        <w:rPr>
          <w:rFonts w:hint="eastAsia" w:ascii="宋体" w:eastAsia="宋体" w:cs="宋体"/>
          <w:bCs/>
          <w:sz w:val="36"/>
          <w:szCs w:val="36"/>
        </w:rPr>
        <w:br w:type="page"/>
      </w:r>
      <w:bookmarkStart w:id="50" w:name="_Toc30463"/>
      <w:bookmarkStart w:id="51" w:name="_Toc24068"/>
      <w:r>
        <w:rPr>
          <w:rFonts w:hint="eastAsia" w:ascii="宋体" w:eastAsia="宋体" w:cs="宋体"/>
          <w:bCs/>
          <w:sz w:val="36"/>
          <w:szCs w:val="36"/>
        </w:rPr>
        <w:t>合同主要条款</w:t>
      </w:r>
      <w:bookmarkEnd w:id="46"/>
      <w:bookmarkEnd w:id="47"/>
      <w:bookmarkEnd w:id="48"/>
      <w:bookmarkEnd w:id="49"/>
      <w:bookmarkEnd w:id="50"/>
      <w:bookmarkEnd w:id="51"/>
    </w:p>
    <w:p>
      <w:pPr>
        <w:adjustRightInd w:val="0"/>
        <w:snapToGrid w:val="0"/>
        <w:spacing w:line="360" w:lineRule="auto"/>
        <w:rPr>
          <w:rFonts w:hAnsi="宋体" w:cs="宋体"/>
          <w:b/>
          <w:bCs/>
        </w:rPr>
      </w:pPr>
      <w:bookmarkStart w:id="52" w:name="_Toc19246"/>
      <w:bookmarkStart w:id="53" w:name="_Toc8333"/>
      <w:bookmarkStart w:id="54" w:name="_Toc19199"/>
      <w:bookmarkStart w:id="55" w:name="_Toc26595"/>
      <w:bookmarkStart w:id="56" w:name="_Toc4679"/>
      <w:bookmarkStart w:id="57" w:name="_Toc423973075"/>
      <w:bookmarkStart w:id="58" w:name="_Toc389582037"/>
      <w:bookmarkStart w:id="59" w:name="_Toc31520"/>
      <w:bookmarkStart w:id="60" w:name="_Toc29888"/>
      <w:r>
        <w:rPr>
          <w:rFonts w:hint="eastAsia" w:hAnsi="宋体" w:cs="宋体"/>
          <w:b/>
          <w:bCs/>
        </w:rPr>
        <w:t xml:space="preserve">采购人（全称）：西安市灞桥区人民法院                         </w:t>
      </w:r>
    </w:p>
    <w:p>
      <w:pPr>
        <w:adjustRightInd w:val="0"/>
        <w:snapToGrid w:val="0"/>
        <w:spacing w:line="360" w:lineRule="auto"/>
        <w:rPr>
          <w:rFonts w:hAnsi="宋体" w:cs="宋体"/>
        </w:rPr>
      </w:pPr>
      <w:r>
        <w:rPr>
          <w:rFonts w:hint="eastAsia" w:hAnsi="宋体" w:cs="宋体"/>
          <w:b/>
          <w:bCs/>
        </w:rPr>
        <w:t xml:space="preserve">供应商（全称）：         </w:t>
      </w:r>
    </w:p>
    <w:p>
      <w:pPr>
        <w:adjustRightInd w:val="0"/>
        <w:snapToGrid w:val="0"/>
        <w:spacing w:line="360" w:lineRule="auto"/>
        <w:ind w:firstLine="480" w:firstLineChars="200"/>
        <w:rPr>
          <w:rFonts w:hAnsi="宋体" w:cs="宋体"/>
          <w:u w:val="single"/>
        </w:rPr>
      </w:pPr>
      <w:r>
        <w:rPr>
          <w:rFonts w:hint="eastAsia" w:hAnsi="宋体" w:cs="宋体"/>
        </w:rPr>
        <w:t>根据</w:t>
      </w:r>
      <w:r>
        <w:rPr>
          <w:rFonts w:hint="eastAsia" w:hAnsi="宋体" w:cs="宋体"/>
          <w:u w:val="single"/>
        </w:rPr>
        <w:t>（项目名称）</w:t>
      </w:r>
      <w:r>
        <w:rPr>
          <w:rFonts w:hint="eastAsia" w:hAnsi="宋体" w:cs="宋体"/>
        </w:rPr>
        <w:t>的采购结果，按照《中华人民共和国合同法》及其他有关法律、法规，遵循平等、自愿、公平和诚信的原则，双方就下述项目范围与相关服务事项协商一致，订立本合同。</w:t>
      </w:r>
    </w:p>
    <w:p>
      <w:pPr>
        <w:spacing w:line="360" w:lineRule="auto"/>
        <w:rPr>
          <w:rFonts w:hAnsi="宋体" w:cs="宋体"/>
          <w:b/>
        </w:rPr>
      </w:pPr>
      <w:r>
        <w:rPr>
          <w:rFonts w:hint="eastAsia" w:hAnsi="宋体" w:cs="宋体"/>
          <w:b/>
        </w:rPr>
        <w:t>一、项目概况</w:t>
      </w:r>
    </w:p>
    <w:p>
      <w:pPr>
        <w:adjustRightInd w:val="0"/>
        <w:snapToGrid w:val="0"/>
        <w:spacing w:line="360" w:lineRule="auto"/>
        <w:ind w:firstLine="480" w:firstLineChars="200"/>
        <w:rPr>
          <w:rFonts w:hAnsi="宋体" w:cs="宋体"/>
        </w:rPr>
      </w:pPr>
      <w:r>
        <w:rPr>
          <w:rFonts w:hint="eastAsia" w:hAnsi="宋体" w:cs="宋体"/>
        </w:rPr>
        <w:t>1、项目名称：</w:t>
      </w:r>
      <w:r>
        <w:rPr>
          <w:rFonts w:hint="eastAsia" w:hAnsi="宋体" w:cs="宋体"/>
          <w:u w:val="single"/>
          <w:lang w:eastAsia="zh-CN"/>
        </w:rPr>
        <w:t>灞桥法院</w:t>
      </w:r>
      <w:r>
        <w:rPr>
          <w:rFonts w:hint="eastAsia" w:hAnsi="宋体" w:cs="宋体"/>
          <w:u w:val="single"/>
        </w:rPr>
        <w:t>集中印务系统采购项目</w:t>
      </w:r>
    </w:p>
    <w:p>
      <w:pPr>
        <w:adjustRightInd w:val="0"/>
        <w:snapToGrid w:val="0"/>
        <w:spacing w:line="360" w:lineRule="auto"/>
        <w:ind w:firstLine="480" w:firstLineChars="200"/>
        <w:rPr>
          <w:rFonts w:hAnsi="宋体" w:cs="宋体"/>
        </w:rPr>
      </w:pPr>
      <w:r>
        <w:rPr>
          <w:rFonts w:hint="eastAsia" w:hAnsi="宋体" w:cs="宋体"/>
        </w:rPr>
        <w:t>2、项目地点：</w:t>
      </w:r>
      <w:r>
        <w:rPr>
          <w:rFonts w:hint="eastAsia" w:cs="宋体"/>
          <w:u w:val="single"/>
        </w:rPr>
        <w:t>西安市灞桥区纺一路668号</w:t>
      </w:r>
      <w:r>
        <w:rPr>
          <w:rFonts w:hint="eastAsia" w:hAnsi="宋体" w:cs="宋体"/>
          <w:u w:val="single"/>
        </w:rPr>
        <w:t xml:space="preserve"> </w:t>
      </w:r>
    </w:p>
    <w:p>
      <w:pPr>
        <w:spacing w:line="360" w:lineRule="auto"/>
        <w:rPr>
          <w:rFonts w:hAnsi="宋体" w:cs="宋体"/>
          <w:b/>
        </w:rPr>
      </w:pPr>
      <w:r>
        <w:rPr>
          <w:rFonts w:hint="eastAsia" w:hAnsi="宋体" w:cs="宋体"/>
          <w:b/>
        </w:rPr>
        <w:t>二、组成本合同的文件</w:t>
      </w:r>
    </w:p>
    <w:p>
      <w:pPr>
        <w:adjustRightInd w:val="0"/>
        <w:snapToGrid w:val="0"/>
        <w:spacing w:line="360" w:lineRule="auto"/>
        <w:ind w:firstLine="480" w:firstLineChars="200"/>
        <w:rPr>
          <w:rFonts w:hAnsi="宋体" w:cs="宋体"/>
        </w:rPr>
      </w:pPr>
      <w:r>
        <w:rPr>
          <w:rFonts w:hint="eastAsia" w:hAnsi="宋体" w:cs="宋体"/>
        </w:rPr>
        <w:t>1、中标通知书、磋商响应文件、澄清、补充文件；</w:t>
      </w:r>
    </w:p>
    <w:p>
      <w:pPr>
        <w:adjustRightInd w:val="0"/>
        <w:snapToGrid w:val="0"/>
        <w:spacing w:line="360" w:lineRule="auto"/>
        <w:ind w:firstLine="480" w:firstLineChars="200"/>
        <w:rPr>
          <w:rFonts w:hAnsi="宋体" w:cs="宋体"/>
        </w:rPr>
      </w:pPr>
      <w:r>
        <w:rPr>
          <w:rFonts w:hint="eastAsia" w:hAnsi="宋体" w:cs="宋体"/>
        </w:rPr>
        <w:t>2、相关服务建议书；</w:t>
      </w:r>
    </w:p>
    <w:p>
      <w:pPr>
        <w:adjustRightInd w:val="0"/>
        <w:snapToGrid w:val="0"/>
        <w:spacing w:line="360" w:lineRule="auto"/>
        <w:ind w:firstLine="480" w:firstLineChars="200"/>
        <w:rPr>
          <w:rFonts w:hAnsi="宋体" w:cs="宋体"/>
        </w:rPr>
      </w:pPr>
      <w:r>
        <w:rPr>
          <w:rFonts w:hint="eastAsia" w:hAnsi="宋体" w:cs="宋体"/>
        </w:rPr>
        <w:t>3、本合同签订后，双方依法签订的补充协议也是本合同文件的组成部分。</w:t>
      </w:r>
    </w:p>
    <w:p>
      <w:pPr>
        <w:spacing w:line="360" w:lineRule="auto"/>
        <w:rPr>
          <w:rFonts w:hAnsi="宋体" w:cs="宋体"/>
          <w:b/>
        </w:rPr>
      </w:pPr>
      <w:r>
        <w:rPr>
          <w:rFonts w:hint="eastAsia" w:hAnsi="宋体" w:cs="宋体"/>
          <w:b/>
        </w:rPr>
        <w:t>三、合同总价</w:t>
      </w:r>
    </w:p>
    <w:p>
      <w:pPr>
        <w:adjustRightInd w:val="0"/>
        <w:snapToGrid w:val="0"/>
        <w:spacing w:line="360" w:lineRule="auto"/>
        <w:ind w:firstLine="482" w:firstLineChars="200"/>
        <w:rPr>
          <w:rFonts w:hAnsi="宋体" w:cs="宋体"/>
        </w:rPr>
      </w:pPr>
      <w:r>
        <w:rPr>
          <w:rFonts w:hint="eastAsia" w:hAnsi="宋体" w:cs="宋体"/>
          <w:b/>
        </w:rPr>
        <w:t>合同总价</w:t>
      </w:r>
      <w:r>
        <w:rPr>
          <w:rFonts w:hint="eastAsia" w:hAnsi="宋体" w:cs="宋体"/>
        </w:rPr>
        <w:t>（大写）：（¥        ）；</w:t>
      </w:r>
    </w:p>
    <w:p>
      <w:pPr>
        <w:adjustRightInd w:val="0"/>
        <w:snapToGrid w:val="0"/>
        <w:spacing w:line="360" w:lineRule="auto"/>
        <w:ind w:firstLine="480" w:firstLineChars="200"/>
        <w:rPr>
          <w:rFonts w:hAnsi="宋体" w:cs="宋体"/>
          <w:szCs w:val="24"/>
        </w:rPr>
      </w:pPr>
      <w:r>
        <w:rPr>
          <w:rFonts w:hint="eastAsia" w:hAnsi="宋体" w:cs="宋体"/>
          <w:szCs w:val="24"/>
        </w:rPr>
        <w:t>合同总价即中标价，合同总价一次包死，不受市场价变化或实际工作量变化的影响。合同价格为含税价，供应商提供产品发生的一切税（包括增值税）费等都已包含于合同价款中。</w:t>
      </w:r>
    </w:p>
    <w:p>
      <w:pPr>
        <w:adjustRightInd w:val="0"/>
        <w:snapToGrid w:val="0"/>
        <w:spacing w:line="360" w:lineRule="auto"/>
        <w:ind w:firstLine="480" w:firstLineChars="200"/>
        <w:rPr>
          <w:rFonts w:hAnsi="宋体" w:cs="宋体"/>
        </w:rPr>
      </w:pPr>
      <w:r>
        <w:rPr>
          <w:rFonts w:hint="eastAsia" w:hAnsi="宋体" w:cs="宋体"/>
        </w:rPr>
        <w:t>附分项清单：</w:t>
      </w:r>
    </w:p>
    <w:tbl>
      <w:tblPr>
        <w:tblStyle w:val="44"/>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017"/>
        <w:gridCol w:w="963"/>
        <w:gridCol w:w="1275"/>
        <w:gridCol w:w="1125"/>
        <w:gridCol w:w="1080"/>
        <w:gridCol w:w="1290"/>
        <w:gridCol w:w="1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jc w:val="center"/>
        </w:trPr>
        <w:tc>
          <w:tcPr>
            <w:tcW w:w="894" w:type="dxa"/>
            <w:vAlign w:val="center"/>
          </w:tcPr>
          <w:p>
            <w:pPr>
              <w:adjustRightInd w:val="0"/>
              <w:snapToGrid w:val="0"/>
              <w:jc w:val="center"/>
              <w:rPr>
                <w:rFonts w:hAnsi="宋体" w:cs="宋体"/>
              </w:rPr>
            </w:pPr>
            <w:r>
              <w:rPr>
                <w:rFonts w:hint="eastAsia" w:hAnsi="宋体" w:cs="宋体"/>
              </w:rPr>
              <w:t>序号</w:t>
            </w:r>
          </w:p>
        </w:tc>
        <w:tc>
          <w:tcPr>
            <w:tcW w:w="1017" w:type="dxa"/>
            <w:vAlign w:val="center"/>
          </w:tcPr>
          <w:p>
            <w:pPr>
              <w:adjustRightInd w:val="0"/>
              <w:snapToGrid w:val="0"/>
              <w:jc w:val="center"/>
              <w:rPr>
                <w:rFonts w:hAnsi="宋体" w:cs="宋体"/>
              </w:rPr>
            </w:pPr>
            <w:r>
              <w:rPr>
                <w:rFonts w:hint="eastAsia" w:hAnsi="宋体" w:cs="宋体"/>
              </w:rPr>
              <w:t>名称</w:t>
            </w:r>
          </w:p>
        </w:tc>
        <w:tc>
          <w:tcPr>
            <w:tcW w:w="963" w:type="dxa"/>
            <w:vAlign w:val="center"/>
          </w:tcPr>
          <w:p>
            <w:pPr>
              <w:adjustRightInd w:val="0"/>
              <w:snapToGrid w:val="0"/>
              <w:jc w:val="center"/>
              <w:rPr>
                <w:rFonts w:hAnsi="宋体" w:cs="宋体"/>
              </w:rPr>
            </w:pPr>
            <w:r>
              <w:rPr>
                <w:rFonts w:hint="eastAsia" w:hAnsi="宋体" w:cs="宋体"/>
              </w:rPr>
              <w:t>品牌</w:t>
            </w:r>
          </w:p>
        </w:tc>
        <w:tc>
          <w:tcPr>
            <w:tcW w:w="1275" w:type="dxa"/>
            <w:vAlign w:val="center"/>
          </w:tcPr>
          <w:p>
            <w:pPr>
              <w:adjustRightInd w:val="0"/>
              <w:snapToGrid w:val="0"/>
              <w:jc w:val="center"/>
              <w:rPr>
                <w:rFonts w:hAnsi="宋体" w:cs="宋体"/>
              </w:rPr>
            </w:pPr>
            <w:r>
              <w:rPr>
                <w:rFonts w:hint="eastAsia" w:hAnsi="宋体" w:cs="宋体"/>
              </w:rPr>
              <w:t>规格型号</w:t>
            </w:r>
          </w:p>
        </w:tc>
        <w:tc>
          <w:tcPr>
            <w:tcW w:w="1125" w:type="dxa"/>
            <w:vAlign w:val="center"/>
          </w:tcPr>
          <w:p>
            <w:pPr>
              <w:adjustRightInd w:val="0"/>
              <w:snapToGrid w:val="0"/>
              <w:jc w:val="center"/>
              <w:rPr>
                <w:rFonts w:hAnsi="宋体" w:cs="宋体"/>
              </w:rPr>
            </w:pPr>
            <w:r>
              <w:rPr>
                <w:rFonts w:hint="eastAsia" w:hAnsi="宋体" w:cs="宋体"/>
              </w:rPr>
              <w:t>数量</w:t>
            </w:r>
          </w:p>
        </w:tc>
        <w:tc>
          <w:tcPr>
            <w:tcW w:w="1080" w:type="dxa"/>
            <w:vAlign w:val="center"/>
          </w:tcPr>
          <w:p>
            <w:pPr>
              <w:adjustRightInd w:val="0"/>
              <w:snapToGrid w:val="0"/>
              <w:jc w:val="center"/>
              <w:rPr>
                <w:rFonts w:hAnsi="宋体" w:cs="宋体"/>
              </w:rPr>
            </w:pPr>
            <w:r>
              <w:rPr>
                <w:rFonts w:hint="eastAsia" w:hAnsi="宋体" w:cs="宋体"/>
              </w:rPr>
              <w:t>单位</w:t>
            </w:r>
          </w:p>
        </w:tc>
        <w:tc>
          <w:tcPr>
            <w:tcW w:w="1290" w:type="dxa"/>
            <w:vAlign w:val="center"/>
          </w:tcPr>
          <w:p>
            <w:pPr>
              <w:adjustRightInd w:val="0"/>
              <w:snapToGrid w:val="0"/>
              <w:jc w:val="center"/>
              <w:rPr>
                <w:rFonts w:hAnsi="宋体" w:cs="宋体"/>
              </w:rPr>
            </w:pPr>
            <w:r>
              <w:rPr>
                <w:rFonts w:hint="eastAsia" w:hAnsi="宋体" w:cs="宋体"/>
              </w:rPr>
              <w:t>单价</w:t>
            </w:r>
          </w:p>
          <w:p>
            <w:pPr>
              <w:adjustRightInd w:val="0"/>
              <w:snapToGrid w:val="0"/>
              <w:jc w:val="center"/>
              <w:rPr>
                <w:rFonts w:hAnsi="宋体" w:cs="宋体"/>
              </w:rPr>
            </w:pPr>
            <w:r>
              <w:rPr>
                <w:rFonts w:hint="eastAsia" w:hAnsi="宋体" w:cs="宋体"/>
              </w:rPr>
              <w:t>（元）</w:t>
            </w:r>
          </w:p>
        </w:tc>
        <w:tc>
          <w:tcPr>
            <w:tcW w:w="1116" w:type="dxa"/>
            <w:vAlign w:val="center"/>
          </w:tcPr>
          <w:p>
            <w:pPr>
              <w:adjustRightInd w:val="0"/>
              <w:snapToGrid w:val="0"/>
              <w:jc w:val="center"/>
              <w:rPr>
                <w:rFonts w:hAnsi="宋体" w:cs="宋体"/>
              </w:rPr>
            </w:pPr>
            <w:r>
              <w:rPr>
                <w:rFonts w:hint="eastAsia" w:hAnsi="宋体" w:cs="宋体"/>
              </w:rPr>
              <w:t>合计</w:t>
            </w:r>
          </w:p>
          <w:p>
            <w:pPr>
              <w:adjustRightInd w:val="0"/>
              <w:snapToGrid w:val="0"/>
              <w:jc w:val="center"/>
              <w:rPr>
                <w:rFonts w:hAnsi="宋体" w:cs="宋体"/>
              </w:rPr>
            </w:pPr>
            <w:r>
              <w:rPr>
                <w:rFonts w:hint="eastAsia" w:hAnsi="宋体" w:cs="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94" w:type="dxa"/>
            <w:vAlign w:val="center"/>
          </w:tcPr>
          <w:p>
            <w:pPr>
              <w:adjustRightInd w:val="0"/>
              <w:snapToGrid w:val="0"/>
              <w:jc w:val="center"/>
              <w:rPr>
                <w:rFonts w:hAnsi="宋体" w:cs="宋体"/>
              </w:rPr>
            </w:pPr>
          </w:p>
        </w:tc>
        <w:tc>
          <w:tcPr>
            <w:tcW w:w="1017" w:type="dxa"/>
            <w:vAlign w:val="center"/>
          </w:tcPr>
          <w:p>
            <w:pPr>
              <w:adjustRightInd w:val="0"/>
              <w:snapToGrid w:val="0"/>
              <w:jc w:val="center"/>
              <w:rPr>
                <w:rFonts w:hAnsi="宋体" w:cs="宋体"/>
              </w:rPr>
            </w:pPr>
          </w:p>
        </w:tc>
        <w:tc>
          <w:tcPr>
            <w:tcW w:w="963" w:type="dxa"/>
            <w:vAlign w:val="center"/>
          </w:tcPr>
          <w:p>
            <w:pPr>
              <w:adjustRightInd w:val="0"/>
              <w:snapToGrid w:val="0"/>
              <w:jc w:val="center"/>
              <w:rPr>
                <w:rFonts w:hAnsi="宋体" w:cs="宋体"/>
              </w:rPr>
            </w:pPr>
          </w:p>
        </w:tc>
        <w:tc>
          <w:tcPr>
            <w:tcW w:w="1275" w:type="dxa"/>
            <w:vAlign w:val="center"/>
          </w:tcPr>
          <w:p>
            <w:pPr>
              <w:adjustRightInd w:val="0"/>
              <w:snapToGrid w:val="0"/>
              <w:jc w:val="center"/>
              <w:rPr>
                <w:rFonts w:hAnsi="宋体" w:cs="宋体"/>
              </w:rPr>
            </w:pPr>
          </w:p>
        </w:tc>
        <w:tc>
          <w:tcPr>
            <w:tcW w:w="1125" w:type="dxa"/>
            <w:vAlign w:val="center"/>
          </w:tcPr>
          <w:p>
            <w:pPr>
              <w:adjustRightInd w:val="0"/>
              <w:snapToGrid w:val="0"/>
              <w:jc w:val="center"/>
              <w:rPr>
                <w:rFonts w:hAnsi="宋体" w:cs="宋体"/>
              </w:rPr>
            </w:pPr>
          </w:p>
        </w:tc>
        <w:tc>
          <w:tcPr>
            <w:tcW w:w="1080" w:type="dxa"/>
            <w:vAlign w:val="center"/>
          </w:tcPr>
          <w:p>
            <w:pPr>
              <w:adjustRightInd w:val="0"/>
              <w:snapToGrid w:val="0"/>
              <w:jc w:val="center"/>
              <w:rPr>
                <w:rFonts w:hAnsi="宋体" w:cs="宋体"/>
              </w:rPr>
            </w:pPr>
          </w:p>
        </w:tc>
        <w:tc>
          <w:tcPr>
            <w:tcW w:w="1290" w:type="dxa"/>
            <w:vAlign w:val="center"/>
          </w:tcPr>
          <w:p>
            <w:pPr>
              <w:adjustRightInd w:val="0"/>
              <w:snapToGrid w:val="0"/>
              <w:jc w:val="center"/>
              <w:rPr>
                <w:rFonts w:hAnsi="宋体" w:cs="宋体"/>
              </w:rPr>
            </w:pPr>
          </w:p>
        </w:tc>
        <w:tc>
          <w:tcPr>
            <w:tcW w:w="1116" w:type="dxa"/>
            <w:vAlign w:val="center"/>
          </w:tcPr>
          <w:p>
            <w:pPr>
              <w:adjustRightInd w:val="0"/>
              <w:snapToGrid w:val="0"/>
              <w:jc w:val="center"/>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94" w:type="dxa"/>
            <w:vAlign w:val="center"/>
          </w:tcPr>
          <w:p>
            <w:pPr>
              <w:adjustRightInd w:val="0"/>
              <w:snapToGrid w:val="0"/>
              <w:jc w:val="center"/>
              <w:rPr>
                <w:rFonts w:hAnsi="宋体" w:cs="宋体"/>
              </w:rPr>
            </w:pPr>
          </w:p>
        </w:tc>
        <w:tc>
          <w:tcPr>
            <w:tcW w:w="1017" w:type="dxa"/>
            <w:vAlign w:val="center"/>
          </w:tcPr>
          <w:p>
            <w:pPr>
              <w:adjustRightInd w:val="0"/>
              <w:snapToGrid w:val="0"/>
              <w:jc w:val="center"/>
              <w:rPr>
                <w:rFonts w:hAnsi="宋体" w:cs="宋体"/>
              </w:rPr>
            </w:pPr>
          </w:p>
        </w:tc>
        <w:tc>
          <w:tcPr>
            <w:tcW w:w="963" w:type="dxa"/>
            <w:vAlign w:val="center"/>
          </w:tcPr>
          <w:p>
            <w:pPr>
              <w:adjustRightInd w:val="0"/>
              <w:snapToGrid w:val="0"/>
              <w:jc w:val="center"/>
              <w:rPr>
                <w:rFonts w:hAnsi="宋体" w:cs="宋体"/>
              </w:rPr>
            </w:pPr>
          </w:p>
        </w:tc>
        <w:tc>
          <w:tcPr>
            <w:tcW w:w="1275" w:type="dxa"/>
            <w:vAlign w:val="center"/>
          </w:tcPr>
          <w:p>
            <w:pPr>
              <w:adjustRightInd w:val="0"/>
              <w:snapToGrid w:val="0"/>
              <w:jc w:val="center"/>
              <w:rPr>
                <w:rFonts w:hAnsi="宋体" w:cs="宋体"/>
              </w:rPr>
            </w:pPr>
          </w:p>
        </w:tc>
        <w:tc>
          <w:tcPr>
            <w:tcW w:w="1125" w:type="dxa"/>
            <w:vAlign w:val="center"/>
          </w:tcPr>
          <w:p>
            <w:pPr>
              <w:adjustRightInd w:val="0"/>
              <w:snapToGrid w:val="0"/>
              <w:jc w:val="center"/>
              <w:rPr>
                <w:rFonts w:hAnsi="宋体" w:cs="宋体"/>
              </w:rPr>
            </w:pPr>
          </w:p>
        </w:tc>
        <w:tc>
          <w:tcPr>
            <w:tcW w:w="1080" w:type="dxa"/>
            <w:vAlign w:val="center"/>
          </w:tcPr>
          <w:p>
            <w:pPr>
              <w:adjustRightInd w:val="0"/>
              <w:snapToGrid w:val="0"/>
              <w:jc w:val="center"/>
              <w:rPr>
                <w:rFonts w:hAnsi="宋体" w:cs="宋体"/>
              </w:rPr>
            </w:pPr>
          </w:p>
        </w:tc>
        <w:tc>
          <w:tcPr>
            <w:tcW w:w="1290" w:type="dxa"/>
            <w:vAlign w:val="center"/>
          </w:tcPr>
          <w:p>
            <w:pPr>
              <w:adjustRightInd w:val="0"/>
              <w:snapToGrid w:val="0"/>
              <w:jc w:val="center"/>
              <w:rPr>
                <w:rFonts w:hAnsi="宋体" w:cs="宋体"/>
              </w:rPr>
            </w:pPr>
          </w:p>
        </w:tc>
        <w:tc>
          <w:tcPr>
            <w:tcW w:w="1116" w:type="dxa"/>
            <w:vAlign w:val="center"/>
          </w:tcPr>
          <w:p>
            <w:pPr>
              <w:adjustRightInd w:val="0"/>
              <w:snapToGrid w:val="0"/>
              <w:jc w:val="center"/>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94" w:type="dxa"/>
            <w:vAlign w:val="center"/>
          </w:tcPr>
          <w:p>
            <w:pPr>
              <w:adjustRightInd w:val="0"/>
              <w:snapToGrid w:val="0"/>
              <w:jc w:val="center"/>
              <w:rPr>
                <w:rFonts w:hAnsi="宋体" w:cs="宋体"/>
              </w:rPr>
            </w:pPr>
          </w:p>
        </w:tc>
        <w:tc>
          <w:tcPr>
            <w:tcW w:w="1017" w:type="dxa"/>
            <w:vAlign w:val="center"/>
          </w:tcPr>
          <w:p>
            <w:pPr>
              <w:adjustRightInd w:val="0"/>
              <w:snapToGrid w:val="0"/>
              <w:jc w:val="center"/>
              <w:rPr>
                <w:rFonts w:hAnsi="宋体" w:cs="宋体"/>
              </w:rPr>
            </w:pPr>
          </w:p>
        </w:tc>
        <w:tc>
          <w:tcPr>
            <w:tcW w:w="963" w:type="dxa"/>
            <w:vAlign w:val="center"/>
          </w:tcPr>
          <w:p>
            <w:pPr>
              <w:adjustRightInd w:val="0"/>
              <w:snapToGrid w:val="0"/>
              <w:jc w:val="center"/>
              <w:rPr>
                <w:rFonts w:hAnsi="宋体" w:cs="宋体"/>
              </w:rPr>
            </w:pPr>
          </w:p>
        </w:tc>
        <w:tc>
          <w:tcPr>
            <w:tcW w:w="1275" w:type="dxa"/>
            <w:vAlign w:val="center"/>
          </w:tcPr>
          <w:p>
            <w:pPr>
              <w:adjustRightInd w:val="0"/>
              <w:snapToGrid w:val="0"/>
              <w:jc w:val="center"/>
              <w:rPr>
                <w:rFonts w:hAnsi="宋体" w:cs="宋体"/>
              </w:rPr>
            </w:pPr>
          </w:p>
        </w:tc>
        <w:tc>
          <w:tcPr>
            <w:tcW w:w="1125" w:type="dxa"/>
            <w:vAlign w:val="center"/>
          </w:tcPr>
          <w:p>
            <w:pPr>
              <w:adjustRightInd w:val="0"/>
              <w:snapToGrid w:val="0"/>
              <w:jc w:val="center"/>
              <w:rPr>
                <w:rFonts w:hAnsi="宋体" w:cs="宋体"/>
              </w:rPr>
            </w:pPr>
          </w:p>
        </w:tc>
        <w:tc>
          <w:tcPr>
            <w:tcW w:w="1080" w:type="dxa"/>
            <w:vAlign w:val="center"/>
          </w:tcPr>
          <w:p>
            <w:pPr>
              <w:adjustRightInd w:val="0"/>
              <w:snapToGrid w:val="0"/>
              <w:jc w:val="center"/>
              <w:rPr>
                <w:rFonts w:hAnsi="宋体" w:cs="宋体"/>
              </w:rPr>
            </w:pPr>
          </w:p>
        </w:tc>
        <w:tc>
          <w:tcPr>
            <w:tcW w:w="1290" w:type="dxa"/>
            <w:vAlign w:val="center"/>
          </w:tcPr>
          <w:p>
            <w:pPr>
              <w:adjustRightInd w:val="0"/>
              <w:snapToGrid w:val="0"/>
              <w:jc w:val="center"/>
              <w:rPr>
                <w:rFonts w:hAnsi="宋体" w:cs="宋体"/>
              </w:rPr>
            </w:pPr>
          </w:p>
        </w:tc>
        <w:tc>
          <w:tcPr>
            <w:tcW w:w="1116" w:type="dxa"/>
            <w:vAlign w:val="center"/>
          </w:tcPr>
          <w:p>
            <w:pPr>
              <w:adjustRightInd w:val="0"/>
              <w:snapToGrid w:val="0"/>
              <w:jc w:val="center"/>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8760" w:type="dxa"/>
            <w:gridSpan w:val="8"/>
            <w:vAlign w:val="center"/>
          </w:tcPr>
          <w:p>
            <w:pPr>
              <w:adjustRightInd w:val="0"/>
              <w:snapToGrid w:val="0"/>
              <w:jc w:val="left"/>
              <w:rPr>
                <w:rFonts w:hAnsi="宋体" w:cs="宋体"/>
              </w:rPr>
            </w:pPr>
            <w:r>
              <w:rPr>
                <w:rFonts w:hint="eastAsia" w:hAnsi="宋体" w:cs="宋体"/>
              </w:rPr>
              <w:t>合计金额：¥          万元；     大写：</w:t>
            </w:r>
          </w:p>
        </w:tc>
      </w:tr>
    </w:tbl>
    <w:p>
      <w:pPr>
        <w:adjustRightInd w:val="0"/>
        <w:snapToGrid w:val="0"/>
        <w:spacing w:line="560" w:lineRule="exact"/>
        <w:ind w:firstLine="475" w:firstLineChars="198"/>
        <w:rPr>
          <w:rFonts w:hAnsi="宋体" w:cs="宋体"/>
        </w:rPr>
      </w:pPr>
      <w:r>
        <w:rPr>
          <w:rFonts w:hint="eastAsia" w:hAnsi="宋体" w:cs="宋体"/>
        </w:rPr>
        <w:t>注：此表应与磋商文件、磋商响应文件内容一致。</w:t>
      </w:r>
    </w:p>
    <w:p>
      <w:pPr>
        <w:spacing w:line="360" w:lineRule="auto"/>
        <w:rPr>
          <w:rFonts w:hAnsi="宋体" w:cs="宋体"/>
          <w:b/>
          <w:szCs w:val="22"/>
        </w:rPr>
      </w:pPr>
      <w:r>
        <w:rPr>
          <w:rFonts w:hint="eastAsia" w:hAnsi="宋体" w:cs="宋体"/>
          <w:b/>
          <w:szCs w:val="22"/>
        </w:rPr>
        <w:t>四、结算方式：</w:t>
      </w:r>
    </w:p>
    <w:p>
      <w:pPr>
        <w:spacing w:line="360" w:lineRule="auto"/>
        <w:ind w:firstLine="480" w:firstLineChars="200"/>
        <w:rPr>
          <w:rFonts w:hAnsi="宋体" w:cs="宋体"/>
          <w:szCs w:val="22"/>
        </w:rPr>
      </w:pPr>
      <w:r>
        <w:rPr>
          <w:rFonts w:hint="eastAsia" w:hAnsi="宋体" w:cs="宋体"/>
          <w:szCs w:val="22"/>
        </w:rPr>
        <w:t>1、合同总价即中标价，为一次性报价，不受市场价变化或实际工作量变化的影响。</w:t>
      </w:r>
    </w:p>
    <w:p>
      <w:pPr>
        <w:spacing w:line="360" w:lineRule="auto"/>
        <w:ind w:firstLine="480" w:firstLineChars="200"/>
        <w:rPr>
          <w:rFonts w:hAnsi="宋体" w:cs="宋体"/>
          <w:szCs w:val="22"/>
        </w:rPr>
      </w:pPr>
      <w:r>
        <w:rPr>
          <w:rFonts w:hint="eastAsia" w:hAnsi="宋体" w:cs="宋体"/>
          <w:szCs w:val="22"/>
        </w:rPr>
        <w:t>2、付款方式和程序：</w:t>
      </w:r>
    </w:p>
    <w:p>
      <w:pPr>
        <w:spacing w:line="360" w:lineRule="auto"/>
        <w:ind w:firstLine="480" w:firstLineChars="200"/>
        <w:rPr>
          <w:rFonts w:hAnsi="宋体" w:cs="宋体"/>
          <w:szCs w:val="22"/>
        </w:rPr>
      </w:pPr>
      <w:r>
        <w:rPr>
          <w:rFonts w:hint="eastAsia" w:hAnsi="宋体" w:cs="宋体"/>
          <w:szCs w:val="22"/>
        </w:rPr>
        <w:t>1）由采购人以人民币负责结算，在付款前，供应商必须开具全额发票给采购人，第二次付款时供应商须出具收货单位签字盖章的验收报告单方可进行结算。（附详细清单）。</w:t>
      </w:r>
    </w:p>
    <w:p>
      <w:pPr>
        <w:spacing w:line="360" w:lineRule="auto"/>
        <w:ind w:firstLine="480" w:firstLineChars="200"/>
        <w:rPr>
          <w:rFonts w:hAnsi="宋体" w:cs="宋体"/>
          <w:szCs w:val="24"/>
        </w:rPr>
      </w:pPr>
      <w:r>
        <w:rPr>
          <w:rFonts w:hint="eastAsia" w:hAnsi="宋体" w:cs="宋体"/>
          <w:szCs w:val="24"/>
        </w:rPr>
        <w:t xml:space="preserve">2）付款方式： </w:t>
      </w:r>
    </w:p>
    <w:p>
      <w:pPr>
        <w:adjustRightInd w:val="0"/>
        <w:snapToGrid w:val="0"/>
        <w:spacing w:line="360" w:lineRule="auto"/>
        <w:rPr>
          <w:rFonts w:hAnsi="宋体" w:cs="宋体"/>
          <w:szCs w:val="22"/>
        </w:rPr>
      </w:pPr>
      <w:r>
        <w:rPr>
          <w:rFonts w:hint="eastAsia"/>
          <w:szCs w:val="24"/>
        </w:rPr>
        <w:t xml:space="preserve">     </w:t>
      </w:r>
      <w:r>
        <w:rPr>
          <w:rFonts w:hint="eastAsia" w:hAnsi="宋体" w:cs="宋体"/>
          <w:szCs w:val="22"/>
        </w:rPr>
        <w:t>供货完成并通过验收，供应商按决算评审价开具全额发票，采购人按发票金额转账支付95%的货款，余5%为质保金，质保期满后无质量问题，采购人转账支付质保金。</w:t>
      </w:r>
    </w:p>
    <w:p>
      <w:pPr>
        <w:adjustRightInd w:val="0"/>
        <w:snapToGrid w:val="0"/>
        <w:spacing w:line="360" w:lineRule="auto"/>
        <w:rPr>
          <w:rFonts w:hAnsi="宋体" w:cs="宋体"/>
          <w:b/>
        </w:rPr>
      </w:pPr>
      <w:r>
        <w:rPr>
          <w:rFonts w:hint="eastAsia" w:hAnsi="宋体" w:cs="宋体"/>
          <w:b/>
        </w:rPr>
        <w:t>五、交货地点及交货期</w:t>
      </w:r>
    </w:p>
    <w:p>
      <w:pPr>
        <w:adjustRightInd w:val="0"/>
        <w:snapToGrid w:val="0"/>
        <w:spacing w:line="360" w:lineRule="auto"/>
        <w:ind w:firstLine="480" w:firstLineChars="200"/>
        <w:rPr>
          <w:rFonts w:hAnsi="宋体" w:cs="宋体"/>
        </w:rPr>
      </w:pPr>
      <w:r>
        <w:rPr>
          <w:rFonts w:hint="eastAsia" w:hAnsi="宋体" w:cs="宋体"/>
        </w:rPr>
        <w:t>1、交货地点：采购人指定地点</w:t>
      </w:r>
    </w:p>
    <w:p>
      <w:pPr>
        <w:spacing w:line="360" w:lineRule="auto"/>
        <w:ind w:firstLine="480" w:firstLineChars="200"/>
        <w:rPr>
          <w:rFonts w:hAnsi="宋体" w:cs="宋体"/>
        </w:rPr>
      </w:pPr>
      <w:r>
        <w:rPr>
          <w:rFonts w:hint="eastAsia" w:hAnsi="宋体" w:cs="宋体"/>
        </w:rPr>
        <w:t>2、</w:t>
      </w:r>
      <w:r>
        <w:rPr>
          <w:rFonts w:hint="eastAsia" w:hAnsi="宋体" w:cs="宋体"/>
          <w:highlight w:val="none"/>
        </w:rPr>
        <w:t>交货期：</w:t>
      </w:r>
      <w:r>
        <w:rPr>
          <w:rFonts w:hint="eastAsia" w:hAnsi="宋体" w:cs="宋体"/>
          <w:highlight w:val="none"/>
          <w:lang w:val="en-US" w:eastAsia="zh-CN"/>
        </w:rPr>
        <w:t>10</w:t>
      </w:r>
      <w:r>
        <w:rPr>
          <w:rFonts w:hint="eastAsia" w:hAnsi="宋体" w:cs="宋体"/>
          <w:highlight w:val="none"/>
        </w:rPr>
        <w:t>日历日</w:t>
      </w:r>
    </w:p>
    <w:p>
      <w:pPr>
        <w:spacing w:line="360" w:lineRule="auto"/>
        <w:rPr>
          <w:rFonts w:hAnsi="宋体" w:cs="宋体"/>
          <w:b/>
          <w:bCs/>
          <w:szCs w:val="24"/>
        </w:rPr>
      </w:pPr>
      <w:r>
        <w:rPr>
          <w:rFonts w:hint="eastAsia" w:hAnsi="宋体" w:cs="宋体"/>
          <w:b/>
          <w:bCs/>
        </w:rPr>
        <w:t>六</w:t>
      </w:r>
      <w:r>
        <w:rPr>
          <w:rFonts w:hint="eastAsia" w:hAnsi="宋体" w:cs="宋体"/>
          <w:b/>
          <w:bCs/>
          <w:szCs w:val="24"/>
        </w:rPr>
        <w:t>、双方承诺</w:t>
      </w:r>
    </w:p>
    <w:p>
      <w:pPr>
        <w:adjustRightInd w:val="0"/>
        <w:snapToGrid w:val="0"/>
        <w:spacing w:line="360" w:lineRule="auto"/>
        <w:ind w:firstLine="480" w:firstLineChars="200"/>
        <w:rPr>
          <w:rFonts w:hAnsi="宋体" w:cs="宋体"/>
          <w:szCs w:val="24"/>
        </w:rPr>
      </w:pPr>
      <w:r>
        <w:rPr>
          <w:rFonts w:hint="eastAsia" w:hAnsi="宋体" w:cs="宋体"/>
          <w:szCs w:val="24"/>
        </w:rPr>
        <w:t>1、供应商向采购人承诺，按照本合同约定提供相关服务。</w:t>
      </w:r>
    </w:p>
    <w:p>
      <w:pPr>
        <w:adjustRightInd w:val="0"/>
        <w:snapToGrid w:val="0"/>
        <w:spacing w:line="360" w:lineRule="auto"/>
        <w:ind w:firstLine="480" w:firstLineChars="200"/>
        <w:rPr>
          <w:rFonts w:hAnsi="宋体" w:cs="宋体"/>
          <w:szCs w:val="24"/>
        </w:rPr>
      </w:pPr>
      <w:r>
        <w:rPr>
          <w:rFonts w:hint="eastAsia" w:hAnsi="宋体" w:cs="宋体"/>
          <w:szCs w:val="24"/>
        </w:rPr>
        <w:t>2、采购人向供应商承诺，按照本合同约定支付服务款项。</w:t>
      </w:r>
    </w:p>
    <w:p>
      <w:pPr>
        <w:adjustRightInd w:val="0"/>
        <w:snapToGrid w:val="0"/>
        <w:spacing w:line="360" w:lineRule="auto"/>
        <w:rPr>
          <w:rFonts w:hAnsi="宋体" w:cs="宋体"/>
          <w:b/>
          <w:szCs w:val="24"/>
        </w:rPr>
      </w:pPr>
      <w:r>
        <w:rPr>
          <w:rFonts w:hint="eastAsia" w:hAnsi="宋体" w:cs="宋体"/>
          <w:b/>
          <w:szCs w:val="24"/>
        </w:rPr>
        <w:t>七、内容及要求：</w:t>
      </w:r>
    </w:p>
    <w:p>
      <w:pPr>
        <w:adjustRightInd w:val="0"/>
        <w:snapToGrid w:val="0"/>
        <w:spacing w:line="360" w:lineRule="auto"/>
        <w:ind w:firstLine="480" w:firstLineChars="200"/>
        <w:rPr>
          <w:rFonts w:hAnsi="宋体" w:cs="宋体"/>
          <w:szCs w:val="24"/>
        </w:rPr>
      </w:pPr>
      <w:r>
        <w:rPr>
          <w:rFonts w:hint="eastAsia" w:hAnsi="宋体" w:cs="宋体"/>
          <w:szCs w:val="24"/>
        </w:rPr>
        <w:t>即交付的产品、服务内容、数量与磋商文件、磋商响应文件等所指明的，或者与本合同所指明的产品、服务内容相一致。</w:t>
      </w:r>
    </w:p>
    <w:p>
      <w:pPr>
        <w:spacing w:after="120"/>
        <w:jc w:val="center"/>
        <w:rPr>
          <w:rFonts w:hAnsi="宋体"/>
          <w:b/>
          <w:sz w:val="32"/>
          <w:szCs w:val="32"/>
        </w:rPr>
      </w:pPr>
      <w:r>
        <w:rPr>
          <w:rFonts w:hint="eastAsia" w:hAnsi="宋体"/>
          <w:b/>
          <w:sz w:val="32"/>
          <w:szCs w:val="32"/>
        </w:rPr>
        <w:t>供货内容一览表</w:t>
      </w:r>
    </w:p>
    <w:tbl>
      <w:tblPr>
        <w:tblStyle w:val="44"/>
        <w:tblW w:w="954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75"/>
        <w:gridCol w:w="960"/>
        <w:gridCol w:w="1485"/>
        <w:gridCol w:w="1695"/>
        <w:gridCol w:w="825"/>
        <w:gridCol w:w="735"/>
        <w:gridCol w:w="1050"/>
        <w:gridCol w:w="1215"/>
        <w:gridCol w:w="9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vAlign w:val="center"/>
          </w:tcPr>
          <w:p>
            <w:pPr>
              <w:spacing w:beforeLines="50" w:line="360" w:lineRule="auto"/>
              <w:jc w:val="center"/>
              <w:rPr>
                <w:rFonts w:hAnsi="宋体" w:cs="宋体"/>
                <w:b/>
                <w:szCs w:val="24"/>
              </w:rPr>
            </w:pPr>
            <w:r>
              <w:rPr>
                <w:rFonts w:hint="eastAsia" w:hAnsi="宋体" w:cs="宋体"/>
                <w:b/>
                <w:szCs w:val="24"/>
              </w:rPr>
              <w:t>序号</w:t>
            </w:r>
          </w:p>
        </w:tc>
        <w:tc>
          <w:tcPr>
            <w:tcW w:w="960" w:type="dxa"/>
            <w:vAlign w:val="center"/>
          </w:tcPr>
          <w:p>
            <w:pPr>
              <w:spacing w:beforeLines="50" w:line="360" w:lineRule="auto"/>
              <w:jc w:val="center"/>
              <w:rPr>
                <w:rFonts w:hAnsi="宋体" w:cs="宋体"/>
                <w:b/>
                <w:szCs w:val="24"/>
              </w:rPr>
            </w:pPr>
            <w:r>
              <w:rPr>
                <w:rFonts w:hint="eastAsia" w:hAnsi="宋体" w:cs="宋体"/>
                <w:b/>
                <w:szCs w:val="24"/>
              </w:rPr>
              <w:t>名称</w:t>
            </w:r>
          </w:p>
        </w:tc>
        <w:tc>
          <w:tcPr>
            <w:tcW w:w="1485" w:type="dxa"/>
            <w:tcBorders>
              <w:right w:val="single" w:color="auto" w:sz="4" w:space="0"/>
            </w:tcBorders>
            <w:vAlign w:val="center"/>
          </w:tcPr>
          <w:p>
            <w:pPr>
              <w:pStyle w:val="4"/>
              <w:adjustRightInd w:val="0"/>
              <w:snapToGrid w:val="0"/>
              <w:ind w:left="0"/>
              <w:jc w:val="center"/>
              <w:rPr>
                <w:rFonts w:ascii="宋体" w:hAnsi="宋体" w:cs="宋体"/>
                <w:sz w:val="24"/>
                <w:szCs w:val="24"/>
              </w:rPr>
            </w:pPr>
            <w:bookmarkStart w:id="61" w:name="_Toc27392"/>
            <w:r>
              <w:rPr>
                <w:rFonts w:hint="eastAsia" w:ascii="宋体" w:hAnsi="宋体" w:cs="宋体"/>
                <w:sz w:val="24"/>
                <w:szCs w:val="24"/>
              </w:rPr>
              <w:t>品牌、规格及型号</w:t>
            </w:r>
            <w:bookmarkEnd w:id="61"/>
          </w:p>
        </w:tc>
        <w:tc>
          <w:tcPr>
            <w:tcW w:w="1695" w:type="dxa"/>
            <w:tcBorders>
              <w:left w:val="single" w:color="auto" w:sz="4" w:space="0"/>
            </w:tcBorders>
            <w:vAlign w:val="center"/>
          </w:tcPr>
          <w:p>
            <w:pPr>
              <w:pStyle w:val="4"/>
              <w:adjustRightInd w:val="0"/>
              <w:snapToGrid w:val="0"/>
              <w:ind w:left="0"/>
              <w:jc w:val="center"/>
              <w:rPr>
                <w:rFonts w:ascii="宋体" w:hAnsi="宋体" w:cs="宋体"/>
                <w:sz w:val="24"/>
                <w:szCs w:val="24"/>
              </w:rPr>
            </w:pPr>
            <w:bookmarkStart w:id="62" w:name="_Toc8981"/>
            <w:r>
              <w:rPr>
                <w:rFonts w:hint="eastAsia" w:ascii="宋体" w:hAnsi="宋体" w:cs="宋体"/>
                <w:sz w:val="24"/>
                <w:szCs w:val="24"/>
              </w:rPr>
              <w:t>原产地及 制造厂名</w:t>
            </w:r>
            <w:bookmarkEnd w:id="62"/>
          </w:p>
        </w:tc>
        <w:tc>
          <w:tcPr>
            <w:tcW w:w="825" w:type="dxa"/>
            <w:tcBorders>
              <w:right w:val="single" w:color="auto" w:sz="4" w:space="0"/>
            </w:tcBorders>
            <w:vAlign w:val="center"/>
          </w:tcPr>
          <w:p>
            <w:pPr>
              <w:pStyle w:val="4"/>
              <w:adjustRightInd w:val="0"/>
              <w:snapToGrid w:val="0"/>
              <w:ind w:left="0"/>
              <w:jc w:val="center"/>
              <w:rPr>
                <w:rFonts w:ascii="宋体" w:hAnsi="宋体" w:cs="宋体"/>
                <w:sz w:val="24"/>
                <w:szCs w:val="24"/>
              </w:rPr>
            </w:pPr>
            <w:bookmarkStart w:id="63" w:name="_Toc14127"/>
            <w:r>
              <w:rPr>
                <w:rFonts w:hint="eastAsia" w:ascii="宋体" w:hAnsi="宋体" w:cs="宋体"/>
                <w:sz w:val="24"/>
                <w:szCs w:val="24"/>
              </w:rPr>
              <w:t>单价</w:t>
            </w:r>
            <w:bookmarkEnd w:id="63"/>
          </w:p>
        </w:tc>
        <w:tc>
          <w:tcPr>
            <w:tcW w:w="735" w:type="dxa"/>
            <w:tcBorders>
              <w:left w:val="single" w:color="auto" w:sz="4" w:space="0"/>
              <w:right w:val="single" w:color="auto" w:sz="4" w:space="0"/>
            </w:tcBorders>
            <w:vAlign w:val="center"/>
          </w:tcPr>
          <w:p>
            <w:pPr>
              <w:pStyle w:val="4"/>
              <w:adjustRightInd w:val="0"/>
              <w:snapToGrid w:val="0"/>
              <w:ind w:left="0"/>
              <w:jc w:val="center"/>
              <w:rPr>
                <w:rFonts w:ascii="宋体" w:hAnsi="宋体" w:cs="宋体"/>
                <w:sz w:val="24"/>
                <w:szCs w:val="24"/>
              </w:rPr>
            </w:pPr>
            <w:bookmarkStart w:id="64" w:name="_Toc31109"/>
            <w:r>
              <w:rPr>
                <w:rFonts w:hint="eastAsia" w:ascii="宋体" w:hAnsi="宋体" w:cs="宋体"/>
                <w:sz w:val="24"/>
                <w:szCs w:val="24"/>
              </w:rPr>
              <w:t>数量</w:t>
            </w:r>
            <w:bookmarkEnd w:id="64"/>
          </w:p>
        </w:tc>
        <w:tc>
          <w:tcPr>
            <w:tcW w:w="1050" w:type="dxa"/>
            <w:tcBorders>
              <w:left w:val="single" w:color="auto" w:sz="4" w:space="0"/>
            </w:tcBorders>
            <w:vAlign w:val="center"/>
          </w:tcPr>
          <w:p>
            <w:pPr>
              <w:pStyle w:val="4"/>
              <w:ind w:left="0"/>
              <w:jc w:val="center"/>
              <w:rPr>
                <w:rFonts w:ascii="宋体" w:hAnsi="宋体" w:cs="宋体"/>
                <w:sz w:val="24"/>
                <w:szCs w:val="24"/>
              </w:rPr>
            </w:pPr>
            <w:bookmarkStart w:id="65" w:name="_Toc23428"/>
            <w:r>
              <w:rPr>
                <w:rFonts w:hint="eastAsia" w:ascii="宋体" w:hAnsi="宋体" w:cs="宋体"/>
                <w:sz w:val="24"/>
                <w:szCs w:val="24"/>
              </w:rPr>
              <w:t>交付地点</w:t>
            </w:r>
            <w:bookmarkEnd w:id="65"/>
          </w:p>
        </w:tc>
        <w:tc>
          <w:tcPr>
            <w:tcW w:w="1215" w:type="dxa"/>
            <w:tcBorders>
              <w:right w:val="single" w:color="auto" w:sz="4" w:space="0"/>
            </w:tcBorders>
            <w:vAlign w:val="center"/>
          </w:tcPr>
          <w:p>
            <w:pPr>
              <w:pStyle w:val="4"/>
              <w:ind w:left="0"/>
              <w:jc w:val="center"/>
              <w:rPr>
                <w:rFonts w:ascii="宋体" w:hAnsi="宋体" w:cs="宋体"/>
                <w:sz w:val="24"/>
                <w:szCs w:val="24"/>
              </w:rPr>
            </w:pPr>
            <w:bookmarkStart w:id="66" w:name="_Toc2991"/>
            <w:r>
              <w:rPr>
                <w:rFonts w:hint="eastAsia" w:ascii="宋体" w:hAnsi="宋体" w:cs="宋体"/>
                <w:sz w:val="24"/>
                <w:szCs w:val="24"/>
              </w:rPr>
              <w:t>交付时间</w:t>
            </w:r>
            <w:bookmarkEnd w:id="66"/>
          </w:p>
        </w:tc>
        <w:tc>
          <w:tcPr>
            <w:tcW w:w="903" w:type="dxa"/>
            <w:tcBorders>
              <w:right w:val="single" w:color="auto" w:sz="4" w:space="0"/>
            </w:tcBorders>
            <w:vAlign w:val="center"/>
          </w:tcPr>
          <w:p>
            <w:pPr>
              <w:pStyle w:val="4"/>
              <w:ind w:left="0"/>
              <w:jc w:val="center"/>
              <w:rPr>
                <w:rFonts w:ascii="宋体" w:hAnsi="宋体" w:cs="宋体"/>
                <w:sz w:val="24"/>
                <w:szCs w:val="24"/>
              </w:rPr>
            </w:pPr>
            <w:bookmarkStart w:id="67" w:name="_Toc17703"/>
            <w:r>
              <w:rPr>
                <w:rFonts w:hint="eastAsia" w:ascii="宋体" w:hAnsi="宋体" w:cs="宋体"/>
                <w:sz w:val="24"/>
                <w:szCs w:val="24"/>
              </w:rPr>
              <w:t>备注</w:t>
            </w:r>
            <w:bookmarkEnd w:id="67"/>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hAnsi="宋体" w:cs="宋体"/>
                <w:szCs w:val="24"/>
              </w:rPr>
            </w:pPr>
          </w:p>
        </w:tc>
        <w:tc>
          <w:tcPr>
            <w:tcW w:w="960" w:type="dxa"/>
          </w:tcPr>
          <w:p>
            <w:pPr>
              <w:spacing w:beforeLines="50" w:line="360" w:lineRule="auto"/>
              <w:jc w:val="center"/>
              <w:rPr>
                <w:rFonts w:hAnsi="宋体" w:cs="宋体"/>
                <w:szCs w:val="24"/>
              </w:rPr>
            </w:pPr>
          </w:p>
        </w:tc>
        <w:tc>
          <w:tcPr>
            <w:tcW w:w="1485" w:type="dxa"/>
            <w:tcBorders>
              <w:right w:val="single" w:color="auto" w:sz="4" w:space="0"/>
            </w:tcBorders>
          </w:tcPr>
          <w:p>
            <w:pPr>
              <w:spacing w:beforeLines="50" w:line="360" w:lineRule="auto"/>
              <w:jc w:val="center"/>
              <w:rPr>
                <w:rFonts w:hAnsi="宋体" w:cs="宋体"/>
                <w:szCs w:val="24"/>
              </w:rPr>
            </w:pPr>
          </w:p>
        </w:tc>
        <w:tc>
          <w:tcPr>
            <w:tcW w:w="1695" w:type="dxa"/>
            <w:tcBorders>
              <w:left w:val="single" w:color="auto" w:sz="4" w:space="0"/>
            </w:tcBorders>
          </w:tcPr>
          <w:p>
            <w:pPr>
              <w:spacing w:beforeLines="50" w:line="360" w:lineRule="auto"/>
              <w:jc w:val="center"/>
              <w:rPr>
                <w:rFonts w:hAnsi="宋体" w:cs="宋体"/>
                <w:szCs w:val="24"/>
              </w:rPr>
            </w:pPr>
          </w:p>
        </w:tc>
        <w:tc>
          <w:tcPr>
            <w:tcW w:w="825" w:type="dxa"/>
            <w:tcBorders>
              <w:right w:val="single" w:color="auto" w:sz="4" w:space="0"/>
            </w:tcBorders>
          </w:tcPr>
          <w:p>
            <w:pPr>
              <w:spacing w:beforeLines="50" w:line="360" w:lineRule="auto"/>
              <w:jc w:val="center"/>
              <w:rPr>
                <w:rFonts w:hAnsi="宋体" w:cs="宋体"/>
                <w:szCs w:val="24"/>
              </w:rPr>
            </w:pPr>
          </w:p>
        </w:tc>
        <w:tc>
          <w:tcPr>
            <w:tcW w:w="735" w:type="dxa"/>
            <w:tcBorders>
              <w:left w:val="single" w:color="auto" w:sz="4" w:space="0"/>
              <w:right w:val="single" w:color="auto" w:sz="4" w:space="0"/>
            </w:tcBorders>
          </w:tcPr>
          <w:p>
            <w:pPr>
              <w:spacing w:beforeLines="50" w:line="360" w:lineRule="auto"/>
              <w:jc w:val="center"/>
              <w:rPr>
                <w:rFonts w:hAnsi="宋体" w:cs="宋体"/>
                <w:szCs w:val="24"/>
              </w:rPr>
            </w:pPr>
          </w:p>
        </w:tc>
        <w:tc>
          <w:tcPr>
            <w:tcW w:w="1050" w:type="dxa"/>
            <w:tcBorders>
              <w:left w:val="single" w:color="auto" w:sz="4" w:space="0"/>
            </w:tcBorders>
          </w:tcPr>
          <w:p>
            <w:pPr>
              <w:spacing w:beforeLines="50" w:line="360" w:lineRule="auto"/>
              <w:jc w:val="center"/>
              <w:rPr>
                <w:rFonts w:hAnsi="宋体" w:cs="宋体"/>
                <w:szCs w:val="24"/>
              </w:rPr>
            </w:pPr>
          </w:p>
        </w:tc>
        <w:tc>
          <w:tcPr>
            <w:tcW w:w="1215" w:type="dxa"/>
            <w:tcBorders>
              <w:right w:val="single" w:color="auto" w:sz="4" w:space="0"/>
            </w:tcBorders>
          </w:tcPr>
          <w:p>
            <w:pPr>
              <w:spacing w:beforeLines="50" w:line="360" w:lineRule="auto"/>
              <w:jc w:val="center"/>
              <w:rPr>
                <w:rFonts w:hAnsi="宋体" w:cs="宋体"/>
                <w:szCs w:val="24"/>
              </w:rPr>
            </w:pPr>
          </w:p>
        </w:tc>
        <w:tc>
          <w:tcPr>
            <w:tcW w:w="903"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hAnsi="宋体" w:cs="宋体"/>
                <w:szCs w:val="24"/>
              </w:rPr>
            </w:pPr>
          </w:p>
        </w:tc>
        <w:tc>
          <w:tcPr>
            <w:tcW w:w="960" w:type="dxa"/>
          </w:tcPr>
          <w:p>
            <w:pPr>
              <w:spacing w:beforeLines="50" w:line="360" w:lineRule="auto"/>
              <w:jc w:val="center"/>
              <w:rPr>
                <w:rFonts w:hAnsi="宋体" w:cs="宋体"/>
                <w:szCs w:val="24"/>
              </w:rPr>
            </w:pPr>
          </w:p>
        </w:tc>
        <w:tc>
          <w:tcPr>
            <w:tcW w:w="1485" w:type="dxa"/>
            <w:tcBorders>
              <w:right w:val="single" w:color="auto" w:sz="4" w:space="0"/>
            </w:tcBorders>
          </w:tcPr>
          <w:p>
            <w:pPr>
              <w:spacing w:beforeLines="50" w:line="360" w:lineRule="auto"/>
              <w:jc w:val="center"/>
              <w:rPr>
                <w:rFonts w:hAnsi="宋体" w:cs="宋体"/>
                <w:szCs w:val="24"/>
              </w:rPr>
            </w:pPr>
          </w:p>
        </w:tc>
        <w:tc>
          <w:tcPr>
            <w:tcW w:w="1695" w:type="dxa"/>
            <w:tcBorders>
              <w:left w:val="single" w:color="auto" w:sz="4" w:space="0"/>
            </w:tcBorders>
          </w:tcPr>
          <w:p>
            <w:pPr>
              <w:spacing w:beforeLines="50" w:line="360" w:lineRule="auto"/>
              <w:jc w:val="center"/>
              <w:rPr>
                <w:rFonts w:hAnsi="宋体" w:cs="宋体"/>
                <w:szCs w:val="24"/>
              </w:rPr>
            </w:pPr>
          </w:p>
        </w:tc>
        <w:tc>
          <w:tcPr>
            <w:tcW w:w="825" w:type="dxa"/>
            <w:tcBorders>
              <w:right w:val="single" w:color="auto" w:sz="4" w:space="0"/>
            </w:tcBorders>
          </w:tcPr>
          <w:p>
            <w:pPr>
              <w:spacing w:beforeLines="50" w:line="360" w:lineRule="auto"/>
              <w:jc w:val="center"/>
              <w:rPr>
                <w:rFonts w:hAnsi="宋体" w:cs="宋体"/>
                <w:szCs w:val="24"/>
              </w:rPr>
            </w:pPr>
          </w:p>
        </w:tc>
        <w:tc>
          <w:tcPr>
            <w:tcW w:w="735" w:type="dxa"/>
            <w:tcBorders>
              <w:left w:val="single" w:color="auto" w:sz="4" w:space="0"/>
              <w:right w:val="single" w:color="auto" w:sz="4" w:space="0"/>
            </w:tcBorders>
          </w:tcPr>
          <w:p>
            <w:pPr>
              <w:spacing w:beforeLines="50" w:line="360" w:lineRule="auto"/>
              <w:jc w:val="center"/>
              <w:rPr>
                <w:rFonts w:hAnsi="宋体" w:cs="宋体"/>
                <w:szCs w:val="24"/>
              </w:rPr>
            </w:pPr>
          </w:p>
        </w:tc>
        <w:tc>
          <w:tcPr>
            <w:tcW w:w="1050" w:type="dxa"/>
            <w:tcBorders>
              <w:left w:val="single" w:color="auto" w:sz="4" w:space="0"/>
            </w:tcBorders>
          </w:tcPr>
          <w:p>
            <w:pPr>
              <w:spacing w:beforeLines="50" w:line="360" w:lineRule="auto"/>
              <w:jc w:val="center"/>
              <w:rPr>
                <w:rFonts w:hAnsi="宋体" w:cs="宋体"/>
                <w:szCs w:val="24"/>
              </w:rPr>
            </w:pPr>
          </w:p>
        </w:tc>
        <w:tc>
          <w:tcPr>
            <w:tcW w:w="1215" w:type="dxa"/>
            <w:tcBorders>
              <w:right w:val="single" w:color="auto" w:sz="4" w:space="0"/>
            </w:tcBorders>
          </w:tcPr>
          <w:p>
            <w:pPr>
              <w:spacing w:beforeLines="50" w:line="360" w:lineRule="auto"/>
              <w:jc w:val="center"/>
              <w:rPr>
                <w:rFonts w:hAnsi="宋体" w:cs="宋体"/>
                <w:szCs w:val="24"/>
              </w:rPr>
            </w:pPr>
          </w:p>
        </w:tc>
        <w:tc>
          <w:tcPr>
            <w:tcW w:w="903"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hAnsi="宋体" w:cs="宋体"/>
                <w:szCs w:val="24"/>
              </w:rPr>
            </w:pPr>
          </w:p>
        </w:tc>
        <w:tc>
          <w:tcPr>
            <w:tcW w:w="960" w:type="dxa"/>
          </w:tcPr>
          <w:p>
            <w:pPr>
              <w:spacing w:beforeLines="50" w:line="360" w:lineRule="auto"/>
              <w:jc w:val="center"/>
              <w:rPr>
                <w:rFonts w:hAnsi="宋体" w:cs="宋体"/>
                <w:szCs w:val="24"/>
              </w:rPr>
            </w:pPr>
          </w:p>
        </w:tc>
        <w:tc>
          <w:tcPr>
            <w:tcW w:w="1485" w:type="dxa"/>
            <w:tcBorders>
              <w:right w:val="single" w:color="auto" w:sz="4" w:space="0"/>
            </w:tcBorders>
          </w:tcPr>
          <w:p>
            <w:pPr>
              <w:spacing w:beforeLines="50" w:line="360" w:lineRule="auto"/>
              <w:jc w:val="center"/>
              <w:rPr>
                <w:rFonts w:hAnsi="宋体" w:cs="宋体"/>
                <w:szCs w:val="24"/>
              </w:rPr>
            </w:pPr>
          </w:p>
        </w:tc>
        <w:tc>
          <w:tcPr>
            <w:tcW w:w="1695" w:type="dxa"/>
            <w:tcBorders>
              <w:left w:val="single" w:color="auto" w:sz="4" w:space="0"/>
            </w:tcBorders>
          </w:tcPr>
          <w:p>
            <w:pPr>
              <w:spacing w:beforeLines="50" w:line="360" w:lineRule="auto"/>
              <w:jc w:val="center"/>
              <w:rPr>
                <w:rFonts w:hAnsi="宋体" w:cs="宋体"/>
                <w:szCs w:val="24"/>
              </w:rPr>
            </w:pPr>
          </w:p>
        </w:tc>
        <w:tc>
          <w:tcPr>
            <w:tcW w:w="825" w:type="dxa"/>
            <w:tcBorders>
              <w:right w:val="single" w:color="auto" w:sz="4" w:space="0"/>
            </w:tcBorders>
          </w:tcPr>
          <w:p>
            <w:pPr>
              <w:spacing w:beforeLines="50" w:line="360" w:lineRule="auto"/>
              <w:jc w:val="center"/>
              <w:rPr>
                <w:rFonts w:hAnsi="宋体" w:cs="宋体"/>
                <w:szCs w:val="24"/>
              </w:rPr>
            </w:pPr>
          </w:p>
        </w:tc>
        <w:tc>
          <w:tcPr>
            <w:tcW w:w="735" w:type="dxa"/>
            <w:tcBorders>
              <w:left w:val="single" w:color="auto" w:sz="4" w:space="0"/>
              <w:right w:val="single" w:color="auto" w:sz="4" w:space="0"/>
            </w:tcBorders>
          </w:tcPr>
          <w:p>
            <w:pPr>
              <w:spacing w:beforeLines="50" w:line="360" w:lineRule="auto"/>
              <w:jc w:val="center"/>
              <w:rPr>
                <w:rFonts w:hAnsi="宋体" w:cs="宋体"/>
                <w:szCs w:val="24"/>
              </w:rPr>
            </w:pPr>
          </w:p>
        </w:tc>
        <w:tc>
          <w:tcPr>
            <w:tcW w:w="1050" w:type="dxa"/>
            <w:tcBorders>
              <w:left w:val="single" w:color="auto" w:sz="4" w:space="0"/>
            </w:tcBorders>
          </w:tcPr>
          <w:p>
            <w:pPr>
              <w:spacing w:beforeLines="50" w:line="360" w:lineRule="auto"/>
              <w:jc w:val="center"/>
              <w:rPr>
                <w:rFonts w:hAnsi="宋体" w:cs="宋体"/>
                <w:szCs w:val="24"/>
              </w:rPr>
            </w:pPr>
          </w:p>
        </w:tc>
        <w:tc>
          <w:tcPr>
            <w:tcW w:w="1215" w:type="dxa"/>
            <w:tcBorders>
              <w:right w:val="single" w:color="auto" w:sz="4" w:space="0"/>
            </w:tcBorders>
          </w:tcPr>
          <w:p>
            <w:pPr>
              <w:spacing w:beforeLines="50" w:line="360" w:lineRule="auto"/>
              <w:jc w:val="center"/>
              <w:rPr>
                <w:rFonts w:hAnsi="宋体" w:cs="宋体"/>
                <w:szCs w:val="24"/>
              </w:rPr>
            </w:pPr>
          </w:p>
        </w:tc>
        <w:tc>
          <w:tcPr>
            <w:tcW w:w="903"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675" w:type="dxa"/>
          </w:tcPr>
          <w:p>
            <w:pPr>
              <w:spacing w:beforeLines="50" w:line="360" w:lineRule="auto"/>
              <w:jc w:val="center"/>
              <w:rPr>
                <w:rFonts w:hAnsi="宋体" w:cs="宋体"/>
                <w:szCs w:val="24"/>
              </w:rPr>
            </w:pPr>
          </w:p>
        </w:tc>
        <w:tc>
          <w:tcPr>
            <w:tcW w:w="960" w:type="dxa"/>
          </w:tcPr>
          <w:p>
            <w:pPr>
              <w:spacing w:beforeLines="50" w:line="360" w:lineRule="auto"/>
              <w:jc w:val="center"/>
              <w:rPr>
                <w:rFonts w:hAnsi="宋体" w:cs="宋体"/>
                <w:szCs w:val="24"/>
              </w:rPr>
            </w:pPr>
          </w:p>
        </w:tc>
        <w:tc>
          <w:tcPr>
            <w:tcW w:w="1485" w:type="dxa"/>
            <w:tcBorders>
              <w:right w:val="single" w:color="auto" w:sz="4" w:space="0"/>
            </w:tcBorders>
          </w:tcPr>
          <w:p>
            <w:pPr>
              <w:spacing w:beforeLines="50" w:line="360" w:lineRule="auto"/>
              <w:jc w:val="center"/>
              <w:rPr>
                <w:rFonts w:hAnsi="宋体" w:cs="宋体"/>
                <w:szCs w:val="24"/>
              </w:rPr>
            </w:pPr>
          </w:p>
        </w:tc>
        <w:tc>
          <w:tcPr>
            <w:tcW w:w="1695" w:type="dxa"/>
            <w:tcBorders>
              <w:left w:val="single" w:color="auto" w:sz="4" w:space="0"/>
            </w:tcBorders>
          </w:tcPr>
          <w:p>
            <w:pPr>
              <w:spacing w:beforeLines="50" w:line="360" w:lineRule="auto"/>
              <w:jc w:val="center"/>
              <w:rPr>
                <w:rFonts w:hAnsi="宋体" w:cs="宋体"/>
                <w:szCs w:val="24"/>
              </w:rPr>
            </w:pPr>
          </w:p>
        </w:tc>
        <w:tc>
          <w:tcPr>
            <w:tcW w:w="825" w:type="dxa"/>
            <w:tcBorders>
              <w:right w:val="single" w:color="auto" w:sz="4" w:space="0"/>
            </w:tcBorders>
          </w:tcPr>
          <w:p>
            <w:pPr>
              <w:spacing w:beforeLines="50" w:line="360" w:lineRule="auto"/>
              <w:jc w:val="center"/>
              <w:rPr>
                <w:rFonts w:hAnsi="宋体" w:cs="宋体"/>
                <w:szCs w:val="24"/>
              </w:rPr>
            </w:pPr>
          </w:p>
        </w:tc>
        <w:tc>
          <w:tcPr>
            <w:tcW w:w="735" w:type="dxa"/>
            <w:tcBorders>
              <w:left w:val="single" w:color="auto" w:sz="4" w:space="0"/>
              <w:right w:val="single" w:color="auto" w:sz="4" w:space="0"/>
            </w:tcBorders>
          </w:tcPr>
          <w:p>
            <w:pPr>
              <w:spacing w:beforeLines="50" w:line="360" w:lineRule="auto"/>
              <w:jc w:val="center"/>
              <w:rPr>
                <w:rFonts w:hAnsi="宋体" w:cs="宋体"/>
                <w:szCs w:val="24"/>
              </w:rPr>
            </w:pPr>
          </w:p>
        </w:tc>
        <w:tc>
          <w:tcPr>
            <w:tcW w:w="1050" w:type="dxa"/>
            <w:tcBorders>
              <w:left w:val="single" w:color="auto" w:sz="4" w:space="0"/>
            </w:tcBorders>
          </w:tcPr>
          <w:p>
            <w:pPr>
              <w:spacing w:beforeLines="50" w:line="360" w:lineRule="auto"/>
              <w:jc w:val="center"/>
              <w:rPr>
                <w:rFonts w:hAnsi="宋体" w:cs="宋体"/>
                <w:szCs w:val="24"/>
              </w:rPr>
            </w:pPr>
          </w:p>
        </w:tc>
        <w:tc>
          <w:tcPr>
            <w:tcW w:w="1215" w:type="dxa"/>
            <w:tcBorders>
              <w:right w:val="single" w:color="auto" w:sz="4" w:space="0"/>
            </w:tcBorders>
          </w:tcPr>
          <w:p>
            <w:pPr>
              <w:spacing w:beforeLines="50" w:line="360" w:lineRule="auto"/>
              <w:jc w:val="center"/>
              <w:rPr>
                <w:rFonts w:hAnsi="宋体" w:cs="宋体"/>
                <w:szCs w:val="24"/>
              </w:rPr>
            </w:pPr>
          </w:p>
        </w:tc>
        <w:tc>
          <w:tcPr>
            <w:tcW w:w="903" w:type="dxa"/>
            <w:tcBorders>
              <w:right w:val="single" w:color="auto" w:sz="4" w:space="0"/>
            </w:tcBorders>
          </w:tcPr>
          <w:p>
            <w:pPr>
              <w:spacing w:beforeLines="50" w:line="360" w:lineRule="auto"/>
              <w:jc w:val="center"/>
              <w:rPr>
                <w:rFonts w:hAnsi="宋体" w:cs="宋体"/>
                <w:szCs w:val="24"/>
              </w:rPr>
            </w:pPr>
          </w:p>
        </w:tc>
      </w:tr>
    </w:tbl>
    <w:p>
      <w:pPr>
        <w:pStyle w:val="26"/>
        <w:ind w:left="1301"/>
      </w:pPr>
    </w:p>
    <w:p>
      <w:pPr>
        <w:spacing w:line="360" w:lineRule="auto"/>
        <w:rPr>
          <w:rFonts w:hAnsi="宋体" w:cs="宋体"/>
          <w:b/>
        </w:rPr>
      </w:pPr>
      <w:r>
        <w:rPr>
          <w:rFonts w:hint="eastAsia" w:hAnsi="宋体" w:cs="宋体"/>
          <w:b/>
        </w:rPr>
        <w:t>八、包装要求</w:t>
      </w:r>
    </w:p>
    <w:p>
      <w:pPr>
        <w:tabs>
          <w:tab w:val="left" w:pos="840"/>
        </w:tabs>
        <w:spacing w:line="360" w:lineRule="auto"/>
        <w:ind w:firstLine="480" w:firstLineChars="200"/>
        <w:rPr>
          <w:rFonts w:hAnsi="宋体" w:cs="宋体"/>
        </w:rPr>
      </w:pPr>
      <w:r>
        <w:rPr>
          <w:rFonts w:hint="eastAsia" w:hAnsi="宋体" w:cs="宋体"/>
        </w:rPr>
        <w:t>1、除合同另有规定外，供应商提供的全部货物，均应按标准保护措施进行包装，并确保货物安全无损运至采购人指定地点。由于包装不良造成的损失和由此产生的费用均由供应商承担。</w:t>
      </w:r>
    </w:p>
    <w:p>
      <w:pPr>
        <w:tabs>
          <w:tab w:val="left" w:pos="840"/>
        </w:tabs>
        <w:spacing w:line="360" w:lineRule="auto"/>
        <w:ind w:firstLine="480" w:firstLineChars="200"/>
        <w:rPr>
          <w:rFonts w:hAnsi="宋体" w:cs="宋体"/>
        </w:rPr>
      </w:pPr>
      <w:r>
        <w:rPr>
          <w:rFonts w:hint="eastAsia" w:hAnsi="宋体" w:cs="宋体"/>
        </w:rPr>
        <w:t>2、每一个包装箱内应附一份详细装箱单和质量合格证。</w:t>
      </w:r>
    </w:p>
    <w:p>
      <w:pPr>
        <w:spacing w:line="360" w:lineRule="auto"/>
        <w:rPr>
          <w:rFonts w:hAnsi="宋体" w:cs="宋体"/>
          <w:b/>
          <w:szCs w:val="24"/>
        </w:rPr>
      </w:pPr>
      <w:r>
        <w:rPr>
          <w:rFonts w:hint="eastAsia" w:hAnsi="宋体" w:cs="宋体"/>
          <w:b/>
          <w:szCs w:val="24"/>
        </w:rPr>
        <w:t>九、运输、安装、调试要求：</w:t>
      </w:r>
    </w:p>
    <w:p>
      <w:pPr>
        <w:tabs>
          <w:tab w:val="left" w:pos="840"/>
        </w:tabs>
        <w:spacing w:line="360" w:lineRule="auto"/>
        <w:ind w:firstLine="480" w:firstLineChars="200"/>
        <w:rPr>
          <w:rFonts w:hAnsi="宋体" w:cs="宋体"/>
          <w:szCs w:val="22"/>
        </w:rPr>
      </w:pPr>
      <w:r>
        <w:rPr>
          <w:rFonts w:hint="eastAsia" w:hAnsi="宋体" w:cs="宋体"/>
          <w:szCs w:val="22"/>
        </w:rPr>
        <w:t>1、供应商根据产品特性，自行选择运输及包装方式，承担一切运输费用，包括从生产厂到采购人指定交货地点所需的装卸、运输（含保险费）及其他一切费用。</w:t>
      </w:r>
    </w:p>
    <w:p>
      <w:pPr>
        <w:tabs>
          <w:tab w:val="left" w:pos="840"/>
        </w:tabs>
        <w:spacing w:line="360" w:lineRule="auto"/>
        <w:ind w:firstLine="480" w:firstLineChars="200"/>
        <w:rPr>
          <w:rFonts w:hAnsi="宋体" w:cs="宋体"/>
          <w:szCs w:val="22"/>
        </w:rPr>
      </w:pPr>
      <w:r>
        <w:rPr>
          <w:rFonts w:hint="eastAsia" w:hAnsi="宋体" w:cs="宋体"/>
          <w:szCs w:val="22"/>
        </w:rPr>
        <w:t>2、由供应商负责派技术人员到现场进行安装、调试至验收合格。供应商应在合同签订后一周内，向采购人提供安装、调试及试运行的进度计划表。</w:t>
      </w:r>
    </w:p>
    <w:p>
      <w:pPr>
        <w:tabs>
          <w:tab w:val="left" w:pos="840"/>
        </w:tabs>
        <w:spacing w:line="360" w:lineRule="auto"/>
        <w:ind w:firstLine="480" w:firstLineChars="200"/>
        <w:rPr>
          <w:rFonts w:hAnsi="宋体" w:cs="宋体"/>
          <w:szCs w:val="22"/>
        </w:rPr>
      </w:pPr>
      <w:r>
        <w:rPr>
          <w:rFonts w:hint="eastAsia" w:hAnsi="宋体" w:cs="宋体"/>
          <w:szCs w:val="22"/>
        </w:rPr>
        <w:t>3、供应商应在合同规定的安装调试期内完成该项工作,如因供应商责任而造成延期，每超过一天按合同总价款的（1‰）支付采购人误期赔偿金，直至交货或提供服务结束为止，所有因延期而产生的费用由供应商承担。</w:t>
      </w:r>
    </w:p>
    <w:p>
      <w:pPr>
        <w:tabs>
          <w:tab w:val="left" w:pos="840"/>
        </w:tabs>
        <w:spacing w:line="360" w:lineRule="auto"/>
        <w:ind w:firstLine="480" w:firstLineChars="200"/>
        <w:rPr>
          <w:rFonts w:hAnsi="宋体" w:cs="宋体"/>
          <w:szCs w:val="22"/>
        </w:rPr>
      </w:pPr>
      <w:r>
        <w:rPr>
          <w:rFonts w:hint="eastAsia" w:hAnsi="宋体" w:cs="宋体"/>
          <w:szCs w:val="22"/>
        </w:rPr>
        <w:t>4、安装和调试期间所发生的费用均由供应商负责。</w:t>
      </w:r>
    </w:p>
    <w:p>
      <w:pPr>
        <w:tabs>
          <w:tab w:val="left" w:pos="840"/>
        </w:tabs>
        <w:spacing w:line="360" w:lineRule="auto"/>
        <w:ind w:firstLine="480" w:firstLineChars="200"/>
        <w:rPr>
          <w:rFonts w:hAnsi="宋体" w:cs="宋体"/>
          <w:szCs w:val="22"/>
        </w:rPr>
      </w:pPr>
      <w:r>
        <w:rPr>
          <w:rFonts w:hint="eastAsia" w:hAnsi="宋体" w:cs="宋体"/>
          <w:szCs w:val="22"/>
        </w:rPr>
        <w:t>5、供应商应对安装调试、整改等实施过程的安全负责，如发生人身伤亡、财产损失的由供应商负责解决并承担全部责任。</w:t>
      </w:r>
    </w:p>
    <w:p>
      <w:pPr>
        <w:spacing w:line="360" w:lineRule="auto"/>
        <w:rPr>
          <w:rFonts w:hAnsi="宋体" w:cs="宋体"/>
          <w:b/>
          <w:szCs w:val="24"/>
        </w:rPr>
      </w:pPr>
      <w:r>
        <w:rPr>
          <w:rFonts w:hint="eastAsia" w:hAnsi="宋体" w:cs="宋体"/>
          <w:b/>
          <w:szCs w:val="24"/>
        </w:rPr>
        <w:t>十、技术支持：</w:t>
      </w:r>
    </w:p>
    <w:p>
      <w:pPr>
        <w:spacing w:line="360" w:lineRule="auto"/>
        <w:ind w:firstLine="480" w:firstLineChars="200"/>
        <w:rPr>
          <w:rFonts w:hAnsi="宋体" w:cs="宋体"/>
          <w:szCs w:val="24"/>
        </w:rPr>
      </w:pPr>
      <w:r>
        <w:rPr>
          <w:rFonts w:hint="eastAsia" w:hAnsi="宋体" w:cs="宋体"/>
          <w:szCs w:val="24"/>
        </w:rPr>
        <w:t xml:space="preserve"> 提供全年7×24小时的技术咨询服务,供应商怠于或无法提供技术支持的，采购人有权委托第三方处理，由此产生的费用和后果由供应商负责，费用直接从应付款或质保金中扣除。供应商指定的项目总协调人必须是供应商公司管理层人员。项目建设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pPr>
        <w:spacing w:line="360" w:lineRule="auto"/>
        <w:ind w:firstLine="480" w:firstLineChars="200"/>
        <w:rPr>
          <w:rFonts w:hAnsi="宋体" w:cs="宋体"/>
          <w:szCs w:val="24"/>
        </w:rPr>
      </w:pPr>
      <w:r>
        <w:rPr>
          <w:rFonts w:hint="eastAsia" w:hAnsi="宋体" w:cs="宋体"/>
          <w:szCs w:val="24"/>
        </w:rPr>
        <w:t>供应商在项目实施过程中，质量保障人员、资源不足或者执行不力，给项目质量带来的风险超出采购人认定的允许范围时，采购人可终止本项目的合作并进行索赔。</w:t>
      </w:r>
    </w:p>
    <w:p>
      <w:pPr>
        <w:spacing w:line="360" w:lineRule="auto"/>
        <w:rPr>
          <w:rFonts w:hAnsi="宋体" w:cs="宋体"/>
          <w:b/>
          <w:szCs w:val="24"/>
        </w:rPr>
      </w:pPr>
      <w:r>
        <w:rPr>
          <w:rFonts w:hint="eastAsia" w:hAnsi="宋体" w:cs="宋体"/>
          <w:b/>
          <w:szCs w:val="24"/>
        </w:rPr>
        <w:t>十一、技术培训：</w:t>
      </w:r>
    </w:p>
    <w:p>
      <w:pPr>
        <w:spacing w:line="360" w:lineRule="auto"/>
        <w:ind w:firstLine="480" w:firstLineChars="200"/>
        <w:rPr>
          <w:rFonts w:hAnsi="宋体" w:cs="宋体"/>
          <w:szCs w:val="24"/>
        </w:rPr>
      </w:pPr>
      <w:r>
        <w:rPr>
          <w:rFonts w:hint="eastAsia" w:hAnsi="宋体" w:cs="宋体"/>
          <w:szCs w:val="24"/>
        </w:rPr>
        <w:t>应包括产品使用操作、保养、维修等培训内容。供应商需按采购人要求的时间为采购人免费培训技术人员若干名，培训服务以受培训人员熟练掌握相应技能为原则。在产品投入使用初期进行必要的跟踪指导，保障产品的稳定运行。供应的产品需在培训基地培训的，供应商应按要求履行，培训产生的交通费、食宿费、培训费等均由供应商承担。</w:t>
      </w:r>
    </w:p>
    <w:p>
      <w:pPr>
        <w:spacing w:line="360" w:lineRule="auto"/>
        <w:rPr>
          <w:rFonts w:hAnsi="宋体" w:cs="宋体"/>
          <w:b/>
          <w:szCs w:val="24"/>
        </w:rPr>
      </w:pPr>
      <w:r>
        <w:rPr>
          <w:rFonts w:hint="eastAsia" w:hAnsi="宋体" w:cs="宋体"/>
          <w:b/>
          <w:szCs w:val="24"/>
        </w:rPr>
        <w:t>十二、技术资料要求：</w:t>
      </w:r>
    </w:p>
    <w:p>
      <w:pPr>
        <w:spacing w:line="360" w:lineRule="auto"/>
        <w:ind w:firstLine="480" w:firstLineChars="200"/>
        <w:rPr>
          <w:rFonts w:hAnsi="宋体" w:cs="宋体"/>
          <w:szCs w:val="24"/>
        </w:rPr>
      </w:pPr>
      <w:r>
        <w:rPr>
          <w:rFonts w:hint="eastAsia" w:hAnsi="宋体" w:cs="宋体"/>
          <w:szCs w:val="24"/>
        </w:rPr>
        <w:t>供应商应向采购人提供全套中文技术资料一套，其费用包括在合同总价款中：</w:t>
      </w:r>
    </w:p>
    <w:p>
      <w:pPr>
        <w:spacing w:line="360" w:lineRule="auto"/>
        <w:ind w:firstLine="480" w:firstLineChars="200"/>
        <w:rPr>
          <w:rFonts w:hAnsi="宋体" w:cs="宋体"/>
          <w:szCs w:val="24"/>
        </w:rPr>
      </w:pPr>
      <w:r>
        <w:rPr>
          <w:rFonts w:hint="eastAsia" w:hAnsi="宋体" w:cs="宋体"/>
          <w:szCs w:val="24"/>
        </w:rPr>
        <w:t>1、完整的产品操作使用手册、说明书和维护、修理技术文件、图纸、保修卡等；</w:t>
      </w:r>
    </w:p>
    <w:p>
      <w:pPr>
        <w:spacing w:line="360" w:lineRule="auto"/>
        <w:ind w:firstLine="480" w:firstLineChars="200"/>
        <w:rPr>
          <w:rFonts w:hAnsi="宋体" w:cs="宋体"/>
          <w:szCs w:val="24"/>
        </w:rPr>
      </w:pPr>
      <w:r>
        <w:rPr>
          <w:rFonts w:hint="eastAsia" w:hAnsi="宋体" w:cs="宋体"/>
          <w:szCs w:val="24"/>
        </w:rPr>
        <w:t>2、制造厂的检验、测试报告、产品检验合格证书，质量保证书等文件验收时需提供；</w:t>
      </w:r>
    </w:p>
    <w:p>
      <w:pPr>
        <w:spacing w:line="360" w:lineRule="auto"/>
        <w:ind w:firstLine="480" w:firstLineChars="200"/>
        <w:rPr>
          <w:rFonts w:hAnsi="宋体" w:cs="宋体"/>
          <w:szCs w:val="24"/>
        </w:rPr>
      </w:pPr>
      <w:r>
        <w:rPr>
          <w:rFonts w:hint="eastAsia" w:hAnsi="宋体" w:cs="宋体"/>
          <w:szCs w:val="24"/>
        </w:rPr>
        <w:t>3、必须的其它技术资料；</w:t>
      </w:r>
    </w:p>
    <w:p>
      <w:pPr>
        <w:spacing w:line="360" w:lineRule="auto"/>
        <w:ind w:firstLine="480" w:firstLineChars="200"/>
        <w:rPr>
          <w:rFonts w:hAnsi="宋体" w:cs="宋体"/>
          <w:szCs w:val="24"/>
        </w:rPr>
      </w:pPr>
      <w:r>
        <w:rPr>
          <w:rFonts w:hint="eastAsia" w:hAnsi="宋体" w:cs="宋体"/>
          <w:szCs w:val="24"/>
        </w:rPr>
        <w:t>4、产品验收标准；</w:t>
      </w:r>
    </w:p>
    <w:p>
      <w:pPr>
        <w:spacing w:line="360" w:lineRule="auto"/>
        <w:ind w:firstLine="480" w:firstLineChars="200"/>
        <w:rPr>
          <w:rFonts w:hAnsi="宋体" w:cs="宋体"/>
        </w:rPr>
      </w:pPr>
      <w:r>
        <w:rPr>
          <w:rFonts w:hint="eastAsia" w:hAnsi="宋体" w:cs="宋体"/>
        </w:rPr>
        <w:t>5、技术说明书；</w:t>
      </w:r>
    </w:p>
    <w:p>
      <w:pPr>
        <w:spacing w:line="360" w:lineRule="auto"/>
        <w:ind w:firstLine="480" w:firstLineChars="200"/>
        <w:rPr>
          <w:rFonts w:hAnsi="宋体" w:cs="宋体"/>
        </w:rPr>
      </w:pPr>
      <w:r>
        <w:rPr>
          <w:rFonts w:hint="eastAsia" w:hAnsi="宋体" w:cs="宋体"/>
        </w:rPr>
        <w:t>6、零部件目录；</w:t>
      </w:r>
    </w:p>
    <w:p>
      <w:pPr>
        <w:spacing w:line="360" w:lineRule="auto"/>
        <w:ind w:firstLine="480" w:firstLineChars="200"/>
        <w:rPr>
          <w:rFonts w:hAnsi="宋体" w:cs="宋体"/>
        </w:rPr>
      </w:pPr>
      <w:r>
        <w:rPr>
          <w:rFonts w:hint="eastAsia" w:hAnsi="宋体" w:cs="宋体"/>
        </w:rPr>
        <w:t>7、备品备件、易损件清单；</w:t>
      </w:r>
    </w:p>
    <w:p>
      <w:pPr>
        <w:spacing w:line="360" w:lineRule="auto"/>
        <w:ind w:firstLine="480" w:firstLineChars="200"/>
        <w:rPr>
          <w:rFonts w:hAnsi="宋体" w:cs="宋体"/>
        </w:rPr>
      </w:pPr>
      <w:r>
        <w:rPr>
          <w:rFonts w:hint="eastAsia" w:hAnsi="宋体" w:cs="宋体"/>
        </w:rPr>
        <w:t>8、项目完工后提供验收报告；</w:t>
      </w:r>
    </w:p>
    <w:p>
      <w:pPr>
        <w:spacing w:line="360" w:lineRule="auto"/>
        <w:ind w:firstLine="480" w:firstLineChars="200"/>
        <w:rPr>
          <w:rFonts w:hAnsi="宋体" w:cs="宋体"/>
        </w:rPr>
      </w:pPr>
      <w:r>
        <w:rPr>
          <w:rFonts w:hint="eastAsia" w:hAnsi="宋体" w:cs="宋体"/>
        </w:rPr>
        <w:t>9、合同中要求的其他文件资料。</w:t>
      </w:r>
    </w:p>
    <w:p>
      <w:pPr>
        <w:pStyle w:val="23"/>
        <w:spacing w:line="360" w:lineRule="auto"/>
        <w:rPr>
          <w:rFonts w:hAnsi="宋体" w:cs="宋体"/>
          <w:b/>
          <w:sz w:val="24"/>
          <w:szCs w:val="24"/>
        </w:rPr>
      </w:pPr>
      <w:r>
        <w:rPr>
          <w:rFonts w:hint="eastAsia" w:hAnsi="宋体" w:cs="宋体"/>
          <w:b/>
          <w:sz w:val="24"/>
          <w:szCs w:val="24"/>
        </w:rPr>
        <w:t>十三、质保及维保服务（提供售后服务承诺书）：</w:t>
      </w:r>
    </w:p>
    <w:p>
      <w:pPr>
        <w:adjustRightInd w:val="0"/>
        <w:snapToGrid w:val="0"/>
        <w:spacing w:line="360" w:lineRule="auto"/>
        <w:ind w:firstLine="480" w:firstLineChars="200"/>
        <w:rPr>
          <w:rFonts w:hAnsi="宋体" w:cs="宋体"/>
          <w:szCs w:val="24"/>
        </w:rPr>
      </w:pPr>
      <w:r>
        <w:rPr>
          <w:rFonts w:hint="eastAsia" w:hAnsi="宋体" w:cs="宋体"/>
        </w:rPr>
        <w:t>1、本项目</w:t>
      </w:r>
      <w:r>
        <w:rPr>
          <w:rFonts w:hint="eastAsia" w:hAnsi="宋体" w:cs="宋体"/>
          <w:highlight w:val="none"/>
        </w:rPr>
        <w:t>的质保期为整体验收合格后</w:t>
      </w:r>
      <w:r>
        <w:rPr>
          <w:rFonts w:hint="eastAsia" w:hAnsi="宋体" w:cs="宋体"/>
          <w:color w:val="000000" w:themeColor="text1"/>
          <w:highlight w:val="none"/>
        </w:rPr>
        <w:t>一年</w:t>
      </w:r>
      <w:r>
        <w:rPr>
          <w:rFonts w:hint="eastAsia" w:hAnsi="宋体" w:cs="宋体"/>
          <w:highlight w:val="none"/>
        </w:rPr>
        <w:t>。</w:t>
      </w:r>
      <w:r>
        <w:rPr>
          <w:rFonts w:hint="eastAsia" w:hAnsi="宋体" w:cs="宋体"/>
          <w:szCs w:val="24"/>
          <w:highlight w:val="none"/>
        </w:rPr>
        <w:t>（单个产品若供应商提供的质保期超过</w:t>
      </w:r>
      <w:r>
        <w:rPr>
          <w:rFonts w:hint="eastAsia" w:hAnsi="宋体" w:cs="宋体"/>
          <w:szCs w:val="24"/>
          <w:highlight w:val="none"/>
          <w:lang w:eastAsia="zh-CN"/>
        </w:rPr>
        <w:t>一</w:t>
      </w:r>
      <w:r>
        <w:rPr>
          <w:rFonts w:hint="eastAsia" w:hAnsi="宋体" w:cs="宋体"/>
          <w:szCs w:val="24"/>
          <w:highlight w:val="none"/>
        </w:rPr>
        <w:t>年的，执行厂家规定，若国家有明确规定且高于此质保期的，执行国家规定）</w:t>
      </w:r>
      <w:r>
        <w:rPr>
          <w:rFonts w:hint="eastAsia" w:hAnsi="宋体" w:cs="宋体"/>
          <w:szCs w:val="24"/>
        </w:rPr>
        <w:t>。</w:t>
      </w:r>
    </w:p>
    <w:p>
      <w:pPr>
        <w:spacing w:line="360" w:lineRule="auto"/>
        <w:ind w:firstLine="480" w:firstLineChars="200"/>
        <w:rPr>
          <w:rFonts w:hAnsi="宋体"/>
          <w:szCs w:val="24"/>
        </w:rPr>
      </w:pPr>
      <w:r>
        <w:rPr>
          <w:rFonts w:hint="eastAsia" w:hAnsi="宋体" w:cs="宋体"/>
          <w:szCs w:val="24"/>
        </w:rPr>
        <w:t>2、供应商</w:t>
      </w:r>
      <w:r>
        <w:rPr>
          <w:rFonts w:hint="eastAsia" w:hAnsi="宋体" w:cs="宋体"/>
        </w:rPr>
        <w:t>提供的</w:t>
      </w:r>
      <w:r>
        <w:rPr>
          <w:rFonts w:hint="eastAsia" w:hAnsi="宋体" w:cs="宋体"/>
          <w:szCs w:val="24"/>
        </w:rPr>
        <w:t>产品</w:t>
      </w:r>
      <w:r>
        <w:rPr>
          <w:rFonts w:hint="eastAsia" w:hAnsi="宋体" w:cs="宋体"/>
        </w:rPr>
        <w:t>及材料必须保证质量可靠，为市场最新或主流</w:t>
      </w:r>
      <w:r>
        <w:rPr>
          <w:rFonts w:hint="eastAsia" w:hAnsi="宋体" w:cs="宋体"/>
          <w:szCs w:val="24"/>
        </w:rPr>
        <w:t>产品</w:t>
      </w:r>
      <w:r>
        <w:rPr>
          <w:rFonts w:hint="eastAsia" w:hAnsi="宋体" w:cs="宋体"/>
        </w:rPr>
        <w:t>，进货渠道正常，配置合理齐全，应全面满足磋商文件的要求，磋商文件未明确要求的内容，采购人须按磋商产品主流标准配置或以采购人的补充要求为准。所供产品工艺质量应严格按国家最新发布的规范标准执行，如发生质量问题由供应商承担全部责任。</w:t>
      </w:r>
      <w:r>
        <w:rPr>
          <w:rFonts w:hint="eastAsia" w:hAnsi="宋体" w:cs="宋体"/>
          <w:szCs w:val="24"/>
        </w:rPr>
        <w:t>采购人使用产品过程中因产品质量、产品缺陷及安装质量等造成人身伤亡、财产损失的，由供应商负责解决并承担全部责任。</w:t>
      </w:r>
    </w:p>
    <w:p>
      <w:pPr>
        <w:tabs>
          <w:tab w:val="left" w:pos="1080"/>
        </w:tabs>
        <w:spacing w:line="360" w:lineRule="auto"/>
        <w:ind w:firstLine="480" w:firstLineChars="200"/>
        <w:rPr>
          <w:rFonts w:hAnsi="宋体" w:cs="宋体"/>
          <w:szCs w:val="24"/>
        </w:rPr>
      </w:pPr>
      <w:r>
        <w:rPr>
          <w:rFonts w:hint="eastAsia" w:hAnsi="宋体" w:cs="宋体"/>
          <w:szCs w:val="24"/>
        </w:rPr>
        <w:t>3、供应商应提供可承担维修职能的公司或全资分公司或办事处，并驻守多名维护技术人员，并提供地点、联系人（常驻工程师）及联系电话（服务热线），随时解答各种疑问（需提供相关证明材料）。</w:t>
      </w:r>
    </w:p>
    <w:p>
      <w:pPr>
        <w:spacing w:line="360" w:lineRule="auto"/>
        <w:ind w:firstLine="480" w:firstLineChars="200"/>
        <w:rPr>
          <w:rFonts w:hAnsi="宋体" w:cs="宋体"/>
          <w:szCs w:val="24"/>
        </w:rPr>
      </w:pPr>
      <w:r>
        <w:rPr>
          <w:rFonts w:hint="eastAsia" w:hAnsi="宋体" w:cs="宋体"/>
          <w:szCs w:val="24"/>
        </w:rPr>
        <w:t>4、服务方式：现场服务，</w:t>
      </w:r>
      <w:r>
        <w:rPr>
          <w:rFonts w:hint="eastAsia" w:hAnsi="宋体" w:cs="宋体"/>
        </w:rPr>
        <w:t>产品按照国家三包规定执行，</w:t>
      </w:r>
      <w:r>
        <w:rPr>
          <w:rFonts w:hint="eastAsia" w:hAnsi="宋体" w:cs="宋体"/>
          <w:szCs w:val="24"/>
        </w:rPr>
        <w:t>提供终身技术支持。在质保期内，如果发生故障，供应商要调查故障原因，由供应商提供的产品出现的问题，供应商须免费修复直至满足最终验收指标和性能。在质保期间，供应商须提供7*24小时售后服务，并且实现4小时内到达现场服务，产品故障修复时间不超过12小时，对无法立即修复的产品及时提供备件更换服务，备件提供时间不超过24小时，产品维修时间超过3天的，则须提供同档次的备用产品。</w:t>
      </w:r>
      <w:r>
        <w:rPr>
          <w:rFonts w:hint="eastAsia" w:hAnsi="宋体"/>
          <w:szCs w:val="24"/>
        </w:rPr>
        <w:t>供应商提供的设备品配件的供应</w:t>
      </w:r>
      <w:r>
        <w:rPr>
          <w:rFonts w:hAnsi="宋体"/>
          <w:szCs w:val="24"/>
        </w:rPr>
        <w:t>,长期</w:t>
      </w:r>
      <w:r>
        <w:rPr>
          <w:rFonts w:hint="eastAsia" w:hAnsi="宋体"/>
          <w:szCs w:val="24"/>
        </w:rPr>
        <w:t>提供</w:t>
      </w:r>
      <w:r>
        <w:rPr>
          <w:rFonts w:hAnsi="宋体"/>
          <w:szCs w:val="24"/>
        </w:rPr>
        <w:t>维修</w:t>
      </w:r>
      <w:r>
        <w:rPr>
          <w:rFonts w:hint="eastAsia" w:hAnsi="宋体"/>
          <w:szCs w:val="24"/>
        </w:rPr>
        <w:t>服务，并提供</w:t>
      </w:r>
      <w:r>
        <w:rPr>
          <w:rFonts w:hAnsi="宋体"/>
          <w:szCs w:val="24"/>
        </w:rPr>
        <w:t>技术咨询等服务</w:t>
      </w:r>
      <w:r>
        <w:rPr>
          <w:rFonts w:hint="eastAsia" w:hAnsi="宋体"/>
          <w:szCs w:val="24"/>
        </w:rPr>
        <w:t>。质保期内应无偿负责的维修和替换等工作。超出质保期只收取维修所需原设备、材料成本费用。</w:t>
      </w:r>
    </w:p>
    <w:p>
      <w:pPr>
        <w:spacing w:line="360" w:lineRule="auto"/>
        <w:ind w:firstLine="480" w:firstLineChars="200"/>
        <w:rPr>
          <w:rFonts w:hAnsi="宋体"/>
          <w:szCs w:val="24"/>
        </w:rPr>
      </w:pPr>
      <w:r>
        <w:rPr>
          <w:rFonts w:hint="eastAsia" w:hAnsi="宋体" w:cs="宋体"/>
          <w:szCs w:val="24"/>
        </w:rPr>
        <w:t>5、</w:t>
      </w:r>
      <w:r>
        <w:rPr>
          <w:rFonts w:hint="eastAsia" w:hAnsi="宋体"/>
          <w:szCs w:val="24"/>
        </w:rPr>
        <w:t>派专人对学校提供售后服务，并定期对所提供的设备设施使用情况等进行回访。</w:t>
      </w:r>
      <w:r>
        <w:rPr>
          <w:rFonts w:hint="eastAsia" w:hAnsi="宋体" w:cs="宋体"/>
          <w:szCs w:val="24"/>
        </w:rPr>
        <w:t>每年至少二次免费上门维护，回访。</w:t>
      </w:r>
    </w:p>
    <w:p>
      <w:pPr>
        <w:spacing w:line="360" w:lineRule="auto"/>
        <w:ind w:firstLine="480" w:firstLineChars="200"/>
        <w:rPr>
          <w:rFonts w:hAnsi="宋体" w:cs="宋体"/>
          <w:szCs w:val="24"/>
        </w:rPr>
      </w:pPr>
      <w:r>
        <w:rPr>
          <w:rFonts w:hint="eastAsia" w:hAnsi="宋体" w:cs="宋体"/>
          <w:szCs w:val="24"/>
        </w:rPr>
        <w:t>6、对于存在质量问题或者短少的产品，供应商应在接到采购人的通知</w:t>
      </w:r>
      <w:r>
        <w:rPr>
          <w:rFonts w:hAnsi="宋体" w:cs="宋体"/>
          <w:szCs w:val="24"/>
        </w:rPr>
        <w:t>3</w:t>
      </w:r>
      <w:r>
        <w:rPr>
          <w:rFonts w:hint="eastAsia" w:hAnsi="宋体" w:cs="宋体"/>
          <w:szCs w:val="24"/>
        </w:rPr>
        <w:t>个日历日内负责修复，调换、重新制作或补齐。</w:t>
      </w:r>
    </w:p>
    <w:p>
      <w:pPr>
        <w:spacing w:line="360" w:lineRule="auto"/>
        <w:ind w:firstLine="480" w:firstLineChars="200"/>
        <w:rPr>
          <w:rFonts w:hAnsi="宋体" w:cs="宋体"/>
          <w:szCs w:val="24"/>
        </w:rPr>
      </w:pPr>
      <w:r>
        <w:rPr>
          <w:rFonts w:hint="eastAsia" w:hAnsi="宋体" w:cs="宋体"/>
          <w:szCs w:val="24"/>
        </w:rPr>
        <w:t>7、在最终验收后的质量保证期内，供应商应对设计、工艺或材料等的缺陷而产生的故障负责（负责解决并承担全部费用）。质保期满后如出现此类问题亦应负责。</w:t>
      </w:r>
    </w:p>
    <w:p>
      <w:pPr>
        <w:spacing w:line="360" w:lineRule="auto"/>
        <w:ind w:firstLine="480" w:firstLineChars="200"/>
        <w:rPr>
          <w:rFonts w:hAnsi="宋体" w:cs="宋体"/>
          <w:szCs w:val="24"/>
        </w:rPr>
      </w:pPr>
      <w:r>
        <w:rPr>
          <w:rFonts w:hint="eastAsia" w:hAnsi="宋体" w:cs="宋体"/>
          <w:szCs w:val="24"/>
        </w:rPr>
        <w:t>8、供应商及所投产品的制造厂商应承诺质保期、维保期的售后服务条款（包括具体的服务内容、故障响应时间、响应方式、维修措施及时限、维护响应计划等方面），未提供任何质保期、维保期的售后服务条款或提供的内容不实的以不满足</w:t>
      </w:r>
      <w:r>
        <w:rPr>
          <w:rFonts w:hint="eastAsia" w:hAnsi="宋体" w:cs="宋体"/>
        </w:rPr>
        <w:t>磋商文件</w:t>
      </w:r>
      <w:r>
        <w:rPr>
          <w:rFonts w:hint="eastAsia" w:hAnsi="宋体" w:cs="宋体"/>
          <w:szCs w:val="24"/>
        </w:rPr>
        <w:t>要求对待。</w:t>
      </w:r>
    </w:p>
    <w:p>
      <w:pPr>
        <w:spacing w:line="360" w:lineRule="auto"/>
        <w:ind w:firstLine="480" w:firstLineChars="200"/>
        <w:rPr>
          <w:rFonts w:hAnsi="宋体" w:cs="宋体"/>
        </w:rPr>
      </w:pPr>
      <w:r>
        <w:rPr>
          <w:rFonts w:hint="eastAsia" w:hAnsi="宋体" w:cs="宋体"/>
        </w:rPr>
        <w:t>9、对于未按约定提供质保服务的供应商或违约的供应商，采购人将拒绝其参加采购人单位的政府采购项目。且采购人有权委托第三方进行维修，所产生的费用由供应商承担，采购人有权从质保金中直接扣除，不足部分应由供应商支付。</w:t>
      </w:r>
    </w:p>
    <w:p>
      <w:pPr>
        <w:spacing w:line="360" w:lineRule="auto"/>
        <w:rPr>
          <w:rFonts w:hAnsi="宋体" w:cs="宋体"/>
          <w:szCs w:val="24"/>
        </w:rPr>
      </w:pPr>
      <w:r>
        <w:rPr>
          <w:rFonts w:hint="eastAsia" w:hAnsi="宋体" w:cs="宋体"/>
          <w:b/>
          <w:szCs w:val="24"/>
        </w:rPr>
        <w:t>十四、交货及验收:</w:t>
      </w:r>
    </w:p>
    <w:p>
      <w:pPr>
        <w:spacing w:line="360" w:lineRule="auto"/>
        <w:ind w:firstLine="480" w:firstLineChars="200"/>
        <w:rPr>
          <w:rFonts w:hAnsi="宋体"/>
          <w:szCs w:val="24"/>
        </w:rPr>
      </w:pPr>
      <w:r>
        <w:rPr>
          <w:rFonts w:hint="eastAsia" w:hAnsi="宋体"/>
          <w:szCs w:val="24"/>
        </w:rPr>
        <w:t>1、设备到达使用单位指定地点后，在开箱时必须完好，无破损，配置与装箱单相符，数量、质量及性能不低于合同要求。使用单位和供应商共同签署到货验收单。未签收到货验收单的货物不得擅自开箱安装。拆箱后，供应商应对其全部产品、零件、配件、用户许可证书、资料、介质造册登记，登记册作为验收文档之一；供应商应负责在项目验收时将采购的全部有关产品说明书、原厂家安装手册、技术文件、资料、及安装、验收报告等文档汇集成册交付使用单位。</w:t>
      </w:r>
    </w:p>
    <w:p>
      <w:pPr>
        <w:spacing w:line="360" w:lineRule="auto"/>
        <w:ind w:firstLine="480" w:firstLineChars="200"/>
        <w:rPr>
          <w:rFonts w:hAnsi="宋体"/>
          <w:szCs w:val="24"/>
        </w:rPr>
      </w:pPr>
      <w:r>
        <w:rPr>
          <w:rFonts w:hint="eastAsia" w:hAnsi="宋体"/>
          <w:szCs w:val="24"/>
        </w:rPr>
        <w:t>2、安装完成，供应商进行自检并形成自检报告，出现的问题限期整改。自检最终通过后，供应商提出验收申请，使用单位组织相关人员进行最终验收。</w:t>
      </w:r>
    </w:p>
    <w:p>
      <w:pPr>
        <w:spacing w:line="360" w:lineRule="auto"/>
        <w:ind w:firstLine="480" w:firstLineChars="200"/>
        <w:rPr>
          <w:rFonts w:hAnsi="宋体"/>
          <w:szCs w:val="24"/>
        </w:rPr>
      </w:pPr>
      <w:r>
        <w:rPr>
          <w:rFonts w:hint="eastAsia" w:hAnsi="宋体"/>
          <w:szCs w:val="24"/>
        </w:rPr>
        <w:t xml:space="preserve">3、采购人接到供应商的验收通知后，采购人验收组应对其设备的原包装、产品合格证、使用说明书、装箱单等随机文件及保修手续和配置、安装、测试、运行等逐项进行验收，其中一项不合格不能验收，视为不合格。 </w:t>
      </w:r>
    </w:p>
    <w:p>
      <w:pPr>
        <w:spacing w:line="360" w:lineRule="auto"/>
        <w:ind w:firstLine="480" w:firstLineChars="200"/>
        <w:rPr>
          <w:rFonts w:hAnsi="宋体"/>
          <w:szCs w:val="24"/>
        </w:rPr>
      </w:pPr>
      <w:r>
        <w:rPr>
          <w:rFonts w:hint="eastAsia" w:hAnsi="宋体"/>
          <w:szCs w:val="24"/>
        </w:rPr>
        <w:t>4、设备自通过验收之日起进入质保期。</w:t>
      </w:r>
    </w:p>
    <w:p>
      <w:pPr>
        <w:spacing w:line="360" w:lineRule="auto"/>
        <w:ind w:firstLine="480" w:firstLineChars="200"/>
        <w:rPr>
          <w:rFonts w:hAnsi="宋体" w:cs="宋体"/>
          <w:szCs w:val="24"/>
        </w:rPr>
      </w:pPr>
      <w:r>
        <w:rPr>
          <w:rFonts w:hint="eastAsia" w:hAnsi="宋体" w:cs="宋体"/>
          <w:szCs w:val="24"/>
        </w:rPr>
        <w:t>5、所验产品的指标、性能参数通过验收达不到</w:t>
      </w:r>
      <w:r>
        <w:rPr>
          <w:rFonts w:hint="eastAsia" w:hAnsi="宋体" w:cs="宋体"/>
        </w:rPr>
        <w:t>磋商文件</w:t>
      </w:r>
      <w:r>
        <w:rPr>
          <w:rFonts w:hint="eastAsia" w:hAnsi="宋体" w:cs="宋体"/>
          <w:szCs w:val="24"/>
        </w:rPr>
        <w:t>要求和磋商响应文件承诺的，或在使用中发现设计缺陷等，将视为产品验收不合格，供应商应无条件免费更换或退货。</w:t>
      </w:r>
    </w:p>
    <w:p>
      <w:pPr>
        <w:spacing w:line="360" w:lineRule="auto"/>
        <w:ind w:firstLine="480" w:firstLineChars="200"/>
        <w:rPr>
          <w:rFonts w:hAnsi="宋体" w:cs="宋体"/>
          <w:szCs w:val="24"/>
        </w:rPr>
      </w:pPr>
      <w:r>
        <w:rPr>
          <w:rFonts w:hint="eastAsia" w:hAnsi="宋体" w:cs="宋体"/>
          <w:szCs w:val="24"/>
        </w:rPr>
        <w:t>6、若发现供应商有弄虚作假的，供应商应无条件退货，并赔偿采购人相应的损失。</w:t>
      </w:r>
    </w:p>
    <w:p>
      <w:pPr>
        <w:spacing w:line="360" w:lineRule="auto"/>
        <w:ind w:firstLine="480" w:firstLineChars="200"/>
        <w:rPr>
          <w:rFonts w:hAnsi="宋体" w:cs="宋体"/>
          <w:szCs w:val="24"/>
        </w:rPr>
      </w:pPr>
      <w:r>
        <w:rPr>
          <w:rFonts w:hint="eastAsia" w:hAnsi="宋体" w:cs="宋体"/>
          <w:szCs w:val="24"/>
        </w:rPr>
        <w:t>7、验收标准：按磋商文件、磋商响应文件及澄清函等技术指标进行验收。各项指标均应符合验收标准及要求。</w:t>
      </w:r>
    </w:p>
    <w:p>
      <w:pPr>
        <w:spacing w:line="360" w:lineRule="auto"/>
        <w:ind w:firstLine="480" w:firstLineChars="200"/>
        <w:rPr>
          <w:rFonts w:hAnsi="宋体" w:cs="宋体"/>
          <w:szCs w:val="24"/>
        </w:rPr>
      </w:pPr>
      <w:r>
        <w:rPr>
          <w:rFonts w:hint="eastAsia" w:hAnsi="宋体" w:cs="宋体"/>
          <w:szCs w:val="24"/>
        </w:rPr>
        <w:t>8、验收合格后，填写验收单，双方签字盖章后生效。</w:t>
      </w:r>
    </w:p>
    <w:p>
      <w:pPr>
        <w:spacing w:line="360" w:lineRule="auto"/>
        <w:ind w:firstLine="480" w:firstLineChars="200"/>
        <w:rPr>
          <w:rFonts w:hAnsi="宋体" w:cs="宋体"/>
          <w:szCs w:val="24"/>
        </w:rPr>
      </w:pPr>
      <w:r>
        <w:rPr>
          <w:rFonts w:hint="eastAsia" w:hAnsi="宋体" w:cs="宋体"/>
          <w:szCs w:val="24"/>
        </w:rPr>
        <w:t>9、验收依据：</w:t>
      </w:r>
    </w:p>
    <w:p>
      <w:pPr>
        <w:tabs>
          <w:tab w:val="left" w:pos="498"/>
        </w:tabs>
        <w:spacing w:line="360" w:lineRule="auto"/>
        <w:ind w:firstLine="480" w:firstLineChars="200"/>
        <w:rPr>
          <w:rFonts w:hAnsi="宋体" w:cs="宋体"/>
          <w:szCs w:val="24"/>
        </w:rPr>
      </w:pPr>
      <w:r>
        <w:rPr>
          <w:rFonts w:hint="eastAsia" w:hAnsi="宋体" w:cs="宋体"/>
          <w:szCs w:val="24"/>
        </w:rPr>
        <w:t>1）合同文本；</w:t>
      </w:r>
    </w:p>
    <w:p>
      <w:pPr>
        <w:tabs>
          <w:tab w:val="left" w:pos="498"/>
        </w:tabs>
        <w:spacing w:line="360" w:lineRule="auto"/>
        <w:ind w:firstLine="480" w:firstLineChars="200"/>
        <w:rPr>
          <w:rFonts w:hAnsi="宋体" w:cs="宋体"/>
          <w:szCs w:val="24"/>
        </w:rPr>
      </w:pPr>
      <w:r>
        <w:rPr>
          <w:rFonts w:hint="eastAsia" w:hAnsi="宋体" w:cs="宋体"/>
          <w:szCs w:val="24"/>
        </w:rPr>
        <w:t>2）磋商响应文件及澄清函、磋商文件；</w:t>
      </w:r>
    </w:p>
    <w:p>
      <w:pPr>
        <w:tabs>
          <w:tab w:val="left" w:pos="498"/>
        </w:tabs>
        <w:spacing w:line="360" w:lineRule="auto"/>
        <w:ind w:firstLine="480" w:firstLineChars="200"/>
        <w:rPr>
          <w:rFonts w:hAnsi="宋体" w:cs="宋体"/>
          <w:szCs w:val="24"/>
        </w:rPr>
      </w:pPr>
      <w:r>
        <w:rPr>
          <w:rFonts w:hint="eastAsia" w:hAnsi="宋体" w:cs="宋体"/>
          <w:szCs w:val="24"/>
        </w:rPr>
        <w:t>3）国家和行业制定的相应的标准和规范；</w:t>
      </w:r>
    </w:p>
    <w:p>
      <w:pPr>
        <w:tabs>
          <w:tab w:val="left" w:pos="498"/>
        </w:tabs>
        <w:spacing w:line="360" w:lineRule="auto"/>
        <w:ind w:firstLine="480" w:firstLineChars="200"/>
        <w:jc w:val="left"/>
        <w:rPr>
          <w:rFonts w:hAnsi="宋体" w:cs="宋体"/>
          <w:szCs w:val="24"/>
        </w:rPr>
      </w:pPr>
      <w:r>
        <w:rPr>
          <w:rFonts w:hint="eastAsia" w:hAnsi="宋体" w:cs="宋体"/>
          <w:szCs w:val="24"/>
        </w:rPr>
        <w:t>4)产品验收清单（注明各部件的品名、数量、规格型号和原产地或生产厂家）。</w:t>
      </w:r>
    </w:p>
    <w:p>
      <w:pPr>
        <w:spacing w:line="360" w:lineRule="auto"/>
        <w:ind w:firstLine="482" w:firstLineChars="200"/>
        <w:rPr>
          <w:rFonts w:hAnsi="宋体" w:cs="宋体"/>
          <w:b/>
          <w:szCs w:val="24"/>
        </w:rPr>
      </w:pPr>
      <w:r>
        <w:rPr>
          <w:rFonts w:hint="eastAsia" w:hAnsi="宋体" w:cs="宋体"/>
          <w:b/>
          <w:szCs w:val="24"/>
        </w:rPr>
        <w:t>十五、保密</w:t>
      </w:r>
    </w:p>
    <w:p>
      <w:pPr>
        <w:tabs>
          <w:tab w:val="left" w:pos="1080"/>
        </w:tabs>
        <w:spacing w:line="360" w:lineRule="auto"/>
        <w:ind w:firstLine="480" w:firstLineChars="200"/>
        <w:rPr>
          <w:rFonts w:hAnsi="宋体" w:cs="宋体"/>
          <w:szCs w:val="24"/>
        </w:rPr>
      </w:pPr>
      <w:r>
        <w:rPr>
          <w:rFonts w:hint="eastAsia" w:hAnsi="宋体" w:cs="宋体"/>
          <w:szCs w:val="24"/>
        </w:rPr>
        <w:t>须严格保密，对工作中了解到的采购人的技术、机密等进行保密，不得向他人泄漏。本合同的解除或终止不免除供应商应承担的保密义务。</w:t>
      </w:r>
    </w:p>
    <w:p>
      <w:pPr>
        <w:spacing w:line="360" w:lineRule="auto"/>
        <w:ind w:firstLine="482" w:firstLineChars="200"/>
        <w:rPr>
          <w:rFonts w:hAnsi="宋体" w:cs="宋体"/>
          <w:b/>
          <w:szCs w:val="24"/>
        </w:rPr>
      </w:pPr>
      <w:r>
        <w:rPr>
          <w:rFonts w:hint="eastAsia" w:hAnsi="宋体" w:cs="宋体"/>
          <w:b/>
          <w:szCs w:val="24"/>
        </w:rPr>
        <w:t>十六、知识产权</w:t>
      </w:r>
    </w:p>
    <w:p>
      <w:pPr>
        <w:spacing w:line="360" w:lineRule="auto"/>
        <w:ind w:firstLine="480" w:firstLineChars="200"/>
        <w:rPr>
          <w:rFonts w:hAnsi="宋体" w:cs="宋体"/>
          <w:szCs w:val="24"/>
        </w:rPr>
      </w:pPr>
      <w:r>
        <w:rPr>
          <w:rFonts w:hint="eastAsia" w:hAnsi="宋体" w:cs="宋体"/>
          <w:szCs w:val="24"/>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p>
    <w:p>
      <w:pPr>
        <w:spacing w:line="360" w:lineRule="auto"/>
        <w:ind w:firstLine="482" w:firstLineChars="200"/>
        <w:rPr>
          <w:rFonts w:hAnsi="宋体" w:cs="宋体"/>
          <w:szCs w:val="24"/>
        </w:rPr>
      </w:pPr>
      <w:r>
        <w:rPr>
          <w:rFonts w:hint="eastAsia" w:hAnsi="宋体" w:cs="宋体"/>
          <w:b/>
          <w:szCs w:val="24"/>
        </w:rPr>
        <w:t>十七、合同争议的解决：</w:t>
      </w:r>
      <w:r>
        <w:rPr>
          <w:rFonts w:hint="eastAsia" w:hAnsi="宋体" w:cs="宋体"/>
          <w:szCs w:val="24"/>
        </w:rPr>
        <w:t>合同执行中发生争议的，当事人双方应协商解决，协商达不成一致时，可向当地行政仲裁机关申请仲裁或者向人民法院提请诉讼。</w:t>
      </w:r>
    </w:p>
    <w:p>
      <w:pPr>
        <w:spacing w:line="360" w:lineRule="auto"/>
        <w:ind w:firstLine="482" w:firstLineChars="200"/>
        <w:rPr>
          <w:rFonts w:hAnsi="宋体" w:cs="宋体"/>
          <w:szCs w:val="24"/>
        </w:rPr>
      </w:pPr>
      <w:r>
        <w:rPr>
          <w:rFonts w:hint="eastAsia" w:hAnsi="宋体" w:cs="宋体"/>
          <w:b/>
          <w:szCs w:val="24"/>
        </w:rPr>
        <w:t>十八、</w:t>
      </w:r>
      <w:r>
        <w:rPr>
          <w:rFonts w:hint="eastAsia" w:hAnsi="宋体" w:cs="宋体"/>
          <w:szCs w:val="24"/>
        </w:rPr>
        <w:t xml:space="preserve">不可抗力情况下的免责约定，双方约定不可抗力情况包括：五级以上地震、大风、大雨、大雪。  </w:t>
      </w:r>
    </w:p>
    <w:p>
      <w:pPr>
        <w:spacing w:line="360" w:lineRule="auto"/>
        <w:ind w:firstLine="482" w:firstLineChars="200"/>
        <w:rPr>
          <w:rFonts w:hAnsi="宋体" w:cs="宋体"/>
          <w:szCs w:val="24"/>
        </w:rPr>
      </w:pPr>
      <w:r>
        <w:rPr>
          <w:rFonts w:hint="eastAsia" w:hAnsi="宋体" w:cs="宋体"/>
          <w:b/>
          <w:szCs w:val="24"/>
        </w:rPr>
        <w:t>十九、</w:t>
      </w:r>
      <w:r>
        <w:rPr>
          <w:rFonts w:hint="eastAsia" w:hAnsi="宋体" w:cs="宋体"/>
          <w:szCs w:val="24"/>
        </w:rPr>
        <w:t>合同执行中发生争议的，当事人双方应协商解决，协商达不成一致时，双方同意向西安市仲裁委员会申请仲裁。</w:t>
      </w:r>
    </w:p>
    <w:p>
      <w:pPr>
        <w:spacing w:line="360" w:lineRule="auto"/>
        <w:ind w:firstLine="482" w:firstLineChars="200"/>
        <w:rPr>
          <w:rFonts w:hAnsi="宋体" w:cs="宋体"/>
          <w:szCs w:val="24"/>
        </w:rPr>
      </w:pPr>
      <w:r>
        <w:rPr>
          <w:rFonts w:hint="eastAsia" w:hAnsi="宋体" w:cs="宋体"/>
          <w:b/>
          <w:szCs w:val="24"/>
        </w:rPr>
        <w:t>二十、违约责任：</w:t>
      </w:r>
      <w:r>
        <w:rPr>
          <w:rFonts w:hint="eastAsia" w:hAnsi="宋体" w:cs="宋体"/>
          <w:szCs w:val="24"/>
        </w:rPr>
        <w:t>依据《中华人民共和国合同法》、《中华人民共和国政府采购法》的相关条款和本合同约定，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p>
      <w:pPr>
        <w:spacing w:line="360" w:lineRule="auto"/>
        <w:ind w:firstLine="482" w:firstLineChars="200"/>
        <w:rPr>
          <w:rFonts w:hAnsi="宋体" w:cs="宋体"/>
          <w:szCs w:val="24"/>
        </w:rPr>
      </w:pPr>
      <w:r>
        <w:rPr>
          <w:rFonts w:hint="eastAsia" w:hAnsi="宋体" w:cs="宋体"/>
          <w:b/>
          <w:szCs w:val="24"/>
        </w:rPr>
        <w:t>二十一、其他（</w:t>
      </w:r>
      <w:r>
        <w:rPr>
          <w:rFonts w:hint="eastAsia" w:hAnsi="宋体" w:cs="宋体"/>
          <w:szCs w:val="24"/>
        </w:rPr>
        <w:t>在合同中具体明确）</w:t>
      </w:r>
    </w:p>
    <w:p>
      <w:pPr>
        <w:spacing w:line="360" w:lineRule="auto"/>
        <w:ind w:firstLine="482" w:firstLineChars="200"/>
        <w:rPr>
          <w:rFonts w:hAnsi="宋体" w:cs="宋体"/>
          <w:b/>
        </w:rPr>
      </w:pPr>
      <w:r>
        <w:rPr>
          <w:rFonts w:hint="eastAsia" w:hAnsi="宋体" w:cs="宋体"/>
          <w:b/>
        </w:rPr>
        <w:t>二十二、合同订立</w:t>
      </w:r>
    </w:p>
    <w:p>
      <w:pPr>
        <w:adjustRightInd w:val="0"/>
        <w:snapToGrid w:val="0"/>
        <w:spacing w:line="360" w:lineRule="auto"/>
        <w:ind w:firstLine="480" w:firstLineChars="200"/>
        <w:rPr>
          <w:rFonts w:hAnsi="宋体" w:cs="宋体"/>
        </w:rPr>
      </w:pPr>
      <w:r>
        <w:rPr>
          <w:rFonts w:hint="eastAsia" w:hAnsi="宋体" w:cs="宋体"/>
        </w:rPr>
        <w:t>1. 订立时间：年月日。</w:t>
      </w:r>
    </w:p>
    <w:p>
      <w:pPr>
        <w:adjustRightInd w:val="0"/>
        <w:snapToGrid w:val="0"/>
        <w:spacing w:line="360" w:lineRule="auto"/>
        <w:ind w:firstLine="480" w:firstLineChars="200"/>
        <w:rPr>
          <w:rFonts w:hAnsi="宋体" w:cs="宋体"/>
        </w:rPr>
      </w:pPr>
      <w:r>
        <w:rPr>
          <w:rFonts w:hint="eastAsia" w:hAnsi="宋体" w:cs="宋体"/>
        </w:rPr>
        <w:t>2. 订立地点：。</w:t>
      </w:r>
    </w:p>
    <w:p>
      <w:pPr>
        <w:tabs>
          <w:tab w:val="left" w:pos="980"/>
        </w:tabs>
        <w:kinsoku w:val="0"/>
        <w:spacing w:line="360" w:lineRule="auto"/>
        <w:ind w:firstLine="480" w:firstLineChars="200"/>
        <w:rPr>
          <w:rFonts w:hAnsi="宋体" w:cs="宋体"/>
        </w:rPr>
      </w:pPr>
      <w:r>
        <w:rPr>
          <w:rFonts w:hint="eastAsia" w:hAnsi="宋体" w:cs="宋体"/>
        </w:rPr>
        <w:t xml:space="preserve">3. </w:t>
      </w:r>
      <w:r>
        <w:rPr>
          <w:rFonts w:hint="eastAsia" w:hAnsi="宋体" w:cs="宋体"/>
          <w:szCs w:val="24"/>
        </w:rPr>
        <w:t>本合同一式</w:t>
      </w:r>
      <w:r>
        <w:rPr>
          <w:rFonts w:hint="eastAsia" w:hAnsi="宋体" w:cs="宋体"/>
          <w:szCs w:val="24"/>
          <w:u w:val="single"/>
        </w:rPr>
        <w:t>陆</w:t>
      </w:r>
      <w:r>
        <w:rPr>
          <w:rFonts w:hint="eastAsia" w:hAnsi="宋体" w:cs="宋体"/>
          <w:szCs w:val="24"/>
        </w:rPr>
        <w:t>份，其中，合同</w:t>
      </w:r>
      <w:r>
        <w:rPr>
          <w:rFonts w:hint="eastAsia" w:hAnsi="宋体" w:cs="宋体"/>
          <w:szCs w:val="24"/>
          <w:u w:val="single"/>
        </w:rPr>
        <w:t>正本一式贰份</w:t>
      </w:r>
      <w:r>
        <w:rPr>
          <w:rFonts w:hint="eastAsia" w:hAnsi="宋体" w:cs="宋体"/>
          <w:szCs w:val="24"/>
        </w:rPr>
        <w:t>，</w:t>
      </w:r>
      <w:r>
        <w:rPr>
          <w:rFonts w:hint="eastAsia" w:hAnsi="宋体" w:cs="宋体"/>
          <w:szCs w:val="24"/>
          <w:u w:val="single"/>
        </w:rPr>
        <w:t>副本一式肆份</w:t>
      </w:r>
      <w:r>
        <w:rPr>
          <w:rFonts w:hint="eastAsia" w:hAnsi="宋体" w:cs="宋体"/>
          <w:szCs w:val="24"/>
        </w:rPr>
        <w:t>，具有同等法律效力，正副本不一致，以正本为准。采供双方各执</w:t>
      </w:r>
      <w:r>
        <w:rPr>
          <w:rFonts w:hint="eastAsia" w:hAnsi="宋体" w:cs="宋体"/>
          <w:szCs w:val="24"/>
          <w:u w:val="single"/>
        </w:rPr>
        <w:t>正本壹份副本壹份</w:t>
      </w:r>
      <w:r>
        <w:rPr>
          <w:rFonts w:hint="eastAsia" w:hAnsi="宋体" w:cs="宋体"/>
          <w:szCs w:val="24"/>
        </w:rPr>
        <w:t>，监管部门备案</w:t>
      </w:r>
      <w:r>
        <w:rPr>
          <w:rFonts w:hint="eastAsia" w:hAnsi="宋体" w:cs="宋体"/>
          <w:szCs w:val="24"/>
          <w:u w:val="single"/>
        </w:rPr>
        <w:t>副本壹份</w:t>
      </w:r>
      <w:r>
        <w:rPr>
          <w:rFonts w:hint="eastAsia" w:hAnsi="宋体" w:cs="宋体"/>
          <w:szCs w:val="24"/>
        </w:rPr>
        <w:t>、采购代理机构存档</w:t>
      </w:r>
      <w:r>
        <w:rPr>
          <w:rFonts w:hint="eastAsia" w:hAnsi="宋体" w:cs="宋体"/>
          <w:szCs w:val="24"/>
          <w:u w:val="single"/>
        </w:rPr>
        <w:t>副本壹份</w:t>
      </w:r>
      <w:r>
        <w:rPr>
          <w:rFonts w:hint="eastAsia" w:hAnsi="宋体" w:cs="宋体"/>
          <w:szCs w:val="24"/>
        </w:rPr>
        <w:t>。各方签字盖章后生效，合同执行完毕自动失效。（合同的服务承诺则长期有效）。</w:t>
      </w:r>
    </w:p>
    <w:p>
      <w:pPr>
        <w:tabs>
          <w:tab w:val="left" w:pos="980"/>
        </w:tabs>
        <w:kinsoku w:val="0"/>
        <w:spacing w:line="360" w:lineRule="auto"/>
        <w:ind w:firstLine="480" w:firstLineChars="200"/>
        <w:rPr>
          <w:rFonts w:hAnsi="宋体"/>
          <w:szCs w:val="24"/>
        </w:rPr>
      </w:pPr>
    </w:p>
    <w:p>
      <w:pPr>
        <w:adjustRightInd w:val="0"/>
        <w:snapToGrid w:val="0"/>
        <w:spacing w:line="360" w:lineRule="auto"/>
        <w:ind w:firstLine="475" w:firstLineChars="198"/>
        <w:rPr>
          <w:rFonts w:hAnsi="宋体"/>
          <w:szCs w:val="24"/>
        </w:rPr>
      </w:pPr>
      <w:r>
        <w:rPr>
          <w:rFonts w:hint="eastAsia" w:hAnsi="宋体"/>
          <w:szCs w:val="24"/>
        </w:rPr>
        <w:t>采购人：</w:t>
      </w:r>
      <w:r>
        <w:rPr>
          <w:rFonts w:hint="eastAsia" w:hAnsi="宋体"/>
          <w:szCs w:val="24"/>
          <w:u w:val="single"/>
        </w:rPr>
        <w:t xml:space="preserve">   （盖章）        </w:t>
      </w:r>
      <w:r>
        <w:rPr>
          <w:rFonts w:hint="eastAsia" w:hAnsi="宋体"/>
          <w:szCs w:val="24"/>
        </w:rPr>
        <w:t xml:space="preserve">       供应商：</w:t>
      </w:r>
      <w:r>
        <w:rPr>
          <w:rFonts w:hint="eastAsia" w:hAnsi="宋体"/>
          <w:szCs w:val="24"/>
          <w:u w:val="single"/>
        </w:rPr>
        <w:t xml:space="preserve">   （盖章）         </w:t>
      </w:r>
    </w:p>
    <w:p>
      <w:pPr>
        <w:adjustRightInd w:val="0"/>
        <w:snapToGrid w:val="0"/>
        <w:spacing w:line="360" w:lineRule="auto"/>
        <w:ind w:firstLine="475" w:firstLineChars="198"/>
        <w:rPr>
          <w:rFonts w:hAnsi="宋体"/>
          <w:szCs w:val="24"/>
        </w:rPr>
      </w:pPr>
      <w:r>
        <w:rPr>
          <w:rFonts w:hint="eastAsia" w:hAnsi="宋体"/>
          <w:szCs w:val="24"/>
        </w:rPr>
        <w:t xml:space="preserve">地址：       地址： </w:t>
      </w:r>
    </w:p>
    <w:p>
      <w:pPr>
        <w:adjustRightInd w:val="0"/>
        <w:snapToGrid w:val="0"/>
        <w:spacing w:line="360" w:lineRule="auto"/>
        <w:ind w:firstLine="480" w:firstLineChars="200"/>
        <w:rPr>
          <w:rFonts w:hAnsi="宋体"/>
          <w:szCs w:val="24"/>
        </w:rPr>
      </w:pPr>
      <w:r>
        <w:rPr>
          <w:rFonts w:hint="eastAsia" w:hAnsi="宋体"/>
          <w:szCs w:val="24"/>
        </w:rPr>
        <w:t>邮政编码：      邮政编码：</w:t>
      </w:r>
    </w:p>
    <w:p>
      <w:pPr>
        <w:adjustRightInd w:val="0"/>
        <w:snapToGrid w:val="0"/>
        <w:spacing w:line="360" w:lineRule="auto"/>
        <w:ind w:firstLine="475" w:firstLineChars="198"/>
        <w:rPr>
          <w:rFonts w:hAnsi="宋体"/>
          <w:szCs w:val="24"/>
        </w:rPr>
      </w:pPr>
      <w:r>
        <w:rPr>
          <w:rFonts w:hint="eastAsia" w:hAnsi="宋体"/>
          <w:szCs w:val="24"/>
        </w:rPr>
        <w:t>法定代表人或其授权                法定代表人或其授权</w:t>
      </w:r>
    </w:p>
    <w:p>
      <w:pPr>
        <w:adjustRightInd w:val="0"/>
        <w:snapToGrid w:val="0"/>
        <w:spacing w:line="360" w:lineRule="auto"/>
        <w:ind w:firstLine="475" w:firstLineChars="198"/>
        <w:rPr>
          <w:rFonts w:hAnsi="宋体"/>
          <w:szCs w:val="24"/>
        </w:rPr>
      </w:pPr>
      <w:r>
        <w:rPr>
          <w:rFonts w:hint="eastAsia" w:hAnsi="宋体"/>
          <w:szCs w:val="24"/>
        </w:rPr>
        <w:t>的代理人：</w:t>
      </w:r>
      <w:r>
        <w:rPr>
          <w:rFonts w:hint="eastAsia" w:hAnsi="宋体"/>
          <w:szCs w:val="24"/>
          <w:u w:val="single"/>
        </w:rPr>
        <w:t xml:space="preserve">（签字）      </w:t>
      </w:r>
      <w:r>
        <w:rPr>
          <w:rFonts w:hint="eastAsia" w:hAnsi="宋体"/>
          <w:szCs w:val="24"/>
        </w:rPr>
        <w:t xml:space="preserve">           的代理人：</w:t>
      </w:r>
      <w:r>
        <w:rPr>
          <w:rFonts w:hint="eastAsia" w:hAnsi="宋体"/>
          <w:szCs w:val="24"/>
          <w:u w:val="single"/>
        </w:rPr>
        <w:t xml:space="preserve">（签字）          </w:t>
      </w:r>
    </w:p>
    <w:p>
      <w:pPr>
        <w:adjustRightInd w:val="0"/>
        <w:snapToGrid w:val="0"/>
        <w:spacing w:line="360" w:lineRule="auto"/>
        <w:ind w:firstLine="475" w:firstLineChars="198"/>
        <w:rPr>
          <w:rFonts w:hAnsi="宋体"/>
          <w:szCs w:val="24"/>
        </w:rPr>
      </w:pPr>
      <w:r>
        <w:rPr>
          <w:rFonts w:hint="eastAsia" w:hAnsi="宋体"/>
          <w:szCs w:val="24"/>
        </w:rPr>
        <w:t>开户银行：        开户银行：</w:t>
      </w:r>
    </w:p>
    <w:p>
      <w:pPr>
        <w:adjustRightInd w:val="0"/>
        <w:snapToGrid w:val="0"/>
        <w:spacing w:line="360" w:lineRule="auto"/>
        <w:ind w:firstLine="475" w:firstLineChars="198"/>
        <w:rPr>
          <w:rFonts w:hAnsi="宋体"/>
          <w:szCs w:val="24"/>
        </w:rPr>
      </w:pPr>
      <w:r>
        <w:rPr>
          <w:rFonts w:hint="eastAsia" w:hAnsi="宋体"/>
          <w:szCs w:val="24"/>
        </w:rPr>
        <w:t>账号：       账号：</w:t>
      </w:r>
    </w:p>
    <w:p>
      <w:pPr>
        <w:adjustRightInd w:val="0"/>
        <w:snapToGrid w:val="0"/>
        <w:spacing w:line="360" w:lineRule="auto"/>
        <w:ind w:firstLine="475" w:firstLineChars="198"/>
        <w:rPr>
          <w:rFonts w:hAnsi="宋体"/>
          <w:szCs w:val="24"/>
        </w:rPr>
      </w:pPr>
      <w:r>
        <w:rPr>
          <w:rFonts w:hint="eastAsia" w:hAnsi="宋体"/>
          <w:szCs w:val="24"/>
        </w:rPr>
        <w:t>电话：       电话：</w:t>
      </w:r>
    </w:p>
    <w:p>
      <w:pPr>
        <w:adjustRightInd w:val="0"/>
        <w:snapToGrid w:val="0"/>
        <w:spacing w:line="360" w:lineRule="auto"/>
        <w:ind w:firstLine="475" w:firstLineChars="198"/>
        <w:rPr>
          <w:rFonts w:hAnsi="宋体"/>
          <w:szCs w:val="24"/>
        </w:rPr>
      </w:pPr>
      <w:r>
        <w:rPr>
          <w:rFonts w:hint="eastAsia" w:hAnsi="宋体"/>
          <w:szCs w:val="24"/>
        </w:rPr>
        <w:t>传真：       传真：</w:t>
      </w:r>
    </w:p>
    <w:p>
      <w:pPr>
        <w:adjustRightInd w:val="0"/>
        <w:snapToGrid w:val="0"/>
        <w:spacing w:line="360" w:lineRule="auto"/>
        <w:ind w:firstLine="475" w:firstLineChars="198"/>
        <w:rPr>
          <w:rFonts w:hAnsi="宋体"/>
          <w:szCs w:val="24"/>
          <w:u w:val="single"/>
        </w:rPr>
      </w:pPr>
      <w:r>
        <w:rPr>
          <w:rFonts w:hint="eastAsia" w:hAnsi="宋体"/>
          <w:szCs w:val="24"/>
        </w:rPr>
        <w:t>电子邮箱：        电子邮箱：</w:t>
      </w:r>
    </w:p>
    <w:p>
      <w:pPr>
        <w:adjustRightInd w:val="0"/>
        <w:snapToGrid w:val="0"/>
        <w:spacing w:line="360" w:lineRule="auto"/>
        <w:ind w:firstLine="475" w:firstLineChars="198"/>
        <w:rPr>
          <w:rFonts w:hAnsi="宋体" w:cs="宋体"/>
          <w:szCs w:val="24"/>
        </w:rPr>
      </w:pPr>
    </w:p>
    <w:p>
      <w:pPr>
        <w:pStyle w:val="3"/>
        <w:keepNext w:val="0"/>
        <w:keepLines/>
        <w:pageBreakBefore/>
        <w:spacing w:beforeLines="50" w:afterLines="50"/>
        <w:jc w:val="center"/>
        <w:rPr>
          <w:rFonts w:ascii="宋体" w:eastAsia="宋体" w:cs="宋体"/>
          <w:bCs/>
          <w:sz w:val="36"/>
          <w:szCs w:val="36"/>
        </w:rPr>
      </w:pPr>
      <w:bookmarkStart w:id="68" w:name="_Toc5514"/>
      <w:bookmarkStart w:id="69" w:name="_Toc10686"/>
      <w:bookmarkStart w:id="70" w:name="_Toc7682"/>
      <w:r>
        <w:rPr>
          <w:rFonts w:hint="eastAsia" w:ascii="宋体" w:eastAsia="宋体" w:cs="宋体"/>
          <w:bCs/>
          <w:sz w:val="36"/>
          <w:szCs w:val="36"/>
        </w:rPr>
        <w:t>第四章  竞争性磋商内容及技术要求</w:t>
      </w:r>
      <w:bookmarkEnd w:id="52"/>
      <w:bookmarkEnd w:id="53"/>
      <w:bookmarkEnd w:id="54"/>
      <w:bookmarkEnd w:id="55"/>
      <w:bookmarkEnd w:id="56"/>
      <w:bookmarkEnd w:id="57"/>
      <w:bookmarkEnd w:id="58"/>
      <w:bookmarkEnd w:id="59"/>
      <w:bookmarkEnd w:id="60"/>
      <w:bookmarkEnd w:id="68"/>
      <w:bookmarkEnd w:id="69"/>
      <w:bookmarkEnd w:id="70"/>
    </w:p>
    <w:tbl>
      <w:tblPr>
        <w:tblStyle w:val="44"/>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
        <w:gridCol w:w="719"/>
        <w:gridCol w:w="6545"/>
        <w:gridCol w:w="565"/>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 w:hRule="atLeast"/>
          <w:jc w:val="center"/>
        </w:trPr>
        <w:tc>
          <w:tcPr>
            <w:tcW w:w="405" w:type="dxa"/>
            <w:vAlign w:val="center"/>
          </w:tcPr>
          <w:p>
            <w:pPr>
              <w:jc w:val="center"/>
              <w:rPr>
                <w:rFonts w:ascii="宋体" w:hAnsi="宋体"/>
                <w:b/>
                <w:bCs/>
              </w:rPr>
            </w:pPr>
            <w:bookmarkStart w:id="71" w:name="_Toc423973078"/>
            <w:bookmarkStart w:id="72" w:name="_Toc13146"/>
            <w:bookmarkStart w:id="73" w:name="_Toc4053"/>
            <w:bookmarkStart w:id="74" w:name="_Toc389582038"/>
            <w:bookmarkStart w:id="75" w:name="_Toc20481"/>
            <w:bookmarkStart w:id="76" w:name="_Toc11450"/>
            <w:bookmarkStart w:id="77" w:name="_Toc23856"/>
            <w:bookmarkStart w:id="78" w:name="_Toc2711"/>
            <w:bookmarkStart w:id="79" w:name="_Toc1025"/>
            <w:r>
              <w:rPr>
                <w:rFonts w:hint="eastAsia" w:ascii="宋体" w:hAnsi="宋体"/>
                <w:b/>
                <w:bCs/>
              </w:rPr>
              <w:t>序号</w:t>
            </w:r>
          </w:p>
        </w:tc>
        <w:tc>
          <w:tcPr>
            <w:tcW w:w="719" w:type="dxa"/>
            <w:vAlign w:val="center"/>
          </w:tcPr>
          <w:p>
            <w:pPr>
              <w:jc w:val="center"/>
              <w:rPr>
                <w:rFonts w:ascii="宋体" w:hAnsi="宋体"/>
                <w:b/>
                <w:bCs/>
              </w:rPr>
            </w:pPr>
            <w:r>
              <w:rPr>
                <w:rFonts w:hint="eastAsia" w:ascii="宋体" w:hAnsi="宋体"/>
                <w:b/>
                <w:bCs/>
              </w:rPr>
              <w:t>产品名称</w:t>
            </w:r>
          </w:p>
        </w:tc>
        <w:tc>
          <w:tcPr>
            <w:tcW w:w="6545" w:type="dxa"/>
            <w:vAlign w:val="center"/>
          </w:tcPr>
          <w:p>
            <w:pPr>
              <w:ind w:left="0" w:leftChars="0" w:firstLine="0" w:firstLineChars="0"/>
              <w:rPr>
                <w:rFonts w:ascii="宋体" w:hAnsi="宋体"/>
                <w:b/>
                <w:bCs/>
              </w:rPr>
            </w:pPr>
            <w:r>
              <w:rPr>
                <w:rFonts w:hint="eastAsia" w:ascii="宋体" w:hAnsi="宋体"/>
                <w:b/>
              </w:rPr>
              <w:t>法律文书安全管控输出系统采购需求技术参数、指标</w:t>
            </w:r>
          </w:p>
        </w:tc>
        <w:tc>
          <w:tcPr>
            <w:tcW w:w="565" w:type="dxa"/>
            <w:vAlign w:val="center"/>
          </w:tcPr>
          <w:p>
            <w:pPr>
              <w:jc w:val="center"/>
              <w:rPr>
                <w:rFonts w:ascii="宋体" w:hAnsi="宋体"/>
                <w:b/>
                <w:bCs/>
              </w:rPr>
            </w:pPr>
            <w:r>
              <w:rPr>
                <w:rFonts w:hint="eastAsia" w:ascii="宋体" w:hAnsi="宋体"/>
                <w:b/>
                <w:bCs/>
              </w:rPr>
              <w:t>数量</w:t>
            </w:r>
          </w:p>
        </w:tc>
        <w:tc>
          <w:tcPr>
            <w:tcW w:w="566" w:type="dxa"/>
            <w:vAlign w:val="center"/>
          </w:tcPr>
          <w:p>
            <w:pPr>
              <w:jc w:val="center"/>
              <w:rPr>
                <w:rFonts w:ascii="宋体" w:hAnsi="宋体"/>
                <w:b/>
                <w:bCs/>
              </w:rPr>
            </w:pPr>
            <w:r>
              <w:rPr>
                <w:rFonts w:hint="eastAsia" w:ascii="宋体" w:hAnsi="宋体"/>
                <w:b/>
                <w:bCs/>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405" w:type="dxa"/>
            <w:vAlign w:val="center"/>
          </w:tcPr>
          <w:p>
            <w:pPr>
              <w:jc w:val="center"/>
              <w:rPr>
                <w:rFonts w:ascii="宋体" w:hAnsi="宋体"/>
                <w:b/>
                <w:bCs/>
              </w:rPr>
            </w:pPr>
            <w:r>
              <w:rPr>
                <w:rFonts w:hint="eastAsia" w:ascii="宋体" w:hAnsi="宋体"/>
                <w:b/>
                <w:bCs/>
              </w:rPr>
              <w:t>1</w:t>
            </w:r>
          </w:p>
        </w:tc>
        <w:tc>
          <w:tcPr>
            <w:tcW w:w="719" w:type="dxa"/>
            <w:vAlign w:val="center"/>
          </w:tcPr>
          <w:p>
            <w:pPr>
              <w:jc w:val="center"/>
              <w:rPr>
                <w:rFonts w:ascii="宋体" w:hAnsi="宋体"/>
                <w:b/>
                <w:bCs/>
              </w:rPr>
            </w:pPr>
            <w:r>
              <w:rPr>
                <w:rFonts w:hint="eastAsia" w:ascii="宋体" w:hAnsi="宋体"/>
                <w:sz w:val="24"/>
              </w:rPr>
              <w:t>法律文书安全管控输出系统</w:t>
            </w:r>
          </w:p>
        </w:tc>
        <w:tc>
          <w:tcPr>
            <w:tcW w:w="6545" w:type="dxa"/>
            <w:vAlign w:val="center"/>
          </w:tcPr>
          <w:p>
            <w:pPr>
              <w:ind w:left="-2" w:leftChars="-37" w:hanging="87" w:hangingChars="36"/>
              <w:rPr>
                <w:rFonts w:ascii="仿宋_GB2312" w:hAnsi="宋体" w:eastAsia="仿宋_GB2312"/>
                <w:b/>
                <w:bCs/>
                <w:szCs w:val="21"/>
              </w:rPr>
            </w:pPr>
            <w:r>
              <w:rPr>
                <w:rFonts w:hint="eastAsia" w:ascii="仿宋_GB2312" w:hAnsi="宋体" w:eastAsia="仿宋_GB2312"/>
                <w:b/>
                <w:bCs/>
                <w:szCs w:val="21"/>
              </w:rPr>
              <w:t>一、输出设备硬件要求：</w:t>
            </w:r>
          </w:p>
          <w:p>
            <w:pPr>
              <w:ind w:left="-3" w:leftChars="-37" w:hanging="86" w:hangingChars="36"/>
              <w:rPr>
                <w:rFonts w:hint="eastAsia" w:ascii="仿宋_GB2312" w:hAnsi="宋体" w:eastAsia="仿宋_GB2312"/>
                <w:szCs w:val="21"/>
                <w:lang w:eastAsia="zh-CN"/>
              </w:rPr>
            </w:pPr>
            <w:r>
              <w:rPr>
                <w:rFonts w:hint="eastAsia" w:ascii="仿宋_GB2312" w:hAnsi="宋体" w:eastAsia="仿宋_GB2312"/>
                <w:szCs w:val="21"/>
              </w:rPr>
              <w:t>*1、设备类型：黑、红双色印刷；A3或A3以上幅面双面输出一次完成，不得有无线发射及接收功能。（所投产品参数，需与生产厂家官网发布数据一致，否则视为无效投标）</w:t>
            </w:r>
            <w:r>
              <w:rPr>
                <w:rFonts w:hint="eastAsia" w:ascii="仿宋_GB2312" w:hAnsi="宋体" w:eastAsia="仿宋_GB2312"/>
                <w:szCs w:val="21"/>
                <w:lang w:eastAsia="zh-CN"/>
              </w:rPr>
              <w:t>响应文件附厂家官网网址。</w:t>
            </w:r>
          </w:p>
          <w:p>
            <w:pPr>
              <w:ind w:left="-3" w:leftChars="-37" w:hanging="86" w:hangingChars="36"/>
              <w:rPr>
                <w:rFonts w:ascii="仿宋_GB2312" w:hAnsi="宋体" w:eastAsia="仿宋_GB2312"/>
                <w:szCs w:val="21"/>
              </w:rPr>
            </w:pPr>
            <w:r>
              <w:rPr>
                <w:rFonts w:hint="eastAsia" w:ascii="仿宋_GB2312" w:hAnsi="宋体" w:eastAsia="仿宋_GB2312"/>
                <w:szCs w:val="21"/>
              </w:rPr>
              <w:t>*2、单台设备输出速度：A4长边进纸单面速度120面/分钟（120ppm）；A4长边进纸双面速度60张/分钟（120ppm）。（非多台设备串并联合计速度，所投产品参数，需与生产厂家官网发布数据一致，否则视为无效投标）</w:t>
            </w:r>
            <w:r>
              <w:rPr>
                <w:rFonts w:hint="eastAsia" w:ascii="仿宋_GB2312" w:hAnsi="宋体" w:eastAsia="仿宋_GB2312"/>
                <w:szCs w:val="21"/>
                <w:lang w:eastAsia="zh-CN"/>
              </w:rPr>
              <w:t>响应文件附厂家官网网址。</w:t>
            </w:r>
          </w:p>
          <w:p>
            <w:pPr>
              <w:ind w:left="-3" w:leftChars="-37" w:hanging="86" w:hangingChars="36"/>
              <w:rPr>
                <w:rFonts w:ascii="仿宋_GB2312" w:hAnsi="宋体" w:eastAsia="仿宋_GB2312"/>
                <w:szCs w:val="21"/>
              </w:rPr>
            </w:pPr>
            <w:r>
              <w:rPr>
                <w:rFonts w:hint="eastAsia" w:ascii="仿宋_GB2312" w:hAnsi="宋体" w:eastAsia="仿宋_GB2312"/>
                <w:szCs w:val="21"/>
              </w:rPr>
              <w:t>3、印刷原理：油墨印刷原理优先。</w:t>
            </w:r>
          </w:p>
          <w:p>
            <w:pPr>
              <w:ind w:left="-3" w:leftChars="-37" w:hanging="86" w:hangingChars="36"/>
              <w:rPr>
                <w:rFonts w:ascii="仿宋_GB2312" w:hAnsi="宋体" w:eastAsia="仿宋_GB2312"/>
                <w:szCs w:val="21"/>
              </w:rPr>
            </w:pPr>
            <w:r>
              <w:rPr>
                <w:rFonts w:hint="eastAsia" w:ascii="仿宋_GB2312" w:hAnsi="宋体" w:eastAsia="仿宋_GB2312"/>
                <w:szCs w:val="21"/>
              </w:rPr>
              <w:t>4、整理功能：可实现打印双色文件的一次性装订成型，装订方式包括：角订、平订。纸张可交错堆叠输出。</w:t>
            </w:r>
          </w:p>
          <w:p>
            <w:pPr>
              <w:ind w:left="-3" w:leftChars="-37" w:hanging="86" w:hangingChars="36"/>
              <w:rPr>
                <w:rFonts w:ascii="仿宋_GB2312" w:hAnsi="宋体" w:eastAsia="仿宋_GB2312"/>
                <w:szCs w:val="21"/>
              </w:rPr>
            </w:pPr>
            <w:r>
              <w:rPr>
                <w:rFonts w:hint="eastAsia" w:ascii="仿宋_GB2312" w:hAnsi="宋体" w:eastAsia="仿宋_GB2312"/>
                <w:szCs w:val="21"/>
              </w:rPr>
              <w:t>5、平订、角订的纸张装订张数</w:t>
            </w:r>
            <w:r>
              <w:rPr>
                <w:rFonts w:hint="eastAsia" w:ascii="仿宋_GB2312" w:hAnsi="宋体" w:eastAsia="仿宋_GB2312"/>
                <w:szCs w:val="21"/>
                <w:lang w:eastAsia="zh-CN"/>
              </w:rPr>
              <w:t>≥</w:t>
            </w:r>
            <w:r>
              <w:rPr>
                <w:rFonts w:hint="eastAsia" w:ascii="仿宋_GB2312" w:hAnsi="宋体" w:eastAsia="仿宋_GB2312"/>
                <w:szCs w:val="21"/>
              </w:rPr>
              <w:t>5</w:t>
            </w:r>
            <w:r>
              <w:rPr>
                <w:rFonts w:ascii="仿宋_GB2312" w:hAnsi="宋体" w:eastAsia="仿宋_GB2312"/>
                <w:szCs w:val="21"/>
              </w:rPr>
              <w:t>0</w:t>
            </w:r>
            <w:r>
              <w:rPr>
                <w:rFonts w:hint="eastAsia" w:ascii="仿宋_GB2312" w:hAnsi="宋体" w:eastAsia="仿宋_GB2312"/>
                <w:szCs w:val="21"/>
              </w:rPr>
              <w:t>张。</w:t>
            </w:r>
          </w:p>
          <w:p>
            <w:pPr>
              <w:ind w:left="-3" w:leftChars="-37" w:hanging="86" w:hangingChars="36"/>
              <w:rPr>
                <w:rFonts w:ascii="仿宋_GB2312" w:hAnsi="宋体" w:eastAsia="仿宋_GB2312"/>
                <w:szCs w:val="21"/>
              </w:rPr>
            </w:pPr>
            <w:r>
              <w:rPr>
                <w:rFonts w:hint="eastAsia" w:ascii="仿宋_GB2312" w:hAnsi="宋体" w:eastAsia="仿宋_GB2312"/>
                <w:szCs w:val="21"/>
              </w:rPr>
              <w:t>6、印刷纸张最低重量</w:t>
            </w:r>
            <w:r>
              <w:rPr>
                <w:rFonts w:hint="eastAsia" w:ascii="仿宋_GB2312" w:hAnsi="宋体" w:eastAsia="仿宋_GB2312"/>
                <w:szCs w:val="21"/>
                <w:lang w:val="en-US" w:eastAsia="zh-CN"/>
              </w:rPr>
              <w:t>≤52</w:t>
            </w:r>
            <w:r>
              <w:rPr>
                <w:rFonts w:hint="eastAsia" w:ascii="仿宋_GB2312" w:hAnsi="宋体" w:eastAsia="仿宋_GB2312"/>
                <w:szCs w:val="21"/>
              </w:rPr>
              <w:t>g/m</w:t>
            </w:r>
            <w:r>
              <w:rPr>
                <w:rFonts w:ascii="仿宋_GB2312" w:hAnsi="宋体" w:eastAsia="仿宋_GB2312"/>
                <w:szCs w:val="21"/>
              </w:rPr>
              <w:t>²</w:t>
            </w:r>
            <w:r>
              <w:rPr>
                <w:rFonts w:hint="eastAsia" w:ascii="仿宋_GB2312" w:hAnsi="宋体" w:eastAsia="仿宋_GB2312"/>
                <w:szCs w:val="21"/>
              </w:rPr>
              <w:t>。</w:t>
            </w:r>
          </w:p>
          <w:p>
            <w:pPr>
              <w:ind w:left="-3" w:leftChars="-37" w:hanging="86" w:hangingChars="36"/>
              <w:rPr>
                <w:rFonts w:ascii="仿宋_GB2312" w:hAnsi="宋体" w:eastAsia="仿宋_GB2312"/>
                <w:szCs w:val="21"/>
              </w:rPr>
            </w:pPr>
            <w:r>
              <w:rPr>
                <w:rFonts w:hint="eastAsia" w:ascii="仿宋_GB2312" w:hAnsi="宋体" w:eastAsia="仿宋_GB2312"/>
                <w:szCs w:val="21"/>
              </w:rPr>
              <w:t>7、预热时间</w:t>
            </w:r>
            <w:r>
              <w:rPr>
                <w:rFonts w:hint="eastAsia" w:ascii="仿宋_GB2312" w:hAnsi="宋体" w:eastAsia="仿宋_GB2312"/>
                <w:szCs w:val="21"/>
                <w:lang w:val="en-US" w:eastAsia="zh-CN"/>
              </w:rPr>
              <w:t>≤</w:t>
            </w:r>
            <w:r>
              <w:rPr>
                <w:rFonts w:hint="eastAsia" w:ascii="仿宋_GB2312" w:hAnsi="宋体" w:eastAsia="仿宋_GB2312"/>
                <w:szCs w:val="21"/>
              </w:rPr>
              <w:t>1</w:t>
            </w:r>
            <w:r>
              <w:rPr>
                <w:rFonts w:hint="eastAsia" w:ascii="仿宋_GB2312" w:hAnsi="宋体" w:eastAsia="仿宋_GB2312"/>
                <w:szCs w:val="21"/>
                <w:lang w:val="en-US" w:eastAsia="zh-CN"/>
              </w:rPr>
              <w:t>8</w:t>
            </w:r>
            <w:r>
              <w:rPr>
                <w:rFonts w:hint="eastAsia" w:ascii="仿宋_GB2312" w:hAnsi="宋体" w:eastAsia="仿宋_GB2312"/>
                <w:szCs w:val="21"/>
              </w:rPr>
              <w:t>0秒（23℃室温下）。</w:t>
            </w:r>
          </w:p>
          <w:p>
            <w:pPr>
              <w:ind w:left="-3" w:leftChars="-37" w:hanging="86" w:hangingChars="36"/>
              <w:rPr>
                <w:rFonts w:ascii="仿宋_GB2312" w:hAnsi="宋体" w:eastAsia="仿宋_GB2312"/>
                <w:szCs w:val="21"/>
              </w:rPr>
            </w:pPr>
            <w:r>
              <w:rPr>
                <w:rFonts w:hint="eastAsia" w:ascii="仿宋_GB2312" w:hAnsi="宋体" w:eastAsia="仿宋_GB2312"/>
                <w:szCs w:val="21"/>
              </w:rPr>
              <w:t>8、首张打印时间</w:t>
            </w:r>
            <w:r>
              <w:rPr>
                <w:rFonts w:hint="eastAsia" w:ascii="仿宋_GB2312" w:hAnsi="宋体" w:eastAsia="仿宋_GB2312"/>
                <w:szCs w:val="21"/>
                <w:lang w:val="en-US" w:eastAsia="zh-CN"/>
              </w:rPr>
              <w:t>≤8</w:t>
            </w:r>
            <w:r>
              <w:rPr>
                <w:rFonts w:hint="eastAsia" w:ascii="仿宋_GB2312" w:hAnsi="宋体" w:eastAsia="仿宋_GB2312"/>
                <w:szCs w:val="21"/>
              </w:rPr>
              <w:t>秒（非首张输出速度）。</w:t>
            </w:r>
          </w:p>
          <w:p>
            <w:pPr>
              <w:ind w:left="-3" w:leftChars="-37" w:hanging="86" w:hangingChars="36"/>
              <w:rPr>
                <w:rFonts w:ascii="仿宋_GB2312" w:hAnsi="宋体" w:eastAsia="仿宋_GB2312"/>
                <w:szCs w:val="21"/>
              </w:rPr>
            </w:pPr>
            <w:r>
              <w:rPr>
                <w:rFonts w:hint="eastAsia" w:ascii="仿宋_GB2312" w:hAnsi="宋体" w:eastAsia="仿宋_GB2312"/>
                <w:szCs w:val="21"/>
              </w:rPr>
              <w:t>9、最大支持纸张尺寸：335mm</w:t>
            </w:r>
            <w:r>
              <w:rPr>
                <w:rFonts w:ascii="仿宋_GB2312" w:hAnsi="宋体" w:eastAsia="仿宋_GB2312"/>
                <w:szCs w:val="21"/>
              </w:rPr>
              <w:t>X</w:t>
            </w:r>
            <w:r>
              <w:rPr>
                <w:rFonts w:hint="eastAsia" w:ascii="仿宋_GB2312" w:hAnsi="宋体" w:eastAsia="仿宋_GB2312"/>
                <w:szCs w:val="21"/>
              </w:rPr>
              <w:t>550mm。</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0</w:t>
            </w:r>
            <w:r>
              <w:rPr>
                <w:rFonts w:hint="eastAsia" w:ascii="仿宋_GB2312" w:hAnsi="宋体" w:eastAsia="仿宋_GB2312"/>
                <w:szCs w:val="21"/>
              </w:rPr>
              <w:t>、最大打印图像尺寸：310mm</w:t>
            </w:r>
            <w:r>
              <w:rPr>
                <w:rFonts w:ascii="仿宋_GB2312" w:hAnsi="宋体" w:eastAsia="仿宋_GB2312"/>
                <w:szCs w:val="21"/>
              </w:rPr>
              <w:t>X</w:t>
            </w:r>
            <w:r>
              <w:rPr>
                <w:rFonts w:hint="eastAsia" w:ascii="仿宋_GB2312" w:hAnsi="宋体" w:eastAsia="仿宋_GB2312"/>
                <w:szCs w:val="21"/>
              </w:rPr>
              <w:t>540mm。</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1</w:t>
            </w:r>
            <w:r>
              <w:rPr>
                <w:rFonts w:hint="eastAsia" w:ascii="仿宋_GB2312" w:hAnsi="宋体" w:eastAsia="仿宋_GB2312"/>
                <w:szCs w:val="21"/>
              </w:rPr>
              <w:t>、打印区域页边留白：</w:t>
            </w:r>
            <w:r>
              <w:rPr>
                <w:rFonts w:hint="eastAsia" w:ascii="仿宋_GB2312" w:hAnsi="宋体" w:eastAsia="仿宋_GB2312"/>
                <w:szCs w:val="21"/>
                <w:lang w:val="en-US" w:eastAsia="zh-CN"/>
              </w:rPr>
              <w:t>≤</w:t>
            </w:r>
            <w:r>
              <w:rPr>
                <w:rFonts w:hint="eastAsia" w:ascii="仿宋_GB2312" w:hAnsi="宋体" w:eastAsia="仿宋_GB2312"/>
                <w:szCs w:val="21"/>
              </w:rPr>
              <w:t>3mm。</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2</w:t>
            </w:r>
            <w:r>
              <w:rPr>
                <w:rFonts w:hint="eastAsia" w:ascii="仿宋_GB2312" w:hAnsi="宋体" w:eastAsia="仿宋_GB2312"/>
                <w:szCs w:val="21"/>
              </w:rPr>
              <w:t>、保密功能：具有密码打印的操作功能，具有隐藏打印文件名的功能，可以对局域网内的计算机进行IP限制以控制打印。</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3、</w:t>
            </w:r>
            <w:r>
              <w:rPr>
                <w:rFonts w:hint="eastAsia" w:ascii="仿宋_GB2312" w:hAnsi="宋体" w:eastAsia="仿宋_GB2312"/>
                <w:szCs w:val="21"/>
              </w:rPr>
              <w:t>具备身份识别系统，且身份识别系统认证终端为刷卡及密码登陆两种认证方式。</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4</w:t>
            </w:r>
            <w:r>
              <w:rPr>
                <w:rFonts w:hint="eastAsia" w:ascii="仿宋_GB2312" w:hAnsi="宋体" w:eastAsia="仿宋_GB2312"/>
                <w:szCs w:val="21"/>
              </w:rPr>
              <w:t>、最大功耗：2</w:t>
            </w:r>
            <w:r>
              <w:rPr>
                <w:rFonts w:ascii="仿宋_GB2312" w:hAnsi="宋体" w:eastAsia="仿宋_GB2312"/>
                <w:szCs w:val="21"/>
              </w:rPr>
              <w:t>KW</w:t>
            </w:r>
            <w:r>
              <w:rPr>
                <w:rFonts w:hint="eastAsia" w:ascii="仿宋_GB2312" w:hAnsi="宋体" w:eastAsia="仿宋_GB2312"/>
                <w:szCs w:val="21"/>
              </w:rPr>
              <w:t>。</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5</w:t>
            </w:r>
            <w:r>
              <w:rPr>
                <w:rFonts w:hint="eastAsia" w:ascii="仿宋_GB2312" w:hAnsi="宋体" w:eastAsia="仿宋_GB2312"/>
                <w:szCs w:val="21"/>
              </w:rPr>
              <w:t>、产地：中国生产。</w:t>
            </w:r>
          </w:p>
          <w:p>
            <w:pPr>
              <w:ind w:left="-2" w:leftChars="-37" w:hanging="87" w:hangingChars="36"/>
              <w:rPr>
                <w:rFonts w:ascii="仿宋_GB2312" w:hAnsi="宋体" w:eastAsia="仿宋_GB2312"/>
                <w:b/>
                <w:bCs/>
                <w:szCs w:val="21"/>
              </w:rPr>
            </w:pPr>
            <w:r>
              <w:rPr>
                <w:rFonts w:hint="eastAsia" w:ascii="仿宋_GB2312" w:hAnsi="宋体" w:eastAsia="仿宋_GB2312"/>
                <w:b/>
                <w:bCs/>
                <w:szCs w:val="21"/>
              </w:rPr>
              <w:t>二、集中印务系统要求：</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w:t>
            </w:r>
            <w:r>
              <w:rPr>
                <w:rFonts w:hint="eastAsia" w:ascii="仿宋_GB2312" w:hAnsi="宋体" w:eastAsia="仿宋_GB2312"/>
                <w:szCs w:val="21"/>
              </w:rPr>
              <w:t>以Postscript/PDF数字化工作流程核心为基础，具备传统数字化工作流程的基础功能；运行模式，服务器可控制多个客户端同时进行工作。服务器是整个流程的核心，客户端与服务器进行交互操作。</w:t>
            </w:r>
          </w:p>
          <w:p>
            <w:pPr>
              <w:ind w:left="-3" w:leftChars="-37" w:hanging="86" w:hangingChars="36"/>
              <w:rPr>
                <w:rFonts w:ascii="仿宋_GB2312" w:hAnsi="宋体" w:eastAsia="仿宋_GB2312"/>
                <w:szCs w:val="21"/>
              </w:rPr>
            </w:pPr>
            <w:r>
              <w:rPr>
                <w:rFonts w:ascii="仿宋_GB2312" w:hAnsi="宋体" w:eastAsia="仿宋_GB2312"/>
                <w:szCs w:val="21"/>
              </w:rPr>
              <w:t>2</w:t>
            </w:r>
            <w:r>
              <w:rPr>
                <w:rFonts w:hint="eastAsia" w:ascii="仿宋_GB2312" w:hAnsi="宋体" w:eastAsia="仿宋_GB2312"/>
                <w:szCs w:val="21"/>
              </w:rPr>
              <w:t>、支持方正ps文件规范化输出。</w:t>
            </w:r>
          </w:p>
          <w:p>
            <w:pPr>
              <w:ind w:left="-3" w:leftChars="-37" w:hanging="86" w:hangingChars="36"/>
              <w:rPr>
                <w:rFonts w:ascii="仿宋_GB2312" w:hAnsi="宋体" w:eastAsia="仿宋_GB2312"/>
                <w:szCs w:val="21"/>
              </w:rPr>
            </w:pPr>
            <w:r>
              <w:rPr>
                <w:rFonts w:ascii="仿宋_GB2312" w:hAnsi="宋体" w:eastAsia="仿宋_GB2312"/>
                <w:szCs w:val="21"/>
              </w:rPr>
              <w:t>3</w:t>
            </w:r>
            <w:r>
              <w:rPr>
                <w:rFonts w:hint="eastAsia" w:ascii="仿宋_GB2312" w:hAnsi="宋体" w:eastAsia="仿宋_GB2312"/>
                <w:szCs w:val="21"/>
              </w:rPr>
              <w:t>、提供包括系统打印机驱动、网页上传、热文件夹输出等至少两种用户前端打印方式。</w:t>
            </w:r>
          </w:p>
          <w:p>
            <w:pPr>
              <w:ind w:left="-3" w:leftChars="-37" w:hanging="86" w:hangingChars="36"/>
              <w:rPr>
                <w:rFonts w:ascii="仿宋_GB2312" w:hAnsi="宋体" w:eastAsia="仿宋_GB2312"/>
                <w:szCs w:val="21"/>
              </w:rPr>
            </w:pPr>
            <w:r>
              <w:rPr>
                <w:rFonts w:hint="eastAsia" w:ascii="仿宋_GB2312" w:hAnsi="宋体" w:eastAsia="仿宋_GB2312"/>
                <w:szCs w:val="21"/>
              </w:rPr>
              <w:t>4、系统采用B/S 模式，可以通过浏览器进行访问和打印。服务器可设置规范模板，所有用户均可使用授权的模板输出。统一模板保证所有用户输出的统一性。</w:t>
            </w:r>
          </w:p>
          <w:p>
            <w:pPr>
              <w:ind w:left="-3" w:leftChars="-37" w:hanging="86" w:hangingChars="36"/>
              <w:rPr>
                <w:rFonts w:ascii="仿宋_GB2312" w:hAnsi="宋体" w:eastAsia="仿宋_GB2312"/>
                <w:szCs w:val="21"/>
              </w:rPr>
            </w:pPr>
            <w:r>
              <w:rPr>
                <w:rFonts w:hint="eastAsia" w:ascii="仿宋_GB2312" w:hAnsi="宋体" w:eastAsia="仿宋_GB2312"/>
                <w:szCs w:val="21"/>
              </w:rPr>
              <w:t>5、面向产品模型取代传统面向过程模型，以工艺模板为中心，在办公使用场景，最大可能简化用户的操作。</w:t>
            </w:r>
          </w:p>
          <w:p>
            <w:pPr>
              <w:ind w:left="-3" w:leftChars="-37" w:hanging="86" w:hangingChars="36"/>
              <w:rPr>
                <w:rFonts w:ascii="仿宋_GB2312" w:hAnsi="宋体" w:eastAsia="仿宋_GB2312"/>
                <w:szCs w:val="21"/>
              </w:rPr>
            </w:pPr>
            <w:r>
              <w:rPr>
                <w:rFonts w:hint="eastAsia" w:ascii="仿宋_GB2312" w:hAnsi="宋体" w:eastAsia="仿宋_GB2312"/>
                <w:szCs w:val="21"/>
              </w:rPr>
              <w:t>6、具有文档管理、文档审核的打印机制；提供网页预览、在线审核功能，如发现有错误的文档，可以拒绝打印。所有输出文档，都可以查询到输出记录。</w:t>
            </w:r>
          </w:p>
          <w:p>
            <w:pPr>
              <w:ind w:left="-3" w:leftChars="-37" w:hanging="86" w:hangingChars="36"/>
              <w:rPr>
                <w:rFonts w:ascii="仿宋_GB2312" w:hAnsi="宋体" w:eastAsia="仿宋_GB2312"/>
                <w:szCs w:val="21"/>
              </w:rPr>
            </w:pPr>
            <w:r>
              <w:rPr>
                <w:rFonts w:ascii="仿宋_GB2312" w:hAnsi="宋体" w:eastAsia="仿宋_GB2312"/>
                <w:szCs w:val="21"/>
              </w:rPr>
              <w:t>7</w:t>
            </w:r>
            <w:r>
              <w:rPr>
                <w:rFonts w:hint="eastAsia" w:ascii="仿宋_GB2312" w:hAnsi="宋体" w:eastAsia="仿宋_GB2312"/>
                <w:szCs w:val="21"/>
              </w:rPr>
              <w:t>、签章功能，可以自动为每份文件自动加盖印章。用户可以自己制定印章图案，任意指定加盖印章的位置。同时系统对印章实行加密管理，只有授权用户才能使用，保障印章安全。</w:t>
            </w:r>
          </w:p>
          <w:p>
            <w:pPr>
              <w:ind w:left="-3" w:leftChars="-37" w:hanging="86" w:hangingChars="36"/>
              <w:rPr>
                <w:rFonts w:ascii="仿宋_GB2312" w:hAnsi="宋体" w:eastAsia="仿宋_GB2312"/>
                <w:szCs w:val="21"/>
              </w:rPr>
            </w:pPr>
            <w:r>
              <w:rPr>
                <w:rFonts w:hint="eastAsia" w:ascii="仿宋_GB2312" w:hAnsi="宋体" w:eastAsia="仿宋_GB2312"/>
                <w:szCs w:val="21"/>
              </w:rPr>
              <w:t>8、具备专门针对办公环境下的可变数据设计功能；可以按照用户要求，调用数据库进行打印输出。</w:t>
            </w:r>
          </w:p>
          <w:p>
            <w:pPr>
              <w:ind w:left="-3" w:leftChars="-37" w:hanging="86" w:hangingChars="36"/>
              <w:rPr>
                <w:rFonts w:ascii="仿宋_GB2312" w:hAnsi="宋体" w:eastAsia="仿宋_GB2312"/>
                <w:szCs w:val="21"/>
              </w:rPr>
            </w:pPr>
            <w:r>
              <w:rPr>
                <w:rFonts w:hint="eastAsia" w:ascii="仿宋_GB2312" w:hAnsi="宋体" w:eastAsia="仿宋_GB2312"/>
                <w:szCs w:val="21"/>
              </w:rPr>
              <w:t>9、打号要求：支持给每份文件自动打印一个流水编号，并且可以指定编号打印的位置，便于重要文件的分发管理。</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0</w:t>
            </w:r>
            <w:r>
              <w:rPr>
                <w:rFonts w:hint="eastAsia" w:ascii="仿宋_GB2312" w:hAnsi="宋体" w:eastAsia="仿宋_GB2312"/>
                <w:szCs w:val="21"/>
              </w:rPr>
              <w:t>、水印功能：支持给每页文件自动添加水印，水印支持防复印技术，可实现可变水印添加。保障要求较高文件输出的唯一性。</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1</w:t>
            </w:r>
            <w:r>
              <w:rPr>
                <w:rFonts w:hint="eastAsia" w:ascii="仿宋_GB2312" w:hAnsi="宋体" w:eastAsia="仿宋_GB2312"/>
                <w:szCs w:val="21"/>
              </w:rPr>
              <w:t>、具备生成动态二维码功能，实现输出文件的可追溯功能。可以自动识别并添加提交用户、审核用户、用户所属部门、打印时间、打印份数等信息。</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2</w:t>
            </w:r>
            <w:r>
              <w:rPr>
                <w:rFonts w:hint="eastAsia" w:ascii="仿宋_GB2312" w:hAnsi="宋体" w:eastAsia="仿宋_GB2312"/>
                <w:szCs w:val="21"/>
              </w:rPr>
              <w:t>、具备可根据打印机的印刷技术进行字体边缘处理，以实现完美的文字表现，系统内部建有完备的色彩管理系统，支持标准ICC Profile文件的使用。能够对色彩进行精确的校正，保证色彩在不同型号的设备得到上一致呈现。</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3</w:t>
            </w:r>
            <w:r>
              <w:rPr>
                <w:rFonts w:hint="eastAsia" w:ascii="仿宋_GB2312" w:hAnsi="宋体" w:eastAsia="仿宋_GB2312"/>
                <w:szCs w:val="21"/>
              </w:rPr>
              <w:t>、可以针对双面打印机的正背面打印位置做位置套准校正功能，保证印刷设备的印刷精度。</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4</w:t>
            </w:r>
            <w:r>
              <w:rPr>
                <w:rFonts w:hint="eastAsia" w:ascii="仿宋_GB2312" w:hAnsi="宋体" w:eastAsia="仿宋_GB2312"/>
                <w:szCs w:val="21"/>
              </w:rPr>
              <w:t>、自动添加红头功能，可以内置红头页在系统模板中，按照用户要求设置输出规则，打印时自动添加红头，无需预印红头。</w:t>
            </w:r>
          </w:p>
          <w:p>
            <w:pPr>
              <w:pStyle w:val="80"/>
              <w:ind w:left="-13" w:leftChars="-37" w:hanging="76" w:hangingChars="36"/>
              <w:rPr>
                <w:rFonts w:ascii="仿宋_GB2312" w:hAnsi="宋体" w:eastAsia="仿宋_GB2312"/>
                <w:b/>
                <w:bCs/>
                <w:szCs w:val="21"/>
              </w:rPr>
            </w:pPr>
            <w:r>
              <w:rPr>
                <w:rFonts w:ascii="仿宋_GB2312" w:hAnsi="宋体" w:eastAsia="仿宋_GB2312"/>
                <w:b/>
                <w:bCs/>
                <w:szCs w:val="21"/>
              </w:rPr>
              <w:t>三、管控软件要求：</w:t>
            </w:r>
          </w:p>
          <w:p>
            <w:pPr>
              <w:ind w:left="-3" w:leftChars="-37" w:hanging="86" w:hangingChars="36"/>
              <w:rPr>
                <w:rFonts w:ascii="仿宋_GB2312" w:hAnsi="宋体" w:eastAsia="仿宋_GB2312"/>
                <w:szCs w:val="21"/>
              </w:rPr>
            </w:pPr>
            <w:r>
              <w:rPr>
                <w:rFonts w:ascii="仿宋_GB2312" w:hAnsi="宋体" w:eastAsia="仿宋_GB2312"/>
                <w:szCs w:val="21"/>
              </w:rPr>
              <w:t>*1、</w:t>
            </w:r>
            <w:r>
              <w:rPr>
                <w:rFonts w:hint="eastAsia" w:ascii="仿宋_GB2312" w:hAnsi="宋体" w:eastAsia="仿宋_GB2312"/>
                <w:szCs w:val="21"/>
              </w:rPr>
              <w:t xml:space="preserve">管理平台通过国家保密科技测评中心检测认证，可通过国家保密科技测评中心官方网站查询。此项以“国家保密科技测评中心”官方网站 http://www.nsstec.org.cn/查询截图为认证标准。 </w:t>
            </w:r>
          </w:p>
          <w:p>
            <w:pPr>
              <w:ind w:left="-3" w:leftChars="-37" w:hanging="86" w:hangingChars="36"/>
              <w:rPr>
                <w:rFonts w:ascii="仿宋_GB2312" w:hAnsi="宋体" w:eastAsia="仿宋_GB2312"/>
                <w:szCs w:val="21"/>
              </w:rPr>
            </w:pPr>
            <w:r>
              <w:rPr>
                <w:rFonts w:hint="eastAsia" w:ascii="仿宋_GB2312" w:hAnsi="宋体" w:eastAsia="仿宋_GB2312"/>
                <w:szCs w:val="21"/>
              </w:rPr>
              <w:t>2、多品牌设备支持：可支持多品牌设备进行打印输出管控，不影响设备的功能实现，确保打印、复印、装订等功能正常使用。可进行打印设备输出管控。可扩展支持对不同品牌的单功能和多功能打印设备进行相应的管理、监控等，包括桌面型网络打印机的管控。可支持多品牌设备的混合管理。</w:t>
            </w:r>
          </w:p>
          <w:p>
            <w:pPr>
              <w:ind w:left="-3" w:leftChars="-37" w:hanging="86" w:hangingChars="36"/>
              <w:rPr>
                <w:rFonts w:ascii="仿宋_GB2312" w:hAnsi="宋体" w:eastAsia="仿宋_GB2312"/>
                <w:szCs w:val="21"/>
              </w:rPr>
            </w:pPr>
            <w:r>
              <w:rPr>
                <w:rFonts w:hint="eastAsia" w:ascii="仿宋_GB2312" w:hAnsi="宋体" w:eastAsia="仿宋_GB2312"/>
                <w:szCs w:val="21"/>
              </w:rPr>
              <w:t>3、用户认证：员工工作卡认证支持员工卡刷卡认证，读卡器支持多种卡片类型。AD域账号集成具备AD域帐号导入和更新，登录域账号的用户具备输出权限。打印任务接收来源可认证，打印设备具备白名单，只接收来自打印服务器的打印任务，拒绝来自其他地址的打印请求。设备使用认证只有通过认证的用户，才能使用打印设备，如必须刷卡后才能输出打印，杜绝其它人员非法使用。</w:t>
            </w:r>
          </w:p>
          <w:p>
            <w:pPr>
              <w:ind w:left="-3" w:leftChars="-37" w:hanging="86" w:hangingChars="36"/>
              <w:rPr>
                <w:rFonts w:ascii="仿宋_GB2312" w:hAnsi="宋体" w:eastAsia="仿宋_GB2312"/>
                <w:szCs w:val="21"/>
              </w:rPr>
            </w:pPr>
            <w:r>
              <w:rPr>
                <w:rFonts w:ascii="仿宋_GB2312" w:hAnsi="宋体" w:eastAsia="仿宋_GB2312"/>
                <w:szCs w:val="21"/>
              </w:rPr>
              <w:t>4、</w:t>
            </w:r>
            <w:r>
              <w:rPr>
                <w:rFonts w:hint="eastAsia" w:ascii="仿宋_GB2312" w:hAnsi="宋体" w:eastAsia="仿宋_GB2312"/>
                <w:szCs w:val="21"/>
              </w:rPr>
              <w:t>用户账号管理：AD账号导入具备AD域直接导入用户账号；系统自带工具可批量导入AD域帐号到打印管理系统，并与AD域保持自动同步。当AD增加用户时，打印管理系统自动添加用户；当AD用户删除或者禁用时，用户无法认证。</w:t>
            </w:r>
          </w:p>
          <w:p>
            <w:pPr>
              <w:ind w:left="-3" w:leftChars="-37" w:hanging="86" w:hangingChars="36"/>
              <w:rPr>
                <w:rFonts w:ascii="仿宋_GB2312" w:hAnsi="宋体" w:eastAsia="仿宋_GB2312"/>
                <w:szCs w:val="21"/>
              </w:rPr>
            </w:pPr>
            <w:r>
              <w:rPr>
                <w:rFonts w:hint="eastAsia" w:ascii="仿宋_GB2312" w:hAnsi="宋体" w:eastAsia="仿宋_GB2312"/>
                <w:szCs w:val="21"/>
              </w:rPr>
              <w:t>5、用户权限管理：可以设定哪些用户具有打印权限、复印权限；可以设定哪些用户具有彩色打印权限；打印管理。安全打印只有通过刷卡认证、密码认证，才能输出打印；支持混合认证：支持两种以上的用户认证方式并存使用。</w:t>
            </w:r>
          </w:p>
          <w:p>
            <w:pPr>
              <w:ind w:left="-3" w:leftChars="-37" w:hanging="86" w:hangingChars="36"/>
              <w:rPr>
                <w:rFonts w:ascii="仿宋_GB2312" w:hAnsi="宋体" w:eastAsia="仿宋_GB2312"/>
                <w:szCs w:val="21"/>
              </w:rPr>
            </w:pPr>
            <w:r>
              <w:rPr>
                <w:rFonts w:hint="eastAsia" w:ascii="仿宋_GB2312" w:hAnsi="宋体" w:eastAsia="仿宋_GB2312"/>
                <w:szCs w:val="21"/>
              </w:rPr>
              <w:t>6、漫游打印：提交打印信息后，可以在任意打印设备上输出打印件。打印作业保存在打印服务器队列中，规定时间内未输出的作业将被自动删除。具备在同一楼层间漫游打印、同城漫游打印、不同城市间漫游打印能力。</w:t>
            </w:r>
          </w:p>
          <w:p>
            <w:pPr>
              <w:ind w:left="-3" w:leftChars="-37" w:hanging="86" w:hangingChars="36"/>
              <w:rPr>
                <w:rFonts w:ascii="仿宋_GB2312" w:hAnsi="宋体" w:eastAsia="仿宋_GB2312"/>
                <w:szCs w:val="21"/>
              </w:rPr>
            </w:pPr>
            <w:r>
              <w:rPr>
                <w:rFonts w:hint="eastAsia" w:ascii="仿宋_GB2312" w:hAnsi="宋体" w:eastAsia="仿宋_GB2312"/>
                <w:szCs w:val="21"/>
              </w:rPr>
              <w:t>7、用户配额设定：用户组、用户属性设定包括打印机、打印时间、文件类型、文件大小设定，每次任务最大页数、每次任务最大费用、用户配额、配额透支设定。按用户分类设定打印输出按用户分类设定可强制只输出黑白打印、可输出黑白和彩色打印。</w:t>
            </w:r>
          </w:p>
          <w:p>
            <w:pPr>
              <w:ind w:left="-3" w:leftChars="-37" w:hanging="86" w:hangingChars="36"/>
              <w:rPr>
                <w:rFonts w:ascii="仿宋_GB2312" w:hAnsi="宋体" w:eastAsia="仿宋_GB2312"/>
                <w:szCs w:val="21"/>
              </w:rPr>
            </w:pPr>
            <w:r>
              <w:rPr>
                <w:rFonts w:hint="eastAsia" w:ascii="仿宋_GB2312" w:hAnsi="宋体" w:eastAsia="仿宋_GB2312"/>
                <w:szCs w:val="21"/>
              </w:rPr>
              <w:t xml:space="preserve">8、报表统计功能：可以对每个人，部门，设备，项目，成本中心统计打印、复印、扫描的费用。报表可以Excel形式导出，可以设置采集打印统计数据时间。 </w:t>
            </w:r>
          </w:p>
          <w:p>
            <w:pPr>
              <w:ind w:left="-3" w:leftChars="-37" w:hanging="86" w:hangingChars="36"/>
              <w:rPr>
                <w:rFonts w:ascii="仿宋_GB2312" w:hAnsi="宋体" w:eastAsia="仿宋_GB2312"/>
                <w:szCs w:val="21"/>
              </w:rPr>
            </w:pPr>
            <w:r>
              <w:rPr>
                <w:rFonts w:hint="eastAsia" w:ascii="仿宋_GB2312" w:hAnsi="宋体" w:eastAsia="仿宋_GB2312"/>
                <w:szCs w:val="21"/>
              </w:rPr>
              <w:t>9、驱动程序配置：整个系统提供统一驱动程序，支持多品牌的打印设备，无需单独安装每一个品牌、每一个型号设备的驱动程序，可实现在任意设备的刷卡漫游输出。</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0、</w:t>
            </w:r>
            <w:r>
              <w:rPr>
                <w:rFonts w:hint="eastAsia" w:ascii="仿宋_GB2312" w:hAnsi="宋体" w:eastAsia="仿宋_GB2312"/>
                <w:szCs w:val="21"/>
              </w:rPr>
              <w:t>服务状态监控：系统自带服务监控机制，可同时监控CPU、内存、硬盘、打印服务队列、目标打印机队列，可自定义监控参数，当触发条件时通过发送邮件提醒管理人员。</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1、</w:t>
            </w:r>
            <w:r>
              <w:rPr>
                <w:rFonts w:hint="eastAsia" w:ascii="仿宋_GB2312" w:hAnsi="宋体" w:eastAsia="仿宋_GB2312"/>
                <w:szCs w:val="21"/>
              </w:rPr>
              <w:t>审计功能:打印任务日志能记录每次打印任务的密级、打印用途、用户名、计算机名、打印机名、文档名、打印页数、份数、是否双面、打印时间、纸张大小等详细信息。打印内容监控与追溯可为每台打印机设置是否保存打印任务每一页的内容，对保存的打印内容支持全文检索，并可以通过WEB方式查看，查询全部打印内容。普通用户只能浏览自己打印的作业，管理员可以检查所有用户打印的作业。</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2、</w:t>
            </w:r>
            <w:r>
              <w:rPr>
                <w:rFonts w:hint="eastAsia" w:ascii="仿宋_GB2312" w:hAnsi="宋体" w:eastAsia="仿宋_GB2312"/>
                <w:szCs w:val="21"/>
              </w:rPr>
              <w:t>系统部署存储内容留底文件，支持加密存储。</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3、</w:t>
            </w:r>
            <w:r>
              <w:rPr>
                <w:rFonts w:hint="eastAsia" w:ascii="仿宋_GB2312" w:hAnsi="宋体" w:eastAsia="仿宋_GB2312"/>
                <w:szCs w:val="21"/>
              </w:rPr>
              <w:t>可在打印控制台进行系统内管控设备印量、品牌、故障代码、IP地址、耗材状态的显示。</w:t>
            </w:r>
          </w:p>
          <w:p>
            <w:pPr>
              <w:ind w:left="-3" w:leftChars="-37" w:hanging="86" w:hangingChars="36"/>
              <w:rPr>
                <w:rFonts w:ascii="仿宋_GB2312" w:hAnsi="宋体" w:eastAsia="仿宋_GB2312"/>
                <w:szCs w:val="21"/>
              </w:rPr>
            </w:pPr>
            <w:r>
              <w:rPr>
                <w:rFonts w:ascii="仿宋_GB2312" w:hAnsi="宋体" w:eastAsia="仿宋_GB2312"/>
                <w:szCs w:val="21"/>
              </w:rPr>
              <w:t>14、</w:t>
            </w:r>
            <w:r>
              <w:rPr>
                <w:rFonts w:hint="eastAsia" w:ascii="仿宋_GB2312" w:hAnsi="宋体" w:eastAsia="仿宋_GB2312"/>
                <w:szCs w:val="21"/>
              </w:rPr>
              <w:t>具有常用系统管理工具快捷使用功能，以方便系统的管理维护：</w:t>
            </w:r>
          </w:p>
          <w:p>
            <w:pPr>
              <w:ind w:left="-3" w:leftChars="-37" w:hanging="86" w:hangingChars="36"/>
              <w:rPr>
                <w:rFonts w:ascii="仿宋_GB2312" w:hAnsi="宋体" w:eastAsia="仿宋_GB2312"/>
                <w:szCs w:val="21"/>
              </w:rPr>
            </w:pPr>
            <w:r>
              <w:rPr>
                <w:rFonts w:hint="eastAsia" w:ascii="仿宋_GB2312" w:hAnsi="宋体" w:eastAsia="仿宋_GB2312"/>
                <w:szCs w:val="21"/>
              </w:rPr>
              <w:t>IP地址迁移工具、刷卡器配置工具、卡号工具、密级库管理工具、用户账号同步工具等。</w:t>
            </w:r>
          </w:p>
          <w:p>
            <w:pPr>
              <w:ind w:left="-3" w:leftChars="-37" w:hanging="86" w:hangingChars="36"/>
              <w:rPr>
                <w:rFonts w:ascii="仿宋_GB2312" w:hAnsi="宋体" w:eastAsia="仿宋_GB2312"/>
                <w:szCs w:val="21"/>
              </w:rPr>
            </w:pPr>
            <w:r>
              <w:rPr>
                <w:rFonts w:hint="eastAsia" w:ascii="仿宋_GB2312" w:hAnsi="宋体" w:eastAsia="仿宋_GB2312"/>
                <w:szCs w:val="21"/>
              </w:rPr>
              <w:t>1</w:t>
            </w:r>
            <w:r>
              <w:rPr>
                <w:rFonts w:ascii="仿宋_GB2312" w:hAnsi="宋体" w:eastAsia="仿宋_GB2312"/>
                <w:szCs w:val="21"/>
              </w:rPr>
              <w:t>5、</w:t>
            </w:r>
            <w:r>
              <w:rPr>
                <w:rFonts w:hint="eastAsia" w:ascii="仿宋_GB2312" w:hAnsi="宋体" w:eastAsia="仿宋_GB2312"/>
                <w:szCs w:val="21"/>
              </w:rPr>
              <w:t>三员分立原则。系统管理员权限主要日常系统的安装、管理和日常维护。安全审计员权限负责配置系统的审计行为和管理系统的审计信息。安全管理员权限负责安全属性的设定和管理。管理员权限制衡性既保证了系统的可用性，完整性，安全性，又有效地限制，分割用户对数据资料访问的权限，降低了非法用户和非法操作给系统带来的损失。</w:t>
            </w:r>
          </w:p>
          <w:p>
            <w:pPr>
              <w:ind w:left="-3" w:leftChars="-37" w:hanging="86" w:hangingChars="36"/>
              <w:rPr>
                <w:rFonts w:ascii="仿宋_GB2312" w:hAnsi="宋体" w:eastAsia="仿宋_GB2312"/>
                <w:szCs w:val="21"/>
              </w:rPr>
            </w:pPr>
            <w:r>
              <w:rPr>
                <w:rFonts w:ascii="仿宋_GB2312" w:hAnsi="宋体" w:eastAsia="仿宋_GB2312"/>
                <w:szCs w:val="21"/>
              </w:rPr>
              <w:t>*</w:t>
            </w:r>
            <w:r>
              <w:rPr>
                <w:rFonts w:hint="eastAsia" w:ascii="仿宋_GB2312" w:hAnsi="宋体" w:eastAsia="仿宋_GB2312"/>
                <w:szCs w:val="21"/>
              </w:rPr>
              <w:t>1</w:t>
            </w:r>
            <w:r>
              <w:rPr>
                <w:rFonts w:ascii="仿宋_GB2312" w:hAnsi="宋体" w:eastAsia="仿宋_GB2312"/>
                <w:szCs w:val="21"/>
              </w:rPr>
              <w:t>6、</w:t>
            </w:r>
            <w:r>
              <w:rPr>
                <w:rFonts w:hint="eastAsia" w:ascii="仿宋_GB2312" w:hAnsi="宋体" w:eastAsia="仿宋_GB2312"/>
                <w:szCs w:val="21"/>
              </w:rPr>
              <w:t>系统含3</w:t>
            </w:r>
            <w:r>
              <w:rPr>
                <w:rFonts w:ascii="仿宋_GB2312" w:hAnsi="宋体" w:eastAsia="仿宋_GB2312"/>
                <w:szCs w:val="21"/>
              </w:rPr>
              <w:t>台</w:t>
            </w:r>
            <w:r>
              <w:rPr>
                <w:rFonts w:hint="eastAsia" w:ascii="仿宋_GB2312" w:hAnsi="宋体" w:eastAsia="仿宋_GB2312"/>
                <w:szCs w:val="21"/>
              </w:rPr>
              <w:t>打印设备</w:t>
            </w:r>
            <w:r>
              <w:rPr>
                <w:rFonts w:ascii="仿宋_GB2312" w:hAnsi="宋体" w:eastAsia="仿宋_GB2312"/>
                <w:szCs w:val="21"/>
              </w:rPr>
              <w:t>的</w:t>
            </w:r>
            <w:r>
              <w:rPr>
                <w:rFonts w:hint="eastAsia" w:ascii="仿宋_GB2312" w:hAnsi="宋体" w:eastAsia="仿宋_GB2312"/>
                <w:szCs w:val="21"/>
              </w:rPr>
              <w:t>打印</w:t>
            </w:r>
            <w:r>
              <w:rPr>
                <w:rFonts w:ascii="仿宋_GB2312" w:hAnsi="宋体" w:eastAsia="仿宋_GB2312"/>
                <w:szCs w:val="21"/>
              </w:rPr>
              <w:t>授权</w:t>
            </w:r>
            <w:r>
              <w:rPr>
                <w:rFonts w:hint="eastAsia" w:ascii="仿宋_GB2312" w:hAnsi="宋体" w:eastAsia="仿宋_GB2312"/>
                <w:szCs w:val="21"/>
              </w:rPr>
              <w:t>，包含客户现使用2台打印设备的授权，可接入客户办公现场</w:t>
            </w:r>
            <w:r>
              <w:rPr>
                <w:rFonts w:ascii="仿宋_GB2312" w:hAnsi="宋体" w:eastAsia="仿宋_GB2312"/>
                <w:szCs w:val="21"/>
              </w:rPr>
              <w:t>使用。</w:t>
            </w:r>
          </w:p>
        </w:tc>
        <w:tc>
          <w:tcPr>
            <w:tcW w:w="565" w:type="dxa"/>
            <w:vAlign w:val="center"/>
          </w:tcPr>
          <w:p>
            <w:pPr>
              <w:jc w:val="center"/>
              <w:rPr>
                <w:rFonts w:ascii="宋体" w:hAnsi="宋体"/>
                <w:b/>
                <w:bCs/>
              </w:rPr>
            </w:pPr>
            <w:r>
              <w:rPr>
                <w:rFonts w:hint="eastAsia" w:ascii="宋体" w:hAnsi="宋体"/>
                <w:b/>
                <w:bCs/>
              </w:rPr>
              <w:t>1</w:t>
            </w:r>
          </w:p>
        </w:tc>
        <w:tc>
          <w:tcPr>
            <w:tcW w:w="566" w:type="dxa"/>
            <w:vAlign w:val="center"/>
          </w:tcPr>
          <w:p>
            <w:pPr>
              <w:jc w:val="center"/>
              <w:rPr>
                <w:rFonts w:ascii="宋体" w:hAnsi="宋体"/>
                <w:b/>
                <w:bCs/>
              </w:rPr>
            </w:pPr>
            <w:r>
              <w:rPr>
                <w:rFonts w:hint="eastAsia" w:ascii="宋体" w:hAnsi="宋体"/>
                <w:b/>
                <w:bCs/>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8800" w:type="dxa"/>
            <w:gridSpan w:val="5"/>
            <w:vAlign w:val="center"/>
          </w:tcPr>
          <w:p>
            <w:pPr>
              <w:widowControl/>
              <w:spacing w:line="320" w:lineRule="exact"/>
              <w:outlineLvl w:val="2"/>
              <w:rPr>
                <w:rFonts w:hint="eastAsia" w:ascii="宋体" w:hAnsi="宋体" w:eastAsia="宋体"/>
                <w:b/>
                <w:bCs/>
                <w:szCs w:val="21"/>
                <w:lang w:eastAsia="zh-CN"/>
              </w:rPr>
            </w:pPr>
            <w:r>
              <w:rPr>
                <w:rFonts w:hint="eastAsia" w:ascii="宋体" w:hAnsi="宋体"/>
                <w:szCs w:val="21"/>
              </w:rPr>
              <w:t>交货时间：签订合同后10个</w:t>
            </w:r>
            <w:r>
              <w:rPr>
                <w:rFonts w:hint="eastAsia" w:ascii="宋体" w:hAnsi="宋体"/>
                <w:szCs w:val="21"/>
                <w:lang w:eastAsia="zh-CN"/>
              </w:rPr>
              <w:t>日历日</w:t>
            </w:r>
            <w:r>
              <w:rPr>
                <w:rFonts w:hint="eastAsia" w:ascii="宋体" w:hAnsi="宋体"/>
                <w:szCs w:val="21"/>
              </w:rPr>
              <w:t>；交货地点：</w:t>
            </w:r>
            <w:r>
              <w:rPr>
                <w:rFonts w:hint="eastAsia" w:ascii="宋体" w:hAnsi="宋体"/>
                <w:szCs w:val="21"/>
                <w:lang w:eastAsia="zh-CN"/>
              </w:rPr>
              <w:t>采购人指定地点</w:t>
            </w:r>
          </w:p>
        </w:tc>
      </w:tr>
      <w:bookmarkEnd w:id="71"/>
      <w:bookmarkEnd w:id="72"/>
    </w:tbl>
    <w:p>
      <w:pPr>
        <w:pStyle w:val="3"/>
        <w:keepNext w:val="0"/>
        <w:spacing w:beforeLines="50" w:afterLines="50" w:line="360" w:lineRule="auto"/>
        <w:jc w:val="center"/>
        <w:rPr>
          <w:rFonts w:ascii="宋体" w:eastAsia="宋体" w:cs="宋体"/>
          <w:bCs/>
          <w:sz w:val="24"/>
          <w:szCs w:val="24"/>
        </w:rPr>
      </w:pPr>
      <w:bookmarkStart w:id="80" w:name="_Toc18831"/>
      <w:bookmarkStart w:id="81" w:name="_Toc11837"/>
      <w:bookmarkStart w:id="82" w:name="_Toc24046"/>
      <w:r>
        <w:rPr>
          <w:rFonts w:hint="eastAsia" w:ascii="宋体" w:eastAsia="宋体" w:cs="宋体"/>
          <w:bCs/>
          <w:sz w:val="36"/>
          <w:szCs w:val="36"/>
        </w:rPr>
        <w:t>第五章  评审方法</w:t>
      </w:r>
      <w:bookmarkEnd w:id="80"/>
      <w:bookmarkEnd w:id="81"/>
      <w:bookmarkEnd w:id="82"/>
    </w:p>
    <w:p>
      <w:pPr>
        <w:spacing w:line="480" w:lineRule="exact"/>
        <w:outlineLvl w:val="1"/>
        <w:rPr>
          <w:rFonts w:hAnsi="宋体" w:cs="宋体"/>
          <w:b/>
          <w:szCs w:val="24"/>
        </w:rPr>
      </w:pPr>
      <w:r>
        <w:rPr>
          <w:rFonts w:hint="eastAsia" w:hAnsi="宋体" w:cs="宋体"/>
          <w:b/>
          <w:szCs w:val="24"/>
        </w:rPr>
        <w:t>一、评审方法</w:t>
      </w:r>
    </w:p>
    <w:p>
      <w:pPr>
        <w:spacing w:line="480" w:lineRule="exact"/>
        <w:ind w:firstLine="520" w:firstLineChars="217"/>
        <w:rPr>
          <w:rFonts w:hAnsi="宋体" w:cs="宋体"/>
          <w:spacing w:val="4"/>
          <w:szCs w:val="24"/>
        </w:rPr>
      </w:pPr>
      <w:r>
        <w:rPr>
          <w:rFonts w:hint="eastAsia" w:hAnsi="宋体" w:cs="宋体"/>
          <w:szCs w:val="24"/>
        </w:rPr>
        <w:t>按照《中华人民共和国政府采购法》及实施条例和关于印发《政府采购竞争性磋商采购方式管理暂行办法》的通知（财库【2014】214号）</w:t>
      </w:r>
      <w:r>
        <w:rPr>
          <w:rFonts w:hint="eastAsia" w:hAnsi="宋体" w:cs="宋体"/>
          <w:spacing w:val="4"/>
          <w:szCs w:val="24"/>
        </w:rPr>
        <w:t>的规定，本次评标采用</w:t>
      </w:r>
      <w:r>
        <w:rPr>
          <w:rFonts w:hint="eastAsia" w:hAnsi="宋体" w:cs="宋体"/>
          <w:b/>
          <w:bCs/>
          <w:spacing w:val="4"/>
          <w:szCs w:val="24"/>
        </w:rPr>
        <w:t>综合评分法</w:t>
      </w:r>
      <w:r>
        <w:rPr>
          <w:rFonts w:hint="eastAsia" w:hAnsi="宋体" w:cs="宋体"/>
          <w:spacing w:val="4"/>
          <w:szCs w:val="24"/>
        </w:rPr>
        <w:t>，即在最大限度地满足竞争性磋商文件实质性要求前提下，按照竞争性磋商文件中规定的各项因素和相应的权重分值进行综合评审后，以总得分最高的供应商作为成交候选人并依次排序（最低报价不是成交的唯一标准）。</w:t>
      </w:r>
    </w:p>
    <w:p>
      <w:pPr>
        <w:spacing w:line="480" w:lineRule="exact"/>
        <w:outlineLvl w:val="1"/>
        <w:rPr>
          <w:rFonts w:hAnsi="宋体" w:cs="宋体"/>
          <w:b/>
          <w:szCs w:val="24"/>
        </w:rPr>
      </w:pPr>
      <w:r>
        <w:rPr>
          <w:rFonts w:hint="eastAsia" w:hAnsi="宋体" w:cs="宋体"/>
          <w:b/>
          <w:szCs w:val="24"/>
        </w:rPr>
        <w:t>二、评审标准</w:t>
      </w:r>
    </w:p>
    <w:p>
      <w:pPr>
        <w:tabs>
          <w:tab w:val="left" w:pos="0"/>
        </w:tabs>
        <w:adjustRightInd w:val="0"/>
        <w:snapToGrid w:val="0"/>
        <w:spacing w:line="480" w:lineRule="exact"/>
        <w:ind w:firstLine="472" w:firstLineChars="196"/>
        <w:outlineLvl w:val="2"/>
        <w:rPr>
          <w:rFonts w:hAnsi="宋体" w:cs="宋体"/>
          <w:b/>
          <w:color w:val="000000"/>
        </w:rPr>
      </w:pPr>
      <w:r>
        <w:rPr>
          <w:rFonts w:hint="eastAsia" w:hAnsi="宋体" w:cs="宋体"/>
          <w:b/>
          <w:color w:val="000000"/>
        </w:rPr>
        <w:t>2.1初步评审标准</w:t>
      </w:r>
    </w:p>
    <w:p>
      <w:pPr>
        <w:tabs>
          <w:tab w:val="left" w:pos="0"/>
        </w:tabs>
        <w:adjustRightInd w:val="0"/>
        <w:snapToGrid w:val="0"/>
        <w:spacing w:line="480" w:lineRule="exact"/>
        <w:ind w:firstLine="470" w:firstLineChars="196"/>
        <w:rPr>
          <w:rFonts w:hAnsi="宋体" w:cs="宋体"/>
          <w:color w:val="000000"/>
        </w:rPr>
      </w:pPr>
      <w:r>
        <w:rPr>
          <w:rFonts w:hint="eastAsia" w:hAnsi="宋体" w:cs="宋体"/>
          <w:color w:val="000000"/>
        </w:rPr>
        <w:t>2.1.1资格性审查标准：见附件1初步审查要素表</w:t>
      </w:r>
    </w:p>
    <w:p>
      <w:pPr>
        <w:tabs>
          <w:tab w:val="left" w:pos="0"/>
        </w:tabs>
        <w:adjustRightInd w:val="0"/>
        <w:snapToGrid w:val="0"/>
        <w:spacing w:line="480" w:lineRule="exact"/>
        <w:ind w:firstLine="470" w:firstLineChars="196"/>
        <w:rPr>
          <w:rFonts w:hAnsi="宋体" w:cs="宋体"/>
          <w:color w:val="000000"/>
        </w:rPr>
      </w:pPr>
      <w:r>
        <w:rPr>
          <w:rFonts w:hint="eastAsia" w:hAnsi="宋体" w:cs="宋体"/>
          <w:color w:val="000000"/>
        </w:rPr>
        <w:t>2.1.2符合性审查标准：见附件1初步审查要素表</w:t>
      </w:r>
    </w:p>
    <w:p>
      <w:pPr>
        <w:tabs>
          <w:tab w:val="left" w:pos="0"/>
        </w:tabs>
        <w:adjustRightInd w:val="0"/>
        <w:snapToGrid w:val="0"/>
        <w:spacing w:line="480" w:lineRule="exact"/>
        <w:ind w:firstLine="472" w:firstLineChars="196"/>
        <w:outlineLvl w:val="2"/>
        <w:rPr>
          <w:rFonts w:hAnsi="宋体" w:cs="宋体"/>
          <w:b/>
          <w:color w:val="000000"/>
          <w:szCs w:val="22"/>
        </w:rPr>
      </w:pPr>
      <w:r>
        <w:rPr>
          <w:rFonts w:hint="eastAsia" w:hAnsi="宋体" w:cs="宋体"/>
          <w:b/>
          <w:color w:val="000000"/>
          <w:szCs w:val="22"/>
        </w:rPr>
        <w:t>2.2分值构成与评分标准</w:t>
      </w:r>
    </w:p>
    <w:p>
      <w:pPr>
        <w:tabs>
          <w:tab w:val="left" w:pos="0"/>
        </w:tabs>
        <w:adjustRightInd w:val="0"/>
        <w:snapToGrid w:val="0"/>
        <w:spacing w:line="480" w:lineRule="exact"/>
        <w:ind w:firstLine="470" w:firstLineChars="196"/>
        <w:rPr>
          <w:rFonts w:hAnsi="宋体" w:cs="宋体"/>
          <w:b/>
          <w:spacing w:val="4"/>
          <w:szCs w:val="24"/>
        </w:rPr>
      </w:pPr>
      <w:r>
        <w:rPr>
          <w:rFonts w:hint="eastAsia" w:hAnsi="宋体" w:cs="宋体"/>
          <w:bCs/>
          <w:color w:val="000000"/>
          <w:szCs w:val="22"/>
        </w:rPr>
        <w:t>2.2.1 分值构成：见附件2评标因素及权重分值表</w:t>
      </w:r>
    </w:p>
    <w:p>
      <w:pPr>
        <w:spacing w:line="480" w:lineRule="exact"/>
        <w:outlineLvl w:val="1"/>
        <w:rPr>
          <w:rFonts w:hAnsi="宋体" w:cs="宋体"/>
          <w:b/>
          <w:spacing w:val="4"/>
          <w:szCs w:val="24"/>
        </w:rPr>
      </w:pPr>
      <w:r>
        <w:rPr>
          <w:rFonts w:hint="eastAsia" w:hAnsi="宋体" w:cs="宋体"/>
          <w:b/>
          <w:spacing w:val="4"/>
          <w:szCs w:val="24"/>
        </w:rPr>
        <w:t>三、评审程序</w:t>
      </w:r>
    </w:p>
    <w:p>
      <w:pPr>
        <w:pStyle w:val="35"/>
        <w:spacing w:line="480" w:lineRule="exact"/>
        <w:ind w:left="0" w:leftChars="0" w:firstLine="496" w:firstLineChars="200"/>
        <w:rPr>
          <w:rFonts w:cs="宋体"/>
          <w:sz w:val="24"/>
          <w:szCs w:val="24"/>
        </w:rPr>
      </w:pPr>
      <w:r>
        <w:rPr>
          <w:rFonts w:hint="eastAsia" w:cs="宋体"/>
          <w:sz w:val="24"/>
          <w:szCs w:val="24"/>
        </w:rPr>
        <w:t>按照竞争性磋商响应文件初审、澄清有关问题、分别磋商、二次报价、比较与评审、推荐成交候选人名单。在上一步评审中被认定为无效磋商者，不进入下一步的评审。</w:t>
      </w:r>
    </w:p>
    <w:p>
      <w:pPr>
        <w:numPr>
          <w:ilvl w:val="0"/>
          <w:numId w:val="6"/>
        </w:numPr>
        <w:spacing w:line="480" w:lineRule="exact"/>
        <w:ind w:firstLine="498" w:firstLineChars="200"/>
        <w:outlineLvl w:val="2"/>
        <w:rPr>
          <w:rFonts w:hAnsi="宋体" w:cs="宋体"/>
          <w:b/>
          <w:bCs/>
          <w:spacing w:val="4"/>
          <w:szCs w:val="24"/>
        </w:rPr>
      </w:pPr>
      <w:r>
        <w:rPr>
          <w:rFonts w:hint="eastAsia" w:hAnsi="宋体" w:cs="宋体"/>
          <w:b/>
          <w:bCs/>
          <w:spacing w:val="4"/>
          <w:szCs w:val="24"/>
        </w:rPr>
        <w:t>对磋商响应文件的初审</w:t>
      </w:r>
    </w:p>
    <w:p>
      <w:pPr>
        <w:tabs>
          <w:tab w:val="left" w:pos="0"/>
        </w:tabs>
        <w:adjustRightInd w:val="0"/>
        <w:snapToGrid w:val="0"/>
        <w:spacing w:line="480" w:lineRule="exact"/>
        <w:ind w:firstLine="472" w:firstLineChars="196"/>
        <w:rPr>
          <w:rFonts w:hAnsi="宋体" w:cs="宋体"/>
          <w:b/>
          <w:bCs/>
          <w:color w:val="000000"/>
        </w:rPr>
      </w:pPr>
      <w:r>
        <w:rPr>
          <w:rFonts w:hint="eastAsia" w:hAnsi="宋体" w:cs="宋体"/>
          <w:b/>
          <w:bCs/>
          <w:color w:val="000000"/>
        </w:rPr>
        <w:t>1.1资格性审查：磋商小组将依据本章第 2.1.1 项规定的评审标准对磋商响应文件进行资格性审查。有一项不符合评审标准的，将被视为未实质性响应磋商文件，其磋商响应文件将按无效文件处理。</w:t>
      </w:r>
    </w:p>
    <w:p>
      <w:pPr>
        <w:spacing w:line="480" w:lineRule="exact"/>
        <w:ind w:firstLine="482" w:firstLineChars="200"/>
        <w:rPr>
          <w:rFonts w:hAnsi="宋体" w:cs="宋体"/>
          <w:b/>
          <w:bCs/>
          <w:color w:val="000000"/>
        </w:rPr>
      </w:pPr>
      <w:r>
        <w:rPr>
          <w:rFonts w:hint="eastAsia" w:hAnsi="宋体" w:cs="宋体"/>
          <w:b/>
          <w:bCs/>
          <w:color w:val="000000"/>
        </w:rPr>
        <w:t>1.2符合性审查：磋商小组根据本章第 2.1.2 项规定的评审标准对磋商响应文件进行符合性评审。有一项不符合评审标准的，将被视为未实质性响应磋商文件，其磋商响应文件将按无效文件处理。</w:t>
      </w:r>
    </w:p>
    <w:p>
      <w:pPr>
        <w:spacing w:line="480" w:lineRule="exact"/>
        <w:ind w:firstLine="482" w:firstLineChars="200"/>
        <w:rPr>
          <w:rFonts w:hAnsi="宋体" w:cs="宋体"/>
          <w:b/>
          <w:bCs/>
          <w:szCs w:val="24"/>
        </w:rPr>
      </w:pPr>
      <w:r>
        <w:rPr>
          <w:rFonts w:hint="eastAsia" w:hAnsi="宋体" w:cs="宋体"/>
          <w:b/>
          <w:bCs/>
          <w:color w:val="000000"/>
        </w:rPr>
        <w:t>在资格性审查阶段，不符合磋商文件要求的，不得进入符合性审查，在符合性审查时未通过的，不得进入后续评审环节。</w:t>
      </w:r>
    </w:p>
    <w:p>
      <w:pPr>
        <w:spacing w:beforeLines="50" w:afterLines="50" w:line="480" w:lineRule="exact"/>
        <w:ind w:firstLine="482" w:firstLineChars="200"/>
        <w:outlineLvl w:val="2"/>
        <w:rPr>
          <w:rFonts w:hAnsi="宋体" w:cs="宋体"/>
          <w:b/>
          <w:color w:val="000000"/>
        </w:rPr>
      </w:pPr>
      <w:r>
        <w:rPr>
          <w:rFonts w:hint="eastAsia" w:hAnsi="宋体" w:cs="宋体"/>
          <w:b/>
          <w:color w:val="000000"/>
        </w:rPr>
        <w:t>2、磋商响应文件的澄清</w:t>
      </w:r>
    </w:p>
    <w:p>
      <w:pPr>
        <w:spacing w:line="480" w:lineRule="exact"/>
        <w:ind w:firstLine="496" w:firstLineChars="200"/>
        <w:rPr>
          <w:rFonts w:hAnsi="宋体" w:cs="宋体"/>
          <w:bCs/>
          <w:spacing w:val="4"/>
          <w:szCs w:val="24"/>
        </w:rPr>
      </w:pPr>
      <w:r>
        <w:rPr>
          <w:rFonts w:hint="eastAsia" w:hAnsi="宋体" w:cs="宋体"/>
          <w:bCs/>
          <w:spacing w:val="4"/>
          <w:szCs w:val="24"/>
        </w:rPr>
        <w:t>2.1磋商小组发现供应商的报价明显低于其他通过符合性审查的供应商的磋商报价、或明显低于市场价格，使得其磋商报价可能低于其成本的，应当要求该供应商在评审现场作出书面说明并提供相应的证明材料。供应商不能合理说明或者不能提供相应证明材料的，由磋商小组认定该供应商以低于成本报价竞标，其磋商响应文件作无效响应处理。</w:t>
      </w:r>
    </w:p>
    <w:p>
      <w:pPr>
        <w:spacing w:line="480" w:lineRule="exact"/>
        <w:ind w:firstLine="480" w:firstLineChars="200"/>
        <w:rPr>
          <w:rFonts w:hAnsi="宋体" w:cs="宋体"/>
          <w:bCs/>
          <w:spacing w:val="4"/>
          <w:szCs w:val="24"/>
        </w:rPr>
      </w:pPr>
      <w:r>
        <w:rPr>
          <w:rFonts w:hint="eastAsia" w:hAnsi="宋体" w:cs="宋体"/>
          <w:color w:val="000000"/>
          <w:szCs w:val="24"/>
        </w:rPr>
        <w:t>2.2有效的书面澄清材料，是磋商响应文件的补充材料，成为磋商响应文件的组成部分。</w:t>
      </w:r>
    </w:p>
    <w:p>
      <w:pPr>
        <w:spacing w:line="480" w:lineRule="exact"/>
        <w:ind w:left="-19" w:leftChars="-8" w:firstLine="504" w:firstLineChars="209"/>
        <w:outlineLvl w:val="2"/>
        <w:rPr>
          <w:rFonts w:hAnsi="宋体" w:cs="宋体"/>
          <w:b/>
          <w:bCs/>
          <w:szCs w:val="24"/>
        </w:rPr>
      </w:pPr>
      <w:r>
        <w:rPr>
          <w:rFonts w:hint="eastAsia" w:hAnsi="宋体" w:cs="宋体"/>
          <w:b/>
          <w:bCs/>
          <w:szCs w:val="24"/>
        </w:rPr>
        <w:t>3、磋商</w:t>
      </w:r>
    </w:p>
    <w:p>
      <w:pPr>
        <w:spacing w:line="480" w:lineRule="exact"/>
        <w:ind w:left="-19" w:leftChars="-8" w:firstLine="501" w:firstLineChars="209"/>
        <w:rPr>
          <w:rFonts w:hAnsi="宋体" w:cs="宋体"/>
          <w:szCs w:val="24"/>
        </w:rPr>
      </w:pPr>
      <w:r>
        <w:rPr>
          <w:rFonts w:hint="eastAsia" w:hAnsi="宋体" w:cs="宋体"/>
          <w:szCs w:val="24"/>
        </w:rPr>
        <w:t>磋商小组所有成员集中与单一供应商分别进行磋商，并要求供应商在规定的时间内提交最后报价。</w:t>
      </w:r>
    </w:p>
    <w:p>
      <w:pPr>
        <w:spacing w:line="360" w:lineRule="auto"/>
        <w:ind w:firstLine="482" w:firstLineChars="200"/>
        <w:outlineLvl w:val="2"/>
        <w:rPr>
          <w:rFonts w:hAnsi="宋体" w:cs="宋体"/>
          <w:b/>
          <w:bCs/>
          <w:szCs w:val="24"/>
        </w:rPr>
      </w:pPr>
      <w:r>
        <w:rPr>
          <w:rFonts w:hint="eastAsia" w:hAnsi="宋体" w:cs="宋体"/>
          <w:b/>
          <w:bCs/>
          <w:szCs w:val="24"/>
        </w:rPr>
        <w:t>4、磋商过程中的实质性变动</w:t>
      </w:r>
    </w:p>
    <w:p>
      <w:pPr>
        <w:spacing w:line="360" w:lineRule="auto"/>
        <w:ind w:firstLine="480" w:firstLineChars="200"/>
        <w:rPr>
          <w:rFonts w:hAnsi="宋体" w:cs="宋体"/>
          <w:szCs w:val="24"/>
        </w:rPr>
      </w:pPr>
      <w:r>
        <w:rPr>
          <w:rFonts w:hint="eastAsia" w:hAnsi="宋体" w:cs="宋体"/>
          <w:szCs w:val="24"/>
        </w:rPr>
        <w:t>4.1在磋商过程中，磋商小组可以根据磋商文件和磋商情况在最终报价之前实质性变动采购需求中的技术、服务要求以及合同草案条款，但不得变动竞争性磋商文件中的其他内容。实质性变动的内容，须经采购人代表确认。</w:t>
      </w:r>
    </w:p>
    <w:p>
      <w:pPr>
        <w:spacing w:line="360" w:lineRule="auto"/>
        <w:ind w:firstLine="480" w:firstLineChars="200"/>
        <w:rPr>
          <w:rFonts w:hAnsi="宋体" w:cs="宋体"/>
        </w:rPr>
      </w:pPr>
      <w:r>
        <w:rPr>
          <w:rFonts w:hint="eastAsia" w:hAnsi="宋体" w:cs="宋体"/>
          <w:szCs w:val="24"/>
        </w:rPr>
        <w:t>4.2对竞争性磋商文件做出的实质性变动是磋商文件的有效组成部分，磋商小组应当及时以书面形式通知所有参加磋商的供应商。</w:t>
      </w:r>
    </w:p>
    <w:p>
      <w:pPr>
        <w:numPr>
          <w:ilvl w:val="0"/>
          <w:numId w:val="7"/>
        </w:numPr>
        <w:spacing w:line="480" w:lineRule="exact"/>
        <w:ind w:firstLine="480"/>
        <w:outlineLvl w:val="2"/>
        <w:rPr>
          <w:rFonts w:hAnsi="宋体" w:cs="宋体"/>
          <w:b/>
          <w:bCs/>
          <w:szCs w:val="24"/>
        </w:rPr>
      </w:pPr>
      <w:r>
        <w:rPr>
          <w:rFonts w:hint="eastAsia" w:hAnsi="宋体" w:cs="宋体"/>
          <w:b/>
          <w:bCs/>
          <w:szCs w:val="24"/>
        </w:rPr>
        <w:t>综合评审</w:t>
      </w:r>
    </w:p>
    <w:p>
      <w:pPr>
        <w:spacing w:line="480" w:lineRule="exact"/>
        <w:ind w:firstLine="480" w:firstLineChars="200"/>
        <w:rPr>
          <w:rFonts w:hAnsi="宋体" w:cs="宋体"/>
          <w:szCs w:val="24"/>
        </w:rPr>
      </w:pPr>
      <w:r>
        <w:rPr>
          <w:rFonts w:hint="eastAsia" w:hAnsi="宋体" w:cs="宋体"/>
          <w:szCs w:val="24"/>
        </w:rPr>
        <w:t>对于经初审合格的所有供应商，由磋商小组各成员依据磋商响应文件和最终报价，按照下列《评标因素及权重分值表》规定的内容独立进行综合评价、比较打分，然后汇总每个供应商的得分，从高到低依次排序，推荐成交候选人。</w:t>
      </w:r>
    </w:p>
    <w:p>
      <w:pPr>
        <w:spacing w:line="360" w:lineRule="auto"/>
        <w:ind w:firstLine="482" w:firstLineChars="200"/>
        <w:outlineLvl w:val="2"/>
        <w:rPr>
          <w:rFonts w:hAnsi="宋体" w:cs="宋体"/>
          <w:b/>
          <w:bCs/>
          <w:szCs w:val="24"/>
        </w:rPr>
      </w:pPr>
      <w:r>
        <w:rPr>
          <w:rFonts w:hint="eastAsia" w:hAnsi="宋体" w:cs="宋体"/>
          <w:b/>
          <w:bCs/>
          <w:szCs w:val="24"/>
        </w:rPr>
        <w:t>6、推荐成交候选人</w:t>
      </w:r>
    </w:p>
    <w:p>
      <w:pPr>
        <w:spacing w:line="360" w:lineRule="auto"/>
        <w:ind w:firstLine="480" w:firstLineChars="200"/>
        <w:rPr>
          <w:rFonts w:hAnsi="宋体" w:cs="宋体"/>
          <w:b/>
          <w:szCs w:val="24"/>
        </w:rPr>
      </w:pPr>
      <w:r>
        <w:rPr>
          <w:rFonts w:hint="eastAsia" w:hAnsi="宋体" w:cs="宋体"/>
          <w:szCs w:val="24"/>
        </w:rPr>
        <w:t>磋商小组完成评审后，向采购人提出书面评审，并推荐1-3名成交候选人，标明排列顺序。</w:t>
      </w:r>
    </w:p>
    <w:p>
      <w:pPr>
        <w:spacing w:line="360" w:lineRule="auto"/>
        <w:outlineLvl w:val="1"/>
        <w:rPr>
          <w:rFonts w:hAnsi="宋体" w:cs="宋体"/>
          <w:b/>
          <w:szCs w:val="24"/>
        </w:rPr>
      </w:pPr>
      <w:r>
        <w:rPr>
          <w:rFonts w:hint="eastAsia" w:hAnsi="宋体" w:cs="宋体"/>
          <w:b/>
          <w:szCs w:val="24"/>
        </w:rPr>
        <w:t>四、磋商小组当履行下列义务</w:t>
      </w:r>
    </w:p>
    <w:p>
      <w:pPr>
        <w:spacing w:line="360" w:lineRule="auto"/>
        <w:ind w:firstLine="480" w:firstLineChars="200"/>
        <w:rPr>
          <w:rFonts w:hAnsi="宋体" w:cs="宋体"/>
          <w:szCs w:val="24"/>
        </w:rPr>
      </w:pPr>
      <w:r>
        <w:rPr>
          <w:rFonts w:hint="eastAsia" w:hAnsi="宋体" w:cs="宋体"/>
          <w:szCs w:val="24"/>
        </w:rPr>
        <w:t>1、遵纪守法，客观、公正、廉洁地履行职责；</w:t>
      </w:r>
    </w:p>
    <w:p>
      <w:pPr>
        <w:spacing w:line="360" w:lineRule="auto"/>
        <w:ind w:firstLine="480" w:firstLineChars="200"/>
        <w:rPr>
          <w:rFonts w:hAnsi="宋体" w:cs="宋体"/>
          <w:szCs w:val="24"/>
        </w:rPr>
      </w:pPr>
      <w:r>
        <w:rPr>
          <w:rFonts w:hint="eastAsia" w:hAnsi="宋体" w:cs="宋体"/>
          <w:szCs w:val="24"/>
        </w:rPr>
        <w:t>2、根据采购文件的规定独立进行评审，对个人的评审意见承担法律责任；</w:t>
      </w:r>
    </w:p>
    <w:p>
      <w:pPr>
        <w:spacing w:line="360" w:lineRule="auto"/>
        <w:ind w:firstLine="480" w:firstLineChars="200"/>
        <w:rPr>
          <w:rFonts w:hAnsi="宋体" w:cs="宋体"/>
          <w:szCs w:val="24"/>
        </w:rPr>
      </w:pPr>
      <w:r>
        <w:rPr>
          <w:rFonts w:hint="eastAsia" w:hAnsi="宋体" w:cs="宋体"/>
          <w:szCs w:val="24"/>
        </w:rPr>
        <w:t>3、参与评审报告的起草；</w:t>
      </w:r>
    </w:p>
    <w:p>
      <w:pPr>
        <w:spacing w:line="360" w:lineRule="auto"/>
        <w:ind w:firstLine="480" w:firstLineChars="200"/>
        <w:rPr>
          <w:rFonts w:hAnsi="宋体" w:cs="宋体"/>
          <w:szCs w:val="24"/>
        </w:rPr>
      </w:pPr>
      <w:r>
        <w:rPr>
          <w:rFonts w:hint="eastAsia" w:hAnsi="宋体" w:cs="宋体"/>
          <w:szCs w:val="24"/>
        </w:rPr>
        <w:t>4、配合采购人、采购代理机构答复供应商提出的质疑；</w:t>
      </w:r>
    </w:p>
    <w:p>
      <w:pPr>
        <w:spacing w:line="360" w:lineRule="auto"/>
        <w:ind w:firstLine="480" w:firstLineChars="200"/>
        <w:rPr>
          <w:rFonts w:hAnsi="宋体" w:cs="宋体"/>
          <w:szCs w:val="24"/>
        </w:rPr>
      </w:pPr>
      <w:r>
        <w:rPr>
          <w:rFonts w:hint="eastAsia" w:hAnsi="宋体" w:cs="宋体"/>
          <w:szCs w:val="24"/>
        </w:rPr>
        <w:t>5、配合财政部门的投诉处理和监督检查工作。</w:t>
      </w:r>
    </w:p>
    <w:p>
      <w:pPr>
        <w:pStyle w:val="19"/>
        <w:widowControl w:val="0"/>
        <w:spacing w:line="360" w:lineRule="auto"/>
        <w:ind w:firstLine="0" w:firstLineChars="0"/>
        <w:outlineLvl w:val="1"/>
        <w:rPr>
          <w:rFonts w:ascii="宋体" w:hAnsi="宋体" w:cs="宋体"/>
          <w:b/>
          <w:bCs/>
          <w:spacing w:val="4"/>
          <w:sz w:val="24"/>
          <w:szCs w:val="24"/>
        </w:rPr>
      </w:pPr>
      <w:r>
        <w:rPr>
          <w:rFonts w:hint="eastAsia" w:ascii="宋体" w:hAnsi="宋体" w:cs="宋体"/>
          <w:b/>
          <w:sz w:val="24"/>
          <w:szCs w:val="24"/>
        </w:rPr>
        <w:t>五、</w:t>
      </w:r>
      <w:r>
        <w:rPr>
          <w:rFonts w:hint="eastAsia" w:ascii="宋体" w:hAnsi="宋体" w:cs="宋体"/>
          <w:b/>
          <w:bCs/>
          <w:spacing w:val="4"/>
          <w:sz w:val="24"/>
          <w:szCs w:val="24"/>
        </w:rPr>
        <w:t>无效响应文件</w:t>
      </w:r>
    </w:p>
    <w:p>
      <w:pPr>
        <w:spacing w:line="360" w:lineRule="auto"/>
        <w:ind w:firstLine="482" w:firstLineChars="200"/>
        <w:rPr>
          <w:rFonts w:hAnsi="宋体" w:cs="宋体"/>
          <w:b/>
          <w:szCs w:val="24"/>
        </w:rPr>
      </w:pPr>
      <w:r>
        <w:rPr>
          <w:rFonts w:hint="eastAsia" w:hAnsi="宋体" w:cs="宋体"/>
          <w:b/>
          <w:szCs w:val="24"/>
        </w:rPr>
        <w:t>出现下列情形之一的，磋商响应文件无效：</w:t>
      </w:r>
    </w:p>
    <w:p>
      <w:pPr>
        <w:tabs>
          <w:tab w:val="left" w:pos="1260"/>
        </w:tabs>
        <w:spacing w:line="360" w:lineRule="auto"/>
        <w:ind w:firstLine="480" w:firstLineChars="200"/>
        <w:rPr>
          <w:rFonts w:hAnsi="宋体" w:cs="宋体"/>
          <w:szCs w:val="24"/>
        </w:rPr>
      </w:pPr>
      <w:r>
        <w:rPr>
          <w:rFonts w:hint="eastAsia" w:hAnsi="宋体" w:cs="宋体"/>
          <w:szCs w:val="24"/>
        </w:rPr>
        <w:t>1、没有按照竞争性磋商文件要求提供的竞争性磋商响应文件、竞争性磋商响应文件构成有重大缺项、磋商响应文件格式不符合竞争性磋商文件要求；</w:t>
      </w:r>
    </w:p>
    <w:p>
      <w:pPr>
        <w:kinsoku w:val="0"/>
        <w:spacing w:line="360" w:lineRule="auto"/>
        <w:ind w:firstLine="480" w:firstLineChars="200"/>
        <w:rPr>
          <w:rFonts w:hAnsi="宋体" w:cs="宋体"/>
          <w:spacing w:val="-6"/>
        </w:rPr>
      </w:pPr>
      <w:r>
        <w:rPr>
          <w:rFonts w:hint="eastAsia" w:hAnsi="宋体" w:cs="宋体"/>
        </w:rPr>
        <w:t>2、竞争性磋商响应文件未按竞争性磋商文件要求密封、签署、盖章的；</w:t>
      </w:r>
    </w:p>
    <w:p>
      <w:pPr>
        <w:tabs>
          <w:tab w:val="left" w:pos="1260"/>
        </w:tabs>
        <w:spacing w:line="360" w:lineRule="auto"/>
        <w:ind w:firstLine="480" w:firstLineChars="200"/>
        <w:rPr>
          <w:rFonts w:hAnsi="宋体" w:cs="宋体"/>
          <w:szCs w:val="24"/>
        </w:rPr>
      </w:pPr>
      <w:r>
        <w:rPr>
          <w:rFonts w:hint="eastAsia" w:hAnsi="宋体" w:cs="宋体"/>
          <w:szCs w:val="24"/>
        </w:rPr>
        <w:t>3、资格证明文件不全的或无效的，或不符合国家规定的；</w:t>
      </w:r>
    </w:p>
    <w:p>
      <w:pPr>
        <w:tabs>
          <w:tab w:val="left" w:pos="1260"/>
        </w:tabs>
        <w:spacing w:line="360" w:lineRule="auto"/>
        <w:ind w:firstLine="480" w:firstLineChars="200"/>
        <w:rPr>
          <w:rFonts w:hAnsi="宋体" w:cs="宋体"/>
          <w:szCs w:val="24"/>
        </w:rPr>
      </w:pPr>
      <w:r>
        <w:rPr>
          <w:rFonts w:hint="eastAsia" w:hAnsi="宋体" w:cs="宋体"/>
          <w:szCs w:val="24"/>
        </w:rPr>
        <w:t>4、</w:t>
      </w:r>
      <w:r>
        <w:rPr>
          <w:rFonts w:hint="eastAsia" w:hAnsi="宋体" w:cs="宋体"/>
          <w:spacing w:val="-6"/>
        </w:rPr>
        <w:t>无磋商有效期或有效期达不到竞争性磋商文件要求的</w:t>
      </w:r>
      <w:r>
        <w:rPr>
          <w:rFonts w:hint="eastAsia" w:hAnsi="宋体" w:cs="宋体"/>
          <w:szCs w:val="24"/>
        </w:rPr>
        <w:t>；</w:t>
      </w:r>
    </w:p>
    <w:p>
      <w:pPr>
        <w:tabs>
          <w:tab w:val="left" w:pos="1260"/>
        </w:tabs>
        <w:spacing w:line="360" w:lineRule="auto"/>
        <w:ind w:firstLine="480" w:firstLineChars="200"/>
        <w:rPr>
          <w:rFonts w:hAnsi="宋体" w:cs="宋体"/>
          <w:szCs w:val="24"/>
        </w:rPr>
      </w:pPr>
      <w:r>
        <w:rPr>
          <w:rFonts w:hint="eastAsia" w:hAnsi="宋体" w:cs="宋体"/>
          <w:szCs w:val="24"/>
        </w:rPr>
        <w:t>5、供应商有串通磋商、以他人名义磋商、行贿、</w:t>
      </w:r>
      <w:r>
        <w:rPr>
          <w:rFonts w:hint="eastAsia" w:hAnsi="宋体" w:cs="宋体"/>
        </w:rPr>
        <w:t>提供虚假证明（包括第三方提供的虚假证明），开具虚假资质，出现虚假应答的，除按无效文件处理外，还将按照政府采购的有关规定进行处罚；</w:t>
      </w:r>
    </w:p>
    <w:p>
      <w:pPr>
        <w:spacing w:line="360" w:lineRule="auto"/>
        <w:ind w:firstLine="480" w:firstLineChars="200"/>
        <w:rPr>
          <w:rFonts w:hAnsi="宋体" w:cs="宋体"/>
          <w:szCs w:val="24"/>
        </w:rPr>
      </w:pPr>
      <w:r>
        <w:rPr>
          <w:rFonts w:hint="eastAsia" w:hAnsi="宋体" w:cs="宋体"/>
          <w:szCs w:val="24"/>
        </w:rPr>
        <w:t>5、磋商总报价超过竞争性磋商文件公布的采购预算的；</w:t>
      </w:r>
    </w:p>
    <w:p>
      <w:pPr>
        <w:spacing w:line="360" w:lineRule="auto"/>
        <w:ind w:firstLine="480" w:firstLineChars="200"/>
        <w:rPr>
          <w:rFonts w:hAnsi="宋体" w:cs="宋体"/>
        </w:rPr>
      </w:pPr>
      <w:r>
        <w:rPr>
          <w:rFonts w:hint="eastAsia" w:hAnsi="宋体" w:cs="宋体"/>
          <w:szCs w:val="24"/>
        </w:rPr>
        <w:t>7、磋商响应文件含有采购人不能接受的附加条件的；</w:t>
      </w:r>
    </w:p>
    <w:p>
      <w:pPr>
        <w:spacing w:line="360" w:lineRule="auto"/>
        <w:ind w:firstLine="480" w:firstLineChars="200"/>
        <w:rPr>
          <w:rFonts w:hAnsi="宋体" w:cs="宋体"/>
          <w:szCs w:val="24"/>
        </w:rPr>
      </w:pPr>
      <w:r>
        <w:rPr>
          <w:rFonts w:hint="eastAsia" w:hAnsi="宋体" w:cs="宋体"/>
          <w:szCs w:val="24"/>
        </w:rPr>
        <w:t>8、法律、法规规定的其他无效情形。</w:t>
      </w:r>
    </w:p>
    <w:p>
      <w:pPr>
        <w:spacing w:line="480" w:lineRule="exact"/>
        <w:jc w:val="left"/>
        <w:outlineLvl w:val="1"/>
        <w:rPr>
          <w:rFonts w:hAnsi="宋体" w:cs="宋体"/>
          <w:b/>
          <w:szCs w:val="24"/>
        </w:rPr>
      </w:pPr>
      <w:r>
        <w:rPr>
          <w:rFonts w:hint="eastAsia" w:hAnsi="宋体" w:cs="宋体"/>
          <w:b/>
          <w:szCs w:val="24"/>
        </w:rPr>
        <w:t>六、政策性扣减</w:t>
      </w:r>
    </w:p>
    <w:p>
      <w:pPr>
        <w:spacing w:line="480" w:lineRule="exact"/>
        <w:ind w:firstLine="482" w:firstLineChars="200"/>
        <w:jc w:val="left"/>
        <w:outlineLvl w:val="2"/>
        <w:rPr>
          <w:rFonts w:hAnsi="宋体" w:cs="宋体"/>
          <w:b/>
          <w:bCs/>
          <w:szCs w:val="24"/>
        </w:rPr>
      </w:pPr>
      <w:r>
        <w:rPr>
          <w:rFonts w:hint="eastAsia" w:hAnsi="宋体" w:cs="宋体"/>
          <w:b/>
          <w:bCs/>
          <w:szCs w:val="24"/>
        </w:rPr>
        <w:t>1、政策性扣减范围</w:t>
      </w:r>
    </w:p>
    <w:p>
      <w:pPr>
        <w:spacing w:line="480" w:lineRule="exact"/>
        <w:ind w:firstLine="480" w:firstLineChars="200"/>
        <w:jc w:val="left"/>
        <w:rPr>
          <w:rFonts w:hAnsi="宋体" w:cs="宋体"/>
          <w:szCs w:val="24"/>
        </w:rPr>
      </w:pPr>
      <w:r>
        <w:rPr>
          <w:rFonts w:hint="eastAsia" w:hAnsi="宋体" w:cs="宋体"/>
          <w:szCs w:val="24"/>
        </w:rPr>
        <w:t>1.1供应商符合小型、微型企业或监狱企业、残疾人福利性单位条件的，其磋商报价价格评审时将按相应比例进行扣减。</w:t>
      </w:r>
    </w:p>
    <w:p>
      <w:pPr>
        <w:spacing w:line="480" w:lineRule="exact"/>
        <w:ind w:firstLine="480" w:firstLineChars="200"/>
        <w:jc w:val="left"/>
        <w:rPr>
          <w:rFonts w:hAnsi="宋体" w:cs="宋体"/>
          <w:szCs w:val="24"/>
        </w:rPr>
      </w:pPr>
      <w:r>
        <w:rPr>
          <w:rFonts w:hint="eastAsia" w:hAnsi="宋体" w:cs="宋体"/>
          <w:szCs w:val="24"/>
        </w:rPr>
        <w:t>1.2依照&lt;关于印发《政府采购促进中小企业发展暂行办法》的通知&gt;（财库(2011〕181号）的规定，小型、微型企业应当同时符合以下条件：</w:t>
      </w:r>
    </w:p>
    <w:p>
      <w:pPr>
        <w:spacing w:line="480" w:lineRule="exact"/>
        <w:ind w:firstLine="480" w:firstLineChars="200"/>
        <w:jc w:val="left"/>
        <w:rPr>
          <w:rFonts w:hAnsi="宋体" w:cs="宋体"/>
          <w:szCs w:val="24"/>
        </w:rPr>
      </w:pPr>
      <w:r>
        <w:rPr>
          <w:rFonts w:hint="eastAsia" w:hAnsi="宋体" w:cs="宋体"/>
          <w:szCs w:val="24"/>
        </w:rPr>
        <w:t>1.2.1符合中小企业划分标准（中小企业划分标准是指国务院有关部门根据企业从业人员、营业收入、资产总额等指标制定的中小企业划型标准（工信部联企业〔2011〕300号））。</w:t>
      </w:r>
    </w:p>
    <w:p>
      <w:pPr>
        <w:spacing w:line="480" w:lineRule="exact"/>
        <w:ind w:firstLine="480" w:firstLineChars="200"/>
        <w:jc w:val="left"/>
        <w:rPr>
          <w:rFonts w:hAnsi="宋体" w:cs="宋体"/>
          <w:szCs w:val="24"/>
        </w:rPr>
      </w:pPr>
      <w:r>
        <w:rPr>
          <w:rFonts w:hint="eastAsia" w:hAnsi="宋体" w:cs="宋体"/>
          <w:szCs w:val="24"/>
        </w:rPr>
        <w:t>1.2.2提供本企业制造的货物、承担的工程或者服务，或者提供其他中小企业制造的货物，不包括提供或使用大型企业注册商标的货物。</w:t>
      </w:r>
    </w:p>
    <w:p>
      <w:pPr>
        <w:spacing w:line="480" w:lineRule="exact"/>
        <w:ind w:firstLine="480" w:firstLineChars="200"/>
        <w:jc w:val="left"/>
        <w:rPr>
          <w:rFonts w:hAnsi="宋体" w:cs="宋体"/>
          <w:szCs w:val="24"/>
        </w:rPr>
      </w:pPr>
      <w:r>
        <w:rPr>
          <w:rFonts w:hint="eastAsia" w:hAnsi="宋体" w:cs="宋体"/>
          <w:szCs w:val="24"/>
        </w:rPr>
        <w:t>1.2.3小型、微型企业提供中型企业制造的货物的，视同为中型企业；小型、微型、中型企业提供大型企业制造的货物的，视同为大型企业。</w:t>
      </w:r>
    </w:p>
    <w:p>
      <w:pPr>
        <w:spacing w:line="480" w:lineRule="exact"/>
        <w:ind w:firstLine="480" w:firstLineChars="200"/>
        <w:rPr>
          <w:rFonts w:hAnsi="宋体" w:cs="宋体"/>
          <w:szCs w:val="24"/>
        </w:rPr>
      </w:pPr>
      <w:r>
        <w:rPr>
          <w:rFonts w:hint="eastAsia" w:hAnsi="宋体" w:cs="宋体"/>
          <w:szCs w:val="24"/>
        </w:rPr>
        <w:t>1.3采购人拟采购产品属于优先采购节能、环境标志产品范围的，应当优先采购节能、环境标志产品；拟采购产品符合政府采购强制采购政策的，实行强制采购。</w:t>
      </w:r>
    </w:p>
    <w:p>
      <w:pPr>
        <w:spacing w:line="480" w:lineRule="exact"/>
        <w:ind w:firstLine="480" w:firstLineChars="200"/>
        <w:rPr>
          <w:rFonts w:hAnsi="宋体" w:cs="宋体"/>
          <w:szCs w:val="24"/>
        </w:rPr>
      </w:pPr>
      <w:r>
        <w:rPr>
          <w:rFonts w:hint="eastAsia" w:hAnsi="宋体" w:cs="宋体"/>
          <w:szCs w:val="24"/>
        </w:rPr>
        <w:t>1.3.1采购人依据节能产品、环境标志产品品目清单和节能、环境标志产品认证证书实施政府优先采购和强制采购。</w:t>
      </w:r>
    </w:p>
    <w:p>
      <w:pPr>
        <w:spacing w:line="480" w:lineRule="exact"/>
        <w:ind w:firstLine="480" w:firstLineChars="200"/>
        <w:rPr>
          <w:rFonts w:hAnsi="宋体" w:cs="宋体"/>
          <w:szCs w:val="24"/>
        </w:rPr>
      </w:pPr>
      <w:r>
        <w:rPr>
          <w:rFonts w:hint="eastAsia" w:hAnsi="宋体" w:cs="宋体"/>
          <w:szCs w:val="24"/>
        </w:rPr>
        <w:t>1.3.2采购人拟采购的产品属于品目清单范围的，采购人及其委托的采购代理机构将依据国家确定的认证机构出具的、处于有效期之内的节能、环境标志产品认证证书，对获得证书的产品实施政府优先采购或强制采购。</w:t>
      </w:r>
    </w:p>
    <w:p>
      <w:pPr>
        <w:spacing w:line="480" w:lineRule="exact"/>
        <w:ind w:firstLine="480" w:firstLineChars="200"/>
        <w:rPr>
          <w:rFonts w:hAnsi="宋体" w:cs="宋体"/>
          <w:color w:val="000000"/>
        </w:rPr>
      </w:pPr>
      <w:r>
        <w:rPr>
          <w:rFonts w:hint="eastAsia" w:hAnsi="宋体" w:cs="宋体"/>
          <w:szCs w:val="24"/>
        </w:rPr>
        <w:t>1.4监狱企业参加政府采购活动时，应当提供由省级以上监狱管理局、戒毒管理局(含新疆生产建设兵团)出具的属于监狱企业的证明文件。</w:t>
      </w:r>
      <w:r>
        <w:rPr>
          <w:rFonts w:hint="eastAsia" w:hAnsi="宋体" w:cs="宋体"/>
          <w:color w:val="000000"/>
        </w:rPr>
        <w:t>监狱企业参加政府采购活动时，视同小型、微型企业。</w:t>
      </w:r>
    </w:p>
    <w:p>
      <w:pPr>
        <w:spacing w:line="480" w:lineRule="exact"/>
        <w:ind w:firstLine="480" w:firstLineChars="200"/>
        <w:rPr>
          <w:rFonts w:hAnsi="宋体" w:cs="宋体"/>
          <w:color w:val="000000"/>
        </w:rPr>
      </w:pPr>
      <w:r>
        <w:rPr>
          <w:rFonts w:hint="eastAsia" w:hAnsi="宋体" w:cs="宋体"/>
          <w:szCs w:val="24"/>
        </w:rPr>
        <w:t>1.5符合条件的残疾人福利性单位在参加政府采购活动时，应当提供本通知规定的《残疾人福利性单位声明函》，并对声明的真实性负责。残疾人福利性单位</w:t>
      </w:r>
      <w:r>
        <w:rPr>
          <w:rFonts w:hint="eastAsia" w:hAnsi="宋体" w:cs="宋体"/>
          <w:color w:val="000000"/>
        </w:rPr>
        <w:t>参加政府采购活动时，视同小型、微型企业；</w:t>
      </w:r>
      <w:r>
        <w:rPr>
          <w:rFonts w:hint="eastAsia" w:hAnsi="宋体" w:cs="宋体"/>
          <w:szCs w:val="24"/>
        </w:rPr>
        <w:t>残疾人福利性单位属于小型、微型企业的，不重复享受政策。</w:t>
      </w:r>
    </w:p>
    <w:p>
      <w:pPr>
        <w:spacing w:line="480" w:lineRule="exact"/>
        <w:ind w:firstLine="482" w:firstLineChars="200"/>
        <w:jc w:val="left"/>
        <w:outlineLvl w:val="2"/>
        <w:rPr>
          <w:rFonts w:hAnsi="宋体" w:cs="宋体"/>
          <w:b/>
          <w:bCs/>
          <w:szCs w:val="24"/>
        </w:rPr>
      </w:pPr>
      <w:r>
        <w:rPr>
          <w:rFonts w:hint="eastAsia" w:hAnsi="宋体" w:cs="宋体"/>
          <w:b/>
          <w:bCs/>
          <w:szCs w:val="24"/>
        </w:rPr>
        <w:t>2、政策性扣减方式</w:t>
      </w:r>
    </w:p>
    <w:p>
      <w:pPr>
        <w:spacing w:line="480" w:lineRule="exact"/>
        <w:ind w:firstLine="480" w:firstLineChars="200"/>
        <w:jc w:val="left"/>
        <w:rPr>
          <w:rFonts w:hAnsi="宋体" w:cs="宋体"/>
          <w:szCs w:val="24"/>
        </w:rPr>
      </w:pPr>
      <w:r>
        <w:rPr>
          <w:rFonts w:hint="eastAsia" w:hAnsi="宋体" w:cs="宋体"/>
          <w:szCs w:val="24"/>
        </w:rPr>
        <w:t>2.1供应商为非联合体参与磋商的情况：</w:t>
      </w:r>
    </w:p>
    <w:p>
      <w:pPr>
        <w:spacing w:line="480" w:lineRule="exact"/>
        <w:ind w:firstLine="480" w:firstLineChars="200"/>
        <w:jc w:val="left"/>
        <w:rPr>
          <w:rFonts w:hAnsi="宋体" w:cs="宋体"/>
          <w:szCs w:val="24"/>
        </w:rPr>
      </w:pPr>
      <w:r>
        <w:rPr>
          <w:rFonts w:hint="eastAsia" w:hAnsi="宋体" w:cs="宋体"/>
          <w:szCs w:val="24"/>
        </w:rPr>
        <w:t>在磋商最终报价的基础上，对小微企业、监狱企业、残疾人福利性单位，按“磋商报价×6%”进行扣减；</w:t>
      </w:r>
    </w:p>
    <w:p>
      <w:pPr>
        <w:spacing w:line="480" w:lineRule="exact"/>
        <w:ind w:firstLine="480" w:firstLineChars="200"/>
        <w:rPr>
          <w:rFonts w:hAnsi="宋体" w:cs="宋体"/>
          <w:szCs w:val="24"/>
        </w:rPr>
      </w:pPr>
      <w:r>
        <w:rPr>
          <w:rFonts w:hint="eastAsia" w:hAnsi="宋体" w:cs="宋体"/>
          <w:szCs w:val="24"/>
        </w:rPr>
        <w:t>2.2供应商为联合体参与磋商，且联合协议中约定小型或微型企业的协议合同金额占到联合体协议合同总金额30％以上的，按“磋商报价×2%”进行扣减；</w:t>
      </w:r>
    </w:p>
    <w:p>
      <w:pPr>
        <w:spacing w:line="480" w:lineRule="exact"/>
        <w:ind w:firstLine="480" w:firstLineChars="200"/>
        <w:rPr>
          <w:rFonts w:hAnsi="宋体" w:cs="宋体"/>
          <w:szCs w:val="24"/>
        </w:rPr>
      </w:pPr>
      <w:r>
        <w:rPr>
          <w:rFonts w:hint="eastAsia" w:hAnsi="宋体" w:cs="宋体"/>
          <w:szCs w:val="24"/>
        </w:rPr>
        <w:t>2.3小微企业、监狱企业、残疾人福利性单位不重复享受优惠政策；</w:t>
      </w:r>
    </w:p>
    <w:p>
      <w:pPr>
        <w:spacing w:line="480" w:lineRule="exact"/>
        <w:ind w:firstLine="480" w:firstLineChars="200"/>
        <w:rPr>
          <w:rFonts w:hAnsi="宋体" w:cs="宋体"/>
          <w:szCs w:val="24"/>
        </w:rPr>
      </w:pPr>
      <w:r>
        <w:rPr>
          <w:rFonts w:hint="eastAsia" w:hAnsi="宋体" w:cs="宋体"/>
          <w:szCs w:val="24"/>
        </w:rPr>
        <w:t>2.4供应商享受支持中小型企业发展政策优惠的，可以同时享受节能、环境标志产品优先采购政策。</w:t>
      </w:r>
    </w:p>
    <w:p>
      <w:pPr>
        <w:spacing w:line="480" w:lineRule="exact"/>
        <w:ind w:left="480" w:leftChars="200"/>
        <w:jc w:val="left"/>
        <w:rPr>
          <w:rFonts w:hAnsi="宋体" w:cs="宋体"/>
          <w:b/>
          <w:bCs/>
          <w:szCs w:val="24"/>
        </w:rPr>
      </w:pPr>
      <w:r>
        <w:rPr>
          <w:rFonts w:hint="eastAsia" w:hAnsi="宋体" w:cs="宋体"/>
          <w:b/>
          <w:bCs/>
          <w:szCs w:val="24"/>
        </w:rPr>
        <w:t>3、成交价格=成交供应商的最终有效磋商报价。</w:t>
      </w:r>
    </w:p>
    <w:p>
      <w:pPr>
        <w:pStyle w:val="35"/>
        <w:spacing w:line="480" w:lineRule="exact"/>
        <w:ind w:left="0" w:leftChars="0" w:firstLine="0" w:firstLineChars="0"/>
        <w:outlineLvl w:val="1"/>
        <w:rPr>
          <w:rFonts w:cs="宋体"/>
          <w:b/>
          <w:bCs/>
          <w:sz w:val="24"/>
          <w:szCs w:val="24"/>
        </w:rPr>
      </w:pPr>
      <w:r>
        <w:rPr>
          <w:rFonts w:hint="eastAsia" w:cs="宋体"/>
          <w:b/>
          <w:bCs/>
          <w:sz w:val="24"/>
          <w:szCs w:val="24"/>
        </w:rPr>
        <w:t>七、成交</w:t>
      </w:r>
    </w:p>
    <w:p>
      <w:pPr>
        <w:spacing w:line="480" w:lineRule="exact"/>
        <w:ind w:firstLine="496" w:firstLineChars="200"/>
        <w:rPr>
          <w:rFonts w:hAnsi="宋体" w:cs="宋体"/>
          <w:spacing w:val="4"/>
          <w:szCs w:val="24"/>
        </w:rPr>
      </w:pPr>
      <w:r>
        <w:rPr>
          <w:rFonts w:hint="eastAsia" w:hAnsi="宋体" w:cs="宋体"/>
          <w:spacing w:val="4"/>
          <w:szCs w:val="24"/>
        </w:rPr>
        <w:t>1、磋商结果报告由磋商小组全体成员签字确认。</w:t>
      </w:r>
    </w:p>
    <w:p>
      <w:pPr>
        <w:spacing w:line="480" w:lineRule="exact"/>
        <w:ind w:firstLine="496" w:firstLineChars="200"/>
        <w:rPr>
          <w:rFonts w:hAnsi="宋体" w:cs="宋体"/>
          <w:spacing w:val="4"/>
          <w:szCs w:val="24"/>
        </w:rPr>
      </w:pPr>
      <w:r>
        <w:rPr>
          <w:rFonts w:hint="eastAsia" w:hAnsi="宋体" w:cs="宋体"/>
          <w:spacing w:val="4"/>
          <w:szCs w:val="24"/>
        </w:rPr>
        <w:t>2、采购人根据磋商结果报告中推荐的成交候选人确定成交供应商，以复函通知采购代理机构。</w:t>
      </w:r>
    </w:p>
    <w:p>
      <w:pPr>
        <w:spacing w:line="480" w:lineRule="exact"/>
        <w:outlineLvl w:val="1"/>
        <w:rPr>
          <w:rFonts w:hAnsi="宋体" w:cs="宋体"/>
          <w:b/>
          <w:bCs/>
          <w:spacing w:val="4"/>
          <w:kern w:val="2"/>
          <w:szCs w:val="24"/>
        </w:rPr>
      </w:pPr>
      <w:r>
        <w:rPr>
          <w:rFonts w:hint="eastAsia" w:hAnsi="宋体" w:cs="宋体"/>
          <w:b/>
          <w:szCs w:val="24"/>
        </w:rPr>
        <w:t>八、</w:t>
      </w:r>
      <w:r>
        <w:rPr>
          <w:rFonts w:hint="eastAsia" w:hAnsi="宋体" w:cs="宋体"/>
          <w:b/>
          <w:bCs/>
          <w:spacing w:val="4"/>
          <w:kern w:val="2"/>
          <w:szCs w:val="24"/>
        </w:rPr>
        <w:t>特殊情况的处理</w:t>
      </w:r>
    </w:p>
    <w:p>
      <w:pPr>
        <w:spacing w:line="500" w:lineRule="exact"/>
        <w:ind w:firstLine="480" w:firstLineChars="200"/>
        <w:rPr>
          <w:rFonts w:hAnsi="宋体" w:cs="宋体"/>
          <w:szCs w:val="24"/>
        </w:rPr>
      </w:pPr>
      <w:r>
        <w:rPr>
          <w:rFonts w:hint="eastAsia" w:hAnsi="宋体" w:cs="宋体"/>
          <w:szCs w:val="24"/>
        </w:rPr>
        <w:t>1、计算错误将按以下方法更正：</w:t>
      </w:r>
    </w:p>
    <w:p>
      <w:pPr>
        <w:spacing w:line="500" w:lineRule="exact"/>
        <w:ind w:firstLine="480" w:firstLineChars="200"/>
        <w:rPr>
          <w:rFonts w:hAnsi="宋体" w:cs="宋体"/>
          <w:szCs w:val="24"/>
        </w:rPr>
      </w:pPr>
      <w:r>
        <w:rPr>
          <w:rFonts w:hint="eastAsia" w:hAnsi="宋体" w:cs="宋体"/>
          <w:szCs w:val="24"/>
        </w:rPr>
        <w:t>（1）磋商响应文件中报价一览表(报价表)内容与磋商响应文件中相应内容不一致的，以报价一览表(报价表)为准；如果单独密封的报价一览表(报价表)与磋商响应文件正本的报价一览表(报价表)不一致，以单独密封的报价一览表(报价表)为准。</w:t>
      </w:r>
    </w:p>
    <w:p>
      <w:pPr>
        <w:spacing w:line="500" w:lineRule="exact"/>
        <w:ind w:firstLine="480" w:firstLineChars="200"/>
        <w:rPr>
          <w:rFonts w:hAnsi="宋体" w:cs="宋体"/>
          <w:szCs w:val="24"/>
        </w:rPr>
      </w:pPr>
      <w:r>
        <w:rPr>
          <w:rFonts w:hint="eastAsia" w:hAnsi="宋体" w:cs="宋体"/>
          <w:szCs w:val="24"/>
        </w:rPr>
        <w:t>（2）磋商响应文件的大写金额和小写金额不一致的，以大写金额为准；</w:t>
      </w:r>
    </w:p>
    <w:p>
      <w:pPr>
        <w:spacing w:line="500" w:lineRule="exact"/>
        <w:ind w:firstLine="480" w:firstLineChars="200"/>
        <w:rPr>
          <w:rFonts w:hAnsi="宋体" w:cs="宋体"/>
          <w:szCs w:val="24"/>
        </w:rPr>
      </w:pPr>
      <w:r>
        <w:rPr>
          <w:rFonts w:hint="eastAsia" w:hAnsi="宋体" w:cs="宋体"/>
          <w:szCs w:val="24"/>
        </w:rPr>
        <w:t>（3）单价金额小数点或者百分比有明显错位的，以单独密封的报价一览表的总价为准，并修改单价；</w:t>
      </w:r>
    </w:p>
    <w:p>
      <w:pPr>
        <w:spacing w:line="500" w:lineRule="exact"/>
        <w:ind w:firstLine="480" w:firstLineChars="200"/>
        <w:rPr>
          <w:rFonts w:hAnsi="宋体" w:cs="宋体"/>
          <w:szCs w:val="24"/>
        </w:rPr>
      </w:pPr>
      <w:r>
        <w:rPr>
          <w:rFonts w:hint="eastAsia" w:hAnsi="宋体" w:cs="宋体"/>
          <w:szCs w:val="24"/>
        </w:rPr>
        <w:t>（4）总价金额与按单价汇总金额不一致的，以单价金额计算结果为准。</w:t>
      </w:r>
    </w:p>
    <w:p>
      <w:pPr>
        <w:spacing w:line="500" w:lineRule="exact"/>
        <w:ind w:firstLine="480" w:firstLineChars="200"/>
        <w:rPr>
          <w:rFonts w:hAnsi="宋体" w:cs="宋体"/>
          <w:szCs w:val="24"/>
        </w:rPr>
      </w:pPr>
      <w:r>
        <w:rPr>
          <w:rFonts w:hint="eastAsia" w:hAnsi="宋体" w:cs="宋体"/>
          <w:szCs w:val="24"/>
        </w:rPr>
        <w:t>按上述修正的顺序和方法调整的报价应对供应商具有约束力。如果供应商不接受修正后的价格，其响应文件将按无效响应处理。</w:t>
      </w:r>
    </w:p>
    <w:p>
      <w:pPr>
        <w:spacing w:line="360" w:lineRule="auto"/>
        <w:ind w:firstLine="480" w:firstLineChars="200"/>
        <w:rPr>
          <w:rFonts w:hAnsi="宋体" w:cs="宋体"/>
          <w:szCs w:val="24"/>
        </w:rPr>
      </w:pPr>
      <w:r>
        <w:rPr>
          <w:rFonts w:hint="eastAsia" w:hAnsi="宋体" w:cs="宋体"/>
          <w:szCs w:val="24"/>
        </w:rPr>
        <w:t>2、对于竞争性磋商响应文件中明显的标点符号错误或不构成实质性偏差的不正规、不一致或不规则，采购人可以接受。</w:t>
      </w:r>
    </w:p>
    <w:p>
      <w:pPr>
        <w:pStyle w:val="18"/>
        <w:spacing w:after="0" w:line="360" w:lineRule="auto"/>
        <w:ind w:firstLine="496" w:firstLineChars="200"/>
        <w:rPr>
          <w:rFonts w:ascii="宋体" w:hAnsi="宋体" w:cs="宋体"/>
          <w:spacing w:val="4"/>
          <w:sz w:val="24"/>
          <w:szCs w:val="24"/>
        </w:rPr>
      </w:pPr>
      <w:r>
        <w:rPr>
          <w:rFonts w:hint="eastAsia" w:ascii="宋体" w:hAnsi="宋体" w:cs="宋体"/>
          <w:spacing w:val="4"/>
          <w:sz w:val="24"/>
          <w:szCs w:val="24"/>
        </w:rPr>
        <w:t>3、磋商过程中，若出现本评审方法以外的特殊情况时，将暂停评审，待磋商小组商榷后，再进行评定。</w:t>
      </w: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pStyle w:val="18"/>
        <w:rPr>
          <w:rFonts w:ascii="宋体" w:hAnsi="宋体" w:cs="宋体"/>
          <w:spacing w:val="4"/>
          <w:sz w:val="24"/>
          <w:szCs w:val="24"/>
        </w:rPr>
      </w:pPr>
    </w:p>
    <w:p>
      <w:pPr>
        <w:rPr>
          <w:rFonts w:hAnsi="宋体" w:cs="宋体"/>
          <w:b/>
          <w:bCs/>
          <w:szCs w:val="24"/>
        </w:rPr>
      </w:pPr>
      <w:r>
        <w:rPr>
          <w:rFonts w:hint="eastAsia" w:hAnsi="宋体" w:cs="宋体"/>
          <w:b/>
          <w:bCs/>
          <w:szCs w:val="24"/>
        </w:rPr>
        <w:br w:type="page"/>
      </w:r>
    </w:p>
    <w:p>
      <w:pPr>
        <w:pStyle w:val="18"/>
        <w:outlineLvl w:val="2"/>
        <w:rPr>
          <w:rFonts w:ascii="宋体" w:hAnsi="宋体" w:cs="宋体"/>
          <w:szCs w:val="24"/>
        </w:rPr>
      </w:pPr>
      <w:r>
        <w:rPr>
          <w:rFonts w:hint="eastAsia" w:ascii="宋体" w:hAnsi="宋体" w:cs="宋体"/>
          <w:b/>
          <w:bCs/>
          <w:sz w:val="24"/>
          <w:szCs w:val="24"/>
        </w:rPr>
        <w:t>附件1：</w:t>
      </w:r>
    </w:p>
    <w:p>
      <w:pPr>
        <w:pStyle w:val="18"/>
        <w:jc w:val="center"/>
        <w:outlineLvl w:val="2"/>
        <w:rPr>
          <w:rFonts w:ascii="宋体" w:hAnsi="宋体" w:cs="宋体"/>
          <w:b/>
          <w:bCs/>
          <w:sz w:val="24"/>
          <w:szCs w:val="24"/>
        </w:rPr>
      </w:pPr>
      <w:r>
        <w:rPr>
          <w:rFonts w:hint="eastAsia" w:ascii="宋体" w:hAnsi="宋体" w:cs="宋体"/>
          <w:b/>
          <w:bCs/>
          <w:sz w:val="24"/>
          <w:szCs w:val="24"/>
        </w:rPr>
        <w:t>初步审查要素表</w:t>
      </w:r>
    </w:p>
    <w:tbl>
      <w:tblPr>
        <w:tblStyle w:val="44"/>
        <w:tblW w:w="9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600"/>
        <w:gridCol w:w="2836"/>
        <w:gridCol w:w="5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364" w:type="dxa"/>
            <w:gridSpan w:val="2"/>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条款号</w:t>
            </w:r>
          </w:p>
        </w:tc>
        <w:tc>
          <w:tcPr>
            <w:tcW w:w="2836" w:type="dxa"/>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评审因素</w:t>
            </w:r>
          </w:p>
        </w:tc>
        <w:tc>
          <w:tcPr>
            <w:tcW w:w="5319" w:type="dxa"/>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2.1.1</w:t>
            </w:r>
          </w:p>
        </w:tc>
        <w:tc>
          <w:tcPr>
            <w:tcW w:w="600"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资格评审</w:t>
            </w:r>
          </w:p>
          <w:p>
            <w:pPr>
              <w:tabs>
                <w:tab w:val="left" w:pos="0"/>
              </w:tabs>
              <w:adjustRightInd w:val="0"/>
              <w:snapToGrid w:val="0"/>
              <w:jc w:val="center"/>
              <w:rPr>
                <w:rFonts w:hAnsi="宋体" w:cs="宋体"/>
                <w:bCs/>
                <w:sz w:val="21"/>
                <w:szCs w:val="21"/>
              </w:rPr>
            </w:pPr>
            <w:r>
              <w:rPr>
                <w:rFonts w:hint="eastAsia" w:hAnsi="宋体" w:cs="宋体"/>
                <w:bCs/>
                <w:sz w:val="21"/>
                <w:szCs w:val="21"/>
              </w:rPr>
              <w:t>标准</w:t>
            </w:r>
          </w:p>
        </w:tc>
        <w:tc>
          <w:tcPr>
            <w:tcW w:w="2836"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基本资格条件</w:t>
            </w:r>
          </w:p>
        </w:tc>
        <w:tc>
          <w:tcPr>
            <w:tcW w:w="5319" w:type="dxa"/>
            <w:vAlign w:val="center"/>
          </w:tcPr>
          <w:p>
            <w:pPr>
              <w:tabs>
                <w:tab w:val="left" w:pos="0"/>
              </w:tabs>
              <w:adjustRightInd w:val="0"/>
              <w:snapToGrid w:val="0"/>
              <w:jc w:val="left"/>
              <w:rPr>
                <w:rFonts w:hAnsi="宋体" w:cs="宋体"/>
                <w:bCs/>
                <w:sz w:val="21"/>
                <w:szCs w:val="21"/>
              </w:rPr>
            </w:pPr>
            <w:r>
              <w:rPr>
                <w:rFonts w:hint="eastAsia" w:hAnsi="宋体" w:cs="宋体"/>
                <w:bCs/>
                <w:sz w:val="21"/>
                <w:szCs w:val="21"/>
              </w:rPr>
              <w:t>1、提供合格有效的法人或者其他组织的营业执照等证明文件，自然人的身份证明；</w:t>
            </w:r>
          </w:p>
          <w:p>
            <w:pPr>
              <w:pStyle w:val="18"/>
              <w:rPr>
                <w:rFonts w:ascii="宋体" w:hAnsi="宋体" w:cs="宋体"/>
              </w:rPr>
            </w:pPr>
            <w:r>
              <w:rPr>
                <w:rFonts w:hint="eastAsia" w:ascii="宋体" w:hAnsi="宋体" w:cs="宋体"/>
                <w:bCs/>
                <w:szCs w:val="21"/>
              </w:rPr>
              <w:t>供应商是法人或其他组织的应提供营业执照等证明文件，供应商是自然人的应提供有效的自然人身份证明。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rPr>
                <w:rFonts w:hAnsi="宋体" w:cs="宋体"/>
                <w:bCs/>
                <w:sz w:val="21"/>
                <w:szCs w:val="21"/>
              </w:rPr>
            </w:pPr>
            <w:r>
              <w:rPr>
                <w:rFonts w:hint="eastAsia" w:hAnsi="宋体" w:cs="宋体"/>
                <w:sz w:val="21"/>
                <w:szCs w:val="21"/>
              </w:rPr>
              <w:t>2、提供上一年度经审计的财务报告（成立时间至提交磋商响应文件截止时间不足一年的可提供成立后任意时段的资产负债表），或其基本存款账户开户银行出具的资信证明及基本存款账户开户许可证（基本账户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tabs>
                <w:tab w:val="left" w:pos="0"/>
              </w:tabs>
              <w:adjustRightInd w:val="0"/>
              <w:snapToGrid w:val="0"/>
              <w:ind w:left="-79" w:leftChars="-33" w:firstLine="79" w:firstLineChars="38"/>
              <w:jc w:val="left"/>
              <w:rPr>
                <w:rFonts w:hAnsi="宋体" w:cs="宋体"/>
                <w:bCs/>
                <w:sz w:val="21"/>
                <w:szCs w:val="21"/>
              </w:rPr>
            </w:pPr>
            <w:r>
              <w:rPr>
                <w:rFonts w:hint="eastAsia" w:hAnsi="宋体" w:cs="宋体"/>
                <w:bCs/>
                <w:sz w:val="21"/>
                <w:szCs w:val="21"/>
              </w:rPr>
              <w:t>3、提供磋商截止日前一年内已缴纳的至少一个月的纳税证明或完税证明，依法免税的单位应提供相关证明材料；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tabs>
                <w:tab w:val="left" w:pos="0"/>
              </w:tabs>
              <w:adjustRightInd w:val="0"/>
              <w:snapToGrid w:val="0"/>
              <w:ind w:left="-79" w:leftChars="-33" w:firstLine="79" w:firstLineChars="38"/>
              <w:jc w:val="left"/>
              <w:rPr>
                <w:rFonts w:hAnsi="宋体" w:cs="宋体"/>
                <w:bCs/>
                <w:sz w:val="21"/>
                <w:szCs w:val="21"/>
              </w:rPr>
            </w:pPr>
            <w:r>
              <w:rPr>
                <w:rFonts w:hint="eastAsia" w:hAnsi="宋体" w:cs="宋体"/>
                <w:bCs/>
                <w:sz w:val="21"/>
                <w:szCs w:val="21"/>
              </w:rPr>
              <w:t>4、提供磋商截止日前一年内已缴存的至少一个月的社会保障资金缴存单据或社保机构开具的社会保险参保缴费情况证明，依法不需要缴纳社会保障资金的单位应提供相关证明材料；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tabs>
                <w:tab w:val="left" w:pos="0"/>
              </w:tabs>
              <w:adjustRightInd w:val="0"/>
              <w:snapToGrid w:val="0"/>
              <w:ind w:left="-79" w:leftChars="-33" w:firstLine="79" w:firstLineChars="38"/>
              <w:jc w:val="left"/>
              <w:rPr>
                <w:rFonts w:hAnsi="宋体" w:cs="宋体"/>
                <w:bCs/>
                <w:sz w:val="21"/>
                <w:szCs w:val="21"/>
              </w:rPr>
            </w:pPr>
            <w:r>
              <w:rPr>
                <w:rFonts w:hint="eastAsia" w:hAnsi="宋体" w:cs="宋体"/>
                <w:bCs/>
                <w:sz w:val="21"/>
                <w:szCs w:val="21"/>
              </w:rPr>
              <w:t>5、提供具有履行合同所必需的设备和专业技术能力的承诺；（格式自拟）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rPr>
                <w:rFonts w:hAnsi="宋体" w:cs="宋体"/>
                <w:sz w:val="21"/>
                <w:szCs w:val="21"/>
              </w:rPr>
            </w:pPr>
            <w:r>
              <w:rPr>
                <w:rFonts w:hint="eastAsia" w:hAnsi="宋体" w:cs="宋体"/>
                <w:sz w:val="21"/>
                <w:szCs w:val="21"/>
              </w:rPr>
              <w:t>6、参加政府采购活动前3年内，在经营活动中没有重大违法记录的书面声明；（格式自拟）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特定资格条件</w:t>
            </w:r>
          </w:p>
        </w:tc>
        <w:tc>
          <w:tcPr>
            <w:tcW w:w="5319" w:type="dxa"/>
            <w:vAlign w:val="center"/>
          </w:tcPr>
          <w:p>
            <w:pPr>
              <w:rPr>
                <w:rFonts w:hAnsi="宋体" w:cs="宋体"/>
                <w:bCs/>
                <w:sz w:val="21"/>
                <w:szCs w:val="21"/>
              </w:rPr>
            </w:pPr>
            <w:r>
              <w:rPr>
                <w:rFonts w:hint="eastAsia" w:hAnsi="宋体" w:cs="宋体"/>
                <w:sz w:val="21"/>
                <w:szCs w:val="21"/>
              </w:rPr>
              <w:t>1、法定代表人授权书及被授权人身份证（法定代表人直接参加磋商，须提供法定代表人身份证明及身份证原件）；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rPr>
                <w:rFonts w:hAnsi="宋体" w:cs="宋体"/>
                <w:sz w:val="21"/>
                <w:szCs w:val="21"/>
              </w:rPr>
            </w:pPr>
            <w:r>
              <w:rPr>
                <w:rFonts w:hint="eastAsia" w:hAnsi="宋体" w:cs="宋体"/>
                <w:sz w:val="21"/>
                <w:szCs w:val="21"/>
              </w:rPr>
              <w:t>2、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采购代理机构于磋商前三日内查询相关信用记录，对列入失信被执行人、重大税收违法案件当事人名单、政府采购严重违法失信行为记录名单及其他不符合《中华人民共和国政府采购法》第二十二条规定条件的采购代理机构将拒绝其参与政府采购活动，查询结果以电子或纸质方式留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64" w:type="dxa"/>
            <w:vMerge w:val="continue"/>
            <w:vAlign w:val="center"/>
          </w:tcPr>
          <w:p>
            <w:pPr>
              <w:tabs>
                <w:tab w:val="left" w:pos="0"/>
              </w:tabs>
              <w:adjustRightInd w:val="0"/>
              <w:snapToGrid w:val="0"/>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2836" w:type="dxa"/>
            <w:vMerge w:val="continue"/>
            <w:vAlign w:val="center"/>
          </w:tcPr>
          <w:p>
            <w:pPr>
              <w:tabs>
                <w:tab w:val="left" w:pos="0"/>
              </w:tabs>
              <w:adjustRightInd w:val="0"/>
              <w:snapToGrid w:val="0"/>
              <w:jc w:val="center"/>
              <w:rPr>
                <w:rFonts w:hAnsi="宋体" w:cs="宋体"/>
                <w:bCs/>
                <w:sz w:val="21"/>
                <w:szCs w:val="21"/>
              </w:rPr>
            </w:pPr>
          </w:p>
        </w:tc>
        <w:tc>
          <w:tcPr>
            <w:tcW w:w="5319" w:type="dxa"/>
            <w:vAlign w:val="center"/>
          </w:tcPr>
          <w:p>
            <w:pPr>
              <w:tabs>
                <w:tab w:val="left" w:pos="0"/>
              </w:tabs>
              <w:adjustRightInd w:val="0"/>
              <w:snapToGrid w:val="0"/>
              <w:jc w:val="left"/>
              <w:rPr>
                <w:rFonts w:hAnsi="宋体" w:cs="宋体"/>
                <w:bCs/>
                <w:sz w:val="21"/>
                <w:szCs w:val="21"/>
              </w:rPr>
            </w:pPr>
            <w:r>
              <w:rPr>
                <w:rFonts w:hint="eastAsia" w:hAnsi="宋体" w:cs="宋体"/>
                <w:sz w:val="21"/>
                <w:szCs w:val="21"/>
              </w:rPr>
              <w:t>3、</w:t>
            </w:r>
            <w:r>
              <w:rPr>
                <w:rFonts w:hint="eastAsia" w:hAnsi="宋体" w:cs="宋体"/>
                <w:bCs/>
                <w:sz w:val="21"/>
                <w:szCs w:val="21"/>
              </w:rPr>
              <w:t>本项目不接受联合体磋商。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9" w:type="dxa"/>
            <w:gridSpan w:val="4"/>
            <w:vAlign w:val="center"/>
          </w:tcPr>
          <w:p>
            <w:pPr>
              <w:pStyle w:val="18"/>
              <w:rPr>
                <w:rFonts w:ascii="宋体" w:hAnsi="宋体" w:cs="宋体"/>
                <w:bCs/>
                <w:szCs w:val="21"/>
              </w:rPr>
            </w:pPr>
            <w:r>
              <w:rPr>
                <w:rFonts w:hint="eastAsia" w:ascii="宋体" w:hAnsi="宋体" w:cs="宋体"/>
                <w:b/>
                <w:szCs w:val="21"/>
              </w:rPr>
              <w:t>注：以上为必备资格条件，缺一项或某项达不到要求，按无效文件处理。资格审查时以磋商响应文件中所附证明材料为准，原件备查。</w:t>
            </w:r>
          </w:p>
        </w:tc>
      </w:tr>
    </w:tbl>
    <w:p>
      <w:r>
        <w:br w:type="page"/>
      </w:r>
    </w:p>
    <w:p>
      <w:pPr>
        <w:pStyle w:val="2"/>
      </w:pPr>
    </w:p>
    <w:tbl>
      <w:tblPr>
        <w:tblStyle w:val="44"/>
        <w:tblW w:w="9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600"/>
        <w:gridCol w:w="567"/>
        <w:gridCol w:w="2269"/>
        <w:gridCol w:w="5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2.1.2</w:t>
            </w:r>
          </w:p>
        </w:tc>
        <w:tc>
          <w:tcPr>
            <w:tcW w:w="600"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符合性评审标准</w:t>
            </w:r>
          </w:p>
        </w:tc>
        <w:tc>
          <w:tcPr>
            <w:tcW w:w="567"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有效性审查</w:t>
            </w: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磋商响应文件的签署盖章</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600" w:type="dxa"/>
            <w:vMerge w:val="continue"/>
          </w:tcPr>
          <w:p>
            <w:pPr>
              <w:tabs>
                <w:tab w:val="left" w:pos="0"/>
              </w:tabs>
              <w:adjustRightInd w:val="0"/>
              <w:snapToGrid w:val="0"/>
              <w:spacing w:line="360" w:lineRule="auto"/>
              <w:rPr>
                <w:rFonts w:hAnsi="宋体" w:cs="宋体"/>
                <w:bCs/>
                <w:sz w:val="21"/>
                <w:szCs w:val="21"/>
              </w:rPr>
            </w:pPr>
          </w:p>
        </w:tc>
        <w:tc>
          <w:tcPr>
            <w:tcW w:w="567" w:type="dxa"/>
            <w:vMerge w:val="continue"/>
          </w:tcPr>
          <w:p>
            <w:pPr>
              <w:tabs>
                <w:tab w:val="left" w:pos="0"/>
              </w:tabs>
              <w:adjustRightInd w:val="0"/>
              <w:snapToGrid w:val="0"/>
              <w:spacing w:line="360" w:lineRule="auto"/>
              <w:rPr>
                <w:rFonts w:hAnsi="宋体" w:cs="宋体"/>
                <w:bCs/>
                <w:sz w:val="21"/>
                <w:szCs w:val="21"/>
              </w:rPr>
            </w:pP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磋商响应文件格式</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应符合“磋商响应文件格式”要求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600" w:type="dxa"/>
            <w:vMerge w:val="continue"/>
          </w:tcPr>
          <w:p>
            <w:pPr>
              <w:tabs>
                <w:tab w:val="left" w:pos="0"/>
              </w:tabs>
              <w:adjustRightInd w:val="0"/>
              <w:snapToGrid w:val="0"/>
              <w:spacing w:line="360" w:lineRule="auto"/>
              <w:rPr>
                <w:rFonts w:hAnsi="宋体" w:cs="宋体"/>
                <w:bCs/>
                <w:sz w:val="21"/>
                <w:szCs w:val="21"/>
              </w:rPr>
            </w:pPr>
          </w:p>
        </w:tc>
        <w:tc>
          <w:tcPr>
            <w:tcW w:w="567" w:type="dxa"/>
            <w:vMerge w:val="continue"/>
          </w:tcPr>
          <w:p>
            <w:pPr>
              <w:tabs>
                <w:tab w:val="left" w:pos="0"/>
              </w:tabs>
              <w:adjustRightInd w:val="0"/>
              <w:snapToGrid w:val="0"/>
              <w:spacing w:line="360" w:lineRule="auto"/>
              <w:rPr>
                <w:rFonts w:hAnsi="宋体" w:cs="宋体"/>
                <w:bCs/>
                <w:sz w:val="21"/>
                <w:szCs w:val="21"/>
              </w:rPr>
            </w:pP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报价唯一</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只能有一个有效报价，不得提交选择性报价，按要求提交二次或多次报价，且每轮报价不超过采购预算金额或最高限价或磋商小组认为低于成本价的报价。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567"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完整性审查</w:t>
            </w: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磋商响应文件份数</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应符合“供应商须知前附表”规定的正本、副本、电子文件数量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600" w:type="dxa"/>
            <w:vMerge w:val="continue"/>
          </w:tcPr>
          <w:p>
            <w:pPr>
              <w:tabs>
                <w:tab w:val="left" w:pos="0"/>
              </w:tabs>
              <w:adjustRightInd w:val="0"/>
              <w:snapToGrid w:val="0"/>
              <w:spacing w:line="360" w:lineRule="auto"/>
              <w:rPr>
                <w:rFonts w:hAnsi="宋体" w:cs="宋体"/>
                <w:bCs/>
                <w:sz w:val="21"/>
                <w:szCs w:val="21"/>
              </w:rPr>
            </w:pPr>
          </w:p>
        </w:tc>
        <w:tc>
          <w:tcPr>
            <w:tcW w:w="567" w:type="dxa"/>
            <w:vMerge w:val="continue"/>
          </w:tcPr>
          <w:p>
            <w:pPr>
              <w:tabs>
                <w:tab w:val="left" w:pos="0"/>
              </w:tabs>
              <w:adjustRightInd w:val="0"/>
              <w:snapToGrid w:val="0"/>
              <w:spacing w:line="360" w:lineRule="auto"/>
              <w:rPr>
                <w:rFonts w:hAnsi="宋体" w:cs="宋体"/>
                <w:bCs/>
                <w:sz w:val="21"/>
                <w:szCs w:val="21"/>
              </w:rPr>
            </w:pP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磋商响应文件内容</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磋商响应文件内容符合磋商文件要求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600" w:type="dxa"/>
            <w:vMerge w:val="continue"/>
            <w:vAlign w:val="center"/>
          </w:tcPr>
          <w:p>
            <w:pPr>
              <w:tabs>
                <w:tab w:val="left" w:pos="0"/>
              </w:tabs>
              <w:adjustRightInd w:val="0"/>
              <w:snapToGrid w:val="0"/>
              <w:jc w:val="center"/>
              <w:rPr>
                <w:rFonts w:hAnsi="宋体" w:cs="宋体"/>
                <w:bCs/>
                <w:sz w:val="21"/>
                <w:szCs w:val="21"/>
              </w:rPr>
            </w:pPr>
          </w:p>
        </w:tc>
        <w:tc>
          <w:tcPr>
            <w:tcW w:w="567" w:type="dxa"/>
            <w:vMerge w:val="restart"/>
            <w:vAlign w:val="center"/>
          </w:tcPr>
          <w:p>
            <w:pPr>
              <w:tabs>
                <w:tab w:val="left" w:pos="0"/>
              </w:tabs>
              <w:adjustRightInd w:val="0"/>
              <w:snapToGrid w:val="0"/>
              <w:jc w:val="center"/>
              <w:rPr>
                <w:rFonts w:hAnsi="宋体" w:cs="宋体"/>
                <w:bCs/>
                <w:sz w:val="21"/>
                <w:szCs w:val="21"/>
              </w:rPr>
            </w:pPr>
            <w:r>
              <w:rPr>
                <w:rFonts w:hint="eastAsia" w:hAnsi="宋体" w:cs="宋体"/>
                <w:bCs/>
                <w:sz w:val="21"/>
                <w:szCs w:val="21"/>
              </w:rPr>
              <w:t>响应性审查</w:t>
            </w: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对磋商文件响应程度</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要求实质性条款全部响应，不能有采购人不能接受的附加条件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600" w:type="dxa"/>
            <w:vMerge w:val="continue"/>
          </w:tcPr>
          <w:p>
            <w:pPr>
              <w:tabs>
                <w:tab w:val="left" w:pos="0"/>
              </w:tabs>
              <w:adjustRightInd w:val="0"/>
              <w:snapToGrid w:val="0"/>
              <w:spacing w:line="360" w:lineRule="auto"/>
              <w:rPr>
                <w:rFonts w:hAnsi="宋体" w:cs="宋体"/>
                <w:bCs/>
                <w:sz w:val="21"/>
                <w:szCs w:val="21"/>
              </w:rPr>
            </w:pPr>
          </w:p>
        </w:tc>
        <w:tc>
          <w:tcPr>
            <w:tcW w:w="567" w:type="dxa"/>
            <w:vMerge w:val="continue"/>
          </w:tcPr>
          <w:p>
            <w:pPr>
              <w:tabs>
                <w:tab w:val="left" w:pos="0"/>
              </w:tabs>
              <w:adjustRightInd w:val="0"/>
              <w:snapToGrid w:val="0"/>
              <w:spacing w:line="360" w:lineRule="auto"/>
              <w:rPr>
                <w:rFonts w:hAnsi="宋体" w:cs="宋体"/>
                <w:bCs/>
                <w:sz w:val="21"/>
                <w:szCs w:val="21"/>
              </w:rPr>
            </w:pP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交货期</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应满足磋商文件中要求的交货期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600" w:type="dxa"/>
            <w:vMerge w:val="continue"/>
          </w:tcPr>
          <w:p>
            <w:pPr>
              <w:tabs>
                <w:tab w:val="left" w:pos="0"/>
              </w:tabs>
              <w:adjustRightInd w:val="0"/>
              <w:snapToGrid w:val="0"/>
              <w:spacing w:line="360" w:lineRule="auto"/>
              <w:rPr>
                <w:rFonts w:hAnsi="宋体" w:cs="宋体"/>
                <w:bCs/>
                <w:sz w:val="21"/>
                <w:szCs w:val="21"/>
              </w:rPr>
            </w:pPr>
          </w:p>
        </w:tc>
        <w:tc>
          <w:tcPr>
            <w:tcW w:w="567" w:type="dxa"/>
            <w:vMerge w:val="continue"/>
          </w:tcPr>
          <w:p>
            <w:pPr>
              <w:tabs>
                <w:tab w:val="left" w:pos="0"/>
              </w:tabs>
              <w:adjustRightInd w:val="0"/>
              <w:snapToGrid w:val="0"/>
              <w:spacing w:line="360" w:lineRule="auto"/>
              <w:rPr>
                <w:rFonts w:hAnsi="宋体" w:cs="宋体"/>
                <w:bCs/>
                <w:sz w:val="21"/>
                <w:szCs w:val="21"/>
              </w:rPr>
            </w:pPr>
          </w:p>
        </w:tc>
        <w:tc>
          <w:tcPr>
            <w:tcW w:w="226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磋商有效期</w:t>
            </w:r>
          </w:p>
        </w:tc>
        <w:tc>
          <w:tcPr>
            <w:tcW w:w="5319" w:type="dxa"/>
            <w:vAlign w:val="center"/>
          </w:tcPr>
          <w:p>
            <w:pPr>
              <w:tabs>
                <w:tab w:val="left" w:pos="0"/>
              </w:tabs>
              <w:adjustRightInd w:val="0"/>
              <w:snapToGrid w:val="0"/>
              <w:rPr>
                <w:rFonts w:hAnsi="宋体" w:cs="宋体"/>
                <w:bCs/>
                <w:sz w:val="21"/>
                <w:szCs w:val="21"/>
              </w:rPr>
            </w:pPr>
            <w:r>
              <w:rPr>
                <w:rFonts w:hint="eastAsia" w:hAnsi="宋体" w:cs="宋体"/>
                <w:bCs/>
                <w:sz w:val="21"/>
                <w:szCs w:val="21"/>
              </w:rPr>
              <w:t>应满足磋商文件中的规定</w:t>
            </w:r>
          </w:p>
        </w:tc>
      </w:tr>
    </w:tbl>
    <w:p>
      <w:pPr>
        <w:spacing w:line="360" w:lineRule="auto"/>
        <w:outlineLvl w:val="2"/>
        <w:rPr>
          <w:rFonts w:hAnsi="宋体" w:cs="宋体"/>
          <w:b/>
          <w:spacing w:val="4"/>
          <w:szCs w:val="24"/>
        </w:rPr>
      </w:pPr>
      <w:r>
        <w:rPr>
          <w:rFonts w:hint="eastAsia" w:hAnsi="宋体" w:cs="宋体"/>
          <w:b/>
          <w:sz w:val="28"/>
          <w:szCs w:val="28"/>
        </w:rPr>
        <w:br w:type="page"/>
      </w:r>
      <w:r>
        <w:rPr>
          <w:rFonts w:hint="eastAsia" w:hAnsi="宋体" w:cs="宋体"/>
          <w:b/>
          <w:spacing w:val="4"/>
          <w:szCs w:val="24"/>
        </w:rPr>
        <w:t>附件2：</w:t>
      </w:r>
    </w:p>
    <w:p>
      <w:pPr>
        <w:spacing w:line="360" w:lineRule="auto"/>
        <w:jc w:val="center"/>
        <w:outlineLvl w:val="2"/>
        <w:rPr>
          <w:rFonts w:hAnsi="宋体" w:cs="宋体"/>
          <w:b/>
          <w:spacing w:val="4"/>
          <w:szCs w:val="24"/>
        </w:rPr>
      </w:pPr>
      <w:r>
        <w:rPr>
          <w:rFonts w:hint="eastAsia" w:hAnsi="宋体" w:cs="宋体"/>
          <w:b/>
          <w:spacing w:val="4"/>
          <w:szCs w:val="24"/>
        </w:rPr>
        <w:t>评标因素及权重分值表</w:t>
      </w:r>
    </w:p>
    <w:tbl>
      <w:tblPr>
        <w:tblStyle w:val="44"/>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843"/>
        <w:gridCol w:w="6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blHeader/>
          <w:jc w:val="center"/>
        </w:trPr>
        <w:tc>
          <w:tcPr>
            <w:tcW w:w="1021" w:type="dxa"/>
            <w:vAlign w:val="center"/>
          </w:tcPr>
          <w:p>
            <w:pPr>
              <w:spacing w:line="360" w:lineRule="auto"/>
              <w:jc w:val="left"/>
              <w:rPr>
                <w:rFonts w:hAnsi="宋体" w:cs="宋体"/>
                <w:bCs/>
                <w:szCs w:val="24"/>
              </w:rPr>
            </w:pPr>
            <w:r>
              <w:rPr>
                <w:rFonts w:hint="eastAsia" w:hAnsi="宋体" w:cs="宋体"/>
                <w:bCs/>
                <w:szCs w:val="24"/>
              </w:rPr>
              <w:t>类别</w:t>
            </w:r>
          </w:p>
        </w:tc>
        <w:tc>
          <w:tcPr>
            <w:tcW w:w="8266" w:type="dxa"/>
            <w:gridSpan w:val="2"/>
            <w:vAlign w:val="center"/>
          </w:tcPr>
          <w:p>
            <w:pPr>
              <w:spacing w:line="360" w:lineRule="auto"/>
              <w:jc w:val="center"/>
              <w:rPr>
                <w:rFonts w:hAnsi="宋体" w:cs="宋体"/>
                <w:bCs/>
                <w:szCs w:val="24"/>
              </w:rPr>
            </w:pPr>
            <w:r>
              <w:rPr>
                <w:rFonts w:hint="eastAsia" w:hAnsi="宋体" w:cs="宋体"/>
                <w:bCs/>
                <w:szCs w:val="24"/>
              </w:rPr>
              <w:t>评审要素及赋分标准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1021" w:type="dxa"/>
            <w:vAlign w:val="center"/>
          </w:tcPr>
          <w:p>
            <w:pPr>
              <w:spacing w:line="360" w:lineRule="auto"/>
              <w:jc w:val="center"/>
              <w:rPr>
                <w:rFonts w:hAnsi="宋体" w:cs="宋体"/>
                <w:bCs/>
                <w:szCs w:val="24"/>
              </w:rPr>
            </w:pPr>
            <w:r>
              <w:rPr>
                <w:rFonts w:hint="eastAsia" w:hAnsi="宋体" w:cs="宋体"/>
                <w:bCs/>
                <w:szCs w:val="24"/>
              </w:rPr>
              <w:t>磋商</w:t>
            </w:r>
          </w:p>
          <w:p>
            <w:pPr>
              <w:spacing w:line="360" w:lineRule="auto"/>
              <w:jc w:val="center"/>
              <w:rPr>
                <w:rFonts w:hAnsi="宋体" w:cs="宋体"/>
                <w:bCs/>
                <w:szCs w:val="24"/>
              </w:rPr>
            </w:pPr>
            <w:r>
              <w:rPr>
                <w:rFonts w:hint="eastAsia" w:hAnsi="宋体" w:cs="宋体"/>
                <w:bCs/>
                <w:szCs w:val="24"/>
              </w:rPr>
              <w:t>价格(30分)</w:t>
            </w:r>
          </w:p>
        </w:tc>
        <w:tc>
          <w:tcPr>
            <w:tcW w:w="8266" w:type="dxa"/>
            <w:gridSpan w:val="2"/>
            <w:vAlign w:val="center"/>
          </w:tcPr>
          <w:p>
            <w:pPr>
              <w:spacing w:line="360" w:lineRule="auto"/>
              <w:jc w:val="left"/>
              <w:rPr>
                <w:rFonts w:hAnsi="宋体" w:cs="宋体"/>
                <w:bCs/>
                <w:szCs w:val="24"/>
              </w:rPr>
            </w:pPr>
            <w:r>
              <w:rPr>
                <w:rFonts w:hint="eastAsia" w:hAnsi="宋体" w:cs="宋体"/>
                <w:bCs/>
                <w:szCs w:val="24"/>
              </w:rPr>
              <w:t>1.经初审合格的磋商文件，其最终报价为有效报价。对符合政策性扣减的有效磋商报价进行政策性扣减，并依据扣减后的价格（评审价格）进行价格评审。</w:t>
            </w:r>
          </w:p>
          <w:p>
            <w:pPr>
              <w:pStyle w:val="40"/>
              <w:spacing w:before="0" w:beforeAutospacing="0" w:after="0" w:afterAutospacing="0" w:line="450" w:lineRule="atLeast"/>
              <w:rPr>
                <w:rFonts w:cs="宋体"/>
                <w:bCs/>
              </w:rPr>
            </w:pPr>
            <w:r>
              <w:rPr>
                <w:rFonts w:hint="eastAsia" w:cs="宋体"/>
                <w:bCs/>
              </w:rPr>
              <w:t>2.满足磋商文件要求且最终报价最低的供应商的价格为磋商基准价，其价格分为满分。其他供应商的价格分按照下列公式计算：</w:t>
            </w:r>
          </w:p>
          <w:p>
            <w:pPr>
              <w:pStyle w:val="40"/>
              <w:spacing w:before="0" w:beforeAutospacing="0" w:after="0" w:afterAutospacing="0" w:line="450" w:lineRule="atLeast"/>
              <w:ind w:firstLine="480" w:firstLineChars="200"/>
              <w:rPr>
                <w:rFonts w:cs="宋体"/>
                <w:bCs/>
              </w:rPr>
            </w:pPr>
            <w:r>
              <w:rPr>
                <w:rFonts w:hint="eastAsia" w:cs="宋体"/>
                <w:bCs/>
              </w:rPr>
              <w:t>磋商报价得分=（磋商基准价/最后磋商报价）×30×100%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2" w:hRule="atLeast"/>
          <w:jc w:val="center"/>
        </w:trPr>
        <w:tc>
          <w:tcPr>
            <w:tcW w:w="1021" w:type="dxa"/>
            <w:vMerge w:val="restart"/>
            <w:vAlign w:val="center"/>
          </w:tcPr>
          <w:p>
            <w:pPr>
              <w:jc w:val="center"/>
              <w:rPr>
                <w:rFonts w:hAnsi="宋体" w:cs="宋体"/>
                <w:szCs w:val="24"/>
              </w:rPr>
            </w:pPr>
            <w:r>
              <w:rPr>
                <w:rFonts w:hint="eastAsia" w:hAnsi="宋体" w:cs="宋体"/>
                <w:szCs w:val="24"/>
              </w:rPr>
              <w:t>技术</w:t>
            </w:r>
          </w:p>
          <w:p>
            <w:pPr>
              <w:jc w:val="center"/>
              <w:rPr>
                <w:rFonts w:hAnsi="宋体" w:cs="宋体"/>
                <w:szCs w:val="24"/>
              </w:rPr>
            </w:pPr>
            <w:r>
              <w:rPr>
                <w:rFonts w:hint="eastAsia" w:hAnsi="宋体" w:cs="宋体"/>
                <w:szCs w:val="24"/>
              </w:rPr>
              <w:t>评审</w:t>
            </w:r>
          </w:p>
          <w:p>
            <w:pPr>
              <w:pStyle w:val="18"/>
              <w:jc w:val="center"/>
              <w:rPr>
                <w:rFonts w:ascii="宋体" w:hAnsi="宋体" w:cs="宋体"/>
                <w:sz w:val="24"/>
                <w:szCs w:val="24"/>
              </w:rPr>
            </w:pPr>
            <w:r>
              <w:rPr>
                <w:rFonts w:hint="eastAsia" w:ascii="宋体" w:hAnsi="宋体" w:cs="宋体"/>
                <w:bCs/>
                <w:sz w:val="24"/>
                <w:szCs w:val="24"/>
              </w:rPr>
              <w:t>(45分)</w:t>
            </w:r>
          </w:p>
        </w:tc>
        <w:tc>
          <w:tcPr>
            <w:tcW w:w="1843" w:type="dxa"/>
            <w:vAlign w:val="center"/>
          </w:tcPr>
          <w:p>
            <w:pPr>
              <w:spacing w:line="360" w:lineRule="auto"/>
              <w:jc w:val="center"/>
              <w:rPr>
                <w:rFonts w:hAnsi="宋体" w:cs="宋体"/>
                <w:szCs w:val="24"/>
              </w:rPr>
            </w:pPr>
            <w:r>
              <w:rPr>
                <w:rFonts w:hint="eastAsia" w:hAnsi="宋体" w:cs="宋体"/>
                <w:szCs w:val="24"/>
              </w:rPr>
              <w:t>磋商产品</w:t>
            </w:r>
          </w:p>
          <w:p>
            <w:pPr>
              <w:spacing w:line="360" w:lineRule="auto"/>
              <w:jc w:val="center"/>
              <w:rPr>
                <w:rFonts w:hAnsi="宋体" w:cs="宋体"/>
                <w:szCs w:val="24"/>
              </w:rPr>
            </w:pPr>
            <w:r>
              <w:rPr>
                <w:rFonts w:hint="eastAsia" w:hAnsi="宋体" w:cs="宋体"/>
                <w:szCs w:val="24"/>
              </w:rPr>
              <w:t>（</w:t>
            </w:r>
            <w:r>
              <w:rPr>
                <w:rFonts w:hint="eastAsia" w:hAnsi="宋体" w:cs="宋体"/>
                <w:szCs w:val="24"/>
                <w:lang w:val="en-US" w:eastAsia="zh-CN"/>
              </w:rPr>
              <w:t>30</w:t>
            </w:r>
            <w:r>
              <w:rPr>
                <w:rFonts w:hint="eastAsia" w:hAnsi="宋体" w:cs="宋体"/>
                <w:szCs w:val="24"/>
              </w:rPr>
              <w:t>分）</w:t>
            </w:r>
          </w:p>
        </w:tc>
        <w:tc>
          <w:tcPr>
            <w:tcW w:w="6423" w:type="dxa"/>
            <w:vAlign w:val="center"/>
          </w:tcPr>
          <w:p>
            <w:pPr>
              <w:spacing w:line="360" w:lineRule="auto"/>
              <w:jc w:val="left"/>
              <w:rPr>
                <w:rFonts w:hAnsi="宋体" w:cs="宋体"/>
                <w:bCs/>
                <w:szCs w:val="24"/>
              </w:rPr>
            </w:pPr>
            <w:r>
              <w:rPr>
                <w:rFonts w:hint="eastAsia" w:hAnsi="宋体" w:cs="宋体"/>
                <w:bCs/>
                <w:szCs w:val="24"/>
              </w:rPr>
              <w:t>磋商产品选型合理，磋商内容齐全，便于操作，功能齐全，实用性强，性能良好，技术参数清楚准确</w:t>
            </w:r>
            <w:r>
              <w:rPr>
                <w:rFonts w:hint="eastAsia" w:hAnsi="宋体" w:cs="宋体"/>
                <w:bCs/>
                <w:szCs w:val="24"/>
                <w:lang w:eastAsia="zh-CN"/>
              </w:rPr>
              <w:t>，</w:t>
            </w:r>
            <w:r>
              <w:rPr>
                <w:rFonts w:hint="eastAsia" w:hAnsi="宋体" w:cs="宋体"/>
                <w:bCs/>
                <w:szCs w:val="24"/>
              </w:rPr>
              <w:t>数量准确无缺漏项，规格符合要求，配置完整。</w:t>
            </w:r>
            <w:r>
              <w:rPr>
                <w:rFonts w:hint="eastAsia" w:hAnsi="宋体" w:cs="宋体"/>
                <w:bCs/>
                <w:szCs w:val="24"/>
                <w:lang w:eastAsia="zh-CN"/>
              </w:rPr>
              <w:t>（</w:t>
            </w:r>
            <w:r>
              <w:rPr>
                <w:rFonts w:hint="eastAsia" w:hAnsi="宋体" w:cs="宋体"/>
                <w:b/>
                <w:szCs w:val="24"/>
                <w:highlight w:val="none"/>
              </w:rPr>
              <w:t>标“</w:t>
            </w:r>
            <w:r>
              <w:rPr>
                <w:rFonts w:hint="eastAsia" w:asciiTheme="minorEastAsia" w:hAnsiTheme="minorEastAsia" w:eastAsiaTheme="minorEastAsia" w:cstheme="minorEastAsia"/>
                <w:b/>
                <w:color w:val="000000"/>
                <w:sz w:val="21"/>
                <w:szCs w:val="21"/>
                <w:highlight w:val="none"/>
              </w:rPr>
              <w:t>★”号的功能参数为产品核心参数，必须满足且应附必要的佐证资料。</w:t>
            </w:r>
            <w:r>
              <w:rPr>
                <w:rFonts w:hint="eastAsia" w:asciiTheme="minorEastAsia" w:hAnsiTheme="minorEastAsia" w:eastAsiaTheme="minorEastAsia" w:cstheme="minorEastAsia"/>
                <w:b/>
                <w:color w:val="000000"/>
                <w:sz w:val="21"/>
                <w:szCs w:val="21"/>
                <w:highlight w:val="none"/>
                <w:lang w:eastAsia="zh-CN"/>
              </w:rPr>
              <w:t>否则为无效投标文件</w:t>
            </w:r>
            <w:r>
              <w:rPr>
                <w:rFonts w:hint="eastAsia" w:hAnsi="宋体" w:cs="宋体"/>
                <w:b/>
                <w:szCs w:val="24"/>
                <w:highlight w:val="none"/>
                <w:lang w:eastAsia="zh-CN"/>
              </w:rPr>
              <w:t>）</w:t>
            </w:r>
            <w:r>
              <w:rPr>
                <w:rFonts w:hint="eastAsia" w:hAnsi="宋体" w:cs="宋体"/>
                <w:bCs/>
                <w:szCs w:val="24"/>
              </w:rPr>
              <w:t>用材、性能、指标等完全满足磋商需求的，得基本分</w:t>
            </w:r>
            <w:r>
              <w:rPr>
                <w:rFonts w:hint="eastAsia" w:hAnsi="宋体" w:cs="宋体"/>
                <w:bCs/>
                <w:szCs w:val="24"/>
                <w:lang w:val="en-US" w:eastAsia="zh-CN"/>
              </w:rPr>
              <w:t>20</w:t>
            </w:r>
            <w:r>
              <w:rPr>
                <w:rFonts w:hint="eastAsia" w:hAnsi="宋体" w:cs="宋体"/>
                <w:bCs/>
                <w:szCs w:val="24"/>
              </w:rPr>
              <w:t>分；</w:t>
            </w:r>
          </w:p>
          <w:p>
            <w:pPr>
              <w:spacing w:line="360" w:lineRule="auto"/>
              <w:jc w:val="left"/>
              <w:rPr>
                <w:rFonts w:hAnsi="宋体" w:cs="宋体"/>
                <w:szCs w:val="24"/>
                <w:lang w:val="zh-CN"/>
              </w:rPr>
            </w:pPr>
            <w:r>
              <w:rPr>
                <w:rFonts w:hint="eastAsia" w:hAnsi="宋体" w:cs="宋体"/>
                <w:bCs/>
                <w:szCs w:val="24"/>
              </w:rPr>
              <w:t>用材、性能、指标等优于磋商需求，且能提供不限于产品授权书、承诺函、检测报告、说明书等相关资料予以佐证的，视优于程度加1-10分</w:t>
            </w:r>
            <w:r>
              <w:rPr>
                <w:rFonts w:hint="eastAsia" w:hAnsi="宋体" w:cs="宋体"/>
                <w:szCs w:val="24"/>
                <w:lang w:val="zh-CN"/>
              </w:rPr>
              <w:t>；</w:t>
            </w:r>
          </w:p>
          <w:p>
            <w:pPr>
              <w:spacing w:line="360" w:lineRule="auto"/>
              <w:jc w:val="left"/>
              <w:rPr>
                <w:rFonts w:hAnsi="宋体" w:cs="宋体"/>
                <w:bCs/>
                <w:szCs w:val="24"/>
              </w:rPr>
            </w:pPr>
            <w:r>
              <w:rPr>
                <w:rFonts w:hint="eastAsia" w:hAnsi="宋体" w:cs="宋体"/>
                <w:szCs w:val="24"/>
                <w:lang w:val="zh-CN"/>
              </w:rPr>
              <w:t>整体低于磋商文件要求的</w:t>
            </w:r>
            <w:r>
              <w:rPr>
                <w:rFonts w:hint="eastAsia" w:hAnsi="宋体" w:cs="宋体"/>
                <w:szCs w:val="24"/>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021" w:type="dxa"/>
            <w:vMerge w:val="continue"/>
            <w:vAlign w:val="center"/>
          </w:tcPr>
          <w:p>
            <w:pPr>
              <w:spacing w:line="560" w:lineRule="exact"/>
              <w:rPr>
                <w:rFonts w:hAnsi="宋体" w:cs="宋体"/>
                <w:b/>
                <w:szCs w:val="24"/>
              </w:rPr>
            </w:pPr>
          </w:p>
        </w:tc>
        <w:tc>
          <w:tcPr>
            <w:tcW w:w="1843" w:type="dxa"/>
            <w:vAlign w:val="center"/>
          </w:tcPr>
          <w:p>
            <w:pPr>
              <w:spacing w:line="360" w:lineRule="auto"/>
              <w:jc w:val="center"/>
              <w:rPr>
                <w:rFonts w:hAnsi="宋体" w:cs="宋体"/>
                <w:kern w:val="2"/>
                <w:szCs w:val="24"/>
              </w:rPr>
            </w:pPr>
            <w:r>
              <w:rPr>
                <w:rFonts w:hint="eastAsia" w:hAnsi="宋体" w:cs="宋体"/>
                <w:kern w:val="2"/>
                <w:szCs w:val="24"/>
              </w:rPr>
              <w:t>实施方案</w:t>
            </w:r>
          </w:p>
          <w:p>
            <w:pPr>
              <w:spacing w:line="360" w:lineRule="auto"/>
              <w:jc w:val="center"/>
              <w:rPr>
                <w:rFonts w:hAnsi="宋体" w:cs="宋体"/>
                <w:szCs w:val="24"/>
              </w:rPr>
            </w:pPr>
            <w:r>
              <w:rPr>
                <w:rFonts w:hint="eastAsia" w:hAnsi="宋体" w:cs="宋体"/>
                <w:szCs w:val="24"/>
              </w:rPr>
              <w:t>（10分）</w:t>
            </w:r>
          </w:p>
        </w:tc>
        <w:tc>
          <w:tcPr>
            <w:tcW w:w="6423" w:type="dxa"/>
            <w:vAlign w:val="center"/>
          </w:tcPr>
          <w:p>
            <w:pPr>
              <w:spacing w:line="360" w:lineRule="auto"/>
              <w:jc w:val="left"/>
              <w:rPr>
                <w:rFonts w:hAnsi="宋体" w:cs="宋体"/>
                <w:bCs/>
                <w:szCs w:val="24"/>
              </w:rPr>
            </w:pPr>
            <w:r>
              <w:rPr>
                <w:rFonts w:hint="eastAsia" w:hAnsi="宋体" w:cs="宋体"/>
                <w:kern w:val="2"/>
                <w:szCs w:val="24"/>
              </w:rPr>
              <w:t>实施方案完整合理,产品功能齐全，</w:t>
            </w:r>
            <w:r>
              <w:rPr>
                <w:rFonts w:hint="eastAsia" w:hAnsi="宋体" w:cs="宋体"/>
                <w:spacing w:val="4"/>
                <w:kern w:val="2"/>
                <w:szCs w:val="24"/>
              </w:rPr>
              <w:t>服务方案可靠、明确，具有</w:t>
            </w:r>
            <w:r>
              <w:rPr>
                <w:rFonts w:hint="eastAsia" w:hAnsi="宋体" w:cs="宋体"/>
                <w:kern w:val="2"/>
                <w:szCs w:val="24"/>
              </w:rPr>
              <w:t>完善的供货及验收、培训方案、针对本项目具有完善的组织机构。实施方案、安装调试方案合理可行，具有相应的进度计划等响应情况。</w:t>
            </w:r>
            <w:r>
              <w:rPr>
                <w:rFonts w:hint="eastAsia" w:hAnsi="宋体"/>
                <w:kern w:val="2"/>
                <w:szCs w:val="21"/>
              </w:rPr>
              <w:t>得</w:t>
            </w:r>
            <w:r>
              <w:rPr>
                <w:rFonts w:hint="eastAsia" w:hAnsi="宋体" w:cs="宋体"/>
                <w:kern w:val="2"/>
                <w:szCs w:val="24"/>
              </w:rPr>
              <w:t>0-10分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21" w:type="dxa"/>
            <w:vMerge w:val="continue"/>
            <w:tcBorders>
              <w:bottom w:val="single" w:color="auto" w:sz="4" w:space="0"/>
            </w:tcBorders>
            <w:vAlign w:val="center"/>
          </w:tcPr>
          <w:p>
            <w:pPr>
              <w:spacing w:line="560" w:lineRule="exact"/>
              <w:rPr>
                <w:rFonts w:hAnsi="宋体" w:cs="宋体"/>
                <w:b/>
                <w:szCs w:val="24"/>
              </w:rPr>
            </w:pPr>
          </w:p>
        </w:tc>
        <w:tc>
          <w:tcPr>
            <w:tcW w:w="1843" w:type="dxa"/>
            <w:tcBorders>
              <w:bottom w:val="single" w:color="auto" w:sz="4" w:space="0"/>
            </w:tcBorders>
            <w:vAlign w:val="center"/>
          </w:tcPr>
          <w:p>
            <w:pPr>
              <w:pStyle w:val="18"/>
              <w:jc w:val="center"/>
              <w:rPr>
                <w:rFonts w:ascii="宋体" w:hAnsi="宋体" w:cs="宋体"/>
                <w:kern w:val="0"/>
                <w:sz w:val="24"/>
                <w:szCs w:val="24"/>
              </w:rPr>
            </w:pPr>
            <w:r>
              <w:rPr>
                <w:rFonts w:hint="eastAsia" w:ascii="宋体" w:hAnsi="宋体" w:cs="宋体"/>
                <w:sz w:val="24"/>
                <w:szCs w:val="24"/>
              </w:rPr>
              <w:t>技术力量配备（5分）</w:t>
            </w:r>
          </w:p>
        </w:tc>
        <w:tc>
          <w:tcPr>
            <w:tcW w:w="6423" w:type="dxa"/>
            <w:tcBorders>
              <w:bottom w:val="single" w:color="auto" w:sz="4" w:space="0"/>
            </w:tcBorders>
            <w:vAlign w:val="center"/>
          </w:tcPr>
          <w:p>
            <w:pPr>
              <w:spacing w:line="360" w:lineRule="auto"/>
              <w:jc w:val="left"/>
              <w:rPr>
                <w:rFonts w:hAnsi="宋体" w:cs="宋体"/>
                <w:szCs w:val="24"/>
              </w:rPr>
            </w:pPr>
            <w:r>
              <w:rPr>
                <w:rFonts w:hint="eastAsia" w:hAnsi="宋体" w:cs="宋体"/>
                <w:szCs w:val="24"/>
              </w:rPr>
              <w:t>技术力量配备（拟投入的人员情况、项目负责人及专业工种人员具有相关专业证书或上岗证）</w:t>
            </w:r>
            <w:r>
              <w:rPr>
                <w:rFonts w:hint="eastAsia" w:hAnsi="宋体"/>
                <w:kern w:val="2"/>
                <w:szCs w:val="21"/>
              </w:rPr>
              <w:t>实施时间和人员内容安排考虑周全，科学合理，得</w:t>
            </w:r>
            <w:r>
              <w:rPr>
                <w:rFonts w:hint="eastAsia" w:hAnsi="宋体"/>
                <w:kern w:val="2"/>
                <w:szCs w:val="21"/>
                <w:lang w:val="en-US" w:eastAsia="zh-CN"/>
              </w:rPr>
              <w:t>3</w:t>
            </w:r>
            <w:r>
              <w:rPr>
                <w:rFonts w:hAnsi="宋体"/>
                <w:kern w:val="2"/>
                <w:szCs w:val="21"/>
              </w:rPr>
              <w:t>-</w:t>
            </w:r>
            <w:r>
              <w:rPr>
                <w:rFonts w:hint="eastAsia" w:hAnsi="宋体"/>
                <w:kern w:val="2"/>
                <w:szCs w:val="21"/>
              </w:rPr>
              <w:t>5分；一般得0-</w:t>
            </w:r>
            <w:r>
              <w:rPr>
                <w:rFonts w:hint="eastAsia" w:hAnsi="宋体"/>
                <w:kern w:val="2"/>
                <w:szCs w:val="21"/>
                <w:lang w:val="en-US" w:eastAsia="zh-CN"/>
              </w:rPr>
              <w:t>3</w:t>
            </w:r>
            <w:r>
              <w:rPr>
                <w:rFonts w:hint="eastAsia" w:hAnsi="宋体"/>
                <w:kern w:val="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021" w:type="dxa"/>
            <w:vMerge w:val="restart"/>
            <w:tcBorders>
              <w:top w:val="single" w:color="auto" w:sz="4" w:space="0"/>
              <w:left w:val="single" w:color="auto" w:sz="4" w:space="0"/>
            </w:tcBorders>
            <w:shd w:val="clear" w:color="auto" w:fill="auto"/>
            <w:vAlign w:val="center"/>
          </w:tcPr>
          <w:p>
            <w:pPr>
              <w:spacing w:line="360" w:lineRule="auto"/>
              <w:rPr>
                <w:rFonts w:hAnsi="宋体"/>
                <w:kern w:val="2"/>
                <w:szCs w:val="21"/>
              </w:rPr>
            </w:pPr>
            <w:r>
              <w:rPr>
                <w:rFonts w:hint="eastAsia" w:hAnsi="宋体"/>
                <w:kern w:val="2"/>
                <w:szCs w:val="21"/>
              </w:rPr>
              <w:t>履约能</w:t>
            </w:r>
          </w:p>
          <w:p>
            <w:pPr>
              <w:spacing w:line="360" w:lineRule="auto"/>
              <w:rPr>
                <w:rFonts w:hAnsi="宋体"/>
                <w:kern w:val="2"/>
                <w:szCs w:val="21"/>
              </w:rPr>
            </w:pPr>
            <w:r>
              <w:rPr>
                <w:rFonts w:hint="eastAsia" w:hAnsi="宋体"/>
                <w:kern w:val="2"/>
                <w:szCs w:val="21"/>
              </w:rPr>
              <w:t>力及服</w:t>
            </w:r>
          </w:p>
          <w:p>
            <w:pPr>
              <w:spacing w:line="360" w:lineRule="auto"/>
              <w:rPr>
                <w:rFonts w:hAnsi="宋体"/>
                <w:kern w:val="2"/>
                <w:szCs w:val="21"/>
              </w:rPr>
            </w:pPr>
            <w:r>
              <w:rPr>
                <w:rFonts w:hint="eastAsia" w:hAnsi="宋体"/>
                <w:kern w:val="2"/>
                <w:szCs w:val="21"/>
              </w:rPr>
              <w:t>务承诺</w:t>
            </w:r>
          </w:p>
          <w:p>
            <w:pPr>
              <w:spacing w:line="360" w:lineRule="auto"/>
              <w:rPr>
                <w:rFonts w:hAnsi="宋体"/>
                <w:kern w:val="2"/>
                <w:szCs w:val="21"/>
              </w:rPr>
            </w:pPr>
            <w:r>
              <w:rPr>
                <w:rFonts w:hint="eastAsia" w:hAnsi="宋体"/>
                <w:kern w:val="2"/>
                <w:szCs w:val="21"/>
              </w:rPr>
              <w:t>(</w:t>
            </w:r>
            <w:r>
              <w:rPr>
                <w:rFonts w:hint="eastAsia" w:hAnsi="宋体"/>
                <w:kern w:val="2"/>
                <w:szCs w:val="21"/>
                <w:lang w:val="en-US" w:eastAsia="zh-CN"/>
              </w:rPr>
              <w:t>21</w:t>
            </w:r>
            <w:r>
              <w:rPr>
                <w:rFonts w:hint="eastAsia" w:hAnsi="宋体"/>
                <w:kern w:val="2"/>
                <w:szCs w:val="21"/>
              </w:rPr>
              <w:t>分)</w:t>
            </w:r>
          </w:p>
        </w:tc>
        <w:tc>
          <w:tcPr>
            <w:tcW w:w="1843" w:type="dxa"/>
            <w:tcBorders>
              <w:top w:val="single" w:color="auto" w:sz="4" w:space="0"/>
            </w:tcBorders>
            <w:shd w:val="clear" w:color="auto" w:fill="auto"/>
            <w:vAlign w:val="center"/>
          </w:tcPr>
          <w:p>
            <w:pPr>
              <w:spacing w:line="360" w:lineRule="auto"/>
              <w:jc w:val="center"/>
              <w:rPr>
                <w:rFonts w:hAnsi="宋体"/>
                <w:kern w:val="2"/>
                <w:szCs w:val="21"/>
                <w:lang w:val="zh-CN"/>
              </w:rPr>
            </w:pPr>
            <w:r>
              <w:rPr>
                <w:rFonts w:hint="eastAsia" w:hAnsi="宋体"/>
                <w:kern w:val="2"/>
                <w:szCs w:val="21"/>
                <w:lang w:val="zh-CN"/>
              </w:rPr>
              <w:t>售后服务及承诺</w:t>
            </w:r>
          </w:p>
          <w:p>
            <w:pPr>
              <w:spacing w:line="360" w:lineRule="auto"/>
              <w:jc w:val="center"/>
              <w:rPr>
                <w:rFonts w:hAnsi="宋体"/>
                <w:kern w:val="2"/>
                <w:szCs w:val="21"/>
              </w:rPr>
            </w:pPr>
            <w:r>
              <w:rPr>
                <w:rFonts w:hint="eastAsia" w:hAnsi="宋体"/>
                <w:kern w:val="2"/>
                <w:szCs w:val="21"/>
              </w:rPr>
              <w:t>（10分）</w:t>
            </w:r>
          </w:p>
        </w:tc>
        <w:tc>
          <w:tcPr>
            <w:tcW w:w="6423" w:type="dxa"/>
            <w:tcBorders>
              <w:top w:val="single" w:color="auto" w:sz="4" w:space="0"/>
              <w:right w:val="single" w:color="auto" w:sz="4" w:space="0"/>
            </w:tcBorders>
            <w:shd w:val="clear" w:color="auto" w:fill="auto"/>
            <w:vAlign w:val="center"/>
          </w:tcPr>
          <w:p>
            <w:pPr>
              <w:spacing w:line="360" w:lineRule="auto"/>
              <w:rPr>
                <w:rFonts w:hAnsi="宋体"/>
                <w:kern w:val="2"/>
                <w:szCs w:val="21"/>
              </w:rPr>
            </w:pPr>
            <w:r>
              <w:rPr>
                <w:rFonts w:hint="eastAsia" w:hAnsi="宋体"/>
                <w:kern w:val="2"/>
                <w:szCs w:val="21"/>
                <w:lang w:val="zh-CN"/>
              </w:rPr>
              <w:t>售后服务及承诺：供应商对本项目提供的服务具有相应的承诺及具体措施、增值服务等，</w:t>
            </w:r>
            <w:r>
              <w:rPr>
                <w:rFonts w:hint="eastAsia" w:hAnsi="宋体"/>
                <w:kern w:val="2"/>
                <w:szCs w:val="21"/>
              </w:rPr>
              <w:t>具有专业队伍和技术人员支持，提供售后服务。</w:t>
            </w:r>
            <w:r>
              <w:rPr>
                <w:rFonts w:hint="eastAsia" w:hAnsi="宋体"/>
                <w:kern w:val="2"/>
                <w:szCs w:val="21"/>
                <w:lang w:val="zh-CN"/>
              </w:rPr>
              <w:t>根据售后服务机构（规模、分布情况、机构运行情况），</w:t>
            </w:r>
            <w:r>
              <w:rPr>
                <w:rFonts w:hint="eastAsia" w:hAnsi="宋体"/>
                <w:kern w:val="2"/>
                <w:szCs w:val="21"/>
              </w:rPr>
              <w:t>针对本项目及采购人实际需求，提供详细具体可行的服务措施承诺。</w:t>
            </w:r>
            <w:r>
              <w:rPr>
                <w:rFonts w:hint="eastAsia" w:hAnsi="宋体"/>
                <w:kern w:val="2"/>
                <w:szCs w:val="21"/>
                <w:lang w:val="zh-CN"/>
              </w:rPr>
              <w:t>结合各供应商的响应承诺情况及售后服务的协调性、及时性和响应承诺情况赋分。（</w:t>
            </w:r>
            <w:r>
              <w:rPr>
                <w:rFonts w:hint="eastAsia" w:hAnsi="宋体"/>
                <w:kern w:val="2"/>
                <w:szCs w:val="21"/>
              </w:rPr>
              <w:t>0</w:t>
            </w:r>
            <w:r>
              <w:rPr>
                <w:rFonts w:hint="eastAsia" w:hAnsi="宋体"/>
                <w:kern w:val="2"/>
                <w:szCs w:val="21"/>
                <w:lang w:val="zh-CN"/>
              </w:rPr>
              <w:t>-</w:t>
            </w:r>
            <w:r>
              <w:rPr>
                <w:rFonts w:hint="eastAsia" w:hAnsi="宋体"/>
                <w:kern w:val="2"/>
                <w:szCs w:val="21"/>
              </w:rPr>
              <w:t>10</w:t>
            </w:r>
            <w:r>
              <w:rPr>
                <w:rFonts w:hint="eastAsia" w:hAnsi="宋体"/>
                <w:kern w:val="2"/>
                <w:szCs w:val="21"/>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1021" w:type="dxa"/>
            <w:vMerge w:val="continue"/>
            <w:tcBorders>
              <w:left w:val="single" w:color="auto" w:sz="4" w:space="0"/>
            </w:tcBorders>
            <w:shd w:val="clear" w:color="auto" w:fill="auto"/>
            <w:vAlign w:val="center"/>
          </w:tcPr>
          <w:p>
            <w:pPr>
              <w:spacing w:line="360" w:lineRule="auto"/>
              <w:jc w:val="left"/>
              <w:rPr>
                <w:rFonts w:hAnsi="宋体" w:cs="宋体"/>
                <w:bCs/>
                <w:szCs w:val="24"/>
              </w:rPr>
            </w:pPr>
          </w:p>
        </w:tc>
        <w:tc>
          <w:tcPr>
            <w:tcW w:w="1843" w:type="dxa"/>
            <w:shd w:val="clear" w:color="auto" w:fill="auto"/>
            <w:vAlign w:val="center"/>
          </w:tcPr>
          <w:p>
            <w:pPr>
              <w:spacing w:line="360" w:lineRule="auto"/>
              <w:jc w:val="center"/>
              <w:rPr>
                <w:rFonts w:hAnsi="宋体"/>
                <w:kern w:val="2"/>
                <w:szCs w:val="21"/>
              </w:rPr>
            </w:pPr>
            <w:r>
              <w:rPr>
                <w:rFonts w:hint="eastAsia" w:hAnsi="宋体"/>
                <w:kern w:val="2"/>
                <w:szCs w:val="21"/>
              </w:rPr>
              <w:t>商务条款</w:t>
            </w:r>
          </w:p>
          <w:p>
            <w:pPr>
              <w:spacing w:line="360" w:lineRule="auto"/>
              <w:jc w:val="center"/>
              <w:rPr>
                <w:rFonts w:hAnsi="宋体"/>
                <w:kern w:val="2"/>
                <w:szCs w:val="21"/>
              </w:rPr>
            </w:pPr>
            <w:r>
              <w:rPr>
                <w:rFonts w:hint="eastAsia" w:hAnsi="宋体"/>
                <w:kern w:val="2"/>
                <w:szCs w:val="21"/>
              </w:rPr>
              <w:t>（</w:t>
            </w:r>
            <w:r>
              <w:rPr>
                <w:rFonts w:hint="eastAsia" w:hAnsi="宋体"/>
                <w:kern w:val="2"/>
                <w:szCs w:val="21"/>
                <w:lang w:val="en-US" w:eastAsia="zh-CN"/>
              </w:rPr>
              <w:t>3</w:t>
            </w:r>
            <w:r>
              <w:rPr>
                <w:rFonts w:hint="eastAsia" w:hAnsi="宋体"/>
                <w:kern w:val="2"/>
                <w:szCs w:val="21"/>
              </w:rPr>
              <w:t>分）</w:t>
            </w:r>
          </w:p>
        </w:tc>
        <w:tc>
          <w:tcPr>
            <w:tcW w:w="6423" w:type="dxa"/>
            <w:tcBorders>
              <w:right w:val="single" w:color="auto" w:sz="4" w:space="0"/>
            </w:tcBorders>
            <w:shd w:val="clear" w:color="auto" w:fill="auto"/>
            <w:vAlign w:val="center"/>
          </w:tcPr>
          <w:p>
            <w:pPr>
              <w:spacing w:line="360" w:lineRule="auto"/>
              <w:rPr>
                <w:rFonts w:hAnsi="宋体"/>
                <w:kern w:val="2"/>
                <w:szCs w:val="21"/>
              </w:rPr>
            </w:pPr>
            <w:r>
              <w:rPr>
                <w:rFonts w:hint="eastAsia" w:hAnsi="宋体"/>
                <w:kern w:val="2"/>
                <w:szCs w:val="21"/>
              </w:rPr>
              <w:t>交货期、质保期等商务条款满足磋商文件要求</w:t>
            </w:r>
            <w:r>
              <w:rPr>
                <w:rFonts w:hint="eastAsia" w:hAnsi="宋体"/>
                <w:kern w:val="2"/>
                <w:szCs w:val="21"/>
                <w:lang w:eastAsia="zh-CN"/>
              </w:rPr>
              <w:t>得基本分（</w:t>
            </w:r>
            <w:r>
              <w:rPr>
                <w:rFonts w:hint="eastAsia" w:hAnsi="宋体"/>
                <w:kern w:val="2"/>
                <w:szCs w:val="21"/>
                <w:lang w:val="en-US" w:eastAsia="zh-CN"/>
              </w:rPr>
              <w:t>1分）</w:t>
            </w:r>
            <w:r>
              <w:rPr>
                <w:rFonts w:hint="eastAsia" w:hAnsi="宋体"/>
                <w:kern w:val="2"/>
                <w:szCs w:val="21"/>
              </w:rPr>
              <w:t>，质保期每增加1年加1分，最高加2分。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1" w:type="dxa"/>
            <w:vMerge w:val="continue"/>
            <w:tcBorders>
              <w:left w:val="single" w:color="auto" w:sz="4" w:space="0"/>
              <w:bottom w:val="single" w:color="auto" w:sz="4" w:space="0"/>
            </w:tcBorders>
            <w:shd w:val="clear" w:color="auto" w:fill="auto"/>
            <w:vAlign w:val="center"/>
          </w:tcPr>
          <w:p>
            <w:pPr>
              <w:spacing w:line="360" w:lineRule="auto"/>
              <w:jc w:val="left"/>
              <w:rPr>
                <w:rFonts w:hAnsi="宋体" w:cs="宋体"/>
                <w:bCs/>
                <w:szCs w:val="24"/>
              </w:rPr>
            </w:pPr>
          </w:p>
        </w:tc>
        <w:tc>
          <w:tcPr>
            <w:tcW w:w="1843" w:type="dxa"/>
            <w:tcBorders>
              <w:bottom w:val="single" w:color="auto" w:sz="4" w:space="0"/>
            </w:tcBorders>
            <w:shd w:val="clear" w:color="auto" w:fill="auto"/>
            <w:vAlign w:val="center"/>
          </w:tcPr>
          <w:p>
            <w:pPr>
              <w:spacing w:line="360" w:lineRule="auto"/>
              <w:jc w:val="center"/>
              <w:rPr>
                <w:rFonts w:hAnsi="宋体"/>
                <w:kern w:val="2"/>
                <w:szCs w:val="21"/>
              </w:rPr>
            </w:pPr>
            <w:r>
              <w:rPr>
                <w:rFonts w:hint="eastAsia" w:hAnsi="宋体"/>
                <w:kern w:val="2"/>
                <w:szCs w:val="21"/>
              </w:rPr>
              <w:t>应急预案</w:t>
            </w:r>
          </w:p>
          <w:p>
            <w:pPr>
              <w:spacing w:line="360" w:lineRule="auto"/>
              <w:jc w:val="center"/>
              <w:rPr>
                <w:rFonts w:hAnsi="宋体"/>
                <w:kern w:val="2"/>
                <w:szCs w:val="21"/>
              </w:rPr>
            </w:pPr>
            <w:r>
              <w:rPr>
                <w:rFonts w:hint="eastAsia" w:hAnsi="宋体"/>
                <w:kern w:val="2"/>
                <w:szCs w:val="21"/>
              </w:rPr>
              <w:t>（</w:t>
            </w:r>
            <w:r>
              <w:rPr>
                <w:rFonts w:hint="eastAsia" w:hAnsi="宋体"/>
                <w:kern w:val="2"/>
                <w:szCs w:val="21"/>
                <w:lang w:val="en-US" w:eastAsia="zh-CN"/>
              </w:rPr>
              <w:t>8</w:t>
            </w:r>
            <w:r>
              <w:rPr>
                <w:rFonts w:hint="eastAsia" w:hAnsi="宋体"/>
                <w:kern w:val="2"/>
                <w:szCs w:val="21"/>
              </w:rPr>
              <w:t>分）</w:t>
            </w:r>
          </w:p>
        </w:tc>
        <w:tc>
          <w:tcPr>
            <w:tcW w:w="6423" w:type="dxa"/>
            <w:tcBorders>
              <w:bottom w:val="single" w:color="auto" w:sz="4" w:space="0"/>
              <w:right w:val="single" w:color="auto" w:sz="4" w:space="0"/>
            </w:tcBorders>
            <w:shd w:val="clear" w:color="auto" w:fill="auto"/>
            <w:vAlign w:val="center"/>
          </w:tcPr>
          <w:p>
            <w:pPr>
              <w:spacing w:line="360" w:lineRule="auto"/>
              <w:rPr>
                <w:rFonts w:hAnsi="宋体"/>
                <w:kern w:val="2"/>
                <w:szCs w:val="21"/>
              </w:rPr>
            </w:pPr>
            <w:r>
              <w:rPr>
                <w:rFonts w:hint="eastAsia" w:hAnsi="宋体"/>
                <w:kern w:val="2"/>
                <w:szCs w:val="21"/>
              </w:rPr>
              <w:t>技术支持有保障，具有项目的应急服务保障措施及合理的应急预案。（0-</w:t>
            </w:r>
            <w:r>
              <w:rPr>
                <w:rFonts w:hint="eastAsia" w:hAnsi="宋体"/>
                <w:kern w:val="2"/>
                <w:szCs w:val="21"/>
                <w:lang w:val="en-US" w:eastAsia="zh-CN"/>
              </w:rPr>
              <w:t>8</w:t>
            </w:r>
            <w:r>
              <w:rPr>
                <w:rFonts w:hint="eastAsia" w:hAnsi="宋体"/>
                <w:kern w:val="2"/>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1021" w:type="dxa"/>
            <w:tcBorders>
              <w:top w:val="single" w:color="auto" w:sz="4" w:space="0"/>
            </w:tcBorders>
            <w:vAlign w:val="center"/>
          </w:tcPr>
          <w:p>
            <w:pPr>
              <w:spacing w:line="360" w:lineRule="auto"/>
              <w:jc w:val="center"/>
              <w:rPr>
                <w:rFonts w:hAnsi="宋体" w:cs="宋体"/>
                <w:szCs w:val="24"/>
              </w:rPr>
            </w:pPr>
            <w:r>
              <w:rPr>
                <w:rFonts w:hint="eastAsia" w:hAnsi="宋体" w:cs="宋体"/>
                <w:szCs w:val="24"/>
              </w:rPr>
              <w:t>业绩</w:t>
            </w:r>
          </w:p>
          <w:p>
            <w:pPr>
              <w:spacing w:line="360" w:lineRule="auto"/>
              <w:jc w:val="center"/>
              <w:rPr>
                <w:rFonts w:hAnsi="宋体" w:cs="宋体"/>
                <w:szCs w:val="24"/>
              </w:rPr>
            </w:pPr>
            <w:r>
              <w:rPr>
                <w:rFonts w:hint="eastAsia" w:hAnsi="宋体" w:cs="宋体"/>
                <w:szCs w:val="24"/>
              </w:rPr>
              <w:t>(</w:t>
            </w:r>
            <w:r>
              <w:rPr>
                <w:rFonts w:hint="eastAsia" w:hAnsi="宋体" w:cs="宋体"/>
                <w:szCs w:val="24"/>
                <w:lang w:val="en-US" w:eastAsia="zh-CN"/>
              </w:rPr>
              <w:t>4</w:t>
            </w:r>
            <w:r>
              <w:rPr>
                <w:rFonts w:hint="eastAsia" w:hAnsi="宋体" w:cs="宋体"/>
                <w:szCs w:val="24"/>
              </w:rPr>
              <w:t>分)</w:t>
            </w:r>
          </w:p>
        </w:tc>
        <w:tc>
          <w:tcPr>
            <w:tcW w:w="1843" w:type="dxa"/>
            <w:tcBorders>
              <w:top w:val="single" w:color="auto" w:sz="4" w:space="0"/>
            </w:tcBorders>
            <w:vAlign w:val="center"/>
          </w:tcPr>
          <w:p>
            <w:pPr>
              <w:spacing w:line="360" w:lineRule="auto"/>
              <w:jc w:val="center"/>
              <w:rPr>
                <w:rFonts w:hAnsi="宋体" w:cs="宋体"/>
                <w:szCs w:val="24"/>
              </w:rPr>
            </w:pPr>
            <w:r>
              <w:rPr>
                <w:rFonts w:hint="eastAsia" w:hAnsi="宋体" w:cs="宋体"/>
                <w:szCs w:val="24"/>
              </w:rPr>
              <w:t>业绩</w:t>
            </w:r>
          </w:p>
          <w:p>
            <w:pPr>
              <w:spacing w:line="360" w:lineRule="auto"/>
              <w:jc w:val="center"/>
              <w:rPr>
                <w:rFonts w:hAnsi="宋体" w:cs="宋体"/>
                <w:szCs w:val="24"/>
              </w:rPr>
            </w:pPr>
            <w:r>
              <w:rPr>
                <w:rFonts w:hint="eastAsia" w:hAnsi="宋体" w:cs="宋体"/>
                <w:szCs w:val="24"/>
              </w:rPr>
              <w:t>（</w:t>
            </w:r>
            <w:r>
              <w:rPr>
                <w:rFonts w:hint="eastAsia" w:hAnsi="宋体" w:cs="宋体"/>
                <w:szCs w:val="24"/>
                <w:lang w:val="en-US" w:eastAsia="zh-CN"/>
              </w:rPr>
              <w:t>4</w:t>
            </w:r>
            <w:r>
              <w:rPr>
                <w:rFonts w:hint="eastAsia" w:hAnsi="宋体" w:cs="宋体"/>
                <w:szCs w:val="24"/>
              </w:rPr>
              <w:t>分）</w:t>
            </w:r>
          </w:p>
        </w:tc>
        <w:tc>
          <w:tcPr>
            <w:tcW w:w="6423" w:type="dxa"/>
            <w:tcBorders>
              <w:top w:val="single" w:color="auto" w:sz="4" w:space="0"/>
            </w:tcBorders>
            <w:vAlign w:val="center"/>
          </w:tcPr>
          <w:p>
            <w:pPr>
              <w:spacing w:line="360" w:lineRule="auto"/>
              <w:jc w:val="left"/>
              <w:rPr>
                <w:rFonts w:hAnsi="宋体" w:cs="宋体"/>
                <w:szCs w:val="24"/>
              </w:rPr>
            </w:pPr>
            <w:r>
              <w:rPr>
                <w:rFonts w:hint="eastAsia" w:hAnsi="宋体" w:cs="宋体"/>
                <w:szCs w:val="24"/>
              </w:rPr>
              <w:t>供应商提供近三年同类项目业绩，每提供 1 份得2分，最高得</w:t>
            </w:r>
            <w:r>
              <w:rPr>
                <w:rFonts w:hint="eastAsia" w:hAnsi="宋体" w:cs="宋体"/>
                <w:szCs w:val="24"/>
                <w:lang w:val="en-US" w:eastAsia="zh-CN"/>
              </w:rPr>
              <w:t>4</w:t>
            </w:r>
            <w:r>
              <w:rPr>
                <w:rFonts w:hint="eastAsia" w:hAnsi="宋体" w:cs="宋体"/>
                <w:szCs w:val="24"/>
              </w:rPr>
              <w:t>分，未提供不计分；（业绩以销售合同或供货清单复印件加盖公章为准）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jc w:val="center"/>
        </w:trPr>
        <w:tc>
          <w:tcPr>
            <w:tcW w:w="9287" w:type="dxa"/>
            <w:gridSpan w:val="3"/>
            <w:vAlign w:val="center"/>
          </w:tcPr>
          <w:p>
            <w:pPr>
              <w:spacing w:line="288" w:lineRule="auto"/>
              <w:rPr>
                <w:rFonts w:hAnsi="宋体" w:cs="宋体"/>
                <w:szCs w:val="24"/>
              </w:rPr>
            </w:pPr>
            <w:r>
              <w:rPr>
                <w:rFonts w:hint="eastAsia" w:hAnsi="宋体" w:cs="宋体"/>
                <w:szCs w:val="24"/>
              </w:rPr>
              <w:t>1、各评委应按照本评标方法独立打分。</w:t>
            </w:r>
            <w:r>
              <w:rPr>
                <w:rFonts w:hint="eastAsia" w:hAnsi="宋体" w:cs="宋体"/>
                <w:szCs w:val="24"/>
              </w:rPr>
              <w:br w:type="textWrapping"/>
            </w:r>
            <w:r>
              <w:rPr>
                <w:rFonts w:hint="eastAsia" w:hAnsi="宋体" w:cs="宋体"/>
                <w:szCs w:val="24"/>
              </w:rPr>
              <w:t>2、分项评分超出评分标准范围或评标委员会成员对客观评审因素评分不一致时，采购代理机构可以要求评标委员会复核或者书面说明理由，评标委员会拒绝的，应予记录并向本级财政部门报告。</w:t>
            </w:r>
            <w:r>
              <w:rPr>
                <w:rFonts w:hint="eastAsia" w:hAnsi="宋体" w:cs="宋体"/>
                <w:szCs w:val="24"/>
              </w:rPr>
              <w:br w:type="textWrapping"/>
            </w:r>
            <w:r>
              <w:rPr>
                <w:rFonts w:hint="eastAsia" w:hAnsi="宋体" w:cs="宋体"/>
                <w:szCs w:val="24"/>
              </w:rPr>
              <w:t>3、若出现综合得分并列时，比较投标价格，价格低的排序在前；若价格得分仍相同，比较技术得分，此分项得分高者排序在前；若技术得分仍相同，则由全体评标委员会成员无记名投票，得票高者排序在前。</w:t>
            </w:r>
            <w:r>
              <w:rPr>
                <w:rFonts w:hint="eastAsia" w:hAnsi="宋体" w:cs="宋体"/>
                <w:szCs w:val="24"/>
              </w:rPr>
              <w:br w:type="textWrapping"/>
            </w:r>
            <w:r>
              <w:rPr>
                <w:rFonts w:hint="eastAsia" w:hAnsi="宋体" w:cs="宋体"/>
                <w:szCs w:val="24"/>
              </w:rPr>
              <w:t>4、计算结果保留两位小数，第三位“四舍五入”。</w:t>
            </w:r>
            <w:r>
              <w:rPr>
                <w:rFonts w:hint="eastAsia" w:hAnsi="宋体" w:cs="宋体"/>
                <w:szCs w:val="24"/>
              </w:rPr>
              <w:br w:type="textWrapping"/>
            </w:r>
            <w:r>
              <w:rPr>
                <w:rFonts w:hint="eastAsia" w:hAnsi="宋体" w:cs="宋体"/>
                <w:szCs w:val="24"/>
              </w:rPr>
              <w:t xml:space="preserve">5、评标过程中，若出现特殊情况时，由评标委员会决定暂停评标，并提出具体处理意见。  </w:t>
            </w:r>
          </w:p>
        </w:tc>
      </w:tr>
    </w:tbl>
    <w:p>
      <w:pPr>
        <w:pStyle w:val="23"/>
        <w:rPr>
          <w:rFonts w:hAnsi="宋体" w:cs="宋体"/>
          <w:b/>
          <w:szCs w:val="21"/>
        </w:rPr>
      </w:pPr>
    </w:p>
    <w:p>
      <w:pPr>
        <w:pStyle w:val="35"/>
        <w:spacing w:line="360" w:lineRule="auto"/>
        <w:ind w:left="0" w:leftChars="0" w:firstLine="446"/>
        <w:rPr>
          <w:rFonts w:cs="宋体"/>
          <w:b/>
          <w:sz w:val="24"/>
          <w:szCs w:val="24"/>
        </w:rPr>
      </w:pPr>
      <w:r>
        <w:rPr>
          <w:rFonts w:hint="eastAsia" w:cs="宋体"/>
          <w:b/>
          <w:sz w:val="24"/>
          <w:szCs w:val="24"/>
        </w:rPr>
        <w:t>注：评审办法中要求提供原件的得分项，供应商如提供原件的同时须在磋商响应文件中附相应的复印件或扫描件。</w:t>
      </w:r>
    </w:p>
    <w:p/>
    <w:p>
      <w:pPr>
        <w:spacing w:line="360" w:lineRule="auto"/>
        <w:ind w:firstLine="482" w:firstLineChars="200"/>
        <w:jc w:val="center"/>
        <w:rPr>
          <w:rFonts w:hAnsi="宋体" w:cs="宋体"/>
          <w:b/>
          <w:szCs w:val="24"/>
        </w:rPr>
      </w:pPr>
      <w:r>
        <w:rPr>
          <w:rFonts w:hint="eastAsia" w:hAnsi="宋体" w:cs="宋体"/>
          <w:b/>
          <w:szCs w:val="24"/>
        </w:rPr>
        <w:br w:type="page"/>
      </w:r>
      <w:bookmarkEnd w:id="45"/>
      <w:bookmarkEnd w:id="73"/>
      <w:bookmarkEnd w:id="74"/>
      <w:bookmarkEnd w:id="75"/>
      <w:bookmarkEnd w:id="76"/>
      <w:bookmarkEnd w:id="77"/>
      <w:bookmarkEnd w:id="78"/>
      <w:bookmarkEnd w:id="79"/>
      <w:bookmarkStart w:id="83" w:name="_Toc27437"/>
      <w:bookmarkStart w:id="84" w:name="_Toc2120"/>
      <w:bookmarkStart w:id="85" w:name="_Toc5084"/>
      <w:bookmarkStart w:id="86" w:name="_Toc403077646"/>
      <w:bookmarkStart w:id="87" w:name="_Toc423973079"/>
      <w:bookmarkStart w:id="88" w:name="_Toc363474025"/>
    </w:p>
    <w:p>
      <w:pPr>
        <w:spacing w:line="360" w:lineRule="auto"/>
        <w:ind w:firstLine="723" w:firstLineChars="200"/>
        <w:jc w:val="center"/>
        <w:outlineLvl w:val="0"/>
        <w:rPr>
          <w:rFonts w:hAnsi="宋体" w:cs="宋体"/>
          <w:bCs/>
          <w:sz w:val="36"/>
          <w:szCs w:val="36"/>
        </w:rPr>
      </w:pPr>
      <w:bookmarkStart w:id="89" w:name="_Toc21047"/>
      <w:r>
        <w:rPr>
          <w:rFonts w:hint="eastAsia" w:hAnsi="宋体" w:cs="宋体"/>
          <w:b/>
          <w:sz w:val="36"/>
          <w:szCs w:val="36"/>
        </w:rPr>
        <w:t>第六章 竞争性磋商响应文件格式</w:t>
      </w:r>
      <w:bookmarkEnd w:id="83"/>
      <w:bookmarkEnd w:id="84"/>
      <w:bookmarkEnd w:id="85"/>
      <w:bookmarkEnd w:id="86"/>
      <w:bookmarkEnd w:id="87"/>
      <w:bookmarkEnd w:id="88"/>
      <w:bookmarkEnd w:id="89"/>
    </w:p>
    <w:p>
      <w:pPr>
        <w:rPr>
          <w:rFonts w:hAnsi="宋体" w:cs="宋体"/>
        </w:rPr>
      </w:pPr>
    </w:p>
    <w:p>
      <w:pPr>
        <w:rPr>
          <w:rFonts w:hAnsi="宋体" w:cs="宋体"/>
        </w:rPr>
      </w:pPr>
    </w:p>
    <w:p>
      <w:pPr>
        <w:tabs>
          <w:tab w:val="left" w:pos="7138"/>
          <w:tab w:val="left" w:pos="7234"/>
        </w:tabs>
        <w:spacing w:afterLines="50" w:line="360" w:lineRule="auto"/>
        <w:rPr>
          <w:rFonts w:hAnsi="宋体" w:cs="宋体"/>
          <w:b/>
          <w:sz w:val="32"/>
          <w:szCs w:val="32"/>
        </w:rPr>
      </w:pPr>
      <w:r>
        <w:rPr>
          <w:rFonts w:hint="eastAsia" w:hAnsi="宋体" w:cs="宋体"/>
          <w:b/>
          <w:bCs/>
          <w:sz w:val="32"/>
          <w:szCs w:val="32"/>
        </w:rPr>
        <w:t>项目编号：</w:t>
      </w:r>
      <w:r>
        <w:rPr>
          <w:rFonts w:hint="eastAsia" w:ascii="楷体" w:hAnsi="楷体" w:eastAsia="楷体" w:cs="仿宋"/>
          <w:b/>
          <w:bCs/>
          <w:sz w:val="32"/>
          <w:szCs w:val="32"/>
        </w:rPr>
        <w:t>BRC2021-J-12</w:t>
      </w:r>
      <w:r>
        <w:rPr>
          <w:rFonts w:hint="eastAsia" w:hAnsi="宋体" w:cs="宋体"/>
          <w:b/>
          <w:sz w:val="32"/>
          <w:szCs w:val="32"/>
        </w:rPr>
        <w:t>（正本或副本）</w:t>
      </w:r>
    </w:p>
    <w:p>
      <w:pPr>
        <w:jc w:val="right"/>
        <w:rPr>
          <w:rFonts w:hAnsi="宋体" w:cs="宋体"/>
          <w:b/>
          <w:sz w:val="32"/>
          <w:szCs w:val="32"/>
        </w:rPr>
      </w:pPr>
    </w:p>
    <w:p>
      <w:pPr>
        <w:jc w:val="right"/>
        <w:rPr>
          <w:rFonts w:hAnsi="宋体" w:cs="宋体"/>
          <w:b/>
          <w:sz w:val="32"/>
          <w:szCs w:val="32"/>
        </w:rPr>
      </w:pPr>
    </w:p>
    <w:p>
      <w:pPr>
        <w:jc w:val="center"/>
        <w:rPr>
          <w:rFonts w:hint="eastAsia" w:ascii="仿宋" w:hAnsi="仿宋" w:eastAsia="仿宋" w:cs="仿宋"/>
          <w:b/>
          <w:bCs w:val="0"/>
          <w:sz w:val="52"/>
          <w:szCs w:val="52"/>
        </w:rPr>
      </w:pPr>
      <w:r>
        <w:rPr>
          <w:rFonts w:hint="eastAsia" w:ascii="仿宋" w:hAnsi="仿宋" w:eastAsia="仿宋" w:cs="仿宋"/>
          <w:b/>
          <w:bCs w:val="0"/>
          <w:sz w:val="52"/>
          <w:szCs w:val="52"/>
        </w:rPr>
        <w:t>灞桥法院集中印务系统采购项目</w:t>
      </w:r>
    </w:p>
    <w:p>
      <w:pPr>
        <w:pStyle w:val="2"/>
      </w:pPr>
    </w:p>
    <w:p>
      <w:pPr>
        <w:jc w:val="center"/>
        <w:rPr>
          <w:rFonts w:hAnsi="宋体" w:cs="宋体"/>
          <w:b/>
          <w:sz w:val="62"/>
          <w:szCs w:val="72"/>
        </w:rPr>
      </w:pPr>
    </w:p>
    <w:p>
      <w:pPr>
        <w:jc w:val="center"/>
        <w:rPr>
          <w:rFonts w:hAnsi="宋体" w:cs="宋体"/>
          <w:b/>
          <w:sz w:val="56"/>
          <w:szCs w:val="56"/>
        </w:rPr>
      </w:pPr>
      <w:r>
        <w:rPr>
          <w:rFonts w:hint="eastAsia" w:hAnsi="宋体" w:cs="宋体"/>
          <w:b/>
          <w:sz w:val="56"/>
          <w:szCs w:val="56"/>
        </w:rPr>
        <w:t>竞争性磋商响应文件</w:t>
      </w:r>
    </w:p>
    <w:p>
      <w:pPr>
        <w:rPr>
          <w:rFonts w:hAnsi="宋体" w:cs="宋体"/>
          <w:b/>
          <w:sz w:val="36"/>
          <w:szCs w:val="36"/>
        </w:rPr>
      </w:pPr>
    </w:p>
    <w:p>
      <w:pPr>
        <w:jc w:val="center"/>
        <w:rPr>
          <w:rFonts w:hAnsi="宋体" w:cs="宋体"/>
          <w:b/>
          <w:sz w:val="36"/>
          <w:szCs w:val="36"/>
        </w:rPr>
      </w:pPr>
    </w:p>
    <w:p>
      <w:pPr>
        <w:rPr>
          <w:rFonts w:hAnsi="宋体" w:cs="宋体"/>
          <w:b/>
          <w:sz w:val="36"/>
          <w:szCs w:val="36"/>
        </w:rPr>
      </w:pPr>
    </w:p>
    <w:p>
      <w:pPr>
        <w:rPr>
          <w:rFonts w:hAnsi="宋体" w:cs="宋体"/>
          <w:b/>
          <w:sz w:val="36"/>
          <w:szCs w:val="36"/>
        </w:rPr>
      </w:pPr>
    </w:p>
    <w:p>
      <w:pPr>
        <w:tabs>
          <w:tab w:val="center" w:pos="5346"/>
        </w:tabs>
        <w:spacing w:line="480" w:lineRule="auto"/>
        <w:jc w:val="center"/>
        <w:rPr>
          <w:rFonts w:hAnsi="宋体" w:cs="宋体"/>
          <w:b/>
          <w:sz w:val="32"/>
          <w:szCs w:val="32"/>
        </w:rPr>
      </w:pPr>
      <w:r>
        <w:rPr>
          <w:rFonts w:hint="eastAsia" w:hAnsi="宋体" w:cs="宋体"/>
          <w:b/>
          <w:sz w:val="32"/>
          <w:szCs w:val="32"/>
        </w:rPr>
        <w:t>供应商名称（公章）</w:t>
      </w:r>
    </w:p>
    <w:p>
      <w:pPr>
        <w:jc w:val="center"/>
        <w:rPr>
          <w:rFonts w:hAnsi="宋体" w:cs="宋体"/>
          <w:b/>
          <w:sz w:val="44"/>
        </w:rPr>
      </w:pPr>
      <w:r>
        <w:rPr>
          <w:rFonts w:hint="eastAsia" w:hAnsi="宋体" w:cs="宋体"/>
          <w:b/>
          <w:sz w:val="32"/>
          <w:szCs w:val="32"/>
        </w:rPr>
        <w:t>年  月  日</w:t>
      </w:r>
      <w:r>
        <w:rPr>
          <w:rFonts w:hint="eastAsia" w:hAnsi="宋体" w:cs="宋体"/>
          <w:b/>
          <w:sz w:val="36"/>
          <w:szCs w:val="36"/>
        </w:rPr>
        <w:br w:type="page"/>
      </w:r>
      <w:bookmarkStart w:id="90" w:name="_Toc344572156"/>
    </w:p>
    <w:p>
      <w:pPr>
        <w:jc w:val="center"/>
        <w:rPr>
          <w:rFonts w:hAnsi="宋体" w:cs="宋体"/>
          <w:b/>
          <w:sz w:val="44"/>
        </w:rPr>
      </w:pPr>
      <w:r>
        <w:rPr>
          <w:rFonts w:hint="eastAsia" w:hAnsi="宋体" w:cs="宋体"/>
          <w:b/>
          <w:sz w:val="44"/>
        </w:rPr>
        <w:t>目  录</w:t>
      </w:r>
    </w:p>
    <w:p>
      <w:pPr>
        <w:spacing w:line="900" w:lineRule="exact"/>
        <w:ind w:firstLine="496" w:firstLineChars="200"/>
        <w:jc w:val="left"/>
        <w:rPr>
          <w:rFonts w:hAnsi="宋体" w:cs="宋体"/>
          <w:spacing w:val="4"/>
          <w:szCs w:val="24"/>
        </w:rPr>
      </w:pPr>
      <w:r>
        <w:rPr>
          <w:rFonts w:hint="eastAsia" w:hAnsi="宋体" w:cs="宋体"/>
          <w:spacing w:val="4"/>
          <w:szCs w:val="24"/>
        </w:rPr>
        <w:t>一、磋商响应函</w:t>
      </w:r>
    </w:p>
    <w:p>
      <w:pPr>
        <w:spacing w:line="900" w:lineRule="exact"/>
        <w:ind w:firstLine="496" w:firstLineChars="200"/>
        <w:jc w:val="left"/>
        <w:rPr>
          <w:rFonts w:hAnsi="宋体" w:cs="宋体"/>
          <w:spacing w:val="4"/>
          <w:szCs w:val="24"/>
        </w:rPr>
      </w:pPr>
      <w:r>
        <w:rPr>
          <w:rFonts w:hint="eastAsia" w:hAnsi="宋体" w:cs="宋体"/>
          <w:spacing w:val="4"/>
          <w:szCs w:val="24"/>
        </w:rPr>
        <w:t>二、磋商报价表</w:t>
      </w:r>
    </w:p>
    <w:p>
      <w:pPr>
        <w:spacing w:line="900" w:lineRule="exact"/>
        <w:ind w:firstLine="496" w:firstLineChars="200"/>
        <w:jc w:val="left"/>
        <w:rPr>
          <w:rFonts w:hAnsi="宋体" w:cs="宋体"/>
          <w:spacing w:val="4"/>
          <w:szCs w:val="24"/>
        </w:rPr>
      </w:pPr>
      <w:r>
        <w:rPr>
          <w:rFonts w:hint="eastAsia" w:hAnsi="宋体" w:cs="宋体"/>
          <w:spacing w:val="4"/>
          <w:szCs w:val="24"/>
        </w:rPr>
        <w:t>三、磋商方案说明书</w:t>
      </w:r>
    </w:p>
    <w:p>
      <w:pPr>
        <w:spacing w:line="900" w:lineRule="exact"/>
        <w:ind w:firstLine="496" w:firstLineChars="200"/>
        <w:jc w:val="left"/>
        <w:rPr>
          <w:rFonts w:hAnsi="宋体" w:cs="宋体"/>
          <w:spacing w:val="4"/>
          <w:szCs w:val="24"/>
        </w:rPr>
      </w:pPr>
      <w:r>
        <w:rPr>
          <w:rFonts w:hint="eastAsia" w:hAnsi="宋体" w:cs="宋体"/>
          <w:spacing w:val="4"/>
          <w:szCs w:val="24"/>
        </w:rPr>
        <w:t>四、</w:t>
      </w:r>
      <w:r>
        <w:rPr>
          <w:rFonts w:hint="eastAsia" w:hAnsi="宋体" w:cs="宋体"/>
          <w:szCs w:val="24"/>
        </w:rPr>
        <w:t>商务条款偏离表</w:t>
      </w:r>
    </w:p>
    <w:p>
      <w:pPr>
        <w:spacing w:line="900" w:lineRule="exact"/>
        <w:ind w:firstLine="496" w:firstLineChars="200"/>
        <w:jc w:val="left"/>
        <w:rPr>
          <w:rFonts w:hAnsi="宋体" w:cs="宋体"/>
          <w:spacing w:val="4"/>
          <w:szCs w:val="24"/>
        </w:rPr>
      </w:pPr>
      <w:r>
        <w:rPr>
          <w:rFonts w:hint="eastAsia" w:hAnsi="宋体" w:cs="宋体"/>
          <w:spacing w:val="4"/>
          <w:szCs w:val="24"/>
        </w:rPr>
        <w:t>五、供应商承诺书</w:t>
      </w:r>
    </w:p>
    <w:p>
      <w:pPr>
        <w:spacing w:line="900" w:lineRule="exact"/>
        <w:ind w:firstLine="496" w:firstLineChars="200"/>
        <w:jc w:val="left"/>
        <w:rPr>
          <w:rFonts w:hAnsi="宋体" w:cs="宋体"/>
          <w:spacing w:val="4"/>
          <w:szCs w:val="24"/>
        </w:rPr>
      </w:pPr>
      <w:r>
        <w:rPr>
          <w:rFonts w:hint="eastAsia" w:hAnsi="宋体" w:cs="宋体"/>
          <w:spacing w:val="4"/>
          <w:szCs w:val="24"/>
        </w:rPr>
        <w:t>六、资格证明文件</w:t>
      </w:r>
    </w:p>
    <w:p>
      <w:pPr>
        <w:spacing w:line="900" w:lineRule="exact"/>
        <w:ind w:firstLine="496" w:firstLineChars="200"/>
        <w:jc w:val="left"/>
        <w:rPr>
          <w:rFonts w:hAnsi="宋体" w:cs="宋体"/>
          <w:spacing w:val="4"/>
          <w:szCs w:val="24"/>
        </w:rPr>
      </w:pPr>
      <w:r>
        <w:rPr>
          <w:rFonts w:hint="eastAsia" w:hAnsi="宋体" w:cs="宋体"/>
          <w:spacing w:val="4"/>
          <w:szCs w:val="24"/>
        </w:rPr>
        <w:t>七、其它资料</w:t>
      </w:r>
    </w:p>
    <w:p>
      <w:pPr>
        <w:pStyle w:val="5"/>
        <w:spacing w:line="360" w:lineRule="auto"/>
        <w:rPr>
          <w:rFonts w:ascii="宋体" w:hAnsi="宋体" w:cs="宋体"/>
        </w:rPr>
      </w:pPr>
    </w:p>
    <w:p>
      <w:pPr>
        <w:pStyle w:val="5"/>
        <w:spacing w:line="360" w:lineRule="auto"/>
        <w:rPr>
          <w:rFonts w:ascii="宋体" w:hAnsi="宋体" w:cs="宋体"/>
        </w:rPr>
      </w:pPr>
    </w:p>
    <w:p>
      <w:pPr>
        <w:keepNext/>
        <w:keepLines/>
        <w:widowControl/>
        <w:tabs>
          <w:tab w:val="left" w:pos="3705"/>
        </w:tabs>
        <w:spacing w:line="360" w:lineRule="auto"/>
        <w:ind w:left="3708"/>
        <w:rPr>
          <w:rFonts w:hAnsi="宋体" w:cs="宋体"/>
          <w:bCs/>
          <w:sz w:val="44"/>
        </w:rPr>
      </w:pPr>
    </w:p>
    <w:p>
      <w:pPr>
        <w:pStyle w:val="5"/>
        <w:ind w:firstLine="880"/>
        <w:rPr>
          <w:rFonts w:ascii="宋体" w:hAnsi="宋体" w:cs="宋体"/>
          <w:bCs/>
          <w:sz w:val="44"/>
        </w:rPr>
      </w:pPr>
    </w:p>
    <w:p>
      <w:pPr>
        <w:pStyle w:val="5"/>
        <w:ind w:firstLine="880"/>
        <w:rPr>
          <w:rFonts w:ascii="宋体" w:hAnsi="宋体" w:cs="宋体"/>
          <w:bCs/>
          <w:sz w:val="44"/>
        </w:rPr>
      </w:pPr>
    </w:p>
    <w:bookmarkEnd w:id="90"/>
    <w:p>
      <w:pPr>
        <w:pStyle w:val="18"/>
        <w:rPr>
          <w:rFonts w:ascii="宋体" w:hAnsi="宋体" w:cs="宋体"/>
          <w:b/>
          <w:sz w:val="32"/>
          <w:szCs w:val="32"/>
        </w:rPr>
      </w:pPr>
      <w:bookmarkStart w:id="91" w:name="_Toc403077648"/>
      <w:bookmarkStart w:id="92" w:name="_Toc363474027"/>
      <w:bookmarkStart w:id="93" w:name="_Toc204524343"/>
    </w:p>
    <w:p>
      <w:pPr>
        <w:pStyle w:val="18"/>
        <w:rPr>
          <w:rFonts w:ascii="宋体" w:hAnsi="宋体" w:cs="宋体"/>
          <w:b/>
          <w:sz w:val="32"/>
          <w:szCs w:val="32"/>
        </w:rPr>
      </w:pPr>
    </w:p>
    <w:p>
      <w:pPr>
        <w:pStyle w:val="18"/>
        <w:rPr>
          <w:rFonts w:ascii="宋体" w:hAnsi="宋体" w:cs="宋体"/>
          <w:b/>
          <w:sz w:val="32"/>
          <w:szCs w:val="32"/>
        </w:rPr>
      </w:pPr>
    </w:p>
    <w:p>
      <w:pPr>
        <w:spacing w:line="520" w:lineRule="exact"/>
        <w:jc w:val="center"/>
        <w:outlineLvl w:val="1"/>
        <w:rPr>
          <w:rFonts w:hAnsi="宋体" w:cs="宋体"/>
          <w:b/>
          <w:sz w:val="32"/>
          <w:szCs w:val="32"/>
        </w:rPr>
      </w:pPr>
      <w:r>
        <w:rPr>
          <w:rFonts w:hint="eastAsia" w:hAnsi="宋体" w:cs="宋体"/>
          <w:b/>
          <w:sz w:val="32"/>
          <w:szCs w:val="32"/>
        </w:rPr>
        <w:br w:type="page"/>
      </w:r>
      <w:bookmarkStart w:id="94" w:name="_Toc11801"/>
      <w:bookmarkStart w:id="95" w:name="_Toc6195"/>
      <w:r>
        <w:rPr>
          <w:rFonts w:hint="eastAsia" w:hAnsi="宋体" w:cs="宋体"/>
          <w:b/>
          <w:sz w:val="32"/>
          <w:szCs w:val="32"/>
        </w:rPr>
        <w:t>一、磋商</w:t>
      </w:r>
      <w:bookmarkEnd w:id="91"/>
      <w:bookmarkEnd w:id="92"/>
      <w:r>
        <w:rPr>
          <w:rFonts w:hint="eastAsia" w:hAnsi="宋体" w:cs="宋体"/>
          <w:b/>
          <w:sz w:val="32"/>
          <w:szCs w:val="32"/>
        </w:rPr>
        <w:t>响应函</w:t>
      </w:r>
      <w:bookmarkEnd w:id="94"/>
      <w:bookmarkEnd w:id="95"/>
    </w:p>
    <w:p>
      <w:pPr>
        <w:spacing w:line="360" w:lineRule="auto"/>
        <w:jc w:val="left"/>
        <w:rPr>
          <w:rFonts w:hAnsi="宋体" w:cs="宋体"/>
          <w:spacing w:val="4"/>
          <w:szCs w:val="24"/>
        </w:rPr>
      </w:pPr>
      <w:r>
        <w:rPr>
          <w:rFonts w:hint="eastAsia" w:hAnsi="宋体" w:cs="宋体"/>
          <w:spacing w:val="4"/>
          <w:szCs w:val="24"/>
        </w:rPr>
        <w:t>致：</w:t>
      </w:r>
      <w:r>
        <w:rPr>
          <w:rFonts w:hint="eastAsia" w:hAnsi="宋体" w:cs="宋体"/>
          <w:spacing w:val="4"/>
          <w:szCs w:val="24"/>
          <w:u w:val="single"/>
        </w:rPr>
        <w:t xml:space="preserve">采购人名称 </w:t>
      </w:r>
    </w:p>
    <w:p>
      <w:pPr>
        <w:spacing w:line="360" w:lineRule="auto"/>
        <w:ind w:firstLine="496" w:firstLineChars="200"/>
        <w:rPr>
          <w:rFonts w:hAnsi="宋体" w:cs="宋体"/>
          <w:spacing w:val="4"/>
          <w:szCs w:val="24"/>
        </w:rPr>
      </w:pPr>
      <w:r>
        <w:rPr>
          <w:rFonts w:hint="eastAsia" w:hAnsi="宋体" w:cs="宋体"/>
          <w:spacing w:val="4"/>
          <w:szCs w:val="24"/>
        </w:rPr>
        <w:t xml:space="preserve">根据贵方“ </w:t>
      </w:r>
      <w:r>
        <w:rPr>
          <w:rFonts w:hint="eastAsia" w:hAnsi="宋体" w:cs="宋体"/>
          <w:spacing w:val="4"/>
          <w:szCs w:val="24"/>
          <w:u w:val="single"/>
        </w:rPr>
        <w:t xml:space="preserve">     （项目名称、</w:t>
      </w:r>
      <w:r>
        <w:rPr>
          <w:rFonts w:hint="eastAsia" w:hAnsi="宋体" w:cs="宋体"/>
          <w:spacing w:val="4"/>
          <w:szCs w:val="24"/>
          <w:u w:val="single"/>
          <w:lang w:eastAsia="zh-CN"/>
        </w:rPr>
        <w:t>项目编</w:t>
      </w:r>
      <w:r>
        <w:rPr>
          <w:rFonts w:hint="eastAsia" w:hAnsi="宋体" w:cs="宋体"/>
          <w:spacing w:val="4"/>
          <w:szCs w:val="24"/>
          <w:u w:val="single"/>
        </w:rPr>
        <w:t xml:space="preserve">号）        </w:t>
      </w:r>
      <w:r>
        <w:rPr>
          <w:rFonts w:hint="eastAsia" w:hAnsi="宋体" w:cs="宋体"/>
          <w:spacing w:val="4"/>
          <w:szCs w:val="24"/>
        </w:rPr>
        <w:t>”项目的磋商邀请</w:t>
      </w:r>
      <w:r>
        <w:rPr>
          <w:rFonts w:hint="eastAsia" w:hAnsi="宋体" w:cs="宋体"/>
          <w:spacing w:val="4"/>
          <w:szCs w:val="24"/>
          <w:u w:val="single"/>
        </w:rPr>
        <w:t>(项目编号：           )</w:t>
      </w:r>
      <w:r>
        <w:rPr>
          <w:rFonts w:hint="eastAsia" w:hAnsi="宋体" w:cs="宋体"/>
          <w:spacing w:val="4"/>
          <w:szCs w:val="24"/>
        </w:rPr>
        <w:t>，签字代表</w:t>
      </w:r>
      <w:r>
        <w:rPr>
          <w:rFonts w:hint="eastAsia" w:hAnsi="宋体" w:cs="宋体"/>
          <w:spacing w:val="4"/>
          <w:szCs w:val="24"/>
          <w:u w:val="single"/>
        </w:rPr>
        <w:t>（全名、职务）</w:t>
      </w:r>
      <w:r>
        <w:rPr>
          <w:rFonts w:hint="eastAsia" w:hAnsi="宋体" w:cs="宋体"/>
          <w:spacing w:val="4"/>
          <w:szCs w:val="24"/>
        </w:rPr>
        <w:t>经正式授权并代表供应商</w:t>
      </w:r>
      <w:r>
        <w:rPr>
          <w:rFonts w:hint="eastAsia" w:hAnsi="宋体" w:cs="宋体"/>
          <w:spacing w:val="4"/>
          <w:szCs w:val="24"/>
          <w:u w:val="single"/>
        </w:rPr>
        <w:t>(供应商名称、地址)</w:t>
      </w:r>
      <w:r>
        <w:rPr>
          <w:rFonts w:hint="eastAsia" w:hAnsi="宋体" w:cs="宋体"/>
          <w:spacing w:val="4"/>
          <w:szCs w:val="24"/>
        </w:rPr>
        <w:t xml:space="preserve"> 提交竞争性磋商响应文件正本壹份、副本一式份、报价一览表份、电子版份。</w:t>
      </w:r>
    </w:p>
    <w:p>
      <w:pPr>
        <w:spacing w:line="360" w:lineRule="auto"/>
        <w:ind w:left="624" w:leftChars="251" w:hanging="22" w:hangingChars="9"/>
        <w:jc w:val="left"/>
        <w:rPr>
          <w:rFonts w:hAnsi="宋体" w:cs="宋体"/>
          <w:spacing w:val="4"/>
          <w:szCs w:val="24"/>
        </w:rPr>
      </w:pPr>
      <w:r>
        <w:rPr>
          <w:rFonts w:hint="eastAsia" w:hAnsi="宋体" w:cs="宋体"/>
          <w:spacing w:val="4"/>
          <w:szCs w:val="24"/>
        </w:rPr>
        <w:t>我方承诺如下：</w:t>
      </w:r>
    </w:p>
    <w:p>
      <w:pPr>
        <w:numPr>
          <w:ilvl w:val="0"/>
          <w:numId w:val="8"/>
        </w:numPr>
        <w:tabs>
          <w:tab w:val="left" w:pos="2160"/>
        </w:tabs>
        <w:spacing w:line="360" w:lineRule="auto"/>
        <w:ind w:firstLine="496" w:firstLineChars="200"/>
        <w:jc w:val="left"/>
        <w:rPr>
          <w:rFonts w:hAnsi="宋体" w:cs="宋体"/>
          <w:spacing w:val="4"/>
        </w:rPr>
      </w:pPr>
      <w:r>
        <w:rPr>
          <w:rFonts w:hint="eastAsia" w:hAnsi="宋体" w:cs="宋体"/>
          <w:spacing w:val="4"/>
          <w:szCs w:val="24"/>
        </w:rPr>
        <w:t>磋商报价</w:t>
      </w:r>
      <w:r>
        <w:rPr>
          <w:rFonts w:hint="eastAsia" w:hAnsi="宋体" w:cs="宋体"/>
          <w:spacing w:val="4"/>
        </w:rPr>
        <w:t>为小写： （大写：）。</w:t>
      </w:r>
    </w:p>
    <w:p>
      <w:pPr>
        <w:numPr>
          <w:ilvl w:val="0"/>
          <w:numId w:val="8"/>
        </w:num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如果成交，我们根据竞争性磋商文件的规定，履行合同的责任和义务。</w:t>
      </w:r>
    </w:p>
    <w:p>
      <w:p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3）我们已详细阅读和审核全部竞争性磋商文件（含修改部分，如有的话）及有关附件，我们知道必须放弃提出含糊不清或误解的问题的权利。</w:t>
      </w:r>
    </w:p>
    <w:p>
      <w:p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4）我们同意在磋商有效期内（</w:t>
      </w:r>
      <w:r>
        <w:rPr>
          <w:rFonts w:hint="eastAsia" w:hAnsi="宋体" w:cs="宋体"/>
          <w:spacing w:val="4"/>
          <w:szCs w:val="24"/>
          <w:u w:val="single"/>
        </w:rPr>
        <w:t>自磋商之日起   天</w:t>
      </w:r>
      <w:r>
        <w:rPr>
          <w:rFonts w:hint="eastAsia" w:hAnsi="宋体" w:cs="宋体"/>
          <w:spacing w:val="4"/>
          <w:szCs w:val="24"/>
        </w:rPr>
        <w:t>），本磋商响应函对我方具有约束力。</w:t>
      </w:r>
    </w:p>
    <w:p>
      <w:p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 xml:space="preserve">5）同意提供贵方可能另外要求的与本磋商有关的任何证据和资料。 </w:t>
      </w:r>
    </w:p>
    <w:p>
      <w:p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6）我们同意，如果成交，将按本项目磋商文件规定的时间、金额和方式向</w:t>
      </w:r>
      <w:r>
        <w:rPr>
          <w:rFonts w:hint="eastAsia" w:hAnsi="宋体" w:cs="宋体"/>
          <w:color w:val="333333"/>
          <w:szCs w:val="24"/>
        </w:rPr>
        <w:t>陕西佰瑞诚项目管理有限公司</w:t>
      </w:r>
      <w:r>
        <w:rPr>
          <w:rFonts w:hint="eastAsia" w:hAnsi="宋体" w:cs="宋体"/>
          <w:spacing w:val="4"/>
          <w:szCs w:val="24"/>
        </w:rPr>
        <w:t>交纳招标代理服务费。</w:t>
      </w:r>
    </w:p>
    <w:p>
      <w:pPr>
        <w:tabs>
          <w:tab w:val="left" w:pos="2160"/>
        </w:tabs>
        <w:spacing w:line="360" w:lineRule="auto"/>
        <w:ind w:firstLine="496" w:firstLineChars="200"/>
        <w:jc w:val="left"/>
        <w:rPr>
          <w:rFonts w:hAnsi="宋体" w:cs="宋体"/>
          <w:spacing w:val="4"/>
          <w:szCs w:val="24"/>
        </w:rPr>
      </w:pPr>
      <w:r>
        <w:rPr>
          <w:rFonts w:hint="eastAsia" w:hAnsi="宋体" w:cs="宋体"/>
          <w:spacing w:val="4"/>
          <w:szCs w:val="24"/>
        </w:rPr>
        <w:t>7）与本磋商有关的一切正式往来通讯为：</w:t>
      </w:r>
    </w:p>
    <w:p>
      <w:pPr>
        <w:spacing w:line="360" w:lineRule="auto"/>
        <w:ind w:firstLine="1240" w:firstLineChars="500"/>
        <w:jc w:val="left"/>
        <w:rPr>
          <w:rFonts w:hAnsi="宋体" w:cs="宋体"/>
          <w:spacing w:val="4"/>
          <w:szCs w:val="24"/>
        </w:rPr>
      </w:pPr>
      <w:r>
        <w:rPr>
          <w:rFonts w:hint="eastAsia" w:hAnsi="宋体" w:cs="宋体"/>
          <w:spacing w:val="4"/>
          <w:szCs w:val="24"/>
        </w:rPr>
        <w:t>联系地址：</w:t>
      </w:r>
    </w:p>
    <w:p>
      <w:pPr>
        <w:spacing w:line="360" w:lineRule="auto"/>
        <w:ind w:firstLine="1240" w:firstLineChars="500"/>
        <w:jc w:val="left"/>
        <w:rPr>
          <w:rFonts w:hAnsi="宋体" w:cs="宋体"/>
          <w:spacing w:val="4"/>
          <w:szCs w:val="24"/>
        </w:rPr>
      </w:pPr>
      <w:r>
        <w:rPr>
          <w:rFonts w:hint="eastAsia" w:hAnsi="宋体" w:cs="宋体"/>
          <w:spacing w:val="4"/>
          <w:szCs w:val="24"/>
        </w:rPr>
        <w:t>邮政编码：</w:t>
      </w:r>
    </w:p>
    <w:p>
      <w:pPr>
        <w:spacing w:line="360" w:lineRule="auto"/>
        <w:ind w:firstLine="1240" w:firstLineChars="500"/>
        <w:jc w:val="left"/>
        <w:rPr>
          <w:rFonts w:hAnsi="宋体" w:cs="宋体"/>
          <w:spacing w:val="4"/>
          <w:szCs w:val="24"/>
        </w:rPr>
      </w:pPr>
      <w:r>
        <w:rPr>
          <w:rFonts w:hint="eastAsia" w:hAnsi="宋体" w:cs="宋体"/>
          <w:spacing w:val="4"/>
          <w:szCs w:val="24"/>
        </w:rPr>
        <w:t>电    话：</w:t>
      </w:r>
    </w:p>
    <w:p>
      <w:pPr>
        <w:spacing w:line="360" w:lineRule="auto"/>
        <w:ind w:firstLine="1240" w:firstLineChars="500"/>
        <w:jc w:val="left"/>
        <w:rPr>
          <w:rFonts w:hAnsi="宋体" w:cs="宋体"/>
          <w:spacing w:val="4"/>
          <w:szCs w:val="24"/>
        </w:rPr>
      </w:pPr>
      <w:r>
        <w:rPr>
          <w:rFonts w:hint="eastAsia" w:hAnsi="宋体" w:cs="宋体"/>
          <w:spacing w:val="4"/>
          <w:szCs w:val="24"/>
        </w:rPr>
        <w:t>传    真：</w:t>
      </w:r>
    </w:p>
    <w:p>
      <w:pPr>
        <w:spacing w:line="360" w:lineRule="auto"/>
        <w:ind w:firstLine="1240" w:firstLineChars="500"/>
        <w:jc w:val="left"/>
        <w:rPr>
          <w:rFonts w:hAnsi="宋体" w:cs="宋体"/>
          <w:spacing w:val="4"/>
          <w:szCs w:val="24"/>
        </w:rPr>
      </w:pPr>
      <w:r>
        <w:rPr>
          <w:rFonts w:hint="eastAsia" w:hAnsi="宋体" w:cs="宋体"/>
          <w:spacing w:val="4"/>
          <w:szCs w:val="24"/>
        </w:rPr>
        <w:t>供应商名称（盖章）：</w:t>
      </w:r>
    </w:p>
    <w:p>
      <w:pPr>
        <w:spacing w:line="360" w:lineRule="auto"/>
        <w:ind w:firstLine="1240" w:firstLineChars="500"/>
        <w:jc w:val="left"/>
        <w:rPr>
          <w:rFonts w:hAnsi="宋体" w:cs="宋体"/>
          <w:color w:val="FF0000"/>
          <w:spacing w:val="4"/>
          <w:szCs w:val="24"/>
        </w:rPr>
      </w:pPr>
      <w:r>
        <w:rPr>
          <w:rFonts w:hint="eastAsia" w:hAnsi="宋体" w:cs="宋体"/>
          <w:spacing w:val="4"/>
          <w:szCs w:val="24"/>
        </w:rPr>
        <w:t>供应商法定代表人或被授权人：（签字或盖章）</w:t>
      </w:r>
    </w:p>
    <w:p>
      <w:pPr>
        <w:spacing w:line="360" w:lineRule="auto"/>
        <w:ind w:firstLine="1240" w:firstLineChars="500"/>
        <w:jc w:val="left"/>
        <w:rPr>
          <w:rFonts w:hAnsi="宋体" w:cs="宋体"/>
          <w:spacing w:val="4"/>
          <w:szCs w:val="24"/>
        </w:rPr>
      </w:pPr>
      <w:r>
        <w:rPr>
          <w:rFonts w:hint="eastAsia" w:hAnsi="宋体" w:cs="宋体"/>
          <w:spacing w:val="4"/>
          <w:szCs w:val="24"/>
        </w:rPr>
        <w:t>日    期：  年   月   日</w:t>
      </w:r>
    </w:p>
    <w:p>
      <w:pPr>
        <w:pStyle w:val="4"/>
        <w:keepLines w:val="0"/>
        <w:widowControl w:val="0"/>
        <w:spacing w:beforeLines="100" w:line="360" w:lineRule="auto"/>
        <w:jc w:val="center"/>
        <w:rPr>
          <w:rFonts w:ascii="宋体" w:hAnsi="宋体" w:cs="宋体"/>
          <w:sz w:val="32"/>
        </w:rPr>
      </w:pPr>
      <w:r>
        <w:rPr>
          <w:rFonts w:hint="eastAsia" w:ascii="宋体" w:hAnsi="宋体" w:cs="宋体"/>
        </w:rPr>
        <w:br w:type="page"/>
      </w:r>
      <w:bookmarkStart w:id="96" w:name="_Toc32692"/>
      <w:bookmarkStart w:id="97" w:name="_Toc363474030"/>
      <w:bookmarkStart w:id="98" w:name="_Toc403077651"/>
      <w:bookmarkStart w:id="99" w:name="_Toc22540"/>
      <w:r>
        <w:rPr>
          <w:rFonts w:hint="eastAsia" w:ascii="宋体" w:hAnsi="宋体" w:cs="宋体"/>
          <w:sz w:val="32"/>
        </w:rPr>
        <w:t>二、磋商报价表</w:t>
      </w:r>
      <w:bookmarkEnd w:id="96"/>
      <w:bookmarkEnd w:id="97"/>
      <w:bookmarkEnd w:id="98"/>
      <w:bookmarkEnd w:id="99"/>
    </w:p>
    <w:p>
      <w:pPr>
        <w:spacing w:line="360" w:lineRule="auto"/>
        <w:jc w:val="center"/>
        <w:outlineLvl w:val="2"/>
        <w:rPr>
          <w:rFonts w:hAnsi="宋体" w:cs="宋体"/>
          <w:b/>
          <w:bCs/>
          <w:sz w:val="30"/>
          <w:szCs w:val="30"/>
        </w:rPr>
      </w:pPr>
      <w:r>
        <w:rPr>
          <w:rFonts w:hint="eastAsia" w:hAnsi="宋体" w:cs="宋体"/>
          <w:b/>
          <w:bCs/>
          <w:sz w:val="30"/>
          <w:szCs w:val="30"/>
        </w:rPr>
        <w:t>2.1报价一览表</w:t>
      </w:r>
    </w:p>
    <w:p>
      <w:pPr>
        <w:spacing w:line="360" w:lineRule="auto"/>
        <w:jc w:val="center"/>
        <w:rPr>
          <w:rFonts w:hAnsi="宋体" w:cs="宋体"/>
          <w:szCs w:val="24"/>
        </w:rPr>
      </w:pPr>
    </w:p>
    <w:p>
      <w:pPr>
        <w:jc w:val="left"/>
        <w:rPr>
          <w:rFonts w:hAnsi="宋体" w:cs="宋体"/>
        </w:rPr>
      </w:pPr>
      <w:r>
        <w:rPr>
          <w:rFonts w:hint="eastAsia" w:hAnsi="宋体" w:cs="宋体"/>
        </w:rPr>
        <w:t xml:space="preserve">项目名称：                                              </w:t>
      </w:r>
    </w:p>
    <w:p>
      <w:pPr>
        <w:jc w:val="left"/>
        <w:rPr>
          <w:rFonts w:hAnsi="宋体" w:cs="宋体"/>
        </w:rPr>
      </w:pPr>
      <w:r>
        <w:rPr>
          <w:rFonts w:hint="eastAsia" w:hAnsi="宋体" w:cs="宋体"/>
        </w:rPr>
        <w:t xml:space="preserve">项目编号：                                               </w:t>
      </w:r>
    </w:p>
    <w:tbl>
      <w:tblPr>
        <w:tblStyle w:val="44"/>
        <w:tblW w:w="91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0"/>
        <w:gridCol w:w="1935"/>
        <w:gridCol w:w="2162"/>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2680" w:type="dxa"/>
            <w:vAlign w:val="center"/>
          </w:tcPr>
          <w:p>
            <w:pPr>
              <w:jc w:val="center"/>
              <w:rPr>
                <w:rFonts w:hAnsi="宋体" w:cs="宋体"/>
                <w:szCs w:val="24"/>
              </w:rPr>
            </w:pPr>
            <w:r>
              <w:rPr>
                <w:rFonts w:hint="eastAsia" w:hAnsi="宋体" w:cs="宋体"/>
                <w:szCs w:val="24"/>
              </w:rPr>
              <w:t>磋商报价</w:t>
            </w:r>
          </w:p>
          <w:p>
            <w:pPr>
              <w:jc w:val="center"/>
              <w:rPr>
                <w:rFonts w:hAnsi="宋体" w:cs="宋体"/>
                <w:szCs w:val="24"/>
              </w:rPr>
            </w:pPr>
            <w:r>
              <w:rPr>
                <w:rFonts w:hint="eastAsia" w:hAnsi="宋体" w:cs="宋体"/>
                <w:szCs w:val="24"/>
              </w:rPr>
              <w:t>（元）</w:t>
            </w:r>
          </w:p>
        </w:tc>
        <w:tc>
          <w:tcPr>
            <w:tcW w:w="1935" w:type="dxa"/>
            <w:vAlign w:val="center"/>
          </w:tcPr>
          <w:p>
            <w:pPr>
              <w:jc w:val="center"/>
              <w:rPr>
                <w:rFonts w:hAnsi="宋体" w:cs="宋体"/>
                <w:szCs w:val="24"/>
              </w:rPr>
            </w:pPr>
            <w:r>
              <w:rPr>
                <w:rFonts w:hint="eastAsia" w:hAnsi="宋体" w:cs="宋体"/>
                <w:szCs w:val="24"/>
              </w:rPr>
              <w:t>交货期</w:t>
            </w:r>
          </w:p>
        </w:tc>
        <w:tc>
          <w:tcPr>
            <w:tcW w:w="2162" w:type="dxa"/>
            <w:vAlign w:val="center"/>
          </w:tcPr>
          <w:p>
            <w:pPr>
              <w:jc w:val="center"/>
              <w:rPr>
                <w:rFonts w:hAnsi="宋体" w:cs="宋体"/>
                <w:szCs w:val="24"/>
              </w:rPr>
            </w:pPr>
            <w:r>
              <w:rPr>
                <w:rFonts w:hint="eastAsia" w:hAnsi="宋体" w:cs="宋体"/>
                <w:szCs w:val="24"/>
              </w:rPr>
              <w:t>质保期</w:t>
            </w:r>
          </w:p>
          <w:p>
            <w:pPr>
              <w:jc w:val="center"/>
              <w:rPr>
                <w:rFonts w:hAnsi="宋体" w:cs="宋体"/>
                <w:szCs w:val="24"/>
              </w:rPr>
            </w:pPr>
            <w:r>
              <w:rPr>
                <w:rFonts w:hint="eastAsia" w:hAnsi="宋体" w:cs="宋体"/>
                <w:szCs w:val="24"/>
              </w:rPr>
              <w:t>（年）</w:t>
            </w:r>
          </w:p>
        </w:tc>
        <w:tc>
          <w:tcPr>
            <w:tcW w:w="2375" w:type="dxa"/>
            <w:vAlign w:val="center"/>
          </w:tcPr>
          <w:p>
            <w:pPr>
              <w:jc w:val="center"/>
              <w:rPr>
                <w:rFonts w:hAnsi="宋体" w:cs="宋体"/>
                <w:szCs w:val="24"/>
              </w:rPr>
            </w:pPr>
            <w:r>
              <w:rPr>
                <w:rFonts w:hint="eastAsia" w:hAnsi="宋体" w:cs="宋体"/>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2680" w:type="dxa"/>
            <w:vAlign w:val="center"/>
          </w:tcPr>
          <w:p>
            <w:pPr>
              <w:jc w:val="center"/>
              <w:rPr>
                <w:rFonts w:hAnsi="宋体" w:cs="宋体"/>
                <w:szCs w:val="24"/>
              </w:rPr>
            </w:pPr>
          </w:p>
        </w:tc>
        <w:tc>
          <w:tcPr>
            <w:tcW w:w="1935" w:type="dxa"/>
            <w:vAlign w:val="center"/>
          </w:tcPr>
          <w:p>
            <w:pPr>
              <w:jc w:val="center"/>
              <w:rPr>
                <w:rFonts w:hAnsi="宋体" w:cs="宋体"/>
                <w:szCs w:val="24"/>
              </w:rPr>
            </w:pPr>
          </w:p>
        </w:tc>
        <w:tc>
          <w:tcPr>
            <w:tcW w:w="2162" w:type="dxa"/>
            <w:vAlign w:val="center"/>
          </w:tcPr>
          <w:p>
            <w:pPr>
              <w:jc w:val="center"/>
              <w:rPr>
                <w:rFonts w:hAnsi="宋体" w:cs="宋体"/>
                <w:szCs w:val="24"/>
              </w:rPr>
            </w:pPr>
          </w:p>
        </w:tc>
        <w:tc>
          <w:tcPr>
            <w:tcW w:w="2375" w:type="dxa"/>
            <w:vAlign w:val="center"/>
          </w:tcPr>
          <w:p>
            <w:pPr>
              <w:jc w:val="center"/>
              <w:rPr>
                <w:rFonts w:hAnsi="宋体" w:cs="宋体"/>
                <w:szCs w:val="24"/>
              </w:rPr>
            </w:pPr>
          </w:p>
        </w:tc>
      </w:tr>
    </w:tbl>
    <w:p>
      <w:pPr>
        <w:rPr>
          <w:rFonts w:hAnsi="宋体" w:cs="宋体"/>
          <w:szCs w:val="24"/>
        </w:rPr>
      </w:pPr>
    </w:p>
    <w:p>
      <w:pPr>
        <w:rPr>
          <w:rFonts w:hAnsi="宋体" w:cs="宋体"/>
          <w:szCs w:val="24"/>
        </w:rPr>
      </w:pPr>
    </w:p>
    <w:p>
      <w:pPr>
        <w:rPr>
          <w:rFonts w:hAnsi="宋体" w:cs="宋体"/>
          <w:szCs w:val="24"/>
        </w:rPr>
      </w:pPr>
    </w:p>
    <w:p>
      <w:pPr>
        <w:spacing w:line="280" w:lineRule="exact"/>
        <w:ind w:right="617" w:rightChars="257"/>
        <w:jc w:val="left"/>
        <w:rPr>
          <w:rFonts w:hAnsi="宋体" w:cs="宋体"/>
          <w:szCs w:val="24"/>
        </w:rPr>
      </w:pPr>
      <w:r>
        <w:rPr>
          <w:rFonts w:hint="eastAsia" w:hAnsi="宋体" w:cs="宋体"/>
          <w:szCs w:val="24"/>
        </w:rPr>
        <w:t>供应商名称：</w:t>
      </w:r>
      <w:r>
        <w:rPr>
          <w:rFonts w:hint="eastAsia" w:hAnsi="宋体" w:cs="宋体"/>
          <w:szCs w:val="24"/>
          <w:u w:val="single"/>
        </w:rPr>
        <w:t xml:space="preserve">      （加盖单位公章）      </w:t>
      </w:r>
    </w:p>
    <w:p>
      <w:pPr>
        <w:spacing w:line="280" w:lineRule="exact"/>
        <w:ind w:right="617" w:rightChars="257"/>
        <w:jc w:val="left"/>
        <w:rPr>
          <w:rFonts w:hAnsi="宋体" w:cs="宋体"/>
          <w:szCs w:val="24"/>
        </w:rPr>
      </w:pPr>
    </w:p>
    <w:p>
      <w:pPr>
        <w:spacing w:line="500" w:lineRule="exact"/>
        <w:jc w:val="left"/>
        <w:rPr>
          <w:rFonts w:hAnsi="宋体" w:cs="宋体"/>
          <w:spacing w:val="4"/>
        </w:rPr>
      </w:pPr>
      <w:r>
        <w:rPr>
          <w:rFonts w:hint="eastAsia" w:hAnsi="宋体" w:cs="宋体"/>
          <w:spacing w:val="4"/>
        </w:rPr>
        <w:t>法定代表人或被授权人：（签字或盖章）</w:t>
      </w:r>
    </w:p>
    <w:p>
      <w:pPr>
        <w:spacing w:line="280" w:lineRule="exact"/>
        <w:ind w:right="617" w:rightChars="257"/>
        <w:jc w:val="left"/>
        <w:rPr>
          <w:rFonts w:hAnsi="宋体" w:cs="宋体"/>
          <w:szCs w:val="24"/>
        </w:rPr>
      </w:pPr>
    </w:p>
    <w:p>
      <w:pPr>
        <w:spacing w:line="280" w:lineRule="exact"/>
        <w:ind w:right="617" w:rightChars="257"/>
        <w:rPr>
          <w:rFonts w:hAnsi="宋体" w:cs="宋体"/>
          <w:szCs w:val="24"/>
        </w:rPr>
      </w:pPr>
      <w:r>
        <w:rPr>
          <w:rFonts w:hint="eastAsia" w:hAnsi="宋体" w:cs="宋体"/>
          <w:szCs w:val="24"/>
        </w:rPr>
        <w:t>日    期：</w:t>
      </w:r>
    </w:p>
    <w:p>
      <w:pPr>
        <w:jc w:val="center"/>
        <w:rPr>
          <w:rFonts w:hAnsi="宋体" w:cs="宋体"/>
          <w:szCs w:val="24"/>
        </w:rPr>
      </w:pPr>
    </w:p>
    <w:p>
      <w:pPr>
        <w:spacing w:beforeLines="50" w:afterLines="50" w:line="400" w:lineRule="atLeast"/>
        <w:rPr>
          <w:rFonts w:hAnsi="宋体" w:cs="宋体"/>
          <w:szCs w:val="24"/>
          <w:u w:val="single"/>
        </w:rPr>
      </w:pPr>
      <w:r>
        <w:rPr>
          <w:rFonts w:hint="eastAsia" w:hAnsi="宋体" w:cs="宋体"/>
          <w:szCs w:val="24"/>
        </w:rPr>
        <w:t>注：本表应按“供应商须知”的规定密封单独提交。严格按照表格格式报价，以“元”为单位，保留两位小数。</w:t>
      </w:r>
    </w:p>
    <w:p>
      <w:pPr>
        <w:jc w:val="center"/>
        <w:rPr>
          <w:rFonts w:hAnsi="宋体" w:cs="宋体"/>
          <w:b/>
          <w:sz w:val="30"/>
          <w:szCs w:val="30"/>
        </w:rPr>
      </w:pPr>
    </w:p>
    <w:p>
      <w:pPr>
        <w:jc w:val="center"/>
        <w:outlineLvl w:val="2"/>
        <w:rPr>
          <w:rFonts w:hAnsi="宋体" w:cs="宋体"/>
          <w:b/>
          <w:sz w:val="30"/>
          <w:szCs w:val="30"/>
        </w:rPr>
      </w:pPr>
      <w:r>
        <w:rPr>
          <w:rFonts w:hint="eastAsia" w:hAnsi="宋体" w:cs="宋体"/>
          <w:b/>
          <w:sz w:val="30"/>
          <w:szCs w:val="30"/>
        </w:rPr>
        <w:br w:type="page"/>
      </w:r>
      <w:r>
        <w:rPr>
          <w:rFonts w:hint="eastAsia" w:hAnsi="宋体" w:cs="宋体"/>
          <w:b/>
          <w:sz w:val="30"/>
          <w:szCs w:val="30"/>
        </w:rPr>
        <w:t>2.2磋商分项报价表</w:t>
      </w:r>
    </w:p>
    <w:p>
      <w:pPr>
        <w:rPr>
          <w:rFonts w:hAnsi="宋体" w:cs="宋体"/>
        </w:rPr>
      </w:pPr>
    </w:p>
    <w:p>
      <w:pPr>
        <w:rPr>
          <w:rFonts w:hAnsi="宋体" w:cs="宋体"/>
        </w:rPr>
      </w:pPr>
      <w:r>
        <w:rPr>
          <w:rFonts w:hint="eastAsia" w:hAnsi="宋体" w:cs="宋体"/>
        </w:rPr>
        <w:t>项目名称：</w:t>
      </w:r>
    </w:p>
    <w:p>
      <w:pPr>
        <w:rPr>
          <w:rFonts w:hAnsi="宋体" w:cs="宋体"/>
        </w:rPr>
      </w:pPr>
      <w:r>
        <w:rPr>
          <w:rFonts w:hint="eastAsia" w:hAnsi="宋体" w:cs="宋体"/>
        </w:rPr>
        <w:t xml:space="preserve">项目编号：                                                      </w:t>
      </w:r>
    </w:p>
    <w:tbl>
      <w:tblPr>
        <w:tblStyle w:val="44"/>
        <w:tblW w:w="8899" w:type="dxa"/>
        <w:jc w:val="center"/>
        <w:tblLayout w:type="fixed"/>
        <w:tblCellMar>
          <w:top w:w="0" w:type="dxa"/>
          <w:left w:w="28" w:type="dxa"/>
          <w:bottom w:w="0" w:type="dxa"/>
          <w:right w:w="28" w:type="dxa"/>
        </w:tblCellMar>
      </w:tblPr>
      <w:tblGrid>
        <w:gridCol w:w="875"/>
        <w:gridCol w:w="536"/>
        <w:gridCol w:w="797"/>
        <w:gridCol w:w="1572"/>
        <w:gridCol w:w="1588"/>
        <w:gridCol w:w="1178"/>
        <w:gridCol w:w="1175"/>
        <w:gridCol w:w="1178"/>
      </w:tblGrid>
      <w:tr>
        <w:tblPrEx>
          <w:tblCellMar>
            <w:top w:w="0" w:type="dxa"/>
            <w:left w:w="28" w:type="dxa"/>
            <w:bottom w:w="0" w:type="dxa"/>
            <w:right w:w="28" w:type="dxa"/>
          </w:tblCellMar>
        </w:tblPrEx>
        <w:trPr>
          <w:trHeight w:val="598" w:hRule="atLeast"/>
          <w:jc w:val="center"/>
        </w:trPr>
        <w:tc>
          <w:tcPr>
            <w:tcW w:w="875" w:type="dxa"/>
            <w:vMerge w:val="restart"/>
            <w:tcBorders>
              <w:top w:val="single" w:color="auto" w:sz="6" w:space="0"/>
              <w:left w:val="single" w:color="auto" w:sz="6" w:space="0"/>
              <w:right w:val="single" w:color="auto" w:sz="4" w:space="0"/>
            </w:tcBorders>
            <w:vAlign w:val="center"/>
          </w:tcPr>
          <w:p>
            <w:pPr>
              <w:spacing w:after="120"/>
              <w:jc w:val="center"/>
              <w:rPr>
                <w:rFonts w:hAnsi="宋体" w:cs="宋体"/>
                <w:szCs w:val="24"/>
              </w:rPr>
            </w:pPr>
            <w:r>
              <w:rPr>
                <w:rFonts w:hint="eastAsia" w:hAnsi="宋体" w:cs="宋体"/>
                <w:szCs w:val="24"/>
              </w:rPr>
              <w:t>产品</w:t>
            </w:r>
          </w:p>
          <w:p>
            <w:pPr>
              <w:spacing w:after="120"/>
              <w:jc w:val="center"/>
              <w:rPr>
                <w:rFonts w:hAnsi="宋体" w:cs="宋体"/>
              </w:rPr>
            </w:pPr>
            <w:r>
              <w:rPr>
                <w:rFonts w:hint="eastAsia" w:hAnsi="宋体" w:cs="宋体"/>
                <w:szCs w:val="24"/>
              </w:rPr>
              <w:t>费用</w:t>
            </w:r>
          </w:p>
        </w:tc>
        <w:tc>
          <w:tcPr>
            <w:tcW w:w="536" w:type="dxa"/>
            <w:tcBorders>
              <w:top w:val="single" w:color="auto" w:sz="6" w:space="0"/>
              <w:left w:val="single" w:color="auto" w:sz="4" w:space="0"/>
              <w:bottom w:val="single" w:color="auto" w:sz="6" w:space="0"/>
            </w:tcBorders>
            <w:vAlign w:val="center"/>
          </w:tcPr>
          <w:p>
            <w:pPr>
              <w:spacing w:after="120"/>
              <w:jc w:val="center"/>
              <w:rPr>
                <w:rFonts w:hAnsi="宋体" w:cs="宋体"/>
              </w:rPr>
            </w:pPr>
            <w:r>
              <w:rPr>
                <w:rFonts w:hint="eastAsia" w:hAnsi="宋体" w:cs="宋体"/>
              </w:rPr>
              <w:t>序号</w:t>
            </w:r>
          </w:p>
        </w:tc>
        <w:tc>
          <w:tcPr>
            <w:tcW w:w="79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名称</w:t>
            </w:r>
          </w:p>
        </w:tc>
        <w:tc>
          <w:tcPr>
            <w:tcW w:w="157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品牌、型号和规格</w:t>
            </w:r>
          </w:p>
        </w:tc>
        <w:tc>
          <w:tcPr>
            <w:tcW w:w="1588"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hAnsi="宋体" w:cs="宋体"/>
              </w:rPr>
            </w:pPr>
            <w:r>
              <w:rPr>
                <w:rFonts w:hint="eastAsia" w:hAnsi="宋体" w:cs="宋体"/>
              </w:rPr>
              <w:t>原产地及制造厂名</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数量</w:t>
            </w:r>
          </w:p>
        </w:tc>
        <w:tc>
          <w:tcPr>
            <w:tcW w:w="1175"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单价</w:t>
            </w:r>
          </w:p>
          <w:p>
            <w:pPr>
              <w:spacing w:after="120"/>
              <w:jc w:val="center"/>
              <w:rPr>
                <w:rFonts w:hAnsi="宋体" w:cs="宋体"/>
                <w:bCs/>
              </w:rPr>
            </w:pPr>
            <w:r>
              <w:rPr>
                <w:rFonts w:hint="eastAsia" w:hAnsi="宋体" w:cs="宋体"/>
              </w:rPr>
              <w:t>（元）</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bCs/>
              </w:rPr>
            </w:pPr>
            <w:r>
              <w:rPr>
                <w:rFonts w:hint="eastAsia" w:hAnsi="宋体" w:cs="宋体"/>
                <w:bCs/>
              </w:rPr>
              <w:t>总价</w:t>
            </w:r>
          </w:p>
          <w:p>
            <w:pPr>
              <w:spacing w:after="120"/>
              <w:jc w:val="center"/>
              <w:rPr>
                <w:rFonts w:hAnsi="宋体" w:cs="宋体"/>
                <w:bCs/>
              </w:rPr>
            </w:pPr>
            <w:r>
              <w:rPr>
                <w:rFonts w:hint="eastAsia" w:hAnsi="宋体" w:cs="宋体"/>
                <w:bCs/>
              </w:rPr>
              <w:t>（元）</w:t>
            </w: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6" w:space="0"/>
              <w:left w:val="single" w:color="auto" w:sz="4" w:space="0"/>
              <w:bottom w:val="single" w:color="auto" w:sz="4" w:space="0"/>
            </w:tcBorders>
            <w:vAlign w:val="center"/>
          </w:tcPr>
          <w:p>
            <w:pPr>
              <w:spacing w:beforeLines="100"/>
              <w:jc w:val="center"/>
              <w:rPr>
                <w:rFonts w:hAnsi="宋体" w:cs="宋体"/>
              </w:rPr>
            </w:pPr>
            <w:r>
              <w:rPr>
                <w:rFonts w:hint="eastAsia" w:hAnsi="宋体" w:cs="宋体"/>
              </w:rPr>
              <w:t>1</w:t>
            </w:r>
          </w:p>
        </w:tc>
        <w:tc>
          <w:tcPr>
            <w:tcW w:w="79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7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58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175"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2</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3</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szCs w:val="24"/>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875" w:type="dxa"/>
            <w:vMerge w:val="continue"/>
            <w:tcBorders>
              <w:left w:val="single" w:color="auto" w:sz="6" w:space="0"/>
              <w:bottom w:val="single" w:color="auto" w:sz="6" w:space="0"/>
              <w:right w:val="single" w:color="auto" w:sz="4" w:space="0"/>
            </w:tcBorders>
            <w:vAlign w:val="center"/>
          </w:tcPr>
          <w:p>
            <w:pPr>
              <w:spacing w:beforeLines="100"/>
              <w:jc w:val="center"/>
              <w:rPr>
                <w:rFonts w:hAnsi="宋体" w:cs="宋体"/>
              </w:rPr>
            </w:pPr>
          </w:p>
        </w:tc>
        <w:tc>
          <w:tcPr>
            <w:tcW w:w="536" w:type="dxa"/>
            <w:tcBorders>
              <w:top w:val="single" w:color="auto" w:sz="4" w:space="0"/>
              <w:left w:val="single" w:color="auto" w:sz="4" w:space="0"/>
              <w:bottom w:val="single" w:color="auto" w:sz="6" w:space="0"/>
            </w:tcBorders>
            <w:vAlign w:val="center"/>
          </w:tcPr>
          <w:p>
            <w:pPr>
              <w:spacing w:beforeLines="100"/>
              <w:jc w:val="center"/>
              <w:rPr>
                <w:rFonts w:hAnsi="宋体" w:cs="宋体"/>
                <w:b/>
              </w:rPr>
            </w:pPr>
            <w:r>
              <w:rPr>
                <w:rFonts w:hint="eastAsia" w:hAnsi="宋体" w:cs="宋体"/>
                <w:szCs w:val="24"/>
              </w:rPr>
              <w:t>……</w:t>
            </w:r>
          </w:p>
        </w:tc>
        <w:tc>
          <w:tcPr>
            <w:tcW w:w="79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7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58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szCs w:val="24"/>
              </w:rPr>
            </w:pPr>
            <w:r>
              <w:rPr>
                <w:rFonts w:hint="eastAsia" w:hAnsi="宋体" w:cs="宋体"/>
                <w:szCs w:val="24"/>
              </w:rPr>
              <w:t>磋商总报价</w:t>
            </w:r>
          </w:p>
        </w:tc>
        <w:tc>
          <w:tcPr>
            <w:tcW w:w="7488" w:type="dxa"/>
            <w:gridSpan w:val="6"/>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szCs w:val="24"/>
              </w:rPr>
            </w:pPr>
            <w:r>
              <w:rPr>
                <w:rFonts w:hint="eastAsia" w:hAnsi="宋体" w:cs="宋体"/>
                <w:szCs w:val="24"/>
              </w:rPr>
              <w:t>大写：                           小写：</w:t>
            </w:r>
          </w:p>
        </w:tc>
      </w:tr>
      <w:tr>
        <w:tblPrEx>
          <w:tblCellMar>
            <w:top w:w="0" w:type="dxa"/>
            <w:left w:w="28" w:type="dxa"/>
            <w:bottom w:w="0" w:type="dxa"/>
            <w:right w:w="28" w:type="dxa"/>
          </w:tblCellMar>
        </w:tblPrEx>
        <w:trPr>
          <w:trHeight w:val="531" w:hRule="atLeast"/>
          <w:jc w:val="center"/>
        </w:trPr>
        <w:tc>
          <w:tcPr>
            <w:tcW w:w="1411" w:type="dxa"/>
            <w:gridSpan w:val="2"/>
            <w:tcBorders>
              <w:top w:val="single" w:color="auto" w:sz="4" w:space="0"/>
              <w:left w:val="single" w:color="auto" w:sz="6" w:space="0"/>
              <w:bottom w:val="single" w:color="auto" w:sz="6" w:space="0"/>
            </w:tcBorders>
            <w:vAlign w:val="center"/>
          </w:tcPr>
          <w:p>
            <w:pPr>
              <w:jc w:val="center"/>
              <w:rPr>
                <w:rFonts w:hAnsi="宋体" w:cs="宋体"/>
                <w:szCs w:val="24"/>
              </w:rPr>
            </w:pPr>
            <w:r>
              <w:rPr>
                <w:rFonts w:hint="eastAsia" w:hAnsi="宋体" w:cs="宋体"/>
                <w:szCs w:val="24"/>
              </w:rPr>
              <w:t>备注</w:t>
            </w:r>
          </w:p>
        </w:tc>
        <w:tc>
          <w:tcPr>
            <w:tcW w:w="7488" w:type="dxa"/>
            <w:gridSpan w:val="6"/>
            <w:tcBorders>
              <w:top w:val="single" w:color="auto" w:sz="4" w:space="0"/>
              <w:left w:val="single" w:color="auto" w:sz="6" w:space="0"/>
              <w:bottom w:val="single" w:color="auto" w:sz="6" w:space="0"/>
              <w:right w:val="single" w:color="auto" w:sz="6" w:space="0"/>
            </w:tcBorders>
            <w:vAlign w:val="center"/>
          </w:tcPr>
          <w:p>
            <w:pPr>
              <w:spacing w:beforeLines="50"/>
              <w:rPr>
                <w:rFonts w:hAnsi="宋体" w:cs="宋体"/>
                <w:szCs w:val="24"/>
              </w:rPr>
            </w:pPr>
            <w:r>
              <w:rPr>
                <w:rFonts w:hint="eastAsia" w:hAnsi="宋体" w:cs="宋体"/>
                <w:szCs w:val="24"/>
              </w:rPr>
              <w:t>所有报价以“元”为单位，保留两位小数。</w:t>
            </w:r>
          </w:p>
        </w:tc>
      </w:tr>
    </w:tbl>
    <w:p>
      <w:pPr>
        <w:rPr>
          <w:rFonts w:hAnsi="宋体" w:cs="宋体"/>
        </w:rPr>
      </w:pPr>
    </w:p>
    <w:p>
      <w:pPr>
        <w:rPr>
          <w:rFonts w:hAnsi="宋体" w:cs="宋体"/>
        </w:rPr>
      </w:pPr>
    </w:p>
    <w:p>
      <w:pPr>
        <w:spacing w:line="280" w:lineRule="exact"/>
        <w:ind w:right="617" w:rightChars="257" w:firstLine="2400" w:firstLineChars="1000"/>
        <w:jc w:val="left"/>
        <w:rPr>
          <w:rFonts w:hAnsi="宋体" w:cs="宋体"/>
          <w:u w:val="single"/>
        </w:rPr>
      </w:pPr>
      <w:r>
        <w:rPr>
          <w:rFonts w:hint="eastAsia" w:hAnsi="宋体" w:cs="宋体"/>
        </w:rPr>
        <w:t>供应商名称：（加盖单位公章）</w:t>
      </w:r>
    </w:p>
    <w:p>
      <w:pPr>
        <w:spacing w:line="280" w:lineRule="exact"/>
        <w:ind w:right="617" w:rightChars="257"/>
        <w:jc w:val="left"/>
        <w:rPr>
          <w:rFonts w:hAnsi="宋体" w:cs="宋体"/>
        </w:rPr>
      </w:pPr>
    </w:p>
    <w:p>
      <w:pPr>
        <w:spacing w:line="500" w:lineRule="exact"/>
        <w:ind w:firstLine="2480" w:firstLineChars="1000"/>
        <w:jc w:val="left"/>
        <w:rPr>
          <w:rFonts w:hAnsi="宋体" w:cs="宋体"/>
          <w:spacing w:val="4"/>
        </w:rPr>
      </w:pPr>
      <w:r>
        <w:rPr>
          <w:rFonts w:hint="eastAsia" w:hAnsi="宋体" w:cs="宋体"/>
          <w:spacing w:val="4"/>
        </w:rPr>
        <w:t>法定代表人或被授权人：（签字或盖章）</w:t>
      </w:r>
    </w:p>
    <w:p>
      <w:pPr>
        <w:spacing w:line="280" w:lineRule="exact"/>
        <w:ind w:right="617" w:rightChars="257"/>
        <w:jc w:val="left"/>
        <w:rPr>
          <w:rFonts w:hAnsi="宋体" w:cs="宋体"/>
        </w:rPr>
      </w:pPr>
    </w:p>
    <w:bookmarkEnd w:id="93"/>
    <w:p>
      <w:pPr>
        <w:spacing w:line="560" w:lineRule="exact"/>
        <w:rPr>
          <w:rFonts w:hAnsi="宋体" w:cs="宋体"/>
        </w:rPr>
      </w:pPr>
      <w:bookmarkStart w:id="100" w:name="_Toc344572163"/>
    </w:p>
    <w:p>
      <w:pPr>
        <w:spacing w:line="560" w:lineRule="exact"/>
        <w:rPr>
          <w:rFonts w:hAnsi="宋体" w:cs="宋体"/>
        </w:rPr>
      </w:pPr>
      <w:r>
        <w:rPr>
          <w:rFonts w:hint="eastAsia" w:hAnsi="宋体" w:cs="宋体"/>
        </w:rPr>
        <w:t>注：1.如果按单价计算的结果与总价不一致，以单价为准修正总价。</w:t>
      </w:r>
    </w:p>
    <w:p>
      <w:pPr>
        <w:spacing w:line="560" w:lineRule="exact"/>
        <w:ind w:firstLine="480" w:firstLineChars="200"/>
        <w:rPr>
          <w:rFonts w:hAnsi="宋体" w:cs="宋体"/>
        </w:rPr>
      </w:pPr>
      <w:r>
        <w:rPr>
          <w:rFonts w:hint="eastAsia" w:hAnsi="宋体" w:cs="宋体"/>
        </w:rPr>
        <w:t>2.如果不提供详细分项报价将视为没有实质性响应磋商文件。</w:t>
      </w:r>
    </w:p>
    <w:p>
      <w:pPr>
        <w:spacing w:line="560" w:lineRule="exact"/>
        <w:ind w:firstLine="480" w:firstLineChars="200"/>
        <w:rPr>
          <w:rFonts w:hAnsi="宋体" w:cs="宋体"/>
        </w:rPr>
      </w:pPr>
      <w:r>
        <w:rPr>
          <w:rFonts w:hint="eastAsia" w:hAnsi="宋体" w:cs="宋体"/>
          <w:bCs/>
        </w:rPr>
        <w:t>3.供应商可适当调整该表格式，但不得减少信息内容。</w:t>
      </w:r>
    </w:p>
    <w:p>
      <w:pPr>
        <w:spacing w:line="440" w:lineRule="exact"/>
        <w:jc w:val="center"/>
        <w:outlineLvl w:val="2"/>
        <w:rPr>
          <w:rFonts w:hAnsi="宋体" w:cs="宋体"/>
          <w:b/>
          <w:sz w:val="30"/>
          <w:szCs w:val="30"/>
        </w:rPr>
      </w:pPr>
      <w:r>
        <w:rPr>
          <w:rFonts w:hint="eastAsia" w:hAnsi="宋体" w:cs="宋体"/>
          <w:sz w:val="32"/>
          <w:szCs w:val="32"/>
        </w:rPr>
        <w:br w:type="page"/>
      </w:r>
      <w:r>
        <w:rPr>
          <w:rFonts w:hint="eastAsia" w:hAnsi="宋体" w:cs="宋体"/>
          <w:b/>
          <w:bCs/>
          <w:sz w:val="32"/>
          <w:szCs w:val="32"/>
        </w:rPr>
        <w:t>2.3</w:t>
      </w:r>
      <w:r>
        <w:rPr>
          <w:rFonts w:hint="eastAsia" w:hAnsi="宋体" w:cs="宋体"/>
          <w:b/>
          <w:sz w:val="30"/>
          <w:szCs w:val="30"/>
        </w:rPr>
        <w:t>关键零部件及备品备件清单</w:t>
      </w:r>
    </w:p>
    <w:p>
      <w:pPr>
        <w:jc w:val="left"/>
        <w:rPr>
          <w:rFonts w:hAnsi="宋体" w:cs="宋体"/>
          <w:bCs/>
          <w:szCs w:val="24"/>
        </w:rPr>
      </w:pPr>
      <w:r>
        <w:rPr>
          <w:rFonts w:hint="eastAsia" w:hAnsi="宋体" w:cs="宋体"/>
          <w:bCs/>
          <w:szCs w:val="24"/>
        </w:rPr>
        <w:t>项目名称：</w:t>
      </w:r>
    </w:p>
    <w:p>
      <w:pPr>
        <w:jc w:val="left"/>
        <w:rPr>
          <w:rFonts w:hAnsi="宋体" w:cs="宋体"/>
          <w:bCs/>
          <w:szCs w:val="24"/>
        </w:rPr>
      </w:pPr>
      <w:r>
        <w:rPr>
          <w:rFonts w:hint="eastAsia" w:hAnsi="宋体" w:cs="宋体"/>
          <w:bCs/>
          <w:szCs w:val="24"/>
        </w:rPr>
        <w:t xml:space="preserve">项目编号：                          </w:t>
      </w:r>
    </w:p>
    <w:tbl>
      <w:tblPr>
        <w:tblStyle w:val="44"/>
        <w:tblW w:w="90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4"/>
        <w:gridCol w:w="1746"/>
        <w:gridCol w:w="1820"/>
        <w:gridCol w:w="1542"/>
        <w:gridCol w:w="1517"/>
        <w:gridCol w:w="1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2" w:hRule="atLeast"/>
        </w:trPr>
        <w:tc>
          <w:tcPr>
            <w:tcW w:w="954" w:type="dxa"/>
            <w:vAlign w:val="center"/>
          </w:tcPr>
          <w:p>
            <w:pPr>
              <w:spacing w:line="440" w:lineRule="exact"/>
              <w:jc w:val="center"/>
              <w:rPr>
                <w:rFonts w:hAnsi="宋体" w:cs="宋体"/>
                <w:szCs w:val="24"/>
              </w:rPr>
            </w:pPr>
            <w:r>
              <w:rPr>
                <w:rFonts w:hint="eastAsia" w:hAnsi="宋体" w:cs="宋体"/>
                <w:szCs w:val="24"/>
              </w:rPr>
              <w:t>序号</w:t>
            </w:r>
          </w:p>
        </w:tc>
        <w:tc>
          <w:tcPr>
            <w:tcW w:w="1746" w:type="dxa"/>
            <w:vAlign w:val="center"/>
          </w:tcPr>
          <w:p>
            <w:pPr>
              <w:spacing w:line="440" w:lineRule="exact"/>
              <w:jc w:val="center"/>
              <w:rPr>
                <w:rFonts w:hAnsi="宋体" w:cs="宋体"/>
                <w:szCs w:val="24"/>
              </w:rPr>
            </w:pPr>
            <w:r>
              <w:rPr>
                <w:rFonts w:hint="eastAsia" w:hAnsi="宋体" w:cs="宋体"/>
                <w:szCs w:val="24"/>
              </w:rPr>
              <w:t>名称</w:t>
            </w:r>
          </w:p>
        </w:tc>
        <w:tc>
          <w:tcPr>
            <w:tcW w:w="1820" w:type="dxa"/>
            <w:vAlign w:val="center"/>
          </w:tcPr>
          <w:p>
            <w:pPr>
              <w:spacing w:line="440" w:lineRule="exact"/>
              <w:jc w:val="center"/>
              <w:rPr>
                <w:rFonts w:hAnsi="宋体" w:cs="宋体"/>
                <w:szCs w:val="24"/>
              </w:rPr>
            </w:pPr>
            <w:r>
              <w:rPr>
                <w:rFonts w:hint="eastAsia" w:hAnsi="宋体" w:cs="宋体"/>
                <w:szCs w:val="24"/>
              </w:rPr>
              <w:t>型号、规格</w:t>
            </w:r>
          </w:p>
        </w:tc>
        <w:tc>
          <w:tcPr>
            <w:tcW w:w="1542" w:type="dxa"/>
            <w:vAlign w:val="center"/>
          </w:tcPr>
          <w:p>
            <w:pPr>
              <w:spacing w:line="440" w:lineRule="exact"/>
              <w:jc w:val="center"/>
              <w:rPr>
                <w:rFonts w:hAnsi="宋体" w:cs="宋体"/>
                <w:szCs w:val="24"/>
              </w:rPr>
            </w:pPr>
            <w:r>
              <w:rPr>
                <w:rFonts w:hint="eastAsia" w:hAnsi="宋体" w:cs="宋体"/>
                <w:szCs w:val="24"/>
              </w:rPr>
              <w:t>国别、制造商</w:t>
            </w:r>
          </w:p>
        </w:tc>
        <w:tc>
          <w:tcPr>
            <w:tcW w:w="1517" w:type="dxa"/>
            <w:vAlign w:val="center"/>
          </w:tcPr>
          <w:p>
            <w:pPr>
              <w:spacing w:line="440" w:lineRule="exact"/>
              <w:jc w:val="center"/>
              <w:rPr>
                <w:rStyle w:val="55"/>
                <w:rFonts w:hAnsi="宋体" w:cs="宋体"/>
              </w:rPr>
            </w:pPr>
            <w:r>
              <w:rPr>
                <w:rFonts w:hint="eastAsia" w:hAnsi="宋体" w:cs="宋体"/>
                <w:szCs w:val="24"/>
              </w:rPr>
              <w:t>单价</w:t>
            </w:r>
          </w:p>
          <w:p>
            <w:pPr>
              <w:spacing w:line="440" w:lineRule="exact"/>
              <w:jc w:val="center"/>
              <w:rPr>
                <w:rStyle w:val="55"/>
                <w:rFonts w:hAnsi="宋体" w:cs="宋体"/>
              </w:rPr>
            </w:pPr>
            <w:r>
              <w:rPr>
                <w:rFonts w:hint="eastAsia" w:hAnsi="宋体" w:cs="宋体"/>
                <w:szCs w:val="24"/>
              </w:rPr>
              <w:t>（元）</w:t>
            </w:r>
          </w:p>
        </w:tc>
        <w:tc>
          <w:tcPr>
            <w:tcW w:w="1499" w:type="dxa"/>
            <w:vAlign w:val="center"/>
          </w:tcPr>
          <w:p>
            <w:pPr>
              <w:spacing w:line="440" w:lineRule="exact"/>
              <w:jc w:val="center"/>
              <w:rPr>
                <w:rFonts w:hAnsi="宋体" w:cs="宋体"/>
                <w:szCs w:val="24"/>
              </w:rPr>
            </w:pPr>
            <w:r>
              <w:rPr>
                <w:rFonts w:hint="eastAsia" w:hAnsi="宋体" w:cs="宋体"/>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2" w:hRule="atLeast"/>
        </w:trPr>
        <w:tc>
          <w:tcPr>
            <w:tcW w:w="954" w:type="dxa"/>
            <w:vAlign w:val="center"/>
          </w:tcPr>
          <w:p>
            <w:pPr>
              <w:spacing w:line="440" w:lineRule="exact"/>
              <w:jc w:val="center"/>
              <w:rPr>
                <w:rFonts w:hAnsi="宋体" w:cs="宋体"/>
                <w:szCs w:val="24"/>
              </w:rPr>
            </w:pPr>
            <w:r>
              <w:rPr>
                <w:rFonts w:hint="eastAsia" w:hAnsi="宋体" w:cs="宋体"/>
                <w:szCs w:val="24"/>
              </w:rPr>
              <w:t>1</w:t>
            </w:r>
          </w:p>
        </w:tc>
        <w:tc>
          <w:tcPr>
            <w:tcW w:w="1746" w:type="dxa"/>
            <w:vAlign w:val="center"/>
          </w:tcPr>
          <w:p>
            <w:pPr>
              <w:spacing w:line="440" w:lineRule="exact"/>
              <w:jc w:val="center"/>
              <w:rPr>
                <w:rFonts w:hAnsi="宋体" w:cs="宋体"/>
                <w:szCs w:val="24"/>
              </w:rPr>
            </w:pPr>
            <w:r>
              <w:rPr>
                <w:rFonts w:hint="eastAsia" w:hAnsi="宋体" w:cs="宋体"/>
                <w:szCs w:val="24"/>
              </w:rPr>
              <w:t>…</w:t>
            </w: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2" w:hRule="atLeast"/>
        </w:trPr>
        <w:tc>
          <w:tcPr>
            <w:tcW w:w="954" w:type="dxa"/>
            <w:vAlign w:val="center"/>
          </w:tcPr>
          <w:p>
            <w:pPr>
              <w:spacing w:line="440" w:lineRule="exact"/>
              <w:jc w:val="center"/>
              <w:rPr>
                <w:rFonts w:hAnsi="宋体" w:cs="宋体"/>
                <w:szCs w:val="24"/>
              </w:rPr>
            </w:pPr>
            <w:r>
              <w:rPr>
                <w:rFonts w:hint="eastAsia" w:hAnsi="宋体" w:cs="宋体"/>
                <w:szCs w:val="24"/>
              </w:rPr>
              <w:t>2</w:t>
            </w:r>
          </w:p>
        </w:tc>
        <w:tc>
          <w:tcPr>
            <w:tcW w:w="1746" w:type="dxa"/>
            <w:vAlign w:val="center"/>
          </w:tcPr>
          <w:p>
            <w:pPr>
              <w:spacing w:line="440" w:lineRule="exact"/>
              <w:jc w:val="center"/>
              <w:rPr>
                <w:rFonts w:hAnsi="宋体" w:cs="宋体"/>
                <w:szCs w:val="24"/>
              </w:rPr>
            </w:pPr>
            <w:r>
              <w:rPr>
                <w:rFonts w:hint="eastAsia" w:hAnsi="宋体" w:cs="宋体"/>
                <w:szCs w:val="24"/>
              </w:rPr>
              <w:t>…</w:t>
            </w: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r>
              <w:rPr>
                <w:rFonts w:hint="eastAsia" w:hAnsi="宋体" w:cs="宋体"/>
                <w:szCs w:val="24"/>
              </w:rPr>
              <w:t>…</w:t>
            </w: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954" w:type="dxa"/>
            <w:vAlign w:val="center"/>
          </w:tcPr>
          <w:p>
            <w:pPr>
              <w:spacing w:line="440" w:lineRule="exact"/>
              <w:jc w:val="center"/>
              <w:rPr>
                <w:rFonts w:hAnsi="宋体" w:cs="宋体"/>
                <w:szCs w:val="24"/>
              </w:rPr>
            </w:pPr>
          </w:p>
        </w:tc>
        <w:tc>
          <w:tcPr>
            <w:tcW w:w="1746" w:type="dxa"/>
            <w:vAlign w:val="center"/>
          </w:tcPr>
          <w:p>
            <w:pPr>
              <w:spacing w:line="440" w:lineRule="exact"/>
              <w:jc w:val="center"/>
              <w:rPr>
                <w:rFonts w:hAnsi="宋体" w:cs="宋体"/>
                <w:szCs w:val="24"/>
              </w:rPr>
            </w:pPr>
          </w:p>
        </w:tc>
        <w:tc>
          <w:tcPr>
            <w:tcW w:w="1820" w:type="dxa"/>
            <w:vAlign w:val="center"/>
          </w:tcPr>
          <w:p>
            <w:pPr>
              <w:spacing w:line="440" w:lineRule="exact"/>
              <w:jc w:val="center"/>
              <w:rPr>
                <w:rFonts w:hAnsi="宋体" w:cs="宋体"/>
                <w:szCs w:val="24"/>
              </w:rPr>
            </w:pPr>
          </w:p>
        </w:tc>
        <w:tc>
          <w:tcPr>
            <w:tcW w:w="1542" w:type="dxa"/>
          </w:tcPr>
          <w:p>
            <w:pPr>
              <w:spacing w:line="440" w:lineRule="exact"/>
              <w:jc w:val="center"/>
              <w:rPr>
                <w:rFonts w:hAnsi="宋体" w:cs="宋体"/>
                <w:szCs w:val="24"/>
              </w:rPr>
            </w:pPr>
          </w:p>
        </w:tc>
        <w:tc>
          <w:tcPr>
            <w:tcW w:w="1517" w:type="dxa"/>
            <w:vAlign w:val="center"/>
          </w:tcPr>
          <w:p>
            <w:pPr>
              <w:spacing w:line="440" w:lineRule="exact"/>
              <w:jc w:val="center"/>
              <w:rPr>
                <w:rFonts w:hAnsi="宋体" w:cs="宋体"/>
                <w:szCs w:val="24"/>
              </w:rPr>
            </w:pPr>
          </w:p>
        </w:tc>
        <w:tc>
          <w:tcPr>
            <w:tcW w:w="1499" w:type="dxa"/>
            <w:vAlign w:val="center"/>
          </w:tcPr>
          <w:p>
            <w:pPr>
              <w:spacing w:line="440" w:lineRule="exact"/>
              <w:jc w:val="center"/>
              <w:rPr>
                <w:rFonts w:hAnsi="宋体" w:cs="宋体"/>
                <w:szCs w:val="24"/>
              </w:rPr>
            </w:pPr>
          </w:p>
        </w:tc>
      </w:tr>
    </w:tbl>
    <w:p>
      <w:pPr>
        <w:spacing w:line="520" w:lineRule="exact"/>
        <w:rPr>
          <w:rFonts w:hAnsi="宋体" w:cs="宋体"/>
          <w:szCs w:val="24"/>
        </w:rPr>
      </w:pPr>
    </w:p>
    <w:p>
      <w:pPr>
        <w:spacing w:line="280" w:lineRule="exact"/>
        <w:ind w:right="617" w:rightChars="257" w:firstLine="2400" w:firstLineChars="1000"/>
        <w:jc w:val="left"/>
        <w:rPr>
          <w:rFonts w:hAnsi="宋体" w:cs="宋体"/>
          <w:u w:val="single"/>
        </w:rPr>
      </w:pPr>
      <w:r>
        <w:rPr>
          <w:rFonts w:hint="eastAsia" w:hAnsi="宋体" w:cs="宋体"/>
        </w:rPr>
        <w:t>供应商名称：（加盖单位公章）</w:t>
      </w:r>
    </w:p>
    <w:p>
      <w:pPr>
        <w:spacing w:line="280" w:lineRule="exact"/>
        <w:ind w:right="617" w:rightChars="257"/>
        <w:jc w:val="left"/>
        <w:rPr>
          <w:rFonts w:hAnsi="宋体" w:cs="宋体"/>
        </w:rPr>
      </w:pPr>
    </w:p>
    <w:p>
      <w:pPr>
        <w:spacing w:line="500" w:lineRule="exact"/>
        <w:ind w:firstLine="2480" w:firstLineChars="1000"/>
        <w:jc w:val="left"/>
        <w:rPr>
          <w:rFonts w:hAnsi="宋体" w:cs="宋体"/>
          <w:spacing w:val="4"/>
        </w:rPr>
      </w:pPr>
      <w:r>
        <w:rPr>
          <w:rFonts w:hint="eastAsia" w:hAnsi="宋体" w:cs="宋体"/>
          <w:spacing w:val="4"/>
        </w:rPr>
        <w:t>法定代表人或被授权人：（签字或盖章）</w:t>
      </w:r>
    </w:p>
    <w:p>
      <w:pPr>
        <w:spacing w:line="280" w:lineRule="exact"/>
        <w:ind w:right="617" w:rightChars="257"/>
        <w:jc w:val="left"/>
        <w:rPr>
          <w:rFonts w:hAnsi="宋体" w:cs="宋体"/>
        </w:rPr>
      </w:pPr>
    </w:p>
    <w:p>
      <w:pPr>
        <w:spacing w:line="440" w:lineRule="exact"/>
        <w:rPr>
          <w:rFonts w:hAnsi="宋体" w:cs="宋体"/>
        </w:rPr>
      </w:pPr>
    </w:p>
    <w:p>
      <w:pPr>
        <w:spacing w:line="312" w:lineRule="auto"/>
        <w:rPr>
          <w:rFonts w:hAnsi="宋体" w:cs="宋体"/>
        </w:rPr>
      </w:pPr>
      <w:r>
        <w:rPr>
          <w:rFonts w:hint="eastAsia" w:hAnsi="宋体" w:cs="宋体"/>
        </w:rPr>
        <w:t>注：1、如果不提供详细关键零部件及备品备件清单将视为没有实质性响应磋商文件。</w:t>
      </w:r>
    </w:p>
    <w:p>
      <w:pPr>
        <w:spacing w:line="312" w:lineRule="auto"/>
        <w:rPr>
          <w:rFonts w:hAnsi="宋体" w:cs="宋体"/>
        </w:rPr>
      </w:pPr>
      <w:r>
        <w:rPr>
          <w:rFonts w:hint="eastAsia" w:hAnsi="宋体" w:cs="宋体"/>
        </w:rPr>
        <w:t xml:space="preserve">   2、供应商可适当调整该表格式，但不得减少信息内容。</w:t>
      </w:r>
    </w:p>
    <w:p>
      <w:pPr>
        <w:spacing w:line="440" w:lineRule="exact"/>
        <w:jc w:val="center"/>
        <w:rPr>
          <w:rFonts w:hAnsi="宋体" w:cs="宋体"/>
          <w:sz w:val="32"/>
          <w:szCs w:val="32"/>
        </w:rPr>
      </w:pPr>
      <w:r>
        <w:rPr>
          <w:rFonts w:hint="eastAsia" w:hAnsi="宋体" w:cs="宋体"/>
          <w:sz w:val="32"/>
          <w:szCs w:val="32"/>
        </w:rPr>
        <w:br w:type="page"/>
      </w:r>
    </w:p>
    <w:p>
      <w:pPr>
        <w:pStyle w:val="4"/>
        <w:keepLines w:val="0"/>
        <w:widowControl w:val="0"/>
        <w:spacing w:beforeLines="100"/>
        <w:jc w:val="center"/>
        <w:rPr>
          <w:rFonts w:ascii="宋体" w:hAnsi="宋体" w:cs="宋体"/>
          <w:sz w:val="32"/>
        </w:rPr>
      </w:pPr>
      <w:bookmarkStart w:id="101" w:name="_Toc27818"/>
      <w:bookmarkStart w:id="102" w:name="_Toc26249"/>
      <w:r>
        <w:rPr>
          <w:rFonts w:hint="eastAsia" w:ascii="宋体" w:hAnsi="宋体" w:cs="宋体"/>
          <w:sz w:val="32"/>
        </w:rPr>
        <w:t>三、磋商方案说明书</w:t>
      </w:r>
      <w:bookmarkEnd w:id="101"/>
      <w:bookmarkEnd w:id="102"/>
    </w:p>
    <w:p>
      <w:pPr>
        <w:spacing w:line="480" w:lineRule="auto"/>
        <w:ind w:firstLine="480" w:firstLineChars="200"/>
        <w:rPr>
          <w:rFonts w:hAnsi="宋体" w:cs="宋体"/>
          <w:szCs w:val="24"/>
        </w:rPr>
      </w:pPr>
      <w:r>
        <w:rPr>
          <w:rFonts w:hint="eastAsia" w:hAnsi="宋体" w:cs="宋体"/>
          <w:szCs w:val="24"/>
        </w:rPr>
        <w:t>供应商按磋商文件的要求，依据评审方法附件2“</w:t>
      </w:r>
      <w:r>
        <w:rPr>
          <w:rFonts w:hint="eastAsia" w:hAnsi="宋体" w:cs="宋体"/>
          <w:b/>
          <w:spacing w:val="4"/>
          <w:szCs w:val="24"/>
        </w:rPr>
        <w:t>评标因素及权重分值表</w:t>
      </w:r>
      <w:r>
        <w:rPr>
          <w:rFonts w:hint="eastAsia" w:hAnsi="宋体" w:cs="宋体"/>
          <w:szCs w:val="24"/>
        </w:rPr>
        <w:t>”相关内容编写，格式自拟，评标因素及权重分值表要求内容，在磋商方案说明书中必须逐项对应编制。</w:t>
      </w:r>
    </w:p>
    <w:p>
      <w:pPr>
        <w:spacing w:after="120"/>
        <w:rPr>
          <w:rFonts w:hAnsi="宋体" w:cs="宋体"/>
          <w:b/>
          <w:szCs w:val="24"/>
        </w:rPr>
      </w:pPr>
    </w:p>
    <w:p>
      <w:pPr>
        <w:spacing w:after="120"/>
        <w:rPr>
          <w:rFonts w:hAnsi="宋体" w:cs="宋体"/>
          <w:b/>
          <w:szCs w:val="24"/>
        </w:rPr>
      </w:pPr>
    </w:p>
    <w:p>
      <w:pPr>
        <w:spacing w:after="120"/>
        <w:rPr>
          <w:rFonts w:hAnsi="宋体" w:cs="宋体"/>
          <w:b/>
          <w:szCs w:val="24"/>
        </w:rPr>
      </w:pPr>
    </w:p>
    <w:p>
      <w:pPr>
        <w:spacing w:after="120"/>
        <w:outlineLvl w:val="2"/>
        <w:rPr>
          <w:rFonts w:hAnsi="宋体" w:cs="宋体"/>
          <w:b/>
          <w:szCs w:val="24"/>
        </w:rPr>
      </w:pPr>
      <w:r>
        <w:rPr>
          <w:rFonts w:hint="eastAsia" w:hAnsi="宋体" w:cs="宋体"/>
          <w:b/>
          <w:szCs w:val="24"/>
        </w:rPr>
        <w:br w:type="page"/>
      </w:r>
      <w:r>
        <w:rPr>
          <w:rFonts w:hint="eastAsia" w:hAnsi="宋体" w:cs="宋体"/>
          <w:b/>
          <w:szCs w:val="24"/>
        </w:rPr>
        <w:t>附表1：</w:t>
      </w:r>
    </w:p>
    <w:p>
      <w:pPr>
        <w:spacing w:after="120"/>
        <w:jc w:val="center"/>
        <w:outlineLvl w:val="2"/>
        <w:rPr>
          <w:rFonts w:hAnsi="宋体" w:cs="宋体"/>
          <w:b/>
          <w:sz w:val="32"/>
          <w:szCs w:val="32"/>
        </w:rPr>
      </w:pPr>
      <w:r>
        <w:rPr>
          <w:rFonts w:hint="eastAsia" w:hAnsi="宋体" w:cs="宋体"/>
          <w:b/>
          <w:sz w:val="32"/>
          <w:szCs w:val="32"/>
        </w:rPr>
        <w:t>技术规格响应表</w:t>
      </w:r>
    </w:p>
    <w:p>
      <w:pPr>
        <w:spacing w:after="120"/>
        <w:ind w:firstLine="120" w:firstLineChars="50"/>
        <w:rPr>
          <w:rFonts w:hAnsi="宋体" w:cs="宋体"/>
          <w:szCs w:val="24"/>
        </w:rPr>
      </w:pPr>
      <w:r>
        <w:rPr>
          <w:rFonts w:hint="eastAsia" w:hAnsi="宋体" w:cs="宋体"/>
          <w:szCs w:val="24"/>
        </w:rPr>
        <w:t>项目名称：</w:t>
      </w:r>
    </w:p>
    <w:p>
      <w:pPr>
        <w:spacing w:after="120"/>
        <w:ind w:firstLine="120" w:firstLineChars="50"/>
        <w:rPr>
          <w:rFonts w:hAnsi="宋体" w:cs="宋体"/>
          <w:szCs w:val="24"/>
        </w:rPr>
      </w:pPr>
      <w:r>
        <w:rPr>
          <w:rFonts w:hint="eastAsia" w:hAnsi="宋体" w:cs="宋体"/>
          <w:szCs w:val="24"/>
        </w:rPr>
        <w:t>项目编号：</w:t>
      </w:r>
    </w:p>
    <w:tbl>
      <w:tblPr>
        <w:tblStyle w:val="44"/>
        <w:tblW w:w="88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737"/>
        <w:gridCol w:w="1276"/>
        <w:gridCol w:w="2268"/>
        <w:gridCol w:w="2781"/>
        <w:gridCol w:w="1188"/>
        <w:gridCol w:w="5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3" w:hRule="atLeast"/>
          <w:jc w:val="center"/>
        </w:trPr>
        <w:tc>
          <w:tcPr>
            <w:tcW w:w="737" w:type="dxa"/>
            <w:tcBorders>
              <w:bottom w:val="nil"/>
            </w:tcBorders>
          </w:tcPr>
          <w:p>
            <w:pPr>
              <w:spacing w:beforeLines="50"/>
              <w:jc w:val="center"/>
              <w:rPr>
                <w:rFonts w:hAnsi="宋体" w:cs="宋体"/>
                <w:szCs w:val="24"/>
              </w:rPr>
            </w:pPr>
            <w:r>
              <w:rPr>
                <w:rFonts w:hint="eastAsia" w:hAnsi="宋体" w:cs="宋体"/>
                <w:szCs w:val="24"/>
              </w:rPr>
              <w:t>序号</w:t>
            </w:r>
          </w:p>
        </w:tc>
        <w:tc>
          <w:tcPr>
            <w:tcW w:w="1276" w:type="dxa"/>
            <w:tcBorders>
              <w:bottom w:val="nil"/>
            </w:tcBorders>
          </w:tcPr>
          <w:p>
            <w:pPr>
              <w:spacing w:beforeLines="50"/>
              <w:jc w:val="center"/>
              <w:rPr>
                <w:rFonts w:hAnsi="宋体" w:cs="宋体"/>
                <w:szCs w:val="24"/>
              </w:rPr>
            </w:pPr>
            <w:r>
              <w:rPr>
                <w:rFonts w:hint="eastAsia" w:hAnsi="宋体" w:cs="宋体"/>
                <w:szCs w:val="24"/>
              </w:rPr>
              <w:t>产品名称</w:t>
            </w:r>
          </w:p>
        </w:tc>
        <w:tc>
          <w:tcPr>
            <w:tcW w:w="2268" w:type="dxa"/>
            <w:tcBorders>
              <w:bottom w:val="nil"/>
            </w:tcBorders>
          </w:tcPr>
          <w:p>
            <w:pPr>
              <w:spacing w:beforeLines="50"/>
              <w:jc w:val="center"/>
              <w:rPr>
                <w:rFonts w:hAnsi="宋体" w:cs="宋体"/>
                <w:szCs w:val="24"/>
              </w:rPr>
            </w:pPr>
            <w:r>
              <w:rPr>
                <w:rFonts w:hint="eastAsia" w:hAnsi="宋体" w:cs="宋体"/>
                <w:szCs w:val="24"/>
              </w:rPr>
              <w:t xml:space="preserve">竞争性磋商规格 </w:t>
            </w:r>
          </w:p>
        </w:tc>
        <w:tc>
          <w:tcPr>
            <w:tcW w:w="2781" w:type="dxa"/>
            <w:tcBorders>
              <w:bottom w:val="nil"/>
            </w:tcBorders>
          </w:tcPr>
          <w:p>
            <w:pPr>
              <w:spacing w:beforeLines="50"/>
              <w:jc w:val="center"/>
              <w:rPr>
                <w:rFonts w:hAnsi="宋体" w:cs="宋体"/>
                <w:szCs w:val="24"/>
              </w:rPr>
            </w:pPr>
            <w:r>
              <w:rPr>
                <w:rFonts w:hint="eastAsia" w:hAnsi="宋体" w:cs="宋体"/>
                <w:szCs w:val="24"/>
              </w:rPr>
              <w:t xml:space="preserve">竞争性磋商响应规格 </w:t>
            </w:r>
          </w:p>
        </w:tc>
        <w:tc>
          <w:tcPr>
            <w:tcW w:w="1188" w:type="dxa"/>
            <w:tcBorders>
              <w:bottom w:val="nil"/>
            </w:tcBorders>
          </w:tcPr>
          <w:p>
            <w:pPr>
              <w:spacing w:beforeLines="50"/>
              <w:jc w:val="center"/>
              <w:rPr>
                <w:rFonts w:hAnsi="宋体" w:cs="宋体"/>
                <w:szCs w:val="24"/>
              </w:rPr>
            </w:pPr>
            <w:r>
              <w:rPr>
                <w:rFonts w:hint="eastAsia" w:hAnsi="宋体" w:cs="宋体"/>
                <w:szCs w:val="24"/>
              </w:rPr>
              <w:t>偏离说明</w:t>
            </w:r>
          </w:p>
        </w:tc>
        <w:tc>
          <w:tcPr>
            <w:tcW w:w="594" w:type="dxa"/>
            <w:tcBorders>
              <w:bottom w:val="nil"/>
            </w:tcBorders>
          </w:tcPr>
          <w:p>
            <w:pPr>
              <w:spacing w:beforeLines="50"/>
              <w:jc w:val="center"/>
              <w:rPr>
                <w:rFonts w:hAnsi="宋体" w:cs="宋体"/>
                <w:szCs w:val="24"/>
              </w:rPr>
            </w:pPr>
            <w:r>
              <w:rPr>
                <w:rFonts w:hint="eastAsia" w:hAnsi="宋体" w:cs="宋体"/>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89" w:hRule="atLeast"/>
          <w:jc w:val="center"/>
        </w:trPr>
        <w:tc>
          <w:tcPr>
            <w:tcW w:w="737" w:type="dxa"/>
            <w:tcBorders>
              <w:top w:val="single" w:color="auto" w:sz="12" w:space="0"/>
              <w:left w:val="single" w:color="auto" w:sz="12" w:space="0"/>
              <w:bottom w:val="nil"/>
              <w:right w:val="single" w:color="auto" w:sz="6" w:space="0"/>
            </w:tcBorders>
          </w:tcPr>
          <w:p>
            <w:pPr>
              <w:rPr>
                <w:rFonts w:hAnsi="宋体" w:cs="宋体"/>
                <w:szCs w:val="24"/>
              </w:rPr>
            </w:pPr>
          </w:p>
        </w:tc>
        <w:tc>
          <w:tcPr>
            <w:tcW w:w="1276" w:type="dxa"/>
            <w:tcBorders>
              <w:top w:val="single" w:color="auto" w:sz="12" w:space="0"/>
              <w:left w:val="single" w:color="auto" w:sz="6" w:space="0"/>
              <w:bottom w:val="nil"/>
              <w:right w:val="single" w:color="auto" w:sz="6" w:space="0"/>
            </w:tcBorders>
          </w:tcPr>
          <w:p>
            <w:pPr>
              <w:rPr>
                <w:rFonts w:hAnsi="宋体" w:cs="宋体"/>
                <w:szCs w:val="24"/>
              </w:rPr>
            </w:pPr>
          </w:p>
        </w:tc>
        <w:tc>
          <w:tcPr>
            <w:tcW w:w="2268" w:type="dxa"/>
            <w:tcBorders>
              <w:top w:val="single" w:color="auto" w:sz="12" w:space="0"/>
              <w:left w:val="single" w:color="auto" w:sz="6" w:space="0"/>
              <w:bottom w:val="nil"/>
              <w:right w:val="single" w:color="auto" w:sz="6" w:space="0"/>
            </w:tcBorders>
          </w:tcPr>
          <w:p>
            <w:pPr>
              <w:rPr>
                <w:rFonts w:hAnsi="宋体" w:cs="宋体"/>
                <w:szCs w:val="24"/>
              </w:rPr>
            </w:pPr>
          </w:p>
        </w:tc>
        <w:tc>
          <w:tcPr>
            <w:tcW w:w="2781" w:type="dxa"/>
            <w:tcBorders>
              <w:top w:val="single" w:color="auto" w:sz="12" w:space="0"/>
              <w:left w:val="single" w:color="auto" w:sz="6" w:space="0"/>
              <w:bottom w:val="nil"/>
              <w:right w:val="single" w:color="auto" w:sz="6" w:space="0"/>
            </w:tcBorders>
          </w:tcPr>
          <w:p>
            <w:pPr>
              <w:rPr>
                <w:rFonts w:hAnsi="宋体" w:cs="宋体"/>
                <w:szCs w:val="24"/>
              </w:rPr>
            </w:pPr>
          </w:p>
        </w:tc>
        <w:tc>
          <w:tcPr>
            <w:tcW w:w="1188" w:type="dxa"/>
            <w:tcBorders>
              <w:top w:val="single" w:color="auto" w:sz="12" w:space="0"/>
              <w:left w:val="single" w:color="auto" w:sz="6" w:space="0"/>
              <w:bottom w:val="nil"/>
              <w:right w:val="single" w:color="auto" w:sz="6" w:space="0"/>
            </w:tcBorders>
          </w:tcPr>
          <w:p>
            <w:pPr>
              <w:rPr>
                <w:rFonts w:hAnsi="宋体" w:cs="宋体"/>
                <w:szCs w:val="24"/>
              </w:rPr>
            </w:pPr>
          </w:p>
        </w:tc>
        <w:tc>
          <w:tcPr>
            <w:tcW w:w="594" w:type="dxa"/>
            <w:tcBorders>
              <w:top w:val="single" w:color="auto" w:sz="12" w:space="0"/>
              <w:left w:val="single" w:color="auto" w:sz="6" w:space="0"/>
              <w:bottom w:val="nil"/>
              <w:right w:val="single" w:color="auto" w:sz="12" w:space="0"/>
            </w:tcBorders>
          </w:tcPr>
          <w:p>
            <w:pP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64" w:hRule="atLeast"/>
          <w:jc w:val="center"/>
        </w:trPr>
        <w:tc>
          <w:tcPr>
            <w:tcW w:w="737" w:type="dxa"/>
            <w:tcBorders>
              <w:top w:val="nil"/>
            </w:tcBorders>
          </w:tcPr>
          <w:p>
            <w:pPr>
              <w:rPr>
                <w:rFonts w:hAnsi="宋体" w:cs="宋体"/>
                <w:szCs w:val="24"/>
              </w:rPr>
            </w:pPr>
          </w:p>
        </w:tc>
        <w:tc>
          <w:tcPr>
            <w:tcW w:w="1276" w:type="dxa"/>
            <w:tcBorders>
              <w:top w:val="nil"/>
            </w:tcBorders>
          </w:tcPr>
          <w:p>
            <w:pPr>
              <w:rPr>
                <w:rFonts w:hAnsi="宋体" w:cs="宋体"/>
                <w:szCs w:val="24"/>
              </w:rPr>
            </w:pPr>
          </w:p>
        </w:tc>
        <w:tc>
          <w:tcPr>
            <w:tcW w:w="2268" w:type="dxa"/>
            <w:tcBorders>
              <w:top w:val="nil"/>
            </w:tcBorders>
          </w:tcPr>
          <w:p>
            <w:pPr>
              <w:rPr>
                <w:rFonts w:hAnsi="宋体" w:cs="宋体"/>
                <w:szCs w:val="24"/>
              </w:rPr>
            </w:pPr>
          </w:p>
        </w:tc>
        <w:tc>
          <w:tcPr>
            <w:tcW w:w="2781" w:type="dxa"/>
            <w:tcBorders>
              <w:top w:val="nil"/>
            </w:tcBorders>
          </w:tcPr>
          <w:p>
            <w:pPr>
              <w:rPr>
                <w:rFonts w:hAnsi="宋体" w:cs="宋体"/>
                <w:szCs w:val="24"/>
              </w:rPr>
            </w:pPr>
          </w:p>
        </w:tc>
        <w:tc>
          <w:tcPr>
            <w:tcW w:w="1188" w:type="dxa"/>
            <w:tcBorders>
              <w:top w:val="nil"/>
            </w:tcBorders>
          </w:tcPr>
          <w:p>
            <w:pPr>
              <w:rPr>
                <w:rFonts w:hAnsi="宋体" w:cs="宋体"/>
                <w:szCs w:val="24"/>
              </w:rPr>
            </w:pPr>
          </w:p>
        </w:tc>
        <w:tc>
          <w:tcPr>
            <w:tcW w:w="594" w:type="dxa"/>
            <w:tcBorders>
              <w:top w:val="nil"/>
            </w:tcBorders>
          </w:tcPr>
          <w:p>
            <w:pPr>
              <w:rPr>
                <w:rFonts w:hAnsi="宋体" w:cs="宋体"/>
                <w:szCs w:val="24"/>
              </w:rPr>
            </w:pPr>
          </w:p>
        </w:tc>
      </w:tr>
    </w:tbl>
    <w:p>
      <w:pPr>
        <w:rPr>
          <w:rFonts w:hAnsi="宋体" w:cs="宋体"/>
        </w:rPr>
      </w:pPr>
    </w:p>
    <w:p>
      <w:pPr>
        <w:rPr>
          <w:rFonts w:hAnsi="宋体" w:cs="宋体"/>
          <w:szCs w:val="24"/>
        </w:rPr>
      </w:pPr>
    </w:p>
    <w:p>
      <w:pPr>
        <w:spacing w:line="280" w:lineRule="exact"/>
        <w:ind w:right="617" w:rightChars="257" w:firstLine="2400" w:firstLineChars="1000"/>
        <w:jc w:val="left"/>
        <w:rPr>
          <w:rFonts w:hAnsi="宋体" w:cs="宋体"/>
          <w:u w:val="single"/>
        </w:rPr>
      </w:pPr>
      <w:r>
        <w:rPr>
          <w:rFonts w:hint="eastAsia" w:hAnsi="宋体" w:cs="宋体"/>
        </w:rPr>
        <w:t>供应商名称：（加盖单位公章）</w:t>
      </w:r>
    </w:p>
    <w:p>
      <w:pPr>
        <w:spacing w:line="280" w:lineRule="exact"/>
        <w:ind w:right="617" w:rightChars="257"/>
        <w:jc w:val="left"/>
        <w:rPr>
          <w:rFonts w:hAnsi="宋体" w:cs="宋体"/>
        </w:rPr>
      </w:pPr>
    </w:p>
    <w:p>
      <w:pPr>
        <w:spacing w:line="500" w:lineRule="exact"/>
        <w:ind w:firstLine="2480" w:firstLineChars="1000"/>
        <w:jc w:val="left"/>
        <w:rPr>
          <w:rFonts w:hAnsi="宋体" w:cs="宋体"/>
          <w:spacing w:val="4"/>
        </w:rPr>
      </w:pPr>
      <w:r>
        <w:rPr>
          <w:rFonts w:hint="eastAsia" w:hAnsi="宋体" w:cs="宋体"/>
          <w:spacing w:val="4"/>
        </w:rPr>
        <w:t>法定代表人或被授权人：（签字或盖章）</w:t>
      </w:r>
    </w:p>
    <w:p>
      <w:pPr>
        <w:spacing w:line="280" w:lineRule="exact"/>
        <w:ind w:right="617" w:rightChars="257"/>
        <w:jc w:val="left"/>
        <w:rPr>
          <w:rFonts w:hAnsi="宋体" w:cs="宋体"/>
        </w:rPr>
      </w:pPr>
    </w:p>
    <w:p>
      <w:pPr>
        <w:spacing w:line="280" w:lineRule="exact"/>
        <w:ind w:firstLine="120" w:firstLineChars="50"/>
        <w:rPr>
          <w:rFonts w:hAnsi="宋体" w:cs="宋体"/>
          <w:szCs w:val="24"/>
        </w:rPr>
      </w:pPr>
    </w:p>
    <w:p>
      <w:pPr>
        <w:rPr>
          <w:rFonts w:hAnsi="宋体" w:cs="宋体"/>
          <w:szCs w:val="24"/>
        </w:rPr>
      </w:pPr>
    </w:p>
    <w:p>
      <w:pPr>
        <w:rPr>
          <w:rFonts w:hAnsi="宋体" w:cs="宋体"/>
          <w:szCs w:val="24"/>
        </w:rPr>
      </w:pPr>
    </w:p>
    <w:p>
      <w:pPr>
        <w:spacing w:line="360" w:lineRule="auto"/>
        <w:ind w:left="1560" w:hanging="1560" w:hangingChars="650"/>
        <w:rPr>
          <w:rFonts w:hAnsi="宋体" w:cs="宋体"/>
          <w:szCs w:val="24"/>
        </w:rPr>
      </w:pPr>
      <w:r>
        <w:rPr>
          <w:rFonts w:hint="eastAsia" w:hAnsi="宋体" w:cs="宋体"/>
          <w:szCs w:val="24"/>
        </w:rPr>
        <w:t>注:  1.  指竞争性磋商文件中的技术规格(参数),供应商应按照竞争性磋商文件中的内容逐条抄写。</w:t>
      </w:r>
    </w:p>
    <w:p>
      <w:pPr>
        <w:spacing w:line="360" w:lineRule="auto"/>
        <w:ind w:left="1560" w:hanging="1560" w:hangingChars="650"/>
        <w:rPr>
          <w:rFonts w:hAnsi="宋体" w:cs="宋体"/>
          <w:szCs w:val="24"/>
        </w:rPr>
      </w:pPr>
      <w:r>
        <w:rPr>
          <w:rFonts w:hint="eastAsia" w:hAnsi="宋体" w:cs="宋体"/>
          <w:szCs w:val="24"/>
        </w:rPr>
        <w:t xml:space="preserve">     2.  指供应商拟提供的磋商产品的功能及技术规格(参数),供应商应逐条如实填写并提供相应的支持文件。 </w:t>
      </w:r>
    </w:p>
    <w:p>
      <w:pPr>
        <w:ind w:firstLine="720" w:firstLineChars="300"/>
        <w:rPr>
          <w:rFonts w:hAnsi="宋体" w:cs="宋体"/>
          <w:szCs w:val="24"/>
        </w:rPr>
      </w:pPr>
      <w:r>
        <w:rPr>
          <w:rFonts w:hint="eastAsia" w:hAnsi="宋体" w:cs="宋体"/>
        </w:rPr>
        <w:t>3.     偏离说明填写：优于、满足或低于。</w:t>
      </w:r>
    </w:p>
    <w:p>
      <w:pPr>
        <w:spacing w:line="440" w:lineRule="exact"/>
        <w:jc w:val="center"/>
        <w:outlineLvl w:val="1"/>
        <w:rPr>
          <w:rFonts w:hAnsi="宋体" w:cs="宋体"/>
          <w:sz w:val="32"/>
          <w:szCs w:val="32"/>
        </w:rPr>
      </w:pPr>
      <w:r>
        <w:rPr>
          <w:rFonts w:hint="eastAsia" w:hAnsi="宋体" w:cs="宋体"/>
          <w:b/>
          <w:sz w:val="36"/>
        </w:rPr>
        <w:br w:type="page"/>
      </w:r>
      <w:bookmarkStart w:id="103" w:name="_Toc21284"/>
      <w:bookmarkStart w:id="104" w:name="_Toc23455"/>
      <w:bookmarkStart w:id="105" w:name="_Toc2621"/>
      <w:bookmarkStart w:id="106" w:name="_Toc1379"/>
      <w:bookmarkStart w:id="107" w:name="_Toc9218"/>
      <w:bookmarkStart w:id="108" w:name="_Toc25976"/>
      <w:bookmarkStart w:id="109" w:name="_Toc16294"/>
      <w:r>
        <w:rPr>
          <w:rFonts w:hint="eastAsia" w:hAnsi="宋体" w:cs="宋体"/>
          <w:b/>
          <w:bCs/>
          <w:sz w:val="32"/>
          <w:szCs w:val="32"/>
        </w:rPr>
        <w:t>四、</w:t>
      </w:r>
      <w:bookmarkEnd w:id="103"/>
      <w:bookmarkEnd w:id="104"/>
      <w:bookmarkEnd w:id="105"/>
      <w:bookmarkEnd w:id="106"/>
      <w:bookmarkEnd w:id="107"/>
      <w:r>
        <w:rPr>
          <w:rFonts w:hint="eastAsia" w:hAnsi="宋体" w:cs="宋体"/>
          <w:b/>
          <w:bCs/>
          <w:sz w:val="32"/>
          <w:szCs w:val="32"/>
        </w:rPr>
        <w:t>商务条款偏离表</w:t>
      </w:r>
      <w:bookmarkEnd w:id="108"/>
      <w:bookmarkEnd w:id="109"/>
    </w:p>
    <w:p>
      <w:pPr>
        <w:pStyle w:val="40"/>
        <w:widowControl w:val="0"/>
        <w:spacing w:before="0" w:beforeAutospacing="0" w:after="0" w:afterAutospacing="0"/>
        <w:jc w:val="both"/>
        <w:rPr>
          <w:rFonts w:cs="宋体"/>
        </w:rPr>
      </w:pPr>
    </w:p>
    <w:p>
      <w:pPr>
        <w:spacing w:after="120"/>
        <w:ind w:firstLine="120" w:firstLineChars="50"/>
        <w:rPr>
          <w:rFonts w:hAnsi="宋体" w:cs="宋体"/>
          <w:szCs w:val="24"/>
        </w:rPr>
      </w:pPr>
      <w:r>
        <w:rPr>
          <w:rFonts w:hint="eastAsia" w:hAnsi="宋体" w:cs="宋体"/>
          <w:szCs w:val="24"/>
        </w:rPr>
        <w:t>项目名称：</w:t>
      </w:r>
    </w:p>
    <w:p>
      <w:pPr>
        <w:spacing w:after="120"/>
        <w:ind w:firstLine="120" w:firstLineChars="50"/>
        <w:rPr>
          <w:rFonts w:cs="宋体"/>
        </w:rPr>
      </w:pPr>
      <w:r>
        <w:rPr>
          <w:rFonts w:hint="eastAsia" w:hAnsi="宋体" w:cs="宋体"/>
          <w:szCs w:val="24"/>
        </w:rPr>
        <w:t>项目编号：</w:t>
      </w:r>
    </w:p>
    <w:tbl>
      <w:tblPr>
        <w:tblStyle w:val="44"/>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序号</w:t>
            </w: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磋商文件条目号</w:t>
            </w: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磋商文件的商务条款</w:t>
            </w: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磋商响应文件的商务条款</w:t>
            </w: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偏离</w:t>
            </w: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jc w:val="center"/>
              <w:rPr>
                <w:rFonts w:cs="宋体"/>
              </w:rPr>
            </w:pPr>
            <w:r>
              <w:rPr>
                <w:rFonts w:hint="eastAsia" w:cs="宋体"/>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40"/>
              <w:widowControl w:val="0"/>
              <w:spacing w:before="0" w:beforeAutospacing="0" w:after="0" w:afterAutospacing="0"/>
              <w:ind w:firstLine="480" w:firstLineChars="200"/>
              <w:jc w:val="center"/>
              <w:rPr>
                <w:rFonts w:cs="宋体"/>
              </w:rPr>
            </w:pPr>
          </w:p>
        </w:tc>
      </w:tr>
    </w:tbl>
    <w:p>
      <w:pPr>
        <w:pStyle w:val="40"/>
        <w:widowControl w:val="0"/>
        <w:spacing w:before="0" w:beforeAutospacing="0" w:after="0" w:afterAutospacing="0" w:line="560" w:lineRule="exact"/>
        <w:rPr>
          <w:rFonts w:cs="宋体"/>
        </w:rPr>
      </w:pPr>
      <w:r>
        <w:rPr>
          <w:rFonts w:hint="eastAsia" w:cs="宋体"/>
        </w:rPr>
        <w:t>说明：</w:t>
      </w:r>
    </w:p>
    <w:p>
      <w:pPr>
        <w:pStyle w:val="40"/>
        <w:widowControl w:val="0"/>
        <w:spacing w:before="0" w:beforeAutospacing="0" w:after="0" w:afterAutospacing="0" w:line="560" w:lineRule="exact"/>
        <w:ind w:firstLine="480" w:firstLineChars="200"/>
        <w:jc w:val="both"/>
        <w:rPr>
          <w:rFonts w:cs="宋体"/>
        </w:rPr>
      </w:pPr>
      <w:r>
        <w:rPr>
          <w:rFonts w:hint="eastAsia" w:cs="宋体"/>
        </w:rPr>
        <w:t>1.本表只填写磋商响应文件中与磋商文件有偏离（包括正偏离和负偏离）的内容，磋商响应文件中商务响应与磋商文件要求完全一致的，不用在此表中列出，但必须提交空白表。</w:t>
      </w:r>
    </w:p>
    <w:p>
      <w:pPr>
        <w:pStyle w:val="40"/>
        <w:widowControl w:val="0"/>
        <w:spacing w:before="0" w:beforeAutospacing="0" w:after="0" w:afterAutospacing="0" w:line="560" w:lineRule="exact"/>
        <w:ind w:firstLine="480" w:firstLineChars="200"/>
        <w:rPr>
          <w:rFonts w:cs="宋体"/>
        </w:rPr>
      </w:pPr>
      <w:r>
        <w:rPr>
          <w:rFonts w:hint="eastAsia" w:cs="宋体"/>
        </w:rPr>
        <w:t>2.供应商必须据实填写，不得虚假响应，否则将取消其磋商或成交资格，并按有关规定进处罚。</w:t>
      </w:r>
    </w:p>
    <w:p>
      <w:pPr>
        <w:spacing w:line="280" w:lineRule="exact"/>
        <w:ind w:right="617" w:rightChars="257" w:firstLine="2400" w:firstLineChars="1000"/>
        <w:jc w:val="left"/>
        <w:rPr>
          <w:rFonts w:hAnsi="宋体" w:cs="宋体"/>
        </w:rPr>
      </w:pPr>
    </w:p>
    <w:p>
      <w:pPr>
        <w:spacing w:line="280" w:lineRule="exact"/>
        <w:ind w:right="617" w:rightChars="257" w:firstLine="2400" w:firstLineChars="1000"/>
        <w:jc w:val="left"/>
        <w:rPr>
          <w:rFonts w:hAnsi="宋体" w:cs="宋体"/>
          <w:u w:val="single"/>
        </w:rPr>
      </w:pPr>
      <w:r>
        <w:rPr>
          <w:rFonts w:hint="eastAsia" w:hAnsi="宋体" w:cs="宋体"/>
        </w:rPr>
        <w:t>供应商名称：（加盖单位公章）</w:t>
      </w:r>
    </w:p>
    <w:p>
      <w:pPr>
        <w:spacing w:line="280" w:lineRule="exact"/>
        <w:ind w:right="617" w:rightChars="257"/>
        <w:jc w:val="left"/>
        <w:rPr>
          <w:rFonts w:hAnsi="宋体" w:cs="宋体"/>
        </w:rPr>
      </w:pPr>
    </w:p>
    <w:p>
      <w:pPr>
        <w:spacing w:line="500" w:lineRule="exact"/>
        <w:ind w:firstLine="2480" w:firstLineChars="1000"/>
        <w:jc w:val="left"/>
        <w:rPr>
          <w:rFonts w:hAnsi="宋体" w:cs="宋体"/>
          <w:spacing w:val="4"/>
        </w:rPr>
      </w:pPr>
      <w:r>
        <w:rPr>
          <w:rFonts w:hint="eastAsia" w:hAnsi="宋体" w:cs="宋体"/>
          <w:spacing w:val="4"/>
        </w:rPr>
        <w:t>法定代表人或被授权人：（签字或盖章）</w:t>
      </w:r>
    </w:p>
    <w:p>
      <w:pPr>
        <w:spacing w:line="280" w:lineRule="exact"/>
        <w:ind w:right="617" w:rightChars="257"/>
        <w:jc w:val="left"/>
        <w:rPr>
          <w:rFonts w:hAnsi="宋体" w:cs="宋体"/>
        </w:rPr>
      </w:pPr>
    </w:p>
    <w:p>
      <w:pPr>
        <w:spacing w:line="560" w:lineRule="exact"/>
        <w:ind w:firstLine="496" w:firstLineChars="200"/>
        <w:jc w:val="left"/>
        <w:rPr>
          <w:rFonts w:hAnsi="宋体" w:cs="宋体"/>
          <w:spacing w:val="4"/>
        </w:rPr>
      </w:pPr>
    </w:p>
    <w:bookmarkEnd w:id="100"/>
    <w:p>
      <w:pPr>
        <w:spacing w:line="360" w:lineRule="auto"/>
        <w:jc w:val="center"/>
        <w:outlineLvl w:val="1"/>
        <w:rPr>
          <w:rFonts w:hAnsi="宋体" w:cs="宋体"/>
          <w:b/>
          <w:bCs/>
          <w:sz w:val="30"/>
          <w:szCs w:val="30"/>
        </w:rPr>
      </w:pPr>
      <w:bookmarkStart w:id="110" w:name="_Toc19015"/>
      <w:bookmarkStart w:id="111" w:name="_Toc363474033"/>
      <w:bookmarkStart w:id="112" w:name="_Toc403077656"/>
      <w:r>
        <w:rPr>
          <w:rFonts w:hint="eastAsia" w:hAnsi="宋体" w:cs="宋体"/>
          <w:b/>
          <w:bCs/>
          <w:sz w:val="30"/>
          <w:szCs w:val="30"/>
        </w:rPr>
        <w:br w:type="page"/>
      </w:r>
      <w:bookmarkStart w:id="113" w:name="_Toc31623"/>
      <w:r>
        <w:rPr>
          <w:rFonts w:hint="eastAsia" w:hAnsi="宋体" w:cs="宋体"/>
          <w:b/>
          <w:bCs/>
          <w:sz w:val="32"/>
          <w:szCs w:val="32"/>
        </w:rPr>
        <w:t>五、供应商承诺书</w:t>
      </w:r>
    </w:p>
    <w:p>
      <w:pPr>
        <w:spacing w:line="360" w:lineRule="auto"/>
        <w:jc w:val="center"/>
        <w:outlineLvl w:val="2"/>
        <w:rPr>
          <w:rFonts w:hAnsi="宋体" w:cs="宋体"/>
          <w:b/>
          <w:bCs/>
          <w:sz w:val="30"/>
          <w:szCs w:val="30"/>
        </w:rPr>
      </w:pPr>
      <w:r>
        <w:rPr>
          <w:rFonts w:hint="eastAsia" w:hAnsi="宋体" w:cs="宋体"/>
          <w:b/>
          <w:bCs/>
          <w:sz w:val="30"/>
          <w:szCs w:val="30"/>
        </w:rPr>
        <w:t>（一）陕西省政府采购供应商拒绝政府采购领域商业贿赂承诺书</w:t>
      </w:r>
      <w:bookmarkEnd w:id="110"/>
      <w:bookmarkEnd w:id="111"/>
      <w:bookmarkEnd w:id="112"/>
      <w:bookmarkEnd w:id="113"/>
    </w:p>
    <w:p>
      <w:pPr>
        <w:spacing w:line="600" w:lineRule="exact"/>
        <w:ind w:firstLine="480" w:firstLineChars="200"/>
        <w:jc w:val="left"/>
        <w:rPr>
          <w:rFonts w:hAnsi="宋体" w:cs="宋体"/>
          <w:szCs w:val="24"/>
        </w:rPr>
      </w:pPr>
      <w:r>
        <w:rPr>
          <w:rFonts w:hint="eastAsia" w:hAnsi="宋体" w:cs="宋体"/>
          <w:szCs w:val="24"/>
        </w:rPr>
        <w:t>为响应党中央、国务院关于治理政府采购领域商业贿赂行为的号召，我公司在此庄严承诺：</w:t>
      </w:r>
    </w:p>
    <w:p>
      <w:pPr>
        <w:spacing w:line="600" w:lineRule="exact"/>
        <w:ind w:firstLine="480" w:firstLineChars="200"/>
        <w:jc w:val="left"/>
        <w:rPr>
          <w:rFonts w:hAnsi="宋体" w:cs="宋体"/>
          <w:szCs w:val="24"/>
        </w:rPr>
      </w:pPr>
      <w:r>
        <w:rPr>
          <w:rFonts w:hint="eastAsia" w:hAnsi="宋体" w:cs="宋体"/>
          <w:szCs w:val="24"/>
        </w:rPr>
        <w:t>1、在参与政府采购活动中遵纪守法、诚信经营、公平竞标。</w:t>
      </w:r>
    </w:p>
    <w:p>
      <w:pPr>
        <w:spacing w:line="600" w:lineRule="exact"/>
        <w:ind w:firstLine="480" w:firstLineChars="200"/>
        <w:jc w:val="left"/>
        <w:rPr>
          <w:rFonts w:hAnsi="宋体" w:cs="宋体"/>
          <w:szCs w:val="24"/>
        </w:rPr>
      </w:pPr>
      <w:r>
        <w:rPr>
          <w:rFonts w:hint="eastAsia" w:hAnsi="宋体" w:cs="宋体"/>
          <w:szCs w:val="24"/>
        </w:rPr>
        <w:t>2、不向政府采购人、采购代理机构和政府采购评审专家进行任何形式的商业贿赂以谋取交易机会。</w:t>
      </w:r>
    </w:p>
    <w:p>
      <w:pPr>
        <w:spacing w:line="600" w:lineRule="exact"/>
        <w:ind w:firstLine="480" w:firstLineChars="200"/>
        <w:jc w:val="left"/>
        <w:rPr>
          <w:rFonts w:hAnsi="宋体" w:cs="宋体"/>
          <w:szCs w:val="24"/>
        </w:rPr>
      </w:pPr>
      <w:r>
        <w:rPr>
          <w:rFonts w:hint="eastAsia" w:hAnsi="宋体" w:cs="宋体"/>
          <w:szCs w:val="24"/>
        </w:rPr>
        <w:t>3、不向政府采购代理机构和采购人提供虚假资质文件或采用虚假应标方式参与政府采购市场竞争并谋取成交、成交。</w:t>
      </w:r>
    </w:p>
    <w:p>
      <w:pPr>
        <w:spacing w:line="600" w:lineRule="exact"/>
        <w:ind w:firstLine="480" w:firstLineChars="200"/>
        <w:jc w:val="left"/>
        <w:rPr>
          <w:rFonts w:hAnsi="宋体" w:cs="宋体"/>
          <w:szCs w:val="24"/>
        </w:rPr>
      </w:pPr>
      <w:r>
        <w:rPr>
          <w:rFonts w:hint="eastAsia" w:hAnsi="宋体" w:cs="宋体"/>
          <w:szCs w:val="24"/>
        </w:rPr>
        <w:t>4、不采取“围标、陪标”等商业欺诈手段获得政府采购定单。</w:t>
      </w:r>
    </w:p>
    <w:p>
      <w:pPr>
        <w:spacing w:line="600" w:lineRule="exact"/>
        <w:ind w:firstLine="480" w:firstLineChars="200"/>
        <w:jc w:val="left"/>
        <w:rPr>
          <w:rFonts w:hAnsi="宋体" w:cs="宋体"/>
          <w:szCs w:val="24"/>
        </w:rPr>
      </w:pPr>
      <w:r>
        <w:rPr>
          <w:rFonts w:hint="eastAsia" w:hAnsi="宋体" w:cs="宋体"/>
          <w:szCs w:val="24"/>
        </w:rPr>
        <w:t>5、不采取不正当手段诋毁、排挤其他供应商。</w:t>
      </w:r>
    </w:p>
    <w:p>
      <w:pPr>
        <w:spacing w:line="600" w:lineRule="exact"/>
        <w:ind w:firstLine="480" w:firstLineChars="200"/>
        <w:jc w:val="left"/>
        <w:rPr>
          <w:rFonts w:hAnsi="宋体" w:cs="宋体"/>
          <w:szCs w:val="24"/>
        </w:rPr>
      </w:pPr>
      <w:r>
        <w:rPr>
          <w:rFonts w:hint="eastAsia" w:hAnsi="宋体" w:cs="宋体"/>
          <w:szCs w:val="24"/>
        </w:rPr>
        <w:t>6、不在提供商品和服务时“偷梁换柱、以次充好”损害采购人的合法权益。</w:t>
      </w:r>
    </w:p>
    <w:p>
      <w:pPr>
        <w:spacing w:line="600" w:lineRule="exact"/>
        <w:ind w:firstLine="480" w:firstLineChars="200"/>
        <w:jc w:val="left"/>
        <w:rPr>
          <w:rFonts w:hAnsi="宋体" w:cs="宋体"/>
          <w:szCs w:val="24"/>
        </w:rPr>
      </w:pPr>
      <w:r>
        <w:rPr>
          <w:rFonts w:hint="eastAsia" w:hAnsi="宋体" w:cs="宋体"/>
          <w:szCs w:val="24"/>
        </w:rPr>
        <w:t>7、不与采购人、采购代理机构政府采购评审专家或其它供应商恶意串通，进行质疑和投诉，维护政府采购市场秩序。</w:t>
      </w:r>
    </w:p>
    <w:p>
      <w:pPr>
        <w:spacing w:line="600" w:lineRule="exact"/>
        <w:ind w:firstLine="480" w:firstLineChars="200"/>
        <w:jc w:val="left"/>
        <w:rPr>
          <w:rFonts w:hAnsi="宋体" w:cs="宋体"/>
          <w:szCs w:val="24"/>
        </w:rPr>
      </w:pPr>
      <w:r>
        <w:rPr>
          <w:rFonts w:hint="eastAsia" w:hAnsi="宋体" w:cs="宋体"/>
          <w:szCs w:val="24"/>
        </w:rPr>
        <w:t>8、尊重和接受政府采购监督管理部门的监督和政府采购代理机构招标采购要求，承担因违约行为给采购人造成的损失。</w:t>
      </w:r>
    </w:p>
    <w:p>
      <w:pPr>
        <w:spacing w:line="600" w:lineRule="exact"/>
        <w:ind w:left="761" w:leftChars="267" w:hanging="120" w:hangingChars="50"/>
        <w:jc w:val="left"/>
        <w:rPr>
          <w:rFonts w:hAnsi="宋体" w:cs="宋体"/>
          <w:szCs w:val="24"/>
        </w:rPr>
      </w:pPr>
      <w:r>
        <w:rPr>
          <w:rFonts w:hint="eastAsia" w:hAnsi="宋体" w:cs="宋体"/>
          <w:szCs w:val="24"/>
        </w:rPr>
        <w:t>9、不发生其他有悖于政府采购公开、公平、公正和诚信原则的行为。</w:t>
      </w:r>
      <w:r>
        <w:rPr>
          <w:rFonts w:hint="eastAsia" w:hAnsi="宋体" w:cs="宋体"/>
          <w:szCs w:val="24"/>
        </w:rPr>
        <w:br w:type="textWrapping"/>
      </w:r>
      <w:r>
        <w:rPr>
          <w:rFonts w:hint="eastAsia" w:hAnsi="宋体" w:cs="宋体"/>
          <w:szCs w:val="24"/>
        </w:rPr>
        <w:t>承诺单位（盖章）：</w:t>
      </w:r>
    </w:p>
    <w:p>
      <w:pPr>
        <w:spacing w:line="600" w:lineRule="exact"/>
        <w:ind w:left="802" w:leftChars="334"/>
        <w:jc w:val="left"/>
        <w:rPr>
          <w:rFonts w:hAnsi="宋体" w:cs="宋体"/>
          <w:szCs w:val="24"/>
        </w:rPr>
      </w:pPr>
      <w:r>
        <w:rPr>
          <w:rFonts w:hint="eastAsia" w:hAnsi="宋体" w:cs="宋体"/>
          <w:szCs w:val="24"/>
        </w:rPr>
        <w:t>被授权人（签字）：</w:t>
      </w:r>
    </w:p>
    <w:p>
      <w:pPr>
        <w:spacing w:line="600" w:lineRule="exact"/>
        <w:ind w:left="802" w:leftChars="334"/>
        <w:jc w:val="left"/>
        <w:rPr>
          <w:rFonts w:hAnsi="宋体" w:cs="宋体"/>
          <w:szCs w:val="24"/>
        </w:rPr>
      </w:pPr>
      <w:r>
        <w:rPr>
          <w:rFonts w:hint="eastAsia" w:hAnsi="宋体" w:cs="宋体"/>
          <w:szCs w:val="24"/>
        </w:rPr>
        <w:t>地  址：                        </w:t>
      </w:r>
    </w:p>
    <w:p>
      <w:pPr>
        <w:spacing w:line="600" w:lineRule="exact"/>
        <w:ind w:left="754" w:leftChars="314"/>
        <w:jc w:val="left"/>
        <w:rPr>
          <w:rFonts w:hAnsi="宋体" w:cs="宋体"/>
          <w:szCs w:val="24"/>
        </w:rPr>
      </w:pPr>
      <w:r>
        <w:rPr>
          <w:rFonts w:hint="eastAsia" w:hAnsi="宋体" w:cs="宋体"/>
          <w:szCs w:val="24"/>
        </w:rPr>
        <w:t>邮  编：</w:t>
      </w:r>
      <w:r>
        <w:rPr>
          <w:rFonts w:hint="eastAsia" w:hAnsi="宋体" w:cs="宋体"/>
          <w:szCs w:val="24"/>
        </w:rPr>
        <w:br w:type="textWrapping"/>
      </w:r>
      <w:r>
        <w:rPr>
          <w:rFonts w:hint="eastAsia" w:hAnsi="宋体" w:cs="宋体"/>
          <w:szCs w:val="24"/>
        </w:rPr>
        <w:t>电  话：                                        年   月   日</w:t>
      </w:r>
    </w:p>
    <w:p>
      <w:pPr>
        <w:numPr>
          <w:ilvl w:val="0"/>
          <w:numId w:val="9"/>
        </w:numPr>
        <w:jc w:val="center"/>
        <w:outlineLvl w:val="2"/>
        <w:rPr>
          <w:rFonts w:hAnsi="宋体" w:cs="宋体"/>
          <w:b/>
          <w:sz w:val="28"/>
          <w:szCs w:val="28"/>
          <w:lang w:val="zh-CN"/>
        </w:rPr>
      </w:pPr>
      <w:r>
        <w:rPr>
          <w:rFonts w:hint="eastAsia" w:hAnsi="宋体" w:cs="宋体"/>
          <w:b/>
          <w:sz w:val="28"/>
          <w:szCs w:val="28"/>
          <w:lang w:val="zh-CN"/>
        </w:rPr>
        <w:t>企业关系关联承诺书</w:t>
      </w:r>
    </w:p>
    <w:p>
      <w:pPr>
        <w:pStyle w:val="18"/>
        <w:rPr>
          <w:rFonts w:ascii="宋体" w:hAnsi="宋体" w:cs="宋体"/>
        </w:rPr>
      </w:pPr>
    </w:p>
    <w:p>
      <w:pPr>
        <w:spacing w:line="500" w:lineRule="exact"/>
        <w:ind w:firstLine="480" w:firstLineChars="200"/>
        <w:rPr>
          <w:rFonts w:hAnsi="宋体" w:cs="宋体"/>
          <w:szCs w:val="24"/>
        </w:rPr>
      </w:pPr>
      <w:r>
        <w:rPr>
          <w:rFonts w:hint="eastAsia" w:hAnsi="宋体" w:cs="宋体"/>
          <w:szCs w:val="24"/>
        </w:rPr>
        <w:t>1、供应商股东及股权证明。（提供国家企业信用信息公示系统http://www.gsxt.gov.cn/index.html网页截图并加盖供应商红章）</w:t>
      </w:r>
    </w:p>
    <w:p>
      <w:pPr>
        <w:spacing w:line="500" w:lineRule="exact"/>
        <w:ind w:firstLine="480" w:firstLineChars="200"/>
        <w:rPr>
          <w:rFonts w:hAnsi="宋体" w:cs="宋体"/>
          <w:szCs w:val="24"/>
        </w:rPr>
      </w:pPr>
      <w:r>
        <w:rPr>
          <w:rFonts w:hint="eastAsia" w:hAnsi="宋体" w:cs="宋体"/>
          <w:szCs w:val="24"/>
        </w:rPr>
        <w:t>2、供应商在本项目磋商中，不存在与其它供应商负责人为同一人，有控股、管理等关联关系承诺：</w:t>
      </w:r>
    </w:p>
    <w:p>
      <w:pPr>
        <w:spacing w:line="500" w:lineRule="exact"/>
        <w:ind w:firstLine="480" w:firstLineChars="200"/>
        <w:rPr>
          <w:rFonts w:hAnsi="宋体" w:cs="宋体"/>
          <w:szCs w:val="24"/>
        </w:rPr>
      </w:pPr>
      <w:r>
        <w:rPr>
          <w:rFonts w:hint="eastAsia" w:hAnsi="宋体" w:cs="宋体"/>
          <w:szCs w:val="24"/>
        </w:rPr>
        <w:t>2.1管理关系说明：</w:t>
      </w:r>
    </w:p>
    <w:p>
      <w:pPr>
        <w:spacing w:line="500" w:lineRule="exact"/>
        <w:ind w:firstLine="480" w:firstLineChars="200"/>
        <w:rPr>
          <w:rFonts w:hAnsi="宋体" w:cs="宋体"/>
          <w:szCs w:val="24"/>
        </w:rPr>
      </w:pPr>
      <w:r>
        <w:rPr>
          <w:rFonts w:hint="eastAsia" w:hAnsi="宋体" w:cs="宋体"/>
          <w:szCs w:val="24"/>
        </w:rPr>
        <w:t>我单位管理的具有独立法人的下属单位有</w:t>
      </w:r>
      <w:r>
        <w:rPr>
          <w:rFonts w:hint="eastAsia" w:hAnsi="宋体" w:cs="宋体"/>
          <w:szCs w:val="24"/>
          <w:u w:val="single"/>
        </w:rPr>
        <w:t xml:space="preserve">：              </w:t>
      </w:r>
      <w:r>
        <w:rPr>
          <w:rFonts w:hint="eastAsia" w:hAnsi="宋体" w:cs="宋体"/>
          <w:szCs w:val="24"/>
        </w:rPr>
        <w:t>。</w:t>
      </w:r>
    </w:p>
    <w:p>
      <w:pPr>
        <w:spacing w:line="500" w:lineRule="exact"/>
        <w:ind w:firstLine="480" w:firstLineChars="200"/>
        <w:rPr>
          <w:rFonts w:hAnsi="宋体" w:cs="宋体"/>
          <w:szCs w:val="24"/>
        </w:rPr>
      </w:pPr>
      <w:r>
        <w:rPr>
          <w:rFonts w:hint="eastAsia" w:hAnsi="宋体" w:cs="宋体"/>
          <w:szCs w:val="24"/>
        </w:rPr>
        <w:t>我单位的上级管理单位有。</w:t>
      </w:r>
    </w:p>
    <w:p>
      <w:pPr>
        <w:spacing w:line="500" w:lineRule="exact"/>
        <w:ind w:firstLine="480" w:firstLineChars="200"/>
        <w:rPr>
          <w:rFonts w:hAnsi="宋体" w:cs="宋体"/>
          <w:szCs w:val="24"/>
        </w:rPr>
      </w:pPr>
      <w:r>
        <w:rPr>
          <w:rFonts w:hint="eastAsia" w:hAnsi="宋体" w:cs="宋体"/>
          <w:szCs w:val="24"/>
        </w:rPr>
        <w:t>2.2股权关系说明：</w:t>
      </w:r>
    </w:p>
    <w:p>
      <w:pPr>
        <w:spacing w:line="500" w:lineRule="exact"/>
        <w:ind w:firstLine="480" w:firstLineChars="200"/>
        <w:rPr>
          <w:rFonts w:hAnsi="宋体" w:cs="宋体"/>
          <w:szCs w:val="24"/>
        </w:rPr>
      </w:pPr>
      <w:r>
        <w:rPr>
          <w:rFonts w:hint="eastAsia" w:hAnsi="宋体" w:cs="宋体"/>
          <w:szCs w:val="24"/>
        </w:rPr>
        <w:t>我单位控股的单位有。</w:t>
      </w:r>
    </w:p>
    <w:p>
      <w:pPr>
        <w:spacing w:line="500" w:lineRule="exact"/>
        <w:ind w:firstLine="480" w:firstLineChars="200"/>
        <w:rPr>
          <w:rFonts w:hAnsi="宋体" w:cs="宋体"/>
          <w:szCs w:val="24"/>
        </w:rPr>
      </w:pPr>
      <w:r>
        <w:rPr>
          <w:rFonts w:hint="eastAsia" w:hAnsi="宋体" w:cs="宋体"/>
          <w:szCs w:val="24"/>
        </w:rPr>
        <w:t>我单位被单位控股。</w:t>
      </w:r>
    </w:p>
    <w:p>
      <w:pPr>
        <w:spacing w:line="500" w:lineRule="exact"/>
        <w:ind w:firstLine="480" w:firstLineChars="200"/>
        <w:rPr>
          <w:rFonts w:hAnsi="宋体" w:cs="宋体"/>
          <w:szCs w:val="24"/>
          <w:u w:val="single"/>
        </w:rPr>
      </w:pPr>
      <w:r>
        <w:rPr>
          <w:rFonts w:hint="eastAsia" w:hAnsi="宋体" w:cs="宋体"/>
          <w:szCs w:val="24"/>
        </w:rPr>
        <w:t>2.3、单位负责人：</w:t>
      </w:r>
    </w:p>
    <w:p>
      <w:pPr>
        <w:spacing w:line="500" w:lineRule="exact"/>
        <w:ind w:firstLine="480" w:firstLineChars="200"/>
        <w:rPr>
          <w:rFonts w:hAnsi="宋体" w:cs="宋体"/>
          <w:szCs w:val="24"/>
        </w:rPr>
      </w:pPr>
      <w:r>
        <w:rPr>
          <w:rFonts w:hint="eastAsia" w:hAnsi="宋体" w:cs="宋体"/>
          <w:szCs w:val="24"/>
        </w:rPr>
        <w:t>3、（是或否） 为采购项目提供整体设计、规范编制或者项目管理、监理、检测等服务的供应商。</w:t>
      </w:r>
    </w:p>
    <w:p>
      <w:pPr>
        <w:spacing w:line="500" w:lineRule="exact"/>
        <w:ind w:firstLine="480" w:firstLineChars="200"/>
        <w:rPr>
          <w:rFonts w:hAnsi="宋体" w:cs="宋体"/>
          <w:szCs w:val="24"/>
          <w:u w:val="single"/>
        </w:rPr>
      </w:pPr>
      <w:r>
        <w:rPr>
          <w:rFonts w:hint="eastAsia" w:hAnsi="宋体" w:cs="宋体"/>
          <w:szCs w:val="24"/>
        </w:rPr>
        <w:t>4、其他与本项目有关的利害关系说明：</w:t>
      </w:r>
    </w:p>
    <w:p>
      <w:pPr>
        <w:spacing w:line="500" w:lineRule="exact"/>
        <w:ind w:firstLine="480" w:firstLineChars="200"/>
        <w:rPr>
          <w:rFonts w:hAnsi="宋体" w:cs="宋体"/>
          <w:szCs w:val="24"/>
        </w:rPr>
      </w:pPr>
      <w:r>
        <w:rPr>
          <w:rFonts w:hint="eastAsia" w:hAnsi="宋体" w:cs="宋体"/>
          <w:szCs w:val="24"/>
        </w:rPr>
        <w:t>我单位承诺以上说明真实有效，无虚假内容或隐瞒。</w:t>
      </w:r>
    </w:p>
    <w:p>
      <w:pPr>
        <w:spacing w:line="500" w:lineRule="exact"/>
        <w:ind w:firstLine="240" w:firstLineChars="100"/>
        <w:rPr>
          <w:rFonts w:hAnsi="宋体" w:cs="宋体"/>
          <w:szCs w:val="24"/>
        </w:rPr>
      </w:pPr>
    </w:p>
    <w:p>
      <w:pPr>
        <w:pStyle w:val="18"/>
        <w:rPr>
          <w:rFonts w:ascii="宋体" w:hAnsi="宋体" w:cs="宋体"/>
        </w:rPr>
      </w:pPr>
    </w:p>
    <w:p>
      <w:pPr>
        <w:spacing w:line="500" w:lineRule="exact"/>
        <w:ind w:firstLine="2400" w:firstLineChars="1000"/>
        <w:rPr>
          <w:rFonts w:hAnsi="宋体" w:cs="宋体"/>
          <w:szCs w:val="24"/>
        </w:rPr>
      </w:pPr>
      <w:r>
        <w:rPr>
          <w:rFonts w:hint="eastAsia" w:hAnsi="宋体" w:cs="宋体"/>
          <w:szCs w:val="24"/>
        </w:rPr>
        <w:t>供应商名称</w:t>
      </w:r>
      <w:r>
        <w:rPr>
          <w:rFonts w:hint="eastAsia" w:hAnsi="宋体" w:cs="宋体"/>
          <w:szCs w:val="24"/>
          <w:u w:val="single"/>
        </w:rPr>
        <w:t xml:space="preserve">：                     </w:t>
      </w:r>
      <w:r>
        <w:rPr>
          <w:rFonts w:hint="eastAsia" w:hAnsi="宋体" w:cs="宋体"/>
          <w:szCs w:val="24"/>
        </w:rPr>
        <w:t>（盖单位公章）</w:t>
      </w:r>
    </w:p>
    <w:p>
      <w:pPr>
        <w:spacing w:line="500" w:lineRule="exact"/>
        <w:ind w:firstLine="240" w:firstLineChars="100"/>
        <w:rPr>
          <w:rFonts w:hAnsi="宋体" w:cs="宋体"/>
          <w:szCs w:val="24"/>
        </w:rPr>
      </w:pPr>
    </w:p>
    <w:p>
      <w:pPr>
        <w:spacing w:line="500" w:lineRule="exact"/>
        <w:ind w:firstLine="2400" w:firstLineChars="1000"/>
        <w:rPr>
          <w:rFonts w:hAnsi="宋体" w:cs="宋体"/>
          <w:szCs w:val="24"/>
        </w:rPr>
      </w:pPr>
      <w:r>
        <w:rPr>
          <w:rFonts w:hint="eastAsia" w:hAnsi="宋体" w:cs="宋体"/>
          <w:szCs w:val="24"/>
        </w:rPr>
        <w:t>法定代表人或被授权人</w:t>
      </w:r>
      <w:r>
        <w:rPr>
          <w:rFonts w:hint="eastAsia" w:hAnsi="宋体" w:cs="宋体"/>
          <w:szCs w:val="24"/>
          <w:u w:val="single"/>
        </w:rPr>
        <w:t xml:space="preserve">：      </w:t>
      </w:r>
      <w:r>
        <w:rPr>
          <w:rFonts w:hint="eastAsia" w:hAnsi="宋体" w:cs="宋体"/>
          <w:szCs w:val="24"/>
        </w:rPr>
        <w:t>（签字或盖章）</w:t>
      </w:r>
    </w:p>
    <w:p>
      <w:pPr>
        <w:spacing w:line="500" w:lineRule="exact"/>
        <w:ind w:firstLine="240" w:firstLineChars="100"/>
        <w:rPr>
          <w:rFonts w:hAnsi="宋体" w:cs="宋体"/>
        </w:rPr>
      </w:pPr>
    </w:p>
    <w:p>
      <w:pPr>
        <w:widowControl/>
        <w:spacing w:line="408" w:lineRule="auto"/>
        <w:ind w:left="274" w:leftChars="114"/>
        <w:jc w:val="right"/>
        <w:rPr>
          <w:rFonts w:hAnsi="宋体" w:cs="宋体"/>
        </w:rPr>
      </w:pPr>
    </w:p>
    <w:p>
      <w:pPr>
        <w:widowControl/>
        <w:spacing w:line="408" w:lineRule="auto"/>
        <w:ind w:left="274" w:leftChars="114"/>
        <w:jc w:val="right"/>
        <w:rPr>
          <w:rFonts w:hAnsi="宋体" w:cs="宋体"/>
        </w:rPr>
      </w:pPr>
      <w:r>
        <w:rPr>
          <w:rFonts w:hint="eastAsia" w:hAnsi="宋体" w:cs="宋体"/>
        </w:rPr>
        <w:t>                     年  月  日</w:t>
      </w:r>
    </w:p>
    <w:p>
      <w:pPr>
        <w:pStyle w:val="18"/>
        <w:rPr>
          <w:rFonts w:ascii="宋体" w:hAnsi="宋体" w:cs="宋体"/>
        </w:rPr>
      </w:pPr>
    </w:p>
    <w:p>
      <w:pPr>
        <w:jc w:val="center"/>
        <w:outlineLvl w:val="1"/>
        <w:rPr>
          <w:rFonts w:hAnsi="宋体" w:cs="宋体"/>
          <w:b/>
          <w:bCs/>
          <w:sz w:val="30"/>
          <w:szCs w:val="30"/>
        </w:rPr>
      </w:pPr>
      <w:bookmarkStart w:id="114" w:name="_Toc403077657"/>
      <w:bookmarkStart w:id="115" w:name="_Toc363474034"/>
      <w:bookmarkStart w:id="116" w:name="_Toc4652"/>
      <w:r>
        <w:rPr>
          <w:rFonts w:hint="eastAsia" w:hAnsi="宋体" w:cs="宋体"/>
          <w:b/>
          <w:bCs/>
          <w:sz w:val="30"/>
          <w:szCs w:val="30"/>
        </w:rPr>
        <w:br w:type="page"/>
      </w:r>
      <w:bookmarkStart w:id="117" w:name="_Toc25106"/>
      <w:r>
        <w:rPr>
          <w:rFonts w:hint="eastAsia" w:hAnsi="宋体" w:cs="宋体"/>
          <w:b/>
          <w:bCs/>
          <w:sz w:val="30"/>
          <w:szCs w:val="30"/>
        </w:rPr>
        <w:t>六、资格证明文件</w:t>
      </w:r>
      <w:bookmarkEnd w:id="114"/>
      <w:bookmarkEnd w:id="115"/>
      <w:bookmarkEnd w:id="116"/>
      <w:bookmarkEnd w:id="117"/>
    </w:p>
    <w:p>
      <w:pPr>
        <w:spacing w:line="440" w:lineRule="exact"/>
        <w:rPr>
          <w:rFonts w:hAnsi="宋体" w:cs="宋体"/>
          <w:szCs w:val="24"/>
        </w:rPr>
      </w:pPr>
      <w:r>
        <w:rPr>
          <w:rFonts w:hint="eastAsia" w:hAnsi="宋体" w:cs="宋体"/>
          <w:b/>
          <w:bCs/>
          <w:szCs w:val="24"/>
        </w:rPr>
        <w:t>（一）基本资格条件：符合《中华人民共和国政府采购法》第二十二条的规定，并提供以下资料；</w:t>
      </w:r>
    </w:p>
    <w:p>
      <w:pPr>
        <w:spacing w:line="500" w:lineRule="exact"/>
        <w:ind w:firstLine="480" w:firstLineChars="200"/>
        <w:rPr>
          <w:rFonts w:hAnsi="宋体" w:cs="宋体"/>
          <w:szCs w:val="24"/>
        </w:rPr>
      </w:pPr>
      <w:r>
        <w:rPr>
          <w:rFonts w:hint="eastAsia" w:hAnsi="宋体" w:cs="宋体"/>
          <w:szCs w:val="24"/>
        </w:rPr>
        <w:t>1、提供合格有效的法人或者其他组织的营业执照等证明文件，自然人的身份证明；</w:t>
      </w:r>
    </w:p>
    <w:p>
      <w:pPr>
        <w:spacing w:line="500" w:lineRule="exact"/>
        <w:ind w:firstLine="480" w:firstLineChars="200"/>
        <w:rPr>
          <w:rFonts w:hAnsi="宋体" w:cs="宋体"/>
          <w:szCs w:val="24"/>
        </w:rPr>
      </w:pPr>
      <w:r>
        <w:rPr>
          <w:rFonts w:hint="eastAsia" w:hAnsi="宋体" w:cs="宋体"/>
          <w:szCs w:val="24"/>
        </w:rPr>
        <w:t>供应商是法人或其他组织的应提供营业执照等证明文件，供应商是自然人的应提供有效的自然人身份证明。</w:t>
      </w:r>
    </w:p>
    <w:p>
      <w:pPr>
        <w:spacing w:line="500" w:lineRule="exact"/>
        <w:ind w:firstLine="480" w:firstLineChars="200"/>
        <w:rPr>
          <w:rFonts w:hAnsi="宋体" w:cs="宋体"/>
        </w:rPr>
      </w:pPr>
      <w:r>
        <w:rPr>
          <w:rFonts w:hint="eastAsia" w:hAnsi="宋体" w:cs="宋体"/>
          <w:szCs w:val="24"/>
        </w:rPr>
        <w:t>2、提供上一年度经审计的财务报告（成立时间至提交磋商响应文件截止时间不足一年的可提供成立后任意时段的资产负债表），或其基本存款账户开户银行出具的资信证明及基本存款账户开户许可证（基本账户信息表）；</w:t>
      </w:r>
    </w:p>
    <w:p>
      <w:pPr>
        <w:spacing w:line="500" w:lineRule="exact"/>
        <w:ind w:firstLine="480" w:firstLineChars="200"/>
        <w:rPr>
          <w:rFonts w:hAnsi="宋体" w:cs="宋体"/>
        </w:rPr>
      </w:pPr>
      <w:r>
        <w:rPr>
          <w:rFonts w:hint="eastAsia" w:hAnsi="宋体" w:cs="宋体"/>
          <w:szCs w:val="24"/>
        </w:rPr>
        <w:t>3、提供具有履行合同所必需的设备和专业技术能力的承诺；（格式自拟）</w:t>
      </w:r>
    </w:p>
    <w:p>
      <w:pPr>
        <w:spacing w:line="500" w:lineRule="exact"/>
        <w:ind w:firstLine="480" w:firstLineChars="200"/>
        <w:rPr>
          <w:rFonts w:hAnsi="宋体" w:cs="宋体"/>
          <w:szCs w:val="24"/>
        </w:rPr>
      </w:pPr>
      <w:r>
        <w:rPr>
          <w:rFonts w:hint="eastAsia" w:hAnsi="宋体" w:cs="宋体"/>
          <w:szCs w:val="24"/>
        </w:rPr>
        <w:t>4、提供磋商截止日前一年内已缴纳的至少一个月的纳税证明或完税证明，依法免税的单位应提供相关证明材料；</w:t>
      </w:r>
    </w:p>
    <w:p>
      <w:pPr>
        <w:spacing w:line="500" w:lineRule="exact"/>
        <w:ind w:firstLine="480" w:firstLineChars="200"/>
        <w:rPr>
          <w:rFonts w:hAnsi="宋体" w:cs="宋体"/>
          <w:b/>
          <w:bCs/>
          <w:szCs w:val="24"/>
        </w:rPr>
      </w:pPr>
      <w:r>
        <w:rPr>
          <w:rFonts w:hint="eastAsia" w:hAnsi="宋体" w:cs="宋体"/>
          <w:szCs w:val="24"/>
        </w:rPr>
        <w:t>5、提供磋商截止日前一年内已缴存的至少一个月的社会保障资金缴存单据或社保机构开具的社会保险参保缴费情况证明，依法不需要缴纳社会保障资金的单位应提供相关证明材料；</w:t>
      </w:r>
    </w:p>
    <w:p>
      <w:pPr>
        <w:spacing w:line="500" w:lineRule="exact"/>
        <w:ind w:firstLine="480" w:firstLineChars="200"/>
        <w:rPr>
          <w:rFonts w:hAnsi="宋体" w:cs="宋体"/>
          <w:szCs w:val="24"/>
        </w:rPr>
      </w:pPr>
      <w:r>
        <w:rPr>
          <w:rFonts w:hint="eastAsia" w:hAnsi="宋体" w:cs="宋体"/>
          <w:szCs w:val="24"/>
        </w:rPr>
        <w:t>6、参加政府采购活动前3年内，在经营活动中没有重大违法记录的书面声明；</w:t>
      </w:r>
    </w:p>
    <w:p>
      <w:pPr>
        <w:pStyle w:val="18"/>
        <w:spacing w:line="600" w:lineRule="exact"/>
        <w:rPr>
          <w:rFonts w:ascii="宋体" w:hAnsi="宋体" w:cs="宋体"/>
          <w:b/>
          <w:bCs/>
          <w:kern w:val="0"/>
          <w:sz w:val="24"/>
          <w:szCs w:val="24"/>
        </w:rPr>
      </w:pPr>
      <w:r>
        <w:rPr>
          <w:rFonts w:hint="eastAsia" w:ascii="宋体" w:hAnsi="宋体" w:cs="宋体"/>
          <w:b/>
          <w:bCs/>
          <w:kern w:val="0"/>
          <w:sz w:val="24"/>
          <w:szCs w:val="24"/>
        </w:rPr>
        <w:t>（二）特定资格条件：</w:t>
      </w:r>
    </w:p>
    <w:p>
      <w:pPr>
        <w:spacing w:line="440" w:lineRule="exact"/>
        <w:ind w:firstLine="480" w:firstLineChars="200"/>
        <w:rPr>
          <w:rFonts w:hAnsi="宋体" w:cs="宋体"/>
          <w:b/>
          <w:bCs/>
          <w:szCs w:val="24"/>
        </w:rPr>
      </w:pPr>
      <w:r>
        <w:rPr>
          <w:rFonts w:hint="eastAsia" w:hAnsi="宋体" w:cs="宋体"/>
          <w:szCs w:val="24"/>
        </w:rPr>
        <w:t>1、法定代表人授权书及被授权人身份证（法定代表人直接参加磋商，须提供法定代表人身份证明及身份证原件）</w:t>
      </w: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rPr>
          <w:rFonts w:ascii="宋体" w:hAnsi="宋体" w:cs="宋体"/>
          <w:b/>
          <w:bCs/>
          <w:sz w:val="24"/>
          <w:szCs w:val="24"/>
        </w:rPr>
      </w:pPr>
    </w:p>
    <w:p>
      <w:pPr>
        <w:pStyle w:val="18"/>
        <w:jc w:val="center"/>
        <w:outlineLvl w:val="2"/>
        <w:rPr>
          <w:rFonts w:ascii="宋体" w:hAnsi="宋体" w:cs="宋体"/>
          <w:b/>
          <w:bCs/>
          <w:sz w:val="32"/>
          <w:szCs w:val="32"/>
        </w:rPr>
      </w:pPr>
      <w:r>
        <w:rPr>
          <w:rFonts w:hint="eastAsia" w:ascii="宋体" w:hAnsi="宋体" w:cs="宋体"/>
          <w:b/>
          <w:bCs/>
          <w:sz w:val="32"/>
          <w:szCs w:val="32"/>
        </w:rPr>
        <w:t>（1）法定代表人身份证明/法定代表人授权书</w:t>
      </w:r>
    </w:p>
    <w:p>
      <w:pPr>
        <w:pStyle w:val="18"/>
        <w:jc w:val="center"/>
        <w:rPr>
          <w:rFonts w:ascii="宋体" w:hAnsi="宋体" w:cs="宋体"/>
          <w:b/>
          <w:bCs/>
          <w:sz w:val="32"/>
          <w:szCs w:val="32"/>
        </w:rPr>
      </w:pPr>
      <w:r>
        <w:rPr>
          <w:rFonts w:hint="eastAsia" w:ascii="宋体" w:hAnsi="宋体" w:cs="宋体"/>
          <w:b/>
          <w:bCs/>
          <w:sz w:val="32"/>
          <w:szCs w:val="32"/>
        </w:rPr>
        <w:t>法定代表人身份证明</w:t>
      </w:r>
    </w:p>
    <w:p>
      <w:pPr>
        <w:autoSpaceDE w:val="0"/>
        <w:autoSpaceDN w:val="0"/>
        <w:adjustRightInd w:val="0"/>
        <w:snapToGrid w:val="0"/>
        <w:spacing w:beforeLines="50" w:line="440" w:lineRule="exact"/>
        <w:jc w:val="left"/>
        <w:rPr>
          <w:rFonts w:hAnsi="宋体" w:cs="宋体"/>
        </w:rPr>
      </w:pPr>
      <w:r>
        <w:rPr>
          <w:rFonts w:hint="eastAsia" w:hAnsi="宋体" w:cs="宋体"/>
        </w:rPr>
        <w:t>供应商名称：</w:t>
      </w:r>
    </w:p>
    <w:p>
      <w:pPr>
        <w:autoSpaceDE w:val="0"/>
        <w:autoSpaceDN w:val="0"/>
        <w:adjustRightInd w:val="0"/>
        <w:snapToGrid w:val="0"/>
        <w:spacing w:beforeLines="50" w:line="440" w:lineRule="exact"/>
        <w:jc w:val="left"/>
        <w:rPr>
          <w:rFonts w:hAnsi="宋体" w:cs="宋体"/>
        </w:rPr>
      </w:pPr>
      <w:r>
        <w:rPr>
          <w:rFonts w:hint="eastAsia" w:hAnsi="宋体" w:cs="宋体"/>
        </w:rPr>
        <w:t>统一社会信用代码：</w:t>
      </w:r>
    </w:p>
    <w:p>
      <w:pPr>
        <w:autoSpaceDE w:val="0"/>
        <w:autoSpaceDN w:val="0"/>
        <w:adjustRightInd w:val="0"/>
        <w:snapToGrid w:val="0"/>
        <w:spacing w:beforeLines="50" w:line="440" w:lineRule="exact"/>
        <w:jc w:val="left"/>
        <w:rPr>
          <w:rFonts w:hAnsi="宋体" w:cs="宋体"/>
        </w:rPr>
      </w:pPr>
      <w:r>
        <w:rPr>
          <w:rFonts w:hint="eastAsia" w:hAnsi="宋体" w:cs="宋体"/>
        </w:rPr>
        <w:t>注册地址：</w:t>
      </w:r>
    </w:p>
    <w:p>
      <w:pPr>
        <w:autoSpaceDE w:val="0"/>
        <w:autoSpaceDN w:val="0"/>
        <w:adjustRightInd w:val="0"/>
        <w:snapToGrid w:val="0"/>
        <w:spacing w:beforeLines="50" w:line="440" w:lineRule="exact"/>
        <w:jc w:val="left"/>
        <w:rPr>
          <w:rFonts w:hAnsi="宋体" w:cs="宋体"/>
        </w:rPr>
      </w:pPr>
      <w:r>
        <w:rPr>
          <w:rFonts w:hint="eastAsia" w:hAnsi="宋体" w:cs="宋体"/>
        </w:rPr>
        <w:t>成立时间：年 月日</w:t>
      </w:r>
    </w:p>
    <w:p>
      <w:pPr>
        <w:autoSpaceDE w:val="0"/>
        <w:autoSpaceDN w:val="0"/>
        <w:adjustRightInd w:val="0"/>
        <w:snapToGrid w:val="0"/>
        <w:spacing w:beforeLines="50" w:line="440" w:lineRule="exact"/>
        <w:jc w:val="left"/>
        <w:rPr>
          <w:rFonts w:hAnsi="宋体" w:cs="宋体"/>
          <w:u w:val="single"/>
        </w:rPr>
      </w:pPr>
      <w:r>
        <w:rPr>
          <w:rFonts w:hint="eastAsia" w:hAnsi="宋体" w:cs="宋体"/>
        </w:rPr>
        <w:t>经营期限：</w:t>
      </w:r>
    </w:p>
    <w:p>
      <w:pPr>
        <w:autoSpaceDE w:val="0"/>
        <w:autoSpaceDN w:val="0"/>
        <w:adjustRightInd w:val="0"/>
        <w:snapToGrid w:val="0"/>
        <w:spacing w:beforeLines="50" w:line="440" w:lineRule="exact"/>
        <w:jc w:val="left"/>
        <w:rPr>
          <w:rFonts w:hAnsi="宋体" w:cs="宋体"/>
        </w:rPr>
      </w:pPr>
      <w:r>
        <w:rPr>
          <w:rFonts w:hint="eastAsia" w:hAnsi="宋体" w:cs="宋体"/>
        </w:rPr>
        <w:t>姓名： 性别： 年龄： 系（供应商名称）的法定代表人。</w:t>
      </w:r>
    </w:p>
    <w:p>
      <w:pPr>
        <w:autoSpaceDE w:val="0"/>
        <w:autoSpaceDN w:val="0"/>
        <w:adjustRightInd w:val="0"/>
        <w:snapToGrid w:val="0"/>
        <w:spacing w:beforeLines="50" w:line="440" w:lineRule="exact"/>
        <w:jc w:val="left"/>
        <w:rPr>
          <w:rFonts w:hAnsi="宋体" w:cs="宋体"/>
        </w:rPr>
      </w:pPr>
      <w:r>
        <w:rPr>
          <w:rFonts w:hint="eastAsia" w:hAnsi="宋体" w:cs="宋体"/>
        </w:rPr>
        <w:t>特此证明。</w:t>
      </w:r>
    </w:p>
    <w:p>
      <w:pPr>
        <w:autoSpaceDE w:val="0"/>
        <w:autoSpaceDN w:val="0"/>
        <w:adjustRightInd w:val="0"/>
        <w:snapToGrid w:val="0"/>
        <w:spacing w:beforeLines="50" w:line="440" w:lineRule="exact"/>
        <w:jc w:val="left"/>
        <w:rPr>
          <w:rFonts w:hAnsi="宋体" w:cs="宋体"/>
          <w:szCs w:val="21"/>
        </w:rPr>
      </w:pPr>
      <w:r>
        <w:rPr>
          <w:rFonts w:hint="eastAsia" w:hAnsi="宋体" w:cs="宋体"/>
          <w:szCs w:val="21"/>
        </w:rPr>
        <w:t>附：法定代表人身份证复印件</w:t>
      </w:r>
    </w:p>
    <w:tbl>
      <w:tblPr>
        <w:tblStyle w:val="45"/>
        <w:tblpPr w:leftFromText="180" w:rightFromText="180" w:vertAnchor="text" w:horzAnchor="margin" w:tblpXSpec="center" w:tblpY="104"/>
        <w:tblW w:w="5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trPr>
        <w:tc>
          <w:tcPr>
            <w:tcW w:w="5880" w:type="dxa"/>
            <w:vAlign w:val="center"/>
          </w:tcPr>
          <w:p>
            <w:pPr>
              <w:snapToGrid w:val="0"/>
              <w:spacing w:line="480" w:lineRule="auto"/>
              <w:jc w:val="center"/>
              <w:rPr>
                <w:rFonts w:hAnsi="宋体" w:cs="宋体"/>
                <w:szCs w:val="21"/>
              </w:rPr>
            </w:pPr>
          </w:p>
          <w:p>
            <w:pPr>
              <w:snapToGrid w:val="0"/>
              <w:spacing w:line="480" w:lineRule="auto"/>
              <w:jc w:val="center"/>
              <w:rPr>
                <w:rFonts w:hAnsi="宋体" w:cs="宋体"/>
                <w:szCs w:val="21"/>
              </w:rPr>
            </w:pPr>
          </w:p>
          <w:p>
            <w:pPr>
              <w:autoSpaceDE w:val="0"/>
              <w:autoSpaceDN w:val="0"/>
              <w:adjustRightInd w:val="0"/>
              <w:snapToGrid w:val="0"/>
              <w:spacing w:beforeLines="50" w:line="360" w:lineRule="auto"/>
              <w:jc w:val="center"/>
              <w:rPr>
                <w:rFonts w:hAnsi="宋体" w:cs="宋体"/>
                <w:szCs w:val="21"/>
              </w:rPr>
            </w:pPr>
            <w:r>
              <w:rPr>
                <w:rFonts w:hint="eastAsia" w:hAnsi="宋体" w:cs="宋体"/>
                <w:szCs w:val="21"/>
              </w:rPr>
              <w:t>法定代表人身份证复印件粘贴处</w:t>
            </w:r>
          </w:p>
          <w:p>
            <w:pPr>
              <w:pStyle w:val="18"/>
              <w:jc w:val="center"/>
              <w:rPr>
                <w:rFonts w:ascii="宋体" w:hAnsi="宋体" w:cs="宋体"/>
              </w:rPr>
            </w:pPr>
            <w:r>
              <w:rPr>
                <w:rFonts w:hint="eastAsia" w:ascii="宋体" w:hAnsi="宋体" w:cs="宋体"/>
                <w:szCs w:val="21"/>
              </w:rPr>
              <w:t>（正反面）</w:t>
            </w:r>
          </w:p>
          <w:p>
            <w:pPr>
              <w:snapToGrid w:val="0"/>
              <w:spacing w:line="480" w:lineRule="auto"/>
              <w:jc w:val="center"/>
              <w:rPr>
                <w:rFonts w:hAnsi="宋体" w:cs="宋体"/>
                <w:szCs w:val="21"/>
              </w:rPr>
            </w:pPr>
          </w:p>
          <w:p>
            <w:pPr>
              <w:snapToGrid w:val="0"/>
              <w:spacing w:line="480" w:lineRule="auto"/>
              <w:jc w:val="center"/>
              <w:rPr>
                <w:rFonts w:hAnsi="宋体" w:cs="宋体"/>
                <w:szCs w:val="21"/>
              </w:rPr>
            </w:pPr>
          </w:p>
        </w:tc>
      </w:tr>
    </w:tbl>
    <w:p>
      <w:pPr>
        <w:snapToGrid w:val="0"/>
        <w:spacing w:line="480" w:lineRule="auto"/>
        <w:rPr>
          <w:rFonts w:hAnsi="宋体" w:cs="宋体"/>
          <w:szCs w:val="21"/>
        </w:rPr>
      </w:pPr>
    </w:p>
    <w:p>
      <w:pPr>
        <w:snapToGrid w:val="0"/>
        <w:rPr>
          <w:rFonts w:hAnsi="宋体" w:cs="宋体"/>
          <w:szCs w:val="21"/>
        </w:rPr>
      </w:pPr>
    </w:p>
    <w:p>
      <w:pPr>
        <w:snapToGrid w:val="0"/>
        <w:rPr>
          <w:rFonts w:hAnsi="宋体" w:cs="宋体"/>
          <w:szCs w:val="21"/>
        </w:rPr>
      </w:pPr>
    </w:p>
    <w:p>
      <w:pPr>
        <w:snapToGrid w:val="0"/>
        <w:rPr>
          <w:rFonts w:hAnsi="宋体" w:cs="宋体"/>
          <w:szCs w:val="21"/>
        </w:rPr>
      </w:pPr>
    </w:p>
    <w:p>
      <w:pPr>
        <w:snapToGrid w:val="0"/>
        <w:rPr>
          <w:rFonts w:hAnsi="宋体" w:cs="宋体"/>
          <w:szCs w:val="21"/>
        </w:rPr>
      </w:pPr>
    </w:p>
    <w:p>
      <w:pPr>
        <w:adjustRightInd w:val="0"/>
        <w:snapToGrid w:val="0"/>
        <w:spacing w:line="360" w:lineRule="auto"/>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firstLine="4320" w:firstLineChars="1800"/>
        <w:rPr>
          <w:rFonts w:hAnsi="宋体" w:cs="宋体"/>
        </w:rPr>
      </w:pPr>
      <w:r>
        <w:rPr>
          <w:rFonts w:hint="eastAsia" w:hAnsi="宋体" w:cs="宋体"/>
        </w:rPr>
        <w:t>供应商名称：（公章）</w:t>
      </w:r>
    </w:p>
    <w:p>
      <w:pPr>
        <w:adjustRightInd w:val="0"/>
        <w:snapToGrid w:val="0"/>
        <w:spacing w:line="360" w:lineRule="auto"/>
        <w:ind w:right="420" w:firstLine="4320" w:firstLineChars="1800"/>
        <w:rPr>
          <w:rFonts w:hAnsi="宋体" w:cs="宋体"/>
        </w:rPr>
      </w:pPr>
      <w:r>
        <w:rPr>
          <w:rFonts w:hint="eastAsia" w:hAnsi="宋体" w:cs="宋体"/>
        </w:rPr>
        <w:t>日期：    年  月  日</w:t>
      </w:r>
    </w:p>
    <w:p>
      <w:pPr>
        <w:spacing w:line="500" w:lineRule="exact"/>
        <w:ind w:firstLine="482" w:firstLineChars="200"/>
        <w:rPr>
          <w:rFonts w:hAnsi="宋体" w:cs="宋体"/>
          <w:b/>
          <w:bCs/>
          <w:szCs w:val="24"/>
        </w:rPr>
      </w:pPr>
    </w:p>
    <w:p>
      <w:pPr>
        <w:spacing w:line="500" w:lineRule="exact"/>
        <w:ind w:firstLine="482" w:firstLineChars="200"/>
        <w:rPr>
          <w:rFonts w:hAnsi="宋体" w:cs="宋体"/>
          <w:b/>
          <w:bCs/>
          <w:szCs w:val="24"/>
        </w:rPr>
      </w:pPr>
    </w:p>
    <w:p>
      <w:pPr>
        <w:pStyle w:val="18"/>
        <w:rPr>
          <w:rFonts w:ascii="宋体" w:hAnsi="宋体" w:cs="宋体"/>
        </w:rPr>
      </w:pPr>
    </w:p>
    <w:p>
      <w:pPr>
        <w:spacing w:line="500" w:lineRule="exact"/>
        <w:ind w:firstLine="482" w:firstLineChars="200"/>
        <w:rPr>
          <w:rFonts w:hAnsi="宋体" w:cs="宋体"/>
          <w:b/>
          <w:bCs/>
          <w:szCs w:val="24"/>
        </w:rPr>
      </w:pPr>
    </w:p>
    <w:p>
      <w:pPr>
        <w:keepNext/>
        <w:spacing w:line="360" w:lineRule="auto"/>
        <w:jc w:val="center"/>
        <w:rPr>
          <w:rFonts w:hAnsi="宋体" w:cs="宋体"/>
          <w:b/>
          <w:bCs/>
          <w:sz w:val="32"/>
          <w:szCs w:val="32"/>
        </w:rPr>
      </w:pPr>
      <w:r>
        <w:rPr>
          <w:rFonts w:hint="eastAsia" w:hAnsi="宋体" w:cs="宋体"/>
          <w:b/>
          <w:bCs/>
          <w:sz w:val="32"/>
          <w:szCs w:val="32"/>
        </w:rPr>
        <w:t>法定代表人授权书</w:t>
      </w:r>
    </w:p>
    <w:p>
      <w:pPr>
        <w:rPr>
          <w:rFonts w:hAnsi="宋体" w:cs="宋体"/>
          <w:b/>
          <w:bCs/>
          <w:szCs w:val="32"/>
        </w:rPr>
      </w:pPr>
    </w:p>
    <w:p>
      <w:pPr>
        <w:spacing w:line="360" w:lineRule="auto"/>
        <w:jc w:val="left"/>
        <w:rPr>
          <w:rFonts w:hAnsi="宋体" w:cs="宋体"/>
          <w:spacing w:val="4"/>
          <w:szCs w:val="24"/>
          <w:u w:val="single"/>
        </w:rPr>
      </w:pPr>
      <w:r>
        <w:rPr>
          <w:rFonts w:hint="eastAsia" w:hAnsi="宋体" w:cs="宋体"/>
          <w:spacing w:val="4"/>
          <w:szCs w:val="24"/>
        </w:rPr>
        <w:t>致：</w:t>
      </w:r>
      <w:r>
        <w:rPr>
          <w:rFonts w:hint="eastAsia" w:hAnsi="宋体" w:cs="宋体"/>
          <w:spacing w:val="4"/>
          <w:szCs w:val="24"/>
          <w:u w:val="single"/>
        </w:rPr>
        <w:t xml:space="preserve">采购人名称 </w:t>
      </w:r>
    </w:p>
    <w:p>
      <w:pPr>
        <w:spacing w:line="360" w:lineRule="auto"/>
        <w:ind w:firstLine="496" w:firstLineChars="200"/>
        <w:jc w:val="left"/>
        <w:rPr>
          <w:rFonts w:hAnsi="宋体" w:cs="宋体"/>
          <w:spacing w:val="4"/>
          <w:szCs w:val="24"/>
        </w:rPr>
      </w:pPr>
      <w:r>
        <w:rPr>
          <w:rFonts w:hint="eastAsia" w:hAnsi="宋体" w:cs="宋体"/>
          <w:spacing w:val="4"/>
          <w:szCs w:val="24"/>
          <w:u w:val="single"/>
        </w:rPr>
        <w:t>(供应商名称)</w:t>
      </w:r>
      <w:r>
        <w:rPr>
          <w:rFonts w:hint="eastAsia" w:hAnsi="宋体" w:cs="宋体"/>
          <w:spacing w:val="4"/>
          <w:szCs w:val="24"/>
        </w:rPr>
        <w:t>按中华人民共和国法律于</w:t>
      </w:r>
      <w:r>
        <w:rPr>
          <w:rFonts w:hint="eastAsia" w:hAnsi="宋体" w:cs="宋体"/>
          <w:spacing w:val="4"/>
          <w:szCs w:val="24"/>
          <w:u w:val="single"/>
        </w:rPr>
        <w:t>（  年  月  日 ）</w:t>
      </w:r>
      <w:r>
        <w:rPr>
          <w:rFonts w:hint="eastAsia" w:hAnsi="宋体" w:cs="宋体"/>
          <w:spacing w:val="4"/>
          <w:szCs w:val="24"/>
        </w:rPr>
        <w:t xml:space="preserve">成立。 </w:t>
      </w:r>
      <w:r>
        <w:rPr>
          <w:rFonts w:hint="eastAsia" w:hAnsi="宋体" w:cs="宋体"/>
          <w:szCs w:val="24"/>
        </w:rPr>
        <w:t>法定代表人</w:t>
      </w:r>
      <w:r>
        <w:rPr>
          <w:rFonts w:hint="eastAsia" w:hAnsi="宋体" w:cs="宋体"/>
          <w:spacing w:val="4"/>
          <w:szCs w:val="24"/>
          <w:u w:val="single"/>
        </w:rPr>
        <w:t xml:space="preserve">姓名   </w:t>
      </w:r>
      <w:r>
        <w:rPr>
          <w:rFonts w:hint="eastAsia" w:hAnsi="宋体" w:cs="宋体"/>
          <w:spacing w:val="4"/>
          <w:szCs w:val="24"/>
        </w:rPr>
        <w:t>特授权</w:t>
      </w:r>
      <w:r>
        <w:rPr>
          <w:rFonts w:hint="eastAsia" w:hAnsi="宋体" w:cs="宋体"/>
          <w:szCs w:val="24"/>
          <w:u w:val="single"/>
        </w:rPr>
        <w:t>被授权人</w:t>
      </w:r>
      <w:r>
        <w:rPr>
          <w:rFonts w:hint="eastAsia" w:hAnsi="宋体" w:cs="宋体"/>
          <w:spacing w:val="4"/>
          <w:szCs w:val="24"/>
          <w:u w:val="single"/>
        </w:rPr>
        <w:t xml:space="preserve">姓名  </w:t>
      </w:r>
      <w:r>
        <w:rPr>
          <w:rFonts w:hint="eastAsia" w:hAnsi="宋体" w:cs="宋体"/>
          <w:spacing w:val="4"/>
          <w:szCs w:val="24"/>
        </w:rPr>
        <w:t>代表我公司全权办理针对本次</w:t>
      </w:r>
      <w:r>
        <w:rPr>
          <w:rFonts w:hint="eastAsia" w:hAnsi="宋体" w:cs="宋体"/>
          <w:spacing w:val="4"/>
          <w:szCs w:val="24"/>
          <w:u w:val="single"/>
        </w:rPr>
        <w:t xml:space="preserve">  项目名称、</w:t>
      </w:r>
      <w:r>
        <w:rPr>
          <w:rFonts w:hint="eastAsia" w:hAnsi="宋体" w:cs="宋体"/>
          <w:spacing w:val="4"/>
          <w:szCs w:val="24"/>
          <w:u w:val="single"/>
          <w:lang w:eastAsia="zh-CN"/>
        </w:rPr>
        <w:t>项目编</w:t>
      </w:r>
      <w:r>
        <w:rPr>
          <w:rFonts w:hint="eastAsia" w:hAnsi="宋体" w:cs="宋体"/>
          <w:spacing w:val="4"/>
          <w:szCs w:val="24"/>
          <w:u w:val="single"/>
        </w:rPr>
        <w:t xml:space="preserve">号   </w:t>
      </w:r>
      <w:r>
        <w:rPr>
          <w:rFonts w:hint="eastAsia" w:hAnsi="宋体" w:cs="宋体"/>
          <w:spacing w:val="4"/>
          <w:szCs w:val="24"/>
        </w:rPr>
        <w:t>的磋商、签约等具体工作，并签署全部有关的文件、协议及合同。</w:t>
      </w:r>
    </w:p>
    <w:p>
      <w:pPr>
        <w:spacing w:line="360" w:lineRule="auto"/>
        <w:ind w:firstLine="496" w:firstLineChars="200"/>
        <w:jc w:val="left"/>
        <w:rPr>
          <w:rFonts w:hAnsi="宋体" w:cs="宋体"/>
          <w:spacing w:val="4"/>
          <w:szCs w:val="24"/>
        </w:rPr>
      </w:pPr>
      <w:r>
        <w:rPr>
          <w:rFonts w:hint="eastAsia" w:hAnsi="宋体" w:cs="宋体"/>
          <w:spacing w:val="4"/>
          <w:szCs w:val="24"/>
        </w:rPr>
        <w:t>我公司对被授权人的签名负全部责任。</w:t>
      </w:r>
    </w:p>
    <w:p>
      <w:pPr>
        <w:spacing w:line="360" w:lineRule="auto"/>
        <w:ind w:firstLine="496" w:firstLineChars="200"/>
        <w:jc w:val="left"/>
        <w:rPr>
          <w:rFonts w:hAnsi="宋体" w:cs="宋体"/>
          <w:spacing w:val="4"/>
          <w:szCs w:val="24"/>
        </w:rPr>
      </w:pPr>
      <w:r>
        <w:rPr>
          <w:rFonts w:hint="eastAsia" w:hAnsi="宋体" w:cs="宋体"/>
          <w:spacing w:val="4"/>
          <w:szCs w:val="24"/>
        </w:rPr>
        <w:t>本授权有效期与磋商有效期一致。</w:t>
      </w:r>
    </w:p>
    <w:tbl>
      <w:tblPr>
        <w:tblStyle w:val="44"/>
        <w:tblW w:w="8190" w:type="dxa"/>
        <w:tblInd w:w="633" w:type="dxa"/>
        <w:tblLayout w:type="fixed"/>
        <w:tblCellMar>
          <w:top w:w="0" w:type="dxa"/>
          <w:left w:w="108" w:type="dxa"/>
          <w:bottom w:w="0" w:type="dxa"/>
          <w:right w:w="108" w:type="dxa"/>
        </w:tblCellMar>
      </w:tblPr>
      <w:tblGrid>
        <w:gridCol w:w="4200"/>
        <w:gridCol w:w="3990"/>
      </w:tblGrid>
      <w:tr>
        <w:tblPrEx>
          <w:tblCellMar>
            <w:top w:w="0" w:type="dxa"/>
            <w:left w:w="108" w:type="dxa"/>
            <w:bottom w:w="0" w:type="dxa"/>
            <w:right w:w="108" w:type="dxa"/>
          </w:tblCellMar>
        </w:tblPrEx>
        <w:trPr>
          <w:trHeight w:val="600" w:hRule="atLeast"/>
        </w:trPr>
        <w:tc>
          <w:tcPr>
            <w:tcW w:w="4200" w:type="dxa"/>
            <w:vAlign w:val="center"/>
          </w:tcPr>
          <w:p>
            <w:pPr>
              <w:spacing w:line="360" w:lineRule="auto"/>
              <w:rPr>
                <w:rFonts w:hAnsi="宋体" w:cs="宋体"/>
                <w:spacing w:val="4"/>
                <w:szCs w:val="24"/>
              </w:rPr>
            </w:pPr>
            <w:r>
              <w:rPr>
                <w:rFonts w:hint="eastAsia" w:hAnsi="宋体" w:cs="宋体"/>
                <w:spacing w:val="4"/>
                <w:szCs w:val="24"/>
              </w:rPr>
              <w:t>被授权人签字或盖章：</w:t>
            </w:r>
          </w:p>
        </w:tc>
        <w:tc>
          <w:tcPr>
            <w:tcW w:w="3990" w:type="dxa"/>
            <w:vAlign w:val="center"/>
          </w:tcPr>
          <w:p>
            <w:pPr>
              <w:spacing w:line="360" w:lineRule="auto"/>
              <w:rPr>
                <w:rFonts w:hAnsi="宋体" w:cs="宋体"/>
                <w:spacing w:val="4"/>
                <w:szCs w:val="24"/>
              </w:rPr>
            </w:pPr>
            <w:r>
              <w:rPr>
                <w:rFonts w:hint="eastAsia" w:hAnsi="宋体" w:cs="宋体"/>
                <w:spacing w:val="4"/>
                <w:szCs w:val="24"/>
              </w:rPr>
              <w:t>法定代表人签字或盖章：</w:t>
            </w:r>
          </w:p>
        </w:tc>
      </w:tr>
      <w:tr>
        <w:tblPrEx>
          <w:tblCellMar>
            <w:top w:w="0" w:type="dxa"/>
            <w:left w:w="108" w:type="dxa"/>
            <w:bottom w:w="0" w:type="dxa"/>
            <w:right w:w="108" w:type="dxa"/>
          </w:tblCellMar>
        </w:tblPrEx>
        <w:trPr>
          <w:trHeight w:val="600" w:hRule="atLeast"/>
        </w:trPr>
        <w:tc>
          <w:tcPr>
            <w:tcW w:w="4200" w:type="dxa"/>
            <w:vAlign w:val="center"/>
          </w:tcPr>
          <w:p>
            <w:pPr>
              <w:spacing w:line="360" w:lineRule="auto"/>
              <w:rPr>
                <w:rFonts w:hAnsi="宋体" w:cs="宋体"/>
                <w:spacing w:val="4"/>
                <w:szCs w:val="24"/>
              </w:rPr>
            </w:pPr>
            <w:r>
              <w:rPr>
                <w:rFonts w:hint="eastAsia" w:hAnsi="宋体" w:cs="宋体"/>
                <w:spacing w:val="4"/>
                <w:szCs w:val="24"/>
              </w:rPr>
              <w:t>职务：</w:t>
            </w:r>
          </w:p>
        </w:tc>
        <w:tc>
          <w:tcPr>
            <w:tcW w:w="3990" w:type="dxa"/>
            <w:vAlign w:val="center"/>
          </w:tcPr>
          <w:p>
            <w:pPr>
              <w:spacing w:line="360" w:lineRule="auto"/>
              <w:rPr>
                <w:rFonts w:hAnsi="宋体" w:cs="宋体"/>
                <w:spacing w:val="4"/>
                <w:szCs w:val="24"/>
              </w:rPr>
            </w:pPr>
            <w:r>
              <w:rPr>
                <w:rFonts w:hint="eastAsia" w:hAnsi="宋体" w:cs="宋体"/>
                <w:spacing w:val="4"/>
                <w:szCs w:val="24"/>
              </w:rPr>
              <w:t>职务：</w:t>
            </w:r>
          </w:p>
        </w:tc>
      </w:tr>
      <w:tr>
        <w:tblPrEx>
          <w:tblCellMar>
            <w:top w:w="0" w:type="dxa"/>
            <w:left w:w="108" w:type="dxa"/>
            <w:bottom w:w="0" w:type="dxa"/>
            <w:right w:w="108" w:type="dxa"/>
          </w:tblCellMar>
        </w:tblPrEx>
        <w:trPr>
          <w:trHeight w:val="600" w:hRule="atLeast"/>
        </w:trPr>
        <w:tc>
          <w:tcPr>
            <w:tcW w:w="4200" w:type="dxa"/>
            <w:vAlign w:val="center"/>
          </w:tcPr>
          <w:p>
            <w:pPr>
              <w:spacing w:line="360" w:lineRule="auto"/>
              <w:rPr>
                <w:rFonts w:hAnsi="宋体" w:cs="宋体"/>
                <w:spacing w:val="4"/>
                <w:szCs w:val="24"/>
              </w:rPr>
            </w:pPr>
            <w:r>
              <w:rPr>
                <w:rFonts w:hint="eastAsia" w:hAnsi="宋体" w:cs="宋体"/>
                <w:spacing w:val="4"/>
                <w:szCs w:val="24"/>
              </w:rPr>
              <w:t>身份证号：</w:t>
            </w:r>
          </w:p>
        </w:tc>
        <w:tc>
          <w:tcPr>
            <w:tcW w:w="3990" w:type="dxa"/>
            <w:vAlign w:val="center"/>
          </w:tcPr>
          <w:p>
            <w:pPr>
              <w:spacing w:line="360" w:lineRule="auto"/>
              <w:rPr>
                <w:rFonts w:hAnsi="宋体" w:cs="宋体"/>
                <w:spacing w:val="4"/>
                <w:szCs w:val="24"/>
              </w:rPr>
            </w:pPr>
            <w:r>
              <w:rPr>
                <w:rFonts w:hint="eastAsia" w:hAnsi="宋体" w:cs="宋体"/>
                <w:spacing w:val="4"/>
                <w:szCs w:val="24"/>
              </w:rPr>
              <w:t>身份证号：</w:t>
            </w:r>
          </w:p>
        </w:tc>
      </w:tr>
      <w:tr>
        <w:tblPrEx>
          <w:tblCellMar>
            <w:top w:w="0" w:type="dxa"/>
            <w:left w:w="108" w:type="dxa"/>
            <w:bottom w:w="0" w:type="dxa"/>
            <w:right w:w="108" w:type="dxa"/>
          </w:tblCellMar>
        </w:tblPrEx>
        <w:trPr>
          <w:trHeight w:val="600" w:hRule="atLeast"/>
        </w:trPr>
        <w:tc>
          <w:tcPr>
            <w:tcW w:w="4200" w:type="dxa"/>
            <w:vAlign w:val="center"/>
          </w:tcPr>
          <w:p>
            <w:pPr>
              <w:spacing w:line="360" w:lineRule="auto"/>
              <w:rPr>
                <w:rFonts w:hAnsi="宋体" w:cs="宋体"/>
                <w:spacing w:val="4"/>
                <w:szCs w:val="24"/>
              </w:rPr>
            </w:pPr>
            <w:r>
              <w:rPr>
                <w:rFonts w:hint="eastAsia" w:hAnsi="宋体" w:cs="宋体"/>
                <w:spacing w:val="4"/>
                <w:szCs w:val="24"/>
              </w:rPr>
              <w:t>所在部门：</w:t>
            </w:r>
          </w:p>
        </w:tc>
        <w:tc>
          <w:tcPr>
            <w:tcW w:w="3990" w:type="dxa"/>
            <w:vAlign w:val="center"/>
          </w:tcPr>
          <w:p>
            <w:pPr>
              <w:spacing w:line="360" w:lineRule="auto"/>
              <w:rPr>
                <w:rFonts w:hAnsi="宋体" w:cs="宋体"/>
                <w:spacing w:val="4"/>
                <w:szCs w:val="24"/>
              </w:rPr>
            </w:pPr>
          </w:p>
        </w:tc>
      </w:tr>
    </w:tbl>
    <w:p>
      <w:pPr>
        <w:spacing w:line="360" w:lineRule="auto"/>
        <w:ind w:firstLine="505" w:firstLineChars="204"/>
        <w:rPr>
          <w:rFonts w:hAnsi="宋体" w:cs="宋体"/>
          <w:spacing w:val="4"/>
          <w:szCs w:val="24"/>
        </w:rPr>
      </w:pPr>
      <w:r>
        <w:rPr>
          <w:rFonts w:hint="eastAsia" w:hAnsi="宋体" w:cs="宋体"/>
          <w:spacing w:val="4"/>
          <w:szCs w:val="24"/>
        </w:rPr>
        <w:t>附：法定代表人、被授权人身份证复印件</w:t>
      </w:r>
      <w:r>
        <w:rPr>
          <w:rFonts w:hint="eastAsia" w:hAnsi="宋体" w:cs="宋体"/>
          <w:szCs w:val="21"/>
          <w:lang w:val="zh-CN"/>
        </w:rPr>
        <w:t>（正反面）</w:t>
      </w:r>
    </w:p>
    <w:p>
      <w:pPr>
        <w:spacing w:line="360" w:lineRule="auto"/>
        <w:rPr>
          <w:rFonts w:hAnsi="宋体" w:cs="宋体"/>
          <w:spacing w:val="4"/>
          <w:szCs w:val="24"/>
        </w:rPr>
      </w:pPr>
    </w:p>
    <w:p>
      <w:pPr>
        <w:spacing w:line="360" w:lineRule="auto"/>
        <w:ind w:firstLine="510"/>
        <w:rPr>
          <w:rFonts w:hAnsi="宋体" w:cs="宋体"/>
          <w:spacing w:val="4"/>
          <w:szCs w:val="24"/>
        </w:rPr>
      </w:pPr>
    </w:p>
    <w:p>
      <w:pPr>
        <w:pStyle w:val="18"/>
        <w:rPr>
          <w:rFonts w:ascii="宋体" w:hAnsi="宋体" w:cs="宋体"/>
          <w:spacing w:val="4"/>
          <w:szCs w:val="24"/>
        </w:rPr>
      </w:pPr>
    </w:p>
    <w:p>
      <w:pPr>
        <w:pStyle w:val="18"/>
        <w:rPr>
          <w:rFonts w:ascii="宋体" w:hAnsi="宋体" w:cs="宋体"/>
          <w:spacing w:val="4"/>
          <w:szCs w:val="24"/>
        </w:rPr>
      </w:pPr>
    </w:p>
    <w:p>
      <w:pPr>
        <w:pStyle w:val="18"/>
        <w:rPr>
          <w:rFonts w:ascii="宋体" w:hAnsi="宋体" w:cs="宋体"/>
          <w:spacing w:val="4"/>
          <w:szCs w:val="24"/>
        </w:rPr>
      </w:pPr>
    </w:p>
    <w:p>
      <w:pPr>
        <w:pStyle w:val="18"/>
        <w:rPr>
          <w:rFonts w:ascii="宋体" w:hAnsi="宋体" w:cs="宋体"/>
        </w:rPr>
      </w:pPr>
    </w:p>
    <w:p>
      <w:pPr>
        <w:spacing w:line="360" w:lineRule="auto"/>
        <w:ind w:firstLine="4216" w:firstLineChars="1700"/>
        <w:jc w:val="left"/>
        <w:rPr>
          <w:rFonts w:hAnsi="宋体" w:cs="宋体"/>
          <w:spacing w:val="4"/>
          <w:szCs w:val="24"/>
        </w:rPr>
      </w:pPr>
      <w:r>
        <w:rPr>
          <w:rFonts w:hint="eastAsia" w:hAnsi="宋体" w:cs="宋体"/>
          <w:spacing w:val="4"/>
          <w:szCs w:val="24"/>
        </w:rPr>
        <w:t>供应商名称：（公章）</w:t>
      </w:r>
    </w:p>
    <w:p>
      <w:pPr>
        <w:spacing w:line="360" w:lineRule="auto"/>
        <w:rPr>
          <w:rFonts w:hAnsi="宋体" w:cs="宋体"/>
          <w:spacing w:val="4"/>
          <w:szCs w:val="24"/>
        </w:rPr>
      </w:pPr>
    </w:p>
    <w:p>
      <w:pPr>
        <w:spacing w:line="360" w:lineRule="auto"/>
        <w:ind w:firstLine="4216" w:firstLineChars="1700"/>
        <w:rPr>
          <w:rFonts w:hAnsi="宋体" w:cs="宋体"/>
          <w:spacing w:val="4"/>
          <w:szCs w:val="24"/>
        </w:rPr>
      </w:pPr>
      <w:r>
        <w:rPr>
          <w:rFonts w:hint="eastAsia" w:hAnsi="宋体" w:cs="宋体"/>
          <w:spacing w:val="4"/>
          <w:szCs w:val="24"/>
        </w:rPr>
        <w:t>日期：    年  月  日</w:t>
      </w:r>
    </w:p>
    <w:p>
      <w:pPr>
        <w:pStyle w:val="18"/>
        <w:rPr>
          <w:rFonts w:ascii="宋体" w:hAnsi="宋体" w:cs="宋体"/>
        </w:rPr>
      </w:pPr>
    </w:p>
    <w:p>
      <w:pPr>
        <w:rPr>
          <w:rFonts w:hAnsi="宋体" w:cs="宋体"/>
          <w:b/>
          <w:bCs/>
          <w:lang w:val="zh-CN"/>
        </w:rPr>
      </w:pPr>
      <w:r>
        <w:rPr>
          <w:rFonts w:hint="eastAsia" w:hAnsi="宋体" w:cs="宋体"/>
          <w:b/>
          <w:bCs/>
          <w:lang w:val="zh-CN"/>
        </w:rPr>
        <w:t>说明：法定代表人直接</w:t>
      </w:r>
      <w:r>
        <w:rPr>
          <w:rFonts w:hint="eastAsia" w:hAnsi="宋体" w:cs="宋体"/>
          <w:b/>
          <w:bCs/>
        </w:rPr>
        <w:t>磋商</w:t>
      </w:r>
      <w:r>
        <w:rPr>
          <w:rFonts w:hint="eastAsia" w:hAnsi="宋体" w:cs="宋体"/>
          <w:b/>
          <w:bCs/>
          <w:lang w:val="zh-CN"/>
        </w:rPr>
        <w:t>时无需提供。</w:t>
      </w:r>
      <w:r>
        <w:rPr>
          <w:rFonts w:hint="eastAsia" w:hAnsi="宋体" w:cs="宋体"/>
          <w:b/>
          <w:bCs/>
          <w:lang w:val="zh-CN"/>
        </w:rPr>
        <w:br w:type="page"/>
      </w:r>
    </w:p>
    <w:p>
      <w:pPr>
        <w:numPr>
          <w:ilvl w:val="0"/>
          <w:numId w:val="0"/>
        </w:numPr>
        <w:tabs>
          <w:tab w:val="left" w:pos="7839"/>
        </w:tabs>
        <w:spacing w:line="360" w:lineRule="auto"/>
        <w:jc w:val="center"/>
        <w:outlineLvl w:val="1"/>
        <w:rPr>
          <w:rFonts w:hAnsi="宋体" w:cs="宋体"/>
          <w:b/>
          <w:bCs/>
          <w:sz w:val="32"/>
          <w:szCs w:val="32"/>
        </w:rPr>
      </w:pPr>
      <w:bookmarkStart w:id="118" w:name="_Toc30172"/>
      <w:r>
        <w:rPr>
          <w:rFonts w:hint="eastAsia" w:hAnsi="宋体" w:cs="宋体"/>
          <w:b/>
          <w:bCs/>
          <w:sz w:val="32"/>
          <w:szCs w:val="32"/>
          <w:lang w:eastAsia="zh-CN"/>
        </w:rPr>
        <w:t>七、</w:t>
      </w:r>
      <w:r>
        <w:rPr>
          <w:rFonts w:hint="eastAsia" w:hAnsi="宋体" w:cs="宋体"/>
          <w:b/>
          <w:bCs/>
          <w:sz w:val="32"/>
          <w:szCs w:val="32"/>
        </w:rPr>
        <w:t>其它资料</w:t>
      </w:r>
      <w:bookmarkEnd w:id="118"/>
    </w:p>
    <w:p>
      <w:pPr>
        <w:pStyle w:val="18"/>
        <w:rPr>
          <w:rFonts w:ascii="宋体" w:hAnsi="宋体" w:cs="宋体"/>
        </w:rPr>
      </w:pPr>
    </w:p>
    <w:p>
      <w:pPr>
        <w:pStyle w:val="18"/>
        <w:numPr>
          <w:ilvl w:val="0"/>
          <w:numId w:val="10"/>
        </w:numPr>
        <w:rPr>
          <w:rFonts w:ascii="宋体" w:hAnsi="宋体" w:cs="宋体"/>
          <w:bCs/>
          <w:sz w:val="28"/>
          <w:szCs w:val="28"/>
        </w:rPr>
      </w:pPr>
      <w:r>
        <w:rPr>
          <w:rFonts w:hint="eastAsia" w:ascii="宋体" w:hAnsi="宋体" w:cs="宋体"/>
          <w:bCs/>
          <w:sz w:val="28"/>
          <w:szCs w:val="28"/>
        </w:rPr>
        <w:t>基本存款账户开户许可证（或基本账户信息表）。</w:t>
      </w:r>
    </w:p>
    <w:p>
      <w:pPr>
        <w:pStyle w:val="18"/>
        <w:numPr>
          <w:ilvl w:val="0"/>
          <w:numId w:val="10"/>
        </w:numPr>
        <w:rPr>
          <w:rFonts w:ascii="宋体" w:hAnsi="宋体" w:cs="宋体"/>
          <w:sz w:val="28"/>
          <w:szCs w:val="28"/>
        </w:rPr>
      </w:pPr>
      <w:r>
        <w:rPr>
          <w:rFonts w:hint="eastAsia" w:ascii="宋体" w:hAnsi="宋体" w:cs="宋体"/>
          <w:sz w:val="28"/>
          <w:szCs w:val="28"/>
        </w:rPr>
        <w:t>依据竞争性磋商文件要求，供应商认为有必要说明的其他内容。</w:t>
      </w:r>
    </w:p>
    <w:p>
      <w:pPr>
        <w:pStyle w:val="18"/>
        <w:rPr>
          <w:rFonts w:ascii="宋体" w:hAnsi="宋体" w:cs="宋体"/>
          <w:sz w:val="28"/>
          <w:szCs w:val="28"/>
        </w:rPr>
      </w:pPr>
      <w:r>
        <w:rPr>
          <w:rFonts w:hint="eastAsia" w:ascii="宋体" w:hAnsi="宋体" w:cs="宋体"/>
          <w:sz w:val="28"/>
          <w:szCs w:val="28"/>
        </w:rPr>
        <w:t>3、其他可以证明供应商实力的文件。</w:t>
      </w: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spacing w:beforeLines="50" w:afterLines="50"/>
        <w:rPr>
          <w:rFonts w:hAnsi="宋体" w:cs="宋体"/>
          <w:b/>
          <w:bCs/>
          <w:sz w:val="28"/>
          <w:szCs w:val="28"/>
        </w:rPr>
      </w:pPr>
    </w:p>
    <w:p>
      <w:pPr>
        <w:pStyle w:val="18"/>
        <w:rPr>
          <w:rFonts w:ascii="宋体" w:hAnsi="宋体" w:cs="宋体"/>
        </w:rPr>
      </w:pPr>
    </w:p>
    <w:p>
      <w:pPr>
        <w:spacing w:beforeLines="50" w:afterLines="50"/>
        <w:outlineLvl w:val="2"/>
        <w:rPr>
          <w:rFonts w:hAnsi="宋体" w:cs="宋体"/>
        </w:rPr>
      </w:pPr>
      <w:r>
        <w:rPr>
          <w:rFonts w:hint="eastAsia" w:hAnsi="宋体" w:cs="宋体"/>
          <w:b/>
          <w:bCs/>
          <w:sz w:val="28"/>
          <w:szCs w:val="28"/>
        </w:rPr>
        <w:br w:type="page"/>
      </w:r>
      <w:r>
        <w:rPr>
          <w:rFonts w:hint="eastAsia" w:hAnsi="宋体" w:cs="宋体"/>
          <w:b/>
          <w:bCs/>
          <w:sz w:val="28"/>
          <w:szCs w:val="28"/>
        </w:rPr>
        <w:t>附件1（如有）</w:t>
      </w:r>
    </w:p>
    <w:p>
      <w:pPr>
        <w:spacing w:before="100" w:beforeAutospacing="1" w:afterLines="50" w:line="360" w:lineRule="auto"/>
        <w:jc w:val="center"/>
        <w:outlineLvl w:val="2"/>
        <w:rPr>
          <w:rFonts w:hAnsi="宋体" w:cs="宋体"/>
          <w:b/>
          <w:sz w:val="28"/>
          <w:szCs w:val="28"/>
        </w:rPr>
      </w:pPr>
      <w:r>
        <w:rPr>
          <w:rFonts w:hint="eastAsia" w:hAnsi="宋体" w:cs="宋体"/>
          <w:b/>
          <w:sz w:val="28"/>
          <w:szCs w:val="28"/>
        </w:rPr>
        <w:t>中小企业声明函</w:t>
      </w:r>
    </w:p>
    <w:p>
      <w:pPr>
        <w:tabs>
          <w:tab w:val="left" w:pos="1620"/>
          <w:tab w:val="left" w:pos="1800"/>
        </w:tabs>
        <w:spacing w:line="500" w:lineRule="exact"/>
        <w:ind w:firstLine="480" w:firstLineChars="200"/>
        <w:rPr>
          <w:rFonts w:hAnsi="宋体" w:cs="宋体"/>
          <w:szCs w:val="24"/>
        </w:rPr>
      </w:pPr>
      <w:r>
        <w:rPr>
          <w:rFonts w:hint="eastAsia" w:hAnsi="宋体" w:cs="宋体"/>
          <w:szCs w:val="24"/>
        </w:rPr>
        <w:t>本公司郑重声明，根据《政府采购促进中小企业发展暂行办法》(财库【2011】181号）的规定，本公司为(请填写：中型、小型、微型）企业。即，本公司同时满足以下条件：</w:t>
      </w:r>
    </w:p>
    <w:p>
      <w:pPr>
        <w:numPr>
          <w:ilvl w:val="0"/>
          <w:numId w:val="11"/>
        </w:numPr>
        <w:tabs>
          <w:tab w:val="left" w:pos="1620"/>
          <w:tab w:val="left" w:pos="1800"/>
        </w:tabs>
        <w:spacing w:line="500" w:lineRule="exact"/>
        <w:ind w:firstLine="480" w:firstLineChars="200"/>
        <w:rPr>
          <w:rFonts w:hAnsi="宋体" w:cs="宋体"/>
          <w:szCs w:val="24"/>
        </w:rPr>
      </w:pPr>
      <w:r>
        <w:rPr>
          <w:rFonts w:hint="eastAsia" w:hAnsi="宋体" w:cs="宋体"/>
          <w:szCs w:val="24"/>
        </w:rPr>
        <w:t>根据《工业和信息化部、国家统计局、国家发展和改革委员会、财政部关于印发中小企业划分标准规定的通知》（工信部联企业【2011】300号）规定的划分标准，本公司为（请填写：中型、小型、微型）企业。</w:t>
      </w:r>
    </w:p>
    <w:p>
      <w:pPr>
        <w:numPr>
          <w:ilvl w:val="0"/>
          <w:numId w:val="11"/>
        </w:numPr>
        <w:tabs>
          <w:tab w:val="left" w:pos="1620"/>
          <w:tab w:val="left" w:pos="1800"/>
        </w:tabs>
        <w:spacing w:line="500" w:lineRule="exact"/>
        <w:ind w:firstLine="480" w:firstLineChars="200"/>
        <w:rPr>
          <w:rFonts w:hAnsi="宋体" w:cs="宋体"/>
          <w:szCs w:val="24"/>
        </w:rPr>
      </w:pPr>
      <w:r>
        <w:rPr>
          <w:rFonts w:hint="eastAsia" w:hAnsi="宋体" w:cs="宋体"/>
          <w:szCs w:val="24"/>
        </w:rPr>
        <w:t>本公司参加单位的项目采购活动提供本企业制造的货物，由本企业提供服务，或者提供其他(请填写：中型、小型、微型）企业制造的货物。本条所称货物不包括使用大型企业注册商标的货物。</w:t>
      </w:r>
    </w:p>
    <w:p>
      <w:pPr>
        <w:spacing w:line="500" w:lineRule="exact"/>
        <w:ind w:firstLine="480" w:firstLineChars="200"/>
        <w:rPr>
          <w:rFonts w:hAnsi="宋体" w:cs="宋体"/>
          <w:szCs w:val="21"/>
        </w:rPr>
      </w:pPr>
      <w:r>
        <w:rPr>
          <w:rFonts w:hint="eastAsia" w:hAnsi="宋体" w:cs="宋体"/>
          <w:szCs w:val="21"/>
        </w:rPr>
        <w:t>3、本公司属于行业，有从业人员人，最近一年营业收入为元。</w:t>
      </w:r>
    </w:p>
    <w:p>
      <w:pPr>
        <w:tabs>
          <w:tab w:val="left" w:pos="1620"/>
          <w:tab w:val="left" w:pos="1800"/>
        </w:tabs>
        <w:spacing w:line="500" w:lineRule="exact"/>
        <w:ind w:firstLine="480"/>
        <w:rPr>
          <w:rFonts w:hAnsi="宋体" w:cs="宋体"/>
          <w:szCs w:val="24"/>
        </w:rPr>
      </w:pPr>
      <w:r>
        <w:rPr>
          <w:rFonts w:hint="eastAsia" w:hAnsi="宋体" w:cs="宋体"/>
          <w:szCs w:val="24"/>
        </w:rPr>
        <w:t>本公司对上述声明的真实性负责。如有虚假，将依法承担相应责任。</w:t>
      </w:r>
    </w:p>
    <w:p>
      <w:pPr>
        <w:tabs>
          <w:tab w:val="left" w:pos="1620"/>
          <w:tab w:val="left" w:pos="1800"/>
        </w:tabs>
        <w:spacing w:line="500" w:lineRule="exact"/>
        <w:ind w:firstLine="480"/>
        <w:rPr>
          <w:rFonts w:hAnsi="宋体" w:cs="宋体"/>
          <w:szCs w:val="24"/>
        </w:rPr>
      </w:pPr>
    </w:p>
    <w:p>
      <w:pPr>
        <w:tabs>
          <w:tab w:val="left" w:pos="1620"/>
          <w:tab w:val="left" w:pos="1800"/>
        </w:tabs>
        <w:spacing w:line="500" w:lineRule="exact"/>
        <w:rPr>
          <w:rFonts w:hAnsi="宋体" w:cs="宋体"/>
          <w:szCs w:val="24"/>
        </w:rPr>
      </w:pPr>
      <w:r>
        <w:rPr>
          <w:rFonts w:hint="eastAsia" w:hAnsi="宋体" w:cs="宋体"/>
          <w:szCs w:val="24"/>
        </w:rPr>
        <w:t xml:space="preserve">                                          单位名称（公章）：</w:t>
      </w:r>
    </w:p>
    <w:p>
      <w:pPr>
        <w:tabs>
          <w:tab w:val="left" w:pos="1620"/>
          <w:tab w:val="left" w:pos="1800"/>
        </w:tabs>
        <w:spacing w:line="500" w:lineRule="exact"/>
        <w:rPr>
          <w:rFonts w:hAnsi="宋体" w:cs="宋体"/>
          <w:szCs w:val="24"/>
          <w:u w:val="single"/>
        </w:rPr>
      </w:pPr>
      <w:r>
        <w:rPr>
          <w:rFonts w:hint="eastAsia" w:hAnsi="宋体" w:cs="宋体"/>
          <w:szCs w:val="24"/>
        </w:rPr>
        <w:t xml:space="preserve">                                           日   期：</w:t>
      </w:r>
    </w:p>
    <w:p>
      <w:pPr>
        <w:tabs>
          <w:tab w:val="left" w:pos="1620"/>
          <w:tab w:val="left" w:pos="1800"/>
        </w:tabs>
        <w:spacing w:line="500" w:lineRule="exact"/>
        <w:rPr>
          <w:rFonts w:hAnsi="宋体" w:cs="宋体"/>
          <w:szCs w:val="24"/>
        </w:rPr>
      </w:pPr>
    </w:p>
    <w:p>
      <w:pPr>
        <w:tabs>
          <w:tab w:val="left" w:pos="1620"/>
          <w:tab w:val="left" w:pos="1800"/>
        </w:tabs>
        <w:spacing w:line="500" w:lineRule="exact"/>
        <w:rPr>
          <w:rFonts w:hAnsi="宋体" w:cs="宋体"/>
          <w:sz w:val="21"/>
          <w:szCs w:val="21"/>
        </w:rPr>
      </w:pPr>
      <w:bookmarkStart w:id="119" w:name="_Toc13836"/>
      <w:r>
        <w:rPr>
          <w:rFonts w:hint="eastAsia" w:hAnsi="宋体" w:cs="宋体"/>
          <w:sz w:val="21"/>
          <w:szCs w:val="21"/>
        </w:rPr>
        <w:t>备注：</w:t>
      </w:r>
    </w:p>
    <w:p>
      <w:pPr>
        <w:tabs>
          <w:tab w:val="left" w:pos="1620"/>
          <w:tab w:val="left" w:pos="1800"/>
        </w:tabs>
        <w:spacing w:line="500" w:lineRule="exact"/>
        <w:ind w:firstLine="480"/>
        <w:rPr>
          <w:rFonts w:hAnsi="宋体" w:cs="宋体"/>
          <w:sz w:val="21"/>
          <w:szCs w:val="21"/>
        </w:rPr>
      </w:pPr>
      <w:r>
        <w:rPr>
          <w:rFonts w:hint="eastAsia" w:hAnsi="宋体" w:cs="宋体"/>
          <w:sz w:val="21"/>
          <w:szCs w:val="21"/>
        </w:rPr>
        <w:t>1、填写前请认真阅读工业和信息化部、国家统计局、国家发展和改革委员会、财政部关于印发中小企业划分标准规定的通知》（工信部联企业【2011】300号）和《财政部  工业和信息化部关于印发政府采购促进中小企业发展暂行办法的通知》（财库【2011】181号）相关规定。</w:t>
      </w:r>
    </w:p>
    <w:p>
      <w:pPr>
        <w:tabs>
          <w:tab w:val="left" w:pos="1620"/>
          <w:tab w:val="left" w:pos="1800"/>
        </w:tabs>
        <w:spacing w:line="500" w:lineRule="exact"/>
        <w:ind w:firstLine="420" w:firstLineChars="200"/>
        <w:rPr>
          <w:rFonts w:hAnsi="宋体" w:cs="宋体"/>
          <w:sz w:val="21"/>
          <w:szCs w:val="21"/>
        </w:rPr>
      </w:pPr>
      <w:r>
        <w:rPr>
          <w:rFonts w:hint="eastAsia" w:hAnsi="宋体" w:cs="宋体"/>
          <w:sz w:val="21"/>
          <w:szCs w:val="21"/>
        </w:rPr>
        <w:t>2、供应商认为其为小型或微型企业的应提交本声明函，如供应商为代理商的，生产厂商应同时为小型或微型企业，并提供生产厂商的本声明函。</w:t>
      </w:r>
      <w:r>
        <w:rPr>
          <w:rFonts w:hint="eastAsia" w:hAnsi="宋体" w:cs="宋体"/>
          <w:sz w:val="21"/>
          <w:szCs w:val="21"/>
        </w:rPr>
        <w:br w:type="textWrapping"/>
      </w:r>
    </w:p>
    <w:p>
      <w:pPr>
        <w:rPr>
          <w:rFonts w:hAnsi="宋体" w:cs="宋体"/>
          <w:b/>
          <w:sz w:val="28"/>
          <w:szCs w:val="28"/>
        </w:rPr>
      </w:pPr>
      <w:r>
        <w:rPr>
          <w:rFonts w:hint="eastAsia" w:hAnsi="宋体" w:cs="宋体"/>
          <w:b/>
          <w:sz w:val="28"/>
          <w:szCs w:val="28"/>
        </w:rPr>
        <w:br w:type="page"/>
      </w:r>
    </w:p>
    <w:p>
      <w:pPr>
        <w:spacing w:beforeLines="100" w:afterLines="50"/>
        <w:outlineLvl w:val="2"/>
        <w:rPr>
          <w:rFonts w:hAnsi="宋体" w:cs="宋体"/>
          <w:b/>
          <w:sz w:val="28"/>
          <w:szCs w:val="28"/>
        </w:rPr>
      </w:pPr>
      <w:r>
        <w:rPr>
          <w:rFonts w:hint="eastAsia" w:hAnsi="宋体" w:cs="宋体"/>
          <w:b/>
          <w:sz w:val="28"/>
          <w:szCs w:val="28"/>
        </w:rPr>
        <w:t>附件2（如有）</w:t>
      </w:r>
    </w:p>
    <w:p>
      <w:pPr>
        <w:spacing w:beforeLines="100" w:afterLines="50"/>
        <w:jc w:val="center"/>
        <w:outlineLvl w:val="2"/>
        <w:rPr>
          <w:rFonts w:hAnsi="宋体" w:cs="宋体"/>
          <w:b/>
          <w:sz w:val="28"/>
          <w:szCs w:val="28"/>
        </w:rPr>
      </w:pPr>
      <w:r>
        <w:rPr>
          <w:rFonts w:hint="eastAsia" w:hAnsi="宋体" w:cs="宋体"/>
          <w:b/>
          <w:sz w:val="28"/>
          <w:szCs w:val="28"/>
        </w:rPr>
        <w:t>磋商产品属节能、环境标志产品列表</w:t>
      </w:r>
      <w:bookmarkEnd w:id="119"/>
    </w:p>
    <w:p>
      <w:pPr>
        <w:spacing w:line="360" w:lineRule="auto"/>
        <w:rPr>
          <w:rFonts w:hAnsi="宋体" w:cs="宋体"/>
          <w:bCs/>
          <w:sz w:val="28"/>
          <w:szCs w:val="28"/>
        </w:rPr>
      </w:pPr>
      <w:r>
        <w:rPr>
          <w:rFonts w:hint="eastAsia" w:hAnsi="宋体" w:cs="宋体"/>
          <w:bCs/>
          <w:sz w:val="28"/>
          <w:szCs w:val="28"/>
        </w:rPr>
        <w:t>项目名称：</w:t>
      </w:r>
    </w:p>
    <w:p>
      <w:pPr>
        <w:spacing w:line="360" w:lineRule="auto"/>
        <w:rPr>
          <w:rFonts w:hAnsi="宋体" w:cs="宋体"/>
          <w:bCs/>
          <w:sz w:val="28"/>
          <w:szCs w:val="28"/>
        </w:rPr>
      </w:pPr>
      <w:r>
        <w:rPr>
          <w:rFonts w:hint="eastAsia" w:hAnsi="宋体" w:cs="宋体"/>
          <w:bCs/>
          <w:sz w:val="28"/>
          <w:szCs w:val="28"/>
        </w:rPr>
        <w:t>项目编号：</w:t>
      </w:r>
    </w:p>
    <w:tbl>
      <w:tblPr>
        <w:tblStyle w:val="44"/>
        <w:tblW w:w="8930" w:type="dxa"/>
        <w:tblInd w:w="0" w:type="dxa"/>
        <w:tblLayout w:type="fixed"/>
        <w:tblCellMar>
          <w:top w:w="0" w:type="dxa"/>
          <w:left w:w="28" w:type="dxa"/>
          <w:bottom w:w="0" w:type="dxa"/>
          <w:right w:w="28" w:type="dxa"/>
        </w:tblCellMar>
      </w:tblPr>
      <w:tblGrid>
        <w:gridCol w:w="886"/>
        <w:gridCol w:w="1863"/>
        <w:gridCol w:w="2250"/>
        <w:gridCol w:w="1311"/>
        <w:gridCol w:w="1307"/>
        <w:gridCol w:w="1313"/>
      </w:tblGrid>
      <w:tr>
        <w:tblPrEx>
          <w:tblCellMar>
            <w:top w:w="0" w:type="dxa"/>
            <w:left w:w="28" w:type="dxa"/>
            <w:bottom w:w="0" w:type="dxa"/>
            <w:right w:w="28" w:type="dxa"/>
          </w:tblCellMar>
        </w:tblPrEx>
        <w:trPr>
          <w:trHeight w:val="911" w:hRule="atLeast"/>
        </w:trPr>
        <w:tc>
          <w:tcPr>
            <w:tcW w:w="886" w:type="dxa"/>
            <w:tcBorders>
              <w:top w:val="single" w:color="auto" w:sz="6" w:space="0"/>
              <w:left w:val="single" w:color="auto" w:sz="4" w:space="0"/>
              <w:bottom w:val="single" w:color="auto" w:sz="6" w:space="0"/>
            </w:tcBorders>
            <w:vAlign w:val="center"/>
          </w:tcPr>
          <w:p>
            <w:pPr>
              <w:spacing w:after="120"/>
              <w:jc w:val="center"/>
              <w:rPr>
                <w:rFonts w:hAnsi="宋体" w:cs="宋体"/>
              </w:rPr>
            </w:pPr>
            <w:r>
              <w:rPr>
                <w:rFonts w:hint="eastAsia" w:hAnsi="宋体" w:cs="宋体"/>
              </w:rPr>
              <w:t>序号</w:t>
            </w:r>
          </w:p>
        </w:tc>
        <w:tc>
          <w:tcPr>
            <w:tcW w:w="186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名称</w:t>
            </w:r>
          </w:p>
        </w:tc>
        <w:tc>
          <w:tcPr>
            <w:tcW w:w="2250"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hAnsi="宋体" w:cs="宋体"/>
              </w:rPr>
            </w:pPr>
            <w:r>
              <w:rPr>
                <w:rFonts w:hint="eastAsia" w:hAnsi="宋体" w:cs="宋体"/>
              </w:rPr>
              <w:t>型号和规格</w:t>
            </w:r>
          </w:p>
        </w:tc>
        <w:tc>
          <w:tcPr>
            <w:tcW w:w="1311"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数量</w:t>
            </w:r>
          </w:p>
        </w:tc>
        <w:tc>
          <w:tcPr>
            <w:tcW w:w="130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rPr>
            </w:pPr>
            <w:r>
              <w:rPr>
                <w:rFonts w:hint="eastAsia" w:hAnsi="宋体" w:cs="宋体"/>
              </w:rPr>
              <w:t>单价</w:t>
            </w:r>
          </w:p>
          <w:p>
            <w:pPr>
              <w:spacing w:after="120"/>
              <w:jc w:val="center"/>
              <w:rPr>
                <w:rFonts w:hAnsi="宋体" w:cs="宋体"/>
                <w:bCs/>
              </w:rPr>
            </w:pPr>
            <w:r>
              <w:rPr>
                <w:rFonts w:hint="eastAsia" w:hAnsi="宋体" w:cs="宋体"/>
              </w:rPr>
              <w:t>（元）</w:t>
            </w:r>
          </w:p>
        </w:tc>
        <w:tc>
          <w:tcPr>
            <w:tcW w:w="1313" w:type="dxa"/>
            <w:tcBorders>
              <w:top w:val="single" w:color="auto" w:sz="6" w:space="0"/>
              <w:left w:val="single" w:color="auto" w:sz="6" w:space="0"/>
              <w:bottom w:val="single" w:color="auto" w:sz="6" w:space="0"/>
              <w:right w:val="single" w:color="auto" w:sz="6" w:space="0"/>
            </w:tcBorders>
            <w:vAlign w:val="center"/>
          </w:tcPr>
          <w:p>
            <w:pPr>
              <w:spacing w:after="120"/>
              <w:jc w:val="center"/>
              <w:rPr>
                <w:rFonts w:hAnsi="宋体" w:cs="宋体"/>
                <w:bCs/>
              </w:rPr>
            </w:pPr>
            <w:r>
              <w:rPr>
                <w:rFonts w:hint="eastAsia" w:hAnsi="宋体" w:cs="宋体"/>
                <w:bCs/>
              </w:rPr>
              <w:t>总价</w:t>
            </w:r>
          </w:p>
          <w:p>
            <w:pPr>
              <w:spacing w:after="120"/>
              <w:jc w:val="center"/>
              <w:rPr>
                <w:rFonts w:hAnsi="宋体" w:cs="宋体"/>
                <w:bCs/>
              </w:rPr>
            </w:pPr>
            <w:r>
              <w:rPr>
                <w:rFonts w:hint="eastAsia" w:hAnsi="宋体" w:cs="宋体"/>
                <w:bCs/>
              </w:rPr>
              <w:t>（元）</w:t>
            </w:r>
          </w:p>
        </w:tc>
      </w:tr>
      <w:tr>
        <w:tblPrEx>
          <w:tblCellMar>
            <w:top w:w="0" w:type="dxa"/>
            <w:left w:w="28" w:type="dxa"/>
            <w:bottom w:w="0" w:type="dxa"/>
            <w:right w:w="28" w:type="dxa"/>
          </w:tblCellMar>
        </w:tblPrEx>
        <w:trPr>
          <w:trHeight w:val="808" w:hRule="atLeast"/>
        </w:trPr>
        <w:tc>
          <w:tcPr>
            <w:tcW w:w="886" w:type="dxa"/>
            <w:tcBorders>
              <w:top w:val="single" w:color="auto" w:sz="6" w:space="0"/>
              <w:left w:val="single" w:color="auto" w:sz="4" w:space="0"/>
              <w:bottom w:val="single" w:color="auto" w:sz="4" w:space="0"/>
            </w:tcBorders>
            <w:vAlign w:val="center"/>
          </w:tcPr>
          <w:p>
            <w:pPr>
              <w:spacing w:beforeLines="100"/>
              <w:jc w:val="center"/>
              <w:rPr>
                <w:rFonts w:hAnsi="宋体" w:cs="宋体"/>
              </w:rPr>
            </w:pPr>
            <w:r>
              <w:rPr>
                <w:rFonts w:hint="eastAsia" w:hAnsi="宋体" w:cs="宋体"/>
              </w:rPr>
              <w:t>1</w:t>
            </w:r>
          </w:p>
        </w:tc>
        <w:tc>
          <w:tcPr>
            <w:tcW w:w="1863"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2250"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311"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30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c>
          <w:tcPr>
            <w:tcW w:w="1313"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2</w:t>
            </w:r>
          </w:p>
        </w:tc>
        <w:tc>
          <w:tcPr>
            <w:tcW w:w="186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rPr>
              <w:t>3</w:t>
            </w:r>
          </w:p>
        </w:tc>
        <w:tc>
          <w:tcPr>
            <w:tcW w:w="1863"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hAnsi="宋体" w:cs="宋体"/>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hAnsi="宋体" w:cs="宋体"/>
              </w:rPr>
            </w:pPr>
            <w:r>
              <w:rPr>
                <w:rFonts w:hint="eastAsia" w:hAnsi="宋体" w:cs="宋体"/>
                <w:szCs w:val="24"/>
              </w:rPr>
              <w:t>……</w:t>
            </w:r>
          </w:p>
        </w:tc>
        <w:tc>
          <w:tcPr>
            <w:tcW w:w="186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hAnsi="宋体" w:cs="宋体"/>
                <w:b/>
              </w:rPr>
            </w:pPr>
            <w:r>
              <w:rPr>
                <w:rFonts w:hint="eastAsia" w:hAnsi="宋体" w:cs="宋体"/>
                <w:szCs w:val="24"/>
              </w:rPr>
              <w:t>……</w:t>
            </w:r>
          </w:p>
        </w:tc>
        <w:tc>
          <w:tcPr>
            <w:tcW w:w="186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c>
          <w:tcPr>
            <w:tcW w:w="1313"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合计：</w:t>
            </w:r>
          </w:p>
        </w:tc>
        <w:tc>
          <w:tcPr>
            <w:tcW w:w="8044" w:type="dxa"/>
            <w:gridSpan w:val="5"/>
            <w:tcBorders>
              <w:top w:val="single" w:color="auto" w:sz="4" w:space="0"/>
              <w:left w:val="single" w:color="auto" w:sz="6" w:space="0"/>
              <w:bottom w:val="single" w:color="auto" w:sz="6" w:space="0"/>
              <w:right w:val="single" w:color="auto" w:sz="6" w:space="0"/>
            </w:tcBorders>
            <w:vAlign w:val="center"/>
          </w:tcPr>
          <w:p>
            <w:pPr>
              <w:spacing w:beforeLines="50"/>
              <w:jc w:val="left"/>
              <w:rPr>
                <w:rFonts w:hAnsi="宋体" w:cs="宋体"/>
              </w:rPr>
            </w:pPr>
            <w:r>
              <w:rPr>
                <w:rFonts w:hint="eastAsia" w:hAnsi="宋体" w:cs="宋体"/>
              </w:rPr>
              <w:t>大写：                                小写：</w:t>
            </w: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jc w:val="center"/>
              <w:rPr>
                <w:rFonts w:hAnsi="宋体" w:cs="宋体"/>
              </w:rPr>
            </w:pPr>
            <w:r>
              <w:rPr>
                <w:rFonts w:hint="eastAsia" w:hAnsi="宋体" w:cs="宋体"/>
              </w:rPr>
              <w:t>备注</w:t>
            </w:r>
          </w:p>
        </w:tc>
        <w:tc>
          <w:tcPr>
            <w:tcW w:w="8044" w:type="dxa"/>
            <w:gridSpan w:val="5"/>
            <w:tcBorders>
              <w:top w:val="single" w:color="auto" w:sz="4" w:space="0"/>
              <w:left w:val="single" w:color="auto" w:sz="6" w:space="0"/>
              <w:bottom w:val="single" w:color="auto" w:sz="6" w:space="0"/>
              <w:right w:val="single" w:color="auto" w:sz="6" w:space="0"/>
            </w:tcBorders>
            <w:vAlign w:val="center"/>
          </w:tcPr>
          <w:p>
            <w:pPr>
              <w:spacing w:beforeLines="50"/>
              <w:jc w:val="center"/>
              <w:rPr>
                <w:rFonts w:hAnsi="宋体" w:cs="宋体"/>
              </w:rPr>
            </w:pPr>
            <w:r>
              <w:rPr>
                <w:rFonts w:hint="eastAsia" w:hAnsi="宋体" w:cs="宋体"/>
                <w:spacing w:val="-6"/>
              </w:rPr>
              <w:t>保留小数点后两位。</w:t>
            </w:r>
          </w:p>
        </w:tc>
      </w:tr>
    </w:tbl>
    <w:p>
      <w:pPr>
        <w:adjustRightInd w:val="0"/>
        <w:snapToGrid w:val="0"/>
        <w:spacing w:line="360" w:lineRule="auto"/>
        <w:rPr>
          <w:rFonts w:hAnsi="宋体" w:cs="宋体"/>
          <w:color w:val="000000"/>
          <w:szCs w:val="21"/>
        </w:rPr>
      </w:pPr>
    </w:p>
    <w:p>
      <w:pPr>
        <w:adjustRightInd w:val="0"/>
        <w:snapToGrid w:val="0"/>
        <w:spacing w:line="360" w:lineRule="auto"/>
        <w:rPr>
          <w:rFonts w:hAnsi="宋体" w:cs="宋体"/>
          <w:bCs/>
          <w:color w:val="000000"/>
          <w:szCs w:val="21"/>
        </w:rPr>
      </w:pPr>
      <w:r>
        <w:rPr>
          <w:rFonts w:hint="eastAsia" w:hAnsi="宋体" w:cs="宋体"/>
          <w:color w:val="000000"/>
          <w:szCs w:val="21"/>
        </w:rPr>
        <w:t>说明：</w:t>
      </w:r>
      <w:r>
        <w:rPr>
          <w:rFonts w:hint="eastAsia" w:hAnsi="宋体" w:cs="宋体"/>
          <w:bCs/>
          <w:color w:val="000000"/>
          <w:szCs w:val="21"/>
        </w:rPr>
        <w:t>1、</w:t>
      </w:r>
      <w:r>
        <w:rPr>
          <w:rFonts w:hint="eastAsia" w:hAnsi="宋体" w:cs="宋体"/>
          <w:color w:val="000000"/>
          <w:szCs w:val="21"/>
        </w:rPr>
        <w:t>供应商提供的属于节能、环境标志产品品目清单中优先采购的产品，须按磋商文件要求提供相关证明材料。</w:t>
      </w:r>
    </w:p>
    <w:p>
      <w:pPr>
        <w:pStyle w:val="149"/>
        <w:spacing w:line="400" w:lineRule="exact"/>
        <w:ind w:left="480" w:leftChars="200" w:firstLine="240" w:firstLineChars="100"/>
        <w:rPr>
          <w:rFonts w:hAnsi="宋体" w:cs="宋体"/>
          <w:color w:val="000000"/>
          <w:sz w:val="28"/>
          <w:szCs w:val="28"/>
        </w:rPr>
      </w:pPr>
      <w:r>
        <w:rPr>
          <w:rFonts w:hint="eastAsia" w:hAnsi="宋体" w:cs="宋体"/>
          <w:bCs/>
          <w:color w:val="000000"/>
        </w:rPr>
        <w:t>2、未按上述要求提供、</w:t>
      </w:r>
      <w:r>
        <w:rPr>
          <w:rFonts w:hint="eastAsia" w:hAnsi="宋体" w:cs="宋体"/>
          <w:color w:val="000000"/>
        </w:rPr>
        <w:t>填写</w:t>
      </w:r>
      <w:r>
        <w:rPr>
          <w:rFonts w:hint="eastAsia" w:hAnsi="宋体" w:cs="宋体"/>
          <w:bCs/>
          <w:color w:val="000000"/>
        </w:rPr>
        <w:t>的，评审时不予以考虑。</w:t>
      </w:r>
    </w:p>
    <w:p>
      <w:pPr>
        <w:spacing w:before="100" w:beforeAutospacing="1" w:afterLines="50" w:line="360" w:lineRule="auto"/>
        <w:outlineLvl w:val="2"/>
        <w:rPr>
          <w:rFonts w:hAnsi="宋体" w:cs="宋体"/>
          <w:b/>
          <w:bCs/>
          <w:spacing w:val="6"/>
          <w:sz w:val="30"/>
          <w:szCs w:val="30"/>
        </w:rPr>
      </w:pPr>
      <w:r>
        <w:rPr>
          <w:rFonts w:hint="eastAsia" w:hAnsi="宋体" w:cs="宋体"/>
          <w:szCs w:val="24"/>
        </w:rPr>
        <w:br w:type="page"/>
      </w:r>
      <w:r>
        <w:rPr>
          <w:rFonts w:hint="eastAsia" w:hAnsi="宋体" w:cs="宋体"/>
          <w:b/>
          <w:bCs/>
          <w:spacing w:val="6"/>
          <w:sz w:val="30"/>
          <w:szCs w:val="30"/>
        </w:rPr>
        <w:t>附件3（如有）</w:t>
      </w:r>
    </w:p>
    <w:p>
      <w:pPr>
        <w:spacing w:line="588" w:lineRule="exact"/>
        <w:jc w:val="center"/>
        <w:outlineLvl w:val="2"/>
        <w:rPr>
          <w:rFonts w:hAnsi="宋体" w:cs="宋体"/>
          <w:b/>
          <w:spacing w:val="6"/>
          <w:sz w:val="32"/>
          <w:szCs w:val="32"/>
        </w:rPr>
      </w:pPr>
      <w:bookmarkStart w:id="120" w:name="OLE_LINK14"/>
      <w:bookmarkStart w:id="121" w:name="OLE_LINK13"/>
      <w:r>
        <w:rPr>
          <w:rFonts w:hint="eastAsia" w:hAnsi="宋体" w:cs="宋体"/>
          <w:b/>
          <w:spacing w:val="6"/>
          <w:sz w:val="32"/>
          <w:szCs w:val="32"/>
        </w:rPr>
        <w:t>残疾人福利性单位声明函</w:t>
      </w:r>
    </w:p>
    <w:bookmarkEnd w:id="120"/>
    <w:bookmarkEnd w:id="121"/>
    <w:p>
      <w:pPr>
        <w:spacing w:line="588" w:lineRule="exact"/>
        <w:rPr>
          <w:rFonts w:hAnsi="宋体" w:cs="宋体"/>
          <w:b/>
          <w:spacing w:val="6"/>
          <w:sz w:val="30"/>
          <w:szCs w:val="30"/>
        </w:rPr>
      </w:pPr>
    </w:p>
    <w:p>
      <w:pPr>
        <w:spacing w:line="588" w:lineRule="exact"/>
        <w:ind w:firstLine="504" w:firstLineChars="200"/>
        <w:rPr>
          <w:rFonts w:hAnsi="宋体" w:cs="宋体"/>
          <w:spacing w:val="6"/>
          <w:szCs w:val="24"/>
        </w:rPr>
      </w:pPr>
      <w:r>
        <w:rPr>
          <w:rFonts w:hint="eastAsia" w:hAnsi="宋体" w:cs="宋体"/>
          <w:spacing w:val="6"/>
          <w:szCs w:val="24"/>
        </w:rPr>
        <w:t>本单位郑重声明，根据《财政部 民政部 中国残疾人联合会关于促进残疾人就业政府采购政策的通知》（财库</w:t>
      </w:r>
      <w:r>
        <w:rPr>
          <w:rFonts w:hint="eastAsia" w:hAnsi="宋体" w:cs="宋体"/>
          <w:szCs w:val="24"/>
        </w:rPr>
        <w:t>〔2017〕 141</w:t>
      </w:r>
      <w:r>
        <w:rPr>
          <w:rFonts w:hint="eastAsia" w:hAnsi="宋体" w:cs="宋体"/>
          <w:spacing w:val="6"/>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6" w:firstLineChars="200"/>
        <w:rPr>
          <w:rFonts w:hAnsi="宋体" w:cs="宋体"/>
          <w:b/>
          <w:bCs/>
          <w:spacing w:val="6"/>
          <w:szCs w:val="24"/>
        </w:rPr>
      </w:pPr>
      <w:r>
        <w:rPr>
          <w:rFonts w:hint="eastAsia" w:hAnsi="宋体" w:cs="宋体"/>
          <w:b/>
          <w:bCs/>
          <w:spacing w:val="6"/>
          <w:szCs w:val="24"/>
        </w:rPr>
        <w:t>本单位对上述声明的真实性负责。如有虚假，将依法承担相应责任。</w:t>
      </w: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tabs>
          <w:tab w:val="left" w:pos="4860"/>
        </w:tabs>
        <w:spacing w:line="588" w:lineRule="exact"/>
        <w:ind w:right="1560" w:firstLine="504" w:firstLineChars="200"/>
        <w:jc w:val="center"/>
        <w:rPr>
          <w:rFonts w:hAnsi="宋体" w:cs="宋体"/>
          <w:spacing w:val="6"/>
          <w:szCs w:val="24"/>
        </w:rPr>
      </w:pPr>
      <w:r>
        <w:rPr>
          <w:rFonts w:hint="eastAsia" w:hAnsi="宋体" w:cs="宋体"/>
          <w:spacing w:val="6"/>
          <w:szCs w:val="24"/>
        </w:rPr>
        <w:t xml:space="preserve">               单位名称（盖章）：</w:t>
      </w:r>
    </w:p>
    <w:p>
      <w:pPr>
        <w:tabs>
          <w:tab w:val="left" w:pos="4860"/>
        </w:tabs>
        <w:spacing w:line="588" w:lineRule="exact"/>
        <w:ind w:right="1560" w:firstLine="504" w:firstLineChars="200"/>
        <w:jc w:val="center"/>
        <w:rPr>
          <w:rFonts w:hAnsi="宋体" w:cs="宋体"/>
          <w:spacing w:val="6"/>
          <w:szCs w:val="24"/>
        </w:rPr>
      </w:pPr>
      <w:r>
        <w:rPr>
          <w:rFonts w:hint="eastAsia" w:hAnsi="宋体" w:cs="宋体"/>
          <w:spacing w:val="6"/>
          <w:szCs w:val="24"/>
        </w:rPr>
        <w:t xml:space="preserve">       日    期：</w:t>
      </w:r>
    </w:p>
    <w:p>
      <w:pPr>
        <w:tabs>
          <w:tab w:val="left" w:pos="1620"/>
          <w:tab w:val="left" w:pos="1800"/>
        </w:tabs>
        <w:spacing w:line="440" w:lineRule="exact"/>
        <w:ind w:right="617" w:rightChars="257"/>
        <w:rPr>
          <w:rFonts w:hAnsi="宋体" w:cs="宋体"/>
        </w:rPr>
      </w:pPr>
    </w:p>
    <w:p>
      <w:pPr>
        <w:rPr>
          <w:rFonts w:hAnsi="宋体" w:cs="宋体"/>
          <w:szCs w:val="24"/>
        </w:rPr>
      </w:pPr>
    </w:p>
    <w:p>
      <w:pPr>
        <w:rPr>
          <w:rFonts w:hAnsi="宋体" w:cs="宋体"/>
          <w:szCs w:val="24"/>
        </w:rPr>
      </w:pPr>
    </w:p>
    <w:p>
      <w:pPr>
        <w:rPr>
          <w:rFonts w:hAnsi="宋体" w:cs="宋体"/>
          <w:b/>
          <w:sz w:val="30"/>
          <w:szCs w:val="30"/>
        </w:rPr>
      </w:pPr>
      <w:r>
        <w:rPr>
          <w:rFonts w:hint="eastAsia" w:hAnsi="宋体" w:cs="宋体"/>
          <w:b/>
          <w:sz w:val="30"/>
          <w:szCs w:val="30"/>
        </w:rPr>
        <w:br w:type="page"/>
      </w:r>
    </w:p>
    <w:p>
      <w:pPr>
        <w:pStyle w:val="18"/>
        <w:outlineLvl w:val="2"/>
        <w:rPr>
          <w:rFonts w:ascii="宋体" w:hAnsi="宋体" w:cs="宋体"/>
          <w:b/>
          <w:bCs/>
          <w:spacing w:val="6"/>
          <w:kern w:val="0"/>
          <w:sz w:val="30"/>
          <w:szCs w:val="30"/>
        </w:rPr>
      </w:pPr>
      <w:r>
        <w:rPr>
          <w:rFonts w:hint="eastAsia" w:ascii="宋体" w:hAnsi="宋体" w:cs="宋体"/>
          <w:b/>
          <w:sz w:val="30"/>
          <w:szCs w:val="30"/>
        </w:rPr>
        <w:t>附件4</w:t>
      </w:r>
      <w:r>
        <w:rPr>
          <w:rFonts w:hint="eastAsia" w:ascii="宋体" w:hAnsi="宋体" w:cs="宋体"/>
          <w:b/>
          <w:bCs/>
          <w:spacing w:val="6"/>
          <w:sz w:val="30"/>
          <w:szCs w:val="30"/>
        </w:rPr>
        <w:t>（如有）</w:t>
      </w:r>
    </w:p>
    <w:p>
      <w:pPr>
        <w:spacing w:line="500" w:lineRule="exact"/>
        <w:ind w:firstLine="643" w:firstLineChars="200"/>
        <w:jc w:val="center"/>
        <w:outlineLvl w:val="2"/>
        <w:rPr>
          <w:rFonts w:hAnsi="宋体" w:cs="宋体"/>
          <w:b/>
          <w:bCs/>
          <w:sz w:val="32"/>
          <w:szCs w:val="32"/>
        </w:rPr>
      </w:pPr>
      <w:r>
        <w:rPr>
          <w:rFonts w:hint="eastAsia" w:hAnsi="宋体" w:cs="宋体"/>
          <w:b/>
          <w:bCs/>
          <w:sz w:val="32"/>
          <w:szCs w:val="32"/>
        </w:rPr>
        <w:t>监狱企业证明文件</w:t>
      </w:r>
    </w:p>
    <w:p>
      <w:pPr>
        <w:pStyle w:val="18"/>
        <w:rPr>
          <w:rFonts w:ascii="宋体" w:hAnsi="宋体" w:cs="宋体"/>
        </w:rPr>
      </w:pPr>
    </w:p>
    <w:p>
      <w:pPr>
        <w:spacing w:line="500" w:lineRule="exact"/>
        <w:ind w:firstLine="480" w:firstLineChars="200"/>
        <w:jc w:val="left"/>
        <w:rPr>
          <w:rFonts w:hAnsi="宋体" w:cs="宋体"/>
        </w:rPr>
      </w:pPr>
      <w:r>
        <w:rPr>
          <w:rFonts w:hint="eastAsia" w:hAnsi="宋体" w:cs="宋体"/>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00" w:lineRule="exact"/>
        <w:ind w:firstLine="480" w:firstLineChars="200"/>
        <w:jc w:val="left"/>
        <w:rPr>
          <w:rFonts w:hAnsi="宋体" w:cs="宋体"/>
        </w:rPr>
      </w:pPr>
      <w:r>
        <w:rPr>
          <w:rFonts w:hint="eastAsia" w:hAnsi="宋体" w:cs="宋体"/>
        </w:rPr>
        <w:t>监狱企业参加政府采购活动时，应当提供由省级以上监狱管理局、戒毒管理局（含新疆生产建设兵团）出具的属于监狱企业的证明文件。</w:t>
      </w:r>
    </w:p>
    <w:p>
      <w:pPr>
        <w:pStyle w:val="18"/>
        <w:rPr>
          <w:rFonts w:ascii="宋体" w:hAnsi="宋体" w:cs="宋体"/>
          <w:color w:val="FF0000"/>
          <w:sz w:val="24"/>
          <w:szCs w:val="24"/>
        </w:rPr>
      </w:pPr>
    </w:p>
    <w:sectPr>
      <w:footerReference r:id="rId6" w:type="default"/>
      <w:pgSz w:w="11906" w:h="16838"/>
      <w:pgMar w:top="1417" w:right="1418" w:bottom="1417" w:left="1417"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pperplate Gothic Bold">
    <w:altName w:val="Segoe Print"/>
    <w:panose1 w:val="020E07050202060204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10002FF" w:usb1="4000FCFF" w:usb2="00000009" w:usb3="00000000" w:csb0="6000019F" w:csb1="DFD7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AGYXIQ+Frutiger-Cn">
    <w:altName w:val="宋体"/>
    <w:panose1 w:val="00000000000000000000"/>
    <w:charset w:val="86"/>
    <w:family w:val="swiss"/>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p>
  <w:p>
    <w:pPr>
      <w:pStyle w:val="28"/>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r>
      <w:pict>
        <v:shape id="文本框 5"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C5aU1naAQAAwAMAAA4AAAAAAAAAAQAg&#10;AAAAHgEAAGRycy9lMm9Eb2MueG1sUEsFBgAAAAAGAAYAWQEAAGoF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29</w:t>
                </w:r>
                <w:r>
                  <w:rPr>
                    <w:rFonts w:hint="eastAsia"/>
                    <w:sz w:val="18"/>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exact"/>
      <w:ind w:left="1530" w:hanging="1530" w:hangingChars="850"/>
      <w:rPr>
        <w:rFonts w:hAnsi="宋体" w:cs="宋体"/>
        <w:szCs w:val="24"/>
      </w:rPr>
    </w:pPr>
    <w:r>
      <w:rPr>
        <w:rFonts w:hint="eastAsia" w:ascii="宋体" w:hAnsi="宋体" w:eastAsia="宋体" w:cs="宋体"/>
        <w:b w:val="0"/>
        <w:bCs/>
        <w:sz w:val="18"/>
        <w:szCs w:val="18"/>
        <w:u w:val="single"/>
      </w:rPr>
      <w:t>灞桥法院集中印务系统采购项目</w:t>
    </w:r>
    <w:r>
      <w:rPr>
        <w:rFonts w:hint="eastAsia" w:hAnsi="宋体"/>
        <w:bCs/>
        <w:sz w:val="18"/>
        <w:szCs w:val="18"/>
        <w:u w:val="single"/>
      </w:rPr>
      <w:t xml:space="preserve">                                                          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DC12FA"/>
    <w:multiLevelType w:val="singleLevel"/>
    <w:tmpl w:val="A4DC12FA"/>
    <w:lvl w:ilvl="0" w:tentative="0">
      <w:start w:val="2"/>
      <w:numFmt w:val="chineseCounting"/>
      <w:suff w:val="nothing"/>
      <w:lvlText w:val="（%1）"/>
      <w:lvlJc w:val="left"/>
      <w:rPr>
        <w:rFonts w:hint="eastAsia"/>
      </w:rPr>
    </w:lvl>
  </w:abstractNum>
  <w:abstractNum w:abstractNumId="1">
    <w:nsid w:val="00000002"/>
    <w:multiLevelType w:val="multilevel"/>
    <w:tmpl w:val="00000002"/>
    <w:lvl w:ilvl="0" w:tentative="0">
      <w:start w:val="1"/>
      <w:numFmt w:val="decimal"/>
      <w:pStyle w:val="171"/>
      <w:lvlText w:val="%1. "/>
      <w:lvlJc w:val="left"/>
      <w:pPr>
        <w:tabs>
          <w:tab w:val="left" w:pos="839"/>
        </w:tabs>
        <w:ind w:left="839" w:hanging="419"/>
      </w:pPr>
      <w:rPr>
        <w:rFonts w:hint="eastAsia"/>
      </w:rPr>
    </w:lvl>
    <w:lvl w:ilvl="1" w:tentative="0">
      <w:start w:val="1"/>
      <w:numFmt w:val="upperLetter"/>
      <w:pStyle w:val="129"/>
      <w:lvlText w:val="%2. "/>
      <w:lvlJc w:val="left"/>
      <w:pPr>
        <w:tabs>
          <w:tab w:val="left" w:pos="1049"/>
        </w:tabs>
        <w:ind w:left="1049" w:hanging="420"/>
      </w:pPr>
      <w:rPr>
        <w:rFonts w:hint="eastAsia"/>
      </w:rPr>
    </w:lvl>
    <w:lvl w:ilvl="2" w:tentative="0">
      <w:start w:val="1"/>
      <w:numFmt w:val="lowerLetter"/>
      <w:pStyle w:val="150"/>
      <w:lvlText w:val="%3. "/>
      <w:lvlJc w:val="left"/>
      <w:pPr>
        <w:tabs>
          <w:tab w:val="left" w:pos="1259"/>
        </w:tabs>
        <w:ind w:left="1259" w:hanging="420"/>
      </w:pPr>
      <w:rPr>
        <w:rFonts w:hint="eastAsia"/>
      </w:rPr>
    </w:lvl>
    <w:lvl w:ilvl="3" w:tentative="0">
      <w:start w:val="1"/>
      <w:numFmt w:val="lowerLetter"/>
      <w:pStyle w:val="140"/>
      <w:lvlText w:val="%4) "/>
      <w:lvlJc w:val="left"/>
      <w:pPr>
        <w:tabs>
          <w:tab w:val="left" w:pos="1469"/>
        </w:tabs>
        <w:ind w:left="1469" w:hanging="420"/>
      </w:pPr>
      <w:rPr>
        <w:rFonts w:hint="eastAsia"/>
      </w:rPr>
    </w:lvl>
    <w:lvl w:ilvl="4" w:tentative="0">
      <w:start w:val="1"/>
      <w:numFmt w:val="none"/>
      <w:suff w:val="nothing"/>
      <w:lvlText w:val=""/>
      <w:lvlJc w:val="left"/>
      <w:pPr>
        <w:ind w:left="1259" w:firstLine="0"/>
      </w:pPr>
      <w:rPr>
        <w:rFonts w:hint="eastAsia"/>
      </w:rPr>
    </w:lvl>
    <w:lvl w:ilvl="5" w:tentative="0">
      <w:start w:val="1"/>
      <w:numFmt w:val="none"/>
      <w:suff w:val="nothing"/>
      <w:lvlText w:val=""/>
      <w:lvlJc w:val="left"/>
      <w:pPr>
        <w:ind w:left="1259" w:firstLine="0"/>
      </w:pPr>
      <w:rPr>
        <w:rFonts w:hint="eastAsia"/>
      </w:rPr>
    </w:lvl>
    <w:lvl w:ilvl="6" w:tentative="0">
      <w:start w:val="1"/>
      <w:numFmt w:val="none"/>
      <w:suff w:val="nothing"/>
      <w:lvlText w:val=""/>
      <w:lvlJc w:val="left"/>
      <w:pPr>
        <w:ind w:left="1259" w:firstLine="0"/>
      </w:pPr>
      <w:rPr>
        <w:rFonts w:hint="eastAsia"/>
      </w:rPr>
    </w:lvl>
    <w:lvl w:ilvl="7" w:tentative="0">
      <w:start w:val="1"/>
      <w:numFmt w:val="none"/>
      <w:suff w:val="nothing"/>
      <w:lvlText w:val=""/>
      <w:lvlJc w:val="left"/>
      <w:pPr>
        <w:ind w:left="1259" w:firstLine="0"/>
      </w:pPr>
      <w:rPr>
        <w:rFonts w:hint="eastAsia"/>
      </w:rPr>
    </w:lvl>
    <w:lvl w:ilvl="8" w:tentative="0">
      <w:start w:val="1"/>
      <w:numFmt w:val="none"/>
      <w:suff w:val="nothing"/>
      <w:lvlText w:val=""/>
      <w:lvlJc w:val="left"/>
      <w:pPr>
        <w:ind w:left="1259" w:firstLine="0"/>
      </w:pPr>
      <w:rPr>
        <w:rFonts w:hint="eastAsia"/>
      </w:rPr>
    </w:lvl>
  </w:abstractNum>
  <w:abstractNum w:abstractNumId="2">
    <w:nsid w:val="0000001F"/>
    <w:multiLevelType w:val="singleLevel"/>
    <w:tmpl w:val="0000001F"/>
    <w:lvl w:ilvl="0" w:tentative="0">
      <w:start w:val="1"/>
      <w:numFmt w:val="decimal"/>
      <w:pStyle w:val="151"/>
      <w:lvlText w:val="%1．"/>
      <w:lvlJc w:val="left"/>
      <w:pPr>
        <w:tabs>
          <w:tab w:val="left" w:pos="720"/>
        </w:tabs>
        <w:ind w:left="720" w:hanging="720"/>
      </w:pPr>
    </w:lvl>
  </w:abstractNum>
  <w:abstractNum w:abstractNumId="3">
    <w:nsid w:val="00000024"/>
    <w:multiLevelType w:val="multilevel"/>
    <w:tmpl w:val="00000024"/>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pStyle w:val="143"/>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0000031"/>
    <w:multiLevelType w:val="multilevel"/>
    <w:tmpl w:val="00000031"/>
    <w:lvl w:ilvl="0" w:tentative="0">
      <w:start w:val="1"/>
      <w:numFmt w:val="decimal"/>
      <w:lvlText w:val="%1."/>
      <w:lvlJc w:val="left"/>
      <w:pPr>
        <w:tabs>
          <w:tab w:val="left" w:pos="420"/>
        </w:tabs>
        <w:ind w:left="420" w:hanging="420"/>
      </w:pPr>
    </w:lvl>
    <w:lvl w:ilvl="1" w:tentative="0">
      <w:start w:val="1"/>
      <w:numFmt w:val="bullet"/>
      <w:pStyle w:val="33"/>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4"/>
      <w:numFmt w:val="decimal"/>
      <w:lvlText w:val="%5、"/>
      <w:lvlJc w:val="left"/>
      <w:pPr>
        <w:tabs>
          <w:tab w:val="left" w:pos="2160"/>
        </w:tabs>
        <w:ind w:left="2160" w:hanging="480"/>
      </w:pPr>
      <w:rPr>
        <w:rFonts w:hint="eastAsia"/>
      </w:rPr>
    </w:lvl>
    <w:lvl w:ilvl="5" w:tentative="0">
      <w:start w:val="28"/>
      <w:numFmt w:val="decimal"/>
      <w:lvlText w:val="%6．"/>
      <w:lvlJc w:val="left"/>
      <w:pPr>
        <w:tabs>
          <w:tab w:val="left" w:pos="2520"/>
        </w:tabs>
        <w:ind w:left="2520" w:hanging="420"/>
      </w:pPr>
      <w:rPr>
        <w:rFonts w:hint="eastAsia"/>
      </w:r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BA6A28D"/>
    <w:multiLevelType w:val="singleLevel"/>
    <w:tmpl w:val="2BA6A28D"/>
    <w:lvl w:ilvl="0" w:tentative="0">
      <w:start w:val="1"/>
      <w:numFmt w:val="decimal"/>
      <w:suff w:val="nothing"/>
      <w:lvlText w:val="%1、"/>
      <w:lvlJc w:val="left"/>
    </w:lvl>
  </w:abstractNum>
  <w:abstractNum w:abstractNumId="6">
    <w:nsid w:val="3345DCC0"/>
    <w:multiLevelType w:val="singleLevel"/>
    <w:tmpl w:val="3345DCC0"/>
    <w:lvl w:ilvl="0" w:tentative="0">
      <w:start w:val="1"/>
      <w:numFmt w:val="decimal"/>
      <w:suff w:val="nothing"/>
      <w:lvlText w:val="%1）"/>
      <w:lvlJc w:val="left"/>
    </w:lvl>
  </w:abstractNum>
  <w:abstractNum w:abstractNumId="7">
    <w:nsid w:val="550BB5CF"/>
    <w:multiLevelType w:val="singleLevel"/>
    <w:tmpl w:val="550BB5CF"/>
    <w:lvl w:ilvl="0" w:tentative="0">
      <w:start w:val="3"/>
      <w:numFmt w:val="chineseCounting"/>
      <w:suff w:val="space"/>
      <w:lvlText w:val="第%1章"/>
      <w:lvlJc w:val="left"/>
    </w:lvl>
  </w:abstractNum>
  <w:abstractNum w:abstractNumId="8">
    <w:nsid w:val="5846306A"/>
    <w:multiLevelType w:val="singleLevel"/>
    <w:tmpl w:val="5846306A"/>
    <w:lvl w:ilvl="0" w:tentative="0">
      <w:start w:val="1"/>
      <w:numFmt w:val="decimal"/>
      <w:suff w:val="nothing"/>
      <w:lvlText w:val="%1、"/>
      <w:lvlJc w:val="left"/>
    </w:lvl>
  </w:abstractNum>
  <w:abstractNum w:abstractNumId="9">
    <w:nsid w:val="58491603"/>
    <w:multiLevelType w:val="singleLevel"/>
    <w:tmpl w:val="58491603"/>
    <w:lvl w:ilvl="0" w:tentative="0">
      <w:start w:val="1"/>
      <w:numFmt w:val="decimal"/>
      <w:suff w:val="nothing"/>
      <w:lvlText w:val="%1、"/>
      <w:lvlJc w:val="left"/>
    </w:lvl>
  </w:abstractNum>
  <w:abstractNum w:abstractNumId="10">
    <w:nsid w:val="59CF0981"/>
    <w:multiLevelType w:val="singleLevel"/>
    <w:tmpl w:val="59CF0981"/>
    <w:lvl w:ilvl="0" w:tentative="0">
      <w:start w:val="1"/>
      <w:numFmt w:val="decimal"/>
      <w:suff w:val="nothing"/>
      <w:lvlText w:val="%1、"/>
      <w:lvlJc w:val="left"/>
    </w:lvl>
  </w:abstractNum>
  <w:num w:numId="1">
    <w:abstractNumId w:val="4"/>
  </w:num>
  <w:num w:numId="2">
    <w:abstractNumId w:val="1"/>
  </w:num>
  <w:num w:numId="3">
    <w:abstractNumId w:val="3"/>
  </w:num>
  <w:num w:numId="4">
    <w:abstractNumId w:val="2"/>
  </w:num>
  <w:num w:numId="5">
    <w:abstractNumId w:val="7"/>
  </w:num>
  <w:num w:numId="6">
    <w:abstractNumId w:val="10"/>
  </w:num>
  <w:num w:numId="7">
    <w:abstractNumId w:val="8"/>
  </w:num>
  <w:num w:numId="8">
    <w:abstractNumId w:val="6"/>
  </w:num>
  <w:num w:numId="9">
    <w:abstractNumId w:val="0"/>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hideSpellingErrors/>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doNotValidateAgainstSchema/>
  <w:doNotDemarcateInvalidXml/>
  <w:hdrShapeDefaults>
    <o:shapelayout v:ext="edit">
      <o:idmap v:ext="edit" data="1,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30347"/>
    <w:rsid w:val="000B6866"/>
    <w:rsid w:val="000E1677"/>
    <w:rsid w:val="000E2E8F"/>
    <w:rsid w:val="00120DFF"/>
    <w:rsid w:val="00172A27"/>
    <w:rsid w:val="001E4324"/>
    <w:rsid w:val="002A6E04"/>
    <w:rsid w:val="003312E5"/>
    <w:rsid w:val="0036025D"/>
    <w:rsid w:val="003B4825"/>
    <w:rsid w:val="00430CCC"/>
    <w:rsid w:val="0046728B"/>
    <w:rsid w:val="004848BC"/>
    <w:rsid w:val="004A5BB6"/>
    <w:rsid w:val="004F2F77"/>
    <w:rsid w:val="00500AD4"/>
    <w:rsid w:val="00500F4F"/>
    <w:rsid w:val="005055F0"/>
    <w:rsid w:val="00535D17"/>
    <w:rsid w:val="00535D44"/>
    <w:rsid w:val="00594467"/>
    <w:rsid w:val="00601679"/>
    <w:rsid w:val="00606B41"/>
    <w:rsid w:val="006C2FAD"/>
    <w:rsid w:val="006E650A"/>
    <w:rsid w:val="007421DB"/>
    <w:rsid w:val="007F3DF7"/>
    <w:rsid w:val="008A085D"/>
    <w:rsid w:val="009F78F1"/>
    <w:rsid w:val="00AA4433"/>
    <w:rsid w:val="00AD161E"/>
    <w:rsid w:val="00B31864"/>
    <w:rsid w:val="00B95CCB"/>
    <w:rsid w:val="00BB1710"/>
    <w:rsid w:val="00BB3704"/>
    <w:rsid w:val="00BD15B5"/>
    <w:rsid w:val="00BE3B0B"/>
    <w:rsid w:val="00C15CD6"/>
    <w:rsid w:val="00C50209"/>
    <w:rsid w:val="00C72EE2"/>
    <w:rsid w:val="00CE14CA"/>
    <w:rsid w:val="00D03C28"/>
    <w:rsid w:val="00D067F0"/>
    <w:rsid w:val="00D31AFA"/>
    <w:rsid w:val="00D37DEC"/>
    <w:rsid w:val="00D74E17"/>
    <w:rsid w:val="00D823B4"/>
    <w:rsid w:val="00DC1586"/>
    <w:rsid w:val="00E23659"/>
    <w:rsid w:val="00E43C82"/>
    <w:rsid w:val="00E604DB"/>
    <w:rsid w:val="00EA4AAD"/>
    <w:rsid w:val="00EF7104"/>
    <w:rsid w:val="00F33729"/>
    <w:rsid w:val="00FA3189"/>
    <w:rsid w:val="00FC0DA2"/>
    <w:rsid w:val="00FD2AEC"/>
    <w:rsid w:val="01A91CE5"/>
    <w:rsid w:val="02762D98"/>
    <w:rsid w:val="027B53CC"/>
    <w:rsid w:val="02B87DFF"/>
    <w:rsid w:val="02EE40B4"/>
    <w:rsid w:val="03101E2D"/>
    <w:rsid w:val="03FC0501"/>
    <w:rsid w:val="0435583E"/>
    <w:rsid w:val="047C48C8"/>
    <w:rsid w:val="04C55B97"/>
    <w:rsid w:val="05141674"/>
    <w:rsid w:val="06313F6F"/>
    <w:rsid w:val="063A7F63"/>
    <w:rsid w:val="06697032"/>
    <w:rsid w:val="06C54412"/>
    <w:rsid w:val="06E11C61"/>
    <w:rsid w:val="06E41556"/>
    <w:rsid w:val="06E776B7"/>
    <w:rsid w:val="06F40EF0"/>
    <w:rsid w:val="070C7189"/>
    <w:rsid w:val="078C56B1"/>
    <w:rsid w:val="07C77C18"/>
    <w:rsid w:val="083A40FB"/>
    <w:rsid w:val="08760879"/>
    <w:rsid w:val="08A500F5"/>
    <w:rsid w:val="08EA7D18"/>
    <w:rsid w:val="08EB401D"/>
    <w:rsid w:val="090E210A"/>
    <w:rsid w:val="09186BD0"/>
    <w:rsid w:val="092C1587"/>
    <w:rsid w:val="09365A6C"/>
    <w:rsid w:val="098922EE"/>
    <w:rsid w:val="09DD07FE"/>
    <w:rsid w:val="0A2067E0"/>
    <w:rsid w:val="0A9E325D"/>
    <w:rsid w:val="0B00141C"/>
    <w:rsid w:val="0BA4742B"/>
    <w:rsid w:val="0C0B25A7"/>
    <w:rsid w:val="0C9E6053"/>
    <w:rsid w:val="0CD86FCA"/>
    <w:rsid w:val="0CEC1AAF"/>
    <w:rsid w:val="0D6B10C0"/>
    <w:rsid w:val="0DBE7FDC"/>
    <w:rsid w:val="0DEA535B"/>
    <w:rsid w:val="0E0D621A"/>
    <w:rsid w:val="0E385FD7"/>
    <w:rsid w:val="0EE96C06"/>
    <w:rsid w:val="0F3C79E0"/>
    <w:rsid w:val="0F7A4BE5"/>
    <w:rsid w:val="0FF13600"/>
    <w:rsid w:val="10B95671"/>
    <w:rsid w:val="10D16104"/>
    <w:rsid w:val="10DE5C72"/>
    <w:rsid w:val="11183690"/>
    <w:rsid w:val="112545DA"/>
    <w:rsid w:val="11681D49"/>
    <w:rsid w:val="11A60F1D"/>
    <w:rsid w:val="11FB2300"/>
    <w:rsid w:val="120C1A69"/>
    <w:rsid w:val="1219334D"/>
    <w:rsid w:val="12A10432"/>
    <w:rsid w:val="12BB18AC"/>
    <w:rsid w:val="12CB141B"/>
    <w:rsid w:val="12EE3269"/>
    <w:rsid w:val="13C21F37"/>
    <w:rsid w:val="13FF65B9"/>
    <w:rsid w:val="14124711"/>
    <w:rsid w:val="14413880"/>
    <w:rsid w:val="147802EA"/>
    <w:rsid w:val="147D57FE"/>
    <w:rsid w:val="1489797E"/>
    <w:rsid w:val="14E3185F"/>
    <w:rsid w:val="14EC685B"/>
    <w:rsid w:val="15902679"/>
    <w:rsid w:val="15B91E3C"/>
    <w:rsid w:val="15D72C48"/>
    <w:rsid w:val="15D92747"/>
    <w:rsid w:val="168E1B66"/>
    <w:rsid w:val="16902DD7"/>
    <w:rsid w:val="16973F77"/>
    <w:rsid w:val="16B218DC"/>
    <w:rsid w:val="16C1260E"/>
    <w:rsid w:val="16E666B9"/>
    <w:rsid w:val="170314FF"/>
    <w:rsid w:val="17420D24"/>
    <w:rsid w:val="177111BF"/>
    <w:rsid w:val="17D873E3"/>
    <w:rsid w:val="17F45F5E"/>
    <w:rsid w:val="18273A72"/>
    <w:rsid w:val="184E30CB"/>
    <w:rsid w:val="18545AD6"/>
    <w:rsid w:val="186A3596"/>
    <w:rsid w:val="187F4D71"/>
    <w:rsid w:val="188D1B63"/>
    <w:rsid w:val="18AE2DD3"/>
    <w:rsid w:val="1907440A"/>
    <w:rsid w:val="19282B96"/>
    <w:rsid w:val="198C5E97"/>
    <w:rsid w:val="1A103AA7"/>
    <w:rsid w:val="1A2D197A"/>
    <w:rsid w:val="1A5300FA"/>
    <w:rsid w:val="1A644098"/>
    <w:rsid w:val="1A884089"/>
    <w:rsid w:val="1A956864"/>
    <w:rsid w:val="1AB646B8"/>
    <w:rsid w:val="1AFC2362"/>
    <w:rsid w:val="1B0A6DAC"/>
    <w:rsid w:val="1B462A79"/>
    <w:rsid w:val="1B510A33"/>
    <w:rsid w:val="1BFF7BBC"/>
    <w:rsid w:val="1C181FDC"/>
    <w:rsid w:val="1C1F1A04"/>
    <w:rsid w:val="1C4256C0"/>
    <w:rsid w:val="1C61054F"/>
    <w:rsid w:val="1C7F2207"/>
    <w:rsid w:val="1C910481"/>
    <w:rsid w:val="1D142E49"/>
    <w:rsid w:val="1D1661D1"/>
    <w:rsid w:val="1D1B2440"/>
    <w:rsid w:val="1D915864"/>
    <w:rsid w:val="1E275991"/>
    <w:rsid w:val="1E6D03D3"/>
    <w:rsid w:val="1EAF7DB4"/>
    <w:rsid w:val="1F1B2483"/>
    <w:rsid w:val="1F2710A6"/>
    <w:rsid w:val="1F393D99"/>
    <w:rsid w:val="1F466666"/>
    <w:rsid w:val="1F9522F9"/>
    <w:rsid w:val="1FAF3DAB"/>
    <w:rsid w:val="1FBF52E0"/>
    <w:rsid w:val="1FC45914"/>
    <w:rsid w:val="1FC715D8"/>
    <w:rsid w:val="204948A4"/>
    <w:rsid w:val="2063764E"/>
    <w:rsid w:val="208575BC"/>
    <w:rsid w:val="20BF5427"/>
    <w:rsid w:val="20FF417C"/>
    <w:rsid w:val="21464BBF"/>
    <w:rsid w:val="216235A0"/>
    <w:rsid w:val="21EE6921"/>
    <w:rsid w:val="21FF4A70"/>
    <w:rsid w:val="223D35A0"/>
    <w:rsid w:val="224F1526"/>
    <w:rsid w:val="227C3BDA"/>
    <w:rsid w:val="22834515"/>
    <w:rsid w:val="229462AD"/>
    <w:rsid w:val="22F30802"/>
    <w:rsid w:val="23495B36"/>
    <w:rsid w:val="23782DDB"/>
    <w:rsid w:val="23B41782"/>
    <w:rsid w:val="23E32E20"/>
    <w:rsid w:val="23FB09C1"/>
    <w:rsid w:val="24075F84"/>
    <w:rsid w:val="24090ED0"/>
    <w:rsid w:val="24C2285C"/>
    <w:rsid w:val="250435FD"/>
    <w:rsid w:val="25303034"/>
    <w:rsid w:val="259423C3"/>
    <w:rsid w:val="25AE4CD8"/>
    <w:rsid w:val="26321CDF"/>
    <w:rsid w:val="2636127A"/>
    <w:rsid w:val="26775A6E"/>
    <w:rsid w:val="26946A1E"/>
    <w:rsid w:val="26E550AA"/>
    <w:rsid w:val="27DD2FD3"/>
    <w:rsid w:val="27E24A0E"/>
    <w:rsid w:val="27EF498C"/>
    <w:rsid w:val="27FD659C"/>
    <w:rsid w:val="280A2951"/>
    <w:rsid w:val="28247D25"/>
    <w:rsid w:val="28502A8E"/>
    <w:rsid w:val="28627D34"/>
    <w:rsid w:val="286B7BB6"/>
    <w:rsid w:val="28DE25AC"/>
    <w:rsid w:val="28DF4BDB"/>
    <w:rsid w:val="29266CA9"/>
    <w:rsid w:val="29565429"/>
    <w:rsid w:val="296B770E"/>
    <w:rsid w:val="2A473572"/>
    <w:rsid w:val="2A577535"/>
    <w:rsid w:val="2A60045D"/>
    <w:rsid w:val="2A8157A3"/>
    <w:rsid w:val="2AC746A1"/>
    <w:rsid w:val="2AF84029"/>
    <w:rsid w:val="2B3928C3"/>
    <w:rsid w:val="2B3D65D7"/>
    <w:rsid w:val="2B777773"/>
    <w:rsid w:val="2BBC74A8"/>
    <w:rsid w:val="2BEA7E13"/>
    <w:rsid w:val="2C135A62"/>
    <w:rsid w:val="2C287EF3"/>
    <w:rsid w:val="2C647755"/>
    <w:rsid w:val="2C8919CD"/>
    <w:rsid w:val="2C8E670C"/>
    <w:rsid w:val="2D0E4B13"/>
    <w:rsid w:val="2DB166D2"/>
    <w:rsid w:val="2DB81F66"/>
    <w:rsid w:val="2DFC6BA9"/>
    <w:rsid w:val="2E763060"/>
    <w:rsid w:val="2E851A6B"/>
    <w:rsid w:val="2EAC4C31"/>
    <w:rsid w:val="2EB44669"/>
    <w:rsid w:val="2EE36E13"/>
    <w:rsid w:val="2F441D98"/>
    <w:rsid w:val="2F4F546B"/>
    <w:rsid w:val="304600BB"/>
    <w:rsid w:val="304775C9"/>
    <w:rsid w:val="30527191"/>
    <w:rsid w:val="30553A83"/>
    <w:rsid w:val="306128D0"/>
    <w:rsid w:val="309162EE"/>
    <w:rsid w:val="30EF6458"/>
    <w:rsid w:val="311C0EB9"/>
    <w:rsid w:val="315E253D"/>
    <w:rsid w:val="31C75EF6"/>
    <w:rsid w:val="31DC0342"/>
    <w:rsid w:val="31EC6B77"/>
    <w:rsid w:val="323A477C"/>
    <w:rsid w:val="32457BC0"/>
    <w:rsid w:val="32513D6B"/>
    <w:rsid w:val="32574A09"/>
    <w:rsid w:val="33535097"/>
    <w:rsid w:val="33756CD0"/>
    <w:rsid w:val="337A0D2F"/>
    <w:rsid w:val="33855CBC"/>
    <w:rsid w:val="33961571"/>
    <w:rsid w:val="33DD6448"/>
    <w:rsid w:val="33F30D06"/>
    <w:rsid w:val="345B747C"/>
    <w:rsid w:val="345E3AA7"/>
    <w:rsid w:val="347D5264"/>
    <w:rsid w:val="347F3ADD"/>
    <w:rsid w:val="348D4A2B"/>
    <w:rsid w:val="35421ED9"/>
    <w:rsid w:val="354849B2"/>
    <w:rsid w:val="356F6FCB"/>
    <w:rsid w:val="35772692"/>
    <w:rsid w:val="358F7E37"/>
    <w:rsid w:val="359C0B7D"/>
    <w:rsid w:val="36231B2E"/>
    <w:rsid w:val="366E6386"/>
    <w:rsid w:val="36917560"/>
    <w:rsid w:val="3692736E"/>
    <w:rsid w:val="36AC237A"/>
    <w:rsid w:val="36DB494F"/>
    <w:rsid w:val="36F712B3"/>
    <w:rsid w:val="37143998"/>
    <w:rsid w:val="374A02F2"/>
    <w:rsid w:val="3790011B"/>
    <w:rsid w:val="37DB7F6F"/>
    <w:rsid w:val="387D5004"/>
    <w:rsid w:val="38941C1C"/>
    <w:rsid w:val="38A3450B"/>
    <w:rsid w:val="38AA6793"/>
    <w:rsid w:val="38C56198"/>
    <w:rsid w:val="38FD17C0"/>
    <w:rsid w:val="392D2DD0"/>
    <w:rsid w:val="398A7A9A"/>
    <w:rsid w:val="398B77B8"/>
    <w:rsid w:val="39904FFE"/>
    <w:rsid w:val="39F60022"/>
    <w:rsid w:val="39FA2936"/>
    <w:rsid w:val="3A0272C9"/>
    <w:rsid w:val="3A403EBC"/>
    <w:rsid w:val="3A727BB9"/>
    <w:rsid w:val="3B5B041A"/>
    <w:rsid w:val="3B5E79D5"/>
    <w:rsid w:val="3B991190"/>
    <w:rsid w:val="3C260E0C"/>
    <w:rsid w:val="3C286067"/>
    <w:rsid w:val="3C775A03"/>
    <w:rsid w:val="3C8E656E"/>
    <w:rsid w:val="3C956364"/>
    <w:rsid w:val="3CF32918"/>
    <w:rsid w:val="3D1B6978"/>
    <w:rsid w:val="3D2725E1"/>
    <w:rsid w:val="3D2D1738"/>
    <w:rsid w:val="3D345D1B"/>
    <w:rsid w:val="3D487CF2"/>
    <w:rsid w:val="3D8022C9"/>
    <w:rsid w:val="3D9E6E78"/>
    <w:rsid w:val="3DBF14EF"/>
    <w:rsid w:val="3E0533CC"/>
    <w:rsid w:val="3E375121"/>
    <w:rsid w:val="3E515528"/>
    <w:rsid w:val="3E5E2DA6"/>
    <w:rsid w:val="3E8F0BD4"/>
    <w:rsid w:val="3EF6153E"/>
    <w:rsid w:val="3F0873DA"/>
    <w:rsid w:val="3F430700"/>
    <w:rsid w:val="3F7F5CBD"/>
    <w:rsid w:val="3F9A735D"/>
    <w:rsid w:val="3FCC62E2"/>
    <w:rsid w:val="3FDD3354"/>
    <w:rsid w:val="3FF81455"/>
    <w:rsid w:val="405377D5"/>
    <w:rsid w:val="40AC7274"/>
    <w:rsid w:val="40C06AF2"/>
    <w:rsid w:val="40C211B4"/>
    <w:rsid w:val="40E7250F"/>
    <w:rsid w:val="41583BE6"/>
    <w:rsid w:val="41FA5113"/>
    <w:rsid w:val="42084722"/>
    <w:rsid w:val="4226683E"/>
    <w:rsid w:val="429B135F"/>
    <w:rsid w:val="42A423E6"/>
    <w:rsid w:val="42BB4F89"/>
    <w:rsid w:val="42D9133E"/>
    <w:rsid w:val="43697767"/>
    <w:rsid w:val="43C66A6B"/>
    <w:rsid w:val="446505DB"/>
    <w:rsid w:val="447E1CA7"/>
    <w:rsid w:val="449426B5"/>
    <w:rsid w:val="44C95B5C"/>
    <w:rsid w:val="45055461"/>
    <w:rsid w:val="45177607"/>
    <w:rsid w:val="45593B0C"/>
    <w:rsid w:val="455D3E23"/>
    <w:rsid w:val="45817244"/>
    <w:rsid w:val="45D168B5"/>
    <w:rsid w:val="45E74BF6"/>
    <w:rsid w:val="45F136B0"/>
    <w:rsid w:val="461203B4"/>
    <w:rsid w:val="465E4348"/>
    <w:rsid w:val="468746A2"/>
    <w:rsid w:val="46A945FE"/>
    <w:rsid w:val="46C51737"/>
    <w:rsid w:val="46D00A9E"/>
    <w:rsid w:val="46D15307"/>
    <w:rsid w:val="475121C6"/>
    <w:rsid w:val="476904B3"/>
    <w:rsid w:val="476F2493"/>
    <w:rsid w:val="47BC3824"/>
    <w:rsid w:val="47DA219E"/>
    <w:rsid w:val="47DE0AA1"/>
    <w:rsid w:val="47F053ED"/>
    <w:rsid w:val="4807751C"/>
    <w:rsid w:val="48290931"/>
    <w:rsid w:val="48396375"/>
    <w:rsid w:val="48585D50"/>
    <w:rsid w:val="485B76B7"/>
    <w:rsid w:val="485C5CD3"/>
    <w:rsid w:val="48797350"/>
    <w:rsid w:val="488E162E"/>
    <w:rsid w:val="489E62EC"/>
    <w:rsid w:val="48C82366"/>
    <w:rsid w:val="48D74350"/>
    <w:rsid w:val="490B1D77"/>
    <w:rsid w:val="493B0323"/>
    <w:rsid w:val="49512989"/>
    <w:rsid w:val="49674C4A"/>
    <w:rsid w:val="498A6AE4"/>
    <w:rsid w:val="49D809B8"/>
    <w:rsid w:val="49E2133F"/>
    <w:rsid w:val="4A4272A3"/>
    <w:rsid w:val="4A450310"/>
    <w:rsid w:val="4A894985"/>
    <w:rsid w:val="4AA8090F"/>
    <w:rsid w:val="4B090764"/>
    <w:rsid w:val="4B595D7C"/>
    <w:rsid w:val="4B5A703F"/>
    <w:rsid w:val="4B5C76BB"/>
    <w:rsid w:val="4B8D1BAC"/>
    <w:rsid w:val="4BB60F6D"/>
    <w:rsid w:val="4BB70501"/>
    <w:rsid w:val="4C0E5054"/>
    <w:rsid w:val="4C580ECE"/>
    <w:rsid w:val="4C984B4D"/>
    <w:rsid w:val="4D0644CA"/>
    <w:rsid w:val="4D27508C"/>
    <w:rsid w:val="4D4F6CC6"/>
    <w:rsid w:val="4D5A44FD"/>
    <w:rsid w:val="4D5E0BC7"/>
    <w:rsid w:val="4D955A26"/>
    <w:rsid w:val="4DB31B52"/>
    <w:rsid w:val="4DB4061A"/>
    <w:rsid w:val="4DDF042E"/>
    <w:rsid w:val="4E144459"/>
    <w:rsid w:val="4E160B39"/>
    <w:rsid w:val="4E2372BD"/>
    <w:rsid w:val="4EAB0360"/>
    <w:rsid w:val="4EC357CE"/>
    <w:rsid w:val="4EF56034"/>
    <w:rsid w:val="4F6C07CE"/>
    <w:rsid w:val="4F760FD2"/>
    <w:rsid w:val="4FAD6288"/>
    <w:rsid w:val="4FC74260"/>
    <w:rsid w:val="503D2349"/>
    <w:rsid w:val="50401578"/>
    <w:rsid w:val="50414EE3"/>
    <w:rsid w:val="50460278"/>
    <w:rsid w:val="50DB08EC"/>
    <w:rsid w:val="510C2FC7"/>
    <w:rsid w:val="511949FB"/>
    <w:rsid w:val="511D2206"/>
    <w:rsid w:val="512B46A8"/>
    <w:rsid w:val="5166162C"/>
    <w:rsid w:val="520E237C"/>
    <w:rsid w:val="52340D33"/>
    <w:rsid w:val="523B40A0"/>
    <w:rsid w:val="52DD2F63"/>
    <w:rsid w:val="52FB0A87"/>
    <w:rsid w:val="538177E7"/>
    <w:rsid w:val="53D31B27"/>
    <w:rsid w:val="5401731C"/>
    <w:rsid w:val="54140345"/>
    <w:rsid w:val="544210B9"/>
    <w:rsid w:val="548E1871"/>
    <w:rsid w:val="54A01099"/>
    <w:rsid w:val="54AC046B"/>
    <w:rsid w:val="54BB0FA0"/>
    <w:rsid w:val="54CB5BDC"/>
    <w:rsid w:val="558F56A3"/>
    <w:rsid w:val="55934116"/>
    <w:rsid w:val="55A14C2E"/>
    <w:rsid w:val="55F51C97"/>
    <w:rsid w:val="56A1672F"/>
    <w:rsid w:val="56F83C84"/>
    <w:rsid w:val="570C5D20"/>
    <w:rsid w:val="578C7D10"/>
    <w:rsid w:val="57F86A27"/>
    <w:rsid w:val="58A07577"/>
    <w:rsid w:val="58A628E3"/>
    <w:rsid w:val="58E04BE6"/>
    <w:rsid w:val="58FD20CA"/>
    <w:rsid w:val="593D4822"/>
    <w:rsid w:val="59525E29"/>
    <w:rsid w:val="598C2A6A"/>
    <w:rsid w:val="59912CF2"/>
    <w:rsid w:val="59F85FB2"/>
    <w:rsid w:val="5A0F09A8"/>
    <w:rsid w:val="5A5B1FD6"/>
    <w:rsid w:val="5AB24E84"/>
    <w:rsid w:val="5AF2125F"/>
    <w:rsid w:val="5B5E66F6"/>
    <w:rsid w:val="5BFC75D2"/>
    <w:rsid w:val="5CAE656F"/>
    <w:rsid w:val="5CB007E8"/>
    <w:rsid w:val="5CE64449"/>
    <w:rsid w:val="5DCB6B6C"/>
    <w:rsid w:val="5DE838A0"/>
    <w:rsid w:val="5E002A35"/>
    <w:rsid w:val="5E060549"/>
    <w:rsid w:val="5E520377"/>
    <w:rsid w:val="5E5730C2"/>
    <w:rsid w:val="5E902EF2"/>
    <w:rsid w:val="5E9A2657"/>
    <w:rsid w:val="5E9D06F4"/>
    <w:rsid w:val="5E9E2C9A"/>
    <w:rsid w:val="5ED458B2"/>
    <w:rsid w:val="5FA80378"/>
    <w:rsid w:val="5FEE5723"/>
    <w:rsid w:val="6072697B"/>
    <w:rsid w:val="61457421"/>
    <w:rsid w:val="61465CAD"/>
    <w:rsid w:val="615849BE"/>
    <w:rsid w:val="61713D8F"/>
    <w:rsid w:val="61DA28C0"/>
    <w:rsid w:val="622B1B55"/>
    <w:rsid w:val="62717DCA"/>
    <w:rsid w:val="6302515B"/>
    <w:rsid w:val="63142872"/>
    <w:rsid w:val="631A422B"/>
    <w:rsid w:val="634633B3"/>
    <w:rsid w:val="635B1ADA"/>
    <w:rsid w:val="635C11C4"/>
    <w:rsid w:val="63B10FCE"/>
    <w:rsid w:val="63C95418"/>
    <w:rsid w:val="63E73E13"/>
    <w:rsid w:val="63F12FC7"/>
    <w:rsid w:val="640A294F"/>
    <w:rsid w:val="644765D2"/>
    <w:rsid w:val="647272CD"/>
    <w:rsid w:val="648A40C9"/>
    <w:rsid w:val="64EC1C58"/>
    <w:rsid w:val="650E7111"/>
    <w:rsid w:val="656049CE"/>
    <w:rsid w:val="65EE37E2"/>
    <w:rsid w:val="66BB73F9"/>
    <w:rsid w:val="66C92C4C"/>
    <w:rsid w:val="67115CA3"/>
    <w:rsid w:val="673327D2"/>
    <w:rsid w:val="674822B8"/>
    <w:rsid w:val="6758188D"/>
    <w:rsid w:val="676D6041"/>
    <w:rsid w:val="68430BD5"/>
    <w:rsid w:val="685D568B"/>
    <w:rsid w:val="68BE2DD2"/>
    <w:rsid w:val="68DC1C66"/>
    <w:rsid w:val="68DC529F"/>
    <w:rsid w:val="690E02D7"/>
    <w:rsid w:val="695A63BD"/>
    <w:rsid w:val="6A0A36C9"/>
    <w:rsid w:val="6A374691"/>
    <w:rsid w:val="6A54032E"/>
    <w:rsid w:val="6AD703F0"/>
    <w:rsid w:val="6B251826"/>
    <w:rsid w:val="6B3A377D"/>
    <w:rsid w:val="6BA026A5"/>
    <w:rsid w:val="6BAA35FD"/>
    <w:rsid w:val="6C007B70"/>
    <w:rsid w:val="6C2B18CE"/>
    <w:rsid w:val="6C792661"/>
    <w:rsid w:val="6C8B20A1"/>
    <w:rsid w:val="6C99186A"/>
    <w:rsid w:val="6CBF449D"/>
    <w:rsid w:val="6CD00E4C"/>
    <w:rsid w:val="6CD27DAC"/>
    <w:rsid w:val="6CEF0736"/>
    <w:rsid w:val="6CFB1C91"/>
    <w:rsid w:val="6D325966"/>
    <w:rsid w:val="6E7E017B"/>
    <w:rsid w:val="6EAC6BA6"/>
    <w:rsid w:val="6ECD32EA"/>
    <w:rsid w:val="6EF63686"/>
    <w:rsid w:val="6EFA4CA5"/>
    <w:rsid w:val="6F0A34D5"/>
    <w:rsid w:val="6F2F5238"/>
    <w:rsid w:val="6F36164F"/>
    <w:rsid w:val="6FD03C36"/>
    <w:rsid w:val="6FE5463E"/>
    <w:rsid w:val="70061533"/>
    <w:rsid w:val="702463B9"/>
    <w:rsid w:val="702C5DF2"/>
    <w:rsid w:val="70480EC8"/>
    <w:rsid w:val="704C658B"/>
    <w:rsid w:val="706F084F"/>
    <w:rsid w:val="70715464"/>
    <w:rsid w:val="70B7655F"/>
    <w:rsid w:val="711A0C09"/>
    <w:rsid w:val="71272BBA"/>
    <w:rsid w:val="71492B5D"/>
    <w:rsid w:val="719E603E"/>
    <w:rsid w:val="71CB072C"/>
    <w:rsid w:val="720C18F6"/>
    <w:rsid w:val="72104AD1"/>
    <w:rsid w:val="722133D3"/>
    <w:rsid w:val="72251694"/>
    <w:rsid w:val="723F3873"/>
    <w:rsid w:val="727F27D5"/>
    <w:rsid w:val="7281430A"/>
    <w:rsid w:val="74347297"/>
    <w:rsid w:val="74567E3F"/>
    <w:rsid w:val="748B6023"/>
    <w:rsid w:val="74C16082"/>
    <w:rsid w:val="751675FF"/>
    <w:rsid w:val="758C08C3"/>
    <w:rsid w:val="759D2DB1"/>
    <w:rsid w:val="75BC378C"/>
    <w:rsid w:val="75C57C61"/>
    <w:rsid w:val="75FC66E2"/>
    <w:rsid w:val="760D491C"/>
    <w:rsid w:val="76161EA4"/>
    <w:rsid w:val="762F3DF8"/>
    <w:rsid w:val="76BC6523"/>
    <w:rsid w:val="76DF43E5"/>
    <w:rsid w:val="770342F8"/>
    <w:rsid w:val="774C0E39"/>
    <w:rsid w:val="77615E99"/>
    <w:rsid w:val="776416FC"/>
    <w:rsid w:val="77C94E11"/>
    <w:rsid w:val="788144DE"/>
    <w:rsid w:val="78B02125"/>
    <w:rsid w:val="78E12817"/>
    <w:rsid w:val="791739AE"/>
    <w:rsid w:val="79A76DFE"/>
    <w:rsid w:val="79AF00C7"/>
    <w:rsid w:val="79C04488"/>
    <w:rsid w:val="79E94737"/>
    <w:rsid w:val="7A803171"/>
    <w:rsid w:val="7AC82A28"/>
    <w:rsid w:val="7ACF3B2C"/>
    <w:rsid w:val="7AD628C2"/>
    <w:rsid w:val="7B1E494C"/>
    <w:rsid w:val="7B4B7B97"/>
    <w:rsid w:val="7B642C47"/>
    <w:rsid w:val="7B6515EC"/>
    <w:rsid w:val="7BC70662"/>
    <w:rsid w:val="7C0E46BA"/>
    <w:rsid w:val="7CC4420B"/>
    <w:rsid w:val="7CF15A0E"/>
    <w:rsid w:val="7CF57AD6"/>
    <w:rsid w:val="7D305D7E"/>
    <w:rsid w:val="7D862831"/>
    <w:rsid w:val="7D9B350E"/>
    <w:rsid w:val="7D9C76A8"/>
    <w:rsid w:val="7DCD4A44"/>
    <w:rsid w:val="7DED3CF8"/>
    <w:rsid w:val="7E216F9D"/>
    <w:rsid w:val="7E41746E"/>
    <w:rsid w:val="7F0C3F10"/>
    <w:rsid w:val="7F2666DB"/>
    <w:rsid w:val="7F375D10"/>
    <w:rsid w:val="7F934F7B"/>
    <w:rsid w:val="7FC640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99"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lang w:val="en-US" w:eastAsia="zh-CN" w:bidi="ar-SA"/>
    </w:rPr>
  </w:style>
  <w:style w:type="paragraph" w:styleId="3">
    <w:name w:val="heading 1"/>
    <w:basedOn w:val="1"/>
    <w:next w:val="1"/>
    <w:link w:val="92"/>
    <w:qFormat/>
    <w:uiPriority w:val="0"/>
    <w:pPr>
      <w:keepNext/>
      <w:outlineLvl w:val="0"/>
    </w:pPr>
    <w:rPr>
      <w:rFonts w:ascii="仿宋_GB2312" w:hAnsi="宋体" w:eastAsia="仿宋_GB2312"/>
      <w:b/>
      <w:kern w:val="2"/>
      <w:sz w:val="32"/>
    </w:rPr>
  </w:style>
  <w:style w:type="paragraph" w:styleId="4">
    <w:name w:val="heading 2"/>
    <w:basedOn w:val="1"/>
    <w:next w:val="5"/>
    <w:link w:val="119"/>
    <w:qFormat/>
    <w:uiPriority w:val="9"/>
    <w:pPr>
      <w:keepNext/>
      <w:keepLines/>
      <w:widowControl/>
      <w:spacing w:before="260" w:after="260"/>
      <w:ind w:left="284"/>
      <w:jc w:val="left"/>
      <w:outlineLvl w:val="1"/>
    </w:pPr>
    <w:rPr>
      <w:rFonts w:ascii="Arial" w:hAnsi="Arial"/>
      <w:b/>
      <w:bCs/>
      <w:sz w:val="28"/>
      <w:szCs w:val="32"/>
    </w:rPr>
  </w:style>
  <w:style w:type="paragraph" w:styleId="6">
    <w:name w:val="heading 3"/>
    <w:basedOn w:val="1"/>
    <w:next w:val="1"/>
    <w:link w:val="58"/>
    <w:qFormat/>
    <w:uiPriority w:val="0"/>
    <w:pPr>
      <w:keepNext/>
      <w:spacing w:beforeLines="200" w:line="400" w:lineRule="exact"/>
      <w:jc w:val="center"/>
      <w:outlineLvl w:val="2"/>
    </w:pPr>
    <w:rPr>
      <w:rFonts w:ascii="Times New Roman"/>
      <w:b/>
      <w:bCs/>
      <w:kern w:val="2"/>
      <w:szCs w:val="24"/>
    </w:rPr>
  </w:style>
  <w:style w:type="paragraph" w:styleId="7">
    <w:name w:val="heading 4"/>
    <w:basedOn w:val="1"/>
    <w:next w:val="1"/>
    <w:link w:val="60"/>
    <w:qFormat/>
    <w:uiPriority w:val="0"/>
    <w:pPr>
      <w:keepNext/>
      <w:keepLines/>
      <w:tabs>
        <w:tab w:val="left" w:pos="864"/>
      </w:tabs>
      <w:spacing w:before="120" w:line="360" w:lineRule="auto"/>
      <w:ind w:left="864" w:hanging="864"/>
      <w:outlineLvl w:val="3"/>
    </w:pPr>
    <w:rPr>
      <w:rFonts w:ascii="Arial" w:hAnsi="Arial"/>
      <w:bCs/>
      <w:kern w:val="2"/>
      <w:szCs w:val="28"/>
    </w:rPr>
  </w:style>
  <w:style w:type="paragraph" w:styleId="8">
    <w:name w:val="heading 5"/>
    <w:basedOn w:val="1"/>
    <w:next w:val="1"/>
    <w:link w:val="110"/>
    <w:qFormat/>
    <w:uiPriority w:val="0"/>
    <w:pPr>
      <w:keepNext/>
      <w:keepLines/>
      <w:tabs>
        <w:tab w:val="left" w:pos="1008"/>
        <w:tab w:val="left" w:pos="1218"/>
      </w:tabs>
      <w:spacing w:before="60" w:line="360" w:lineRule="auto"/>
      <w:ind w:left="1008" w:hanging="1008"/>
      <w:outlineLvl w:val="4"/>
    </w:pPr>
    <w:rPr>
      <w:rFonts w:ascii="Arial Unicode MS" w:hAnsi="Arial Unicode MS"/>
      <w:bCs/>
      <w:kern w:val="2"/>
      <w:szCs w:val="24"/>
    </w:rPr>
  </w:style>
  <w:style w:type="paragraph" w:styleId="9">
    <w:name w:val="heading 6"/>
    <w:basedOn w:val="1"/>
    <w:next w:val="1"/>
    <w:link w:val="120"/>
    <w:qFormat/>
    <w:uiPriority w:val="0"/>
    <w:pPr>
      <w:keepNext/>
      <w:keepLines/>
      <w:tabs>
        <w:tab w:val="left" w:pos="1152"/>
      </w:tabs>
      <w:spacing w:before="60" w:line="360" w:lineRule="auto"/>
      <w:ind w:left="1152" w:hanging="1152"/>
      <w:outlineLvl w:val="5"/>
    </w:pPr>
    <w:rPr>
      <w:rFonts w:ascii="Arial Unicode MS" w:hAnsi="Arial Unicode MS"/>
      <w:bCs/>
      <w:kern w:val="2"/>
      <w:szCs w:val="24"/>
    </w:rPr>
  </w:style>
  <w:style w:type="paragraph" w:styleId="10">
    <w:name w:val="heading 7"/>
    <w:basedOn w:val="1"/>
    <w:next w:val="1"/>
    <w:link w:val="70"/>
    <w:qFormat/>
    <w:uiPriority w:val="0"/>
    <w:pPr>
      <w:keepNext/>
      <w:tabs>
        <w:tab w:val="left" w:pos="1296"/>
      </w:tabs>
      <w:autoSpaceDE w:val="0"/>
      <w:autoSpaceDN w:val="0"/>
      <w:adjustRightInd w:val="0"/>
      <w:spacing w:line="288" w:lineRule="auto"/>
      <w:ind w:left="1296" w:hanging="1296"/>
      <w:outlineLvl w:val="6"/>
    </w:pPr>
    <w:rPr>
      <w:rFonts w:ascii="Arial" w:hAnsi="Arial"/>
      <w:b/>
      <w:color w:val="000000"/>
      <w:kern w:val="2"/>
      <w:sz w:val="15"/>
    </w:rPr>
  </w:style>
  <w:style w:type="paragraph" w:styleId="11">
    <w:name w:val="heading 8"/>
    <w:basedOn w:val="1"/>
    <w:next w:val="1"/>
    <w:link w:val="118"/>
    <w:qFormat/>
    <w:uiPriority w:val="0"/>
    <w:pPr>
      <w:keepNext/>
      <w:tabs>
        <w:tab w:val="left" w:pos="1440"/>
      </w:tabs>
      <w:spacing w:line="360" w:lineRule="auto"/>
      <w:ind w:left="1440" w:hanging="1440"/>
      <w:outlineLvl w:val="7"/>
    </w:pPr>
    <w:rPr>
      <w:rFonts w:ascii="仿宋_GB2312" w:eastAsia="仿宋_GB2312"/>
      <w:b/>
      <w:kern w:val="2"/>
    </w:rPr>
  </w:style>
  <w:style w:type="paragraph" w:styleId="12">
    <w:name w:val="heading 9"/>
    <w:basedOn w:val="1"/>
    <w:next w:val="1"/>
    <w:link w:val="114"/>
    <w:qFormat/>
    <w:uiPriority w:val="0"/>
    <w:pPr>
      <w:keepNext/>
      <w:keepLines/>
      <w:tabs>
        <w:tab w:val="left" w:pos="1584"/>
      </w:tabs>
      <w:spacing w:before="240" w:after="64" w:line="320" w:lineRule="auto"/>
      <w:ind w:left="1584" w:hanging="1584"/>
      <w:outlineLvl w:val="8"/>
    </w:pPr>
    <w:rPr>
      <w:rFonts w:ascii="Arial" w:hAnsi="Arial" w:eastAsia="黑体"/>
      <w:kern w:val="2"/>
      <w:sz w:val="21"/>
      <w:szCs w:val="21"/>
    </w:rPr>
  </w:style>
  <w:style w:type="character" w:default="1" w:styleId="46">
    <w:name w:val="Default Paragraph Font"/>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customStyle="1" w:styleId="2">
    <w:name w:val="样式 10 磅"/>
    <w:unhideWhenUsed/>
    <w:qFormat/>
    <w:uiPriority w:val="0"/>
    <w:pPr>
      <w:widowControl w:val="0"/>
      <w:jc w:val="both"/>
    </w:pPr>
    <w:rPr>
      <w:rFonts w:ascii="Times New Roman" w:hAnsi="Times New Roman" w:eastAsia="宋体" w:cs="Times New Roman"/>
      <w:kern w:val="2"/>
      <w:sz w:val="21"/>
      <w:lang w:val="en-US" w:eastAsia="zh-CN" w:bidi="ar-SA"/>
    </w:rPr>
  </w:style>
  <w:style w:type="paragraph" w:styleId="5">
    <w:name w:val="Normal Indent"/>
    <w:basedOn w:val="1"/>
    <w:link w:val="91"/>
    <w:qFormat/>
    <w:uiPriority w:val="0"/>
    <w:pPr>
      <w:spacing w:line="300" w:lineRule="auto"/>
      <w:ind w:firstLine="420" w:firstLineChars="200"/>
    </w:pPr>
    <w:rPr>
      <w:rFonts w:ascii="Times New Roman"/>
      <w:kern w:val="2"/>
      <w:sz w:val="21"/>
      <w:szCs w:val="24"/>
    </w:rPr>
  </w:style>
  <w:style w:type="paragraph" w:styleId="13">
    <w:name w:val="toc 7"/>
    <w:basedOn w:val="1"/>
    <w:next w:val="1"/>
    <w:unhideWhenUsed/>
    <w:qFormat/>
    <w:uiPriority w:val="39"/>
    <w:pPr>
      <w:ind w:left="2520" w:leftChars="1200"/>
    </w:pPr>
  </w:style>
  <w:style w:type="paragraph" w:styleId="14">
    <w:name w:val="caption"/>
    <w:basedOn w:val="1"/>
    <w:next w:val="1"/>
    <w:link w:val="62"/>
    <w:qFormat/>
    <w:uiPriority w:val="0"/>
    <w:pPr>
      <w:spacing w:before="152" w:after="160"/>
    </w:pPr>
    <w:rPr>
      <w:rFonts w:ascii="Arial" w:hAnsi="Arial" w:eastAsia="黑体"/>
      <w:kern w:val="2"/>
      <w:sz w:val="20"/>
    </w:rPr>
  </w:style>
  <w:style w:type="paragraph" w:styleId="15">
    <w:name w:val="Document Map"/>
    <w:basedOn w:val="1"/>
    <w:link w:val="109"/>
    <w:qFormat/>
    <w:uiPriority w:val="0"/>
    <w:pPr>
      <w:shd w:val="clear" w:color="auto" w:fill="000080"/>
    </w:pPr>
    <w:rPr>
      <w:rFonts w:ascii="Times New Roman"/>
      <w:kern w:val="2"/>
      <w:sz w:val="21"/>
    </w:rPr>
  </w:style>
  <w:style w:type="paragraph" w:styleId="16">
    <w:name w:val="annotation text"/>
    <w:basedOn w:val="1"/>
    <w:link w:val="111"/>
    <w:qFormat/>
    <w:uiPriority w:val="99"/>
    <w:pPr>
      <w:jc w:val="left"/>
    </w:pPr>
    <w:rPr>
      <w:rFonts w:ascii="Times New Roman"/>
      <w:kern w:val="2"/>
      <w:sz w:val="21"/>
      <w:szCs w:val="24"/>
    </w:rPr>
  </w:style>
  <w:style w:type="paragraph" w:styleId="17">
    <w:name w:val="Body Text 3"/>
    <w:basedOn w:val="1"/>
    <w:link w:val="116"/>
    <w:qFormat/>
    <w:uiPriority w:val="0"/>
    <w:pPr>
      <w:jc w:val="center"/>
    </w:pPr>
    <w:rPr>
      <w:rFonts w:ascii="Times New Roman"/>
      <w:b/>
      <w:spacing w:val="-20"/>
      <w:w w:val="110"/>
      <w:kern w:val="2"/>
      <w:sz w:val="52"/>
    </w:rPr>
  </w:style>
  <w:style w:type="paragraph" w:styleId="18">
    <w:name w:val="Body Text"/>
    <w:basedOn w:val="1"/>
    <w:link w:val="59"/>
    <w:qFormat/>
    <w:uiPriority w:val="0"/>
    <w:pPr>
      <w:spacing w:after="120"/>
    </w:pPr>
    <w:rPr>
      <w:rFonts w:ascii="Times New Roman"/>
      <w:kern w:val="2"/>
      <w:sz w:val="21"/>
    </w:rPr>
  </w:style>
  <w:style w:type="paragraph" w:styleId="19">
    <w:name w:val="Body Text Indent"/>
    <w:basedOn w:val="1"/>
    <w:link w:val="74"/>
    <w:qFormat/>
    <w:uiPriority w:val="0"/>
    <w:pPr>
      <w:widowControl/>
      <w:ind w:firstLine="652" w:firstLineChars="233"/>
    </w:pPr>
    <w:rPr>
      <w:rFonts w:ascii="Times New Roman"/>
      <w:sz w:val="28"/>
    </w:rPr>
  </w:style>
  <w:style w:type="paragraph" w:styleId="20">
    <w:name w:val="HTML Address"/>
    <w:basedOn w:val="1"/>
    <w:qFormat/>
    <w:uiPriority w:val="0"/>
    <w:pPr>
      <w:widowControl/>
      <w:jc w:val="left"/>
    </w:pPr>
    <w:rPr>
      <w:rFonts w:hAnsi="宋体" w:cs="宋体"/>
      <w:i/>
      <w:iCs/>
      <w:szCs w:val="24"/>
    </w:rPr>
  </w:style>
  <w:style w:type="paragraph" w:styleId="21">
    <w:name w:val="toc 5"/>
    <w:basedOn w:val="1"/>
    <w:next w:val="1"/>
    <w:unhideWhenUsed/>
    <w:qFormat/>
    <w:uiPriority w:val="39"/>
    <w:pPr>
      <w:ind w:left="1680" w:leftChars="800"/>
    </w:pPr>
  </w:style>
  <w:style w:type="paragraph" w:styleId="22">
    <w:name w:val="toc 3"/>
    <w:basedOn w:val="1"/>
    <w:next w:val="1"/>
    <w:unhideWhenUsed/>
    <w:qFormat/>
    <w:uiPriority w:val="39"/>
    <w:pPr>
      <w:ind w:left="840" w:leftChars="400"/>
    </w:pPr>
  </w:style>
  <w:style w:type="paragraph" w:styleId="23">
    <w:name w:val="Plain Text"/>
    <w:basedOn w:val="1"/>
    <w:link w:val="69"/>
    <w:qFormat/>
    <w:uiPriority w:val="0"/>
    <w:rPr>
      <w:rFonts w:hAnsi="Courier New"/>
      <w:kern w:val="2"/>
      <w:sz w:val="21"/>
    </w:rPr>
  </w:style>
  <w:style w:type="paragraph" w:styleId="24">
    <w:name w:val="toc 8"/>
    <w:basedOn w:val="1"/>
    <w:next w:val="1"/>
    <w:unhideWhenUsed/>
    <w:qFormat/>
    <w:uiPriority w:val="39"/>
    <w:pPr>
      <w:ind w:left="2940" w:leftChars="1400"/>
    </w:pPr>
  </w:style>
  <w:style w:type="paragraph" w:styleId="25">
    <w:name w:val="Date"/>
    <w:basedOn w:val="1"/>
    <w:next w:val="1"/>
    <w:link w:val="85"/>
    <w:qFormat/>
    <w:uiPriority w:val="0"/>
    <w:rPr>
      <w:rFonts w:ascii="Times New Roman"/>
      <w:kern w:val="2"/>
      <w:sz w:val="28"/>
    </w:rPr>
  </w:style>
  <w:style w:type="paragraph" w:styleId="26">
    <w:name w:val="Body Text Indent 2"/>
    <w:basedOn w:val="1"/>
    <w:link w:val="61"/>
    <w:qFormat/>
    <w:uiPriority w:val="99"/>
    <w:pPr>
      <w:tabs>
        <w:tab w:val="left" w:pos="5625"/>
      </w:tabs>
      <w:ind w:left="1138" w:leftChars="542"/>
    </w:pPr>
    <w:rPr>
      <w:rFonts w:ascii="Times New Roman"/>
      <w:kern w:val="2"/>
    </w:rPr>
  </w:style>
  <w:style w:type="paragraph" w:styleId="27">
    <w:name w:val="Balloon Text"/>
    <w:basedOn w:val="1"/>
    <w:link w:val="99"/>
    <w:qFormat/>
    <w:uiPriority w:val="99"/>
    <w:rPr>
      <w:rFonts w:ascii="Times New Roman"/>
      <w:kern w:val="2"/>
      <w:sz w:val="18"/>
      <w:szCs w:val="18"/>
    </w:rPr>
  </w:style>
  <w:style w:type="paragraph" w:styleId="28">
    <w:name w:val="footer"/>
    <w:basedOn w:val="1"/>
    <w:link w:val="86"/>
    <w:qFormat/>
    <w:uiPriority w:val="99"/>
    <w:pPr>
      <w:tabs>
        <w:tab w:val="center" w:pos="4153"/>
        <w:tab w:val="right" w:pos="8306"/>
      </w:tabs>
      <w:snapToGrid w:val="0"/>
      <w:jc w:val="left"/>
    </w:pPr>
    <w:rPr>
      <w:rFonts w:ascii="Times New Roman"/>
      <w:kern w:val="2"/>
      <w:sz w:val="18"/>
      <w:szCs w:val="18"/>
    </w:rPr>
  </w:style>
  <w:style w:type="paragraph" w:styleId="29">
    <w:name w:val="header"/>
    <w:basedOn w:val="1"/>
    <w:link w:val="106"/>
    <w:qFormat/>
    <w:uiPriority w:val="99"/>
    <w:pPr>
      <w:pBdr>
        <w:bottom w:val="single" w:color="auto" w:sz="6" w:space="1"/>
      </w:pBdr>
      <w:tabs>
        <w:tab w:val="center" w:pos="4153"/>
        <w:tab w:val="right" w:pos="8306"/>
      </w:tabs>
      <w:snapToGrid w:val="0"/>
      <w:jc w:val="center"/>
    </w:pPr>
    <w:rPr>
      <w:rFonts w:ascii="Times New Roman"/>
      <w:kern w:val="2"/>
      <w:sz w:val="18"/>
      <w:szCs w:val="18"/>
    </w:rPr>
  </w:style>
  <w:style w:type="paragraph" w:styleId="30">
    <w:name w:val="toc 1"/>
    <w:basedOn w:val="1"/>
    <w:next w:val="1"/>
    <w:unhideWhenUsed/>
    <w:qFormat/>
    <w:uiPriority w:val="39"/>
  </w:style>
  <w:style w:type="paragraph" w:styleId="31">
    <w:name w:val="toc 4"/>
    <w:basedOn w:val="1"/>
    <w:next w:val="1"/>
    <w:unhideWhenUsed/>
    <w:qFormat/>
    <w:uiPriority w:val="39"/>
    <w:pPr>
      <w:ind w:left="1260" w:leftChars="600"/>
    </w:pPr>
  </w:style>
  <w:style w:type="paragraph" w:styleId="32">
    <w:name w:val="Subtitle"/>
    <w:basedOn w:val="1"/>
    <w:next w:val="1"/>
    <w:link w:val="76"/>
    <w:qFormat/>
    <w:uiPriority w:val="0"/>
    <w:pPr>
      <w:spacing w:before="240" w:after="60" w:line="312" w:lineRule="auto"/>
      <w:jc w:val="center"/>
      <w:outlineLvl w:val="1"/>
    </w:pPr>
    <w:rPr>
      <w:rFonts w:ascii="Cambria" w:hAnsi="Cambria"/>
      <w:b/>
      <w:bCs/>
      <w:kern w:val="28"/>
      <w:sz w:val="32"/>
      <w:szCs w:val="32"/>
    </w:rPr>
  </w:style>
  <w:style w:type="paragraph" w:styleId="33">
    <w:name w:val="List"/>
    <w:basedOn w:val="1"/>
    <w:qFormat/>
    <w:uiPriority w:val="0"/>
    <w:pPr>
      <w:numPr>
        <w:ilvl w:val="1"/>
        <w:numId w:val="1"/>
      </w:numPr>
      <w:spacing w:line="360" w:lineRule="auto"/>
      <w:jc w:val="left"/>
    </w:pPr>
    <w:rPr>
      <w:szCs w:val="24"/>
    </w:rPr>
  </w:style>
  <w:style w:type="paragraph" w:styleId="34">
    <w:name w:val="toc 6"/>
    <w:basedOn w:val="1"/>
    <w:next w:val="1"/>
    <w:unhideWhenUsed/>
    <w:qFormat/>
    <w:uiPriority w:val="39"/>
    <w:pPr>
      <w:ind w:left="2100" w:leftChars="1000"/>
    </w:pPr>
  </w:style>
  <w:style w:type="paragraph" w:styleId="35">
    <w:name w:val="Body Text Indent 3"/>
    <w:basedOn w:val="1"/>
    <w:link w:val="105"/>
    <w:qFormat/>
    <w:uiPriority w:val="0"/>
    <w:pPr>
      <w:spacing w:line="410" w:lineRule="exact"/>
      <w:ind w:left="619" w:leftChars="295" w:firstLine="390" w:firstLineChars="179"/>
    </w:pPr>
    <w:rPr>
      <w:rFonts w:hAnsi="宋体"/>
      <w:spacing w:val="4"/>
      <w:kern w:val="2"/>
      <w:sz w:val="21"/>
    </w:rPr>
  </w:style>
  <w:style w:type="paragraph" w:styleId="36">
    <w:name w:val="toc 2"/>
    <w:basedOn w:val="1"/>
    <w:next w:val="1"/>
    <w:unhideWhenUsed/>
    <w:qFormat/>
    <w:uiPriority w:val="39"/>
    <w:pPr>
      <w:ind w:left="420" w:leftChars="200"/>
    </w:pPr>
  </w:style>
  <w:style w:type="paragraph" w:styleId="37">
    <w:name w:val="toc 9"/>
    <w:basedOn w:val="1"/>
    <w:next w:val="1"/>
    <w:unhideWhenUsed/>
    <w:qFormat/>
    <w:uiPriority w:val="39"/>
    <w:pPr>
      <w:ind w:left="3360" w:leftChars="1600"/>
    </w:pPr>
  </w:style>
  <w:style w:type="paragraph" w:styleId="38">
    <w:name w:val="Body Text 2"/>
    <w:basedOn w:val="1"/>
    <w:link w:val="88"/>
    <w:qFormat/>
    <w:uiPriority w:val="0"/>
    <w:rPr>
      <w:rFonts w:ascii="楷体_GB2312" w:hAnsi="Copperplate Gothic Bold" w:eastAsia="楷体_GB2312"/>
      <w:kern w:val="2"/>
      <w:sz w:val="28"/>
    </w:rPr>
  </w:style>
  <w:style w:type="paragraph" w:styleId="3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黑体" w:hAnsi="Courier New" w:eastAsia="黑体" w:cs="Courier New"/>
      <w:sz w:val="20"/>
    </w:rPr>
  </w:style>
  <w:style w:type="paragraph" w:styleId="40">
    <w:name w:val="Normal (Web)"/>
    <w:basedOn w:val="1"/>
    <w:qFormat/>
    <w:uiPriority w:val="0"/>
    <w:pPr>
      <w:widowControl/>
      <w:spacing w:before="100" w:beforeAutospacing="1" w:after="100" w:afterAutospacing="1"/>
      <w:jc w:val="left"/>
    </w:pPr>
    <w:rPr>
      <w:rFonts w:hAnsi="宋体"/>
      <w:szCs w:val="24"/>
    </w:rPr>
  </w:style>
  <w:style w:type="paragraph" w:styleId="41">
    <w:name w:val="Title"/>
    <w:basedOn w:val="1"/>
    <w:next w:val="1"/>
    <w:link w:val="107"/>
    <w:qFormat/>
    <w:uiPriority w:val="0"/>
    <w:pPr>
      <w:spacing w:before="240" w:after="60"/>
      <w:jc w:val="center"/>
      <w:outlineLvl w:val="0"/>
    </w:pPr>
    <w:rPr>
      <w:rFonts w:ascii="Cambria" w:hAnsi="Cambria"/>
      <w:b/>
      <w:bCs/>
      <w:kern w:val="2"/>
      <w:sz w:val="32"/>
      <w:szCs w:val="32"/>
    </w:rPr>
  </w:style>
  <w:style w:type="paragraph" w:styleId="42">
    <w:name w:val="annotation subject"/>
    <w:basedOn w:val="16"/>
    <w:next w:val="16"/>
    <w:link w:val="98"/>
    <w:qFormat/>
    <w:uiPriority w:val="0"/>
    <w:rPr>
      <w:b/>
      <w:bCs/>
    </w:rPr>
  </w:style>
  <w:style w:type="paragraph" w:styleId="43">
    <w:name w:val="Body Text First Indent"/>
    <w:basedOn w:val="18"/>
    <w:unhideWhenUsed/>
    <w:qFormat/>
    <w:uiPriority w:val="99"/>
    <w:pPr>
      <w:ind w:firstLine="420" w:firstLineChars="100"/>
    </w:p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basedOn w:val="46"/>
    <w:qFormat/>
    <w:uiPriority w:val="22"/>
    <w:rPr>
      <w:b/>
      <w:bCs/>
    </w:rPr>
  </w:style>
  <w:style w:type="character" w:styleId="48">
    <w:name w:val="page number"/>
    <w:basedOn w:val="46"/>
    <w:qFormat/>
    <w:uiPriority w:val="0"/>
  </w:style>
  <w:style w:type="character" w:styleId="49">
    <w:name w:val="FollowedHyperlink"/>
    <w:basedOn w:val="46"/>
    <w:qFormat/>
    <w:uiPriority w:val="0"/>
    <w:rPr>
      <w:color w:val="333333"/>
      <w:u w:val="single"/>
    </w:rPr>
  </w:style>
  <w:style w:type="character" w:styleId="50">
    <w:name w:val="Emphasis"/>
    <w:qFormat/>
    <w:uiPriority w:val="0"/>
    <w:rPr>
      <w:i/>
      <w:iCs/>
    </w:rPr>
  </w:style>
  <w:style w:type="character" w:styleId="51">
    <w:name w:val="HTML Definition"/>
    <w:basedOn w:val="46"/>
    <w:unhideWhenUsed/>
    <w:qFormat/>
    <w:uiPriority w:val="99"/>
    <w:rPr>
      <w:i/>
    </w:rPr>
  </w:style>
  <w:style w:type="character" w:styleId="52">
    <w:name w:val="HTML Typewriter"/>
    <w:qFormat/>
    <w:uiPriority w:val="0"/>
    <w:rPr>
      <w:rFonts w:ascii="黑体" w:hAnsi="Courier New" w:eastAsia="黑体" w:cs="Courier New"/>
      <w:sz w:val="20"/>
      <w:szCs w:val="20"/>
    </w:rPr>
  </w:style>
  <w:style w:type="character" w:styleId="53">
    <w:name w:val="Hyperlink"/>
    <w:basedOn w:val="46"/>
    <w:qFormat/>
    <w:uiPriority w:val="99"/>
    <w:rPr>
      <w:color w:val="333333"/>
      <w:u w:val="single"/>
    </w:rPr>
  </w:style>
  <w:style w:type="character" w:styleId="54">
    <w:name w:val="HTML Code"/>
    <w:basedOn w:val="46"/>
    <w:unhideWhenUsed/>
    <w:qFormat/>
    <w:uiPriority w:val="99"/>
    <w:rPr>
      <w:rFonts w:hint="default" w:ascii="Consolas" w:hAnsi="Consolas" w:eastAsia="Consolas" w:cs="Consolas"/>
      <w:color w:val="C7254E"/>
      <w:sz w:val="21"/>
      <w:szCs w:val="21"/>
      <w:shd w:val="clear" w:color="auto" w:fill="F9F2F4"/>
    </w:rPr>
  </w:style>
  <w:style w:type="character" w:styleId="55">
    <w:name w:val="annotation reference"/>
    <w:qFormat/>
    <w:uiPriority w:val="99"/>
    <w:rPr>
      <w:sz w:val="21"/>
      <w:szCs w:val="21"/>
    </w:rPr>
  </w:style>
  <w:style w:type="character" w:styleId="56">
    <w:name w:val="HTML Keyboard"/>
    <w:basedOn w:val="46"/>
    <w:unhideWhenUsed/>
    <w:qFormat/>
    <w:uiPriority w:val="99"/>
    <w:rPr>
      <w:rFonts w:ascii="Consolas" w:hAnsi="Consolas" w:eastAsia="Consolas" w:cs="Consolas"/>
      <w:color w:val="FFFFFF"/>
      <w:sz w:val="21"/>
      <w:szCs w:val="21"/>
      <w:shd w:val="clear" w:color="auto" w:fill="333333"/>
    </w:rPr>
  </w:style>
  <w:style w:type="character" w:styleId="57">
    <w:name w:val="HTML Sample"/>
    <w:basedOn w:val="46"/>
    <w:unhideWhenUsed/>
    <w:qFormat/>
    <w:uiPriority w:val="99"/>
    <w:rPr>
      <w:rFonts w:hint="default" w:ascii="Consolas" w:hAnsi="Consolas" w:eastAsia="Consolas" w:cs="Consolas"/>
      <w:sz w:val="21"/>
      <w:szCs w:val="21"/>
    </w:rPr>
  </w:style>
  <w:style w:type="character" w:customStyle="1" w:styleId="58">
    <w:name w:val="标题 3 Char"/>
    <w:link w:val="6"/>
    <w:qFormat/>
    <w:uiPriority w:val="0"/>
    <w:rPr>
      <w:b/>
      <w:bCs/>
      <w:kern w:val="2"/>
      <w:sz w:val="24"/>
      <w:szCs w:val="24"/>
    </w:rPr>
  </w:style>
  <w:style w:type="character" w:customStyle="1" w:styleId="59">
    <w:name w:val="正文文本 Char"/>
    <w:link w:val="18"/>
    <w:qFormat/>
    <w:uiPriority w:val="0"/>
    <w:rPr>
      <w:kern w:val="2"/>
      <w:sz w:val="21"/>
    </w:rPr>
  </w:style>
  <w:style w:type="character" w:customStyle="1" w:styleId="60">
    <w:name w:val="标题 4 Char"/>
    <w:link w:val="7"/>
    <w:qFormat/>
    <w:uiPriority w:val="0"/>
    <w:rPr>
      <w:rFonts w:ascii="Arial" w:hAnsi="Arial"/>
      <w:bCs/>
      <w:kern w:val="2"/>
      <w:sz w:val="24"/>
      <w:szCs w:val="28"/>
    </w:rPr>
  </w:style>
  <w:style w:type="character" w:customStyle="1" w:styleId="61">
    <w:name w:val="正文文本缩进 2 Char"/>
    <w:link w:val="26"/>
    <w:qFormat/>
    <w:uiPriority w:val="99"/>
    <w:rPr>
      <w:kern w:val="2"/>
      <w:sz w:val="24"/>
    </w:rPr>
  </w:style>
  <w:style w:type="character" w:customStyle="1" w:styleId="62">
    <w:name w:val="题注 Char"/>
    <w:link w:val="14"/>
    <w:qFormat/>
    <w:uiPriority w:val="0"/>
    <w:rPr>
      <w:rFonts w:ascii="Arial" w:hAnsi="Arial" w:eastAsia="黑体" w:cs="Arial"/>
      <w:kern w:val="2"/>
    </w:rPr>
  </w:style>
  <w:style w:type="character" w:customStyle="1" w:styleId="63">
    <w:name w:val="c lh15"/>
    <w:basedOn w:val="46"/>
    <w:qFormat/>
    <w:uiPriority w:val="0"/>
  </w:style>
  <w:style w:type="character" w:customStyle="1" w:styleId="64">
    <w:name w:val="style5 style5"/>
    <w:basedOn w:val="46"/>
    <w:qFormat/>
    <w:uiPriority w:val="0"/>
  </w:style>
  <w:style w:type="character" w:customStyle="1" w:styleId="65">
    <w:name w:val="hour_pm"/>
    <w:basedOn w:val="46"/>
    <w:qFormat/>
    <w:uiPriority w:val="0"/>
  </w:style>
  <w:style w:type="character" w:customStyle="1" w:styleId="66">
    <w:name w:val="无间隔 Char"/>
    <w:link w:val="67"/>
    <w:qFormat/>
    <w:uiPriority w:val="1"/>
    <w:rPr>
      <w:rFonts w:ascii="Calibri" w:hAnsi="Calibri"/>
      <w:kern w:val="2"/>
      <w:sz w:val="21"/>
      <w:szCs w:val="22"/>
      <w:lang w:val="en-US" w:eastAsia="zh-CN" w:bidi="ar-SA"/>
    </w:rPr>
  </w:style>
  <w:style w:type="paragraph" w:styleId="67">
    <w:name w:val="No Spacing"/>
    <w:link w:val="66"/>
    <w:qFormat/>
    <w:uiPriority w:val="1"/>
    <w:pPr>
      <w:widowControl w:val="0"/>
      <w:jc w:val="both"/>
    </w:pPr>
    <w:rPr>
      <w:rFonts w:ascii="Calibri" w:hAnsi="Calibri" w:eastAsia="宋体" w:cs="Times New Roman"/>
      <w:kern w:val="2"/>
      <w:sz w:val="21"/>
      <w:szCs w:val="22"/>
      <w:lang w:val="en-US" w:eastAsia="zh-CN" w:bidi="ar-SA"/>
    </w:rPr>
  </w:style>
  <w:style w:type="character" w:customStyle="1" w:styleId="68">
    <w:name w:val="button"/>
    <w:basedOn w:val="46"/>
    <w:qFormat/>
    <w:uiPriority w:val="0"/>
  </w:style>
  <w:style w:type="character" w:customStyle="1" w:styleId="69">
    <w:name w:val="纯文本 Char"/>
    <w:link w:val="23"/>
    <w:qFormat/>
    <w:uiPriority w:val="0"/>
    <w:rPr>
      <w:rFonts w:ascii="宋体" w:hAnsi="Courier New" w:eastAsia="宋体"/>
      <w:kern w:val="2"/>
      <w:sz w:val="21"/>
      <w:lang w:val="en-US" w:eastAsia="zh-CN" w:bidi="ar-SA"/>
    </w:rPr>
  </w:style>
  <w:style w:type="character" w:customStyle="1" w:styleId="70">
    <w:name w:val="标题 7 Char"/>
    <w:link w:val="10"/>
    <w:qFormat/>
    <w:uiPriority w:val="0"/>
    <w:rPr>
      <w:rFonts w:ascii="Arial" w:hAnsi="Arial"/>
      <w:b/>
      <w:color w:val="000000"/>
      <w:kern w:val="2"/>
      <w:sz w:val="15"/>
    </w:rPr>
  </w:style>
  <w:style w:type="character" w:customStyle="1" w:styleId="71">
    <w:name w:val="hour_am"/>
    <w:basedOn w:val="46"/>
    <w:qFormat/>
    <w:uiPriority w:val="0"/>
  </w:style>
  <w:style w:type="character" w:customStyle="1" w:styleId="72">
    <w:name w:val="招标书 正文 Char Char"/>
    <w:link w:val="73"/>
    <w:qFormat/>
    <w:uiPriority w:val="0"/>
    <w:rPr>
      <w:rFonts w:ascii="宋体" w:hAnsi="宋体"/>
      <w:color w:val="000000"/>
      <w:sz w:val="24"/>
      <w:szCs w:val="28"/>
    </w:rPr>
  </w:style>
  <w:style w:type="paragraph" w:customStyle="1" w:styleId="73">
    <w:name w:val="招标书 正文"/>
    <w:basedOn w:val="1"/>
    <w:link w:val="72"/>
    <w:qFormat/>
    <w:uiPriority w:val="0"/>
    <w:pPr>
      <w:widowControl/>
      <w:snapToGrid w:val="0"/>
      <w:spacing w:line="560" w:lineRule="exact"/>
      <w:ind w:firstLine="560" w:firstLineChars="200"/>
      <w:jc w:val="left"/>
    </w:pPr>
    <w:rPr>
      <w:rFonts w:hAnsi="宋体"/>
      <w:color w:val="000000"/>
      <w:szCs w:val="28"/>
    </w:rPr>
  </w:style>
  <w:style w:type="character" w:customStyle="1" w:styleId="74">
    <w:name w:val="正文文本缩进 Char"/>
    <w:link w:val="19"/>
    <w:qFormat/>
    <w:uiPriority w:val="0"/>
    <w:rPr>
      <w:sz w:val="28"/>
    </w:rPr>
  </w:style>
  <w:style w:type="character" w:customStyle="1" w:styleId="75">
    <w:name w:val="hui3"/>
    <w:qFormat/>
    <w:uiPriority w:val="0"/>
    <w:rPr>
      <w:color w:val="333333"/>
    </w:rPr>
  </w:style>
  <w:style w:type="character" w:customStyle="1" w:styleId="76">
    <w:name w:val="副标题 Char"/>
    <w:link w:val="32"/>
    <w:qFormat/>
    <w:uiPriority w:val="0"/>
    <w:rPr>
      <w:rFonts w:ascii="Cambria" w:hAnsi="Cambria"/>
      <w:b/>
      <w:bCs/>
      <w:kern w:val="28"/>
      <w:sz w:val="32"/>
      <w:szCs w:val="32"/>
    </w:rPr>
  </w:style>
  <w:style w:type="character" w:customStyle="1" w:styleId="77">
    <w:name w:val="Char Char7"/>
    <w:qFormat/>
    <w:uiPriority w:val="0"/>
    <w:rPr>
      <w:rFonts w:ascii="宋体" w:hAnsi="Courier New" w:eastAsia="宋体"/>
      <w:kern w:val="2"/>
      <w:sz w:val="21"/>
      <w:lang w:val="en-US" w:eastAsia="zh-CN" w:bidi="ar-SA"/>
    </w:rPr>
  </w:style>
  <w:style w:type="character" w:customStyle="1" w:styleId="78">
    <w:name w:val="正文文本 2 Char1"/>
    <w:semiHidden/>
    <w:qFormat/>
    <w:uiPriority w:val="99"/>
    <w:rPr>
      <w:kern w:val="2"/>
      <w:sz w:val="21"/>
    </w:rPr>
  </w:style>
  <w:style w:type="character" w:customStyle="1" w:styleId="79">
    <w:name w:val="列出段落 Char"/>
    <w:link w:val="80"/>
    <w:qFormat/>
    <w:uiPriority w:val="34"/>
    <w:rPr>
      <w:rFonts w:ascii="Calibri" w:hAnsi="Calibri"/>
      <w:kern w:val="2"/>
      <w:sz w:val="21"/>
      <w:szCs w:val="22"/>
    </w:rPr>
  </w:style>
  <w:style w:type="paragraph" w:styleId="80">
    <w:name w:val="List Paragraph"/>
    <w:basedOn w:val="1"/>
    <w:link w:val="79"/>
    <w:qFormat/>
    <w:uiPriority w:val="0"/>
    <w:pPr>
      <w:ind w:firstLine="420" w:firstLineChars="200"/>
    </w:pPr>
    <w:rPr>
      <w:rFonts w:ascii="Calibri" w:hAnsi="Calibri"/>
      <w:kern w:val="2"/>
      <w:sz w:val="21"/>
      <w:szCs w:val="22"/>
    </w:rPr>
  </w:style>
  <w:style w:type="character" w:customStyle="1" w:styleId="81">
    <w:name w:val="style31"/>
    <w:qFormat/>
    <w:uiPriority w:val="0"/>
    <w:rPr>
      <w:sz w:val="21"/>
      <w:szCs w:val="21"/>
    </w:rPr>
  </w:style>
  <w:style w:type="character" w:customStyle="1" w:styleId="82">
    <w:name w:val="emtidy-4"/>
    <w:basedOn w:val="46"/>
    <w:qFormat/>
    <w:uiPriority w:val="0"/>
  </w:style>
  <w:style w:type="character" w:customStyle="1" w:styleId="83">
    <w:name w:val="emtidy-3"/>
    <w:basedOn w:val="46"/>
    <w:qFormat/>
    <w:uiPriority w:val="0"/>
  </w:style>
  <w:style w:type="character" w:customStyle="1" w:styleId="84">
    <w:name w:val="glyphicon4"/>
    <w:basedOn w:val="46"/>
    <w:qFormat/>
    <w:uiPriority w:val="0"/>
  </w:style>
  <w:style w:type="character" w:customStyle="1" w:styleId="85">
    <w:name w:val="日期 Char"/>
    <w:link w:val="25"/>
    <w:qFormat/>
    <w:uiPriority w:val="0"/>
    <w:rPr>
      <w:kern w:val="2"/>
      <w:sz w:val="28"/>
    </w:rPr>
  </w:style>
  <w:style w:type="character" w:customStyle="1" w:styleId="86">
    <w:name w:val="页脚 Char"/>
    <w:link w:val="28"/>
    <w:qFormat/>
    <w:uiPriority w:val="99"/>
    <w:rPr>
      <w:rFonts w:eastAsia="宋体"/>
      <w:kern w:val="2"/>
      <w:sz w:val="18"/>
      <w:szCs w:val="18"/>
      <w:lang w:val="en-US" w:eastAsia="zh-CN" w:bidi="ar-SA"/>
    </w:rPr>
  </w:style>
  <w:style w:type="character" w:customStyle="1" w:styleId="87">
    <w:name w:val="ca-01"/>
    <w:qFormat/>
    <w:uiPriority w:val="0"/>
    <w:rPr>
      <w:rFonts w:hint="eastAsia" w:ascii="宋体" w:hAnsi="宋体" w:eastAsia="宋体"/>
      <w:sz w:val="28"/>
      <w:szCs w:val="28"/>
    </w:rPr>
  </w:style>
  <w:style w:type="character" w:customStyle="1" w:styleId="88">
    <w:name w:val="正文文本 2 Char"/>
    <w:link w:val="38"/>
    <w:qFormat/>
    <w:uiPriority w:val="0"/>
    <w:rPr>
      <w:rFonts w:ascii="楷体_GB2312" w:hAnsi="Copperplate Gothic Bold" w:eastAsia="楷体_GB2312"/>
      <w:kern w:val="2"/>
      <w:sz w:val="28"/>
    </w:rPr>
  </w:style>
  <w:style w:type="character" w:customStyle="1" w:styleId="89">
    <w:name w:val="副标题 Char1"/>
    <w:qFormat/>
    <w:uiPriority w:val="11"/>
    <w:rPr>
      <w:rFonts w:ascii="Cambria" w:hAnsi="Cambria" w:cs="Times New Roman"/>
      <w:b/>
      <w:bCs/>
      <w:kern w:val="28"/>
      <w:sz w:val="32"/>
      <w:szCs w:val="32"/>
    </w:rPr>
  </w:style>
  <w:style w:type="character" w:customStyle="1" w:styleId="90">
    <w:name w:val="unnamed11"/>
    <w:basedOn w:val="46"/>
    <w:qFormat/>
    <w:uiPriority w:val="0"/>
  </w:style>
  <w:style w:type="character" w:customStyle="1" w:styleId="91">
    <w:name w:val="正文缩进 Char"/>
    <w:link w:val="5"/>
    <w:qFormat/>
    <w:uiPriority w:val="0"/>
    <w:rPr>
      <w:kern w:val="2"/>
      <w:sz w:val="21"/>
      <w:szCs w:val="24"/>
    </w:rPr>
  </w:style>
  <w:style w:type="character" w:customStyle="1" w:styleId="92">
    <w:name w:val="标题 1 Char"/>
    <w:link w:val="3"/>
    <w:qFormat/>
    <w:uiPriority w:val="0"/>
    <w:rPr>
      <w:rFonts w:ascii="仿宋_GB2312" w:hAnsi="宋体" w:eastAsia="仿宋_GB2312"/>
      <w:b/>
      <w:kern w:val="2"/>
      <w:sz w:val="32"/>
    </w:rPr>
  </w:style>
  <w:style w:type="character" w:customStyle="1" w:styleId="93">
    <w:name w:val="hover3"/>
    <w:basedOn w:val="46"/>
    <w:qFormat/>
    <w:uiPriority w:val="0"/>
    <w:rPr>
      <w:shd w:val="clear" w:color="auto" w:fill="EEEEEE"/>
    </w:rPr>
  </w:style>
  <w:style w:type="character" w:customStyle="1" w:styleId="94">
    <w:name w:val="emtidy-5"/>
    <w:basedOn w:val="46"/>
    <w:qFormat/>
    <w:uiPriority w:val="0"/>
  </w:style>
  <w:style w:type="character" w:customStyle="1" w:styleId="95">
    <w:name w:val="ziti12-333-25"/>
    <w:basedOn w:val="46"/>
    <w:qFormat/>
    <w:uiPriority w:val="0"/>
  </w:style>
  <w:style w:type="character" w:customStyle="1" w:styleId="96">
    <w:name w:val="样式 正文缩进 + 首行缩进:  2 字符 段前: 0.5 行 段后: 0.5 行 Char Char"/>
    <w:link w:val="97"/>
    <w:qFormat/>
    <w:uiPriority w:val="0"/>
    <w:rPr>
      <w:rFonts w:cs="宋体"/>
      <w:kern w:val="2"/>
      <w:sz w:val="24"/>
    </w:rPr>
  </w:style>
  <w:style w:type="paragraph" w:customStyle="1" w:styleId="97">
    <w:name w:val="样式 正文缩进 + 首行缩进:  2 字符 段前: 0.5 行 段后: 0.5 行"/>
    <w:basedOn w:val="5"/>
    <w:link w:val="96"/>
    <w:qFormat/>
    <w:uiPriority w:val="0"/>
    <w:pPr>
      <w:spacing w:beforeLines="50" w:afterLines="50" w:line="360" w:lineRule="auto"/>
      <w:ind w:firstLine="480"/>
    </w:pPr>
    <w:rPr>
      <w:sz w:val="24"/>
      <w:szCs w:val="20"/>
    </w:rPr>
  </w:style>
  <w:style w:type="character" w:customStyle="1" w:styleId="98">
    <w:name w:val="批注主题 Char"/>
    <w:link w:val="42"/>
    <w:qFormat/>
    <w:uiPriority w:val="0"/>
    <w:rPr>
      <w:rFonts w:eastAsia="宋体"/>
      <w:b/>
      <w:bCs/>
      <w:kern w:val="2"/>
      <w:sz w:val="21"/>
      <w:szCs w:val="24"/>
      <w:lang w:val="en-US" w:eastAsia="zh-CN" w:bidi="ar-SA"/>
    </w:rPr>
  </w:style>
  <w:style w:type="character" w:customStyle="1" w:styleId="99">
    <w:name w:val="批注框文本 Char"/>
    <w:link w:val="27"/>
    <w:qFormat/>
    <w:uiPriority w:val="99"/>
    <w:rPr>
      <w:kern w:val="2"/>
      <w:sz w:val="18"/>
      <w:szCs w:val="18"/>
    </w:rPr>
  </w:style>
  <w:style w:type="character" w:customStyle="1" w:styleId="100">
    <w:name w:val="emtidy-2"/>
    <w:basedOn w:val="46"/>
    <w:qFormat/>
    <w:uiPriority w:val="0"/>
  </w:style>
  <w:style w:type="character" w:customStyle="1" w:styleId="101">
    <w:name w:val="emtidy-6"/>
    <w:basedOn w:val="46"/>
    <w:qFormat/>
    <w:uiPriority w:val="0"/>
  </w:style>
  <w:style w:type="character" w:customStyle="1" w:styleId="102">
    <w:name w:val="正文文本 3 Char1"/>
    <w:semiHidden/>
    <w:qFormat/>
    <w:uiPriority w:val="99"/>
    <w:rPr>
      <w:kern w:val="2"/>
      <w:sz w:val="16"/>
      <w:szCs w:val="16"/>
    </w:rPr>
  </w:style>
  <w:style w:type="character" w:customStyle="1" w:styleId="103">
    <w:name w:val="base"/>
    <w:basedOn w:val="46"/>
    <w:qFormat/>
    <w:uiPriority w:val="0"/>
  </w:style>
  <w:style w:type="character" w:customStyle="1" w:styleId="104">
    <w:name w:val="tmpztreemove_arrow"/>
    <w:basedOn w:val="46"/>
    <w:qFormat/>
    <w:uiPriority w:val="0"/>
    <w:rPr>
      <w:shd w:val="clear" w:color="auto" w:fill="FFFFFF"/>
    </w:rPr>
  </w:style>
  <w:style w:type="character" w:customStyle="1" w:styleId="105">
    <w:name w:val="正文文本缩进 3 Char"/>
    <w:link w:val="35"/>
    <w:qFormat/>
    <w:uiPriority w:val="0"/>
    <w:rPr>
      <w:rFonts w:ascii="宋体" w:hAnsi="宋体"/>
      <w:spacing w:val="4"/>
      <w:kern w:val="2"/>
      <w:sz w:val="21"/>
    </w:rPr>
  </w:style>
  <w:style w:type="character" w:customStyle="1" w:styleId="106">
    <w:name w:val="页眉 Char"/>
    <w:link w:val="29"/>
    <w:qFormat/>
    <w:uiPriority w:val="99"/>
    <w:rPr>
      <w:rFonts w:eastAsia="宋体"/>
      <w:kern w:val="2"/>
      <w:sz w:val="18"/>
      <w:szCs w:val="18"/>
      <w:lang w:val="en-US" w:eastAsia="zh-CN" w:bidi="ar-SA"/>
    </w:rPr>
  </w:style>
  <w:style w:type="character" w:customStyle="1" w:styleId="107">
    <w:name w:val="标题 Char"/>
    <w:link w:val="41"/>
    <w:qFormat/>
    <w:uiPriority w:val="0"/>
    <w:rPr>
      <w:rFonts w:ascii="Cambria" w:hAnsi="Cambria"/>
      <w:b/>
      <w:bCs/>
      <w:kern w:val="2"/>
      <w:sz w:val="32"/>
      <w:szCs w:val="32"/>
    </w:rPr>
  </w:style>
  <w:style w:type="character" w:customStyle="1" w:styleId="108">
    <w:name w:val="old"/>
    <w:basedOn w:val="46"/>
    <w:qFormat/>
    <w:uiPriority w:val="0"/>
    <w:rPr>
      <w:color w:val="999999"/>
    </w:rPr>
  </w:style>
  <w:style w:type="character" w:customStyle="1" w:styleId="109">
    <w:name w:val="文档结构图 Char"/>
    <w:link w:val="15"/>
    <w:qFormat/>
    <w:uiPriority w:val="0"/>
    <w:rPr>
      <w:kern w:val="2"/>
      <w:sz w:val="21"/>
      <w:shd w:val="clear" w:color="auto" w:fill="000080"/>
    </w:rPr>
  </w:style>
  <w:style w:type="character" w:customStyle="1" w:styleId="110">
    <w:name w:val="标题 5 Char"/>
    <w:link w:val="8"/>
    <w:qFormat/>
    <w:uiPriority w:val="0"/>
    <w:rPr>
      <w:rFonts w:ascii="Arial Unicode MS" w:hAnsi="Arial Unicode MS"/>
      <w:bCs/>
      <w:kern w:val="2"/>
      <w:sz w:val="24"/>
      <w:szCs w:val="24"/>
    </w:rPr>
  </w:style>
  <w:style w:type="character" w:customStyle="1" w:styleId="111">
    <w:name w:val="批注文字 Char"/>
    <w:link w:val="16"/>
    <w:qFormat/>
    <w:uiPriority w:val="99"/>
    <w:rPr>
      <w:rFonts w:eastAsia="宋体"/>
      <w:kern w:val="2"/>
      <w:sz w:val="21"/>
      <w:szCs w:val="24"/>
      <w:lang w:val="en-US" w:eastAsia="zh-CN" w:bidi="ar-SA"/>
    </w:rPr>
  </w:style>
  <w:style w:type="character" w:customStyle="1" w:styleId="112">
    <w:name w:val="para1"/>
    <w:qFormat/>
    <w:uiPriority w:val="0"/>
    <w:rPr>
      <w:rFonts w:hint="default" w:ascii="Arial" w:hAnsi="Arial" w:cs="Arial"/>
      <w:sz w:val="18"/>
      <w:szCs w:val="18"/>
    </w:rPr>
  </w:style>
  <w:style w:type="character" w:customStyle="1" w:styleId="113">
    <w:name w:val="Char Char5"/>
    <w:qFormat/>
    <w:uiPriority w:val="0"/>
    <w:rPr>
      <w:rFonts w:ascii="宋体" w:hAnsi="Courier New" w:eastAsia="宋体"/>
      <w:kern w:val="2"/>
      <w:sz w:val="21"/>
      <w:lang w:val="en-US" w:eastAsia="zh-CN" w:bidi="ar-SA"/>
    </w:rPr>
  </w:style>
  <w:style w:type="character" w:customStyle="1" w:styleId="114">
    <w:name w:val="标题 9 Char"/>
    <w:link w:val="12"/>
    <w:qFormat/>
    <w:uiPriority w:val="0"/>
    <w:rPr>
      <w:rFonts w:ascii="Arial" w:hAnsi="Arial" w:eastAsia="黑体"/>
      <w:kern w:val="2"/>
      <w:sz w:val="21"/>
      <w:szCs w:val="21"/>
    </w:rPr>
  </w:style>
  <w:style w:type="character" w:customStyle="1" w:styleId="115">
    <w:name w:val="c1"/>
    <w:qFormat/>
    <w:uiPriority w:val="0"/>
    <w:rPr>
      <w:sz w:val="28"/>
      <w:szCs w:val="28"/>
    </w:rPr>
  </w:style>
  <w:style w:type="character" w:customStyle="1" w:styleId="116">
    <w:name w:val="正文文本 3 Char"/>
    <w:link w:val="17"/>
    <w:qFormat/>
    <w:uiPriority w:val="0"/>
    <w:rPr>
      <w:b/>
      <w:spacing w:val="-20"/>
      <w:w w:val="110"/>
      <w:kern w:val="2"/>
      <w:sz w:val="52"/>
    </w:rPr>
  </w:style>
  <w:style w:type="character" w:customStyle="1" w:styleId="117">
    <w:name w:val="introduction1"/>
    <w:qFormat/>
    <w:uiPriority w:val="0"/>
  </w:style>
  <w:style w:type="character" w:customStyle="1" w:styleId="118">
    <w:name w:val="标题 8 Char"/>
    <w:link w:val="11"/>
    <w:qFormat/>
    <w:uiPriority w:val="0"/>
    <w:rPr>
      <w:rFonts w:ascii="仿宋_GB2312" w:eastAsia="仿宋_GB2312"/>
      <w:b/>
      <w:kern w:val="2"/>
      <w:sz w:val="24"/>
    </w:rPr>
  </w:style>
  <w:style w:type="character" w:customStyle="1" w:styleId="119">
    <w:name w:val="标题 2 Char"/>
    <w:link w:val="4"/>
    <w:qFormat/>
    <w:uiPriority w:val="9"/>
    <w:rPr>
      <w:rFonts w:ascii="Arial" w:hAnsi="Arial"/>
      <w:b/>
      <w:bCs/>
      <w:sz w:val="28"/>
      <w:szCs w:val="32"/>
    </w:rPr>
  </w:style>
  <w:style w:type="character" w:customStyle="1" w:styleId="120">
    <w:name w:val="标题 6 Char"/>
    <w:link w:val="9"/>
    <w:qFormat/>
    <w:uiPriority w:val="0"/>
    <w:rPr>
      <w:rFonts w:ascii="Arial Unicode MS" w:hAnsi="Arial Unicode MS"/>
      <w:bCs/>
      <w:kern w:val="2"/>
      <w:sz w:val="24"/>
      <w:szCs w:val="24"/>
    </w:rPr>
  </w:style>
  <w:style w:type="character" w:customStyle="1" w:styleId="121">
    <w:name w:val="font31"/>
    <w:basedOn w:val="46"/>
    <w:qFormat/>
    <w:uiPriority w:val="0"/>
    <w:rPr>
      <w:rFonts w:hint="eastAsia" w:ascii="微软雅黑" w:hAnsi="微软雅黑" w:eastAsia="微软雅黑" w:cs="微软雅黑"/>
      <w:color w:val="000000"/>
      <w:sz w:val="24"/>
      <w:szCs w:val="24"/>
      <w:u w:val="none"/>
    </w:rPr>
  </w:style>
  <w:style w:type="character" w:customStyle="1" w:styleId="122">
    <w:name w:val="font11"/>
    <w:basedOn w:val="46"/>
    <w:qFormat/>
    <w:uiPriority w:val="0"/>
    <w:rPr>
      <w:rFonts w:hint="eastAsia" w:ascii="宋体" w:hAnsi="宋体" w:eastAsia="宋体" w:cs="宋体"/>
      <w:color w:val="000000"/>
      <w:sz w:val="24"/>
      <w:szCs w:val="24"/>
      <w:u w:val="none"/>
    </w:rPr>
  </w:style>
  <w:style w:type="character" w:customStyle="1" w:styleId="123">
    <w:name w:val="font21"/>
    <w:basedOn w:val="46"/>
    <w:qFormat/>
    <w:uiPriority w:val="0"/>
    <w:rPr>
      <w:rFonts w:hint="eastAsia" w:ascii="微软雅黑" w:hAnsi="微软雅黑" w:eastAsia="微软雅黑" w:cs="微软雅黑"/>
      <w:b/>
      <w:color w:val="000000"/>
      <w:sz w:val="24"/>
      <w:szCs w:val="24"/>
      <w:u w:val="none"/>
    </w:rPr>
  </w:style>
  <w:style w:type="character" w:customStyle="1" w:styleId="124">
    <w:name w:val="font41"/>
    <w:basedOn w:val="46"/>
    <w:qFormat/>
    <w:uiPriority w:val="0"/>
    <w:rPr>
      <w:rFonts w:hint="eastAsia" w:ascii="微软雅黑" w:hAnsi="微软雅黑" w:eastAsia="微软雅黑" w:cs="微软雅黑"/>
      <w:color w:val="000000"/>
      <w:sz w:val="24"/>
      <w:szCs w:val="24"/>
      <w:u w:val="none"/>
    </w:rPr>
  </w:style>
  <w:style w:type="paragraph" w:customStyle="1" w:styleId="125">
    <w:name w:val="普通(网站)1"/>
    <w:basedOn w:val="1"/>
    <w:qFormat/>
    <w:uiPriority w:val="0"/>
    <w:pPr>
      <w:widowControl/>
      <w:spacing w:before="100" w:beforeAutospacing="1" w:after="100" w:afterAutospacing="1"/>
      <w:jc w:val="left"/>
    </w:pPr>
    <w:rPr>
      <w:rFonts w:hAnsi="宋体" w:cs="宋体"/>
      <w:szCs w:val="24"/>
    </w:rPr>
  </w:style>
  <w:style w:type="paragraph" w:customStyle="1" w:styleId="126">
    <w:name w:val="Char Char1"/>
    <w:basedOn w:val="1"/>
    <w:qFormat/>
    <w:uiPriority w:val="0"/>
    <w:pPr>
      <w:widowControl/>
      <w:spacing w:after="160" w:line="240" w:lineRule="exact"/>
      <w:jc w:val="left"/>
    </w:pPr>
    <w:rPr>
      <w:rFonts w:ascii="Verdana" w:hAnsi="Verdana" w:eastAsia="楷体_GB2312"/>
      <w:b/>
      <w:i/>
      <w:iCs/>
      <w:color w:val="000000"/>
      <w:sz w:val="20"/>
      <w:lang w:eastAsia="en-US"/>
    </w:rPr>
  </w:style>
  <w:style w:type="paragraph" w:customStyle="1" w:styleId="127">
    <w:name w:val="Char12"/>
    <w:basedOn w:val="1"/>
    <w:qFormat/>
    <w:uiPriority w:val="0"/>
    <w:pPr>
      <w:tabs>
        <w:tab w:val="left" w:pos="360"/>
      </w:tabs>
    </w:pPr>
    <w:rPr>
      <w:szCs w:val="24"/>
    </w:rPr>
  </w:style>
  <w:style w:type="paragraph" w:customStyle="1" w:styleId="128">
    <w:name w:val="日期1"/>
    <w:basedOn w:val="1"/>
    <w:next w:val="1"/>
    <w:qFormat/>
    <w:uiPriority w:val="0"/>
    <w:rPr>
      <w:rFonts w:ascii="黑体" w:eastAsia="黑体"/>
      <w:sz w:val="28"/>
    </w:rPr>
  </w:style>
  <w:style w:type="paragraph" w:customStyle="1" w:styleId="129">
    <w:name w:val="正文序号 2"/>
    <w:basedOn w:val="1"/>
    <w:qFormat/>
    <w:uiPriority w:val="0"/>
    <w:pPr>
      <w:numPr>
        <w:ilvl w:val="1"/>
        <w:numId w:val="2"/>
      </w:numPr>
      <w:spacing w:before="60"/>
    </w:pPr>
    <w:rPr>
      <w:szCs w:val="24"/>
    </w:rPr>
  </w:style>
  <w:style w:type="paragraph" w:customStyle="1" w:styleId="130">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cs="宋体"/>
      <w:b/>
      <w:bCs/>
      <w:color w:val="000000"/>
      <w:kern w:val="20"/>
    </w:rPr>
  </w:style>
  <w:style w:type="paragraph" w:customStyle="1" w:styleId="131">
    <w:name w:val="xl51"/>
    <w:basedOn w:val="1"/>
    <w:qFormat/>
    <w:uiPriority w:val="0"/>
    <w:pPr>
      <w:widowControl/>
      <w:spacing w:before="100" w:beforeAutospacing="1" w:after="100" w:afterAutospacing="1"/>
      <w:jc w:val="center"/>
    </w:pPr>
    <w:rPr>
      <w:rFonts w:ascii="Arial Unicode MS" w:hAnsi="Arial Unicode MS" w:eastAsia="Arial Unicode MS"/>
      <w:b/>
      <w:sz w:val="32"/>
    </w:rPr>
  </w:style>
  <w:style w:type="paragraph" w:customStyle="1" w:styleId="132">
    <w:name w:val="List Paragraph1"/>
    <w:basedOn w:val="1"/>
    <w:qFormat/>
    <w:uiPriority w:val="34"/>
    <w:pPr>
      <w:ind w:firstLine="420" w:firstLineChars="200"/>
    </w:pPr>
  </w:style>
  <w:style w:type="paragraph" w:customStyle="1" w:styleId="133">
    <w:name w:val="Q/19LGT01—2001"/>
    <w:basedOn w:val="1"/>
    <w:qFormat/>
    <w:uiPriority w:val="0"/>
    <w:pPr>
      <w:tabs>
        <w:tab w:val="left" w:pos="555"/>
      </w:tabs>
      <w:spacing w:line="360" w:lineRule="auto"/>
      <w:ind w:firstLine="420" w:firstLineChars="200"/>
    </w:pPr>
    <w:rPr>
      <w:rFonts w:hAnsi="宋体"/>
      <w:bCs/>
    </w:rPr>
  </w:style>
  <w:style w:type="paragraph" w:customStyle="1" w:styleId="134">
    <w:name w:val="??¨???¨????ì?¨¨??¨?o??????ì?¨¨?"/>
    <w:basedOn w:val="1"/>
    <w:qFormat/>
    <w:uiPriority w:val="0"/>
    <w:pPr>
      <w:autoSpaceDE w:val="0"/>
      <w:autoSpaceDN w:val="0"/>
      <w:adjustRightInd w:val="0"/>
      <w:jc w:val="left"/>
    </w:pPr>
  </w:style>
  <w:style w:type="paragraph" w:customStyle="1" w:styleId="135">
    <w:name w:val="表内文字"/>
    <w:basedOn w:val="1"/>
    <w:qFormat/>
    <w:uiPriority w:val="0"/>
    <w:pPr>
      <w:jc w:val="left"/>
    </w:pPr>
    <w:rPr>
      <w:szCs w:val="24"/>
    </w:rPr>
  </w:style>
  <w:style w:type="paragraph" w:customStyle="1" w:styleId="136">
    <w:name w:val="列出段落1"/>
    <w:basedOn w:val="1"/>
    <w:qFormat/>
    <w:uiPriority w:val="0"/>
    <w:pPr>
      <w:ind w:firstLine="420" w:firstLineChars="200"/>
    </w:pPr>
  </w:style>
  <w:style w:type="paragraph" w:customStyle="1" w:styleId="137">
    <w:name w:val="缺省文本"/>
    <w:basedOn w:val="1"/>
    <w:qFormat/>
    <w:uiPriority w:val="0"/>
    <w:pPr>
      <w:autoSpaceDE w:val="0"/>
      <w:autoSpaceDN w:val="0"/>
      <w:adjustRightInd w:val="0"/>
      <w:jc w:val="left"/>
    </w:pPr>
  </w:style>
  <w:style w:type="paragraph" w:customStyle="1" w:styleId="138">
    <w:name w:val="小标题 2"/>
    <w:basedOn w:val="1"/>
    <w:qFormat/>
    <w:uiPriority w:val="0"/>
    <w:pPr>
      <w:autoSpaceDE w:val="0"/>
      <w:autoSpaceDN w:val="0"/>
      <w:adjustRightInd w:val="0"/>
    </w:pPr>
    <w:rPr>
      <w:rFonts w:ascii="黑体" w:eastAsia="黑体" w:cs="黑体"/>
      <w:szCs w:val="24"/>
    </w:rPr>
  </w:style>
  <w:style w:type="paragraph" w:customStyle="1" w:styleId="139">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140">
    <w:name w:val="正文序号 4"/>
    <w:basedOn w:val="1"/>
    <w:qFormat/>
    <w:uiPriority w:val="0"/>
    <w:pPr>
      <w:numPr>
        <w:ilvl w:val="3"/>
        <w:numId w:val="2"/>
      </w:numPr>
      <w:spacing w:before="60"/>
    </w:pPr>
    <w:rPr>
      <w:szCs w:val="24"/>
    </w:rPr>
  </w:style>
  <w:style w:type="paragraph" w:customStyle="1" w:styleId="141">
    <w:name w:val="插图编号"/>
    <w:basedOn w:val="1"/>
    <w:next w:val="5"/>
    <w:qFormat/>
    <w:uiPriority w:val="0"/>
    <w:pPr>
      <w:tabs>
        <w:tab w:val="left" w:pos="1440"/>
      </w:tabs>
      <w:spacing w:line="360" w:lineRule="auto"/>
      <w:ind w:left="1021" w:hanging="1021"/>
    </w:pPr>
    <w:rPr>
      <w:spacing w:val="20"/>
      <w:szCs w:val="24"/>
    </w:rPr>
  </w:style>
  <w:style w:type="paragraph" w:customStyle="1" w:styleId="142">
    <w:name w:val="Form Header 1"/>
    <w:basedOn w:val="1"/>
    <w:next w:val="1"/>
    <w:qFormat/>
    <w:uiPriority w:val="0"/>
    <w:pPr>
      <w:widowControl/>
      <w:spacing w:before="80" w:after="80"/>
      <w:jc w:val="left"/>
    </w:pPr>
    <w:rPr>
      <w:rFonts w:ascii="Arial" w:hAnsi="Arial"/>
      <w:b/>
      <w:lang w:val="de-DE" w:eastAsia="en-US"/>
    </w:rPr>
  </w:style>
  <w:style w:type="paragraph" w:customStyle="1" w:styleId="143">
    <w:name w:val="二级条标题"/>
    <w:basedOn w:val="1"/>
    <w:next w:val="1"/>
    <w:qFormat/>
    <w:uiPriority w:val="0"/>
    <w:pPr>
      <w:widowControl/>
      <w:numPr>
        <w:ilvl w:val="3"/>
        <w:numId w:val="3"/>
      </w:numPr>
      <w:jc w:val="left"/>
      <w:outlineLvl w:val="3"/>
    </w:pPr>
    <w:rPr>
      <w:rFonts w:eastAsia="黑体"/>
    </w:rPr>
  </w:style>
  <w:style w:type="paragraph" w:customStyle="1" w:styleId="144">
    <w:name w:val="Char11"/>
    <w:basedOn w:val="1"/>
    <w:qFormat/>
    <w:uiPriority w:val="0"/>
    <w:rPr>
      <w:rFonts w:hAnsi="宋体"/>
      <w:szCs w:val="24"/>
    </w:rPr>
  </w:style>
  <w:style w:type="paragraph" w:customStyle="1" w:styleId="145">
    <w:name w:val="正文空2格  1."/>
    <w:basedOn w:val="1"/>
    <w:qFormat/>
    <w:uiPriority w:val="0"/>
    <w:pPr>
      <w:adjustRightInd w:val="0"/>
      <w:spacing w:line="360" w:lineRule="auto"/>
      <w:ind w:firstLine="480" w:firstLineChars="200"/>
      <w:textAlignment w:val="baseline"/>
    </w:pPr>
    <w:rPr>
      <w:rFonts w:eastAsia="仿宋" w:cs="宋体"/>
      <w:sz w:val="28"/>
    </w:rPr>
  </w:style>
  <w:style w:type="paragraph" w:customStyle="1" w:styleId="146">
    <w:name w:val="Char1"/>
    <w:basedOn w:val="1"/>
    <w:qFormat/>
    <w:uiPriority w:val="0"/>
    <w:pPr>
      <w:tabs>
        <w:tab w:val="left" w:pos="360"/>
      </w:tabs>
      <w:ind w:left="360" w:hanging="360" w:hangingChars="200"/>
    </w:pPr>
    <w:rPr>
      <w:szCs w:val="24"/>
    </w:rPr>
  </w:style>
  <w:style w:type="paragraph" w:customStyle="1" w:styleId="147">
    <w:name w:val="Char1 Char Char Char"/>
    <w:basedOn w:val="1"/>
    <w:qFormat/>
    <w:uiPriority w:val="0"/>
  </w:style>
  <w:style w:type="paragraph" w:customStyle="1" w:styleId="148">
    <w:name w:val="表格文字中"/>
    <w:basedOn w:val="1"/>
    <w:qFormat/>
    <w:uiPriority w:val="0"/>
    <w:pPr>
      <w:adjustRightInd w:val="0"/>
      <w:snapToGrid w:val="0"/>
      <w:ind w:left="22" w:leftChars="8"/>
      <w:jc w:val="center"/>
    </w:pPr>
    <w:rPr>
      <w:szCs w:val="24"/>
    </w:rPr>
  </w:style>
  <w:style w:type="paragraph" w:customStyle="1" w:styleId="149">
    <w:name w:val="Char13"/>
    <w:basedOn w:val="1"/>
    <w:qFormat/>
    <w:uiPriority w:val="0"/>
    <w:pPr>
      <w:tabs>
        <w:tab w:val="left" w:pos="360"/>
      </w:tabs>
      <w:ind w:left="360" w:hanging="360" w:hangingChars="200"/>
    </w:pPr>
    <w:rPr>
      <w:szCs w:val="24"/>
    </w:rPr>
  </w:style>
  <w:style w:type="paragraph" w:customStyle="1" w:styleId="150">
    <w:name w:val="正文序号 3"/>
    <w:basedOn w:val="1"/>
    <w:qFormat/>
    <w:uiPriority w:val="0"/>
    <w:pPr>
      <w:numPr>
        <w:ilvl w:val="2"/>
        <w:numId w:val="2"/>
      </w:numPr>
      <w:spacing w:before="60"/>
    </w:pPr>
    <w:rPr>
      <w:szCs w:val="24"/>
    </w:rPr>
  </w:style>
  <w:style w:type="paragraph" w:customStyle="1" w:styleId="151">
    <w:name w:val="Char"/>
    <w:basedOn w:val="1"/>
    <w:qFormat/>
    <w:uiPriority w:val="0"/>
    <w:pPr>
      <w:numPr>
        <w:ilvl w:val="0"/>
        <w:numId w:val="4"/>
      </w:numPr>
      <w:tabs>
        <w:tab w:val="left" w:pos="1200"/>
        <w:tab w:val="clear" w:pos="720"/>
      </w:tabs>
      <w:ind w:left="1200" w:hanging="360"/>
    </w:pPr>
    <w:rPr>
      <w:szCs w:val="24"/>
    </w:rPr>
  </w:style>
  <w:style w:type="paragraph" w:customStyle="1" w:styleId="152">
    <w:name w:val="样式3"/>
    <w:basedOn w:val="23"/>
    <w:qFormat/>
    <w:uiPriority w:val="0"/>
    <w:pPr>
      <w:spacing w:line="0" w:lineRule="atLeast"/>
      <w:outlineLvl w:val="0"/>
    </w:pPr>
    <w:rPr>
      <w:sz w:val="28"/>
    </w:rPr>
  </w:style>
  <w:style w:type="paragraph" w:customStyle="1" w:styleId="153">
    <w:name w:val="正文段"/>
    <w:basedOn w:val="1"/>
    <w:qFormat/>
    <w:uiPriority w:val="0"/>
    <w:pPr>
      <w:adjustRightInd w:val="0"/>
      <w:snapToGrid w:val="0"/>
      <w:spacing w:line="360" w:lineRule="auto"/>
    </w:pPr>
    <w:rPr>
      <w:rFonts w:eastAsia="仿宋_GB2312"/>
      <w:spacing w:val="-8"/>
    </w:rPr>
  </w:style>
  <w:style w:type="paragraph" w:customStyle="1" w:styleId="154">
    <w:name w:val="reader-word-layer"/>
    <w:basedOn w:val="1"/>
    <w:qFormat/>
    <w:uiPriority w:val="0"/>
    <w:pPr>
      <w:widowControl/>
      <w:spacing w:before="100" w:beforeAutospacing="1" w:after="100" w:afterAutospacing="1"/>
      <w:jc w:val="left"/>
    </w:pPr>
    <w:rPr>
      <w:rFonts w:hAnsi="宋体" w:cs="宋体"/>
      <w:szCs w:val="24"/>
    </w:rPr>
  </w:style>
  <w:style w:type="paragraph" w:customStyle="1" w:styleId="155">
    <w:name w:val="Char2"/>
    <w:basedOn w:val="1"/>
    <w:qFormat/>
    <w:uiPriority w:val="0"/>
    <w:rPr>
      <w:rFonts w:hAnsi="宋体"/>
      <w:szCs w:val="24"/>
    </w:rPr>
  </w:style>
  <w:style w:type="paragraph" w:customStyle="1" w:styleId="156">
    <w:name w:val="Default"/>
    <w:qFormat/>
    <w:uiPriority w:val="0"/>
    <w:pPr>
      <w:widowControl w:val="0"/>
      <w:autoSpaceDE w:val="0"/>
      <w:autoSpaceDN w:val="0"/>
      <w:adjustRightInd w:val="0"/>
    </w:pPr>
    <w:rPr>
      <w:rFonts w:ascii="AGYXIQ+Frutiger-Cn" w:hAnsi="Times New Roman" w:eastAsia="AGYXIQ+Frutiger-Cn" w:cs="AGYXIQ+Frutiger-Cn"/>
      <w:color w:val="000000"/>
      <w:sz w:val="24"/>
      <w:szCs w:val="24"/>
      <w:lang w:val="en-US" w:eastAsia="zh-CN" w:bidi="ar-SA"/>
    </w:rPr>
  </w:style>
  <w:style w:type="paragraph" w:customStyle="1" w:styleId="157">
    <w:name w:val="日期2"/>
    <w:basedOn w:val="1"/>
    <w:next w:val="1"/>
    <w:qFormat/>
    <w:uiPriority w:val="0"/>
    <w:rPr>
      <w:rFonts w:ascii="黑体" w:eastAsia="黑体"/>
      <w:sz w:val="28"/>
    </w:rPr>
  </w:style>
  <w:style w:type="paragraph" w:customStyle="1" w:styleId="158">
    <w:name w:val="p0"/>
    <w:basedOn w:val="1"/>
    <w:qFormat/>
    <w:uiPriority w:val="0"/>
    <w:pPr>
      <w:widowControl/>
      <w:snapToGrid w:val="0"/>
      <w:spacing w:line="312" w:lineRule="atLeast"/>
      <w:textAlignment w:val="baseline"/>
    </w:pPr>
    <w:rPr>
      <w:szCs w:val="21"/>
    </w:rPr>
  </w:style>
  <w:style w:type="paragraph" w:customStyle="1" w:styleId="159">
    <w:name w:val="纯文本1"/>
    <w:basedOn w:val="1"/>
    <w:qFormat/>
    <w:uiPriority w:val="0"/>
    <w:pPr>
      <w:spacing w:line="324" w:lineRule="auto"/>
    </w:pPr>
    <w:rPr>
      <w:rFonts w:hAnsi="Courier New" w:cs="Courier New"/>
      <w:szCs w:val="21"/>
    </w:rPr>
  </w:style>
  <w:style w:type="paragraph" w:customStyle="1" w:styleId="160">
    <w:name w:val="Char Char Char Char"/>
    <w:basedOn w:val="1"/>
    <w:qFormat/>
    <w:uiPriority w:val="0"/>
    <w:pPr>
      <w:widowControl/>
      <w:spacing w:after="160" w:line="240" w:lineRule="exact"/>
      <w:jc w:val="center"/>
    </w:pPr>
    <w:rPr>
      <w:rFonts w:hAnsi="宋体"/>
      <w:b/>
      <w:sz w:val="28"/>
      <w:szCs w:val="28"/>
      <w:lang w:eastAsia="en-US"/>
    </w:rPr>
  </w:style>
  <w:style w:type="paragraph" w:customStyle="1" w:styleId="161">
    <w:name w:val="正文2"/>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162">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sz w:val="32"/>
      <w:szCs w:val="24"/>
    </w:rPr>
  </w:style>
  <w:style w:type="paragraph" w:customStyle="1" w:styleId="163">
    <w:name w:val="表注1"/>
    <w:basedOn w:val="1"/>
    <w:qFormat/>
    <w:uiPriority w:val="0"/>
    <w:pPr>
      <w:adjustRightInd w:val="0"/>
      <w:snapToGrid w:val="0"/>
      <w:spacing w:beforeLines="50" w:line="300" w:lineRule="auto"/>
      <w:ind w:left="350" w:hanging="350" w:hangingChars="350"/>
    </w:pPr>
    <w:rPr>
      <w:rFonts w:eastAsia="仿宋_GB2312"/>
      <w:bCs/>
      <w:color w:val="000000"/>
      <w:szCs w:val="24"/>
    </w:rPr>
  </w:style>
  <w:style w:type="paragraph" w:customStyle="1" w:styleId="164">
    <w:name w:val="?§?§?¨¤?§o????¨¤?"/>
    <w:basedOn w:val="1"/>
    <w:qFormat/>
    <w:uiPriority w:val="0"/>
    <w:pPr>
      <w:autoSpaceDE w:val="0"/>
      <w:autoSpaceDN w:val="0"/>
      <w:adjustRightInd w:val="0"/>
      <w:jc w:val="left"/>
    </w:pPr>
  </w:style>
  <w:style w:type="paragraph" w:customStyle="1" w:styleId="165">
    <w:name w:val="TOC 标题1"/>
    <w:basedOn w:val="3"/>
    <w:next w:val="1"/>
    <w:qFormat/>
    <w:uiPriority w:val="39"/>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166">
    <w:name w:val="排列"/>
    <w:basedOn w:val="1"/>
    <w:qFormat/>
    <w:uiPriority w:val="0"/>
    <w:pPr>
      <w:adjustRightInd w:val="0"/>
      <w:spacing w:line="360" w:lineRule="auto"/>
      <w:ind w:hanging="627"/>
      <w:jc w:val="left"/>
    </w:pPr>
    <w:rPr>
      <w:b/>
    </w:rPr>
  </w:style>
  <w:style w:type="paragraph" w:customStyle="1" w:styleId="167">
    <w:name w:val="_Style 37"/>
    <w:basedOn w:val="1"/>
    <w:qFormat/>
    <w:uiPriority w:val="0"/>
    <w:pPr>
      <w:widowControl/>
      <w:spacing w:after="160" w:line="240" w:lineRule="exact"/>
      <w:jc w:val="center"/>
    </w:pPr>
    <w:rPr>
      <w:rFonts w:hAnsi="宋体"/>
      <w:b/>
      <w:sz w:val="28"/>
      <w:szCs w:val="28"/>
      <w:lang w:eastAsia="en-US"/>
    </w:rPr>
  </w:style>
  <w:style w:type="paragraph" w:customStyle="1" w:styleId="168">
    <w:name w:val="ec_msonormal"/>
    <w:basedOn w:val="1"/>
    <w:qFormat/>
    <w:uiPriority w:val="0"/>
    <w:pPr>
      <w:widowControl/>
      <w:spacing w:before="100" w:beforeAutospacing="1" w:after="100" w:afterAutospacing="1"/>
      <w:jc w:val="left"/>
    </w:pPr>
    <w:rPr>
      <w:rFonts w:hAnsi="宋体" w:cs="宋体"/>
      <w:szCs w:val="24"/>
    </w:rPr>
  </w:style>
  <w:style w:type="paragraph" w:customStyle="1" w:styleId="169">
    <w:name w:val="case31"/>
    <w:basedOn w:val="1"/>
    <w:qFormat/>
    <w:uiPriority w:val="0"/>
    <w:pPr>
      <w:widowControl/>
      <w:spacing w:before="100" w:beforeAutospacing="1" w:after="100" w:afterAutospacing="1"/>
      <w:jc w:val="left"/>
    </w:pPr>
    <w:rPr>
      <w:rFonts w:hAnsi="宋体"/>
      <w:color w:val="000000"/>
      <w:szCs w:val="24"/>
    </w:rPr>
  </w:style>
  <w:style w:type="paragraph" w:customStyle="1" w:styleId="170">
    <w:name w:val="表格标题"/>
    <w:basedOn w:val="1"/>
    <w:qFormat/>
    <w:uiPriority w:val="0"/>
    <w:pPr>
      <w:adjustRightInd w:val="0"/>
      <w:snapToGrid w:val="0"/>
      <w:spacing w:beforeLines="50" w:afterLines="50"/>
      <w:ind w:left="22" w:leftChars="8"/>
      <w:jc w:val="center"/>
    </w:pPr>
    <w:rPr>
      <w:b/>
      <w:bCs/>
      <w:color w:val="000000"/>
      <w:sz w:val="32"/>
      <w:szCs w:val="32"/>
    </w:rPr>
  </w:style>
  <w:style w:type="paragraph" w:customStyle="1" w:styleId="171">
    <w:name w:val="正文序号 1"/>
    <w:basedOn w:val="1"/>
    <w:qFormat/>
    <w:uiPriority w:val="0"/>
    <w:pPr>
      <w:numPr>
        <w:ilvl w:val="0"/>
        <w:numId w:val="2"/>
      </w:numPr>
      <w:spacing w:before="60"/>
    </w:pPr>
    <w:rPr>
      <w:szCs w:val="24"/>
    </w:rPr>
  </w:style>
  <w:style w:type="paragraph" w:customStyle="1" w:styleId="172">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top"/>
    </w:pPr>
    <w:rPr>
      <w:rFonts w:hAnsi="宋体"/>
      <w:b/>
      <w:bCs/>
      <w:szCs w:val="24"/>
    </w:rPr>
  </w:style>
  <w:style w:type="paragraph" w:customStyle="1" w:styleId="173">
    <w:name w:val="文字列表"/>
    <w:basedOn w:val="1"/>
    <w:qFormat/>
    <w:uiPriority w:val="0"/>
    <w:pPr>
      <w:tabs>
        <w:tab w:val="left" w:pos="420"/>
      </w:tabs>
      <w:spacing w:line="360" w:lineRule="auto"/>
      <w:ind w:left="358" w:leftChars="128" w:firstLine="2"/>
    </w:pPr>
    <w:rPr>
      <w:spacing w:val="20"/>
      <w:szCs w:val="24"/>
    </w:rPr>
  </w:style>
  <w:style w:type="paragraph" w:customStyle="1" w:styleId="174">
    <w:name w:val="Char3"/>
    <w:basedOn w:val="1"/>
    <w:qFormat/>
    <w:uiPriority w:val="0"/>
    <w:pPr>
      <w:tabs>
        <w:tab w:val="left" w:pos="360"/>
      </w:tabs>
    </w:pPr>
    <w:rPr>
      <w:szCs w:val="24"/>
    </w:rPr>
  </w:style>
  <w:style w:type="paragraph" w:customStyle="1" w:styleId="175">
    <w:name w:val="表格文字"/>
    <w:basedOn w:val="1"/>
    <w:qFormat/>
    <w:uiPriority w:val="0"/>
    <w:pPr>
      <w:spacing w:before="120" w:after="120"/>
    </w:pPr>
    <w:rPr>
      <w:rFonts w:ascii="新宋体" w:hAnsi="宋体" w:eastAsia="新宋体"/>
      <w:bCs/>
      <w:color w:val="000000"/>
      <w:sz w:val="18"/>
      <w:szCs w:val="18"/>
    </w:rPr>
  </w:style>
  <w:style w:type="paragraph" w:customStyle="1" w:styleId="176">
    <w:name w:val="普通(网站)2"/>
    <w:basedOn w:val="1"/>
    <w:qFormat/>
    <w:uiPriority w:val="0"/>
    <w:pPr>
      <w:widowControl/>
      <w:spacing w:before="100" w:beforeAutospacing="1" w:after="100" w:afterAutospacing="1"/>
      <w:jc w:val="left"/>
    </w:pPr>
    <w:rPr>
      <w:rFonts w:hAnsi="宋体" w:cs="宋体"/>
      <w:szCs w:val="24"/>
    </w:rPr>
  </w:style>
  <w:style w:type="paragraph" w:customStyle="1" w:styleId="177">
    <w:name w:val="标准"/>
    <w:basedOn w:val="1"/>
    <w:qFormat/>
    <w:uiPriority w:val="0"/>
    <w:pPr>
      <w:widowControl/>
      <w:autoSpaceDE w:val="0"/>
      <w:autoSpaceDN w:val="0"/>
      <w:adjustRightInd w:val="0"/>
      <w:spacing w:line="318" w:lineRule="atLeast"/>
    </w:pPr>
    <w:rPr>
      <w:rFonts w:ascii="楷体_GB2312" w:hAnsi="宋体" w:eastAsia="楷体_GB2312" w:cs="宋体"/>
    </w:rPr>
  </w:style>
  <w:style w:type="character" w:customStyle="1" w:styleId="178">
    <w:name w:val="short_text"/>
    <w:basedOn w:val="46"/>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5267</Words>
  <Characters>30023</Characters>
  <Lines>250</Lines>
  <Paragraphs>70</Paragraphs>
  <TotalTime>9</TotalTime>
  <ScaleCrop>false</ScaleCrop>
  <LinksUpToDate>false</LinksUpToDate>
  <CharactersWithSpaces>35220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2021-05-26T08:04:00Z</dcterms:created>
  <dc:creator>郭颖</dc:creator>
  <cp:lastModifiedBy>小企鹅</cp:lastModifiedBy>
  <cp:lastPrinted>2017-04-19T02:53:00Z</cp:lastPrinted>
  <dcterms:modified xsi:type="dcterms:W3CDTF">2021-12-01T10:42:49Z</dcterms:modified>
  <dc:title>政府采购货物和服务项目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E05C279B4D24499DB5E8A4E34A06719F</vt:lpwstr>
  </property>
</Properties>
</file>